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7A3" w:rsidRPr="00382705" w:rsidRDefault="006417A3" w:rsidP="00D75BA2">
      <w:pPr>
        <w:rPr>
          <w:b/>
          <w:sz w:val="36"/>
          <w:szCs w:val="36"/>
        </w:rPr>
      </w:pPr>
      <w:bookmarkStart w:id="0" w:name="_GoBack"/>
      <w:bookmarkEnd w:id="0"/>
      <w:r w:rsidRPr="00382705">
        <w:rPr>
          <w:b/>
          <w:sz w:val="36"/>
          <w:szCs w:val="36"/>
        </w:rPr>
        <w:t>5.0</w:t>
      </w:r>
      <w:r w:rsidR="00796489">
        <w:rPr>
          <w:b/>
          <w:sz w:val="36"/>
          <w:szCs w:val="36"/>
        </w:rPr>
        <w:t>9</w:t>
      </w:r>
      <w:r w:rsidR="00B60939" w:rsidRPr="00382705">
        <w:rPr>
          <w:b/>
          <w:sz w:val="36"/>
          <w:szCs w:val="36"/>
        </w:rPr>
        <w:tab/>
      </w:r>
      <w:r w:rsidR="00681B09" w:rsidRPr="00382705">
        <w:rPr>
          <w:b/>
          <w:sz w:val="36"/>
          <w:szCs w:val="36"/>
        </w:rPr>
        <w:t>RAMUCIRUMAB</w:t>
      </w:r>
    </w:p>
    <w:p w:rsidR="006417A3" w:rsidRPr="00382705" w:rsidRDefault="00D75BA2" w:rsidP="006417A3">
      <w:pPr>
        <w:ind w:firstLine="720"/>
        <w:rPr>
          <w:b/>
          <w:sz w:val="36"/>
          <w:szCs w:val="36"/>
        </w:rPr>
      </w:pPr>
      <w:r w:rsidRPr="00382705">
        <w:rPr>
          <w:b/>
          <w:sz w:val="36"/>
          <w:szCs w:val="36"/>
        </w:rPr>
        <w:t>100</w:t>
      </w:r>
      <w:r w:rsidR="00120096" w:rsidRPr="00382705">
        <w:rPr>
          <w:b/>
          <w:sz w:val="36"/>
          <w:szCs w:val="36"/>
        </w:rPr>
        <w:t> </w:t>
      </w:r>
      <w:r w:rsidRPr="00382705">
        <w:rPr>
          <w:b/>
          <w:sz w:val="36"/>
          <w:szCs w:val="36"/>
        </w:rPr>
        <w:t>mg in 10</w:t>
      </w:r>
      <w:r w:rsidR="00120096" w:rsidRPr="00382705">
        <w:rPr>
          <w:b/>
          <w:sz w:val="36"/>
          <w:szCs w:val="36"/>
        </w:rPr>
        <w:t> </w:t>
      </w:r>
      <w:r w:rsidRPr="00382705">
        <w:rPr>
          <w:b/>
          <w:sz w:val="36"/>
          <w:szCs w:val="36"/>
        </w:rPr>
        <w:t>mL vial</w:t>
      </w:r>
      <w:r w:rsidR="006417A3" w:rsidRPr="00382705">
        <w:rPr>
          <w:b/>
          <w:sz w:val="36"/>
          <w:szCs w:val="36"/>
        </w:rPr>
        <w:t>,</w:t>
      </w:r>
      <w:r w:rsidRPr="00382705">
        <w:rPr>
          <w:b/>
          <w:sz w:val="36"/>
          <w:szCs w:val="36"/>
        </w:rPr>
        <w:t xml:space="preserve"> 500</w:t>
      </w:r>
      <w:r w:rsidR="00120096" w:rsidRPr="00382705">
        <w:rPr>
          <w:b/>
          <w:sz w:val="36"/>
          <w:szCs w:val="36"/>
        </w:rPr>
        <w:t> </w:t>
      </w:r>
      <w:r w:rsidRPr="00382705">
        <w:rPr>
          <w:b/>
          <w:sz w:val="36"/>
          <w:szCs w:val="36"/>
        </w:rPr>
        <w:t>mg in 50</w:t>
      </w:r>
      <w:r w:rsidR="00120096" w:rsidRPr="00382705">
        <w:rPr>
          <w:b/>
          <w:sz w:val="36"/>
          <w:szCs w:val="36"/>
        </w:rPr>
        <w:t> </w:t>
      </w:r>
      <w:r w:rsidRPr="00382705">
        <w:rPr>
          <w:b/>
          <w:sz w:val="36"/>
          <w:szCs w:val="36"/>
        </w:rPr>
        <w:t xml:space="preserve">mL vial, </w:t>
      </w:r>
    </w:p>
    <w:p w:rsidR="006417A3" w:rsidRPr="00382705" w:rsidRDefault="00D75BA2" w:rsidP="006417A3">
      <w:pPr>
        <w:ind w:firstLine="720"/>
        <w:rPr>
          <w:b/>
          <w:sz w:val="36"/>
          <w:szCs w:val="36"/>
        </w:rPr>
      </w:pPr>
      <w:r w:rsidRPr="00382705">
        <w:rPr>
          <w:b/>
          <w:sz w:val="36"/>
          <w:szCs w:val="36"/>
        </w:rPr>
        <w:t xml:space="preserve">Cyramza®, </w:t>
      </w:r>
    </w:p>
    <w:p w:rsidR="00B60939" w:rsidRPr="00382705" w:rsidRDefault="00D75BA2" w:rsidP="006417A3">
      <w:pPr>
        <w:ind w:firstLine="720"/>
        <w:rPr>
          <w:b/>
          <w:sz w:val="36"/>
          <w:szCs w:val="36"/>
        </w:rPr>
      </w:pPr>
      <w:r w:rsidRPr="00382705">
        <w:rPr>
          <w:b/>
          <w:sz w:val="36"/>
          <w:szCs w:val="36"/>
        </w:rPr>
        <w:t>Eli Lilly</w:t>
      </w:r>
      <w:r w:rsidR="006417A3" w:rsidRPr="00382705">
        <w:rPr>
          <w:b/>
          <w:sz w:val="36"/>
          <w:szCs w:val="36"/>
        </w:rPr>
        <w:t xml:space="preserve"> Pty Ltd.</w:t>
      </w:r>
    </w:p>
    <w:p w:rsidR="00B50DB8" w:rsidRPr="002D4362" w:rsidRDefault="00B50DB8" w:rsidP="002D4362">
      <w:pPr>
        <w:pStyle w:val="PBACHeading1"/>
      </w:pPr>
      <w:bookmarkStart w:id="1" w:name="_Toc501621595"/>
      <w:r w:rsidRPr="002D4362">
        <w:t xml:space="preserve">Purpose of </w:t>
      </w:r>
      <w:r w:rsidR="00C54D11" w:rsidRPr="002D4362">
        <w:t>a</w:t>
      </w:r>
      <w:r w:rsidRPr="002D4362">
        <w:t>pplication</w:t>
      </w:r>
      <w:bookmarkEnd w:id="1"/>
    </w:p>
    <w:p w:rsidR="00C54D11" w:rsidRPr="00382705" w:rsidRDefault="00C54D11" w:rsidP="00C54D11">
      <w:pPr>
        <w:pStyle w:val="ListParagraph"/>
        <w:widowControl/>
        <w:numPr>
          <w:ilvl w:val="1"/>
          <w:numId w:val="3"/>
        </w:numPr>
      </w:pPr>
      <w:r w:rsidRPr="00382705">
        <w:t>The submission requested a Section 100 (Efficient Funding of Chemotherapy) listing for ramucirumab in combination with paclitaxel (RAM+PAC) for treatment of advanced or metastatic gastric or gastro-oesophageal junction (G/GEJ) adenocarcinoma after disease progression with prior platinum and fluoropyrimidine chemotherapy. The PBAC has not considered RAM+PAC previously.</w:t>
      </w:r>
    </w:p>
    <w:p w:rsidR="00C54D11" w:rsidRPr="00382705" w:rsidRDefault="00C54D11" w:rsidP="00C54D11">
      <w:pPr>
        <w:pStyle w:val="ListParagraph"/>
        <w:widowControl/>
        <w:numPr>
          <w:ilvl w:val="1"/>
          <w:numId w:val="3"/>
        </w:numPr>
      </w:pPr>
      <w:r w:rsidRPr="00382705">
        <w:t>The submission was based on a cost-utility analysis of RAM+PAC compared with paclitaxel monotherapy. The key components of the clinical issues addressed by the submission are summarised below.</w:t>
      </w:r>
    </w:p>
    <w:p w:rsidR="00C54D11" w:rsidRPr="00382705" w:rsidRDefault="00C54D11" w:rsidP="002F03CC">
      <w:pPr>
        <w:keepNext/>
        <w:rPr>
          <w:rStyle w:val="CommentReference"/>
        </w:rPr>
      </w:pPr>
      <w:r w:rsidRPr="00382705">
        <w:rPr>
          <w:rStyle w:val="CommentReference"/>
        </w:rPr>
        <w:t xml:space="preserve">Table </w:t>
      </w:r>
      <w:r w:rsidR="00445F54" w:rsidRPr="00382705">
        <w:rPr>
          <w:rStyle w:val="CommentReference"/>
        </w:rPr>
        <w:t>1</w:t>
      </w:r>
      <w:r w:rsidRPr="00382705">
        <w:rPr>
          <w:rStyle w:val="CommentReference"/>
        </w:rPr>
        <w:t>: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C54D11" w:rsidRPr="00382705" w:rsidTr="00C54D11">
        <w:tc>
          <w:tcPr>
            <w:tcW w:w="1668" w:type="dxa"/>
            <w:vAlign w:val="center"/>
          </w:tcPr>
          <w:p w:rsidR="00C54D11" w:rsidRPr="00382705" w:rsidRDefault="00C54D11" w:rsidP="002F03CC">
            <w:pPr>
              <w:pStyle w:val="Tabletext"/>
              <w:keepNext/>
              <w:rPr>
                <w:b/>
              </w:rPr>
            </w:pPr>
            <w:r w:rsidRPr="00382705">
              <w:rPr>
                <w:b/>
              </w:rPr>
              <w:t>Component</w:t>
            </w:r>
          </w:p>
        </w:tc>
        <w:tc>
          <w:tcPr>
            <w:tcW w:w="7488" w:type="dxa"/>
            <w:vAlign w:val="center"/>
          </w:tcPr>
          <w:p w:rsidR="00C54D11" w:rsidRPr="00382705" w:rsidRDefault="00C54D11" w:rsidP="002F03CC">
            <w:pPr>
              <w:pStyle w:val="Tabletext"/>
              <w:keepNext/>
              <w:jc w:val="center"/>
              <w:rPr>
                <w:b/>
              </w:rPr>
            </w:pPr>
            <w:r w:rsidRPr="00382705">
              <w:rPr>
                <w:b/>
              </w:rPr>
              <w:t>Description</w:t>
            </w:r>
          </w:p>
        </w:tc>
      </w:tr>
      <w:tr w:rsidR="00C54D11" w:rsidRPr="00382705" w:rsidTr="00C54D11">
        <w:tc>
          <w:tcPr>
            <w:tcW w:w="1668" w:type="dxa"/>
            <w:vAlign w:val="center"/>
          </w:tcPr>
          <w:p w:rsidR="00C54D11" w:rsidRPr="00382705" w:rsidRDefault="00C54D11" w:rsidP="002F03CC">
            <w:pPr>
              <w:pStyle w:val="Tabletext"/>
              <w:keepNext/>
            </w:pPr>
            <w:r w:rsidRPr="00382705">
              <w:t>Population</w:t>
            </w:r>
          </w:p>
        </w:tc>
        <w:tc>
          <w:tcPr>
            <w:tcW w:w="7488" w:type="dxa"/>
            <w:vAlign w:val="center"/>
          </w:tcPr>
          <w:p w:rsidR="00C54D11" w:rsidRPr="00382705" w:rsidRDefault="00C54D11" w:rsidP="002F03CC">
            <w:pPr>
              <w:pStyle w:val="Tabletext"/>
              <w:keepNext/>
            </w:pPr>
            <w:r w:rsidRPr="00382705">
              <w:t>Patients with advanced or metastatic gastric (cancer)</w:t>
            </w:r>
            <w:r w:rsidRPr="00382705">
              <w:rPr>
                <w:vertAlign w:val="superscript"/>
              </w:rPr>
              <w:t>a</w:t>
            </w:r>
            <w:r w:rsidRPr="00382705">
              <w:t xml:space="preserve"> or gastro-oesophageal junction adenocarcinoma with disease progression after prior platinum and fluoropyrimidine chemotherapy.</w:t>
            </w:r>
          </w:p>
        </w:tc>
      </w:tr>
      <w:tr w:rsidR="00C54D11" w:rsidRPr="00382705" w:rsidTr="00C54D11">
        <w:tc>
          <w:tcPr>
            <w:tcW w:w="1668" w:type="dxa"/>
            <w:vAlign w:val="center"/>
          </w:tcPr>
          <w:p w:rsidR="00C54D11" w:rsidRPr="00382705" w:rsidRDefault="00C54D11" w:rsidP="002F03CC">
            <w:pPr>
              <w:pStyle w:val="Tabletext"/>
              <w:keepNext/>
            </w:pPr>
            <w:r w:rsidRPr="00382705">
              <w:t>Intervention</w:t>
            </w:r>
          </w:p>
        </w:tc>
        <w:tc>
          <w:tcPr>
            <w:tcW w:w="7488" w:type="dxa"/>
            <w:vAlign w:val="center"/>
          </w:tcPr>
          <w:p w:rsidR="00C54D11" w:rsidRPr="00382705" w:rsidRDefault="00C54D11" w:rsidP="002F03CC">
            <w:pPr>
              <w:pStyle w:val="Tabletext"/>
              <w:keepNext/>
            </w:pPr>
            <w:r w:rsidRPr="00382705">
              <w:t>Ramucirumab in combination with paclitaxel</w:t>
            </w:r>
          </w:p>
        </w:tc>
      </w:tr>
      <w:tr w:rsidR="00C54D11" w:rsidRPr="00382705" w:rsidTr="00C54D11">
        <w:tc>
          <w:tcPr>
            <w:tcW w:w="1668" w:type="dxa"/>
            <w:vAlign w:val="center"/>
          </w:tcPr>
          <w:p w:rsidR="00C54D11" w:rsidRPr="00382705" w:rsidRDefault="00C54D11" w:rsidP="002F03CC">
            <w:pPr>
              <w:pStyle w:val="Tabletext"/>
              <w:keepNext/>
            </w:pPr>
            <w:r w:rsidRPr="00382705">
              <w:t>Comparator</w:t>
            </w:r>
          </w:p>
        </w:tc>
        <w:tc>
          <w:tcPr>
            <w:tcW w:w="7488" w:type="dxa"/>
            <w:vAlign w:val="center"/>
          </w:tcPr>
          <w:p w:rsidR="00C54D11" w:rsidRPr="00A44A7F" w:rsidRDefault="00C54D11" w:rsidP="002F03CC">
            <w:pPr>
              <w:pStyle w:val="Tabletext"/>
              <w:keepNext/>
            </w:pPr>
            <w:r w:rsidRPr="00A44A7F">
              <w:t>Paclitaxel</w:t>
            </w:r>
            <w:r w:rsidR="003F093B" w:rsidRPr="00A44A7F">
              <w:t xml:space="preserve"> monotherapy</w:t>
            </w:r>
            <w:r w:rsidRPr="00A44A7F">
              <w:t xml:space="preserve"> </w:t>
            </w:r>
          </w:p>
        </w:tc>
      </w:tr>
      <w:tr w:rsidR="00C54D11" w:rsidRPr="00382705" w:rsidTr="00C54D11">
        <w:tc>
          <w:tcPr>
            <w:tcW w:w="1668" w:type="dxa"/>
            <w:vAlign w:val="center"/>
          </w:tcPr>
          <w:p w:rsidR="00C54D11" w:rsidRPr="00382705" w:rsidRDefault="00C54D11" w:rsidP="002F03CC">
            <w:pPr>
              <w:pStyle w:val="Tabletext"/>
              <w:keepNext/>
            </w:pPr>
            <w:r w:rsidRPr="00382705">
              <w:t>Outcomes</w:t>
            </w:r>
          </w:p>
        </w:tc>
        <w:tc>
          <w:tcPr>
            <w:tcW w:w="7488" w:type="dxa"/>
            <w:vAlign w:val="center"/>
          </w:tcPr>
          <w:p w:rsidR="00C54D11" w:rsidRPr="00382705" w:rsidRDefault="00C54D11" w:rsidP="002F03CC">
            <w:pPr>
              <w:pStyle w:val="Tabletext"/>
              <w:keepNext/>
            </w:pPr>
            <w:r w:rsidRPr="00382705">
              <w:t xml:space="preserve">Primary: Overall survival; </w:t>
            </w:r>
          </w:p>
          <w:p w:rsidR="00C54D11" w:rsidRPr="00382705" w:rsidRDefault="00C54D11" w:rsidP="002F03CC">
            <w:pPr>
              <w:pStyle w:val="Tabletext"/>
              <w:keepNext/>
            </w:pPr>
            <w:r w:rsidRPr="00382705">
              <w:t>Secondary: Progression free survival, patient reported outcomes and safety</w:t>
            </w:r>
          </w:p>
        </w:tc>
      </w:tr>
      <w:tr w:rsidR="00C54D11" w:rsidRPr="00382705" w:rsidTr="00C54D11">
        <w:tc>
          <w:tcPr>
            <w:tcW w:w="1668" w:type="dxa"/>
            <w:vAlign w:val="center"/>
          </w:tcPr>
          <w:p w:rsidR="00C54D11" w:rsidRPr="00382705" w:rsidRDefault="00C54D11" w:rsidP="002F03CC">
            <w:pPr>
              <w:pStyle w:val="Tabletext"/>
              <w:keepNext/>
            </w:pPr>
            <w:r w:rsidRPr="00382705">
              <w:t>Clinical claim</w:t>
            </w:r>
          </w:p>
        </w:tc>
        <w:tc>
          <w:tcPr>
            <w:tcW w:w="7488" w:type="dxa"/>
            <w:vAlign w:val="center"/>
          </w:tcPr>
          <w:p w:rsidR="00C54D11" w:rsidRPr="00382705" w:rsidRDefault="00C54D11" w:rsidP="002F03CC">
            <w:pPr>
              <w:pStyle w:val="Tabletext"/>
              <w:keepNext/>
            </w:pPr>
            <w:r w:rsidRPr="00382705">
              <w:t xml:space="preserve">Ramucirumab in combination with paclitaxel is superior to paclitaxel alone, with a comparable safety profile, for the treatment of advanced or metastatic gastric or gastro-oesophageal junction adenocarcinoma after prior platinum </w:t>
            </w:r>
            <w:r w:rsidRPr="00382705">
              <w:rPr>
                <w:u w:val="single"/>
              </w:rPr>
              <w:t>or</w:t>
            </w:r>
            <w:r w:rsidRPr="00382705">
              <w:rPr>
                <w:u w:val="single"/>
                <w:vertAlign w:val="superscript"/>
              </w:rPr>
              <w:t>b</w:t>
            </w:r>
            <w:r w:rsidRPr="00382705">
              <w:t xml:space="preserve"> fluoropyrimidine chemotherapy.</w:t>
            </w:r>
          </w:p>
        </w:tc>
      </w:tr>
    </w:tbl>
    <w:p w:rsidR="00C54D11" w:rsidRPr="00382705" w:rsidRDefault="00C54D11" w:rsidP="002F03CC">
      <w:pPr>
        <w:pStyle w:val="TableFooter"/>
        <w:keepNext/>
        <w:widowControl/>
      </w:pPr>
      <w:r w:rsidRPr="00382705">
        <w:rPr>
          <w:vertAlign w:val="superscript"/>
        </w:rPr>
        <w:t xml:space="preserve">a </w:t>
      </w:r>
      <w:r w:rsidRPr="00382705">
        <w:t>Described as a broader gastric cancer or gastroesophageal adenocarcinoma in Section 1.4 of the submission and as a narrower gastric or gastro-eosophageal adenocarcinoma in other sections.</w:t>
      </w:r>
    </w:p>
    <w:p w:rsidR="00C54D11" w:rsidRPr="00382705" w:rsidRDefault="00C54D11" w:rsidP="002F03CC">
      <w:pPr>
        <w:pStyle w:val="TableFooter"/>
        <w:keepNext/>
        <w:widowControl/>
      </w:pPr>
      <w:r w:rsidRPr="00382705">
        <w:rPr>
          <w:vertAlign w:val="superscript"/>
        </w:rPr>
        <w:t xml:space="preserve">b </w:t>
      </w:r>
      <w:r w:rsidRPr="00382705">
        <w:t xml:space="preserve">As described in the submission (Table 1.1.1, p14 and Section 2.7.2, p71); however, the requested listing and the TGA approved indication requires the combination of a platinum </w:t>
      </w:r>
      <w:r w:rsidRPr="00382705">
        <w:rPr>
          <w:u w:val="single"/>
        </w:rPr>
        <w:t>and</w:t>
      </w:r>
      <w:r w:rsidRPr="00382705">
        <w:t xml:space="preserve"> a fluoropyrimidine regimen represent the prior first-line therapy.</w:t>
      </w:r>
    </w:p>
    <w:p w:rsidR="00681B09" w:rsidRPr="00382705" w:rsidRDefault="00C54D11" w:rsidP="002F03CC">
      <w:pPr>
        <w:pStyle w:val="TableFooter"/>
        <w:keepNext/>
        <w:widowControl/>
        <w:rPr>
          <w:sz w:val="20"/>
        </w:rPr>
      </w:pPr>
      <w:r w:rsidRPr="00382705">
        <w:t>Source: Table 1.1.1, p14 of the main submission</w:t>
      </w:r>
    </w:p>
    <w:p w:rsidR="00681B09" w:rsidRDefault="00681B09" w:rsidP="002D4362">
      <w:pPr>
        <w:pStyle w:val="PBACHeading1"/>
      </w:pPr>
      <w:bookmarkStart w:id="2" w:name="_Toc501621596"/>
      <w:r w:rsidRPr="00382705">
        <w:t>Requested listing</w:t>
      </w:r>
      <w:bookmarkEnd w:id="2"/>
    </w:p>
    <w:p w:rsidR="00EA6343" w:rsidRPr="00EA6343" w:rsidRDefault="00EA6343" w:rsidP="00EA6343">
      <w:pPr>
        <w:pStyle w:val="ListParagraph"/>
        <w:widowControl/>
        <w:numPr>
          <w:ilvl w:val="1"/>
          <w:numId w:val="3"/>
        </w:numPr>
      </w:pPr>
      <w:r w:rsidRPr="00EA6343">
        <w:t>Suggested additions</w:t>
      </w:r>
      <w:r>
        <w:t xml:space="preserve"> by the Secretariat</w:t>
      </w:r>
      <w:r w:rsidRPr="00EA6343">
        <w:t xml:space="preserve"> are in </w:t>
      </w:r>
      <w:r w:rsidRPr="00EA6343">
        <w:rPr>
          <w:i/>
        </w:rPr>
        <w:t>italics</w:t>
      </w:r>
      <w:r w:rsidRPr="00EA6343">
        <w:t xml:space="preserve"> and deletions are in </w:t>
      </w:r>
      <w:r w:rsidRPr="00EA6343">
        <w:rPr>
          <w:strike/>
        </w:rPr>
        <w:t>strikethrough</w:t>
      </w:r>
      <w:r w:rsidRPr="00EA6343">
        <w:t>.</w:t>
      </w:r>
    </w:p>
    <w:tbl>
      <w:tblPr>
        <w:tblW w:w="9214" w:type="dxa"/>
        <w:tblInd w:w="108" w:type="dxa"/>
        <w:tblLayout w:type="fixed"/>
        <w:tblLook w:val="0000" w:firstRow="0" w:lastRow="0" w:firstColumn="0" w:lastColumn="0" w:noHBand="0" w:noVBand="0"/>
      </w:tblPr>
      <w:tblGrid>
        <w:gridCol w:w="2694"/>
        <w:gridCol w:w="141"/>
        <w:gridCol w:w="993"/>
        <w:gridCol w:w="850"/>
        <w:gridCol w:w="1701"/>
        <w:gridCol w:w="1559"/>
        <w:gridCol w:w="1276"/>
      </w:tblGrid>
      <w:tr w:rsidR="00A76760" w:rsidRPr="00260CE3" w:rsidTr="00A76760">
        <w:trPr>
          <w:cantSplit/>
          <w:trHeight w:val="471"/>
        </w:trPr>
        <w:tc>
          <w:tcPr>
            <w:tcW w:w="2694" w:type="dxa"/>
            <w:tcBorders>
              <w:bottom w:val="single" w:sz="4" w:space="0" w:color="auto"/>
            </w:tcBorders>
          </w:tcPr>
          <w:p w:rsidR="00A76760" w:rsidRPr="00260CE3" w:rsidRDefault="00A76760" w:rsidP="002D4362">
            <w:pPr>
              <w:keepNext/>
              <w:ind w:left="-108"/>
              <w:rPr>
                <w:rFonts w:ascii="Arial Narrow" w:hAnsi="Arial Narrow"/>
                <w:sz w:val="20"/>
                <w:szCs w:val="20"/>
              </w:rPr>
            </w:pPr>
            <w:r w:rsidRPr="00260CE3">
              <w:rPr>
                <w:rFonts w:ascii="Arial Narrow" w:hAnsi="Arial Narrow"/>
                <w:sz w:val="20"/>
                <w:szCs w:val="20"/>
              </w:rPr>
              <w:lastRenderedPageBreak/>
              <w:t>Name, Restriction,</w:t>
            </w:r>
          </w:p>
          <w:p w:rsidR="00A76760" w:rsidRPr="00260CE3" w:rsidRDefault="00A76760" w:rsidP="002D4362">
            <w:pPr>
              <w:keepNext/>
              <w:ind w:left="-108"/>
              <w:rPr>
                <w:rFonts w:ascii="Arial Narrow" w:hAnsi="Arial Narrow"/>
                <w:sz w:val="20"/>
                <w:szCs w:val="20"/>
              </w:rPr>
            </w:pPr>
            <w:r w:rsidRPr="00260CE3">
              <w:rPr>
                <w:rFonts w:ascii="Arial Narrow" w:hAnsi="Arial Narrow"/>
                <w:sz w:val="20"/>
                <w:szCs w:val="20"/>
              </w:rPr>
              <w:t>Manner of administration and form</w:t>
            </w:r>
          </w:p>
        </w:tc>
        <w:tc>
          <w:tcPr>
            <w:tcW w:w="1134" w:type="dxa"/>
            <w:gridSpan w:val="2"/>
            <w:tcBorders>
              <w:bottom w:val="single" w:sz="4" w:space="0" w:color="auto"/>
            </w:tcBorders>
          </w:tcPr>
          <w:p w:rsidR="00A76760" w:rsidRPr="00260CE3" w:rsidRDefault="00A76760" w:rsidP="002D4362">
            <w:pPr>
              <w:keepNext/>
              <w:ind w:left="-108"/>
              <w:rPr>
                <w:rFonts w:ascii="Arial Narrow" w:hAnsi="Arial Narrow"/>
                <w:sz w:val="20"/>
                <w:szCs w:val="20"/>
              </w:rPr>
            </w:pPr>
            <w:r w:rsidRPr="00260CE3">
              <w:rPr>
                <w:rFonts w:ascii="Arial Narrow" w:hAnsi="Arial Narrow"/>
                <w:sz w:val="20"/>
                <w:szCs w:val="20"/>
              </w:rPr>
              <w:t>Max.</w:t>
            </w:r>
          </w:p>
          <w:p w:rsidR="00A76760" w:rsidRPr="00260CE3" w:rsidRDefault="00A76760" w:rsidP="002D4362">
            <w:pPr>
              <w:keepNext/>
              <w:ind w:left="-108"/>
              <w:rPr>
                <w:rFonts w:ascii="Arial Narrow" w:hAnsi="Arial Narrow"/>
                <w:sz w:val="20"/>
                <w:szCs w:val="20"/>
              </w:rPr>
            </w:pPr>
            <w:r>
              <w:rPr>
                <w:rFonts w:ascii="Arial Narrow" w:hAnsi="Arial Narrow"/>
                <w:sz w:val="20"/>
                <w:szCs w:val="20"/>
              </w:rPr>
              <w:t>Amt</w:t>
            </w:r>
          </w:p>
        </w:tc>
        <w:tc>
          <w:tcPr>
            <w:tcW w:w="850" w:type="dxa"/>
            <w:tcBorders>
              <w:bottom w:val="single" w:sz="4" w:space="0" w:color="auto"/>
            </w:tcBorders>
          </w:tcPr>
          <w:p w:rsidR="00A76760" w:rsidRPr="00260CE3" w:rsidRDefault="00A76760" w:rsidP="002D4362">
            <w:pPr>
              <w:keepNext/>
              <w:ind w:left="-108"/>
              <w:rPr>
                <w:rFonts w:ascii="Arial Narrow" w:hAnsi="Arial Narrow"/>
                <w:sz w:val="20"/>
                <w:szCs w:val="20"/>
              </w:rPr>
            </w:pPr>
            <w:r w:rsidRPr="00260CE3">
              <w:rPr>
                <w:rFonts w:ascii="Arial Narrow" w:hAnsi="Arial Narrow"/>
                <w:sz w:val="20"/>
                <w:szCs w:val="20"/>
              </w:rPr>
              <w:t>№.of</w:t>
            </w:r>
          </w:p>
          <w:p w:rsidR="00A76760" w:rsidRPr="00260CE3" w:rsidRDefault="00A76760" w:rsidP="002D4362">
            <w:pPr>
              <w:keepNext/>
              <w:ind w:left="-108"/>
              <w:rPr>
                <w:rFonts w:ascii="Arial Narrow" w:hAnsi="Arial Narrow"/>
                <w:sz w:val="20"/>
                <w:szCs w:val="20"/>
              </w:rPr>
            </w:pPr>
            <w:r w:rsidRPr="00260CE3">
              <w:rPr>
                <w:rFonts w:ascii="Arial Narrow" w:hAnsi="Arial Narrow"/>
                <w:sz w:val="20"/>
                <w:szCs w:val="20"/>
              </w:rPr>
              <w:t>Rpts</w:t>
            </w:r>
          </w:p>
        </w:tc>
        <w:tc>
          <w:tcPr>
            <w:tcW w:w="1701" w:type="dxa"/>
            <w:tcBorders>
              <w:bottom w:val="single" w:sz="4" w:space="0" w:color="auto"/>
            </w:tcBorders>
          </w:tcPr>
          <w:p w:rsidR="00A76760" w:rsidRPr="00260CE3" w:rsidRDefault="00A76760" w:rsidP="002D4362">
            <w:pPr>
              <w:keepNext/>
              <w:ind w:left="-108"/>
              <w:rPr>
                <w:rFonts w:ascii="Arial Narrow" w:hAnsi="Arial Narrow"/>
                <w:sz w:val="20"/>
                <w:szCs w:val="20"/>
              </w:rPr>
            </w:pPr>
            <w:r w:rsidRPr="00260CE3">
              <w:rPr>
                <w:rFonts w:ascii="Arial Narrow" w:hAnsi="Arial Narrow"/>
                <w:sz w:val="20"/>
                <w:szCs w:val="20"/>
              </w:rPr>
              <w:t xml:space="preserve">Dispensed Price for Max. </w:t>
            </w:r>
            <w:r>
              <w:rPr>
                <w:rFonts w:ascii="Arial Narrow" w:hAnsi="Arial Narrow"/>
                <w:sz w:val="20"/>
                <w:szCs w:val="20"/>
              </w:rPr>
              <w:t>Amt</w:t>
            </w:r>
          </w:p>
        </w:tc>
        <w:tc>
          <w:tcPr>
            <w:tcW w:w="2835" w:type="dxa"/>
            <w:gridSpan w:val="2"/>
            <w:tcBorders>
              <w:bottom w:val="single" w:sz="4" w:space="0" w:color="auto"/>
            </w:tcBorders>
          </w:tcPr>
          <w:p w:rsidR="00A76760" w:rsidRPr="00260CE3" w:rsidRDefault="00A76760" w:rsidP="002D4362">
            <w:pPr>
              <w:keepNext/>
              <w:rPr>
                <w:rFonts w:ascii="Arial Narrow" w:hAnsi="Arial Narrow"/>
                <w:sz w:val="20"/>
                <w:szCs w:val="20"/>
                <w:lang w:val="fr-FR"/>
              </w:rPr>
            </w:pPr>
            <w:r w:rsidRPr="00260CE3">
              <w:rPr>
                <w:rFonts w:ascii="Arial Narrow" w:hAnsi="Arial Narrow"/>
                <w:sz w:val="20"/>
                <w:szCs w:val="20"/>
              </w:rPr>
              <w:t>Proprietary Name and Manufacturer</w:t>
            </w:r>
          </w:p>
        </w:tc>
      </w:tr>
      <w:tr w:rsidR="00A76760" w:rsidRPr="00260CE3" w:rsidTr="00A76760">
        <w:trPr>
          <w:cantSplit/>
          <w:trHeight w:val="577"/>
        </w:trPr>
        <w:tc>
          <w:tcPr>
            <w:tcW w:w="2694" w:type="dxa"/>
          </w:tcPr>
          <w:p w:rsidR="00A76760" w:rsidRPr="00260CE3" w:rsidRDefault="00A76760" w:rsidP="002D4362">
            <w:pPr>
              <w:keepNext/>
              <w:ind w:left="-108"/>
              <w:rPr>
                <w:rFonts w:ascii="Arial Narrow" w:hAnsi="Arial Narrow"/>
                <w:sz w:val="20"/>
                <w:szCs w:val="20"/>
              </w:rPr>
            </w:pPr>
            <w:r>
              <w:rPr>
                <w:rFonts w:ascii="Arial Narrow" w:hAnsi="Arial Narrow"/>
                <w:smallCaps/>
                <w:sz w:val="20"/>
                <w:szCs w:val="20"/>
              </w:rPr>
              <w:t>RAMUCIRUMAB</w:t>
            </w:r>
          </w:p>
          <w:p w:rsidR="00A76760" w:rsidRDefault="00A76760" w:rsidP="002D4362">
            <w:pPr>
              <w:keepNext/>
              <w:ind w:left="-108"/>
              <w:rPr>
                <w:rFonts w:ascii="Arial Narrow" w:hAnsi="Arial Narrow"/>
                <w:sz w:val="20"/>
                <w:szCs w:val="20"/>
              </w:rPr>
            </w:pPr>
            <w:r>
              <w:rPr>
                <w:rFonts w:ascii="Arial Narrow" w:hAnsi="Arial Narrow"/>
                <w:sz w:val="20"/>
                <w:szCs w:val="20"/>
              </w:rPr>
              <w:t>500 mg/50 mL injection, 1 vial</w:t>
            </w:r>
          </w:p>
          <w:p w:rsidR="00A76760" w:rsidRPr="00260CE3" w:rsidRDefault="00A76760" w:rsidP="002D4362">
            <w:pPr>
              <w:keepNext/>
              <w:ind w:left="-108"/>
              <w:rPr>
                <w:rFonts w:ascii="Arial Narrow" w:hAnsi="Arial Narrow"/>
                <w:sz w:val="20"/>
                <w:szCs w:val="20"/>
              </w:rPr>
            </w:pPr>
            <w:r>
              <w:rPr>
                <w:rFonts w:ascii="Arial Narrow" w:hAnsi="Arial Narrow"/>
                <w:sz w:val="20"/>
                <w:szCs w:val="20"/>
              </w:rPr>
              <w:t>100 mg/10 mL injection, 1 vial</w:t>
            </w:r>
          </w:p>
        </w:tc>
        <w:tc>
          <w:tcPr>
            <w:tcW w:w="1134" w:type="dxa"/>
            <w:gridSpan w:val="2"/>
          </w:tcPr>
          <w:p w:rsidR="00A76760" w:rsidRPr="00260CE3" w:rsidRDefault="00A76760" w:rsidP="002D4362">
            <w:pPr>
              <w:keepNext/>
              <w:ind w:left="-108"/>
              <w:rPr>
                <w:rFonts w:ascii="Arial Narrow" w:hAnsi="Arial Narrow"/>
                <w:sz w:val="20"/>
                <w:szCs w:val="20"/>
              </w:rPr>
            </w:pPr>
          </w:p>
          <w:p w:rsidR="00A76760" w:rsidRDefault="00A76760" w:rsidP="002D4362">
            <w:pPr>
              <w:keepNext/>
              <w:ind w:left="-108"/>
              <w:rPr>
                <w:rFonts w:ascii="Arial Narrow" w:hAnsi="Arial Narrow"/>
                <w:strike/>
                <w:sz w:val="20"/>
                <w:szCs w:val="20"/>
              </w:rPr>
            </w:pPr>
            <w:r w:rsidRPr="00C6216F">
              <w:rPr>
                <w:rFonts w:ascii="Arial Narrow" w:hAnsi="Arial Narrow"/>
                <w:strike/>
                <w:sz w:val="20"/>
                <w:szCs w:val="20"/>
              </w:rPr>
              <w:t>551 mg</w:t>
            </w:r>
          </w:p>
          <w:p w:rsidR="00A76760" w:rsidRPr="00C6216F" w:rsidRDefault="00A76760" w:rsidP="002D4362">
            <w:pPr>
              <w:keepNext/>
              <w:ind w:left="-108"/>
              <w:rPr>
                <w:rFonts w:ascii="Arial Narrow" w:hAnsi="Arial Narrow"/>
                <w:i/>
                <w:sz w:val="20"/>
                <w:szCs w:val="20"/>
              </w:rPr>
            </w:pPr>
            <w:r w:rsidRPr="00C6216F">
              <w:rPr>
                <w:rFonts w:ascii="Arial Narrow" w:hAnsi="Arial Narrow"/>
                <w:i/>
                <w:sz w:val="20"/>
                <w:szCs w:val="20"/>
              </w:rPr>
              <w:t>1920 mg</w:t>
            </w:r>
          </w:p>
        </w:tc>
        <w:tc>
          <w:tcPr>
            <w:tcW w:w="850" w:type="dxa"/>
          </w:tcPr>
          <w:p w:rsidR="00A76760" w:rsidRPr="00260CE3" w:rsidRDefault="00A76760" w:rsidP="002D4362">
            <w:pPr>
              <w:keepNext/>
              <w:ind w:left="-108"/>
              <w:rPr>
                <w:rFonts w:ascii="Arial Narrow" w:hAnsi="Arial Narrow"/>
                <w:sz w:val="20"/>
                <w:szCs w:val="20"/>
              </w:rPr>
            </w:pPr>
          </w:p>
          <w:p w:rsidR="00A76760" w:rsidRPr="00260CE3" w:rsidRDefault="00A76760" w:rsidP="002D4362">
            <w:pPr>
              <w:keepNext/>
              <w:ind w:left="-108"/>
              <w:rPr>
                <w:rFonts w:ascii="Arial Narrow" w:hAnsi="Arial Narrow"/>
                <w:sz w:val="20"/>
                <w:szCs w:val="20"/>
              </w:rPr>
            </w:pPr>
            <w:r w:rsidRPr="00C6216F">
              <w:rPr>
                <w:rFonts w:ascii="Arial Narrow" w:hAnsi="Arial Narrow"/>
                <w:strike/>
                <w:sz w:val="20"/>
                <w:szCs w:val="20"/>
              </w:rPr>
              <w:t>1</w:t>
            </w:r>
            <w:r w:rsidRPr="00C6216F">
              <w:rPr>
                <w:rFonts w:ascii="Arial Narrow" w:hAnsi="Arial Narrow"/>
                <w:i/>
                <w:sz w:val="20"/>
                <w:szCs w:val="20"/>
              </w:rPr>
              <w:t>0</w:t>
            </w:r>
          </w:p>
        </w:tc>
        <w:tc>
          <w:tcPr>
            <w:tcW w:w="1701" w:type="dxa"/>
          </w:tcPr>
          <w:p w:rsidR="00A76760" w:rsidRPr="00260CE3" w:rsidRDefault="00A76760" w:rsidP="002D4362">
            <w:pPr>
              <w:keepNext/>
              <w:ind w:left="-108"/>
              <w:rPr>
                <w:rFonts w:ascii="Arial Narrow" w:hAnsi="Arial Narrow"/>
                <w:sz w:val="20"/>
                <w:szCs w:val="20"/>
              </w:rPr>
            </w:pPr>
          </w:p>
          <w:p w:rsidR="00A76760" w:rsidRDefault="00A76760" w:rsidP="002D4362">
            <w:pPr>
              <w:keepNext/>
              <w:ind w:left="-108"/>
              <w:rPr>
                <w:rFonts w:ascii="Arial Narrow" w:hAnsi="Arial Narrow"/>
                <w:sz w:val="20"/>
                <w:szCs w:val="20"/>
              </w:rPr>
            </w:pPr>
            <w:r w:rsidRPr="00674D8F">
              <w:rPr>
                <w:rFonts w:ascii="Arial Narrow" w:hAnsi="Arial Narrow"/>
                <w:sz w:val="20"/>
                <w:szCs w:val="20"/>
              </w:rPr>
              <w:t>$</w:t>
            </w:r>
            <w:r w:rsidR="003B4E62">
              <w:rPr>
                <w:rFonts w:ascii="Arial Narrow" w:hAnsi="Arial Narrow"/>
                <w:noProof/>
                <w:color w:val="000000"/>
                <w:sz w:val="20"/>
                <w:szCs w:val="20"/>
                <w:highlight w:val="black"/>
              </w:rPr>
              <w:t>''''''''''''''''''''''</w:t>
            </w:r>
            <w:r w:rsidRPr="00674D8F">
              <w:rPr>
                <w:rFonts w:ascii="Arial Narrow" w:hAnsi="Arial Narrow"/>
                <w:sz w:val="20"/>
                <w:szCs w:val="20"/>
              </w:rPr>
              <w:t xml:space="preserve"> </w:t>
            </w:r>
            <w:r>
              <w:rPr>
                <w:rFonts w:ascii="Arial Narrow" w:hAnsi="Arial Narrow"/>
                <w:sz w:val="20"/>
                <w:szCs w:val="20"/>
              </w:rPr>
              <w:t>(Public)</w:t>
            </w:r>
          </w:p>
          <w:p w:rsidR="00A76760" w:rsidRPr="00260CE3" w:rsidRDefault="00A76760" w:rsidP="002D4362">
            <w:pPr>
              <w:keepNext/>
              <w:ind w:left="-108"/>
              <w:rPr>
                <w:rFonts w:ascii="Arial Narrow" w:hAnsi="Arial Narrow"/>
                <w:sz w:val="20"/>
                <w:szCs w:val="20"/>
              </w:rPr>
            </w:pPr>
            <w:r w:rsidRPr="00674D8F">
              <w:rPr>
                <w:rFonts w:ascii="Arial Narrow" w:hAnsi="Arial Narrow"/>
                <w:sz w:val="20"/>
                <w:szCs w:val="20"/>
              </w:rPr>
              <w:t>$</w:t>
            </w:r>
            <w:r w:rsidR="003B4E62">
              <w:rPr>
                <w:rFonts w:ascii="Arial Narrow" w:hAnsi="Arial Narrow"/>
                <w:noProof/>
                <w:color w:val="000000"/>
                <w:sz w:val="20"/>
                <w:szCs w:val="20"/>
                <w:highlight w:val="black"/>
              </w:rPr>
              <w:t>'''''''''''''''''''''''</w:t>
            </w:r>
            <w:r w:rsidRPr="00674D8F">
              <w:rPr>
                <w:rFonts w:ascii="Arial Narrow" w:hAnsi="Arial Narrow"/>
                <w:sz w:val="20"/>
                <w:szCs w:val="20"/>
              </w:rPr>
              <w:t xml:space="preserve"> </w:t>
            </w:r>
            <w:r>
              <w:rPr>
                <w:rFonts w:ascii="Arial Narrow" w:hAnsi="Arial Narrow"/>
                <w:sz w:val="20"/>
                <w:szCs w:val="20"/>
              </w:rPr>
              <w:t>(Private)</w:t>
            </w:r>
          </w:p>
        </w:tc>
        <w:tc>
          <w:tcPr>
            <w:tcW w:w="1559" w:type="dxa"/>
          </w:tcPr>
          <w:p w:rsidR="00A76760" w:rsidRPr="00674D8F" w:rsidRDefault="00A76760" w:rsidP="002D4362">
            <w:pPr>
              <w:keepNext/>
              <w:rPr>
                <w:rFonts w:ascii="Arial Narrow" w:hAnsi="Arial Narrow"/>
                <w:sz w:val="20"/>
                <w:szCs w:val="20"/>
              </w:rPr>
            </w:pPr>
            <w:r w:rsidRPr="00674D8F">
              <w:rPr>
                <w:rFonts w:ascii="Arial Narrow" w:hAnsi="Arial Narrow" w:cs="Times New Roman"/>
                <w:snapToGrid/>
                <w:sz w:val="20"/>
              </w:rPr>
              <w:t>Cyramza®</w:t>
            </w:r>
          </w:p>
        </w:tc>
        <w:tc>
          <w:tcPr>
            <w:tcW w:w="1276" w:type="dxa"/>
          </w:tcPr>
          <w:p w:rsidR="00A76760" w:rsidRPr="00260CE3" w:rsidRDefault="00A76760" w:rsidP="002D4362">
            <w:pPr>
              <w:keepNext/>
              <w:rPr>
                <w:rFonts w:ascii="Arial Narrow" w:hAnsi="Arial Narrow"/>
                <w:sz w:val="20"/>
                <w:szCs w:val="20"/>
              </w:rPr>
            </w:pPr>
            <w:r w:rsidRPr="00120096">
              <w:rPr>
                <w:rFonts w:ascii="Arial Narrow" w:hAnsi="Arial Narrow" w:cs="Times New Roman"/>
                <w:snapToGrid/>
                <w:sz w:val="20"/>
                <w:szCs w:val="20"/>
              </w:rPr>
              <w:t>Eli Lilly Australia Pty Ltd</w:t>
            </w:r>
          </w:p>
        </w:tc>
      </w:tr>
      <w:tr w:rsidR="00A76760" w:rsidRPr="00260CE3" w:rsidTr="00A76760">
        <w:trPr>
          <w:cantSplit/>
          <w:trHeight w:val="360"/>
        </w:trPr>
        <w:tc>
          <w:tcPr>
            <w:tcW w:w="9214" w:type="dxa"/>
            <w:gridSpan w:val="7"/>
            <w:tcBorders>
              <w:bottom w:val="single" w:sz="4" w:space="0" w:color="auto"/>
            </w:tcBorders>
          </w:tcPr>
          <w:p w:rsidR="00A76760" w:rsidRPr="00260CE3" w:rsidRDefault="00A76760" w:rsidP="002D4362">
            <w:pPr>
              <w:keepNext/>
              <w:rPr>
                <w:rFonts w:ascii="Arial Narrow" w:hAnsi="Arial Narrow"/>
                <w:sz w:val="20"/>
                <w:szCs w:val="20"/>
              </w:rPr>
            </w:pPr>
          </w:p>
        </w:tc>
      </w:tr>
      <w:tr w:rsidR="00A76760" w:rsidRPr="00260CE3" w:rsidTr="00A76760">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A76760" w:rsidRPr="00260CE3" w:rsidRDefault="00A76760" w:rsidP="002D4362">
            <w:pPr>
              <w:keepNext/>
              <w:rPr>
                <w:rFonts w:ascii="Arial Narrow" w:hAnsi="Arial Narrow"/>
                <w:b/>
                <w:sz w:val="20"/>
                <w:szCs w:val="20"/>
              </w:rPr>
            </w:pPr>
            <w:r w:rsidRPr="00260CE3">
              <w:rPr>
                <w:rFonts w:ascii="Arial Narrow" w:hAnsi="Arial Narrow"/>
                <w:b/>
                <w:sz w:val="20"/>
                <w:szCs w:val="20"/>
              </w:rPr>
              <w:t xml:space="preserve">Category / </w:t>
            </w:r>
          </w:p>
          <w:p w:rsidR="00A76760" w:rsidRPr="00260CE3" w:rsidRDefault="00A76760" w:rsidP="002D4362">
            <w:pPr>
              <w:keepNext/>
              <w:rPr>
                <w:rFonts w:ascii="Arial Narrow" w:hAnsi="Arial Narrow"/>
                <w:b/>
                <w:sz w:val="20"/>
                <w:szCs w:val="20"/>
              </w:rPr>
            </w:pPr>
            <w:r w:rsidRPr="00260CE3">
              <w:rPr>
                <w:rFonts w:ascii="Arial Narrow" w:hAnsi="Arial Narrow"/>
                <w:b/>
                <w:sz w:val="20"/>
                <w:szCs w:val="20"/>
              </w:rPr>
              <w:t>Program</w:t>
            </w:r>
          </w:p>
        </w:tc>
        <w:tc>
          <w:tcPr>
            <w:tcW w:w="6379" w:type="dxa"/>
            <w:gridSpan w:val="5"/>
            <w:tcBorders>
              <w:top w:val="single" w:sz="4" w:space="0" w:color="auto"/>
              <w:left w:val="single" w:sz="4" w:space="0" w:color="auto"/>
              <w:bottom w:val="single" w:sz="4" w:space="0" w:color="auto"/>
              <w:right w:val="single" w:sz="4" w:space="0" w:color="auto"/>
            </w:tcBorders>
          </w:tcPr>
          <w:p w:rsidR="00A76760" w:rsidRPr="00260CE3" w:rsidRDefault="00A76760" w:rsidP="002D4362">
            <w:pPr>
              <w:keepNext/>
              <w:rPr>
                <w:rFonts w:ascii="Arial Narrow" w:hAnsi="Arial Narrow"/>
                <w:sz w:val="20"/>
                <w:szCs w:val="20"/>
              </w:rPr>
            </w:pPr>
            <w:r w:rsidRPr="00C33D1F">
              <w:rPr>
                <w:rFonts w:ascii="Arial Narrow" w:hAnsi="Arial Narrow"/>
                <w:sz w:val="20"/>
                <w:szCs w:val="20"/>
              </w:rPr>
              <w:t>Section 100 – Efficient funding of C</w:t>
            </w:r>
            <w:r>
              <w:rPr>
                <w:rFonts w:ascii="Arial Narrow" w:hAnsi="Arial Narrow"/>
                <w:sz w:val="20"/>
                <w:szCs w:val="20"/>
              </w:rPr>
              <w:t xml:space="preserve">hemotherapy </w:t>
            </w:r>
          </w:p>
        </w:tc>
      </w:tr>
      <w:tr w:rsidR="00A76760" w:rsidRPr="00260CE3" w:rsidTr="00A76760">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A76760" w:rsidRDefault="00A76760" w:rsidP="002D4362">
            <w:pPr>
              <w:keepNext/>
              <w:rPr>
                <w:rFonts w:ascii="Arial Narrow" w:hAnsi="Arial Narrow"/>
                <w:b/>
                <w:sz w:val="20"/>
                <w:szCs w:val="20"/>
              </w:rPr>
            </w:pPr>
            <w:r w:rsidRPr="00260CE3">
              <w:rPr>
                <w:rFonts w:ascii="Arial Narrow" w:hAnsi="Arial Narrow"/>
                <w:b/>
                <w:sz w:val="20"/>
                <w:szCs w:val="20"/>
              </w:rPr>
              <w:t>Prescriber type:</w:t>
            </w:r>
          </w:p>
          <w:p w:rsidR="00A76760" w:rsidRPr="00260CE3" w:rsidRDefault="00A76760" w:rsidP="002D4362">
            <w:pPr>
              <w:keepNext/>
              <w:rPr>
                <w:rFonts w:ascii="Arial Narrow" w:hAnsi="Arial Narrow"/>
                <w:b/>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A76760" w:rsidRPr="00260CE3" w:rsidRDefault="00A76760" w:rsidP="002D4362">
            <w:pPr>
              <w:keepNext/>
              <w:rPr>
                <w:rFonts w:ascii="Arial Narrow" w:hAnsi="Arial Narrow"/>
                <w:sz w:val="20"/>
                <w:szCs w:val="20"/>
              </w:rPr>
            </w:pPr>
            <w:r w:rsidRPr="00260CE3">
              <w:rPr>
                <w:rFonts w:ascii="Arial Narrow" w:hAnsi="Arial Narrow"/>
                <w:sz w:val="20"/>
                <w:szCs w:val="20"/>
              </w:rPr>
              <w:fldChar w:fldCharType="begin">
                <w:ffData>
                  <w:name w:val="Check1"/>
                  <w:enabled/>
                  <w:calcOnExit w:val="0"/>
                  <w:checkBox>
                    <w:sizeAuto/>
                    <w:default w:val="0"/>
                  </w:checkBox>
                </w:ffData>
              </w:fldChar>
            </w:r>
            <w:r w:rsidRPr="00260CE3">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260CE3">
              <w:rPr>
                <w:rFonts w:ascii="Arial Narrow" w:hAnsi="Arial Narrow"/>
                <w:sz w:val="20"/>
                <w:szCs w:val="20"/>
              </w:rPr>
              <w:fldChar w:fldCharType="end"/>
            </w:r>
            <w:r w:rsidRPr="00260CE3">
              <w:rPr>
                <w:rFonts w:ascii="Arial Narrow" w:hAnsi="Arial Narrow"/>
                <w:sz w:val="20"/>
                <w:szCs w:val="20"/>
              </w:rPr>
              <w:t xml:space="preserve">Dental  </w:t>
            </w: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Pr>
                <w:rFonts w:ascii="Arial Narrow" w:hAnsi="Arial Narrow"/>
                <w:sz w:val="20"/>
                <w:szCs w:val="20"/>
              </w:rPr>
              <w:fldChar w:fldCharType="end"/>
            </w:r>
            <w:r w:rsidRPr="00260CE3">
              <w:rPr>
                <w:rFonts w:ascii="Arial Narrow" w:hAnsi="Arial Narrow"/>
                <w:sz w:val="20"/>
                <w:szCs w:val="20"/>
              </w:rPr>
              <w:t xml:space="preserve">Medical Practitioners  </w:t>
            </w:r>
            <w:r w:rsidRPr="00260CE3">
              <w:rPr>
                <w:rFonts w:ascii="Arial Narrow" w:hAnsi="Arial Narrow"/>
                <w:sz w:val="20"/>
                <w:szCs w:val="20"/>
              </w:rPr>
              <w:fldChar w:fldCharType="begin">
                <w:ffData>
                  <w:name w:val="Check3"/>
                  <w:enabled/>
                  <w:calcOnExit w:val="0"/>
                  <w:checkBox>
                    <w:sizeAuto/>
                    <w:default w:val="0"/>
                  </w:checkBox>
                </w:ffData>
              </w:fldChar>
            </w:r>
            <w:r w:rsidRPr="00260CE3">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260CE3">
              <w:rPr>
                <w:rFonts w:ascii="Arial Narrow" w:hAnsi="Arial Narrow"/>
                <w:sz w:val="20"/>
                <w:szCs w:val="20"/>
              </w:rPr>
              <w:fldChar w:fldCharType="end"/>
            </w:r>
            <w:r w:rsidRPr="00260CE3">
              <w:rPr>
                <w:rFonts w:ascii="Arial Narrow" w:hAnsi="Arial Narrow"/>
                <w:sz w:val="20"/>
                <w:szCs w:val="20"/>
              </w:rPr>
              <w:t xml:space="preserve">Nurse practitioners  </w:t>
            </w:r>
            <w:r w:rsidRPr="00260CE3">
              <w:rPr>
                <w:rFonts w:ascii="Arial Narrow" w:hAnsi="Arial Narrow"/>
                <w:sz w:val="20"/>
                <w:szCs w:val="20"/>
              </w:rPr>
              <w:fldChar w:fldCharType="begin">
                <w:ffData>
                  <w:name w:val=""/>
                  <w:enabled/>
                  <w:calcOnExit w:val="0"/>
                  <w:checkBox>
                    <w:sizeAuto/>
                    <w:default w:val="0"/>
                  </w:checkBox>
                </w:ffData>
              </w:fldChar>
            </w:r>
            <w:r w:rsidRPr="00260CE3">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260CE3">
              <w:rPr>
                <w:rFonts w:ascii="Arial Narrow" w:hAnsi="Arial Narrow"/>
                <w:sz w:val="20"/>
                <w:szCs w:val="20"/>
              </w:rPr>
              <w:fldChar w:fldCharType="end"/>
            </w:r>
            <w:r w:rsidRPr="00260CE3">
              <w:rPr>
                <w:rFonts w:ascii="Arial Narrow" w:hAnsi="Arial Narrow"/>
                <w:sz w:val="20"/>
                <w:szCs w:val="20"/>
              </w:rPr>
              <w:t>Optometrists</w:t>
            </w:r>
          </w:p>
          <w:p w:rsidR="00A76760" w:rsidRPr="00260CE3" w:rsidRDefault="00A76760" w:rsidP="002D4362">
            <w:pPr>
              <w:keepNext/>
              <w:rPr>
                <w:rFonts w:ascii="Arial Narrow" w:hAnsi="Arial Narrow"/>
                <w:sz w:val="20"/>
                <w:szCs w:val="20"/>
              </w:rPr>
            </w:pPr>
            <w:r w:rsidRPr="00260CE3">
              <w:rPr>
                <w:rFonts w:ascii="Arial Narrow" w:hAnsi="Arial Narrow"/>
                <w:sz w:val="20"/>
                <w:szCs w:val="20"/>
              </w:rPr>
              <w:fldChar w:fldCharType="begin">
                <w:ffData>
                  <w:name w:val="Check5"/>
                  <w:enabled/>
                  <w:calcOnExit w:val="0"/>
                  <w:checkBox>
                    <w:sizeAuto/>
                    <w:default w:val="0"/>
                  </w:checkBox>
                </w:ffData>
              </w:fldChar>
            </w:r>
            <w:r w:rsidRPr="00260CE3">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260CE3">
              <w:rPr>
                <w:rFonts w:ascii="Arial Narrow" w:hAnsi="Arial Narrow"/>
                <w:sz w:val="20"/>
                <w:szCs w:val="20"/>
              </w:rPr>
              <w:fldChar w:fldCharType="end"/>
            </w:r>
            <w:r w:rsidRPr="00260CE3">
              <w:rPr>
                <w:rFonts w:ascii="Arial Narrow" w:hAnsi="Arial Narrow"/>
                <w:sz w:val="20"/>
                <w:szCs w:val="20"/>
              </w:rPr>
              <w:t>Midwives</w:t>
            </w:r>
          </w:p>
        </w:tc>
      </w:tr>
      <w:tr w:rsidR="00A76760" w:rsidRPr="00260CE3" w:rsidTr="00A76760">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A76760" w:rsidRPr="00260CE3" w:rsidRDefault="00A76760" w:rsidP="002D4362">
            <w:pPr>
              <w:keepNext/>
              <w:rPr>
                <w:rFonts w:ascii="Arial Narrow" w:hAnsi="Arial Narrow"/>
                <w:b/>
                <w:sz w:val="20"/>
                <w:szCs w:val="20"/>
              </w:rPr>
            </w:pPr>
            <w:r w:rsidRPr="00260CE3">
              <w:rPr>
                <w:rFonts w:ascii="Arial Narrow" w:hAnsi="Arial Narrow"/>
                <w:b/>
                <w:sz w:val="20"/>
                <w:szCs w:val="20"/>
              </w:rPr>
              <w:t>Severity:</w:t>
            </w:r>
          </w:p>
        </w:tc>
        <w:tc>
          <w:tcPr>
            <w:tcW w:w="6379" w:type="dxa"/>
            <w:gridSpan w:val="5"/>
            <w:tcBorders>
              <w:top w:val="single" w:sz="4" w:space="0" w:color="auto"/>
              <w:left w:val="single" w:sz="4" w:space="0" w:color="auto"/>
              <w:bottom w:val="single" w:sz="4" w:space="0" w:color="auto"/>
              <w:right w:val="single" w:sz="4" w:space="0" w:color="auto"/>
            </w:tcBorders>
          </w:tcPr>
          <w:p w:rsidR="00A76760" w:rsidRPr="00260CE3" w:rsidRDefault="00A76760" w:rsidP="002D4362">
            <w:pPr>
              <w:keepNext/>
              <w:rPr>
                <w:rFonts w:ascii="Arial Narrow" w:hAnsi="Arial Narrow"/>
                <w:sz w:val="20"/>
                <w:szCs w:val="20"/>
              </w:rPr>
            </w:pPr>
            <w:r>
              <w:rPr>
                <w:rFonts w:ascii="Arial Narrow" w:hAnsi="Arial Narrow"/>
                <w:sz w:val="20"/>
                <w:szCs w:val="20"/>
              </w:rPr>
              <w:t xml:space="preserve">Advanced and/or metastatic </w:t>
            </w:r>
          </w:p>
        </w:tc>
      </w:tr>
      <w:tr w:rsidR="00A76760" w:rsidRPr="00260CE3" w:rsidTr="00A76760">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A76760" w:rsidRPr="00260CE3" w:rsidRDefault="00A76760" w:rsidP="002D4362">
            <w:pPr>
              <w:keepNext/>
              <w:rPr>
                <w:rFonts w:ascii="Arial Narrow" w:hAnsi="Arial Narrow"/>
                <w:b/>
                <w:sz w:val="20"/>
                <w:szCs w:val="20"/>
              </w:rPr>
            </w:pPr>
            <w:r w:rsidRPr="00260CE3">
              <w:rPr>
                <w:rFonts w:ascii="Arial Narrow" w:hAnsi="Arial Narrow"/>
                <w:b/>
                <w:sz w:val="20"/>
                <w:szCs w:val="20"/>
              </w:rPr>
              <w:t>Condition:</w:t>
            </w:r>
          </w:p>
        </w:tc>
        <w:tc>
          <w:tcPr>
            <w:tcW w:w="6379" w:type="dxa"/>
            <w:gridSpan w:val="5"/>
            <w:tcBorders>
              <w:top w:val="single" w:sz="4" w:space="0" w:color="auto"/>
              <w:left w:val="single" w:sz="4" w:space="0" w:color="auto"/>
              <w:bottom w:val="single" w:sz="4" w:space="0" w:color="auto"/>
              <w:right w:val="single" w:sz="4" w:space="0" w:color="auto"/>
            </w:tcBorders>
          </w:tcPr>
          <w:p w:rsidR="00A76760" w:rsidRPr="00EE3E7C" w:rsidRDefault="00A76760" w:rsidP="002D4362">
            <w:pPr>
              <w:keepNext/>
              <w:rPr>
                <w:rFonts w:ascii="Arial Narrow" w:hAnsi="Arial Narrow"/>
                <w:sz w:val="20"/>
                <w:szCs w:val="20"/>
              </w:rPr>
            </w:pPr>
            <w:r w:rsidRPr="00EE3E7C">
              <w:rPr>
                <w:rFonts w:ascii="Arial Narrow" w:hAnsi="Arial Narrow"/>
                <w:sz w:val="20"/>
                <w:szCs w:val="20"/>
              </w:rPr>
              <w:t xml:space="preserve">gastric </w:t>
            </w:r>
            <w:r w:rsidRPr="00EE3E7C">
              <w:rPr>
                <w:rFonts w:ascii="Arial Narrow" w:hAnsi="Arial Narrow"/>
                <w:strike/>
                <w:sz w:val="20"/>
                <w:szCs w:val="20"/>
              </w:rPr>
              <w:t xml:space="preserve">cancer </w:t>
            </w:r>
            <w:r w:rsidRPr="00EE3E7C">
              <w:rPr>
                <w:rFonts w:ascii="Arial Narrow" w:hAnsi="Arial Narrow"/>
                <w:sz w:val="20"/>
                <w:szCs w:val="20"/>
              </w:rPr>
              <w:t>or gastro-oesophageal junction adenocarcinoma</w:t>
            </w:r>
          </w:p>
        </w:tc>
      </w:tr>
      <w:tr w:rsidR="00A76760" w:rsidRPr="00260CE3" w:rsidTr="00A76760">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A76760" w:rsidRPr="00295AA0" w:rsidRDefault="00A76760" w:rsidP="002D4362">
            <w:pPr>
              <w:keepNext/>
              <w:rPr>
                <w:rFonts w:ascii="Arial Narrow" w:hAnsi="Arial Narrow"/>
                <w:b/>
                <w:sz w:val="20"/>
                <w:szCs w:val="20"/>
              </w:rPr>
            </w:pPr>
            <w:r w:rsidRPr="00260CE3">
              <w:rPr>
                <w:rFonts w:ascii="Arial Narrow" w:hAnsi="Arial Narrow"/>
                <w:b/>
                <w:sz w:val="20"/>
                <w:szCs w:val="20"/>
              </w:rPr>
              <w:t>PBS Indication:</w:t>
            </w:r>
          </w:p>
        </w:tc>
        <w:tc>
          <w:tcPr>
            <w:tcW w:w="6379" w:type="dxa"/>
            <w:gridSpan w:val="5"/>
            <w:tcBorders>
              <w:top w:val="single" w:sz="4" w:space="0" w:color="auto"/>
              <w:left w:val="single" w:sz="4" w:space="0" w:color="auto"/>
              <w:bottom w:val="single" w:sz="4" w:space="0" w:color="auto"/>
              <w:right w:val="single" w:sz="4" w:space="0" w:color="auto"/>
            </w:tcBorders>
          </w:tcPr>
          <w:p w:rsidR="00A76760" w:rsidRPr="00260CE3" w:rsidRDefault="00A76760" w:rsidP="002D4362">
            <w:pPr>
              <w:keepNext/>
              <w:rPr>
                <w:rFonts w:ascii="Arial Narrow" w:hAnsi="Arial Narrow"/>
                <w:sz w:val="20"/>
                <w:szCs w:val="20"/>
              </w:rPr>
            </w:pPr>
            <w:r>
              <w:rPr>
                <w:rFonts w:ascii="Arial Narrow" w:hAnsi="Arial Narrow"/>
                <w:sz w:val="20"/>
                <w:szCs w:val="20"/>
              </w:rPr>
              <w:t xml:space="preserve">Advanced and/or metastatic </w:t>
            </w:r>
            <w:r w:rsidRPr="00EE3E7C">
              <w:rPr>
                <w:rFonts w:ascii="Arial Narrow" w:hAnsi="Arial Narrow"/>
                <w:sz w:val="20"/>
                <w:szCs w:val="20"/>
              </w:rPr>
              <w:t xml:space="preserve">gastric </w:t>
            </w:r>
            <w:r w:rsidRPr="00EE3E7C">
              <w:rPr>
                <w:rFonts w:ascii="Arial Narrow" w:hAnsi="Arial Narrow"/>
                <w:strike/>
                <w:sz w:val="20"/>
                <w:szCs w:val="20"/>
              </w:rPr>
              <w:t xml:space="preserve">cancer </w:t>
            </w:r>
            <w:r w:rsidRPr="00EE3E7C">
              <w:rPr>
                <w:rFonts w:ascii="Arial Narrow" w:hAnsi="Arial Narrow"/>
                <w:sz w:val="20"/>
                <w:szCs w:val="20"/>
              </w:rPr>
              <w:t>or gastro-oesophageal junction adenocarcinoma</w:t>
            </w:r>
          </w:p>
        </w:tc>
      </w:tr>
      <w:tr w:rsidR="00A76760" w:rsidRPr="00260CE3" w:rsidTr="00A76760">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A76760" w:rsidRPr="00295AA0" w:rsidRDefault="00A76760" w:rsidP="002D4362">
            <w:pPr>
              <w:keepNext/>
              <w:rPr>
                <w:rFonts w:ascii="Arial Narrow" w:hAnsi="Arial Narrow"/>
                <w:b/>
                <w:sz w:val="20"/>
                <w:szCs w:val="20"/>
              </w:rPr>
            </w:pPr>
            <w:r w:rsidRPr="00260CE3">
              <w:rPr>
                <w:rFonts w:ascii="Arial Narrow" w:hAnsi="Arial Narrow"/>
                <w:b/>
                <w:sz w:val="20"/>
                <w:szCs w:val="20"/>
              </w:rPr>
              <w:t>Treatment phase:</w:t>
            </w:r>
          </w:p>
        </w:tc>
        <w:tc>
          <w:tcPr>
            <w:tcW w:w="6379" w:type="dxa"/>
            <w:gridSpan w:val="5"/>
            <w:tcBorders>
              <w:top w:val="single" w:sz="4" w:space="0" w:color="auto"/>
              <w:left w:val="single" w:sz="4" w:space="0" w:color="auto"/>
              <w:bottom w:val="single" w:sz="4" w:space="0" w:color="auto"/>
              <w:right w:val="single" w:sz="4" w:space="0" w:color="auto"/>
            </w:tcBorders>
          </w:tcPr>
          <w:p w:rsidR="00A76760" w:rsidRPr="00260CE3" w:rsidRDefault="00A76760" w:rsidP="002D4362">
            <w:pPr>
              <w:keepNext/>
              <w:rPr>
                <w:rFonts w:ascii="Arial Narrow" w:hAnsi="Arial Narrow"/>
                <w:sz w:val="20"/>
                <w:szCs w:val="20"/>
              </w:rPr>
            </w:pPr>
            <w:r>
              <w:rPr>
                <w:rFonts w:ascii="Arial Narrow" w:hAnsi="Arial Narrow"/>
                <w:sz w:val="20"/>
                <w:szCs w:val="20"/>
              </w:rPr>
              <w:t xml:space="preserve">Initial treatment </w:t>
            </w:r>
          </w:p>
        </w:tc>
      </w:tr>
      <w:tr w:rsidR="00A76760" w:rsidRPr="00260CE3" w:rsidTr="00A76760">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A76760" w:rsidRPr="00260CE3" w:rsidRDefault="00A76760" w:rsidP="002D4362">
            <w:pPr>
              <w:keepNext/>
              <w:rPr>
                <w:rFonts w:ascii="Arial Narrow" w:hAnsi="Arial Narrow"/>
                <w:b/>
                <w:sz w:val="20"/>
                <w:szCs w:val="20"/>
              </w:rPr>
            </w:pPr>
            <w:r w:rsidRPr="00260CE3">
              <w:rPr>
                <w:rFonts w:ascii="Arial Narrow" w:hAnsi="Arial Narrow"/>
                <w:b/>
                <w:sz w:val="20"/>
                <w:szCs w:val="20"/>
              </w:rPr>
              <w:t>Restriction</w:t>
            </w:r>
            <w:r>
              <w:rPr>
                <w:rFonts w:ascii="Arial Narrow" w:hAnsi="Arial Narrow"/>
                <w:b/>
                <w:sz w:val="20"/>
                <w:szCs w:val="20"/>
              </w:rPr>
              <w:t xml:space="preserve"> Level / Method</w:t>
            </w:r>
            <w:r w:rsidRPr="00260CE3">
              <w:rPr>
                <w:rFonts w:ascii="Arial Narrow" w:hAnsi="Arial Narrow"/>
                <w:b/>
                <w:sz w:val="20"/>
                <w:szCs w:val="20"/>
              </w:rPr>
              <w:t>:</w:t>
            </w:r>
          </w:p>
          <w:p w:rsidR="00A76760" w:rsidRDefault="00A76760" w:rsidP="002D4362">
            <w:pPr>
              <w:keepNext/>
              <w:rPr>
                <w:rFonts w:ascii="Arial Narrow" w:hAnsi="Arial Narrow"/>
                <w:i/>
                <w:sz w:val="20"/>
                <w:szCs w:val="20"/>
                <w:highlight w:val="yellow"/>
              </w:rPr>
            </w:pPr>
          </w:p>
          <w:p w:rsidR="00A76760" w:rsidRDefault="00A76760" w:rsidP="002D4362">
            <w:pPr>
              <w:keepNext/>
              <w:rPr>
                <w:rFonts w:ascii="Arial Narrow" w:hAnsi="Arial Narrow"/>
                <w:i/>
                <w:sz w:val="20"/>
                <w:szCs w:val="20"/>
              </w:rPr>
            </w:pPr>
          </w:p>
          <w:p w:rsidR="00A76760" w:rsidRDefault="00A76760" w:rsidP="002D4362">
            <w:pPr>
              <w:keepNext/>
              <w:rPr>
                <w:rFonts w:ascii="Arial Narrow" w:hAnsi="Arial Narrow"/>
                <w:i/>
                <w:sz w:val="20"/>
                <w:szCs w:val="20"/>
              </w:rPr>
            </w:pPr>
          </w:p>
          <w:p w:rsidR="00A76760" w:rsidRPr="00CD28F3" w:rsidRDefault="00A76760" w:rsidP="002D4362">
            <w:pPr>
              <w:keepNext/>
              <w:rPr>
                <w:rFonts w:ascii="Arial Narrow" w:hAnsi="Arial Narrow"/>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A76760" w:rsidRPr="00106BCF" w:rsidRDefault="00A76760" w:rsidP="002D4362">
            <w:pPr>
              <w:keepNext/>
              <w:rPr>
                <w:rFonts w:ascii="Arial Narrow" w:hAnsi="Arial Narrow"/>
                <w:sz w:val="20"/>
                <w:szCs w:val="20"/>
              </w:rPr>
            </w:pPr>
            <w:r w:rsidRPr="00106BCF">
              <w:rPr>
                <w:rFonts w:ascii="Arial Narrow" w:hAnsi="Arial Narrow"/>
                <w:sz w:val="20"/>
                <w:szCs w:val="20"/>
              </w:rPr>
              <w:fldChar w:fldCharType="begin">
                <w:ffData>
                  <w:name w:val="Check1"/>
                  <w:enabled/>
                  <w:calcOnExit w:val="0"/>
                  <w:checkBox>
                    <w:sizeAuto/>
                    <w:default w:val="0"/>
                  </w:checkBox>
                </w:ffData>
              </w:fldChar>
            </w:r>
            <w:r w:rsidRPr="00106BCF">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106BCF">
              <w:rPr>
                <w:rFonts w:ascii="Arial Narrow" w:hAnsi="Arial Narrow"/>
                <w:sz w:val="20"/>
                <w:szCs w:val="20"/>
              </w:rPr>
              <w:fldChar w:fldCharType="end"/>
            </w:r>
            <w:r w:rsidRPr="00106BCF">
              <w:rPr>
                <w:rFonts w:ascii="Arial Narrow" w:hAnsi="Arial Narrow"/>
                <w:sz w:val="20"/>
                <w:szCs w:val="20"/>
              </w:rPr>
              <w:t>Restricted benefit</w:t>
            </w:r>
          </w:p>
          <w:p w:rsidR="00A76760" w:rsidRPr="00106BCF" w:rsidRDefault="00A76760" w:rsidP="002D4362">
            <w:pPr>
              <w:keepNext/>
              <w:rPr>
                <w:rFonts w:ascii="Arial Narrow" w:hAnsi="Arial Narrow"/>
                <w:sz w:val="20"/>
                <w:szCs w:val="20"/>
              </w:rPr>
            </w:pPr>
            <w:r w:rsidRPr="00106BCF">
              <w:rPr>
                <w:rFonts w:ascii="Arial Narrow" w:hAnsi="Arial Narrow"/>
                <w:sz w:val="20"/>
                <w:szCs w:val="20"/>
              </w:rPr>
              <w:fldChar w:fldCharType="begin">
                <w:ffData>
                  <w:name w:val=""/>
                  <w:enabled/>
                  <w:calcOnExit w:val="0"/>
                  <w:checkBox>
                    <w:sizeAuto/>
                    <w:default w:val="0"/>
                  </w:checkBox>
                </w:ffData>
              </w:fldChar>
            </w:r>
            <w:r w:rsidRPr="00106BCF">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106BCF">
              <w:rPr>
                <w:rFonts w:ascii="Arial Narrow" w:hAnsi="Arial Narrow"/>
                <w:sz w:val="20"/>
                <w:szCs w:val="20"/>
              </w:rPr>
              <w:fldChar w:fldCharType="end"/>
            </w:r>
            <w:r w:rsidRPr="00106BCF">
              <w:rPr>
                <w:rFonts w:ascii="Arial Narrow" w:hAnsi="Arial Narrow"/>
                <w:sz w:val="20"/>
                <w:szCs w:val="20"/>
              </w:rPr>
              <w:t>Authority Required - In Writing</w:t>
            </w:r>
          </w:p>
          <w:p w:rsidR="00A76760" w:rsidRPr="00106BCF" w:rsidRDefault="00A76760" w:rsidP="002D4362">
            <w:pPr>
              <w:keepNext/>
              <w:rPr>
                <w:rFonts w:ascii="Arial Narrow" w:hAnsi="Arial Narrow"/>
                <w:sz w:val="20"/>
                <w:szCs w:val="20"/>
              </w:rPr>
            </w:pPr>
            <w:r w:rsidRPr="00674D8F">
              <w:rPr>
                <w:rFonts w:ascii="Arial Narrow" w:hAnsi="Arial Narrow"/>
                <w:sz w:val="20"/>
                <w:szCs w:val="20"/>
                <w:bdr w:val="single" w:sz="4" w:space="0" w:color="auto"/>
              </w:rPr>
              <w:fldChar w:fldCharType="begin">
                <w:ffData>
                  <w:name w:val="Check3"/>
                  <w:enabled/>
                  <w:calcOnExit w:val="0"/>
                  <w:checkBox>
                    <w:sizeAuto/>
                    <w:default w:val="1"/>
                  </w:checkBox>
                </w:ffData>
              </w:fldChar>
            </w:r>
            <w:bookmarkStart w:id="3" w:name="Check3"/>
            <w:r w:rsidRPr="00674D8F">
              <w:rPr>
                <w:rFonts w:ascii="Arial Narrow" w:hAnsi="Arial Narrow"/>
                <w:sz w:val="20"/>
                <w:szCs w:val="20"/>
                <w:bdr w:val="single" w:sz="4" w:space="0" w:color="auto"/>
              </w:rPr>
              <w:instrText xml:space="preserve"> FORMCHECKBOX </w:instrText>
            </w:r>
            <w:r w:rsidR="003B4E62">
              <w:rPr>
                <w:rFonts w:ascii="Arial Narrow" w:hAnsi="Arial Narrow"/>
                <w:sz w:val="20"/>
                <w:szCs w:val="20"/>
                <w:bdr w:val="single" w:sz="4" w:space="0" w:color="auto"/>
              </w:rPr>
            </w:r>
            <w:r w:rsidR="003B4E62">
              <w:rPr>
                <w:rFonts w:ascii="Arial Narrow" w:hAnsi="Arial Narrow"/>
                <w:sz w:val="20"/>
                <w:szCs w:val="20"/>
                <w:bdr w:val="single" w:sz="4" w:space="0" w:color="auto"/>
              </w:rPr>
              <w:fldChar w:fldCharType="separate"/>
            </w:r>
            <w:r w:rsidRPr="00674D8F">
              <w:rPr>
                <w:rFonts w:ascii="Arial Narrow" w:hAnsi="Arial Narrow"/>
                <w:sz w:val="20"/>
                <w:szCs w:val="20"/>
                <w:bdr w:val="single" w:sz="4" w:space="0" w:color="auto"/>
              </w:rPr>
              <w:fldChar w:fldCharType="end"/>
            </w:r>
            <w:bookmarkEnd w:id="3"/>
            <w:r w:rsidRPr="00106BCF">
              <w:rPr>
                <w:rFonts w:ascii="Arial Narrow" w:hAnsi="Arial Narrow"/>
                <w:sz w:val="20"/>
                <w:szCs w:val="20"/>
              </w:rPr>
              <w:t>Authority Required - Telephone</w:t>
            </w:r>
          </w:p>
          <w:p w:rsidR="00A76760" w:rsidRPr="00106BCF" w:rsidRDefault="00A76760" w:rsidP="002D4362">
            <w:pPr>
              <w:keepNext/>
              <w:rPr>
                <w:rFonts w:ascii="Arial Narrow" w:hAnsi="Arial Narrow"/>
                <w:sz w:val="20"/>
                <w:szCs w:val="20"/>
              </w:rPr>
            </w:pPr>
            <w:r w:rsidRPr="00106BCF">
              <w:rPr>
                <w:rFonts w:ascii="Arial Narrow" w:hAnsi="Arial Narrow"/>
                <w:sz w:val="20"/>
                <w:szCs w:val="20"/>
              </w:rPr>
              <w:fldChar w:fldCharType="begin">
                <w:ffData>
                  <w:name w:val=""/>
                  <w:enabled/>
                  <w:calcOnExit w:val="0"/>
                  <w:checkBox>
                    <w:sizeAuto/>
                    <w:default w:val="0"/>
                  </w:checkBox>
                </w:ffData>
              </w:fldChar>
            </w:r>
            <w:r w:rsidRPr="00106BCF">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106BCF">
              <w:rPr>
                <w:rFonts w:ascii="Arial Narrow" w:hAnsi="Arial Narrow"/>
                <w:sz w:val="20"/>
                <w:szCs w:val="20"/>
              </w:rPr>
              <w:fldChar w:fldCharType="end"/>
            </w:r>
            <w:r w:rsidRPr="00106BCF">
              <w:rPr>
                <w:rFonts w:ascii="Arial Narrow" w:hAnsi="Arial Narrow"/>
                <w:sz w:val="20"/>
                <w:szCs w:val="20"/>
              </w:rPr>
              <w:t xml:space="preserve">Authority Required </w:t>
            </w:r>
            <w:r w:rsidRPr="004332FE">
              <w:rPr>
                <w:rFonts w:ascii="Arial Narrow" w:hAnsi="Arial Narrow"/>
                <w:sz w:val="20"/>
                <w:szCs w:val="20"/>
              </w:rPr>
              <w:t>-</w:t>
            </w:r>
            <w:r w:rsidRPr="00106BCF">
              <w:rPr>
                <w:rFonts w:ascii="Arial Narrow" w:hAnsi="Arial Narrow"/>
                <w:sz w:val="20"/>
                <w:szCs w:val="20"/>
              </w:rPr>
              <w:t xml:space="preserve"> Emergency</w:t>
            </w:r>
          </w:p>
          <w:p w:rsidR="00A76760" w:rsidRPr="00106BCF" w:rsidRDefault="00A76760" w:rsidP="002D4362">
            <w:pPr>
              <w:keepNext/>
              <w:rPr>
                <w:rFonts w:ascii="Arial Narrow" w:hAnsi="Arial Narrow"/>
                <w:sz w:val="20"/>
                <w:szCs w:val="20"/>
              </w:rPr>
            </w:pPr>
            <w:r w:rsidRPr="00106BCF">
              <w:rPr>
                <w:rFonts w:ascii="Arial Narrow" w:hAnsi="Arial Narrow"/>
                <w:sz w:val="20"/>
                <w:szCs w:val="20"/>
              </w:rPr>
              <w:fldChar w:fldCharType="begin">
                <w:ffData>
                  <w:name w:val="Check5"/>
                  <w:enabled/>
                  <w:calcOnExit w:val="0"/>
                  <w:checkBox>
                    <w:sizeAuto/>
                    <w:default w:val="0"/>
                  </w:checkBox>
                </w:ffData>
              </w:fldChar>
            </w:r>
            <w:r w:rsidRPr="00106BCF">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106BCF">
              <w:rPr>
                <w:rFonts w:ascii="Arial Narrow" w:hAnsi="Arial Narrow"/>
                <w:sz w:val="20"/>
                <w:szCs w:val="20"/>
              </w:rPr>
              <w:fldChar w:fldCharType="end"/>
            </w:r>
            <w:r w:rsidRPr="00106BCF">
              <w:rPr>
                <w:rFonts w:ascii="Arial Narrow" w:hAnsi="Arial Narrow"/>
                <w:sz w:val="20"/>
                <w:szCs w:val="20"/>
              </w:rPr>
              <w:t>Authority Required - Electronic</w:t>
            </w:r>
          </w:p>
          <w:p w:rsidR="00A76760" w:rsidRPr="00260CE3" w:rsidRDefault="00A76760" w:rsidP="002D4362">
            <w:pPr>
              <w:keepNext/>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bookmarkStart w:id="4" w:name="Check5"/>
            <w:r>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Pr>
                <w:rFonts w:ascii="Arial Narrow" w:hAnsi="Arial Narrow"/>
                <w:sz w:val="20"/>
                <w:szCs w:val="20"/>
              </w:rPr>
              <w:fldChar w:fldCharType="end"/>
            </w:r>
            <w:bookmarkEnd w:id="4"/>
            <w:r w:rsidRPr="00106BCF">
              <w:rPr>
                <w:rFonts w:ascii="Arial Narrow" w:hAnsi="Arial Narrow"/>
                <w:sz w:val="20"/>
                <w:szCs w:val="20"/>
              </w:rPr>
              <w:t>Streamlined</w:t>
            </w:r>
          </w:p>
        </w:tc>
      </w:tr>
      <w:tr w:rsidR="00A76760" w:rsidRPr="00260CE3" w:rsidTr="00A76760">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A76760" w:rsidRPr="00260CE3" w:rsidRDefault="00A76760" w:rsidP="002D4362">
            <w:pPr>
              <w:keepNext/>
              <w:rPr>
                <w:rFonts w:ascii="Arial Narrow" w:hAnsi="Arial Narrow"/>
                <w:b/>
                <w:sz w:val="20"/>
                <w:szCs w:val="20"/>
              </w:rPr>
            </w:pPr>
            <w:r w:rsidRPr="00260CE3">
              <w:rPr>
                <w:rFonts w:ascii="Arial Narrow" w:hAnsi="Arial Narrow"/>
                <w:b/>
                <w:sz w:val="20"/>
                <w:szCs w:val="20"/>
              </w:rPr>
              <w:t>Clinical criteria:</w:t>
            </w:r>
          </w:p>
          <w:p w:rsidR="00A76760" w:rsidRPr="00260CE3" w:rsidRDefault="00A76760" w:rsidP="002D4362">
            <w:pPr>
              <w:keepNext/>
              <w:rPr>
                <w:rFonts w:ascii="Arial Narrow" w:hAnsi="Arial Narrow"/>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A76760" w:rsidRDefault="00A76760" w:rsidP="002D4362">
            <w:pPr>
              <w:keepNext/>
              <w:rPr>
                <w:rFonts w:ascii="Arial Narrow" w:hAnsi="Arial Narrow"/>
                <w:sz w:val="20"/>
                <w:szCs w:val="20"/>
              </w:rPr>
            </w:pPr>
            <w:r w:rsidRPr="00674D8F">
              <w:rPr>
                <w:rFonts w:ascii="Arial Narrow" w:hAnsi="Arial Narrow"/>
                <w:sz w:val="20"/>
                <w:szCs w:val="20"/>
              </w:rPr>
              <w:t xml:space="preserve">The patient must have progressive disease after prior platinum and fluoropyrimidine chemotherapy; </w:t>
            </w:r>
          </w:p>
          <w:p w:rsidR="00A76760" w:rsidRPr="00674D8F" w:rsidRDefault="00A76760" w:rsidP="002D4362">
            <w:pPr>
              <w:keepNext/>
              <w:rPr>
                <w:rFonts w:ascii="Arial Narrow" w:hAnsi="Arial Narrow"/>
                <w:sz w:val="20"/>
                <w:szCs w:val="20"/>
              </w:rPr>
            </w:pPr>
            <w:r w:rsidRPr="00674D8F">
              <w:rPr>
                <w:rFonts w:ascii="Arial Narrow" w:hAnsi="Arial Narrow"/>
                <w:sz w:val="20"/>
                <w:szCs w:val="20"/>
              </w:rPr>
              <w:t>AND</w:t>
            </w:r>
          </w:p>
          <w:p w:rsidR="00A76760" w:rsidRDefault="00A76760" w:rsidP="002D4362">
            <w:pPr>
              <w:keepNext/>
              <w:rPr>
                <w:rFonts w:ascii="Arial Narrow" w:hAnsi="Arial Narrow"/>
                <w:sz w:val="20"/>
                <w:szCs w:val="20"/>
              </w:rPr>
            </w:pPr>
            <w:r w:rsidRPr="00674D8F">
              <w:rPr>
                <w:rFonts w:ascii="Arial Narrow" w:hAnsi="Arial Narrow"/>
                <w:sz w:val="20"/>
                <w:szCs w:val="20"/>
              </w:rPr>
              <w:t xml:space="preserve">Patient must have an ECOG </w:t>
            </w:r>
            <w:r w:rsidRPr="00674D8F">
              <w:rPr>
                <w:rFonts w:ascii="Arial Narrow" w:hAnsi="Arial Narrow"/>
                <w:i/>
                <w:sz w:val="20"/>
                <w:szCs w:val="20"/>
              </w:rPr>
              <w:t>performance</w:t>
            </w:r>
            <w:r>
              <w:rPr>
                <w:rFonts w:ascii="Arial Narrow" w:hAnsi="Arial Narrow"/>
                <w:sz w:val="20"/>
                <w:szCs w:val="20"/>
              </w:rPr>
              <w:t xml:space="preserve"> </w:t>
            </w:r>
            <w:r w:rsidRPr="00674D8F">
              <w:rPr>
                <w:rFonts w:ascii="Arial Narrow" w:hAnsi="Arial Narrow"/>
                <w:sz w:val="20"/>
                <w:szCs w:val="20"/>
              </w:rPr>
              <w:t xml:space="preserve">status 0 or 1, </w:t>
            </w:r>
          </w:p>
          <w:p w:rsidR="00A76760" w:rsidRPr="00674D8F" w:rsidRDefault="00A76760" w:rsidP="002D4362">
            <w:pPr>
              <w:keepNext/>
              <w:rPr>
                <w:rFonts w:ascii="Arial Narrow" w:hAnsi="Arial Narrow"/>
                <w:sz w:val="20"/>
                <w:szCs w:val="20"/>
              </w:rPr>
            </w:pPr>
            <w:r w:rsidRPr="00674D8F">
              <w:rPr>
                <w:rFonts w:ascii="Arial Narrow" w:hAnsi="Arial Narrow"/>
                <w:sz w:val="20"/>
                <w:szCs w:val="20"/>
              </w:rPr>
              <w:t>AND</w:t>
            </w:r>
          </w:p>
          <w:p w:rsidR="00A76760" w:rsidRPr="00260CE3" w:rsidRDefault="00A76760" w:rsidP="002D4362">
            <w:pPr>
              <w:keepNext/>
              <w:rPr>
                <w:rFonts w:ascii="Arial Narrow" w:hAnsi="Arial Narrow"/>
                <w:sz w:val="20"/>
                <w:szCs w:val="20"/>
              </w:rPr>
            </w:pPr>
            <w:r>
              <w:rPr>
                <w:rFonts w:ascii="Arial Narrow" w:hAnsi="Arial Narrow"/>
                <w:sz w:val="20"/>
                <w:szCs w:val="20"/>
              </w:rPr>
              <w:t>T</w:t>
            </w:r>
            <w:r w:rsidRPr="00674D8F">
              <w:rPr>
                <w:rFonts w:ascii="Arial Narrow" w:hAnsi="Arial Narrow"/>
                <w:sz w:val="20"/>
                <w:szCs w:val="20"/>
              </w:rPr>
              <w:t>reatment must be in combination with paclitaxel</w:t>
            </w:r>
          </w:p>
        </w:tc>
      </w:tr>
      <w:tr w:rsidR="00A76760" w:rsidRPr="00260CE3" w:rsidTr="00A76760">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A76760" w:rsidRPr="00260CE3" w:rsidRDefault="00A76760" w:rsidP="002D4362">
            <w:pPr>
              <w:keepNext/>
              <w:rPr>
                <w:rFonts w:ascii="Arial Narrow" w:hAnsi="Arial Narrow"/>
                <w:b/>
                <w:sz w:val="20"/>
                <w:szCs w:val="20"/>
              </w:rPr>
            </w:pPr>
            <w:r w:rsidRPr="00260CE3">
              <w:rPr>
                <w:rFonts w:ascii="Arial Narrow" w:hAnsi="Arial Narrow"/>
                <w:b/>
                <w:sz w:val="20"/>
                <w:szCs w:val="20"/>
              </w:rPr>
              <w:t>Administrative Advice</w:t>
            </w:r>
          </w:p>
          <w:p w:rsidR="00A76760" w:rsidRPr="00260CE3" w:rsidRDefault="00A76760" w:rsidP="002D4362">
            <w:pPr>
              <w:keepNext/>
              <w:rPr>
                <w:rFonts w:ascii="Arial Narrow" w:hAnsi="Arial Narrow"/>
                <w:i/>
                <w:sz w:val="20"/>
                <w:szCs w:val="20"/>
              </w:rPr>
            </w:pPr>
          </w:p>
          <w:p w:rsidR="00A76760" w:rsidRPr="00260CE3" w:rsidRDefault="00A76760" w:rsidP="002D4362">
            <w:pPr>
              <w:keepNext/>
              <w:rPr>
                <w:rFonts w:ascii="Arial Narrow" w:hAnsi="Arial Narrow"/>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A76760" w:rsidRPr="00120096" w:rsidRDefault="00A76760" w:rsidP="002D4362">
            <w:pPr>
              <w:keepNext/>
              <w:rPr>
                <w:rFonts w:ascii="Arial Narrow" w:hAnsi="Arial Narrow"/>
                <w:sz w:val="20"/>
                <w:szCs w:val="20"/>
              </w:rPr>
            </w:pPr>
            <w:r w:rsidRPr="00120096">
              <w:rPr>
                <w:rFonts w:ascii="Arial Narrow" w:hAnsi="Arial Narrow"/>
                <w:sz w:val="20"/>
                <w:szCs w:val="20"/>
              </w:rPr>
              <w:t>Any queries concerning the arrangements to prescribe may be directed to the Department of Human Services on 1800 700 270 (hours of operation 8 a.m. to 5 p.m. EST Monday to Friday).</w:t>
            </w:r>
          </w:p>
          <w:p w:rsidR="00A76760" w:rsidRPr="00260CE3" w:rsidRDefault="00A76760" w:rsidP="002D4362">
            <w:pPr>
              <w:keepNext/>
              <w:rPr>
                <w:rFonts w:ascii="Arial Narrow" w:hAnsi="Arial Narrow"/>
                <w:sz w:val="20"/>
                <w:szCs w:val="20"/>
              </w:rPr>
            </w:pPr>
          </w:p>
        </w:tc>
      </w:tr>
      <w:tr w:rsidR="002D4362" w:rsidRPr="00260CE3" w:rsidTr="002D4362">
        <w:trPr>
          <w:cantSplit/>
          <w:trHeight w:val="471"/>
        </w:trPr>
        <w:tc>
          <w:tcPr>
            <w:tcW w:w="2694" w:type="dxa"/>
          </w:tcPr>
          <w:p w:rsidR="002D4362" w:rsidRPr="00260CE3" w:rsidRDefault="002D4362" w:rsidP="00B875D5">
            <w:pPr>
              <w:keepNext/>
              <w:rPr>
                <w:rFonts w:ascii="Arial Narrow" w:hAnsi="Arial Narrow"/>
                <w:sz w:val="20"/>
                <w:szCs w:val="20"/>
              </w:rPr>
            </w:pPr>
            <w:r>
              <w:br w:type="page"/>
            </w:r>
          </w:p>
        </w:tc>
        <w:tc>
          <w:tcPr>
            <w:tcW w:w="1134" w:type="dxa"/>
            <w:gridSpan w:val="2"/>
          </w:tcPr>
          <w:p w:rsidR="002D4362" w:rsidRPr="00260CE3" w:rsidRDefault="002D4362" w:rsidP="002D4362">
            <w:pPr>
              <w:keepNext/>
              <w:ind w:left="-108"/>
              <w:rPr>
                <w:rFonts w:ascii="Arial Narrow" w:hAnsi="Arial Narrow"/>
                <w:sz w:val="20"/>
                <w:szCs w:val="20"/>
              </w:rPr>
            </w:pPr>
          </w:p>
        </w:tc>
        <w:tc>
          <w:tcPr>
            <w:tcW w:w="850" w:type="dxa"/>
          </w:tcPr>
          <w:p w:rsidR="002D4362" w:rsidRPr="00260CE3" w:rsidRDefault="002D4362" w:rsidP="002D4362">
            <w:pPr>
              <w:keepNext/>
              <w:ind w:left="-108"/>
              <w:rPr>
                <w:rFonts w:ascii="Arial Narrow" w:hAnsi="Arial Narrow"/>
                <w:sz w:val="20"/>
                <w:szCs w:val="20"/>
              </w:rPr>
            </w:pPr>
          </w:p>
        </w:tc>
        <w:tc>
          <w:tcPr>
            <w:tcW w:w="1701" w:type="dxa"/>
          </w:tcPr>
          <w:p w:rsidR="002D4362" w:rsidRPr="00260CE3" w:rsidRDefault="002D4362" w:rsidP="002D4362">
            <w:pPr>
              <w:keepNext/>
              <w:ind w:left="-108"/>
              <w:rPr>
                <w:rFonts w:ascii="Arial Narrow" w:hAnsi="Arial Narrow"/>
                <w:sz w:val="20"/>
                <w:szCs w:val="20"/>
              </w:rPr>
            </w:pPr>
          </w:p>
        </w:tc>
        <w:tc>
          <w:tcPr>
            <w:tcW w:w="2835" w:type="dxa"/>
            <w:gridSpan w:val="2"/>
          </w:tcPr>
          <w:p w:rsidR="002D4362" w:rsidRPr="00260CE3" w:rsidRDefault="002D4362" w:rsidP="002D4362">
            <w:pPr>
              <w:keepNext/>
              <w:rPr>
                <w:rFonts w:ascii="Arial Narrow" w:hAnsi="Arial Narrow"/>
                <w:sz w:val="20"/>
                <w:szCs w:val="20"/>
              </w:rPr>
            </w:pPr>
          </w:p>
        </w:tc>
      </w:tr>
      <w:tr w:rsidR="00A76760" w:rsidRPr="00260CE3" w:rsidTr="00A76760">
        <w:trPr>
          <w:cantSplit/>
          <w:trHeight w:val="471"/>
        </w:trPr>
        <w:tc>
          <w:tcPr>
            <w:tcW w:w="2694" w:type="dxa"/>
            <w:tcBorders>
              <w:bottom w:val="single" w:sz="4" w:space="0" w:color="auto"/>
            </w:tcBorders>
          </w:tcPr>
          <w:p w:rsidR="00A76760" w:rsidRPr="00260CE3" w:rsidRDefault="00A76760" w:rsidP="002D4362">
            <w:pPr>
              <w:keepNext/>
              <w:ind w:left="-108"/>
              <w:rPr>
                <w:rFonts w:ascii="Arial Narrow" w:hAnsi="Arial Narrow"/>
                <w:sz w:val="20"/>
                <w:szCs w:val="20"/>
              </w:rPr>
            </w:pPr>
            <w:r w:rsidRPr="00260CE3">
              <w:rPr>
                <w:rFonts w:ascii="Arial Narrow" w:hAnsi="Arial Narrow"/>
                <w:sz w:val="20"/>
                <w:szCs w:val="20"/>
              </w:rPr>
              <w:t>Name, Restriction,</w:t>
            </w:r>
          </w:p>
          <w:p w:rsidR="00A76760" w:rsidRPr="00260CE3" w:rsidRDefault="00A76760" w:rsidP="002D4362">
            <w:pPr>
              <w:keepNext/>
              <w:ind w:left="-108"/>
              <w:rPr>
                <w:rFonts w:ascii="Arial Narrow" w:hAnsi="Arial Narrow"/>
                <w:sz w:val="20"/>
                <w:szCs w:val="20"/>
              </w:rPr>
            </w:pPr>
            <w:r w:rsidRPr="00260CE3">
              <w:rPr>
                <w:rFonts w:ascii="Arial Narrow" w:hAnsi="Arial Narrow"/>
                <w:sz w:val="20"/>
                <w:szCs w:val="20"/>
              </w:rPr>
              <w:t>Manner of administration and form</w:t>
            </w:r>
          </w:p>
        </w:tc>
        <w:tc>
          <w:tcPr>
            <w:tcW w:w="1134" w:type="dxa"/>
            <w:gridSpan w:val="2"/>
            <w:tcBorders>
              <w:bottom w:val="single" w:sz="4" w:space="0" w:color="auto"/>
            </w:tcBorders>
          </w:tcPr>
          <w:p w:rsidR="00A76760" w:rsidRPr="00260CE3" w:rsidRDefault="00A76760" w:rsidP="002D4362">
            <w:pPr>
              <w:keepNext/>
              <w:ind w:left="-108"/>
              <w:rPr>
                <w:rFonts w:ascii="Arial Narrow" w:hAnsi="Arial Narrow"/>
                <w:sz w:val="20"/>
                <w:szCs w:val="20"/>
              </w:rPr>
            </w:pPr>
            <w:r w:rsidRPr="00260CE3">
              <w:rPr>
                <w:rFonts w:ascii="Arial Narrow" w:hAnsi="Arial Narrow"/>
                <w:sz w:val="20"/>
                <w:szCs w:val="20"/>
              </w:rPr>
              <w:t>Max.</w:t>
            </w:r>
          </w:p>
          <w:p w:rsidR="00A76760" w:rsidRPr="00260CE3" w:rsidRDefault="00A76760" w:rsidP="002D4362">
            <w:pPr>
              <w:keepNext/>
              <w:ind w:left="-108"/>
              <w:rPr>
                <w:rFonts w:ascii="Arial Narrow" w:hAnsi="Arial Narrow"/>
                <w:sz w:val="20"/>
                <w:szCs w:val="20"/>
              </w:rPr>
            </w:pPr>
            <w:r>
              <w:rPr>
                <w:rFonts w:ascii="Arial Narrow" w:hAnsi="Arial Narrow"/>
                <w:sz w:val="20"/>
                <w:szCs w:val="20"/>
              </w:rPr>
              <w:t>Amt</w:t>
            </w:r>
          </w:p>
        </w:tc>
        <w:tc>
          <w:tcPr>
            <w:tcW w:w="850" w:type="dxa"/>
            <w:tcBorders>
              <w:bottom w:val="single" w:sz="4" w:space="0" w:color="auto"/>
            </w:tcBorders>
          </w:tcPr>
          <w:p w:rsidR="00A76760" w:rsidRPr="00260CE3" w:rsidRDefault="00A76760" w:rsidP="002D4362">
            <w:pPr>
              <w:keepNext/>
              <w:ind w:left="-108"/>
              <w:rPr>
                <w:rFonts w:ascii="Arial Narrow" w:hAnsi="Arial Narrow"/>
                <w:sz w:val="20"/>
                <w:szCs w:val="20"/>
              </w:rPr>
            </w:pPr>
            <w:r w:rsidRPr="00260CE3">
              <w:rPr>
                <w:rFonts w:ascii="Arial Narrow" w:hAnsi="Arial Narrow"/>
                <w:sz w:val="20"/>
                <w:szCs w:val="20"/>
              </w:rPr>
              <w:t>№.of</w:t>
            </w:r>
          </w:p>
          <w:p w:rsidR="00A76760" w:rsidRPr="00260CE3" w:rsidRDefault="00A76760" w:rsidP="002D4362">
            <w:pPr>
              <w:keepNext/>
              <w:ind w:left="-108"/>
              <w:rPr>
                <w:rFonts w:ascii="Arial Narrow" w:hAnsi="Arial Narrow"/>
                <w:sz w:val="20"/>
                <w:szCs w:val="20"/>
              </w:rPr>
            </w:pPr>
            <w:r w:rsidRPr="00260CE3">
              <w:rPr>
                <w:rFonts w:ascii="Arial Narrow" w:hAnsi="Arial Narrow"/>
                <w:sz w:val="20"/>
                <w:szCs w:val="20"/>
              </w:rPr>
              <w:t>Rpts</w:t>
            </w:r>
          </w:p>
        </w:tc>
        <w:tc>
          <w:tcPr>
            <w:tcW w:w="1701" w:type="dxa"/>
            <w:tcBorders>
              <w:bottom w:val="single" w:sz="4" w:space="0" w:color="auto"/>
            </w:tcBorders>
          </w:tcPr>
          <w:p w:rsidR="00A76760" w:rsidRPr="00260CE3" w:rsidRDefault="00A76760" w:rsidP="002D4362">
            <w:pPr>
              <w:keepNext/>
              <w:ind w:left="-108"/>
              <w:rPr>
                <w:rFonts w:ascii="Arial Narrow" w:hAnsi="Arial Narrow"/>
                <w:sz w:val="20"/>
                <w:szCs w:val="20"/>
              </w:rPr>
            </w:pPr>
            <w:r w:rsidRPr="00260CE3">
              <w:rPr>
                <w:rFonts w:ascii="Arial Narrow" w:hAnsi="Arial Narrow"/>
                <w:sz w:val="20"/>
                <w:szCs w:val="20"/>
              </w:rPr>
              <w:t xml:space="preserve">Dispensed Price for Max. </w:t>
            </w:r>
            <w:r>
              <w:rPr>
                <w:rFonts w:ascii="Arial Narrow" w:hAnsi="Arial Narrow"/>
                <w:sz w:val="20"/>
                <w:szCs w:val="20"/>
              </w:rPr>
              <w:t>Amt</w:t>
            </w:r>
          </w:p>
        </w:tc>
        <w:tc>
          <w:tcPr>
            <w:tcW w:w="2835" w:type="dxa"/>
            <w:gridSpan w:val="2"/>
            <w:tcBorders>
              <w:bottom w:val="single" w:sz="4" w:space="0" w:color="auto"/>
            </w:tcBorders>
          </w:tcPr>
          <w:p w:rsidR="00A76760" w:rsidRPr="00260CE3" w:rsidRDefault="00A76760" w:rsidP="002D4362">
            <w:pPr>
              <w:keepNext/>
              <w:rPr>
                <w:rFonts w:ascii="Arial Narrow" w:hAnsi="Arial Narrow"/>
                <w:sz w:val="20"/>
                <w:szCs w:val="20"/>
                <w:lang w:val="fr-FR"/>
              </w:rPr>
            </w:pPr>
            <w:r w:rsidRPr="00260CE3">
              <w:rPr>
                <w:rFonts w:ascii="Arial Narrow" w:hAnsi="Arial Narrow"/>
                <w:sz w:val="20"/>
                <w:szCs w:val="20"/>
              </w:rPr>
              <w:t>Proprietary Name and Manufacturer</w:t>
            </w:r>
          </w:p>
        </w:tc>
      </w:tr>
      <w:tr w:rsidR="00A76760" w:rsidRPr="00260CE3" w:rsidTr="00A76760">
        <w:trPr>
          <w:cantSplit/>
          <w:trHeight w:val="577"/>
        </w:trPr>
        <w:tc>
          <w:tcPr>
            <w:tcW w:w="2694" w:type="dxa"/>
          </w:tcPr>
          <w:p w:rsidR="00A76760" w:rsidRPr="00260CE3" w:rsidRDefault="00A76760" w:rsidP="002D4362">
            <w:pPr>
              <w:keepNext/>
              <w:ind w:left="-108"/>
              <w:rPr>
                <w:rFonts w:ascii="Arial Narrow" w:hAnsi="Arial Narrow"/>
                <w:sz w:val="20"/>
                <w:szCs w:val="20"/>
              </w:rPr>
            </w:pPr>
            <w:r>
              <w:rPr>
                <w:rFonts w:ascii="Arial Narrow" w:hAnsi="Arial Narrow"/>
                <w:smallCaps/>
                <w:sz w:val="20"/>
                <w:szCs w:val="20"/>
              </w:rPr>
              <w:t>RAMUCIRUMAB</w:t>
            </w:r>
          </w:p>
          <w:p w:rsidR="00A76760" w:rsidRDefault="00A76760" w:rsidP="002D4362">
            <w:pPr>
              <w:keepNext/>
              <w:ind w:left="-108"/>
              <w:rPr>
                <w:rFonts w:ascii="Arial Narrow" w:hAnsi="Arial Narrow"/>
                <w:sz w:val="20"/>
                <w:szCs w:val="20"/>
              </w:rPr>
            </w:pPr>
            <w:r>
              <w:rPr>
                <w:rFonts w:ascii="Arial Narrow" w:hAnsi="Arial Narrow"/>
                <w:sz w:val="20"/>
                <w:szCs w:val="20"/>
              </w:rPr>
              <w:t>500 mg/50 mL injection, 1 vial</w:t>
            </w:r>
          </w:p>
          <w:p w:rsidR="00A76760" w:rsidRPr="00260CE3" w:rsidRDefault="00A76760" w:rsidP="002D4362">
            <w:pPr>
              <w:keepNext/>
              <w:ind w:left="-108"/>
              <w:rPr>
                <w:rFonts w:ascii="Arial Narrow" w:hAnsi="Arial Narrow"/>
                <w:sz w:val="20"/>
                <w:szCs w:val="20"/>
              </w:rPr>
            </w:pPr>
            <w:r>
              <w:rPr>
                <w:rFonts w:ascii="Arial Narrow" w:hAnsi="Arial Narrow"/>
                <w:sz w:val="20"/>
                <w:szCs w:val="20"/>
              </w:rPr>
              <w:t>100 mg/10 mL injection, 1 vial</w:t>
            </w:r>
          </w:p>
        </w:tc>
        <w:tc>
          <w:tcPr>
            <w:tcW w:w="1134" w:type="dxa"/>
            <w:gridSpan w:val="2"/>
          </w:tcPr>
          <w:p w:rsidR="00A76760" w:rsidRPr="00260CE3" w:rsidRDefault="00A76760" w:rsidP="002D4362">
            <w:pPr>
              <w:keepNext/>
              <w:ind w:left="-108"/>
              <w:rPr>
                <w:rFonts w:ascii="Arial Narrow" w:hAnsi="Arial Narrow"/>
                <w:sz w:val="20"/>
                <w:szCs w:val="20"/>
              </w:rPr>
            </w:pPr>
          </w:p>
          <w:p w:rsidR="00A76760" w:rsidRDefault="00A76760" w:rsidP="002D4362">
            <w:pPr>
              <w:keepNext/>
              <w:ind w:left="-108"/>
              <w:rPr>
                <w:rFonts w:ascii="Arial Narrow" w:hAnsi="Arial Narrow"/>
                <w:strike/>
                <w:sz w:val="20"/>
                <w:szCs w:val="20"/>
              </w:rPr>
            </w:pPr>
            <w:r w:rsidRPr="00C6216F">
              <w:rPr>
                <w:rFonts w:ascii="Arial Narrow" w:hAnsi="Arial Narrow"/>
                <w:strike/>
                <w:sz w:val="20"/>
                <w:szCs w:val="20"/>
              </w:rPr>
              <w:t>551 mg</w:t>
            </w:r>
          </w:p>
          <w:p w:rsidR="00A76760" w:rsidRPr="00C6216F" w:rsidRDefault="00A76760" w:rsidP="002D4362">
            <w:pPr>
              <w:keepNext/>
              <w:ind w:left="-108"/>
              <w:rPr>
                <w:rFonts w:ascii="Arial Narrow" w:hAnsi="Arial Narrow"/>
                <w:i/>
                <w:sz w:val="20"/>
                <w:szCs w:val="20"/>
              </w:rPr>
            </w:pPr>
            <w:r w:rsidRPr="00C6216F">
              <w:rPr>
                <w:rFonts w:ascii="Arial Narrow" w:hAnsi="Arial Narrow"/>
                <w:i/>
                <w:sz w:val="20"/>
                <w:szCs w:val="20"/>
              </w:rPr>
              <w:t>1920 mg</w:t>
            </w:r>
          </w:p>
        </w:tc>
        <w:tc>
          <w:tcPr>
            <w:tcW w:w="850" w:type="dxa"/>
          </w:tcPr>
          <w:p w:rsidR="00A76760" w:rsidRPr="00260CE3" w:rsidRDefault="00A76760" w:rsidP="002D4362">
            <w:pPr>
              <w:keepNext/>
              <w:ind w:left="-108"/>
              <w:rPr>
                <w:rFonts w:ascii="Arial Narrow" w:hAnsi="Arial Narrow"/>
                <w:sz w:val="20"/>
                <w:szCs w:val="20"/>
              </w:rPr>
            </w:pPr>
          </w:p>
          <w:p w:rsidR="00A76760" w:rsidRPr="00260CE3" w:rsidRDefault="00A76760" w:rsidP="002D4362">
            <w:pPr>
              <w:keepNext/>
              <w:ind w:left="-108"/>
              <w:rPr>
                <w:rFonts w:ascii="Arial Narrow" w:hAnsi="Arial Narrow"/>
                <w:sz w:val="20"/>
                <w:szCs w:val="20"/>
              </w:rPr>
            </w:pPr>
            <w:r>
              <w:rPr>
                <w:rFonts w:ascii="Arial Narrow" w:hAnsi="Arial Narrow"/>
                <w:strike/>
                <w:sz w:val="20"/>
                <w:szCs w:val="20"/>
              </w:rPr>
              <w:t>3</w:t>
            </w:r>
            <w:r>
              <w:rPr>
                <w:rFonts w:ascii="Arial Narrow" w:hAnsi="Arial Narrow"/>
                <w:i/>
                <w:sz w:val="20"/>
                <w:szCs w:val="20"/>
              </w:rPr>
              <w:t>2</w:t>
            </w:r>
          </w:p>
        </w:tc>
        <w:tc>
          <w:tcPr>
            <w:tcW w:w="1701" w:type="dxa"/>
          </w:tcPr>
          <w:p w:rsidR="00A76760" w:rsidRPr="00260CE3" w:rsidRDefault="00A76760" w:rsidP="002D4362">
            <w:pPr>
              <w:keepNext/>
              <w:ind w:left="-108"/>
              <w:rPr>
                <w:rFonts w:ascii="Arial Narrow" w:hAnsi="Arial Narrow"/>
                <w:sz w:val="20"/>
                <w:szCs w:val="20"/>
              </w:rPr>
            </w:pPr>
          </w:p>
          <w:p w:rsidR="00A76760" w:rsidRDefault="00A76760" w:rsidP="002D4362">
            <w:pPr>
              <w:keepNext/>
              <w:ind w:left="-108"/>
              <w:rPr>
                <w:rFonts w:ascii="Arial Narrow" w:hAnsi="Arial Narrow"/>
                <w:sz w:val="20"/>
                <w:szCs w:val="20"/>
              </w:rPr>
            </w:pPr>
            <w:r w:rsidRPr="00674D8F">
              <w:rPr>
                <w:rFonts w:ascii="Arial Narrow" w:hAnsi="Arial Narrow"/>
                <w:sz w:val="20"/>
                <w:szCs w:val="20"/>
              </w:rPr>
              <w:t>$</w:t>
            </w:r>
            <w:r w:rsidR="003B4E62">
              <w:rPr>
                <w:rFonts w:ascii="Arial Narrow" w:hAnsi="Arial Narrow"/>
                <w:noProof/>
                <w:color w:val="000000"/>
                <w:sz w:val="20"/>
                <w:szCs w:val="20"/>
                <w:highlight w:val="black"/>
              </w:rPr>
              <w:t>'''''''''''''''''''''</w:t>
            </w:r>
            <w:r w:rsidRPr="00674D8F">
              <w:rPr>
                <w:rFonts w:ascii="Arial Narrow" w:hAnsi="Arial Narrow"/>
                <w:sz w:val="20"/>
                <w:szCs w:val="20"/>
              </w:rPr>
              <w:t xml:space="preserve"> </w:t>
            </w:r>
            <w:r>
              <w:rPr>
                <w:rFonts w:ascii="Arial Narrow" w:hAnsi="Arial Narrow"/>
                <w:sz w:val="20"/>
                <w:szCs w:val="20"/>
              </w:rPr>
              <w:t>(Public)</w:t>
            </w:r>
          </w:p>
          <w:p w:rsidR="00A76760" w:rsidRPr="00260CE3" w:rsidRDefault="00A76760" w:rsidP="002D4362">
            <w:pPr>
              <w:keepNext/>
              <w:ind w:left="-108"/>
              <w:rPr>
                <w:rFonts w:ascii="Arial Narrow" w:hAnsi="Arial Narrow"/>
                <w:sz w:val="20"/>
                <w:szCs w:val="20"/>
              </w:rPr>
            </w:pPr>
            <w:r w:rsidRPr="00674D8F">
              <w:rPr>
                <w:rFonts w:ascii="Arial Narrow" w:hAnsi="Arial Narrow"/>
                <w:sz w:val="20"/>
                <w:szCs w:val="20"/>
              </w:rPr>
              <w:t>$</w:t>
            </w:r>
            <w:r w:rsidR="003B4E62">
              <w:rPr>
                <w:rFonts w:ascii="Arial Narrow" w:hAnsi="Arial Narrow"/>
                <w:noProof/>
                <w:color w:val="000000"/>
                <w:sz w:val="20"/>
                <w:szCs w:val="20"/>
                <w:highlight w:val="black"/>
              </w:rPr>
              <w:t>''''''''''''''''''''''</w:t>
            </w:r>
            <w:r w:rsidRPr="00674D8F">
              <w:rPr>
                <w:rFonts w:ascii="Arial Narrow" w:hAnsi="Arial Narrow"/>
                <w:sz w:val="20"/>
                <w:szCs w:val="20"/>
              </w:rPr>
              <w:t xml:space="preserve"> </w:t>
            </w:r>
            <w:r>
              <w:rPr>
                <w:rFonts w:ascii="Arial Narrow" w:hAnsi="Arial Narrow"/>
                <w:sz w:val="20"/>
                <w:szCs w:val="20"/>
              </w:rPr>
              <w:t>(Private)</w:t>
            </w:r>
          </w:p>
        </w:tc>
        <w:tc>
          <w:tcPr>
            <w:tcW w:w="1559" w:type="dxa"/>
          </w:tcPr>
          <w:p w:rsidR="00A76760" w:rsidRPr="00674D8F" w:rsidRDefault="00A76760" w:rsidP="002D4362">
            <w:pPr>
              <w:keepNext/>
              <w:rPr>
                <w:rFonts w:ascii="Arial Narrow" w:hAnsi="Arial Narrow"/>
                <w:sz w:val="20"/>
                <w:szCs w:val="20"/>
              </w:rPr>
            </w:pPr>
            <w:r w:rsidRPr="00674D8F">
              <w:rPr>
                <w:rFonts w:ascii="Arial Narrow" w:hAnsi="Arial Narrow" w:cs="Times New Roman"/>
                <w:snapToGrid/>
                <w:sz w:val="20"/>
              </w:rPr>
              <w:t>Cyramza®</w:t>
            </w:r>
          </w:p>
        </w:tc>
        <w:tc>
          <w:tcPr>
            <w:tcW w:w="1276" w:type="dxa"/>
          </w:tcPr>
          <w:p w:rsidR="00A76760" w:rsidRPr="00260CE3" w:rsidRDefault="00A76760" w:rsidP="002D4362">
            <w:pPr>
              <w:keepNext/>
              <w:rPr>
                <w:rFonts w:ascii="Arial Narrow" w:hAnsi="Arial Narrow"/>
                <w:sz w:val="20"/>
                <w:szCs w:val="20"/>
              </w:rPr>
            </w:pPr>
            <w:r w:rsidRPr="00120096">
              <w:rPr>
                <w:rFonts w:ascii="Arial Narrow" w:hAnsi="Arial Narrow" w:cs="Times New Roman"/>
                <w:snapToGrid/>
                <w:sz w:val="20"/>
                <w:szCs w:val="20"/>
              </w:rPr>
              <w:t>Eli Lilly Australia Pty Ltd</w:t>
            </w:r>
          </w:p>
        </w:tc>
      </w:tr>
      <w:tr w:rsidR="00A76760" w:rsidRPr="00260CE3" w:rsidTr="00A76760">
        <w:trPr>
          <w:cantSplit/>
          <w:trHeight w:val="360"/>
        </w:trPr>
        <w:tc>
          <w:tcPr>
            <w:tcW w:w="9214" w:type="dxa"/>
            <w:gridSpan w:val="7"/>
            <w:tcBorders>
              <w:bottom w:val="single" w:sz="4" w:space="0" w:color="auto"/>
            </w:tcBorders>
          </w:tcPr>
          <w:p w:rsidR="00A76760" w:rsidRPr="00260CE3" w:rsidRDefault="00A76760" w:rsidP="002D4362">
            <w:pPr>
              <w:keepNext/>
              <w:rPr>
                <w:rFonts w:ascii="Arial Narrow" w:hAnsi="Arial Narrow"/>
                <w:sz w:val="20"/>
                <w:szCs w:val="20"/>
              </w:rPr>
            </w:pPr>
          </w:p>
        </w:tc>
      </w:tr>
      <w:tr w:rsidR="00A76760" w:rsidRPr="00260CE3" w:rsidTr="00A76760">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A76760" w:rsidRPr="00260CE3" w:rsidRDefault="00A76760" w:rsidP="002D4362">
            <w:pPr>
              <w:keepNext/>
              <w:rPr>
                <w:rFonts w:ascii="Arial Narrow" w:hAnsi="Arial Narrow"/>
                <w:b/>
                <w:sz w:val="20"/>
                <w:szCs w:val="20"/>
              </w:rPr>
            </w:pPr>
            <w:r w:rsidRPr="00260CE3">
              <w:rPr>
                <w:rFonts w:ascii="Arial Narrow" w:hAnsi="Arial Narrow"/>
                <w:b/>
                <w:sz w:val="20"/>
                <w:szCs w:val="20"/>
              </w:rPr>
              <w:t xml:space="preserve">Category / </w:t>
            </w:r>
          </w:p>
          <w:p w:rsidR="00A76760" w:rsidRPr="00260CE3" w:rsidRDefault="00A76760" w:rsidP="002D4362">
            <w:pPr>
              <w:keepNext/>
              <w:rPr>
                <w:rFonts w:ascii="Arial Narrow" w:hAnsi="Arial Narrow"/>
                <w:b/>
                <w:sz w:val="20"/>
                <w:szCs w:val="20"/>
              </w:rPr>
            </w:pPr>
            <w:r w:rsidRPr="00260CE3">
              <w:rPr>
                <w:rFonts w:ascii="Arial Narrow" w:hAnsi="Arial Narrow"/>
                <w:b/>
                <w:sz w:val="20"/>
                <w:szCs w:val="20"/>
              </w:rPr>
              <w:t>Program</w:t>
            </w:r>
          </w:p>
        </w:tc>
        <w:tc>
          <w:tcPr>
            <w:tcW w:w="6379" w:type="dxa"/>
            <w:gridSpan w:val="5"/>
            <w:tcBorders>
              <w:top w:val="single" w:sz="4" w:space="0" w:color="auto"/>
              <w:left w:val="single" w:sz="4" w:space="0" w:color="auto"/>
              <w:bottom w:val="single" w:sz="4" w:space="0" w:color="auto"/>
              <w:right w:val="single" w:sz="4" w:space="0" w:color="auto"/>
            </w:tcBorders>
          </w:tcPr>
          <w:p w:rsidR="00A76760" w:rsidRPr="00260CE3" w:rsidRDefault="00A76760" w:rsidP="002D4362">
            <w:pPr>
              <w:keepNext/>
              <w:rPr>
                <w:rFonts w:ascii="Arial Narrow" w:hAnsi="Arial Narrow"/>
                <w:sz w:val="20"/>
                <w:szCs w:val="20"/>
              </w:rPr>
            </w:pPr>
            <w:r w:rsidRPr="00C33D1F">
              <w:rPr>
                <w:rFonts w:ascii="Arial Narrow" w:hAnsi="Arial Narrow"/>
                <w:sz w:val="20"/>
                <w:szCs w:val="20"/>
              </w:rPr>
              <w:t>Section 100 – Efficient funding of C</w:t>
            </w:r>
            <w:r>
              <w:rPr>
                <w:rFonts w:ascii="Arial Narrow" w:hAnsi="Arial Narrow"/>
                <w:sz w:val="20"/>
                <w:szCs w:val="20"/>
              </w:rPr>
              <w:t xml:space="preserve">hemotherapy </w:t>
            </w:r>
          </w:p>
        </w:tc>
      </w:tr>
      <w:tr w:rsidR="00A76760" w:rsidRPr="00260CE3" w:rsidTr="00A76760">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A76760" w:rsidRDefault="00A76760" w:rsidP="002D4362">
            <w:pPr>
              <w:keepNext/>
              <w:rPr>
                <w:rFonts w:ascii="Arial Narrow" w:hAnsi="Arial Narrow"/>
                <w:b/>
                <w:sz w:val="20"/>
                <w:szCs w:val="20"/>
              </w:rPr>
            </w:pPr>
            <w:r w:rsidRPr="00260CE3">
              <w:rPr>
                <w:rFonts w:ascii="Arial Narrow" w:hAnsi="Arial Narrow"/>
                <w:b/>
                <w:sz w:val="20"/>
                <w:szCs w:val="20"/>
              </w:rPr>
              <w:t>Prescriber type:</w:t>
            </w:r>
          </w:p>
          <w:p w:rsidR="00A76760" w:rsidRPr="00260CE3" w:rsidRDefault="00A76760" w:rsidP="002D4362">
            <w:pPr>
              <w:keepNext/>
              <w:rPr>
                <w:rFonts w:ascii="Arial Narrow" w:hAnsi="Arial Narrow"/>
                <w:b/>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A76760" w:rsidRPr="00260CE3" w:rsidRDefault="00A76760" w:rsidP="002D4362">
            <w:pPr>
              <w:keepNext/>
              <w:rPr>
                <w:rFonts w:ascii="Arial Narrow" w:hAnsi="Arial Narrow"/>
                <w:sz w:val="20"/>
                <w:szCs w:val="20"/>
              </w:rPr>
            </w:pPr>
            <w:r w:rsidRPr="00260CE3">
              <w:rPr>
                <w:rFonts w:ascii="Arial Narrow" w:hAnsi="Arial Narrow"/>
                <w:sz w:val="20"/>
                <w:szCs w:val="20"/>
              </w:rPr>
              <w:fldChar w:fldCharType="begin">
                <w:ffData>
                  <w:name w:val="Check1"/>
                  <w:enabled/>
                  <w:calcOnExit w:val="0"/>
                  <w:checkBox>
                    <w:sizeAuto/>
                    <w:default w:val="0"/>
                  </w:checkBox>
                </w:ffData>
              </w:fldChar>
            </w:r>
            <w:r w:rsidRPr="00260CE3">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260CE3">
              <w:rPr>
                <w:rFonts w:ascii="Arial Narrow" w:hAnsi="Arial Narrow"/>
                <w:sz w:val="20"/>
                <w:szCs w:val="20"/>
              </w:rPr>
              <w:fldChar w:fldCharType="end"/>
            </w:r>
            <w:r w:rsidRPr="00260CE3">
              <w:rPr>
                <w:rFonts w:ascii="Arial Narrow" w:hAnsi="Arial Narrow"/>
                <w:sz w:val="20"/>
                <w:szCs w:val="20"/>
              </w:rPr>
              <w:t xml:space="preserve">Dental  </w:t>
            </w: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Pr>
                <w:rFonts w:ascii="Arial Narrow" w:hAnsi="Arial Narrow"/>
                <w:sz w:val="20"/>
                <w:szCs w:val="20"/>
              </w:rPr>
              <w:fldChar w:fldCharType="end"/>
            </w:r>
            <w:r w:rsidRPr="00260CE3">
              <w:rPr>
                <w:rFonts w:ascii="Arial Narrow" w:hAnsi="Arial Narrow"/>
                <w:sz w:val="20"/>
                <w:szCs w:val="20"/>
              </w:rPr>
              <w:t xml:space="preserve">Medical Practitioners  </w:t>
            </w:r>
            <w:r w:rsidRPr="00260CE3">
              <w:rPr>
                <w:rFonts w:ascii="Arial Narrow" w:hAnsi="Arial Narrow"/>
                <w:sz w:val="20"/>
                <w:szCs w:val="20"/>
              </w:rPr>
              <w:fldChar w:fldCharType="begin">
                <w:ffData>
                  <w:name w:val="Check3"/>
                  <w:enabled/>
                  <w:calcOnExit w:val="0"/>
                  <w:checkBox>
                    <w:sizeAuto/>
                    <w:default w:val="0"/>
                  </w:checkBox>
                </w:ffData>
              </w:fldChar>
            </w:r>
            <w:r w:rsidRPr="00260CE3">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260CE3">
              <w:rPr>
                <w:rFonts w:ascii="Arial Narrow" w:hAnsi="Arial Narrow"/>
                <w:sz w:val="20"/>
                <w:szCs w:val="20"/>
              </w:rPr>
              <w:fldChar w:fldCharType="end"/>
            </w:r>
            <w:r w:rsidRPr="00260CE3">
              <w:rPr>
                <w:rFonts w:ascii="Arial Narrow" w:hAnsi="Arial Narrow"/>
                <w:sz w:val="20"/>
                <w:szCs w:val="20"/>
              </w:rPr>
              <w:t xml:space="preserve">Nurse practitioners  </w:t>
            </w:r>
            <w:r w:rsidRPr="00260CE3">
              <w:rPr>
                <w:rFonts w:ascii="Arial Narrow" w:hAnsi="Arial Narrow"/>
                <w:sz w:val="20"/>
                <w:szCs w:val="20"/>
              </w:rPr>
              <w:fldChar w:fldCharType="begin">
                <w:ffData>
                  <w:name w:val=""/>
                  <w:enabled/>
                  <w:calcOnExit w:val="0"/>
                  <w:checkBox>
                    <w:sizeAuto/>
                    <w:default w:val="0"/>
                  </w:checkBox>
                </w:ffData>
              </w:fldChar>
            </w:r>
            <w:r w:rsidRPr="00260CE3">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260CE3">
              <w:rPr>
                <w:rFonts w:ascii="Arial Narrow" w:hAnsi="Arial Narrow"/>
                <w:sz w:val="20"/>
                <w:szCs w:val="20"/>
              </w:rPr>
              <w:fldChar w:fldCharType="end"/>
            </w:r>
            <w:r w:rsidRPr="00260CE3">
              <w:rPr>
                <w:rFonts w:ascii="Arial Narrow" w:hAnsi="Arial Narrow"/>
                <w:sz w:val="20"/>
                <w:szCs w:val="20"/>
              </w:rPr>
              <w:t>Optometrists</w:t>
            </w:r>
          </w:p>
          <w:p w:rsidR="00A76760" w:rsidRPr="00260CE3" w:rsidRDefault="00A76760" w:rsidP="002D4362">
            <w:pPr>
              <w:keepNext/>
              <w:rPr>
                <w:rFonts w:ascii="Arial Narrow" w:hAnsi="Arial Narrow"/>
                <w:sz w:val="20"/>
                <w:szCs w:val="20"/>
              </w:rPr>
            </w:pPr>
            <w:r w:rsidRPr="00260CE3">
              <w:rPr>
                <w:rFonts w:ascii="Arial Narrow" w:hAnsi="Arial Narrow"/>
                <w:sz w:val="20"/>
                <w:szCs w:val="20"/>
              </w:rPr>
              <w:fldChar w:fldCharType="begin">
                <w:ffData>
                  <w:name w:val="Check5"/>
                  <w:enabled/>
                  <w:calcOnExit w:val="0"/>
                  <w:checkBox>
                    <w:sizeAuto/>
                    <w:default w:val="0"/>
                  </w:checkBox>
                </w:ffData>
              </w:fldChar>
            </w:r>
            <w:r w:rsidRPr="00260CE3">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260CE3">
              <w:rPr>
                <w:rFonts w:ascii="Arial Narrow" w:hAnsi="Arial Narrow"/>
                <w:sz w:val="20"/>
                <w:szCs w:val="20"/>
              </w:rPr>
              <w:fldChar w:fldCharType="end"/>
            </w:r>
            <w:r w:rsidRPr="00260CE3">
              <w:rPr>
                <w:rFonts w:ascii="Arial Narrow" w:hAnsi="Arial Narrow"/>
                <w:sz w:val="20"/>
                <w:szCs w:val="20"/>
              </w:rPr>
              <w:t>Midwives</w:t>
            </w:r>
          </w:p>
        </w:tc>
      </w:tr>
      <w:tr w:rsidR="00A76760" w:rsidRPr="00260CE3" w:rsidTr="00A76760">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A76760" w:rsidRPr="00260CE3" w:rsidRDefault="00A76760" w:rsidP="002D4362">
            <w:pPr>
              <w:keepNext/>
              <w:rPr>
                <w:rFonts w:ascii="Arial Narrow" w:hAnsi="Arial Narrow"/>
                <w:b/>
                <w:sz w:val="20"/>
                <w:szCs w:val="20"/>
              </w:rPr>
            </w:pPr>
            <w:r w:rsidRPr="00260CE3">
              <w:rPr>
                <w:rFonts w:ascii="Arial Narrow" w:hAnsi="Arial Narrow"/>
                <w:b/>
                <w:sz w:val="20"/>
                <w:szCs w:val="20"/>
              </w:rPr>
              <w:t>Severity:</w:t>
            </w:r>
          </w:p>
        </w:tc>
        <w:tc>
          <w:tcPr>
            <w:tcW w:w="6379" w:type="dxa"/>
            <w:gridSpan w:val="5"/>
            <w:tcBorders>
              <w:top w:val="single" w:sz="4" w:space="0" w:color="auto"/>
              <w:left w:val="single" w:sz="4" w:space="0" w:color="auto"/>
              <w:bottom w:val="single" w:sz="4" w:space="0" w:color="auto"/>
              <w:right w:val="single" w:sz="4" w:space="0" w:color="auto"/>
            </w:tcBorders>
          </w:tcPr>
          <w:p w:rsidR="00A76760" w:rsidRPr="00260CE3" w:rsidRDefault="00A76760" w:rsidP="002D4362">
            <w:pPr>
              <w:keepNext/>
              <w:rPr>
                <w:rFonts w:ascii="Arial Narrow" w:hAnsi="Arial Narrow"/>
                <w:sz w:val="20"/>
                <w:szCs w:val="20"/>
              </w:rPr>
            </w:pPr>
            <w:r>
              <w:rPr>
                <w:rFonts w:ascii="Arial Narrow" w:hAnsi="Arial Narrow"/>
                <w:sz w:val="20"/>
                <w:szCs w:val="20"/>
              </w:rPr>
              <w:t xml:space="preserve">Advanced and/or metastatic </w:t>
            </w:r>
          </w:p>
        </w:tc>
      </w:tr>
      <w:tr w:rsidR="00A76760" w:rsidRPr="00260CE3" w:rsidTr="00A76760">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A76760" w:rsidRPr="00260CE3" w:rsidRDefault="00A76760" w:rsidP="002D4362">
            <w:pPr>
              <w:keepNext/>
              <w:rPr>
                <w:rFonts w:ascii="Arial Narrow" w:hAnsi="Arial Narrow"/>
                <w:b/>
                <w:sz w:val="20"/>
                <w:szCs w:val="20"/>
              </w:rPr>
            </w:pPr>
            <w:r w:rsidRPr="00260CE3">
              <w:rPr>
                <w:rFonts w:ascii="Arial Narrow" w:hAnsi="Arial Narrow"/>
                <w:b/>
                <w:sz w:val="20"/>
                <w:szCs w:val="20"/>
              </w:rPr>
              <w:t>Condition:</w:t>
            </w:r>
          </w:p>
        </w:tc>
        <w:tc>
          <w:tcPr>
            <w:tcW w:w="6379" w:type="dxa"/>
            <w:gridSpan w:val="5"/>
            <w:tcBorders>
              <w:top w:val="single" w:sz="4" w:space="0" w:color="auto"/>
              <w:left w:val="single" w:sz="4" w:space="0" w:color="auto"/>
              <w:bottom w:val="single" w:sz="4" w:space="0" w:color="auto"/>
              <w:right w:val="single" w:sz="4" w:space="0" w:color="auto"/>
            </w:tcBorders>
          </w:tcPr>
          <w:p w:rsidR="00A76760" w:rsidRPr="00EE3E7C" w:rsidRDefault="00A76760" w:rsidP="002D4362">
            <w:pPr>
              <w:keepNext/>
              <w:rPr>
                <w:rFonts w:ascii="Arial Narrow" w:hAnsi="Arial Narrow"/>
                <w:sz w:val="20"/>
                <w:szCs w:val="20"/>
              </w:rPr>
            </w:pPr>
            <w:r w:rsidRPr="00EE3E7C">
              <w:rPr>
                <w:rFonts w:ascii="Arial Narrow" w:hAnsi="Arial Narrow"/>
                <w:sz w:val="20"/>
                <w:szCs w:val="20"/>
              </w:rPr>
              <w:t xml:space="preserve">gastric </w:t>
            </w:r>
            <w:r w:rsidRPr="00EE3E7C">
              <w:rPr>
                <w:rFonts w:ascii="Arial Narrow" w:hAnsi="Arial Narrow"/>
                <w:strike/>
                <w:sz w:val="20"/>
                <w:szCs w:val="20"/>
              </w:rPr>
              <w:t xml:space="preserve">cancer </w:t>
            </w:r>
            <w:r w:rsidRPr="00EE3E7C">
              <w:rPr>
                <w:rFonts w:ascii="Arial Narrow" w:hAnsi="Arial Narrow"/>
                <w:sz w:val="20"/>
                <w:szCs w:val="20"/>
              </w:rPr>
              <w:t>or gastro-oesophageal junction adenocarcinoma</w:t>
            </w:r>
          </w:p>
        </w:tc>
      </w:tr>
      <w:tr w:rsidR="00A76760" w:rsidRPr="00260CE3" w:rsidTr="00A76760">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A76760" w:rsidRPr="00295AA0" w:rsidRDefault="00A76760" w:rsidP="002D4362">
            <w:pPr>
              <w:keepNext/>
              <w:rPr>
                <w:rFonts w:ascii="Arial Narrow" w:hAnsi="Arial Narrow"/>
                <w:b/>
                <w:sz w:val="20"/>
                <w:szCs w:val="20"/>
              </w:rPr>
            </w:pPr>
            <w:r w:rsidRPr="00260CE3">
              <w:rPr>
                <w:rFonts w:ascii="Arial Narrow" w:hAnsi="Arial Narrow"/>
                <w:b/>
                <w:sz w:val="20"/>
                <w:szCs w:val="20"/>
              </w:rPr>
              <w:t>PBS Indication:</w:t>
            </w:r>
          </w:p>
        </w:tc>
        <w:tc>
          <w:tcPr>
            <w:tcW w:w="6379" w:type="dxa"/>
            <w:gridSpan w:val="5"/>
            <w:tcBorders>
              <w:top w:val="single" w:sz="4" w:space="0" w:color="auto"/>
              <w:left w:val="single" w:sz="4" w:space="0" w:color="auto"/>
              <w:bottom w:val="single" w:sz="4" w:space="0" w:color="auto"/>
              <w:right w:val="single" w:sz="4" w:space="0" w:color="auto"/>
            </w:tcBorders>
          </w:tcPr>
          <w:p w:rsidR="00A76760" w:rsidRPr="00260CE3" w:rsidRDefault="00A76760" w:rsidP="002D4362">
            <w:pPr>
              <w:keepNext/>
              <w:rPr>
                <w:rFonts w:ascii="Arial Narrow" w:hAnsi="Arial Narrow"/>
                <w:sz w:val="20"/>
                <w:szCs w:val="20"/>
              </w:rPr>
            </w:pPr>
            <w:r>
              <w:rPr>
                <w:rFonts w:ascii="Arial Narrow" w:hAnsi="Arial Narrow"/>
                <w:sz w:val="20"/>
                <w:szCs w:val="20"/>
              </w:rPr>
              <w:t xml:space="preserve">Advanced and/or metastatic </w:t>
            </w:r>
            <w:r w:rsidRPr="00EE3E7C">
              <w:rPr>
                <w:rFonts w:ascii="Arial Narrow" w:hAnsi="Arial Narrow"/>
                <w:sz w:val="20"/>
                <w:szCs w:val="20"/>
              </w:rPr>
              <w:t xml:space="preserve">gastric </w:t>
            </w:r>
            <w:r w:rsidRPr="00EE3E7C">
              <w:rPr>
                <w:rFonts w:ascii="Arial Narrow" w:hAnsi="Arial Narrow"/>
                <w:strike/>
                <w:sz w:val="20"/>
                <w:szCs w:val="20"/>
              </w:rPr>
              <w:t xml:space="preserve">cancer </w:t>
            </w:r>
            <w:r w:rsidRPr="00EE3E7C">
              <w:rPr>
                <w:rFonts w:ascii="Arial Narrow" w:hAnsi="Arial Narrow"/>
                <w:sz w:val="20"/>
                <w:szCs w:val="20"/>
              </w:rPr>
              <w:t>or gastro-oesophageal junction adenocarcinoma</w:t>
            </w:r>
          </w:p>
        </w:tc>
      </w:tr>
      <w:tr w:rsidR="00A76760" w:rsidRPr="00260CE3" w:rsidTr="00A76760">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A76760" w:rsidRPr="00295AA0" w:rsidRDefault="00A76760" w:rsidP="002D4362">
            <w:pPr>
              <w:keepNext/>
              <w:rPr>
                <w:rFonts w:ascii="Arial Narrow" w:hAnsi="Arial Narrow"/>
                <w:b/>
                <w:sz w:val="20"/>
                <w:szCs w:val="20"/>
              </w:rPr>
            </w:pPr>
            <w:r w:rsidRPr="00260CE3">
              <w:rPr>
                <w:rFonts w:ascii="Arial Narrow" w:hAnsi="Arial Narrow"/>
                <w:b/>
                <w:sz w:val="20"/>
                <w:szCs w:val="20"/>
              </w:rPr>
              <w:t>Treatment phase:</w:t>
            </w:r>
          </w:p>
        </w:tc>
        <w:tc>
          <w:tcPr>
            <w:tcW w:w="6379" w:type="dxa"/>
            <w:gridSpan w:val="5"/>
            <w:tcBorders>
              <w:top w:val="single" w:sz="4" w:space="0" w:color="auto"/>
              <w:left w:val="single" w:sz="4" w:space="0" w:color="auto"/>
              <w:bottom w:val="single" w:sz="4" w:space="0" w:color="auto"/>
              <w:right w:val="single" w:sz="4" w:space="0" w:color="auto"/>
            </w:tcBorders>
          </w:tcPr>
          <w:p w:rsidR="00A76760" w:rsidRPr="00260CE3" w:rsidRDefault="006124E6" w:rsidP="002D4362">
            <w:pPr>
              <w:keepNext/>
              <w:rPr>
                <w:rFonts w:ascii="Arial Narrow" w:hAnsi="Arial Narrow"/>
                <w:sz w:val="20"/>
                <w:szCs w:val="20"/>
              </w:rPr>
            </w:pPr>
            <w:r>
              <w:rPr>
                <w:rFonts w:ascii="Arial Narrow" w:hAnsi="Arial Narrow"/>
                <w:sz w:val="20"/>
                <w:szCs w:val="20"/>
              </w:rPr>
              <w:br/>
              <w:t xml:space="preserve">Continuing </w:t>
            </w:r>
            <w:r w:rsidR="00A76760">
              <w:rPr>
                <w:rFonts w:ascii="Arial Narrow" w:hAnsi="Arial Narrow"/>
                <w:sz w:val="20"/>
                <w:szCs w:val="20"/>
              </w:rPr>
              <w:t xml:space="preserve">treatment </w:t>
            </w:r>
          </w:p>
        </w:tc>
      </w:tr>
      <w:tr w:rsidR="00A76760" w:rsidRPr="00260CE3" w:rsidTr="00A76760">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A76760" w:rsidRPr="00260CE3" w:rsidRDefault="00A76760" w:rsidP="002D4362">
            <w:pPr>
              <w:keepNext/>
              <w:rPr>
                <w:rFonts w:ascii="Arial Narrow" w:hAnsi="Arial Narrow"/>
                <w:b/>
                <w:sz w:val="20"/>
                <w:szCs w:val="20"/>
              </w:rPr>
            </w:pPr>
            <w:r w:rsidRPr="00260CE3">
              <w:rPr>
                <w:rFonts w:ascii="Arial Narrow" w:hAnsi="Arial Narrow"/>
                <w:b/>
                <w:sz w:val="20"/>
                <w:szCs w:val="20"/>
              </w:rPr>
              <w:lastRenderedPageBreak/>
              <w:t>Restriction</w:t>
            </w:r>
            <w:r>
              <w:rPr>
                <w:rFonts w:ascii="Arial Narrow" w:hAnsi="Arial Narrow"/>
                <w:b/>
                <w:sz w:val="20"/>
                <w:szCs w:val="20"/>
              </w:rPr>
              <w:t xml:space="preserve"> Level / Method</w:t>
            </w:r>
            <w:r w:rsidRPr="00260CE3">
              <w:rPr>
                <w:rFonts w:ascii="Arial Narrow" w:hAnsi="Arial Narrow"/>
                <w:b/>
                <w:sz w:val="20"/>
                <w:szCs w:val="20"/>
              </w:rPr>
              <w:t>:</w:t>
            </w:r>
          </w:p>
          <w:p w:rsidR="00A76760" w:rsidRDefault="00A76760" w:rsidP="002D4362">
            <w:pPr>
              <w:keepNext/>
              <w:rPr>
                <w:rFonts w:ascii="Arial Narrow" w:hAnsi="Arial Narrow"/>
                <w:i/>
                <w:sz w:val="20"/>
                <w:szCs w:val="20"/>
                <w:highlight w:val="yellow"/>
              </w:rPr>
            </w:pPr>
          </w:p>
          <w:p w:rsidR="00A76760" w:rsidRDefault="00A76760" w:rsidP="002D4362">
            <w:pPr>
              <w:keepNext/>
              <w:rPr>
                <w:rFonts w:ascii="Arial Narrow" w:hAnsi="Arial Narrow"/>
                <w:i/>
                <w:sz w:val="20"/>
                <w:szCs w:val="20"/>
              </w:rPr>
            </w:pPr>
          </w:p>
          <w:p w:rsidR="00A76760" w:rsidRDefault="00A76760" w:rsidP="002D4362">
            <w:pPr>
              <w:keepNext/>
              <w:rPr>
                <w:rFonts w:ascii="Arial Narrow" w:hAnsi="Arial Narrow"/>
                <w:i/>
                <w:sz w:val="20"/>
                <w:szCs w:val="20"/>
              </w:rPr>
            </w:pPr>
          </w:p>
          <w:p w:rsidR="00A76760" w:rsidRPr="00CD28F3" w:rsidRDefault="00A76760" w:rsidP="002D4362">
            <w:pPr>
              <w:keepNext/>
              <w:rPr>
                <w:rFonts w:ascii="Arial Narrow" w:hAnsi="Arial Narrow"/>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A76760" w:rsidRPr="00106BCF" w:rsidRDefault="00A76760" w:rsidP="002D4362">
            <w:pPr>
              <w:keepNext/>
              <w:rPr>
                <w:rFonts w:ascii="Arial Narrow" w:hAnsi="Arial Narrow"/>
                <w:sz w:val="20"/>
                <w:szCs w:val="20"/>
              </w:rPr>
            </w:pPr>
            <w:r w:rsidRPr="00106BCF">
              <w:rPr>
                <w:rFonts w:ascii="Arial Narrow" w:hAnsi="Arial Narrow"/>
                <w:sz w:val="20"/>
                <w:szCs w:val="20"/>
              </w:rPr>
              <w:fldChar w:fldCharType="begin">
                <w:ffData>
                  <w:name w:val="Check1"/>
                  <w:enabled/>
                  <w:calcOnExit w:val="0"/>
                  <w:checkBox>
                    <w:sizeAuto/>
                    <w:default w:val="0"/>
                  </w:checkBox>
                </w:ffData>
              </w:fldChar>
            </w:r>
            <w:r w:rsidRPr="00106BCF">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106BCF">
              <w:rPr>
                <w:rFonts w:ascii="Arial Narrow" w:hAnsi="Arial Narrow"/>
                <w:sz w:val="20"/>
                <w:szCs w:val="20"/>
              </w:rPr>
              <w:fldChar w:fldCharType="end"/>
            </w:r>
            <w:r w:rsidRPr="00106BCF">
              <w:rPr>
                <w:rFonts w:ascii="Arial Narrow" w:hAnsi="Arial Narrow"/>
                <w:sz w:val="20"/>
                <w:szCs w:val="20"/>
              </w:rPr>
              <w:t>Restricted benefit</w:t>
            </w:r>
          </w:p>
          <w:p w:rsidR="00A76760" w:rsidRPr="00106BCF" w:rsidRDefault="00A76760" w:rsidP="002D4362">
            <w:pPr>
              <w:keepNext/>
              <w:rPr>
                <w:rFonts w:ascii="Arial Narrow" w:hAnsi="Arial Narrow"/>
                <w:sz w:val="20"/>
                <w:szCs w:val="20"/>
              </w:rPr>
            </w:pPr>
            <w:r w:rsidRPr="00106BCF">
              <w:rPr>
                <w:rFonts w:ascii="Arial Narrow" w:hAnsi="Arial Narrow"/>
                <w:sz w:val="20"/>
                <w:szCs w:val="20"/>
              </w:rPr>
              <w:fldChar w:fldCharType="begin">
                <w:ffData>
                  <w:name w:val=""/>
                  <w:enabled/>
                  <w:calcOnExit w:val="0"/>
                  <w:checkBox>
                    <w:sizeAuto/>
                    <w:default w:val="0"/>
                  </w:checkBox>
                </w:ffData>
              </w:fldChar>
            </w:r>
            <w:r w:rsidRPr="00106BCF">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106BCF">
              <w:rPr>
                <w:rFonts w:ascii="Arial Narrow" w:hAnsi="Arial Narrow"/>
                <w:sz w:val="20"/>
                <w:szCs w:val="20"/>
              </w:rPr>
              <w:fldChar w:fldCharType="end"/>
            </w:r>
            <w:r w:rsidRPr="00106BCF">
              <w:rPr>
                <w:rFonts w:ascii="Arial Narrow" w:hAnsi="Arial Narrow"/>
                <w:sz w:val="20"/>
                <w:szCs w:val="20"/>
              </w:rPr>
              <w:t>Authority Required - In Writing</w:t>
            </w:r>
          </w:p>
          <w:p w:rsidR="00A76760" w:rsidRPr="00106BCF" w:rsidRDefault="00A76760" w:rsidP="002D4362">
            <w:pPr>
              <w:keepNext/>
              <w:rPr>
                <w:rFonts w:ascii="Arial Narrow" w:hAnsi="Arial Narrow"/>
                <w:sz w:val="20"/>
                <w:szCs w:val="20"/>
              </w:rPr>
            </w:pPr>
            <w:r w:rsidRPr="00674D8F">
              <w:rPr>
                <w:rFonts w:ascii="Arial Narrow" w:hAnsi="Arial Narrow"/>
                <w:sz w:val="20"/>
                <w:szCs w:val="20"/>
                <w:bdr w:val="single" w:sz="4" w:space="0" w:color="auto"/>
              </w:rPr>
              <w:fldChar w:fldCharType="begin">
                <w:ffData>
                  <w:name w:val="Check3"/>
                  <w:enabled/>
                  <w:calcOnExit w:val="0"/>
                  <w:checkBox>
                    <w:sizeAuto/>
                    <w:default w:val="1"/>
                  </w:checkBox>
                </w:ffData>
              </w:fldChar>
            </w:r>
            <w:r w:rsidRPr="00674D8F">
              <w:rPr>
                <w:rFonts w:ascii="Arial Narrow" w:hAnsi="Arial Narrow"/>
                <w:sz w:val="20"/>
                <w:szCs w:val="20"/>
                <w:bdr w:val="single" w:sz="4" w:space="0" w:color="auto"/>
              </w:rPr>
              <w:instrText xml:space="preserve"> FORMCHECKBOX </w:instrText>
            </w:r>
            <w:r w:rsidR="003B4E62">
              <w:rPr>
                <w:rFonts w:ascii="Arial Narrow" w:hAnsi="Arial Narrow"/>
                <w:sz w:val="20"/>
                <w:szCs w:val="20"/>
                <w:bdr w:val="single" w:sz="4" w:space="0" w:color="auto"/>
              </w:rPr>
            </w:r>
            <w:r w:rsidR="003B4E62">
              <w:rPr>
                <w:rFonts w:ascii="Arial Narrow" w:hAnsi="Arial Narrow"/>
                <w:sz w:val="20"/>
                <w:szCs w:val="20"/>
                <w:bdr w:val="single" w:sz="4" w:space="0" w:color="auto"/>
              </w:rPr>
              <w:fldChar w:fldCharType="separate"/>
            </w:r>
            <w:r w:rsidRPr="00674D8F">
              <w:rPr>
                <w:rFonts w:ascii="Arial Narrow" w:hAnsi="Arial Narrow"/>
                <w:sz w:val="20"/>
                <w:szCs w:val="20"/>
                <w:bdr w:val="single" w:sz="4" w:space="0" w:color="auto"/>
              </w:rPr>
              <w:fldChar w:fldCharType="end"/>
            </w:r>
            <w:r w:rsidRPr="00106BCF">
              <w:rPr>
                <w:rFonts w:ascii="Arial Narrow" w:hAnsi="Arial Narrow"/>
                <w:sz w:val="20"/>
                <w:szCs w:val="20"/>
              </w:rPr>
              <w:t>Authority Required - Telephone</w:t>
            </w:r>
          </w:p>
          <w:p w:rsidR="00A76760" w:rsidRPr="00106BCF" w:rsidRDefault="00A76760" w:rsidP="002D4362">
            <w:pPr>
              <w:keepNext/>
              <w:rPr>
                <w:rFonts w:ascii="Arial Narrow" w:hAnsi="Arial Narrow"/>
                <w:sz w:val="20"/>
                <w:szCs w:val="20"/>
              </w:rPr>
            </w:pPr>
            <w:r w:rsidRPr="00106BCF">
              <w:rPr>
                <w:rFonts w:ascii="Arial Narrow" w:hAnsi="Arial Narrow"/>
                <w:sz w:val="20"/>
                <w:szCs w:val="20"/>
              </w:rPr>
              <w:fldChar w:fldCharType="begin">
                <w:ffData>
                  <w:name w:val=""/>
                  <w:enabled/>
                  <w:calcOnExit w:val="0"/>
                  <w:checkBox>
                    <w:sizeAuto/>
                    <w:default w:val="0"/>
                  </w:checkBox>
                </w:ffData>
              </w:fldChar>
            </w:r>
            <w:r w:rsidRPr="00106BCF">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106BCF">
              <w:rPr>
                <w:rFonts w:ascii="Arial Narrow" w:hAnsi="Arial Narrow"/>
                <w:sz w:val="20"/>
                <w:szCs w:val="20"/>
              </w:rPr>
              <w:fldChar w:fldCharType="end"/>
            </w:r>
            <w:r w:rsidRPr="00106BCF">
              <w:rPr>
                <w:rFonts w:ascii="Arial Narrow" w:hAnsi="Arial Narrow"/>
                <w:sz w:val="20"/>
                <w:szCs w:val="20"/>
              </w:rPr>
              <w:t xml:space="preserve">Authority Required </w:t>
            </w:r>
            <w:r w:rsidRPr="004332FE">
              <w:rPr>
                <w:rFonts w:ascii="Arial Narrow" w:hAnsi="Arial Narrow"/>
                <w:sz w:val="20"/>
                <w:szCs w:val="20"/>
              </w:rPr>
              <w:t>-</w:t>
            </w:r>
            <w:r w:rsidRPr="00106BCF">
              <w:rPr>
                <w:rFonts w:ascii="Arial Narrow" w:hAnsi="Arial Narrow"/>
                <w:sz w:val="20"/>
                <w:szCs w:val="20"/>
              </w:rPr>
              <w:t xml:space="preserve"> Emergency</w:t>
            </w:r>
          </w:p>
          <w:p w:rsidR="00A76760" w:rsidRPr="00106BCF" w:rsidRDefault="00A76760" w:rsidP="002D4362">
            <w:pPr>
              <w:keepNext/>
              <w:rPr>
                <w:rFonts w:ascii="Arial Narrow" w:hAnsi="Arial Narrow"/>
                <w:sz w:val="20"/>
                <w:szCs w:val="20"/>
              </w:rPr>
            </w:pPr>
            <w:r w:rsidRPr="00106BCF">
              <w:rPr>
                <w:rFonts w:ascii="Arial Narrow" w:hAnsi="Arial Narrow"/>
                <w:sz w:val="20"/>
                <w:szCs w:val="20"/>
              </w:rPr>
              <w:fldChar w:fldCharType="begin">
                <w:ffData>
                  <w:name w:val="Check5"/>
                  <w:enabled/>
                  <w:calcOnExit w:val="0"/>
                  <w:checkBox>
                    <w:sizeAuto/>
                    <w:default w:val="0"/>
                  </w:checkBox>
                </w:ffData>
              </w:fldChar>
            </w:r>
            <w:r w:rsidRPr="00106BCF">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106BCF">
              <w:rPr>
                <w:rFonts w:ascii="Arial Narrow" w:hAnsi="Arial Narrow"/>
                <w:sz w:val="20"/>
                <w:szCs w:val="20"/>
              </w:rPr>
              <w:fldChar w:fldCharType="end"/>
            </w:r>
            <w:r w:rsidRPr="00106BCF">
              <w:rPr>
                <w:rFonts w:ascii="Arial Narrow" w:hAnsi="Arial Narrow"/>
                <w:sz w:val="20"/>
                <w:szCs w:val="20"/>
              </w:rPr>
              <w:t>Authority Required - Electronic</w:t>
            </w:r>
          </w:p>
          <w:p w:rsidR="00A76760" w:rsidRPr="00260CE3" w:rsidRDefault="00A76760" w:rsidP="002D4362">
            <w:pPr>
              <w:keepNext/>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Pr>
                <w:rFonts w:ascii="Arial Narrow" w:hAnsi="Arial Narrow"/>
                <w:sz w:val="20"/>
                <w:szCs w:val="20"/>
              </w:rPr>
              <w:fldChar w:fldCharType="end"/>
            </w:r>
            <w:r w:rsidRPr="00106BCF">
              <w:rPr>
                <w:rFonts w:ascii="Arial Narrow" w:hAnsi="Arial Narrow"/>
                <w:sz w:val="20"/>
                <w:szCs w:val="20"/>
              </w:rPr>
              <w:t>Streamlined</w:t>
            </w:r>
          </w:p>
        </w:tc>
      </w:tr>
      <w:tr w:rsidR="00A76760" w:rsidRPr="00260CE3" w:rsidTr="00A76760">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A76760" w:rsidRPr="00260CE3" w:rsidRDefault="00A76760" w:rsidP="002D4362">
            <w:pPr>
              <w:keepNext/>
              <w:rPr>
                <w:rFonts w:ascii="Arial Narrow" w:hAnsi="Arial Narrow"/>
                <w:b/>
                <w:sz w:val="20"/>
                <w:szCs w:val="20"/>
              </w:rPr>
            </w:pPr>
            <w:r w:rsidRPr="00260CE3">
              <w:rPr>
                <w:rFonts w:ascii="Arial Narrow" w:hAnsi="Arial Narrow"/>
                <w:b/>
                <w:sz w:val="20"/>
                <w:szCs w:val="20"/>
              </w:rPr>
              <w:t>Clinical criteria:</w:t>
            </w:r>
          </w:p>
          <w:p w:rsidR="00A76760" w:rsidRPr="00260CE3" w:rsidRDefault="00A76760" w:rsidP="002D4362">
            <w:pPr>
              <w:keepNext/>
              <w:rPr>
                <w:rFonts w:ascii="Arial Narrow" w:hAnsi="Arial Narrow"/>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A76760" w:rsidRDefault="00A76760" w:rsidP="002D4362">
            <w:pPr>
              <w:keepNext/>
              <w:rPr>
                <w:rFonts w:ascii="Arial Narrow" w:hAnsi="Arial Narrow"/>
                <w:sz w:val="20"/>
                <w:szCs w:val="20"/>
              </w:rPr>
            </w:pPr>
            <w:r w:rsidRPr="00674D8F">
              <w:rPr>
                <w:rFonts w:ascii="Arial Narrow" w:hAnsi="Arial Narrow"/>
                <w:sz w:val="20"/>
                <w:szCs w:val="20"/>
              </w:rPr>
              <w:t xml:space="preserve">Patient must have previously been issued with an authority prescription for this drug for this condition, </w:t>
            </w:r>
          </w:p>
          <w:p w:rsidR="00A76760" w:rsidRPr="00674D8F" w:rsidRDefault="00A76760" w:rsidP="002D4362">
            <w:pPr>
              <w:keepNext/>
              <w:rPr>
                <w:rFonts w:ascii="Arial Narrow" w:hAnsi="Arial Narrow"/>
                <w:sz w:val="20"/>
                <w:szCs w:val="20"/>
              </w:rPr>
            </w:pPr>
            <w:r w:rsidRPr="00674D8F">
              <w:rPr>
                <w:rFonts w:ascii="Arial Narrow" w:hAnsi="Arial Narrow"/>
                <w:sz w:val="20"/>
                <w:szCs w:val="20"/>
              </w:rPr>
              <w:t>AND</w:t>
            </w:r>
          </w:p>
          <w:p w:rsidR="00A76760" w:rsidRDefault="00A76760" w:rsidP="002D4362">
            <w:pPr>
              <w:keepNext/>
              <w:rPr>
                <w:rFonts w:ascii="Arial Narrow" w:hAnsi="Arial Narrow"/>
                <w:sz w:val="20"/>
                <w:szCs w:val="20"/>
              </w:rPr>
            </w:pPr>
            <w:r w:rsidRPr="00674D8F">
              <w:rPr>
                <w:rFonts w:ascii="Arial Narrow" w:hAnsi="Arial Narrow"/>
                <w:sz w:val="20"/>
                <w:szCs w:val="20"/>
              </w:rPr>
              <w:t>Patient must not receive PBS-subsidised treatment with this drug if progressive disease develops while on this drug,</w:t>
            </w:r>
          </w:p>
          <w:p w:rsidR="00A76760" w:rsidRPr="00674D8F" w:rsidRDefault="00A76760" w:rsidP="002D4362">
            <w:pPr>
              <w:keepNext/>
              <w:rPr>
                <w:rFonts w:ascii="Arial Narrow" w:hAnsi="Arial Narrow"/>
                <w:sz w:val="20"/>
                <w:szCs w:val="20"/>
              </w:rPr>
            </w:pPr>
            <w:r w:rsidRPr="00674D8F">
              <w:rPr>
                <w:rFonts w:ascii="Arial Narrow" w:hAnsi="Arial Narrow"/>
                <w:sz w:val="20"/>
                <w:szCs w:val="20"/>
              </w:rPr>
              <w:t>AND</w:t>
            </w:r>
          </w:p>
          <w:p w:rsidR="00A76760" w:rsidRPr="00260CE3" w:rsidRDefault="00A76760" w:rsidP="002D4362">
            <w:pPr>
              <w:keepNext/>
              <w:rPr>
                <w:rFonts w:ascii="Arial Narrow" w:hAnsi="Arial Narrow"/>
                <w:sz w:val="20"/>
                <w:szCs w:val="20"/>
              </w:rPr>
            </w:pPr>
            <w:r>
              <w:rPr>
                <w:rFonts w:ascii="Arial Narrow" w:hAnsi="Arial Narrow"/>
                <w:sz w:val="20"/>
                <w:szCs w:val="20"/>
              </w:rPr>
              <w:t>T</w:t>
            </w:r>
            <w:r w:rsidRPr="00674D8F">
              <w:rPr>
                <w:rFonts w:ascii="Arial Narrow" w:hAnsi="Arial Narrow"/>
                <w:sz w:val="20"/>
                <w:szCs w:val="20"/>
              </w:rPr>
              <w:t>reatment must be in combination with paclitaxel</w:t>
            </w:r>
          </w:p>
        </w:tc>
      </w:tr>
      <w:tr w:rsidR="00A76760" w:rsidRPr="00260CE3" w:rsidTr="00A76760">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A76760" w:rsidRPr="00260CE3" w:rsidRDefault="00A76760" w:rsidP="002D4362">
            <w:pPr>
              <w:keepNext/>
              <w:rPr>
                <w:rFonts w:ascii="Arial Narrow" w:hAnsi="Arial Narrow"/>
                <w:b/>
                <w:sz w:val="20"/>
                <w:szCs w:val="20"/>
              </w:rPr>
            </w:pPr>
            <w:r>
              <w:rPr>
                <w:rFonts w:ascii="Arial Narrow" w:hAnsi="Arial Narrow"/>
                <w:b/>
                <w:sz w:val="20"/>
                <w:szCs w:val="20"/>
              </w:rPr>
              <w:t>Prescriber Instructions</w:t>
            </w:r>
          </w:p>
        </w:tc>
        <w:tc>
          <w:tcPr>
            <w:tcW w:w="6379" w:type="dxa"/>
            <w:gridSpan w:val="5"/>
            <w:tcBorders>
              <w:top w:val="single" w:sz="4" w:space="0" w:color="auto"/>
              <w:left w:val="single" w:sz="4" w:space="0" w:color="auto"/>
              <w:bottom w:val="single" w:sz="4" w:space="0" w:color="auto"/>
              <w:right w:val="single" w:sz="4" w:space="0" w:color="auto"/>
            </w:tcBorders>
          </w:tcPr>
          <w:p w:rsidR="00A76760" w:rsidRPr="00674D8F" w:rsidRDefault="00A76760" w:rsidP="002D4362">
            <w:pPr>
              <w:keepNext/>
              <w:rPr>
                <w:rFonts w:ascii="Arial Narrow" w:hAnsi="Arial Narrow"/>
                <w:strike/>
                <w:sz w:val="20"/>
                <w:szCs w:val="20"/>
              </w:rPr>
            </w:pPr>
            <w:r w:rsidRPr="00674D8F">
              <w:rPr>
                <w:rFonts w:ascii="Arial Narrow" w:hAnsi="Arial Narrow"/>
                <w:strike/>
                <w:sz w:val="20"/>
                <w:szCs w:val="20"/>
              </w:rPr>
              <w:t>A patient who has progressive disease when treated with this drug is no longer eligible for PBS-subsidised treatment of this drug.</w:t>
            </w:r>
          </w:p>
        </w:tc>
      </w:tr>
      <w:tr w:rsidR="00A76760" w:rsidRPr="00260CE3" w:rsidTr="00A76760">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A76760" w:rsidRPr="00260CE3" w:rsidRDefault="00A76760" w:rsidP="002D4362">
            <w:pPr>
              <w:keepNext/>
              <w:rPr>
                <w:rFonts w:ascii="Arial Narrow" w:hAnsi="Arial Narrow"/>
                <w:b/>
                <w:sz w:val="20"/>
                <w:szCs w:val="20"/>
              </w:rPr>
            </w:pPr>
            <w:r w:rsidRPr="00260CE3">
              <w:rPr>
                <w:rFonts w:ascii="Arial Narrow" w:hAnsi="Arial Narrow"/>
                <w:b/>
                <w:sz w:val="20"/>
                <w:szCs w:val="20"/>
              </w:rPr>
              <w:t>Administrative Advice</w:t>
            </w:r>
          </w:p>
          <w:p w:rsidR="00A76760" w:rsidRPr="00260CE3" w:rsidRDefault="00A76760" w:rsidP="002D4362">
            <w:pPr>
              <w:keepNext/>
              <w:rPr>
                <w:rFonts w:ascii="Arial Narrow" w:hAnsi="Arial Narrow"/>
                <w:i/>
                <w:sz w:val="20"/>
                <w:szCs w:val="20"/>
              </w:rPr>
            </w:pPr>
          </w:p>
          <w:p w:rsidR="00A76760" w:rsidRPr="00260CE3" w:rsidRDefault="00A76760" w:rsidP="002D4362">
            <w:pPr>
              <w:keepNext/>
              <w:rPr>
                <w:rFonts w:ascii="Arial Narrow" w:hAnsi="Arial Narrow"/>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A76760" w:rsidRPr="00120096" w:rsidRDefault="00A76760" w:rsidP="002D4362">
            <w:pPr>
              <w:keepNext/>
              <w:rPr>
                <w:rFonts w:ascii="Arial Narrow" w:hAnsi="Arial Narrow"/>
                <w:sz w:val="20"/>
                <w:szCs w:val="20"/>
              </w:rPr>
            </w:pPr>
            <w:r w:rsidRPr="00120096">
              <w:rPr>
                <w:rFonts w:ascii="Arial Narrow" w:hAnsi="Arial Narrow"/>
                <w:sz w:val="20"/>
                <w:szCs w:val="20"/>
              </w:rPr>
              <w:t>Any queries concerning the arrangements to prescribe may be directed to the Department of Human Services on 1800 700 270 (hours of operation 8 a.m. to 5 p.m. EST Monday to Friday).</w:t>
            </w:r>
          </w:p>
          <w:p w:rsidR="00A76760" w:rsidRPr="00260CE3" w:rsidRDefault="00A76760" w:rsidP="002D4362">
            <w:pPr>
              <w:keepNext/>
              <w:rPr>
                <w:rFonts w:ascii="Arial Narrow" w:hAnsi="Arial Narrow"/>
                <w:sz w:val="20"/>
                <w:szCs w:val="20"/>
              </w:rPr>
            </w:pPr>
          </w:p>
        </w:tc>
      </w:tr>
    </w:tbl>
    <w:p w:rsidR="00C54D11" w:rsidRPr="00F00837" w:rsidRDefault="00C54D11" w:rsidP="002D4362">
      <w:pPr>
        <w:pStyle w:val="ListParagraph"/>
        <w:widowControl/>
        <w:numPr>
          <w:ilvl w:val="1"/>
          <w:numId w:val="3"/>
        </w:numPr>
        <w:spacing w:before="120"/>
      </w:pPr>
      <w:r w:rsidRPr="00F00837">
        <w:t xml:space="preserve">Gastric cancer and gastric adenocarcinoma were used interchangeably in the submission to represent the requested PBS population. The slightly narrower </w:t>
      </w:r>
      <w:r w:rsidR="002D200E" w:rsidRPr="00F00837">
        <w:t xml:space="preserve">gastric </w:t>
      </w:r>
      <w:r w:rsidRPr="00F00837">
        <w:t xml:space="preserve">adenocarcinoma </w:t>
      </w:r>
      <w:r w:rsidR="002D200E" w:rsidRPr="00F00837">
        <w:t>sub-</w:t>
      </w:r>
      <w:r w:rsidRPr="00F00837">
        <w:t>population</w:t>
      </w:r>
      <w:r w:rsidR="00B75D21" w:rsidRPr="00F00837">
        <w:t xml:space="preserve"> (approximately 90% of all gastric cancers</w:t>
      </w:r>
      <w:r w:rsidR="00F675CF" w:rsidRPr="00F00837">
        <w:rPr>
          <w:rStyle w:val="FootnoteReference"/>
        </w:rPr>
        <w:footnoteReference w:id="1"/>
      </w:r>
      <w:r w:rsidR="00B75D21" w:rsidRPr="00F00837">
        <w:t>)</w:t>
      </w:r>
      <w:r w:rsidRPr="00F00837">
        <w:t xml:space="preserve"> is </w:t>
      </w:r>
      <w:r w:rsidR="002D200E" w:rsidRPr="00F00837">
        <w:t>consistent</w:t>
      </w:r>
      <w:r w:rsidRPr="00F00837">
        <w:t xml:space="preserve"> with the key evidence and the TGA indication (advanced or metastatic gastric or gastro-oesophageal junction (G/GEJ) adenocarcinoma).</w:t>
      </w:r>
      <w:r w:rsidR="0018305C" w:rsidRPr="00F00837">
        <w:t xml:space="preserve"> The Pre-Sub-Committee-Response (</w:t>
      </w:r>
      <w:r w:rsidR="00021A20" w:rsidRPr="00F00837">
        <w:t>PSCR</w:t>
      </w:r>
      <w:r w:rsidR="003F093B" w:rsidRPr="00F00837">
        <w:t>)</w:t>
      </w:r>
      <w:r w:rsidR="00021A20" w:rsidRPr="00F00837">
        <w:t xml:space="preserve"> </w:t>
      </w:r>
      <w:r w:rsidR="0018305C" w:rsidRPr="00F00837">
        <w:t xml:space="preserve">clarified that </w:t>
      </w:r>
      <w:r w:rsidR="00021A20" w:rsidRPr="00F00837">
        <w:t xml:space="preserve">the </w:t>
      </w:r>
      <w:r w:rsidR="0018305C" w:rsidRPr="00F00837">
        <w:t xml:space="preserve">intent of the submission is for treatment of metastatic gastro-oesophageal junction (G/GEJ) adenocarcinoma, a slightly narrower subset of the gastric cancer population. The ESC </w:t>
      </w:r>
      <w:r w:rsidR="009B4F11">
        <w:t xml:space="preserve">and PBAC </w:t>
      </w:r>
      <w:r w:rsidR="0018305C" w:rsidRPr="00F00837">
        <w:t>advised that the indication should be defined as ‘gastric adenocarcinoma</w:t>
      </w:r>
      <w:r w:rsidR="0074573E" w:rsidRPr="00F00837">
        <w:t xml:space="preserve"> or </w:t>
      </w:r>
      <w:r w:rsidR="0018305C" w:rsidRPr="00F00837">
        <w:t>gastro-oesophageal junction adenocarcinoma’ in the proposed restriction, to maintain consistency with the key trial evidence and the TGA-approved indication.</w:t>
      </w:r>
    </w:p>
    <w:p w:rsidR="00681B09" w:rsidRPr="00F00837" w:rsidRDefault="00C54D11" w:rsidP="00B75D21">
      <w:pPr>
        <w:pStyle w:val="ListParagraph"/>
        <w:widowControl/>
        <w:numPr>
          <w:ilvl w:val="1"/>
          <w:numId w:val="3"/>
        </w:numPr>
      </w:pPr>
      <w:r w:rsidRPr="00F00837">
        <w:t xml:space="preserve">Prior therapy was inconsistently defined in the submission as either platinum </w:t>
      </w:r>
      <w:r w:rsidRPr="00F00837">
        <w:rPr>
          <w:u w:val="single"/>
        </w:rPr>
        <w:t>or</w:t>
      </w:r>
      <w:r w:rsidRPr="00F00837">
        <w:t xml:space="preserve"> fluoropyrimidine or platinum </w:t>
      </w:r>
      <w:r w:rsidRPr="00F00837">
        <w:rPr>
          <w:u w:val="single"/>
        </w:rPr>
        <w:t>and</w:t>
      </w:r>
      <w:r w:rsidRPr="00F00837">
        <w:t xml:space="preserve"> fluoropyrimidine chemotherapy. Failure on platinum </w:t>
      </w:r>
      <w:r w:rsidRPr="00F00837">
        <w:rPr>
          <w:u w:val="single"/>
        </w:rPr>
        <w:t>and</w:t>
      </w:r>
      <w:r w:rsidRPr="00F00837">
        <w:t xml:space="preserve"> fluoropyrimidine chemotherapy is </w:t>
      </w:r>
      <w:r w:rsidR="002D200E" w:rsidRPr="00F00837">
        <w:t>consistent</w:t>
      </w:r>
      <w:r w:rsidRPr="00F00837">
        <w:t xml:space="preserve"> with the TGA</w:t>
      </w:r>
      <w:r w:rsidR="0018305C" w:rsidRPr="00F00837">
        <w:t>-approved</w:t>
      </w:r>
      <w:r w:rsidRPr="00F00837">
        <w:t xml:space="preserve"> indication for treatment with RAM+PAC and the eligibility criteria of the key RAINBOW trial.</w:t>
      </w:r>
      <w:r w:rsidR="00F675CF" w:rsidRPr="00F00837">
        <w:t xml:space="preserve"> Platinum </w:t>
      </w:r>
      <w:r w:rsidR="00F675CF" w:rsidRPr="00F00837">
        <w:rPr>
          <w:u w:val="single"/>
        </w:rPr>
        <w:t>and</w:t>
      </w:r>
      <w:r w:rsidR="00F675CF" w:rsidRPr="00F00837">
        <w:t xml:space="preserve"> fluoropyrimidine therapy is also the standard </w:t>
      </w:r>
      <w:r w:rsidR="007A6C26" w:rsidRPr="00F00837">
        <w:t>first-</w:t>
      </w:r>
      <w:r w:rsidR="00F675CF" w:rsidRPr="00F00837">
        <w:t>line treatment for gastric adenocarcinoma in Australian clinical practice.</w:t>
      </w:r>
      <w:r w:rsidR="001B63E0" w:rsidRPr="00F00837">
        <w:t xml:space="preserve"> The </w:t>
      </w:r>
      <w:r w:rsidR="0018305C" w:rsidRPr="00F00837">
        <w:t xml:space="preserve">PSCR </w:t>
      </w:r>
      <w:r w:rsidR="001B63E0" w:rsidRPr="00F00837">
        <w:t xml:space="preserve">acknowledged that prior therapy should be defined as </w:t>
      </w:r>
      <w:r w:rsidR="005D6C15" w:rsidRPr="00F00837">
        <w:t>‘</w:t>
      </w:r>
      <w:r w:rsidR="001B63E0" w:rsidRPr="00F00837">
        <w:t xml:space="preserve">platinum </w:t>
      </w:r>
      <w:r w:rsidR="001B63E0" w:rsidRPr="00F00837">
        <w:rPr>
          <w:u w:val="single"/>
        </w:rPr>
        <w:t>and</w:t>
      </w:r>
      <w:r w:rsidR="001B63E0" w:rsidRPr="00F00837">
        <w:t xml:space="preserve"> fluoropyrimidine chemotherapy</w:t>
      </w:r>
      <w:r w:rsidR="005D6C15" w:rsidRPr="00F00837">
        <w:t>’</w:t>
      </w:r>
      <w:r w:rsidR="001B63E0" w:rsidRPr="00F00837">
        <w:t>.</w:t>
      </w:r>
      <w:r w:rsidR="005263AB" w:rsidRPr="00F00837">
        <w:t xml:space="preserve"> The ESC advised that </w:t>
      </w:r>
      <w:r w:rsidR="0018305C" w:rsidRPr="00F00837">
        <w:t xml:space="preserve">prior therapy with </w:t>
      </w:r>
      <w:r w:rsidR="005263AB" w:rsidRPr="00F00837">
        <w:t xml:space="preserve">platinum </w:t>
      </w:r>
      <w:r w:rsidR="005263AB" w:rsidRPr="00F00837">
        <w:rPr>
          <w:u w:val="single"/>
        </w:rPr>
        <w:t>and</w:t>
      </w:r>
      <w:r w:rsidR="005263AB" w:rsidRPr="00F00837">
        <w:t xml:space="preserve"> fluoropyrimidine chemotherapy was consistent with the TGA indication, key evidence and standard practice</w:t>
      </w:r>
      <w:r w:rsidR="0018305C" w:rsidRPr="00F00837">
        <w:t xml:space="preserve"> [emphasis added]</w:t>
      </w:r>
      <w:r w:rsidR="005263AB" w:rsidRPr="00F00837">
        <w:t>.</w:t>
      </w:r>
    </w:p>
    <w:p w:rsidR="009B4F11" w:rsidRDefault="009B4F11" w:rsidP="009B4F11">
      <w:pPr>
        <w:pStyle w:val="ListParagraph"/>
        <w:widowControl/>
        <w:numPr>
          <w:ilvl w:val="1"/>
          <w:numId w:val="3"/>
        </w:numPr>
      </w:pPr>
      <w:r>
        <w:t xml:space="preserve">The PBAC considered that an Authority Required (STREAMLINED) listing for both initial and continuing treatment would be appropriate. </w:t>
      </w:r>
    </w:p>
    <w:p w:rsidR="00523232" w:rsidRDefault="00B75D21" w:rsidP="009B4F11">
      <w:pPr>
        <w:pStyle w:val="ListParagraph"/>
        <w:widowControl/>
        <w:numPr>
          <w:ilvl w:val="1"/>
          <w:numId w:val="3"/>
        </w:numPr>
      </w:pPr>
      <w:r w:rsidRPr="00F00837">
        <w:t>The submission did not propose a special pricing arrangement or risk sharing arrangement.</w:t>
      </w:r>
    </w:p>
    <w:p w:rsidR="00523232" w:rsidRDefault="00523232" w:rsidP="00523232">
      <w:pPr>
        <w:pStyle w:val="ListParagraph"/>
        <w:widowControl/>
        <w:rPr>
          <w:rFonts w:asciiTheme="minorHAnsi" w:hAnsiTheme="minorHAnsi"/>
          <w:i/>
        </w:rPr>
      </w:pPr>
      <w:r w:rsidRPr="009B4F11">
        <w:rPr>
          <w:rFonts w:asciiTheme="minorHAnsi" w:hAnsiTheme="minorHAnsi"/>
          <w:i/>
        </w:rPr>
        <w:t xml:space="preserve"> For more detail on PBAC’s view, see section 7 PBAC outcome.</w:t>
      </w:r>
    </w:p>
    <w:p w:rsidR="00681B09" w:rsidRPr="00382705" w:rsidRDefault="00681B09" w:rsidP="002D4362">
      <w:pPr>
        <w:pStyle w:val="PBACHeading1"/>
      </w:pPr>
      <w:bookmarkStart w:id="5" w:name="_Toc501621597"/>
      <w:r w:rsidRPr="00382705">
        <w:t>Background</w:t>
      </w:r>
      <w:bookmarkEnd w:id="5"/>
    </w:p>
    <w:p w:rsidR="00681B09" w:rsidRPr="00D47822" w:rsidRDefault="00681B09" w:rsidP="001F46FB">
      <w:pPr>
        <w:spacing w:before="160" w:after="160"/>
        <w:rPr>
          <w:b/>
          <w:i/>
          <w:sz w:val="28"/>
          <w:szCs w:val="28"/>
        </w:rPr>
      </w:pPr>
      <w:r w:rsidRPr="00D47822">
        <w:rPr>
          <w:b/>
          <w:i/>
          <w:sz w:val="28"/>
          <w:szCs w:val="28"/>
        </w:rPr>
        <w:t>Registration status</w:t>
      </w:r>
    </w:p>
    <w:p w:rsidR="00681B09" w:rsidRPr="00382705" w:rsidRDefault="00681B09" w:rsidP="00681B09">
      <w:pPr>
        <w:pStyle w:val="ListParagraph"/>
        <w:widowControl/>
        <w:numPr>
          <w:ilvl w:val="1"/>
          <w:numId w:val="3"/>
        </w:numPr>
      </w:pPr>
      <w:r w:rsidRPr="00382705">
        <w:t>Ramucirumab was approved for registration by the TGA on 9</w:t>
      </w:r>
      <w:r w:rsidRPr="00382705">
        <w:rPr>
          <w:vertAlign w:val="superscript"/>
        </w:rPr>
        <w:t>th</w:t>
      </w:r>
      <w:r w:rsidRPr="00382705">
        <w:t xml:space="preserve"> July 2015 for the following indications:</w:t>
      </w:r>
    </w:p>
    <w:p w:rsidR="00681B09" w:rsidRPr="00382705" w:rsidRDefault="00681B09" w:rsidP="00681B09">
      <w:pPr>
        <w:pStyle w:val="ListParagraph"/>
        <w:widowControl/>
        <w:numPr>
          <w:ilvl w:val="0"/>
          <w:numId w:val="23"/>
        </w:numPr>
      </w:pPr>
      <w:r w:rsidRPr="00382705">
        <w:t xml:space="preserve">Ramucirumab (CYRAMZA®), in combination with paclitaxel, is indicated for the treatment of adult patients with advanced or metastatic gastric or gastro-oesophageal junction adenocarcinoma with disease progression after prior platinum and fluoropyrimidine chemotherapy. </w:t>
      </w:r>
    </w:p>
    <w:p w:rsidR="00681B09" w:rsidRPr="00382705" w:rsidRDefault="00681B09" w:rsidP="00681B09">
      <w:pPr>
        <w:pStyle w:val="ListParagraph"/>
        <w:widowControl/>
        <w:numPr>
          <w:ilvl w:val="0"/>
          <w:numId w:val="23"/>
        </w:numPr>
      </w:pPr>
      <w:r w:rsidRPr="00382705">
        <w:t>Ramucirumab (CYRAMZA®), as monotherapy, is indicated for the treatment of adult patients with advanced or metastatic gastric or gastro-oesophageal junction adenocarcinoma with disease progression after prior platinum or fluoropyrimidine chemotherapy when treatment in combination with paclitaxel is not appropriate.</w:t>
      </w:r>
    </w:p>
    <w:p w:rsidR="00523232" w:rsidRDefault="00020973" w:rsidP="00523232">
      <w:pPr>
        <w:pStyle w:val="ListParagraph"/>
        <w:widowControl/>
      </w:pPr>
      <w:bookmarkStart w:id="6" w:name="_Toc501621598"/>
      <w:r w:rsidRPr="00382705">
        <w:t xml:space="preserve">The </w:t>
      </w:r>
      <w:r w:rsidR="00A346F3" w:rsidRPr="00382705">
        <w:t xml:space="preserve">PBS listing sought in the submission was </w:t>
      </w:r>
      <w:r w:rsidRPr="00382705">
        <w:t>for the former indication</w:t>
      </w:r>
      <w:r w:rsidR="00C75663" w:rsidRPr="00382705">
        <w:t xml:space="preserve"> alone</w:t>
      </w:r>
      <w:r w:rsidRPr="00382705">
        <w:t>, i.e.</w:t>
      </w:r>
      <w:r w:rsidR="00A346F3" w:rsidRPr="00382705">
        <w:t>,</w:t>
      </w:r>
      <w:r w:rsidRPr="00382705">
        <w:t xml:space="preserve"> in combination with paclitaxel</w:t>
      </w:r>
      <w:bookmarkEnd w:id="6"/>
      <w:r w:rsidR="00523232">
        <w:t xml:space="preserve">. </w:t>
      </w:r>
    </w:p>
    <w:p w:rsidR="00681B09" w:rsidRPr="00382705" w:rsidRDefault="00681B09" w:rsidP="002D4362">
      <w:pPr>
        <w:pStyle w:val="PBACHeading1"/>
      </w:pPr>
      <w:bookmarkStart w:id="7" w:name="_Toc501621599"/>
      <w:r w:rsidRPr="00382705">
        <w:t>Population and disease</w:t>
      </w:r>
      <w:bookmarkEnd w:id="7"/>
    </w:p>
    <w:p w:rsidR="00681B09" w:rsidRPr="00F00837" w:rsidRDefault="00681B09" w:rsidP="001F46FB">
      <w:pPr>
        <w:pStyle w:val="ListParagraph"/>
        <w:widowControl/>
        <w:numPr>
          <w:ilvl w:val="1"/>
          <w:numId w:val="3"/>
        </w:numPr>
        <w:spacing w:before="160"/>
      </w:pPr>
      <w:r w:rsidRPr="00F00837">
        <w:t xml:space="preserve">Advanced </w:t>
      </w:r>
      <w:r w:rsidR="00A55C29" w:rsidRPr="00F00837">
        <w:t xml:space="preserve">or metastatic </w:t>
      </w:r>
      <w:r w:rsidRPr="00F00837">
        <w:t>G/GEJ cancers are aggressive and difficult to treat and impact patients’ quality of life (QoL). Everyday activities such as eating and swallowing are painful and challenging due to the high symptom burden. Most patients with advanced or metastatic G/GEJ cancers fail to respond to</w:t>
      </w:r>
      <w:r w:rsidR="00C54D11" w:rsidRPr="00F00837">
        <w:t>,</w:t>
      </w:r>
      <w:r w:rsidRPr="00F00837">
        <w:t xml:space="preserve"> or </w:t>
      </w:r>
      <w:r w:rsidR="00C54D11" w:rsidRPr="00F00837">
        <w:t xml:space="preserve">they </w:t>
      </w:r>
      <w:r w:rsidRPr="00F00837">
        <w:t>progress after</w:t>
      </w:r>
      <w:r w:rsidR="00C54D11" w:rsidRPr="00F00837">
        <w:t>,</w:t>
      </w:r>
      <w:r w:rsidRPr="00F00837">
        <w:t xml:space="preserve"> first-line treatment with platinum and fluoropyrimidine chemotherapy. </w:t>
      </w:r>
    </w:p>
    <w:p w:rsidR="00681B09" w:rsidRPr="00F00837" w:rsidRDefault="00681B09" w:rsidP="00681B09">
      <w:pPr>
        <w:pStyle w:val="ListParagraph"/>
        <w:widowControl/>
        <w:numPr>
          <w:ilvl w:val="1"/>
          <w:numId w:val="3"/>
        </w:numPr>
      </w:pPr>
      <w:r w:rsidRPr="00F00837">
        <w:t>The submission proposed RAM+PAC for the treatment of G/GEJ adenocarcinoma patients who have progressed after prior treatment with platinum and fluoropyrimidine chemotherapy.</w:t>
      </w:r>
      <w:r w:rsidR="00AF3570" w:rsidRPr="00F00837">
        <w:t xml:space="preserve"> </w:t>
      </w:r>
    </w:p>
    <w:p w:rsidR="00523232" w:rsidRPr="008B07C9" w:rsidRDefault="00CD52CC" w:rsidP="003578A0">
      <w:pPr>
        <w:pStyle w:val="ListParagraph"/>
        <w:widowControl/>
        <w:numPr>
          <w:ilvl w:val="1"/>
          <w:numId w:val="3"/>
        </w:numPr>
      </w:pPr>
      <w:r w:rsidRPr="00F00837">
        <w:t xml:space="preserve">The ESC </w:t>
      </w:r>
      <w:r w:rsidR="006F6EE1" w:rsidRPr="00F00837">
        <w:t>advised</w:t>
      </w:r>
      <w:r w:rsidRPr="00F00837">
        <w:t xml:space="preserve"> that there </w:t>
      </w:r>
      <w:r w:rsidR="006F6EE1" w:rsidRPr="00F00837">
        <w:t xml:space="preserve">are no standard Australian guidelines for treating G/GEJ adenocarcinoma patients, however, those patients who test positive for </w:t>
      </w:r>
      <w:r w:rsidR="00B62CF4" w:rsidRPr="00F00837">
        <w:t>human epidermal growth factor receptor 2 (</w:t>
      </w:r>
      <w:r w:rsidR="006F6EE1" w:rsidRPr="00F00837">
        <w:t>HER2</w:t>
      </w:r>
      <w:r w:rsidR="00B62CF4" w:rsidRPr="00F00837">
        <w:t>)</w:t>
      </w:r>
      <w:r w:rsidR="006F6EE1" w:rsidRPr="00F00837">
        <w:t xml:space="preserve"> were likely be treated with trastuzumab which is available on the PBS as fi</w:t>
      </w:r>
      <w:r w:rsidR="003D2584" w:rsidRPr="00F00837">
        <w:t xml:space="preserve">rst-line therapy. </w:t>
      </w:r>
      <w:r w:rsidR="003D2584" w:rsidRPr="008B07C9">
        <w:t>The ESC noted that i</w:t>
      </w:r>
      <w:r w:rsidR="006F6EE1" w:rsidRPr="008B07C9">
        <w:t>n Australia, the prevalence of HER2 positivity in advanced G/GEJ adenocarcinoma ranges from 10% to 20% according to the definitions used for positivity in the literature</w:t>
      </w:r>
      <w:r w:rsidR="006F6EE1" w:rsidRPr="008B07C9">
        <w:rPr>
          <w:rStyle w:val="FootnoteReference"/>
        </w:rPr>
        <w:footnoteReference w:id="2"/>
      </w:r>
      <w:r w:rsidR="006F6EE1" w:rsidRPr="008B07C9">
        <w:t xml:space="preserve">. </w:t>
      </w:r>
    </w:p>
    <w:p w:rsidR="00CD52CC" w:rsidRPr="00523232" w:rsidRDefault="00523232" w:rsidP="00523232">
      <w:pPr>
        <w:pStyle w:val="ListParagraph"/>
        <w:widowControl/>
        <w:rPr>
          <w:rFonts w:asciiTheme="minorHAnsi" w:hAnsiTheme="minorHAnsi"/>
          <w:i/>
        </w:rPr>
      </w:pPr>
      <w:r w:rsidRPr="008B07C9">
        <w:rPr>
          <w:rFonts w:asciiTheme="minorHAnsi" w:hAnsiTheme="minorHAnsi"/>
          <w:i/>
        </w:rPr>
        <w:t>For more detail on PBAC’s view, see section 7 PBAC outcome.</w:t>
      </w:r>
    </w:p>
    <w:p w:rsidR="00681B09" w:rsidRPr="00F00837" w:rsidRDefault="00681B09" w:rsidP="002D4362">
      <w:pPr>
        <w:pStyle w:val="PBACHeading1"/>
      </w:pPr>
      <w:bookmarkStart w:id="8" w:name="_Toc501621600"/>
      <w:r w:rsidRPr="00F00837">
        <w:t>Comparator</w:t>
      </w:r>
      <w:bookmarkEnd w:id="8"/>
    </w:p>
    <w:p w:rsidR="00523232" w:rsidRPr="008B07C9" w:rsidRDefault="00681B09" w:rsidP="00325587">
      <w:pPr>
        <w:pStyle w:val="ListParagraph"/>
        <w:widowControl/>
        <w:numPr>
          <w:ilvl w:val="1"/>
          <w:numId w:val="3"/>
        </w:numPr>
        <w:rPr>
          <w:rFonts w:asciiTheme="minorHAnsi" w:hAnsiTheme="minorHAnsi"/>
          <w:i/>
        </w:rPr>
      </w:pPr>
      <w:r w:rsidRPr="00F00837">
        <w:t xml:space="preserve">The submission nominated paclitaxel monotherapy as the comparator. This </w:t>
      </w:r>
      <w:r w:rsidR="00C54D11" w:rsidRPr="00F00837">
        <w:t>is</w:t>
      </w:r>
      <w:r w:rsidRPr="00F00837">
        <w:t xml:space="preserve"> </w:t>
      </w:r>
      <w:r w:rsidR="00C54D11" w:rsidRPr="00F00837">
        <w:t>an appropriate comparator</w:t>
      </w:r>
      <w:r w:rsidRPr="00F00837">
        <w:t>.</w:t>
      </w:r>
      <w:r w:rsidR="00C54D11" w:rsidRPr="00F00837">
        <w:t xml:space="preserve"> Other agents such as irinotecan, docetaxel, FOLFIRI or FOLFOX (folinic acid, fluorouracil and irinotecan or oxaliplatin</w:t>
      </w:r>
      <w:r w:rsidR="00E4673C" w:rsidRPr="00F00837">
        <w:t>)</w:t>
      </w:r>
      <w:r w:rsidR="00C54D11" w:rsidRPr="00F00837">
        <w:t xml:space="preserve"> may also be replaced by RAM+PAC. </w:t>
      </w:r>
      <w:r w:rsidR="00CD52CC" w:rsidRPr="00F00837">
        <w:t xml:space="preserve">The ESC considered that paclitaxel monotherapy was the appropriate </w:t>
      </w:r>
      <w:r w:rsidR="00CD52CC" w:rsidRPr="008B07C9">
        <w:t>comparator.</w:t>
      </w:r>
      <w:r w:rsidR="00523232" w:rsidRPr="008B07C9">
        <w:rPr>
          <w:rFonts w:asciiTheme="minorHAnsi" w:hAnsiTheme="minorHAnsi"/>
          <w:i/>
        </w:rPr>
        <w:t xml:space="preserve"> </w:t>
      </w:r>
    </w:p>
    <w:p w:rsidR="00523232" w:rsidRPr="00523232" w:rsidRDefault="00523232" w:rsidP="00523232">
      <w:pPr>
        <w:pStyle w:val="ListParagraph"/>
        <w:widowControl/>
        <w:rPr>
          <w:rFonts w:asciiTheme="minorHAnsi" w:hAnsiTheme="minorHAnsi"/>
          <w:i/>
        </w:rPr>
      </w:pPr>
      <w:r w:rsidRPr="008B07C9">
        <w:rPr>
          <w:rFonts w:asciiTheme="minorHAnsi" w:hAnsiTheme="minorHAnsi"/>
          <w:i/>
        </w:rPr>
        <w:t>For more detail on PBAC’s view, see section 7 PBAC outcome.</w:t>
      </w:r>
    </w:p>
    <w:p w:rsidR="00681B09" w:rsidRDefault="00681B09" w:rsidP="002D4362">
      <w:pPr>
        <w:pStyle w:val="PBACHeading1"/>
      </w:pPr>
      <w:bookmarkStart w:id="9" w:name="_Toc501621601"/>
      <w:r w:rsidRPr="00382705">
        <w:t>Consideration of the evidence</w:t>
      </w:r>
      <w:bookmarkEnd w:id="9"/>
    </w:p>
    <w:p w:rsidR="009E05AD" w:rsidRPr="00325465" w:rsidRDefault="009E05AD" w:rsidP="00325465">
      <w:pPr>
        <w:pStyle w:val="Heading2"/>
        <w:spacing w:before="160" w:after="160"/>
      </w:pPr>
      <w:r w:rsidRPr="00325465">
        <w:t>Sponsor hearing</w:t>
      </w:r>
    </w:p>
    <w:p w:rsidR="009E05AD" w:rsidRPr="00B57ACB" w:rsidRDefault="00B57ACB" w:rsidP="00B57ACB">
      <w:pPr>
        <w:numPr>
          <w:ilvl w:val="1"/>
          <w:numId w:val="3"/>
        </w:numPr>
        <w:spacing w:after="120"/>
        <w:rPr>
          <w:rFonts w:asciiTheme="minorHAnsi" w:hAnsiTheme="minorHAnsi"/>
          <w:bCs/>
        </w:rPr>
      </w:pPr>
      <w:r w:rsidRPr="00B57ACB">
        <w:rPr>
          <w:rFonts w:asciiTheme="minorHAnsi" w:hAnsiTheme="minorHAnsi"/>
          <w:bCs/>
        </w:rPr>
        <w:t xml:space="preserve">The sponsor requested a hearing for this item. At the hearing, </w:t>
      </w:r>
      <w:r w:rsidR="006124E6">
        <w:rPr>
          <w:rFonts w:asciiTheme="minorHAnsi" w:hAnsiTheme="minorHAnsi"/>
          <w:bCs/>
        </w:rPr>
        <w:t xml:space="preserve">representatives of the sponsor discussed </w:t>
      </w:r>
      <w:r>
        <w:rPr>
          <w:rFonts w:asciiTheme="minorHAnsi" w:hAnsiTheme="minorHAnsi"/>
          <w:bCs/>
        </w:rPr>
        <w:t>the c</w:t>
      </w:r>
      <w:r w:rsidRPr="00B57ACB">
        <w:rPr>
          <w:rFonts w:asciiTheme="minorHAnsi" w:hAnsiTheme="minorHAnsi"/>
          <w:bCs/>
        </w:rPr>
        <w:t>linical benefit</w:t>
      </w:r>
      <w:r>
        <w:rPr>
          <w:rFonts w:asciiTheme="minorHAnsi" w:hAnsiTheme="minorHAnsi"/>
          <w:bCs/>
        </w:rPr>
        <w:t>s of ramucirumab</w:t>
      </w:r>
      <w:r w:rsidRPr="00B57ACB">
        <w:rPr>
          <w:rFonts w:asciiTheme="minorHAnsi" w:hAnsiTheme="minorHAnsi"/>
          <w:bCs/>
        </w:rPr>
        <w:t xml:space="preserve"> in relation to disease state and toxicity</w:t>
      </w:r>
      <w:r w:rsidR="003A2AF9">
        <w:rPr>
          <w:rFonts w:asciiTheme="minorHAnsi" w:hAnsiTheme="minorHAnsi"/>
          <w:bCs/>
        </w:rPr>
        <w:t xml:space="preserve">. </w:t>
      </w:r>
      <w:r w:rsidR="006B53DB">
        <w:rPr>
          <w:rFonts w:asciiTheme="minorHAnsi" w:hAnsiTheme="minorHAnsi"/>
          <w:bCs/>
        </w:rPr>
        <w:t>It was</w:t>
      </w:r>
      <w:r w:rsidR="003A2AF9">
        <w:rPr>
          <w:rFonts w:asciiTheme="minorHAnsi" w:hAnsiTheme="minorHAnsi"/>
          <w:bCs/>
        </w:rPr>
        <w:t xml:space="preserve"> noted that ramucirumab provided benefit to patients in a relatively rare, aggressive and difficult to treat disease, and the observed toxicity was manageable with standard medication. </w:t>
      </w:r>
      <w:r>
        <w:rPr>
          <w:rFonts w:asciiTheme="minorHAnsi" w:hAnsiTheme="minorHAnsi"/>
          <w:bCs/>
        </w:rPr>
        <w:t xml:space="preserve"> </w:t>
      </w:r>
      <w:r w:rsidR="003A2AF9">
        <w:rPr>
          <w:rFonts w:asciiTheme="minorHAnsi" w:hAnsiTheme="minorHAnsi"/>
          <w:bCs/>
        </w:rPr>
        <w:t>R</w:t>
      </w:r>
      <w:r w:rsidRPr="00B57ACB">
        <w:rPr>
          <w:rFonts w:asciiTheme="minorHAnsi" w:hAnsiTheme="minorHAnsi"/>
          <w:bCs/>
        </w:rPr>
        <w:t xml:space="preserve">epresentatives of the sponsor </w:t>
      </w:r>
      <w:r w:rsidR="003A2AF9">
        <w:rPr>
          <w:rFonts w:asciiTheme="minorHAnsi" w:hAnsiTheme="minorHAnsi"/>
          <w:bCs/>
        </w:rPr>
        <w:t xml:space="preserve">noted that key uncertainties in the economic model were addressed in the pre-PBAC response and acknowledged that price remained the main driver of the </w:t>
      </w:r>
      <w:r w:rsidR="00B21D8A">
        <w:rPr>
          <w:rFonts w:asciiTheme="minorHAnsi" w:hAnsiTheme="minorHAnsi"/>
          <w:bCs/>
        </w:rPr>
        <w:t>cost effectiveness</w:t>
      </w:r>
      <w:r w:rsidR="003A2AF9">
        <w:rPr>
          <w:rFonts w:asciiTheme="minorHAnsi" w:hAnsiTheme="minorHAnsi"/>
          <w:bCs/>
        </w:rPr>
        <w:t xml:space="preserve">. </w:t>
      </w:r>
    </w:p>
    <w:p w:rsidR="009E05AD" w:rsidRPr="00325465" w:rsidRDefault="009E05AD" w:rsidP="00325465">
      <w:pPr>
        <w:pStyle w:val="Heading2"/>
        <w:spacing w:before="160" w:after="160"/>
      </w:pPr>
      <w:r w:rsidRPr="00325465">
        <w:t>Consumer comments</w:t>
      </w:r>
    </w:p>
    <w:p w:rsidR="009E05AD" w:rsidRPr="00B57ACB" w:rsidRDefault="009E05AD" w:rsidP="009E05AD">
      <w:pPr>
        <w:numPr>
          <w:ilvl w:val="1"/>
          <w:numId w:val="3"/>
        </w:numPr>
        <w:spacing w:after="120"/>
        <w:rPr>
          <w:rFonts w:asciiTheme="minorHAnsi" w:hAnsiTheme="minorHAnsi"/>
          <w:bCs/>
        </w:rPr>
      </w:pPr>
      <w:r w:rsidRPr="00B57ACB">
        <w:rPr>
          <w:rFonts w:asciiTheme="minorHAnsi" w:hAnsiTheme="minorHAnsi"/>
          <w:bCs/>
        </w:rPr>
        <w:t xml:space="preserve">The PBAC noted and welcomed the input from and organisations (1) via the Consumer Comments facility on the PBS website.  </w:t>
      </w:r>
    </w:p>
    <w:p w:rsidR="009E05AD" w:rsidRPr="00B57ACB" w:rsidRDefault="009E05AD" w:rsidP="00291077">
      <w:pPr>
        <w:numPr>
          <w:ilvl w:val="1"/>
          <w:numId w:val="3"/>
        </w:numPr>
        <w:spacing w:after="120"/>
        <w:rPr>
          <w:rFonts w:asciiTheme="minorHAnsi" w:hAnsiTheme="minorHAnsi"/>
          <w:bCs/>
        </w:rPr>
      </w:pPr>
      <w:r w:rsidRPr="00B57ACB">
        <w:rPr>
          <w:rFonts w:asciiTheme="minorHAnsi" w:hAnsiTheme="minorHAnsi"/>
          <w:bCs/>
        </w:rPr>
        <w:t xml:space="preserve">The Medical Oncology Group of Australia (MOGA) expressed its support for the </w:t>
      </w:r>
      <w:r w:rsidR="00291077">
        <w:rPr>
          <w:rFonts w:asciiTheme="minorHAnsi" w:hAnsiTheme="minorHAnsi"/>
          <w:bCs/>
        </w:rPr>
        <w:t>ramucirumab</w:t>
      </w:r>
      <w:r w:rsidRPr="00B57ACB">
        <w:rPr>
          <w:rFonts w:asciiTheme="minorHAnsi" w:hAnsiTheme="minorHAnsi"/>
          <w:bCs/>
        </w:rPr>
        <w:t xml:space="preserve"> submission, on the basis of </w:t>
      </w:r>
      <w:r w:rsidR="00291077" w:rsidRPr="00291077">
        <w:rPr>
          <w:rFonts w:asciiTheme="minorHAnsi" w:hAnsiTheme="minorHAnsi"/>
          <w:bCs/>
        </w:rPr>
        <w:t xml:space="preserve">unmet need after failure of standard prior therapies, and </w:t>
      </w:r>
      <w:r w:rsidR="00291077">
        <w:rPr>
          <w:rFonts w:asciiTheme="minorHAnsi" w:hAnsiTheme="minorHAnsi"/>
          <w:bCs/>
        </w:rPr>
        <w:t xml:space="preserve">demonstrated improvement in </w:t>
      </w:r>
      <w:r w:rsidR="00291077" w:rsidRPr="00291077">
        <w:rPr>
          <w:rFonts w:asciiTheme="minorHAnsi" w:hAnsiTheme="minorHAnsi"/>
          <w:bCs/>
        </w:rPr>
        <w:t xml:space="preserve">survival in </w:t>
      </w:r>
      <w:r w:rsidR="00291077">
        <w:rPr>
          <w:rFonts w:asciiTheme="minorHAnsi" w:hAnsiTheme="minorHAnsi"/>
          <w:bCs/>
        </w:rPr>
        <w:t xml:space="preserve">a </w:t>
      </w:r>
      <w:r w:rsidR="00291077" w:rsidRPr="00291077">
        <w:rPr>
          <w:rFonts w:asciiTheme="minorHAnsi" w:hAnsiTheme="minorHAnsi"/>
          <w:bCs/>
        </w:rPr>
        <w:t>phase III trial</w:t>
      </w:r>
      <w:r w:rsidRPr="00B57ACB">
        <w:rPr>
          <w:rFonts w:asciiTheme="minorHAnsi" w:hAnsiTheme="minorHAnsi"/>
          <w:bCs/>
        </w:rPr>
        <w:t xml:space="preserve">. The PBAC noted that the MOGA presented the European Society for Medical Oncology Magnitude of Clinical Benefit Scale (ESMO-MCBS) for </w:t>
      </w:r>
      <w:r w:rsidR="00291077">
        <w:rPr>
          <w:rFonts w:asciiTheme="minorHAnsi" w:hAnsiTheme="minorHAnsi"/>
          <w:bCs/>
        </w:rPr>
        <w:t>ramucirumab</w:t>
      </w:r>
      <w:r w:rsidRPr="00B57ACB">
        <w:rPr>
          <w:rFonts w:asciiTheme="minorHAnsi" w:hAnsiTheme="minorHAnsi"/>
          <w:bCs/>
        </w:rPr>
        <w:t xml:space="preserve">, which was limited to </w:t>
      </w:r>
      <w:r w:rsidR="00291077">
        <w:rPr>
          <w:rFonts w:asciiTheme="minorHAnsi" w:hAnsiTheme="minorHAnsi"/>
          <w:bCs/>
        </w:rPr>
        <w:t>2</w:t>
      </w:r>
      <w:r w:rsidRPr="00B57ACB">
        <w:rPr>
          <w:rFonts w:asciiTheme="minorHAnsi" w:hAnsiTheme="minorHAnsi"/>
          <w:bCs/>
        </w:rPr>
        <w:t xml:space="preserve"> (out of a maximum of 5, where 5 and 4 represent the grades with substantial improvement)</w:t>
      </w:r>
      <w:r w:rsidR="00B57ACB">
        <w:rPr>
          <w:rStyle w:val="FootnoteReference"/>
          <w:rFonts w:asciiTheme="minorHAnsi" w:hAnsiTheme="minorHAnsi"/>
          <w:bCs/>
        </w:rPr>
        <w:footnoteReference w:id="3"/>
      </w:r>
      <w:r w:rsidRPr="00B57ACB">
        <w:rPr>
          <w:rFonts w:asciiTheme="minorHAnsi" w:hAnsiTheme="minorHAnsi"/>
          <w:bCs/>
        </w:rPr>
        <w:t xml:space="preserve">, based on a comparison with </w:t>
      </w:r>
      <w:r w:rsidR="00291077">
        <w:rPr>
          <w:rFonts w:asciiTheme="minorHAnsi" w:hAnsiTheme="minorHAnsi"/>
          <w:bCs/>
        </w:rPr>
        <w:t>paclitaxel</w:t>
      </w:r>
      <w:r w:rsidRPr="00B57ACB">
        <w:rPr>
          <w:rFonts w:asciiTheme="minorHAnsi" w:hAnsiTheme="minorHAnsi"/>
          <w:bCs/>
        </w:rPr>
        <w:t xml:space="preserve">. </w:t>
      </w:r>
    </w:p>
    <w:p w:rsidR="00681B09" w:rsidRPr="009643B5" w:rsidRDefault="00681B09" w:rsidP="001F46FB">
      <w:pPr>
        <w:pStyle w:val="Heading2"/>
        <w:spacing w:before="160" w:after="160"/>
      </w:pPr>
      <w:bookmarkStart w:id="10" w:name="_Toc501621602"/>
      <w:r w:rsidRPr="00B57ACB">
        <w:t>Clinical trials</w:t>
      </w:r>
      <w:bookmarkEnd w:id="10"/>
    </w:p>
    <w:p w:rsidR="00E3236F" w:rsidRPr="00F00837" w:rsidRDefault="00E3236F" w:rsidP="00E3236F">
      <w:pPr>
        <w:pStyle w:val="ListParagraph"/>
        <w:widowControl/>
        <w:numPr>
          <w:ilvl w:val="1"/>
          <w:numId w:val="3"/>
        </w:numPr>
      </w:pPr>
      <w:r w:rsidRPr="00F00837">
        <w:t>The submission was based on one head-to-head randomised trial (RAINBOW) comparing RAM+PAC with placebo plus paclitaxel (PBO+PAC) in 665 patients with advanced junction G/GEJ adenocarcinoma who had progressed on first-line platinum and fluoropyrimidine chemotherapy (with or without an anthracycline).</w:t>
      </w:r>
    </w:p>
    <w:p w:rsidR="00681B09" w:rsidRPr="00F00837" w:rsidRDefault="00E3236F" w:rsidP="00E3236F">
      <w:pPr>
        <w:pStyle w:val="ListParagraph"/>
        <w:widowControl/>
        <w:numPr>
          <w:ilvl w:val="1"/>
          <w:numId w:val="3"/>
        </w:numPr>
      </w:pPr>
      <w:r w:rsidRPr="00F00837">
        <w:t xml:space="preserve">The RAINBOW trial was stratified for geographic region, time to disease progression on first-line chemotherapy (&lt;6 months vs. ≥6 months), and disease measurability (measurable vs. non-measurable). The submission claimed that a pre-specified subgroup of the intention-to-treat (ITT) population (Region 1) was likely to be more closely representative of Australian patients. Region 1 included patients from Australia, Europe, Israel and the USA (60% of the trial population). </w:t>
      </w:r>
    </w:p>
    <w:p w:rsidR="00E772B9" w:rsidRPr="00F00837" w:rsidRDefault="00E772B9" w:rsidP="00E772B9">
      <w:pPr>
        <w:pStyle w:val="ListParagraph"/>
        <w:widowControl/>
        <w:numPr>
          <w:ilvl w:val="1"/>
          <w:numId w:val="3"/>
        </w:numPr>
      </w:pPr>
      <w:r w:rsidRPr="00F00837">
        <w:t>The ESC noted that only 6% of patients in the RAINBO</w:t>
      </w:r>
      <w:r w:rsidR="00B62CF4" w:rsidRPr="00F00837">
        <w:t>W trial had prior targeted anti</w:t>
      </w:r>
      <w:r w:rsidR="001A0145" w:rsidRPr="00F00837">
        <w:noBreakHyphen/>
      </w:r>
      <w:r w:rsidRPr="00F00837">
        <w:t>HER2 therapy with trastuzumab for HER2 positive G/GEJ adenocarcinoma</w:t>
      </w:r>
      <w:r w:rsidR="001A0145" w:rsidRPr="00F00837">
        <w:t xml:space="preserve"> which is less than the estimates for the Australian population</w:t>
      </w:r>
      <w:r w:rsidRPr="00F00837">
        <w:t>.</w:t>
      </w:r>
    </w:p>
    <w:p w:rsidR="00681B09" w:rsidRPr="00F00837" w:rsidRDefault="00681B09" w:rsidP="00681B09">
      <w:pPr>
        <w:pStyle w:val="ListParagraph"/>
        <w:widowControl/>
        <w:numPr>
          <w:ilvl w:val="1"/>
          <w:numId w:val="3"/>
        </w:numPr>
      </w:pPr>
      <w:r w:rsidRPr="00F00837">
        <w:t>Details of the trial presented in the submission ar</w:t>
      </w:r>
      <w:r w:rsidR="00325587">
        <w:t>e provided in the table below.</w:t>
      </w:r>
    </w:p>
    <w:p w:rsidR="00681B09" w:rsidRPr="00382705" w:rsidRDefault="00681B09" w:rsidP="00681B09">
      <w:pPr>
        <w:rPr>
          <w:rStyle w:val="CommentReference"/>
        </w:rPr>
      </w:pPr>
      <w:r w:rsidRPr="00382705">
        <w:rPr>
          <w:rStyle w:val="CommentReference"/>
        </w:rPr>
        <w:t xml:space="preserve">Table </w:t>
      </w:r>
      <w:r w:rsidR="00445F54" w:rsidRPr="00382705">
        <w:rPr>
          <w:rStyle w:val="CommentReference"/>
        </w:rPr>
        <w:t>2</w:t>
      </w:r>
      <w:r w:rsidRPr="00382705">
        <w:rPr>
          <w:rStyle w:val="CommentReference"/>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6"/>
        <w:gridCol w:w="4961"/>
        <w:gridCol w:w="2676"/>
      </w:tblGrid>
      <w:tr w:rsidR="00681B09" w:rsidRPr="00382705" w:rsidTr="001F46FB">
        <w:trPr>
          <w:tblHeader/>
        </w:trPr>
        <w:tc>
          <w:tcPr>
            <w:tcW w:w="796" w:type="pct"/>
            <w:vAlign w:val="center"/>
          </w:tcPr>
          <w:p w:rsidR="00681B09" w:rsidRPr="00382705" w:rsidRDefault="00681B09" w:rsidP="00F4739A">
            <w:pPr>
              <w:pStyle w:val="Tabletext"/>
              <w:rPr>
                <w:b/>
              </w:rPr>
            </w:pPr>
            <w:r w:rsidRPr="00382705">
              <w:rPr>
                <w:b/>
              </w:rPr>
              <w:t>Trial ID</w:t>
            </w:r>
          </w:p>
        </w:tc>
        <w:tc>
          <w:tcPr>
            <w:tcW w:w="2731" w:type="pct"/>
            <w:vAlign w:val="center"/>
          </w:tcPr>
          <w:p w:rsidR="00681B09" w:rsidRPr="00382705" w:rsidRDefault="00681B09" w:rsidP="00F4739A">
            <w:pPr>
              <w:pStyle w:val="Tabletext"/>
              <w:jc w:val="center"/>
              <w:rPr>
                <w:b/>
              </w:rPr>
            </w:pPr>
            <w:r w:rsidRPr="00382705">
              <w:rPr>
                <w:b/>
              </w:rPr>
              <w:t>Protocol title/ Publication title</w:t>
            </w:r>
          </w:p>
        </w:tc>
        <w:tc>
          <w:tcPr>
            <w:tcW w:w="1473" w:type="pct"/>
            <w:vAlign w:val="center"/>
          </w:tcPr>
          <w:p w:rsidR="00681B09" w:rsidRPr="00382705" w:rsidRDefault="00681B09" w:rsidP="00F4739A">
            <w:pPr>
              <w:pStyle w:val="Tabletext"/>
              <w:jc w:val="center"/>
              <w:rPr>
                <w:b/>
              </w:rPr>
            </w:pPr>
            <w:r w:rsidRPr="00382705">
              <w:rPr>
                <w:b/>
              </w:rPr>
              <w:t>Publication citation</w:t>
            </w:r>
          </w:p>
        </w:tc>
      </w:tr>
      <w:tr w:rsidR="00681B09" w:rsidRPr="00382705" w:rsidTr="001F46FB">
        <w:tc>
          <w:tcPr>
            <w:tcW w:w="796" w:type="pct"/>
            <w:vMerge w:val="restart"/>
            <w:vAlign w:val="center"/>
          </w:tcPr>
          <w:p w:rsidR="00681B09" w:rsidRPr="00382705" w:rsidRDefault="00681B09" w:rsidP="00F4739A">
            <w:pPr>
              <w:pStyle w:val="Tabletext"/>
              <w:rPr>
                <w:rFonts w:ascii="Times" w:hAnsi="Times"/>
              </w:rPr>
            </w:pPr>
            <w:r w:rsidRPr="00382705">
              <w:t>RAINBOW</w:t>
            </w:r>
          </w:p>
        </w:tc>
        <w:tc>
          <w:tcPr>
            <w:tcW w:w="2731" w:type="pct"/>
            <w:tcBorders>
              <w:bottom w:val="nil"/>
            </w:tcBorders>
            <w:vAlign w:val="center"/>
          </w:tcPr>
          <w:p w:rsidR="00681B09" w:rsidRPr="00382705" w:rsidRDefault="00681B09" w:rsidP="00F4739A">
            <w:pPr>
              <w:pStyle w:val="Tabletext"/>
              <w:rPr>
                <w:szCs w:val="18"/>
              </w:rPr>
            </w:pPr>
            <w:r w:rsidRPr="00382705">
              <w:rPr>
                <w:szCs w:val="18"/>
              </w:rPr>
              <w:t>Clinical study report IMCL CP12-0922: A Randomized, Multicenter, Double-Blind, Placebo controlled Phase 3 Study of Weekly Paclitaxel With or Without Ramucirumab (IMC-1121B) Drug Product in Patients with Metastatic Gastric Adenocarcinoma, Refractory to or Progressive After First Line Therapy With Platinum or Fluoropyrimidine.</w:t>
            </w:r>
          </w:p>
        </w:tc>
        <w:tc>
          <w:tcPr>
            <w:tcW w:w="1473" w:type="pct"/>
            <w:tcBorders>
              <w:bottom w:val="nil"/>
            </w:tcBorders>
            <w:vAlign w:val="center"/>
          </w:tcPr>
          <w:p w:rsidR="00681B09" w:rsidRPr="00382705" w:rsidRDefault="00681B09" w:rsidP="00F4739A">
            <w:pPr>
              <w:pStyle w:val="Tabletext"/>
              <w:rPr>
                <w:rFonts w:ascii="Times" w:hAnsi="Times"/>
              </w:rPr>
            </w:pPr>
            <w:r w:rsidRPr="00382705">
              <w:t>February 2014</w:t>
            </w:r>
          </w:p>
        </w:tc>
      </w:tr>
      <w:tr w:rsidR="00681B09" w:rsidRPr="00382705" w:rsidTr="001F46FB">
        <w:trPr>
          <w:trHeight w:val="130"/>
        </w:trPr>
        <w:tc>
          <w:tcPr>
            <w:tcW w:w="796" w:type="pct"/>
            <w:vMerge/>
          </w:tcPr>
          <w:p w:rsidR="00681B09" w:rsidRPr="00382705" w:rsidRDefault="00681B09" w:rsidP="00F4739A">
            <w:pPr>
              <w:pStyle w:val="Tabletext"/>
            </w:pPr>
          </w:p>
        </w:tc>
        <w:tc>
          <w:tcPr>
            <w:tcW w:w="2731" w:type="pct"/>
            <w:tcBorders>
              <w:top w:val="nil"/>
              <w:bottom w:val="nil"/>
            </w:tcBorders>
            <w:vAlign w:val="center"/>
          </w:tcPr>
          <w:p w:rsidR="00681B09" w:rsidRPr="00382705" w:rsidRDefault="00681B09" w:rsidP="00F4739A">
            <w:pPr>
              <w:pStyle w:val="Tabletext"/>
              <w:rPr>
                <w:szCs w:val="18"/>
                <w:lang w:eastAsia="en-AU"/>
              </w:rPr>
            </w:pPr>
          </w:p>
          <w:p w:rsidR="00681B09" w:rsidRPr="00382705" w:rsidRDefault="00681B09" w:rsidP="00F4739A">
            <w:pPr>
              <w:pStyle w:val="Tabletext"/>
              <w:rPr>
                <w:szCs w:val="18"/>
                <w:u w:val="single"/>
                <w:lang w:eastAsia="en-AU"/>
              </w:rPr>
            </w:pPr>
            <w:r w:rsidRPr="00382705">
              <w:rPr>
                <w:szCs w:val="18"/>
                <w:u w:val="single"/>
                <w:lang w:eastAsia="en-AU"/>
              </w:rPr>
              <w:t>Publications</w:t>
            </w:r>
          </w:p>
          <w:p w:rsidR="00681B09" w:rsidRPr="00382705" w:rsidRDefault="00681B09" w:rsidP="00F4739A">
            <w:pPr>
              <w:pStyle w:val="Tabletext"/>
              <w:rPr>
                <w:szCs w:val="18"/>
                <w:lang w:eastAsia="en-AU"/>
              </w:rPr>
            </w:pPr>
            <w:r w:rsidRPr="00382705">
              <w:rPr>
                <w:szCs w:val="18"/>
                <w:lang w:eastAsia="en-AU"/>
              </w:rPr>
              <w:t>Wilke H, et al. Ramucirumab plus paclitaxel versus placebo plus paclitaxel in patients with previously treated advanced gastric or gastro-oesophageal junction adenocarcinoma (RAINBOW): A double-blind, randomised phase 3 trial.</w:t>
            </w:r>
          </w:p>
        </w:tc>
        <w:tc>
          <w:tcPr>
            <w:tcW w:w="1473" w:type="pct"/>
            <w:tcBorders>
              <w:top w:val="nil"/>
              <w:bottom w:val="nil"/>
            </w:tcBorders>
            <w:vAlign w:val="center"/>
          </w:tcPr>
          <w:p w:rsidR="00681B09" w:rsidRPr="00382705" w:rsidRDefault="00681B09" w:rsidP="00F4739A">
            <w:pPr>
              <w:pStyle w:val="Tabletext"/>
              <w:rPr>
                <w:szCs w:val="18"/>
                <w:lang w:eastAsia="en-AU"/>
              </w:rPr>
            </w:pPr>
            <w:r w:rsidRPr="00382705">
              <w:rPr>
                <w:szCs w:val="18"/>
                <w:lang w:eastAsia="en-AU"/>
              </w:rPr>
              <w:t>The Lancet Oncology 2014; 15 (11):1224-1235</w:t>
            </w:r>
          </w:p>
        </w:tc>
      </w:tr>
      <w:tr w:rsidR="00681B09" w:rsidRPr="00382705" w:rsidTr="001F46FB">
        <w:trPr>
          <w:trHeight w:val="129"/>
        </w:trPr>
        <w:tc>
          <w:tcPr>
            <w:tcW w:w="796" w:type="pct"/>
            <w:vMerge/>
            <w:vAlign w:val="center"/>
          </w:tcPr>
          <w:p w:rsidR="00681B09" w:rsidRPr="00382705" w:rsidRDefault="00681B09" w:rsidP="00F4739A">
            <w:pPr>
              <w:pStyle w:val="Tabletext"/>
            </w:pPr>
          </w:p>
        </w:tc>
        <w:tc>
          <w:tcPr>
            <w:tcW w:w="2731" w:type="pct"/>
            <w:tcBorders>
              <w:top w:val="nil"/>
              <w:bottom w:val="nil"/>
            </w:tcBorders>
            <w:vAlign w:val="center"/>
          </w:tcPr>
          <w:p w:rsidR="00681B09" w:rsidRPr="00382705" w:rsidRDefault="00681B09" w:rsidP="00F4739A">
            <w:pPr>
              <w:pStyle w:val="Tabletext"/>
              <w:rPr>
                <w:szCs w:val="18"/>
                <w:lang w:eastAsia="en-AU"/>
              </w:rPr>
            </w:pPr>
          </w:p>
          <w:p w:rsidR="00681B09" w:rsidRPr="00382705" w:rsidRDefault="00681B09" w:rsidP="00F4739A">
            <w:pPr>
              <w:pStyle w:val="Tabletext"/>
              <w:rPr>
                <w:szCs w:val="18"/>
                <w:lang w:eastAsia="en-AU"/>
              </w:rPr>
            </w:pPr>
            <w:r w:rsidRPr="00382705">
              <w:rPr>
                <w:szCs w:val="18"/>
                <w:lang w:eastAsia="en-AU"/>
              </w:rPr>
              <w:t>Al-Batran SE, et al. Rainbow: Global, phase 3, randomized, double-blind study of ramucirumab plus paclitaxel vs placebo plus paclitaxel patients with previously treated gastric or gastroesophageal junction adenocarcinoma-patient-reported outcomes and performance status.</w:t>
            </w:r>
          </w:p>
        </w:tc>
        <w:tc>
          <w:tcPr>
            <w:tcW w:w="1473" w:type="pct"/>
            <w:tcBorders>
              <w:top w:val="nil"/>
              <w:bottom w:val="nil"/>
            </w:tcBorders>
            <w:vAlign w:val="center"/>
          </w:tcPr>
          <w:p w:rsidR="00681B09" w:rsidRPr="00382705" w:rsidRDefault="00681B09" w:rsidP="00F4739A">
            <w:pPr>
              <w:pStyle w:val="Tabletext"/>
              <w:rPr>
                <w:szCs w:val="18"/>
                <w:lang w:eastAsia="en-AU"/>
              </w:rPr>
            </w:pPr>
            <w:r w:rsidRPr="00382705">
              <w:rPr>
                <w:szCs w:val="18"/>
                <w:lang w:eastAsia="en-AU"/>
              </w:rPr>
              <w:t>Annals of Oncology 2014; 25 ii111</w:t>
            </w:r>
          </w:p>
        </w:tc>
      </w:tr>
      <w:tr w:rsidR="00681B09" w:rsidRPr="00382705" w:rsidTr="001F46FB">
        <w:trPr>
          <w:trHeight w:val="129"/>
        </w:trPr>
        <w:tc>
          <w:tcPr>
            <w:tcW w:w="796" w:type="pct"/>
            <w:vMerge/>
            <w:vAlign w:val="center"/>
          </w:tcPr>
          <w:p w:rsidR="00681B09" w:rsidRPr="00382705" w:rsidRDefault="00681B09" w:rsidP="00F4739A">
            <w:pPr>
              <w:pStyle w:val="Tabletext"/>
            </w:pPr>
          </w:p>
        </w:tc>
        <w:tc>
          <w:tcPr>
            <w:tcW w:w="2731" w:type="pct"/>
            <w:tcBorders>
              <w:top w:val="nil"/>
              <w:bottom w:val="nil"/>
            </w:tcBorders>
            <w:vAlign w:val="center"/>
          </w:tcPr>
          <w:p w:rsidR="00681B09" w:rsidRPr="00382705" w:rsidRDefault="00681B09" w:rsidP="00F4739A">
            <w:pPr>
              <w:pStyle w:val="Tabletext"/>
              <w:rPr>
                <w:szCs w:val="18"/>
                <w:lang w:eastAsia="en-AU"/>
              </w:rPr>
            </w:pPr>
          </w:p>
          <w:p w:rsidR="00681B09" w:rsidRPr="00382705" w:rsidRDefault="00681B09" w:rsidP="00F4739A">
            <w:pPr>
              <w:pStyle w:val="Tabletext"/>
              <w:rPr>
                <w:szCs w:val="18"/>
                <w:lang w:eastAsia="en-AU"/>
              </w:rPr>
            </w:pPr>
            <w:r w:rsidRPr="00382705">
              <w:rPr>
                <w:szCs w:val="18"/>
                <w:lang w:eastAsia="en-AU"/>
              </w:rPr>
              <w:t>Al-Batran SE, et al. RAINBOW: A global, phase III, randomized, double-blind study of ramucirumab plus paclitaxel versus placebo plus paclitaxel patients with previously treated gastric or gastroesophageal junction (GEJ) adenocarcinoma: Quality-of-life (QoL) results.</w:t>
            </w:r>
          </w:p>
        </w:tc>
        <w:tc>
          <w:tcPr>
            <w:tcW w:w="1473" w:type="pct"/>
            <w:tcBorders>
              <w:top w:val="nil"/>
              <w:bottom w:val="nil"/>
            </w:tcBorders>
            <w:vAlign w:val="center"/>
          </w:tcPr>
          <w:p w:rsidR="00681B09" w:rsidRPr="00382705" w:rsidRDefault="00681B09" w:rsidP="00F4739A">
            <w:pPr>
              <w:pStyle w:val="Tabletext"/>
              <w:rPr>
                <w:szCs w:val="18"/>
                <w:lang w:eastAsia="en-AU"/>
              </w:rPr>
            </w:pPr>
            <w:r w:rsidRPr="00382705">
              <w:rPr>
                <w:szCs w:val="18"/>
                <w:lang w:eastAsia="en-AU"/>
              </w:rPr>
              <w:t>Annals of Oncology 2016; 27 (4): 673-679</w:t>
            </w:r>
          </w:p>
        </w:tc>
      </w:tr>
      <w:tr w:rsidR="00681B09" w:rsidRPr="00382705" w:rsidTr="001F46FB">
        <w:trPr>
          <w:trHeight w:val="129"/>
        </w:trPr>
        <w:tc>
          <w:tcPr>
            <w:tcW w:w="796" w:type="pct"/>
            <w:vMerge/>
            <w:vAlign w:val="center"/>
          </w:tcPr>
          <w:p w:rsidR="00681B09" w:rsidRPr="00382705" w:rsidRDefault="00681B09" w:rsidP="00F4739A">
            <w:pPr>
              <w:pStyle w:val="Tabletext"/>
            </w:pPr>
          </w:p>
        </w:tc>
        <w:tc>
          <w:tcPr>
            <w:tcW w:w="2731" w:type="pct"/>
            <w:tcBorders>
              <w:top w:val="nil"/>
              <w:bottom w:val="nil"/>
            </w:tcBorders>
            <w:vAlign w:val="center"/>
          </w:tcPr>
          <w:p w:rsidR="00681B09" w:rsidRPr="00382705" w:rsidRDefault="00681B09" w:rsidP="00F4739A">
            <w:pPr>
              <w:pStyle w:val="Tabletext"/>
              <w:rPr>
                <w:szCs w:val="18"/>
                <w:lang w:eastAsia="en-AU"/>
              </w:rPr>
            </w:pPr>
          </w:p>
          <w:p w:rsidR="00681B09" w:rsidRPr="00382705" w:rsidRDefault="00681B09" w:rsidP="00F4739A">
            <w:pPr>
              <w:pStyle w:val="Tabletext"/>
              <w:rPr>
                <w:szCs w:val="18"/>
                <w:lang w:eastAsia="en-AU"/>
              </w:rPr>
            </w:pPr>
            <w:r w:rsidRPr="00382705">
              <w:rPr>
                <w:szCs w:val="18"/>
                <w:lang w:eastAsia="en-AU"/>
              </w:rPr>
              <w:t xml:space="preserve">Bodoky G, et al. Characterizing </w:t>
            </w:r>
            <w:r w:rsidR="00407387" w:rsidRPr="00382705">
              <w:rPr>
                <w:szCs w:val="18"/>
                <w:lang w:eastAsia="en-AU"/>
              </w:rPr>
              <w:t>tumour</w:t>
            </w:r>
            <w:r w:rsidRPr="00382705">
              <w:rPr>
                <w:szCs w:val="18"/>
                <w:lang w:eastAsia="en-AU"/>
              </w:rPr>
              <w:t xml:space="preserve"> responses from RAINBOW, a randomized phase III trial of ramucirumab (RAM) plus paclitaxel (PAC) vs placebo (PBO) plus PAC in patients (pts) with previously treated advanced gastric or gastroesophageal junction (GEJ) adenocarcinoma.</w:t>
            </w:r>
          </w:p>
          <w:p w:rsidR="00681B09" w:rsidRPr="00382705" w:rsidRDefault="00681B09" w:rsidP="00F4739A">
            <w:pPr>
              <w:pStyle w:val="Tabletext"/>
              <w:rPr>
                <w:szCs w:val="18"/>
                <w:lang w:eastAsia="en-AU"/>
              </w:rPr>
            </w:pPr>
          </w:p>
        </w:tc>
        <w:tc>
          <w:tcPr>
            <w:tcW w:w="1473" w:type="pct"/>
            <w:tcBorders>
              <w:top w:val="nil"/>
              <w:bottom w:val="nil"/>
            </w:tcBorders>
            <w:vAlign w:val="center"/>
          </w:tcPr>
          <w:p w:rsidR="00681B09" w:rsidRPr="00382705" w:rsidRDefault="00681B09" w:rsidP="00F4739A">
            <w:pPr>
              <w:pStyle w:val="Tabletext"/>
              <w:rPr>
                <w:szCs w:val="18"/>
                <w:lang w:eastAsia="en-AU"/>
              </w:rPr>
            </w:pPr>
            <w:r w:rsidRPr="00382705">
              <w:rPr>
                <w:szCs w:val="18"/>
                <w:lang w:eastAsia="en-AU"/>
              </w:rPr>
              <w:t>Journal of Clinical Oncology 2016; 34 (4)</w:t>
            </w:r>
          </w:p>
        </w:tc>
      </w:tr>
      <w:tr w:rsidR="00681B09" w:rsidRPr="00382705" w:rsidTr="001F46FB">
        <w:trPr>
          <w:trHeight w:val="129"/>
        </w:trPr>
        <w:tc>
          <w:tcPr>
            <w:tcW w:w="796" w:type="pct"/>
            <w:vMerge/>
            <w:vAlign w:val="center"/>
          </w:tcPr>
          <w:p w:rsidR="00681B09" w:rsidRPr="00382705" w:rsidRDefault="00681B09" w:rsidP="00F4739A">
            <w:pPr>
              <w:pStyle w:val="Tabletext"/>
            </w:pPr>
          </w:p>
        </w:tc>
        <w:tc>
          <w:tcPr>
            <w:tcW w:w="2731" w:type="pct"/>
            <w:tcBorders>
              <w:top w:val="nil"/>
              <w:bottom w:val="nil"/>
            </w:tcBorders>
            <w:vAlign w:val="center"/>
          </w:tcPr>
          <w:p w:rsidR="00681B09" w:rsidRPr="00382705" w:rsidRDefault="00681B09" w:rsidP="00F4739A">
            <w:pPr>
              <w:pStyle w:val="Tabletext"/>
              <w:rPr>
                <w:szCs w:val="18"/>
                <w:lang w:eastAsia="en-AU"/>
              </w:rPr>
            </w:pPr>
            <w:r w:rsidRPr="00382705">
              <w:rPr>
                <w:szCs w:val="18"/>
                <w:lang w:eastAsia="en-AU"/>
              </w:rPr>
              <w:t>Cascinu S, et al. Age subgroup analysis of efficacy and safety data from two phase 3 studies of second-line ramucirumab (RAM) versus placebo (PL) in patients (pts) with previously treated gastric or gastroesophageal junction (GEJ) adenocarcinoma (RAINBOW and REGARD).</w:t>
            </w:r>
          </w:p>
        </w:tc>
        <w:tc>
          <w:tcPr>
            <w:tcW w:w="1473" w:type="pct"/>
            <w:tcBorders>
              <w:top w:val="nil"/>
              <w:bottom w:val="nil"/>
            </w:tcBorders>
            <w:vAlign w:val="center"/>
          </w:tcPr>
          <w:p w:rsidR="00681B09" w:rsidRPr="00382705" w:rsidRDefault="00681B09" w:rsidP="00F4739A">
            <w:pPr>
              <w:pStyle w:val="Tabletext"/>
              <w:rPr>
                <w:szCs w:val="18"/>
                <w:lang w:eastAsia="en-AU"/>
              </w:rPr>
            </w:pPr>
            <w:r w:rsidRPr="00382705">
              <w:rPr>
                <w:szCs w:val="18"/>
                <w:lang w:eastAsia="en-AU"/>
              </w:rPr>
              <w:t>Annals of Oncology 2015; 26 (6), p.vi.</w:t>
            </w:r>
          </w:p>
        </w:tc>
      </w:tr>
      <w:tr w:rsidR="00681B09" w:rsidRPr="00382705" w:rsidTr="001F46FB">
        <w:trPr>
          <w:trHeight w:val="129"/>
        </w:trPr>
        <w:tc>
          <w:tcPr>
            <w:tcW w:w="796" w:type="pct"/>
            <w:vMerge/>
            <w:vAlign w:val="center"/>
          </w:tcPr>
          <w:p w:rsidR="00681B09" w:rsidRPr="00382705" w:rsidRDefault="00681B09" w:rsidP="00F4739A">
            <w:pPr>
              <w:pStyle w:val="Tabletext"/>
            </w:pPr>
          </w:p>
        </w:tc>
        <w:tc>
          <w:tcPr>
            <w:tcW w:w="2731" w:type="pct"/>
            <w:tcBorders>
              <w:top w:val="nil"/>
              <w:bottom w:val="nil"/>
            </w:tcBorders>
            <w:vAlign w:val="center"/>
          </w:tcPr>
          <w:p w:rsidR="00681B09" w:rsidRPr="00382705" w:rsidRDefault="00681B09" w:rsidP="00F4739A">
            <w:pPr>
              <w:pStyle w:val="Tabletext"/>
              <w:rPr>
                <w:szCs w:val="18"/>
                <w:lang w:eastAsia="en-AU"/>
              </w:rPr>
            </w:pPr>
          </w:p>
          <w:p w:rsidR="00681B09" w:rsidRPr="00382705" w:rsidRDefault="00681B09" w:rsidP="00F4739A">
            <w:pPr>
              <w:pStyle w:val="Tabletext"/>
              <w:rPr>
                <w:szCs w:val="18"/>
                <w:lang w:eastAsia="en-AU"/>
              </w:rPr>
            </w:pPr>
            <w:r w:rsidRPr="00382705">
              <w:rPr>
                <w:szCs w:val="18"/>
                <w:lang w:eastAsia="en-AU"/>
              </w:rPr>
              <w:t>Hironaka S, et al. RAINBOW: A global, phase III, randomized, double-blind study of ramucirumab (RAM) plus paclitaxel (PTX) versus placebo (PL) plus PTX in the treatment of metastatic gastroesophageal junction and gastric adenocarcinoma (mGC) following disease progression on first-line platinum- and fluoropyrimidine-containing combination therapy-Efficacy analysis in Japanese and Western patients.</w:t>
            </w:r>
          </w:p>
        </w:tc>
        <w:tc>
          <w:tcPr>
            <w:tcW w:w="1473" w:type="pct"/>
            <w:tcBorders>
              <w:top w:val="nil"/>
              <w:bottom w:val="nil"/>
            </w:tcBorders>
            <w:vAlign w:val="center"/>
          </w:tcPr>
          <w:p w:rsidR="00681B09" w:rsidRPr="00382705" w:rsidRDefault="00681B09" w:rsidP="00F4739A">
            <w:pPr>
              <w:pStyle w:val="Tabletext"/>
              <w:rPr>
                <w:szCs w:val="18"/>
                <w:lang w:eastAsia="en-AU"/>
              </w:rPr>
            </w:pPr>
            <w:r w:rsidRPr="00382705">
              <w:rPr>
                <w:szCs w:val="18"/>
                <w:lang w:eastAsia="en-AU"/>
              </w:rPr>
              <w:t>Journal of Clinical Oncology 2014; 32 (15):</w:t>
            </w:r>
          </w:p>
        </w:tc>
      </w:tr>
      <w:tr w:rsidR="00681B09" w:rsidRPr="00382705" w:rsidTr="001F46FB">
        <w:trPr>
          <w:trHeight w:val="129"/>
        </w:trPr>
        <w:tc>
          <w:tcPr>
            <w:tcW w:w="796" w:type="pct"/>
            <w:vMerge/>
            <w:vAlign w:val="center"/>
          </w:tcPr>
          <w:p w:rsidR="00681B09" w:rsidRPr="00382705" w:rsidRDefault="00681B09" w:rsidP="00F4739A">
            <w:pPr>
              <w:pStyle w:val="Tabletext"/>
            </w:pPr>
          </w:p>
        </w:tc>
        <w:tc>
          <w:tcPr>
            <w:tcW w:w="2731" w:type="pct"/>
            <w:tcBorders>
              <w:top w:val="nil"/>
              <w:bottom w:val="nil"/>
            </w:tcBorders>
            <w:vAlign w:val="center"/>
          </w:tcPr>
          <w:p w:rsidR="00681B09" w:rsidRPr="00382705" w:rsidRDefault="00681B09" w:rsidP="00F4739A">
            <w:pPr>
              <w:pStyle w:val="Tabletext"/>
              <w:rPr>
                <w:szCs w:val="18"/>
                <w:lang w:eastAsia="en-AU"/>
              </w:rPr>
            </w:pPr>
          </w:p>
          <w:p w:rsidR="00681B09" w:rsidRPr="00382705" w:rsidRDefault="00681B09" w:rsidP="00F4739A">
            <w:pPr>
              <w:pStyle w:val="Tabletext"/>
              <w:rPr>
                <w:szCs w:val="18"/>
                <w:lang w:eastAsia="en-AU"/>
              </w:rPr>
            </w:pPr>
            <w:r w:rsidRPr="00382705">
              <w:rPr>
                <w:szCs w:val="18"/>
                <w:lang w:eastAsia="en-AU"/>
              </w:rPr>
              <w:t>Kim TY, et al. Exposure–response relationship of ramucirumab in East Asian patients from RAINBOW: a randomized clinical trial in second-line treatment of gastric cancer.</w:t>
            </w:r>
          </w:p>
        </w:tc>
        <w:tc>
          <w:tcPr>
            <w:tcW w:w="1473" w:type="pct"/>
            <w:tcBorders>
              <w:top w:val="nil"/>
              <w:bottom w:val="nil"/>
            </w:tcBorders>
            <w:vAlign w:val="center"/>
          </w:tcPr>
          <w:p w:rsidR="00681B09" w:rsidRPr="00382705" w:rsidRDefault="00681B09" w:rsidP="00F4739A">
            <w:pPr>
              <w:pStyle w:val="Tabletext"/>
              <w:rPr>
                <w:szCs w:val="18"/>
                <w:lang w:eastAsia="en-AU"/>
              </w:rPr>
            </w:pPr>
            <w:r w:rsidRPr="00382705">
              <w:rPr>
                <w:szCs w:val="18"/>
                <w:lang w:eastAsia="en-AU"/>
              </w:rPr>
              <w:t>Gastric Cancer 2017; 1-9</w:t>
            </w:r>
          </w:p>
        </w:tc>
      </w:tr>
      <w:tr w:rsidR="00681B09" w:rsidRPr="00382705" w:rsidTr="001F46FB">
        <w:trPr>
          <w:trHeight w:val="129"/>
        </w:trPr>
        <w:tc>
          <w:tcPr>
            <w:tcW w:w="796" w:type="pct"/>
            <w:vMerge/>
            <w:vAlign w:val="center"/>
          </w:tcPr>
          <w:p w:rsidR="00681B09" w:rsidRPr="00382705" w:rsidRDefault="00681B09" w:rsidP="00F4739A">
            <w:pPr>
              <w:pStyle w:val="Tabletext"/>
            </w:pPr>
          </w:p>
        </w:tc>
        <w:tc>
          <w:tcPr>
            <w:tcW w:w="2731" w:type="pct"/>
            <w:tcBorders>
              <w:top w:val="nil"/>
              <w:bottom w:val="nil"/>
            </w:tcBorders>
            <w:vAlign w:val="center"/>
          </w:tcPr>
          <w:p w:rsidR="00681B09" w:rsidRPr="00382705" w:rsidRDefault="00681B09" w:rsidP="00F4739A">
            <w:pPr>
              <w:pStyle w:val="Tabletext"/>
              <w:rPr>
                <w:szCs w:val="18"/>
                <w:lang w:eastAsia="en-AU"/>
              </w:rPr>
            </w:pPr>
          </w:p>
          <w:p w:rsidR="00681B09" w:rsidRPr="00382705" w:rsidRDefault="00681B09" w:rsidP="00F4739A">
            <w:pPr>
              <w:pStyle w:val="Tabletext"/>
              <w:rPr>
                <w:szCs w:val="18"/>
                <w:lang w:eastAsia="en-AU"/>
              </w:rPr>
            </w:pPr>
            <w:r w:rsidRPr="00382705">
              <w:rPr>
                <w:szCs w:val="18"/>
                <w:lang w:eastAsia="en-AU"/>
              </w:rPr>
              <w:t xml:space="preserve">Kim TY, et al. Exposure-response relationship of second-line ramucirumab in east </w:t>
            </w:r>
            <w:r w:rsidR="00CF38BF" w:rsidRPr="00382705">
              <w:rPr>
                <w:szCs w:val="18"/>
                <w:lang w:eastAsia="en-AU"/>
              </w:rPr>
              <w:t>Asian</w:t>
            </w:r>
            <w:r w:rsidRPr="00382705">
              <w:rPr>
                <w:szCs w:val="18"/>
                <w:lang w:eastAsia="en-AU"/>
              </w:rPr>
              <w:t xml:space="preserve"> patients with advanced gastric cancer from RAINBOW, a global, randomized, double-blind, phase 3 study.</w:t>
            </w:r>
          </w:p>
        </w:tc>
        <w:tc>
          <w:tcPr>
            <w:tcW w:w="1473" w:type="pct"/>
            <w:tcBorders>
              <w:top w:val="nil"/>
              <w:bottom w:val="nil"/>
            </w:tcBorders>
            <w:vAlign w:val="center"/>
          </w:tcPr>
          <w:p w:rsidR="00681B09" w:rsidRPr="00382705" w:rsidRDefault="00681B09" w:rsidP="00F4739A">
            <w:pPr>
              <w:pStyle w:val="Tabletext"/>
              <w:rPr>
                <w:szCs w:val="18"/>
                <w:lang w:eastAsia="en-AU"/>
              </w:rPr>
            </w:pPr>
            <w:r w:rsidRPr="00382705">
              <w:rPr>
                <w:szCs w:val="18"/>
                <w:lang w:eastAsia="en-AU"/>
              </w:rPr>
              <w:t>Annals of Oncology 2016; 27 ii116-ii117</w:t>
            </w:r>
          </w:p>
        </w:tc>
      </w:tr>
      <w:tr w:rsidR="00681B09" w:rsidRPr="00382705" w:rsidTr="001F46FB">
        <w:trPr>
          <w:trHeight w:val="129"/>
        </w:trPr>
        <w:tc>
          <w:tcPr>
            <w:tcW w:w="796" w:type="pct"/>
            <w:vMerge/>
            <w:vAlign w:val="center"/>
          </w:tcPr>
          <w:p w:rsidR="00681B09" w:rsidRPr="00382705" w:rsidRDefault="00681B09" w:rsidP="00F4739A">
            <w:pPr>
              <w:pStyle w:val="Tabletext"/>
            </w:pPr>
          </w:p>
        </w:tc>
        <w:tc>
          <w:tcPr>
            <w:tcW w:w="2731" w:type="pct"/>
            <w:tcBorders>
              <w:top w:val="nil"/>
              <w:bottom w:val="nil"/>
            </w:tcBorders>
            <w:vAlign w:val="center"/>
          </w:tcPr>
          <w:p w:rsidR="00681B09" w:rsidRPr="00382705" w:rsidRDefault="00681B09" w:rsidP="00F4739A">
            <w:pPr>
              <w:pStyle w:val="Tabletext"/>
              <w:rPr>
                <w:szCs w:val="18"/>
                <w:lang w:eastAsia="en-AU"/>
              </w:rPr>
            </w:pPr>
          </w:p>
          <w:p w:rsidR="00681B09" w:rsidRPr="00382705" w:rsidRDefault="00681B09" w:rsidP="00F4739A">
            <w:pPr>
              <w:pStyle w:val="Tabletext"/>
              <w:rPr>
                <w:szCs w:val="18"/>
                <w:lang w:eastAsia="en-AU"/>
              </w:rPr>
            </w:pPr>
            <w:r w:rsidRPr="00382705">
              <w:rPr>
                <w:szCs w:val="18"/>
                <w:lang w:eastAsia="en-AU"/>
              </w:rPr>
              <w:t xml:space="preserve">Kusumoto T, et al. Efficacy and safety of paclitaxel/ramucirumab as the second-line chemotherapy in Japanese patients with advanced gastric cancer. </w:t>
            </w:r>
          </w:p>
        </w:tc>
        <w:tc>
          <w:tcPr>
            <w:tcW w:w="1473" w:type="pct"/>
            <w:tcBorders>
              <w:top w:val="nil"/>
              <w:bottom w:val="nil"/>
            </w:tcBorders>
            <w:vAlign w:val="center"/>
          </w:tcPr>
          <w:p w:rsidR="00681B09" w:rsidRPr="00382705" w:rsidRDefault="00681B09" w:rsidP="00F4739A">
            <w:pPr>
              <w:pStyle w:val="Tabletext"/>
              <w:rPr>
                <w:szCs w:val="18"/>
                <w:lang w:eastAsia="en-AU"/>
              </w:rPr>
            </w:pPr>
            <w:r w:rsidRPr="00382705">
              <w:rPr>
                <w:szCs w:val="18"/>
                <w:lang w:eastAsia="en-AU"/>
              </w:rPr>
              <w:t>Journal of Clinical Oncology 2017; 35 (15)</w:t>
            </w:r>
          </w:p>
        </w:tc>
      </w:tr>
      <w:tr w:rsidR="00681B09" w:rsidRPr="00382705" w:rsidTr="001F46FB">
        <w:trPr>
          <w:trHeight w:val="129"/>
        </w:trPr>
        <w:tc>
          <w:tcPr>
            <w:tcW w:w="796" w:type="pct"/>
            <w:vMerge/>
            <w:vAlign w:val="center"/>
          </w:tcPr>
          <w:p w:rsidR="00681B09" w:rsidRPr="00382705" w:rsidRDefault="00681B09" w:rsidP="00F4739A">
            <w:pPr>
              <w:pStyle w:val="Tabletext"/>
            </w:pPr>
          </w:p>
        </w:tc>
        <w:tc>
          <w:tcPr>
            <w:tcW w:w="2731" w:type="pct"/>
            <w:tcBorders>
              <w:top w:val="nil"/>
              <w:bottom w:val="nil"/>
            </w:tcBorders>
            <w:vAlign w:val="center"/>
          </w:tcPr>
          <w:p w:rsidR="00681B09" w:rsidRPr="00382705" w:rsidRDefault="00681B09" w:rsidP="00F4739A">
            <w:pPr>
              <w:pStyle w:val="Tabletext"/>
              <w:rPr>
                <w:szCs w:val="18"/>
                <w:lang w:eastAsia="en-AU"/>
              </w:rPr>
            </w:pPr>
          </w:p>
          <w:p w:rsidR="00681B09" w:rsidRPr="00382705" w:rsidRDefault="00681B09" w:rsidP="00F4739A">
            <w:pPr>
              <w:pStyle w:val="Tabletext"/>
              <w:rPr>
                <w:szCs w:val="18"/>
                <w:lang w:eastAsia="en-AU"/>
              </w:rPr>
            </w:pPr>
            <w:r w:rsidRPr="00382705">
              <w:rPr>
                <w:szCs w:val="18"/>
                <w:lang w:eastAsia="en-AU"/>
              </w:rPr>
              <w:t>Lorenzen S, et al. Summary of biomarker data from 2 randomized, double-blind placebo-controlled phase 3 trials (RAINBOW and REGARD) of second-line Ramucirumab for advanced gastric or gastroesophageal junction carcinoma.</w:t>
            </w:r>
          </w:p>
        </w:tc>
        <w:tc>
          <w:tcPr>
            <w:tcW w:w="1473" w:type="pct"/>
            <w:tcBorders>
              <w:top w:val="nil"/>
              <w:bottom w:val="nil"/>
            </w:tcBorders>
            <w:vAlign w:val="center"/>
          </w:tcPr>
          <w:p w:rsidR="00681B09" w:rsidRPr="00382705" w:rsidRDefault="00681B09" w:rsidP="00F4739A">
            <w:pPr>
              <w:pStyle w:val="Tabletext"/>
              <w:rPr>
                <w:szCs w:val="18"/>
                <w:lang w:eastAsia="en-AU"/>
              </w:rPr>
            </w:pPr>
            <w:r w:rsidRPr="00382705">
              <w:rPr>
                <w:szCs w:val="18"/>
                <w:lang w:eastAsia="en-AU"/>
              </w:rPr>
              <w:t>Oncology Research and Treatment 2016; 39 263-264.</w:t>
            </w:r>
          </w:p>
        </w:tc>
      </w:tr>
      <w:tr w:rsidR="00681B09" w:rsidRPr="00382705" w:rsidTr="001F46FB">
        <w:trPr>
          <w:trHeight w:val="129"/>
        </w:trPr>
        <w:tc>
          <w:tcPr>
            <w:tcW w:w="796" w:type="pct"/>
            <w:vMerge/>
            <w:vAlign w:val="center"/>
          </w:tcPr>
          <w:p w:rsidR="00681B09" w:rsidRPr="00382705" w:rsidRDefault="00681B09" w:rsidP="00F4739A">
            <w:pPr>
              <w:pStyle w:val="Tabletext"/>
            </w:pPr>
          </w:p>
        </w:tc>
        <w:tc>
          <w:tcPr>
            <w:tcW w:w="2731" w:type="pct"/>
            <w:tcBorders>
              <w:top w:val="nil"/>
              <w:bottom w:val="nil"/>
            </w:tcBorders>
            <w:vAlign w:val="center"/>
          </w:tcPr>
          <w:p w:rsidR="00681B09" w:rsidRPr="00382705" w:rsidRDefault="00681B09" w:rsidP="00F4739A">
            <w:pPr>
              <w:pStyle w:val="Tabletext"/>
              <w:rPr>
                <w:szCs w:val="18"/>
                <w:lang w:eastAsia="en-AU"/>
              </w:rPr>
            </w:pPr>
          </w:p>
          <w:p w:rsidR="00681B09" w:rsidRPr="00382705" w:rsidRDefault="00681B09" w:rsidP="00F4739A">
            <w:pPr>
              <w:pStyle w:val="Tabletext"/>
              <w:rPr>
                <w:szCs w:val="18"/>
                <w:lang w:eastAsia="en-AU"/>
              </w:rPr>
            </w:pPr>
            <w:r w:rsidRPr="00382705">
              <w:rPr>
                <w:szCs w:val="18"/>
                <w:lang w:eastAsia="en-AU"/>
              </w:rPr>
              <w:t>Muro, K et al. RAINBOW: A global, phase 3, double-blind study of ramucirumab (RAM) plus paclitaxel (PTX) versus placebo (PL) plus PTX in the treatment of advanced gastric and gastroesophageal junction (GEJ) adenocarcinoma following disease progression on first-line platinum- and fluoropyrimidine-containing combination therapy-An age-group analysis.</w:t>
            </w:r>
          </w:p>
        </w:tc>
        <w:tc>
          <w:tcPr>
            <w:tcW w:w="1473" w:type="pct"/>
            <w:tcBorders>
              <w:top w:val="nil"/>
              <w:bottom w:val="nil"/>
            </w:tcBorders>
            <w:vAlign w:val="center"/>
          </w:tcPr>
          <w:p w:rsidR="00681B09" w:rsidRPr="00382705" w:rsidRDefault="00681B09" w:rsidP="00F4739A">
            <w:pPr>
              <w:pStyle w:val="Tabletext"/>
              <w:rPr>
                <w:szCs w:val="18"/>
                <w:lang w:eastAsia="en-AU"/>
              </w:rPr>
            </w:pPr>
            <w:r w:rsidRPr="00382705">
              <w:rPr>
                <w:szCs w:val="18"/>
                <w:lang w:eastAsia="en-AU"/>
              </w:rPr>
              <w:t>Journal of Clinical Oncology 2015; 33 (3).</w:t>
            </w:r>
          </w:p>
        </w:tc>
      </w:tr>
      <w:tr w:rsidR="00681B09" w:rsidRPr="00382705" w:rsidTr="001F46FB">
        <w:trPr>
          <w:trHeight w:val="129"/>
        </w:trPr>
        <w:tc>
          <w:tcPr>
            <w:tcW w:w="796" w:type="pct"/>
            <w:vMerge/>
            <w:vAlign w:val="center"/>
          </w:tcPr>
          <w:p w:rsidR="00681B09" w:rsidRPr="00382705" w:rsidRDefault="00681B09" w:rsidP="00F4739A">
            <w:pPr>
              <w:pStyle w:val="Tabletext"/>
            </w:pPr>
          </w:p>
        </w:tc>
        <w:tc>
          <w:tcPr>
            <w:tcW w:w="2731" w:type="pct"/>
            <w:tcBorders>
              <w:top w:val="nil"/>
              <w:bottom w:val="nil"/>
            </w:tcBorders>
            <w:vAlign w:val="center"/>
          </w:tcPr>
          <w:p w:rsidR="00681B09" w:rsidRPr="00382705" w:rsidRDefault="00681B09" w:rsidP="00F4739A">
            <w:pPr>
              <w:pStyle w:val="Tabletext"/>
              <w:rPr>
                <w:szCs w:val="18"/>
                <w:lang w:eastAsia="en-AU"/>
              </w:rPr>
            </w:pPr>
          </w:p>
          <w:p w:rsidR="00681B09" w:rsidRPr="00382705" w:rsidRDefault="00681B09" w:rsidP="00F4739A">
            <w:pPr>
              <w:pStyle w:val="Tabletext"/>
              <w:rPr>
                <w:szCs w:val="18"/>
                <w:lang w:eastAsia="en-AU"/>
              </w:rPr>
            </w:pPr>
            <w:r w:rsidRPr="00382705">
              <w:rPr>
                <w:szCs w:val="18"/>
                <w:lang w:eastAsia="en-AU"/>
              </w:rPr>
              <w:t>Muro, K et al. Subgroup analysis of East Asians in RAINBOW: A phase 3 trial of ramucirumab plus paclitaxel for advanced gastric cancer.</w:t>
            </w:r>
          </w:p>
        </w:tc>
        <w:tc>
          <w:tcPr>
            <w:tcW w:w="1473" w:type="pct"/>
            <w:tcBorders>
              <w:top w:val="nil"/>
              <w:bottom w:val="nil"/>
            </w:tcBorders>
            <w:vAlign w:val="center"/>
          </w:tcPr>
          <w:p w:rsidR="00681B09" w:rsidRPr="00382705" w:rsidRDefault="00681B09" w:rsidP="00F4739A">
            <w:pPr>
              <w:pStyle w:val="Tabletext"/>
              <w:rPr>
                <w:szCs w:val="18"/>
                <w:lang w:eastAsia="en-AU"/>
              </w:rPr>
            </w:pPr>
            <w:r w:rsidRPr="00382705">
              <w:rPr>
                <w:szCs w:val="18"/>
                <w:lang w:eastAsia="en-AU"/>
              </w:rPr>
              <w:t>Journal of Gastroenterology and Hepatology (Australia) 2016; 31 (3): 581-589</w:t>
            </w:r>
          </w:p>
        </w:tc>
      </w:tr>
      <w:tr w:rsidR="00681B09" w:rsidRPr="00382705" w:rsidTr="001F46FB">
        <w:trPr>
          <w:trHeight w:val="129"/>
        </w:trPr>
        <w:tc>
          <w:tcPr>
            <w:tcW w:w="796" w:type="pct"/>
            <w:vMerge/>
            <w:vAlign w:val="center"/>
          </w:tcPr>
          <w:p w:rsidR="00681B09" w:rsidRPr="00382705" w:rsidRDefault="00681B09" w:rsidP="00F4739A">
            <w:pPr>
              <w:pStyle w:val="Tabletext"/>
            </w:pPr>
          </w:p>
        </w:tc>
        <w:tc>
          <w:tcPr>
            <w:tcW w:w="2731" w:type="pct"/>
            <w:tcBorders>
              <w:top w:val="nil"/>
              <w:bottom w:val="nil"/>
            </w:tcBorders>
            <w:vAlign w:val="center"/>
          </w:tcPr>
          <w:p w:rsidR="00681B09" w:rsidRPr="00382705" w:rsidRDefault="00681B09" w:rsidP="00F4739A">
            <w:pPr>
              <w:pStyle w:val="Tabletext"/>
              <w:rPr>
                <w:szCs w:val="18"/>
                <w:lang w:eastAsia="en-AU"/>
              </w:rPr>
            </w:pPr>
          </w:p>
          <w:p w:rsidR="00681B09" w:rsidRPr="00382705" w:rsidRDefault="00681B09" w:rsidP="00F4739A">
            <w:pPr>
              <w:pStyle w:val="Tabletext"/>
              <w:rPr>
                <w:szCs w:val="18"/>
                <w:lang w:eastAsia="en-AU"/>
              </w:rPr>
            </w:pPr>
            <w:r w:rsidRPr="00382705">
              <w:rPr>
                <w:szCs w:val="18"/>
                <w:lang w:eastAsia="en-AU"/>
              </w:rPr>
              <w:t xml:space="preserve">Opincar, L et al. Hypertension and proteinuria risks during ramucirumab therapy for metastatic gastric cancer. </w:t>
            </w:r>
          </w:p>
        </w:tc>
        <w:tc>
          <w:tcPr>
            <w:tcW w:w="1473" w:type="pct"/>
            <w:tcBorders>
              <w:top w:val="nil"/>
              <w:bottom w:val="nil"/>
            </w:tcBorders>
            <w:vAlign w:val="center"/>
          </w:tcPr>
          <w:p w:rsidR="00681B09" w:rsidRPr="00382705" w:rsidRDefault="00681B09" w:rsidP="00F4739A">
            <w:pPr>
              <w:pStyle w:val="Tabletext"/>
              <w:rPr>
                <w:szCs w:val="18"/>
                <w:lang w:eastAsia="en-AU"/>
              </w:rPr>
            </w:pPr>
            <w:r w:rsidRPr="00382705">
              <w:rPr>
                <w:szCs w:val="18"/>
                <w:lang w:eastAsia="en-AU"/>
              </w:rPr>
              <w:t>Supportive Care in Cancer 2016; 24 (1):S191</w:t>
            </w:r>
          </w:p>
        </w:tc>
      </w:tr>
      <w:tr w:rsidR="00681B09" w:rsidRPr="00382705" w:rsidTr="001F46FB">
        <w:trPr>
          <w:trHeight w:val="129"/>
        </w:trPr>
        <w:tc>
          <w:tcPr>
            <w:tcW w:w="796" w:type="pct"/>
            <w:vMerge/>
            <w:vAlign w:val="center"/>
          </w:tcPr>
          <w:p w:rsidR="00681B09" w:rsidRPr="00382705" w:rsidRDefault="00681B09" w:rsidP="00F4739A">
            <w:pPr>
              <w:pStyle w:val="Tabletext"/>
            </w:pPr>
          </w:p>
        </w:tc>
        <w:tc>
          <w:tcPr>
            <w:tcW w:w="2731" w:type="pct"/>
            <w:tcBorders>
              <w:top w:val="nil"/>
              <w:bottom w:val="nil"/>
            </w:tcBorders>
            <w:vAlign w:val="center"/>
          </w:tcPr>
          <w:p w:rsidR="00681B09" w:rsidRPr="00382705" w:rsidRDefault="00681B09" w:rsidP="00F4739A">
            <w:pPr>
              <w:pStyle w:val="Tabletext"/>
              <w:rPr>
                <w:szCs w:val="18"/>
                <w:lang w:eastAsia="en-AU"/>
              </w:rPr>
            </w:pPr>
            <w:r w:rsidRPr="00382705">
              <w:rPr>
                <w:szCs w:val="18"/>
                <w:lang w:eastAsia="en-AU"/>
              </w:rPr>
              <w:t>Shitara, K et al. Subgroup analyses of the safety and efficacy of ramucirumab in Japanese and Western patients in RAINBOW: a randomized clinical trial in second-line treatment of gastric cancer.</w:t>
            </w:r>
          </w:p>
        </w:tc>
        <w:tc>
          <w:tcPr>
            <w:tcW w:w="1473" w:type="pct"/>
            <w:tcBorders>
              <w:top w:val="nil"/>
              <w:bottom w:val="nil"/>
            </w:tcBorders>
            <w:vAlign w:val="center"/>
          </w:tcPr>
          <w:p w:rsidR="00681B09" w:rsidRPr="00382705" w:rsidRDefault="00681B09" w:rsidP="00F4739A">
            <w:pPr>
              <w:pStyle w:val="Tabletext"/>
              <w:rPr>
                <w:szCs w:val="18"/>
                <w:lang w:eastAsia="en-AU"/>
              </w:rPr>
            </w:pPr>
            <w:r w:rsidRPr="00382705">
              <w:rPr>
                <w:szCs w:val="18"/>
                <w:lang w:eastAsia="en-AU"/>
              </w:rPr>
              <w:t>Gastric Cancer 2016; 19 (3):927-938</w:t>
            </w:r>
          </w:p>
        </w:tc>
      </w:tr>
      <w:tr w:rsidR="00681B09" w:rsidRPr="00382705" w:rsidTr="001F46FB">
        <w:trPr>
          <w:trHeight w:val="129"/>
        </w:trPr>
        <w:tc>
          <w:tcPr>
            <w:tcW w:w="796" w:type="pct"/>
            <w:vMerge/>
            <w:vAlign w:val="center"/>
          </w:tcPr>
          <w:p w:rsidR="00681B09" w:rsidRPr="00382705" w:rsidRDefault="00681B09" w:rsidP="00F4739A">
            <w:pPr>
              <w:pStyle w:val="Tabletext"/>
            </w:pPr>
          </w:p>
        </w:tc>
        <w:tc>
          <w:tcPr>
            <w:tcW w:w="2731" w:type="pct"/>
            <w:tcBorders>
              <w:top w:val="nil"/>
              <w:bottom w:val="nil"/>
            </w:tcBorders>
            <w:vAlign w:val="center"/>
          </w:tcPr>
          <w:p w:rsidR="00681B09" w:rsidRPr="00382705" w:rsidRDefault="00681B09" w:rsidP="00F4739A">
            <w:pPr>
              <w:pStyle w:val="Tabletext"/>
              <w:rPr>
                <w:szCs w:val="18"/>
                <w:lang w:eastAsia="en-AU"/>
              </w:rPr>
            </w:pPr>
          </w:p>
          <w:p w:rsidR="00681B09" w:rsidRPr="00382705" w:rsidRDefault="00681B09" w:rsidP="00F4739A">
            <w:pPr>
              <w:pStyle w:val="Tabletext"/>
              <w:rPr>
                <w:szCs w:val="18"/>
                <w:lang w:eastAsia="en-AU"/>
              </w:rPr>
            </w:pPr>
            <w:r w:rsidRPr="00382705">
              <w:rPr>
                <w:szCs w:val="18"/>
                <w:lang w:eastAsia="en-AU"/>
              </w:rPr>
              <w:t xml:space="preserve">Tebernero J, et al. Exposure-Response Analyses of Ramucirumab from Two Randomized, Phase III Trials of Second-Line Treatment for Advanced Gastric or Gastroesophageal Junction Cancer. </w:t>
            </w:r>
          </w:p>
        </w:tc>
        <w:tc>
          <w:tcPr>
            <w:tcW w:w="1473" w:type="pct"/>
            <w:tcBorders>
              <w:top w:val="nil"/>
              <w:bottom w:val="nil"/>
            </w:tcBorders>
            <w:vAlign w:val="center"/>
          </w:tcPr>
          <w:p w:rsidR="00681B09" w:rsidRPr="00382705" w:rsidRDefault="00681B09" w:rsidP="00F4739A">
            <w:pPr>
              <w:pStyle w:val="Tabletext"/>
              <w:rPr>
                <w:szCs w:val="18"/>
                <w:lang w:eastAsia="en-AU"/>
              </w:rPr>
            </w:pPr>
            <w:r w:rsidRPr="00382705">
              <w:rPr>
                <w:szCs w:val="18"/>
                <w:lang w:eastAsia="en-AU"/>
              </w:rPr>
              <w:t>Molecular Cancer Therapeutics 2017;</w:t>
            </w:r>
            <w:r w:rsidRPr="00382705">
              <w:t xml:space="preserve"> </w:t>
            </w:r>
            <w:r w:rsidRPr="00382705">
              <w:rPr>
                <w:szCs w:val="18"/>
                <w:lang w:eastAsia="en-AU"/>
              </w:rPr>
              <w:t>16(10): 2215-2222</w:t>
            </w:r>
          </w:p>
        </w:tc>
      </w:tr>
      <w:tr w:rsidR="00681B09" w:rsidRPr="00382705" w:rsidTr="001F46FB">
        <w:trPr>
          <w:trHeight w:val="129"/>
        </w:trPr>
        <w:tc>
          <w:tcPr>
            <w:tcW w:w="796" w:type="pct"/>
            <w:vMerge/>
            <w:vAlign w:val="center"/>
          </w:tcPr>
          <w:p w:rsidR="00681B09" w:rsidRPr="00382705" w:rsidRDefault="00681B09" w:rsidP="00F4739A">
            <w:pPr>
              <w:pStyle w:val="Tabletext"/>
            </w:pPr>
          </w:p>
        </w:tc>
        <w:tc>
          <w:tcPr>
            <w:tcW w:w="2731" w:type="pct"/>
            <w:tcBorders>
              <w:top w:val="nil"/>
              <w:bottom w:val="nil"/>
            </w:tcBorders>
            <w:vAlign w:val="center"/>
          </w:tcPr>
          <w:p w:rsidR="00681B09" w:rsidRPr="00382705" w:rsidRDefault="00681B09" w:rsidP="00F4739A">
            <w:pPr>
              <w:pStyle w:val="Tabletext"/>
              <w:rPr>
                <w:szCs w:val="18"/>
                <w:lang w:eastAsia="en-AU"/>
              </w:rPr>
            </w:pPr>
          </w:p>
          <w:p w:rsidR="00681B09" w:rsidRPr="00382705" w:rsidRDefault="00681B09" w:rsidP="00F4739A">
            <w:pPr>
              <w:pStyle w:val="Tabletext"/>
              <w:rPr>
                <w:szCs w:val="18"/>
                <w:lang w:eastAsia="en-AU"/>
              </w:rPr>
            </w:pPr>
            <w:r w:rsidRPr="00382705">
              <w:rPr>
                <w:szCs w:val="18"/>
                <w:lang w:eastAsia="en-AU"/>
              </w:rPr>
              <w:t>Tebernero J, et al. Exposure-response (E-R) relationship of ramucirumab (RAM) from two global, randomized, double-blind, phase 3 studies of patients (Pts) with advanced second-line gastric cancer.</w:t>
            </w:r>
          </w:p>
        </w:tc>
        <w:tc>
          <w:tcPr>
            <w:tcW w:w="1473" w:type="pct"/>
            <w:tcBorders>
              <w:top w:val="nil"/>
              <w:bottom w:val="nil"/>
            </w:tcBorders>
            <w:vAlign w:val="center"/>
          </w:tcPr>
          <w:p w:rsidR="00681B09" w:rsidRPr="00382705" w:rsidRDefault="00681B09" w:rsidP="00F4739A">
            <w:pPr>
              <w:pStyle w:val="Tabletext"/>
              <w:rPr>
                <w:szCs w:val="18"/>
                <w:lang w:eastAsia="en-AU"/>
              </w:rPr>
            </w:pPr>
            <w:r w:rsidRPr="00382705">
              <w:rPr>
                <w:szCs w:val="18"/>
                <w:lang w:eastAsia="en-AU"/>
              </w:rPr>
              <w:t>Journal of Clinical Oncology 2015; 33 (3):</w:t>
            </w:r>
          </w:p>
        </w:tc>
      </w:tr>
      <w:tr w:rsidR="00681B09" w:rsidRPr="00382705" w:rsidTr="001F46FB">
        <w:trPr>
          <w:trHeight w:val="129"/>
        </w:trPr>
        <w:tc>
          <w:tcPr>
            <w:tcW w:w="796" w:type="pct"/>
            <w:vMerge/>
            <w:vAlign w:val="center"/>
          </w:tcPr>
          <w:p w:rsidR="00681B09" w:rsidRPr="00382705" w:rsidRDefault="00681B09" w:rsidP="00F4739A">
            <w:pPr>
              <w:pStyle w:val="Tabletext"/>
            </w:pPr>
          </w:p>
        </w:tc>
        <w:tc>
          <w:tcPr>
            <w:tcW w:w="2731" w:type="pct"/>
            <w:tcBorders>
              <w:top w:val="nil"/>
              <w:bottom w:val="nil"/>
            </w:tcBorders>
            <w:vAlign w:val="center"/>
          </w:tcPr>
          <w:p w:rsidR="00681B09" w:rsidRPr="00382705" w:rsidRDefault="00681B09" w:rsidP="00F4739A">
            <w:pPr>
              <w:pStyle w:val="Tabletext"/>
              <w:rPr>
                <w:szCs w:val="18"/>
                <w:lang w:eastAsia="en-AU"/>
              </w:rPr>
            </w:pPr>
          </w:p>
          <w:p w:rsidR="00681B09" w:rsidRPr="00382705" w:rsidRDefault="00681B09" w:rsidP="00F4739A">
            <w:pPr>
              <w:pStyle w:val="Tabletext"/>
              <w:rPr>
                <w:szCs w:val="18"/>
                <w:lang w:eastAsia="en-AU"/>
              </w:rPr>
            </w:pPr>
            <w:r w:rsidRPr="00382705">
              <w:rPr>
                <w:szCs w:val="18"/>
                <w:lang w:eastAsia="en-AU"/>
              </w:rPr>
              <w:t>Van Cutsem E, et al. Biomarker analyses of second-line ramucirumab in patients with advanced gastric cancer from RAINBOW, a global, randomized, double-blind, phase 3 study.</w:t>
            </w:r>
          </w:p>
        </w:tc>
        <w:tc>
          <w:tcPr>
            <w:tcW w:w="1473" w:type="pct"/>
            <w:tcBorders>
              <w:top w:val="nil"/>
              <w:bottom w:val="nil"/>
            </w:tcBorders>
            <w:vAlign w:val="center"/>
          </w:tcPr>
          <w:p w:rsidR="00681B09" w:rsidRPr="00382705" w:rsidRDefault="00681B09" w:rsidP="00F4739A">
            <w:pPr>
              <w:pStyle w:val="Tabletext"/>
              <w:rPr>
                <w:szCs w:val="18"/>
                <w:lang w:eastAsia="en-AU"/>
              </w:rPr>
            </w:pPr>
            <w:r w:rsidRPr="00382705">
              <w:rPr>
                <w:szCs w:val="18"/>
                <w:lang w:eastAsia="en-AU"/>
              </w:rPr>
              <w:t>Annals of Oncology 2016; 27 ii120</w:t>
            </w:r>
          </w:p>
        </w:tc>
      </w:tr>
      <w:tr w:rsidR="00681B09" w:rsidRPr="00382705" w:rsidTr="001F46FB">
        <w:trPr>
          <w:trHeight w:val="129"/>
        </w:trPr>
        <w:tc>
          <w:tcPr>
            <w:tcW w:w="796" w:type="pct"/>
            <w:vMerge/>
            <w:vAlign w:val="center"/>
          </w:tcPr>
          <w:p w:rsidR="00681B09" w:rsidRPr="00382705" w:rsidRDefault="00681B09" w:rsidP="00F4739A">
            <w:pPr>
              <w:pStyle w:val="Tabletext"/>
            </w:pPr>
          </w:p>
        </w:tc>
        <w:tc>
          <w:tcPr>
            <w:tcW w:w="2731" w:type="pct"/>
            <w:tcBorders>
              <w:top w:val="nil"/>
              <w:bottom w:val="nil"/>
            </w:tcBorders>
            <w:vAlign w:val="center"/>
          </w:tcPr>
          <w:p w:rsidR="00681B09" w:rsidRPr="00382705" w:rsidRDefault="00681B09" w:rsidP="00F4739A">
            <w:pPr>
              <w:pStyle w:val="Tabletext"/>
              <w:rPr>
                <w:szCs w:val="18"/>
                <w:lang w:eastAsia="en-AU"/>
              </w:rPr>
            </w:pPr>
          </w:p>
          <w:p w:rsidR="00681B09" w:rsidRPr="00382705" w:rsidRDefault="00681B09" w:rsidP="00F4739A">
            <w:pPr>
              <w:pStyle w:val="Tabletext"/>
              <w:rPr>
                <w:szCs w:val="18"/>
                <w:lang w:eastAsia="en-AU"/>
              </w:rPr>
            </w:pPr>
            <w:r w:rsidRPr="00382705">
              <w:rPr>
                <w:szCs w:val="18"/>
                <w:lang w:eastAsia="en-AU"/>
              </w:rPr>
              <w:t>Wilke H, et al. A randomized, multicenter, double-blind, placebo (PBO)-controlled phase III study of paclitaxel (PTX) with or without ramucirumab (IMC-1121B; RAM) in patients (pts) with metastatic gastric adenocarcinoma, refractory to or progressive after first-line therapy with platinum (PLT) and fluoropyrimidine (FP) Protocol</w:t>
            </w:r>
          </w:p>
        </w:tc>
        <w:tc>
          <w:tcPr>
            <w:tcW w:w="1473" w:type="pct"/>
            <w:tcBorders>
              <w:top w:val="nil"/>
              <w:bottom w:val="nil"/>
            </w:tcBorders>
            <w:vAlign w:val="center"/>
          </w:tcPr>
          <w:p w:rsidR="00681B09" w:rsidRPr="00382705" w:rsidRDefault="00681B09" w:rsidP="00F4739A">
            <w:pPr>
              <w:pStyle w:val="Tabletext"/>
              <w:rPr>
                <w:szCs w:val="18"/>
                <w:lang w:eastAsia="en-AU"/>
              </w:rPr>
            </w:pPr>
            <w:r w:rsidRPr="00382705">
              <w:rPr>
                <w:szCs w:val="18"/>
                <w:lang w:eastAsia="en-AU"/>
              </w:rPr>
              <w:t>Journal of Clinical Oncology 2012; 30 (15).</w:t>
            </w:r>
          </w:p>
        </w:tc>
      </w:tr>
      <w:tr w:rsidR="00681B09" w:rsidRPr="00382705" w:rsidTr="001F46FB">
        <w:trPr>
          <w:trHeight w:val="129"/>
        </w:trPr>
        <w:tc>
          <w:tcPr>
            <w:tcW w:w="796" w:type="pct"/>
            <w:vMerge/>
            <w:vAlign w:val="center"/>
          </w:tcPr>
          <w:p w:rsidR="00681B09" w:rsidRPr="00382705" w:rsidRDefault="00681B09" w:rsidP="00F4739A">
            <w:pPr>
              <w:pStyle w:val="Tabletext"/>
            </w:pPr>
          </w:p>
        </w:tc>
        <w:tc>
          <w:tcPr>
            <w:tcW w:w="2731" w:type="pct"/>
            <w:tcBorders>
              <w:top w:val="nil"/>
              <w:bottom w:val="nil"/>
            </w:tcBorders>
            <w:vAlign w:val="center"/>
          </w:tcPr>
          <w:p w:rsidR="00681B09" w:rsidRPr="00382705" w:rsidRDefault="00681B09" w:rsidP="00F4739A">
            <w:pPr>
              <w:pStyle w:val="Tabletext"/>
              <w:rPr>
                <w:szCs w:val="18"/>
                <w:lang w:eastAsia="en-AU"/>
              </w:rPr>
            </w:pPr>
          </w:p>
          <w:p w:rsidR="00681B09" w:rsidRPr="00382705" w:rsidRDefault="00681B09" w:rsidP="00F4739A">
            <w:pPr>
              <w:pStyle w:val="Tabletext"/>
              <w:rPr>
                <w:szCs w:val="18"/>
                <w:lang w:eastAsia="en-AU"/>
              </w:rPr>
            </w:pPr>
            <w:r w:rsidRPr="00382705">
              <w:rPr>
                <w:szCs w:val="18"/>
                <w:lang w:eastAsia="en-AU"/>
              </w:rPr>
              <w:t>Wilke H, et al. RAINBOW: A global, phase 3, randomized, double-blind study of ramucirumab plus paclitaxel versus placebo plus paclitaxel in the treatment of metastatic gastric adenocarcinoma following disease progression on first-line platinum- and fluoropyrimidine-containing combination therapy: Results of a multiple Cox regression analysis adjusting for prognostic factors</w:t>
            </w:r>
          </w:p>
        </w:tc>
        <w:tc>
          <w:tcPr>
            <w:tcW w:w="1473" w:type="pct"/>
            <w:tcBorders>
              <w:top w:val="nil"/>
              <w:bottom w:val="nil"/>
            </w:tcBorders>
            <w:vAlign w:val="center"/>
          </w:tcPr>
          <w:p w:rsidR="00681B09" w:rsidRPr="00382705" w:rsidRDefault="00681B09" w:rsidP="00F4739A">
            <w:pPr>
              <w:pStyle w:val="Tabletext"/>
              <w:rPr>
                <w:szCs w:val="18"/>
                <w:lang w:eastAsia="en-AU"/>
              </w:rPr>
            </w:pPr>
            <w:r w:rsidRPr="00382705">
              <w:rPr>
                <w:szCs w:val="18"/>
                <w:lang w:eastAsia="en-AU"/>
              </w:rPr>
              <w:t>Journal of Clinical Oncology 2014; 32 (15)</w:t>
            </w:r>
          </w:p>
        </w:tc>
      </w:tr>
      <w:tr w:rsidR="00681B09" w:rsidRPr="00382705" w:rsidTr="001F46FB">
        <w:trPr>
          <w:trHeight w:val="1377"/>
        </w:trPr>
        <w:tc>
          <w:tcPr>
            <w:tcW w:w="796" w:type="pct"/>
            <w:vMerge/>
            <w:vAlign w:val="center"/>
          </w:tcPr>
          <w:p w:rsidR="00681B09" w:rsidRPr="00382705" w:rsidRDefault="00681B09" w:rsidP="00F4739A">
            <w:pPr>
              <w:pStyle w:val="Tabletext"/>
            </w:pPr>
          </w:p>
        </w:tc>
        <w:tc>
          <w:tcPr>
            <w:tcW w:w="2731" w:type="pct"/>
            <w:tcBorders>
              <w:top w:val="nil"/>
              <w:bottom w:val="single" w:sz="4" w:space="0" w:color="auto"/>
            </w:tcBorders>
            <w:vAlign w:val="center"/>
          </w:tcPr>
          <w:p w:rsidR="00681B09" w:rsidRPr="00382705" w:rsidRDefault="00681B09" w:rsidP="00F4739A">
            <w:pPr>
              <w:pStyle w:val="Tabletext"/>
              <w:rPr>
                <w:szCs w:val="18"/>
                <w:lang w:eastAsia="en-AU"/>
              </w:rPr>
            </w:pPr>
          </w:p>
          <w:p w:rsidR="00681B09" w:rsidRPr="00382705" w:rsidRDefault="00681B09" w:rsidP="00F4739A">
            <w:pPr>
              <w:pStyle w:val="Tabletext"/>
              <w:rPr>
                <w:szCs w:val="18"/>
                <w:lang w:eastAsia="en-AU"/>
              </w:rPr>
            </w:pPr>
            <w:r w:rsidRPr="00382705">
              <w:rPr>
                <w:szCs w:val="18"/>
                <w:lang w:eastAsia="en-AU"/>
              </w:rPr>
              <w:t>Wilke H, et al. RAINBOW: A global, phase III, randomized, double-blind study of ramucirumab plus paclitaxel versus placebo plus paclitaxel in the treatment of metastatic gastroesophageal junction (GEJ) and gastric adenocarcinoma following disease progression on first-line platinum- and fluoropyrimidine-containing combination therapy rainbow IMCL CP12-0922 (I4T-IE-JVBE).</w:t>
            </w:r>
          </w:p>
        </w:tc>
        <w:tc>
          <w:tcPr>
            <w:tcW w:w="1473" w:type="pct"/>
            <w:tcBorders>
              <w:top w:val="nil"/>
              <w:bottom w:val="single" w:sz="4" w:space="0" w:color="auto"/>
            </w:tcBorders>
            <w:vAlign w:val="center"/>
          </w:tcPr>
          <w:p w:rsidR="00681B09" w:rsidRPr="00382705" w:rsidRDefault="00681B09" w:rsidP="00F4739A">
            <w:pPr>
              <w:pStyle w:val="Tabletext"/>
              <w:rPr>
                <w:szCs w:val="18"/>
                <w:lang w:eastAsia="en-AU"/>
              </w:rPr>
            </w:pPr>
            <w:r w:rsidRPr="00382705">
              <w:rPr>
                <w:szCs w:val="18"/>
                <w:lang w:eastAsia="en-AU"/>
              </w:rPr>
              <w:t>Journal of Clinical Oncology 2014; 32 (3)</w:t>
            </w:r>
          </w:p>
        </w:tc>
      </w:tr>
    </w:tbl>
    <w:p w:rsidR="00681B09" w:rsidRPr="00382705" w:rsidRDefault="00681B09" w:rsidP="002D4362">
      <w:pPr>
        <w:pStyle w:val="TableFooter"/>
        <w:spacing w:after="120"/>
        <w:rPr>
          <w:sz w:val="20"/>
        </w:rPr>
      </w:pPr>
      <w:r w:rsidRPr="00382705">
        <w:t>Source: Table 2.2.1, pp32-34 of the main submission</w:t>
      </w:r>
    </w:p>
    <w:p w:rsidR="00681B09" w:rsidRPr="00382705" w:rsidRDefault="00681B09" w:rsidP="00681B09">
      <w:pPr>
        <w:pStyle w:val="ListParagraph"/>
        <w:widowControl/>
        <w:numPr>
          <w:ilvl w:val="1"/>
          <w:numId w:val="3"/>
        </w:numPr>
      </w:pPr>
      <w:r w:rsidRPr="00382705">
        <w:t xml:space="preserve">The key features of the direct randomised trial are summarised in the table below.  </w:t>
      </w:r>
    </w:p>
    <w:p w:rsidR="00681B09" w:rsidRPr="00382705" w:rsidRDefault="00681B09" w:rsidP="00681B09">
      <w:pPr>
        <w:rPr>
          <w:rStyle w:val="CommentReference"/>
        </w:rPr>
      </w:pPr>
      <w:r w:rsidRPr="00382705">
        <w:rPr>
          <w:rStyle w:val="CommentReference"/>
        </w:rPr>
        <w:t xml:space="preserve">Table </w:t>
      </w:r>
      <w:r w:rsidR="00445F54" w:rsidRPr="00382705">
        <w:rPr>
          <w:rStyle w:val="CommentReference"/>
        </w:rPr>
        <w:t>3</w:t>
      </w:r>
      <w:r w:rsidRPr="00382705">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92"/>
        <w:gridCol w:w="847"/>
        <w:gridCol w:w="1421"/>
        <w:gridCol w:w="1128"/>
        <w:gridCol w:w="1557"/>
        <w:gridCol w:w="1130"/>
        <w:gridCol w:w="1708"/>
      </w:tblGrid>
      <w:tr w:rsidR="00681B09" w:rsidRPr="00382705" w:rsidTr="00F4739A">
        <w:tc>
          <w:tcPr>
            <w:tcW w:w="712" w:type="pct"/>
            <w:shd w:val="clear" w:color="auto" w:fill="auto"/>
            <w:vAlign w:val="center"/>
          </w:tcPr>
          <w:p w:rsidR="00681B09" w:rsidRPr="00382705" w:rsidRDefault="00681B09" w:rsidP="00F4739A">
            <w:pPr>
              <w:pStyle w:val="Tabletext"/>
              <w:rPr>
                <w:b/>
              </w:rPr>
            </w:pPr>
            <w:r w:rsidRPr="00382705">
              <w:rPr>
                <w:b/>
              </w:rPr>
              <w:t>Trial</w:t>
            </w:r>
          </w:p>
        </w:tc>
        <w:tc>
          <w:tcPr>
            <w:tcW w:w="466" w:type="pct"/>
            <w:shd w:val="clear" w:color="auto" w:fill="auto"/>
            <w:vAlign w:val="center"/>
          </w:tcPr>
          <w:p w:rsidR="00681B09" w:rsidRPr="00382705" w:rsidRDefault="00681B09" w:rsidP="00F4739A">
            <w:pPr>
              <w:pStyle w:val="Tabletext"/>
              <w:jc w:val="center"/>
              <w:rPr>
                <w:b/>
              </w:rPr>
            </w:pPr>
            <w:r w:rsidRPr="00382705">
              <w:rPr>
                <w:b/>
              </w:rPr>
              <w:t>N</w:t>
            </w:r>
          </w:p>
        </w:tc>
        <w:tc>
          <w:tcPr>
            <w:tcW w:w="782" w:type="pct"/>
            <w:shd w:val="clear" w:color="auto" w:fill="auto"/>
            <w:vAlign w:val="center"/>
          </w:tcPr>
          <w:p w:rsidR="00681B09" w:rsidRPr="00382705" w:rsidRDefault="00681B09" w:rsidP="00F4739A">
            <w:pPr>
              <w:pStyle w:val="Tabletext"/>
              <w:jc w:val="center"/>
              <w:rPr>
                <w:b/>
              </w:rPr>
            </w:pPr>
            <w:r w:rsidRPr="00382705">
              <w:rPr>
                <w:b/>
              </w:rPr>
              <w:t>Design/ duration</w:t>
            </w:r>
          </w:p>
        </w:tc>
        <w:tc>
          <w:tcPr>
            <w:tcW w:w="621" w:type="pct"/>
            <w:shd w:val="clear" w:color="auto" w:fill="auto"/>
            <w:vAlign w:val="center"/>
          </w:tcPr>
          <w:p w:rsidR="00681B09" w:rsidRPr="00382705" w:rsidRDefault="00681B09" w:rsidP="00F4739A">
            <w:pPr>
              <w:pStyle w:val="Tabletext"/>
              <w:jc w:val="center"/>
              <w:rPr>
                <w:b/>
              </w:rPr>
            </w:pPr>
            <w:r w:rsidRPr="00382705">
              <w:rPr>
                <w:b/>
              </w:rPr>
              <w:t>Risk of bias</w:t>
            </w:r>
          </w:p>
        </w:tc>
        <w:tc>
          <w:tcPr>
            <w:tcW w:w="857" w:type="pct"/>
            <w:shd w:val="clear" w:color="auto" w:fill="auto"/>
            <w:vAlign w:val="center"/>
          </w:tcPr>
          <w:p w:rsidR="00681B09" w:rsidRPr="00382705" w:rsidRDefault="00681B09" w:rsidP="00F4739A">
            <w:pPr>
              <w:pStyle w:val="Tabletext"/>
              <w:jc w:val="center"/>
              <w:rPr>
                <w:b/>
              </w:rPr>
            </w:pPr>
            <w:r w:rsidRPr="00382705">
              <w:rPr>
                <w:b/>
              </w:rPr>
              <w:t>Patient population</w:t>
            </w:r>
          </w:p>
        </w:tc>
        <w:tc>
          <w:tcPr>
            <w:tcW w:w="622" w:type="pct"/>
            <w:shd w:val="clear" w:color="auto" w:fill="auto"/>
            <w:vAlign w:val="center"/>
          </w:tcPr>
          <w:p w:rsidR="00681B09" w:rsidRPr="00382705" w:rsidRDefault="00681B09" w:rsidP="00F4739A">
            <w:pPr>
              <w:pStyle w:val="Tabletext"/>
              <w:jc w:val="center"/>
              <w:rPr>
                <w:b/>
              </w:rPr>
            </w:pPr>
            <w:r w:rsidRPr="00382705">
              <w:rPr>
                <w:b/>
              </w:rPr>
              <w:t>Outcomes</w:t>
            </w:r>
          </w:p>
        </w:tc>
        <w:tc>
          <w:tcPr>
            <w:tcW w:w="939" w:type="pct"/>
            <w:shd w:val="clear" w:color="auto" w:fill="auto"/>
            <w:vAlign w:val="center"/>
          </w:tcPr>
          <w:p w:rsidR="00681B09" w:rsidRPr="00382705" w:rsidRDefault="00681B09" w:rsidP="00F4739A">
            <w:pPr>
              <w:pStyle w:val="Tabletext"/>
              <w:jc w:val="center"/>
              <w:rPr>
                <w:b/>
              </w:rPr>
            </w:pPr>
            <w:r w:rsidRPr="00382705">
              <w:rPr>
                <w:b/>
              </w:rPr>
              <w:t>Use in modelled evaluation</w:t>
            </w:r>
          </w:p>
        </w:tc>
      </w:tr>
      <w:tr w:rsidR="00681B09" w:rsidRPr="00382705" w:rsidTr="00F4739A">
        <w:tc>
          <w:tcPr>
            <w:tcW w:w="5000" w:type="pct"/>
            <w:gridSpan w:val="7"/>
            <w:shd w:val="clear" w:color="auto" w:fill="auto"/>
            <w:vAlign w:val="center"/>
          </w:tcPr>
          <w:p w:rsidR="00681B09" w:rsidRPr="00382705" w:rsidRDefault="00681B09" w:rsidP="00F4739A">
            <w:pPr>
              <w:pStyle w:val="Tabletext"/>
              <w:rPr>
                <w:b/>
              </w:rPr>
            </w:pPr>
            <w:r w:rsidRPr="00382705">
              <w:rPr>
                <w:b/>
              </w:rPr>
              <w:t>Ramucirumab plus paclitaxel vs. paclitaxel</w:t>
            </w:r>
          </w:p>
        </w:tc>
      </w:tr>
      <w:tr w:rsidR="00681B09" w:rsidRPr="00382705" w:rsidTr="00F4739A">
        <w:tc>
          <w:tcPr>
            <w:tcW w:w="712" w:type="pct"/>
            <w:shd w:val="clear" w:color="auto" w:fill="auto"/>
            <w:vAlign w:val="center"/>
          </w:tcPr>
          <w:p w:rsidR="00681B09" w:rsidRPr="00382705" w:rsidRDefault="00681B09" w:rsidP="00F4739A">
            <w:pPr>
              <w:pStyle w:val="Tabletext"/>
            </w:pPr>
            <w:r w:rsidRPr="00382705">
              <w:t>RAINBOW</w:t>
            </w:r>
          </w:p>
        </w:tc>
        <w:tc>
          <w:tcPr>
            <w:tcW w:w="466" w:type="pct"/>
            <w:shd w:val="clear" w:color="auto" w:fill="auto"/>
            <w:vAlign w:val="center"/>
          </w:tcPr>
          <w:p w:rsidR="00681B09" w:rsidRPr="00382705" w:rsidRDefault="00681B09" w:rsidP="00F4739A">
            <w:pPr>
              <w:pStyle w:val="Tabletext"/>
              <w:jc w:val="center"/>
            </w:pPr>
            <w:r w:rsidRPr="00382705">
              <w:t>665</w:t>
            </w:r>
          </w:p>
        </w:tc>
        <w:tc>
          <w:tcPr>
            <w:tcW w:w="782" w:type="pct"/>
            <w:shd w:val="clear" w:color="auto" w:fill="auto"/>
            <w:vAlign w:val="center"/>
          </w:tcPr>
          <w:p w:rsidR="00681B09" w:rsidRPr="00382705" w:rsidRDefault="00681B09" w:rsidP="00F4739A">
            <w:pPr>
              <w:pStyle w:val="Tabletext"/>
              <w:jc w:val="center"/>
            </w:pPr>
            <w:r w:rsidRPr="00382705">
              <w:t>R, DB, MC</w:t>
            </w:r>
          </w:p>
          <w:p w:rsidR="00681B09" w:rsidRPr="00382705" w:rsidRDefault="00681B09" w:rsidP="00F4739A">
            <w:pPr>
              <w:pStyle w:val="Tabletext"/>
              <w:jc w:val="center"/>
            </w:pPr>
            <w:r w:rsidRPr="00382705">
              <w:t>6 mths</w:t>
            </w:r>
          </w:p>
        </w:tc>
        <w:tc>
          <w:tcPr>
            <w:tcW w:w="621" w:type="pct"/>
            <w:shd w:val="clear" w:color="auto" w:fill="auto"/>
            <w:vAlign w:val="center"/>
          </w:tcPr>
          <w:p w:rsidR="00681B09" w:rsidRPr="00382705" w:rsidRDefault="00681B09" w:rsidP="00F4739A">
            <w:pPr>
              <w:pStyle w:val="Tabletext"/>
              <w:jc w:val="center"/>
            </w:pPr>
            <w:r w:rsidRPr="00382705">
              <w:t>Low</w:t>
            </w:r>
          </w:p>
        </w:tc>
        <w:tc>
          <w:tcPr>
            <w:tcW w:w="857" w:type="pct"/>
            <w:shd w:val="clear" w:color="auto" w:fill="auto"/>
            <w:vAlign w:val="center"/>
          </w:tcPr>
          <w:p w:rsidR="00681B09" w:rsidRPr="00382705" w:rsidRDefault="00681B09" w:rsidP="00F4739A">
            <w:pPr>
              <w:pStyle w:val="Tabletext"/>
              <w:jc w:val="center"/>
            </w:pPr>
            <w:r w:rsidRPr="00382705">
              <w:t>Advanced or metastatic G/GEJ adenocarcinoma who have failed first-line platinum- and fluoropyrimidine-containing combination therapy</w:t>
            </w:r>
          </w:p>
        </w:tc>
        <w:tc>
          <w:tcPr>
            <w:tcW w:w="622" w:type="pct"/>
            <w:shd w:val="clear" w:color="auto" w:fill="auto"/>
            <w:vAlign w:val="center"/>
          </w:tcPr>
          <w:p w:rsidR="00681B09" w:rsidRPr="00382705" w:rsidRDefault="00681B09" w:rsidP="00F4739A">
            <w:pPr>
              <w:pStyle w:val="Tabletext"/>
              <w:jc w:val="center"/>
            </w:pPr>
            <w:r w:rsidRPr="00382705">
              <w:t>OS, PFS</w:t>
            </w:r>
          </w:p>
        </w:tc>
        <w:tc>
          <w:tcPr>
            <w:tcW w:w="939" w:type="pct"/>
            <w:shd w:val="clear" w:color="auto" w:fill="auto"/>
            <w:vAlign w:val="center"/>
          </w:tcPr>
          <w:p w:rsidR="00681B09" w:rsidRPr="00382705" w:rsidRDefault="00681B09" w:rsidP="00F4739A">
            <w:pPr>
              <w:pStyle w:val="Tabletext"/>
              <w:jc w:val="center"/>
            </w:pPr>
            <w:r w:rsidRPr="00382705">
              <w:t>used</w:t>
            </w:r>
          </w:p>
        </w:tc>
      </w:tr>
    </w:tbl>
    <w:p w:rsidR="00681B09" w:rsidRPr="00382705" w:rsidRDefault="00681B09" w:rsidP="00681B09">
      <w:pPr>
        <w:pStyle w:val="TableFooter"/>
      </w:pPr>
      <w:r w:rsidRPr="00382705">
        <w:t xml:space="preserve">DB=double blind; </w:t>
      </w:r>
      <w:r w:rsidR="00E3236F" w:rsidRPr="00382705">
        <w:t xml:space="preserve">G/GEJ=gastric or gastroesophageal junction; </w:t>
      </w:r>
      <w:r w:rsidRPr="00382705">
        <w:t>MC=multi-centre; OS=overall survival; PFS=progression-free survival; R=randomised.</w:t>
      </w:r>
    </w:p>
    <w:p w:rsidR="00681B09" w:rsidRPr="00382705" w:rsidRDefault="00681B09" w:rsidP="00681B09">
      <w:pPr>
        <w:pStyle w:val="TableFooter"/>
        <w:rPr>
          <w:sz w:val="20"/>
        </w:rPr>
      </w:pPr>
      <w:r w:rsidRPr="00382705">
        <w:t>Source: Sections 2.3 and 2.4, pp36-50 of the submission.</w:t>
      </w:r>
    </w:p>
    <w:p w:rsidR="00E3236F" w:rsidRPr="00382705" w:rsidRDefault="00E3236F" w:rsidP="002D4362">
      <w:pPr>
        <w:pStyle w:val="ListParagraph"/>
        <w:widowControl/>
        <w:numPr>
          <w:ilvl w:val="1"/>
          <w:numId w:val="3"/>
        </w:numPr>
        <w:spacing w:before="120"/>
      </w:pPr>
      <w:r w:rsidRPr="00382705">
        <w:t xml:space="preserve">Overall, the risk of bias for the primary outcome of overall survival (OS) and the secondary outcome of progression free survival (PFS) </w:t>
      </w:r>
      <w:r w:rsidR="000315E1" w:rsidRPr="00382705">
        <w:t xml:space="preserve">was </w:t>
      </w:r>
      <w:r w:rsidRPr="00382705">
        <w:t xml:space="preserve">low. </w:t>
      </w:r>
    </w:p>
    <w:p w:rsidR="00E3236F" w:rsidRPr="00382705" w:rsidRDefault="00E3236F" w:rsidP="00E3236F">
      <w:pPr>
        <w:pStyle w:val="ListParagraph"/>
        <w:widowControl/>
        <w:numPr>
          <w:ilvl w:val="1"/>
          <w:numId w:val="3"/>
        </w:numPr>
      </w:pPr>
      <w:r w:rsidRPr="00382705">
        <w:t xml:space="preserve">Despite the double blind design of the RAINBOW trial, there was a high likelihood that </w:t>
      </w:r>
      <w:r w:rsidR="005D6C15">
        <w:t>vascular endothelial growth factor (</w:t>
      </w:r>
      <w:r w:rsidRPr="00382705">
        <w:t>VEGF</w:t>
      </w:r>
      <w:r w:rsidR="005D6C15">
        <w:t>)</w:t>
      </w:r>
      <w:r w:rsidRPr="00382705">
        <w:t xml:space="preserve"> inhibitor class adverse effects (such as hypertension, proteinuria, bleeding and thromboembolic events) would have occurred more often in the </w:t>
      </w:r>
      <w:r w:rsidR="00335249" w:rsidRPr="00382705">
        <w:t xml:space="preserve">RAM+PAC </w:t>
      </w:r>
      <w:r w:rsidRPr="00382705">
        <w:t>arm thus leading to unmasking. The risk of bias from unmasking is considered high and could have impacted on subjective outcomes such as quality of life (QoL).</w:t>
      </w:r>
    </w:p>
    <w:p w:rsidR="00120096" w:rsidRPr="00382705" w:rsidRDefault="00E3236F" w:rsidP="00120096">
      <w:pPr>
        <w:pStyle w:val="ListParagraph"/>
        <w:widowControl/>
        <w:numPr>
          <w:ilvl w:val="1"/>
          <w:numId w:val="3"/>
        </w:numPr>
      </w:pPr>
      <w:r w:rsidRPr="00382705">
        <w:t xml:space="preserve">A higher proportion of patients in the </w:t>
      </w:r>
      <w:r w:rsidR="00335249" w:rsidRPr="00382705">
        <w:t>PBO+PAC</w:t>
      </w:r>
      <w:r w:rsidR="00335249" w:rsidRPr="00382705" w:rsidDel="00335249">
        <w:t xml:space="preserve"> </w:t>
      </w:r>
      <w:r w:rsidRPr="00382705">
        <w:t xml:space="preserve">arm had missing QoL data than in the </w:t>
      </w:r>
      <w:r w:rsidR="00335249" w:rsidRPr="00382705">
        <w:t>RAM+PAC</w:t>
      </w:r>
      <w:r w:rsidRPr="00382705">
        <w:t xml:space="preserve"> arm </w:t>
      </w:r>
      <w:r w:rsidR="00FB607C" w:rsidRPr="00382705">
        <w:t xml:space="preserve">and the </w:t>
      </w:r>
      <w:r w:rsidRPr="00382705">
        <w:t xml:space="preserve">risk of bias for the QoL outcome </w:t>
      </w:r>
      <w:r w:rsidR="00335249" w:rsidRPr="00382705">
        <w:t>wa</w:t>
      </w:r>
      <w:r w:rsidRPr="00382705">
        <w:t>s therefore</w:t>
      </w:r>
      <w:r w:rsidR="00335249" w:rsidRPr="00382705">
        <w:t xml:space="preserve"> considered to be</w:t>
      </w:r>
      <w:r w:rsidRPr="00382705">
        <w:t xml:space="preserve"> high. The impact of non-response on the European Organization for Research and Treatment of Cancer Quality of Life Questionnaire (EORTC QLQ-C30 Global Health scores) could not be assessed</w:t>
      </w:r>
      <w:r w:rsidR="00681B09" w:rsidRPr="00382705">
        <w:t xml:space="preserve">. </w:t>
      </w:r>
      <w:r w:rsidR="00FB607C" w:rsidRPr="00382705">
        <w:t xml:space="preserve">This was also highlighted in the TGA </w:t>
      </w:r>
      <w:r w:rsidR="002D4362">
        <w:t>delegate evaluation report</w:t>
      </w:r>
      <w:r w:rsidR="00FB607C" w:rsidRPr="00382705">
        <w:t>.</w:t>
      </w:r>
    </w:p>
    <w:p w:rsidR="00681B09" w:rsidRPr="00D47822" w:rsidRDefault="00681B09" w:rsidP="00573583">
      <w:pPr>
        <w:pStyle w:val="Heading2"/>
        <w:spacing w:before="120" w:after="120"/>
      </w:pPr>
      <w:bookmarkStart w:id="11" w:name="_Toc501621603"/>
      <w:r w:rsidRPr="00D47822">
        <w:t>Comparative effectiveness</w:t>
      </w:r>
      <w:bookmarkEnd w:id="11"/>
    </w:p>
    <w:p w:rsidR="00681B09" w:rsidRPr="00382705" w:rsidRDefault="00681B09" w:rsidP="00681B09">
      <w:pPr>
        <w:pStyle w:val="ListParagraph"/>
        <w:widowControl/>
        <w:numPr>
          <w:ilvl w:val="1"/>
          <w:numId w:val="3"/>
        </w:numPr>
      </w:pPr>
      <w:r w:rsidRPr="00382705">
        <w:t>The OS results for the ITT population from the RAINBOW trial and the corresponding Kaplan-Meier curves are presented below.</w:t>
      </w:r>
    </w:p>
    <w:p w:rsidR="00681B09" w:rsidRPr="00382705" w:rsidRDefault="00681B09" w:rsidP="00120096">
      <w:pPr>
        <w:keepNext/>
        <w:widowControl/>
        <w:rPr>
          <w:rStyle w:val="CommentReference"/>
        </w:rPr>
      </w:pPr>
      <w:r w:rsidRPr="00382705">
        <w:rPr>
          <w:rStyle w:val="CommentReference"/>
        </w:rPr>
        <w:t xml:space="preserve">Figure </w:t>
      </w:r>
      <w:r w:rsidR="00445F54" w:rsidRPr="00382705">
        <w:rPr>
          <w:rStyle w:val="CommentReference"/>
        </w:rPr>
        <w:t>1</w:t>
      </w:r>
      <w:r w:rsidRPr="00382705">
        <w:rPr>
          <w:rStyle w:val="CommentReference"/>
        </w:rPr>
        <w:t>: Kaplan-Meier plot of overall survival in RAINBOW (ITT population)</w:t>
      </w:r>
    </w:p>
    <w:p w:rsidR="00681B09" w:rsidRPr="00382705" w:rsidRDefault="00681B09" w:rsidP="00681B09">
      <w:pPr>
        <w:widowControl/>
      </w:pPr>
      <w:r w:rsidRPr="00382705">
        <w:rPr>
          <w:noProof/>
          <w:lang w:eastAsia="en-AU"/>
        </w:rPr>
        <w:drawing>
          <wp:inline distT="0" distB="0" distL="0" distR="0" wp14:anchorId="6C8E74E2" wp14:editId="3026F066">
            <wp:extent cx="5486240" cy="3669665"/>
            <wp:effectExtent l="0" t="0" r="63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875" cy="3670090"/>
                    </a:xfrm>
                    <a:prstGeom prst="rect">
                      <a:avLst/>
                    </a:prstGeom>
                  </pic:spPr>
                </pic:pic>
              </a:graphicData>
            </a:graphic>
          </wp:inline>
        </w:drawing>
      </w:r>
    </w:p>
    <w:p w:rsidR="00681B09" w:rsidRPr="00382705" w:rsidRDefault="00681B09" w:rsidP="00681B09">
      <w:pPr>
        <w:pStyle w:val="TableFooter"/>
        <w:rPr>
          <w:bCs/>
        </w:rPr>
      </w:pPr>
      <w:r w:rsidRPr="00382705">
        <w:t>CI = confidence interval; HR hazard ratio; OS = overall survival; PAC or PTX = paclitaxel; PBO = placebo; RAM = ramucirumab.</w:t>
      </w:r>
    </w:p>
    <w:p w:rsidR="00681B09" w:rsidRPr="00382705" w:rsidRDefault="00681B09" w:rsidP="00681B09">
      <w:pPr>
        <w:pStyle w:val="TableFooter"/>
      </w:pPr>
      <w:r w:rsidRPr="00382705">
        <w:t>Source: Figure 2.5.1, p52 of the main submission</w:t>
      </w:r>
    </w:p>
    <w:p w:rsidR="00681B09" w:rsidRPr="00382705" w:rsidRDefault="00681B09" w:rsidP="00681B09">
      <w:pPr>
        <w:widowControl/>
      </w:pPr>
    </w:p>
    <w:p w:rsidR="00666148" w:rsidRPr="00382705" w:rsidRDefault="00666148" w:rsidP="00666148">
      <w:pPr>
        <w:pStyle w:val="ListParagraph"/>
        <w:widowControl/>
        <w:numPr>
          <w:ilvl w:val="1"/>
          <w:numId w:val="3"/>
        </w:numPr>
      </w:pPr>
      <w:r w:rsidRPr="00382705">
        <w:t>The OS data were fairly mature as survival in both arms was about 10% by the end of the follow-up time. Loss to follow-up was low in the RAINBOW trial (3 (0.9%) patients in the RAM+PAC arm and 9 (2.7%) patients in the PBO+PAC arm</w:t>
      </w:r>
      <w:r w:rsidR="00BE5A3D" w:rsidRPr="00382705">
        <w:t>)</w:t>
      </w:r>
      <w:r w:rsidRPr="00382705">
        <w:t>.</w:t>
      </w:r>
    </w:p>
    <w:p w:rsidR="00A75087" w:rsidRPr="00382705" w:rsidRDefault="00666148" w:rsidP="00666148">
      <w:pPr>
        <w:pStyle w:val="ListParagraph"/>
        <w:widowControl/>
        <w:numPr>
          <w:ilvl w:val="1"/>
          <w:numId w:val="3"/>
        </w:numPr>
      </w:pPr>
      <w:r w:rsidRPr="00382705">
        <w:t>In the primary OS analysis, treatment with RAM+PAC reduced the risk of death by approximately 20% (HR = 0.807; 95% CI: 0.678, 0.962; p=0.0169), representing a gain in median OS of 2.3 months. The 6- and 12-month survival rates for RAM+PAC vs. PBO+PAC were 71.5% vs. 56.9% and 40.1% vs. 30.2%, respectively.</w:t>
      </w:r>
    </w:p>
    <w:p w:rsidR="00040343" w:rsidRPr="00382705" w:rsidRDefault="00040343" w:rsidP="00040343">
      <w:pPr>
        <w:pStyle w:val="ListParagraph"/>
        <w:widowControl/>
        <w:numPr>
          <w:ilvl w:val="1"/>
          <w:numId w:val="3"/>
        </w:numPr>
      </w:pPr>
      <w:r w:rsidRPr="00382705">
        <w:t>Treatment switching was not allowed. Post-discontinuation therapy was predominantly chemotherapy such as irinotecan or docetaxel</w:t>
      </w:r>
      <w:r w:rsidR="005A1AE1" w:rsidRPr="00382705">
        <w:t>,</w:t>
      </w:r>
      <w:r w:rsidRPr="00382705">
        <w:t xml:space="preserve"> </w:t>
      </w:r>
      <w:r w:rsidR="005A1AE1" w:rsidRPr="00382705">
        <w:t>and</w:t>
      </w:r>
      <w:r w:rsidRPr="00382705">
        <w:t xml:space="preserve"> was balanced between treatment arms. This was unlikely to </w:t>
      </w:r>
      <w:r w:rsidR="005A1AE1" w:rsidRPr="00382705">
        <w:t>have had a substantial</w:t>
      </w:r>
      <w:r w:rsidRPr="00382705">
        <w:t xml:space="preserve"> impact OS given their limited efficacy.</w:t>
      </w:r>
    </w:p>
    <w:p w:rsidR="00E92B31" w:rsidRPr="00F00837" w:rsidRDefault="00E92B31" w:rsidP="00E92B31">
      <w:pPr>
        <w:pStyle w:val="ListParagraph"/>
        <w:widowControl/>
        <w:numPr>
          <w:ilvl w:val="1"/>
          <w:numId w:val="3"/>
        </w:numPr>
      </w:pPr>
      <w:r w:rsidRPr="00F00837">
        <w:t>The OS results in pre-specified subgroups (stratified at randomisation) are as follows:</w:t>
      </w:r>
    </w:p>
    <w:p w:rsidR="00E92B31" w:rsidRPr="00F00837" w:rsidRDefault="00E92B31" w:rsidP="003A3129">
      <w:pPr>
        <w:pStyle w:val="ListParagraph"/>
        <w:widowControl/>
        <w:numPr>
          <w:ilvl w:val="0"/>
          <w:numId w:val="23"/>
        </w:numPr>
      </w:pPr>
      <w:r w:rsidRPr="00F00837">
        <w:t xml:space="preserve">The point estimates of the OS HRs associated with RAM+PAC over PBO+PAC differed between the ≥6 months and &lt; 6 months’ time to progression on prior first-line therapy although the interaction p-value was not significant </w:t>
      </w:r>
      <w:r w:rsidR="006B53DB">
        <w:t>[</w:t>
      </w:r>
      <w:r w:rsidRPr="00F00837">
        <w:t>Time to progression ≥6 months subgroup (HR = 0.62; 95% CI (0.42, 0.90) vs. Time to progression &lt;6 months complement (HR = 0.87; 95% CI (0.71, 1.06)</w:t>
      </w:r>
      <w:r w:rsidR="006B53DB">
        <w:t>]</w:t>
      </w:r>
      <w:r w:rsidRPr="00F00837">
        <w:t>;</w:t>
      </w:r>
    </w:p>
    <w:p w:rsidR="00E92B31" w:rsidRPr="00F00837" w:rsidRDefault="00E92B31" w:rsidP="00850F99">
      <w:pPr>
        <w:pStyle w:val="ListParagraph"/>
        <w:widowControl/>
        <w:numPr>
          <w:ilvl w:val="0"/>
          <w:numId w:val="23"/>
        </w:numPr>
      </w:pPr>
      <w:r w:rsidRPr="00F00837">
        <w:t xml:space="preserve">The OS HRs differed for the disease measurability strata, with a statistically significant reduction in risk of death associated with RAM+PAC over PBO+PAC in the measurable disease at baseline subgroup (HR = 0.75; 95% CI (0.62, 0.91)) compared with a non-statistically significant benefit </w:t>
      </w:r>
      <w:r w:rsidR="001A0145" w:rsidRPr="00F00837">
        <w:t xml:space="preserve">in OS </w:t>
      </w:r>
      <w:r w:rsidRPr="00F00837">
        <w:t xml:space="preserve">in </w:t>
      </w:r>
      <w:r w:rsidR="001A0145" w:rsidRPr="00F00837">
        <w:t xml:space="preserve">patients with </w:t>
      </w:r>
      <w:r w:rsidRPr="00F00837">
        <w:t>non</w:t>
      </w:r>
      <w:r w:rsidR="001A0145" w:rsidRPr="00F00837">
        <w:noBreakHyphen/>
      </w:r>
      <w:r w:rsidRPr="00F00837">
        <w:t>measurable disease at baseline (HR = 1.10; 95% CI (0.74, 1.64)</w:t>
      </w:r>
      <w:r w:rsidR="006B53DB">
        <w:t>)</w:t>
      </w:r>
      <w:r w:rsidR="00B62CF4" w:rsidRPr="00F00837">
        <w:t xml:space="preserve">. </w:t>
      </w:r>
      <w:r w:rsidR="00850F99" w:rsidRPr="00F00837">
        <w:t xml:space="preserve">The PSCR (p2) argued that </w:t>
      </w:r>
      <w:r w:rsidR="00D47822" w:rsidRPr="00F00837">
        <w:t>the difference in OS outcome in patients in whom disease is measurable v</w:t>
      </w:r>
      <w:r w:rsidR="00850F99" w:rsidRPr="00F00837">
        <w:t>er</w:t>
      </w:r>
      <w:r w:rsidR="00D47822" w:rsidRPr="00F00837">
        <w:t>s</w:t>
      </w:r>
      <w:r w:rsidR="00850F99" w:rsidRPr="00F00837">
        <w:t>us</w:t>
      </w:r>
      <w:r w:rsidR="00D47822" w:rsidRPr="00F00837">
        <w:t xml:space="preserve"> </w:t>
      </w:r>
      <w:r w:rsidR="00850F99" w:rsidRPr="00F00837">
        <w:t xml:space="preserve">the </w:t>
      </w:r>
      <w:r w:rsidR="00D47822" w:rsidRPr="00F00837">
        <w:t xml:space="preserve">non-measurable population </w:t>
      </w:r>
      <w:r w:rsidR="00850F99" w:rsidRPr="00F00837">
        <w:t>wa</w:t>
      </w:r>
      <w:r w:rsidR="00D47822" w:rsidRPr="00F00837">
        <w:t xml:space="preserve">s unlikely to be clinically significant. </w:t>
      </w:r>
      <w:r w:rsidR="00850F99" w:rsidRPr="00F00837">
        <w:t>The ESC agreed with the PSCR, and further advised that</w:t>
      </w:r>
      <w:r w:rsidR="00B62CF4" w:rsidRPr="00F00837">
        <w:t xml:space="preserve"> it would be difficult to restrict </w:t>
      </w:r>
      <w:r w:rsidR="002D637E" w:rsidRPr="00F00837">
        <w:t>PBS-</w:t>
      </w:r>
      <w:r w:rsidR="00B62CF4" w:rsidRPr="00F00837">
        <w:t>subsidised access to patients with measurable disease alone in practice</w:t>
      </w:r>
      <w:r w:rsidRPr="00F00837">
        <w:t>; and</w:t>
      </w:r>
    </w:p>
    <w:p w:rsidR="00ED5F41" w:rsidRPr="00F00837" w:rsidRDefault="00E92B31" w:rsidP="003A3129">
      <w:pPr>
        <w:pStyle w:val="ListParagraph"/>
        <w:widowControl/>
        <w:numPr>
          <w:ilvl w:val="0"/>
          <w:numId w:val="23"/>
        </w:numPr>
      </w:pPr>
      <w:r w:rsidRPr="00F00837">
        <w:t>The OS HRs differed among Region subgroups with a reduction in risk of death in Region 1 (HR = 0.73; 95% CI (0.58, 0.91)) compared with no benefit in Regions 2 (HR = 0.80; 95% CI (0.38, 1.7)) and 3 (HR = 0.99; 95% CI (0.73, 1.34)</w:t>
      </w:r>
      <w:r w:rsidR="00B62CF4" w:rsidRPr="00F00837">
        <w:t>.</w:t>
      </w:r>
      <w:r w:rsidRPr="00F00837">
        <w:t xml:space="preserve"> The sample size of Region 2 (~6% of the ITT) was relatively small compared to the other Region subgroups. Thus the observed HR in the overall ITT population (HR = 0.87) may have been driven by the larger Region 1 subgroup.</w:t>
      </w:r>
      <w:r w:rsidR="00AC4148" w:rsidRPr="00F00837">
        <w:t xml:space="preserve"> </w:t>
      </w:r>
      <w:r w:rsidR="00B62CF4" w:rsidRPr="00F00837">
        <w:t xml:space="preserve">The ESC noted that </w:t>
      </w:r>
      <w:r w:rsidR="00AC4148" w:rsidRPr="00F00837">
        <w:t>Australian patients accounted for 6% of the ITT (41/665) and 10% of Region 1</w:t>
      </w:r>
      <w:r w:rsidR="00B62CF4" w:rsidRPr="00F00837">
        <w:t>.</w:t>
      </w:r>
      <w:r w:rsidR="00AC4148" w:rsidRPr="00F00837">
        <w:t xml:space="preserve"> </w:t>
      </w:r>
    </w:p>
    <w:p w:rsidR="00C947C4" w:rsidRPr="00F00837" w:rsidRDefault="00C947C4" w:rsidP="001A0145">
      <w:pPr>
        <w:pStyle w:val="ListParagraph"/>
        <w:widowControl/>
        <w:ind w:left="1080"/>
      </w:pPr>
      <w:r w:rsidRPr="00F00837">
        <w:rPr>
          <w:rFonts w:cs="Calibri"/>
          <w:snapToGrid/>
          <w:szCs w:val="24"/>
          <w:lang w:eastAsia="en-AU"/>
        </w:rPr>
        <w:t xml:space="preserve">The ESC considered that </w:t>
      </w:r>
      <w:r w:rsidR="00B62CF4" w:rsidRPr="00F00837">
        <w:rPr>
          <w:rFonts w:cs="Calibri"/>
          <w:snapToGrid/>
          <w:szCs w:val="24"/>
          <w:lang w:eastAsia="en-AU"/>
        </w:rPr>
        <w:t xml:space="preserve">overall, </w:t>
      </w:r>
      <w:r w:rsidRPr="00F00837">
        <w:rPr>
          <w:rFonts w:cs="Calibri"/>
          <w:snapToGrid/>
          <w:szCs w:val="24"/>
          <w:lang w:eastAsia="en-AU"/>
        </w:rPr>
        <w:t xml:space="preserve">it was difficult to determine whether RAM+PAC was equally effective in all subgroups tested. </w:t>
      </w:r>
    </w:p>
    <w:p w:rsidR="00B74807" w:rsidRPr="00F00837" w:rsidRDefault="00B74807" w:rsidP="00B62CF4">
      <w:pPr>
        <w:pStyle w:val="ListParagraph"/>
        <w:widowControl/>
        <w:numPr>
          <w:ilvl w:val="1"/>
          <w:numId w:val="3"/>
        </w:numPr>
        <w:rPr>
          <w:rFonts w:cs="Calibri"/>
          <w:snapToGrid/>
          <w:szCs w:val="24"/>
          <w:lang w:eastAsia="en-AU"/>
        </w:rPr>
      </w:pPr>
      <w:r w:rsidRPr="00F00837">
        <w:rPr>
          <w:rFonts w:cs="Calibri"/>
          <w:snapToGrid/>
          <w:szCs w:val="24"/>
          <w:lang w:eastAsia="en-AU"/>
        </w:rPr>
        <w:t xml:space="preserve">The ESC further noted the results of two additional subgroup analyses based on primary tumour </w:t>
      </w:r>
      <w:r w:rsidR="005731CF" w:rsidRPr="00F00837">
        <w:rPr>
          <w:rFonts w:cs="Calibri"/>
          <w:snapToGrid/>
          <w:szCs w:val="24"/>
          <w:lang w:eastAsia="en-AU"/>
        </w:rPr>
        <w:t xml:space="preserve">site </w:t>
      </w:r>
      <w:r w:rsidRPr="00F00837">
        <w:rPr>
          <w:rFonts w:cs="Calibri"/>
          <w:snapToGrid/>
          <w:szCs w:val="24"/>
          <w:lang w:eastAsia="en-AU"/>
        </w:rPr>
        <w:t>and histology</w:t>
      </w:r>
      <w:r w:rsidR="003A3129" w:rsidRPr="00F00837">
        <w:rPr>
          <w:rFonts w:cs="Calibri"/>
          <w:snapToGrid/>
          <w:szCs w:val="24"/>
          <w:lang w:eastAsia="en-AU"/>
        </w:rPr>
        <w:t>:</w:t>
      </w:r>
    </w:p>
    <w:p w:rsidR="003A3129" w:rsidRPr="00456E19" w:rsidRDefault="00B21D8A" w:rsidP="005D6C15">
      <w:pPr>
        <w:pStyle w:val="ListParagraph"/>
        <w:widowControl/>
        <w:numPr>
          <w:ilvl w:val="0"/>
          <w:numId w:val="23"/>
        </w:numPr>
        <w:rPr>
          <w:rFonts w:cs="Calibri"/>
          <w:snapToGrid/>
          <w:szCs w:val="24"/>
          <w:lang w:eastAsia="en-AU"/>
        </w:rPr>
      </w:pPr>
      <w:r w:rsidRPr="00456E19">
        <w:rPr>
          <w:rFonts w:cs="Calibri"/>
          <w:snapToGrid/>
          <w:szCs w:val="24"/>
          <w:lang w:eastAsia="en-AU"/>
        </w:rPr>
        <w:t>I</w:t>
      </w:r>
      <w:r w:rsidR="00C947C4" w:rsidRPr="00456E19">
        <w:rPr>
          <w:rFonts w:cs="Calibri"/>
          <w:snapToGrid/>
          <w:szCs w:val="24"/>
          <w:lang w:eastAsia="en-AU"/>
        </w:rPr>
        <w:t>n a subgroup analysis of those with gastric v</w:t>
      </w:r>
      <w:r w:rsidR="00AB0EE9" w:rsidRPr="00456E19">
        <w:rPr>
          <w:rFonts w:cs="Calibri"/>
          <w:snapToGrid/>
          <w:szCs w:val="24"/>
          <w:lang w:eastAsia="en-AU"/>
        </w:rPr>
        <w:t>ersu</w:t>
      </w:r>
      <w:r w:rsidR="00C947C4" w:rsidRPr="00456E19">
        <w:rPr>
          <w:rFonts w:cs="Calibri"/>
          <w:snapToGrid/>
          <w:szCs w:val="24"/>
          <w:lang w:eastAsia="en-AU"/>
        </w:rPr>
        <w:t xml:space="preserve">s GEJ disease, OS outcomes in patients with </w:t>
      </w:r>
      <w:r w:rsidR="00910289" w:rsidRPr="00456E19">
        <w:rPr>
          <w:rFonts w:cs="Calibri"/>
          <w:snapToGrid/>
          <w:szCs w:val="24"/>
          <w:lang w:eastAsia="en-AU"/>
        </w:rPr>
        <w:t>g</w:t>
      </w:r>
      <w:r w:rsidR="00C947C4" w:rsidRPr="00456E19">
        <w:rPr>
          <w:rFonts w:cs="Calibri"/>
          <w:snapToGrid/>
          <w:szCs w:val="24"/>
          <w:lang w:eastAsia="en-AU"/>
        </w:rPr>
        <w:t xml:space="preserve">astric cancer were poorer than in patients with GEJ adenocarcinoma. There was no OS benefit in gastric cancer patients </w:t>
      </w:r>
      <w:r w:rsidR="005D6C15" w:rsidRPr="00456E19">
        <w:rPr>
          <w:rFonts w:cs="Calibri"/>
          <w:snapToGrid/>
          <w:szCs w:val="24"/>
          <w:lang w:eastAsia="en-AU"/>
        </w:rPr>
        <w:t xml:space="preserve">taking ramucirumab compared to placebo </w:t>
      </w:r>
      <w:r w:rsidR="00C947C4" w:rsidRPr="00456E19">
        <w:rPr>
          <w:rFonts w:cs="Calibri"/>
          <w:snapToGrid/>
          <w:szCs w:val="24"/>
          <w:lang w:eastAsia="en-AU"/>
        </w:rPr>
        <w:t xml:space="preserve">(n=264) </w:t>
      </w:r>
      <w:r w:rsidR="00AB0EE9" w:rsidRPr="00456E19">
        <w:rPr>
          <w:rFonts w:cs="Calibri"/>
          <w:snapToGrid/>
          <w:szCs w:val="24"/>
          <w:lang w:eastAsia="en-AU"/>
        </w:rPr>
        <w:t>(</w:t>
      </w:r>
      <w:r w:rsidR="00C947C4" w:rsidRPr="00456E19">
        <w:rPr>
          <w:rFonts w:cs="Calibri"/>
          <w:snapToGrid/>
          <w:szCs w:val="24"/>
          <w:lang w:eastAsia="en-AU"/>
        </w:rPr>
        <w:t>HR 0.899 (95% CI 0.736-1.096)</w:t>
      </w:r>
      <w:r w:rsidR="00AB0EE9" w:rsidRPr="00456E19">
        <w:rPr>
          <w:rFonts w:cs="Calibri"/>
          <w:snapToGrid/>
          <w:szCs w:val="24"/>
          <w:lang w:eastAsia="en-AU"/>
        </w:rPr>
        <w:t>)</w:t>
      </w:r>
      <w:r w:rsidR="00C947C4" w:rsidRPr="00456E19">
        <w:rPr>
          <w:rFonts w:cs="Calibri"/>
          <w:snapToGrid/>
          <w:szCs w:val="24"/>
          <w:lang w:eastAsia="en-AU"/>
        </w:rPr>
        <w:t xml:space="preserve"> v</w:t>
      </w:r>
      <w:r w:rsidR="00910289" w:rsidRPr="00456E19">
        <w:rPr>
          <w:rFonts w:cs="Calibri"/>
          <w:snapToGrid/>
          <w:szCs w:val="24"/>
          <w:lang w:eastAsia="en-AU"/>
        </w:rPr>
        <w:t>ersu</w:t>
      </w:r>
      <w:r w:rsidR="00C947C4" w:rsidRPr="00456E19">
        <w:rPr>
          <w:rFonts w:cs="Calibri"/>
          <w:snapToGrid/>
          <w:szCs w:val="24"/>
          <w:lang w:eastAsia="en-AU"/>
        </w:rPr>
        <w:t xml:space="preserve">s a </w:t>
      </w:r>
      <w:r w:rsidR="00910289" w:rsidRPr="00456E19">
        <w:rPr>
          <w:rFonts w:cs="Calibri"/>
          <w:snapToGrid/>
          <w:szCs w:val="24"/>
          <w:lang w:eastAsia="en-AU"/>
        </w:rPr>
        <w:t xml:space="preserve">significant </w:t>
      </w:r>
      <w:r w:rsidR="00C947C4" w:rsidRPr="00456E19">
        <w:rPr>
          <w:rFonts w:cs="Calibri"/>
          <w:snapToGrid/>
          <w:szCs w:val="24"/>
          <w:lang w:eastAsia="en-AU"/>
        </w:rPr>
        <w:t xml:space="preserve">survival benefit in GEJ patients </w:t>
      </w:r>
      <w:r w:rsidR="005D6C15" w:rsidRPr="00456E19">
        <w:rPr>
          <w:rFonts w:cs="Calibri"/>
          <w:snapToGrid/>
          <w:szCs w:val="24"/>
          <w:lang w:eastAsia="en-AU"/>
        </w:rPr>
        <w:t xml:space="preserve">taking ramucirumab compared to placebo </w:t>
      </w:r>
      <w:r w:rsidR="00C947C4" w:rsidRPr="00456E19">
        <w:rPr>
          <w:rFonts w:cs="Calibri"/>
          <w:snapToGrid/>
          <w:szCs w:val="24"/>
          <w:lang w:eastAsia="en-AU"/>
        </w:rPr>
        <w:t xml:space="preserve">(n=66) </w:t>
      </w:r>
      <w:r w:rsidR="00AB0EE9" w:rsidRPr="00456E19">
        <w:rPr>
          <w:rFonts w:cs="Calibri"/>
          <w:snapToGrid/>
          <w:szCs w:val="24"/>
          <w:lang w:eastAsia="en-AU"/>
        </w:rPr>
        <w:t>(</w:t>
      </w:r>
      <w:r w:rsidR="00C947C4" w:rsidRPr="00456E19">
        <w:rPr>
          <w:rFonts w:cs="Calibri"/>
          <w:snapToGrid/>
          <w:szCs w:val="24"/>
          <w:lang w:eastAsia="en-AU"/>
        </w:rPr>
        <w:t>HR 0.5</w:t>
      </w:r>
      <w:r w:rsidR="00782EB0" w:rsidRPr="00456E19">
        <w:rPr>
          <w:rFonts w:cs="Calibri"/>
          <w:snapToGrid/>
          <w:szCs w:val="24"/>
          <w:lang w:eastAsia="en-AU"/>
        </w:rPr>
        <w:t>21</w:t>
      </w:r>
      <w:r w:rsidR="00C947C4" w:rsidRPr="00456E19">
        <w:rPr>
          <w:rFonts w:cs="Calibri"/>
          <w:snapToGrid/>
          <w:szCs w:val="24"/>
          <w:lang w:eastAsia="en-AU"/>
        </w:rPr>
        <w:t xml:space="preserve"> (95% CI 0.348-0.781)</w:t>
      </w:r>
      <w:r w:rsidR="00AB0EE9" w:rsidRPr="00456E19">
        <w:rPr>
          <w:rFonts w:cs="Calibri"/>
          <w:snapToGrid/>
          <w:szCs w:val="24"/>
          <w:lang w:eastAsia="en-AU"/>
        </w:rPr>
        <w:t>)</w:t>
      </w:r>
      <w:r w:rsidR="00C947C4" w:rsidRPr="00456E19">
        <w:rPr>
          <w:rFonts w:cs="Calibri"/>
          <w:snapToGrid/>
          <w:szCs w:val="24"/>
          <w:lang w:eastAsia="en-AU"/>
        </w:rPr>
        <w:t xml:space="preserve">. </w:t>
      </w:r>
      <w:r w:rsidR="00AB0EE9" w:rsidRPr="00456E19">
        <w:rPr>
          <w:rFonts w:cs="Calibri"/>
          <w:snapToGrid/>
          <w:szCs w:val="24"/>
          <w:lang w:eastAsia="en-AU"/>
        </w:rPr>
        <w:t xml:space="preserve">The ESC noted that </w:t>
      </w:r>
      <w:r w:rsidR="00AB0F73" w:rsidRPr="00456E19">
        <w:rPr>
          <w:rFonts w:cs="Calibri"/>
          <w:snapToGrid/>
          <w:szCs w:val="24"/>
          <w:lang w:eastAsia="en-AU"/>
        </w:rPr>
        <w:t>approximately 80%</w:t>
      </w:r>
      <w:r w:rsidR="00AB0EE9" w:rsidRPr="00456E19">
        <w:rPr>
          <w:rFonts w:cs="Calibri"/>
          <w:snapToGrid/>
          <w:szCs w:val="24"/>
          <w:lang w:eastAsia="en-AU"/>
        </w:rPr>
        <w:t xml:space="preserve"> of patients enrolled in the RAINBOW trial had </w:t>
      </w:r>
      <w:r w:rsidR="005731CF" w:rsidRPr="00456E19">
        <w:rPr>
          <w:rFonts w:cs="Calibri"/>
          <w:snapToGrid/>
          <w:szCs w:val="24"/>
          <w:lang w:eastAsia="en-AU"/>
        </w:rPr>
        <w:t xml:space="preserve">primary </w:t>
      </w:r>
      <w:r w:rsidR="00AB0EE9" w:rsidRPr="00456E19">
        <w:rPr>
          <w:rFonts w:cs="Calibri"/>
          <w:snapToGrid/>
          <w:szCs w:val="24"/>
          <w:lang w:eastAsia="en-AU"/>
        </w:rPr>
        <w:t xml:space="preserve">gastric </w:t>
      </w:r>
      <w:r w:rsidR="00AB10CB" w:rsidRPr="00456E19">
        <w:rPr>
          <w:rFonts w:cs="Calibri"/>
          <w:snapToGrid/>
          <w:szCs w:val="24"/>
          <w:lang w:eastAsia="en-AU"/>
        </w:rPr>
        <w:t>tumour</w:t>
      </w:r>
      <w:r w:rsidR="00AB0EE9" w:rsidRPr="00456E19">
        <w:rPr>
          <w:rFonts w:cs="Calibri"/>
          <w:snapToGrid/>
          <w:szCs w:val="24"/>
          <w:lang w:eastAsia="en-AU"/>
        </w:rPr>
        <w:t xml:space="preserve">. </w:t>
      </w:r>
    </w:p>
    <w:p w:rsidR="003A3129" w:rsidRPr="00F00837" w:rsidRDefault="00B21D8A" w:rsidP="002D4362">
      <w:pPr>
        <w:pStyle w:val="ListParagraph"/>
        <w:widowControl/>
        <w:numPr>
          <w:ilvl w:val="0"/>
          <w:numId w:val="23"/>
        </w:numPr>
        <w:rPr>
          <w:rFonts w:cs="Calibri"/>
          <w:snapToGrid/>
          <w:szCs w:val="24"/>
          <w:lang w:eastAsia="en-AU"/>
        </w:rPr>
      </w:pPr>
      <w:r>
        <w:rPr>
          <w:rFonts w:cs="Calibri"/>
          <w:snapToGrid/>
          <w:szCs w:val="24"/>
          <w:lang w:eastAsia="en-AU"/>
        </w:rPr>
        <w:t>I</w:t>
      </w:r>
      <w:r w:rsidR="003A3129" w:rsidRPr="00F00837">
        <w:rPr>
          <w:rFonts w:cs="Calibri"/>
          <w:snapToGrid/>
          <w:szCs w:val="24"/>
          <w:lang w:eastAsia="en-AU"/>
        </w:rPr>
        <w:t xml:space="preserve">n a subgroup analysis for histological subtype, patients with intestinal disease subtype (n=145) </w:t>
      </w:r>
      <w:r w:rsidR="005E3763" w:rsidRPr="00F00837">
        <w:rPr>
          <w:rFonts w:cs="Calibri"/>
          <w:snapToGrid/>
          <w:szCs w:val="24"/>
          <w:lang w:eastAsia="en-AU"/>
        </w:rPr>
        <w:t>(</w:t>
      </w:r>
      <w:r w:rsidR="005D6C15" w:rsidRPr="00F00837">
        <w:rPr>
          <w:rFonts w:cs="Calibri"/>
          <w:snapToGrid/>
          <w:szCs w:val="24"/>
          <w:lang w:eastAsia="en-AU"/>
        </w:rPr>
        <w:t xml:space="preserve">OS </w:t>
      </w:r>
      <w:r w:rsidR="005E3763" w:rsidRPr="00F00837">
        <w:rPr>
          <w:rFonts w:cs="Calibri"/>
          <w:snapToGrid/>
          <w:szCs w:val="24"/>
          <w:lang w:eastAsia="en-AU"/>
        </w:rPr>
        <w:t>HR 0.705</w:t>
      </w:r>
      <w:r w:rsidR="003A3129" w:rsidRPr="00F00837">
        <w:rPr>
          <w:rFonts w:cs="Calibri"/>
          <w:snapToGrid/>
          <w:szCs w:val="24"/>
          <w:lang w:eastAsia="en-AU"/>
        </w:rPr>
        <w:t xml:space="preserve"> (95% CI 0.534-0.932)) benefited more from RAM+PAC treatment than those with diffused subtype (n=115) (HR</w:t>
      </w:r>
      <w:r w:rsidR="003A3129">
        <w:rPr>
          <w:rFonts w:cs="Calibri"/>
          <w:i/>
          <w:snapToGrid/>
          <w:szCs w:val="24"/>
          <w:lang w:eastAsia="en-AU"/>
        </w:rPr>
        <w:t xml:space="preserve"> </w:t>
      </w:r>
      <w:r w:rsidR="003A3129" w:rsidRPr="00F00837">
        <w:rPr>
          <w:rFonts w:cs="Calibri"/>
          <w:snapToGrid/>
          <w:szCs w:val="24"/>
          <w:lang w:eastAsia="en-AU"/>
        </w:rPr>
        <w:t xml:space="preserve">0.856 (95% CI 0.641-1.145). </w:t>
      </w:r>
      <w:r w:rsidR="002D637E" w:rsidRPr="00F00837">
        <w:rPr>
          <w:rFonts w:cs="Calibri"/>
          <w:snapToGrid/>
          <w:szCs w:val="24"/>
          <w:lang w:eastAsia="en-AU"/>
        </w:rPr>
        <w:t>The ESC advised that in practice, it would be more difficult to detect progression in patients with diffused subtype of disease.</w:t>
      </w:r>
    </w:p>
    <w:p w:rsidR="00C947C4" w:rsidRDefault="00C947C4" w:rsidP="002D4362">
      <w:pPr>
        <w:widowControl/>
        <w:spacing w:after="160"/>
        <w:ind w:left="720"/>
        <w:rPr>
          <w:rFonts w:cs="Calibri"/>
          <w:snapToGrid/>
          <w:szCs w:val="24"/>
          <w:lang w:eastAsia="en-AU"/>
        </w:rPr>
      </w:pPr>
      <w:r w:rsidRPr="00B21D8A">
        <w:rPr>
          <w:rFonts w:cs="Calibri"/>
          <w:snapToGrid/>
          <w:szCs w:val="24"/>
          <w:lang w:eastAsia="en-AU"/>
        </w:rPr>
        <w:t xml:space="preserve">The ESC </w:t>
      </w:r>
      <w:r w:rsidR="00AB0F73" w:rsidRPr="00B21D8A">
        <w:rPr>
          <w:rFonts w:cs="Calibri"/>
          <w:snapToGrid/>
          <w:szCs w:val="24"/>
          <w:lang w:eastAsia="en-AU"/>
        </w:rPr>
        <w:t xml:space="preserve">further </w:t>
      </w:r>
      <w:r w:rsidRPr="00B21D8A">
        <w:rPr>
          <w:rFonts w:cs="Calibri"/>
          <w:snapToGrid/>
          <w:szCs w:val="24"/>
          <w:lang w:eastAsia="en-AU"/>
        </w:rPr>
        <w:t xml:space="preserve">noted that patients were not stratified at randomisation for disease </w:t>
      </w:r>
      <w:r w:rsidR="005731CF" w:rsidRPr="00B21D8A">
        <w:rPr>
          <w:rFonts w:cs="Calibri"/>
          <w:snapToGrid/>
          <w:szCs w:val="24"/>
          <w:lang w:eastAsia="en-AU"/>
        </w:rPr>
        <w:t xml:space="preserve">site </w:t>
      </w:r>
      <w:r w:rsidR="00AB10CB" w:rsidRPr="00B21D8A">
        <w:rPr>
          <w:rFonts w:cs="Calibri"/>
          <w:snapToGrid/>
          <w:szCs w:val="24"/>
          <w:lang w:eastAsia="en-AU"/>
        </w:rPr>
        <w:t>and histological subtype</w:t>
      </w:r>
      <w:r w:rsidRPr="00B21D8A">
        <w:rPr>
          <w:rFonts w:cs="Calibri"/>
          <w:snapToGrid/>
          <w:szCs w:val="24"/>
          <w:lang w:eastAsia="en-AU"/>
        </w:rPr>
        <w:t>, and therefore</w:t>
      </w:r>
      <w:r w:rsidR="00AB0F73" w:rsidRPr="00B21D8A">
        <w:rPr>
          <w:rFonts w:cs="Calibri"/>
          <w:snapToGrid/>
          <w:szCs w:val="24"/>
          <w:lang w:eastAsia="en-AU"/>
        </w:rPr>
        <w:t xml:space="preserve"> considered that</w:t>
      </w:r>
      <w:r w:rsidRPr="00B21D8A">
        <w:rPr>
          <w:rFonts w:cs="Calibri"/>
          <w:snapToGrid/>
          <w:szCs w:val="24"/>
          <w:lang w:eastAsia="en-AU"/>
        </w:rPr>
        <w:t xml:space="preserve"> it was difficult to determine</w:t>
      </w:r>
      <w:r w:rsidR="002D637E" w:rsidRPr="00B21D8A">
        <w:rPr>
          <w:rFonts w:cs="Calibri"/>
          <w:snapToGrid/>
          <w:szCs w:val="24"/>
          <w:lang w:eastAsia="en-AU"/>
        </w:rPr>
        <w:t xml:space="preserve"> whether these were clinically meaningful findings, or if </w:t>
      </w:r>
      <w:r w:rsidRPr="00B21D8A">
        <w:rPr>
          <w:rFonts w:cs="Calibri"/>
          <w:snapToGrid/>
          <w:szCs w:val="24"/>
          <w:lang w:eastAsia="en-AU"/>
        </w:rPr>
        <w:t>the effect</w:t>
      </w:r>
      <w:r w:rsidR="002D637E" w:rsidRPr="00B21D8A">
        <w:rPr>
          <w:rFonts w:cs="Calibri"/>
          <w:snapToGrid/>
          <w:szCs w:val="24"/>
          <w:lang w:eastAsia="en-AU"/>
        </w:rPr>
        <w:t>s</w:t>
      </w:r>
      <w:r w:rsidRPr="00B21D8A">
        <w:rPr>
          <w:rFonts w:cs="Calibri"/>
          <w:snapToGrid/>
          <w:szCs w:val="24"/>
          <w:lang w:eastAsia="en-AU"/>
        </w:rPr>
        <w:t xml:space="preserve"> observed</w:t>
      </w:r>
      <w:r w:rsidR="002D637E" w:rsidRPr="00B21D8A">
        <w:rPr>
          <w:rFonts w:cs="Calibri"/>
          <w:snapToGrid/>
          <w:szCs w:val="24"/>
          <w:lang w:eastAsia="en-AU"/>
        </w:rPr>
        <w:t xml:space="preserve"> were </w:t>
      </w:r>
      <w:r w:rsidRPr="00B21D8A">
        <w:rPr>
          <w:rFonts w:cs="Calibri"/>
          <w:snapToGrid/>
          <w:szCs w:val="24"/>
          <w:lang w:eastAsia="en-AU"/>
        </w:rPr>
        <w:t>due to</w:t>
      </w:r>
      <w:r w:rsidR="00992A69" w:rsidRPr="00B21D8A">
        <w:rPr>
          <w:rFonts w:cs="Calibri"/>
          <w:snapToGrid/>
          <w:szCs w:val="24"/>
          <w:lang w:eastAsia="en-AU"/>
        </w:rPr>
        <w:t xml:space="preserve"> </w:t>
      </w:r>
      <w:r w:rsidR="00AB0EE9" w:rsidRPr="00B21D8A">
        <w:rPr>
          <w:rFonts w:cs="Calibri"/>
          <w:snapToGrid/>
          <w:szCs w:val="24"/>
          <w:lang w:eastAsia="en-AU"/>
        </w:rPr>
        <w:t xml:space="preserve">the </w:t>
      </w:r>
      <w:r w:rsidR="00992A69" w:rsidRPr="00B21D8A">
        <w:rPr>
          <w:rFonts w:cs="Calibri"/>
          <w:snapToGrid/>
          <w:szCs w:val="24"/>
          <w:lang w:eastAsia="en-AU"/>
        </w:rPr>
        <w:t xml:space="preserve">exploratory nature of the </w:t>
      </w:r>
      <w:r w:rsidR="002D637E" w:rsidRPr="00B21D8A">
        <w:rPr>
          <w:rFonts w:cs="Calibri"/>
          <w:snapToGrid/>
          <w:szCs w:val="24"/>
          <w:lang w:eastAsia="en-AU"/>
        </w:rPr>
        <w:t>subgroup analyse</w:t>
      </w:r>
      <w:r w:rsidRPr="00B21D8A">
        <w:rPr>
          <w:rFonts w:cs="Calibri"/>
          <w:snapToGrid/>
          <w:szCs w:val="24"/>
          <w:lang w:eastAsia="en-AU"/>
        </w:rPr>
        <w:t>s.</w:t>
      </w:r>
    </w:p>
    <w:p w:rsidR="00681B09" w:rsidRPr="00F00837" w:rsidRDefault="00681B09" w:rsidP="00681B09">
      <w:pPr>
        <w:pStyle w:val="ListParagraph"/>
        <w:widowControl/>
        <w:numPr>
          <w:ilvl w:val="1"/>
          <w:numId w:val="3"/>
        </w:numPr>
      </w:pPr>
      <w:r w:rsidRPr="00F00837">
        <w:rPr>
          <w:rFonts w:cs="Calibri"/>
          <w:snapToGrid/>
          <w:szCs w:val="24"/>
          <w:lang w:eastAsia="en-AU"/>
        </w:rPr>
        <w:t xml:space="preserve">The results </w:t>
      </w:r>
      <w:r w:rsidR="000C049B" w:rsidRPr="00F00837">
        <w:rPr>
          <w:rFonts w:cs="Calibri"/>
          <w:snapToGrid/>
          <w:szCs w:val="24"/>
          <w:lang w:eastAsia="en-AU"/>
        </w:rPr>
        <w:t>of</w:t>
      </w:r>
      <w:r w:rsidRPr="00F00837">
        <w:rPr>
          <w:rFonts w:cs="Calibri"/>
          <w:snapToGrid/>
          <w:szCs w:val="24"/>
          <w:lang w:eastAsia="en-AU"/>
        </w:rPr>
        <w:t xml:space="preserve"> the secondary outcome</w:t>
      </w:r>
      <w:r w:rsidR="00666148" w:rsidRPr="00F00837">
        <w:rPr>
          <w:rFonts w:cs="Calibri"/>
          <w:snapToGrid/>
          <w:szCs w:val="24"/>
          <w:lang w:eastAsia="en-AU"/>
        </w:rPr>
        <w:t xml:space="preserve"> of </w:t>
      </w:r>
      <w:r w:rsidRPr="00F00837">
        <w:rPr>
          <w:rFonts w:cs="Calibri"/>
          <w:snapToGrid/>
          <w:szCs w:val="24"/>
          <w:lang w:eastAsia="en-AU"/>
        </w:rPr>
        <w:t xml:space="preserve">PFS for the ITT population from the RAINBOW trial and the corresponding Kaplan-Meier curves are presented </w:t>
      </w:r>
      <w:r w:rsidR="00445F54" w:rsidRPr="00F00837">
        <w:rPr>
          <w:rFonts w:cs="Calibri"/>
          <w:snapToGrid/>
          <w:szCs w:val="24"/>
          <w:lang w:eastAsia="en-AU"/>
        </w:rPr>
        <w:t xml:space="preserve">in the figure </w:t>
      </w:r>
      <w:r w:rsidRPr="00F00837">
        <w:rPr>
          <w:rFonts w:cs="Calibri"/>
          <w:snapToGrid/>
          <w:szCs w:val="24"/>
          <w:lang w:eastAsia="en-AU"/>
        </w:rPr>
        <w:t>below.</w:t>
      </w:r>
    </w:p>
    <w:p w:rsidR="00681B09" w:rsidRPr="00382705" w:rsidRDefault="00681B09" w:rsidP="00681B09">
      <w:pPr>
        <w:keepNext/>
        <w:rPr>
          <w:rStyle w:val="CommentReference"/>
        </w:rPr>
      </w:pPr>
      <w:r w:rsidRPr="00382705">
        <w:rPr>
          <w:rStyle w:val="CommentReference"/>
        </w:rPr>
        <w:t xml:space="preserve">Figure </w:t>
      </w:r>
      <w:r w:rsidR="00445F54" w:rsidRPr="00382705">
        <w:rPr>
          <w:rStyle w:val="CommentReference"/>
        </w:rPr>
        <w:t>2</w:t>
      </w:r>
      <w:r w:rsidRPr="00382705">
        <w:rPr>
          <w:rStyle w:val="CommentReference"/>
        </w:rPr>
        <w:t>: Kaplan-Meier plot of progression free survival in RAINBOW (ITT population)</w:t>
      </w:r>
    </w:p>
    <w:p w:rsidR="00681B09" w:rsidRPr="00382705" w:rsidRDefault="00681B09" w:rsidP="00681B09">
      <w:pPr>
        <w:widowControl/>
      </w:pPr>
      <w:r w:rsidRPr="00382705">
        <w:rPr>
          <w:rFonts w:ascii="Arial Narrow" w:hAnsi="Arial Narrow"/>
          <w:noProof/>
          <w:sz w:val="20"/>
          <w:szCs w:val="20"/>
          <w:lang w:eastAsia="en-AU"/>
        </w:rPr>
        <w:drawing>
          <wp:inline distT="0" distB="0" distL="0" distR="0" wp14:anchorId="60E13AEA" wp14:editId="3B9E1640">
            <wp:extent cx="5310554" cy="3504966"/>
            <wp:effectExtent l="0" t="0" r="444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310554" cy="3504966"/>
                    </a:xfrm>
                    <a:prstGeom prst="rect">
                      <a:avLst/>
                    </a:prstGeom>
                  </pic:spPr>
                </pic:pic>
              </a:graphicData>
            </a:graphic>
          </wp:inline>
        </w:drawing>
      </w:r>
    </w:p>
    <w:p w:rsidR="00681B09" w:rsidRPr="00382705" w:rsidRDefault="00681B09" w:rsidP="00681B09">
      <w:pPr>
        <w:pStyle w:val="TableFooter"/>
      </w:pPr>
      <w:r w:rsidRPr="00382705">
        <w:t>CI = confidence interval; HR = hazard ratio; PBO = placebo; PAC or PTX = paclitaxel; RAM = ramucirumab.</w:t>
      </w:r>
    </w:p>
    <w:p w:rsidR="00681B09" w:rsidRPr="00382705" w:rsidRDefault="00681B09" w:rsidP="00681B09">
      <w:pPr>
        <w:pStyle w:val="TableFooter"/>
      </w:pPr>
      <w:r w:rsidRPr="00382705">
        <w:t>Source: Figure 2.5.3, p54 of the main submission.)</w:t>
      </w:r>
    </w:p>
    <w:p w:rsidR="00E3236F" w:rsidRPr="00382705" w:rsidRDefault="00E3236F" w:rsidP="00E3236F">
      <w:pPr>
        <w:pStyle w:val="TableFooter"/>
      </w:pPr>
    </w:p>
    <w:p w:rsidR="00666148" w:rsidRPr="00382705" w:rsidRDefault="00666148" w:rsidP="00666148">
      <w:pPr>
        <w:pStyle w:val="ListParagraph"/>
        <w:widowControl/>
        <w:numPr>
          <w:ilvl w:val="1"/>
          <w:numId w:val="3"/>
        </w:numPr>
      </w:pPr>
      <w:r w:rsidRPr="00382705">
        <w:t>Treatment with RAM+PAC reduced the risk of progression or death by 36% (HR = 0.64; 95% CI: 0.54, 0.75; p&lt;0.0001), representing a gain in median PFS of 1.5</w:t>
      </w:r>
      <w:r w:rsidR="001A0145">
        <w:t> </w:t>
      </w:r>
      <w:r w:rsidRPr="00382705">
        <w:t>months. The 9 month PFS rate difference between RAM+PAC and PBO+PAC was approximately 12 % (22% vs. 10%)</w:t>
      </w:r>
    </w:p>
    <w:p w:rsidR="00E3236F" w:rsidRPr="00F00837" w:rsidRDefault="00666148" w:rsidP="00C947C4">
      <w:pPr>
        <w:pStyle w:val="ListParagraph"/>
        <w:widowControl/>
        <w:numPr>
          <w:ilvl w:val="1"/>
          <w:numId w:val="3"/>
        </w:numPr>
      </w:pPr>
      <w:r w:rsidRPr="00382705">
        <w:rPr>
          <w:lang w:eastAsia="ja-JP"/>
        </w:rPr>
        <w:t xml:space="preserve">QoL was assessed in the RAINBOW trial. </w:t>
      </w:r>
      <w:r w:rsidR="00E3236F" w:rsidRPr="00382705">
        <w:rPr>
          <w:lang w:eastAsia="ja-JP"/>
        </w:rPr>
        <w:t xml:space="preserve">The submission claimed that a greater percentage of patients in the RAM+PAC arm experienced stable or improved QoL parameters for a longer period of time, compared with patients </w:t>
      </w:r>
      <w:r w:rsidR="003D199B" w:rsidRPr="00382705">
        <w:rPr>
          <w:lang w:eastAsia="ja-JP"/>
        </w:rPr>
        <w:t>in the</w:t>
      </w:r>
      <w:r w:rsidR="00E3236F" w:rsidRPr="00382705">
        <w:rPr>
          <w:lang w:eastAsia="ja-JP"/>
        </w:rPr>
        <w:t xml:space="preserve"> PBO+PAC</w:t>
      </w:r>
      <w:r w:rsidR="003D199B" w:rsidRPr="00382705">
        <w:rPr>
          <w:lang w:eastAsia="ja-JP"/>
        </w:rPr>
        <w:t xml:space="preserve"> arm</w:t>
      </w:r>
      <w:r w:rsidR="00E3236F" w:rsidRPr="00382705">
        <w:rPr>
          <w:lang w:eastAsia="ja-JP"/>
        </w:rPr>
        <w:t xml:space="preserve">. However, there were missing </w:t>
      </w:r>
      <w:r w:rsidR="00E3236F" w:rsidRPr="00382705">
        <w:rPr>
          <w:rFonts w:cs="Calibri"/>
          <w:snapToGrid/>
          <w:szCs w:val="24"/>
          <w:lang w:eastAsia="en-AU"/>
        </w:rPr>
        <w:t>data for a substantial number of patients in the trial (e.g. 34.3% and 62.4% in the PBO+PAC control arm at the midpoint of the 2</w:t>
      </w:r>
      <w:r w:rsidR="00E3236F" w:rsidRPr="00382705">
        <w:rPr>
          <w:rFonts w:cs="Calibri"/>
          <w:snapToGrid/>
          <w:szCs w:val="24"/>
          <w:vertAlign w:val="superscript"/>
          <w:lang w:eastAsia="en-AU"/>
        </w:rPr>
        <w:t>nd</w:t>
      </w:r>
      <w:r w:rsidR="00E3236F" w:rsidRPr="00382705">
        <w:rPr>
          <w:rFonts w:cs="Calibri"/>
          <w:snapToGrid/>
          <w:szCs w:val="24"/>
          <w:lang w:eastAsia="en-AU"/>
        </w:rPr>
        <w:t xml:space="preserve"> cycle and start of the 4</w:t>
      </w:r>
      <w:r w:rsidR="00E3236F" w:rsidRPr="00382705">
        <w:rPr>
          <w:rFonts w:cs="Calibri"/>
          <w:snapToGrid/>
          <w:szCs w:val="24"/>
          <w:vertAlign w:val="superscript"/>
          <w:lang w:eastAsia="en-AU"/>
        </w:rPr>
        <w:t>th</w:t>
      </w:r>
      <w:r w:rsidR="00E3236F" w:rsidRPr="00382705">
        <w:rPr>
          <w:rFonts w:cs="Calibri"/>
          <w:snapToGrid/>
          <w:szCs w:val="24"/>
          <w:lang w:eastAsia="en-AU"/>
        </w:rPr>
        <w:t xml:space="preserve"> cycle, respectively) which made a meaningful interpretation of </w:t>
      </w:r>
      <w:r w:rsidR="00E3236F" w:rsidRPr="00F00837">
        <w:rPr>
          <w:rFonts w:cs="Calibri"/>
          <w:snapToGrid/>
          <w:szCs w:val="24"/>
          <w:lang w:eastAsia="en-AU"/>
        </w:rPr>
        <w:t>the QoL results difficult</w:t>
      </w:r>
      <w:r w:rsidR="00C947C4" w:rsidRPr="00F00837">
        <w:rPr>
          <w:rFonts w:cs="Calibri"/>
          <w:snapToGrid/>
          <w:szCs w:val="24"/>
          <w:lang w:eastAsia="en-AU"/>
        </w:rPr>
        <w:t>. The PSCR indicated that for the QoL response analysis, patients for whom QoL data were not available were grouped with those who reported worse QoL, noting that the majority of patients who discontinued therapy did so because of disease progression</w:t>
      </w:r>
      <w:r w:rsidR="00512CC7" w:rsidRPr="00F00837">
        <w:rPr>
          <w:rFonts w:cs="Calibri"/>
          <w:snapToGrid/>
          <w:szCs w:val="24"/>
          <w:lang w:eastAsia="en-AU"/>
        </w:rPr>
        <w:t xml:space="preserve">, which is usually </w:t>
      </w:r>
      <w:r w:rsidR="00C947C4" w:rsidRPr="00F00837">
        <w:rPr>
          <w:rFonts w:cs="Calibri"/>
          <w:snapToGrid/>
          <w:szCs w:val="24"/>
          <w:lang w:eastAsia="en-AU"/>
        </w:rPr>
        <w:t xml:space="preserve">associated with worsened QoL.  </w:t>
      </w:r>
    </w:p>
    <w:p w:rsidR="00681B09" w:rsidRPr="009643B5" w:rsidRDefault="00681B09" w:rsidP="00681B09">
      <w:pPr>
        <w:pStyle w:val="Heading2"/>
      </w:pPr>
      <w:bookmarkStart w:id="12" w:name="_Toc501621604"/>
      <w:r w:rsidRPr="009643B5">
        <w:t>Comparative harms</w:t>
      </w:r>
      <w:bookmarkEnd w:id="12"/>
    </w:p>
    <w:p w:rsidR="00681B09" w:rsidRPr="00382705" w:rsidRDefault="002140D1" w:rsidP="001F46FB">
      <w:pPr>
        <w:pStyle w:val="ListParagraph"/>
        <w:widowControl/>
        <w:numPr>
          <w:ilvl w:val="1"/>
          <w:numId w:val="3"/>
        </w:numPr>
        <w:spacing w:before="160"/>
      </w:pPr>
      <w:r w:rsidRPr="00382705">
        <w:t xml:space="preserve">Treatment emergent adverse events (TEAEs) in the RAINBOW trial are summarised </w:t>
      </w:r>
      <w:r w:rsidR="00445F54" w:rsidRPr="00382705">
        <w:t xml:space="preserve">in the table </w:t>
      </w:r>
      <w:r w:rsidRPr="00382705">
        <w:t>below</w:t>
      </w:r>
      <w:r w:rsidR="00681B09" w:rsidRPr="00382705">
        <w:t>.</w:t>
      </w:r>
    </w:p>
    <w:p w:rsidR="00681B09" w:rsidRPr="00382705" w:rsidRDefault="00681B09" w:rsidP="002F03CC">
      <w:pPr>
        <w:pStyle w:val="Caption"/>
        <w:keepNext/>
        <w:widowControl/>
        <w:spacing w:after="0"/>
        <w:rPr>
          <w:rFonts w:ascii="Arial Narrow" w:hAnsi="Arial Narrow"/>
          <w:color w:val="auto"/>
          <w:sz w:val="20"/>
          <w:szCs w:val="20"/>
        </w:rPr>
      </w:pPr>
      <w:r w:rsidRPr="00382705">
        <w:rPr>
          <w:rFonts w:ascii="Arial Narrow" w:hAnsi="Arial Narrow"/>
          <w:color w:val="auto"/>
          <w:sz w:val="20"/>
          <w:szCs w:val="20"/>
        </w:rPr>
        <w:t xml:space="preserve">Table </w:t>
      </w:r>
      <w:r w:rsidR="00445F54" w:rsidRPr="00382705">
        <w:rPr>
          <w:rFonts w:ascii="Arial Narrow" w:hAnsi="Arial Narrow"/>
          <w:color w:val="auto"/>
          <w:sz w:val="20"/>
          <w:szCs w:val="20"/>
        </w:rPr>
        <w:t>4</w:t>
      </w:r>
      <w:r w:rsidRPr="00382705">
        <w:rPr>
          <w:rFonts w:ascii="Arial Narrow" w:hAnsi="Arial Narrow"/>
          <w:color w:val="auto"/>
          <w:sz w:val="20"/>
          <w:szCs w:val="20"/>
        </w:rPr>
        <w:t xml:space="preserve">: Summary of adverse events </w:t>
      </w:r>
    </w:p>
    <w:tbl>
      <w:tblPr>
        <w:tblStyle w:val="TableGrid"/>
        <w:tblW w:w="5000" w:type="pct"/>
        <w:tblLook w:val="04A0" w:firstRow="1" w:lastRow="0" w:firstColumn="1" w:lastColumn="0" w:noHBand="0" w:noVBand="1"/>
      </w:tblPr>
      <w:tblGrid>
        <w:gridCol w:w="3249"/>
        <w:gridCol w:w="1370"/>
        <w:gridCol w:w="1370"/>
        <w:gridCol w:w="1540"/>
        <w:gridCol w:w="1714"/>
      </w:tblGrid>
      <w:tr w:rsidR="00681B09" w:rsidRPr="00382705" w:rsidTr="00F4739A">
        <w:trPr>
          <w:trHeight w:val="274"/>
        </w:trPr>
        <w:tc>
          <w:tcPr>
            <w:tcW w:w="1758" w:type="pct"/>
            <w:vMerge w:val="restart"/>
          </w:tcPr>
          <w:p w:rsidR="00681B09" w:rsidRPr="00382705" w:rsidRDefault="00681B09" w:rsidP="002F03CC">
            <w:pPr>
              <w:keepNext/>
              <w:widowControl/>
              <w:ind w:right="36"/>
              <w:rPr>
                <w:rFonts w:ascii="Arial Narrow" w:hAnsi="Arial Narrow"/>
                <w:b/>
                <w:sz w:val="20"/>
                <w:szCs w:val="20"/>
              </w:rPr>
            </w:pPr>
            <w:r w:rsidRPr="00382705">
              <w:rPr>
                <w:rFonts w:ascii="Arial Narrow" w:hAnsi="Arial Narrow"/>
                <w:b/>
                <w:sz w:val="20"/>
                <w:szCs w:val="20"/>
              </w:rPr>
              <w:t>Characteristic</w:t>
            </w:r>
          </w:p>
        </w:tc>
        <w:tc>
          <w:tcPr>
            <w:tcW w:w="741" w:type="pct"/>
            <w:vMerge w:val="restart"/>
          </w:tcPr>
          <w:p w:rsidR="00681B09" w:rsidRPr="00382705" w:rsidRDefault="00681B09" w:rsidP="002F03CC">
            <w:pPr>
              <w:keepNext/>
              <w:widowControl/>
              <w:tabs>
                <w:tab w:val="left" w:pos="293"/>
              </w:tabs>
              <w:jc w:val="center"/>
              <w:rPr>
                <w:rFonts w:ascii="Arial Narrow" w:hAnsi="Arial Narrow"/>
                <w:b/>
                <w:sz w:val="20"/>
                <w:szCs w:val="20"/>
              </w:rPr>
            </w:pPr>
            <w:r w:rsidRPr="00382705">
              <w:rPr>
                <w:rFonts w:ascii="Arial Narrow" w:hAnsi="Arial Narrow"/>
                <w:b/>
                <w:sz w:val="20"/>
                <w:szCs w:val="20"/>
              </w:rPr>
              <w:t>RAM+PAC</w:t>
            </w:r>
            <w:r w:rsidRPr="00382705">
              <w:rPr>
                <w:rFonts w:ascii="Arial Narrow" w:hAnsi="Arial Narrow"/>
                <w:b/>
                <w:sz w:val="20"/>
                <w:szCs w:val="20"/>
              </w:rPr>
              <w:br/>
              <w:t>N=327</w:t>
            </w:r>
            <w:r w:rsidRPr="00382705">
              <w:rPr>
                <w:rFonts w:ascii="Arial Narrow" w:hAnsi="Arial Narrow"/>
                <w:b/>
                <w:sz w:val="20"/>
                <w:szCs w:val="20"/>
              </w:rPr>
              <w:br/>
              <w:t>n (%)</w:t>
            </w:r>
          </w:p>
        </w:tc>
        <w:tc>
          <w:tcPr>
            <w:tcW w:w="741" w:type="pct"/>
            <w:vMerge w:val="restart"/>
          </w:tcPr>
          <w:p w:rsidR="00681B09" w:rsidRPr="00382705" w:rsidRDefault="00681B09" w:rsidP="002F03CC">
            <w:pPr>
              <w:keepNext/>
              <w:widowControl/>
              <w:ind w:right="40"/>
              <w:jc w:val="center"/>
              <w:rPr>
                <w:rFonts w:ascii="Arial Narrow" w:hAnsi="Arial Narrow"/>
                <w:b/>
                <w:sz w:val="20"/>
                <w:szCs w:val="20"/>
              </w:rPr>
            </w:pPr>
            <w:r w:rsidRPr="00382705">
              <w:rPr>
                <w:rFonts w:ascii="Arial Narrow" w:hAnsi="Arial Narrow"/>
                <w:b/>
                <w:sz w:val="20"/>
                <w:szCs w:val="20"/>
              </w:rPr>
              <w:t>PBO+PAC</w:t>
            </w:r>
            <w:r w:rsidRPr="00382705">
              <w:rPr>
                <w:rFonts w:ascii="Arial Narrow" w:hAnsi="Arial Narrow"/>
                <w:b/>
                <w:sz w:val="20"/>
                <w:szCs w:val="20"/>
              </w:rPr>
              <w:br/>
              <w:t>N=329</w:t>
            </w:r>
            <w:r w:rsidRPr="00382705">
              <w:rPr>
                <w:rFonts w:ascii="Arial Narrow" w:hAnsi="Arial Narrow"/>
                <w:b/>
                <w:sz w:val="20"/>
                <w:szCs w:val="20"/>
              </w:rPr>
              <w:br/>
              <w:t>n (%)</w:t>
            </w:r>
          </w:p>
        </w:tc>
        <w:tc>
          <w:tcPr>
            <w:tcW w:w="1760" w:type="pct"/>
            <w:gridSpan w:val="2"/>
          </w:tcPr>
          <w:p w:rsidR="00681B09" w:rsidRPr="00382705" w:rsidRDefault="00681B09" w:rsidP="002F03CC">
            <w:pPr>
              <w:keepNext/>
              <w:widowControl/>
              <w:ind w:right="40"/>
              <w:jc w:val="center"/>
              <w:rPr>
                <w:rFonts w:ascii="Arial Narrow" w:hAnsi="Arial Narrow"/>
                <w:b/>
                <w:bCs/>
                <w:color w:val="FFFFFF" w:themeColor="background1"/>
                <w:sz w:val="20"/>
                <w:szCs w:val="20"/>
              </w:rPr>
            </w:pPr>
            <w:r w:rsidRPr="00382705">
              <w:rPr>
                <w:rFonts w:ascii="Arial Narrow" w:hAnsi="Arial Narrow"/>
                <w:b/>
                <w:sz w:val="20"/>
                <w:szCs w:val="20"/>
              </w:rPr>
              <w:t xml:space="preserve">RAM+PAC vs PBO+PAC </w:t>
            </w:r>
          </w:p>
        </w:tc>
      </w:tr>
      <w:tr w:rsidR="00681B09" w:rsidRPr="00382705" w:rsidTr="00F4739A">
        <w:trPr>
          <w:trHeight w:val="464"/>
        </w:trPr>
        <w:tc>
          <w:tcPr>
            <w:tcW w:w="1758" w:type="pct"/>
            <w:vMerge/>
          </w:tcPr>
          <w:p w:rsidR="00681B09" w:rsidRPr="00382705" w:rsidRDefault="00681B09" w:rsidP="002F03CC">
            <w:pPr>
              <w:keepNext/>
              <w:widowControl/>
              <w:ind w:right="36"/>
              <w:rPr>
                <w:rFonts w:ascii="Arial Narrow" w:hAnsi="Arial Narrow"/>
                <w:b/>
                <w:sz w:val="20"/>
                <w:szCs w:val="20"/>
              </w:rPr>
            </w:pPr>
          </w:p>
        </w:tc>
        <w:tc>
          <w:tcPr>
            <w:tcW w:w="741" w:type="pct"/>
            <w:vMerge/>
          </w:tcPr>
          <w:p w:rsidR="00681B09" w:rsidRPr="00382705" w:rsidRDefault="00681B09" w:rsidP="002F03CC">
            <w:pPr>
              <w:keepNext/>
              <w:widowControl/>
              <w:tabs>
                <w:tab w:val="left" w:pos="293"/>
              </w:tabs>
              <w:jc w:val="center"/>
              <w:rPr>
                <w:rFonts w:ascii="Arial Narrow" w:hAnsi="Arial Narrow"/>
                <w:b/>
                <w:sz w:val="20"/>
                <w:szCs w:val="20"/>
              </w:rPr>
            </w:pPr>
          </w:p>
        </w:tc>
        <w:tc>
          <w:tcPr>
            <w:tcW w:w="741" w:type="pct"/>
            <w:vMerge/>
          </w:tcPr>
          <w:p w:rsidR="00681B09" w:rsidRPr="00382705" w:rsidRDefault="00681B09" w:rsidP="002F03CC">
            <w:pPr>
              <w:keepNext/>
              <w:widowControl/>
              <w:ind w:right="40"/>
              <w:jc w:val="center"/>
              <w:rPr>
                <w:rFonts w:ascii="Arial Narrow" w:hAnsi="Arial Narrow"/>
                <w:b/>
                <w:sz w:val="20"/>
                <w:szCs w:val="20"/>
              </w:rPr>
            </w:pPr>
          </w:p>
        </w:tc>
        <w:tc>
          <w:tcPr>
            <w:tcW w:w="833" w:type="pct"/>
          </w:tcPr>
          <w:p w:rsidR="00681B09" w:rsidRPr="00382705" w:rsidRDefault="00681B09" w:rsidP="002F03CC">
            <w:pPr>
              <w:keepNext/>
              <w:widowControl/>
              <w:jc w:val="center"/>
              <w:rPr>
                <w:rFonts w:ascii="Arial Narrow" w:hAnsi="Arial Narrow"/>
                <w:b/>
                <w:sz w:val="20"/>
                <w:szCs w:val="20"/>
              </w:rPr>
            </w:pPr>
            <w:r w:rsidRPr="00382705">
              <w:rPr>
                <w:rFonts w:ascii="Arial Narrow" w:hAnsi="Arial Narrow"/>
                <w:b/>
                <w:sz w:val="20"/>
                <w:szCs w:val="20"/>
              </w:rPr>
              <w:t xml:space="preserve">RR (95% CI) </w:t>
            </w:r>
          </w:p>
        </w:tc>
        <w:tc>
          <w:tcPr>
            <w:tcW w:w="927" w:type="pct"/>
          </w:tcPr>
          <w:p w:rsidR="00681B09" w:rsidRPr="00382705" w:rsidRDefault="00681B09" w:rsidP="002F03CC">
            <w:pPr>
              <w:keepNext/>
              <w:widowControl/>
              <w:jc w:val="center"/>
              <w:rPr>
                <w:rFonts w:ascii="Arial Narrow" w:hAnsi="Arial Narrow"/>
                <w:b/>
                <w:sz w:val="20"/>
                <w:szCs w:val="20"/>
              </w:rPr>
            </w:pPr>
            <w:r w:rsidRPr="00382705">
              <w:rPr>
                <w:rFonts w:ascii="Arial Narrow" w:hAnsi="Arial Narrow"/>
                <w:b/>
                <w:sz w:val="20"/>
                <w:szCs w:val="20"/>
              </w:rPr>
              <w:t xml:space="preserve">RD (95% CI) </w:t>
            </w:r>
          </w:p>
        </w:tc>
      </w:tr>
      <w:tr w:rsidR="00681B09" w:rsidRPr="00382705" w:rsidTr="00F4739A">
        <w:trPr>
          <w:trHeight w:val="288"/>
        </w:trPr>
        <w:tc>
          <w:tcPr>
            <w:tcW w:w="1758" w:type="pct"/>
          </w:tcPr>
          <w:p w:rsidR="00681B09" w:rsidRPr="00382705" w:rsidRDefault="00681B09" w:rsidP="002F03CC">
            <w:pPr>
              <w:keepNext/>
              <w:widowControl/>
              <w:ind w:right="36"/>
              <w:jc w:val="left"/>
              <w:rPr>
                <w:rFonts w:ascii="Arial Narrow" w:hAnsi="Arial Narrow"/>
                <w:b/>
                <w:sz w:val="20"/>
                <w:szCs w:val="20"/>
              </w:rPr>
            </w:pPr>
            <w:r w:rsidRPr="00382705">
              <w:rPr>
                <w:rFonts w:ascii="Arial Narrow" w:hAnsi="Arial Narrow"/>
                <w:sz w:val="20"/>
                <w:szCs w:val="20"/>
              </w:rPr>
              <w:t>TEAE</w:t>
            </w:r>
          </w:p>
        </w:tc>
        <w:tc>
          <w:tcPr>
            <w:tcW w:w="741" w:type="pct"/>
          </w:tcPr>
          <w:p w:rsidR="00681B09" w:rsidRPr="00456E19" w:rsidRDefault="00681B09" w:rsidP="002F03CC">
            <w:pPr>
              <w:keepNext/>
              <w:widowControl/>
              <w:ind w:right="40"/>
              <w:jc w:val="center"/>
              <w:rPr>
                <w:rFonts w:ascii="Arial Narrow" w:hAnsi="Arial Narrow"/>
                <w:sz w:val="20"/>
                <w:szCs w:val="20"/>
              </w:rPr>
            </w:pPr>
            <w:r w:rsidRPr="00456E19">
              <w:rPr>
                <w:rFonts w:ascii="Arial Narrow" w:hAnsi="Arial Narrow"/>
                <w:sz w:val="20"/>
                <w:szCs w:val="20"/>
              </w:rPr>
              <w:t>324 (99.1)</w:t>
            </w:r>
          </w:p>
        </w:tc>
        <w:tc>
          <w:tcPr>
            <w:tcW w:w="741" w:type="pct"/>
          </w:tcPr>
          <w:p w:rsidR="00681B09" w:rsidRPr="00456E19" w:rsidRDefault="00681B09" w:rsidP="002F03CC">
            <w:pPr>
              <w:keepNext/>
              <w:widowControl/>
              <w:ind w:right="90"/>
              <w:jc w:val="center"/>
              <w:rPr>
                <w:rFonts w:ascii="Arial Narrow" w:hAnsi="Arial Narrow"/>
                <w:sz w:val="20"/>
                <w:szCs w:val="20"/>
              </w:rPr>
            </w:pPr>
            <w:r w:rsidRPr="00456E19">
              <w:rPr>
                <w:rFonts w:ascii="Arial Narrow" w:hAnsi="Arial Narrow"/>
                <w:sz w:val="20"/>
                <w:szCs w:val="20"/>
              </w:rPr>
              <w:t>322 (97.9)</w:t>
            </w:r>
          </w:p>
        </w:tc>
        <w:tc>
          <w:tcPr>
            <w:tcW w:w="833" w:type="pct"/>
          </w:tcPr>
          <w:p w:rsidR="00681B09" w:rsidRPr="00456E19" w:rsidRDefault="00681B09" w:rsidP="002F03CC">
            <w:pPr>
              <w:keepNext/>
              <w:widowControl/>
              <w:ind w:right="91"/>
              <w:jc w:val="center"/>
              <w:rPr>
                <w:rFonts w:ascii="Arial Narrow" w:hAnsi="Arial Narrow"/>
                <w:sz w:val="20"/>
                <w:szCs w:val="20"/>
              </w:rPr>
            </w:pPr>
            <w:r w:rsidRPr="00456E19">
              <w:rPr>
                <w:rFonts w:ascii="Arial Narrow" w:hAnsi="Arial Narrow"/>
                <w:sz w:val="20"/>
                <w:szCs w:val="20"/>
              </w:rPr>
              <w:t>1.01 (0.99,1.03)</w:t>
            </w:r>
          </w:p>
        </w:tc>
        <w:tc>
          <w:tcPr>
            <w:tcW w:w="927" w:type="pct"/>
          </w:tcPr>
          <w:p w:rsidR="00681B09" w:rsidRPr="00456E19" w:rsidRDefault="00681B09" w:rsidP="002F03CC">
            <w:pPr>
              <w:keepNext/>
              <w:widowControl/>
              <w:ind w:right="91"/>
              <w:jc w:val="center"/>
              <w:rPr>
                <w:rFonts w:ascii="Arial Narrow" w:hAnsi="Arial Narrow"/>
                <w:sz w:val="20"/>
                <w:szCs w:val="20"/>
              </w:rPr>
            </w:pPr>
            <w:r w:rsidRPr="00456E19">
              <w:rPr>
                <w:rFonts w:ascii="Arial Narrow" w:hAnsi="Arial Narrow"/>
                <w:sz w:val="20"/>
                <w:szCs w:val="20"/>
              </w:rPr>
              <w:t>0.01</w:t>
            </w:r>
          </w:p>
          <w:p w:rsidR="00681B09" w:rsidRPr="00456E19" w:rsidRDefault="00681B09" w:rsidP="002F03CC">
            <w:pPr>
              <w:keepNext/>
              <w:widowControl/>
              <w:ind w:right="91"/>
              <w:jc w:val="center"/>
              <w:rPr>
                <w:rFonts w:ascii="Arial Narrow" w:hAnsi="Arial Narrow"/>
                <w:sz w:val="20"/>
                <w:szCs w:val="20"/>
              </w:rPr>
            </w:pPr>
            <w:r w:rsidRPr="00456E19">
              <w:rPr>
                <w:rFonts w:ascii="Arial Narrow" w:hAnsi="Arial Narrow"/>
                <w:sz w:val="20"/>
                <w:szCs w:val="20"/>
              </w:rPr>
              <w:t>(-0.01, 0.03)</w:t>
            </w:r>
          </w:p>
        </w:tc>
      </w:tr>
      <w:tr w:rsidR="00681B09" w:rsidRPr="00382705" w:rsidTr="00F4739A">
        <w:trPr>
          <w:trHeight w:val="288"/>
        </w:trPr>
        <w:tc>
          <w:tcPr>
            <w:tcW w:w="1758" w:type="pct"/>
          </w:tcPr>
          <w:p w:rsidR="00681B09" w:rsidRPr="00382705" w:rsidRDefault="00681B09" w:rsidP="002F03CC">
            <w:pPr>
              <w:keepNext/>
              <w:widowControl/>
              <w:ind w:right="36"/>
              <w:jc w:val="left"/>
              <w:rPr>
                <w:rFonts w:ascii="Arial Narrow" w:hAnsi="Arial Narrow"/>
                <w:b/>
                <w:sz w:val="20"/>
                <w:szCs w:val="20"/>
              </w:rPr>
            </w:pPr>
            <w:r w:rsidRPr="00382705">
              <w:rPr>
                <w:rFonts w:ascii="Arial Narrow" w:hAnsi="Arial Narrow"/>
                <w:sz w:val="20"/>
                <w:szCs w:val="20"/>
              </w:rPr>
              <w:t>Treatment-emergent SAE</w:t>
            </w:r>
          </w:p>
        </w:tc>
        <w:tc>
          <w:tcPr>
            <w:tcW w:w="741" w:type="pct"/>
          </w:tcPr>
          <w:p w:rsidR="00681B09" w:rsidRPr="00456E19" w:rsidRDefault="00681B09" w:rsidP="002F03CC">
            <w:pPr>
              <w:keepNext/>
              <w:widowControl/>
              <w:ind w:right="40"/>
              <w:jc w:val="center"/>
              <w:rPr>
                <w:rFonts w:ascii="Arial Narrow" w:hAnsi="Arial Narrow"/>
                <w:sz w:val="20"/>
                <w:szCs w:val="20"/>
              </w:rPr>
            </w:pPr>
            <w:r w:rsidRPr="00456E19">
              <w:rPr>
                <w:rFonts w:ascii="Arial Narrow" w:hAnsi="Arial Narrow"/>
                <w:sz w:val="20"/>
                <w:szCs w:val="20"/>
              </w:rPr>
              <w:t>153 (46.8)</w:t>
            </w:r>
          </w:p>
        </w:tc>
        <w:tc>
          <w:tcPr>
            <w:tcW w:w="741" w:type="pct"/>
          </w:tcPr>
          <w:p w:rsidR="00681B09" w:rsidRPr="00456E19" w:rsidRDefault="00681B09" w:rsidP="002F03CC">
            <w:pPr>
              <w:keepNext/>
              <w:widowControl/>
              <w:tabs>
                <w:tab w:val="left" w:pos="325"/>
              </w:tabs>
              <w:ind w:right="90"/>
              <w:jc w:val="center"/>
              <w:rPr>
                <w:rFonts w:ascii="Arial Narrow" w:hAnsi="Arial Narrow"/>
                <w:sz w:val="20"/>
                <w:szCs w:val="20"/>
              </w:rPr>
            </w:pPr>
            <w:r w:rsidRPr="00456E19">
              <w:rPr>
                <w:rFonts w:ascii="Arial Narrow" w:hAnsi="Arial Narrow"/>
                <w:sz w:val="20"/>
                <w:szCs w:val="20"/>
              </w:rPr>
              <w:t>139 (42.2)</w:t>
            </w:r>
          </w:p>
        </w:tc>
        <w:tc>
          <w:tcPr>
            <w:tcW w:w="833" w:type="pct"/>
          </w:tcPr>
          <w:p w:rsidR="00681B09" w:rsidRPr="00456E19" w:rsidRDefault="00681B09" w:rsidP="002F03CC">
            <w:pPr>
              <w:keepNext/>
              <w:widowControl/>
              <w:tabs>
                <w:tab w:val="left" w:pos="325"/>
              </w:tabs>
              <w:ind w:right="91"/>
              <w:jc w:val="center"/>
              <w:rPr>
                <w:rFonts w:ascii="Arial Narrow" w:hAnsi="Arial Narrow"/>
                <w:sz w:val="20"/>
                <w:szCs w:val="20"/>
              </w:rPr>
            </w:pPr>
            <w:r w:rsidRPr="00456E19">
              <w:rPr>
                <w:rFonts w:ascii="Arial Narrow" w:hAnsi="Arial Narrow"/>
                <w:sz w:val="20"/>
                <w:szCs w:val="20"/>
              </w:rPr>
              <w:t>1.11</w:t>
            </w:r>
          </w:p>
          <w:p w:rsidR="00681B09" w:rsidRPr="00456E19" w:rsidRDefault="00681B09" w:rsidP="002F03CC">
            <w:pPr>
              <w:keepNext/>
              <w:widowControl/>
              <w:tabs>
                <w:tab w:val="left" w:pos="325"/>
              </w:tabs>
              <w:ind w:right="91"/>
              <w:jc w:val="center"/>
              <w:rPr>
                <w:rFonts w:ascii="Arial Narrow" w:hAnsi="Arial Narrow"/>
                <w:sz w:val="20"/>
                <w:szCs w:val="20"/>
              </w:rPr>
            </w:pPr>
            <w:r w:rsidRPr="00456E19">
              <w:rPr>
                <w:rFonts w:ascii="Arial Narrow" w:hAnsi="Arial Narrow"/>
                <w:sz w:val="20"/>
                <w:szCs w:val="20"/>
              </w:rPr>
              <w:t>(0.93, 1.31)</w:t>
            </w:r>
          </w:p>
        </w:tc>
        <w:tc>
          <w:tcPr>
            <w:tcW w:w="927" w:type="pct"/>
          </w:tcPr>
          <w:p w:rsidR="00681B09" w:rsidRPr="00456E19" w:rsidRDefault="00681B09" w:rsidP="002F03CC">
            <w:pPr>
              <w:keepNext/>
              <w:widowControl/>
              <w:tabs>
                <w:tab w:val="left" w:pos="325"/>
              </w:tabs>
              <w:ind w:right="91"/>
              <w:jc w:val="center"/>
              <w:rPr>
                <w:rFonts w:ascii="Arial Narrow" w:hAnsi="Arial Narrow"/>
                <w:sz w:val="20"/>
                <w:szCs w:val="20"/>
              </w:rPr>
            </w:pPr>
            <w:r w:rsidRPr="00456E19">
              <w:rPr>
                <w:rFonts w:ascii="Arial Narrow" w:hAnsi="Arial Narrow"/>
                <w:sz w:val="20"/>
                <w:szCs w:val="20"/>
              </w:rPr>
              <w:t>0.05</w:t>
            </w:r>
          </w:p>
          <w:p w:rsidR="00681B09" w:rsidRPr="00456E19" w:rsidRDefault="00681B09" w:rsidP="002F03CC">
            <w:pPr>
              <w:keepNext/>
              <w:widowControl/>
              <w:tabs>
                <w:tab w:val="left" w:pos="325"/>
              </w:tabs>
              <w:ind w:right="91"/>
              <w:jc w:val="center"/>
              <w:rPr>
                <w:rFonts w:ascii="Arial Narrow" w:hAnsi="Arial Narrow"/>
                <w:sz w:val="20"/>
                <w:szCs w:val="20"/>
              </w:rPr>
            </w:pPr>
            <w:r w:rsidRPr="00456E19">
              <w:rPr>
                <w:rFonts w:ascii="Arial Narrow" w:hAnsi="Arial Narrow"/>
                <w:sz w:val="20"/>
                <w:szCs w:val="20"/>
              </w:rPr>
              <w:t>(-0.03, 0.12)</w:t>
            </w:r>
          </w:p>
        </w:tc>
      </w:tr>
      <w:tr w:rsidR="00681B09" w:rsidRPr="00382705" w:rsidTr="00F4739A">
        <w:trPr>
          <w:trHeight w:val="288"/>
        </w:trPr>
        <w:tc>
          <w:tcPr>
            <w:tcW w:w="1758" w:type="pct"/>
          </w:tcPr>
          <w:p w:rsidR="00681B09" w:rsidRPr="00382705" w:rsidRDefault="00681B09" w:rsidP="002F03CC">
            <w:pPr>
              <w:keepNext/>
              <w:widowControl/>
              <w:ind w:right="36"/>
              <w:jc w:val="left"/>
              <w:rPr>
                <w:rFonts w:ascii="Arial Narrow" w:hAnsi="Arial Narrow"/>
                <w:b/>
                <w:sz w:val="20"/>
                <w:szCs w:val="20"/>
              </w:rPr>
            </w:pPr>
            <w:r w:rsidRPr="00382705">
              <w:rPr>
                <w:rFonts w:ascii="Arial Narrow" w:hAnsi="Arial Narrow"/>
                <w:sz w:val="20"/>
                <w:szCs w:val="20"/>
              </w:rPr>
              <w:t>TEAE Grade ≥3</w:t>
            </w:r>
          </w:p>
        </w:tc>
        <w:tc>
          <w:tcPr>
            <w:tcW w:w="741" w:type="pct"/>
          </w:tcPr>
          <w:p w:rsidR="00681B09" w:rsidRPr="00456E19" w:rsidRDefault="00681B09" w:rsidP="002F03CC">
            <w:pPr>
              <w:keepNext/>
              <w:widowControl/>
              <w:ind w:right="40"/>
              <w:jc w:val="center"/>
              <w:rPr>
                <w:rFonts w:ascii="Arial Narrow" w:hAnsi="Arial Narrow"/>
                <w:sz w:val="20"/>
                <w:szCs w:val="20"/>
              </w:rPr>
            </w:pPr>
            <w:r w:rsidRPr="00456E19">
              <w:rPr>
                <w:rFonts w:ascii="Arial Narrow" w:hAnsi="Arial Narrow"/>
                <w:sz w:val="20"/>
                <w:szCs w:val="20"/>
              </w:rPr>
              <w:t>267 (81.7)</w:t>
            </w:r>
          </w:p>
        </w:tc>
        <w:tc>
          <w:tcPr>
            <w:tcW w:w="741" w:type="pct"/>
          </w:tcPr>
          <w:p w:rsidR="00681B09" w:rsidRPr="00456E19" w:rsidRDefault="00681B09" w:rsidP="002F03CC">
            <w:pPr>
              <w:keepNext/>
              <w:widowControl/>
              <w:tabs>
                <w:tab w:val="left" w:pos="325"/>
              </w:tabs>
              <w:ind w:right="90"/>
              <w:jc w:val="center"/>
              <w:rPr>
                <w:rFonts w:ascii="Arial Narrow" w:hAnsi="Arial Narrow"/>
                <w:sz w:val="20"/>
                <w:szCs w:val="20"/>
              </w:rPr>
            </w:pPr>
            <w:r w:rsidRPr="00456E19">
              <w:rPr>
                <w:rFonts w:ascii="Arial Narrow" w:hAnsi="Arial Narrow"/>
                <w:sz w:val="20"/>
                <w:szCs w:val="20"/>
              </w:rPr>
              <w:t>206 (62.6)</w:t>
            </w:r>
          </w:p>
        </w:tc>
        <w:tc>
          <w:tcPr>
            <w:tcW w:w="833" w:type="pct"/>
          </w:tcPr>
          <w:p w:rsidR="00681B09" w:rsidRPr="00456E19" w:rsidRDefault="00681B09" w:rsidP="002F03CC">
            <w:pPr>
              <w:keepNext/>
              <w:widowControl/>
              <w:tabs>
                <w:tab w:val="left" w:pos="325"/>
              </w:tabs>
              <w:ind w:right="91"/>
              <w:jc w:val="center"/>
              <w:rPr>
                <w:rFonts w:ascii="Arial Narrow" w:hAnsi="Arial Narrow"/>
                <w:b/>
                <w:sz w:val="20"/>
                <w:szCs w:val="20"/>
              </w:rPr>
            </w:pPr>
            <w:r w:rsidRPr="00456E19">
              <w:rPr>
                <w:rFonts w:ascii="Arial Narrow" w:hAnsi="Arial Narrow"/>
                <w:b/>
                <w:sz w:val="20"/>
                <w:szCs w:val="20"/>
              </w:rPr>
              <w:t>1.3</w:t>
            </w:r>
          </w:p>
          <w:p w:rsidR="00681B09" w:rsidRPr="00456E19" w:rsidRDefault="00681B09" w:rsidP="002F03CC">
            <w:pPr>
              <w:keepNext/>
              <w:widowControl/>
              <w:tabs>
                <w:tab w:val="left" w:pos="325"/>
              </w:tabs>
              <w:ind w:right="91"/>
              <w:jc w:val="center"/>
              <w:rPr>
                <w:rFonts w:ascii="Arial Narrow" w:hAnsi="Arial Narrow"/>
                <w:sz w:val="20"/>
                <w:szCs w:val="20"/>
              </w:rPr>
            </w:pPr>
            <w:r w:rsidRPr="00456E19">
              <w:rPr>
                <w:rFonts w:ascii="Arial Narrow" w:hAnsi="Arial Narrow"/>
                <w:b/>
                <w:sz w:val="20"/>
                <w:szCs w:val="20"/>
              </w:rPr>
              <w:t>(1.18, 1.44)</w:t>
            </w:r>
          </w:p>
        </w:tc>
        <w:tc>
          <w:tcPr>
            <w:tcW w:w="927" w:type="pct"/>
          </w:tcPr>
          <w:p w:rsidR="00681B09" w:rsidRPr="00456E19" w:rsidRDefault="00681B09" w:rsidP="002F03CC">
            <w:pPr>
              <w:keepNext/>
              <w:widowControl/>
              <w:tabs>
                <w:tab w:val="left" w:pos="325"/>
              </w:tabs>
              <w:ind w:right="91"/>
              <w:jc w:val="center"/>
              <w:rPr>
                <w:rFonts w:ascii="Arial Narrow" w:hAnsi="Arial Narrow"/>
                <w:b/>
                <w:sz w:val="20"/>
                <w:szCs w:val="20"/>
              </w:rPr>
            </w:pPr>
            <w:r w:rsidRPr="00456E19">
              <w:rPr>
                <w:rFonts w:ascii="Arial Narrow" w:hAnsi="Arial Narrow"/>
                <w:b/>
                <w:sz w:val="20"/>
                <w:szCs w:val="20"/>
              </w:rPr>
              <w:t>0.19</w:t>
            </w:r>
          </w:p>
          <w:p w:rsidR="00681B09" w:rsidRPr="00456E19" w:rsidRDefault="00681B09" w:rsidP="002F03CC">
            <w:pPr>
              <w:keepNext/>
              <w:widowControl/>
              <w:tabs>
                <w:tab w:val="left" w:pos="325"/>
              </w:tabs>
              <w:ind w:right="91"/>
              <w:jc w:val="center"/>
              <w:rPr>
                <w:rFonts w:ascii="Arial Narrow" w:hAnsi="Arial Narrow"/>
                <w:sz w:val="20"/>
                <w:szCs w:val="20"/>
              </w:rPr>
            </w:pPr>
            <w:r w:rsidRPr="00456E19">
              <w:rPr>
                <w:rFonts w:ascii="Arial Narrow" w:hAnsi="Arial Narrow"/>
                <w:b/>
                <w:sz w:val="20"/>
                <w:szCs w:val="20"/>
              </w:rPr>
              <w:t>(0.12, 0.26)</w:t>
            </w:r>
          </w:p>
        </w:tc>
      </w:tr>
      <w:tr w:rsidR="00681B09" w:rsidRPr="00382705" w:rsidTr="00F4739A">
        <w:trPr>
          <w:trHeight w:val="288"/>
        </w:trPr>
        <w:tc>
          <w:tcPr>
            <w:tcW w:w="1758" w:type="pct"/>
          </w:tcPr>
          <w:p w:rsidR="00681B09" w:rsidRPr="00382705" w:rsidRDefault="00681B09" w:rsidP="002F03CC">
            <w:pPr>
              <w:keepNext/>
              <w:widowControl/>
              <w:ind w:right="36"/>
              <w:jc w:val="left"/>
              <w:rPr>
                <w:rFonts w:ascii="Arial Narrow" w:hAnsi="Arial Narrow"/>
                <w:b/>
                <w:sz w:val="20"/>
                <w:szCs w:val="20"/>
              </w:rPr>
            </w:pPr>
            <w:r w:rsidRPr="00382705">
              <w:rPr>
                <w:rFonts w:ascii="Arial Narrow" w:hAnsi="Arial Narrow"/>
                <w:sz w:val="20"/>
                <w:szCs w:val="20"/>
              </w:rPr>
              <w:t>TEAE leading to discontinuation of any study drug</w:t>
            </w:r>
          </w:p>
        </w:tc>
        <w:tc>
          <w:tcPr>
            <w:tcW w:w="741" w:type="pct"/>
          </w:tcPr>
          <w:p w:rsidR="00681B09" w:rsidRPr="00456E19" w:rsidRDefault="00681B09" w:rsidP="002F03CC">
            <w:pPr>
              <w:keepNext/>
              <w:widowControl/>
              <w:ind w:right="40"/>
              <w:jc w:val="center"/>
              <w:rPr>
                <w:rFonts w:ascii="Arial Narrow" w:hAnsi="Arial Narrow"/>
                <w:sz w:val="20"/>
                <w:szCs w:val="20"/>
              </w:rPr>
            </w:pPr>
            <w:r w:rsidRPr="00456E19">
              <w:rPr>
                <w:rFonts w:ascii="Arial Narrow" w:hAnsi="Arial Narrow"/>
                <w:sz w:val="20"/>
                <w:szCs w:val="20"/>
              </w:rPr>
              <w:t>102 (31.2)</w:t>
            </w:r>
          </w:p>
        </w:tc>
        <w:tc>
          <w:tcPr>
            <w:tcW w:w="741" w:type="pct"/>
          </w:tcPr>
          <w:p w:rsidR="00681B09" w:rsidRPr="00456E19" w:rsidRDefault="00681B09" w:rsidP="002F03CC">
            <w:pPr>
              <w:keepNext/>
              <w:widowControl/>
              <w:tabs>
                <w:tab w:val="left" w:pos="325"/>
              </w:tabs>
              <w:ind w:right="90"/>
              <w:jc w:val="center"/>
              <w:rPr>
                <w:rFonts w:ascii="Arial Narrow" w:hAnsi="Arial Narrow"/>
                <w:sz w:val="20"/>
                <w:szCs w:val="20"/>
              </w:rPr>
            </w:pPr>
            <w:r w:rsidRPr="00456E19">
              <w:rPr>
                <w:rFonts w:ascii="Arial Narrow" w:hAnsi="Arial Narrow"/>
                <w:sz w:val="20"/>
                <w:szCs w:val="20"/>
              </w:rPr>
              <w:t>80 (24.3)</w:t>
            </w:r>
          </w:p>
        </w:tc>
        <w:tc>
          <w:tcPr>
            <w:tcW w:w="833" w:type="pct"/>
          </w:tcPr>
          <w:p w:rsidR="00681B09" w:rsidRPr="00456E19" w:rsidRDefault="00681B09" w:rsidP="002F03CC">
            <w:pPr>
              <w:keepNext/>
              <w:widowControl/>
              <w:tabs>
                <w:tab w:val="left" w:pos="325"/>
              </w:tabs>
              <w:ind w:right="91"/>
              <w:jc w:val="center"/>
              <w:rPr>
                <w:rFonts w:ascii="Arial Narrow" w:hAnsi="Arial Narrow"/>
                <w:sz w:val="20"/>
                <w:szCs w:val="20"/>
              </w:rPr>
            </w:pPr>
            <w:r w:rsidRPr="00456E19">
              <w:rPr>
                <w:rFonts w:ascii="Arial Narrow" w:hAnsi="Arial Narrow"/>
                <w:sz w:val="20"/>
                <w:szCs w:val="20"/>
              </w:rPr>
              <w:t xml:space="preserve">1.28 </w:t>
            </w:r>
          </w:p>
          <w:p w:rsidR="00681B09" w:rsidRPr="00456E19" w:rsidRDefault="00681B09" w:rsidP="002F03CC">
            <w:pPr>
              <w:keepNext/>
              <w:widowControl/>
              <w:tabs>
                <w:tab w:val="left" w:pos="325"/>
              </w:tabs>
              <w:ind w:right="91"/>
              <w:jc w:val="center"/>
              <w:rPr>
                <w:rFonts w:ascii="Arial Narrow" w:hAnsi="Arial Narrow"/>
                <w:sz w:val="20"/>
                <w:szCs w:val="20"/>
              </w:rPr>
            </w:pPr>
            <w:r w:rsidRPr="00456E19">
              <w:rPr>
                <w:rFonts w:ascii="Arial Narrow" w:hAnsi="Arial Narrow"/>
                <w:sz w:val="20"/>
                <w:szCs w:val="20"/>
              </w:rPr>
              <w:t>(1, 1.65)</w:t>
            </w:r>
          </w:p>
        </w:tc>
        <w:tc>
          <w:tcPr>
            <w:tcW w:w="927" w:type="pct"/>
          </w:tcPr>
          <w:p w:rsidR="00681B09" w:rsidRPr="00456E19" w:rsidRDefault="00681B09" w:rsidP="002F03CC">
            <w:pPr>
              <w:keepNext/>
              <w:widowControl/>
              <w:tabs>
                <w:tab w:val="left" w:pos="325"/>
              </w:tabs>
              <w:ind w:right="91"/>
              <w:jc w:val="center"/>
              <w:rPr>
                <w:rFonts w:ascii="Arial Narrow" w:hAnsi="Arial Narrow"/>
                <w:sz w:val="20"/>
                <w:szCs w:val="20"/>
              </w:rPr>
            </w:pPr>
            <w:r w:rsidRPr="00456E19">
              <w:rPr>
                <w:rFonts w:ascii="Arial Narrow" w:hAnsi="Arial Narrow"/>
                <w:sz w:val="20"/>
                <w:szCs w:val="20"/>
              </w:rPr>
              <w:t xml:space="preserve">0.07 </w:t>
            </w:r>
          </w:p>
          <w:p w:rsidR="00681B09" w:rsidRPr="00456E19" w:rsidRDefault="00681B09" w:rsidP="002F03CC">
            <w:pPr>
              <w:keepNext/>
              <w:widowControl/>
              <w:tabs>
                <w:tab w:val="left" w:pos="325"/>
              </w:tabs>
              <w:ind w:right="91"/>
              <w:jc w:val="center"/>
              <w:rPr>
                <w:rFonts w:ascii="Arial Narrow" w:hAnsi="Arial Narrow"/>
                <w:sz w:val="20"/>
                <w:szCs w:val="20"/>
              </w:rPr>
            </w:pPr>
            <w:r w:rsidRPr="00456E19">
              <w:rPr>
                <w:rFonts w:ascii="Arial Narrow" w:hAnsi="Arial Narrow"/>
                <w:sz w:val="20"/>
                <w:szCs w:val="20"/>
              </w:rPr>
              <w:t>(0, 0.14)</w:t>
            </w:r>
          </w:p>
        </w:tc>
      </w:tr>
      <w:tr w:rsidR="00681B09" w:rsidRPr="00382705" w:rsidTr="00F4739A">
        <w:trPr>
          <w:trHeight w:val="288"/>
        </w:trPr>
        <w:tc>
          <w:tcPr>
            <w:tcW w:w="1758" w:type="pct"/>
          </w:tcPr>
          <w:p w:rsidR="00681B09" w:rsidRPr="00382705" w:rsidRDefault="00681B09" w:rsidP="002F03CC">
            <w:pPr>
              <w:keepNext/>
              <w:widowControl/>
              <w:ind w:right="-10"/>
              <w:jc w:val="left"/>
              <w:rPr>
                <w:rFonts w:ascii="Arial Narrow" w:hAnsi="Arial Narrow"/>
                <w:b/>
                <w:sz w:val="20"/>
                <w:szCs w:val="20"/>
              </w:rPr>
            </w:pPr>
            <w:r w:rsidRPr="00382705">
              <w:rPr>
                <w:rFonts w:ascii="Arial Narrow" w:hAnsi="Arial Narrow"/>
                <w:sz w:val="20"/>
                <w:szCs w:val="20"/>
              </w:rPr>
              <w:t>TEAE leading to discontinuation of ramucirumab or placebo</w:t>
            </w:r>
          </w:p>
        </w:tc>
        <w:tc>
          <w:tcPr>
            <w:tcW w:w="741" w:type="pct"/>
          </w:tcPr>
          <w:p w:rsidR="00681B09" w:rsidRPr="00456E19" w:rsidRDefault="00681B09" w:rsidP="002F03CC">
            <w:pPr>
              <w:keepNext/>
              <w:widowControl/>
              <w:ind w:right="40"/>
              <w:jc w:val="center"/>
              <w:rPr>
                <w:rFonts w:ascii="Arial Narrow" w:hAnsi="Arial Narrow"/>
                <w:sz w:val="20"/>
                <w:szCs w:val="20"/>
              </w:rPr>
            </w:pPr>
            <w:r w:rsidRPr="00456E19">
              <w:rPr>
                <w:rFonts w:ascii="Arial Narrow" w:hAnsi="Arial Narrow"/>
                <w:sz w:val="20"/>
                <w:szCs w:val="20"/>
              </w:rPr>
              <w:t>68 (20.8)</w:t>
            </w:r>
          </w:p>
        </w:tc>
        <w:tc>
          <w:tcPr>
            <w:tcW w:w="741" w:type="pct"/>
          </w:tcPr>
          <w:p w:rsidR="00681B09" w:rsidRPr="00456E19" w:rsidRDefault="00681B09" w:rsidP="002F03CC">
            <w:pPr>
              <w:keepNext/>
              <w:widowControl/>
              <w:tabs>
                <w:tab w:val="left" w:pos="325"/>
              </w:tabs>
              <w:ind w:right="90"/>
              <w:jc w:val="center"/>
              <w:rPr>
                <w:rFonts w:ascii="Arial Narrow" w:hAnsi="Arial Narrow"/>
                <w:sz w:val="20"/>
                <w:szCs w:val="20"/>
              </w:rPr>
            </w:pPr>
            <w:r w:rsidRPr="00456E19">
              <w:rPr>
                <w:rFonts w:ascii="Arial Narrow" w:hAnsi="Arial Narrow"/>
                <w:sz w:val="20"/>
                <w:szCs w:val="20"/>
              </w:rPr>
              <w:t>68 (20.7)</w:t>
            </w:r>
          </w:p>
        </w:tc>
        <w:tc>
          <w:tcPr>
            <w:tcW w:w="833" w:type="pct"/>
          </w:tcPr>
          <w:p w:rsidR="00681B09" w:rsidRPr="00456E19" w:rsidRDefault="00681B09" w:rsidP="002F03CC">
            <w:pPr>
              <w:keepNext/>
              <w:widowControl/>
              <w:tabs>
                <w:tab w:val="left" w:pos="325"/>
              </w:tabs>
              <w:ind w:right="91"/>
              <w:jc w:val="center"/>
              <w:rPr>
                <w:rFonts w:ascii="Arial Narrow" w:hAnsi="Arial Narrow"/>
                <w:sz w:val="20"/>
                <w:szCs w:val="20"/>
              </w:rPr>
            </w:pPr>
            <w:r w:rsidRPr="00456E19">
              <w:rPr>
                <w:rFonts w:ascii="Arial Narrow" w:hAnsi="Arial Narrow"/>
                <w:sz w:val="20"/>
                <w:szCs w:val="20"/>
              </w:rPr>
              <w:t>1.01</w:t>
            </w:r>
          </w:p>
          <w:p w:rsidR="00681B09" w:rsidRPr="00456E19" w:rsidRDefault="00681B09" w:rsidP="002F03CC">
            <w:pPr>
              <w:keepNext/>
              <w:widowControl/>
              <w:tabs>
                <w:tab w:val="left" w:pos="325"/>
              </w:tabs>
              <w:ind w:right="91"/>
              <w:jc w:val="center"/>
              <w:rPr>
                <w:rFonts w:ascii="Arial Narrow" w:hAnsi="Arial Narrow"/>
                <w:sz w:val="20"/>
                <w:szCs w:val="20"/>
              </w:rPr>
            </w:pPr>
            <w:r w:rsidRPr="00456E19">
              <w:rPr>
                <w:rFonts w:ascii="Arial Narrow" w:hAnsi="Arial Narrow"/>
                <w:sz w:val="20"/>
                <w:szCs w:val="20"/>
              </w:rPr>
              <w:t>(0.75, 1.36)</w:t>
            </w:r>
          </w:p>
        </w:tc>
        <w:tc>
          <w:tcPr>
            <w:tcW w:w="927" w:type="pct"/>
          </w:tcPr>
          <w:p w:rsidR="00681B09" w:rsidRPr="00456E19" w:rsidRDefault="00681B09" w:rsidP="002F03CC">
            <w:pPr>
              <w:keepNext/>
              <w:widowControl/>
              <w:tabs>
                <w:tab w:val="left" w:pos="325"/>
              </w:tabs>
              <w:ind w:right="91"/>
              <w:jc w:val="center"/>
              <w:rPr>
                <w:rFonts w:ascii="Arial Narrow" w:hAnsi="Arial Narrow"/>
                <w:sz w:val="20"/>
                <w:szCs w:val="20"/>
              </w:rPr>
            </w:pPr>
            <w:r w:rsidRPr="00456E19">
              <w:rPr>
                <w:rFonts w:ascii="Arial Narrow" w:hAnsi="Arial Narrow"/>
                <w:sz w:val="20"/>
                <w:szCs w:val="20"/>
              </w:rPr>
              <w:t>0</w:t>
            </w:r>
          </w:p>
          <w:p w:rsidR="00681B09" w:rsidRPr="00456E19" w:rsidRDefault="00681B09" w:rsidP="002F03CC">
            <w:pPr>
              <w:keepNext/>
              <w:widowControl/>
              <w:tabs>
                <w:tab w:val="left" w:pos="325"/>
              </w:tabs>
              <w:ind w:right="91"/>
              <w:jc w:val="center"/>
              <w:rPr>
                <w:rFonts w:ascii="Arial Narrow" w:hAnsi="Arial Narrow"/>
                <w:sz w:val="20"/>
                <w:szCs w:val="20"/>
              </w:rPr>
            </w:pPr>
            <w:r w:rsidRPr="00456E19">
              <w:rPr>
                <w:rFonts w:ascii="Arial Narrow" w:hAnsi="Arial Narrow"/>
                <w:sz w:val="20"/>
                <w:szCs w:val="20"/>
              </w:rPr>
              <w:t>(-0.06, 0.06)</w:t>
            </w:r>
          </w:p>
        </w:tc>
      </w:tr>
      <w:tr w:rsidR="00681B09" w:rsidRPr="00382705" w:rsidTr="00F4739A">
        <w:trPr>
          <w:trHeight w:val="288"/>
        </w:trPr>
        <w:tc>
          <w:tcPr>
            <w:tcW w:w="1758" w:type="pct"/>
          </w:tcPr>
          <w:p w:rsidR="00681B09" w:rsidRPr="00382705" w:rsidRDefault="00681B09" w:rsidP="002F03CC">
            <w:pPr>
              <w:keepNext/>
              <w:widowControl/>
              <w:ind w:right="36"/>
              <w:jc w:val="left"/>
              <w:rPr>
                <w:rFonts w:ascii="Arial Narrow" w:hAnsi="Arial Narrow"/>
                <w:b/>
                <w:sz w:val="20"/>
                <w:szCs w:val="20"/>
              </w:rPr>
            </w:pPr>
            <w:r w:rsidRPr="00382705">
              <w:rPr>
                <w:rFonts w:ascii="Arial Narrow" w:hAnsi="Arial Narrow"/>
                <w:sz w:val="20"/>
                <w:szCs w:val="20"/>
              </w:rPr>
              <w:t>TEAE leading to discontinuation of paclitaxel</w:t>
            </w:r>
          </w:p>
        </w:tc>
        <w:tc>
          <w:tcPr>
            <w:tcW w:w="741" w:type="pct"/>
          </w:tcPr>
          <w:p w:rsidR="00681B09" w:rsidRPr="00456E19" w:rsidRDefault="00681B09" w:rsidP="002F03CC">
            <w:pPr>
              <w:keepNext/>
              <w:widowControl/>
              <w:ind w:right="40"/>
              <w:jc w:val="center"/>
              <w:rPr>
                <w:rFonts w:ascii="Arial Narrow" w:hAnsi="Arial Narrow"/>
                <w:sz w:val="20"/>
                <w:szCs w:val="20"/>
              </w:rPr>
            </w:pPr>
            <w:r w:rsidRPr="00456E19">
              <w:rPr>
                <w:rFonts w:ascii="Arial Narrow" w:hAnsi="Arial Narrow"/>
                <w:sz w:val="20"/>
                <w:szCs w:val="20"/>
              </w:rPr>
              <w:t>91 (27.8)</w:t>
            </w:r>
          </w:p>
        </w:tc>
        <w:tc>
          <w:tcPr>
            <w:tcW w:w="741" w:type="pct"/>
          </w:tcPr>
          <w:p w:rsidR="00681B09" w:rsidRPr="00456E19" w:rsidRDefault="00681B09" w:rsidP="002F03CC">
            <w:pPr>
              <w:keepNext/>
              <w:widowControl/>
              <w:tabs>
                <w:tab w:val="left" w:pos="325"/>
              </w:tabs>
              <w:ind w:right="90"/>
              <w:jc w:val="center"/>
              <w:rPr>
                <w:rFonts w:ascii="Arial Narrow" w:hAnsi="Arial Narrow"/>
                <w:sz w:val="20"/>
                <w:szCs w:val="20"/>
              </w:rPr>
            </w:pPr>
            <w:r w:rsidRPr="00456E19">
              <w:rPr>
                <w:rFonts w:ascii="Arial Narrow" w:hAnsi="Arial Narrow"/>
                <w:sz w:val="20"/>
                <w:szCs w:val="20"/>
              </w:rPr>
              <w:t>76 (23.1)</w:t>
            </w:r>
          </w:p>
        </w:tc>
        <w:tc>
          <w:tcPr>
            <w:tcW w:w="833" w:type="pct"/>
          </w:tcPr>
          <w:p w:rsidR="00681B09" w:rsidRPr="00456E19" w:rsidRDefault="00681B09" w:rsidP="002F03CC">
            <w:pPr>
              <w:keepNext/>
              <w:widowControl/>
              <w:tabs>
                <w:tab w:val="left" w:pos="325"/>
              </w:tabs>
              <w:ind w:right="91"/>
              <w:jc w:val="center"/>
              <w:rPr>
                <w:rFonts w:ascii="Arial Narrow" w:hAnsi="Arial Narrow"/>
                <w:sz w:val="20"/>
                <w:szCs w:val="20"/>
              </w:rPr>
            </w:pPr>
            <w:r w:rsidRPr="00456E19">
              <w:rPr>
                <w:rFonts w:ascii="Arial Narrow" w:hAnsi="Arial Narrow"/>
                <w:sz w:val="20"/>
                <w:szCs w:val="20"/>
              </w:rPr>
              <w:t>1.2</w:t>
            </w:r>
          </w:p>
          <w:p w:rsidR="00681B09" w:rsidRPr="00456E19" w:rsidRDefault="00681B09" w:rsidP="002F03CC">
            <w:pPr>
              <w:keepNext/>
              <w:widowControl/>
              <w:tabs>
                <w:tab w:val="left" w:pos="325"/>
              </w:tabs>
              <w:ind w:right="91"/>
              <w:jc w:val="center"/>
              <w:rPr>
                <w:rFonts w:ascii="Arial Narrow" w:hAnsi="Arial Narrow"/>
                <w:sz w:val="20"/>
                <w:szCs w:val="20"/>
              </w:rPr>
            </w:pPr>
            <w:r w:rsidRPr="00456E19">
              <w:rPr>
                <w:rFonts w:ascii="Arial Narrow" w:hAnsi="Arial Narrow"/>
                <w:sz w:val="20"/>
                <w:szCs w:val="20"/>
              </w:rPr>
              <w:t>(0.93, 1.57)</w:t>
            </w:r>
          </w:p>
        </w:tc>
        <w:tc>
          <w:tcPr>
            <w:tcW w:w="927" w:type="pct"/>
          </w:tcPr>
          <w:p w:rsidR="00681B09" w:rsidRPr="00456E19" w:rsidRDefault="00681B09" w:rsidP="002F03CC">
            <w:pPr>
              <w:keepNext/>
              <w:widowControl/>
              <w:tabs>
                <w:tab w:val="left" w:pos="325"/>
              </w:tabs>
              <w:ind w:right="91"/>
              <w:jc w:val="center"/>
              <w:rPr>
                <w:rFonts w:ascii="Arial Narrow" w:hAnsi="Arial Narrow"/>
                <w:sz w:val="20"/>
                <w:szCs w:val="20"/>
              </w:rPr>
            </w:pPr>
            <w:r w:rsidRPr="00456E19">
              <w:rPr>
                <w:rFonts w:ascii="Arial Narrow" w:hAnsi="Arial Narrow"/>
                <w:sz w:val="20"/>
                <w:szCs w:val="20"/>
              </w:rPr>
              <w:t>0.05</w:t>
            </w:r>
          </w:p>
          <w:p w:rsidR="00681B09" w:rsidRPr="00456E19" w:rsidRDefault="00681B09" w:rsidP="002F03CC">
            <w:pPr>
              <w:keepNext/>
              <w:widowControl/>
              <w:tabs>
                <w:tab w:val="left" w:pos="325"/>
              </w:tabs>
              <w:ind w:right="91"/>
              <w:jc w:val="center"/>
              <w:rPr>
                <w:rFonts w:ascii="Arial Narrow" w:hAnsi="Arial Narrow"/>
                <w:sz w:val="20"/>
                <w:szCs w:val="20"/>
              </w:rPr>
            </w:pPr>
            <w:r w:rsidRPr="00456E19">
              <w:rPr>
                <w:rFonts w:ascii="Arial Narrow" w:hAnsi="Arial Narrow"/>
                <w:sz w:val="20"/>
                <w:szCs w:val="20"/>
              </w:rPr>
              <w:t>(-0.02, 0.11)</w:t>
            </w:r>
          </w:p>
        </w:tc>
      </w:tr>
      <w:tr w:rsidR="00681B09" w:rsidRPr="00382705" w:rsidTr="00F4739A">
        <w:trPr>
          <w:trHeight w:val="288"/>
        </w:trPr>
        <w:tc>
          <w:tcPr>
            <w:tcW w:w="1758" w:type="pct"/>
          </w:tcPr>
          <w:p w:rsidR="00681B09" w:rsidRPr="00382705" w:rsidRDefault="00681B09" w:rsidP="002F03CC">
            <w:pPr>
              <w:keepNext/>
              <w:widowControl/>
              <w:ind w:right="36"/>
              <w:jc w:val="left"/>
              <w:rPr>
                <w:rFonts w:ascii="Arial Narrow" w:hAnsi="Arial Narrow"/>
                <w:b/>
                <w:sz w:val="20"/>
                <w:szCs w:val="20"/>
              </w:rPr>
            </w:pPr>
            <w:r w:rsidRPr="00382705">
              <w:rPr>
                <w:rFonts w:ascii="Arial Narrow" w:hAnsi="Arial Narrow"/>
                <w:sz w:val="20"/>
                <w:szCs w:val="20"/>
              </w:rPr>
              <w:t>TEAE leading to death</w:t>
            </w:r>
          </w:p>
        </w:tc>
        <w:tc>
          <w:tcPr>
            <w:tcW w:w="741" w:type="pct"/>
          </w:tcPr>
          <w:p w:rsidR="00681B09" w:rsidRPr="00456E19" w:rsidRDefault="00681B09" w:rsidP="002F03CC">
            <w:pPr>
              <w:keepNext/>
              <w:widowControl/>
              <w:tabs>
                <w:tab w:val="left" w:pos="698"/>
              </w:tabs>
              <w:ind w:right="40"/>
              <w:jc w:val="center"/>
              <w:rPr>
                <w:rFonts w:ascii="Arial Narrow" w:hAnsi="Arial Narrow"/>
                <w:sz w:val="20"/>
                <w:szCs w:val="20"/>
              </w:rPr>
            </w:pPr>
            <w:r w:rsidRPr="00456E19">
              <w:rPr>
                <w:rFonts w:ascii="Arial Narrow" w:hAnsi="Arial Narrow"/>
                <w:sz w:val="20"/>
                <w:szCs w:val="20"/>
              </w:rPr>
              <w:t>39 (11.9)</w:t>
            </w:r>
          </w:p>
        </w:tc>
        <w:tc>
          <w:tcPr>
            <w:tcW w:w="741" w:type="pct"/>
          </w:tcPr>
          <w:p w:rsidR="00681B09" w:rsidRPr="00456E19" w:rsidRDefault="00681B09" w:rsidP="002F03CC">
            <w:pPr>
              <w:keepNext/>
              <w:widowControl/>
              <w:tabs>
                <w:tab w:val="left" w:pos="948"/>
              </w:tabs>
              <w:ind w:right="90"/>
              <w:jc w:val="center"/>
              <w:rPr>
                <w:rFonts w:ascii="Arial Narrow" w:hAnsi="Arial Narrow"/>
                <w:sz w:val="20"/>
                <w:szCs w:val="20"/>
              </w:rPr>
            </w:pPr>
            <w:r w:rsidRPr="00456E19">
              <w:rPr>
                <w:rFonts w:ascii="Arial Narrow" w:hAnsi="Arial Narrow"/>
                <w:sz w:val="20"/>
                <w:szCs w:val="20"/>
              </w:rPr>
              <w:t>51 (15.5)</w:t>
            </w:r>
          </w:p>
        </w:tc>
        <w:tc>
          <w:tcPr>
            <w:tcW w:w="833" w:type="pct"/>
          </w:tcPr>
          <w:p w:rsidR="00681B09" w:rsidRPr="00456E19" w:rsidRDefault="00681B09" w:rsidP="002F03CC">
            <w:pPr>
              <w:keepNext/>
              <w:widowControl/>
              <w:tabs>
                <w:tab w:val="left" w:pos="948"/>
              </w:tabs>
              <w:ind w:right="91"/>
              <w:jc w:val="center"/>
              <w:rPr>
                <w:rFonts w:ascii="Arial Narrow" w:hAnsi="Arial Narrow"/>
                <w:sz w:val="20"/>
                <w:szCs w:val="20"/>
              </w:rPr>
            </w:pPr>
            <w:r w:rsidRPr="00456E19">
              <w:rPr>
                <w:rFonts w:ascii="Arial Narrow" w:hAnsi="Arial Narrow"/>
                <w:sz w:val="20"/>
                <w:szCs w:val="20"/>
              </w:rPr>
              <w:t>0.77</w:t>
            </w:r>
          </w:p>
          <w:p w:rsidR="00681B09" w:rsidRPr="00456E19" w:rsidRDefault="00681B09" w:rsidP="002F03CC">
            <w:pPr>
              <w:keepNext/>
              <w:widowControl/>
              <w:tabs>
                <w:tab w:val="left" w:pos="948"/>
              </w:tabs>
              <w:ind w:right="91"/>
              <w:jc w:val="center"/>
              <w:rPr>
                <w:rFonts w:ascii="Arial Narrow" w:hAnsi="Arial Narrow"/>
                <w:sz w:val="20"/>
                <w:szCs w:val="20"/>
              </w:rPr>
            </w:pPr>
            <w:r w:rsidRPr="00456E19">
              <w:rPr>
                <w:rFonts w:ascii="Arial Narrow" w:hAnsi="Arial Narrow"/>
                <w:sz w:val="20"/>
                <w:szCs w:val="20"/>
              </w:rPr>
              <w:t>(0.52, 1.13)</w:t>
            </w:r>
          </w:p>
        </w:tc>
        <w:tc>
          <w:tcPr>
            <w:tcW w:w="927" w:type="pct"/>
          </w:tcPr>
          <w:p w:rsidR="00681B09" w:rsidRPr="00456E19" w:rsidRDefault="00681B09" w:rsidP="002F03CC">
            <w:pPr>
              <w:keepNext/>
              <w:widowControl/>
              <w:tabs>
                <w:tab w:val="left" w:pos="948"/>
              </w:tabs>
              <w:ind w:right="91"/>
              <w:jc w:val="center"/>
              <w:rPr>
                <w:rFonts w:ascii="Arial Narrow" w:hAnsi="Arial Narrow"/>
                <w:sz w:val="20"/>
                <w:szCs w:val="20"/>
              </w:rPr>
            </w:pPr>
            <w:r w:rsidRPr="00456E19">
              <w:rPr>
                <w:rFonts w:ascii="Arial Narrow" w:hAnsi="Arial Narrow"/>
                <w:sz w:val="20"/>
                <w:szCs w:val="20"/>
              </w:rPr>
              <w:t>-0.04</w:t>
            </w:r>
          </w:p>
          <w:p w:rsidR="00681B09" w:rsidRPr="00456E19" w:rsidRDefault="00681B09" w:rsidP="002F03CC">
            <w:pPr>
              <w:keepNext/>
              <w:widowControl/>
              <w:tabs>
                <w:tab w:val="left" w:pos="948"/>
              </w:tabs>
              <w:ind w:right="91"/>
              <w:jc w:val="center"/>
              <w:rPr>
                <w:rFonts w:ascii="Arial Narrow" w:hAnsi="Arial Narrow"/>
                <w:sz w:val="20"/>
                <w:szCs w:val="20"/>
              </w:rPr>
            </w:pPr>
            <w:r w:rsidRPr="00456E19">
              <w:rPr>
                <w:rFonts w:ascii="Arial Narrow" w:hAnsi="Arial Narrow"/>
                <w:sz w:val="20"/>
                <w:szCs w:val="20"/>
              </w:rPr>
              <w:t>(-0.09, 0.02)</w:t>
            </w:r>
          </w:p>
        </w:tc>
      </w:tr>
    </w:tbl>
    <w:p w:rsidR="00681B09" w:rsidRPr="00382705" w:rsidRDefault="00681B09" w:rsidP="002F03CC">
      <w:pPr>
        <w:keepNext/>
        <w:widowControl/>
        <w:ind w:right="85"/>
        <w:rPr>
          <w:rFonts w:ascii="Arial Narrow" w:hAnsi="Arial Narrow"/>
          <w:sz w:val="18"/>
          <w:szCs w:val="18"/>
        </w:rPr>
      </w:pPr>
      <w:r w:rsidRPr="00382705">
        <w:rPr>
          <w:rFonts w:ascii="Arial Narrow" w:hAnsi="Arial Narrow"/>
          <w:sz w:val="18"/>
          <w:szCs w:val="18"/>
        </w:rPr>
        <w:t>SAE = serious adverse event; TEAE = Treatment-emergent adverse event; RAM=ramucirumab; PAC=paclitaxel; PBO=placebo; CI = confidence interval; RR = relative risk; RD = risk difference</w:t>
      </w:r>
    </w:p>
    <w:p w:rsidR="00681B09" w:rsidRPr="00382705" w:rsidRDefault="00681B09" w:rsidP="002D4362">
      <w:pPr>
        <w:keepNext/>
        <w:widowControl/>
        <w:spacing w:after="120"/>
      </w:pPr>
      <w:r w:rsidRPr="00382705">
        <w:rPr>
          <w:rFonts w:ascii="Arial Narrow" w:hAnsi="Arial Narrow"/>
          <w:sz w:val="18"/>
          <w:szCs w:val="18"/>
        </w:rPr>
        <w:t>Source: Table 2.5.9, p57 of the main submission</w:t>
      </w:r>
    </w:p>
    <w:p w:rsidR="00681B09" w:rsidRPr="00382705" w:rsidRDefault="00681B09" w:rsidP="00681B09">
      <w:pPr>
        <w:pStyle w:val="ListParagraph"/>
        <w:widowControl/>
        <w:numPr>
          <w:ilvl w:val="1"/>
          <w:numId w:val="3"/>
        </w:numPr>
      </w:pPr>
      <w:r w:rsidRPr="00382705">
        <w:t>The Grade ≥3 TEAEs for which there were key differences between treatment arms are summarised</w:t>
      </w:r>
      <w:r w:rsidR="00445F54" w:rsidRPr="00382705">
        <w:t xml:space="preserve"> in the table</w:t>
      </w:r>
      <w:r w:rsidRPr="00382705">
        <w:t xml:space="preserve"> below.</w:t>
      </w:r>
    </w:p>
    <w:p w:rsidR="00681B09" w:rsidRPr="00382705" w:rsidRDefault="00681B09" w:rsidP="00681B09">
      <w:pPr>
        <w:pStyle w:val="Caption"/>
        <w:spacing w:after="0"/>
        <w:rPr>
          <w:rFonts w:ascii="Arial Narrow" w:hAnsi="Arial Narrow"/>
          <w:color w:val="auto"/>
          <w:sz w:val="20"/>
          <w:szCs w:val="20"/>
        </w:rPr>
      </w:pPr>
      <w:r w:rsidRPr="00382705">
        <w:rPr>
          <w:rFonts w:ascii="Arial Narrow" w:hAnsi="Arial Narrow"/>
          <w:bCs w:val="0"/>
          <w:color w:val="auto"/>
          <w:sz w:val="20"/>
          <w:szCs w:val="20"/>
        </w:rPr>
        <w:t xml:space="preserve">Table </w:t>
      </w:r>
      <w:r w:rsidR="00445F54" w:rsidRPr="00382705">
        <w:rPr>
          <w:rFonts w:ascii="Arial Narrow" w:hAnsi="Arial Narrow"/>
          <w:bCs w:val="0"/>
          <w:color w:val="auto"/>
          <w:sz w:val="20"/>
          <w:szCs w:val="20"/>
        </w:rPr>
        <w:t>5</w:t>
      </w:r>
      <w:r w:rsidRPr="00382705">
        <w:rPr>
          <w:rFonts w:ascii="Arial Narrow" w:hAnsi="Arial Narrow"/>
          <w:bCs w:val="0"/>
          <w:color w:val="auto"/>
          <w:sz w:val="20"/>
          <w:szCs w:val="20"/>
        </w:rPr>
        <w:t>: Grade ≥3</w:t>
      </w:r>
      <w:r w:rsidRPr="00382705">
        <w:rPr>
          <w:rFonts w:ascii="Arial Narrow" w:hAnsi="Arial Narrow"/>
          <w:color w:val="auto"/>
          <w:sz w:val="20"/>
          <w:szCs w:val="20"/>
        </w:rPr>
        <w:t xml:space="preserve"> TEAEs in the RAINBOW trial (safety population)</w:t>
      </w:r>
    </w:p>
    <w:tbl>
      <w:tblPr>
        <w:tblStyle w:val="TableGrid"/>
        <w:tblW w:w="5000" w:type="pct"/>
        <w:tblLook w:val="04A0" w:firstRow="1" w:lastRow="0" w:firstColumn="1" w:lastColumn="0" w:noHBand="0" w:noVBand="1"/>
      </w:tblPr>
      <w:tblGrid>
        <w:gridCol w:w="1879"/>
        <w:gridCol w:w="2054"/>
        <w:gridCol w:w="2056"/>
        <w:gridCol w:w="1540"/>
        <w:gridCol w:w="1714"/>
      </w:tblGrid>
      <w:tr w:rsidR="00681B09" w:rsidRPr="00382705" w:rsidTr="00F4739A">
        <w:trPr>
          <w:trHeight w:val="274"/>
        </w:trPr>
        <w:tc>
          <w:tcPr>
            <w:tcW w:w="1016" w:type="pct"/>
            <w:vMerge w:val="restart"/>
          </w:tcPr>
          <w:p w:rsidR="00681B09" w:rsidRPr="00382705" w:rsidRDefault="00681B09" w:rsidP="007D6D11">
            <w:pPr>
              <w:ind w:right="36"/>
              <w:rPr>
                <w:rFonts w:ascii="Arial Narrow" w:hAnsi="Arial Narrow"/>
                <w:b/>
                <w:sz w:val="20"/>
                <w:szCs w:val="20"/>
              </w:rPr>
            </w:pPr>
            <w:r w:rsidRPr="00382705">
              <w:rPr>
                <w:rFonts w:ascii="Arial Narrow" w:hAnsi="Arial Narrow"/>
                <w:b/>
                <w:sz w:val="20"/>
                <w:szCs w:val="20"/>
              </w:rPr>
              <w:t>Event</w:t>
            </w:r>
            <w:r w:rsidR="007D6D11" w:rsidRPr="00382705">
              <w:rPr>
                <w:rFonts w:ascii="Arial Narrow" w:hAnsi="Arial Narrow"/>
                <w:b/>
                <w:sz w:val="20"/>
                <w:szCs w:val="20"/>
                <w:vertAlign w:val="superscript"/>
              </w:rPr>
              <w:t>a</w:t>
            </w:r>
          </w:p>
        </w:tc>
        <w:tc>
          <w:tcPr>
            <w:tcW w:w="1111" w:type="pct"/>
            <w:vMerge w:val="restart"/>
          </w:tcPr>
          <w:p w:rsidR="00681B09" w:rsidRPr="00382705" w:rsidRDefault="00681B09" w:rsidP="00F4739A">
            <w:pPr>
              <w:tabs>
                <w:tab w:val="left" w:pos="293"/>
              </w:tabs>
              <w:jc w:val="center"/>
              <w:rPr>
                <w:rFonts w:ascii="Arial Narrow" w:hAnsi="Arial Narrow"/>
                <w:b/>
                <w:sz w:val="20"/>
                <w:szCs w:val="20"/>
              </w:rPr>
            </w:pPr>
            <w:r w:rsidRPr="00382705">
              <w:rPr>
                <w:rFonts w:ascii="Arial Narrow" w:hAnsi="Arial Narrow"/>
                <w:b/>
                <w:sz w:val="20"/>
                <w:szCs w:val="20"/>
              </w:rPr>
              <w:t>RAM+PAC</w:t>
            </w:r>
            <w:r w:rsidRPr="00382705">
              <w:rPr>
                <w:rFonts w:ascii="Arial Narrow" w:hAnsi="Arial Narrow"/>
                <w:b/>
                <w:sz w:val="20"/>
                <w:szCs w:val="20"/>
              </w:rPr>
              <w:br/>
              <w:t>N=327</w:t>
            </w:r>
            <w:r w:rsidRPr="00382705">
              <w:rPr>
                <w:rFonts w:ascii="Arial Narrow" w:hAnsi="Arial Narrow"/>
                <w:b/>
                <w:sz w:val="20"/>
                <w:szCs w:val="20"/>
              </w:rPr>
              <w:br/>
              <w:t>n (%)</w:t>
            </w:r>
          </w:p>
        </w:tc>
        <w:tc>
          <w:tcPr>
            <w:tcW w:w="1112" w:type="pct"/>
            <w:vMerge w:val="restart"/>
          </w:tcPr>
          <w:p w:rsidR="00681B09" w:rsidRPr="00382705" w:rsidRDefault="00681B09" w:rsidP="00F4739A">
            <w:pPr>
              <w:ind w:right="40"/>
              <w:jc w:val="center"/>
              <w:rPr>
                <w:rFonts w:ascii="Arial Narrow" w:hAnsi="Arial Narrow"/>
                <w:b/>
                <w:sz w:val="20"/>
                <w:szCs w:val="20"/>
              </w:rPr>
            </w:pPr>
            <w:r w:rsidRPr="00382705">
              <w:rPr>
                <w:rFonts w:ascii="Arial Narrow" w:hAnsi="Arial Narrow"/>
                <w:b/>
                <w:sz w:val="20"/>
                <w:szCs w:val="20"/>
              </w:rPr>
              <w:t>PBO+PAC</w:t>
            </w:r>
            <w:r w:rsidRPr="00382705">
              <w:rPr>
                <w:rFonts w:ascii="Arial Narrow" w:hAnsi="Arial Narrow"/>
                <w:b/>
                <w:sz w:val="20"/>
                <w:szCs w:val="20"/>
              </w:rPr>
              <w:br/>
              <w:t>N=329</w:t>
            </w:r>
            <w:r w:rsidRPr="00382705">
              <w:rPr>
                <w:rFonts w:ascii="Arial Narrow" w:hAnsi="Arial Narrow"/>
                <w:b/>
                <w:sz w:val="20"/>
                <w:szCs w:val="20"/>
              </w:rPr>
              <w:br/>
              <w:t>n (%)</w:t>
            </w:r>
          </w:p>
        </w:tc>
        <w:tc>
          <w:tcPr>
            <w:tcW w:w="1760" w:type="pct"/>
            <w:gridSpan w:val="2"/>
          </w:tcPr>
          <w:p w:rsidR="00681B09" w:rsidRPr="00382705" w:rsidRDefault="00681B09" w:rsidP="00F4739A">
            <w:pPr>
              <w:ind w:right="40"/>
              <w:jc w:val="center"/>
              <w:rPr>
                <w:rFonts w:ascii="Arial Narrow" w:hAnsi="Arial Narrow"/>
                <w:b/>
                <w:bCs/>
                <w:sz w:val="20"/>
                <w:szCs w:val="20"/>
              </w:rPr>
            </w:pPr>
            <w:r w:rsidRPr="00382705">
              <w:rPr>
                <w:rFonts w:ascii="Arial Narrow" w:hAnsi="Arial Narrow"/>
                <w:b/>
                <w:sz w:val="20"/>
                <w:szCs w:val="20"/>
              </w:rPr>
              <w:t xml:space="preserve">RAM+PAC vs PBO+PAC  </w:t>
            </w:r>
          </w:p>
        </w:tc>
      </w:tr>
      <w:tr w:rsidR="00681B09" w:rsidRPr="00382705" w:rsidTr="00F4739A">
        <w:trPr>
          <w:trHeight w:val="464"/>
        </w:trPr>
        <w:tc>
          <w:tcPr>
            <w:tcW w:w="1016" w:type="pct"/>
            <w:vMerge/>
          </w:tcPr>
          <w:p w:rsidR="00681B09" w:rsidRPr="00382705" w:rsidRDefault="00681B09" w:rsidP="00F4739A">
            <w:pPr>
              <w:ind w:right="36"/>
              <w:rPr>
                <w:rFonts w:ascii="Arial Narrow" w:hAnsi="Arial Narrow"/>
                <w:sz w:val="20"/>
                <w:szCs w:val="20"/>
              </w:rPr>
            </w:pPr>
          </w:p>
        </w:tc>
        <w:tc>
          <w:tcPr>
            <w:tcW w:w="1111" w:type="pct"/>
            <w:vMerge/>
          </w:tcPr>
          <w:p w:rsidR="00681B09" w:rsidRPr="00382705" w:rsidRDefault="00681B09" w:rsidP="00F4739A">
            <w:pPr>
              <w:ind w:right="40"/>
              <w:jc w:val="center"/>
              <w:rPr>
                <w:rFonts w:ascii="Arial Narrow" w:hAnsi="Arial Narrow"/>
                <w:b/>
                <w:bCs/>
                <w:sz w:val="20"/>
                <w:szCs w:val="20"/>
              </w:rPr>
            </w:pPr>
          </w:p>
        </w:tc>
        <w:tc>
          <w:tcPr>
            <w:tcW w:w="1112" w:type="pct"/>
            <w:vMerge/>
          </w:tcPr>
          <w:p w:rsidR="00681B09" w:rsidRPr="00382705" w:rsidRDefault="00681B09" w:rsidP="00F4739A">
            <w:pPr>
              <w:ind w:right="40"/>
              <w:jc w:val="center"/>
              <w:rPr>
                <w:rFonts w:ascii="Arial Narrow" w:hAnsi="Arial Narrow"/>
                <w:b/>
                <w:bCs/>
                <w:sz w:val="20"/>
                <w:szCs w:val="20"/>
              </w:rPr>
            </w:pPr>
          </w:p>
        </w:tc>
        <w:tc>
          <w:tcPr>
            <w:tcW w:w="833" w:type="pct"/>
          </w:tcPr>
          <w:p w:rsidR="00681B09" w:rsidRPr="00382705" w:rsidRDefault="00681B09" w:rsidP="007D6D11">
            <w:pPr>
              <w:jc w:val="center"/>
              <w:rPr>
                <w:rFonts w:ascii="Arial Narrow" w:hAnsi="Arial Narrow"/>
                <w:b/>
                <w:sz w:val="20"/>
                <w:szCs w:val="20"/>
              </w:rPr>
            </w:pPr>
            <w:r w:rsidRPr="00382705">
              <w:rPr>
                <w:rFonts w:ascii="Arial Narrow" w:hAnsi="Arial Narrow"/>
                <w:b/>
                <w:sz w:val="20"/>
                <w:szCs w:val="20"/>
              </w:rPr>
              <w:t>RR (95% CI)</w:t>
            </w:r>
            <w:r w:rsidR="007D6D11" w:rsidRPr="00382705">
              <w:rPr>
                <w:rFonts w:cs="Calibri"/>
                <w:b/>
                <w:sz w:val="20"/>
                <w:szCs w:val="20"/>
                <w:vertAlign w:val="superscript"/>
              </w:rPr>
              <w:t>b</w:t>
            </w:r>
            <w:r w:rsidRPr="00382705">
              <w:rPr>
                <w:rFonts w:ascii="Arial Narrow" w:hAnsi="Arial Narrow"/>
                <w:b/>
                <w:sz w:val="20"/>
                <w:szCs w:val="20"/>
              </w:rPr>
              <w:t xml:space="preserve"> </w:t>
            </w:r>
          </w:p>
        </w:tc>
        <w:tc>
          <w:tcPr>
            <w:tcW w:w="927" w:type="pct"/>
          </w:tcPr>
          <w:p w:rsidR="00681B09" w:rsidRPr="00382705" w:rsidRDefault="00681B09" w:rsidP="007D6D11">
            <w:pPr>
              <w:jc w:val="center"/>
              <w:rPr>
                <w:rFonts w:ascii="Arial Narrow" w:hAnsi="Arial Narrow"/>
                <w:b/>
                <w:sz w:val="20"/>
                <w:szCs w:val="20"/>
              </w:rPr>
            </w:pPr>
            <w:r w:rsidRPr="00382705">
              <w:rPr>
                <w:rFonts w:ascii="Arial Narrow" w:hAnsi="Arial Narrow"/>
                <w:b/>
                <w:sz w:val="20"/>
                <w:szCs w:val="20"/>
              </w:rPr>
              <w:t>RD (95% CI)</w:t>
            </w:r>
            <w:r w:rsidR="007D6D11" w:rsidRPr="00382705">
              <w:rPr>
                <w:rFonts w:cs="Calibri"/>
                <w:b/>
                <w:sz w:val="20"/>
                <w:szCs w:val="20"/>
                <w:vertAlign w:val="superscript"/>
              </w:rPr>
              <w:t>b</w:t>
            </w:r>
            <w:r w:rsidRPr="00382705">
              <w:rPr>
                <w:rFonts w:ascii="Arial Narrow" w:hAnsi="Arial Narrow"/>
                <w:b/>
                <w:sz w:val="20"/>
                <w:szCs w:val="20"/>
              </w:rPr>
              <w:t xml:space="preserve"> </w:t>
            </w:r>
          </w:p>
        </w:tc>
      </w:tr>
      <w:tr w:rsidR="00681B09" w:rsidRPr="00456E19" w:rsidTr="00F4739A">
        <w:trPr>
          <w:trHeight w:val="288"/>
        </w:trPr>
        <w:tc>
          <w:tcPr>
            <w:tcW w:w="1016" w:type="pct"/>
          </w:tcPr>
          <w:p w:rsidR="00681B09" w:rsidRPr="00456E19" w:rsidRDefault="00681B09" w:rsidP="007D6D11">
            <w:pPr>
              <w:ind w:right="36"/>
              <w:jc w:val="left"/>
              <w:rPr>
                <w:rFonts w:ascii="Arial Narrow" w:hAnsi="Arial Narrow"/>
                <w:sz w:val="20"/>
                <w:szCs w:val="20"/>
              </w:rPr>
            </w:pPr>
            <w:r w:rsidRPr="00456E19">
              <w:rPr>
                <w:rFonts w:ascii="Arial Narrow" w:hAnsi="Arial Narrow"/>
                <w:sz w:val="20"/>
                <w:szCs w:val="20"/>
              </w:rPr>
              <w:t>Patients with any Grade ≥3 TEAE</w:t>
            </w:r>
            <w:r w:rsidR="007D6D11" w:rsidRPr="00456E19">
              <w:rPr>
                <w:rFonts w:ascii="Arial Narrow" w:hAnsi="Arial Narrow"/>
                <w:sz w:val="20"/>
                <w:szCs w:val="20"/>
                <w:vertAlign w:val="superscript"/>
              </w:rPr>
              <w:t>c</w:t>
            </w:r>
          </w:p>
        </w:tc>
        <w:tc>
          <w:tcPr>
            <w:tcW w:w="1111" w:type="pct"/>
          </w:tcPr>
          <w:p w:rsidR="00681B09" w:rsidRPr="00456E19" w:rsidRDefault="00681B09" w:rsidP="00F4739A">
            <w:pPr>
              <w:ind w:right="40"/>
              <w:jc w:val="center"/>
              <w:rPr>
                <w:rFonts w:ascii="Arial Narrow" w:hAnsi="Arial Narrow"/>
                <w:sz w:val="20"/>
                <w:szCs w:val="20"/>
              </w:rPr>
            </w:pPr>
            <w:r w:rsidRPr="00456E19">
              <w:rPr>
                <w:rFonts w:ascii="Arial Narrow" w:hAnsi="Arial Narrow"/>
                <w:sz w:val="20"/>
                <w:szCs w:val="20"/>
              </w:rPr>
              <w:t>267 (81.7)</w:t>
            </w:r>
          </w:p>
        </w:tc>
        <w:tc>
          <w:tcPr>
            <w:tcW w:w="1112" w:type="pct"/>
          </w:tcPr>
          <w:p w:rsidR="00681B09" w:rsidRPr="00456E19" w:rsidRDefault="00681B09" w:rsidP="00F4739A">
            <w:pPr>
              <w:tabs>
                <w:tab w:val="left" w:pos="325"/>
              </w:tabs>
              <w:ind w:right="90"/>
              <w:jc w:val="center"/>
              <w:rPr>
                <w:rFonts w:ascii="Arial Narrow" w:hAnsi="Arial Narrow"/>
                <w:sz w:val="20"/>
                <w:szCs w:val="20"/>
              </w:rPr>
            </w:pPr>
            <w:r w:rsidRPr="00456E19">
              <w:rPr>
                <w:rFonts w:ascii="Arial Narrow" w:hAnsi="Arial Narrow"/>
                <w:sz w:val="20"/>
                <w:szCs w:val="20"/>
              </w:rPr>
              <w:t>206 (62.6)</w:t>
            </w:r>
          </w:p>
        </w:tc>
        <w:tc>
          <w:tcPr>
            <w:tcW w:w="833" w:type="pct"/>
            <w:shd w:val="clear" w:color="auto" w:fill="auto"/>
            <w:vAlign w:val="center"/>
          </w:tcPr>
          <w:p w:rsidR="00681B09" w:rsidRPr="00456E19" w:rsidRDefault="00681B09" w:rsidP="00F4739A">
            <w:pPr>
              <w:ind w:right="91"/>
              <w:jc w:val="center"/>
              <w:rPr>
                <w:rFonts w:ascii="Arial Narrow" w:hAnsi="Arial Narrow"/>
                <w:b/>
                <w:sz w:val="20"/>
                <w:szCs w:val="20"/>
              </w:rPr>
            </w:pPr>
            <w:r w:rsidRPr="00456E19">
              <w:rPr>
                <w:rFonts w:ascii="Arial Narrow" w:hAnsi="Arial Narrow"/>
                <w:b/>
                <w:sz w:val="20"/>
                <w:szCs w:val="20"/>
              </w:rPr>
              <w:t>1.30</w:t>
            </w:r>
          </w:p>
          <w:p w:rsidR="00681B09" w:rsidRPr="00456E19" w:rsidRDefault="00681B09" w:rsidP="00F4739A">
            <w:pPr>
              <w:ind w:right="91"/>
              <w:jc w:val="center"/>
              <w:rPr>
                <w:rFonts w:ascii="Arial Narrow" w:hAnsi="Arial Narrow"/>
                <w:b/>
                <w:sz w:val="20"/>
                <w:szCs w:val="20"/>
              </w:rPr>
            </w:pPr>
            <w:r w:rsidRPr="00456E19">
              <w:rPr>
                <w:rFonts w:ascii="Arial Narrow" w:hAnsi="Arial Narrow"/>
                <w:b/>
                <w:sz w:val="20"/>
                <w:szCs w:val="20"/>
              </w:rPr>
              <w:t>(1.18, 1.44)</w:t>
            </w:r>
          </w:p>
        </w:tc>
        <w:tc>
          <w:tcPr>
            <w:tcW w:w="927" w:type="pct"/>
            <w:shd w:val="clear" w:color="auto" w:fill="auto"/>
            <w:vAlign w:val="center"/>
          </w:tcPr>
          <w:p w:rsidR="00681B09" w:rsidRPr="00456E19" w:rsidRDefault="00681B09" w:rsidP="00F4739A">
            <w:pPr>
              <w:tabs>
                <w:tab w:val="left" w:pos="325"/>
              </w:tabs>
              <w:ind w:right="90"/>
              <w:jc w:val="center"/>
              <w:rPr>
                <w:rFonts w:ascii="Arial Narrow" w:hAnsi="Arial Narrow"/>
                <w:b/>
                <w:sz w:val="20"/>
                <w:szCs w:val="20"/>
              </w:rPr>
            </w:pPr>
            <w:r w:rsidRPr="00456E19">
              <w:rPr>
                <w:rFonts w:ascii="Arial Narrow" w:hAnsi="Arial Narrow"/>
                <w:b/>
                <w:sz w:val="20"/>
                <w:szCs w:val="20"/>
              </w:rPr>
              <w:t>0.19</w:t>
            </w:r>
          </w:p>
          <w:p w:rsidR="00681B09" w:rsidRPr="00456E19" w:rsidRDefault="00681B09" w:rsidP="00F4739A">
            <w:pPr>
              <w:tabs>
                <w:tab w:val="left" w:pos="325"/>
              </w:tabs>
              <w:ind w:right="90"/>
              <w:jc w:val="center"/>
              <w:rPr>
                <w:rFonts w:ascii="Arial Narrow" w:hAnsi="Arial Narrow"/>
                <w:b/>
                <w:sz w:val="20"/>
                <w:szCs w:val="20"/>
              </w:rPr>
            </w:pPr>
            <w:r w:rsidRPr="00456E19">
              <w:rPr>
                <w:rFonts w:ascii="Arial Narrow" w:hAnsi="Arial Narrow"/>
                <w:b/>
                <w:sz w:val="20"/>
                <w:szCs w:val="20"/>
              </w:rPr>
              <w:t>(0.12, 0.26)</w:t>
            </w:r>
          </w:p>
        </w:tc>
      </w:tr>
      <w:tr w:rsidR="00681B09" w:rsidRPr="00456E19" w:rsidTr="00F4739A">
        <w:trPr>
          <w:trHeight w:val="288"/>
        </w:trPr>
        <w:tc>
          <w:tcPr>
            <w:tcW w:w="1016" w:type="pct"/>
          </w:tcPr>
          <w:p w:rsidR="00681B09" w:rsidRPr="00456E19" w:rsidRDefault="00681B09" w:rsidP="00F4739A">
            <w:pPr>
              <w:ind w:right="36"/>
              <w:jc w:val="left"/>
              <w:rPr>
                <w:rFonts w:ascii="Arial Narrow" w:hAnsi="Arial Narrow"/>
                <w:sz w:val="20"/>
                <w:szCs w:val="20"/>
              </w:rPr>
            </w:pPr>
            <w:r w:rsidRPr="00456E19">
              <w:rPr>
                <w:rFonts w:ascii="Arial Narrow" w:hAnsi="Arial Narrow"/>
                <w:sz w:val="20"/>
                <w:szCs w:val="20"/>
              </w:rPr>
              <w:t>Fatigue</w:t>
            </w:r>
          </w:p>
        </w:tc>
        <w:tc>
          <w:tcPr>
            <w:tcW w:w="1111" w:type="pct"/>
          </w:tcPr>
          <w:p w:rsidR="00681B09" w:rsidRPr="00456E19" w:rsidRDefault="00681B09" w:rsidP="00F4739A">
            <w:pPr>
              <w:ind w:right="40"/>
              <w:jc w:val="center"/>
              <w:rPr>
                <w:rFonts w:ascii="Arial Narrow" w:hAnsi="Arial Narrow"/>
                <w:sz w:val="20"/>
                <w:szCs w:val="20"/>
              </w:rPr>
            </w:pPr>
            <w:r w:rsidRPr="00456E19">
              <w:rPr>
                <w:rFonts w:ascii="Arial Narrow" w:hAnsi="Arial Narrow"/>
                <w:sz w:val="20"/>
                <w:szCs w:val="20"/>
              </w:rPr>
              <w:t>39 (11.9)</w:t>
            </w:r>
          </w:p>
        </w:tc>
        <w:tc>
          <w:tcPr>
            <w:tcW w:w="1112" w:type="pct"/>
          </w:tcPr>
          <w:p w:rsidR="00681B09" w:rsidRPr="00456E19" w:rsidRDefault="00681B09" w:rsidP="00F4739A">
            <w:pPr>
              <w:tabs>
                <w:tab w:val="left" w:pos="325"/>
              </w:tabs>
              <w:ind w:right="90"/>
              <w:jc w:val="center"/>
              <w:rPr>
                <w:rFonts w:ascii="Arial Narrow" w:hAnsi="Arial Narrow"/>
                <w:sz w:val="20"/>
                <w:szCs w:val="20"/>
              </w:rPr>
            </w:pPr>
            <w:r w:rsidRPr="00456E19">
              <w:rPr>
                <w:rFonts w:ascii="Arial Narrow" w:hAnsi="Arial Narrow"/>
                <w:sz w:val="20"/>
                <w:szCs w:val="20"/>
              </w:rPr>
              <w:t>18 (5.5)</w:t>
            </w:r>
          </w:p>
        </w:tc>
        <w:tc>
          <w:tcPr>
            <w:tcW w:w="833" w:type="pct"/>
          </w:tcPr>
          <w:p w:rsidR="00681B09" w:rsidRPr="00456E19" w:rsidRDefault="00681B09" w:rsidP="00F4739A">
            <w:pPr>
              <w:tabs>
                <w:tab w:val="left" w:pos="325"/>
              </w:tabs>
              <w:ind w:right="90"/>
              <w:jc w:val="center"/>
              <w:rPr>
                <w:rFonts w:ascii="Arial Narrow" w:hAnsi="Arial Narrow"/>
                <w:b/>
                <w:sz w:val="20"/>
                <w:szCs w:val="20"/>
              </w:rPr>
            </w:pPr>
            <w:r w:rsidRPr="00456E19">
              <w:rPr>
                <w:rFonts w:ascii="Arial Narrow" w:hAnsi="Arial Narrow"/>
                <w:b/>
                <w:sz w:val="20"/>
                <w:szCs w:val="20"/>
              </w:rPr>
              <w:t>2.18</w:t>
            </w:r>
          </w:p>
          <w:p w:rsidR="00681B09" w:rsidRPr="00456E19" w:rsidRDefault="00681B09" w:rsidP="00F4739A">
            <w:pPr>
              <w:tabs>
                <w:tab w:val="left" w:pos="325"/>
              </w:tabs>
              <w:ind w:right="90"/>
              <w:jc w:val="center"/>
              <w:rPr>
                <w:rFonts w:ascii="Arial Narrow" w:hAnsi="Arial Narrow"/>
                <w:b/>
                <w:sz w:val="20"/>
                <w:szCs w:val="20"/>
              </w:rPr>
            </w:pPr>
            <w:r w:rsidRPr="00456E19">
              <w:rPr>
                <w:rFonts w:ascii="Arial Narrow" w:hAnsi="Arial Narrow"/>
                <w:b/>
                <w:sz w:val="20"/>
                <w:szCs w:val="20"/>
              </w:rPr>
              <w:t>(1.27, 3.73)</w:t>
            </w:r>
          </w:p>
        </w:tc>
        <w:tc>
          <w:tcPr>
            <w:tcW w:w="927" w:type="pct"/>
          </w:tcPr>
          <w:p w:rsidR="00681B09" w:rsidRPr="00456E19" w:rsidRDefault="00681B09" w:rsidP="00F4739A">
            <w:pPr>
              <w:tabs>
                <w:tab w:val="left" w:pos="325"/>
              </w:tabs>
              <w:ind w:right="90"/>
              <w:jc w:val="center"/>
              <w:rPr>
                <w:rFonts w:ascii="Arial Narrow" w:hAnsi="Arial Narrow"/>
                <w:b/>
                <w:sz w:val="20"/>
                <w:szCs w:val="20"/>
              </w:rPr>
            </w:pPr>
            <w:r w:rsidRPr="00456E19">
              <w:rPr>
                <w:rFonts w:ascii="Arial Narrow" w:hAnsi="Arial Narrow"/>
                <w:b/>
                <w:sz w:val="20"/>
                <w:szCs w:val="20"/>
              </w:rPr>
              <w:t>0.06</w:t>
            </w:r>
          </w:p>
          <w:p w:rsidR="00681B09" w:rsidRPr="00456E19" w:rsidRDefault="00681B09" w:rsidP="00F4739A">
            <w:pPr>
              <w:tabs>
                <w:tab w:val="left" w:pos="325"/>
              </w:tabs>
              <w:ind w:right="90"/>
              <w:jc w:val="center"/>
              <w:rPr>
                <w:rFonts w:ascii="Arial Narrow" w:hAnsi="Arial Narrow"/>
                <w:b/>
                <w:sz w:val="20"/>
                <w:szCs w:val="20"/>
              </w:rPr>
            </w:pPr>
            <w:r w:rsidRPr="00456E19">
              <w:rPr>
                <w:rFonts w:ascii="Arial Narrow" w:hAnsi="Arial Narrow"/>
                <w:b/>
                <w:sz w:val="20"/>
                <w:szCs w:val="20"/>
              </w:rPr>
              <w:t>(0.02, 0.11)</w:t>
            </w:r>
          </w:p>
        </w:tc>
      </w:tr>
      <w:tr w:rsidR="00681B09" w:rsidRPr="00456E19" w:rsidTr="00F4739A">
        <w:trPr>
          <w:trHeight w:val="288"/>
        </w:trPr>
        <w:tc>
          <w:tcPr>
            <w:tcW w:w="1016" w:type="pct"/>
          </w:tcPr>
          <w:p w:rsidR="00681B09" w:rsidRPr="00456E19" w:rsidRDefault="00681B09" w:rsidP="00F4739A">
            <w:pPr>
              <w:ind w:right="36"/>
              <w:jc w:val="left"/>
              <w:rPr>
                <w:rFonts w:ascii="Arial Narrow" w:hAnsi="Arial Narrow"/>
                <w:sz w:val="20"/>
                <w:szCs w:val="20"/>
              </w:rPr>
            </w:pPr>
            <w:r w:rsidRPr="00456E19">
              <w:rPr>
                <w:rFonts w:ascii="Arial Narrow" w:hAnsi="Arial Narrow"/>
                <w:sz w:val="20"/>
                <w:szCs w:val="20"/>
              </w:rPr>
              <w:t>Abdominal pain</w:t>
            </w:r>
          </w:p>
        </w:tc>
        <w:tc>
          <w:tcPr>
            <w:tcW w:w="1111" w:type="pct"/>
          </w:tcPr>
          <w:p w:rsidR="00681B09" w:rsidRPr="00456E19" w:rsidRDefault="00681B09" w:rsidP="00F4739A">
            <w:pPr>
              <w:ind w:right="40"/>
              <w:jc w:val="center"/>
              <w:rPr>
                <w:rFonts w:ascii="Arial Narrow" w:hAnsi="Arial Narrow"/>
                <w:sz w:val="20"/>
                <w:szCs w:val="20"/>
              </w:rPr>
            </w:pPr>
            <w:r w:rsidRPr="00456E19">
              <w:rPr>
                <w:rFonts w:ascii="Arial Narrow" w:hAnsi="Arial Narrow"/>
                <w:sz w:val="20"/>
                <w:szCs w:val="20"/>
              </w:rPr>
              <w:t>20 (6.1)</w:t>
            </w:r>
          </w:p>
        </w:tc>
        <w:tc>
          <w:tcPr>
            <w:tcW w:w="1112" w:type="pct"/>
          </w:tcPr>
          <w:p w:rsidR="00681B09" w:rsidRPr="00456E19" w:rsidRDefault="00681B09" w:rsidP="00F4739A">
            <w:pPr>
              <w:tabs>
                <w:tab w:val="left" w:pos="325"/>
              </w:tabs>
              <w:ind w:right="90"/>
              <w:jc w:val="center"/>
              <w:rPr>
                <w:rFonts w:ascii="Arial Narrow" w:hAnsi="Arial Narrow"/>
                <w:sz w:val="20"/>
                <w:szCs w:val="20"/>
              </w:rPr>
            </w:pPr>
            <w:r w:rsidRPr="00456E19">
              <w:rPr>
                <w:rFonts w:ascii="Arial Narrow" w:hAnsi="Arial Narrow"/>
                <w:sz w:val="20"/>
                <w:szCs w:val="20"/>
              </w:rPr>
              <w:t>11 (3.3)</w:t>
            </w:r>
          </w:p>
        </w:tc>
        <w:tc>
          <w:tcPr>
            <w:tcW w:w="833" w:type="pct"/>
          </w:tcPr>
          <w:p w:rsidR="00681B09" w:rsidRPr="00456E19" w:rsidRDefault="00681B09" w:rsidP="00F4739A">
            <w:pPr>
              <w:tabs>
                <w:tab w:val="left" w:pos="325"/>
              </w:tabs>
              <w:ind w:right="90"/>
              <w:jc w:val="center"/>
              <w:rPr>
                <w:rFonts w:ascii="Arial Narrow" w:hAnsi="Arial Narrow"/>
                <w:sz w:val="20"/>
                <w:szCs w:val="20"/>
              </w:rPr>
            </w:pPr>
            <w:r w:rsidRPr="00456E19">
              <w:rPr>
                <w:rFonts w:ascii="Arial Narrow" w:hAnsi="Arial Narrow"/>
                <w:sz w:val="20"/>
                <w:szCs w:val="20"/>
              </w:rPr>
              <w:t>1.83</w:t>
            </w:r>
          </w:p>
          <w:p w:rsidR="00681B09" w:rsidRPr="00456E19" w:rsidRDefault="00681B09" w:rsidP="00F4739A">
            <w:pPr>
              <w:tabs>
                <w:tab w:val="left" w:pos="325"/>
              </w:tabs>
              <w:ind w:right="90"/>
              <w:jc w:val="center"/>
              <w:rPr>
                <w:rFonts w:ascii="Arial Narrow" w:hAnsi="Arial Narrow"/>
                <w:sz w:val="20"/>
                <w:szCs w:val="20"/>
              </w:rPr>
            </w:pPr>
            <w:r w:rsidRPr="00456E19">
              <w:rPr>
                <w:rFonts w:ascii="Arial Narrow" w:hAnsi="Arial Narrow"/>
                <w:sz w:val="20"/>
                <w:szCs w:val="20"/>
              </w:rPr>
              <w:t>(0.89, 3.76)</w:t>
            </w:r>
          </w:p>
        </w:tc>
        <w:tc>
          <w:tcPr>
            <w:tcW w:w="927" w:type="pct"/>
          </w:tcPr>
          <w:p w:rsidR="00681B09" w:rsidRPr="00456E19" w:rsidRDefault="00681B09" w:rsidP="00F4739A">
            <w:pPr>
              <w:tabs>
                <w:tab w:val="left" w:pos="325"/>
              </w:tabs>
              <w:ind w:right="90"/>
              <w:jc w:val="center"/>
              <w:rPr>
                <w:rFonts w:ascii="Arial Narrow" w:hAnsi="Arial Narrow"/>
                <w:sz w:val="20"/>
                <w:szCs w:val="20"/>
              </w:rPr>
            </w:pPr>
            <w:r w:rsidRPr="00456E19">
              <w:rPr>
                <w:rFonts w:ascii="Arial Narrow" w:hAnsi="Arial Narrow"/>
                <w:sz w:val="20"/>
                <w:szCs w:val="20"/>
              </w:rPr>
              <w:t>0.03</w:t>
            </w:r>
          </w:p>
          <w:p w:rsidR="00681B09" w:rsidRPr="00456E19" w:rsidRDefault="00681B09" w:rsidP="00F4739A">
            <w:pPr>
              <w:tabs>
                <w:tab w:val="left" w:pos="325"/>
              </w:tabs>
              <w:ind w:right="90"/>
              <w:jc w:val="center"/>
              <w:rPr>
                <w:rFonts w:ascii="Arial Narrow" w:hAnsi="Arial Narrow"/>
                <w:sz w:val="20"/>
                <w:szCs w:val="20"/>
              </w:rPr>
            </w:pPr>
            <w:r w:rsidRPr="00456E19">
              <w:rPr>
                <w:rFonts w:ascii="Arial Narrow" w:hAnsi="Arial Narrow"/>
                <w:sz w:val="20"/>
                <w:szCs w:val="20"/>
              </w:rPr>
              <w:t>(-0.00, 0.06)</w:t>
            </w:r>
          </w:p>
        </w:tc>
      </w:tr>
      <w:tr w:rsidR="00681B09" w:rsidRPr="00456E19" w:rsidTr="00F4739A">
        <w:trPr>
          <w:trHeight w:val="288"/>
        </w:trPr>
        <w:tc>
          <w:tcPr>
            <w:tcW w:w="1016" w:type="pct"/>
          </w:tcPr>
          <w:p w:rsidR="00681B09" w:rsidRPr="00456E19" w:rsidRDefault="00681B09" w:rsidP="00F4739A">
            <w:pPr>
              <w:rPr>
                <w:rFonts w:ascii="Arial Narrow" w:hAnsi="Arial Narrow"/>
                <w:sz w:val="20"/>
                <w:szCs w:val="20"/>
              </w:rPr>
            </w:pPr>
            <w:r w:rsidRPr="00456E19">
              <w:rPr>
                <w:rFonts w:ascii="Arial Narrow" w:hAnsi="Arial Narrow"/>
                <w:sz w:val="20"/>
                <w:szCs w:val="20"/>
              </w:rPr>
              <w:t>Neutropenia</w:t>
            </w:r>
          </w:p>
        </w:tc>
        <w:tc>
          <w:tcPr>
            <w:tcW w:w="1111" w:type="pct"/>
          </w:tcPr>
          <w:p w:rsidR="00681B09" w:rsidRPr="00456E19" w:rsidRDefault="00681B09" w:rsidP="00F4739A">
            <w:pPr>
              <w:tabs>
                <w:tab w:val="left" w:pos="698"/>
              </w:tabs>
              <w:ind w:right="40"/>
              <w:jc w:val="center"/>
              <w:rPr>
                <w:rFonts w:ascii="Arial Narrow" w:hAnsi="Arial Narrow"/>
                <w:sz w:val="20"/>
                <w:szCs w:val="20"/>
              </w:rPr>
            </w:pPr>
            <w:r w:rsidRPr="00456E19">
              <w:rPr>
                <w:rFonts w:ascii="Arial Narrow" w:hAnsi="Arial Narrow"/>
                <w:sz w:val="20"/>
                <w:szCs w:val="20"/>
              </w:rPr>
              <w:t>133 (40.7)</w:t>
            </w:r>
          </w:p>
        </w:tc>
        <w:tc>
          <w:tcPr>
            <w:tcW w:w="1112" w:type="pct"/>
          </w:tcPr>
          <w:p w:rsidR="00681B09" w:rsidRPr="00456E19" w:rsidRDefault="00681B09" w:rsidP="00F4739A">
            <w:pPr>
              <w:tabs>
                <w:tab w:val="left" w:pos="948"/>
              </w:tabs>
              <w:ind w:right="90"/>
              <w:jc w:val="center"/>
              <w:rPr>
                <w:rFonts w:ascii="Arial Narrow" w:hAnsi="Arial Narrow"/>
                <w:sz w:val="20"/>
                <w:szCs w:val="20"/>
              </w:rPr>
            </w:pPr>
            <w:r w:rsidRPr="00456E19">
              <w:rPr>
                <w:rFonts w:ascii="Arial Narrow" w:hAnsi="Arial Narrow"/>
                <w:sz w:val="20"/>
                <w:szCs w:val="20"/>
              </w:rPr>
              <w:t>62 (18.8)</w:t>
            </w:r>
          </w:p>
        </w:tc>
        <w:tc>
          <w:tcPr>
            <w:tcW w:w="833" w:type="pct"/>
          </w:tcPr>
          <w:p w:rsidR="00681B09" w:rsidRPr="00456E19" w:rsidRDefault="00681B09" w:rsidP="00F4739A">
            <w:pPr>
              <w:tabs>
                <w:tab w:val="left" w:pos="948"/>
              </w:tabs>
              <w:ind w:right="90"/>
              <w:jc w:val="center"/>
              <w:rPr>
                <w:rFonts w:ascii="Arial Narrow" w:hAnsi="Arial Narrow"/>
                <w:b/>
                <w:sz w:val="20"/>
                <w:szCs w:val="20"/>
              </w:rPr>
            </w:pPr>
            <w:r w:rsidRPr="00456E19">
              <w:rPr>
                <w:rFonts w:ascii="Arial Narrow" w:hAnsi="Arial Narrow"/>
                <w:b/>
                <w:sz w:val="20"/>
                <w:szCs w:val="20"/>
              </w:rPr>
              <w:t>2.16</w:t>
            </w:r>
          </w:p>
          <w:p w:rsidR="00681B09" w:rsidRPr="00456E19" w:rsidRDefault="00681B09" w:rsidP="00F4739A">
            <w:pPr>
              <w:tabs>
                <w:tab w:val="left" w:pos="948"/>
              </w:tabs>
              <w:ind w:right="90"/>
              <w:jc w:val="center"/>
              <w:rPr>
                <w:rFonts w:ascii="Arial Narrow" w:hAnsi="Arial Narrow"/>
                <w:b/>
                <w:sz w:val="20"/>
                <w:szCs w:val="20"/>
              </w:rPr>
            </w:pPr>
            <w:r w:rsidRPr="00456E19">
              <w:rPr>
                <w:rFonts w:ascii="Arial Narrow" w:hAnsi="Arial Narrow"/>
                <w:b/>
                <w:sz w:val="20"/>
                <w:szCs w:val="20"/>
              </w:rPr>
              <w:t>(1.66, 2.80)</w:t>
            </w:r>
          </w:p>
        </w:tc>
        <w:tc>
          <w:tcPr>
            <w:tcW w:w="927" w:type="pct"/>
          </w:tcPr>
          <w:p w:rsidR="00681B09" w:rsidRPr="00456E19" w:rsidRDefault="00681B09" w:rsidP="00F4739A">
            <w:pPr>
              <w:tabs>
                <w:tab w:val="left" w:pos="948"/>
              </w:tabs>
              <w:ind w:right="90"/>
              <w:jc w:val="center"/>
              <w:rPr>
                <w:rFonts w:ascii="Arial Narrow" w:hAnsi="Arial Narrow"/>
                <w:b/>
                <w:sz w:val="20"/>
                <w:szCs w:val="20"/>
              </w:rPr>
            </w:pPr>
            <w:r w:rsidRPr="00456E19">
              <w:rPr>
                <w:rFonts w:ascii="Arial Narrow" w:hAnsi="Arial Narrow"/>
                <w:b/>
                <w:sz w:val="20"/>
                <w:szCs w:val="20"/>
              </w:rPr>
              <w:t>0.22</w:t>
            </w:r>
          </w:p>
          <w:p w:rsidR="00681B09" w:rsidRPr="00456E19" w:rsidRDefault="00681B09" w:rsidP="00F4739A">
            <w:pPr>
              <w:tabs>
                <w:tab w:val="left" w:pos="948"/>
              </w:tabs>
              <w:ind w:right="90"/>
              <w:jc w:val="center"/>
              <w:rPr>
                <w:rFonts w:ascii="Arial Narrow" w:hAnsi="Arial Narrow"/>
                <w:b/>
                <w:sz w:val="20"/>
                <w:szCs w:val="20"/>
              </w:rPr>
            </w:pPr>
            <w:r w:rsidRPr="00456E19">
              <w:rPr>
                <w:rFonts w:ascii="Arial Narrow" w:hAnsi="Arial Narrow"/>
                <w:b/>
                <w:sz w:val="20"/>
                <w:szCs w:val="20"/>
              </w:rPr>
              <w:t>(0.15, 0.29)</w:t>
            </w:r>
          </w:p>
        </w:tc>
      </w:tr>
      <w:tr w:rsidR="00681B09" w:rsidRPr="00456E19" w:rsidTr="00F4739A">
        <w:trPr>
          <w:trHeight w:val="288"/>
        </w:trPr>
        <w:tc>
          <w:tcPr>
            <w:tcW w:w="1016" w:type="pct"/>
          </w:tcPr>
          <w:p w:rsidR="00681B09" w:rsidRPr="00456E19" w:rsidRDefault="00681B09" w:rsidP="00F4739A">
            <w:pPr>
              <w:ind w:right="36"/>
              <w:jc w:val="left"/>
              <w:rPr>
                <w:rFonts w:ascii="Arial Narrow" w:hAnsi="Arial Narrow"/>
                <w:sz w:val="20"/>
                <w:szCs w:val="20"/>
              </w:rPr>
            </w:pPr>
            <w:r w:rsidRPr="00456E19">
              <w:rPr>
                <w:rFonts w:ascii="Arial Narrow" w:hAnsi="Arial Narrow"/>
                <w:sz w:val="20"/>
                <w:szCs w:val="20"/>
              </w:rPr>
              <w:t>Leukopenia</w:t>
            </w:r>
          </w:p>
        </w:tc>
        <w:tc>
          <w:tcPr>
            <w:tcW w:w="1111" w:type="pct"/>
          </w:tcPr>
          <w:p w:rsidR="00681B09" w:rsidRPr="00456E19" w:rsidRDefault="00681B09" w:rsidP="00F4739A">
            <w:pPr>
              <w:tabs>
                <w:tab w:val="left" w:pos="698"/>
              </w:tabs>
              <w:ind w:right="40"/>
              <w:jc w:val="center"/>
              <w:rPr>
                <w:rFonts w:ascii="Arial Narrow" w:hAnsi="Arial Narrow"/>
                <w:sz w:val="20"/>
                <w:szCs w:val="20"/>
              </w:rPr>
            </w:pPr>
            <w:r w:rsidRPr="00456E19">
              <w:rPr>
                <w:rFonts w:ascii="Arial Narrow" w:hAnsi="Arial Narrow"/>
                <w:sz w:val="20"/>
                <w:szCs w:val="20"/>
              </w:rPr>
              <w:t>57 (17.4)</w:t>
            </w:r>
          </w:p>
        </w:tc>
        <w:tc>
          <w:tcPr>
            <w:tcW w:w="1112" w:type="pct"/>
          </w:tcPr>
          <w:p w:rsidR="00681B09" w:rsidRPr="00456E19" w:rsidRDefault="00681B09" w:rsidP="00F4739A">
            <w:pPr>
              <w:tabs>
                <w:tab w:val="left" w:pos="948"/>
              </w:tabs>
              <w:ind w:right="90"/>
              <w:jc w:val="center"/>
              <w:rPr>
                <w:rFonts w:ascii="Arial Narrow" w:hAnsi="Arial Narrow"/>
                <w:sz w:val="20"/>
                <w:szCs w:val="20"/>
              </w:rPr>
            </w:pPr>
            <w:r w:rsidRPr="00456E19">
              <w:rPr>
                <w:rFonts w:ascii="Arial Narrow" w:hAnsi="Arial Narrow"/>
                <w:sz w:val="20"/>
                <w:szCs w:val="20"/>
              </w:rPr>
              <w:t>22 (6.7)</w:t>
            </w:r>
          </w:p>
        </w:tc>
        <w:tc>
          <w:tcPr>
            <w:tcW w:w="833" w:type="pct"/>
          </w:tcPr>
          <w:p w:rsidR="00681B09" w:rsidRPr="00456E19" w:rsidRDefault="00681B09" w:rsidP="00F4739A">
            <w:pPr>
              <w:tabs>
                <w:tab w:val="left" w:pos="948"/>
              </w:tabs>
              <w:ind w:right="90"/>
              <w:jc w:val="center"/>
              <w:rPr>
                <w:rFonts w:ascii="Arial Narrow" w:hAnsi="Arial Narrow"/>
                <w:b/>
                <w:sz w:val="20"/>
                <w:szCs w:val="20"/>
              </w:rPr>
            </w:pPr>
            <w:r w:rsidRPr="00456E19">
              <w:rPr>
                <w:rFonts w:ascii="Arial Narrow" w:hAnsi="Arial Narrow"/>
                <w:b/>
                <w:sz w:val="20"/>
                <w:szCs w:val="20"/>
              </w:rPr>
              <w:t>2.61</w:t>
            </w:r>
          </w:p>
          <w:p w:rsidR="00681B09" w:rsidRPr="00456E19" w:rsidRDefault="00681B09" w:rsidP="00F4739A">
            <w:pPr>
              <w:tabs>
                <w:tab w:val="left" w:pos="948"/>
              </w:tabs>
              <w:ind w:right="90"/>
              <w:jc w:val="center"/>
              <w:rPr>
                <w:rFonts w:ascii="Arial Narrow" w:hAnsi="Arial Narrow"/>
                <w:b/>
                <w:sz w:val="20"/>
                <w:szCs w:val="20"/>
              </w:rPr>
            </w:pPr>
            <w:r w:rsidRPr="00456E19">
              <w:rPr>
                <w:rFonts w:ascii="Arial Narrow" w:hAnsi="Arial Narrow"/>
                <w:b/>
                <w:sz w:val="20"/>
                <w:szCs w:val="20"/>
              </w:rPr>
              <w:t>(1.63, 4.16)</w:t>
            </w:r>
          </w:p>
        </w:tc>
        <w:tc>
          <w:tcPr>
            <w:tcW w:w="927" w:type="pct"/>
          </w:tcPr>
          <w:p w:rsidR="00681B09" w:rsidRPr="00456E19" w:rsidRDefault="00681B09" w:rsidP="00F4739A">
            <w:pPr>
              <w:tabs>
                <w:tab w:val="left" w:pos="948"/>
              </w:tabs>
              <w:ind w:right="90"/>
              <w:jc w:val="center"/>
              <w:rPr>
                <w:rFonts w:ascii="Arial Narrow" w:hAnsi="Arial Narrow"/>
                <w:b/>
                <w:sz w:val="20"/>
                <w:szCs w:val="20"/>
              </w:rPr>
            </w:pPr>
            <w:r w:rsidRPr="00456E19">
              <w:rPr>
                <w:rFonts w:ascii="Arial Narrow" w:hAnsi="Arial Narrow"/>
                <w:b/>
                <w:sz w:val="20"/>
                <w:szCs w:val="20"/>
              </w:rPr>
              <w:t>0.11</w:t>
            </w:r>
          </w:p>
          <w:p w:rsidR="00681B09" w:rsidRPr="00456E19" w:rsidRDefault="00681B09" w:rsidP="00F4739A">
            <w:pPr>
              <w:tabs>
                <w:tab w:val="left" w:pos="948"/>
              </w:tabs>
              <w:ind w:right="90"/>
              <w:jc w:val="center"/>
              <w:rPr>
                <w:rFonts w:ascii="Arial Narrow" w:hAnsi="Arial Narrow"/>
                <w:b/>
                <w:sz w:val="20"/>
                <w:szCs w:val="20"/>
              </w:rPr>
            </w:pPr>
            <w:r w:rsidRPr="00456E19">
              <w:rPr>
                <w:rFonts w:ascii="Arial Narrow" w:hAnsi="Arial Narrow"/>
                <w:b/>
                <w:sz w:val="20"/>
                <w:szCs w:val="20"/>
              </w:rPr>
              <w:t>(0.06, 0.16)</w:t>
            </w:r>
          </w:p>
        </w:tc>
      </w:tr>
    </w:tbl>
    <w:p w:rsidR="00681B09" w:rsidRPr="00456E19" w:rsidRDefault="00681B09" w:rsidP="00681B09">
      <w:pPr>
        <w:pStyle w:val="TableFooter"/>
      </w:pPr>
      <w:r w:rsidRPr="00456E19">
        <w:t>Notes: According to Common Terminology Criteria for Adverse Events (CTCAE) Grade 1 = mild, Grade 2 = moderate; Grade 3 = severe; Grade 4 = life-threatening; Grade 5= death related to AE</w:t>
      </w:r>
    </w:p>
    <w:p w:rsidR="00681B09" w:rsidRPr="00456E19" w:rsidRDefault="007D6D11" w:rsidP="00681B09">
      <w:pPr>
        <w:pStyle w:val="TableFooter"/>
      </w:pPr>
      <w:r w:rsidRPr="00456E19">
        <w:rPr>
          <w:vertAlign w:val="superscript"/>
        </w:rPr>
        <w:t>a</w:t>
      </w:r>
      <w:r w:rsidR="00681B09" w:rsidRPr="00456E19">
        <w:t>As per Medical Dictionary for Regulatory Activities (MedDRA®) Version 16.0.</w:t>
      </w:r>
    </w:p>
    <w:p w:rsidR="00681B09" w:rsidRPr="00456E19" w:rsidRDefault="007D6D11" w:rsidP="00681B09">
      <w:pPr>
        <w:pStyle w:val="TableFooter"/>
      </w:pPr>
      <w:r w:rsidRPr="00456E19">
        <w:rPr>
          <w:rFonts w:ascii="Calibri" w:hAnsi="Calibri" w:cs="Calibri"/>
          <w:vertAlign w:val="superscript"/>
        </w:rPr>
        <w:t>b</w:t>
      </w:r>
      <w:r w:rsidR="00681B09" w:rsidRPr="00456E19">
        <w:rPr>
          <w:vertAlign w:val="superscript"/>
        </w:rPr>
        <w:t xml:space="preserve"> </w:t>
      </w:r>
      <w:r w:rsidR="00681B09" w:rsidRPr="00456E19">
        <w:t xml:space="preserve">Calculated for the purposes of the evaluation. </w:t>
      </w:r>
    </w:p>
    <w:p w:rsidR="00681B09" w:rsidRPr="00456E19" w:rsidRDefault="007D6D11" w:rsidP="00681B09">
      <w:pPr>
        <w:pStyle w:val="TableFooter"/>
      </w:pPr>
      <w:r w:rsidRPr="00456E19">
        <w:rPr>
          <w:vertAlign w:val="superscript"/>
        </w:rPr>
        <w:t>c</w:t>
      </w:r>
      <w:r w:rsidR="00681B09" w:rsidRPr="00456E19">
        <w:t>TEAEs leading to death (Grade 5: RAM+PAC: 39/327 (11.9%); PBO+PAC: 51/329 (15.5%).</w:t>
      </w:r>
    </w:p>
    <w:p w:rsidR="00681B09" w:rsidRPr="00382705" w:rsidRDefault="00681B09" w:rsidP="00681B09">
      <w:pPr>
        <w:pStyle w:val="TableFooter"/>
      </w:pPr>
      <w:r w:rsidRPr="00456E19">
        <w:t>TEAE = Treatment-emergent adverse event; RAM=ramucirumab; PAC=paclitaxel; PBO=placebo; CI = confidence</w:t>
      </w:r>
      <w:r w:rsidRPr="00382705">
        <w:t xml:space="preserve"> interval; RR = relative risk; RD = risk difference.</w:t>
      </w:r>
    </w:p>
    <w:p w:rsidR="00681B09" w:rsidRPr="00382705" w:rsidRDefault="00681B09" w:rsidP="002D4362">
      <w:pPr>
        <w:pStyle w:val="TableFooter"/>
        <w:spacing w:after="120"/>
      </w:pPr>
      <w:r w:rsidRPr="00382705">
        <w:t>Source: RAINBOW CSR Table JVBE.12.3.2 p126, Table JVBE 12.3.3 p128 and Tables 2.5.9-10, pp57-8 of the main submission.</w:t>
      </w:r>
    </w:p>
    <w:p w:rsidR="00D5653C" w:rsidRPr="00F00837" w:rsidRDefault="00D5653C" w:rsidP="002D4362">
      <w:pPr>
        <w:pStyle w:val="ListParagraph"/>
        <w:widowControl/>
        <w:numPr>
          <w:ilvl w:val="1"/>
          <w:numId w:val="3"/>
        </w:numPr>
      </w:pPr>
      <w:r w:rsidRPr="00F00837">
        <w:t xml:space="preserve">There was a </w:t>
      </w:r>
      <w:r w:rsidR="007A6C26" w:rsidRPr="00F00837">
        <w:t xml:space="preserve">significantly </w:t>
      </w:r>
      <w:r w:rsidRPr="00F00837">
        <w:t xml:space="preserve">higher proportion of </w:t>
      </w:r>
      <w:r w:rsidR="006E4AF2" w:rsidRPr="00F00837">
        <w:t xml:space="preserve">Grade ≥3 TEAEs (82% vs.63%) </w:t>
      </w:r>
      <w:r w:rsidRPr="00F00837">
        <w:t xml:space="preserve">in the RAM+PAC arm </w:t>
      </w:r>
      <w:r w:rsidR="002C52C6" w:rsidRPr="00F00837">
        <w:t>compared with</w:t>
      </w:r>
      <w:r w:rsidRPr="00F00837">
        <w:t xml:space="preserve"> the PBO+PAC arm. </w:t>
      </w:r>
    </w:p>
    <w:p w:rsidR="001D3000" w:rsidRDefault="00A55C29" w:rsidP="002D4362">
      <w:pPr>
        <w:pStyle w:val="ListParagraph"/>
        <w:widowControl/>
        <w:numPr>
          <w:ilvl w:val="1"/>
          <w:numId w:val="3"/>
        </w:numPr>
      </w:pPr>
      <w:r w:rsidRPr="00F00837">
        <w:t>There w</w:t>
      </w:r>
      <w:r w:rsidR="00F3484A" w:rsidRPr="00F00837">
        <w:t>as a</w:t>
      </w:r>
      <w:r w:rsidRPr="00F00837">
        <w:t xml:space="preserve"> statistically significant</w:t>
      </w:r>
      <w:r w:rsidR="00F3484A" w:rsidRPr="00F00837">
        <w:t xml:space="preserve"> </w:t>
      </w:r>
      <w:r w:rsidR="000D7D60" w:rsidRPr="00F00837">
        <w:t>increase</w:t>
      </w:r>
      <w:r w:rsidR="00F3484A" w:rsidRPr="00F00837">
        <w:t xml:space="preserve"> in the frequencies of occurrence of </w:t>
      </w:r>
      <w:r w:rsidRPr="00F00837">
        <w:t>bleeding/haemorrhage (except for gastrointestinal haemorrhage), epistaxis, hypertension and proteinuria events (any grade) in the RAM+PAC treatment arm compared with the PBO+PAC treatment arm.</w:t>
      </w:r>
      <w:r w:rsidR="00040343" w:rsidRPr="00F00837">
        <w:t xml:space="preserve"> </w:t>
      </w:r>
    </w:p>
    <w:p w:rsidR="001D3000" w:rsidRPr="00F00837" w:rsidRDefault="001D3000" w:rsidP="002D4362">
      <w:pPr>
        <w:pStyle w:val="ListParagraph"/>
        <w:widowControl/>
        <w:numPr>
          <w:ilvl w:val="1"/>
          <w:numId w:val="3"/>
        </w:numPr>
      </w:pPr>
      <w:r w:rsidRPr="00F00837">
        <w:rPr>
          <w:rFonts w:cs="Calibri"/>
          <w:snapToGrid/>
          <w:szCs w:val="24"/>
          <w:lang w:eastAsia="en-AU"/>
        </w:rPr>
        <w:t xml:space="preserve">There was an approximate 110% increase in the risk of Grade ≥3 </w:t>
      </w:r>
      <w:r w:rsidR="00653E36" w:rsidRPr="00F00837">
        <w:rPr>
          <w:rFonts w:cs="Calibri"/>
          <w:snapToGrid/>
          <w:szCs w:val="24"/>
          <w:lang w:eastAsia="en-AU"/>
        </w:rPr>
        <w:t>neutropenia in</w:t>
      </w:r>
      <w:r w:rsidRPr="00F00837">
        <w:rPr>
          <w:rFonts w:cs="Calibri"/>
          <w:snapToGrid/>
          <w:szCs w:val="24"/>
          <w:lang w:eastAsia="en-AU"/>
        </w:rPr>
        <w:t xml:space="preserve"> patients who were treated with RAM+PAC. The higher frequency of haematological toxicities such as neutropenia could have been the result of a higher cumulative dose of paclitaxel in the RAM+PAC treatment arm.</w:t>
      </w:r>
    </w:p>
    <w:p w:rsidR="00931A31" w:rsidRPr="00F00837" w:rsidRDefault="00972EEA" w:rsidP="00917CF4">
      <w:pPr>
        <w:pStyle w:val="ListParagraph"/>
        <w:widowControl/>
        <w:numPr>
          <w:ilvl w:val="1"/>
          <w:numId w:val="3"/>
        </w:numPr>
      </w:pPr>
      <w:r w:rsidRPr="00F00837">
        <w:t xml:space="preserve">The PSCR argued that treatment </w:t>
      </w:r>
      <w:r w:rsidR="00AB10CB" w:rsidRPr="00F00837">
        <w:t xml:space="preserve">related </w:t>
      </w:r>
      <w:r w:rsidRPr="00F00837">
        <w:t xml:space="preserve">AEs were likely to be associated with the higher cumulative dose of paclitaxel and consequences of the disease, rather than ramucirumab specifically, and therefore they should be considered in the context of the disease which is uniformly fatal, and inflicts significantly declining </w:t>
      </w:r>
      <w:r w:rsidR="00AB10CB" w:rsidRPr="00F00837">
        <w:t>QoL</w:t>
      </w:r>
      <w:r w:rsidRPr="00F00837">
        <w:t xml:space="preserve"> particularly in the later stages.</w:t>
      </w:r>
    </w:p>
    <w:p w:rsidR="00917CF4" w:rsidRPr="00F00837" w:rsidRDefault="00917CF4" w:rsidP="00917CF4">
      <w:pPr>
        <w:pStyle w:val="ListParagraph"/>
        <w:widowControl/>
        <w:numPr>
          <w:ilvl w:val="1"/>
          <w:numId w:val="3"/>
        </w:numPr>
      </w:pPr>
      <w:r w:rsidRPr="00F00837">
        <w:t xml:space="preserve">The ESC </w:t>
      </w:r>
      <w:r w:rsidR="00931A31" w:rsidRPr="00F00837">
        <w:t xml:space="preserve">disagreed with </w:t>
      </w:r>
      <w:r w:rsidRPr="00F00837">
        <w:t>the PSCR’s arguments</w:t>
      </w:r>
      <w:r w:rsidR="00931A31" w:rsidRPr="00F00837">
        <w:t>, noting that:</w:t>
      </w:r>
    </w:p>
    <w:p w:rsidR="00931A31" w:rsidRPr="00F00837" w:rsidRDefault="001A0145" w:rsidP="00931A31">
      <w:pPr>
        <w:pStyle w:val="ListParagraph"/>
        <w:widowControl/>
        <w:numPr>
          <w:ilvl w:val="0"/>
          <w:numId w:val="2"/>
        </w:numPr>
      </w:pPr>
      <w:r w:rsidRPr="00F00837">
        <w:t>d</w:t>
      </w:r>
      <w:r w:rsidR="00931A31" w:rsidRPr="00F00837">
        <w:t>iscontinuations in the RAINBOW study were mostly due to progressive disease and not toxicity. As such, no significant difference in discontinuations due to toxicity was observed between both arms;</w:t>
      </w:r>
    </w:p>
    <w:p w:rsidR="00931A31" w:rsidRPr="00F00837" w:rsidRDefault="001A0145" w:rsidP="00931A31">
      <w:pPr>
        <w:pStyle w:val="ListParagraph"/>
        <w:widowControl/>
        <w:numPr>
          <w:ilvl w:val="0"/>
          <w:numId w:val="2"/>
        </w:numPr>
      </w:pPr>
      <w:r w:rsidRPr="00F00837">
        <w:t>t</w:t>
      </w:r>
      <w:r w:rsidR="00931A31" w:rsidRPr="00F00837">
        <w:t xml:space="preserve">he treatment specific toxicities observed (see Figure </w:t>
      </w:r>
      <w:r w:rsidR="00555A41" w:rsidRPr="00F00837">
        <w:t>3</w:t>
      </w:r>
      <w:r w:rsidR="00931A31" w:rsidRPr="00F00837">
        <w:t xml:space="preserve">) were known anti-angiogenic effects common with </w:t>
      </w:r>
      <w:r w:rsidR="005D6C15" w:rsidRPr="00F00837">
        <w:t>VEGF inhibitors like ramucirumab</w:t>
      </w:r>
      <w:r w:rsidR="00931A31" w:rsidRPr="00F00837">
        <w:t>; and</w:t>
      </w:r>
    </w:p>
    <w:p w:rsidR="00931A31" w:rsidRDefault="005D6C15" w:rsidP="00931A31">
      <w:pPr>
        <w:pStyle w:val="ListParagraph"/>
        <w:widowControl/>
        <w:numPr>
          <w:ilvl w:val="0"/>
          <w:numId w:val="2"/>
        </w:numPr>
      </w:pPr>
      <w:r w:rsidRPr="00F00837">
        <w:t xml:space="preserve">that the higher </w:t>
      </w:r>
      <w:r w:rsidR="00931A31" w:rsidRPr="00F00837">
        <w:t>incidence of hypertension may result in greater use of simple anti</w:t>
      </w:r>
      <w:r w:rsidR="001A0145" w:rsidRPr="00F00837">
        <w:noBreakHyphen/>
      </w:r>
      <w:r w:rsidR="00931A31" w:rsidRPr="00F00837">
        <w:t>hypertensive drugs.</w:t>
      </w:r>
    </w:p>
    <w:p w:rsidR="00AC3D5B" w:rsidRPr="00F00837" w:rsidRDefault="00AC3D5B" w:rsidP="00AC3D5B">
      <w:pPr>
        <w:pStyle w:val="ListParagraph"/>
        <w:widowControl/>
        <w:numPr>
          <w:ilvl w:val="1"/>
          <w:numId w:val="3"/>
        </w:numPr>
      </w:pPr>
      <w:r>
        <w:t xml:space="preserve">The pre-PBAC response </w:t>
      </w:r>
      <w:r w:rsidRPr="00AC3D5B">
        <w:t>acknowledged the increased AE profile arising from the addition of ramucirumab to paclitaxel.</w:t>
      </w:r>
    </w:p>
    <w:p w:rsidR="00555A41" w:rsidRPr="00DC0AAC" w:rsidRDefault="00931A31" w:rsidP="00555A41">
      <w:pPr>
        <w:keepNext/>
        <w:widowControl/>
        <w:jc w:val="left"/>
        <w:rPr>
          <w:rStyle w:val="CommentReference"/>
          <w:i/>
        </w:rPr>
      </w:pPr>
      <w:bookmarkStart w:id="13" w:name="_Toc501621605"/>
      <w:r w:rsidRPr="00DC0AAC">
        <w:rPr>
          <w:rStyle w:val="CommentReference"/>
          <w:i/>
        </w:rPr>
        <w:t xml:space="preserve"> </w:t>
      </w:r>
      <w:r w:rsidR="00555A41" w:rsidRPr="005250EB">
        <w:rPr>
          <w:rStyle w:val="CommentReference"/>
        </w:rPr>
        <w:t>Figure 3. Adverse events associated with anti-angiogenic effects</w:t>
      </w:r>
      <w:r w:rsidR="00555A41" w:rsidRPr="00DC0AAC">
        <w:rPr>
          <w:rStyle w:val="CommentReference"/>
          <w:i/>
          <w:noProof/>
          <w:lang w:eastAsia="en-AU"/>
        </w:rPr>
        <w:drawing>
          <wp:inline distT="0" distB="0" distL="0" distR="0" wp14:anchorId="3AC856AA" wp14:editId="32B18130">
            <wp:extent cx="5810250" cy="4391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0" cy="4391025"/>
                    </a:xfrm>
                    <a:prstGeom prst="rect">
                      <a:avLst/>
                    </a:prstGeom>
                    <a:noFill/>
                    <a:ln>
                      <a:noFill/>
                    </a:ln>
                  </pic:spPr>
                </pic:pic>
              </a:graphicData>
            </a:graphic>
          </wp:inline>
        </w:drawing>
      </w:r>
    </w:p>
    <w:p w:rsidR="00931A31" w:rsidRPr="00DC0AAC" w:rsidRDefault="00555A41" w:rsidP="00555A41">
      <w:pPr>
        <w:pStyle w:val="TableFooter"/>
        <w:rPr>
          <w:i/>
        </w:rPr>
      </w:pPr>
      <w:r w:rsidRPr="00DC0AAC">
        <w:rPr>
          <w:i/>
        </w:rPr>
        <w:t>Source: Lancet Oncol. 2014 Oct;15(11):1224-35. doi: 10.1016/S1470-2045(14)70420-6</w:t>
      </w:r>
    </w:p>
    <w:p w:rsidR="00681B09" w:rsidRPr="009643B5" w:rsidRDefault="00681B09" w:rsidP="002D4362">
      <w:pPr>
        <w:pStyle w:val="Heading2"/>
        <w:spacing w:before="160"/>
      </w:pPr>
      <w:r w:rsidRPr="009643B5">
        <w:t>Benefits/harms</w:t>
      </w:r>
      <w:bookmarkEnd w:id="13"/>
    </w:p>
    <w:p w:rsidR="00681B09" w:rsidRPr="00F00837" w:rsidRDefault="00681B09" w:rsidP="001F46FB">
      <w:pPr>
        <w:pStyle w:val="ListParagraph"/>
        <w:widowControl/>
        <w:numPr>
          <w:ilvl w:val="1"/>
          <w:numId w:val="3"/>
        </w:numPr>
        <w:spacing w:before="160"/>
      </w:pPr>
      <w:r w:rsidRPr="00F00837">
        <w:t xml:space="preserve">A summary of the comparative benefits and harms for RAM+PAC versus PBO+PAC is presented in the table below. </w:t>
      </w:r>
    </w:p>
    <w:p w:rsidR="005E658A" w:rsidRPr="00382705" w:rsidRDefault="005E658A" w:rsidP="002D4362">
      <w:pPr>
        <w:widowControl/>
        <w:jc w:val="left"/>
        <w:rPr>
          <w:rStyle w:val="CommentReference"/>
        </w:rPr>
      </w:pPr>
      <w:r w:rsidRPr="00382705">
        <w:rPr>
          <w:rStyle w:val="CommentReference"/>
        </w:rPr>
        <w:t xml:space="preserve">Table </w:t>
      </w:r>
      <w:r w:rsidR="00445F54" w:rsidRPr="00382705">
        <w:rPr>
          <w:rStyle w:val="CommentReference"/>
        </w:rPr>
        <w:t>6</w:t>
      </w:r>
      <w:r w:rsidRPr="00382705">
        <w:rPr>
          <w:rStyle w:val="CommentReference"/>
        </w:rPr>
        <w:t xml:space="preserve">: RAINBOW trial: Summary of comparative benefits and harms for RAM+PAC and PBO+PAC </w:t>
      </w:r>
    </w:p>
    <w:tbl>
      <w:tblPr>
        <w:tblW w:w="5000" w:type="pct"/>
        <w:tblLayout w:type="fixed"/>
        <w:tblCellMar>
          <w:left w:w="28" w:type="dxa"/>
          <w:right w:w="28" w:type="dxa"/>
        </w:tblCellMar>
        <w:tblLook w:val="04A0" w:firstRow="1" w:lastRow="0" w:firstColumn="1" w:lastColumn="0" w:noHBand="0" w:noVBand="1"/>
      </w:tblPr>
      <w:tblGrid>
        <w:gridCol w:w="1567"/>
        <w:gridCol w:w="292"/>
        <w:gridCol w:w="992"/>
        <w:gridCol w:w="490"/>
        <w:gridCol w:w="652"/>
        <w:gridCol w:w="1144"/>
        <w:gridCol w:w="1571"/>
        <w:gridCol w:w="29"/>
        <w:gridCol w:w="1114"/>
        <w:gridCol w:w="1232"/>
      </w:tblGrid>
      <w:tr w:rsidR="005E658A" w:rsidRPr="00382705" w:rsidTr="001A39E3">
        <w:tc>
          <w:tcPr>
            <w:tcW w:w="5000" w:type="pct"/>
            <w:gridSpan w:val="10"/>
            <w:tcBorders>
              <w:top w:val="single" w:sz="4" w:space="0" w:color="auto"/>
              <w:left w:val="single" w:sz="4" w:space="0" w:color="auto"/>
              <w:bottom w:val="double" w:sz="4" w:space="0" w:color="auto"/>
              <w:right w:val="single" w:sz="4" w:space="0" w:color="auto"/>
            </w:tcBorders>
            <w:shd w:val="clear" w:color="auto" w:fill="auto"/>
            <w:vAlign w:val="center"/>
          </w:tcPr>
          <w:p w:rsidR="005E658A" w:rsidRPr="00382705" w:rsidRDefault="005E658A" w:rsidP="001F46FB">
            <w:pPr>
              <w:keepNext/>
              <w:keepLines/>
              <w:rPr>
                <w:rFonts w:ascii="Arial Narrow" w:hAnsi="Arial Narrow"/>
                <w:b/>
                <w:color w:val="000000"/>
                <w:sz w:val="20"/>
                <w:szCs w:val="18"/>
              </w:rPr>
            </w:pPr>
          </w:p>
        </w:tc>
      </w:tr>
      <w:tr w:rsidR="005E658A" w:rsidRPr="00382705" w:rsidTr="001A39E3">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5E658A" w:rsidRPr="00382705" w:rsidRDefault="005E658A" w:rsidP="001F46FB">
            <w:pPr>
              <w:keepNext/>
              <w:keepLines/>
              <w:rPr>
                <w:rFonts w:ascii="Arial Narrow" w:hAnsi="Arial Narrow"/>
                <w:b/>
                <w:color w:val="000000"/>
                <w:sz w:val="20"/>
                <w:szCs w:val="18"/>
              </w:rPr>
            </w:pPr>
            <w:r w:rsidRPr="00382705">
              <w:rPr>
                <w:rFonts w:ascii="Arial Narrow" w:hAnsi="Arial Narrow"/>
                <w:b/>
                <w:color w:val="000000"/>
                <w:sz w:val="20"/>
                <w:szCs w:val="18"/>
              </w:rPr>
              <w:t xml:space="preserve">Benefits: </w:t>
            </w:r>
            <w:r w:rsidRPr="00382705">
              <w:rPr>
                <w:rStyle w:val="CommentReference"/>
              </w:rPr>
              <w:t>ITT population</w:t>
            </w:r>
          </w:p>
        </w:tc>
      </w:tr>
      <w:tr w:rsidR="005E658A" w:rsidRPr="00382705" w:rsidTr="001A39E3">
        <w:tc>
          <w:tcPr>
            <w:tcW w:w="10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58A" w:rsidRPr="00382705" w:rsidRDefault="005E658A" w:rsidP="001F46FB">
            <w:pPr>
              <w:keepNext/>
              <w:keepLines/>
              <w:jc w:val="center"/>
              <w:rPr>
                <w:rFonts w:ascii="Arial Narrow" w:hAnsi="Arial Narrow"/>
                <w:color w:val="000000"/>
                <w:sz w:val="20"/>
                <w:szCs w:val="18"/>
              </w:rPr>
            </w:pPr>
          </w:p>
        </w:tc>
        <w:tc>
          <w:tcPr>
            <w:tcW w:w="816" w:type="pct"/>
            <w:gridSpan w:val="2"/>
            <w:tcBorders>
              <w:top w:val="single" w:sz="4" w:space="0" w:color="auto"/>
              <w:left w:val="single" w:sz="4" w:space="0" w:color="auto"/>
              <w:bottom w:val="single" w:sz="4" w:space="0" w:color="auto"/>
              <w:right w:val="single" w:sz="4" w:space="0" w:color="auto"/>
            </w:tcBorders>
            <w:vAlign w:val="center"/>
          </w:tcPr>
          <w:p w:rsidR="005E658A" w:rsidRPr="00382705" w:rsidRDefault="005E658A" w:rsidP="001F46FB">
            <w:pPr>
              <w:keepNext/>
              <w:keepLines/>
              <w:jc w:val="center"/>
              <w:rPr>
                <w:rFonts w:ascii="Arial Narrow" w:hAnsi="Arial Narrow"/>
                <w:b/>
                <w:color w:val="000000"/>
                <w:sz w:val="20"/>
                <w:szCs w:val="18"/>
              </w:rPr>
            </w:pPr>
            <w:r w:rsidRPr="00382705">
              <w:rPr>
                <w:rFonts w:ascii="Arial Narrow" w:hAnsi="Arial Narrow"/>
                <w:b/>
                <w:color w:val="000000"/>
                <w:sz w:val="20"/>
                <w:szCs w:val="18"/>
              </w:rPr>
              <w:t>RAM+PAC</w:t>
            </w:r>
          </w:p>
          <w:p w:rsidR="005E658A" w:rsidRPr="00382705" w:rsidRDefault="005E658A" w:rsidP="001F46FB">
            <w:pPr>
              <w:keepNext/>
              <w:keepLines/>
              <w:jc w:val="center"/>
              <w:rPr>
                <w:rFonts w:ascii="Arial Narrow" w:hAnsi="Arial Narrow"/>
                <w:b/>
                <w:color w:val="000000"/>
                <w:sz w:val="20"/>
                <w:szCs w:val="18"/>
              </w:rPr>
            </w:pPr>
            <w:r w:rsidRPr="00382705">
              <w:rPr>
                <w:rFonts w:ascii="Arial Narrow" w:hAnsi="Arial Narrow"/>
                <w:b/>
                <w:color w:val="000000"/>
                <w:sz w:val="20"/>
                <w:szCs w:val="18"/>
              </w:rPr>
              <w:t>N=330</w:t>
            </w:r>
          </w:p>
        </w:tc>
        <w:tc>
          <w:tcPr>
            <w:tcW w:w="989" w:type="pct"/>
            <w:gridSpan w:val="2"/>
            <w:tcBorders>
              <w:top w:val="single" w:sz="4" w:space="0" w:color="auto"/>
              <w:left w:val="single" w:sz="4" w:space="0" w:color="auto"/>
              <w:bottom w:val="single" w:sz="4" w:space="0" w:color="auto"/>
              <w:right w:val="single" w:sz="4" w:space="0" w:color="auto"/>
            </w:tcBorders>
            <w:vAlign w:val="center"/>
          </w:tcPr>
          <w:p w:rsidR="005E658A" w:rsidRPr="00382705" w:rsidRDefault="005E658A" w:rsidP="001F46FB">
            <w:pPr>
              <w:keepNext/>
              <w:keepLines/>
              <w:jc w:val="center"/>
              <w:rPr>
                <w:rFonts w:ascii="Arial Narrow" w:hAnsi="Arial Narrow"/>
                <w:b/>
                <w:color w:val="000000"/>
                <w:sz w:val="20"/>
                <w:szCs w:val="18"/>
              </w:rPr>
            </w:pPr>
            <w:r w:rsidRPr="00382705">
              <w:rPr>
                <w:rFonts w:ascii="Arial Narrow" w:hAnsi="Arial Narrow"/>
                <w:b/>
                <w:color w:val="000000"/>
                <w:sz w:val="20"/>
                <w:szCs w:val="18"/>
              </w:rPr>
              <w:t>PBO+PAC</w:t>
            </w:r>
          </w:p>
          <w:p w:rsidR="005E658A" w:rsidRPr="00382705" w:rsidRDefault="005E658A" w:rsidP="001F46FB">
            <w:pPr>
              <w:keepNext/>
              <w:keepLines/>
              <w:jc w:val="center"/>
              <w:rPr>
                <w:rFonts w:ascii="Arial Narrow" w:hAnsi="Arial Narrow"/>
                <w:b/>
                <w:color w:val="000000"/>
                <w:sz w:val="20"/>
                <w:szCs w:val="18"/>
              </w:rPr>
            </w:pPr>
            <w:r w:rsidRPr="00382705">
              <w:rPr>
                <w:rFonts w:ascii="Arial Narrow" w:hAnsi="Arial Narrow"/>
                <w:b/>
                <w:color w:val="000000"/>
                <w:sz w:val="20"/>
                <w:szCs w:val="18"/>
              </w:rPr>
              <w:t>N=335</w:t>
            </w:r>
          </w:p>
        </w:tc>
        <w:tc>
          <w:tcPr>
            <w:tcW w:w="881" w:type="pct"/>
            <w:gridSpan w:val="2"/>
            <w:tcBorders>
              <w:top w:val="single" w:sz="4" w:space="0" w:color="auto"/>
              <w:left w:val="single" w:sz="4" w:space="0" w:color="auto"/>
              <w:bottom w:val="single" w:sz="4" w:space="0" w:color="auto"/>
              <w:right w:val="single" w:sz="4" w:space="0" w:color="auto"/>
            </w:tcBorders>
            <w:vAlign w:val="center"/>
          </w:tcPr>
          <w:p w:rsidR="005E658A" w:rsidRPr="00382705" w:rsidRDefault="005E658A" w:rsidP="001F46FB">
            <w:pPr>
              <w:keepNext/>
              <w:keepLines/>
              <w:jc w:val="center"/>
              <w:rPr>
                <w:rFonts w:ascii="Arial Narrow" w:hAnsi="Arial Narrow"/>
                <w:b/>
                <w:color w:val="000000"/>
                <w:sz w:val="20"/>
                <w:szCs w:val="18"/>
              </w:rPr>
            </w:pPr>
            <w:r w:rsidRPr="00382705">
              <w:rPr>
                <w:rFonts w:ascii="Arial Narrow" w:hAnsi="Arial Narrow"/>
                <w:b/>
                <w:color w:val="000000"/>
                <w:sz w:val="20"/>
                <w:szCs w:val="18"/>
              </w:rPr>
              <w:t>Absolute difference</w:t>
            </w:r>
          </w:p>
        </w:tc>
        <w:tc>
          <w:tcPr>
            <w:tcW w:w="1291" w:type="pct"/>
            <w:gridSpan w:val="2"/>
            <w:tcBorders>
              <w:top w:val="single" w:sz="4" w:space="0" w:color="auto"/>
              <w:left w:val="single" w:sz="4" w:space="0" w:color="auto"/>
              <w:bottom w:val="single" w:sz="4" w:space="0" w:color="auto"/>
              <w:right w:val="single" w:sz="4" w:space="0" w:color="auto"/>
            </w:tcBorders>
            <w:vAlign w:val="center"/>
          </w:tcPr>
          <w:p w:rsidR="005E658A" w:rsidRPr="00382705" w:rsidRDefault="005E658A" w:rsidP="001F46FB">
            <w:pPr>
              <w:keepNext/>
              <w:keepLines/>
              <w:jc w:val="center"/>
              <w:rPr>
                <w:rFonts w:ascii="Arial Narrow" w:hAnsi="Arial Narrow"/>
                <w:b/>
                <w:color w:val="000000"/>
                <w:sz w:val="20"/>
                <w:szCs w:val="18"/>
              </w:rPr>
            </w:pPr>
            <w:r w:rsidRPr="00382705">
              <w:rPr>
                <w:rFonts w:ascii="Arial Narrow" w:hAnsi="Arial Narrow"/>
                <w:b/>
                <w:color w:val="000000"/>
                <w:sz w:val="20"/>
                <w:szCs w:val="18"/>
              </w:rPr>
              <w:t>HR (95% CI)</w:t>
            </w:r>
          </w:p>
        </w:tc>
      </w:tr>
      <w:tr w:rsidR="005E658A" w:rsidRPr="00456E19" w:rsidTr="001A39E3">
        <w:tc>
          <w:tcPr>
            <w:tcW w:w="10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58A" w:rsidRPr="00456E19" w:rsidRDefault="005E658A" w:rsidP="001F46FB">
            <w:pPr>
              <w:keepNext/>
              <w:keepLines/>
              <w:rPr>
                <w:rFonts w:ascii="Arial Narrow" w:hAnsi="Arial Narrow"/>
                <w:color w:val="000000"/>
                <w:sz w:val="20"/>
                <w:szCs w:val="18"/>
              </w:rPr>
            </w:pPr>
            <w:r w:rsidRPr="00456E19">
              <w:rPr>
                <w:rFonts w:ascii="Arial Narrow" w:hAnsi="Arial Narrow"/>
                <w:color w:val="000000"/>
                <w:sz w:val="20"/>
                <w:szCs w:val="18"/>
              </w:rPr>
              <w:t>OS median (mths)</w:t>
            </w:r>
            <w:r w:rsidR="00D5653C" w:rsidRPr="00456E19">
              <w:rPr>
                <w:rFonts w:ascii="Arial Narrow" w:hAnsi="Arial Narrow"/>
                <w:color w:val="000000"/>
                <w:sz w:val="20"/>
                <w:szCs w:val="18"/>
                <w:vertAlign w:val="superscript"/>
              </w:rPr>
              <w:t>a</w:t>
            </w:r>
          </w:p>
        </w:tc>
        <w:tc>
          <w:tcPr>
            <w:tcW w:w="816" w:type="pct"/>
            <w:gridSpan w:val="2"/>
            <w:tcBorders>
              <w:top w:val="single" w:sz="4" w:space="0" w:color="auto"/>
              <w:bottom w:val="single" w:sz="4" w:space="0" w:color="auto"/>
              <w:right w:val="single" w:sz="4" w:space="0" w:color="auto"/>
            </w:tcBorders>
          </w:tcPr>
          <w:p w:rsidR="005E658A" w:rsidRPr="00456E19" w:rsidRDefault="005E658A" w:rsidP="001F46FB">
            <w:pPr>
              <w:keepNext/>
              <w:keepLines/>
              <w:jc w:val="center"/>
              <w:rPr>
                <w:rFonts w:ascii="Arial Narrow" w:hAnsi="Arial Narrow"/>
                <w:sz w:val="20"/>
                <w:szCs w:val="20"/>
              </w:rPr>
            </w:pPr>
            <w:r w:rsidRPr="00456E19">
              <w:rPr>
                <w:rFonts w:ascii="Arial Narrow" w:hAnsi="Arial Narrow"/>
                <w:sz w:val="20"/>
                <w:szCs w:val="20"/>
              </w:rPr>
              <w:t>9. 63 (8.48, 10.81)</w:t>
            </w:r>
          </w:p>
        </w:tc>
        <w:tc>
          <w:tcPr>
            <w:tcW w:w="989" w:type="pct"/>
            <w:gridSpan w:val="2"/>
            <w:tcBorders>
              <w:top w:val="single" w:sz="4" w:space="0" w:color="auto"/>
              <w:left w:val="single" w:sz="4" w:space="0" w:color="auto"/>
              <w:bottom w:val="single" w:sz="4" w:space="0" w:color="auto"/>
            </w:tcBorders>
          </w:tcPr>
          <w:p w:rsidR="005E658A" w:rsidRPr="00456E19" w:rsidRDefault="005E658A" w:rsidP="001F46FB">
            <w:pPr>
              <w:keepNext/>
              <w:keepLines/>
              <w:jc w:val="center"/>
              <w:rPr>
                <w:rFonts w:ascii="Arial Narrow" w:hAnsi="Arial Narrow"/>
                <w:sz w:val="20"/>
                <w:szCs w:val="20"/>
              </w:rPr>
            </w:pPr>
            <w:r w:rsidRPr="00456E19">
              <w:rPr>
                <w:rFonts w:ascii="Arial Narrow" w:hAnsi="Arial Narrow"/>
                <w:sz w:val="20"/>
                <w:szCs w:val="20"/>
              </w:rPr>
              <w:t>7.36 (6.31, 8.38)</w:t>
            </w:r>
          </w:p>
        </w:tc>
        <w:tc>
          <w:tcPr>
            <w:tcW w:w="881" w:type="pct"/>
            <w:gridSpan w:val="2"/>
            <w:tcBorders>
              <w:top w:val="single" w:sz="4" w:space="0" w:color="auto"/>
              <w:left w:val="single" w:sz="4" w:space="0" w:color="auto"/>
              <w:bottom w:val="single" w:sz="4" w:space="0" w:color="auto"/>
              <w:right w:val="single" w:sz="4" w:space="0" w:color="auto"/>
            </w:tcBorders>
            <w:vAlign w:val="center"/>
          </w:tcPr>
          <w:p w:rsidR="005E658A" w:rsidRPr="00456E19" w:rsidRDefault="005E658A" w:rsidP="001F46FB">
            <w:pPr>
              <w:keepNext/>
              <w:keepLines/>
              <w:jc w:val="center"/>
              <w:rPr>
                <w:rFonts w:ascii="Arial Narrow" w:hAnsi="Arial Narrow"/>
                <w:color w:val="000000"/>
                <w:sz w:val="20"/>
                <w:szCs w:val="18"/>
              </w:rPr>
            </w:pPr>
            <w:r w:rsidRPr="00456E19">
              <w:rPr>
                <w:rFonts w:ascii="Arial Narrow" w:hAnsi="Arial Narrow"/>
                <w:sz w:val="20"/>
                <w:szCs w:val="20"/>
              </w:rPr>
              <w:t>2.3</w:t>
            </w:r>
          </w:p>
        </w:tc>
        <w:tc>
          <w:tcPr>
            <w:tcW w:w="1291" w:type="pct"/>
            <w:gridSpan w:val="2"/>
            <w:tcBorders>
              <w:top w:val="single" w:sz="4" w:space="0" w:color="auto"/>
              <w:left w:val="single" w:sz="4" w:space="0" w:color="auto"/>
              <w:bottom w:val="single" w:sz="4" w:space="0" w:color="auto"/>
              <w:right w:val="single" w:sz="4" w:space="0" w:color="auto"/>
            </w:tcBorders>
            <w:vAlign w:val="center"/>
          </w:tcPr>
          <w:p w:rsidR="005E658A" w:rsidRPr="00456E19" w:rsidRDefault="005E658A" w:rsidP="001F46FB">
            <w:pPr>
              <w:keepNext/>
              <w:keepLines/>
              <w:jc w:val="center"/>
              <w:rPr>
                <w:rFonts w:ascii="Arial Narrow" w:hAnsi="Arial Narrow"/>
                <w:sz w:val="20"/>
                <w:szCs w:val="20"/>
              </w:rPr>
            </w:pPr>
            <w:r w:rsidRPr="00456E19">
              <w:rPr>
                <w:rFonts w:ascii="Arial Narrow" w:hAnsi="Arial Narrow"/>
                <w:sz w:val="20"/>
                <w:szCs w:val="20"/>
              </w:rPr>
              <w:t>0.81 (0.68, 0.96)</w:t>
            </w:r>
            <w:r w:rsidR="00D5653C" w:rsidRPr="00456E19">
              <w:rPr>
                <w:rFonts w:ascii="Arial Narrow" w:hAnsi="Arial Narrow"/>
                <w:sz w:val="20"/>
                <w:szCs w:val="20"/>
                <w:vertAlign w:val="superscript"/>
              </w:rPr>
              <w:t>b</w:t>
            </w:r>
          </w:p>
        </w:tc>
      </w:tr>
      <w:tr w:rsidR="005E658A" w:rsidRPr="00456E19" w:rsidTr="001A39E3">
        <w:tc>
          <w:tcPr>
            <w:tcW w:w="10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58A" w:rsidRPr="00456E19" w:rsidRDefault="005E658A" w:rsidP="001F46FB">
            <w:pPr>
              <w:keepNext/>
              <w:keepLines/>
              <w:rPr>
                <w:rFonts w:ascii="Arial Narrow" w:hAnsi="Arial Narrow"/>
                <w:color w:val="000000"/>
                <w:sz w:val="20"/>
                <w:szCs w:val="18"/>
              </w:rPr>
            </w:pPr>
            <w:r w:rsidRPr="00456E19">
              <w:rPr>
                <w:rFonts w:ascii="Arial Narrow" w:hAnsi="Arial Narrow"/>
                <w:color w:val="000000"/>
                <w:sz w:val="20"/>
                <w:szCs w:val="18"/>
              </w:rPr>
              <w:t>PFS median (mths)</w:t>
            </w:r>
          </w:p>
        </w:tc>
        <w:tc>
          <w:tcPr>
            <w:tcW w:w="816" w:type="pct"/>
            <w:gridSpan w:val="2"/>
            <w:tcBorders>
              <w:bottom w:val="single" w:sz="4" w:space="0" w:color="auto"/>
              <w:right w:val="single" w:sz="4" w:space="0" w:color="auto"/>
            </w:tcBorders>
          </w:tcPr>
          <w:p w:rsidR="005E658A" w:rsidRPr="00456E19" w:rsidRDefault="005E658A" w:rsidP="001F46FB">
            <w:pPr>
              <w:keepNext/>
              <w:keepLines/>
              <w:jc w:val="center"/>
              <w:rPr>
                <w:rFonts w:ascii="Arial Narrow" w:hAnsi="Arial Narrow"/>
                <w:sz w:val="20"/>
              </w:rPr>
            </w:pPr>
            <w:r w:rsidRPr="00456E19">
              <w:rPr>
                <w:rFonts w:ascii="Arial Narrow" w:hAnsi="Arial Narrow"/>
                <w:sz w:val="20"/>
                <w:szCs w:val="20"/>
              </w:rPr>
              <w:t>4.4 (4.2, 5.3)</w:t>
            </w:r>
          </w:p>
        </w:tc>
        <w:tc>
          <w:tcPr>
            <w:tcW w:w="989" w:type="pct"/>
            <w:gridSpan w:val="2"/>
            <w:tcBorders>
              <w:left w:val="single" w:sz="4" w:space="0" w:color="auto"/>
              <w:bottom w:val="single" w:sz="4" w:space="0" w:color="auto"/>
            </w:tcBorders>
          </w:tcPr>
          <w:p w:rsidR="005E658A" w:rsidRPr="00456E19" w:rsidRDefault="005E658A" w:rsidP="001F46FB">
            <w:pPr>
              <w:keepNext/>
              <w:keepLines/>
              <w:jc w:val="center"/>
              <w:rPr>
                <w:rFonts w:ascii="Arial Narrow" w:hAnsi="Arial Narrow"/>
                <w:sz w:val="20"/>
              </w:rPr>
            </w:pPr>
            <w:r w:rsidRPr="00456E19">
              <w:rPr>
                <w:rFonts w:ascii="Arial Narrow" w:hAnsi="Arial Narrow"/>
                <w:sz w:val="20"/>
                <w:szCs w:val="20"/>
              </w:rPr>
              <w:t>2.9 (2.8, 3.0)</w:t>
            </w:r>
          </w:p>
        </w:tc>
        <w:tc>
          <w:tcPr>
            <w:tcW w:w="881" w:type="pct"/>
            <w:gridSpan w:val="2"/>
            <w:tcBorders>
              <w:top w:val="single" w:sz="4" w:space="0" w:color="auto"/>
              <w:left w:val="single" w:sz="4" w:space="0" w:color="auto"/>
              <w:bottom w:val="single" w:sz="4" w:space="0" w:color="auto"/>
              <w:right w:val="single" w:sz="4" w:space="0" w:color="auto"/>
            </w:tcBorders>
            <w:vAlign w:val="center"/>
          </w:tcPr>
          <w:p w:rsidR="005E658A" w:rsidRPr="00456E19" w:rsidRDefault="005E658A" w:rsidP="001F46FB">
            <w:pPr>
              <w:keepNext/>
              <w:keepLines/>
              <w:jc w:val="center"/>
              <w:rPr>
                <w:rFonts w:ascii="Arial Narrow" w:hAnsi="Arial Narrow"/>
                <w:color w:val="000000"/>
                <w:sz w:val="20"/>
                <w:szCs w:val="18"/>
              </w:rPr>
            </w:pPr>
            <w:r w:rsidRPr="00456E19">
              <w:rPr>
                <w:rFonts w:ascii="Arial Narrow" w:hAnsi="Arial Narrow"/>
                <w:color w:val="000000"/>
                <w:sz w:val="20"/>
                <w:szCs w:val="18"/>
              </w:rPr>
              <w:t>1.5</w:t>
            </w:r>
          </w:p>
        </w:tc>
        <w:tc>
          <w:tcPr>
            <w:tcW w:w="1291" w:type="pct"/>
            <w:gridSpan w:val="2"/>
            <w:tcBorders>
              <w:top w:val="single" w:sz="4" w:space="0" w:color="auto"/>
              <w:left w:val="single" w:sz="4" w:space="0" w:color="auto"/>
              <w:bottom w:val="single" w:sz="4" w:space="0" w:color="auto"/>
              <w:right w:val="single" w:sz="4" w:space="0" w:color="auto"/>
            </w:tcBorders>
            <w:vAlign w:val="center"/>
          </w:tcPr>
          <w:p w:rsidR="005E658A" w:rsidRPr="00456E19" w:rsidRDefault="005E658A" w:rsidP="001F46FB">
            <w:pPr>
              <w:keepNext/>
              <w:keepLines/>
              <w:jc w:val="center"/>
              <w:rPr>
                <w:rFonts w:ascii="Arial Narrow" w:hAnsi="Arial Narrow"/>
                <w:color w:val="000000"/>
                <w:sz w:val="20"/>
                <w:szCs w:val="18"/>
              </w:rPr>
            </w:pPr>
            <w:r w:rsidRPr="00456E19">
              <w:rPr>
                <w:rFonts w:ascii="Arial Narrow" w:hAnsi="Arial Narrow"/>
                <w:sz w:val="20"/>
                <w:szCs w:val="20"/>
              </w:rPr>
              <w:t>0.64 (0.54, 0.75) )</w:t>
            </w:r>
            <w:r w:rsidR="00D5653C" w:rsidRPr="00456E19">
              <w:rPr>
                <w:rFonts w:ascii="Arial Narrow" w:hAnsi="Arial Narrow"/>
                <w:sz w:val="20"/>
                <w:szCs w:val="20"/>
                <w:vertAlign w:val="superscript"/>
              </w:rPr>
              <w:t>b</w:t>
            </w:r>
          </w:p>
        </w:tc>
      </w:tr>
      <w:tr w:rsidR="005E658A" w:rsidRPr="00456E19" w:rsidTr="001A39E3">
        <w:tc>
          <w:tcPr>
            <w:tcW w:w="5000" w:type="pct"/>
            <w:gridSpan w:val="10"/>
            <w:tcBorders>
              <w:top w:val="double" w:sz="4" w:space="0" w:color="auto"/>
              <w:left w:val="single" w:sz="4" w:space="0" w:color="auto"/>
              <w:bottom w:val="single" w:sz="4" w:space="0" w:color="auto"/>
              <w:right w:val="single" w:sz="4" w:space="0" w:color="auto"/>
            </w:tcBorders>
            <w:shd w:val="clear" w:color="auto" w:fill="auto"/>
            <w:vAlign w:val="center"/>
          </w:tcPr>
          <w:p w:rsidR="005E658A" w:rsidRPr="00456E19" w:rsidRDefault="005E658A" w:rsidP="001F46FB">
            <w:pPr>
              <w:keepNext/>
              <w:keepLines/>
              <w:rPr>
                <w:rFonts w:ascii="Arial Narrow" w:hAnsi="Arial Narrow"/>
                <w:b/>
                <w:color w:val="000000"/>
                <w:sz w:val="20"/>
                <w:szCs w:val="18"/>
              </w:rPr>
            </w:pPr>
            <w:r w:rsidRPr="00456E19">
              <w:rPr>
                <w:rFonts w:ascii="Arial Narrow" w:hAnsi="Arial Narrow"/>
                <w:b/>
                <w:color w:val="000000"/>
                <w:sz w:val="20"/>
                <w:szCs w:val="18"/>
              </w:rPr>
              <w:t>Harms : Safety population</w:t>
            </w:r>
          </w:p>
        </w:tc>
      </w:tr>
      <w:tr w:rsidR="005E658A" w:rsidRPr="00456E19" w:rsidTr="001A39E3">
        <w:trPr>
          <w:trHeight w:val="70"/>
        </w:trPr>
        <w:tc>
          <w:tcPr>
            <w:tcW w:w="8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658A" w:rsidRPr="00456E19" w:rsidRDefault="005E658A" w:rsidP="001F46FB">
            <w:pPr>
              <w:keepNext/>
              <w:keepLines/>
              <w:rPr>
                <w:rFonts w:ascii="Arial Narrow" w:hAnsi="Arial Narrow"/>
                <w:b/>
                <w:color w:val="000000"/>
                <w:sz w:val="20"/>
                <w:szCs w:val="18"/>
              </w:rPr>
            </w:pPr>
          </w:p>
        </w:tc>
        <w:tc>
          <w:tcPr>
            <w:tcW w:w="707" w:type="pct"/>
            <w:gridSpan w:val="2"/>
            <w:vMerge w:val="restart"/>
            <w:tcBorders>
              <w:top w:val="single" w:sz="4" w:space="0" w:color="auto"/>
              <w:left w:val="single" w:sz="4" w:space="0" w:color="auto"/>
              <w:bottom w:val="single" w:sz="4" w:space="0" w:color="auto"/>
              <w:right w:val="single" w:sz="4" w:space="0" w:color="auto"/>
            </w:tcBorders>
            <w:vAlign w:val="center"/>
          </w:tcPr>
          <w:p w:rsidR="005E658A" w:rsidRPr="00456E19" w:rsidRDefault="005E658A" w:rsidP="001F46FB">
            <w:pPr>
              <w:keepNext/>
              <w:keepLines/>
              <w:jc w:val="center"/>
              <w:rPr>
                <w:rFonts w:ascii="Arial Narrow" w:hAnsi="Arial Narrow"/>
                <w:b/>
                <w:color w:val="000000"/>
                <w:sz w:val="20"/>
                <w:szCs w:val="18"/>
              </w:rPr>
            </w:pPr>
            <w:r w:rsidRPr="00456E19">
              <w:rPr>
                <w:rFonts w:ascii="Arial Narrow" w:hAnsi="Arial Narrow"/>
                <w:b/>
                <w:color w:val="000000"/>
                <w:sz w:val="20"/>
                <w:szCs w:val="18"/>
              </w:rPr>
              <w:t>RAM+PAC</w:t>
            </w:r>
          </w:p>
          <w:p w:rsidR="005E658A" w:rsidRPr="00456E19" w:rsidRDefault="005E658A" w:rsidP="001F46FB">
            <w:pPr>
              <w:keepNext/>
              <w:keepLines/>
              <w:jc w:val="center"/>
              <w:rPr>
                <w:rFonts w:ascii="Arial Narrow" w:hAnsi="Arial Narrow"/>
                <w:b/>
                <w:color w:val="000000"/>
                <w:sz w:val="20"/>
                <w:szCs w:val="18"/>
              </w:rPr>
            </w:pPr>
            <w:r w:rsidRPr="00456E19">
              <w:rPr>
                <w:rFonts w:ascii="Arial Narrow" w:hAnsi="Arial Narrow"/>
                <w:b/>
                <w:color w:val="000000"/>
                <w:sz w:val="20"/>
                <w:szCs w:val="18"/>
              </w:rPr>
              <w:t>n/N</w:t>
            </w:r>
          </w:p>
        </w:tc>
        <w:tc>
          <w:tcPr>
            <w:tcW w:w="629" w:type="pct"/>
            <w:gridSpan w:val="2"/>
            <w:vMerge w:val="restart"/>
            <w:tcBorders>
              <w:top w:val="single" w:sz="4" w:space="0" w:color="auto"/>
              <w:left w:val="single" w:sz="4" w:space="0" w:color="auto"/>
              <w:bottom w:val="single" w:sz="4" w:space="0" w:color="auto"/>
              <w:right w:val="single" w:sz="4" w:space="0" w:color="auto"/>
            </w:tcBorders>
            <w:vAlign w:val="center"/>
          </w:tcPr>
          <w:p w:rsidR="005E658A" w:rsidRPr="00456E19" w:rsidRDefault="005E658A" w:rsidP="001F46FB">
            <w:pPr>
              <w:keepNext/>
              <w:keepLines/>
              <w:jc w:val="center"/>
              <w:rPr>
                <w:rFonts w:ascii="Arial Narrow" w:hAnsi="Arial Narrow"/>
                <w:b/>
                <w:color w:val="000000"/>
                <w:sz w:val="20"/>
                <w:szCs w:val="18"/>
              </w:rPr>
            </w:pPr>
            <w:r w:rsidRPr="00456E19">
              <w:rPr>
                <w:rFonts w:ascii="Arial Narrow" w:hAnsi="Arial Narrow"/>
                <w:b/>
                <w:color w:val="000000"/>
                <w:sz w:val="20"/>
                <w:szCs w:val="18"/>
              </w:rPr>
              <w:t>PBO+PAC</w:t>
            </w:r>
          </w:p>
          <w:p w:rsidR="005E658A" w:rsidRPr="00456E19" w:rsidRDefault="005E658A" w:rsidP="001F46FB">
            <w:pPr>
              <w:keepNext/>
              <w:keepLines/>
              <w:jc w:val="center"/>
              <w:rPr>
                <w:rFonts w:ascii="Arial Narrow" w:hAnsi="Arial Narrow"/>
                <w:b/>
                <w:color w:val="000000"/>
                <w:sz w:val="20"/>
                <w:szCs w:val="18"/>
              </w:rPr>
            </w:pPr>
            <w:r w:rsidRPr="00456E19">
              <w:rPr>
                <w:rFonts w:ascii="Arial Narrow" w:hAnsi="Arial Narrow"/>
                <w:b/>
                <w:color w:val="000000"/>
                <w:sz w:val="20"/>
                <w:szCs w:val="18"/>
              </w:rPr>
              <w:t>n/N</w:t>
            </w:r>
          </w:p>
        </w:tc>
        <w:tc>
          <w:tcPr>
            <w:tcW w:w="630" w:type="pct"/>
            <w:vMerge w:val="restart"/>
            <w:tcBorders>
              <w:top w:val="single" w:sz="4" w:space="0" w:color="auto"/>
              <w:left w:val="single" w:sz="4" w:space="0" w:color="auto"/>
              <w:bottom w:val="single" w:sz="4" w:space="0" w:color="auto"/>
              <w:right w:val="single" w:sz="4" w:space="0" w:color="auto"/>
            </w:tcBorders>
            <w:vAlign w:val="center"/>
          </w:tcPr>
          <w:p w:rsidR="005E658A" w:rsidRPr="00456E19" w:rsidRDefault="005E658A" w:rsidP="001F46FB">
            <w:pPr>
              <w:keepNext/>
              <w:keepLines/>
              <w:jc w:val="center"/>
              <w:rPr>
                <w:rFonts w:ascii="Arial Narrow" w:hAnsi="Arial Narrow"/>
                <w:b/>
                <w:color w:val="000000"/>
                <w:sz w:val="20"/>
                <w:szCs w:val="18"/>
              </w:rPr>
            </w:pPr>
            <w:r w:rsidRPr="00456E19">
              <w:rPr>
                <w:rFonts w:ascii="Arial Narrow" w:hAnsi="Arial Narrow"/>
                <w:b/>
                <w:color w:val="000000"/>
                <w:sz w:val="20"/>
                <w:szCs w:val="18"/>
              </w:rPr>
              <w:t>RR</w:t>
            </w:r>
          </w:p>
          <w:p w:rsidR="005E658A" w:rsidRPr="00456E19" w:rsidRDefault="005E658A" w:rsidP="001F46FB">
            <w:pPr>
              <w:keepNext/>
              <w:keepLines/>
              <w:jc w:val="center"/>
              <w:rPr>
                <w:rFonts w:ascii="Arial Narrow" w:hAnsi="Arial Narrow"/>
                <w:b/>
                <w:color w:val="000000"/>
                <w:sz w:val="20"/>
                <w:szCs w:val="18"/>
              </w:rPr>
            </w:pPr>
            <w:r w:rsidRPr="00456E19">
              <w:rPr>
                <w:rFonts w:ascii="Arial Narrow" w:hAnsi="Arial Narrow"/>
                <w:b/>
                <w:color w:val="000000"/>
                <w:sz w:val="20"/>
                <w:szCs w:val="18"/>
              </w:rPr>
              <w:t>(95% CI)</w:t>
            </w:r>
          </w:p>
        </w:tc>
        <w:tc>
          <w:tcPr>
            <w:tcW w:w="1494" w:type="pct"/>
            <w:gridSpan w:val="3"/>
            <w:tcBorders>
              <w:top w:val="single" w:sz="4" w:space="0" w:color="auto"/>
              <w:left w:val="single" w:sz="4" w:space="0" w:color="auto"/>
              <w:bottom w:val="single" w:sz="4" w:space="0" w:color="auto"/>
              <w:right w:val="single" w:sz="4" w:space="0" w:color="auto"/>
            </w:tcBorders>
            <w:vAlign w:val="center"/>
          </w:tcPr>
          <w:p w:rsidR="005E658A" w:rsidRPr="00456E19" w:rsidRDefault="005E658A" w:rsidP="001F46FB">
            <w:pPr>
              <w:keepNext/>
              <w:keepLines/>
              <w:jc w:val="center"/>
              <w:rPr>
                <w:rFonts w:ascii="Arial Narrow" w:hAnsi="Arial Narrow"/>
                <w:b/>
                <w:color w:val="000000"/>
                <w:sz w:val="20"/>
                <w:szCs w:val="18"/>
              </w:rPr>
            </w:pPr>
            <w:r w:rsidRPr="00456E19">
              <w:rPr>
                <w:rFonts w:ascii="Arial Narrow" w:hAnsi="Arial Narrow"/>
                <w:b/>
                <w:color w:val="000000"/>
                <w:sz w:val="20"/>
                <w:szCs w:val="18"/>
              </w:rPr>
              <w:t xml:space="preserve">Event rate/100 patients* </w:t>
            </w:r>
          </w:p>
        </w:tc>
        <w:tc>
          <w:tcPr>
            <w:tcW w:w="678" w:type="pct"/>
            <w:vMerge w:val="restart"/>
            <w:tcBorders>
              <w:top w:val="single" w:sz="4" w:space="0" w:color="auto"/>
              <w:left w:val="single" w:sz="4" w:space="0" w:color="auto"/>
              <w:bottom w:val="single" w:sz="4" w:space="0" w:color="auto"/>
              <w:right w:val="single" w:sz="4" w:space="0" w:color="auto"/>
            </w:tcBorders>
            <w:vAlign w:val="center"/>
          </w:tcPr>
          <w:p w:rsidR="005E658A" w:rsidRPr="00456E19" w:rsidRDefault="005E658A" w:rsidP="001F46FB">
            <w:pPr>
              <w:keepNext/>
              <w:keepLines/>
              <w:jc w:val="center"/>
              <w:rPr>
                <w:rFonts w:ascii="Arial Narrow" w:hAnsi="Arial Narrow"/>
                <w:b/>
                <w:color w:val="000000"/>
                <w:sz w:val="20"/>
                <w:szCs w:val="18"/>
              </w:rPr>
            </w:pPr>
            <w:r w:rsidRPr="00456E19">
              <w:rPr>
                <w:rFonts w:ascii="Arial Narrow" w:hAnsi="Arial Narrow"/>
                <w:b/>
                <w:color w:val="000000"/>
                <w:sz w:val="20"/>
                <w:szCs w:val="18"/>
              </w:rPr>
              <w:t>RD</w:t>
            </w:r>
          </w:p>
          <w:p w:rsidR="005E658A" w:rsidRPr="00456E19" w:rsidRDefault="005E658A" w:rsidP="001F46FB">
            <w:pPr>
              <w:keepNext/>
              <w:keepLines/>
              <w:jc w:val="center"/>
              <w:rPr>
                <w:rFonts w:ascii="Arial Narrow" w:hAnsi="Arial Narrow"/>
                <w:b/>
                <w:color w:val="000000"/>
                <w:sz w:val="20"/>
                <w:szCs w:val="18"/>
              </w:rPr>
            </w:pPr>
            <w:r w:rsidRPr="00456E19">
              <w:rPr>
                <w:rFonts w:ascii="Arial Narrow" w:hAnsi="Arial Narrow"/>
                <w:b/>
                <w:color w:val="000000"/>
                <w:sz w:val="20"/>
                <w:szCs w:val="18"/>
              </w:rPr>
              <w:t>(95% CI)</w:t>
            </w:r>
          </w:p>
        </w:tc>
      </w:tr>
      <w:tr w:rsidR="005E658A" w:rsidRPr="00456E19" w:rsidTr="001A39E3">
        <w:trPr>
          <w:trHeight w:val="390"/>
        </w:trPr>
        <w:tc>
          <w:tcPr>
            <w:tcW w:w="862" w:type="pct"/>
            <w:vMerge/>
            <w:tcBorders>
              <w:top w:val="single" w:sz="4" w:space="0" w:color="auto"/>
              <w:left w:val="single" w:sz="4" w:space="0" w:color="auto"/>
              <w:bottom w:val="single" w:sz="4" w:space="0" w:color="auto"/>
              <w:right w:val="single" w:sz="4" w:space="0" w:color="auto"/>
            </w:tcBorders>
            <w:shd w:val="clear" w:color="auto" w:fill="auto"/>
            <w:vAlign w:val="center"/>
          </w:tcPr>
          <w:p w:rsidR="005E658A" w:rsidRPr="00456E19" w:rsidRDefault="005E658A" w:rsidP="001F46FB">
            <w:pPr>
              <w:keepNext/>
              <w:keepLines/>
              <w:rPr>
                <w:rFonts w:ascii="Arial Narrow" w:hAnsi="Arial Narrow"/>
                <w:b/>
                <w:color w:val="000000"/>
                <w:sz w:val="20"/>
                <w:szCs w:val="18"/>
              </w:rPr>
            </w:pPr>
          </w:p>
        </w:tc>
        <w:tc>
          <w:tcPr>
            <w:tcW w:w="707" w:type="pct"/>
            <w:gridSpan w:val="2"/>
            <w:vMerge/>
            <w:tcBorders>
              <w:top w:val="single" w:sz="4" w:space="0" w:color="auto"/>
              <w:left w:val="single" w:sz="4" w:space="0" w:color="auto"/>
              <w:bottom w:val="single" w:sz="4" w:space="0" w:color="auto"/>
              <w:right w:val="single" w:sz="4" w:space="0" w:color="auto"/>
            </w:tcBorders>
            <w:vAlign w:val="center"/>
          </w:tcPr>
          <w:p w:rsidR="005E658A" w:rsidRPr="00456E19" w:rsidRDefault="005E658A" w:rsidP="001F46FB">
            <w:pPr>
              <w:keepNext/>
              <w:keepLines/>
              <w:jc w:val="center"/>
              <w:rPr>
                <w:rFonts w:ascii="Arial Narrow" w:hAnsi="Arial Narrow"/>
                <w:b/>
                <w:color w:val="000000"/>
                <w:sz w:val="20"/>
                <w:szCs w:val="18"/>
              </w:rPr>
            </w:pPr>
          </w:p>
        </w:tc>
        <w:tc>
          <w:tcPr>
            <w:tcW w:w="629" w:type="pct"/>
            <w:gridSpan w:val="2"/>
            <w:vMerge/>
            <w:tcBorders>
              <w:top w:val="single" w:sz="4" w:space="0" w:color="auto"/>
              <w:left w:val="single" w:sz="4" w:space="0" w:color="auto"/>
              <w:bottom w:val="single" w:sz="4" w:space="0" w:color="auto"/>
              <w:right w:val="single" w:sz="4" w:space="0" w:color="auto"/>
            </w:tcBorders>
            <w:vAlign w:val="center"/>
          </w:tcPr>
          <w:p w:rsidR="005E658A" w:rsidRPr="00456E19" w:rsidRDefault="005E658A" w:rsidP="001F46FB">
            <w:pPr>
              <w:keepNext/>
              <w:keepLines/>
              <w:jc w:val="center"/>
              <w:rPr>
                <w:rFonts w:ascii="Arial Narrow" w:hAnsi="Arial Narrow"/>
                <w:b/>
                <w:color w:val="000000"/>
                <w:sz w:val="20"/>
                <w:szCs w:val="18"/>
              </w:rPr>
            </w:pPr>
          </w:p>
        </w:tc>
        <w:tc>
          <w:tcPr>
            <w:tcW w:w="630" w:type="pct"/>
            <w:vMerge/>
            <w:tcBorders>
              <w:top w:val="single" w:sz="4" w:space="0" w:color="auto"/>
              <w:left w:val="single" w:sz="4" w:space="0" w:color="auto"/>
              <w:bottom w:val="single" w:sz="4" w:space="0" w:color="auto"/>
              <w:right w:val="single" w:sz="4" w:space="0" w:color="auto"/>
            </w:tcBorders>
            <w:vAlign w:val="center"/>
          </w:tcPr>
          <w:p w:rsidR="005E658A" w:rsidRPr="00456E19" w:rsidRDefault="005E658A" w:rsidP="001F46FB">
            <w:pPr>
              <w:keepNext/>
              <w:keepLines/>
              <w:jc w:val="center"/>
              <w:rPr>
                <w:rFonts w:ascii="Arial Narrow" w:hAnsi="Arial Narrow"/>
                <w:b/>
                <w:color w:val="000000"/>
                <w:sz w:val="20"/>
                <w:szCs w:val="18"/>
              </w:rPr>
            </w:pPr>
          </w:p>
        </w:tc>
        <w:tc>
          <w:tcPr>
            <w:tcW w:w="865" w:type="pct"/>
            <w:tcBorders>
              <w:top w:val="single" w:sz="4" w:space="0" w:color="auto"/>
              <w:left w:val="single" w:sz="4" w:space="0" w:color="auto"/>
              <w:bottom w:val="single" w:sz="4" w:space="0" w:color="auto"/>
              <w:right w:val="single" w:sz="4" w:space="0" w:color="auto"/>
            </w:tcBorders>
            <w:vAlign w:val="center"/>
          </w:tcPr>
          <w:p w:rsidR="005E658A" w:rsidRPr="00456E19" w:rsidRDefault="005E658A" w:rsidP="001F46FB">
            <w:pPr>
              <w:keepNext/>
              <w:keepLines/>
              <w:jc w:val="center"/>
              <w:rPr>
                <w:rFonts w:ascii="Arial Narrow" w:hAnsi="Arial Narrow"/>
                <w:b/>
                <w:color w:val="000000"/>
                <w:sz w:val="20"/>
                <w:szCs w:val="18"/>
              </w:rPr>
            </w:pPr>
            <w:r w:rsidRPr="00456E19">
              <w:rPr>
                <w:rFonts w:ascii="Arial Narrow" w:hAnsi="Arial Narrow"/>
                <w:b/>
                <w:color w:val="000000"/>
                <w:sz w:val="20"/>
                <w:szCs w:val="18"/>
              </w:rPr>
              <w:t>RAM+PAC</w:t>
            </w:r>
          </w:p>
        </w:tc>
        <w:tc>
          <w:tcPr>
            <w:tcW w:w="629" w:type="pct"/>
            <w:gridSpan w:val="2"/>
            <w:tcBorders>
              <w:top w:val="single" w:sz="4" w:space="0" w:color="auto"/>
              <w:left w:val="single" w:sz="4" w:space="0" w:color="auto"/>
              <w:bottom w:val="single" w:sz="4" w:space="0" w:color="auto"/>
              <w:right w:val="single" w:sz="4" w:space="0" w:color="auto"/>
            </w:tcBorders>
            <w:vAlign w:val="center"/>
          </w:tcPr>
          <w:p w:rsidR="005E658A" w:rsidRPr="00456E19" w:rsidRDefault="005E658A" w:rsidP="001F46FB">
            <w:pPr>
              <w:keepNext/>
              <w:keepLines/>
              <w:jc w:val="center"/>
              <w:rPr>
                <w:rFonts w:ascii="Arial Narrow" w:hAnsi="Arial Narrow"/>
                <w:b/>
                <w:color w:val="000000"/>
                <w:sz w:val="20"/>
                <w:szCs w:val="18"/>
              </w:rPr>
            </w:pPr>
            <w:r w:rsidRPr="00456E19">
              <w:rPr>
                <w:rFonts w:ascii="Arial Narrow" w:hAnsi="Arial Narrow"/>
                <w:b/>
                <w:color w:val="000000"/>
                <w:sz w:val="20"/>
                <w:szCs w:val="18"/>
              </w:rPr>
              <w:t>PBO+PAC</w:t>
            </w:r>
          </w:p>
        </w:tc>
        <w:tc>
          <w:tcPr>
            <w:tcW w:w="678" w:type="pct"/>
            <w:vMerge/>
            <w:tcBorders>
              <w:top w:val="single" w:sz="4" w:space="0" w:color="auto"/>
              <w:left w:val="single" w:sz="4" w:space="0" w:color="auto"/>
              <w:bottom w:val="single" w:sz="4" w:space="0" w:color="auto"/>
              <w:right w:val="single" w:sz="4" w:space="0" w:color="auto"/>
            </w:tcBorders>
            <w:vAlign w:val="center"/>
          </w:tcPr>
          <w:p w:rsidR="005E658A" w:rsidRPr="00456E19" w:rsidRDefault="005E658A" w:rsidP="001F46FB">
            <w:pPr>
              <w:keepNext/>
              <w:keepLines/>
              <w:jc w:val="center"/>
              <w:rPr>
                <w:rFonts w:ascii="Arial Narrow" w:hAnsi="Arial Narrow"/>
                <w:b/>
                <w:color w:val="000000"/>
                <w:sz w:val="20"/>
                <w:szCs w:val="18"/>
              </w:rPr>
            </w:pPr>
          </w:p>
        </w:tc>
      </w:tr>
      <w:tr w:rsidR="005E658A" w:rsidRPr="00456E19" w:rsidTr="001A39E3">
        <w:tc>
          <w:tcPr>
            <w:tcW w:w="862" w:type="pct"/>
            <w:tcBorders>
              <w:top w:val="single" w:sz="4" w:space="0" w:color="auto"/>
              <w:left w:val="single" w:sz="4" w:space="0" w:color="auto"/>
              <w:right w:val="single" w:sz="4" w:space="0" w:color="auto"/>
            </w:tcBorders>
            <w:shd w:val="clear" w:color="auto" w:fill="auto"/>
            <w:vAlign w:val="center"/>
          </w:tcPr>
          <w:p w:rsidR="005E658A" w:rsidRPr="00456E19" w:rsidRDefault="005E658A" w:rsidP="001F46FB">
            <w:pPr>
              <w:keepNext/>
              <w:keepLines/>
              <w:rPr>
                <w:rFonts w:ascii="Arial Narrow" w:hAnsi="Arial Narrow"/>
                <w:color w:val="000000"/>
                <w:sz w:val="20"/>
                <w:szCs w:val="18"/>
              </w:rPr>
            </w:pPr>
            <w:r w:rsidRPr="00456E19">
              <w:rPr>
                <w:rFonts w:ascii="Arial Narrow" w:hAnsi="Arial Narrow"/>
                <w:sz w:val="20"/>
                <w:szCs w:val="20"/>
              </w:rPr>
              <w:t>Patients with any Grade ≥3 TEAE</w:t>
            </w:r>
            <w:r w:rsidR="00D5653C" w:rsidRPr="00456E19">
              <w:rPr>
                <w:rFonts w:ascii="Arial Narrow" w:hAnsi="Arial Narrow"/>
                <w:sz w:val="20"/>
                <w:szCs w:val="20"/>
                <w:vertAlign w:val="superscript"/>
              </w:rPr>
              <w:t>c</w:t>
            </w:r>
          </w:p>
        </w:tc>
        <w:tc>
          <w:tcPr>
            <w:tcW w:w="707" w:type="pct"/>
            <w:gridSpan w:val="2"/>
            <w:tcBorders>
              <w:right w:val="single" w:sz="4" w:space="0" w:color="auto"/>
            </w:tcBorders>
          </w:tcPr>
          <w:p w:rsidR="005E658A" w:rsidRPr="00456E19" w:rsidRDefault="005E658A" w:rsidP="001F46FB">
            <w:pPr>
              <w:keepNext/>
              <w:keepLines/>
              <w:jc w:val="center"/>
              <w:rPr>
                <w:rFonts w:ascii="Arial Narrow" w:hAnsi="Arial Narrow"/>
                <w:sz w:val="20"/>
                <w:szCs w:val="20"/>
              </w:rPr>
            </w:pPr>
            <w:r w:rsidRPr="00456E19">
              <w:rPr>
                <w:rFonts w:ascii="Arial Narrow" w:hAnsi="Arial Narrow"/>
                <w:sz w:val="20"/>
                <w:szCs w:val="20"/>
              </w:rPr>
              <w:t xml:space="preserve">267/327 </w:t>
            </w:r>
          </w:p>
        </w:tc>
        <w:tc>
          <w:tcPr>
            <w:tcW w:w="629" w:type="pct"/>
            <w:gridSpan w:val="2"/>
            <w:tcBorders>
              <w:left w:val="single" w:sz="4" w:space="0" w:color="auto"/>
            </w:tcBorders>
          </w:tcPr>
          <w:p w:rsidR="005E658A" w:rsidRPr="00456E19" w:rsidRDefault="005E658A" w:rsidP="001F46FB">
            <w:pPr>
              <w:keepNext/>
              <w:keepLines/>
              <w:jc w:val="center"/>
              <w:rPr>
                <w:rFonts w:ascii="Arial Narrow" w:hAnsi="Arial Narrow"/>
                <w:sz w:val="20"/>
                <w:szCs w:val="20"/>
              </w:rPr>
            </w:pPr>
            <w:r w:rsidRPr="00456E19">
              <w:rPr>
                <w:rFonts w:ascii="Arial Narrow" w:hAnsi="Arial Narrow"/>
                <w:sz w:val="20"/>
                <w:szCs w:val="20"/>
              </w:rPr>
              <w:t>206/329</w:t>
            </w:r>
          </w:p>
        </w:tc>
        <w:tc>
          <w:tcPr>
            <w:tcW w:w="630" w:type="pct"/>
            <w:tcBorders>
              <w:top w:val="single" w:sz="4" w:space="0" w:color="auto"/>
              <w:left w:val="single" w:sz="4" w:space="0" w:color="auto"/>
              <w:right w:val="single" w:sz="4" w:space="0" w:color="auto"/>
            </w:tcBorders>
          </w:tcPr>
          <w:p w:rsidR="005E658A" w:rsidRPr="00456E19" w:rsidRDefault="005E658A" w:rsidP="001F46FB">
            <w:pPr>
              <w:keepNext/>
              <w:keepLines/>
              <w:ind w:right="91"/>
              <w:jc w:val="center"/>
              <w:rPr>
                <w:rFonts w:ascii="Arial Narrow" w:hAnsi="Arial Narrow"/>
                <w:sz w:val="20"/>
                <w:szCs w:val="20"/>
              </w:rPr>
            </w:pPr>
            <w:r w:rsidRPr="00456E19">
              <w:rPr>
                <w:rFonts w:ascii="Arial Narrow" w:hAnsi="Arial Narrow"/>
                <w:sz w:val="20"/>
                <w:szCs w:val="20"/>
              </w:rPr>
              <w:t>1.30</w:t>
            </w:r>
          </w:p>
          <w:p w:rsidR="005E658A" w:rsidRPr="00456E19" w:rsidRDefault="005E658A" w:rsidP="001F46FB">
            <w:pPr>
              <w:keepNext/>
              <w:keepLines/>
              <w:ind w:right="91"/>
              <w:jc w:val="center"/>
              <w:rPr>
                <w:rFonts w:ascii="Arial Narrow" w:hAnsi="Arial Narrow"/>
                <w:color w:val="000000"/>
                <w:sz w:val="20"/>
                <w:szCs w:val="18"/>
              </w:rPr>
            </w:pPr>
            <w:r w:rsidRPr="00456E19">
              <w:rPr>
                <w:rFonts w:ascii="Arial Narrow" w:hAnsi="Arial Narrow"/>
                <w:sz w:val="20"/>
                <w:szCs w:val="20"/>
              </w:rPr>
              <w:t>(1.18, 1.44)</w:t>
            </w:r>
          </w:p>
        </w:tc>
        <w:tc>
          <w:tcPr>
            <w:tcW w:w="865" w:type="pct"/>
            <w:tcBorders>
              <w:top w:val="single" w:sz="4" w:space="0" w:color="auto"/>
              <w:left w:val="single" w:sz="4" w:space="0" w:color="auto"/>
              <w:right w:val="single" w:sz="4" w:space="0" w:color="auto"/>
            </w:tcBorders>
          </w:tcPr>
          <w:p w:rsidR="005E658A" w:rsidRPr="00456E19" w:rsidRDefault="005E658A" w:rsidP="001F46FB">
            <w:pPr>
              <w:keepNext/>
              <w:keepLines/>
              <w:jc w:val="center"/>
              <w:rPr>
                <w:rFonts w:ascii="Arial Narrow" w:hAnsi="Arial Narrow"/>
                <w:color w:val="000000"/>
                <w:sz w:val="20"/>
                <w:szCs w:val="18"/>
              </w:rPr>
            </w:pPr>
            <w:r w:rsidRPr="00456E19">
              <w:rPr>
                <w:rFonts w:ascii="Arial Narrow" w:hAnsi="Arial Narrow"/>
                <w:color w:val="000000"/>
                <w:sz w:val="20"/>
                <w:szCs w:val="18"/>
              </w:rPr>
              <w:t>81.7</w:t>
            </w:r>
          </w:p>
        </w:tc>
        <w:tc>
          <w:tcPr>
            <w:tcW w:w="629" w:type="pct"/>
            <w:gridSpan w:val="2"/>
            <w:tcBorders>
              <w:top w:val="single" w:sz="4" w:space="0" w:color="auto"/>
              <w:left w:val="single" w:sz="4" w:space="0" w:color="auto"/>
              <w:right w:val="single" w:sz="4" w:space="0" w:color="auto"/>
            </w:tcBorders>
          </w:tcPr>
          <w:p w:rsidR="005E658A" w:rsidRPr="00456E19" w:rsidRDefault="005E658A" w:rsidP="001F46FB">
            <w:pPr>
              <w:keepNext/>
              <w:keepLines/>
              <w:jc w:val="center"/>
              <w:rPr>
                <w:rFonts w:ascii="Arial Narrow" w:hAnsi="Arial Narrow"/>
                <w:color w:val="000000"/>
                <w:sz w:val="20"/>
                <w:szCs w:val="18"/>
              </w:rPr>
            </w:pPr>
            <w:r w:rsidRPr="00456E19">
              <w:rPr>
                <w:rFonts w:ascii="Arial Narrow" w:hAnsi="Arial Narrow"/>
                <w:color w:val="000000"/>
                <w:sz w:val="20"/>
                <w:szCs w:val="18"/>
              </w:rPr>
              <w:t>62.6</w:t>
            </w:r>
          </w:p>
        </w:tc>
        <w:tc>
          <w:tcPr>
            <w:tcW w:w="678" w:type="pct"/>
            <w:tcBorders>
              <w:top w:val="single" w:sz="4" w:space="0" w:color="auto"/>
              <w:left w:val="single" w:sz="4" w:space="0" w:color="auto"/>
              <w:right w:val="single" w:sz="4" w:space="0" w:color="auto"/>
            </w:tcBorders>
          </w:tcPr>
          <w:p w:rsidR="005E658A" w:rsidRPr="00456E19" w:rsidRDefault="005E658A" w:rsidP="001F46FB">
            <w:pPr>
              <w:keepNext/>
              <w:keepLines/>
              <w:tabs>
                <w:tab w:val="left" w:pos="325"/>
              </w:tabs>
              <w:ind w:right="90"/>
              <w:jc w:val="center"/>
              <w:rPr>
                <w:rFonts w:ascii="Arial Narrow" w:hAnsi="Arial Narrow"/>
                <w:sz w:val="20"/>
                <w:szCs w:val="20"/>
              </w:rPr>
            </w:pPr>
            <w:r w:rsidRPr="00456E19">
              <w:rPr>
                <w:rFonts w:ascii="Arial Narrow" w:hAnsi="Arial Narrow"/>
                <w:sz w:val="20"/>
                <w:szCs w:val="20"/>
              </w:rPr>
              <w:t>0.19</w:t>
            </w:r>
          </w:p>
          <w:p w:rsidR="005E658A" w:rsidRPr="00456E19" w:rsidRDefault="005E658A" w:rsidP="001F46FB">
            <w:pPr>
              <w:keepNext/>
              <w:keepLines/>
              <w:tabs>
                <w:tab w:val="left" w:pos="325"/>
              </w:tabs>
              <w:ind w:right="90"/>
              <w:jc w:val="center"/>
              <w:rPr>
                <w:rFonts w:ascii="Arial Narrow" w:hAnsi="Arial Narrow"/>
                <w:color w:val="000000"/>
                <w:sz w:val="20"/>
                <w:szCs w:val="18"/>
              </w:rPr>
            </w:pPr>
            <w:r w:rsidRPr="00456E19">
              <w:rPr>
                <w:rFonts w:ascii="Arial Narrow" w:hAnsi="Arial Narrow"/>
                <w:sz w:val="20"/>
                <w:szCs w:val="20"/>
              </w:rPr>
              <w:t>(0.12, 0.26)</w:t>
            </w:r>
          </w:p>
        </w:tc>
      </w:tr>
      <w:tr w:rsidR="005E658A" w:rsidRPr="00456E19" w:rsidTr="001A39E3">
        <w:tc>
          <w:tcPr>
            <w:tcW w:w="862" w:type="pct"/>
            <w:tcBorders>
              <w:left w:val="single" w:sz="4" w:space="0" w:color="auto"/>
              <w:right w:val="single" w:sz="4" w:space="0" w:color="auto"/>
            </w:tcBorders>
            <w:shd w:val="clear" w:color="auto" w:fill="auto"/>
          </w:tcPr>
          <w:p w:rsidR="005E658A" w:rsidRPr="00456E19" w:rsidRDefault="005E658A" w:rsidP="001F46FB">
            <w:pPr>
              <w:pStyle w:val="ListParagraph"/>
              <w:keepNext/>
              <w:keepLines/>
              <w:numPr>
                <w:ilvl w:val="0"/>
                <w:numId w:val="24"/>
              </w:numPr>
              <w:spacing w:after="0"/>
              <w:ind w:left="392" w:hanging="284"/>
              <w:jc w:val="center"/>
              <w:rPr>
                <w:rFonts w:ascii="Arial Narrow" w:hAnsi="Arial Narrow"/>
                <w:sz w:val="20"/>
                <w:szCs w:val="20"/>
              </w:rPr>
            </w:pPr>
            <w:r w:rsidRPr="00456E19">
              <w:rPr>
                <w:rFonts w:ascii="Arial Narrow" w:hAnsi="Arial Narrow"/>
                <w:sz w:val="20"/>
                <w:szCs w:val="20"/>
              </w:rPr>
              <w:t>Hypertension</w:t>
            </w:r>
          </w:p>
        </w:tc>
        <w:tc>
          <w:tcPr>
            <w:tcW w:w="707" w:type="pct"/>
            <w:gridSpan w:val="2"/>
            <w:tcBorders>
              <w:right w:val="single" w:sz="4" w:space="0" w:color="auto"/>
            </w:tcBorders>
          </w:tcPr>
          <w:p w:rsidR="005E658A" w:rsidRPr="00456E19" w:rsidRDefault="005E658A" w:rsidP="001F46FB">
            <w:pPr>
              <w:keepNext/>
              <w:keepLines/>
              <w:jc w:val="center"/>
              <w:rPr>
                <w:rFonts w:ascii="Arial Narrow" w:hAnsi="Arial Narrow"/>
                <w:sz w:val="20"/>
                <w:szCs w:val="20"/>
              </w:rPr>
            </w:pPr>
            <w:r w:rsidRPr="00456E19">
              <w:rPr>
                <w:rFonts w:ascii="Arial Narrow" w:hAnsi="Arial Narrow"/>
                <w:sz w:val="20"/>
                <w:szCs w:val="20"/>
              </w:rPr>
              <w:t>46/327</w:t>
            </w:r>
          </w:p>
        </w:tc>
        <w:tc>
          <w:tcPr>
            <w:tcW w:w="629" w:type="pct"/>
            <w:gridSpan w:val="2"/>
            <w:tcBorders>
              <w:left w:val="single" w:sz="4" w:space="0" w:color="auto"/>
            </w:tcBorders>
          </w:tcPr>
          <w:p w:rsidR="005E658A" w:rsidRPr="00456E19" w:rsidRDefault="005E658A" w:rsidP="001F46FB">
            <w:pPr>
              <w:keepNext/>
              <w:keepLines/>
              <w:jc w:val="center"/>
              <w:rPr>
                <w:rFonts w:ascii="Arial Narrow" w:hAnsi="Arial Narrow"/>
                <w:sz w:val="20"/>
                <w:szCs w:val="20"/>
              </w:rPr>
            </w:pPr>
            <w:r w:rsidRPr="00456E19">
              <w:rPr>
                <w:rFonts w:ascii="Arial Narrow" w:hAnsi="Arial Narrow"/>
                <w:sz w:val="20"/>
                <w:szCs w:val="20"/>
              </w:rPr>
              <w:t>8/329</w:t>
            </w:r>
          </w:p>
        </w:tc>
        <w:tc>
          <w:tcPr>
            <w:tcW w:w="630" w:type="pct"/>
            <w:tcBorders>
              <w:left w:val="single" w:sz="4" w:space="0" w:color="auto"/>
              <w:right w:val="single" w:sz="4" w:space="0" w:color="auto"/>
            </w:tcBorders>
          </w:tcPr>
          <w:p w:rsidR="005E658A" w:rsidRPr="00456E19" w:rsidRDefault="005E658A" w:rsidP="001F46FB">
            <w:pPr>
              <w:keepNext/>
              <w:keepLines/>
              <w:ind w:right="91"/>
              <w:jc w:val="center"/>
              <w:rPr>
                <w:rFonts w:ascii="Arial Narrow" w:hAnsi="Arial Narrow"/>
                <w:sz w:val="20"/>
                <w:szCs w:val="20"/>
              </w:rPr>
            </w:pPr>
            <w:r w:rsidRPr="00456E19">
              <w:rPr>
                <w:rFonts w:ascii="Arial Narrow" w:hAnsi="Arial Narrow"/>
                <w:sz w:val="20"/>
                <w:szCs w:val="20"/>
              </w:rPr>
              <w:t>5.79</w:t>
            </w:r>
          </w:p>
          <w:p w:rsidR="005E658A" w:rsidRPr="00456E19" w:rsidRDefault="005E658A" w:rsidP="001F46FB">
            <w:pPr>
              <w:keepNext/>
              <w:keepLines/>
              <w:ind w:right="91"/>
              <w:jc w:val="center"/>
              <w:rPr>
                <w:rFonts w:ascii="Arial Narrow" w:hAnsi="Arial Narrow"/>
                <w:sz w:val="20"/>
                <w:szCs w:val="20"/>
              </w:rPr>
            </w:pPr>
            <w:r w:rsidRPr="00456E19">
              <w:rPr>
                <w:rFonts w:ascii="Arial Narrow" w:hAnsi="Arial Narrow"/>
                <w:sz w:val="20"/>
                <w:szCs w:val="20"/>
              </w:rPr>
              <w:t>(2.77, 12.07)</w:t>
            </w:r>
          </w:p>
        </w:tc>
        <w:tc>
          <w:tcPr>
            <w:tcW w:w="865" w:type="pct"/>
            <w:tcBorders>
              <w:left w:val="single" w:sz="4" w:space="0" w:color="auto"/>
              <w:right w:val="single" w:sz="4" w:space="0" w:color="auto"/>
            </w:tcBorders>
          </w:tcPr>
          <w:p w:rsidR="005E658A" w:rsidRPr="00456E19" w:rsidRDefault="005E658A" w:rsidP="001F46FB">
            <w:pPr>
              <w:keepNext/>
              <w:keepLines/>
              <w:jc w:val="center"/>
              <w:rPr>
                <w:rFonts w:ascii="Arial Narrow" w:hAnsi="Arial Narrow"/>
                <w:color w:val="000000"/>
                <w:sz w:val="20"/>
                <w:szCs w:val="18"/>
              </w:rPr>
            </w:pPr>
            <w:r w:rsidRPr="00456E19">
              <w:rPr>
                <w:rFonts w:ascii="Arial Narrow" w:hAnsi="Arial Narrow"/>
                <w:color w:val="000000"/>
                <w:sz w:val="20"/>
                <w:szCs w:val="18"/>
              </w:rPr>
              <w:t>14.1</w:t>
            </w:r>
          </w:p>
        </w:tc>
        <w:tc>
          <w:tcPr>
            <w:tcW w:w="629" w:type="pct"/>
            <w:gridSpan w:val="2"/>
            <w:tcBorders>
              <w:left w:val="single" w:sz="4" w:space="0" w:color="auto"/>
              <w:right w:val="single" w:sz="4" w:space="0" w:color="auto"/>
            </w:tcBorders>
          </w:tcPr>
          <w:p w:rsidR="005E658A" w:rsidRPr="00456E19" w:rsidRDefault="005E658A" w:rsidP="001F46FB">
            <w:pPr>
              <w:keepNext/>
              <w:keepLines/>
              <w:jc w:val="center"/>
              <w:rPr>
                <w:rFonts w:ascii="Arial Narrow" w:hAnsi="Arial Narrow"/>
                <w:color w:val="000000"/>
                <w:sz w:val="20"/>
                <w:szCs w:val="18"/>
              </w:rPr>
            </w:pPr>
            <w:r w:rsidRPr="00456E19">
              <w:rPr>
                <w:rFonts w:ascii="Arial Narrow" w:hAnsi="Arial Narrow"/>
                <w:color w:val="000000"/>
                <w:sz w:val="20"/>
                <w:szCs w:val="18"/>
              </w:rPr>
              <w:t>2.4</w:t>
            </w:r>
          </w:p>
        </w:tc>
        <w:tc>
          <w:tcPr>
            <w:tcW w:w="678" w:type="pct"/>
            <w:tcBorders>
              <w:left w:val="single" w:sz="4" w:space="0" w:color="auto"/>
              <w:right w:val="single" w:sz="4" w:space="0" w:color="auto"/>
            </w:tcBorders>
          </w:tcPr>
          <w:p w:rsidR="005E658A" w:rsidRPr="00456E19" w:rsidRDefault="005E658A" w:rsidP="001F46FB">
            <w:pPr>
              <w:keepNext/>
              <w:keepLines/>
              <w:tabs>
                <w:tab w:val="left" w:pos="325"/>
              </w:tabs>
              <w:ind w:right="90"/>
              <w:jc w:val="center"/>
              <w:rPr>
                <w:rFonts w:ascii="Arial Narrow" w:hAnsi="Arial Narrow"/>
                <w:sz w:val="20"/>
                <w:szCs w:val="20"/>
              </w:rPr>
            </w:pPr>
            <w:r w:rsidRPr="00456E19">
              <w:rPr>
                <w:rFonts w:ascii="Arial Narrow" w:hAnsi="Arial Narrow"/>
                <w:sz w:val="20"/>
                <w:szCs w:val="20"/>
              </w:rPr>
              <w:t>0.12</w:t>
            </w:r>
          </w:p>
          <w:p w:rsidR="005E658A" w:rsidRPr="00456E19" w:rsidRDefault="005E658A" w:rsidP="001F46FB">
            <w:pPr>
              <w:keepNext/>
              <w:keepLines/>
              <w:tabs>
                <w:tab w:val="left" w:pos="325"/>
              </w:tabs>
              <w:ind w:right="90"/>
              <w:jc w:val="center"/>
              <w:rPr>
                <w:rFonts w:ascii="Arial Narrow" w:hAnsi="Arial Narrow"/>
                <w:sz w:val="20"/>
                <w:szCs w:val="20"/>
              </w:rPr>
            </w:pPr>
            <w:r w:rsidRPr="00456E19">
              <w:rPr>
                <w:rFonts w:ascii="Arial Narrow" w:hAnsi="Arial Narrow"/>
                <w:sz w:val="20"/>
                <w:szCs w:val="20"/>
              </w:rPr>
              <w:t>(0.08, 0.16)</w:t>
            </w:r>
          </w:p>
        </w:tc>
      </w:tr>
      <w:tr w:rsidR="005E658A" w:rsidRPr="00456E19" w:rsidTr="001A39E3">
        <w:tc>
          <w:tcPr>
            <w:tcW w:w="862" w:type="pct"/>
            <w:tcBorders>
              <w:left w:val="single" w:sz="4" w:space="0" w:color="auto"/>
              <w:bottom w:val="single" w:sz="4" w:space="0" w:color="auto"/>
              <w:right w:val="single" w:sz="4" w:space="0" w:color="auto"/>
            </w:tcBorders>
            <w:shd w:val="clear" w:color="auto" w:fill="auto"/>
          </w:tcPr>
          <w:p w:rsidR="005E658A" w:rsidRPr="00456E19" w:rsidRDefault="005E658A" w:rsidP="001F46FB">
            <w:pPr>
              <w:pStyle w:val="ListParagraph"/>
              <w:keepNext/>
              <w:keepLines/>
              <w:numPr>
                <w:ilvl w:val="0"/>
                <w:numId w:val="24"/>
              </w:numPr>
              <w:spacing w:after="0"/>
              <w:ind w:left="392" w:hanging="284"/>
              <w:jc w:val="center"/>
              <w:rPr>
                <w:rFonts w:ascii="Arial Narrow" w:hAnsi="Arial Narrow"/>
                <w:sz w:val="20"/>
                <w:szCs w:val="20"/>
              </w:rPr>
            </w:pPr>
            <w:r w:rsidRPr="00456E19">
              <w:rPr>
                <w:rFonts w:ascii="Arial Narrow" w:hAnsi="Arial Narrow"/>
                <w:sz w:val="20"/>
                <w:szCs w:val="20"/>
              </w:rPr>
              <w:t>Neutropenia</w:t>
            </w:r>
          </w:p>
        </w:tc>
        <w:tc>
          <w:tcPr>
            <w:tcW w:w="707" w:type="pct"/>
            <w:gridSpan w:val="2"/>
            <w:tcBorders>
              <w:bottom w:val="single" w:sz="4" w:space="0" w:color="auto"/>
              <w:right w:val="single" w:sz="4" w:space="0" w:color="auto"/>
            </w:tcBorders>
          </w:tcPr>
          <w:p w:rsidR="005E658A" w:rsidRPr="00456E19" w:rsidRDefault="005E658A" w:rsidP="001F46FB">
            <w:pPr>
              <w:keepNext/>
              <w:keepLines/>
              <w:jc w:val="center"/>
              <w:rPr>
                <w:rFonts w:ascii="Arial Narrow" w:hAnsi="Arial Narrow"/>
                <w:sz w:val="20"/>
                <w:szCs w:val="20"/>
              </w:rPr>
            </w:pPr>
            <w:r w:rsidRPr="00456E19">
              <w:rPr>
                <w:rFonts w:ascii="Arial Narrow" w:hAnsi="Arial Narrow"/>
                <w:sz w:val="20"/>
                <w:szCs w:val="20"/>
              </w:rPr>
              <w:t>133/327</w:t>
            </w:r>
          </w:p>
        </w:tc>
        <w:tc>
          <w:tcPr>
            <w:tcW w:w="629" w:type="pct"/>
            <w:gridSpan w:val="2"/>
            <w:tcBorders>
              <w:left w:val="single" w:sz="4" w:space="0" w:color="auto"/>
              <w:bottom w:val="single" w:sz="4" w:space="0" w:color="auto"/>
            </w:tcBorders>
          </w:tcPr>
          <w:p w:rsidR="005E658A" w:rsidRPr="00456E19" w:rsidRDefault="005E658A" w:rsidP="001F46FB">
            <w:pPr>
              <w:keepNext/>
              <w:keepLines/>
              <w:jc w:val="center"/>
              <w:rPr>
                <w:rFonts w:ascii="Arial Narrow" w:hAnsi="Arial Narrow"/>
                <w:sz w:val="20"/>
                <w:szCs w:val="20"/>
              </w:rPr>
            </w:pPr>
            <w:r w:rsidRPr="00456E19">
              <w:rPr>
                <w:rFonts w:ascii="Arial Narrow" w:hAnsi="Arial Narrow"/>
                <w:sz w:val="20"/>
                <w:szCs w:val="20"/>
              </w:rPr>
              <w:t>62/329</w:t>
            </w:r>
          </w:p>
        </w:tc>
        <w:tc>
          <w:tcPr>
            <w:tcW w:w="630" w:type="pct"/>
            <w:tcBorders>
              <w:left w:val="single" w:sz="4" w:space="0" w:color="auto"/>
              <w:bottom w:val="single" w:sz="4" w:space="0" w:color="auto"/>
              <w:right w:val="single" w:sz="4" w:space="0" w:color="auto"/>
            </w:tcBorders>
          </w:tcPr>
          <w:p w:rsidR="005E658A" w:rsidRPr="00456E19" w:rsidRDefault="005E658A" w:rsidP="001F46FB">
            <w:pPr>
              <w:keepNext/>
              <w:keepLines/>
              <w:ind w:right="91"/>
              <w:jc w:val="center"/>
              <w:rPr>
                <w:rFonts w:ascii="Arial Narrow" w:hAnsi="Arial Narrow"/>
                <w:sz w:val="20"/>
                <w:szCs w:val="20"/>
              </w:rPr>
            </w:pPr>
            <w:r w:rsidRPr="00456E19">
              <w:rPr>
                <w:rFonts w:ascii="Arial Narrow" w:hAnsi="Arial Narrow"/>
                <w:sz w:val="20"/>
                <w:szCs w:val="20"/>
              </w:rPr>
              <w:t>2.16</w:t>
            </w:r>
          </w:p>
          <w:p w:rsidR="005E658A" w:rsidRPr="00456E19" w:rsidRDefault="005E658A" w:rsidP="001F46FB">
            <w:pPr>
              <w:keepNext/>
              <w:keepLines/>
              <w:ind w:right="91"/>
              <w:jc w:val="center"/>
              <w:rPr>
                <w:rFonts w:ascii="Arial Narrow" w:hAnsi="Arial Narrow"/>
                <w:sz w:val="20"/>
                <w:szCs w:val="20"/>
              </w:rPr>
            </w:pPr>
            <w:r w:rsidRPr="00456E19">
              <w:rPr>
                <w:rFonts w:ascii="Arial Narrow" w:hAnsi="Arial Narrow"/>
                <w:sz w:val="20"/>
                <w:szCs w:val="20"/>
              </w:rPr>
              <w:t>(1.66, 2.80)</w:t>
            </w:r>
          </w:p>
        </w:tc>
        <w:tc>
          <w:tcPr>
            <w:tcW w:w="865" w:type="pct"/>
            <w:tcBorders>
              <w:left w:val="single" w:sz="4" w:space="0" w:color="auto"/>
              <w:bottom w:val="single" w:sz="4" w:space="0" w:color="auto"/>
              <w:right w:val="single" w:sz="4" w:space="0" w:color="auto"/>
            </w:tcBorders>
          </w:tcPr>
          <w:p w:rsidR="005E658A" w:rsidRPr="00456E19" w:rsidRDefault="005E658A" w:rsidP="001F46FB">
            <w:pPr>
              <w:keepNext/>
              <w:keepLines/>
              <w:jc w:val="center"/>
              <w:rPr>
                <w:rFonts w:ascii="Arial Narrow" w:hAnsi="Arial Narrow"/>
                <w:color w:val="000000"/>
                <w:sz w:val="20"/>
                <w:szCs w:val="18"/>
              </w:rPr>
            </w:pPr>
            <w:r w:rsidRPr="00456E19">
              <w:rPr>
                <w:rFonts w:ascii="Arial Narrow" w:hAnsi="Arial Narrow"/>
                <w:color w:val="000000"/>
                <w:sz w:val="20"/>
                <w:szCs w:val="18"/>
              </w:rPr>
              <w:t>40.7</w:t>
            </w:r>
          </w:p>
        </w:tc>
        <w:tc>
          <w:tcPr>
            <w:tcW w:w="629" w:type="pct"/>
            <w:gridSpan w:val="2"/>
            <w:tcBorders>
              <w:left w:val="single" w:sz="4" w:space="0" w:color="auto"/>
              <w:bottom w:val="single" w:sz="4" w:space="0" w:color="auto"/>
              <w:right w:val="single" w:sz="4" w:space="0" w:color="auto"/>
            </w:tcBorders>
          </w:tcPr>
          <w:p w:rsidR="005E658A" w:rsidRPr="00456E19" w:rsidRDefault="005E658A" w:rsidP="001F46FB">
            <w:pPr>
              <w:keepNext/>
              <w:keepLines/>
              <w:jc w:val="center"/>
              <w:rPr>
                <w:rFonts w:ascii="Arial Narrow" w:hAnsi="Arial Narrow"/>
                <w:color w:val="000000"/>
                <w:sz w:val="20"/>
                <w:szCs w:val="18"/>
              </w:rPr>
            </w:pPr>
            <w:r w:rsidRPr="00456E19">
              <w:rPr>
                <w:rFonts w:ascii="Arial Narrow" w:hAnsi="Arial Narrow"/>
                <w:color w:val="000000"/>
                <w:sz w:val="20"/>
                <w:szCs w:val="18"/>
              </w:rPr>
              <w:t>18.8</w:t>
            </w:r>
          </w:p>
        </w:tc>
        <w:tc>
          <w:tcPr>
            <w:tcW w:w="678" w:type="pct"/>
            <w:tcBorders>
              <w:left w:val="single" w:sz="4" w:space="0" w:color="auto"/>
              <w:bottom w:val="single" w:sz="4" w:space="0" w:color="auto"/>
              <w:right w:val="single" w:sz="4" w:space="0" w:color="auto"/>
            </w:tcBorders>
          </w:tcPr>
          <w:p w:rsidR="005E658A" w:rsidRPr="00456E19" w:rsidRDefault="005E658A" w:rsidP="001F46FB">
            <w:pPr>
              <w:keepNext/>
              <w:keepLines/>
              <w:tabs>
                <w:tab w:val="left" w:pos="325"/>
              </w:tabs>
              <w:ind w:right="90"/>
              <w:jc w:val="center"/>
              <w:rPr>
                <w:rFonts w:ascii="Arial Narrow" w:hAnsi="Arial Narrow"/>
                <w:sz w:val="20"/>
                <w:szCs w:val="20"/>
              </w:rPr>
            </w:pPr>
            <w:r w:rsidRPr="00456E19">
              <w:rPr>
                <w:rFonts w:ascii="Arial Narrow" w:hAnsi="Arial Narrow"/>
                <w:sz w:val="20"/>
                <w:szCs w:val="20"/>
              </w:rPr>
              <w:t>0.22</w:t>
            </w:r>
          </w:p>
          <w:p w:rsidR="005E658A" w:rsidRPr="00456E19" w:rsidRDefault="005E658A" w:rsidP="001F46FB">
            <w:pPr>
              <w:keepNext/>
              <w:keepLines/>
              <w:tabs>
                <w:tab w:val="left" w:pos="325"/>
              </w:tabs>
              <w:ind w:right="90"/>
              <w:jc w:val="center"/>
              <w:rPr>
                <w:rFonts w:ascii="Arial Narrow" w:hAnsi="Arial Narrow"/>
                <w:sz w:val="20"/>
                <w:szCs w:val="20"/>
              </w:rPr>
            </w:pPr>
            <w:r w:rsidRPr="00456E19">
              <w:rPr>
                <w:rFonts w:ascii="Arial Narrow" w:hAnsi="Arial Narrow"/>
                <w:sz w:val="20"/>
                <w:szCs w:val="20"/>
              </w:rPr>
              <w:t>(0.15, 0.29)</w:t>
            </w:r>
          </w:p>
        </w:tc>
      </w:tr>
    </w:tbl>
    <w:p w:rsidR="005E658A" w:rsidRPr="00456E19" w:rsidRDefault="00D5653C" w:rsidP="005E658A">
      <w:pPr>
        <w:pStyle w:val="TableFooter"/>
      </w:pPr>
      <w:r w:rsidRPr="00456E19">
        <w:rPr>
          <w:vertAlign w:val="superscript"/>
        </w:rPr>
        <w:t>a</w:t>
      </w:r>
      <w:r w:rsidR="005E658A" w:rsidRPr="00456E19">
        <w:t xml:space="preserve"> Median duration of follow-up: RAM+PAC 9.28 months; PBO+PAC 6.83 months</w:t>
      </w:r>
    </w:p>
    <w:p w:rsidR="005E658A" w:rsidRPr="00456E19" w:rsidRDefault="00D5653C" w:rsidP="005E658A">
      <w:pPr>
        <w:pStyle w:val="TableFooter"/>
        <w:rPr>
          <w:rFonts w:cs="Times New Roman"/>
          <w:szCs w:val="18"/>
        </w:rPr>
      </w:pPr>
      <w:r w:rsidRPr="00456E19">
        <w:rPr>
          <w:rFonts w:cs="Times New Roman"/>
          <w:szCs w:val="18"/>
          <w:vertAlign w:val="superscript"/>
        </w:rPr>
        <w:t>b</w:t>
      </w:r>
      <w:r w:rsidR="005E658A" w:rsidRPr="00456E19">
        <w:rPr>
          <w:rFonts w:cs="Times New Roman"/>
          <w:szCs w:val="18"/>
        </w:rPr>
        <w:t xml:space="preserve"> Primary analysis stratified by randomization strata (geographical region, time to progression from start of first-line therapy, and disease measurability.</w:t>
      </w:r>
    </w:p>
    <w:p w:rsidR="005E658A" w:rsidRPr="00456E19" w:rsidRDefault="00D5653C" w:rsidP="005E658A">
      <w:pPr>
        <w:ind w:right="85"/>
        <w:rPr>
          <w:rFonts w:ascii="Arial Narrow" w:hAnsi="Arial Narrow"/>
          <w:sz w:val="18"/>
          <w:szCs w:val="18"/>
        </w:rPr>
      </w:pPr>
      <w:r w:rsidRPr="00456E19">
        <w:rPr>
          <w:rFonts w:ascii="Arial Narrow" w:hAnsi="Arial Narrow"/>
          <w:sz w:val="18"/>
          <w:szCs w:val="18"/>
          <w:vertAlign w:val="superscript"/>
        </w:rPr>
        <w:t>c</w:t>
      </w:r>
      <w:r w:rsidR="005E658A" w:rsidRPr="00456E19">
        <w:rPr>
          <w:rFonts w:ascii="Arial Narrow" w:hAnsi="Arial Narrow"/>
          <w:sz w:val="18"/>
          <w:szCs w:val="18"/>
          <w:vertAlign w:val="superscript"/>
        </w:rPr>
        <w:t xml:space="preserve"> </w:t>
      </w:r>
      <w:r w:rsidR="005E658A" w:rsidRPr="00456E19">
        <w:rPr>
          <w:rFonts w:ascii="Arial Narrow" w:hAnsi="Arial Narrow"/>
          <w:sz w:val="18"/>
          <w:szCs w:val="18"/>
        </w:rPr>
        <w:t>TEAEs leading to death (Grade 5: RAM+PAC: 39/327 (11.9%); PBO+PAC: 51/329 (15.5%).</w:t>
      </w:r>
    </w:p>
    <w:p w:rsidR="005E658A" w:rsidRPr="00382705" w:rsidRDefault="005E658A" w:rsidP="005E658A">
      <w:pPr>
        <w:pStyle w:val="TableFooter"/>
      </w:pPr>
      <w:r w:rsidRPr="00456E19">
        <w:t>ITT = intention-to-treat; HR = hazard ratio; RAM = ramucirumab; PBO = placebo; RD = risk difference; RR =</w:t>
      </w:r>
      <w:r w:rsidRPr="00382705">
        <w:t xml:space="preserve"> risk ratio; TEAE = treatment emergent adverse event.</w:t>
      </w:r>
    </w:p>
    <w:p w:rsidR="005E658A" w:rsidRPr="00382705" w:rsidRDefault="005E658A" w:rsidP="005E658A">
      <w:pPr>
        <w:pStyle w:val="TableFooter"/>
        <w:rPr>
          <w:sz w:val="20"/>
        </w:rPr>
      </w:pPr>
      <w:r w:rsidRPr="00382705">
        <w:t xml:space="preserve">Source: </w:t>
      </w:r>
      <w:r w:rsidRPr="00382705">
        <w:rPr>
          <w:szCs w:val="18"/>
        </w:rPr>
        <w:t xml:space="preserve">Tables 2.5.4, p54, </w:t>
      </w:r>
      <w:r w:rsidRPr="00382705">
        <w:rPr>
          <w:rFonts w:cs="Times New Roman"/>
          <w:szCs w:val="18"/>
        </w:rPr>
        <w:t xml:space="preserve">Table 2.5.2, p51, </w:t>
      </w:r>
      <w:r w:rsidRPr="00382705">
        <w:rPr>
          <w:szCs w:val="18"/>
        </w:rPr>
        <w:t>Table 2.5.9, p57 of the main submission and Tables JBVE.12.3.2-12.3.3 and 2.5.9-10 of the RAINBOW CSR.</w:t>
      </w:r>
    </w:p>
    <w:p w:rsidR="005E658A" w:rsidRPr="00382705" w:rsidRDefault="005E658A" w:rsidP="002D4362">
      <w:pPr>
        <w:pStyle w:val="ListParagraph"/>
        <w:widowControl/>
        <w:numPr>
          <w:ilvl w:val="1"/>
          <w:numId w:val="3"/>
        </w:numPr>
        <w:spacing w:before="120" w:after="0"/>
      </w:pPr>
      <w:r w:rsidRPr="00382705">
        <w:t xml:space="preserve">There was some observed benefit </w:t>
      </w:r>
      <w:r w:rsidR="001A0145">
        <w:t xml:space="preserve">in PFS and OS </w:t>
      </w:r>
      <w:r w:rsidRPr="00382705">
        <w:t xml:space="preserve">at the expense of an increased risk of toxicity. On the basis of direct evidence presented in the submission, for patients with advanced or metastatic G/GEJ adenocarcinoma who had progressed after prior platinum and fluoropyrimidine chemotherapy and </w:t>
      </w:r>
      <w:r w:rsidR="00B21D8A">
        <w:t xml:space="preserve">were </w:t>
      </w:r>
      <w:r w:rsidRPr="00382705">
        <w:t xml:space="preserve">treated with the addition of ramucirumab </w:t>
      </w:r>
      <w:r w:rsidR="00B21D8A">
        <w:t>to</w:t>
      </w:r>
      <w:r w:rsidR="00B21D8A" w:rsidRPr="00382705">
        <w:t xml:space="preserve"> </w:t>
      </w:r>
      <w:r w:rsidRPr="00382705">
        <w:t>their standard paclitaxel therapy for a median duration of 9.3 months:</w:t>
      </w:r>
    </w:p>
    <w:p w:rsidR="005E658A" w:rsidRPr="00382705" w:rsidRDefault="005E658A" w:rsidP="001D3000">
      <w:pPr>
        <w:pStyle w:val="ListParagraph"/>
        <w:widowControl/>
        <w:numPr>
          <w:ilvl w:val="0"/>
          <w:numId w:val="2"/>
        </w:numPr>
        <w:ind w:left="1080"/>
        <w:rPr>
          <w:rFonts w:cs="Calibri"/>
          <w:snapToGrid/>
          <w:szCs w:val="24"/>
          <w:lang w:eastAsia="en-AU"/>
        </w:rPr>
      </w:pPr>
      <w:r w:rsidRPr="00382705">
        <w:rPr>
          <w:rFonts w:cs="Calibri"/>
          <w:snapToGrid/>
          <w:szCs w:val="24"/>
          <w:lang w:eastAsia="en-AU"/>
        </w:rPr>
        <w:t xml:space="preserve">experienced a gain of 2.3 months survival which corresponded to a </w:t>
      </w:r>
      <w:r w:rsidR="006124E6">
        <w:rPr>
          <w:rFonts w:cs="Calibri"/>
          <w:snapToGrid/>
          <w:szCs w:val="24"/>
          <w:lang w:eastAsia="en-AU"/>
        </w:rPr>
        <w:t>19</w:t>
      </w:r>
      <w:r w:rsidRPr="00382705">
        <w:rPr>
          <w:rFonts w:cs="Calibri"/>
          <w:snapToGrid/>
          <w:szCs w:val="24"/>
          <w:lang w:eastAsia="en-AU"/>
        </w:rPr>
        <w:t xml:space="preserve">% reduction in risk of death </w:t>
      </w:r>
      <w:r w:rsidR="001A0145" w:rsidRPr="00382705">
        <w:rPr>
          <w:rFonts w:cs="Calibri"/>
          <w:snapToGrid/>
          <w:szCs w:val="24"/>
          <w:lang w:eastAsia="en-AU"/>
        </w:rPr>
        <w:t xml:space="preserve">(regardless of cause) </w:t>
      </w:r>
      <w:r w:rsidRPr="00382705">
        <w:rPr>
          <w:rFonts w:cs="Calibri"/>
          <w:snapToGrid/>
          <w:szCs w:val="24"/>
          <w:lang w:eastAsia="en-AU"/>
        </w:rPr>
        <w:t>over paclitaxel alone.</w:t>
      </w:r>
    </w:p>
    <w:p w:rsidR="005E658A" w:rsidRPr="00382705" w:rsidRDefault="005E658A" w:rsidP="001D3000">
      <w:pPr>
        <w:pStyle w:val="ListParagraph"/>
        <w:widowControl/>
        <w:numPr>
          <w:ilvl w:val="0"/>
          <w:numId w:val="2"/>
        </w:numPr>
        <w:ind w:left="1080"/>
        <w:rPr>
          <w:rFonts w:cs="Calibri"/>
          <w:snapToGrid/>
          <w:szCs w:val="24"/>
          <w:lang w:eastAsia="en-AU"/>
        </w:rPr>
      </w:pPr>
      <w:r w:rsidRPr="00382705">
        <w:rPr>
          <w:rFonts w:cs="Calibri"/>
          <w:snapToGrid/>
          <w:szCs w:val="24"/>
          <w:lang w:eastAsia="en-AU"/>
        </w:rPr>
        <w:t xml:space="preserve">experienced a gain of one and a half months in which they did </w:t>
      </w:r>
      <w:r w:rsidR="004B5CFD">
        <w:rPr>
          <w:rFonts w:cs="Calibri"/>
          <w:snapToGrid/>
          <w:szCs w:val="24"/>
          <w:lang w:eastAsia="en-AU"/>
        </w:rPr>
        <w:t>not experience disease progression or death,</w:t>
      </w:r>
      <w:r w:rsidRPr="00382705">
        <w:rPr>
          <w:rFonts w:cs="Calibri"/>
          <w:snapToGrid/>
          <w:szCs w:val="24"/>
          <w:lang w:eastAsia="en-AU"/>
        </w:rPr>
        <w:t xml:space="preserve"> </w:t>
      </w:r>
      <w:r w:rsidR="004B5CFD">
        <w:rPr>
          <w:rFonts w:cs="Calibri"/>
          <w:snapToGrid/>
          <w:szCs w:val="24"/>
          <w:lang w:eastAsia="en-AU"/>
        </w:rPr>
        <w:t>representing</w:t>
      </w:r>
      <w:r w:rsidRPr="00382705">
        <w:rPr>
          <w:rFonts w:cs="Calibri"/>
          <w:snapToGrid/>
          <w:szCs w:val="24"/>
          <w:lang w:eastAsia="en-AU"/>
        </w:rPr>
        <w:t xml:space="preserve"> a</w:t>
      </w:r>
      <w:r w:rsidR="001A0145">
        <w:rPr>
          <w:rFonts w:cs="Calibri"/>
          <w:snapToGrid/>
          <w:szCs w:val="24"/>
          <w:lang w:eastAsia="en-AU"/>
        </w:rPr>
        <w:t xml:space="preserve"> </w:t>
      </w:r>
      <w:r w:rsidRPr="00382705">
        <w:rPr>
          <w:rFonts w:cs="Calibri"/>
          <w:snapToGrid/>
          <w:szCs w:val="24"/>
          <w:lang w:eastAsia="en-AU"/>
        </w:rPr>
        <w:t>35% reduction in risk of progression or death</w:t>
      </w:r>
      <w:r w:rsidR="004B5CFD">
        <w:rPr>
          <w:rFonts w:cs="Calibri"/>
          <w:snapToGrid/>
          <w:szCs w:val="24"/>
          <w:lang w:eastAsia="en-AU"/>
        </w:rPr>
        <w:t>,</w:t>
      </w:r>
      <w:r w:rsidRPr="00382705">
        <w:rPr>
          <w:rFonts w:cs="Calibri"/>
          <w:snapToGrid/>
          <w:szCs w:val="24"/>
          <w:lang w:eastAsia="en-AU"/>
        </w:rPr>
        <w:t xml:space="preserve"> compared to paclitaxel alone.</w:t>
      </w:r>
    </w:p>
    <w:p w:rsidR="005E658A" w:rsidRPr="00382705" w:rsidRDefault="005E658A" w:rsidP="001D3000">
      <w:pPr>
        <w:pStyle w:val="ListParagraph"/>
        <w:widowControl/>
        <w:numPr>
          <w:ilvl w:val="1"/>
          <w:numId w:val="3"/>
        </w:numPr>
        <w:spacing w:after="0"/>
        <w:rPr>
          <w:rFonts w:cs="Calibri"/>
          <w:snapToGrid/>
          <w:szCs w:val="24"/>
          <w:lang w:eastAsia="en-AU"/>
        </w:rPr>
      </w:pPr>
      <w:r w:rsidRPr="00382705">
        <w:rPr>
          <w:rFonts w:cs="Calibri"/>
          <w:snapToGrid/>
          <w:szCs w:val="24"/>
          <w:lang w:eastAsia="en-AU"/>
        </w:rPr>
        <w:t>For every 100 patients who had ramucirumab in addition to their paclitaxel therapy:</w:t>
      </w:r>
    </w:p>
    <w:p w:rsidR="005E658A" w:rsidRPr="00382705" w:rsidRDefault="00AA18E0" w:rsidP="001D3000">
      <w:pPr>
        <w:pStyle w:val="ListParagraph"/>
        <w:widowControl/>
        <w:numPr>
          <w:ilvl w:val="0"/>
          <w:numId w:val="2"/>
        </w:numPr>
        <w:ind w:left="1080"/>
        <w:rPr>
          <w:rFonts w:cs="Calibri"/>
          <w:snapToGrid/>
          <w:szCs w:val="24"/>
          <w:lang w:eastAsia="en-AU"/>
        </w:rPr>
      </w:pPr>
      <w:r>
        <w:rPr>
          <w:rFonts w:cs="Calibri"/>
          <w:snapToGrid/>
          <w:szCs w:val="24"/>
          <w:lang w:eastAsia="en-AU"/>
        </w:rPr>
        <w:t>19</w:t>
      </w:r>
      <w:r w:rsidR="005E658A" w:rsidRPr="00382705">
        <w:rPr>
          <w:rFonts w:cs="Calibri"/>
          <w:snapToGrid/>
          <w:szCs w:val="24"/>
          <w:lang w:eastAsia="en-AU"/>
        </w:rPr>
        <w:t xml:space="preserve"> additional patients experienced a Grade ≥3 AE</w:t>
      </w:r>
      <w:r w:rsidR="002C52C6" w:rsidRPr="00382705">
        <w:rPr>
          <w:rFonts w:cs="Calibri"/>
          <w:snapToGrid/>
          <w:szCs w:val="24"/>
          <w:lang w:eastAsia="en-AU"/>
        </w:rPr>
        <w:t xml:space="preserve"> compared with paclitaxel alone</w:t>
      </w:r>
      <w:r w:rsidR="005E658A" w:rsidRPr="00382705">
        <w:rPr>
          <w:rFonts w:cs="Calibri"/>
          <w:snapToGrid/>
          <w:szCs w:val="24"/>
          <w:lang w:eastAsia="en-AU"/>
        </w:rPr>
        <w:t>.</w:t>
      </w:r>
    </w:p>
    <w:p w:rsidR="005E658A" w:rsidRPr="00382705" w:rsidRDefault="005E658A" w:rsidP="001D3000">
      <w:pPr>
        <w:pStyle w:val="ListParagraph"/>
        <w:widowControl/>
        <w:numPr>
          <w:ilvl w:val="0"/>
          <w:numId w:val="2"/>
        </w:numPr>
        <w:ind w:left="1080"/>
        <w:rPr>
          <w:rFonts w:cs="Calibri"/>
          <w:snapToGrid/>
          <w:szCs w:val="24"/>
          <w:lang w:eastAsia="en-AU"/>
        </w:rPr>
      </w:pPr>
      <w:r w:rsidRPr="00382705">
        <w:rPr>
          <w:rFonts w:cs="Calibri"/>
          <w:snapToGrid/>
          <w:szCs w:val="24"/>
          <w:lang w:eastAsia="en-AU"/>
        </w:rPr>
        <w:t xml:space="preserve">12 additional patients experienced Grade ≥3 hypertension. There was an approximate 420% increase in </w:t>
      </w:r>
      <w:r w:rsidR="00AC6D47" w:rsidRPr="00382705">
        <w:rPr>
          <w:rFonts w:cs="Calibri"/>
          <w:snapToGrid/>
          <w:szCs w:val="24"/>
          <w:lang w:eastAsia="en-AU"/>
        </w:rPr>
        <w:t xml:space="preserve">the </w:t>
      </w:r>
      <w:r w:rsidR="000D7D60" w:rsidRPr="00382705">
        <w:rPr>
          <w:rFonts w:cs="Calibri"/>
          <w:snapToGrid/>
          <w:szCs w:val="24"/>
          <w:lang w:eastAsia="en-AU"/>
        </w:rPr>
        <w:t>risk of Grade ≥3 hypertension</w:t>
      </w:r>
      <w:r w:rsidRPr="00382705">
        <w:rPr>
          <w:rFonts w:cs="Calibri"/>
          <w:snapToGrid/>
          <w:szCs w:val="24"/>
          <w:lang w:eastAsia="en-AU"/>
        </w:rPr>
        <w:t xml:space="preserve"> in patients who </w:t>
      </w:r>
      <w:r w:rsidR="00AC6D47" w:rsidRPr="00382705">
        <w:rPr>
          <w:rFonts w:cs="Calibri"/>
          <w:snapToGrid/>
          <w:szCs w:val="24"/>
          <w:lang w:eastAsia="en-AU"/>
        </w:rPr>
        <w:t>were</w:t>
      </w:r>
      <w:r w:rsidRPr="00382705">
        <w:rPr>
          <w:rFonts w:cs="Calibri"/>
          <w:snapToGrid/>
          <w:szCs w:val="24"/>
          <w:lang w:eastAsia="en-AU"/>
        </w:rPr>
        <w:t xml:space="preserve"> treated with RAM+PAC</w:t>
      </w:r>
      <w:r w:rsidR="002C52C6" w:rsidRPr="00382705">
        <w:rPr>
          <w:rFonts w:cs="Calibri"/>
          <w:snapToGrid/>
          <w:szCs w:val="24"/>
          <w:lang w:eastAsia="en-AU"/>
        </w:rPr>
        <w:t xml:space="preserve"> compared with paclitaxel alone</w:t>
      </w:r>
      <w:r w:rsidRPr="00382705">
        <w:rPr>
          <w:rFonts w:cs="Calibri"/>
          <w:snapToGrid/>
          <w:szCs w:val="24"/>
          <w:lang w:eastAsia="en-AU"/>
        </w:rPr>
        <w:t>.</w:t>
      </w:r>
    </w:p>
    <w:p w:rsidR="001F46FB" w:rsidRPr="00AA18E0" w:rsidRDefault="005E658A" w:rsidP="00D20743">
      <w:pPr>
        <w:pStyle w:val="ListParagraph"/>
        <w:widowControl/>
        <w:numPr>
          <w:ilvl w:val="0"/>
          <w:numId w:val="2"/>
        </w:numPr>
        <w:ind w:left="1080"/>
        <w:rPr>
          <w:rFonts w:cs="Calibri"/>
          <w:snapToGrid/>
          <w:szCs w:val="24"/>
          <w:lang w:eastAsia="en-AU"/>
        </w:rPr>
      </w:pPr>
      <w:r w:rsidRPr="00382705">
        <w:rPr>
          <w:rFonts w:cs="Calibri"/>
          <w:snapToGrid/>
          <w:szCs w:val="24"/>
          <w:lang w:eastAsia="en-AU"/>
        </w:rPr>
        <w:t>22 additional patients experienced Grade ≥3 neutropenia</w:t>
      </w:r>
      <w:r w:rsidR="002C52C6" w:rsidRPr="00382705">
        <w:rPr>
          <w:rFonts w:cs="Calibri"/>
          <w:snapToGrid/>
          <w:szCs w:val="24"/>
          <w:lang w:eastAsia="en-AU"/>
        </w:rPr>
        <w:t xml:space="preserve"> compared with </w:t>
      </w:r>
      <w:r w:rsidR="002C52C6" w:rsidRPr="00AA18E0">
        <w:rPr>
          <w:rFonts w:cs="Calibri"/>
          <w:snapToGrid/>
          <w:szCs w:val="24"/>
          <w:lang w:eastAsia="en-AU"/>
        </w:rPr>
        <w:t>paclitaxel alone</w:t>
      </w:r>
      <w:r w:rsidRPr="00AA18E0">
        <w:rPr>
          <w:rFonts w:cs="Calibri"/>
          <w:snapToGrid/>
          <w:szCs w:val="24"/>
          <w:lang w:eastAsia="en-AU"/>
        </w:rPr>
        <w:t xml:space="preserve">. </w:t>
      </w:r>
    </w:p>
    <w:p w:rsidR="00681B09" w:rsidRPr="00AA18E0" w:rsidRDefault="00681B09" w:rsidP="001F46FB">
      <w:pPr>
        <w:pStyle w:val="Heading2"/>
        <w:spacing w:before="160" w:after="160"/>
      </w:pPr>
      <w:bookmarkStart w:id="14" w:name="_Toc501621606"/>
      <w:r w:rsidRPr="00AA18E0">
        <w:t>Clinical claim</w:t>
      </w:r>
      <w:bookmarkEnd w:id="14"/>
    </w:p>
    <w:p w:rsidR="0039208D" w:rsidRPr="00AA18E0" w:rsidRDefault="0039208D" w:rsidP="001B1B76">
      <w:pPr>
        <w:pStyle w:val="ListParagraph"/>
        <w:widowControl/>
        <w:numPr>
          <w:ilvl w:val="1"/>
          <w:numId w:val="3"/>
        </w:numPr>
      </w:pPr>
      <w:r w:rsidRPr="00AA18E0">
        <w:t xml:space="preserve">The submission </w:t>
      </w:r>
      <w:r w:rsidR="00FA7D27" w:rsidRPr="00AA18E0">
        <w:t xml:space="preserve">claimed that </w:t>
      </w:r>
      <w:r w:rsidRPr="00AA18E0">
        <w:t xml:space="preserve">RAM+PAC </w:t>
      </w:r>
      <w:r w:rsidR="00FA7D27" w:rsidRPr="00AA18E0">
        <w:t>w</w:t>
      </w:r>
      <w:r w:rsidRPr="00AA18E0">
        <w:t xml:space="preserve">as superior in terms of effectiveness and non-inferior (stated </w:t>
      </w:r>
      <w:r w:rsidR="006F1712" w:rsidRPr="00AA18E0">
        <w:t xml:space="preserve">as </w:t>
      </w:r>
      <w:r w:rsidRPr="00AA18E0">
        <w:t>“comparable”) in terms of safety</w:t>
      </w:r>
      <w:r w:rsidR="00FA7D27" w:rsidRPr="00AA18E0">
        <w:t>,</w:t>
      </w:r>
      <w:r w:rsidRPr="00AA18E0">
        <w:t xml:space="preserve"> compared </w:t>
      </w:r>
      <w:r w:rsidR="00FA7D27" w:rsidRPr="00AA18E0">
        <w:t xml:space="preserve">with </w:t>
      </w:r>
      <w:r w:rsidRPr="00AA18E0">
        <w:t>PBO+PAC.</w:t>
      </w:r>
    </w:p>
    <w:p w:rsidR="0039208D" w:rsidRPr="00AA18E0" w:rsidRDefault="0039208D" w:rsidP="001B1B76">
      <w:pPr>
        <w:pStyle w:val="ListParagraph"/>
        <w:widowControl/>
        <w:numPr>
          <w:ilvl w:val="1"/>
          <w:numId w:val="3"/>
        </w:numPr>
      </w:pPr>
      <w:r w:rsidRPr="00AA18E0">
        <w:t xml:space="preserve">The </w:t>
      </w:r>
      <w:r w:rsidR="00FA7D27" w:rsidRPr="00AA18E0">
        <w:t>clinical claim</w:t>
      </w:r>
      <w:r w:rsidRPr="00AA18E0">
        <w:t xml:space="preserve"> presented in the submission for </w:t>
      </w:r>
      <w:r w:rsidR="00616C6F" w:rsidRPr="00AA18E0">
        <w:t xml:space="preserve">the </w:t>
      </w:r>
      <w:r w:rsidRPr="00AA18E0">
        <w:t xml:space="preserve">effectiveness </w:t>
      </w:r>
      <w:r w:rsidR="00616C6F" w:rsidRPr="00AA18E0">
        <w:t xml:space="preserve">of RAM+PAC </w:t>
      </w:r>
      <w:r w:rsidR="00FA7D27" w:rsidRPr="00AA18E0">
        <w:t>wa</w:t>
      </w:r>
      <w:r w:rsidRPr="00AA18E0">
        <w:t xml:space="preserve">s </w:t>
      </w:r>
      <w:r w:rsidR="00891B3E" w:rsidRPr="00AA18E0">
        <w:t xml:space="preserve">a </w:t>
      </w:r>
      <w:r w:rsidRPr="00AA18E0">
        <w:t>2.3 month gain in median OS</w:t>
      </w:r>
      <w:r w:rsidR="00FA7D27" w:rsidRPr="00AA18E0">
        <w:t>,</w:t>
      </w:r>
      <w:r w:rsidRPr="00AA18E0">
        <w:t xml:space="preserve"> which corresponded to a </w:t>
      </w:r>
      <w:r w:rsidR="006124E6">
        <w:t>19</w:t>
      </w:r>
      <w:r w:rsidRPr="00AA18E0">
        <w:t>% reduced risk of death</w:t>
      </w:r>
      <w:r w:rsidR="00616C6F" w:rsidRPr="00AA18E0">
        <w:t xml:space="preserve"> over a median duration of follow-up of approximately 9 months. </w:t>
      </w:r>
    </w:p>
    <w:p w:rsidR="00555A41" w:rsidRPr="00AA18E0" w:rsidRDefault="0039208D" w:rsidP="004C0F3E">
      <w:pPr>
        <w:pStyle w:val="ListParagraph"/>
        <w:widowControl/>
        <w:numPr>
          <w:ilvl w:val="1"/>
          <w:numId w:val="3"/>
        </w:numPr>
      </w:pPr>
      <w:r w:rsidRPr="00AA18E0">
        <w:t xml:space="preserve">The </w:t>
      </w:r>
      <w:r w:rsidR="00FA7D27" w:rsidRPr="00AA18E0">
        <w:t>clinical claim</w:t>
      </w:r>
      <w:r w:rsidRPr="00AA18E0">
        <w:t xml:space="preserve"> presented in the submission for safety </w:t>
      </w:r>
      <w:r w:rsidR="00FA7D27" w:rsidRPr="00AA18E0">
        <w:t>wa</w:t>
      </w:r>
      <w:r w:rsidRPr="00AA18E0">
        <w:t xml:space="preserve">s not adequately supported by the evidence presented </w:t>
      </w:r>
      <w:r w:rsidR="00E706CF" w:rsidRPr="00AA18E0">
        <w:t>as</w:t>
      </w:r>
      <w:r w:rsidRPr="00AA18E0">
        <w:t xml:space="preserve"> there was a demonstrated increased risk of AEs (of any grade and of Grade ≥3) resulting from the RAM+PAC combination</w:t>
      </w:r>
      <w:r w:rsidR="00616C6F" w:rsidRPr="00AA18E0">
        <w:t>.</w:t>
      </w:r>
      <w:r w:rsidRPr="00AA18E0">
        <w:t xml:space="preserve"> </w:t>
      </w:r>
      <w:r w:rsidR="00616C6F" w:rsidRPr="00AA18E0">
        <w:t>This may also have negatively impacted on QoL. The QoL data were difficult to interpret; as also suggested by the TGA delegate’s evaluation report, which noted that no meaningful comparisons could be made from the QoL results given the extensive missing data</w:t>
      </w:r>
      <w:r w:rsidR="00081467" w:rsidRPr="00AA18E0">
        <w:t>.</w:t>
      </w:r>
      <w:r w:rsidR="004C0F3E" w:rsidRPr="00AA18E0">
        <w:t xml:space="preserve"> </w:t>
      </w:r>
    </w:p>
    <w:p w:rsidR="0039208D" w:rsidRPr="00AA18E0" w:rsidRDefault="004C0F3E" w:rsidP="004C0F3E">
      <w:pPr>
        <w:pStyle w:val="ListParagraph"/>
        <w:widowControl/>
        <w:numPr>
          <w:ilvl w:val="1"/>
          <w:numId w:val="3"/>
        </w:numPr>
      </w:pPr>
      <w:r w:rsidRPr="00AA18E0">
        <w:t xml:space="preserve">The ESC advised that the use of RAM+PAC is likely to prolong the duration of exposure with paclitaxel (compared with paclitaxel alone) and therefore result in higher cumulative toxicity. </w:t>
      </w:r>
      <w:r w:rsidR="00555A41" w:rsidRPr="00AA18E0">
        <w:t xml:space="preserve">Further, the ESC </w:t>
      </w:r>
      <w:r w:rsidR="00EB17E9" w:rsidRPr="00AA18E0">
        <w:t xml:space="preserve">noted </w:t>
      </w:r>
      <w:r w:rsidR="00555A41" w:rsidRPr="00AA18E0">
        <w:t>that RAM+PAC had significant toxicities that are specifically associated with antiangiogenic therapies</w:t>
      </w:r>
      <w:r w:rsidR="001A0145" w:rsidRPr="00AA18E0">
        <w:t xml:space="preserve"> such as ramucirumab</w:t>
      </w:r>
      <w:r w:rsidR="00555A41" w:rsidRPr="00AA18E0">
        <w:t>, and therefore</w:t>
      </w:r>
      <w:r w:rsidRPr="00AA18E0">
        <w:t xml:space="preserve"> </w:t>
      </w:r>
      <w:r w:rsidR="00EB17E9" w:rsidRPr="00AA18E0">
        <w:t xml:space="preserve">advised </w:t>
      </w:r>
      <w:r w:rsidRPr="00AA18E0">
        <w:t>the submission’s claim of non-inferior comparative safety compared with paclitaxel alone was not appropriate.</w:t>
      </w:r>
    </w:p>
    <w:p w:rsidR="00681B09" w:rsidRPr="00AA18E0" w:rsidRDefault="0039208D" w:rsidP="0039208D">
      <w:pPr>
        <w:pStyle w:val="ListParagraph"/>
        <w:widowControl/>
        <w:numPr>
          <w:ilvl w:val="1"/>
          <w:numId w:val="3"/>
        </w:numPr>
      </w:pPr>
      <w:r w:rsidRPr="00AA18E0">
        <w:t xml:space="preserve">Consequently, the key clinical concern is whether the observed benefit </w:t>
      </w:r>
      <w:r w:rsidR="00FA7D27" w:rsidRPr="00AA18E0">
        <w:t xml:space="preserve">would be </w:t>
      </w:r>
      <w:r w:rsidRPr="00AA18E0">
        <w:t>acceptable in the context of the added toxicity and a potential</w:t>
      </w:r>
      <w:r w:rsidR="00616C6F" w:rsidRPr="00AA18E0">
        <w:t>ly</w:t>
      </w:r>
      <w:r w:rsidRPr="00AA18E0">
        <w:t xml:space="preserve"> poorer QoL resulting from the addition of ramucirumab to paclitaxel</w:t>
      </w:r>
      <w:r w:rsidR="006F1712" w:rsidRPr="00AA18E0">
        <w:t>.</w:t>
      </w:r>
    </w:p>
    <w:p w:rsidR="005E3763" w:rsidRPr="00AA18E0" w:rsidRDefault="005E3763" w:rsidP="005E3763">
      <w:pPr>
        <w:pStyle w:val="ListParagraph"/>
        <w:widowControl/>
        <w:numPr>
          <w:ilvl w:val="1"/>
          <w:numId w:val="3"/>
        </w:numPr>
      </w:pPr>
      <w:r w:rsidRPr="00AA18E0">
        <w:t xml:space="preserve">The ESC advised that while there was a modest clinical benefit with RAM+PAC treatment, the outstanding clinical uncertainty was whether the observed OS gain </w:t>
      </w:r>
      <w:r w:rsidR="004B5CFD" w:rsidRPr="00AA18E0">
        <w:t>outweighed the</w:t>
      </w:r>
      <w:r w:rsidRPr="00AA18E0">
        <w:t xml:space="preserve"> increased toxicity (po</w:t>
      </w:r>
      <w:r w:rsidR="00AB10CB" w:rsidRPr="00AA18E0">
        <w:t>tentially</w:t>
      </w:r>
      <w:r w:rsidRPr="00AA18E0">
        <w:t xml:space="preserve"> as a result of both </w:t>
      </w:r>
      <w:r w:rsidR="00931A31" w:rsidRPr="00AA18E0">
        <w:t xml:space="preserve">antiangiogenic effects of </w:t>
      </w:r>
      <w:r w:rsidRPr="00AA18E0">
        <w:t xml:space="preserve">ramucirumab and prolonged exposure to paclitaxel) </w:t>
      </w:r>
      <w:r w:rsidR="004B5CFD" w:rsidRPr="00AA18E0">
        <w:t xml:space="preserve">of </w:t>
      </w:r>
      <w:r w:rsidRPr="00AA18E0">
        <w:t xml:space="preserve">the combination. </w:t>
      </w:r>
    </w:p>
    <w:p w:rsidR="00AC3D5B" w:rsidRDefault="00AC3D5B" w:rsidP="00AC3D5B">
      <w:pPr>
        <w:pStyle w:val="ListParagraph"/>
        <w:widowControl/>
        <w:numPr>
          <w:ilvl w:val="1"/>
          <w:numId w:val="3"/>
        </w:numPr>
      </w:pPr>
      <w:r>
        <w:t>The pre-PBAC response claimed that a</w:t>
      </w:r>
      <w:r w:rsidRPr="00AC3D5B">
        <w:t>s G/GEJ cancer is a rare condition with very poor prognosis, even small absolute gains in OS outcomes can represent important relative increases in survival</w:t>
      </w:r>
      <w:r>
        <w:t>.</w:t>
      </w:r>
    </w:p>
    <w:p w:rsidR="00AC3D5B" w:rsidRDefault="00AC3D5B" w:rsidP="00A44A7F">
      <w:pPr>
        <w:pStyle w:val="ListParagraph"/>
        <w:widowControl/>
        <w:numPr>
          <w:ilvl w:val="1"/>
          <w:numId w:val="3"/>
        </w:numPr>
      </w:pPr>
      <w:r>
        <w:t xml:space="preserve">The PBAC </w:t>
      </w:r>
      <w:r w:rsidRPr="00AC3D5B">
        <w:t>acknowledged the paucity of options available to patients</w:t>
      </w:r>
      <w:r>
        <w:t xml:space="preserve"> following progression on first-</w:t>
      </w:r>
      <w:r w:rsidRPr="00AC3D5B">
        <w:t xml:space="preserve">line systemic treatment for advanced </w:t>
      </w:r>
      <w:r>
        <w:t>G/GEJ adenocarcinoma</w:t>
      </w:r>
      <w:r w:rsidRPr="00AC3D5B">
        <w:t>, however</w:t>
      </w:r>
      <w:r>
        <w:t>, it considered that</w:t>
      </w:r>
      <w:r w:rsidRPr="00AC3D5B">
        <w:t xml:space="preserve"> the magnitude of benefit in terms of short term survival gain </w:t>
      </w:r>
      <w:r>
        <w:t>with ramucirumab was modest</w:t>
      </w:r>
      <w:r w:rsidRPr="00AC3D5B">
        <w:t>. Further</w:t>
      </w:r>
      <w:r>
        <w:t>, the PBAC noted that</w:t>
      </w:r>
      <w:r w:rsidRPr="00AC3D5B">
        <w:t xml:space="preserve"> the </w:t>
      </w:r>
      <w:r w:rsidR="00A44A7F">
        <w:t xml:space="preserve">addition of </w:t>
      </w:r>
      <w:r>
        <w:t xml:space="preserve">ramucirumab to paclitaxel </w:t>
      </w:r>
      <w:r w:rsidRPr="00AC3D5B">
        <w:t>increase</w:t>
      </w:r>
      <w:r>
        <w:t>d</w:t>
      </w:r>
      <w:r w:rsidRPr="00AC3D5B">
        <w:t xml:space="preserve"> the toxicity without evidence of a definitive improvement in QoL.</w:t>
      </w:r>
    </w:p>
    <w:p w:rsidR="00A44A7F" w:rsidRPr="00F00837" w:rsidRDefault="00A44A7F" w:rsidP="00A44A7F">
      <w:pPr>
        <w:pStyle w:val="ListParagraph"/>
        <w:widowControl/>
        <w:numPr>
          <w:ilvl w:val="1"/>
          <w:numId w:val="3"/>
        </w:numPr>
      </w:pPr>
      <w:r>
        <w:t xml:space="preserve">The PBAC therefore considered that while the submission’s claim of superior comparative effectiveness over paclitaxel monotherapy was acceptable in light of the modest OS improvement in the ITT population of the RAINBOW trial, the </w:t>
      </w:r>
      <w:r w:rsidR="00A742B2">
        <w:t xml:space="preserve">claim of non-inferior comparative safety was not reasonable, noting the significantly higher incidence of Grade 3 AEs in the RAM+PAC arm, and the </w:t>
      </w:r>
      <w:r w:rsidR="00A742B2" w:rsidRPr="00A742B2">
        <w:rPr>
          <w:rFonts w:asciiTheme="minorHAnsi" w:hAnsiTheme="minorHAnsi"/>
          <w:bCs/>
          <w:lang w:val="en-GB"/>
        </w:rPr>
        <w:t>cumulative effect of longer paclitaxel exposure (due to the longer treatment duration in the RAM+PAC arm) and known anti-angiogenic effects common with VEGF inhibitors like ramucirumab.</w:t>
      </w:r>
    </w:p>
    <w:p w:rsidR="00681B09" w:rsidRPr="009643B5" w:rsidRDefault="00681B09" w:rsidP="001F46FB">
      <w:pPr>
        <w:pStyle w:val="Heading2"/>
        <w:spacing w:after="160"/>
      </w:pPr>
      <w:bookmarkStart w:id="15" w:name="_Toc501621607"/>
      <w:r w:rsidRPr="009643B5">
        <w:t>Economic analysis</w:t>
      </w:r>
      <w:bookmarkEnd w:id="15"/>
      <w:r w:rsidRPr="009643B5">
        <w:t xml:space="preserve"> </w:t>
      </w:r>
    </w:p>
    <w:p w:rsidR="00681B09" w:rsidRPr="00F00837" w:rsidRDefault="00681B09" w:rsidP="00681B09">
      <w:pPr>
        <w:pStyle w:val="ListParagraph"/>
        <w:widowControl/>
        <w:numPr>
          <w:ilvl w:val="1"/>
          <w:numId w:val="3"/>
        </w:numPr>
      </w:pPr>
      <w:r w:rsidRPr="00F00837">
        <w:t xml:space="preserve">The submission presented a </w:t>
      </w:r>
      <w:r w:rsidR="00FA7D27" w:rsidRPr="00F00837">
        <w:t xml:space="preserve">cost-utility analysis </w:t>
      </w:r>
      <w:r w:rsidRPr="00F00837">
        <w:t xml:space="preserve">based on the RAINBOW trial and a modelled economic evaluation. </w:t>
      </w:r>
      <w:r w:rsidR="00445F54" w:rsidRPr="00F00837">
        <w:t>The model structure and rationale are summarised in the table below.</w:t>
      </w:r>
    </w:p>
    <w:p w:rsidR="00681B09" w:rsidRPr="00382705" w:rsidRDefault="00681B09" w:rsidP="002F03CC">
      <w:pPr>
        <w:keepNext/>
        <w:widowControl/>
        <w:rPr>
          <w:rStyle w:val="CommentReference"/>
        </w:rPr>
      </w:pPr>
      <w:r w:rsidRPr="00382705">
        <w:rPr>
          <w:rStyle w:val="CommentReference"/>
        </w:rPr>
        <w:t xml:space="preserve">Table </w:t>
      </w:r>
      <w:r w:rsidR="00445F54" w:rsidRPr="00382705">
        <w:rPr>
          <w:rStyle w:val="CommentReference"/>
        </w:rPr>
        <w:t>7</w:t>
      </w:r>
      <w:r w:rsidRPr="00382705">
        <w:rPr>
          <w:rStyle w:val="CommentReference"/>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75"/>
        <w:gridCol w:w="3277"/>
        <w:gridCol w:w="3831"/>
      </w:tblGrid>
      <w:tr w:rsidR="00681B09" w:rsidRPr="00382705" w:rsidTr="00F4739A">
        <w:tc>
          <w:tcPr>
            <w:tcW w:w="1087" w:type="pct"/>
            <w:vAlign w:val="center"/>
          </w:tcPr>
          <w:p w:rsidR="00681B09" w:rsidRPr="00382705" w:rsidRDefault="00681B09" w:rsidP="002F03CC">
            <w:pPr>
              <w:pStyle w:val="Tabletext"/>
              <w:keepNext/>
              <w:rPr>
                <w:b/>
              </w:rPr>
            </w:pPr>
            <w:r w:rsidRPr="00382705">
              <w:rPr>
                <w:b/>
              </w:rPr>
              <w:t>Component</w:t>
            </w:r>
          </w:p>
        </w:tc>
        <w:tc>
          <w:tcPr>
            <w:tcW w:w="1804" w:type="pct"/>
          </w:tcPr>
          <w:p w:rsidR="00681B09" w:rsidRPr="00382705" w:rsidRDefault="00681B09" w:rsidP="002F03CC">
            <w:pPr>
              <w:pStyle w:val="Tabletext"/>
              <w:keepNext/>
              <w:jc w:val="center"/>
              <w:rPr>
                <w:b/>
              </w:rPr>
            </w:pPr>
            <w:r w:rsidRPr="00382705">
              <w:rPr>
                <w:b/>
              </w:rPr>
              <w:t>Description</w:t>
            </w:r>
          </w:p>
        </w:tc>
        <w:tc>
          <w:tcPr>
            <w:tcW w:w="2109" w:type="pct"/>
            <w:vAlign w:val="center"/>
          </w:tcPr>
          <w:p w:rsidR="00681B09" w:rsidRPr="00382705" w:rsidRDefault="00681B09" w:rsidP="002F03CC">
            <w:pPr>
              <w:pStyle w:val="Tabletext"/>
              <w:keepNext/>
              <w:jc w:val="center"/>
              <w:rPr>
                <w:b/>
              </w:rPr>
            </w:pPr>
            <w:r w:rsidRPr="00382705">
              <w:rPr>
                <w:b/>
              </w:rPr>
              <w:t>Justification/comments</w:t>
            </w:r>
          </w:p>
        </w:tc>
      </w:tr>
      <w:tr w:rsidR="00681B09" w:rsidRPr="00382705" w:rsidTr="00F4739A">
        <w:tc>
          <w:tcPr>
            <w:tcW w:w="1087" w:type="pct"/>
            <w:vAlign w:val="center"/>
          </w:tcPr>
          <w:p w:rsidR="00681B09" w:rsidRPr="00382705" w:rsidRDefault="00681B09" w:rsidP="002F03CC">
            <w:pPr>
              <w:pStyle w:val="Tabletext"/>
              <w:keepNext/>
            </w:pPr>
            <w:r w:rsidRPr="00382705">
              <w:t>Type of analysis</w:t>
            </w:r>
          </w:p>
        </w:tc>
        <w:tc>
          <w:tcPr>
            <w:tcW w:w="1804" w:type="pct"/>
          </w:tcPr>
          <w:p w:rsidR="00681B09" w:rsidRPr="00382705" w:rsidRDefault="00681B09" w:rsidP="002F03CC">
            <w:pPr>
              <w:pStyle w:val="Tabletext"/>
              <w:keepNext/>
            </w:pPr>
            <w:r w:rsidRPr="00382705">
              <w:t xml:space="preserve">Cost utility analysis </w:t>
            </w:r>
          </w:p>
        </w:tc>
        <w:tc>
          <w:tcPr>
            <w:tcW w:w="2109" w:type="pct"/>
            <w:vAlign w:val="center"/>
          </w:tcPr>
          <w:p w:rsidR="00681B09" w:rsidRPr="00382705" w:rsidRDefault="00681B09" w:rsidP="002F03CC">
            <w:pPr>
              <w:pStyle w:val="Tabletext"/>
              <w:keepNext/>
            </w:pPr>
            <w:r w:rsidRPr="00382705">
              <w:t>This is reasonable.</w:t>
            </w:r>
          </w:p>
        </w:tc>
      </w:tr>
      <w:tr w:rsidR="00681B09" w:rsidRPr="00382705" w:rsidTr="00F4739A">
        <w:tc>
          <w:tcPr>
            <w:tcW w:w="1087" w:type="pct"/>
            <w:vAlign w:val="center"/>
          </w:tcPr>
          <w:p w:rsidR="00681B09" w:rsidRPr="00382705" w:rsidRDefault="00681B09" w:rsidP="002F03CC">
            <w:pPr>
              <w:pStyle w:val="Tabletext"/>
              <w:keepNext/>
            </w:pPr>
            <w:r w:rsidRPr="00382705">
              <w:t>Outcomes</w:t>
            </w:r>
          </w:p>
        </w:tc>
        <w:tc>
          <w:tcPr>
            <w:tcW w:w="1804" w:type="pct"/>
          </w:tcPr>
          <w:p w:rsidR="00681B09" w:rsidRPr="00382705" w:rsidRDefault="00681B09" w:rsidP="002F03CC">
            <w:pPr>
              <w:pStyle w:val="Tabletext"/>
              <w:keepNext/>
            </w:pPr>
            <w:r w:rsidRPr="00382705">
              <w:t>Quality-adjusted life years and life years</w:t>
            </w:r>
          </w:p>
        </w:tc>
        <w:tc>
          <w:tcPr>
            <w:tcW w:w="2109" w:type="pct"/>
            <w:vAlign w:val="center"/>
          </w:tcPr>
          <w:p w:rsidR="00681B09" w:rsidRPr="00382705" w:rsidRDefault="00681B09" w:rsidP="002F03CC">
            <w:pPr>
              <w:pStyle w:val="Tabletext"/>
              <w:keepNext/>
            </w:pPr>
            <w:r w:rsidRPr="00382705">
              <w:t xml:space="preserve">This is reasonable. </w:t>
            </w:r>
          </w:p>
        </w:tc>
      </w:tr>
      <w:tr w:rsidR="00681B09" w:rsidRPr="00382705" w:rsidTr="00F4739A">
        <w:tc>
          <w:tcPr>
            <w:tcW w:w="1087" w:type="pct"/>
            <w:vAlign w:val="center"/>
          </w:tcPr>
          <w:p w:rsidR="00681B09" w:rsidRPr="00382705" w:rsidRDefault="00681B09" w:rsidP="002F03CC">
            <w:pPr>
              <w:pStyle w:val="Tabletext"/>
              <w:keepNext/>
            </w:pPr>
            <w:r w:rsidRPr="00382705">
              <w:t>Time horizon</w:t>
            </w:r>
          </w:p>
        </w:tc>
        <w:tc>
          <w:tcPr>
            <w:tcW w:w="1804" w:type="pct"/>
          </w:tcPr>
          <w:p w:rsidR="00681B09" w:rsidRPr="00382705" w:rsidRDefault="00681B09" w:rsidP="002F03CC">
            <w:pPr>
              <w:pStyle w:val="Tabletext"/>
              <w:keepNext/>
            </w:pPr>
            <w:r w:rsidRPr="00382705">
              <w:t>Lifetime (7.23 years)</w:t>
            </w:r>
          </w:p>
        </w:tc>
        <w:tc>
          <w:tcPr>
            <w:tcW w:w="2109" w:type="pct"/>
            <w:vAlign w:val="center"/>
          </w:tcPr>
          <w:p w:rsidR="00681B09" w:rsidRPr="00382705" w:rsidRDefault="00681B09" w:rsidP="0001586E">
            <w:pPr>
              <w:pStyle w:val="Tabletext"/>
              <w:keepNext/>
            </w:pPr>
            <w:r w:rsidRPr="00382705">
              <w:t xml:space="preserve">The time horizon was selected based on the model output rather than external data. </w:t>
            </w:r>
            <w:r w:rsidR="0001586E">
              <w:t>T</w:t>
            </w:r>
            <w:r w:rsidRPr="00382705">
              <w:t xml:space="preserve">he ICER is not sensitive to changes in this estimate. </w:t>
            </w:r>
          </w:p>
        </w:tc>
      </w:tr>
      <w:tr w:rsidR="00681B09" w:rsidRPr="00382705" w:rsidTr="00F4739A">
        <w:tc>
          <w:tcPr>
            <w:tcW w:w="1087" w:type="pct"/>
            <w:vAlign w:val="center"/>
          </w:tcPr>
          <w:p w:rsidR="00681B09" w:rsidRPr="00382705" w:rsidRDefault="00681B09" w:rsidP="002F03CC">
            <w:pPr>
              <w:pStyle w:val="Tabletext"/>
              <w:keepNext/>
            </w:pPr>
            <w:r w:rsidRPr="00382705">
              <w:t>Methods used to generate results</w:t>
            </w:r>
          </w:p>
        </w:tc>
        <w:tc>
          <w:tcPr>
            <w:tcW w:w="1804" w:type="pct"/>
          </w:tcPr>
          <w:p w:rsidR="00681B09" w:rsidRPr="00382705" w:rsidRDefault="00681B09" w:rsidP="002F03CC">
            <w:pPr>
              <w:pStyle w:val="Tabletext"/>
              <w:keepNext/>
            </w:pPr>
            <w:r w:rsidRPr="00382705">
              <w:t>Partitioned state survival</w:t>
            </w:r>
          </w:p>
        </w:tc>
        <w:tc>
          <w:tcPr>
            <w:tcW w:w="2109" w:type="pct"/>
            <w:vAlign w:val="center"/>
          </w:tcPr>
          <w:p w:rsidR="00681B09" w:rsidRPr="00382705" w:rsidRDefault="00681B09" w:rsidP="002F03CC">
            <w:pPr>
              <w:pStyle w:val="Tabletext"/>
              <w:keepNext/>
            </w:pPr>
            <w:r w:rsidRPr="00382705">
              <w:t>This is reasonable.</w:t>
            </w:r>
          </w:p>
        </w:tc>
      </w:tr>
      <w:tr w:rsidR="00681B09" w:rsidRPr="00382705" w:rsidTr="00F4739A">
        <w:tc>
          <w:tcPr>
            <w:tcW w:w="1087" w:type="pct"/>
            <w:vAlign w:val="center"/>
          </w:tcPr>
          <w:p w:rsidR="00681B09" w:rsidRPr="00382705" w:rsidRDefault="00681B09" w:rsidP="002F03CC">
            <w:pPr>
              <w:pStyle w:val="Tabletext"/>
              <w:keepNext/>
            </w:pPr>
            <w:r w:rsidRPr="00382705">
              <w:t>Health states</w:t>
            </w:r>
          </w:p>
        </w:tc>
        <w:tc>
          <w:tcPr>
            <w:tcW w:w="1804" w:type="pct"/>
          </w:tcPr>
          <w:p w:rsidR="00681B09" w:rsidRPr="00382705" w:rsidRDefault="00681B09" w:rsidP="002F03CC">
            <w:pPr>
              <w:pStyle w:val="Tabletext"/>
              <w:keepNext/>
            </w:pPr>
            <w:r w:rsidRPr="00382705">
              <w:t>Pre-progression, Post-Progression, Death</w:t>
            </w:r>
          </w:p>
        </w:tc>
        <w:tc>
          <w:tcPr>
            <w:tcW w:w="2109" w:type="pct"/>
            <w:vAlign w:val="center"/>
          </w:tcPr>
          <w:p w:rsidR="00681B09" w:rsidRPr="00382705" w:rsidRDefault="00681B09" w:rsidP="002F03CC">
            <w:pPr>
              <w:pStyle w:val="Tabletext"/>
              <w:keepNext/>
            </w:pPr>
            <w:r w:rsidRPr="00382705">
              <w:t>These are reasonable.</w:t>
            </w:r>
          </w:p>
        </w:tc>
      </w:tr>
      <w:tr w:rsidR="00681B09" w:rsidRPr="00382705" w:rsidTr="00F4739A">
        <w:tc>
          <w:tcPr>
            <w:tcW w:w="1087" w:type="pct"/>
            <w:vAlign w:val="center"/>
          </w:tcPr>
          <w:p w:rsidR="00681B09" w:rsidRPr="00382705" w:rsidRDefault="00681B09" w:rsidP="002F03CC">
            <w:pPr>
              <w:pStyle w:val="Tabletext"/>
              <w:keepNext/>
            </w:pPr>
            <w:r w:rsidRPr="00382705">
              <w:t>Cycle length</w:t>
            </w:r>
          </w:p>
        </w:tc>
        <w:tc>
          <w:tcPr>
            <w:tcW w:w="1804" w:type="pct"/>
          </w:tcPr>
          <w:p w:rsidR="00681B09" w:rsidRPr="00382705" w:rsidRDefault="00681B09" w:rsidP="002F03CC">
            <w:pPr>
              <w:pStyle w:val="Tabletext"/>
              <w:keepNext/>
            </w:pPr>
            <w:r w:rsidRPr="00382705">
              <w:t xml:space="preserve">1 week </w:t>
            </w:r>
          </w:p>
        </w:tc>
        <w:tc>
          <w:tcPr>
            <w:tcW w:w="2109" w:type="pct"/>
            <w:vAlign w:val="center"/>
          </w:tcPr>
          <w:p w:rsidR="00681B09" w:rsidRPr="00382705" w:rsidRDefault="00681B09" w:rsidP="002F03CC">
            <w:pPr>
              <w:pStyle w:val="Tabletext"/>
              <w:keepNext/>
            </w:pPr>
            <w:r w:rsidRPr="00382705">
              <w:t>This is reasonable, however a 28 day cycle may have been more consistent with the cycles of treatment.</w:t>
            </w:r>
          </w:p>
        </w:tc>
      </w:tr>
      <w:tr w:rsidR="00681B09" w:rsidRPr="00382705" w:rsidTr="00F4739A">
        <w:tc>
          <w:tcPr>
            <w:tcW w:w="1087" w:type="pct"/>
            <w:vAlign w:val="center"/>
          </w:tcPr>
          <w:p w:rsidR="00681B09" w:rsidRPr="00382705" w:rsidRDefault="00681B09" w:rsidP="002F03CC">
            <w:pPr>
              <w:pStyle w:val="Tabletext"/>
              <w:keepNext/>
            </w:pPr>
            <w:r w:rsidRPr="00382705">
              <w:t>Transition probabilities</w:t>
            </w:r>
          </w:p>
        </w:tc>
        <w:tc>
          <w:tcPr>
            <w:tcW w:w="1804" w:type="pct"/>
          </w:tcPr>
          <w:p w:rsidR="00681B09" w:rsidRPr="00382705" w:rsidRDefault="00681B09" w:rsidP="002F03CC">
            <w:pPr>
              <w:pStyle w:val="Tabletext"/>
              <w:keepNext/>
            </w:pPr>
            <w:r w:rsidRPr="00382705">
              <w:t xml:space="preserve">Overall survival from the RAINBOW trial and extrapolated from the end of trial observation assuming the same hazard </w:t>
            </w:r>
            <w:r w:rsidR="007D7FC4" w:rsidRPr="00382705">
              <w:t xml:space="preserve">within </w:t>
            </w:r>
            <w:r w:rsidRPr="00382705">
              <w:t>the treatment arms following an exponential distribution.</w:t>
            </w:r>
          </w:p>
          <w:p w:rsidR="00681B09" w:rsidRPr="00382705" w:rsidRDefault="00681B09" w:rsidP="002F03CC">
            <w:pPr>
              <w:pStyle w:val="Tabletext"/>
              <w:keepNext/>
            </w:pPr>
            <w:r w:rsidRPr="00382705">
              <w:t>Progression-free survival from the RAINBOW trial modelled using a parametric extrapolation from the start of model</w:t>
            </w:r>
          </w:p>
        </w:tc>
        <w:tc>
          <w:tcPr>
            <w:tcW w:w="2109" w:type="pct"/>
            <w:vAlign w:val="center"/>
          </w:tcPr>
          <w:p w:rsidR="00681B09" w:rsidRPr="00382705" w:rsidRDefault="00681B09" w:rsidP="002F03CC">
            <w:pPr>
              <w:pStyle w:val="Tabletext"/>
              <w:keepNext/>
            </w:pPr>
            <w:r w:rsidRPr="00382705">
              <w:t>This is reasonable.</w:t>
            </w:r>
          </w:p>
        </w:tc>
      </w:tr>
      <w:tr w:rsidR="00681B09" w:rsidRPr="00382705" w:rsidTr="00F4739A">
        <w:tc>
          <w:tcPr>
            <w:tcW w:w="1087" w:type="pct"/>
            <w:vAlign w:val="center"/>
          </w:tcPr>
          <w:p w:rsidR="00681B09" w:rsidRPr="00382705" w:rsidRDefault="00681B09" w:rsidP="002F03CC">
            <w:pPr>
              <w:pStyle w:val="Tabletext"/>
              <w:keepNext/>
            </w:pPr>
            <w:r w:rsidRPr="00382705">
              <w:t>Software package</w:t>
            </w:r>
          </w:p>
        </w:tc>
        <w:tc>
          <w:tcPr>
            <w:tcW w:w="1804" w:type="pct"/>
          </w:tcPr>
          <w:p w:rsidR="00681B09" w:rsidRPr="00382705" w:rsidRDefault="00681B09" w:rsidP="002F03CC">
            <w:pPr>
              <w:pStyle w:val="Tabletext"/>
              <w:keepNext/>
            </w:pPr>
            <w:r w:rsidRPr="00382705">
              <w:t xml:space="preserve">Microsoft Excel 2016 </w:t>
            </w:r>
          </w:p>
        </w:tc>
        <w:tc>
          <w:tcPr>
            <w:tcW w:w="2109" w:type="pct"/>
            <w:vAlign w:val="center"/>
          </w:tcPr>
          <w:p w:rsidR="00681B09" w:rsidRPr="00382705" w:rsidRDefault="00681B09" w:rsidP="002F03CC">
            <w:pPr>
              <w:pStyle w:val="Tabletext"/>
              <w:keepNext/>
            </w:pPr>
            <w:r w:rsidRPr="00382705">
              <w:t>-</w:t>
            </w:r>
          </w:p>
        </w:tc>
      </w:tr>
    </w:tbl>
    <w:p w:rsidR="00F80B20" w:rsidRPr="00382705" w:rsidRDefault="00F80B20" w:rsidP="002F03CC">
      <w:pPr>
        <w:pStyle w:val="TableFooter"/>
        <w:keepNext/>
        <w:widowControl/>
      </w:pPr>
      <w:r w:rsidRPr="00382705">
        <w:t>ICER = incremental cost-effectiveness ratio.</w:t>
      </w:r>
    </w:p>
    <w:p w:rsidR="00681B09" w:rsidRPr="00382705" w:rsidRDefault="00681B09" w:rsidP="002F03CC">
      <w:pPr>
        <w:pStyle w:val="TableFooter"/>
        <w:keepNext/>
        <w:widowControl/>
        <w:rPr>
          <w:sz w:val="20"/>
        </w:rPr>
      </w:pPr>
      <w:r w:rsidRPr="00382705">
        <w:t>Source: Table 3.1.1, p71 of the submission.</w:t>
      </w:r>
    </w:p>
    <w:p w:rsidR="00681B09" w:rsidRPr="00AF3743" w:rsidRDefault="00681B09" w:rsidP="001A2733">
      <w:pPr>
        <w:pStyle w:val="ListParagraph"/>
        <w:widowControl/>
        <w:numPr>
          <w:ilvl w:val="1"/>
          <w:numId w:val="3"/>
        </w:numPr>
        <w:spacing w:before="120"/>
      </w:pPr>
      <w:r w:rsidRPr="00AF3743">
        <w:t xml:space="preserve">The base case economic evaluation used the empirical Kaplan-Meier OS data from the RAINBOW trial until the time of the last event (22 months, 11% of patients still alive), and extrapolated to the model time horizon using </w:t>
      </w:r>
      <w:r w:rsidR="00E2112D" w:rsidRPr="00AF3743">
        <w:t xml:space="preserve">an </w:t>
      </w:r>
      <w:r w:rsidRPr="00AF3743">
        <w:t xml:space="preserve">exponential function. Given the trial data were relatively mature, the extrapolated portion of OS data did not have a substantial impact on the results of the economic model. </w:t>
      </w:r>
      <w:r w:rsidR="00653092" w:rsidRPr="00AF3743">
        <w:t>The ESC considered that this was reasonable.</w:t>
      </w:r>
    </w:p>
    <w:p w:rsidR="00681B09" w:rsidRPr="00F00837" w:rsidRDefault="00681B09" w:rsidP="00C54CB9">
      <w:pPr>
        <w:pStyle w:val="ListParagraph"/>
        <w:widowControl/>
        <w:numPr>
          <w:ilvl w:val="1"/>
          <w:numId w:val="3"/>
        </w:numPr>
      </w:pPr>
      <w:r w:rsidRPr="00F00837">
        <w:t xml:space="preserve">Progression-free survival data from RAINBOW were mature (3.9% and 3.3% of patients had not experienced an event, respectively, in the RAM+PAC and PAC arms). However, the submission stated that direct use of the Kaplan-Meier data in the model was not appropriate, due to the high level of interval censoring observed. Although this may be more reasonable in the base case, </w:t>
      </w:r>
      <w:r w:rsidR="00EE473C">
        <w:t xml:space="preserve">a </w:t>
      </w:r>
      <w:r w:rsidRPr="00F00837">
        <w:t>sensitivity analysis should have been presented using the observed Kaplan-Meier data.</w:t>
      </w:r>
      <w:r w:rsidR="00C54CB9" w:rsidRPr="00F00837">
        <w:t xml:space="preserve"> </w:t>
      </w:r>
      <w:r w:rsidR="000D70ED" w:rsidRPr="00F00837">
        <w:t>I</w:t>
      </w:r>
      <w:r w:rsidR="00C54CB9" w:rsidRPr="00F00837">
        <w:t xml:space="preserve">t </w:t>
      </w:r>
      <w:r w:rsidR="000D70ED" w:rsidRPr="00F00837">
        <w:t>wa</w:t>
      </w:r>
      <w:r w:rsidR="00C54CB9" w:rsidRPr="00F00837">
        <w:t>s uncertain whether the approach taken in the submission introduce</w:t>
      </w:r>
      <w:r w:rsidR="000D70ED" w:rsidRPr="00F00837">
        <w:t>d</w:t>
      </w:r>
      <w:r w:rsidR="00C54CB9" w:rsidRPr="00F00837">
        <w:t xml:space="preserve"> bias, and if so, in what direction. The modelled curve d</w:t>
      </w:r>
      <w:r w:rsidR="000D70ED" w:rsidRPr="00F00837">
        <w:t>id</w:t>
      </w:r>
      <w:r w:rsidR="00C54CB9" w:rsidRPr="00F00837">
        <w:t xml:space="preserve"> appear to underestimate</w:t>
      </w:r>
      <w:r w:rsidR="000D70ED" w:rsidRPr="00F00837">
        <w:t xml:space="preserve"> </w:t>
      </w:r>
      <w:r w:rsidR="00C54CB9" w:rsidRPr="00F00837">
        <w:t>PFS</w:t>
      </w:r>
      <w:r w:rsidR="000D70ED" w:rsidRPr="00F00837">
        <w:t xml:space="preserve"> in the comparator arm</w:t>
      </w:r>
      <w:r w:rsidR="00C54CB9" w:rsidRPr="00F00837">
        <w:t>, relative to that observed.</w:t>
      </w:r>
    </w:p>
    <w:p w:rsidR="00681B09" w:rsidRPr="000D3DF8" w:rsidRDefault="00681B09" w:rsidP="00681B09">
      <w:pPr>
        <w:pStyle w:val="ListParagraph"/>
        <w:widowControl/>
        <w:numPr>
          <w:ilvl w:val="1"/>
          <w:numId w:val="3"/>
        </w:numPr>
      </w:pPr>
      <w:r w:rsidRPr="00F00837">
        <w:t xml:space="preserve">Similarly, although the majority of patients had discontinued treatment at the maximum follow-up in RAINBOW, parametric models were fitted to the observed time on treatment data and extrapolated to the model time horizon. The observed Kaplan-Meier data were not used in the model (i.e. a log-normal distribution was selected to model the entire time horizon). </w:t>
      </w:r>
      <w:r w:rsidR="00653092" w:rsidRPr="00F00837">
        <w:t>The ESC considered that while the curves looked reasonable by visual inspection, it was difficult to determine the impact of the</w:t>
      </w:r>
      <w:r w:rsidR="001A0B26" w:rsidRPr="00F00837">
        <w:t xml:space="preserve"> chosen</w:t>
      </w:r>
      <w:r w:rsidR="00653092" w:rsidRPr="00F00837">
        <w:t xml:space="preserve"> method of extrapolation without exploring the curves generated using </w:t>
      </w:r>
      <w:r w:rsidR="00653092" w:rsidRPr="000D3DF8">
        <w:t>the observed data.</w:t>
      </w:r>
    </w:p>
    <w:p w:rsidR="00BE581D" w:rsidRPr="000D3DF8" w:rsidRDefault="00551001" w:rsidP="001438AD">
      <w:pPr>
        <w:pStyle w:val="ListParagraph"/>
        <w:widowControl/>
        <w:numPr>
          <w:ilvl w:val="1"/>
          <w:numId w:val="3"/>
        </w:numPr>
      </w:pPr>
      <w:r w:rsidRPr="000D3DF8">
        <w:t>In the RAINBOW trial, hospitalisations were measured prior to disease progression and up to 30 days post-progression. The majority of hospitalisations were due to AEs which were costed separately (as part of AE costs) in the model. Thus the residual hospitalisation costs represent</w:t>
      </w:r>
      <w:r w:rsidR="000D70ED" w:rsidRPr="000D3DF8">
        <w:t>ed hospitalisation due to</w:t>
      </w:r>
      <w:r w:rsidRPr="000D3DF8">
        <w:t xml:space="preserve"> reasons other than AEs. These costs were observed to be a major driver of the cost-offsets in the model. </w:t>
      </w:r>
      <w:r w:rsidRPr="000D3DF8">
        <w:rPr>
          <w:iCs/>
        </w:rPr>
        <w:t>The submission did not provide</w:t>
      </w:r>
      <w:r w:rsidR="000D70ED" w:rsidRPr="000D3DF8">
        <w:rPr>
          <w:iCs/>
        </w:rPr>
        <w:t xml:space="preserve"> any</w:t>
      </w:r>
      <w:r w:rsidRPr="000D3DF8">
        <w:rPr>
          <w:iCs/>
        </w:rPr>
        <w:t xml:space="preserve"> justification to support an assumed difference between the treatment arms in hospitalisations due to reasons other than AEs. The non AE-related hospitalisations may be unrelated to treatment and reflect random variation between patients. </w:t>
      </w:r>
      <w:r w:rsidR="00653092" w:rsidRPr="000D3DF8">
        <w:rPr>
          <w:iCs/>
        </w:rPr>
        <w:t>The ESC considered that the number of additional hospitalisations assumed in both the pre-progression and post-progression health states were not likely to be realised in practice.</w:t>
      </w:r>
    </w:p>
    <w:p w:rsidR="00503067" w:rsidRPr="000D3DF8" w:rsidRDefault="00551001" w:rsidP="00681B09">
      <w:pPr>
        <w:pStyle w:val="ListParagraph"/>
        <w:widowControl/>
        <w:numPr>
          <w:ilvl w:val="1"/>
          <w:numId w:val="3"/>
        </w:numPr>
      </w:pPr>
      <w:r w:rsidRPr="000D3DF8">
        <w:t>In addition</w:t>
      </w:r>
      <w:r w:rsidR="000D70ED" w:rsidRPr="000D3DF8">
        <w:t xml:space="preserve">, </w:t>
      </w:r>
      <w:r w:rsidRPr="000D3DF8">
        <w:rPr>
          <w:color w:val="1F497D"/>
        </w:rPr>
        <w:t>t</w:t>
      </w:r>
      <w:r w:rsidRPr="000D3DF8">
        <w:t xml:space="preserve">he approach used to estimate the hospitalisation costs was also not appropriate. The submission converted the probability of all hospitalisations observed in the trial into a weekly rate. </w:t>
      </w:r>
      <w:r w:rsidRPr="000D3DF8">
        <w:rPr>
          <w:iCs/>
        </w:rPr>
        <w:t xml:space="preserve">Applying a one-off cost for hospitalisations may be more appropriate. </w:t>
      </w:r>
      <w:r w:rsidRPr="000D3DF8">
        <w:t>This rate was then adjusted for the proportion of hospitalisations due to AEs (83% in RAM+PAC and 57% in PAC). The resulting rate of hospitalisations</w:t>
      </w:r>
      <w:r w:rsidR="0001586E" w:rsidRPr="000D3DF8">
        <w:t xml:space="preserve"> for reasons other than AEs</w:t>
      </w:r>
      <w:r w:rsidRPr="000D3DF8">
        <w:t xml:space="preserve"> modelled was four times with PAC than with RAM+PAC (</w:t>
      </w:r>
      <w:r w:rsidR="0001586E" w:rsidRPr="000D3DF8">
        <w:t xml:space="preserve">approximately </w:t>
      </w:r>
      <w:r w:rsidRPr="000D3DF8">
        <w:t xml:space="preserve">2% vs 0.5%). </w:t>
      </w:r>
      <w:r w:rsidRPr="000D3DF8">
        <w:rPr>
          <w:iCs/>
        </w:rPr>
        <w:t>However, the source used to adjust for hospitalisations due to AEs could not be verified during the evaluation. While the proportion of hospitalisations due to AEs with RAM+PAC used in the model was similar to that in the CSR (83.3% modelled, 82.6% in the CSR), the proportion of hospitalisations due to AEs with PAC differed (56.9% modelled, 75.3% in the CSR). Using the estimates from the CSR substantially increases the ICER.</w:t>
      </w:r>
    </w:p>
    <w:p w:rsidR="00681B09" w:rsidRPr="000D3DF8" w:rsidRDefault="001438AD" w:rsidP="00681B09">
      <w:pPr>
        <w:pStyle w:val="ListParagraph"/>
        <w:widowControl/>
        <w:numPr>
          <w:ilvl w:val="1"/>
          <w:numId w:val="3"/>
        </w:numPr>
      </w:pPr>
      <w:r w:rsidRPr="000D3DF8">
        <w:t>While the weekly rate of hospitalisation was estimated using data collected</w:t>
      </w:r>
      <w:r w:rsidR="00503067" w:rsidRPr="000D3DF8">
        <w:t xml:space="preserve"> </w:t>
      </w:r>
      <w:r w:rsidRPr="000D3DF8">
        <w:t xml:space="preserve">prior to disease progression, this </w:t>
      </w:r>
      <w:r w:rsidR="00503067" w:rsidRPr="000D3DF8">
        <w:t xml:space="preserve">same </w:t>
      </w:r>
      <w:r w:rsidRPr="000D3DF8">
        <w:t>rate was also applied throughout the post-progression health state. No evidence was presented in the submission to support a difference in hospitalisation rates between treatment arms after disease progression and cessation of ramucirumab treatment. The inclusion of these costs in the post-progression health state was not appropriate. This is a major driver of the cost-effectiveness claim of ramucirumab and is not supported.</w:t>
      </w:r>
    </w:p>
    <w:p w:rsidR="00681B09" w:rsidRPr="00F00837" w:rsidRDefault="00681B09" w:rsidP="00681B09">
      <w:pPr>
        <w:pStyle w:val="ListParagraph"/>
        <w:widowControl/>
        <w:numPr>
          <w:ilvl w:val="1"/>
          <w:numId w:val="3"/>
        </w:numPr>
      </w:pPr>
      <w:r w:rsidRPr="00F00837">
        <w:t xml:space="preserve">As noted above, the QoL data from the RAINBOW trial did not provide a meaningful comparison between arms. In the model, the submission assumed that utility weights varied by health state, but not specifically by treatment arms. Baseline utility data from all patients was assumed to be the utility for </w:t>
      </w:r>
      <w:r w:rsidR="00E2112D" w:rsidRPr="00F00837">
        <w:t xml:space="preserve">the </w:t>
      </w:r>
      <w:r w:rsidRPr="00F00837">
        <w:t xml:space="preserve">progression-free health state and the utility collected at the end of treatment due to disease progression was assumed to be the utility for post-progression health state. A disutility due to AEs related to treatment </w:t>
      </w:r>
      <w:r w:rsidR="00862611" w:rsidRPr="00F00837">
        <w:t xml:space="preserve">was </w:t>
      </w:r>
      <w:r w:rsidRPr="00F00837">
        <w:t xml:space="preserve">applied in the pre-progression health state. Using the utility collected at a single time point immediately after disease progression may not be reflective of utility in this health state, as utility is likely to continue to decrease over time. Furthermore, patients who responded </w:t>
      </w:r>
      <w:r w:rsidR="00E2112D" w:rsidRPr="00F00837">
        <w:t xml:space="preserve">to </w:t>
      </w:r>
      <w:r w:rsidRPr="00F00837">
        <w:t xml:space="preserve">the QoL questionnaires may not be representative of all patients in the trial and may represent a healthier cohort of the patients. Therefore the utility values may have been overestimated. </w:t>
      </w:r>
      <w:r w:rsidR="0005037E" w:rsidRPr="00F00837">
        <w:t>Furthermore, utilities used in the literature</w:t>
      </w:r>
      <w:bookmarkStart w:id="16" w:name="_Ref501636800"/>
      <w:r w:rsidR="00CD30CC" w:rsidRPr="00F00837">
        <w:rPr>
          <w:rStyle w:val="FootnoteReference"/>
        </w:rPr>
        <w:footnoteReference w:id="4"/>
      </w:r>
      <w:bookmarkEnd w:id="16"/>
      <w:r w:rsidR="002D04DF" w:rsidRPr="00F00837">
        <w:t xml:space="preserve"> </w:t>
      </w:r>
      <w:r w:rsidR="0005037E" w:rsidRPr="00F00837">
        <w:t>we</w:t>
      </w:r>
      <w:r w:rsidRPr="00F00837">
        <w:t>re considerably lower than th</w:t>
      </w:r>
      <w:r w:rsidR="0005037E" w:rsidRPr="00F00837">
        <w:t>ose</w:t>
      </w:r>
      <w:r w:rsidRPr="00F00837">
        <w:t xml:space="preserve"> used in the submission for both health states. </w:t>
      </w:r>
      <w:r w:rsidR="0074573E" w:rsidRPr="00F00837">
        <w:t>The ESC noted that t</w:t>
      </w:r>
      <w:r w:rsidRPr="00F00837">
        <w:t xml:space="preserve">he ICER was not sensitive to </w:t>
      </w:r>
      <w:r w:rsidR="0005037E" w:rsidRPr="00F00837">
        <w:t>change in utilities</w:t>
      </w:r>
      <w:r w:rsidRPr="00F00837">
        <w:t xml:space="preserve"> when tested in a sensitivity analysis conducted during the evaluation.</w:t>
      </w:r>
    </w:p>
    <w:p w:rsidR="00040343" w:rsidRPr="00F00837" w:rsidRDefault="00040343" w:rsidP="00040343">
      <w:pPr>
        <w:pStyle w:val="ListParagraph"/>
        <w:widowControl/>
        <w:numPr>
          <w:ilvl w:val="1"/>
          <w:numId w:val="3"/>
        </w:numPr>
      </w:pPr>
      <w:r w:rsidRPr="00F00837">
        <w:t>The submission used a lifetime time horizon in the base case economic evaluation. This was estimated to be 7.23 years. The time horizon was based on output from the model, and was chosen as the time point at which the per-cycle percentage change in the average cost-effectiveness ratio for all treatments reached 0.01%.</w:t>
      </w:r>
      <w:r w:rsidR="00B56558" w:rsidRPr="00F00837">
        <w:t xml:space="preserve"> A time horizon of 2 years was reported in the literature previously</w:t>
      </w:r>
      <w:r w:rsidR="00546DA2" w:rsidRPr="00F00837">
        <w:rPr>
          <w:vertAlign w:val="superscript"/>
        </w:rPr>
        <w:t>3</w:t>
      </w:r>
      <w:r w:rsidR="00B56558" w:rsidRPr="00F00837">
        <w:t>.</w:t>
      </w:r>
      <w:r w:rsidRPr="00F00837">
        <w:t xml:space="preserve"> However, </w:t>
      </w:r>
      <w:r w:rsidR="00B56558" w:rsidRPr="00F00837">
        <w:t xml:space="preserve">the ICER was not sensitive to changes in the </w:t>
      </w:r>
      <w:r w:rsidR="00652006" w:rsidRPr="00F00837">
        <w:t>t</w:t>
      </w:r>
      <w:r w:rsidR="00B56558" w:rsidRPr="00F00837">
        <w:t>ime horizon.</w:t>
      </w:r>
      <w:r w:rsidR="00ED5F41" w:rsidRPr="00F00837">
        <w:t xml:space="preserve"> The ESC considered that the </w:t>
      </w:r>
      <w:r w:rsidR="000A61B8" w:rsidRPr="00F00837">
        <w:t xml:space="preserve">time horizon </w:t>
      </w:r>
      <w:r w:rsidR="00ED5F41" w:rsidRPr="00F00837">
        <w:t xml:space="preserve">was highly optimistic in light of the clinical evidence, but acknowledged that the time horizon was not a </w:t>
      </w:r>
      <w:r w:rsidR="000F4D81" w:rsidRPr="00F00837">
        <w:t xml:space="preserve">significant </w:t>
      </w:r>
      <w:r w:rsidR="00ED5F41" w:rsidRPr="00F00837">
        <w:t>driver of the economic model.</w:t>
      </w:r>
      <w:r w:rsidR="00AC06FA">
        <w:t xml:space="preserve"> The PBAC </w:t>
      </w:r>
      <w:r w:rsidR="003C7CC2">
        <w:t>also considered that the time horizon was highly optimistic, and advised that a time horizon of 2 years would be more reasonable</w:t>
      </w:r>
      <w:r w:rsidR="00D50F66">
        <w:t xml:space="preserve"> for this disease state</w:t>
      </w:r>
      <w:r w:rsidR="003C7CC2">
        <w:t xml:space="preserve">, noting that </w:t>
      </w:r>
      <w:r w:rsidR="00D50F66">
        <w:t xml:space="preserve">in this case, the time </w:t>
      </w:r>
      <w:r w:rsidR="00653E36">
        <w:t>horizon had</w:t>
      </w:r>
      <w:r w:rsidR="003C7CC2">
        <w:t xml:space="preserve"> minimal impact on the ICER.</w:t>
      </w:r>
    </w:p>
    <w:p w:rsidR="00681B09" w:rsidRPr="00F00837" w:rsidRDefault="00681B09" w:rsidP="00681B09">
      <w:pPr>
        <w:pStyle w:val="ListParagraph"/>
        <w:widowControl/>
        <w:numPr>
          <w:ilvl w:val="1"/>
          <w:numId w:val="3"/>
        </w:numPr>
      </w:pPr>
      <w:r w:rsidRPr="00F00837">
        <w:t>The key drivers of the model are summarised</w:t>
      </w:r>
      <w:r w:rsidR="00445F54" w:rsidRPr="00F00837">
        <w:t xml:space="preserve"> in the table</w:t>
      </w:r>
      <w:r w:rsidRPr="00F00837">
        <w:t xml:space="preserve"> below.</w:t>
      </w:r>
    </w:p>
    <w:p w:rsidR="00681B09" w:rsidRPr="00382705" w:rsidRDefault="00681B09" w:rsidP="001F46FB">
      <w:pPr>
        <w:keepNext/>
        <w:rPr>
          <w:rStyle w:val="CommentReference"/>
        </w:rPr>
      </w:pPr>
      <w:r w:rsidRPr="00382705">
        <w:rPr>
          <w:rStyle w:val="CommentReference"/>
        </w:rPr>
        <w:t xml:space="preserve">Table </w:t>
      </w:r>
      <w:r w:rsidR="00445F54" w:rsidRPr="00382705">
        <w:rPr>
          <w:rStyle w:val="CommentReference"/>
        </w:rPr>
        <w:t>8</w:t>
      </w:r>
      <w:r w:rsidRPr="00382705">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26"/>
        <w:gridCol w:w="4652"/>
        <w:gridCol w:w="2705"/>
      </w:tblGrid>
      <w:tr w:rsidR="00681B09" w:rsidRPr="00382705" w:rsidTr="00F4739A">
        <w:trPr>
          <w:tblHeader/>
        </w:trPr>
        <w:tc>
          <w:tcPr>
            <w:tcW w:w="950" w:type="pct"/>
            <w:shd w:val="clear" w:color="auto" w:fill="auto"/>
            <w:vAlign w:val="center"/>
          </w:tcPr>
          <w:p w:rsidR="00681B09" w:rsidRPr="00382705" w:rsidRDefault="00681B09" w:rsidP="001F46FB">
            <w:pPr>
              <w:pStyle w:val="Tabletext"/>
              <w:keepNext/>
              <w:rPr>
                <w:b/>
              </w:rPr>
            </w:pPr>
            <w:r w:rsidRPr="00382705">
              <w:rPr>
                <w:b/>
              </w:rPr>
              <w:t>Description</w:t>
            </w:r>
          </w:p>
        </w:tc>
        <w:tc>
          <w:tcPr>
            <w:tcW w:w="2561" w:type="pct"/>
            <w:shd w:val="clear" w:color="auto" w:fill="auto"/>
            <w:vAlign w:val="center"/>
          </w:tcPr>
          <w:p w:rsidR="00681B09" w:rsidRPr="00382705" w:rsidRDefault="00681B09" w:rsidP="001F46FB">
            <w:pPr>
              <w:pStyle w:val="Tabletext"/>
              <w:keepNext/>
              <w:jc w:val="center"/>
              <w:rPr>
                <w:b/>
              </w:rPr>
            </w:pPr>
            <w:r w:rsidRPr="00382705">
              <w:rPr>
                <w:b/>
              </w:rPr>
              <w:t>Method/Value</w:t>
            </w:r>
          </w:p>
        </w:tc>
        <w:tc>
          <w:tcPr>
            <w:tcW w:w="1489" w:type="pct"/>
            <w:shd w:val="clear" w:color="auto" w:fill="auto"/>
            <w:vAlign w:val="center"/>
          </w:tcPr>
          <w:p w:rsidR="00681B09" w:rsidRPr="00382705" w:rsidRDefault="00681B09" w:rsidP="001F46FB">
            <w:pPr>
              <w:pStyle w:val="Tabletext"/>
              <w:keepNext/>
              <w:jc w:val="center"/>
              <w:rPr>
                <w:b/>
              </w:rPr>
            </w:pPr>
            <w:r w:rsidRPr="00382705">
              <w:rPr>
                <w:b/>
              </w:rPr>
              <w:t>Impact</w:t>
            </w:r>
          </w:p>
        </w:tc>
      </w:tr>
      <w:tr w:rsidR="00681B09" w:rsidRPr="00382705" w:rsidTr="00F4739A">
        <w:trPr>
          <w:trHeight w:val="228"/>
        </w:trPr>
        <w:tc>
          <w:tcPr>
            <w:tcW w:w="950" w:type="pct"/>
            <w:vMerge w:val="restart"/>
            <w:shd w:val="clear" w:color="auto" w:fill="auto"/>
            <w:vAlign w:val="center"/>
          </w:tcPr>
          <w:p w:rsidR="00681B09" w:rsidRPr="00382705" w:rsidRDefault="00681B09" w:rsidP="001F46FB">
            <w:pPr>
              <w:pStyle w:val="Tabletext"/>
              <w:keepNext/>
            </w:pPr>
            <w:r w:rsidRPr="00382705">
              <w:t>Cost of hospitalisation</w:t>
            </w:r>
          </w:p>
        </w:tc>
        <w:tc>
          <w:tcPr>
            <w:tcW w:w="2561" w:type="pct"/>
            <w:shd w:val="clear" w:color="auto" w:fill="auto"/>
            <w:vAlign w:val="center"/>
          </w:tcPr>
          <w:p w:rsidR="00681B09" w:rsidRPr="00382705" w:rsidRDefault="00681B09" w:rsidP="001F46FB">
            <w:pPr>
              <w:pStyle w:val="Tabletext"/>
              <w:keepNext/>
            </w:pPr>
            <w:r w:rsidRPr="00382705">
              <w:t>A higher hospitali</w:t>
            </w:r>
            <w:r w:rsidR="00E2112D" w:rsidRPr="00382705">
              <w:t>s</w:t>
            </w:r>
            <w:r w:rsidRPr="00382705">
              <w:t xml:space="preserve">ation cost </w:t>
            </w:r>
            <w:r w:rsidR="0005037E" w:rsidRPr="00382705">
              <w:t>was</w:t>
            </w:r>
            <w:r w:rsidRPr="00382705">
              <w:t xml:space="preserve"> assumed for the comparator arm than for the RAM+PAC arm</w:t>
            </w:r>
          </w:p>
        </w:tc>
        <w:tc>
          <w:tcPr>
            <w:tcW w:w="1489" w:type="pct"/>
            <w:shd w:val="clear" w:color="auto" w:fill="auto"/>
            <w:vAlign w:val="center"/>
          </w:tcPr>
          <w:p w:rsidR="00681B09" w:rsidRPr="00382705" w:rsidRDefault="00681B09" w:rsidP="001F46FB">
            <w:pPr>
              <w:pStyle w:val="Tabletext"/>
              <w:keepNext/>
            </w:pPr>
            <w:r w:rsidRPr="00382705">
              <w:t>High, favours RAM+PAC</w:t>
            </w:r>
          </w:p>
        </w:tc>
      </w:tr>
      <w:tr w:rsidR="00681B09" w:rsidRPr="00382705" w:rsidTr="00F4739A">
        <w:trPr>
          <w:trHeight w:val="228"/>
        </w:trPr>
        <w:tc>
          <w:tcPr>
            <w:tcW w:w="950" w:type="pct"/>
            <w:vMerge/>
            <w:shd w:val="clear" w:color="auto" w:fill="auto"/>
            <w:vAlign w:val="center"/>
          </w:tcPr>
          <w:p w:rsidR="00681B09" w:rsidRPr="00382705" w:rsidRDefault="00681B09" w:rsidP="001F46FB">
            <w:pPr>
              <w:pStyle w:val="Tabletext"/>
              <w:keepNext/>
            </w:pPr>
          </w:p>
        </w:tc>
        <w:tc>
          <w:tcPr>
            <w:tcW w:w="2561" w:type="pct"/>
            <w:shd w:val="clear" w:color="auto" w:fill="auto"/>
            <w:vAlign w:val="center"/>
          </w:tcPr>
          <w:p w:rsidR="00681B09" w:rsidRPr="00382705" w:rsidRDefault="00681B09" w:rsidP="001F46FB">
            <w:pPr>
              <w:pStyle w:val="Tabletext"/>
              <w:keepNext/>
            </w:pPr>
            <w:r w:rsidRPr="00382705">
              <w:t>A lower</w:t>
            </w:r>
            <w:r w:rsidR="00E2112D" w:rsidRPr="00382705">
              <w:t xml:space="preserve"> rate of hospitalis</w:t>
            </w:r>
            <w:r w:rsidRPr="00382705">
              <w:t>ation due to AE</w:t>
            </w:r>
            <w:r w:rsidR="00E2112D" w:rsidRPr="00382705">
              <w:t>s</w:t>
            </w:r>
            <w:r w:rsidRPr="00382705">
              <w:t xml:space="preserve"> for the comparator arm used in the model compared with that reported in the CSR</w:t>
            </w:r>
          </w:p>
        </w:tc>
        <w:tc>
          <w:tcPr>
            <w:tcW w:w="1489" w:type="pct"/>
            <w:shd w:val="clear" w:color="auto" w:fill="auto"/>
            <w:vAlign w:val="center"/>
          </w:tcPr>
          <w:p w:rsidR="00681B09" w:rsidRPr="00382705" w:rsidRDefault="00681B09" w:rsidP="001F46FB">
            <w:pPr>
              <w:pStyle w:val="Tabletext"/>
              <w:keepNext/>
            </w:pPr>
            <w:r w:rsidRPr="00382705">
              <w:t>High, favours RAM+PAC</w:t>
            </w:r>
          </w:p>
        </w:tc>
      </w:tr>
      <w:tr w:rsidR="00681B09" w:rsidRPr="00382705" w:rsidTr="00653092">
        <w:trPr>
          <w:trHeight w:val="70"/>
        </w:trPr>
        <w:tc>
          <w:tcPr>
            <w:tcW w:w="950" w:type="pct"/>
            <w:shd w:val="clear" w:color="auto" w:fill="auto"/>
            <w:vAlign w:val="center"/>
          </w:tcPr>
          <w:p w:rsidR="00681B09" w:rsidRPr="00382705" w:rsidRDefault="00681B09" w:rsidP="001F46FB">
            <w:pPr>
              <w:pStyle w:val="Tabletext"/>
              <w:keepNext/>
            </w:pPr>
            <w:r w:rsidRPr="00382705">
              <w:t>Drug acquisition cost</w:t>
            </w:r>
          </w:p>
        </w:tc>
        <w:tc>
          <w:tcPr>
            <w:tcW w:w="2561" w:type="pct"/>
            <w:shd w:val="clear" w:color="auto" w:fill="auto"/>
            <w:vAlign w:val="center"/>
          </w:tcPr>
          <w:p w:rsidR="00681B09" w:rsidRPr="00382705" w:rsidRDefault="00681B09" w:rsidP="001F46FB">
            <w:pPr>
              <w:pStyle w:val="Tabletext"/>
              <w:keepNext/>
            </w:pPr>
            <w:r w:rsidRPr="00382705">
              <w:t>The submission did not include dispensing fee and estimated the cost of ramucirumab based on the average dose per treatment cycle, rather than per administration.</w:t>
            </w:r>
          </w:p>
        </w:tc>
        <w:tc>
          <w:tcPr>
            <w:tcW w:w="1489" w:type="pct"/>
            <w:shd w:val="clear" w:color="auto" w:fill="auto"/>
            <w:vAlign w:val="center"/>
          </w:tcPr>
          <w:p w:rsidR="00681B09" w:rsidRPr="00382705" w:rsidRDefault="00120096" w:rsidP="001F46FB">
            <w:pPr>
              <w:pStyle w:val="Tabletext"/>
              <w:keepNext/>
            </w:pPr>
            <w:r w:rsidRPr="00382705">
              <w:t>M</w:t>
            </w:r>
            <w:r w:rsidR="00681B09" w:rsidRPr="00382705">
              <w:t>oderate, favours RAM+PAC</w:t>
            </w:r>
            <w:r w:rsidR="00653092">
              <w:t xml:space="preserve">. </w:t>
            </w:r>
            <w:r w:rsidR="00653092" w:rsidRPr="00653092">
              <w:rPr>
                <w:i/>
              </w:rPr>
              <w:t>This was accounted for in the respecified base case presented in the PSCR (p4)</w:t>
            </w:r>
          </w:p>
        </w:tc>
      </w:tr>
    </w:tbl>
    <w:p w:rsidR="00681B09" w:rsidRPr="00382705" w:rsidRDefault="00F80B20" w:rsidP="00681B09">
      <w:pPr>
        <w:pStyle w:val="TableFooter"/>
      </w:pPr>
      <w:r w:rsidRPr="00382705">
        <w:t xml:space="preserve">AE = adverse event; CSR = clinical study report; </w:t>
      </w:r>
      <w:r w:rsidR="00681B09" w:rsidRPr="00382705">
        <w:t>RAM = ramucirumab; PAC = paclitaxel.</w:t>
      </w:r>
    </w:p>
    <w:p w:rsidR="00681B09" w:rsidRPr="00382705" w:rsidRDefault="00681B09" w:rsidP="00681B09">
      <w:pPr>
        <w:pStyle w:val="TableFooter"/>
      </w:pPr>
      <w:r w:rsidRPr="00382705">
        <w:t>Source: Section 3.9 of the submission.</w:t>
      </w:r>
    </w:p>
    <w:p w:rsidR="004B5CFD" w:rsidRPr="00AA18E0" w:rsidRDefault="000A61B8" w:rsidP="001A2733">
      <w:pPr>
        <w:pStyle w:val="ListParagraph"/>
        <w:numPr>
          <w:ilvl w:val="1"/>
          <w:numId w:val="3"/>
        </w:numPr>
        <w:spacing w:before="120"/>
        <w:rPr>
          <w:color w:val="000000" w:themeColor="text1"/>
        </w:rPr>
      </w:pPr>
      <w:r w:rsidRPr="00AA18E0">
        <w:t xml:space="preserve">The ESC noted that </w:t>
      </w:r>
      <w:r w:rsidR="00941AA4" w:rsidRPr="00AA18E0">
        <w:t>although</w:t>
      </w:r>
      <w:r w:rsidRPr="00AA18E0">
        <w:t xml:space="preserve"> the submission </w:t>
      </w:r>
      <w:r w:rsidR="0001586E" w:rsidRPr="00AA18E0">
        <w:t>presented a</w:t>
      </w:r>
      <w:r w:rsidR="001A0B26" w:rsidRPr="00AA18E0">
        <w:t xml:space="preserve"> </w:t>
      </w:r>
      <w:r w:rsidRPr="00AA18E0">
        <w:t xml:space="preserve">base case ICER of </w:t>
      </w:r>
      <w:r w:rsidRPr="00AA18E0">
        <w:rPr>
          <w:color w:val="000000" w:themeColor="text1"/>
        </w:rPr>
        <w:t>$</w:t>
      </w:r>
      <w:r w:rsidR="00470ED2">
        <w:rPr>
          <w:color w:val="000000" w:themeColor="text1"/>
        </w:rPr>
        <w:t xml:space="preserve">45,000/QALY -$75,000/QALY </w:t>
      </w:r>
      <w:r w:rsidRPr="00AA18E0">
        <w:rPr>
          <w:color w:val="000000" w:themeColor="text1"/>
        </w:rPr>
        <w:t>gained, this</w:t>
      </w:r>
      <w:r w:rsidR="00941AA4" w:rsidRPr="00AA18E0">
        <w:rPr>
          <w:color w:val="000000" w:themeColor="text1"/>
        </w:rPr>
        <w:t xml:space="preserve"> </w:t>
      </w:r>
      <w:r w:rsidR="000F4A1D" w:rsidRPr="00AA18E0">
        <w:rPr>
          <w:color w:val="000000" w:themeColor="text1"/>
        </w:rPr>
        <w:t>model</w:t>
      </w:r>
      <w:r w:rsidR="00941AA4" w:rsidRPr="00AA18E0">
        <w:rPr>
          <w:color w:val="000000" w:themeColor="text1"/>
        </w:rPr>
        <w:t xml:space="preserve"> incorporated an erroneous value for the AEMP of ramucirumab. On correcting for thi</w:t>
      </w:r>
      <w:r w:rsidR="000F4A1D" w:rsidRPr="00AA18E0">
        <w:rPr>
          <w:color w:val="000000" w:themeColor="text1"/>
        </w:rPr>
        <w:t xml:space="preserve">s </w:t>
      </w:r>
      <w:r w:rsidR="00941AA4" w:rsidRPr="00AA18E0">
        <w:rPr>
          <w:color w:val="000000" w:themeColor="text1"/>
        </w:rPr>
        <w:t xml:space="preserve">error, the commentary estimated that the base case ICER </w:t>
      </w:r>
      <w:r w:rsidR="000F4A1D" w:rsidRPr="00AA18E0">
        <w:rPr>
          <w:color w:val="000000" w:themeColor="text1"/>
        </w:rPr>
        <w:t>was</w:t>
      </w:r>
      <w:r w:rsidR="00941AA4" w:rsidRPr="00AA18E0">
        <w:rPr>
          <w:color w:val="000000" w:themeColor="text1"/>
        </w:rPr>
        <w:t xml:space="preserve"> $</w:t>
      </w:r>
      <w:r w:rsidR="00470ED2" w:rsidRPr="00470ED2">
        <w:rPr>
          <w:color w:val="000000" w:themeColor="text1"/>
        </w:rPr>
        <w:t>15,000/QALY - $45,000/QALY</w:t>
      </w:r>
      <w:r w:rsidR="00470ED2">
        <w:rPr>
          <w:color w:val="000000" w:themeColor="text1"/>
        </w:rPr>
        <w:t xml:space="preserve"> </w:t>
      </w:r>
      <w:r w:rsidR="00941AA4" w:rsidRPr="00AA18E0">
        <w:rPr>
          <w:color w:val="000000" w:themeColor="text1"/>
        </w:rPr>
        <w:t>gained. The ESC noted that this error was acknowledged in the PSCR.</w:t>
      </w:r>
      <w:r w:rsidR="004B5CFD" w:rsidRPr="00AA18E0">
        <w:t xml:space="preserve"> </w:t>
      </w:r>
    </w:p>
    <w:p w:rsidR="004B5CFD" w:rsidRPr="00F00837" w:rsidRDefault="004B5CFD" w:rsidP="00470ED2">
      <w:pPr>
        <w:pStyle w:val="ListParagraph"/>
        <w:numPr>
          <w:ilvl w:val="1"/>
          <w:numId w:val="3"/>
        </w:numPr>
        <w:rPr>
          <w:color w:val="000000" w:themeColor="text1"/>
        </w:rPr>
      </w:pPr>
      <w:r w:rsidRPr="00F00837">
        <w:rPr>
          <w:color w:val="000000" w:themeColor="text1"/>
        </w:rPr>
        <w:t>Further, the PSCR acknowledged the issues raised in the commentary and presented a respecified base case ICER of $</w:t>
      </w:r>
      <w:r w:rsidR="00470ED2" w:rsidRPr="00470ED2">
        <w:rPr>
          <w:color w:val="000000" w:themeColor="text1"/>
        </w:rPr>
        <w:t>75,000/QALY – $105,000/QALY</w:t>
      </w:r>
      <w:r w:rsidR="00470ED2">
        <w:rPr>
          <w:color w:val="000000" w:themeColor="text1"/>
        </w:rPr>
        <w:t xml:space="preserve"> </w:t>
      </w:r>
      <w:r w:rsidRPr="00F00837">
        <w:rPr>
          <w:color w:val="000000" w:themeColor="text1"/>
        </w:rPr>
        <w:t xml:space="preserve">gained, reflecting (i) the corrected AEMP; (ii) the inclusion of dispensing fees; (iii) costing of vials on a per administration basis, rather than a per treatment cycle basis; and (iv) an update to the cost of irinotecan to reflect the efficient combination of vials to deliver the average dose. </w:t>
      </w:r>
    </w:p>
    <w:p w:rsidR="000666AB" w:rsidRDefault="003C7CC2" w:rsidP="000414AE">
      <w:pPr>
        <w:pStyle w:val="ListParagraph"/>
        <w:widowControl/>
        <w:numPr>
          <w:ilvl w:val="1"/>
          <w:numId w:val="3"/>
        </w:numPr>
      </w:pPr>
      <w:r w:rsidRPr="00F00837">
        <w:t>The cost-offsets in the post-progression health state were based on data collected prior to disease progression, and had uncertain applicability. The ESC noted that the submission did not justify why hospitalisation rates between the two treatment arms would differ after disease progression and cessation of ramucirumab treatment. The cost-offsets due to hospitalisations in the pre-progression health state were likely to be overestimated as the submission applied a rate of hospitalisation in the comparator arm of the model which was four times the rate in the intervention arm. This difference was not supported by the evidence presented in the submission. The method used to include hospitalisation costs was highly uncertain and led to substantial bias in favour of ramucirumab. The ESC considered that the differential rate of hospitalisation for reasons other than AEs was not appropriate, and was a major driver of the model. The ESC therefore advised that an assumption of equal risk of hospitalisation in both the pre- and post-progression states would be more appropriate, noting that this would increase the hospitalisation costs in the RAM+PAC arm, as post-progression survival was longer in this arm.</w:t>
      </w:r>
      <w:r>
        <w:t xml:space="preserve"> </w:t>
      </w:r>
    </w:p>
    <w:p w:rsidR="000414AE" w:rsidRDefault="003C7CC2" w:rsidP="00470ED2">
      <w:pPr>
        <w:pStyle w:val="ListParagraph"/>
        <w:widowControl/>
        <w:numPr>
          <w:ilvl w:val="1"/>
          <w:numId w:val="3"/>
        </w:numPr>
      </w:pPr>
      <w:r>
        <w:t xml:space="preserve">The pre-PBAC response noted ESC’s advice regarding the assumptions of rates of hospitalisation in the economic model, </w:t>
      </w:r>
      <w:r w:rsidR="00D50F66">
        <w:t xml:space="preserve">and </w:t>
      </w:r>
      <w:r>
        <w:t>presented a respecified base case of $</w:t>
      </w:r>
      <w:r w:rsidR="00470ED2" w:rsidRPr="00470ED2">
        <w:t>75,000/QALY – $105,000/QALY</w:t>
      </w:r>
      <w:r>
        <w:t xml:space="preserve">, assuming an equal rate of hospitalisation in the post-progression health in both arms of the model. </w:t>
      </w:r>
      <w:r w:rsidR="000414AE" w:rsidRPr="00F00837">
        <w:t xml:space="preserve">The disaggregated costs, by resource type, </w:t>
      </w:r>
      <w:r w:rsidR="000414AE">
        <w:t xml:space="preserve">assumed in the pre-PBAC response </w:t>
      </w:r>
      <w:r w:rsidR="000414AE" w:rsidRPr="00F00837">
        <w:t>are presented in the table below.</w:t>
      </w:r>
    </w:p>
    <w:p w:rsidR="000414AE" w:rsidRPr="001A2733" w:rsidRDefault="000414AE" w:rsidP="001A2733">
      <w:pPr>
        <w:pStyle w:val="TableText0"/>
        <w:rPr>
          <w:rStyle w:val="CommentReference"/>
        </w:rPr>
      </w:pPr>
      <w:r w:rsidRPr="001A2733">
        <w:rPr>
          <w:rStyle w:val="CommentReference"/>
        </w:rPr>
        <w:t xml:space="preserve">Table </w:t>
      </w:r>
      <w:r w:rsidR="005250EB" w:rsidRPr="001A2733">
        <w:rPr>
          <w:rStyle w:val="CommentReference"/>
        </w:rPr>
        <w:t>9</w:t>
      </w:r>
      <w:r w:rsidRPr="001A2733">
        <w:rPr>
          <w:rStyle w:val="CommentReference"/>
        </w:rPr>
        <w:t>: Disaggregated summary of costs used in the economic evaluation (discounted) – pre-PBAC base case</w:t>
      </w:r>
    </w:p>
    <w:tbl>
      <w:tblPr>
        <w:tblW w:w="5000" w:type="pct"/>
        <w:tblCellMar>
          <w:left w:w="0" w:type="dxa"/>
          <w:right w:w="0" w:type="dxa"/>
        </w:tblCellMar>
        <w:tblLook w:val="04A0" w:firstRow="1" w:lastRow="0" w:firstColumn="1" w:lastColumn="0" w:noHBand="0" w:noVBand="1"/>
      </w:tblPr>
      <w:tblGrid>
        <w:gridCol w:w="3338"/>
        <w:gridCol w:w="1873"/>
        <w:gridCol w:w="2017"/>
        <w:gridCol w:w="2015"/>
      </w:tblGrid>
      <w:tr w:rsidR="000414AE" w:rsidTr="000414AE">
        <w:tc>
          <w:tcPr>
            <w:tcW w:w="18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14AE" w:rsidRDefault="000414AE">
            <w:pPr>
              <w:rPr>
                <w:rFonts w:ascii="Times New Roman" w:hAnsi="Times New Roman"/>
                <w:sz w:val="20"/>
                <w:szCs w:val="20"/>
                <w:lang w:eastAsia="en-AU"/>
              </w:rPr>
            </w:pPr>
          </w:p>
        </w:tc>
        <w:tc>
          <w:tcPr>
            <w:tcW w:w="10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14AE" w:rsidRDefault="000414AE">
            <w:pPr>
              <w:jc w:val="center"/>
              <w:rPr>
                <w:rFonts w:ascii="Arial Narrow" w:eastAsiaTheme="minorHAnsi" w:hAnsi="Arial Narrow"/>
                <w:b/>
                <w:bCs/>
                <w:sz w:val="20"/>
                <w:szCs w:val="20"/>
                <w:lang w:eastAsia="en-AU"/>
              </w:rPr>
            </w:pPr>
            <w:r>
              <w:rPr>
                <w:rFonts w:ascii="Arial Narrow" w:hAnsi="Arial Narrow"/>
                <w:b/>
                <w:bCs/>
                <w:sz w:val="20"/>
                <w:szCs w:val="20"/>
                <w:lang w:eastAsia="en-AU"/>
              </w:rPr>
              <w:t>RAM+PAC</w:t>
            </w:r>
          </w:p>
        </w:tc>
        <w:tc>
          <w:tcPr>
            <w:tcW w:w="10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14AE" w:rsidRDefault="000414AE">
            <w:pPr>
              <w:jc w:val="center"/>
              <w:rPr>
                <w:rFonts w:ascii="Arial Narrow" w:eastAsiaTheme="minorHAnsi" w:hAnsi="Arial Narrow"/>
                <w:b/>
                <w:bCs/>
                <w:sz w:val="20"/>
                <w:szCs w:val="20"/>
                <w:lang w:eastAsia="en-AU"/>
              </w:rPr>
            </w:pPr>
            <w:r>
              <w:rPr>
                <w:rFonts w:ascii="Arial Narrow" w:hAnsi="Arial Narrow"/>
                <w:b/>
                <w:bCs/>
                <w:sz w:val="20"/>
                <w:szCs w:val="20"/>
                <w:lang w:eastAsia="en-AU"/>
              </w:rPr>
              <w:t>PAC</w:t>
            </w:r>
          </w:p>
        </w:tc>
        <w:tc>
          <w:tcPr>
            <w:tcW w:w="10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14AE" w:rsidRDefault="000414AE">
            <w:pPr>
              <w:jc w:val="center"/>
              <w:rPr>
                <w:rFonts w:ascii="Arial Narrow" w:eastAsiaTheme="minorHAnsi" w:hAnsi="Arial Narrow"/>
                <w:b/>
                <w:bCs/>
                <w:sz w:val="20"/>
                <w:szCs w:val="20"/>
                <w:lang w:eastAsia="en-AU"/>
              </w:rPr>
            </w:pPr>
            <w:r>
              <w:rPr>
                <w:rFonts w:ascii="Arial Narrow" w:hAnsi="Arial Narrow"/>
                <w:b/>
                <w:bCs/>
                <w:sz w:val="20"/>
                <w:szCs w:val="20"/>
                <w:lang w:eastAsia="en-AU"/>
              </w:rPr>
              <w:t>Incremental cost</w:t>
            </w:r>
          </w:p>
        </w:tc>
      </w:tr>
      <w:tr w:rsidR="000414AE" w:rsidTr="000414AE">
        <w:tc>
          <w:tcPr>
            <w:tcW w:w="180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14AE" w:rsidRDefault="000414AE">
            <w:pPr>
              <w:rPr>
                <w:rFonts w:ascii="Arial Narrow" w:eastAsiaTheme="minorHAnsi" w:hAnsi="Arial Narrow"/>
                <w:sz w:val="20"/>
                <w:szCs w:val="20"/>
                <w:lang w:eastAsia="en-AU"/>
              </w:rPr>
            </w:pPr>
            <w:r>
              <w:rPr>
                <w:rFonts w:ascii="Arial Narrow" w:hAnsi="Arial Narrow"/>
                <w:color w:val="000000"/>
                <w:sz w:val="20"/>
                <w:szCs w:val="20"/>
                <w:lang w:eastAsia="en-AU"/>
              </w:rPr>
              <w:t>Ramucirumab acquisition</w:t>
            </w:r>
          </w:p>
        </w:tc>
        <w:tc>
          <w:tcPr>
            <w:tcW w:w="1013"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Default="000414AE">
            <w:pPr>
              <w:jc w:val="right"/>
              <w:rPr>
                <w:rFonts w:ascii="Arial Narrow" w:eastAsiaTheme="minorHAnsi" w:hAnsi="Arial Narrow"/>
                <w:sz w:val="20"/>
                <w:szCs w:val="20"/>
                <w:lang w:eastAsia="en-AU"/>
              </w:rPr>
            </w:pPr>
            <w:r>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c>
          <w:tcPr>
            <w:tcW w:w="1091"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Default="000414AE">
            <w:pPr>
              <w:jc w:val="right"/>
              <w:rPr>
                <w:rFonts w:ascii="Arial Narrow" w:eastAsiaTheme="minorHAnsi" w:hAnsi="Arial Narrow"/>
                <w:sz w:val="20"/>
                <w:szCs w:val="20"/>
                <w:lang w:eastAsia="en-AU"/>
              </w:rPr>
            </w:pPr>
            <w:r>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c>
          <w:tcPr>
            <w:tcW w:w="1091"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Default="000414AE">
            <w:pPr>
              <w:jc w:val="right"/>
              <w:rPr>
                <w:rFonts w:ascii="Arial Narrow" w:eastAsiaTheme="minorHAnsi" w:hAnsi="Arial Narrow"/>
                <w:sz w:val="20"/>
                <w:szCs w:val="20"/>
                <w:lang w:eastAsia="en-AU"/>
              </w:rPr>
            </w:pPr>
            <w:r>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r>
      <w:tr w:rsidR="000414AE" w:rsidTr="000414AE">
        <w:tc>
          <w:tcPr>
            <w:tcW w:w="180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14AE" w:rsidRDefault="000414AE">
            <w:pPr>
              <w:rPr>
                <w:rFonts w:ascii="Arial Narrow" w:eastAsiaTheme="minorHAnsi" w:hAnsi="Arial Narrow"/>
                <w:sz w:val="20"/>
                <w:szCs w:val="20"/>
                <w:lang w:eastAsia="en-AU"/>
              </w:rPr>
            </w:pPr>
            <w:r>
              <w:rPr>
                <w:rFonts w:ascii="Arial Narrow" w:hAnsi="Arial Narrow"/>
                <w:sz w:val="20"/>
                <w:szCs w:val="20"/>
                <w:lang w:eastAsia="en-AU"/>
              </w:rPr>
              <w:t>Paclitaxel acquisition</w:t>
            </w:r>
          </w:p>
        </w:tc>
        <w:tc>
          <w:tcPr>
            <w:tcW w:w="1013"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Default="000414AE">
            <w:pPr>
              <w:jc w:val="right"/>
              <w:rPr>
                <w:rFonts w:ascii="Arial Narrow" w:eastAsiaTheme="minorHAnsi" w:hAnsi="Arial Narrow"/>
                <w:sz w:val="20"/>
                <w:szCs w:val="20"/>
                <w:lang w:eastAsia="en-AU"/>
              </w:rPr>
            </w:pPr>
            <w:r>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c>
          <w:tcPr>
            <w:tcW w:w="1091"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Default="000414AE">
            <w:pPr>
              <w:jc w:val="right"/>
              <w:rPr>
                <w:rFonts w:ascii="Arial Narrow" w:eastAsiaTheme="minorHAnsi" w:hAnsi="Arial Narrow"/>
                <w:sz w:val="20"/>
                <w:szCs w:val="20"/>
                <w:lang w:eastAsia="en-AU"/>
              </w:rPr>
            </w:pPr>
            <w:r>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c>
          <w:tcPr>
            <w:tcW w:w="1091"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Default="000414AE">
            <w:pPr>
              <w:jc w:val="right"/>
              <w:rPr>
                <w:rFonts w:ascii="Arial Narrow" w:eastAsiaTheme="minorHAnsi" w:hAnsi="Arial Narrow"/>
                <w:sz w:val="20"/>
                <w:szCs w:val="20"/>
                <w:lang w:eastAsia="en-AU"/>
              </w:rPr>
            </w:pPr>
            <w:r>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r>
      <w:tr w:rsidR="000414AE" w:rsidTr="000414AE">
        <w:tc>
          <w:tcPr>
            <w:tcW w:w="180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14AE" w:rsidRDefault="000414AE">
            <w:pPr>
              <w:rPr>
                <w:rFonts w:ascii="Arial Narrow" w:eastAsiaTheme="minorHAnsi" w:hAnsi="Arial Narrow"/>
                <w:sz w:val="20"/>
                <w:szCs w:val="20"/>
                <w:lang w:eastAsia="en-AU"/>
              </w:rPr>
            </w:pPr>
            <w:r>
              <w:rPr>
                <w:rFonts w:ascii="Arial Narrow" w:hAnsi="Arial Narrow"/>
                <w:color w:val="000000"/>
                <w:sz w:val="20"/>
                <w:szCs w:val="20"/>
                <w:lang w:eastAsia="en-AU"/>
              </w:rPr>
              <w:t>Premedication (pre-progression)</w:t>
            </w:r>
          </w:p>
        </w:tc>
        <w:tc>
          <w:tcPr>
            <w:tcW w:w="1013"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Default="000414AE">
            <w:pPr>
              <w:jc w:val="right"/>
              <w:rPr>
                <w:rFonts w:ascii="Arial Narrow" w:eastAsiaTheme="minorHAnsi" w:hAnsi="Arial Narrow"/>
                <w:sz w:val="20"/>
                <w:szCs w:val="20"/>
                <w:lang w:eastAsia="en-AU"/>
              </w:rPr>
            </w:pPr>
            <w:r>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c>
          <w:tcPr>
            <w:tcW w:w="1091"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Default="000414AE">
            <w:pPr>
              <w:jc w:val="right"/>
              <w:rPr>
                <w:rFonts w:ascii="Arial Narrow" w:eastAsiaTheme="minorHAnsi" w:hAnsi="Arial Narrow"/>
                <w:sz w:val="20"/>
                <w:szCs w:val="20"/>
                <w:lang w:eastAsia="en-AU"/>
              </w:rPr>
            </w:pPr>
            <w:r>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c>
          <w:tcPr>
            <w:tcW w:w="1091"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Default="000414AE">
            <w:pPr>
              <w:jc w:val="right"/>
              <w:rPr>
                <w:rFonts w:ascii="Arial Narrow" w:eastAsiaTheme="minorHAnsi" w:hAnsi="Arial Narrow"/>
                <w:sz w:val="20"/>
                <w:szCs w:val="20"/>
                <w:lang w:eastAsia="en-AU"/>
              </w:rPr>
            </w:pPr>
            <w:r>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r>
      <w:tr w:rsidR="000414AE" w:rsidTr="000414AE">
        <w:tc>
          <w:tcPr>
            <w:tcW w:w="180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14AE" w:rsidRDefault="000414AE">
            <w:pPr>
              <w:pStyle w:val="TableHeading"/>
              <w:keepNext w:val="0"/>
              <w:spacing w:before="0" w:after="0"/>
              <w:rPr>
                <w:b w:val="0"/>
                <w:bCs w:val="0"/>
                <w:snapToGrid w:val="0"/>
                <w:lang w:eastAsia="en-AU"/>
              </w:rPr>
            </w:pPr>
            <w:r>
              <w:rPr>
                <w:b w:val="0"/>
                <w:bCs w:val="0"/>
                <w:color w:val="000000"/>
                <w:lang w:eastAsia="en-AU"/>
              </w:rPr>
              <w:t>Administration (pre-progression)</w:t>
            </w:r>
          </w:p>
        </w:tc>
        <w:tc>
          <w:tcPr>
            <w:tcW w:w="1013"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Default="000414AE">
            <w:pPr>
              <w:jc w:val="right"/>
              <w:rPr>
                <w:rFonts w:ascii="Arial Narrow" w:eastAsiaTheme="minorHAnsi" w:hAnsi="Arial Narrow"/>
                <w:sz w:val="20"/>
                <w:szCs w:val="20"/>
                <w:lang w:eastAsia="en-AU"/>
              </w:rPr>
            </w:pPr>
            <w:r>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c>
          <w:tcPr>
            <w:tcW w:w="1091"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Default="000414AE">
            <w:pPr>
              <w:jc w:val="right"/>
              <w:rPr>
                <w:rFonts w:ascii="Arial Narrow" w:eastAsiaTheme="minorHAnsi" w:hAnsi="Arial Narrow"/>
                <w:sz w:val="20"/>
                <w:szCs w:val="20"/>
                <w:lang w:eastAsia="en-AU"/>
              </w:rPr>
            </w:pPr>
            <w:r>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c>
          <w:tcPr>
            <w:tcW w:w="1091"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Default="000414AE">
            <w:pPr>
              <w:jc w:val="right"/>
              <w:rPr>
                <w:rFonts w:ascii="Arial Narrow" w:eastAsiaTheme="minorHAnsi" w:hAnsi="Arial Narrow"/>
                <w:sz w:val="20"/>
                <w:szCs w:val="20"/>
                <w:lang w:eastAsia="en-AU"/>
              </w:rPr>
            </w:pPr>
            <w:r>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r>
      <w:tr w:rsidR="000414AE" w:rsidTr="000414AE">
        <w:tc>
          <w:tcPr>
            <w:tcW w:w="180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14AE" w:rsidRDefault="000414AE">
            <w:pPr>
              <w:rPr>
                <w:rFonts w:ascii="Arial Narrow" w:eastAsiaTheme="minorHAnsi" w:hAnsi="Arial Narrow"/>
                <w:sz w:val="20"/>
                <w:szCs w:val="20"/>
                <w:lang w:eastAsia="en-AU"/>
              </w:rPr>
            </w:pPr>
            <w:r>
              <w:rPr>
                <w:rFonts w:ascii="Arial Narrow" w:hAnsi="Arial Narrow"/>
                <w:color w:val="000000"/>
                <w:sz w:val="20"/>
                <w:szCs w:val="20"/>
                <w:lang w:eastAsia="en-AU"/>
              </w:rPr>
              <w:t>Follow-up</w:t>
            </w:r>
          </w:p>
        </w:tc>
        <w:tc>
          <w:tcPr>
            <w:tcW w:w="1013"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Default="000414AE">
            <w:pPr>
              <w:jc w:val="right"/>
              <w:rPr>
                <w:rFonts w:ascii="Arial Narrow" w:eastAsiaTheme="minorHAnsi" w:hAnsi="Arial Narrow"/>
                <w:sz w:val="20"/>
                <w:szCs w:val="20"/>
                <w:lang w:eastAsia="en-AU"/>
              </w:rPr>
            </w:pPr>
            <w:r>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c>
          <w:tcPr>
            <w:tcW w:w="1091"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Default="000414AE">
            <w:pPr>
              <w:jc w:val="right"/>
              <w:rPr>
                <w:rFonts w:ascii="Arial Narrow" w:eastAsiaTheme="minorHAnsi" w:hAnsi="Arial Narrow"/>
                <w:sz w:val="20"/>
                <w:szCs w:val="20"/>
                <w:lang w:eastAsia="en-AU"/>
              </w:rPr>
            </w:pPr>
            <w:r>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c>
          <w:tcPr>
            <w:tcW w:w="1091"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Default="000414AE">
            <w:pPr>
              <w:jc w:val="right"/>
              <w:rPr>
                <w:rFonts w:ascii="Arial Narrow" w:eastAsiaTheme="minorHAnsi" w:hAnsi="Arial Narrow"/>
                <w:sz w:val="20"/>
                <w:szCs w:val="20"/>
                <w:lang w:eastAsia="en-AU"/>
              </w:rPr>
            </w:pPr>
            <w:r>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r>
      <w:tr w:rsidR="000414AE" w:rsidTr="000414AE">
        <w:tc>
          <w:tcPr>
            <w:tcW w:w="180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14AE" w:rsidRDefault="000414AE">
            <w:pPr>
              <w:pStyle w:val="Tabletext"/>
              <w:rPr>
                <w:snapToGrid w:val="0"/>
              </w:rPr>
            </w:pPr>
            <w:r>
              <w:rPr>
                <w:color w:val="000000"/>
              </w:rPr>
              <w:t>Best supportive care</w:t>
            </w:r>
          </w:p>
        </w:tc>
        <w:tc>
          <w:tcPr>
            <w:tcW w:w="1013"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Default="000414AE">
            <w:pPr>
              <w:jc w:val="right"/>
              <w:rPr>
                <w:rFonts w:ascii="Arial Narrow" w:eastAsiaTheme="minorHAnsi" w:hAnsi="Arial Narrow"/>
                <w:sz w:val="20"/>
                <w:szCs w:val="20"/>
                <w:lang w:eastAsia="en-AU"/>
              </w:rPr>
            </w:pPr>
            <w:r>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c>
          <w:tcPr>
            <w:tcW w:w="1091"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Default="000414AE">
            <w:pPr>
              <w:jc w:val="right"/>
              <w:rPr>
                <w:rFonts w:ascii="Arial Narrow" w:eastAsiaTheme="minorHAnsi" w:hAnsi="Arial Narrow"/>
                <w:sz w:val="20"/>
                <w:szCs w:val="20"/>
                <w:lang w:eastAsia="en-AU"/>
              </w:rPr>
            </w:pPr>
            <w:r>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c>
          <w:tcPr>
            <w:tcW w:w="1091"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Default="000414AE">
            <w:pPr>
              <w:jc w:val="right"/>
              <w:rPr>
                <w:rFonts w:ascii="Arial Narrow" w:eastAsiaTheme="minorHAnsi" w:hAnsi="Arial Narrow"/>
                <w:sz w:val="20"/>
                <w:szCs w:val="20"/>
                <w:lang w:eastAsia="en-AU"/>
              </w:rPr>
            </w:pPr>
            <w:r>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r>
      <w:tr w:rsidR="000414AE" w:rsidTr="000414AE">
        <w:tc>
          <w:tcPr>
            <w:tcW w:w="180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14AE" w:rsidRDefault="000414AE">
            <w:pPr>
              <w:rPr>
                <w:rFonts w:ascii="Arial Narrow" w:eastAsiaTheme="minorHAnsi" w:hAnsi="Arial Narrow"/>
                <w:sz w:val="20"/>
                <w:szCs w:val="20"/>
                <w:lang w:eastAsia="en-AU"/>
              </w:rPr>
            </w:pPr>
            <w:r>
              <w:rPr>
                <w:rFonts w:ascii="Arial Narrow" w:hAnsi="Arial Narrow"/>
                <w:color w:val="000000"/>
                <w:sz w:val="20"/>
                <w:szCs w:val="20"/>
                <w:lang w:eastAsia="en-AU"/>
              </w:rPr>
              <w:t>Adverse events</w:t>
            </w:r>
          </w:p>
        </w:tc>
        <w:tc>
          <w:tcPr>
            <w:tcW w:w="1013"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Default="000414AE">
            <w:pPr>
              <w:jc w:val="right"/>
              <w:rPr>
                <w:rFonts w:ascii="Arial Narrow" w:eastAsiaTheme="minorHAnsi" w:hAnsi="Arial Narrow"/>
                <w:sz w:val="20"/>
                <w:szCs w:val="20"/>
                <w:lang w:eastAsia="en-AU"/>
              </w:rPr>
            </w:pPr>
            <w:r>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c>
          <w:tcPr>
            <w:tcW w:w="1091"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Default="000414AE">
            <w:pPr>
              <w:jc w:val="right"/>
              <w:rPr>
                <w:rFonts w:ascii="Arial Narrow" w:eastAsiaTheme="minorHAnsi" w:hAnsi="Arial Narrow"/>
                <w:sz w:val="20"/>
                <w:szCs w:val="20"/>
                <w:lang w:eastAsia="en-AU"/>
              </w:rPr>
            </w:pPr>
            <w:r>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c>
          <w:tcPr>
            <w:tcW w:w="1091"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Default="000414AE">
            <w:pPr>
              <w:jc w:val="right"/>
              <w:rPr>
                <w:rFonts w:ascii="Arial Narrow" w:eastAsiaTheme="minorHAnsi" w:hAnsi="Arial Narrow"/>
                <w:sz w:val="20"/>
                <w:szCs w:val="20"/>
                <w:lang w:eastAsia="en-AU"/>
              </w:rPr>
            </w:pPr>
            <w:r>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r>
      <w:tr w:rsidR="000414AE" w:rsidTr="000414AE">
        <w:tc>
          <w:tcPr>
            <w:tcW w:w="180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14AE" w:rsidRDefault="000414AE">
            <w:pPr>
              <w:rPr>
                <w:rFonts w:ascii="Arial Narrow" w:eastAsiaTheme="minorHAnsi" w:hAnsi="Arial Narrow"/>
                <w:sz w:val="20"/>
                <w:szCs w:val="20"/>
                <w:lang w:eastAsia="en-AU"/>
              </w:rPr>
            </w:pPr>
            <w:r>
              <w:rPr>
                <w:rFonts w:ascii="Arial Narrow" w:hAnsi="Arial Narrow"/>
                <w:color w:val="000000"/>
                <w:sz w:val="20"/>
                <w:szCs w:val="20"/>
                <w:lang w:eastAsia="en-AU"/>
              </w:rPr>
              <w:t>Hospitalisation costs (pre</w:t>
            </w:r>
            <w:r>
              <w:rPr>
                <w:rFonts w:ascii="Arial Narrow" w:hAnsi="Arial Narrow"/>
                <w:color w:val="000000"/>
                <w:sz w:val="20"/>
                <w:szCs w:val="20"/>
                <w:lang w:eastAsia="en-AU"/>
              </w:rPr>
              <w:noBreakHyphen/>
              <w:t>progression)</w:t>
            </w:r>
          </w:p>
        </w:tc>
        <w:tc>
          <w:tcPr>
            <w:tcW w:w="1013"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Default="000414AE">
            <w:pPr>
              <w:jc w:val="right"/>
              <w:rPr>
                <w:rFonts w:ascii="Arial Narrow" w:eastAsiaTheme="minorHAnsi" w:hAnsi="Arial Narrow"/>
                <w:sz w:val="20"/>
                <w:szCs w:val="20"/>
                <w:lang w:eastAsia="en-AU"/>
              </w:rPr>
            </w:pPr>
            <w:r>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c>
          <w:tcPr>
            <w:tcW w:w="1091"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Default="000414AE">
            <w:pPr>
              <w:jc w:val="right"/>
              <w:rPr>
                <w:rFonts w:ascii="Arial Narrow" w:eastAsiaTheme="minorHAnsi" w:hAnsi="Arial Narrow"/>
                <w:sz w:val="20"/>
                <w:szCs w:val="20"/>
                <w:lang w:eastAsia="en-AU"/>
              </w:rPr>
            </w:pPr>
            <w:r>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c>
          <w:tcPr>
            <w:tcW w:w="1091"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Default="000414AE">
            <w:pPr>
              <w:jc w:val="right"/>
              <w:rPr>
                <w:rFonts w:ascii="Arial Narrow" w:eastAsiaTheme="minorHAnsi" w:hAnsi="Arial Narrow"/>
                <w:sz w:val="20"/>
                <w:szCs w:val="20"/>
                <w:lang w:eastAsia="en-AU"/>
              </w:rPr>
            </w:pPr>
            <w:r>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r>
      <w:tr w:rsidR="000414AE" w:rsidTr="000414AE">
        <w:tc>
          <w:tcPr>
            <w:tcW w:w="180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14AE" w:rsidRPr="000414AE" w:rsidRDefault="000414AE">
            <w:pPr>
              <w:rPr>
                <w:rFonts w:ascii="Arial Narrow" w:eastAsiaTheme="minorHAnsi" w:hAnsi="Arial Narrow"/>
                <w:sz w:val="20"/>
                <w:szCs w:val="20"/>
                <w:lang w:eastAsia="en-AU"/>
              </w:rPr>
            </w:pPr>
            <w:r w:rsidRPr="000414AE">
              <w:rPr>
                <w:rFonts w:ascii="Arial Narrow" w:hAnsi="Arial Narrow"/>
                <w:color w:val="000000"/>
                <w:sz w:val="20"/>
                <w:szCs w:val="20"/>
                <w:lang w:eastAsia="en-AU"/>
              </w:rPr>
              <w:t>Hospitalisation costs (post</w:t>
            </w:r>
            <w:r w:rsidRPr="000414AE">
              <w:rPr>
                <w:rFonts w:ascii="Arial Narrow" w:hAnsi="Arial Narrow"/>
                <w:color w:val="000000"/>
                <w:sz w:val="20"/>
                <w:szCs w:val="20"/>
                <w:lang w:eastAsia="en-AU"/>
              </w:rPr>
              <w:noBreakHyphen/>
              <w:t>progression)</w:t>
            </w:r>
          </w:p>
        </w:tc>
        <w:tc>
          <w:tcPr>
            <w:tcW w:w="1013"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Pr="000414AE" w:rsidRDefault="000414AE">
            <w:pPr>
              <w:jc w:val="right"/>
              <w:rPr>
                <w:rFonts w:ascii="Arial Narrow" w:eastAsiaTheme="minorHAnsi" w:hAnsi="Arial Narrow"/>
                <w:sz w:val="20"/>
                <w:szCs w:val="20"/>
                <w:lang w:eastAsia="en-AU"/>
              </w:rPr>
            </w:pPr>
            <w:r w:rsidRPr="000414AE">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c>
          <w:tcPr>
            <w:tcW w:w="1091"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Pr="000414AE" w:rsidRDefault="000414AE">
            <w:pPr>
              <w:jc w:val="right"/>
              <w:rPr>
                <w:rFonts w:ascii="Arial Narrow" w:eastAsiaTheme="minorHAnsi" w:hAnsi="Arial Narrow"/>
                <w:sz w:val="20"/>
                <w:szCs w:val="20"/>
                <w:lang w:eastAsia="en-AU"/>
              </w:rPr>
            </w:pPr>
            <w:r w:rsidRPr="000414AE">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c>
          <w:tcPr>
            <w:tcW w:w="1091"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Pr="000414AE" w:rsidRDefault="000414AE">
            <w:pPr>
              <w:jc w:val="right"/>
              <w:rPr>
                <w:rFonts w:ascii="Arial Narrow" w:eastAsiaTheme="minorHAnsi" w:hAnsi="Arial Narrow"/>
                <w:sz w:val="20"/>
                <w:szCs w:val="20"/>
                <w:lang w:eastAsia="en-AU"/>
              </w:rPr>
            </w:pPr>
            <w:r w:rsidRPr="000414AE">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r>
      <w:tr w:rsidR="000414AE" w:rsidTr="000414AE">
        <w:trPr>
          <w:trHeight w:val="317"/>
        </w:trPr>
        <w:tc>
          <w:tcPr>
            <w:tcW w:w="180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14AE" w:rsidRDefault="000414AE">
            <w:pPr>
              <w:rPr>
                <w:rFonts w:ascii="Arial Narrow" w:eastAsiaTheme="minorHAnsi" w:hAnsi="Arial Narrow"/>
                <w:sz w:val="20"/>
                <w:szCs w:val="20"/>
                <w:lang w:eastAsia="en-AU"/>
              </w:rPr>
            </w:pPr>
            <w:r>
              <w:rPr>
                <w:rFonts w:ascii="Arial Narrow" w:hAnsi="Arial Narrow"/>
                <w:color w:val="000000"/>
                <w:sz w:val="20"/>
                <w:szCs w:val="20"/>
                <w:lang w:eastAsia="en-AU"/>
              </w:rPr>
              <w:t>Third-line treatment (inc. administration)</w:t>
            </w:r>
          </w:p>
        </w:tc>
        <w:tc>
          <w:tcPr>
            <w:tcW w:w="1013"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Default="000414AE">
            <w:pPr>
              <w:jc w:val="right"/>
              <w:rPr>
                <w:rFonts w:ascii="Arial Narrow" w:eastAsiaTheme="minorHAnsi" w:hAnsi="Arial Narrow"/>
                <w:sz w:val="20"/>
                <w:szCs w:val="20"/>
                <w:lang w:eastAsia="en-AU"/>
              </w:rPr>
            </w:pPr>
            <w:r>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c>
          <w:tcPr>
            <w:tcW w:w="1091"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Default="000414AE">
            <w:pPr>
              <w:jc w:val="right"/>
              <w:rPr>
                <w:rFonts w:ascii="Arial Narrow" w:eastAsiaTheme="minorHAnsi" w:hAnsi="Arial Narrow"/>
                <w:sz w:val="20"/>
                <w:szCs w:val="20"/>
                <w:lang w:eastAsia="en-AU"/>
              </w:rPr>
            </w:pPr>
            <w:r>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c>
          <w:tcPr>
            <w:tcW w:w="1091"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Default="000414AE">
            <w:pPr>
              <w:jc w:val="right"/>
              <w:rPr>
                <w:rFonts w:ascii="Arial Narrow" w:eastAsiaTheme="minorHAnsi" w:hAnsi="Arial Narrow"/>
                <w:sz w:val="20"/>
                <w:szCs w:val="20"/>
                <w:lang w:eastAsia="en-AU"/>
              </w:rPr>
            </w:pPr>
            <w:r>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r>
      <w:tr w:rsidR="000414AE" w:rsidTr="000414AE">
        <w:tc>
          <w:tcPr>
            <w:tcW w:w="180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14AE" w:rsidRDefault="000414AE">
            <w:pPr>
              <w:rPr>
                <w:rFonts w:ascii="Arial Narrow" w:eastAsiaTheme="minorHAnsi" w:hAnsi="Arial Narrow"/>
                <w:b/>
                <w:bCs/>
                <w:sz w:val="20"/>
                <w:szCs w:val="20"/>
                <w:lang w:eastAsia="en-AU"/>
              </w:rPr>
            </w:pPr>
            <w:r>
              <w:rPr>
                <w:rFonts w:ascii="Arial Narrow" w:hAnsi="Arial Narrow"/>
                <w:b/>
                <w:bCs/>
                <w:color w:val="000000"/>
                <w:sz w:val="20"/>
                <w:szCs w:val="20"/>
                <w:lang w:eastAsia="en-AU"/>
              </w:rPr>
              <w:t>Total</w:t>
            </w:r>
          </w:p>
        </w:tc>
        <w:tc>
          <w:tcPr>
            <w:tcW w:w="1013"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Default="000414AE">
            <w:pPr>
              <w:jc w:val="right"/>
              <w:rPr>
                <w:rFonts w:ascii="Arial Narrow" w:eastAsiaTheme="minorHAnsi" w:hAnsi="Arial Narrow"/>
                <w:sz w:val="20"/>
                <w:szCs w:val="20"/>
                <w:lang w:eastAsia="en-AU"/>
              </w:rPr>
            </w:pPr>
            <w:r>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c>
          <w:tcPr>
            <w:tcW w:w="1091"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Default="000414AE">
            <w:pPr>
              <w:jc w:val="right"/>
              <w:rPr>
                <w:rFonts w:ascii="Arial Narrow" w:eastAsiaTheme="minorHAnsi" w:hAnsi="Arial Narrow"/>
                <w:sz w:val="20"/>
                <w:szCs w:val="20"/>
                <w:lang w:eastAsia="en-AU"/>
              </w:rPr>
            </w:pPr>
            <w:r>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c>
          <w:tcPr>
            <w:tcW w:w="1091" w:type="pct"/>
            <w:tcBorders>
              <w:top w:val="nil"/>
              <w:left w:val="nil"/>
              <w:bottom w:val="single" w:sz="8" w:space="0" w:color="auto"/>
              <w:right w:val="single" w:sz="8" w:space="0" w:color="auto"/>
            </w:tcBorders>
            <w:tcMar>
              <w:top w:w="0" w:type="dxa"/>
              <w:left w:w="108" w:type="dxa"/>
              <w:bottom w:w="0" w:type="dxa"/>
              <w:right w:w="108" w:type="dxa"/>
            </w:tcMar>
            <w:hideMark/>
          </w:tcPr>
          <w:p w:rsidR="000414AE" w:rsidRDefault="000414AE">
            <w:pPr>
              <w:jc w:val="right"/>
              <w:rPr>
                <w:rFonts w:ascii="Arial Narrow" w:eastAsiaTheme="minorHAnsi" w:hAnsi="Arial Narrow"/>
                <w:sz w:val="20"/>
                <w:szCs w:val="20"/>
                <w:lang w:eastAsia="en-AU"/>
              </w:rPr>
            </w:pPr>
            <w:r>
              <w:rPr>
                <w:rFonts w:ascii="Arial Narrow" w:hAnsi="Arial Narrow"/>
                <w:sz w:val="20"/>
                <w:szCs w:val="20"/>
                <w:lang w:eastAsia="en-AU"/>
              </w:rPr>
              <w:t>$</w:t>
            </w:r>
            <w:r w:rsidR="003B4E62">
              <w:rPr>
                <w:rFonts w:ascii="Arial Narrow" w:hAnsi="Arial Narrow"/>
                <w:noProof/>
                <w:color w:val="000000"/>
                <w:sz w:val="20"/>
                <w:szCs w:val="20"/>
                <w:highlight w:val="black"/>
                <w:lang w:eastAsia="en-AU"/>
              </w:rPr>
              <w:t>'''''''''''''</w:t>
            </w:r>
          </w:p>
        </w:tc>
      </w:tr>
    </w:tbl>
    <w:p w:rsidR="000414AE" w:rsidRDefault="000414AE" w:rsidP="001A2733">
      <w:pPr>
        <w:pStyle w:val="TableFooter"/>
      </w:pPr>
      <w:r w:rsidRPr="000414AE">
        <w:t>PAC = paclitaxel; RAM+PAC = ramucirumab and paclitaxel.</w:t>
      </w:r>
    </w:p>
    <w:p w:rsidR="005250EB" w:rsidRDefault="000414AE" w:rsidP="001A2733">
      <w:pPr>
        <w:pStyle w:val="TableFooter"/>
      </w:pPr>
      <w:r>
        <w:t>Source: economic model spreadsheet, pre-PBAC response</w:t>
      </w:r>
    </w:p>
    <w:p w:rsidR="005250EB" w:rsidRDefault="003C7CC2" w:rsidP="001A2733">
      <w:pPr>
        <w:pStyle w:val="ListParagraph"/>
        <w:widowControl/>
        <w:numPr>
          <w:ilvl w:val="1"/>
          <w:numId w:val="3"/>
        </w:numPr>
        <w:spacing w:before="120"/>
      </w:pPr>
      <w:r>
        <w:t xml:space="preserve">The PBAC noted that despite the rates being the same in both model arms, because these </w:t>
      </w:r>
      <w:r w:rsidR="00F934CB">
        <w:t>we</w:t>
      </w:r>
      <w:r>
        <w:t xml:space="preserve">re applied on a per cycle basis, and as time </w:t>
      </w:r>
      <w:r w:rsidR="00BD10E5">
        <w:t xml:space="preserve">spent </w:t>
      </w:r>
      <w:r>
        <w:t>in post-progression</w:t>
      </w:r>
      <w:r w:rsidR="00BD10E5">
        <w:t xml:space="preserve"> state wa</w:t>
      </w:r>
      <w:r>
        <w:t>s longer with PAC than RAM+PAC, post-progression hospitalisation costs remain</w:t>
      </w:r>
      <w:r w:rsidR="00BD10E5">
        <w:t>ed</w:t>
      </w:r>
      <w:r>
        <w:t xml:space="preserve"> the main driver of cost offsets in the model. The PBAC therefore considered that it would be more reasonable to assume no hospitalisations in the post-progression health state. </w:t>
      </w:r>
    </w:p>
    <w:p w:rsidR="003C7CC2" w:rsidRPr="00F34289" w:rsidRDefault="00F34289" w:rsidP="005250EB">
      <w:pPr>
        <w:pStyle w:val="ListParagraph"/>
        <w:widowControl/>
        <w:numPr>
          <w:ilvl w:val="1"/>
          <w:numId w:val="3"/>
        </w:numPr>
      </w:pPr>
      <w:r w:rsidRPr="00F34289">
        <w:t xml:space="preserve">As the pre-PBAC’s response did not address all of ESC’s concerns, further sensitivity </w:t>
      </w:r>
      <w:r>
        <w:t xml:space="preserve">analyses were undertaken </w:t>
      </w:r>
      <w:r w:rsidRPr="00F34289">
        <w:t xml:space="preserve">by the Department </w:t>
      </w:r>
      <w:r w:rsidR="005250EB" w:rsidRPr="00F34289">
        <w:t xml:space="preserve">and </w:t>
      </w:r>
      <w:r w:rsidRPr="00F34289">
        <w:t xml:space="preserve">are </w:t>
      </w:r>
      <w:r w:rsidR="005250EB" w:rsidRPr="00F34289">
        <w:t>presented below.</w:t>
      </w:r>
    </w:p>
    <w:p w:rsidR="00C434C9" w:rsidRPr="005D5EA7" w:rsidRDefault="00C434C9" w:rsidP="001A2733">
      <w:pPr>
        <w:keepNext/>
        <w:widowControl/>
        <w:ind w:hanging="142"/>
        <w:rPr>
          <w:bCs/>
        </w:rPr>
      </w:pPr>
      <w:r w:rsidRPr="005D5EA7">
        <w:rPr>
          <w:rStyle w:val="CommentReference"/>
          <w:szCs w:val="20"/>
        </w:rPr>
        <w:t xml:space="preserve">Table </w:t>
      </w:r>
      <w:r w:rsidR="005250EB">
        <w:rPr>
          <w:rStyle w:val="CommentReference"/>
          <w:szCs w:val="20"/>
        </w:rPr>
        <w:t>10</w:t>
      </w:r>
      <w:r w:rsidRPr="005D5EA7">
        <w:rPr>
          <w:rStyle w:val="CommentReference"/>
          <w:szCs w:val="20"/>
        </w:rPr>
        <w:t>: The results of key sensitivity analyses</w:t>
      </w:r>
      <w:r w:rsidR="009629DC">
        <w:rPr>
          <w:rStyle w:val="CommentReference"/>
          <w:szCs w:val="20"/>
        </w:rPr>
        <w:t xml:space="preserve"> – pre-PBAC base case</w:t>
      </w:r>
    </w:p>
    <w:tbl>
      <w:tblPr>
        <w:tblW w:w="5000" w:type="pct"/>
        <w:tblCellMar>
          <w:left w:w="0" w:type="dxa"/>
          <w:right w:w="0" w:type="dxa"/>
        </w:tblCellMar>
        <w:tblLook w:val="04A0" w:firstRow="1" w:lastRow="0" w:firstColumn="1" w:lastColumn="0" w:noHBand="0" w:noVBand="1"/>
      </w:tblPr>
      <w:tblGrid>
        <w:gridCol w:w="412"/>
        <w:gridCol w:w="4250"/>
        <w:gridCol w:w="1296"/>
        <w:gridCol w:w="1279"/>
        <w:gridCol w:w="1194"/>
        <w:gridCol w:w="812"/>
      </w:tblGrid>
      <w:tr w:rsidR="00C434C9" w:rsidRPr="005D5EA7" w:rsidTr="00AA68DF">
        <w:trPr>
          <w:tblHeader/>
        </w:trPr>
        <w:tc>
          <w:tcPr>
            <w:tcW w:w="2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434C9" w:rsidRPr="005D5EA7" w:rsidRDefault="00C434C9" w:rsidP="001A2733">
            <w:pPr>
              <w:keepNext/>
              <w:rPr>
                <w:rFonts w:ascii="Times New Roman" w:hAnsi="Times New Roman"/>
                <w:sz w:val="20"/>
                <w:szCs w:val="20"/>
                <w:lang w:eastAsia="en-AU"/>
              </w:rPr>
            </w:pPr>
          </w:p>
        </w:tc>
        <w:tc>
          <w:tcPr>
            <w:tcW w:w="22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434C9" w:rsidRPr="005D5EA7" w:rsidRDefault="00C434C9" w:rsidP="001A2733">
            <w:pPr>
              <w:pStyle w:val="Tabletext"/>
              <w:keepNext/>
              <w:rPr>
                <w:b/>
                <w:bCs/>
              </w:rPr>
            </w:pPr>
          </w:p>
        </w:tc>
        <w:tc>
          <w:tcPr>
            <w:tcW w:w="7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34C9" w:rsidRPr="005D5EA7" w:rsidRDefault="00C434C9" w:rsidP="001A2733">
            <w:pPr>
              <w:pStyle w:val="Tabletext"/>
              <w:keepNext/>
              <w:jc w:val="center"/>
              <w:rPr>
                <w:b/>
                <w:bCs/>
              </w:rPr>
            </w:pPr>
            <w:r w:rsidRPr="005D5EA7">
              <w:rPr>
                <w:b/>
                <w:bCs/>
              </w:rPr>
              <w:t>Incremental cost</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34C9" w:rsidRPr="005D5EA7" w:rsidRDefault="00C434C9" w:rsidP="001A2733">
            <w:pPr>
              <w:pStyle w:val="Tabletext"/>
              <w:keepNext/>
              <w:jc w:val="center"/>
              <w:rPr>
                <w:b/>
                <w:bCs/>
              </w:rPr>
            </w:pPr>
            <w:r w:rsidRPr="005D5EA7">
              <w:rPr>
                <w:b/>
                <w:bCs/>
              </w:rPr>
              <w:t>Incremental QALY</w:t>
            </w:r>
          </w:p>
        </w:tc>
        <w:tc>
          <w:tcPr>
            <w:tcW w:w="6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34C9" w:rsidRPr="005D5EA7" w:rsidRDefault="00C434C9" w:rsidP="001A2733">
            <w:pPr>
              <w:pStyle w:val="Tabletext"/>
              <w:keepNext/>
              <w:jc w:val="center"/>
              <w:rPr>
                <w:b/>
                <w:bCs/>
              </w:rPr>
            </w:pPr>
            <w:r w:rsidRPr="005D5EA7">
              <w:rPr>
                <w:b/>
                <w:bCs/>
              </w:rPr>
              <w:t>ICER</w:t>
            </w: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34C9" w:rsidRPr="005D5EA7" w:rsidRDefault="00C434C9" w:rsidP="001A2733">
            <w:pPr>
              <w:pStyle w:val="Tabletext"/>
              <w:keepNext/>
              <w:jc w:val="center"/>
              <w:rPr>
                <w:b/>
                <w:bCs/>
              </w:rPr>
            </w:pPr>
            <w:r w:rsidRPr="005D5EA7">
              <w:rPr>
                <w:b/>
                <w:bCs/>
              </w:rPr>
              <w:t>% change</w:t>
            </w:r>
          </w:p>
        </w:tc>
      </w:tr>
      <w:tr w:rsidR="00C434C9" w:rsidRPr="005D5EA7" w:rsidTr="00C434C9">
        <w:tc>
          <w:tcPr>
            <w:tcW w:w="2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4C9" w:rsidRPr="005D5EA7" w:rsidRDefault="00C434C9" w:rsidP="001A2733">
            <w:pPr>
              <w:keepNext/>
              <w:rPr>
                <w:rFonts w:ascii="Times New Roman" w:hAnsi="Times New Roman"/>
                <w:sz w:val="20"/>
                <w:szCs w:val="20"/>
                <w:lang w:eastAsia="en-AU"/>
              </w:rPr>
            </w:pPr>
          </w:p>
        </w:tc>
        <w:tc>
          <w:tcPr>
            <w:tcW w:w="2299" w:type="pct"/>
            <w:tcBorders>
              <w:top w:val="nil"/>
              <w:left w:val="nil"/>
              <w:bottom w:val="single" w:sz="8" w:space="0" w:color="auto"/>
              <w:right w:val="single" w:sz="8" w:space="0" w:color="auto"/>
            </w:tcBorders>
            <w:tcMar>
              <w:top w:w="0" w:type="dxa"/>
              <w:left w:w="108" w:type="dxa"/>
              <w:bottom w:w="0" w:type="dxa"/>
              <w:right w:w="108" w:type="dxa"/>
            </w:tcMar>
            <w:hideMark/>
          </w:tcPr>
          <w:p w:rsidR="00C434C9" w:rsidRPr="005D5EA7" w:rsidRDefault="00C434C9" w:rsidP="001A2733">
            <w:pPr>
              <w:pStyle w:val="Tabletext"/>
              <w:keepNext/>
              <w:rPr>
                <w:b/>
                <w:bCs/>
              </w:rPr>
            </w:pPr>
            <w:r w:rsidRPr="005D5EA7">
              <w:rPr>
                <w:b/>
                <w:bCs/>
              </w:rPr>
              <w:t>Pre-PBAC base case</w:t>
            </w: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rsidR="00C434C9" w:rsidRPr="005D5EA7" w:rsidRDefault="00C434C9" w:rsidP="001A2733">
            <w:pPr>
              <w:keepNext/>
              <w:jc w:val="right"/>
              <w:rPr>
                <w:rFonts w:ascii="Arial Narrow" w:eastAsiaTheme="minorHAnsi" w:hAnsi="Arial Narrow"/>
                <w:b/>
                <w:bCs/>
                <w:sz w:val="20"/>
                <w:szCs w:val="20"/>
              </w:rPr>
            </w:pPr>
            <w:r w:rsidRPr="005D5EA7">
              <w:rPr>
                <w:rFonts w:ascii="Arial Narrow" w:hAnsi="Arial Narrow"/>
                <w:b/>
                <w:bCs/>
                <w:sz w:val="20"/>
                <w:szCs w:val="20"/>
              </w:rPr>
              <w:t>$</w:t>
            </w:r>
            <w:r w:rsidR="003B4E62">
              <w:rPr>
                <w:rFonts w:ascii="Arial Narrow" w:hAnsi="Arial Narrow"/>
                <w:b/>
                <w:bCs/>
                <w:noProof/>
                <w:color w:val="000000"/>
                <w:sz w:val="20"/>
                <w:szCs w:val="20"/>
                <w:highlight w:val="black"/>
              </w:rPr>
              <w:t>'''''''''''''''''</w:t>
            </w:r>
          </w:p>
        </w:tc>
        <w:tc>
          <w:tcPr>
            <w:tcW w:w="692" w:type="pct"/>
            <w:tcBorders>
              <w:top w:val="nil"/>
              <w:left w:val="nil"/>
              <w:bottom w:val="single" w:sz="8" w:space="0" w:color="auto"/>
              <w:right w:val="single" w:sz="8" w:space="0" w:color="auto"/>
            </w:tcBorders>
            <w:tcMar>
              <w:top w:w="0" w:type="dxa"/>
              <w:left w:w="108" w:type="dxa"/>
              <w:bottom w:w="0" w:type="dxa"/>
              <w:right w:w="108" w:type="dxa"/>
            </w:tcMar>
            <w:hideMark/>
          </w:tcPr>
          <w:p w:rsidR="00C434C9" w:rsidRPr="005D5EA7" w:rsidRDefault="00C434C9" w:rsidP="001A2733">
            <w:pPr>
              <w:keepNext/>
              <w:jc w:val="center"/>
              <w:rPr>
                <w:rFonts w:ascii="Arial Narrow" w:eastAsiaTheme="minorHAnsi" w:hAnsi="Arial Narrow"/>
                <w:b/>
                <w:bCs/>
                <w:sz w:val="20"/>
                <w:szCs w:val="20"/>
              </w:rPr>
            </w:pPr>
            <w:r w:rsidRPr="005D5EA7">
              <w:rPr>
                <w:rFonts w:ascii="Arial Narrow" w:hAnsi="Arial Narrow"/>
                <w:b/>
                <w:bCs/>
                <w:sz w:val="20"/>
                <w:szCs w:val="20"/>
              </w:rPr>
              <w:t>0.086</w:t>
            </w: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C434C9" w:rsidRPr="005D5EA7" w:rsidRDefault="00C434C9" w:rsidP="001A2733">
            <w:pPr>
              <w:keepNext/>
              <w:jc w:val="right"/>
              <w:rPr>
                <w:rFonts w:ascii="Arial Narrow" w:eastAsiaTheme="minorHAnsi" w:hAnsi="Arial Narrow"/>
                <w:b/>
                <w:bCs/>
                <w:sz w:val="20"/>
                <w:szCs w:val="20"/>
              </w:rPr>
            </w:pPr>
            <w:r w:rsidRPr="005D5EA7">
              <w:rPr>
                <w:rFonts w:ascii="Arial Narrow" w:hAnsi="Arial Narrow"/>
                <w:b/>
                <w:bCs/>
                <w:sz w:val="20"/>
                <w:szCs w:val="20"/>
              </w:rPr>
              <w:t>$</w:t>
            </w:r>
            <w:r w:rsidR="003B4E62">
              <w:rPr>
                <w:rFonts w:ascii="Arial Narrow" w:hAnsi="Arial Narrow"/>
                <w:b/>
                <w:bCs/>
                <w:noProof/>
                <w:color w:val="000000"/>
                <w:sz w:val="20"/>
                <w:szCs w:val="20"/>
                <w:highlight w:val="black"/>
              </w:rPr>
              <w:t>'''''''''''''''</w:t>
            </w:r>
          </w:p>
        </w:tc>
        <w:tc>
          <w:tcPr>
            <w:tcW w:w="43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434C9" w:rsidRPr="005D5EA7" w:rsidRDefault="00C434C9" w:rsidP="001A2733">
            <w:pPr>
              <w:pStyle w:val="Tabletext"/>
              <w:keepNext/>
              <w:jc w:val="center"/>
              <w:rPr>
                <w:b/>
                <w:bCs/>
              </w:rPr>
            </w:pPr>
            <w:r w:rsidRPr="00414A1B">
              <w:rPr>
                <w:b/>
                <w:bCs/>
                <w:color w:val="000000"/>
              </w:rPr>
              <w:t>-</w:t>
            </w:r>
          </w:p>
        </w:tc>
      </w:tr>
      <w:tr w:rsidR="00C434C9" w:rsidRPr="005D5EA7" w:rsidTr="00C434C9">
        <w:tc>
          <w:tcPr>
            <w:tcW w:w="2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4C9" w:rsidRPr="005D5EA7" w:rsidRDefault="00C434C9" w:rsidP="001A2733">
            <w:pPr>
              <w:keepNext/>
              <w:rPr>
                <w:rFonts w:ascii="Times New Roman" w:hAnsi="Times New Roman"/>
                <w:sz w:val="20"/>
                <w:szCs w:val="20"/>
                <w:lang w:eastAsia="en-AU"/>
              </w:rPr>
            </w:pPr>
          </w:p>
        </w:tc>
        <w:tc>
          <w:tcPr>
            <w:tcW w:w="2299" w:type="pct"/>
            <w:tcBorders>
              <w:top w:val="nil"/>
              <w:left w:val="nil"/>
              <w:bottom w:val="single" w:sz="8" w:space="0" w:color="auto"/>
              <w:right w:val="nil"/>
            </w:tcBorders>
            <w:tcMar>
              <w:top w:w="0" w:type="dxa"/>
              <w:left w:w="108" w:type="dxa"/>
              <w:bottom w:w="0" w:type="dxa"/>
              <w:right w:w="108" w:type="dxa"/>
            </w:tcMar>
            <w:hideMark/>
          </w:tcPr>
          <w:p w:rsidR="00C434C9" w:rsidRPr="005D5EA7" w:rsidRDefault="00C434C9" w:rsidP="001A2733">
            <w:pPr>
              <w:pStyle w:val="Tabletext"/>
              <w:keepNext/>
              <w:rPr>
                <w:b/>
                <w:bCs/>
              </w:rPr>
            </w:pPr>
            <w:r w:rsidRPr="005D5EA7">
              <w:rPr>
                <w:b/>
                <w:bCs/>
              </w:rPr>
              <w:t>Univariate analyses</w:t>
            </w:r>
          </w:p>
        </w:tc>
        <w:tc>
          <w:tcPr>
            <w:tcW w:w="701" w:type="pct"/>
            <w:tcBorders>
              <w:top w:val="nil"/>
              <w:left w:val="nil"/>
              <w:bottom w:val="single" w:sz="8" w:space="0" w:color="auto"/>
              <w:right w:val="nil"/>
            </w:tcBorders>
            <w:tcMar>
              <w:top w:w="0" w:type="dxa"/>
              <w:left w:w="108" w:type="dxa"/>
              <w:bottom w:w="0" w:type="dxa"/>
              <w:right w:w="108" w:type="dxa"/>
            </w:tcMar>
            <w:hideMark/>
          </w:tcPr>
          <w:p w:rsidR="00C434C9" w:rsidRPr="005D5EA7" w:rsidRDefault="00C434C9" w:rsidP="001A2733">
            <w:pPr>
              <w:keepNext/>
              <w:rPr>
                <w:rFonts w:ascii="Times New Roman" w:hAnsi="Times New Roman"/>
                <w:sz w:val="20"/>
                <w:szCs w:val="20"/>
                <w:lang w:eastAsia="en-AU"/>
              </w:rPr>
            </w:pPr>
          </w:p>
        </w:tc>
        <w:tc>
          <w:tcPr>
            <w:tcW w:w="692" w:type="pct"/>
            <w:tcBorders>
              <w:top w:val="nil"/>
              <w:left w:val="nil"/>
              <w:bottom w:val="single" w:sz="8" w:space="0" w:color="auto"/>
              <w:right w:val="nil"/>
            </w:tcBorders>
            <w:tcMar>
              <w:top w:w="0" w:type="dxa"/>
              <w:left w:w="108" w:type="dxa"/>
              <w:bottom w:w="0" w:type="dxa"/>
              <w:right w:w="108" w:type="dxa"/>
            </w:tcMar>
            <w:hideMark/>
          </w:tcPr>
          <w:p w:rsidR="00C434C9" w:rsidRPr="005D5EA7" w:rsidRDefault="00C434C9" w:rsidP="001A2733">
            <w:pPr>
              <w:keepNext/>
              <w:rPr>
                <w:rFonts w:ascii="Times New Roman" w:hAnsi="Times New Roman"/>
                <w:sz w:val="20"/>
                <w:szCs w:val="20"/>
                <w:lang w:eastAsia="en-AU"/>
              </w:rPr>
            </w:pPr>
          </w:p>
        </w:tc>
        <w:tc>
          <w:tcPr>
            <w:tcW w:w="646" w:type="pct"/>
            <w:tcBorders>
              <w:top w:val="nil"/>
              <w:left w:val="nil"/>
              <w:bottom w:val="single" w:sz="8" w:space="0" w:color="auto"/>
              <w:right w:val="nil"/>
            </w:tcBorders>
            <w:tcMar>
              <w:top w:w="0" w:type="dxa"/>
              <w:left w:w="108" w:type="dxa"/>
              <w:bottom w:w="0" w:type="dxa"/>
              <w:right w:w="108" w:type="dxa"/>
            </w:tcMar>
            <w:hideMark/>
          </w:tcPr>
          <w:p w:rsidR="00C434C9" w:rsidRPr="005D5EA7" w:rsidRDefault="00C434C9" w:rsidP="001A2733">
            <w:pPr>
              <w:keepNext/>
              <w:rPr>
                <w:rFonts w:ascii="Times New Roman" w:hAnsi="Times New Roman"/>
                <w:sz w:val="20"/>
                <w:szCs w:val="20"/>
                <w:lang w:eastAsia="en-AU"/>
              </w:rPr>
            </w:pPr>
          </w:p>
        </w:tc>
        <w:tc>
          <w:tcPr>
            <w:tcW w:w="43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434C9" w:rsidRPr="005D5EA7" w:rsidRDefault="00C434C9" w:rsidP="001A2733">
            <w:pPr>
              <w:keepNext/>
              <w:rPr>
                <w:rFonts w:ascii="Times New Roman" w:hAnsi="Times New Roman"/>
                <w:sz w:val="20"/>
                <w:szCs w:val="20"/>
                <w:lang w:eastAsia="en-AU"/>
              </w:rPr>
            </w:pPr>
          </w:p>
        </w:tc>
      </w:tr>
      <w:tr w:rsidR="00C434C9" w:rsidRPr="005D5EA7" w:rsidTr="00C434C9">
        <w:tc>
          <w:tcPr>
            <w:tcW w:w="2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4C9" w:rsidRPr="005D5EA7" w:rsidRDefault="00C434C9" w:rsidP="001A2733">
            <w:pPr>
              <w:pStyle w:val="Tabletext"/>
              <w:keepNext/>
              <w:rPr>
                <w:b/>
                <w:bCs/>
              </w:rPr>
            </w:pPr>
            <w:r w:rsidRPr="005D5EA7">
              <w:rPr>
                <w:iCs/>
                <w:color w:val="000000"/>
              </w:rPr>
              <w:t>(i)</w:t>
            </w:r>
          </w:p>
        </w:tc>
        <w:tc>
          <w:tcPr>
            <w:tcW w:w="22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434C9" w:rsidRPr="005D5EA7" w:rsidRDefault="00C434C9" w:rsidP="001A2733">
            <w:pPr>
              <w:keepNext/>
              <w:rPr>
                <w:rFonts w:ascii="Arial Narrow" w:eastAsiaTheme="minorHAnsi" w:hAnsi="Arial Narrow"/>
                <w:iCs/>
                <w:color w:val="000000"/>
                <w:sz w:val="20"/>
                <w:szCs w:val="20"/>
                <w:lang w:eastAsia="en-AU"/>
              </w:rPr>
            </w:pPr>
            <w:r w:rsidRPr="005D5EA7">
              <w:rPr>
                <w:rFonts w:ascii="Arial Narrow" w:hAnsi="Arial Narrow"/>
                <w:iCs/>
                <w:sz w:val="20"/>
                <w:szCs w:val="20"/>
              </w:rPr>
              <w:t>N</w:t>
            </w:r>
            <w:r w:rsidRPr="005D5EA7">
              <w:rPr>
                <w:rFonts w:ascii="Arial Narrow" w:hAnsi="Arial Narrow"/>
                <w:iCs/>
                <w:color w:val="000000"/>
                <w:sz w:val="20"/>
                <w:szCs w:val="20"/>
              </w:rPr>
              <w:t>o hospitalisations in post-progression</w:t>
            </w:r>
          </w:p>
        </w:tc>
        <w:tc>
          <w:tcPr>
            <w:tcW w:w="70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434C9" w:rsidRPr="005D5EA7" w:rsidRDefault="00C434C9" w:rsidP="001A2733">
            <w:pPr>
              <w:keepNext/>
              <w:jc w:val="right"/>
              <w:rPr>
                <w:rFonts w:ascii="Arial Narrow" w:eastAsiaTheme="minorHAnsi" w:hAnsi="Arial Narrow"/>
                <w:iCs/>
                <w:color w:val="000000"/>
                <w:sz w:val="20"/>
                <w:szCs w:val="20"/>
              </w:rPr>
            </w:pPr>
            <w:r w:rsidRPr="005D5EA7">
              <w:rPr>
                <w:rFonts w:ascii="Arial Narrow" w:hAnsi="Arial Narrow"/>
                <w:iCs/>
                <w:color w:val="000000"/>
                <w:sz w:val="20"/>
                <w:szCs w:val="20"/>
              </w:rPr>
              <w:t>$</w:t>
            </w:r>
            <w:r w:rsidR="003B4E62">
              <w:rPr>
                <w:rFonts w:ascii="Arial Narrow" w:hAnsi="Arial Narrow"/>
                <w:iCs/>
                <w:noProof/>
                <w:color w:val="000000"/>
                <w:sz w:val="20"/>
                <w:szCs w:val="20"/>
                <w:highlight w:val="black"/>
              </w:rPr>
              <w:t>''''''''''''''''''''''</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434C9" w:rsidRPr="005D5EA7" w:rsidRDefault="00C434C9" w:rsidP="001A2733">
            <w:pPr>
              <w:keepNext/>
              <w:jc w:val="center"/>
              <w:rPr>
                <w:rFonts w:ascii="Arial Narrow" w:eastAsiaTheme="minorHAnsi" w:hAnsi="Arial Narrow"/>
                <w:iCs/>
                <w:color w:val="000000"/>
                <w:sz w:val="20"/>
                <w:szCs w:val="20"/>
              </w:rPr>
            </w:pPr>
            <w:r w:rsidRPr="005D5EA7">
              <w:rPr>
                <w:rFonts w:ascii="Arial Narrow" w:hAnsi="Arial Narrow"/>
                <w:iCs/>
                <w:color w:val="000000"/>
                <w:sz w:val="20"/>
                <w:szCs w:val="20"/>
              </w:rPr>
              <w:t>0.086</w:t>
            </w:r>
          </w:p>
        </w:tc>
        <w:tc>
          <w:tcPr>
            <w:tcW w:w="64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434C9" w:rsidRPr="005D5EA7" w:rsidRDefault="00C434C9" w:rsidP="001A2733">
            <w:pPr>
              <w:keepNext/>
              <w:jc w:val="right"/>
              <w:rPr>
                <w:rFonts w:ascii="Arial Narrow" w:eastAsiaTheme="minorHAnsi" w:hAnsi="Arial Narrow"/>
                <w:iCs/>
                <w:color w:val="000000"/>
                <w:sz w:val="20"/>
                <w:szCs w:val="20"/>
              </w:rPr>
            </w:pPr>
            <w:r w:rsidRPr="005D5EA7">
              <w:rPr>
                <w:rFonts w:ascii="Arial Narrow" w:hAnsi="Arial Narrow"/>
                <w:iCs/>
                <w:color w:val="000000"/>
                <w:sz w:val="20"/>
                <w:szCs w:val="20"/>
              </w:rPr>
              <w:t>$</w:t>
            </w:r>
            <w:r w:rsidR="003B4E62">
              <w:rPr>
                <w:rFonts w:ascii="Arial Narrow" w:hAnsi="Arial Narrow"/>
                <w:iCs/>
                <w:noProof/>
                <w:color w:val="000000"/>
                <w:sz w:val="20"/>
                <w:szCs w:val="20"/>
                <w:highlight w:val="black"/>
              </w:rPr>
              <w:t>''''''''''''''''''</w:t>
            </w:r>
          </w:p>
        </w:tc>
        <w:tc>
          <w:tcPr>
            <w:tcW w:w="43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434C9" w:rsidRPr="005D5EA7" w:rsidRDefault="003B4E62" w:rsidP="001A2733">
            <w:pPr>
              <w:keepNext/>
              <w:jc w:val="right"/>
              <w:rPr>
                <w:rFonts w:ascii="Arial Narrow" w:eastAsiaTheme="minorHAnsi" w:hAnsi="Arial Narrow"/>
                <w:iCs/>
                <w:color w:val="000000"/>
                <w:sz w:val="20"/>
                <w:szCs w:val="20"/>
              </w:rPr>
            </w:pPr>
            <w:r>
              <w:rPr>
                <w:rFonts w:ascii="Arial Narrow" w:hAnsi="Arial Narrow"/>
                <w:iCs/>
                <w:noProof/>
                <w:color w:val="000000"/>
                <w:sz w:val="20"/>
                <w:szCs w:val="20"/>
                <w:highlight w:val="black"/>
              </w:rPr>
              <w:t>'''''''''</w:t>
            </w:r>
            <w:r w:rsidR="00C434C9" w:rsidRPr="005D5EA7">
              <w:rPr>
                <w:rFonts w:ascii="Arial Narrow" w:hAnsi="Arial Narrow"/>
                <w:iCs/>
                <w:color w:val="000000"/>
                <w:sz w:val="20"/>
                <w:szCs w:val="20"/>
              </w:rPr>
              <w:t>%</w:t>
            </w:r>
          </w:p>
        </w:tc>
      </w:tr>
      <w:tr w:rsidR="00C434C9" w:rsidRPr="005D5EA7" w:rsidTr="00C434C9">
        <w:tc>
          <w:tcPr>
            <w:tcW w:w="2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4C9" w:rsidRPr="005D5EA7" w:rsidRDefault="00C434C9" w:rsidP="001A2733">
            <w:pPr>
              <w:pStyle w:val="Tabletext"/>
              <w:keepNext/>
              <w:rPr>
                <w:iCs/>
                <w:color w:val="000000"/>
              </w:rPr>
            </w:pPr>
            <w:r w:rsidRPr="005D5EA7">
              <w:rPr>
                <w:iCs/>
                <w:color w:val="000000"/>
              </w:rPr>
              <w:t>(ii)</w:t>
            </w:r>
          </w:p>
        </w:tc>
        <w:tc>
          <w:tcPr>
            <w:tcW w:w="22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434C9" w:rsidRPr="005D5EA7" w:rsidRDefault="00C434C9" w:rsidP="001A2733">
            <w:pPr>
              <w:keepNext/>
              <w:rPr>
                <w:rFonts w:ascii="Arial Narrow" w:eastAsiaTheme="minorHAnsi" w:hAnsi="Arial Narrow"/>
                <w:iCs/>
                <w:color w:val="000000"/>
                <w:sz w:val="20"/>
                <w:szCs w:val="20"/>
              </w:rPr>
            </w:pPr>
            <w:r w:rsidRPr="005D5EA7">
              <w:rPr>
                <w:rFonts w:ascii="Arial Narrow" w:hAnsi="Arial Narrow"/>
                <w:iCs/>
                <w:color w:val="000000"/>
                <w:sz w:val="20"/>
                <w:szCs w:val="20"/>
              </w:rPr>
              <w:t>Hospitalisation due to AEs comparator arm, 75%</w:t>
            </w:r>
          </w:p>
        </w:tc>
        <w:tc>
          <w:tcPr>
            <w:tcW w:w="70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434C9" w:rsidRPr="005D5EA7" w:rsidRDefault="00C434C9" w:rsidP="001A2733">
            <w:pPr>
              <w:keepNext/>
              <w:jc w:val="right"/>
              <w:rPr>
                <w:rFonts w:ascii="Arial Narrow" w:eastAsiaTheme="minorHAnsi" w:hAnsi="Arial Narrow"/>
                <w:iCs/>
                <w:color w:val="000000"/>
                <w:sz w:val="20"/>
                <w:szCs w:val="20"/>
              </w:rPr>
            </w:pPr>
            <w:r w:rsidRPr="005D5EA7">
              <w:rPr>
                <w:rFonts w:ascii="Arial Narrow" w:hAnsi="Arial Narrow"/>
                <w:iCs/>
                <w:color w:val="000000"/>
                <w:sz w:val="20"/>
                <w:szCs w:val="20"/>
              </w:rPr>
              <w:t>$</w:t>
            </w:r>
            <w:r w:rsidR="003B4E62">
              <w:rPr>
                <w:rFonts w:ascii="Arial Narrow" w:hAnsi="Arial Narrow"/>
                <w:iCs/>
                <w:noProof/>
                <w:color w:val="000000"/>
                <w:sz w:val="20"/>
                <w:szCs w:val="20"/>
                <w:highlight w:val="black"/>
              </w:rPr>
              <w:t>'''''''''''''''''''''''</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434C9" w:rsidRPr="005D5EA7" w:rsidRDefault="00C434C9" w:rsidP="001A2733">
            <w:pPr>
              <w:keepNext/>
              <w:jc w:val="center"/>
              <w:rPr>
                <w:rFonts w:ascii="Arial Narrow" w:eastAsiaTheme="minorHAnsi" w:hAnsi="Arial Narrow"/>
                <w:iCs/>
                <w:color w:val="000000"/>
                <w:sz w:val="20"/>
                <w:szCs w:val="20"/>
              </w:rPr>
            </w:pPr>
            <w:r w:rsidRPr="005D5EA7">
              <w:rPr>
                <w:rFonts w:ascii="Arial Narrow" w:hAnsi="Arial Narrow"/>
                <w:iCs/>
                <w:color w:val="000000"/>
                <w:sz w:val="20"/>
                <w:szCs w:val="20"/>
              </w:rPr>
              <w:t>0.086</w:t>
            </w:r>
          </w:p>
        </w:tc>
        <w:tc>
          <w:tcPr>
            <w:tcW w:w="64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434C9" w:rsidRPr="005D5EA7" w:rsidRDefault="00C434C9" w:rsidP="001A2733">
            <w:pPr>
              <w:keepNext/>
              <w:jc w:val="right"/>
              <w:rPr>
                <w:rFonts w:ascii="Arial Narrow" w:eastAsiaTheme="minorHAnsi" w:hAnsi="Arial Narrow"/>
                <w:iCs/>
                <w:color w:val="000000"/>
                <w:sz w:val="20"/>
                <w:szCs w:val="20"/>
              </w:rPr>
            </w:pPr>
            <w:r w:rsidRPr="005D5EA7">
              <w:rPr>
                <w:rFonts w:ascii="Arial Narrow" w:hAnsi="Arial Narrow"/>
                <w:iCs/>
                <w:color w:val="000000"/>
                <w:sz w:val="20"/>
                <w:szCs w:val="20"/>
              </w:rPr>
              <w:t>$</w:t>
            </w:r>
            <w:r w:rsidR="003B4E62">
              <w:rPr>
                <w:rFonts w:ascii="Arial Narrow" w:hAnsi="Arial Narrow"/>
                <w:iCs/>
                <w:noProof/>
                <w:color w:val="000000"/>
                <w:sz w:val="20"/>
                <w:szCs w:val="20"/>
                <w:highlight w:val="black"/>
              </w:rPr>
              <w:t>'''''''''''''''''''''</w:t>
            </w:r>
          </w:p>
        </w:tc>
        <w:tc>
          <w:tcPr>
            <w:tcW w:w="43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434C9" w:rsidRPr="005D5EA7" w:rsidRDefault="003B4E62" w:rsidP="001A2733">
            <w:pPr>
              <w:keepNext/>
              <w:jc w:val="right"/>
              <w:rPr>
                <w:rFonts w:ascii="Arial Narrow" w:eastAsiaTheme="minorHAnsi" w:hAnsi="Arial Narrow"/>
                <w:iCs/>
                <w:color w:val="000000"/>
                <w:sz w:val="20"/>
                <w:szCs w:val="20"/>
              </w:rPr>
            </w:pPr>
            <w:r>
              <w:rPr>
                <w:rFonts w:ascii="Arial Narrow" w:hAnsi="Arial Narrow"/>
                <w:iCs/>
                <w:noProof/>
                <w:color w:val="000000"/>
                <w:sz w:val="20"/>
                <w:szCs w:val="20"/>
                <w:highlight w:val="black"/>
              </w:rPr>
              <w:t>''''''''</w:t>
            </w:r>
            <w:r w:rsidR="00C434C9" w:rsidRPr="005D5EA7">
              <w:rPr>
                <w:rFonts w:ascii="Arial Narrow" w:hAnsi="Arial Narrow"/>
                <w:iCs/>
                <w:color w:val="000000"/>
                <w:sz w:val="20"/>
                <w:szCs w:val="20"/>
              </w:rPr>
              <w:t>%</w:t>
            </w:r>
          </w:p>
        </w:tc>
      </w:tr>
      <w:tr w:rsidR="00C434C9" w:rsidRPr="005D5EA7" w:rsidTr="00C434C9">
        <w:tc>
          <w:tcPr>
            <w:tcW w:w="2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4C9" w:rsidRPr="005D5EA7" w:rsidRDefault="00C434C9" w:rsidP="001A2733">
            <w:pPr>
              <w:pStyle w:val="Tabletext"/>
              <w:keepNext/>
              <w:rPr>
                <w:iCs/>
                <w:color w:val="000000"/>
              </w:rPr>
            </w:pPr>
            <w:r w:rsidRPr="005D5EA7">
              <w:rPr>
                <w:iCs/>
                <w:color w:val="000000"/>
              </w:rPr>
              <w:t>(v)</w:t>
            </w:r>
          </w:p>
        </w:tc>
        <w:tc>
          <w:tcPr>
            <w:tcW w:w="22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434C9" w:rsidRPr="005D5EA7" w:rsidRDefault="00C434C9" w:rsidP="001A2733">
            <w:pPr>
              <w:keepNext/>
              <w:rPr>
                <w:rFonts w:ascii="Arial Narrow" w:eastAsiaTheme="minorHAnsi" w:hAnsi="Arial Narrow"/>
                <w:iCs/>
                <w:color w:val="000000"/>
                <w:sz w:val="20"/>
                <w:szCs w:val="20"/>
              </w:rPr>
            </w:pPr>
            <w:r w:rsidRPr="005D5EA7">
              <w:rPr>
                <w:rFonts w:ascii="Arial Narrow" w:hAnsi="Arial Narrow"/>
                <w:iCs/>
                <w:color w:val="000000"/>
                <w:sz w:val="20"/>
                <w:szCs w:val="20"/>
              </w:rPr>
              <w:t>Assuming equal rate of hospitalisation in pre-progression</w:t>
            </w:r>
          </w:p>
        </w:tc>
        <w:tc>
          <w:tcPr>
            <w:tcW w:w="70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434C9" w:rsidRPr="005D5EA7" w:rsidRDefault="00C434C9" w:rsidP="001A2733">
            <w:pPr>
              <w:keepNext/>
              <w:jc w:val="right"/>
              <w:rPr>
                <w:rFonts w:ascii="Arial Narrow" w:eastAsiaTheme="minorHAnsi" w:hAnsi="Arial Narrow"/>
                <w:iCs/>
                <w:color w:val="000000"/>
                <w:sz w:val="20"/>
                <w:szCs w:val="20"/>
              </w:rPr>
            </w:pPr>
            <w:r w:rsidRPr="005D5EA7">
              <w:rPr>
                <w:rFonts w:ascii="Arial Narrow" w:hAnsi="Arial Narrow"/>
                <w:iCs/>
                <w:color w:val="000000"/>
                <w:sz w:val="20"/>
                <w:szCs w:val="20"/>
              </w:rPr>
              <w:t>$</w:t>
            </w:r>
            <w:r w:rsidR="003B4E62">
              <w:rPr>
                <w:rFonts w:ascii="Arial Narrow" w:hAnsi="Arial Narrow"/>
                <w:iCs/>
                <w:noProof/>
                <w:color w:val="000000"/>
                <w:sz w:val="20"/>
                <w:szCs w:val="20"/>
                <w:highlight w:val="black"/>
              </w:rPr>
              <w:t>'''''''''''''''''''''''</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434C9" w:rsidRPr="005D5EA7" w:rsidRDefault="00C434C9" w:rsidP="001A2733">
            <w:pPr>
              <w:keepNext/>
              <w:jc w:val="center"/>
              <w:rPr>
                <w:rFonts w:ascii="Arial Narrow" w:eastAsiaTheme="minorHAnsi" w:hAnsi="Arial Narrow"/>
                <w:iCs/>
                <w:color w:val="000000"/>
                <w:sz w:val="20"/>
                <w:szCs w:val="20"/>
              </w:rPr>
            </w:pPr>
            <w:r w:rsidRPr="005D5EA7">
              <w:rPr>
                <w:rFonts w:ascii="Arial Narrow" w:hAnsi="Arial Narrow"/>
                <w:iCs/>
                <w:color w:val="000000"/>
                <w:sz w:val="20"/>
                <w:szCs w:val="20"/>
              </w:rPr>
              <w:t>0.086</w:t>
            </w:r>
          </w:p>
        </w:tc>
        <w:tc>
          <w:tcPr>
            <w:tcW w:w="64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434C9" w:rsidRPr="005D5EA7" w:rsidRDefault="00C434C9" w:rsidP="001A2733">
            <w:pPr>
              <w:keepNext/>
              <w:jc w:val="right"/>
              <w:rPr>
                <w:rFonts w:ascii="Arial Narrow" w:eastAsiaTheme="minorHAnsi" w:hAnsi="Arial Narrow"/>
                <w:iCs/>
                <w:color w:val="000000"/>
                <w:sz w:val="20"/>
                <w:szCs w:val="20"/>
              </w:rPr>
            </w:pPr>
            <w:r w:rsidRPr="005D5EA7">
              <w:rPr>
                <w:rFonts w:ascii="Arial Narrow" w:hAnsi="Arial Narrow"/>
                <w:iCs/>
                <w:color w:val="000000"/>
                <w:sz w:val="20"/>
                <w:szCs w:val="20"/>
              </w:rPr>
              <w:t>$</w:t>
            </w:r>
            <w:r w:rsidR="003B4E62">
              <w:rPr>
                <w:rFonts w:ascii="Arial Narrow" w:hAnsi="Arial Narrow"/>
                <w:iCs/>
                <w:noProof/>
                <w:color w:val="000000"/>
                <w:sz w:val="20"/>
                <w:szCs w:val="20"/>
                <w:highlight w:val="black"/>
              </w:rPr>
              <w:t>'''''''''''''''''''''</w:t>
            </w:r>
          </w:p>
        </w:tc>
        <w:tc>
          <w:tcPr>
            <w:tcW w:w="43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434C9" w:rsidRPr="005D5EA7" w:rsidRDefault="003B4E62" w:rsidP="001A2733">
            <w:pPr>
              <w:keepNext/>
              <w:jc w:val="right"/>
              <w:rPr>
                <w:rFonts w:ascii="Arial Narrow" w:eastAsiaTheme="minorHAnsi" w:hAnsi="Arial Narrow"/>
                <w:iCs/>
                <w:color w:val="000000"/>
                <w:sz w:val="20"/>
                <w:szCs w:val="20"/>
              </w:rPr>
            </w:pPr>
            <w:r>
              <w:rPr>
                <w:rFonts w:ascii="Arial Narrow" w:hAnsi="Arial Narrow"/>
                <w:iCs/>
                <w:noProof/>
                <w:color w:val="000000"/>
                <w:sz w:val="20"/>
                <w:szCs w:val="20"/>
                <w:highlight w:val="black"/>
              </w:rPr>
              <w:t>'''''''</w:t>
            </w:r>
            <w:r w:rsidR="00C434C9" w:rsidRPr="005D5EA7">
              <w:rPr>
                <w:rFonts w:ascii="Arial Narrow" w:hAnsi="Arial Narrow"/>
                <w:iCs/>
                <w:color w:val="000000"/>
                <w:sz w:val="20"/>
                <w:szCs w:val="20"/>
              </w:rPr>
              <w:t>%</w:t>
            </w:r>
          </w:p>
        </w:tc>
      </w:tr>
      <w:tr w:rsidR="00C434C9" w:rsidRPr="005D5EA7" w:rsidTr="00C434C9">
        <w:tc>
          <w:tcPr>
            <w:tcW w:w="2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4C9" w:rsidRPr="005D5EA7" w:rsidRDefault="00C434C9" w:rsidP="001A2733">
            <w:pPr>
              <w:keepNext/>
              <w:rPr>
                <w:rFonts w:ascii="Times New Roman" w:hAnsi="Times New Roman"/>
                <w:sz w:val="20"/>
                <w:szCs w:val="20"/>
                <w:lang w:eastAsia="en-AU"/>
              </w:rPr>
            </w:pPr>
          </w:p>
        </w:tc>
        <w:tc>
          <w:tcPr>
            <w:tcW w:w="2299" w:type="pct"/>
            <w:tcBorders>
              <w:top w:val="nil"/>
              <w:left w:val="nil"/>
              <w:bottom w:val="single" w:sz="8" w:space="0" w:color="auto"/>
              <w:right w:val="nil"/>
            </w:tcBorders>
            <w:tcMar>
              <w:top w:w="0" w:type="dxa"/>
              <w:left w:w="108" w:type="dxa"/>
              <w:bottom w:w="0" w:type="dxa"/>
              <w:right w:w="108" w:type="dxa"/>
            </w:tcMar>
            <w:vAlign w:val="bottom"/>
            <w:hideMark/>
          </w:tcPr>
          <w:p w:rsidR="00C434C9" w:rsidRPr="005D5EA7" w:rsidRDefault="00C434C9" w:rsidP="001A2733">
            <w:pPr>
              <w:pStyle w:val="Tabletext"/>
              <w:keepNext/>
              <w:rPr>
                <w:b/>
                <w:bCs/>
                <w:color w:val="000000"/>
              </w:rPr>
            </w:pPr>
            <w:r w:rsidRPr="005D5EA7">
              <w:rPr>
                <w:b/>
                <w:bCs/>
                <w:color w:val="000000"/>
              </w:rPr>
              <w:t>Multivariate analyses</w:t>
            </w:r>
          </w:p>
        </w:tc>
        <w:tc>
          <w:tcPr>
            <w:tcW w:w="701" w:type="pct"/>
            <w:tcBorders>
              <w:top w:val="nil"/>
              <w:left w:val="nil"/>
              <w:bottom w:val="single" w:sz="8" w:space="0" w:color="auto"/>
              <w:right w:val="nil"/>
            </w:tcBorders>
            <w:tcMar>
              <w:top w:w="0" w:type="dxa"/>
              <w:left w:w="108" w:type="dxa"/>
              <w:bottom w:w="0" w:type="dxa"/>
              <w:right w:w="108" w:type="dxa"/>
            </w:tcMar>
            <w:vAlign w:val="bottom"/>
            <w:hideMark/>
          </w:tcPr>
          <w:p w:rsidR="00C434C9" w:rsidRPr="005D5EA7" w:rsidRDefault="00C434C9" w:rsidP="001A2733">
            <w:pPr>
              <w:keepNext/>
              <w:rPr>
                <w:rFonts w:ascii="Times New Roman" w:hAnsi="Times New Roman"/>
                <w:sz w:val="20"/>
                <w:szCs w:val="20"/>
                <w:lang w:eastAsia="en-AU"/>
              </w:rPr>
            </w:pPr>
          </w:p>
        </w:tc>
        <w:tc>
          <w:tcPr>
            <w:tcW w:w="692" w:type="pct"/>
            <w:tcBorders>
              <w:top w:val="nil"/>
              <w:left w:val="nil"/>
              <w:bottom w:val="single" w:sz="8" w:space="0" w:color="auto"/>
              <w:right w:val="nil"/>
            </w:tcBorders>
            <w:tcMar>
              <w:top w:w="0" w:type="dxa"/>
              <w:left w:w="108" w:type="dxa"/>
              <w:bottom w:w="0" w:type="dxa"/>
              <w:right w:w="108" w:type="dxa"/>
            </w:tcMar>
            <w:vAlign w:val="bottom"/>
            <w:hideMark/>
          </w:tcPr>
          <w:p w:rsidR="00C434C9" w:rsidRPr="005D5EA7" w:rsidRDefault="00C434C9" w:rsidP="001A2733">
            <w:pPr>
              <w:keepNext/>
              <w:rPr>
                <w:rFonts w:ascii="Times New Roman" w:hAnsi="Times New Roman"/>
                <w:sz w:val="20"/>
                <w:szCs w:val="20"/>
                <w:lang w:eastAsia="en-AU"/>
              </w:rPr>
            </w:pPr>
          </w:p>
        </w:tc>
        <w:tc>
          <w:tcPr>
            <w:tcW w:w="646" w:type="pct"/>
            <w:tcBorders>
              <w:top w:val="nil"/>
              <w:left w:val="nil"/>
              <w:bottom w:val="single" w:sz="8" w:space="0" w:color="auto"/>
              <w:right w:val="nil"/>
            </w:tcBorders>
            <w:tcMar>
              <w:top w:w="0" w:type="dxa"/>
              <w:left w:w="108" w:type="dxa"/>
              <w:bottom w:w="0" w:type="dxa"/>
              <w:right w:w="108" w:type="dxa"/>
            </w:tcMar>
            <w:vAlign w:val="bottom"/>
            <w:hideMark/>
          </w:tcPr>
          <w:p w:rsidR="00C434C9" w:rsidRPr="005D5EA7" w:rsidRDefault="00C434C9" w:rsidP="001A2733">
            <w:pPr>
              <w:keepNext/>
              <w:rPr>
                <w:rFonts w:ascii="Times New Roman" w:hAnsi="Times New Roman"/>
                <w:sz w:val="20"/>
                <w:szCs w:val="20"/>
                <w:lang w:eastAsia="en-AU"/>
              </w:rPr>
            </w:pPr>
          </w:p>
        </w:tc>
        <w:tc>
          <w:tcPr>
            <w:tcW w:w="43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434C9" w:rsidRPr="005D5EA7" w:rsidRDefault="00C434C9" w:rsidP="001A2733">
            <w:pPr>
              <w:keepNext/>
              <w:rPr>
                <w:rFonts w:ascii="Times New Roman" w:hAnsi="Times New Roman"/>
                <w:sz w:val="20"/>
                <w:szCs w:val="20"/>
                <w:lang w:eastAsia="en-AU"/>
              </w:rPr>
            </w:pPr>
          </w:p>
        </w:tc>
      </w:tr>
      <w:tr w:rsidR="00C434C9" w:rsidRPr="005D5EA7" w:rsidTr="00C434C9">
        <w:tc>
          <w:tcPr>
            <w:tcW w:w="2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4C9" w:rsidRPr="005D5EA7" w:rsidRDefault="00C434C9" w:rsidP="001A2733">
            <w:pPr>
              <w:keepNext/>
              <w:rPr>
                <w:rFonts w:ascii="Times New Roman" w:hAnsi="Times New Roman"/>
                <w:sz w:val="20"/>
                <w:szCs w:val="20"/>
                <w:lang w:eastAsia="en-AU"/>
              </w:rPr>
            </w:pPr>
          </w:p>
        </w:tc>
        <w:tc>
          <w:tcPr>
            <w:tcW w:w="22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434C9" w:rsidRPr="005D5EA7" w:rsidRDefault="00C434C9" w:rsidP="001A2733">
            <w:pPr>
              <w:pStyle w:val="Tabletext"/>
              <w:keepNext/>
              <w:rPr>
                <w:iCs/>
                <w:color w:val="000000"/>
              </w:rPr>
            </w:pPr>
            <w:r w:rsidRPr="005D5EA7">
              <w:rPr>
                <w:iCs/>
                <w:color w:val="000000"/>
              </w:rPr>
              <w:t>(i) + (ii)</w:t>
            </w:r>
          </w:p>
        </w:tc>
        <w:tc>
          <w:tcPr>
            <w:tcW w:w="70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434C9" w:rsidRPr="005D5EA7" w:rsidRDefault="00C434C9" w:rsidP="001A2733">
            <w:pPr>
              <w:keepNext/>
              <w:jc w:val="right"/>
              <w:rPr>
                <w:rFonts w:ascii="Arial Narrow" w:eastAsiaTheme="minorHAnsi" w:hAnsi="Arial Narrow"/>
                <w:iCs/>
                <w:color w:val="000000"/>
                <w:sz w:val="20"/>
                <w:szCs w:val="20"/>
                <w:lang w:eastAsia="en-AU"/>
              </w:rPr>
            </w:pPr>
            <w:r w:rsidRPr="005D5EA7">
              <w:rPr>
                <w:rFonts w:ascii="Arial Narrow" w:hAnsi="Arial Narrow"/>
                <w:iCs/>
                <w:color w:val="000000"/>
                <w:sz w:val="20"/>
                <w:szCs w:val="20"/>
              </w:rPr>
              <w:t>$</w:t>
            </w:r>
            <w:r w:rsidR="003B4E62">
              <w:rPr>
                <w:rFonts w:ascii="Arial Narrow" w:hAnsi="Arial Narrow"/>
                <w:iCs/>
                <w:noProof/>
                <w:color w:val="000000"/>
                <w:sz w:val="20"/>
                <w:szCs w:val="20"/>
                <w:highlight w:val="black"/>
              </w:rPr>
              <w:t>''''''''''''''''''''''''</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434C9" w:rsidRPr="005D5EA7" w:rsidRDefault="00C434C9" w:rsidP="001A2733">
            <w:pPr>
              <w:keepNext/>
              <w:jc w:val="center"/>
              <w:rPr>
                <w:rFonts w:ascii="Arial Narrow" w:eastAsiaTheme="minorHAnsi" w:hAnsi="Arial Narrow"/>
                <w:iCs/>
                <w:color w:val="000000"/>
                <w:sz w:val="20"/>
                <w:szCs w:val="20"/>
              </w:rPr>
            </w:pPr>
            <w:r w:rsidRPr="005D5EA7">
              <w:rPr>
                <w:rFonts w:ascii="Arial Narrow" w:hAnsi="Arial Narrow"/>
                <w:iCs/>
                <w:color w:val="000000"/>
                <w:sz w:val="20"/>
                <w:szCs w:val="20"/>
              </w:rPr>
              <w:t>0.086</w:t>
            </w:r>
          </w:p>
        </w:tc>
        <w:tc>
          <w:tcPr>
            <w:tcW w:w="64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434C9" w:rsidRPr="005D5EA7" w:rsidRDefault="00C434C9" w:rsidP="001A2733">
            <w:pPr>
              <w:keepNext/>
              <w:jc w:val="right"/>
              <w:rPr>
                <w:rFonts w:ascii="Arial Narrow" w:eastAsiaTheme="minorHAnsi" w:hAnsi="Arial Narrow"/>
                <w:iCs/>
                <w:color w:val="000000"/>
                <w:sz w:val="20"/>
                <w:szCs w:val="20"/>
              </w:rPr>
            </w:pPr>
            <w:r w:rsidRPr="005D5EA7">
              <w:rPr>
                <w:rFonts w:ascii="Arial Narrow" w:hAnsi="Arial Narrow"/>
                <w:iCs/>
                <w:color w:val="000000"/>
                <w:sz w:val="20"/>
                <w:szCs w:val="20"/>
              </w:rPr>
              <w:t>$</w:t>
            </w:r>
            <w:r w:rsidR="003B4E62">
              <w:rPr>
                <w:rFonts w:ascii="Arial Narrow" w:hAnsi="Arial Narrow"/>
                <w:iCs/>
                <w:noProof/>
                <w:color w:val="000000"/>
                <w:sz w:val="20"/>
                <w:szCs w:val="20"/>
                <w:highlight w:val="black"/>
              </w:rPr>
              <w:t>''''''''''''''''''''</w:t>
            </w:r>
          </w:p>
        </w:tc>
        <w:tc>
          <w:tcPr>
            <w:tcW w:w="43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434C9" w:rsidRPr="005D5EA7" w:rsidRDefault="003B4E62" w:rsidP="001A2733">
            <w:pPr>
              <w:keepNext/>
              <w:jc w:val="right"/>
              <w:rPr>
                <w:rFonts w:ascii="Arial Narrow" w:eastAsiaTheme="minorHAnsi" w:hAnsi="Arial Narrow"/>
                <w:iCs/>
                <w:color w:val="000000"/>
                <w:sz w:val="20"/>
                <w:szCs w:val="20"/>
              </w:rPr>
            </w:pPr>
            <w:r>
              <w:rPr>
                <w:rFonts w:ascii="Arial Narrow" w:hAnsi="Arial Narrow"/>
                <w:iCs/>
                <w:noProof/>
                <w:color w:val="000000"/>
                <w:sz w:val="20"/>
                <w:szCs w:val="20"/>
                <w:highlight w:val="black"/>
              </w:rPr>
              <w:t>'''''''''</w:t>
            </w:r>
            <w:r w:rsidR="00C434C9" w:rsidRPr="005D5EA7">
              <w:rPr>
                <w:rFonts w:ascii="Arial Narrow" w:hAnsi="Arial Narrow"/>
                <w:iCs/>
                <w:color w:val="000000"/>
                <w:sz w:val="20"/>
                <w:szCs w:val="20"/>
              </w:rPr>
              <w:t>%</w:t>
            </w:r>
          </w:p>
        </w:tc>
      </w:tr>
      <w:tr w:rsidR="00C434C9" w:rsidRPr="005D5EA7" w:rsidTr="00C434C9">
        <w:tc>
          <w:tcPr>
            <w:tcW w:w="2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4C9" w:rsidRPr="005D5EA7" w:rsidRDefault="00C434C9" w:rsidP="001A2733">
            <w:pPr>
              <w:keepNext/>
              <w:rPr>
                <w:rFonts w:ascii="Times New Roman" w:hAnsi="Times New Roman"/>
                <w:sz w:val="20"/>
                <w:szCs w:val="20"/>
                <w:lang w:eastAsia="en-AU"/>
              </w:rPr>
            </w:pPr>
          </w:p>
        </w:tc>
        <w:tc>
          <w:tcPr>
            <w:tcW w:w="22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434C9" w:rsidRPr="005D5EA7" w:rsidRDefault="00C434C9" w:rsidP="001A2733">
            <w:pPr>
              <w:pStyle w:val="Tabletext"/>
              <w:keepNext/>
              <w:rPr>
                <w:iCs/>
                <w:color w:val="000000"/>
              </w:rPr>
            </w:pPr>
            <w:r w:rsidRPr="005D5EA7">
              <w:rPr>
                <w:iCs/>
                <w:color w:val="000000"/>
              </w:rPr>
              <w:t>(i) + (ii) + (v)</w:t>
            </w:r>
          </w:p>
        </w:tc>
        <w:tc>
          <w:tcPr>
            <w:tcW w:w="70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434C9" w:rsidRPr="005D5EA7" w:rsidRDefault="00C434C9" w:rsidP="001A2733">
            <w:pPr>
              <w:keepNext/>
              <w:jc w:val="right"/>
              <w:rPr>
                <w:rFonts w:ascii="Arial Narrow" w:eastAsiaTheme="minorHAnsi" w:hAnsi="Arial Narrow"/>
                <w:iCs/>
                <w:color w:val="000000"/>
                <w:sz w:val="20"/>
                <w:szCs w:val="20"/>
              </w:rPr>
            </w:pPr>
            <w:r w:rsidRPr="005D5EA7">
              <w:rPr>
                <w:rFonts w:ascii="Arial Narrow" w:hAnsi="Arial Narrow"/>
                <w:iCs/>
                <w:color w:val="000000"/>
                <w:sz w:val="20"/>
                <w:szCs w:val="20"/>
              </w:rPr>
              <w:t>$</w:t>
            </w:r>
            <w:r w:rsidR="003B4E62">
              <w:rPr>
                <w:rFonts w:ascii="Arial Narrow" w:hAnsi="Arial Narrow"/>
                <w:iCs/>
                <w:noProof/>
                <w:color w:val="000000"/>
                <w:sz w:val="20"/>
                <w:szCs w:val="20"/>
                <w:highlight w:val="black"/>
              </w:rPr>
              <w:t>'''''''''''''''''''''''</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434C9" w:rsidRPr="005D5EA7" w:rsidRDefault="00C434C9" w:rsidP="001A2733">
            <w:pPr>
              <w:keepNext/>
              <w:jc w:val="center"/>
              <w:rPr>
                <w:rFonts w:ascii="Arial Narrow" w:eastAsiaTheme="minorHAnsi" w:hAnsi="Arial Narrow"/>
                <w:iCs/>
                <w:color w:val="000000"/>
                <w:sz w:val="20"/>
                <w:szCs w:val="20"/>
              </w:rPr>
            </w:pPr>
            <w:r w:rsidRPr="005D5EA7">
              <w:rPr>
                <w:rFonts w:ascii="Arial Narrow" w:hAnsi="Arial Narrow"/>
                <w:iCs/>
                <w:color w:val="000000"/>
                <w:sz w:val="20"/>
                <w:szCs w:val="20"/>
              </w:rPr>
              <w:t>0.086</w:t>
            </w:r>
          </w:p>
        </w:tc>
        <w:tc>
          <w:tcPr>
            <w:tcW w:w="64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434C9" w:rsidRPr="005D5EA7" w:rsidRDefault="00C434C9" w:rsidP="001A2733">
            <w:pPr>
              <w:keepNext/>
              <w:jc w:val="right"/>
              <w:rPr>
                <w:rFonts w:ascii="Arial Narrow" w:eastAsiaTheme="minorHAnsi" w:hAnsi="Arial Narrow"/>
                <w:iCs/>
                <w:color w:val="000000"/>
                <w:sz w:val="20"/>
                <w:szCs w:val="20"/>
              </w:rPr>
            </w:pPr>
            <w:r w:rsidRPr="005D5EA7">
              <w:rPr>
                <w:rFonts w:ascii="Arial Narrow" w:hAnsi="Arial Narrow"/>
                <w:iCs/>
                <w:color w:val="000000"/>
                <w:sz w:val="20"/>
                <w:szCs w:val="20"/>
              </w:rPr>
              <w:t>$</w:t>
            </w:r>
            <w:r w:rsidR="003B4E62">
              <w:rPr>
                <w:rFonts w:ascii="Arial Narrow" w:hAnsi="Arial Narrow"/>
                <w:iCs/>
                <w:noProof/>
                <w:color w:val="000000"/>
                <w:sz w:val="20"/>
                <w:szCs w:val="20"/>
                <w:highlight w:val="black"/>
              </w:rPr>
              <w:t>''''''''''''''''''''''</w:t>
            </w:r>
          </w:p>
        </w:tc>
        <w:tc>
          <w:tcPr>
            <w:tcW w:w="43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434C9" w:rsidRPr="005D5EA7" w:rsidRDefault="003B4E62" w:rsidP="001A2733">
            <w:pPr>
              <w:keepNext/>
              <w:jc w:val="right"/>
              <w:rPr>
                <w:rFonts w:ascii="Arial Narrow" w:eastAsiaTheme="minorHAnsi" w:hAnsi="Arial Narrow"/>
                <w:iCs/>
                <w:color w:val="000000"/>
                <w:sz w:val="20"/>
                <w:szCs w:val="20"/>
              </w:rPr>
            </w:pPr>
            <w:r>
              <w:rPr>
                <w:rFonts w:ascii="Arial Narrow" w:hAnsi="Arial Narrow"/>
                <w:iCs/>
                <w:noProof/>
                <w:color w:val="000000"/>
                <w:sz w:val="20"/>
                <w:szCs w:val="20"/>
                <w:highlight w:val="black"/>
              </w:rPr>
              <w:t>'''''''''</w:t>
            </w:r>
            <w:r w:rsidR="00C434C9" w:rsidRPr="005D5EA7">
              <w:rPr>
                <w:rFonts w:ascii="Arial Narrow" w:hAnsi="Arial Narrow"/>
                <w:iCs/>
                <w:color w:val="000000"/>
                <w:sz w:val="20"/>
                <w:szCs w:val="20"/>
              </w:rPr>
              <w:t>%</w:t>
            </w:r>
          </w:p>
        </w:tc>
      </w:tr>
    </w:tbl>
    <w:p w:rsidR="00E2112D" w:rsidRPr="00382705" w:rsidRDefault="00E2112D" w:rsidP="002F03CC">
      <w:pPr>
        <w:pStyle w:val="TableFooter"/>
        <w:keepNext/>
        <w:widowControl/>
      </w:pPr>
      <w:r w:rsidRPr="00382705">
        <w:t>AE = adverse event; ICER = incremental cost-effectiveness ratio; QALY = quality-adjusted life year.</w:t>
      </w:r>
    </w:p>
    <w:p w:rsidR="005250EB" w:rsidRDefault="00C434C9" w:rsidP="00681B09">
      <w:pPr>
        <w:rPr>
          <w:rFonts w:ascii="Arial Narrow" w:hAnsi="Arial Narrow"/>
          <w:sz w:val="18"/>
        </w:rPr>
      </w:pPr>
      <w:r w:rsidRPr="005250EB">
        <w:rPr>
          <w:rFonts w:ascii="Arial Narrow" w:hAnsi="Arial Narrow"/>
          <w:sz w:val="18"/>
        </w:rPr>
        <w:t>Source: economic model spreadsheet, pre-PBAC response</w:t>
      </w:r>
    </w:p>
    <w:p w:rsidR="005D5EA7" w:rsidRPr="00F00837" w:rsidRDefault="005D5EA7" w:rsidP="001A2733">
      <w:pPr>
        <w:pStyle w:val="ListParagraph"/>
        <w:widowControl/>
        <w:numPr>
          <w:ilvl w:val="1"/>
          <w:numId w:val="3"/>
        </w:numPr>
        <w:spacing w:before="120"/>
        <w:rPr>
          <w:color w:val="000000" w:themeColor="text1"/>
        </w:rPr>
      </w:pPr>
      <w:bookmarkStart w:id="17" w:name="_Toc501621608"/>
      <w:r>
        <w:rPr>
          <w:color w:val="000000" w:themeColor="text1"/>
        </w:rPr>
        <w:t xml:space="preserve">The PBAC noted that assuming </w:t>
      </w:r>
      <w:r w:rsidR="00E218ED">
        <w:rPr>
          <w:color w:val="000000" w:themeColor="text1"/>
        </w:rPr>
        <w:t>no hospitalisation in both arms in the post-progression state</w:t>
      </w:r>
      <w:r>
        <w:rPr>
          <w:color w:val="000000" w:themeColor="text1"/>
        </w:rPr>
        <w:t xml:space="preserve"> raised the pre-PBAC </w:t>
      </w:r>
      <w:r w:rsidR="009B4F11">
        <w:rPr>
          <w:color w:val="000000" w:themeColor="text1"/>
        </w:rPr>
        <w:t>ICER</w:t>
      </w:r>
      <w:r>
        <w:rPr>
          <w:color w:val="000000" w:themeColor="text1"/>
        </w:rPr>
        <w:t xml:space="preserve"> to </w:t>
      </w:r>
      <w:r w:rsidR="00414A1B" w:rsidRPr="00414A1B">
        <w:rPr>
          <w:color w:val="000000" w:themeColor="text1"/>
        </w:rPr>
        <w:t>more than $200,000/QALY</w:t>
      </w:r>
      <w:r>
        <w:rPr>
          <w:color w:val="000000" w:themeColor="text1"/>
        </w:rPr>
        <w:t xml:space="preserve">. </w:t>
      </w:r>
      <w:r w:rsidR="005661E6">
        <w:rPr>
          <w:color w:val="000000" w:themeColor="text1"/>
        </w:rPr>
        <w:t>The PBAC considered that</w:t>
      </w:r>
      <w:r>
        <w:rPr>
          <w:color w:val="000000" w:themeColor="text1"/>
        </w:rPr>
        <w:t xml:space="preserve"> cost-effectiveness of ramucirumab was </w:t>
      </w:r>
      <w:r w:rsidR="005661E6">
        <w:rPr>
          <w:color w:val="000000" w:themeColor="text1"/>
        </w:rPr>
        <w:t xml:space="preserve">unacceptably high at this ICER, particularly </w:t>
      </w:r>
      <w:r w:rsidR="00D50F66">
        <w:rPr>
          <w:color w:val="000000" w:themeColor="text1"/>
        </w:rPr>
        <w:t xml:space="preserve">because </w:t>
      </w:r>
      <w:r w:rsidR="005661E6">
        <w:rPr>
          <w:color w:val="000000" w:themeColor="text1"/>
        </w:rPr>
        <w:t xml:space="preserve">of its modest clinical benefit and significant toxicity. </w:t>
      </w:r>
      <w:r w:rsidR="00EC5550">
        <w:rPr>
          <w:color w:val="000000" w:themeColor="text1"/>
        </w:rPr>
        <w:t xml:space="preserve">The PBAC therefore advised that ramucirumab </w:t>
      </w:r>
      <w:r w:rsidR="00D41712">
        <w:rPr>
          <w:color w:val="000000" w:themeColor="text1"/>
        </w:rPr>
        <w:t>would be acceptably cost-effective</w:t>
      </w:r>
      <w:r w:rsidR="00EC5550">
        <w:rPr>
          <w:color w:val="000000" w:themeColor="text1"/>
        </w:rPr>
        <w:t xml:space="preserve"> at an ICER range of </w:t>
      </w:r>
      <w:r w:rsidR="00414A1B">
        <w:rPr>
          <w:color w:val="000000" w:themeColor="text1"/>
        </w:rPr>
        <w:t xml:space="preserve">$15,000 - $45,000 per </w:t>
      </w:r>
      <w:r w:rsidR="00414A1B" w:rsidRPr="00414A1B">
        <w:rPr>
          <w:color w:val="000000" w:themeColor="text1"/>
        </w:rPr>
        <w:t>QALY</w:t>
      </w:r>
      <w:r w:rsidR="00414A1B">
        <w:rPr>
          <w:color w:val="000000" w:themeColor="text1"/>
        </w:rPr>
        <w:t xml:space="preserve"> to</w:t>
      </w:r>
      <w:r w:rsidR="00EC5550">
        <w:rPr>
          <w:color w:val="000000" w:themeColor="text1"/>
        </w:rPr>
        <w:t xml:space="preserve"> $</w:t>
      </w:r>
      <w:r w:rsidR="00D07C94">
        <w:rPr>
          <w:color w:val="000000" w:themeColor="text1"/>
        </w:rPr>
        <w:t>1</w:t>
      </w:r>
      <w:r w:rsidR="00414A1B">
        <w:rPr>
          <w:color w:val="000000" w:themeColor="text1"/>
        </w:rPr>
        <w:t>5,000 - $</w:t>
      </w:r>
      <w:r w:rsidR="00D07C94">
        <w:rPr>
          <w:color w:val="000000" w:themeColor="text1"/>
        </w:rPr>
        <w:t>4</w:t>
      </w:r>
      <w:r w:rsidR="00414A1B">
        <w:rPr>
          <w:color w:val="000000" w:themeColor="text1"/>
        </w:rPr>
        <w:t xml:space="preserve">5,000 per </w:t>
      </w:r>
      <w:r w:rsidR="00414A1B" w:rsidRPr="00414A1B">
        <w:rPr>
          <w:color w:val="000000" w:themeColor="text1"/>
        </w:rPr>
        <w:t>QALY</w:t>
      </w:r>
      <w:r w:rsidR="00EC5550">
        <w:rPr>
          <w:color w:val="000000" w:themeColor="text1"/>
        </w:rPr>
        <w:t>, noting that the I</w:t>
      </w:r>
      <w:r w:rsidR="005661E6">
        <w:rPr>
          <w:color w:val="000000" w:themeColor="text1"/>
        </w:rPr>
        <w:t xml:space="preserve">CER presented in the submission </w:t>
      </w:r>
      <w:r w:rsidR="00EC5550">
        <w:rPr>
          <w:color w:val="000000" w:themeColor="text1"/>
        </w:rPr>
        <w:t xml:space="preserve">(corrected for the erroneous AEMP value) </w:t>
      </w:r>
      <w:r w:rsidR="005661E6">
        <w:rPr>
          <w:color w:val="000000" w:themeColor="text1"/>
        </w:rPr>
        <w:t xml:space="preserve">was </w:t>
      </w:r>
      <w:r w:rsidR="00D07C94">
        <w:t>$15,000/QALY – $4</w:t>
      </w:r>
      <w:r w:rsidR="00414A1B" w:rsidRPr="00414A1B">
        <w:t>5,000/QALY</w:t>
      </w:r>
      <w:r w:rsidR="00EC5550">
        <w:rPr>
          <w:color w:val="000000" w:themeColor="text1"/>
        </w:rPr>
        <w:t xml:space="preserve">. The PBAC noted that </w:t>
      </w:r>
      <w:r w:rsidR="005661E6">
        <w:rPr>
          <w:color w:val="000000" w:themeColor="text1"/>
        </w:rPr>
        <w:t xml:space="preserve">a price reduction of approximately </w:t>
      </w:r>
      <w:r w:rsidR="003B4E62">
        <w:rPr>
          <w:noProof/>
          <w:color w:val="000000"/>
          <w:highlight w:val="black"/>
        </w:rPr>
        <w:t>'''''</w:t>
      </w:r>
      <w:r w:rsidR="005661E6">
        <w:rPr>
          <w:color w:val="000000" w:themeColor="text1"/>
        </w:rPr>
        <w:t xml:space="preserve">% </w:t>
      </w:r>
      <w:r w:rsidR="00EC5550">
        <w:rPr>
          <w:color w:val="000000" w:themeColor="text1"/>
        </w:rPr>
        <w:t>would be required to</w:t>
      </w:r>
      <w:r w:rsidR="005661E6">
        <w:rPr>
          <w:color w:val="000000" w:themeColor="text1"/>
        </w:rPr>
        <w:t xml:space="preserve"> reduce the ICER to </w:t>
      </w:r>
      <w:r w:rsidR="00EC5550">
        <w:rPr>
          <w:color w:val="000000" w:themeColor="text1"/>
        </w:rPr>
        <w:t>the</w:t>
      </w:r>
      <w:r w:rsidR="005661E6">
        <w:rPr>
          <w:color w:val="000000" w:themeColor="text1"/>
        </w:rPr>
        <w:t xml:space="preserve"> acceptable range of </w:t>
      </w:r>
      <w:r w:rsidR="00D07C94">
        <w:rPr>
          <w:color w:val="000000" w:themeColor="text1"/>
        </w:rPr>
        <w:t>$15,000 - $45,000 per QALY to $1</w:t>
      </w:r>
      <w:r w:rsidR="00414A1B" w:rsidRPr="00414A1B">
        <w:rPr>
          <w:color w:val="000000" w:themeColor="text1"/>
        </w:rPr>
        <w:t xml:space="preserve">5,000 </w:t>
      </w:r>
      <w:r w:rsidR="00D07C94">
        <w:rPr>
          <w:color w:val="000000" w:themeColor="text1"/>
        </w:rPr>
        <w:t>- $4</w:t>
      </w:r>
      <w:r w:rsidR="00414A1B" w:rsidRPr="00414A1B">
        <w:rPr>
          <w:color w:val="000000" w:themeColor="text1"/>
        </w:rPr>
        <w:t>5,000 per QALY</w:t>
      </w:r>
      <w:r w:rsidR="005661E6">
        <w:rPr>
          <w:color w:val="000000" w:themeColor="text1"/>
        </w:rPr>
        <w:t xml:space="preserve">. </w:t>
      </w:r>
    </w:p>
    <w:p w:rsidR="00C25D9C" w:rsidRPr="009643B5" w:rsidRDefault="00C25D9C" w:rsidP="00DD3AD8">
      <w:pPr>
        <w:pStyle w:val="Heading2"/>
        <w:spacing w:after="160"/>
      </w:pPr>
      <w:r w:rsidRPr="009643B5">
        <w:t>Drug cost/patient/course</w:t>
      </w:r>
      <w:bookmarkEnd w:id="17"/>
    </w:p>
    <w:p w:rsidR="007A730B" w:rsidRPr="00F00837" w:rsidRDefault="007A730B" w:rsidP="007A730B">
      <w:pPr>
        <w:pStyle w:val="ListParagraph"/>
        <w:keepNext/>
        <w:widowControl/>
        <w:numPr>
          <w:ilvl w:val="1"/>
          <w:numId w:val="3"/>
        </w:numPr>
      </w:pPr>
      <w:r w:rsidRPr="00F00837">
        <w:t>The submission estimated that the average cost of ramucirumab was $</w:t>
      </w:r>
      <w:r w:rsidR="003B4E62">
        <w:rPr>
          <w:noProof/>
          <w:color w:val="000000"/>
          <w:highlight w:val="black"/>
        </w:rPr>
        <w:t>''''''''''''''''''''</w:t>
      </w:r>
      <w:r w:rsidRPr="00F00837">
        <w:t xml:space="preserve">. This was based on one 100 mg and one 500 mg vial per administration, assuming 10 administrations (based </w:t>
      </w:r>
      <w:r w:rsidR="00E2112D" w:rsidRPr="00F00837">
        <w:t xml:space="preserve">on the median treatment cycles of </w:t>
      </w:r>
      <w:r w:rsidRPr="00F00837">
        <w:t xml:space="preserve">5, observed in the RAINBOW trial). Approximately </w:t>
      </w:r>
      <w:r w:rsidR="003B4E62">
        <w:rPr>
          <w:noProof/>
          <w:color w:val="000000"/>
          <w:highlight w:val="black"/>
        </w:rPr>
        <w:t>''''''''</w:t>
      </w:r>
      <w:r w:rsidRPr="00F00837">
        <w:t xml:space="preserve"> administrations </w:t>
      </w:r>
      <w:r w:rsidR="00613439" w:rsidRPr="00F00837">
        <w:t xml:space="preserve">of ramucirumab </w:t>
      </w:r>
      <w:r w:rsidRPr="00F00837">
        <w:t>were modelled in the economic evaluation.</w:t>
      </w:r>
    </w:p>
    <w:p w:rsidR="00B60939" w:rsidRPr="009643B5" w:rsidRDefault="00B60939" w:rsidP="00DD3AD8">
      <w:pPr>
        <w:pStyle w:val="Heading2"/>
        <w:spacing w:after="160"/>
      </w:pPr>
      <w:bookmarkStart w:id="18" w:name="_Toc501621609"/>
      <w:r w:rsidRPr="009643B5">
        <w:t>Estimated PBS usage &amp; financial implications</w:t>
      </w:r>
      <w:bookmarkEnd w:id="18"/>
    </w:p>
    <w:p w:rsidR="0072416F" w:rsidRPr="00F00837" w:rsidRDefault="00C25D9C" w:rsidP="007A132D">
      <w:pPr>
        <w:pStyle w:val="ListParagraph"/>
        <w:widowControl/>
        <w:numPr>
          <w:ilvl w:val="1"/>
          <w:numId w:val="3"/>
        </w:numPr>
      </w:pPr>
      <w:r w:rsidRPr="00F00837">
        <w:t xml:space="preserve">This submission </w:t>
      </w:r>
      <w:r w:rsidR="00D41712" w:rsidRPr="00F00837">
        <w:t>w</w:t>
      </w:r>
      <w:r w:rsidR="00D41712">
        <w:t>as</w:t>
      </w:r>
      <w:r w:rsidR="00D41712" w:rsidRPr="00F00837">
        <w:t xml:space="preserve"> </w:t>
      </w:r>
      <w:r w:rsidR="00FD1C47" w:rsidRPr="00F00837">
        <w:t xml:space="preserve">not </w:t>
      </w:r>
      <w:r w:rsidRPr="00F00837">
        <w:t>considered by DUSC</w:t>
      </w:r>
      <w:r w:rsidR="00D409FB" w:rsidRPr="00F00837">
        <w:t>.</w:t>
      </w:r>
      <w:r w:rsidR="007A730B" w:rsidRPr="00F00837">
        <w:t xml:space="preserve"> The submission used an epidemiological approach to estimate the use and financial impact of ramucirumab. </w:t>
      </w:r>
      <w:r w:rsidR="0027443C" w:rsidRPr="00F00837">
        <w:t xml:space="preserve">Due to a paucity of data available to reliably inform the estimates, the submission claimed conservative estimates were used in the base case, resulting in an overestimate of the financial impact. </w:t>
      </w:r>
    </w:p>
    <w:p w:rsidR="0027443C" w:rsidRPr="00F00837" w:rsidRDefault="0027443C" w:rsidP="007A132D">
      <w:pPr>
        <w:pStyle w:val="ListParagraph"/>
        <w:widowControl/>
        <w:numPr>
          <w:ilvl w:val="1"/>
          <w:numId w:val="3"/>
        </w:numPr>
      </w:pPr>
      <w:r w:rsidRPr="00F00837">
        <w:t>The estimated use and financial implications of listing ramucirumab for use in combination with paclitaxel is presented in the table below.</w:t>
      </w:r>
    </w:p>
    <w:p w:rsidR="00C25D9C" w:rsidRPr="00382705" w:rsidRDefault="002A2F50" w:rsidP="002F03CC">
      <w:pPr>
        <w:keepNext/>
        <w:widowControl/>
      </w:pPr>
      <w:r w:rsidRPr="00382705">
        <w:rPr>
          <w:rStyle w:val="CommentReference"/>
        </w:rPr>
        <w:t xml:space="preserve">Table </w:t>
      </w:r>
      <w:r w:rsidR="005250EB" w:rsidRPr="00382705">
        <w:rPr>
          <w:rStyle w:val="CommentReference"/>
        </w:rPr>
        <w:t>1</w:t>
      </w:r>
      <w:r w:rsidR="005250EB">
        <w:rPr>
          <w:rStyle w:val="CommentReference"/>
        </w:rPr>
        <w:t>1</w:t>
      </w:r>
      <w:r w:rsidRPr="00382705">
        <w:rPr>
          <w:rStyle w:val="CommentReference"/>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6"/>
        <w:gridCol w:w="1166"/>
        <w:gridCol w:w="1165"/>
        <w:gridCol w:w="1165"/>
        <w:gridCol w:w="1165"/>
        <w:gridCol w:w="1165"/>
        <w:gridCol w:w="1163"/>
      </w:tblGrid>
      <w:tr w:rsidR="00385A9D" w:rsidRPr="00382705" w:rsidTr="004408DC">
        <w:trPr>
          <w:tblHeader/>
        </w:trPr>
        <w:tc>
          <w:tcPr>
            <w:tcW w:w="1119" w:type="pct"/>
            <w:shd w:val="clear" w:color="auto" w:fill="auto"/>
            <w:vAlign w:val="center"/>
          </w:tcPr>
          <w:p w:rsidR="00385A9D" w:rsidRPr="00382705" w:rsidRDefault="00385A9D" w:rsidP="002F03CC">
            <w:pPr>
              <w:pStyle w:val="Tabletext"/>
              <w:keepNext/>
            </w:pPr>
          </w:p>
        </w:tc>
        <w:tc>
          <w:tcPr>
            <w:tcW w:w="647" w:type="pct"/>
            <w:shd w:val="clear" w:color="auto" w:fill="auto"/>
            <w:vAlign w:val="center"/>
          </w:tcPr>
          <w:p w:rsidR="00385A9D" w:rsidRPr="00382705" w:rsidRDefault="00385A9D" w:rsidP="002F03CC">
            <w:pPr>
              <w:pStyle w:val="Tabletext"/>
              <w:keepNext/>
              <w:jc w:val="center"/>
              <w:rPr>
                <w:b/>
              </w:rPr>
            </w:pPr>
            <w:r w:rsidRPr="00382705">
              <w:rPr>
                <w:b/>
              </w:rPr>
              <w:t>Year 1</w:t>
            </w:r>
          </w:p>
        </w:tc>
        <w:tc>
          <w:tcPr>
            <w:tcW w:w="647" w:type="pct"/>
            <w:shd w:val="clear" w:color="auto" w:fill="auto"/>
            <w:vAlign w:val="center"/>
          </w:tcPr>
          <w:p w:rsidR="00385A9D" w:rsidRPr="00382705" w:rsidRDefault="00385A9D" w:rsidP="002F03CC">
            <w:pPr>
              <w:pStyle w:val="Tabletext"/>
              <w:keepNext/>
              <w:jc w:val="center"/>
              <w:rPr>
                <w:b/>
              </w:rPr>
            </w:pPr>
            <w:r w:rsidRPr="00382705">
              <w:rPr>
                <w:b/>
              </w:rPr>
              <w:t>Year 2</w:t>
            </w:r>
          </w:p>
        </w:tc>
        <w:tc>
          <w:tcPr>
            <w:tcW w:w="647" w:type="pct"/>
            <w:shd w:val="clear" w:color="auto" w:fill="auto"/>
            <w:vAlign w:val="center"/>
          </w:tcPr>
          <w:p w:rsidR="00385A9D" w:rsidRPr="00382705" w:rsidRDefault="00385A9D" w:rsidP="002F03CC">
            <w:pPr>
              <w:pStyle w:val="Tabletext"/>
              <w:keepNext/>
              <w:jc w:val="center"/>
              <w:rPr>
                <w:b/>
              </w:rPr>
            </w:pPr>
            <w:r w:rsidRPr="00382705">
              <w:rPr>
                <w:b/>
              </w:rPr>
              <w:t>Year 3</w:t>
            </w:r>
          </w:p>
        </w:tc>
        <w:tc>
          <w:tcPr>
            <w:tcW w:w="647" w:type="pct"/>
            <w:shd w:val="clear" w:color="auto" w:fill="auto"/>
            <w:vAlign w:val="center"/>
          </w:tcPr>
          <w:p w:rsidR="00385A9D" w:rsidRPr="00382705" w:rsidRDefault="00385A9D" w:rsidP="002F03CC">
            <w:pPr>
              <w:pStyle w:val="Tabletext"/>
              <w:keepNext/>
              <w:jc w:val="center"/>
              <w:rPr>
                <w:b/>
              </w:rPr>
            </w:pPr>
            <w:r w:rsidRPr="00382705">
              <w:rPr>
                <w:b/>
              </w:rPr>
              <w:t>Year 4</w:t>
            </w:r>
          </w:p>
        </w:tc>
        <w:tc>
          <w:tcPr>
            <w:tcW w:w="647" w:type="pct"/>
            <w:shd w:val="clear" w:color="auto" w:fill="auto"/>
            <w:vAlign w:val="center"/>
          </w:tcPr>
          <w:p w:rsidR="00385A9D" w:rsidRPr="00382705" w:rsidRDefault="00385A9D" w:rsidP="002F03CC">
            <w:pPr>
              <w:pStyle w:val="Tabletext"/>
              <w:keepNext/>
              <w:jc w:val="center"/>
              <w:rPr>
                <w:b/>
              </w:rPr>
            </w:pPr>
            <w:r w:rsidRPr="00382705">
              <w:rPr>
                <w:b/>
              </w:rPr>
              <w:t>Year 5</w:t>
            </w:r>
          </w:p>
        </w:tc>
        <w:tc>
          <w:tcPr>
            <w:tcW w:w="646" w:type="pct"/>
          </w:tcPr>
          <w:p w:rsidR="00385A9D" w:rsidRPr="00382705" w:rsidRDefault="00385A9D" w:rsidP="002F03CC">
            <w:pPr>
              <w:pStyle w:val="Tabletext"/>
              <w:keepNext/>
              <w:jc w:val="center"/>
              <w:rPr>
                <w:b/>
              </w:rPr>
            </w:pPr>
            <w:r w:rsidRPr="00382705">
              <w:rPr>
                <w:b/>
              </w:rPr>
              <w:t>Year 6</w:t>
            </w:r>
          </w:p>
        </w:tc>
      </w:tr>
      <w:tr w:rsidR="00385A9D" w:rsidRPr="00382705" w:rsidTr="00385A9D">
        <w:tc>
          <w:tcPr>
            <w:tcW w:w="5000" w:type="pct"/>
            <w:gridSpan w:val="7"/>
            <w:shd w:val="clear" w:color="auto" w:fill="auto"/>
            <w:vAlign w:val="center"/>
          </w:tcPr>
          <w:p w:rsidR="00385A9D" w:rsidRPr="00382705" w:rsidRDefault="00385A9D" w:rsidP="002F03CC">
            <w:pPr>
              <w:pStyle w:val="Tabletext"/>
              <w:keepNext/>
              <w:rPr>
                <w:b/>
                <w:bCs/>
                <w:color w:val="000000"/>
              </w:rPr>
            </w:pPr>
            <w:r w:rsidRPr="00382705">
              <w:rPr>
                <w:b/>
                <w:bCs/>
                <w:color w:val="000000"/>
              </w:rPr>
              <w:t>Estimated extent of use</w:t>
            </w:r>
          </w:p>
        </w:tc>
      </w:tr>
      <w:tr w:rsidR="004408DC" w:rsidRPr="00382705" w:rsidTr="004408DC">
        <w:tc>
          <w:tcPr>
            <w:tcW w:w="1119" w:type="pct"/>
            <w:shd w:val="clear" w:color="auto" w:fill="auto"/>
            <w:vAlign w:val="center"/>
          </w:tcPr>
          <w:p w:rsidR="004408DC" w:rsidRPr="00382705" w:rsidRDefault="004408DC" w:rsidP="002F03CC">
            <w:pPr>
              <w:pStyle w:val="Tabletext"/>
              <w:keepNext/>
              <w:rPr>
                <w:rFonts w:ascii="Times" w:hAnsi="Times"/>
              </w:rPr>
            </w:pPr>
            <w:r w:rsidRPr="00382705">
              <w:t>Number of patients treated</w:t>
            </w:r>
          </w:p>
        </w:tc>
        <w:tc>
          <w:tcPr>
            <w:tcW w:w="647" w:type="pct"/>
            <w:shd w:val="clear" w:color="auto" w:fill="auto"/>
          </w:tcPr>
          <w:p w:rsidR="004408DC" w:rsidRPr="003B4E62" w:rsidRDefault="003B4E62" w:rsidP="002F03CC">
            <w:pPr>
              <w:pStyle w:val="Tabletext"/>
              <w:keepNext/>
              <w:jc w:val="center"/>
              <w:rPr>
                <w:bCs/>
                <w:color w:val="000000"/>
                <w:highlight w:val="black"/>
              </w:rPr>
            </w:pPr>
            <w:r>
              <w:rPr>
                <w:noProof/>
                <w:color w:val="000000"/>
                <w:highlight w:val="black"/>
              </w:rPr>
              <w:t>''''''''''</w:t>
            </w:r>
          </w:p>
        </w:tc>
        <w:tc>
          <w:tcPr>
            <w:tcW w:w="647" w:type="pct"/>
            <w:shd w:val="clear" w:color="auto" w:fill="auto"/>
          </w:tcPr>
          <w:p w:rsidR="004408DC" w:rsidRPr="003B4E62" w:rsidRDefault="003B4E62" w:rsidP="002F03CC">
            <w:pPr>
              <w:pStyle w:val="Tabletext"/>
              <w:keepNext/>
              <w:jc w:val="center"/>
              <w:rPr>
                <w:bCs/>
                <w:color w:val="000000"/>
                <w:highlight w:val="black"/>
              </w:rPr>
            </w:pPr>
            <w:r>
              <w:rPr>
                <w:noProof/>
                <w:color w:val="000000"/>
                <w:highlight w:val="black"/>
              </w:rPr>
              <w:t>''''''''''</w:t>
            </w:r>
          </w:p>
        </w:tc>
        <w:tc>
          <w:tcPr>
            <w:tcW w:w="647" w:type="pct"/>
            <w:shd w:val="clear" w:color="auto" w:fill="auto"/>
          </w:tcPr>
          <w:p w:rsidR="004408DC" w:rsidRPr="003B4E62" w:rsidRDefault="003B4E62" w:rsidP="002F03CC">
            <w:pPr>
              <w:pStyle w:val="Tabletext"/>
              <w:keepNext/>
              <w:jc w:val="center"/>
              <w:rPr>
                <w:bCs/>
                <w:color w:val="000000"/>
                <w:highlight w:val="black"/>
              </w:rPr>
            </w:pPr>
            <w:r>
              <w:rPr>
                <w:noProof/>
                <w:color w:val="000000"/>
                <w:highlight w:val="black"/>
              </w:rPr>
              <w:t>'''''''''</w:t>
            </w:r>
          </w:p>
        </w:tc>
        <w:tc>
          <w:tcPr>
            <w:tcW w:w="647" w:type="pct"/>
            <w:shd w:val="clear" w:color="auto" w:fill="auto"/>
          </w:tcPr>
          <w:p w:rsidR="004408DC" w:rsidRPr="003B4E62" w:rsidRDefault="003B4E62" w:rsidP="002F03CC">
            <w:pPr>
              <w:pStyle w:val="Tabletext"/>
              <w:keepNext/>
              <w:jc w:val="center"/>
              <w:rPr>
                <w:bCs/>
                <w:color w:val="000000"/>
                <w:highlight w:val="black"/>
              </w:rPr>
            </w:pPr>
            <w:r>
              <w:rPr>
                <w:noProof/>
                <w:color w:val="000000"/>
                <w:highlight w:val="black"/>
              </w:rPr>
              <w:t>''''''''''</w:t>
            </w:r>
          </w:p>
        </w:tc>
        <w:tc>
          <w:tcPr>
            <w:tcW w:w="647" w:type="pct"/>
            <w:shd w:val="clear" w:color="auto" w:fill="auto"/>
          </w:tcPr>
          <w:p w:rsidR="004408DC" w:rsidRPr="003B4E62" w:rsidRDefault="003B4E62" w:rsidP="002F03CC">
            <w:pPr>
              <w:pStyle w:val="Tabletext"/>
              <w:keepNext/>
              <w:jc w:val="center"/>
              <w:rPr>
                <w:bCs/>
                <w:color w:val="000000"/>
                <w:highlight w:val="black"/>
              </w:rPr>
            </w:pPr>
            <w:r>
              <w:rPr>
                <w:noProof/>
                <w:color w:val="000000"/>
                <w:highlight w:val="black"/>
              </w:rPr>
              <w:t>'''''''''</w:t>
            </w:r>
          </w:p>
        </w:tc>
        <w:tc>
          <w:tcPr>
            <w:tcW w:w="646" w:type="pct"/>
          </w:tcPr>
          <w:p w:rsidR="004408DC" w:rsidRPr="003B4E62" w:rsidRDefault="003B4E62" w:rsidP="002F03CC">
            <w:pPr>
              <w:pStyle w:val="Tabletext"/>
              <w:keepNext/>
              <w:jc w:val="center"/>
              <w:rPr>
                <w:bCs/>
                <w:color w:val="000000"/>
                <w:highlight w:val="black"/>
              </w:rPr>
            </w:pPr>
            <w:r>
              <w:rPr>
                <w:noProof/>
                <w:color w:val="000000"/>
                <w:highlight w:val="black"/>
              </w:rPr>
              <w:t>'''''''''</w:t>
            </w:r>
          </w:p>
        </w:tc>
      </w:tr>
      <w:tr w:rsidR="004408DC" w:rsidRPr="00382705" w:rsidTr="002D04DF">
        <w:tc>
          <w:tcPr>
            <w:tcW w:w="1119" w:type="pct"/>
            <w:shd w:val="clear" w:color="auto" w:fill="auto"/>
            <w:vAlign w:val="center"/>
          </w:tcPr>
          <w:p w:rsidR="004408DC" w:rsidRPr="00382705" w:rsidRDefault="004408DC" w:rsidP="002F03CC">
            <w:pPr>
              <w:pStyle w:val="Tabletext"/>
              <w:keepNext/>
              <w:rPr>
                <w:rFonts w:ascii="Times" w:hAnsi="Times"/>
              </w:rPr>
            </w:pPr>
            <w:r w:rsidRPr="00382705">
              <w:t xml:space="preserve">Number of scripts dispensed </w:t>
            </w:r>
            <w:r w:rsidRPr="00382705">
              <w:rPr>
                <w:vertAlign w:val="superscript"/>
              </w:rPr>
              <w:t>a</w:t>
            </w:r>
          </w:p>
        </w:tc>
        <w:tc>
          <w:tcPr>
            <w:tcW w:w="647" w:type="pct"/>
            <w:shd w:val="clear" w:color="auto" w:fill="auto"/>
          </w:tcPr>
          <w:p w:rsidR="004408DC" w:rsidRPr="003B4E62" w:rsidRDefault="003B4E62" w:rsidP="002F03CC">
            <w:pPr>
              <w:pStyle w:val="Tabletext"/>
              <w:keepNext/>
              <w:jc w:val="center"/>
              <w:rPr>
                <w:bCs/>
                <w:color w:val="000000"/>
                <w:highlight w:val="black"/>
              </w:rPr>
            </w:pPr>
            <w:r>
              <w:rPr>
                <w:noProof/>
                <w:color w:val="000000"/>
                <w:highlight w:val="black"/>
              </w:rPr>
              <w:t>''''''''''''''</w:t>
            </w:r>
          </w:p>
        </w:tc>
        <w:tc>
          <w:tcPr>
            <w:tcW w:w="647" w:type="pct"/>
            <w:shd w:val="clear" w:color="auto" w:fill="auto"/>
          </w:tcPr>
          <w:p w:rsidR="004408DC" w:rsidRPr="003B4E62" w:rsidRDefault="003B4E62" w:rsidP="002F03CC">
            <w:pPr>
              <w:pStyle w:val="Tabletext"/>
              <w:keepNext/>
              <w:jc w:val="center"/>
              <w:rPr>
                <w:bCs/>
                <w:color w:val="000000"/>
                <w:highlight w:val="black"/>
              </w:rPr>
            </w:pPr>
            <w:r>
              <w:rPr>
                <w:noProof/>
                <w:color w:val="000000"/>
                <w:highlight w:val="black"/>
              </w:rPr>
              <w:t>'''''''''''''</w:t>
            </w:r>
          </w:p>
        </w:tc>
        <w:tc>
          <w:tcPr>
            <w:tcW w:w="647" w:type="pct"/>
            <w:shd w:val="clear" w:color="auto" w:fill="auto"/>
          </w:tcPr>
          <w:p w:rsidR="004408DC" w:rsidRPr="003B4E62" w:rsidRDefault="003B4E62" w:rsidP="002F03CC">
            <w:pPr>
              <w:pStyle w:val="Tabletext"/>
              <w:keepNext/>
              <w:jc w:val="center"/>
              <w:rPr>
                <w:bCs/>
                <w:color w:val="000000"/>
                <w:highlight w:val="black"/>
              </w:rPr>
            </w:pPr>
            <w:r>
              <w:rPr>
                <w:noProof/>
                <w:color w:val="000000"/>
                <w:highlight w:val="black"/>
              </w:rPr>
              <w:t>'''''''''''''</w:t>
            </w:r>
          </w:p>
        </w:tc>
        <w:tc>
          <w:tcPr>
            <w:tcW w:w="647" w:type="pct"/>
            <w:shd w:val="clear" w:color="auto" w:fill="auto"/>
          </w:tcPr>
          <w:p w:rsidR="004408DC" w:rsidRPr="003B4E62" w:rsidRDefault="003B4E62" w:rsidP="002F03CC">
            <w:pPr>
              <w:pStyle w:val="Tabletext"/>
              <w:keepNext/>
              <w:jc w:val="center"/>
              <w:rPr>
                <w:bCs/>
                <w:color w:val="000000"/>
                <w:highlight w:val="black"/>
              </w:rPr>
            </w:pPr>
            <w:r>
              <w:rPr>
                <w:noProof/>
                <w:color w:val="000000"/>
                <w:highlight w:val="black"/>
              </w:rPr>
              <w:t>''''''''''''''</w:t>
            </w:r>
          </w:p>
        </w:tc>
        <w:tc>
          <w:tcPr>
            <w:tcW w:w="647" w:type="pct"/>
            <w:shd w:val="clear" w:color="auto" w:fill="auto"/>
          </w:tcPr>
          <w:p w:rsidR="004408DC" w:rsidRPr="003B4E62" w:rsidRDefault="003B4E62" w:rsidP="002F03CC">
            <w:pPr>
              <w:pStyle w:val="Tabletext"/>
              <w:keepNext/>
              <w:jc w:val="center"/>
              <w:rPr>
                <w:bCs/>
                <w:color w:val="000000"/>
                <w:highlight w:val="black"/>
              </w:rPr>
            </w:pPr>
            <w:r>
              <w:rPr>
                <w:noProof/>
                <w:color w:val="000000"/>
                <w:highlight w:val="black"/>
              </w:rPr>
              <w:t>'''''''''''''</w:t>
            </w:r>
          </w:p>
        </w:tc>
        <w:tc>
          <w:tcPr>
            <w:tcW w:w="646" w:type="pct"/>
          </w:tcPr>
          <w:p w:rsidR="004408DC" w:rsidRPr="003B4E62" w:rsidRDefault="003B4E62" w:rsidP="002F03CC">
            <w:pPr>
              <w:pStyle w:val="Tabletext"/>
              <w:keepNext/>
              <w:jc w:val="center"/>
              <w:rPr>
                <w:bCs/>
                <w:color w:val="000000"/>
                <w:highlight w:val="black"/>
              </w:rPr>
            </w:pPr>
            <w:r>
              <w:rPr>
                <w:noProof/>
                <w:color w:val="000000"/>
                <w:highlight w:val="black"/>
              </w:rPr>
              <w:t>'''''''''''''</w:t>
            </w:r>
          </w:p>
        </w:tc>
      </w:tr>
      <w:tr w:rsidR="00385A9D" w:rsidRPr="00382705" w:rsidTr="003043C7">
        <w:tc>
          <w:tcPr>
            <w:tcW w:w="5000" w:type="pct"/>
            <w:gridSpan w:val="7"/>
            <w:tcBorders>
              <w:bottom w:val="single" w:sz="4" w:space="0" w:color="auto"/>
            </w:tcBorders>
            <w:shd w:val="clear" w:color="auto" w:fill="auto"/>
            <w:vAlign w:val="center"/>
          </w:tcPr>
          <w:p w:rsidR="00385A9D" w:rsidRPr="00382705" w:rsidRDefault="00385A9D" w:rsidP="002F03CC">
            <w:pPr>
              <w:pStyle w:val="Tabletext"/>
              <w:keepNext/>
              <w:rPr>
                <w:b/>
                <w:bCs/>
                <w:color w:val="000000"/>
              </w:rPr>
            </w:pPr>
            <w:r w:rsidRPr="00382705">
              <w:rPr>
                <w:b/>
                <w:bCs/>
                <w:color w:val="000000"/>
              </w:rPr>
              <w:t xml:space="preserve">Estimated financial implications of </w:t>
            </w:r>
            <w:r w:rsidR="00D41712">
              <w:rPr>
                <w:b/>
                <w:bCs/>
                <w:color w:val="000000"/>
              </w:rPr>
              <w:t>Ramucirumab</w:t>
            </w:r>
          </w:p>
        </w:tc>
      </w:tr>
      <w:tr w:rsidR="004408DC" w:rsidRPr="00382705" w:rsidTr="003043C7">
        <w:tc>
          <w:tcPr>
            <w:tcW w:w="1119" w:type="pct"/>
            <w:tcBorders>
              <w:bottom w:val="nil"/>
            </w:tcBorders>
            <w:shd w:val="clear" w:color="auto" w:fill="auto"/>
          </w:tcPr>
          <w:p w:rsidR="004408DC" w:rsidRPr="00382705" w:rsidRDefault="004408DC" w:rsidP="002F03CC">
            <w:pPr>
              <w:pStyle w:val="Tabletext"/>
              <w:keepNext/>
              <w:rPr>
                <w:rFonts w:ascii="Times" w:hAnsi="Times"/>
              </w:rPr>
            </w:pPr>
            <w:r w:rsidRPr="00382705">
              <w:t>Cost of ramucirumab</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6" w:type="pct"/>
            <w:tcBorders>
              <w:bottom w:val="nil"/>
            </w:tcBorders>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r>
      <w:tr w:rsidR="004408DC" w:rsidRPr="00382705" w:rsidTr="003043C7">
        <w:tc>
          <w:tcPr>
            <w:tcW w:w="1119" w:type="pct"/>
            <w:tcBorders>
              <w:top w:val="nil"/>
              <w:bottom w:val="single" w:sz="4" w:space="0" w:color="auto"/>
            </w:tcBorders>
            <w:shd w:val="clear" w:color="auto" w:fill="auto"/>
          </w:tcPr>
          <w:p w:rsidR="004408DC" w:rsidRPr="00382705" w:rsidRDefault="004408DC" w:rsidP="002F03CC">
            <w:pPr>
              <w:pStyle w:val="Tabletext"/>
              <w:keepNext/>
              <w:rPr>
                <w:sz w:val="19"/>
                <w:szCs w:val="19"/>
              </w:rPr>
            </w:pPr>
            <w:r w:rsidRPr="00382705">
              <w:t>Revised</w:t>
            </w:r>
            <w:r w:rsidR="0027443C" w:rsidRPr="00382705">
              <w:rPr>
                <w:vertAlign w:val="superscript"/>
              </w:rPr>
              <w:t xml:space="preserve"> b</w:t>
            </w:r>
          </w:p>
        </w:tc>
        <w:tc>
          <w:tcPr>
            <w:tcW w:w="647" w:type="pct"/>
            <w:tcBorders>
              <w:top w:val="nil"/>
              <w:bottom w:val="single" w:sz="4" w:space="0" w:color="auto"/>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top w:val="nil"/>
              <w:bottom w:val="single" w:sz="4" w:space="0" w:color="auto"/>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top w:val="nil"/>
              <w:bottom w:val="single" w:sz="4" w:space="0" w:color="auto"/>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top w:val="nil"/>
              <w:bottom w:val="single" w:sz="4" w:space="0" w:color="auto"/>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top w:val="nil"/>
              <w:bottom w:val="single" w:sz="4" w:space="0" w:color="auto"/>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6" w:type="pct"/>
            <w:tcBorders>
              <w:top w:val="nil"/>
              <w:bottom w:val="single" w:sz="4" w:space="0" w:color="auto"/>
            </w:tcBorders>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r>
      <w:tr w:rsidR="004408DC" w:rsidRPr="00382705" w:rsidTr="003043C7">
        <w:tc>
          <w:tcPr>
            <w:tcW w:w="1119" w:type="pct"/>
            <w:tcBorders>
              <w:bottom w:val="nil"/>
            </w:tcBorders>
            <w:shd w:val="clear" w:color="auto" w:fill="auto"/>
            <w:vAlign w:val="center"/>
          </w:tcPr>
          <w:p w:rsidR="004408DC" w:rsidRPr="00382705" w:rsidRDefault="004408DC" w:rsidP="002F03CC">
            <w:pPr>
              <w:pStyle w:val="Tabletext"/>
              <w:keepNext/>
              <w:rPr>
                <w:sz w:val="19"/>
                <w:szCs w:val="19"/>
              </w:rPr>
            </w:pPr>
            <w:r w:rsidRPr="00382705">
              <w:rPr>
                <w:sz w:val="19"/>
                <w:szCs w:val="19"/>
              </w:rPr>
              <w:t>Copayments</w:t>
            </w:r>
            <w:r w:rsidR="0027443C" w:rsidRPr="00382705">
              <w:rPr>
                <w:vertAlign w:val="superscript"/>
              </w:rPr>
              <w:t xml:space="preserve"> c</w:t>
            </w:r>
          </w:p>
        </w:tc>
        <w:tc>
          <w:tcPr>
            <w:tcW w:w="647" w:type="pct"/>
            <w:tcBorders>
              <w:bottom w:val="nil"/>
            </w:tcBorders>
            <w:shd w:val="clear" w:color="auto" w:fill="auto"/>
          </w:tcPr>
          <w:p w:rsidR="004408DC" w:rsidRPr="00382705" w:rsidRDefault="004408DC" w:rsidP="002F03CC">
            <w:pPr>
              <w:pStyle w:val="Tabletext"/>
              <w:keepNext/>
              <w:jc w:val="center"/>
              <w:rPr>
                <w:bCs/>
                <w:color w:val="000000"/>
              </w:rPr>
            </w:pPr>
            <w:r w:rsidRPr="00382705">
              <w:t>-</w:t>
            </w:r>
          </w:p>
        </w:tc>
        <w:tc>
          <w:tcPr>
            <w:tcW w:w="647" w:type="pct"/>
            <w:tcBorders>
              <w:bottom w:val="nil"/>
            </w:tcBorders>
            <w:shd w:val="clear" w:color="auto" w:fill="auto"/>
          </w:tcPr>
          <w:p w:rsidR="004408DC" w:rsidRPr="00382705" w:rsidRDefault="004408DC" w:rsidP="002F03CC">
            <w:pPr>
              <w:pStyle w:val="Tabletext"/>
              <w:keepNext/>
              <w:jc w:val="center"/>
              <w:rPr>
                <w:bCs/>
                <w:color w:val="000000"/>
              </w:rPr>
            </w:pPr>
            <w:r w:rsidRPr="00382705">
              <w:t>-</w:t>
            </w:r>
          </w:p>
        </w:tc>
        <w:tc>
          <w:tcPr>
            <w:tcW w:w="647" w:type="pct"/>
            <w:tcBorders>
              <w:bottom w:val="nil"/>
            </w:tcBorders>
            <w:shd w:val="clear" w:color="auto" w:fill="auto"/>
          </w:tcPr>
          <w:p w:rsidR="004408DC" w:rsidRPr="00382705" w:rsidRDefault="004408DC" w:rsidP="002F03CC">
            <w:pPr>
              <w:pStyle w:val="Tabletext"/>
              <w:keepNext/>
              <w:jc w:val="center"/>
              <w:rPr>
                <w:bCs/>
                <w:color w:val="000000"/>
              </w:rPr>
            </w:pPr>
            <w:r w:rsidRPr="00382705">
              <w:t>-</w:t>
            </w:r>
          </w:p>
        </w:tc>
        <w:tc>
          <w:tcPr>
            <w:tcW w:w="647" w:type="pct"/>
            <w:tcBorders>
              <w:bottom w:val="nil"/>
            </w:tcBorders>
            <w:shd w:val="clear" w:color="auto" w:fill="auto"/>
          </w:tcPr>
          <w:p w:rsidR="004408DC" w:rsidRPr="00382705" w:rsidRDefault="004408DC" w:rsidP="002F03CC">
            <w:pPr>
              <w:pStyle w:val="Tabletext"/>
              <w:keepNext/>
              <w:jc w:val="center"/>
              <w:rPr>
                <w:bCs/>
                <w:color w:val="000000"/>
              </w:rPr>
            </w:pPr>
            <w:r w:rsidRPr="00382705">
              <w:t>-</w:t>
            </w:r>
          </w:p>
        </w:tc>
        <w:tc>
          <w:tcPr>
            <w:tcW w:w="647" w:type="pct"/>
            <w:tcBorders>
              <w:bottom w:val="nil"/>
            </w:tcBorders>
            <w:shd w:val="clear" w:color="auto" w:fill="auto"/>
          </w:tcPr>
          <w:p w:rsidR="004408DC" w:rsidRPr="00382705" w:rsidRDefault="004408DC" w:rsidP="002F03CC">
            <w:pPr>
              <w:pStyle w:val="Tabletext"/>
              <w:keepNext/>
              <w:jc w:val="center"/>
              <w:rPr>
                <w:bCs/>
                <w:color w:val="000000"/>
              </w:rPr>
            </w:pPr>
            <w:r w:rsidRPr="00382705">
              <w:t>-</w:t>
            </w:r>
          </w:p>
        </w:tc>
        <w:tc>
          <w:tcPr>
            <w:tcW w:w="646" w:type="pct"/>
            <w:tcBorders>
              <w:bottom w:val="nil"/>
            </w:tcBorders>
          </w:tcPr>
          <w:p w:rsidR="004408DC" w:rsidRPr="00382705" w:rsidRDefault="004408DC" w:rsidP="002F03CC">
            <w:pPr>
              <w:pStyle w:val="Tabletext"/>
              <w:keepNext/>
              <w:jc w:val="center"/>
              <w:rPr>
                <w:bCs/>
                <w:color w:val="000000"/>
              </w:rPr>
            </w:pPr>
            <w:r w:rsidRPr="00382705">
              <w:t>-</w:t>
            </w:r>
          </w:p>
        </w:tc>
      </w:tr>
      <w:tr w:rsidR="004408DC" w:rsidRPr="00382705" w:rsidTr="003043C7">
        <w:tc>
          <w:tcPr>
            <w:tcW w:w="1119" w:type="pct"/>
            <w:tcBorders>
              <w:top w:val="nil"/>
              <w:bottom w:val="single" w:sz="4" w:space="0" w:color="auto"/>
            </w:tcBorders>
            <w:shd w:val="clear" w:color="auto" w:fill="auto"/>
            <w:vAlign w:val="center"/>
          </w:tcPr>
          <w:p w:rsidR="004408DC" w:rsidRPr="00382705" w:rsidRDefault="004408DC" w:rsidP="002F03CC">
            <w:pPr>
              <w:pStyle w:val="Tabletext"/>
              <w:keepNext/>
              <w:rPr>
                <w:sz w:val="19"/>
                <w:szCs w:val="19"/>
              </w:rPr>
            </w:pPr>
            <w:r w:rsidRPr="00382705">
              <w:t>Revised</w:t>
            </w:r>
          </w:p>
        </w:tc>
        <w:tc>
          <w:tcPr>
            <w:tcW w:w="647" w:type="pct"/>
            <w:tcBorders>
              <w:top w:val="nil"/>
              <w:bottom w:val="single" w:sz="4" w:space="0" w:color="auto"/>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top w:val="nil"/>
              <w:bottom w:val="single" w:sz="4" w:space="0" w:color="auto"/>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top w:val="nil"/>
              <w:bottom w:val="single" w:sz="4" w:space="0" w:color="auto"/>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top w:val="nil"/>
              <w:bottom w:val="single" w:sz="4" w:space="0" w:color="auto"/>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top w:val="nil"/>
              <w:bottom w:val="single" w:sz="4" w:space="0" w:color="auto"/>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6" w:type="pct"/>
            <w:tcBorders>
              <w:top w:val="nil"/>
              <w:bottom w:val="single" w:sz="4" w:space="0" w:color="auto"/>
            </w:tcBorders>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r>
      <w:tr w:rsidR="004408DC" w:rsidRPr="00382705" w:rsidTr="003043C7">
        <w:tc>
          <w:tcPr>
            <w:tcW w:w="1119" w:type="pct"/>
            <w:tcBorders>
              <w:bottom w:val="nil"/>
            </w:tcBorders>
            <w:shd w:val="clear" w:color="auto" w:fill="auto"/>
          </w:tcPr>
          <w:p w:rsidR="004408DC" w:rsidRPr="00382705" w:rsidRDefault="004408DC" w:rsidP="002F03CC">
            <w:pPr>
              <w:pStyle w:val="Tabletext"/>
              <w:keepNext/>
              <w:rPr>
                <w:sz w:val="19"/>
                <w:szCs w:val="19"/>
              </w:rPr>
            </w:pPr>
            <w:r w:rsidRPr="00382705">
              <w:rPr>
                <w:b/>
              </w:rPr>
              <w:t>Cost to the PBS/RPBS</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c>
          <w:tcPr>
            <w:tcW w:w="646" w:type="pct"/>
            <w:tcBorders>
              <w:bottom w:val="nil"/>
            </w:tcBorders>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r>
      <w:tr w:rsidR="004408DC" w:rsidRPr="00382705" w:rsidTr="003043C7">
        <w:tc>
          <w:tcPr>
            <w:tcW w:w="1119" w:type="pct"/>
            <w:tcBorders>
              <w:top w:val="nil"/>
            </w:tcBorders>
            <w:shd w:val="clear" w:color="auto" w:fill="auto"/>
          </w:tcPr>
          <w:p w:rsidR="004408DC" w:rsidRPr="00382705" w:rsidRDefault="004408DC" w:rsidP="002F03CC">
            <w:pPr>
              <w:pStyle w:val="Tabletext"/>
              <w:keepNext/>
              <w:rPr>
                <w:sz w:val="19"/>
                <w:szCs w:val="19"/>
              </w:rPr>
            </w:pPr>
            <w:r w:rsidRPr="00382705">
              <w:rPr>
                <w:b/>
              </w:rPr>
              <w:t>Revised</w:t>
            </w:r>
          </w:p>
        </w:tc>
        <w:tc>
          <w:tcPr>
            <w:tcW w:w="647" w:type="pct"/>
            <w:tcBorders>
              <w:top w:val="nil"/>
            </w:tcBorders>
            <w:shd w:val="clear" w:color="auto" w:fill="auto"/>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c>
          <w:tcPr>
            <w:tcW w:w="647" w:type="pct"/>
            <w:tcBorders>
              <w:top w:val="nil"/>
            </w:tcBorders>
            <w:shd w:val="clear" w:color="auto" w:fill="auto"/>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c>
          <w:tcPr>
            <w:tcW w:w="647" w:type="pct"/>
            <w:tcBorders>
              <w:top w:val="nil"/>
            </w:tcBorders>
            <w:shd w:val="clear" w:color="auto" w:fill="auto"/>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c>
          <w:tcPr>
            <w:tcW w:w="647" w:type="pct"/>
            <w:tcBorders>
              <w:top w:val="nil"/>
            </w:tcBorders>
            <w:shd w:val="clear" w:color="auto" w:fill="auto"/>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c>
          <w:tcPr>
            <w:tcW w:w="647" w:type="pct"/>
            <w:tcBorders>
              <w:top w:val="nil"/>
            </w:tcBorders>
            <w:shd w:val="clear" w:color="auto" w:fill="auto"/>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c>
          <w:tcPr>
            <w:tcW w:w="646" w:type="pct"/>
            <w:tcBorders>
              <w:top w:val="nil"/>
            </w:tcBorders>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r>
      <w:tr w:rsidR="00385A9D" w:rsidRPr="00382705" w:rsidTr="00385A9D">
        <w:tc>
          <w:tcPr>
            <w:tcW w:w="5000" w:type="pct"/>
            <w:gridSpan w:val="7"/>
            <w:shd w:val="clear" w:color="auto" w:fill="auto"/>
            <w:vAlign w:val="center"/>
          </w:tcPr>
          <w:p w:rsidR="00385A9D" w:rsidRPr="00382705" w:rsidRDefault="00385A9D" w:rsidP="002F03CC">
            <w:pPr>
              <w:pStyle w:val="Tabletext"/>
              <w:keepNext/>
              <w:rPr>
                <w:bCs/>
                <w:color w:val="000000"/>
              </w:rPr>
            </w:pPr>
            <w:r w:rsidRPr="00382705">
              <w:rPr>
                <w:b/>
                <w:bCs/>
                <w:color w:val="000000"/>
              </w:rPr>
              <w:t xml:space="preserve">Estimated </w:t>
            </w:r>
            <w:r w:rsidR="007A730B" w:rsidRPr="00382705">
              <w:rPr>
                <w:b/>
                <w:bCs/>
                <w:color w:val="000000"/>
              </w:rPr>
              <w:t xml:space="preserve">financial implications for </w:t>
            </w:r>
            <w:r w:rsidRPr="00382705">
              <w:rPr>
                <w:b/>
                <w:bCs/>
                <w:color w:val="000000"/>
              </w:rPr>
              <w:t>other</w:t>
            </w:r>
            <w:r w:rsidR="007A730B" w:rsidRPr="00382705">
              <w:rPr>
                <w:b/>
                <w:bCs/>
                <w:color w:val="000000"/>
              </w:rPr>
              <w:t xml:space="preserve"> medicines</w:t>
            </w:r>
          </w:p>
        </w:tc>
      </w:tr>
      <w:tr w:rsidR="004408DC" w:rsidRPr="00382705" w:rsidTr="003043C7">
        <w:tc>
          <w:tcPr>
            <w:tcW w:w="5000" w:type="pct"/>
            <w:gridSpan w:val="7"/>
            <w:tcBorders>
              <w:bottom w:val="single" w:sz="4" w:space="0" w:color="auto"/>
            </w:tcBorders>
            <w:shd w:val="clear" w:color="auto" w:fill="auto"/>
            <w:vAlign w:val="center"/>
          </w:tcPr>
          <w:p w:rsidR="004408DC" w:rsidRPr="00382705" w:rsidRDefault="004408DC" w:rsidP="002F03CC">
            <w:pPr>
              <w:pStyle w:val="Tabletext"/>
              <w:keepNext/>
              <w:rPr>
                <w:b/>
                <w:bCs/>
                <w:color w:val="000000"/>
              </w:rPr>
            </w:pPr>
            <w:r w:rsidRPr="00382705">
              <w:rPr>
                <w:b/>
                <w:bCs/>
                <w:color w:val="000000"/>
              </w:rPr>
              <w:t>Paclitaxel</w:t>
            </w:r>
          </w:p>
        </w:tc>
      </w:tr>
      <w:tr w:rsidR="004408DC" w:rsidRPr="00382705" w:rsidTr="003043C7">
        <w:tc>
          <w:tcPr>
            <w:tcW w:w="1119" w:type="pct"/>
            <w:tcBorders>
              <w:bottom w:val="nil"/>
            </w:tcBorders>
            <w:shd w:val="clear" w:color="auto" w:fill="auto"/>
            <w:vAlign w:val="center"/>
          </w:tcPr>
          <w:p w:rsidR="004408DC" w:rsidRPr="00382705" w:rsidRDefault="004408DC" w:rsidP="002F03CC">
            <w:pPr>
              <w:pStyle w:val="Tabletext"/>
              <w:keepNext/>
              <w:rPr>
                <w:sz w:val="19"/>
                <w:szCs w:val="19"/>
              </w:rPr>
            </w:pPr>
            <w:r w:rsidRPr="00382705">
              <w:rPr>
                <w:sz w:val="19"/>
                <w:szCs w:val="19"/>
              </w:rPr>
              <w:t>Additional cost of paclitaxel</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6" w:type="pct"/>
            <w:tcBorders>
              <w:bottom w:val="nil"/>
            </w:tcBorders>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r>
      <w:tr w:rsidR="004408DC" w:rsidRPr="00382705" w:rsidTr="003043C7">
        <w:tc>
          <w:tcPr>
            <w:tcW w:w="1119" w:type="pct"/>
            <w:tcBorders>
              <w:top w:val="nil"/>
              <w:bottom w:val="single" w:sz="4" w:space="0" w:color="auto"/>
            </w:tcBorders>
            <w:shd w:val="clear" w:color="auto" w:fill="auto"/>
            <w:vAlign w:val="center"/>
          </w:tcPr>
          <w:p w:rsidR="004408DC" w:rsidRPr="00382705" w:rsidRDefault="004408DC" w:rsidP="002F03CC">
            <w:pPr>
              <w:pStyle w:val="Tabletext"/>
              <w:keepNext/>
              <w:rPr>
                <w:sz w:val="19"/>
                <w:szCs w:val="19"/>
              </w:rPr>
            </w:pPr>
            <w:r w:rsidRPr="00382705">
              <w:t>Revised</w:t>
            </w:r>
            <w:r w:rsidR="0027443C" w:rsidRPr="00382705">
              <w:rPr>
                <w:vertAlign w:val="superscript"/>
              </w:rPr>
              <w:t xml:space="preserve"> d</w:t>
            </w:r>
          </w:p>
        </w:tc>
        <w:tc>
          <w:tcPr>
            <w:tcW w:w="647" w:type="pct"/>
            <w:tcBorders>
              <w:top w:val="nil"/>
              <w:bottom w:val="single" w:sz="4" w:space="0" w:color="auto"/>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top w:val="nil"/>
              <w:bottom w:val="single" w:sz="4" w:space="0" w:color="auto"/>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top w:val="nil"/>
              <w:bottom w:val="single" w:sz="4" w:space="0" w:color="auto"/>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top w:val="nil"/>
              <w:bottom w:val="single" w:sz="4" w:space="0" w:color="auto"/>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top w:val="nil"/>
              <w:bottom w:val="single" w:sz="4" w:space="0" w:color="auto"/>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6" w:type="pct"/>
            <w:tcBorders>
              <w:top w:val="nil"/>
              <w:bottom w:val="single" w:sz="4" w:space="0" w:color="auto"/>
            </w:tcBorders>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r>
      <w:tr w:rsidR="004408DC" w:rsidRPr="00382705" w:rsidTr="003043C7">
        <w:tc>
          <w:tcPr>
            <w:tcW w:w="1119" w:type="pct"/>
            <w:tcBorders>
              <w:bottom w:val="nil"/>
            </w:tcBorders>
            <w:shd w:val="clear" w:color="auto" w:fill="auto"/>
            <w:vAlign w:val="center"/>
          </w:tcPr>
          <w:p w:rsidR="004408DC" w:rsidRPr="00382705" w:rsidRDefault="004408DC" w:rsidP="002F03CC">
            <w:pPr>
              <w:pStyle w:val="Tabletext"/>
              <w:keepNext/>
              <w:rPr>
                <w:sz w:val="19"/>
                <w:szCs w:val="19"/>
              </w:rPr>
            </w:pPr>
            <w:r w:rsidRPr="00382705">
              <w:rPr>
                <w:sz w:val="19"/>
                <w:szCs w:val="19"/>
              </w:rPr>
              <w:t>Copayments</w:t>
            </w:r>
            <w:r w:rsidR="0027443C" w:rsidRPr="00382705">
              <w:rPr>
                <w:vertAlign w:val="superscript"/>
              </w:rPr>
              <w:t xml:space="preserve"> c</w:t>
            </w:r>
          </w:p>
        </w:tc>
        <w:tc>
          <w:tcPr>
            <w:tcW w:w="647" w:type="pct"/>
            <w:tcBorders>
              <w:bottom w:val="nil"/>
            </w:tcBorders>
            <w:shd w:val="clear" w:color="auto" w:fill="auto"/>
          </w:tcPr>
          <w:p w:rsidR="004408DC" w:rsidRPr="00382705" w:rsidRDefault="004408DC" w:rsidP="002F03CC">
            <w:pPr>
              <w:pStyle w:val="Tabletext"/>
              <w:keepNext/>
              <w:jc w:val="center"/>
              <w:rPr>
                <w:bCs/>
                <w:color w:val="000000"/>
              </w:rPr>
            </w:pPr>
            <w:r w:rsidRPr="00382705">
              <w:t>-</w:t>
            </w:r>
          </w:p>
        </w:tc>
        <w:tc>
          <w:tcPr>
            <w:tcW w:w="647" w:type="pct"/>
            <w:tcBorders>
              <w:bottom w:val="nil"/>
            </w:tcBorders>
            <w:shd w:val="clear" w:color="auto" w:fill="auto"/>
          </w:tcPr>
          <w:p w:rsidR="004408DC" w:rsidRPr="00382705" w:rsidRDefault="004408DC" w:rsidP="002F03CC">
            <w:pPr>
              <w:pStyle w:val="Tabletext"/>
              <w:keepNext/>
              <w:jc w:val="center"/>
              <w:rPr>
                <w:bCs/>
                <w:color w:val="000000"/>
              </w:rPr>
            </w:pPr>
            <w:r w:rsidRPr="00382705">
              <w:t>-</w:t>
            </w:r>
          </w:p>
        </w:tc>
        <w:tc>
          <w:tcPr>
            <w:tcW w:w="647" w:type="pct"/>
            <w:tcBorders>
              <w:bottom w:val="nil"/>
            </w:tcBorders>
            <w:shd w:val="clear" w:color="auto" w:fill="auto"/>
          </w:tcPr>
          <w:p w:rsidR="004408DC" w:rsidRPr="00382705" w:rsidRDefault="004408DC" w:rsidP="002F03CC">
            <w:pPr>
              <w:pStyle w:val="Tabletext"/>
              <w:keepNext/>
              <w:jc w:val="center"/>
              <w:rPr>
                <w:bCs/>
                <w:color w:val="000000"/>
              </w:rPr>
            </w:pPr>
            <w:r w:rsidRPr="00382705">
              <w:t>-</w:t>
            </w:r>
          </w:p>
        </w:tc>
        <w:tc>
          <w:tcPr>
            <w:tcW w:w="647" w:type="pct"/>
            <w:tcBorders>
              <w:bottom w:val="nil"/>
            </w:tcBorders>
            <w:shd w:val="clear" w:color="auto" w:fill="auto"/>
          </w:tcPr>
          <w:p w:rsidR="004408DC" w:rsidRPr="00382705" w:rsidRDefault="004408DC" w:rsidP="002F03CC">
            <w:pPr>
              <w:pStyle w:val="Tabletext"/>
              <w:keepNext/>
              <w:jc w:val="center"/>
              <w:rPr>
                <w:bCs/>
                <w:color w:val="000000"/>
              </w:rPr>
            </w:pPr>
            <w:r w:rsidRPr="00382705">
              <w:t>-</w:t>
            </w:r>
          </w:p>
        </w:tc>
        <w:tc>
          <w:tcPr>
            <w:tcW w:w="647" w:type="pct"/>
            <w:tcBorders>
              <w:bottom w:val="nil"/>
            </w:tcBorders>
            <w:shd w:val="clear" w:color="auto" w:fill="auto"/>
          </w:tcPr>
          <w:p w:rsidR="004408DC" w:rsidRPr="00382705" w:rsidRDefault="004408DC" w:rsidP="002F03CC">
            <w:pPr>
              <w:pStyle w:val="Tabletext"/>
              <w:keepNext/>
              <w:jc w:val="center"/>
              <w:rPr>
                <w:bCs/>
                <w:color w:val="000000"/>
              </w:rPr>
            </w:pPr>
            <w:r w:rsidRPr="00382705">
              <w:t>-</w:t>
            </w:r>
          </w:p>
        </w:tc>
        <w:tc>
          <w:tcPr>
            <w:tcW w:w="646" w:type="pct"/>
            <w:tcBorders>
              <w:bottom w:val="nil"/>
            </w:tcBorders>
          </w:tcPr>
          <w:p w:rsidR="004408DC" w:rsidRPr="00382705" w:rsidRDefault="004408DC" w:rsidP="002F03CC">
            <w:pPr>
              <w:pStyle w:val="Tabletext"/>
              <w:keepNext/>
              <w:jc w:val="center"/>
              <w:rPr>
                <w:bCs/>
                <w:color w:val="000000"/>
              </w:rPr>
            </w:pPr>
            <w:r w:rsidRPr="00382705">
              <w:t>-</w:t>
            </w:r>
          </w:p>
        </w:tc>
      </w:tr>
      <w:tr w:rsidR="004408DC" w:rsidRPr="00382705" w:rsidTr="003043C7">
        <w:tc>
          <w:tcPr>
            <w:tcW w:w="1119" w:type="pct"/>
            <w:tcBorders>
              <w:top w:val="nil"/>
              <w:bottom w:val="single" w:sz="4" w:space="0" w:color="auto"/>
            </w:tcBorders>
            <w:shd w:val="clear" w:color="auto" w:fill="auto"/>
            <w:vAlign w:val="center"/>
          </w:tcPr>
          <w:p w:rsidR="004408DC" w:rsidRPr="00382705" w:rsidRDefault="004408DC" w:rsidP="002F03CC">
            <w:pPr>
              <w:pStyle w:val="Tabletext"/>
              <w:keepNext/>
              <w:rPr>
                <w:sz w:val="19"/>
                <w:szCs w:val="19"/>
              </w:rPr>
            </w:pPr>
            <w:r w:rsidRPr="00382705">
              <w:t>Revised</w:t>
            </w:r>
          </w:p>
        </w:tc>
        <w:tc>
          <w:tcPr>
            <w:tcW w:w="647" w:type="pct"/>
            <w:tcBorders>
              <w:top w:val="nil"/>
              <w:bottom w:val="single" w:sz="4" w:space="0" w:color="auto"/>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top w:val="nil"/>
              <w:bottom w:val="single" w:sz="4" w:space="0" w:color="auto"/>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top w:val="nil"/>
              <w:bottom w:val="single" w:sz="4" w:space="0" w:color="auto"/>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top w:val="nil"/>
              <w:bottom w:val="single" w:sz="4" w:space="0" w:color="auto"/>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top w:val="nil"/>
              <w:bottom w:val="single" w:sz="4" w:space="0" w:color="auto"/>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6" w:type="pct"/>
            <w:tcBorders>
              <w:top w:val="nil"/>
              <w:bottom w:val="single" w:sz="4" w:space="0" w:color="auto"/>
            </w:tcBorders>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r>
      <w:tr w:rsidR="004408DC" w:rsidRPr="00382705" w:rsidTr="003043C7">
        <w:tc>
          <w:tcPr>
            <w:tcW w:w="1119" w:type="pct"/>
            <w:tcBorders>
              <w:bottom w:val="nil"/>
            </w:tcBorders>
            <w:shd w:val="clear" w:color="auto" w:fill="auto"/>
          </w:tcPr>
          <w:p w:rsidR="004408DC" w:rsidRPr="00382705" w:rsidRDefault="004408DC" w:rsidP="002F03CC">
            <w:pPr>
              <w:pStyle w:val="Tabletext"/>
              <w:keepNext/>
              <w:rPr>
                <w:sz w:val="19"/>
                <w:szCs w:val="19"/>
              </w:rPr>
            </w:pPr>
            <w:r w:rsidRPr="00382705">
              <w:rPr>
                <w:b/>
              </w:rPr>
              <w:t>Cost to the PBS/RPBS</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c>
          <w:tcPr>
            <w:tcW w:w="646" w:type="pct"/>
            <w:tcBorders>
              <w:bottom w:val="nil"/>
            </w:tcBorders>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r>
      <w:tr w:rsidR="004408DC" w:rsidRPr="00382705" w:rsidTr="003043C7">
        <w:tc>
          <w:tcPr>
            <w:tcW w:w="1119" w:type="pct"/>
            <w:tcBorders>
              <w:top w:val="nil"/>
            </w:tcBorders>
            <w:shd w:val="clear" w:color="auto" w:fill="auto"/>
          </w:tcPr>
          <w:p w:rsidR="004408DC" w:rsidRPr="00382705" w:rsidRDefault="004408DC" w:rsidP="002F03CC">
            <w:pPr>
              <w:pStyle w:val="Tabletext"/>
              <w:keepNext/>
              <w:rPr>
                <w:sz w:val="19"/>
                <w:szCs w:val="19"/>
              </w:rPr>
            </w:pPr>
            <w:r w:rsidRPr="00382705">
              <w:rPr>
                <w:b/>
              </w:rPr>
              <w:t>Revised</w:t>
            </w:r>
          </w:p>
        </w:tc>
        <w:tc>
          <w:tcPr>
            <w:tcW w:w="647" w:type="pct"/>
            <w:tcBorders>
              <w:top w:val="nil"/>
            </w:tcBorders>
            <w:shd w:val="clear" w:color="auto" w:fill="auto"/>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c>
          <w:tcPr>
            <w:tcW w:w="647" w:type="pct"/>
            <w:tcBorders>
              <w:top w:val="nil"/>
            </w:tcBorders>
            <w:shd w:val="clear" w:color="auto" w:fill="auto"/>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c>
          <w:tcPr>
            <w:tcW w:w="647" w:type="pct"/>
            <w:tcBorders>
              <w:top w:val="nil"/>
            </w:tcBorders>
            <w:shd w:val="clear" w:color="auto" w:fill="auto"/>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c>
          <w:tcPr>
            <w:tcW w:w="647" w:type="pct"/>
            <w:tcBorders>
              <w:top w:val="nil"/>
            </w:tcBorders>
            <w:shd w:val="clear" w:color="auto" w:fill="auto"/>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c>
          <w:tcPr>
            <w:tcW w:w="647" w:type="pct"/>
            <w:tcBorders>
              <w:top w:val="nil"/>
            </w:tcBorders>
            <w:shd w:val="clear" w:color="auto" w:fill="auto"/>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c>
          <w:tcPr>
            <w:tcW w:w="646" w:type="pct"/>
            <w:tcBorders>
              <w:top w:val="nil"/>
            </w:tcBorders>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r>
      <w:tr w:rsidR="004408DC" w:rsidRPr="00382705" w:rsidTr="003043C7">
        <w:tc>
          <w:tcPr>
            <w:tcW w:w="5000" w:type="pct"/>
            <w:gridSpan w:val="7"/>
            <w:tcBorders>
              <w:bottom w:val="single" w:sz="4" w:space="0" w:color="auto"/>
            </w:tcBorders>
            <w:shd w:val="clear" w:color="auto" w:fill="auto"/>
            <w:vAlign w:val="center"/>
          </w:tcPr>
          <w:p w:rsidR="004408DC" w:rsidRPr="00382705" w:rsidRDefault="004408DC" w:rsidP="002F03CC">
            <w:pPr>
              <w:pStyle w:val="Tabletext"/>
              <w:keepNext/>
              <w:rPr>
                <w:b/>
                <w:bCs/>
                <w:color w:val="000000"/>
              </w:rPr>
            </w:pPr>
            <w:r w:rsidRPr="00382705">
              <w:rPr>
                <w:b/>
                <w:bCs/>
                <w:color w:val="000000"/>
              </w:rPr>
              <w:t>Premedications</w:t>
            </w:r>
          </w:p>
        </w:tc>
      </w:tr>
      <w:tr w:rsidR="004408DC" w:rsidRPr="00382705" w:rsidTr="003043C7">
        <w:tc>
          <w:tcPr>
            <w:tcW w:w="1119" w:type="pct"/>
            <w:tcBorders>
              <w:bottom w:val="nil"/>
            </w:tcBorders>
            <w:shd w:val="clear" w:color="auto" w:fill="auto"/>
          </w:tcPr>
          <w:p w:rsidR="004408DC" w:rsidRPr="00382705" w:rsidRDefault="004408DC" w:rsidP="002F03CC">
            <w:pPr>
              <w:pStyle w:val="Tabletext"/>
              <w:keepNext/>
              <w:rPr>
                <w:sz w:val="19"/>
                <w:szCs w:val="19"/>
              </w:rPr>
            </w:pPr>
            <w:r w:rsidRPr="00382705">
              <w:t>Additional cost of premedications</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6" w:type="pct"/>
            <w:tcBorders>
              <w:bottom w:val="nil"/>
            </w:tcBorders>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r>
      <w:tr w:rsidR="004408DC" w:rsidRPr="00382705" w:rsidTr="003043C7">
        <w:tc>
          <w:tcPr>
            <w:tcW w:w="1119" w:type="pct"/>
            <w:tcBorders>
              <w:top w:val="nil"/>
            </w:tcBorders>
            <w:shd w:val="clear" w:color="auto" w:fill="auto"/>
          </w:tcPr>
          <w:p w:rsidR="004408DC" w:rsidRPr="00382705" w:rsidRDefault="004408DC" w:rsidP="002F03CC">
            <w:pPr>
              <w:pStyle w:val="Tabletext"/>
              <w:keepNext/>
              <w:rPr>
                <w:sz w:val="19"/>
                <w:szCs w:val="19"/>
              </w:rPr>
            </w:pPr>
            <w:r w:rsidRPr="00382705">
              <w:t>Revised</w:t>
            </w:r>
            <w:r w:rsidR="0027443C" w:rsidRPr="00382705">
              <w:rPr>
                <w:vertAlign w:val="superscript"/>
              </w:rPr>
              <w:t xml:space="preserve"> e</w:t>
            </w:r>
          </w:p>
        </w:tc>
        <w:tc>
          <w:tcPr>
            <w:tcW w:w="647" w:type="pct"/>
            <w:tcBorders>
              <w:top w:val="nil"/>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top w:val="nil"/>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top w:val="nil"/>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top w:val="nil"/>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top w:val="nil"/>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6" w:type="pct"/>
            <w:tcBorders>
              <w:top w:val="nil"/>
            </w:tcBorders>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r>
      <w:tr w:rsidR="00385A9D" w:rsidRPr="00382705" w:rsidTr="003043C7">
        <w:tc>
          <w:tcPr>
            <w:tcW w:w="5000" w:type="pct"/>
            <w:gridSpan w:val="7"/>
            <w:tcBorders>
              <w:bottom w:val="single" w:sz="4" w:space="0" w:color="auto"/>
            </w:tcBorders>
            <w:shd w:val="clear" w:color="auto" w:fill="auto"/>
            <w:vAlign w:val="center"/>
          </w:tcPr>
          <w:p w:rsidR="00385A9D" w:rsidRPr="00382705" w:rsidRDefault="00385A9D" w:rsidP="002F03CC">
            <w:pPr>
              <w:pStyle w:val="Tabletext"/>
              <w:keepNext/>
              <w:rPr>
                <w:b/>
                <w:bCs/>
                <w:color w:val="000000"/>
              </w:rPr>
            </w:pPr>
            <w:r w:rsidRPr="00382705">
              <w:rPr>
                <w:b/>
                <w:bCs/>
                <w:color w:val="000000"/>
              </w:rPr>
              <w:t>Net financial implications</w:t>
            </w:r>
          </w:p>
        </w:tc>
      </w:tr>
      <w:tr w:rsidR="004408DC" w:rsidRPr="00382705" w:rsidTr="003043C7">
        <w:tc>
          <w:tcPr>
            <w:tcW w:w="1119" w:type="pct"/>
            <w:tcBorders>
              <w:bottom w:val="nil"/>
            </w:tcBorders>
            <w:shd w:val="clear" w:color="auto" w:fill="auto"/>
          </w:tcPr>
          <w:p w:rsidR="004408DC" w:rsidRPr="00382705" w:rsidRDefault="004408DC" w:rsidP="002F03CC">
            <w:pPr>
              <w:pStyle w:val="Tabletext"/>
              <w:keepNext/>
              <w:rPr>
                <w:sz w:val="19"/>
                <w:szCs w:val="19"/>
              </w:rPr>
            </w:pPr>
            <w:r w:rsidRPr="00382705">
              <w:rPr>
                <w:b/>
              </w:rPr>
              <w:t>Net cost to the PBS/RPBS</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c>
          <w:tcPr>
            <w:tcW w:w="646" w:type="pct"/>
            <w:tcBorders>
              <w:bottom w:val="nil"/>
            </w:tcBorders>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r>
      <w:tr w:rsidR="004408DC" w:rsidRPr="00382705" w:rsidTr="003043C7">
        <w:tc>
          <w:tcPr>
            <w:tcW w:w="1119" w:type="pct"/>
            <w:tcBorders>
              <w:top w:val="nil"/>
              <w:bottom w:val="single" w:sz="4" w:space="0" w:color="auto"/>
            </w:tcBorders>
            <w:shd w:val="clear" w:color="auto" w:fill="auto"/>
          </w:tcPr>
          <w:p w:rsidR="004408DC" w:rsidRPr="00382705" w:rsidRDefault="004408DC" w:rsidP="002F03CC">
            <w:pPr>
              <w:pStyle w:val="Tabletext"/>
              <w:keepNext/>
              <w:rPr>
                <w:sz w:val="19"/>
                <w:szCs w:val="19"/>
              </w:rPr>
            </w:pPr>
            <w:r w:rsidRPr="00382705">
              <w:rPr>
                <w:b/>
              </w:rPr>
              <w:t>Revised</w:t>
            </w:r>
          </w:p>
        </w:tc>
        <w:tc>
          <w:tcPr>
            <w:tcW w:w="647" w:type="pct"/>
            <w:tcBorders>
              <w:top w:val="nil"/>
              <w:bottom w:val="single" w:sz="4" w:space="0" w:color="auto"/>
            </w:tcBorders>
            <w:shd w:val="clear" w:color="auto" w:fill="auto"/>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c>
          <w:tcPr>
            <w:tcW w:w="647" w:type="pct"/>
            <w:tcBorders>
              <w:top w:val="nil"/>
              <w:bottom w:val="single" w:sz="4" w:space="0" w:color="auto"/>
            </w:tcBorders>
            <w:shd w:val="clear" w:color="auto" w:fill="auto"/>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c>
          <w:tcPr>
            <w:tcW w:w="647" w:type="pct"/>
            <w:tcBorders>
              <w:top w:val="nil"/>
              <w:bottom w:val="single" w:sz="4" w:space="0" w:color="auto"/>
            </w:tcBorders>
            <w:shd w:val="clear" w:color="auto" w:fill="auto"/>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c>
          <w:tcPr>
            <w:tcW w:w="647" w:type="pct"/>
            <w:tcBorders>
              <w:top w:val="nil"/>
              <w:bottom w:val="single" w:sz="4" w:space="0" w:color="auto"/>
            </w:tcBorders>
            <w:shd w:val="clear" w:color="auto" w:fill="auto"/>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c>
          <w:tcPr>
            <w:tcW w:w="647" w:type="pct"/>
            <w:tcBorders>
              <w:top w:val="nil"/>
              <w:bottom w:val="single" w:sz="4" w:space="0" w:color="auto"/>
            </w:tcBorders>
            <w:shd w:val="clear" w:color="auto" w:fill="auto"/>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c>
          <w:tcPr>
            <w:tcW w:w="646" w:type="pct"/>
            <w:tcBorders>
              <w:top w:val="nil"/>
              <w:bottom w:val="single" w:sz="4" w:space="0" w:color="auto"/>
            </w:tcBorders>
          </w:tcPr>
          <w:p w:rsidR="004408DC" w:rsidRPr="00382705" w:rsidRDefault="004408DC" w:rsidP="002F03CC">
            <w:pPr>
              <w:pStyle w:val="Tabletext"/>
              <w:keepNext/>
              <w:jc w:val="right"/>
              <w:rPr>
                <w:bCs/>
                <w:color w:val="000000"/>
              </w:rPr>
            </w:pPr>
            <w:r w:rsidRPr="00382705">
              <w:rPr>
                <w:b/>
              </w:rPr>
              <w:t>$</w:t>
            </w:r>
            <w:r w:rsidR="003B4E62">
              <w:rPr>
                <w:b/>
                <w:noProof/>
                <w:color w:val="000000"/>
                <w:highlight w:val="black"/>
              </w:rPr>
              <w:t>'''''''''''''''''''''</w:t>
            </w:r>
          </w:p>
        </w:tc>
      </w:tr>
      <w:tr w:rsidR="004408DC" w:rsidRPr="00382705" w:rsidTr="003043C7">
        <w:tc>
          <w:tcPr>
            <w:tcW w:w="1119" w:type="pct"/>
            <w:tcBorders>
              <w:bottom w:val="nil"/>
            </w:tcBorders>
            <w:shd w:val="clear" w:color="auto" w:fill="auto"/>
            <w:vAlign w:val="center"/>
          </w:tcPr>
          <w:p w:rsidR="004408DC" w:rsidRPr="00382705" w:rsidRDefault="004408DC" w:rsidP="002F03CC">
            <w:pPr>
              <w:pStyle w:val="Tabletext"/>
              <w:keepNext/>
              <w:rPr>
                <w:rFonts w:ascii="Times" w:hAnsi="Times"/>
              </w:rPr>
            </w:pPr>
            <w:r w:rsidRPr="00382705">
              <w:rPr>
                <w:sz w:val="19"/>
                <w:szCs w:val="19"/>
              </w:rPr>
              <w:t>Increased cost to MBS</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bottom w:val="nil"/>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6" w:type="pct"/>
            <w:tcBorders>
              <w:bottom w:val="nil"/>
            </w:tcBorders>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r>
      <w:tr w:rsidR="004408DC" w:rsidRPr="00382705" w:rsidTr="003043C7">
        <w:tc>
          <w:tcPr>
            <w:tcW w:w="1119" w:type="pct"/>
            <w:tcBorders>
              <w:top w:val="nil"/>
            </w:tcBorders>
            <w:shd w:val="clear" w:color="auto" w:fill="auto"/>
            <w:vAlign w:val="center"/>
          </w:tcPr>
          <w:p w:rsidR="004408DC" w:rsidRPr="00382705" w:rsidRDefault="004408DC" w:rsidP="002F03CC">
            <w:pPr>
              <w:pStyle w:val="Tabletext"/>
              <w:keepNext/>
              <w:rPr>
                <w:sz w:val="19"/>
                <w:szCs w:val="19"/>
              </w:rPr>
            </w:pPr>
            <w:r w:rsidRPr="00382705">
              <w:rPr>
                <w:sz w:val="19"/>
                <w:szCs w:val="19"/>
              </w:rPr>
              <w:t xml:space="preserve">Revised </w:t>
            </w:r>
            <w:r w:rsidR="007D7FC4" w:rsidRPr="00382705">
              <w:rPr>
                <w:sz w:val="19"/>
                <w:szCs w:val="19"/>
                <w:vertAlign w:val="superscript"/>
              </w:rPr>
              <w:t>f</w:t>
            </w:r>
          </w:p>
        </w:tc>
        <w:tc>
          <w:tcPr>
            <w:tcW w:w="647" w:type="pct"/>
            <w:tcBorders>
              <w:top w:val="nil"/>
            </w:tcBorders>
            <w:shd w:val="clear" w:color="auto" w:fill="auto"/>
          </w:tcPr>
          <w:p w:rsidR="004408DC" w:rsidRPr="00382705" w:rsidRDefault="00E2112D" w:rsidP="002F03CC">
            <w:pPr>
              <w:pStyle w:val="Tabletext"/>
              <w:keepNext/>
              <w:jc w:val="right"/>
              <w:rPr>
                <w:bCs/>
                <w:color w:val="000000"/>
              </w:rPr>
            </w:pPr>
            <w:r w:rsidRPr="00382705">
              <w:t>$</w:t>
            </w:r>
            <w:r w:rsidR="003B4E62">
              <w:rPr>
                <w:noProof/>
                <w:color w:val="000000"/>
                <w:highlight w:val="black"/>
              </w:rPr>
              <w:t>'''''''''''''''</w:t>
            </w:r>
          </w:p>
        </w:tc>
        <w:tc>
          <w:tcPr>
            <w:tcW w:w="647" w:type="pct"/>
            <w:tcBorders>
              <w:top w:val="nil"/>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top w:val="nil"/>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top w:val="nil"/>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7" w:type="pct"/>
            <w:tcBorders>
              <w:top w:val="nil"/>
            </w:tcBorders>
            <w:shd w:val="clear" w:color="auto" w:fill="auto"/>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c>
          <w:tcPr>
            <w:tcW w:w="646" w:type="pct"/>
            <w:tcBorders>
              <w:top w:val="nil"/>
            </w:tcBorders>
          </w:tcPr>
          <w:p w:rsidR="004408DC" w:rsidRPr="00382705" w:rsidRDefault="004408DC" w:rsidP="002F03CC">
            <w:pPr>
              <w:pStyle w:val="Tabletext"/>
              <w:keepNext/>
              <w:jc w:val="right"/>
              <w:rPr>
                <w:bCs/>
                <w:color w:val="000000"/>
              </w:rPr>
            </w:pPr>
            <w:r w:rsidRPr="00382705">
              <w:t>$</w:t>
            </w:r>
            <w:r w:rsidR="003B4E62">
              <w:rPr>
                <w:noProof/>
                <w:color w:val="000000"/>
                <w:highlight w:val="black"/>
              </w:rPr>
              <w:t>'''''''''''''''</w:t>
            </w:r>
          </w:p>
        </w:tc>
      </w:tr>
    </w:tbl>
    <w:p w:rsidR="00E466F3" w:rsidRPr="00382705" w:rsidRDefault="00E466F3" w:rsidP="002F03CC">
      <w:pPr>
        <w:pStyle w:val="TableFooter"/>
        <w:keepNext/>
        <w:widowControl/>
        <w:tabs>
          <w:tab w:val="left" w:pos="142"/>
        </w:tabs>
      </w:pPr>
      <w:r w:rsidRPr="00382705">
        <w:rPr>
          <w:vertAlign w:val="superscript"/>
        </w:rPr>
        <w:t>a</w:t>
      </w:r>
      <w:r w:rsidR="0027443C" w:rsidRPr="00382705">
        <w:t xml:space="preserve"> </w:t>
      </w:r>
      <w:r w:rsidR="00B079E2" w:rsidRPr="00382705">
        <w:t>Assuming 10</w:t>
      </w:r>
      <w:r w:rsidRPr="00382705">
        <w:t xml:space="preserve"> per year as estimated by the submission.</w:t>
      </w:r>
    </w:p>
    <w:p w:rsidR="0027443C" w:rsidRPr="00382705" w:rsidRDefault="0027443C" w:rsidP="002F03CC">
      <w:pPr>
        <w:pStyle w:val="TableFooter"/>
        <w:keepNext/>
        <w:widowControl/>
      </w:pPr>
      <w:r w:rsidRPr="00382705">
        <w:rPr>
          <w:vertAlign w:val="superscript"/>
        </w:rPr>
        <w:t>b</w:t>
      </w:r>
      <w:r w:rsidRPr="00382705">
        <w:t xml:space="preserve"> Estimate has been revised during the evaluation to incorporate the pharmacy mark-up, dispensing fees and use the efficient combination of vials.</w:t>
      </w:r>
    </w:p>
    <w:p w:rsidR="0027443C" w:rsidRPr="00382705" w:rsidRDefault="0027443C" w:rsidP="002F03CC">
      <w:pPr>
        <w:pStyle w:val="TableFooter"/>
        <w:keepNext/>
        <w:widowControl/>
      </w:pPr>
      <w:r w:rsidRPr="00382705">
        <w:rPr>
          <w:vertAlign w:val="superscript"/>
        </w:rPr>
        <w:t>c</w:t>
      </w:r>
      <w:r w:rsidRPr="00382705">
        <w:t xml:space="preserve"> Copayments were not included in the submission’s estimates as it was assumed that the setting of administration was as a day admitted patient in either a public or private hospital. An average patient </w:t>
      </w:r>
      <w:r w:rsidR="00CF38BF" w:rsidRPr="00382705">
        <w:t>co-payment</w:t>
      </w:r>
      <w:r w:rsidRPr="00382705">
        <w:t xml:space="preserve"> was estimated during the evaluation.</w:t>
      </w:r>
    </w:p>
    <w:p w:rsidR="0027443C" w:rsidRPr="000A61B8" w:rsidRDefault="0027443C" w:rsidP="002F03CC">
      <w:pPr>
        <w:pStyle w:val="TableFooter"/>
        <w:keepNext/>
        <w:widowControl/>
      </w:pPr>
      <w:r w:rsidRPr="00382705">
        <w:rPr>
          <w:vertAlign w:val="superscript"/>
        </w:rPr>
        <w:t>d</w:t>
      </w:r>
      <w:r w:rsidRPr="00382705">
        <w:t xml:space="preserve"> Revised during the evaluation to include the additional compound fee at a TGA-licensed compounding site (PBAC bevacizumab PSD, November 2015) (</w:t>
      </w:r>
      <w:r w:rsidRPr="000A61B8">
        <w:t xml:space="preserve">see Table 4.3.3, Attachment 4). </w:t>
      </w:r>
    </w:p>
    <w:p w:rsidR="0027443C" w:rsidRPr="000A61B8" w:rsidRDefault="0027443C" w:rsidP="002F03CC">
      <w:pPr>
        <w:pStyle w:val="TableFooter"/>
        <w:keepNext/>
        <w:widowControl/>
      </w:pPr>
      <w:r w:rsidRPr="000A61B8">
        <w:rPr>
          <w:vertAlign w:val="superscript"/>
        </w:rPr>
        <w:t>e</w:t>
      </w:r>
      <w:r w:rsidRPr="000A61B8">
        <w:t xml:space="preserve"> Estimates were revised during the evaluation due to an error in the calculation of the number of RPBS patients who qualify for the PBS safety net, where the proportion of patients who qualify for the safety net was multiplied by the number of private/general patient scripts.</w:t>
      </w:r>
    </w:p>
    <w:p w:rsidR="007D7FC4" w:rsidRPr="00382705" w:rsidRDefault="007D7FC4" w:rsidP="002F03CC">
      <w:pPr>
        <w:pStyle w:val="TableFooter"/>
        <w:keepNext/>
        <w:widowControl/>
      </w:pPr>
      <w:r w:rsidRPr="000A61B8">
        <w:rPr>
          <w:vertAlign w:val="superscript"/>
        </w:rPr>
        <w:t>f</w:t>
      </w:r>
      <w:r w:rsidRPr="000A61B8">
        <w:t xml:space="preserve"> The basis for the increased number of MBS services due to the listing of ramucirumab was not clear, as cell references in the workbook were not linked. The estimates have been revised to assume a complete blood count (MBS 65070), liver function test (MBS 66512) and serum electrolyte test (MBS 66509) for each additional private in-patient administration (see Section 4.5 of the Commentary).</w:t>
      </w:r>
      <w:r w:rsidRPr="00382705">
        <w:t xml:space="preserve"> </w:t>
      </w:r>
    </w:p>
    <w:p w:rsidR="00385A9D" w:rsidRPr="00382705" w:rsidRDefault="00385A9D" w:rsidP="002F03CC">
      <w:pPr>
        <w:pStyle w:val="TableFooter"/>
        <w:keepNext/>
        <w:widowControl/>
        <w:rPr>
          <w:rStyle w:val="CommentReference"/>
        </w:rPr>
      </w:pPr>
      <w:r w:rsidRPr="00382705">
        <w:t xml:space="preserve">Source: </w:t>
      </w:r>
      <w:r w:rsidR="00B079E2" w:rsidRPr="00382705">
        <w:t>Table 4.2.3, pp138-139; Table 4.3.1, p142; Table 4.3.2, p143; Table 4.4.1 and Table 4.5.1, p144 of the submission and ‘Other PBS Items’ sheet, ‘Section 4 Workbook (Cyramza) FINAL.xlsx’ workbook.</w:t>
      </w:r>
    </w:p>
    <w:p w:rsidR="00E772B9" w:rsidRDefault="002D04DF" w:rsidP="001A2733">
      <w:pPr>
        <w:pStyle w:val="ListParagraph"/>
        <w:widowControl/>
        <w:numPr>
          <w:ilvl w:val="1"/>
          <w:numId w:val="3"/>
        </w:numPr>
        <w:spacing w:before="120"/>
      </w:pPr>
      <w:r w:rsidRPr="00382705">
        <w:t xml:space="preserve">The submission presented univariate and multivariate sensitivity analyses around the assumptions used to estimate the number of patients eligible for RAM+PAC. Given the level of uncertainty in the estimates used in the base case analysis, it </w:t>
      </w:r>
      <w:r w:rsidR="00FD1C47" w:rsidRPr="00382705">
        <w:t>wa</w:t>
      </w:r>
      <w:r w:rsidRPr="00382705">
        <w:t xml:space="preserve">s </w:t>
      </w:r>
      <w:r w:rsidR="00FD1C47" w:rsidRPr="00382705">
        <w:t xml:space="preserve">unclear </w:t>
      </w:r>
      <w:r w:rsidRPr="00382705">
        <w:t xml:space="preserve">whether the </w:t>
      </w:r>
      <w:r w:rsidR="00E2112D" w:rsidRPr="00382705">
        <w:t xml:space="preserve">presented </w:t>
      </w:r>
      <w:r w:rsidRPr="00382705">
        <w:t xml:space="preserve">analyses represent plausible alternatives. The budget impact was sensitive to changes in these parameters. </w:t>
      </w:r>
    </w:p>
    <w:p w:rsidR="005250EB" w:rsidRPr="00F00837" w:rsidRDefault="002D04DF" w:rsidP="00E772B9">
      <w:pPr>
        <w:pStyle w:val="ListParagraph"/>
        <w:widowControl/>
        <w:numPr>
          <w:ilvl w:val="1"/>
          <w:numId w:val="3"/>
        </w:numPr>
      </w:pPr>
      <w:r w:rsidRPr="00382705">
        <w:t>An additional sensitivity analysis was conducted during the evaluation applying the same number of administrations of ramucirumab as was used in the economic mode</w:t>
      </w:r>
      <w:r w:rsidR="00FD1C47" w:rsidRPr="00382705">
        <w:t xml:space="preserve">l (i.e. </w:t>
      </w:r>
      <w:r w:rsidR="003B4E62">
        <w:rPr>
          <w:noProof/>
          <w:color w:val="000000"/>
          <w:highlight w:val="black"/>
        </w:rPr>
        <w:t xml:space="preserve">'''''''' </w:t>
      </w:r>
      <w:r w:rsidR="00FD1C47" w:rsidRPr="00366FAA">
        <w:t xml:space="preserve">instead of </w:t>
      </w:r>
      <w:r w:rsidR="003B4E62">
        <w:rPr>
          <w:noProof/>
          <w:color w:val="000000"/>
          <w:highlight w:val="black"/>
        </w:rPr>
        <w:t>'''''</w:t>
      </w:r>
      <w:r w:rsidR="00FD1C47" w:rsidRPr="00382705">
        <w:t>)</w:t>
      </w:r>
      <w:r w:rsidRPr="00382705">
        <w:t xml:space="preserve">. The financial impact of </w:t>
      </w:r>
      <w:r w:rsidR="00D41712">
        <w:t xml:space="preserve">listing </w:t>
      </w:r>
      <w:r w:rsidRPr="00382705">
        <w:t xml:space="preserve">ramucirumab was sensitive to </w:t>
      </w:r>
      <w:r w:rsidRPr="00F00837">
        <w:t>this change (</w:t>
      </w:r>
      <w:r w:rsidR="003B4E62">
        <w:rPr>
          <w:noProof/>
          <w:color w:val="000000"/>
          <w:highlight w:val="black"/>
        </w:rPr>
        <w:t>''''''</w:t>
      </w:r>
      <w:r w:rsidRPr="00F00837">
        <w:t>% increase).</w:t>
      </w:r>
      <w:r w:rsidR="00E772B9" w:rsidRPr="00F00837">
        <w:t xml:space="preserve"> </w:t>
      </w:r>
    </w:p>
    <w:p w:rsidR="00523232" w:rsidRDefault="00E772B9" w:rsidP="00523232">
      <w:pPr>
        <w:pStyle w:val="ListParagraph"/>
        <w:widowControl/>
        <w:numPr>
          <w:ilvl w:val="1"/>
          <w:numId w:val="3"/>
        </w:numPr>
      </w:pPr>
      <w:r w:rsidRPr="00F00837">
        <w:t xml:space="preserve">The ESC advised that RAM+PAC would </w:t>
      </w:r>
      <w:r w:rsidR="005617B3">
        <w:t xml:space="preserve">also </w:t>
      </w:r>
      <w:r w:rsidRPr="00F00837">
        <w:t>be use</w:t>
      </w:r>
      <w:r w:rsidR="005617B3">
        <w:t>d</w:t>
      </w:r>
      <w:r w:rsidRPr="00F00837">
        <w:t xml:space="preserve"> for patients who are HER2 positive and had progressed on trastuzumab in the first-line </w:t>
      </w:r>
      <w:r w:rsidR="005617B3">
        <w:t>together with</w:t>
      </w:r>
      <w:r w:rsidRPr="00F00837">
        <w:t xml:space="preserve"> platinum chemotherapy. The ESC considered that although only 6% of patients in the RAINBOW trial had prior targeted anti HER2 therapy with trastuzumab, prior trastuzumab use should be accounted for in the financial estimates, in accordance with the prevalence of HER2 positivity in advanced </w:t>
      </w:r>
      <w:r w:rsidR="000456F2" w:rsidRPr="00F00837">
        <w:t>G/GEJ adenocarcinoma</w:t>
      </w:r>
      <w:r w:rsidRPr="00F00837">
        <w:t>, which is reported to range from 10% to 20% in</w:t>
      </w:r>
      <w:r w:rsidR="00C01362" w:rsidRPr="00F00837">
        <w:t xml:space="preserve"> the literature (see paragraph 4.3</w:t>
      </w:r>
      <w:r w:rsidRPr="00F00837">
        <w:t>).</w:t>
      </w:r>
      <w:r w:rsidR="00523232">
        <w:t xml:space="preserve"> </w:t>
      </w:r>
    </w:p>
    <w:p w:rsidR="00F118B1" w:rsidRDefault="00F118B1" w:rsidP="00523232">
      <w:pPr>
        <w:pStyle w:val="ListParagraph"/>
        <w:widowControl/>
        <w:numPr>
          <w:ilvl w:val="1"/>
          <w:numId w:val="3"/>
        </w:numPr>
      </w:pPr>
      <w:r>
        <w:t>The PBAC noted that the financial estimates would need to be revised prior to listing to account for the price reduction required to achieve cost-effectiveness and prior trastuzumab use.</w:t>
      </w:r>
    </w:p>
    <w:p w:rsidR="00523232" w:rsidRPr="009643B5" w:rsidRDefault="00523232" w:rsidP="00DD3AD8">
      <w:pPr>
        <w:pStyle w:val="Heading2"/>
        <w:spacing w:after="160"/>
      </w:pPr>
      <w:r w:rsidRPr="009643B5">
        <w:t>Financial Management – Risk Sharing Arrangements</w:t>
      </w:r>
    </w:p>
    <w:p w:rsidR="00523232" w:rsidRDefault="00523232" w:rsidP="00523232">
      <w:pPr>
        <w:pStyle w:val="ListParagraph"/>
        <w:widowControl/>
        <w:numPr>
          <w:ilvl w:val="1"/>
          <w:numId w:val="3"/>
        </w:numPr>
      </w:pPr>
      <w:r w:rsidRPr="00F00837">
        <w:t xml:space="preserve">No risk sharing arrangements have been presented in the submission. </w:t>
      </w:r>
    </w:p>
    <w:p w:rsidR="00C053EF" w:rsidRPr="00C053EF" w:rsidRDefault="00523232" w:rsidP="00C053EF">
      <w:pPr>
        <w:pStyle w:val="ListParagraph"/>
        <w:widowControl/>
        <w:rPr>
          <w:rFonts w:asciiTheme="minorHAnsi" w:hAnsiTheme="minorHAnsi"/>
          <w:i/>
        </w:rPr>
      </w:pPr>
      <w:r>
        <w:t xml:space="preserve"> </w:t>
      </w:r>
      <w:r w:rsidRPr="009B4F11">
        <w:rPr>
          <w:rFonts w:asciiTheme="minorHAnsi" w:hAnsiTheme="minorHAnsi"/>
          <w:i/>
        </w:rPr>
        <w:t>For more detail on PBAC’s view, see section 7 PBAC outcome.</w:t>
      </w:r>
    </w:p>
    <w:p w:rsidR="00C053EF" w:rsidRPr="00276174" w:rsidRDefault="00C053EF" w:rsidP="002D4362">
      <w:pPr>
        <w:pStyle w:val="PBACHeading1"/>
      </w:pPr>
      <w:r w:rsidRPr="00276174">
        <w:t>PBAC Outcome</w:t>
      </w:r>
    </w:p>
    <w:p w:rsidR="00AF3743" w:rsidRDefault="00AF3743" w:rsidP="00AF3743">
      <w:pPr>
        <w:pStyle w:val="ListParagraph"/>
        <w:widowControl/>
        <w:numPr>
          <w:ilvl w:val="1"/>
          <w:numId w:val="3"/>
        </w:numPr>
      </w:pPr>
      <w:r w:rsidRPr="00AF3743">
        <w:t>The PBAC recommended the Section 100 Efficient Funding of Chemotherapy Authority Required (STREAMLINED) listing of ramucirumab for the treatment of G/GEJ adenocarcinoma. The PBAC considered that a substantial price reduction would be required for ramucirumab to be cost-effective against paclitaxel in the proposed PBS population.</w:t>
      </w:r>
    </w:p>
    <w:p w:rsidR="00D41712" w:rsidRDefault="00D41712" w:rsidP="00AF3743">
      <w:pPr>
        <w:pStyle w:val="ListParagraph"/>
        <w:widowControl/>
        <w:numPr>
          <w:ilvl w:val="1"/>
          <w:numId w:val="3"/>
        </w:numPr>
      </w:pPr>
      <w:r w:rsidRPr="00D41712">
        <w:t xml:space="preserve">In making this recommendation, the PBAC noted that G/GEJ adenocarcinoma was a highly aggressive cancer with </w:t>
      </w:r>
      <w:r w:rsidR="000F3080">
        <w:t xml:space="preserve">a </w:t>
      </w:r>
      <w:r w:rsidRPr="00D41712">
        <w:t xml:space="preserve">poor response to </w:t>
      </w:r>
      <w:r w:rsidR="000F3080">
        <w:t xml:space="preserve">second line </w:t>
      </w:r>
      <w:r w:rsidRPr="00D41712">
        <w:t xml:space="preserve">chemotherapy.   </w:t>
      </w:r>
    </w:p>
    <w:p w:rsidR="003578A0" w:rsidRPr="00F00837" w:rsidRDefault="003578A0" w:rsidP="003578A0">
      <w:pPr>
        <w:pStyle w:val="ListParagraph"/>
        <w:widowControl/>
        <w:numPr>
          <w:ilvl w:val="1"/>
          <w:numId w:val="3"/>
        </w:numPr>
      </w:pPr>
      <w:r>
        <w:rPr>
          <w:rFonts w:asciiTheme="minorHAnsi" w:hAnsiTheme="minorHAnsi"/>
          <w:bCs/>
          <w:lang w:val="en-GB"/>
        </w:rPr>
        <w:t xml:space="preserve">The PBAC agreed with the indication proposed by ESC, </w:t>
      </w:r>
      <w:r w:rsidRPr="00F00837">
        <w:t>‘gastric adenocarcinoma or gastro-oesop</w:t>
      </w:r>
      <w:r>
        <w:t>hageal junction adenocarcinoma’ and noted that this was consistent</w:t>
      </w:r>
      <w:r w:rsidRPr="00F00837">
        <w:t xml:space="preserve"> with the key trial evidence and the TGA-approved indication.</w:t>
      </w:r>
    </w:p>
    <w:p w:rsidR="003578A0" w:rsidRPr="003578A0" w:rsidRDefault="003578A0" w:rsidP="003578A0">
      <w:pPr>
        <w:pStyle w:val="ListParagraph"/>
        <w:numPr>
          <w:ilvl w:val="1"/>
          <w:numId w:val="3"/>
        </w:numPr>
        <w:rPr>
          <w:rFonts w:asciiTheme="minorHAnsi" w:hAnsiTheme="minorHAnsi"/>
          <w:bCs/>
          <w:lang w:val="en-GB"/>
        </w:rPr>
      </w:pPr>
      <w:r w:rsidRPr="003578A0">
        <w:rPr>
          <w:rFonts w:asciiTheme="minorHAnsi" w:hAnsiTheme="minorHAnsi"/>
          <w:bCs/>
          <w:lang w:val="en-GB"/>
        </w:rPr>
        <w:t xml:space="preserve">The PBAC considered that an Authority Required (STREAMLINED) listing for both initial and continuing treatment would be appropriate. </w:t>
      </w:r>
    </w:p>
    <w:p w:rsidR="00AA68DF" w:rsidRPr="005D0560" w:rsidRDefault="008E0526" w:rsidP="008E0526">
      <w:pPr>
        <w:pStyle w:val="ListParagraph"/>
        <w:widowControl/>
        <w:numPr>
          <w:ilvl w:val="1"/>
          <w:numId w:val="3"/>
        </w:numPr>
      </w:pPr>
      <w:r w:rsidRPr="008E0526">
        <w:t xml:space="preserve">The PBAC considered that the proposed place in therapy of ramucirumab with paclitaxel after progression on first-line treatment with platinum and fluoropyrimidine </w:t>
      </w:r>
      <w:r w:rsidR="00653E36" w:rsidRPr="008E0526">
        <w:t>chemotherapy</w:t>
      </w:r>
      <w:r w:rsidRPr="008E0526">
        <w:t xml:space="preserve"> was appropriate.</w:t>
      </w:r>
      <w:r>
        <w:t xml:space="preserve"> </w:t>
      </w:r>
      <w:r w:rsidR="00AA68DF">
        <w:t>The PBAC advised that taxanes or irinotecan were the most common second-line treatment used in the Australian clinical practice</w:t>
      </w:r>
      <w:r>
        <w:t xml:space="preserve">. </w:t>
      </w:r>
      <w:r w:rsidR="00AA68DF">
        <w:t xml:space="preserve">The PBAC welcomed MOGA’s input on this submission, </w:t>
      </w:r>
      <w:r w:rsidR="000F3080">
        <w:t xml:space="preserve">noting </w:t>
      </w:r>
      <w:r w:rsidR="00AA68DF">
        <w:t xml:space="preserve">it </w:t>
      </w:r>
      <w:r w:rsidR="000F3080">
        <w:t>only had an</w:t>
      </w:r>
      <w:r w:rsidR="00AA68DF">
        <w:t xml:space="preserve"> ESMO score of 2 (out of a maximum of 5).</w:t>
      </w:r>
    </w:p>
    <w:p w:rsidR="00FA229A" w:rsidRDefault="00FA229A" w:rsidP="003578A0">
      <w:pPr>
        <w:pStyle w:val="ListParagraph"/>
        <w:widowControl/>
        <w:numPr>
          <w:ilvl w:val="1"/>
          <w:numId w:val="3"/>
        </w:numPr>
        <w:rPr>
          <w:rFonts w:asciiTheme="minorHAnsi" w:hAnsiTheme="minorHAnsi"/>
          <w:bCs/>
          <w:lang w:val="en-GB"/>
        </w:rPr>
      </w:pPr>
      <w:r>
        <w:rPr>
          <w:rFonts w:asciiTheme="minorHAnsi" w:hAnsiTheme="minorHAnsi"/>
          <w:bCs/>
          <w:lang w:val="en-GB"/>
        </w:rPr>
        <w:t xml:space="preserve">The PBAC considered that paclitaxel monotherapy was the appropriate comparator. </w:t>
      </w:r>
    </w:p>
    <w:p w:rsidR="005D0560" w:rsidRPr="005D0560" w:rsidRDefault="00AA01F5" w:rsidP="005D0560">
      <w:pPr>
        <w:pStyle w:val="ListParagraph"/>
        <w:widowControl/>
        <w:numPr>
          <w:ilvl w:val="1"/>
          <w:numId w:val="3"/>
        </w:numPr>
        <w:rPr>
          <w:rFonts w:asciiTheme="minorHAnsi" w:hAnsiTheme="minorHAnsi"/>
          <w:bCs/>
          <w:lang w:val="en-GB"/>
        </w:rPr>
      </w:pPr>
      <w:r w:rsidRPr="00AA01F5">
        <w:rPr>
          <w:rFonts w:asciiTheme="minorHAnsi" w:hAnsiTheme="minorHAnsi"/>
          <w:bCs/>
          <w:lang w:val="en-GB"/>
        </w:rPr>
        <w:t xml:space="preserve">The </w:t>
      </w:r>
      <w:r>
        <w:rPr>
          <w:rFonts w:asciiTheme="minorHAnsi" w:hAnsiTheme="minorHAnsi"/>
          <w:bCs/>
          <w:lang w:val="en-GB"/>
        </w:rPr>
        <w:t xml:space="preserve">PBAC noted that the </w:t>
      </w:r>
      <w:r w:rsidRPr="00AA01F5">
        <w:rPr>
          <w:rFonts w:asciiTheme="minorHAnsi" w:hAnsiTheme="minorHAnsi"/>
          <w:bCs/>
          <w:lang w:val="en-GB"/>
        </w:rPr>
        <w:t xml:space="preserve">submission was based on </w:t>
      </w:r>
      <w:r w:rsidR="005D0560">
        <w:rPr>
          <w:rFonts w:asciiTheme="minorHAnsi" w:hAnsiTheme="minorHAnsi"/>
          <w:bCs/>
          <w:lang w:val="en-GB"/>
        </w:rPr>
        <w:t>a</w:t>
      </w:r>
      <w:r w:rsidRPr="00AA01F5">
        <w:rPr>
          <w:rFonts w:asciiTheme="minorHAnsi" w:hAnsiTheme="minorHAnsi"/>
          <w:bCs/>
          <w:lang w:val="en-GB"/>
        </w:rPr>
        <w:t xml:space="preserve"> head-to-head randomised trial (RAINBOW) </w:t>
      </w:r>
      <w:r w:rsidR="005D0560">
        <w:rPr>
          <w:rFonts w:asciiTheme="minorHAnsi" w:hAnsiTheme="minorHAnsi"/>
          <w:bCs/>
          <w:lang w:val="en-GB"/>
        </w:rPr>
        <w:t xml:space="preserve">comparing RAM+PAC with PBO+PAC. </w:t>
      </w:r>
      <w:r w:rsidR="005D0560" w:rsidRPr="005D0560">
        <w:rPr>
          <w:rFonts w:asciiTheme="minorHAnsi" w:hAnsiTheme="minorHAnsi"/>
          <w:bCs/>
          <w:lang w:val="en-GB"/>
        </w:rPr>
        <w:t xml:space="preserve">The </w:t>
      </w:r>
      <w:r w:rsidR="005D0560">
        <w:rPr>
          <w:rFonts w:asciiTheme="minorHAnsi" w:hAnsiTheme="minorHAnsi"/>
          <w:bCs/>
          <w:lang w:val="en-GB"/>
        </w:rPr>
        <w:t xml:space="preserve">PBAC noted that </w:t>
      </w:r>
      <w:r w:rsidR="005D0560" w:rsidRPr="005D0560">
        <w:rPr>
          <w:rFonts w:asciiTheme="minorHAnsi" w:hAnsiTheme="minorHAnsi"/>
          <w:bCs/>
          <w:lang w:val="en-GB"/>
        </w:rPr>
        <w:t xml:space="preserve">OS data </w:t>
      </w:r>
      <w:r w:rsidR="005D0560">
        <w:rPr>
          <w:rFonts w:asciiTheme="minorHAnsi" w:hAnsiTheme="minorHAnsi"/>
          <w:bCs/>
          <w:lang w:val="en-GB"/>
        </w:rPr>
        <w:t xml:space="preserve">in the RAINBOW trial </w:t>
      </w:r>
      <w:r w:rsidR="000F3080">
        <w:rPr>
          <w:rFonts w:asciiTheme="minorHAnsi" w:hAnsiTheme="minorHAnsi"/>
          <w:bCs/>
          <w:lang w:val="en-GB"/>
        </w:rPr>
        <w:t>was</w:t>
      </w:r>
      <w:r w:rsidR="005D0560" w:rsidRPr="005D0560">
        <w:rPr>
          <w:rFonts w:asciiTheme="minorHAnsi" w:hAnsiTheme="minorHAnsi"/>
          <w:bCs/>
          <w:lang w:val="en-GB"/>
        </w:rPr>
        <w:t xml:space="preserve"> mature as survival in both arms was about 10% by the end of the follow-up time. </w:t>
      </w:r>
    </w:p>
    <w:p w:rsidR="005D0560" w:rsidRPr="005D0560" w:rsidRDefault="005D0560" w:rsidP="0015643A">
      <w:pPr>
        <w:pStyle w:val="ListParagraph"/>
        <w:widowControl/>
        <w:numPr>
          <w:ilvl w:val="1"/>
          <w:numId w:val="3"/>
        </w:numPr>
        <w:rPr>
          <w:rFonts w:asciiTheme="minorHAnsi" w:hAnsiTheme="minorHAnsi"/>
          <w:bCs/>
          <w:lang w:val="en-GB"/>
        </w:rPr>
      </w:pPr>
      <w:r>
        <w:rPr>
          <w:rFonts w:asciiTheme="minorHAnsi" w:hAnsiTheme="minorHAnsi"/>
          <w:bCs/>
          <w:lang w:val="en-GB"/>
        </w:rPr>
        <w:t>The PBAC noted that i</w:t>
      </w:r>
      <w:r w:rsidRPr="005D0560">
        <w:rPr>
          <w:rFonts w:asciiTheme="minorHAnsi" w:hAnsiTheme="minorHAnsi"/>
          <w:bCs/>
          <w:lang w:val="en-GB"/>
        </w:rPr>
        <w:t xml:space="preserve">n the primary OS analysis, treatment with RAM+PAC reduced the risk of death by approximately 20% (HR = 0.807), representing a gain in median OS of 2.3 months. </w:t>
      </w:r>
      <w:r>
        <w:rPr>
          <w:rFonts w:asciiTheme="minorHAnsi" w:hAnsiTheme="minorHAnsi"/>
          <w:bCs/>
          <w:lang w:val="en-GB"/>
        </w:rPr>
        <w:t xml:space="preserve">The PBAC noted that </w:t>
      </w:r>
      <w:r w:rsidR="0015643A">
        <w:rPr>
          <w:rFonts w:asciiTheme="minorHAnsi" w:hAnsiTheme="minorHAnsi"/>
          <w:bCs/>
          <w:lang w:val="en-GB"/>
        </w:rPr>
        <w:t xml:space="preserve">the </w:t>
      </w:r>
      <w:r w:rsidR="0015643A" w:rsidRPr="0015643A">
        <w:rPr>
          <w:rFonts w:asciiTheme="minorHAnsi" w:hAnsiTheme="minorHAnsi"/>
          <w:bCs/>
          <w:lang w:val="en-GB"/>
        </w:rPr>
        <w:t xml:space="preserve">OS </w:t>
      </w:r>
      <w:r w:rsidR="0015643A">
        <w:rPr>
          <w:rFonts w:asciiTheme="minorHAnsi" w:hAnsiTheme="minorHAnsi"/>
          <w:bCs/>
          <w:lang w:val="en-GB"/>
        </w:rPr>
        <w:t xml:space="preserve">gain </w:t>
      </w:r>
      <w:r w:rsidR="009C5A3E">
        <w:rPr>
          <w:rFonts w:asciiTheme="minorHAnsi" w:hAnsiTheme="minorHAnsi"/>
          <w:bCs/>
          <w:lang w:val="en-GB"/>
        </w:rPr>
        <w:t xml:space="preserve">in </w:t>
      </w:r>
      <w:r w:rsidR="0015643A">
        <w:rPr>
          <w:rFonts w:asciiTheme="minorHAnsi" w:hAnsiTheme="minorHAnsi"/>
          <w:bCs/>
          <w:lang w:val="en-GB"/>
        </w:rPr>
        <w:t xml:space="preserve">Region 1 </w:t>
      </w:r>
      <w:r w:rsidR="0015643A" w:rsidRPr="0015643A">
        <w:rPr>
          <w:rFonts w:asciiTheme="minorHAnsi" w:hAnsiTheme="minorHAnsi"/>
          <w:bCs/>
          <w:lang w:val="en-GB"/>
        </w:rPr>
        <w:t>(HR = 0.73)</w:t>
      </w:r>
      <w:r w:rsidR="0015643A">
        <w:rPr>
          <w:rFonts w:asciiTheme="minorHAnsi" w:hAnsiTheme="minorHAnsi"/>
          <w:bCs/>
          <w:lang w:val="en-GB"/>
        </w:rPr>
        <w:t xml:space="preserve">, a pre-specified geographical subgroup that was demographically aligned to the proposed PBS population, was slightly higher than the ITT population. </w:t>
      </w:r>
    </w:p>
    <w:p w:rsidR="0015643A" w:rsidRPr="0015643A" w:rsidRDefault="0015643A" w:rsidP="004F436E">
      <w:pPr>
        <w:pStyle w:val="ListParagraph"/>
        <w:numPr>
          <w:ilvl w:val="1"/>
          <w:numId w:val="3"/>
        </w:numPr>
        <w:rPr>
          <w:rFonts w:asciiTheme="minorHAnsi" w:hAnsiTheme="minorHAnsi"/>
          <w:bCs/>
          <w:lang w:val="en-GB"/>
        </w:rPr>
      </w:pPr>
      <w:r w:rsidRPr="0015643A">
        <w:rPr>
          <w:rFonts w:asciiTheme="minorHAnsi" w:hAnsiTheme="minorHAnsi"/>
          <w:bCs/>
          <w:lang w:val="en-GB"/>
        </w:rPr>
        <w:t xml:space="preserve">The PBAC noted that there was a statistically significant increase in the frequencies of occurrence of bleeding/haemorrhage (except for gastrointestinal haemorrhage), epistaxis, hypertension and proteinuria events (any grade) in the RAM+PAC treatment arm compared with the PBO+PAC treatment arm. The PBAC </w:t>
      </w:r>
      <w:r w:rsidR="009C5A3E">
        <w:rPr>
          <w:rFonts w:asciiTheme="minorHAnsi" w:hAnsiTheme="minorHAnsi"/>
          <w:bCs/>
          <w:lang w:val="en-GB"/>
        </w:rPr>
        <w:t xml:space="preserve">also </w:t>
      </w:r>
      <w:r>
        <w:rPr>
          <w:rFonts w:asciiTheme="minorHAnsi" w:hAnsiTheme="minorHAnsi"/>
          <w:bCs/>
          <w:lang w:val="en-GB"/>
        </w:rPr>
        <w:t xml:space="preserve">noted that there was a </w:t>
      </w:r>
      <w:r w:rsidRPr="0015643A">
        <w:rPr>
          <w:rFonts w:asciiTheme="minorHAnsi" w:hAnsiTheme="minorHAnsi"/>
          <w:bCs/>
          <w:lang w:val="en-GB"/>
        </w:rPr>
        <w:t>significantly higher proportion of Grade ≥3 TEAEs (</w:t>
      </w:r>
      <w:r w:rsidRPr="00456E19">
        <w:rPr>
          <w:rFonts w:asciiTheme="minorHAnsi" w:hAnsiTheme="minorHAnsi"/>
          <w:bCs/>
          <w:lang w:val="en-GB"/>
        </w:rPr>
        <w:t>82% vs.63%)</w:t>
      </w:r>
      <w:r w:rsidRPr="0015643A">
        <w:rPr>
          <w:rFonts w:asciiTheme="minorHAnsi" w:hAnsiTheme="minorHAnsi"/>
          <w:bCs/>
          <w:lang w:val="en-GB"/>
        </w:rPr>
        <w:t xml:space="preserve"> in the RAM+PAC arm compared with the PBO+PAC arm. </w:t>
      </w:r>
      <w:r w:rsidR="004F436E">
        <w:rPr>
          <w:rFonts w:asciiTheme="minorHAnsi" w:hAnsiTheme="minorHAnsi"/>
          <w:bCs/>
          <w:lang w:val="en-GB"/>
        </w:rPr>
        <w:t>The</w:t>
      </w:r>
      <w:r w:rsidR="004F436E">
        <w:t xml:space="preserve"> PBAC noted that</w:t>
      </w:r>
      <w:r w:rsidR="004F436E" w:rsidRPr="00AC3D5B">
        <w:t xml:space="preserve"> the </w:t>
      </w:r>
      <w:r w:rsidR="004F436E">
        <w:t xml:space="preserve">addition of ramucirumab to paclitaxel </w:t>
      </w:r>
      <w:r w:rsidR="004F436E" w:rsidRPr="00AC3D5B">
        <w:t>increase</w:t>
      </w:r>
      <w:r w:rsidR="004F436E">
        <w:t>d</w:t>
      </w:r>
      <w:r w:rsidR="004F436E" w:rsidRPr="00AC3D5B">
        <w:t xml:space="preserve"> the toxicity without evidence of a definitive improvement in QoL.</w:t>
      </w:r>
    </w:p>
    <w:p w:rsidR="00A742B2" w:rsidRPr="00A742B2" w:rsidRDefault="00A742B2" w:rsidP="00A742B2">
      <w:pPr>
        <w:pStyle w:val="ListParagraph"/>
        <w:numPr>
          <w:ilvl w:val="1"/>
          <w:numId w:val="3"/>
        </w:numPr>
        <w:rPr>
          <w:rFonts w:asciiTheme="minorHAnsi" w:hAnsiTheme="minorHAnsi"/>
          <w:bCs/>
          <w:lang w:val="en-GB"/>
        </w:rPr>
      </w:pPr>
      <w:r w:rsidRPr="00A742B2">
        <w:rPr>
          <w:rFonts w:asciiTheme="minorHAnsi" w:hAnsiTheme="minorHAnsi"/>
          <w:bCs/>
          <w:lang w:val="en-GB"/>
        </w:rPr>
        <w:t>The PBAC therefore considered that while the submission’s claim of superior comparative effectiveness over paclitaxel monotherapy was acceptable in light of the modest OS improvement in the ITT population of the RAINBOW trial, the claim of non-inferior comparative safety was not reasonable, noting the significantly higher incidence of Grade 3 AEs in the RAM+PAC arm, and the cumulative effect of longer paclitaxel exposure (due to the longer treatment duration in the RAM+PAC arm) and known anti-angiogenic effects common with VEGF inhibitors like ramucirumab.</w:t>
      </w:r>
    </w:p>
    <w:p w:rsidR="00D1266F" w:rsidRDefault="00D1266F" w:rsidP="00D1266F">
      <w:pPr>
        <w:pStyle w:val="ListParagraph"/>
        <w:numPr>
          <w:ilvl w:val="1"/>
          <w:numId w:val="3"/>
        </w:numPr>
        <w:rPr>
          <w:rFonts w:asciiTheme="minorHAnsi" w:hAnsiTheme="minorHAnsi"/>
          <w:bCs/>
          <w:lang w:val="en-GB"/>
        </w:rPr>
      </w:pPr>
      <w:r>
        <w:rPr>
          <w:rFonts w:asciiTheme="minorHAnsi" w:hAnsiTheme="minorHAnsi"/>
          <w:bCs/>
          <w:lang w:val="en-GB"/>
        </w:rPr>
        <w:t>The PBAC noted that the submission presented a</w:t>
      </w:r>
      <w:r w:rsidRPr="00D1266F">
        <w:rPr>
          <w:rFonts w:asciiTheme="minorHAnsi" w:hAnsiTheme="minorHAnsi"/>
          <w:bCs/>
          <w:lang w:val="en-GB"/>
        </w:rPr>
        <w:t xml:space="preserve"> cost-utility analysis based on the RAINBOW trial</w:t>
      </w:r>
      <w:r>
        <w:rPr>
          <w:rFonts w:asciiTheme="minorHAnsi" w:hAnsiTheme="minorHAnsi"/>
          <w:bCs/>
          <w:lang w:val="en-GB"/>
        </w:rPr>
        <w:t xml:space="preserve">, with a time horizon of 7.23 years. </w:t>
      </w:r>
      <w:r>
        <w:t>The PBAC considered that the time horizon was highly optimistic, and advised that a time horizon of 2 years would be more reasonable</w:t>
      </w:r>
      <w:r w:rsidR="000F3080">
        <w:t xml:space="preserve"> for this disease</w:t>
      </w:r>
      <w:r>
        <w:t xml:space="preserve">, noting that </w:t>
      </w:r>
      <w:r w:rsidR="000F3080">
        <w:t xml:space="preserve">in the current submission </w:t>
      </w:r>
      <w:r>
        <w:t>this had minimal impact on the ICER.</w:t>
      </w:r>
    </w:p>
    <w:p w:rsidR="0015643A" w:rsidRPr="0015643A" w:rsidRDefault="00A742B2" w:rsidP="00FE0761">
      <w:pPr>
        <w:pStyle w:val="ListParagraph"/>
        <w:numPr>
          <w:ilvl w:val="1"/>
          <w:numId w:val="3"/>
        </w:numPr>
        <w:rPr>
          <w:rFonts w:asciiTheme="minorHAnsi" w:hAnsiTheme="minorHAnsi"/>
          <w:bCs/>
          <w:lang w:val="en-GB"/>
        </w:rPr>
      </w:pPr>
      <w:r>
        <w:rPr>
          <w:rFonts w:asciiTheme="minorHAnsi" w:hAnsiTheme="minorHAnsi"/>
          <w:bCs/>
          <w:lang w:val="en-GB"/>
        </w:rPr>
        <w:t>The PBAC noted that the submission presented a bas</w:t>
      </w:r>
      <w:r w:rsidR="00D1266F">
        <w:rPr>
          <w:rFonts w:asciiTheme="minorHAnsi" w:hAnsiTheme="minorHAnsi"/>
          <w:bCs/>
          <w:lang w:val="en-GB"/>
        </w:rPr>
        <w:t>e case</w:t>
      </w:r>
      <w:r>
        <w:rPr>
          <w:color w:val="000000" w:themeColor="text1"/>
        </w:rPr>
        <w:t xml:space="preserve"> (corrected for the erroneous AEMP value) of </w:t>
      </w:r>
      <w:r>
        <w:t>$</w:t>
      </w:r>
      <w:r w:rsidR="00FE0761" w:rsidRPr="00FE0761">
        <w:t>15,000/QALY - $45,000/QALY</w:t>
      </w:r>
      <w:r>
        <w:rPr>
          <w:color w:val="000000" w:themeColor="text1"/>
        </w:rPr>
        <w:t xml:space="preserve">. Correcting for several inappropriate assumptions in the base case identified in the commentary , </w:t>
      </w:r>
      <w:r>
        <w:rPr>
          <w:rFonts w:asciiTheme="minorHAnsi" w:hAnsiTheme="minorHAnsi"/>
          <w:bCs/>
          <w:lang w:val="en-GB"/>
        </w:rPr>
        <w:t>t</w:t>
      </w:r>
      <w:r w:rsidRPr="00A742B2">
        <w:rPr>
          <w:rFonts w:asciiTheme="minorHAnsi" w:hAnsiTheme="minorHAnsi"/>
          <w:bCs/>
          <w:lang w:val="en-GB"/>
        </w:rPr>
        <w:t>he PSCR presented a respecified base case ICER of $</w:t>
      </w:r>
      <w:r w:rsidR="00FE0761" w:rsidRPr="00FE0761">
        <w:rPr>
          <w:rFonts w:asciiTheme="minorHAnsi" w:hAnsiTheme="minorHAnsi"/>
          <w:bCs/>
          <w:lang w:val="en-GB"/>
        </w:rPr>
        <w:t>75,000/QALY – $105,000/QALY</w:t>
      </w:r>
      <w:r w:rsidR="00FE0761">
        <w:rPr>
          <w:rFonts w:asciiTheme="minorHAnsi" w:hAnsiTheme="minorHAnsi"/>
          <w:bCs/>
          <w:lang w:val="en-GB"/>
        </w:rPr>
        <w:t xml:space="preserve"> </w:t>
      </w:r>
      <w:r w:rsidRPr="00A742B2">
        <w:rPr>
          <w:rFonts w:asciiTheme="minorHAnsi" w:hAnsiTheme="minorHAnsi"/>
          <w:bCs/>
          <w:lang w:val="en-GB"/>
        </w:rPr>
        <w:t>gained, reflecting (i) the corrected AEMP; (ii) the inclusion of dispensing fees; (iii) costing of vials on a per administration basis, rather than a per treatment cycle basis; and (iv) an update to the cost of irinotecan to reflect the efficient combination of vials to deliver the average dose.</w:t>
      </w:r>
    </w:p>
    <w:p w:rsidR="00FA229A" w:rsidRPr="00C46157" w:rsidRDefault="00C46157" w:rsidP="00FE0761">
      <w:pPr>
        <w:pStyle w:val="ListParagraph"/>
        <w:widowControl/>
        <w:numPr>
          <w:ilvl w:val="1"/>
          <w:numId w:val="3"/>
        </w:numPr>
        <w:rPr>
          <w:rFonts w:asciiTheme="minorHAnsi" w:hAnsiTheme="minorHAnsi"/>
          <w:bCs/>
          <w:lang w:val="en-GB"/>
        </w:rPr>
      </w:pPr>
      <w:r>
        <w:rPr>
          <w:rFonts w:asciiTheme="minorHAnsi" w:hAnsiTheme="minorHAnsi"/>
          <w:bCs/>
          <w:lang w:val="en-GB"/>
        </w:rPr>
        <w:t xml:space="preserve">The PBAC noted that in response to ESC’s concerns regarding the inappropriate assumption of differential rates of hospitalisations, particularly in the post-progression health state, the pre-PBAC response </w:t>
      </w:r>
      <w:r>
        <w:t>presented a respecified base case of $</w:t>
      </w:r>
      <w:r w:rsidR="00FE0761" w:rsidRPr="00FE0761">
        <w:t>75,000/QALY – $105,000/QALY</w:t>
      </w:r>
      <w:r>
        <w:t xml:space="preserve">, assuming an equal rate of hospitalisation in the post-progression health </w:t>
      </w:r>
      <w:r w:rsidR="009C5A3E">
        <w:t xml:space="preserve">state </w:t>
      </w:r>
      <w:r>
        <w:t>in both arms of the model.</w:t>
      </w:r>
    </w:p>
    <w:p w:rsidR="00C46157" w:rsidRPr="00C46157" w:rsidRDefault="00C46157" w:rsidP="00C46157">
      <w:pPr>
        <w:pStyle w:val="ListParagraph"/>
        <w:numPr>
          <w:ilvl w:val="1"/>
          <w:numId w:val="3"/>
        </w:numPr>
        <w:rPr>
          <w:rFonts w:asciiTheme="minorHAnsi" w:hAnsiTheme="minorHAnsi"/>
          <w:bCs/>
          <w:lang w:val="en-GB"/>
        </w:rPr>
      </w:pPr>
      <w:r w:rsidRPr="00C46157">
        <w:rPr>
          <w:rFonts w:asciiTheme="minorHAnsi" w:hAnsiTheme="minorHAnsi"/>
          <w:bCs/>
          <w:lang w:val="en-GB"/>
        </w:rPr>
        <w:t>The PBAC noted that despite the rates being the same in both arms</w:t>
      </w:r>
      <w:r w:rsidR="009C5A3E">
        <w:rPr>
          <w:rFonts w:asciiTheme="minorHAnsi" w:hAnsiTheme="minorHAnsi"/>
          <w:bCs/>
          <w:lang w:val="en-GB"/>
        </w:rPr>
        <w:t xml:space="preserve"> of the model</w:t>
      </w:r>
      <w:r w:rsidRPr="00C46157">
        <w:rPr>
          <w:rFonts w:asciiTheme="minorHAnsi" w:hAnsiTheme="minorHAnsi"/>
          <w:bCs/>
          <w:lang w:val="en-GB"/>
        </w:rPr>
        <w:t xml:space="preserve">, because these were applied on a per cycle basis, and as time spent in post-progression state was longer with PAC than RAM+PAC, post-progression hospitalisation costs remained the main driver of cost offsets in the model. The PBAC therefore considered that it would be more reasonable to assume no hospitalisations in the post-progression health state. </w:t>
      </w:r>
    </w:p>
    <w:p w:rsidR="00C46157" w:rsidRPr="00F00837" w:rsidRDefault="00C46157" w:rsidP="00D86A0C">
      <w:pPr>
        <w:pStyle w:val="ListParagraph"/>
        <w:widowControl/>
        <w:numPr>
          <w:ilvl w:val="1"/>
          <w:numId w:val="3"/>
        </w:numPr>
        <w:rPr>
          <w:color w:val="000000" w:themeColor="text1"/>
        </w:rPr>
      </w:pPr>
      <w:r>
        <w:rPr>
          <w:color w:val="000000" w:themeColor="text1"/>
        </w:rPr>
        <w:t xml:space="preserve">The PBAC noted that assuming no hospitalisation in both arms in the post-progression state raised the pre-PBAC ICER </w:t>
      </w:r>
      <w:r w:rsidR="00111B58">
        <w:rPr>
          <w:color w:val="000000" w:themeColor="text1"/>
        </w:rPr>
        <w:t xml:space="preserve">from </w:t>
      </w:r>
      <w:r w:rsidR="00111B58">
        <w:t>$</w:t>
      </w:r>
      <w:r w:rsidR="00D86A0C" w:rsidRPr="00D86A0C">
        <w:t>$75,000 – $105,000</w:t>
      </w:r>
      <w:r w:rsidR="00D86A0C">
        <w:t xml:space="preserve"> per QALY </w:t>
      </w:r>
      <w:r>
        <w:rPr>
          <w:color w:val="000000" w:themeColor="text1"/>
        </w:rPr>
        <w:t xml:space="preserve">to </w:t>
      </w:r>
      <w:r w:rsidR="00D86A0C">
        <w:rPr>
          <w:color w:val="000000" w:themeColor="text1"/>
        </w:rPr>
        <w:t xml:space="preserve">more than $200,000 per </w:t>
      </w:r>
      <w:r>
        <w:rPr>
          <w:color w:val="000000" w:themeColor="text1"/>
        </w:rPr>
        <w:t>QALY</w:t>
      </w:r>
      <w:r w:rsidR="00D1266F">
        <w:rPr>
          <w:color w:val="000000" w:themeColor="text1"/>
        </w:rPr>
        <w:t xml:space="preserve">. Further, the PBAC note that </w:t>
      </w:r>
      <w:r>
        <w:rPr>
          <w:color w:val="000000" w:themeColor="text1"/>
        </w:rPr>
        <w:t xml:space="preserve">the price per vial of ramucirumab remained the </w:t>
      </w:r>
      <w:r w:rsidR="00D1266F">
        <w:rPr>
          <w:color w:val="000000" w:themeColor="text1"/>
        </w:rPr>
        <w:t xml:space="preserve">only key </w:t>
      </w:r>
      <w:r>
        <w:rPr>
          <w:color w:val="000000" w:themeColor="text1"/>
        </w:rPr>
        <w:t>driver of the model</w:t>
      </w:r>
      <w:r w:rsidR="00D1266F">
        <w:rPr>
          <w:color w:val="000000" w:themeColor="text1"/>
        </w:rPr>
        <w:t xml:space="preserve"> at this ICER</w:t>
      </w:r>
      <w:r>
        <w:rPr>
          <w:color w:val="000000" w:themeColor="text1"/>
        </w:rPr>
        <w:t xml:space="preserve">. The PBAC considered that cost-effectiveness of ramucirumab was unacceptably high at this ICER, particularly in light of its modest clinical benefit and significant toxicity. The PBAC therefore advised that ramucirumab </w:t>
      </w:r>
      <w:r w:rsidR="00AF3743">
        <w:rPr>
          <w:color w:val="000000" w:themeColor="text1"/>
        </w:rPr>
        <w:t>would be acceptably cost-effective</w:t>
      </w:r>
      <w:r>
        <w:rPr>
          <w:color w:val="000000" w:themeColor="text1"/>
        </w:rPr>
        <w:t xml:space="preserve"> at an ICER</w:t>
      </w:r>
      <w:r w:rsidR="00AF3743">
        <w:rPr>
          <w:color w:val="000000" w:themeColor="text1"/>
        </w:rPr>
        <w:t xml:space="preserve"> </w:t>
      </w:r>
      <w:r>
        <w:rPr>
          <w:color w:val="000000" w:themeColor="text1"/>
        </w:rPr>
        <w:t xml:space="preserve">range of </w:t>
      </w:r>
      <w:r w:rsidR="00D86A0C">
        <w:rPr>
          <w:color w:val="000000" w:themeColor="text1"/>
        </w:rPr>
        <w:t>$15,000</w:t>
      </w:r>
      <w:r w:rsidR="00D86A0C" w:rsidRPr="00D86A0C">
        <w:rPr>
          <w:color w:val="000000" w:themeColor="text1"/>
        </w:rPr>
        <w:t xml:space="preserve"> - $45,00</w:t>
      </w:r>
      <w:r w:rsidR="00D86A0C">
        <w:rPr>
          <w:color w:val="000000" w:themeColor="text1"/>
        </w:rPr>
        <w:t xml:space="preserve">0 per </w:t>
      </w:r>
      <w:r w:rsidR="00D86A0C" w:rsidRPr="00D86A0C">
        <w:rPr>
          <w:color w:val="000000" w:themeColor="text1"/>
        </w:rPr>
        <w:t>QALY</w:t>
      </w:r>
      <w:r w:rsidR="00D86A0C">
        <w:rPr>
          <w:color w:val="000000" w:themeColor="text1"/>
        </w:rPr>
        <w:t xml:space="preserve"> to </w:t>
      </w:r>
      <w:r w:rsidR="00D86A0C" w:rsidRPr="00D86A0C">
        <w:rPr>
          <w:color w:val="000000" w:themeColor="text1"/>
        </w:rPr>
        <w:t>$15,000 - $45,000 per QALY</w:t>
      </w:r>
      <w:r w:rsidR="00FB100C">
        <w:rPr>
          <w:color w:val="000000" w:themeColor="text1"/>
        </w:rPr>
        <w:t>, incorporating the above change to hospitalisations</w:t>
      </w:r>
      <w:r>
        <w:rPr>
          <w:color w:val="000000" w:themeColor="text1"/>
        </w:rPr>
        <w:t xml:space="preserve">, noting that the </w:t>
      </w:r>
      <w:r w:rsidR="00FB100C">
        <w:rPr>
          <w:color w:val="000000" w:themeColor="text1"/>
        </w:rPr>
        <w:t xml:space="preserve">original </w:t>
      </w:r>
      <w:r>
        <w:rPr>
          <w:color w:val="000000" w:themeColor="text1"/>
        </w:rPr>
        <w:t>ICER presented in the submission</w:t>
      </w:r>
      <w:r w:rsidR="00FB100C">
        <w:rPr>
          <w:color w:val="000000" w:themeColor="text1"/>
        </w:rPr>
        <w:t xml:space="preserve"> by the sponsor</w:t>
      </w:r>
      <w:r>
        <w:rPr>
          <w:color w:val="000000" w:themeColor="text1"/>
        </w:rPr>
        <w:t xml:space="preserve"> (corrected for the erroneous AEMP value) was </w:t>
      </w:r>
      <w:r w:rsidR="00D86A0C" w:rsidRPr="00D86A0C">
        <w:t>$15,000</w:t>
      </w:r>
      <w:r w:rsidR="00D86A0C">
        <w:t>/QALY</w:t>
      </w:r>
      <w:r w:rsidR="00D86A0C" w:rsidRPr="00D86A0C">
        <w:t xml:space="preserve"> - $45,000 </w:t>
      </w:r>
      <w:r>
        <w:t>/QALY</w:t>
      </w:r>
      <w:r>
        <w:rPr>
          <w:color w:val="000000" w:themeColor="text1"/>
        </w:rPr>
        <w:t>. The PBAC noted that a price reduction of approximately</w:t>
      </w:r>
      <w:r w:rsidR="00AF3743">
        <w:rPr>
          <w:color w:val="000000" w:themeColor="text1"/>
        </w:rPr>
        <w:t xml:space="preserve"> </w:t>
      </w:r>
      <w:r w:rsidR="003B4E62">
        <w:rPr>
          <w:noProof/>
          <w:color w:val="000000"/>
          <w:highlight w:val="black"/>
        </w:rPr>
        <w:t>'''''</w:t>
      </w:r>
      <w:r w:rsidR="00653E36">
        <w:rPr>
          <w:color w:val="000000" w:themeColor="text1"/>
        </w:rPr>
        <w:t>%</w:t>
      </w:r>
      <w:r>
        <w:rPr>
          <w:color w:val="000000" w:themeColor="text1"/>
        </w:rPr>
        <w:t xml:space="preserve"> would be required to reduce the ICER to the acceptable range of </w:t>
      </w:r>
      <w:r w:rsidR="00D86A0C" w:rsidRPr="00D86A0C">
        <w:rPr>
          <w:color w:val="000000" w:themeColor="text1"/>
        </w:rPr>
        <w:t xml:space="preserve">$15,000 - $45,000 per QALY </w:t>
      </w:r>
      <w:r w:rsidR="00D86A0C">
        <w:rPr>
          <w:color w:val="000000" w:themeColor="text1"/>
        </w:rPr>
        <w:t>to $15,000 - $45,000 per QALY</w:t>
      </w:r>
      <w:r>
        <w:rPr>
          <w:color w:val="000000" w:themeColor="text1"/>
        </w:rPr>
        <w:t xml:space="preserve">. </w:t>
      </w:r>
    </w:p>
    <w:p w:rsidR="009E6996" w:rsidRPr="009E6996" w:rsidRDefault="009E6996" w:rsidP="009E6996">
      <w:pPr>
        <w:pStyle w:val="ListParagraph"/>
        <w:widowControl/>
        <w:numPr>
          <w:ilvl w:val="1"/>
          <w:numId w:val="3"/>
        </w:numPr>
      </w:pPr>
      <w:r w:rsidRPr="009E6996">
        <w:t>The PBAC noted the estimated use of ramucirumab is highly uncertain. The PBAC considered that the majority of patients who are fit enough for second line treatment will receive treatment with the combination of ramucirumab and paclitaxel</w:t>
      </w:r>
      <w:r w:rsidR="002C6D16">
        <w:t>,</w:t>
      </w:r>
      <w:r w:rsidRPr="009E6996">
        <w:t xml:space="preserve"> whereas the submission assumed that 60% of second line patients would receive</w:t>
      </w:r>
      <w:r>
        <w:t xml:space="preserve"> paclitaxel-based therapy</w:t>
      </w:r>
      <w:r w:rsidRPr="009E6996">
        <w:t xml:space="preserve"> and 75% of these would be eligible for combination therapy with ramucirumab. Therefore the number of patients treated with ramucirumab and the financial impact of listing may be underestimated.</w:t>
      </w:r>
    </w:p>
    <w:p w:rsidR="00C46157" w:rsidRDefault="00C46157" w:rsidP="00C46157">
      <w:pPr>
        <w:pStyle w:val="ListParagraph"/>
        <w:widowControl/>
        <w:numPr>
          <w:ilvl w:val="1"/>
          <w:numId w:val="3"/>
        </w:numPr>
      </w:pPr>
      <w:r>
        <w:rPr>
          <w:rFonts w:asciiTheme="minorHAnsi" w:hAnsiTheme="minorHAnsi"/>
          <w:bCs/>
          <w:lang w:val="en-GB"/>
        </w:rPr>
        <w:t xml:space="preserve">The PBAC noted the modest financial impact and low risk of leakage of </w:t>
      </w:r>
      <w:r w:rsidR="00AF3743">
        <w:rPr>
          <w:rFonts w:asciiTheme="minorHAnsi" w:hAnsiTheme="minorHAnsi"/>
          <w:bCs/>
          <w:lang w:val="en-GB"/>
        </w:rPr>
        <w:t xml:space="preserve">listing </w:t>
      </w:r>
      <w:r>
        <w:rPr>
          <w:rFonts w:asciiTheme="minorHAnsi" w:hAnsiTheme="minorHAnsi"/>
          <w:bCs/>
          <w:lang w:val="en-GB"/>
        </w:rPr>
        <w:t xml:space="preserve">ramucirumab, and advised that the </w:t>
      </w:r>
      <w:r>
        <w:t>financial estimates would need to be revised prior to listing to account for the price reduction required to achieve the desired cost-effectiveness and prior trastuzumab use as per ESC’s advice (see para</w:t>
      </w:r>
      <w:r w:rsidR="009E6996">
        <w:t>graph</w:t>
      </w:r>
      <w:r>
        <w:t xml:space="preserve"> </w:t>
      </w:r>
      <w:r w:rsidR="009E6996">
        <w:t>6.63</w:t>
      </w:r>
      <w:r>
        <w:t>).</w:t>
      </w:r>
    </w:p>
    <w:p w:rsidR="00AA01F5" w:rsidRPr="001910A2" w:rsidRDefault="00AA01F5" w:rsidP="00325465">
      <w:pPr>
        <w:pStyle w:val="ListParagraph"/>
        <w:widowControl/>
        <w:numPr>
          <w:ilvl w:val="1"/>
          <w:numId w:val="3"/>
        </w:numPr>
        <w:rPr>
          <w:rFonts w:asciiTheme="minorHAnsi" w:hAnsiTheme="minorHAnsi"/>
          <w:szCs w:val="24"/>
        </w:rPr>
      </w:pPr>
      <w:r w:rsidRPr="001910A2">
        <w:rPr>
          <w:rFonts w:asciiTheme="minorHAnsi" w:hAnsiTheme="minorHAnsi"/>
          <w:szCs w:val="24"/>
        </w:rPr>
        <w:t xml:space="preserve">The PBAC advised that the Early Supply Rule should </w:t>
      </w:r>
      <w:r w:rsidR="00AF04AE" w:rsidRPr="001910A2">
        <w:rPr>
          <w:rFonts w:asciiTheme="minorHAnsi" w:hAnsiTheme="minorHAnsi"/>
          <w:szCs w:val="24"/>
        </w:rPr>
        <w:t xml:space="preserve">not </w:t>
      </w:r>
      <w:r w:rsidRPr="001910A2">
        <w:rPr>
          <w:rFonts w:asciiTheme="minorHAnsi" w:hAnsiTheme="minorHAnsi"/>
          <w:szCs w:val="24"/>
        </w:rPr>
        <w:t xml:space="preserve">apply to the listing of </w:t>
      </w:r>
      <w:r>
        <w:rPr>
          <w:rFonts w:asciiTheme="minorHAnsi" w:hAnsiTheme="minorHAnsi"/>
          <w:szCs w:val="24"/>
        </w:rPr>
        <w:t>ramucirumab</w:t>
      </w:r>
      <w:r w:rsidRPr="001910A2">
        <w:rPr>
          <w:rFonts w:asciiTheme="minorHAnsi" w:hAnsiTheme="minorHAnsi"/>
          <w:szCs w:val="24"/>
        </w:rPr>
        <w:t>.</w:t>
      </w:r>
    </w:p>
    <w:p w:rsidR="00AA01F5" w:rsidRPr="001910A2" w:rsidRDefault="00AA01F5" w:rsidP="00325465">
      <w:pPr>
        <w:pStyle w:val="ListParagraph"/>
        <w:widowControl/>
        <w:numPr>
          <w:ilvl w:val="1"/>
          <w:numId w:val="3"/>
        </w:numPr>
        <w:rPr>
          <w:rFonts w:asciiTheme="minorHAnsi" w:hAnsiTheme="minorHAnsi"/>
          <w:szCs w:val="24"/>
        </w:rPr>
      </w:pPr>
      <w:r w:rsidRPr="001910A2">
        <w:rPr>
          <w:rFonts w:asciiTheme="minorHAnsi" w:hAnsiTheme="minorHAnsi"/>
          <w:szCs w:val="24"/>
        </w:rPr>
        <w:t xml:space="preserve">The PBAC advised that under subsection 101(3BA) of the </w:t>
      </w:r>
      <w:r w:rsidRPr="001910A2">
        <w:rPr>
          <w:rFonts w:asciiTheme="minorHAnsi" w:hAnsiTheme="minorHAnsi"/>
          <w:i/>
          <w:szCs w:val="24"/>
        </w:rPr>
        <w:t>National Health Act, 1953</w:t>
      </w:r>
      <w:r w:rsidRPr="001910A2">
        <w:rPr>
          <w:rFonts w:asciiTheme="minorHAnsi" w:hAnsiTheme="minorHAnsi"/>
          <w:szCs w:val="24"/>
        </w:rPr>
        <w:t xml:space="preserve"> that </w:t>
      </w:r>
      <w:r>
        <w:rPr>
          <w:rFonts w:asciiTheme="minorHAnsi" w:hAnsiTheme="minorHAnsi"/>
          <w:szCs w:val="24"/>
        </w:rPr>
        <w:t>ramucirumab</w:t>
      </w:r>
      <w:r w:rsidRPr="001910A2">
        <w:rPr>
          <w:rFonts w:asciiTheme="minorHAnsi" w:hAnsiTheme="minorHAnsi"/>
          <w:szCs w:val="24"/>
        </w:rPr>
        <w:t xml:space="preserve"> should not be treated as interchangeable on an individual patient basis with any other drugs.</w:t>
      </w:r>
    </w:p>
    <w:p w:rsidR="00AA01F5" w:rsidRPr="001910A2" w:rsidRDefault="00AA01F5" w:rsidP="00325465">
      <w:pPr>
        <w:pStyle w:val="ListParagraph"/>
        <w:widowControl/>
        <w:numPr>
          <w:ilvl w:val="1"/>
          <w:numId w:val="3"/>
        </w:numPr>
        <w:rPr>
          <w:rFonts w:asciiTheme="minorHAnsi" w:hAnsiTheme="minorHAnsi"/>
          <w:szCs w:val="24"/>
        </w:rPr>
      </w:pPr>
      <w:r w:rsidRPr="001910A2">
        <w:rPr>
          <w:rFonts w:asciiTheme="minorHAnsi" w:hAnsiTheme="minorHAnsi"/>
          <w:szCs w:val="24"/>
        </w:rPr>
        <w:t xml:space="preserve">The PBAC advised that </w:t>
      </w:r>
      <w:r>
        <w:rPr>
          <w:rFonts w:asciiTheme="minorHAnsi" w:hAnsiTheme="minorHAnsi"/>
          <w:szCs w:val="24"/>
        </w:rPr>
        <w:t>ramucirumab</w:t>
      </w:r>
      <w:r w:rsidRPr="001910A2">
        <w:rPr>
          <w:rFonts w:asciiTheme="minorHAnsi" w:hAnsiTheme="minorHAnsi"/>
          <w:szCs w:val="24"/>
        </w:rPr>
        <w:t xml:space="preserve"> is not suitable for pres</w:t>
      </w:r>
      <w:r>
        <w:rPr>
          <w:rFonts w:asciiTheme="minorHAnsi" w:hAnsiTheme="minorHAnsi"/>
          <w:szCs w:val="24"/>
        </w:rPr>
        <w:t>cribing by nurse practitioners.</w:t>
      </w:r>
    </w:p>
    <w:p w:rsidR="00AA01F5" w:rsidRPr="001910A2" w:rsidRDefault="00AA01F5" w:rsidP="00AA01F5">
      <w:pPr>
        <w:pStyle w:val="ListParagraph"/>
        <w:numPr>
          <w:ilvl w:val="1"/>
          <w:numId w:val="3"/>
        </w:numPr>
        <w:spacing w:after="0"/>
        <w:contextualSpacing/>
        <w:rPr>
          <w:rFonts w:asciiTheme="minorHAnsi" w:hAnsiTheme="minorHAnsi"/>
          <w:szCs w:val="24"/>
        </w:rPr>
      </w:pPr>
      <w:r w:rsidRPr="001910A2">
        <w:rPr>
          <w:rFonts w:asciiTheme="minorHAnsi" w:hAnsiTheme="minorHAnsi"/>
          <w:szCs w:val="24"/>
        </w:rPr>
        <w:t>The PBAC noted that this submission is not eligible for an Independent Review because the PBAC has made a positive recommendation.</w:t>
      </w:r>
    </w:p>
    <w:p w:rsidR="00C053EF" w:rsidRPr="00276174" w:rsidRDefault="00C053EF" w:rsidP="001A2733">
      <w:pPr>
        <w:spacing w:before="120"/>
        <w:rPr>
          <w:rFonts w:asciiTheme="minorHAnsi" w:hAnsiTheme="minorHAnsi"/>
          <w:b/>
          <w:bCs/>
          <w:lang w:val="en-GB"/>
        </w:rPr>
      </w:pPr>
      <w:r w:rsidRPr="00276174">
        <w:rPr>
          <w:rFonts w:asciiTheme="minorHAnsi" w:hAnsiTheme="minorHAnsi"/>
          <w:b/>
          <w:bCs/>
          <w:lang w:val="en-GB"/>
        </w:rPr>
        <w:t>Outcome:</w:t>
      </w:r>
    </w:p>
    <w:p w:rsidR="00C053EF" w:rsidRPr="00276174" w:rsidRDefault="00C053EF" w:rsidP="00C053EF">
      <w:pPr>
        <w:rPr>
          <w:rFonts w:asciiTheme="minorHAnsi" w:hAnsiTheme="minorHAnsi"/>
          <w:bCs/>
          <w:lang w:val="en-GB"/>
        </w:rPr>
      </w:pPr>
      <w:r w:rsidRPr="00276174">
        <w:rPr>
          <w:rFonts w:asciiTheme="minorHAnsi" w:hAnsiTheme="minorHAnsi"/>
          <w:bCs/>
          <w:lang w:val="en-GB"/>
        </w:rPr>
        <w:t>Recommended</w:t>
      </w:r>
    </w:p>
    <w:p w:rsidR="00C053EF" w:rsidRPr="007357F2" w:rsidRDefault="00C053EF" w:rsidP="001A2733">
      <w:pPr>
        <w:pStyle w:val="PBACHeading1"/>
        <w:keepNext/>
        <w:rPr>
          <w:i/>
          <w:lang w:val="en-GB"/>
        </w:rPr>
      </w:pPr>
      <w:r w:rsidRPr="00276174">
        <w:rPr>
          <w:lang w:val="en-GB"/>
        </w:rPr>
        <w:t>Recommended listing</w:t>
      </w:r>
    </w:p>
    <w:p w:rsidR="007357F2" w:rsidRDefault="007357F2" w:rsidP="007357F2">
      <w:pPr>
        <w:pStyle w:val="ListParagraph"/>
        <w:numPr>
          <w:ilvl w:val="1"/>
          <w:numId w:val="3"/>
        </w:numPr>
        <w:spacing w:after="0"/>
        <w:contextualSpacing/>
        <w:rPr>
          <w:rFonts w:asciiTheme="minorHAnsi" w:hAnsiTheme="minorHAnsi"/>
          <w:bCs/>
          <w:lang w:val="en-GB"/>
        </w:rPr>
      </w:pPr>
      <w:r w:rsidRPr="007357F2">
        <w:rPr>
          <w:rFonts w:asciiTheme="minorHAnsi" w:hAnsiTheme="minorHAnsi"/>
          <w:bCs/>
          <w:lang w:val="en-GB"/>
        </w:rPr>
        <w:t>Add new item:</w:t>
      </w:r>
    </w:p>
    <w:p w:rsidR="007357F2" w:rsidRDefault="007357F2" w:rsidP="007357F2">
      <w:pPr>
        <w:rPr>
          <w:rFonts w:ascii="Arial" w:hAnsi="Arial"/>
          <w:sz w:val="22"/>
        </w:rPr>
      </w:pPr>
    </w:p>
    <w:tbl>
      <w:tblPr>
        <w:tblW w:w="9214" w:type="dxa"/>
        <w:tblInd w:w="108" w:type="dxa"/>
        <w:tblLayout w:type="fixed"/>
        <w:tblLook w:val="0000" w:firstRow="0" w:lastRow="0" w:firstColumn="0" w:lastColumn="0" w:noHBand="0" w:noVBand="0"/>
      </w:tblPr>
      <w:tblGrid>
        <w:gridCol w:w="2694"/>
        <w:gridCol w:w="141"/>
        <w:gridCol w:w="993"/>
        <w:gridCol w:w="1417"/>
        <w:gridCol w:w="1843"/>
        <w:gridCol w:w="2126"/>
      </w:tblGrid>
      <w:tr w:rsidR="00776E65" w:rsidRPr="007357F2" w:rsidTr="00776E65">
        <w:trPr>
          <w:cantSplit/>
          <w:trHeight w:val="471"/>
        </w:trPr>
        <w:tc>
          <w:tcPr>
            <w:tcW w:w="2694" w:type="dxa"/>
            <w:tcBorders>
              <w:bottom w:val="single" w:sz="4" w:space="0" w:color="auto"/>
            </w:tcBorders>
          </w:tcPr>
          <w:p w:rsidR="00776E65" w:rsidRPr="007357F2" w:rsidRDefault="00776E65" w:rsidP="00B21D8A">
            <w:pPr>
              <w:keepNext/>
              <w:ind w:left="-108"/>
              <w:rPr>
                <w:rFonts w:ascii="Arial Narrow" w:hAnsi="Arial Narrow"/>
                <w:sz w:val="20"/>
                <w:szCs w:val="20"/>
              </w:rPr>
            </w:pPr>
            <w:r w:rsidRPr="007357F2">
              <w:rPr>
                <w:rFonts w:ascii="Arial Narrow" w:hAnsi="Arial Narrow"/>
                <w:sz w:val="20"/>
                <w:szCs w:val="20"/>
              </w:rPr>
              <w:t>Name, Restriction,</w:t>
            </w:r>
          </w:p>
          <w:p w:rsidR="00776E65" w:rsidRPr="007357F2" w:rsidRDefault="00776E65" w:rsidP="00B21D8A">
            <w:pPr>
              <w:keepNext/>
              <w:ind w:left="-108"/>
              <w:rPr>
                <w:rFonts w:ascii="Arial Narrow" w:hAnsi="Arial Narrow"/>
                <w:sz w:val="20"/>
                <w:szCs w:val="20"/>
              </w:rPr>
            </w:pPr>
            <w:r w:rsidRPr="007357F2">
              <w:rPr>
                <w:rFonts w:ascii="Arial Narrow" w:hAnsi="Arial Narrow"/>
                <w:sz w:val="20"/>
                <w:szCs w:val="20"/>
              </w:rPr>
              <w:t>Manner of administration and form</w:t>
            </w:r>
          </w:p>
        </w:tc>
        <w:tc>
          <w:tcPr>
            <w:tcW w:w="1134" w:type="dxa"/>
            <w:gridSpan w:val="2"/>
            <w:tcBorders>
              <w:bottom w:val="single" w:sz="4" w:space="0" w:color="auto"/>
            </w:tcBorders>
          </w:tcPr>
          <w:p w:rsidR="00776E65" w:rsidRPr="007357F2" w:rsidRDefault="00776E65" w:rsidP="00776E65">
            <w:pPr>
              <w:keepNext/>
              <w:ind w:left="-108"/>
              <w:jc w:val="left"/>
              <w:rPr>
                <w:rFonts w:ascii="Arial Narrow" w:hAnsi="Arial Narrow"/>
                <w:sz w:val="20"/>
                <w:szCs w:val="20"/>
              </w:rPr>
            </w:pPr>
            <w:r w:rsidRPr="007357F2">
              <w:rPr>
                <w:rFonts w:ascii="Arial Narrow" w:hAnsi="Arial Narrow"/>
                <w:sz w:val="20"/>
                <w:szCs w:val="20"/>
              </w:rPr>
              <w:t>Max.</w:t>
            </w:r>
          </w:p>
          <w:p w:rsidR="00776E65" w:rsidRPr="007357F2" w:rsidRDefault="00776E65" w:rsidP="00776E65">
            <w:pPr>
              <w:keepNext/>
              <w:ind w:left="-108"/>
              <w:jc w:val="left"/>
              <w:rPr>
                <w:rFonts w:ascii="Arial Narrow" w:hAnsi="Arial Narrow"/>
                <w:sz w:val="20"/>
                <w:szCs w:val="20"/>
              </w:rPr>
            </w:pPr>
            <w:r w:rsidRPr="007357F2">
              <w:rPr>
                <w:rFonts w:ascii="Arial Narrow" w:hAnsi="Arial Narrow"/>
                <w:sz w:val="20"/>
                <w:szCs w:val="20"/>
              </w:rPr>
              <w:t>Amt</w:t>
            </w:r>
          </w:p>
        </w:tc>
        <w:tc>
          <w:tcPr>
            <w:tcW w:w="1417" w:type="dxa"/>
            <w:tcBorders>
              <w:bottom w:val="single" w:sz="4" w:space="0" w:color="auto"/>
            </w:tcBorders>
          </w:tcPr>
          <w:p w:rsidR="00776E65" w:rsidRDefault="00776E65" w:rsidP="00776E65">
            <w:pPr>
              <w:keepNext/>
              <w:ind w:left="-108"/>
              <w:jc w:val="left"/>
              <w:rPr>
                <w:rFonts w:ascii="Arial Narrow" w:hAnsi="Arial Narrow"/>
                <w:sz w:val="20"/>
                <w:szCs w:val="20"/>
              </w:rPr>
            </w:pPr>
            <w:r w:rsidRPr="007357F2">
              <w:rPr>
                <w:rFonts w:ascii="Arial Narrow" w:hAnsi="Arial Narrow"/>
                <w:sz w:val="20"/>
                <w:szCs w:val="20"/>
              </w:rPr>
              <w:t>№.of</w:t>
            </w:r>
            <w:r>
              <w:rPr>
                <w:rFonts w:ascii="Arial Narrow" w:hAnsi="Arial Narrow"/>
                <w:sz w:val="20"/>
                <w:szCs w:val="20"/>
              </w:rPr>
              <w:t xml:space="preserve"> </w:t>
            </w:r>
          </w:p>
          <w:p w:rsidR="00776E65" w:rsidRPr="007357F2" w:rsidRDefault="00776E65" w:rsidP="00776E65">
            <w:pPr>
              <w:keepNext/>
              <w:ind w:left="-108"/>
              <w:jc w:val="left"/>
              <w:rPr>
                <w:rFonts w:ascii="Arial Narrow" w:hAnsi="Arial Narrow"/>
                <w:sz w:val="20"/>
                <w:szCs w:val="20"/>
              </w:rPr>
            </w:pPr>
            <w:r w:rsidRPr="007357F2">
              <w:rPr>
                <w:rFonts w:ascii="Arial Narrow" w:hAnsi="Arial Narrow"/>
                <w:sz w:val="20"/>
                <w:szCs w:val="20"/>
              </w:rPr>
              <w:t>Rpts</w:t>
            </w:r>
          </w:p>
        </w:tc>
        <w:tc>
          <w:tcPr>
            <w:tcW w:w="3969" w:type="dxa"/>
            <w:gridSpan w:val="2"/>
            <w:tcBorders>
              <w:bottom w:val="single" w:sz="4" w:space="0" w:color="auto"/>
            </w:tcBorders>
          </w:tcPr>
          <w:p w:rsidR="00776E65" w:rsidRPr="007357F2" w:rsidRDefault="00776E65" w:rsidP="00B21D8A">
            <w:pPr>
              <w:keepNext/>
              <w:rPr>
                <w:rFonts w:ascii="Arial Narrow" w:hAnsi="Arial Narrow"/>
                <w:sz w:val="20"/>
                <w:szCs w:val="20"/>
                <w:lang w:val="fr-FR"/>
              </w:rPr>
            </w:pPr>
            <w:r w:rsidRPr="007357F2">
              <w:rPr>
                <w:rFonts w:ascii="Arial Narrow" w:hAnsi="Arial Narrow"/>
                <w:sz w:val="20"/>
                <w:szCs w:val="20"/>
              </w:rPr>
              <w:t>Proprietary Name and Manufacturer</w:t>
            </w:r>
          </w:p>
        </w:tc>
      </w:tr>
      <w:tr w:rsidR="00776E65" w:rsidRPr="007357F2" w:rsidTr="00776E65">
        <w:trPr>
          <w:cantSplit/>
          <w:trHeight w:val="577"/>
        </w:trPr>
        <w:tc>
          <w:tcPr>
            <w:tcW w:w="2694" w:type="dxa"/>
          </w:tcPr>
          <w:p w:rsidR="00776E65" w:rsidRPr="007357F2" w:rsidRDefault="00776E65" w:rsidP="00B21D8A">
            <w:pPr>
              <w:keepNext/>
              <w:ind w:left="-108"/>
              <w:rPr>
                <w:rFonts w:ascii="Arial Narrow" w:hAnsi="Arial Narrow"/>
                <w:sz w:val="20"/>
                <w:szCs w:val="20"/>
              </w:rPr>
            </w:pPr>
            <w:r w:rsidRPr="007357F2">
              <w:rPr>
                <w:rFonts w:ascii="Arial Narrow" w:hAnsi="Arial Narrow"/>
                <w:smallCaps/>
                <w:sz w:val="20"/>
                <w:szCs w:val="20"/>
              </w:rPr>
              <w:t>RAMUCIRUMAB</w:t>
            </w:r>
          </w:p>
          <w:p w:rsidR="00776E65" w:rsidRPr="007357F2" w:rsidRDefault="00776E65" w:rsidP="00B21D8A">
            <w:pPr>
              <w:keepNext/>
              <w:ind w:left="-108"/>
              <w:rPr>
                <w:rFonts w:ascii="Arial Narrow" w:hAnsi="Arial Narrow"/>
                <w:sz w:val="20"/>
                <w:szCs w:val="20"/>
              </w:rPr>
            </w:pPr>
            <w:r w:rsidRPr="007357F2">
              <w:rPr>
                <w:rFonts w:ascii="Arial Narrow" w:hAnsi="Arial Narrow"/>
                <w:sz w:val="20"/>
                <w:szCs w:val="20"/>
              </w:rPr>
              <w:t>500 mg/50 mL injection, 1 vial</w:t>
            </w:r>
          </w:p>
          <w:p w:rsidR="00776E65" w:rsidRPr="007357F2" w:rsidRDefault="00776E65" w:rsidP="00B21D8A">
            <w:pPr>
              <w:keepNext/>
              <w:ind w:left="-108"/>
              <w:rPr>
                <w:rFonts w:ascii="Arial Narrow" w:hAnsi="Arial Narrow"/>
                <w:sz w:val="20"/>
                <w:szCs w:val="20"/>
              </w:rPr>
            </w:pPr>
            <w:r w:rsidRPr="007357F2">
              <w:rPr>
                <w:rFonts w:ascii="Arial Narrow" w:hAnsi="Arial Narrow"/>
                <w:sz w:val="20"/>
                <w:szCs w:val="20"/>
              </w:rPr>
              <w:t>100 mg/10 mL injection, 1 vial</w:t>
            </w:r>
          </w:p>
        </w:tc>
        <w:tc>
          <w:tcPr>
            <w:tcW w:w="1134" w:type="dxa"/>
            <w:gridSpan w:val="2"/>
          </w:tcPr>
          <w:p w:rsidR="00776E65" w:rsidRPr="007357F2" w:rsidRDefault="00776E65" w:rsidP="00B21D8A">
            <w:pPr>
              <w:keepNext/>
              <w:ind w:left="-108"/>
              <w:rPr>
                <w:rFonts w:ascii="Arial Narrow" w:hAnsi="Arial Narrow"/>
                <w:sz w:val="20"/>
                <w:szCs w:val="20"/>
              </w:rPr>
            </w:pPr>
          </w:p>
          <w:p w:rsidR="00776E65" w:rsidRPr="007357F2" w:rsidRDefault="00776E65" w:rsidP="00B21D8A">
            <w:pPr>
              <w:keepNext/>
              <w:ind w:left="-108"/>
              <w:rPr>
                <w:rFonts w:ascii="Arial Narrow" w:hAnsi="Arial Narrow"/>
                <w:sz w:val="20"/>
                <w:szCs w:val="20"/>
              </w:rPr>
            </w:pPr>
            <w:r w:rsidRPr="007357F2">
              <w:rPr>
                <w:rFonts w:ascii="Arial Narrow" w:hAnsi="Arial Narrow"/>
                <w:sz w:val="20"/>
                <w:szCs w:val="20"/>
              </w:rPr>
              <w:t>551 mg</w:t>
            </w:r>
          </w:p>
          <w:p w:rsidR="00776E65" w:rsidRPr="007357F2" w:rsidRDefault="00776E65" w:rsidP="00B21D8A">
            <w:pPr>
              <w:keepNext/>
              <w:ind w:left="-108"/>
              <w:rPr>
                <w:rFonts w:ascii="Arial Narrow" w:hAnsi="Arial Narrow"/>
                <w:sz w:val="20"/>
                <w:szCs w:val="20"/>
              </w:rPr>
            </w:pPr>
            <w:r w:rsidRPr="007357F2">
              <w:rPr>
                <w:rFonts w:ascii="Arial Narrow" w:hAnsi="Arial Narrow"/>
                <w:sz w:val="20"/>
                <w:szCs w:val="20"/>
              </w:rPr>
              <w:t>1920 mg</w:t>
            </w:r>
          </w:p>
        </w:tc>
        <w:tc>
          <w:tcPr>
            <w:tcW w:w="1417" w:type="dxa"/>
          </w:tcPr>
          <w:p w:rsidR="00776E65" w:rsidRPr="007357F2" w:rsidRDefault="00776E65" w:rsidP="00B21D8A">
            <w:pPr>
              <w:keepNext/>
              <w:ind w:left="-108"/>
              <w:rPr>
                <w:rFonts w:ascii="Arial Narrow" w:hAnsi="Arial Narrow"/>
                <w:sz w:val="20"/>
                <w:szCs w:val="20"/>
              </w:rPr>
            </w:pPr>
          </w:p>
          <w:p w:rsidR="00776E65" w:rsidRPr="007357F2" w:rsidRDefault="00776E65" w:rsidP="00B21D8A">
            <w:pPr>
              <w:keepNext/>
              <w:ind w:left="-108"/>
              <w:rPr>
                <w:rFonts w:ascii="Arial Narrow" w:hAnsi="Arial Narrow"/>
                <w:sz w:val="20"/>
                <w:szCs w:val="20"/>
              </w:rPr>
            </w:pPr>
            <w:r w:rsidRPr="007357F2">
              <w:rPr>
                <w:rFonts w:ascii="Arial Narrow" w:hAnsi="Arial Narrow"/>
                <w:sz w:val="20"/>
                <w:szCs w:val="20"/>
              </w:rPr>
              <w:t>10</w:t>
            </w:r>
          </w:p>
          <w:p w:rsidR="00776E65" w:rsidRPr="007357F2" w:rsidRDefault="00776E65" w:rsidP="00B21D8A">
            <w:pPr>
              <w:keepNext/>
              <w:ind w:left="-108"/>
              <w:rPr>
                <w:rFonts w:ascii="Arial Narrow" w:hAnsi="Arial Narrow"/>
                <w:sz w:val="20"/>
                <w:szCs w:val="20"/>
              </w:rPr>
            </w:pPr>
          </w:p>
          <w:p w:rsidR="00776E65" w:rsidRPr="007357F2" w:rsidRDefault="00776E65" w:rsidP="00776E65">
            <w:pPr>
              <w:keepNext/>
              <w:rPr>
                <w:rFonts w:ascii="Arial Narrow" w:hAnsi="Arial Narrow"/>
                <w:sz w:val="20"/>
                <w:szCs w:val="20"/>
              </w:rPr>
            </w:pPr>
          </w:p>
        </w:tc>
        <w:tc>
          <w:tcPr>
            <w:tcW w:w="1843" w:type="dxa"/>
          </w:tcPr>
          <w:p w:rsidR="00776E65" w:rsidRPr="007357F2" w:rsidRDefault="00776E65" w:rsidP="00B21D8A">
            <w:pPr>
              <w:keepNext/>
              <w:rPr>
                <w:rFonts w:ascii="Arial Narrow" w:hAnsi="Arial Narrow"/>
                <w:sz w:val="20"/>
                <w:szCs w:val="20"/>
              </w:rPr>
            </w:pPr>
            <w:r w:rsidRPr="007357F2">
              <w:rPr>
                <w:rFonts w:ascii="Arial Narrow" w:hAnsi="Arial Narrow" w:cs="Times New Roman"/>
                <w:snapToGrid/>
                <w:sz w:val="20"/>
              </w:rPr>
              <w:t>Cyramza®</w:t>
            </w:r>
          </w:p>
        </w:tc>
        <w:tc>
          <w:tcPr>
            <w:tcW w:w="2126" w:type="dxa"/>
          </w:tcPr>
          <w:p w:rsidR="00776E65" w:rsidRPr="007357F2" w:rsidRDefault="00776E65" w:rsidP="00B21D8A">
            <w:pPr>
              <w:keepNext/>
              <w:rPr>
                <w:rFonts w:ascii="Arial Narrow" w:hAnsi="Arial Narrow"/>
                <w:sz w:val="20"/>
                <w:szCs w:val="20"/>
              </w:rPr>
            </w:pPr>
            <w:r w:rsidRPr="007357F2">
              <w:rPr>
                <w:rFonts w:ascii="Arial Narrow" w:hAnsi="Arial Narrow" w:cs="Times New Roman"/>
                <w:snapToGrid/>
                <w:sz w:val="20"/>
                <w:szCs w:val="20"/>
              </w:rPr>
              <w:t>Eli Lilly Australia Pty Ltd</w:t>
            </w:r>
          </w:p>
        </w:tc>
      </w:tr>
      <w:tr w:rsidR="007357F2" w:rsidRPr="007357F2" w:rsidTr="00B21D8A">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7357F2" w:rsidRPr="007357F2" w:rsidRDefault="007357F2" w:rsidP="00B21D8A">
            <w:pPr>
              <w:rPr>
                <w:rFonts w:ascii="Arial Narrow" w:hAnsi="Arial Narrow"/>
                <w:b/>
                <w:sz w:val="20"/>
                <w:szCs w:val="20"/>
              </w:rPr>
            </w:pPr>
            <w:r w:rsidRPr="007357F2">
              <w:rPr>
                <w:rFonts w:ascii="Arial Narrow" w:hAnsi="Arial Narrow"/>
                <w:b/>
                <w:sz w:val="20"/>
                <w:szCs w:val="20"/>
              </w:rPr>
              <w:t xml:space="preserve">Category / </w:t>
            </w:r>
          </w:p>
          <w:p w:rsidR="007357F2" w:rsidRPr="007357F2" w:rsidRDefault="007357F2" w:rsidP="00B21D8A">
            <w:pPr>
              <w:rPr>
                <w:rFonts w:ascii="Arial Narrow" w:hAnsi="Arial Narrow"/>
                <w:b/>
                <w:sz w:val="20"/>
                <w:szCs w:val="20"/>
              </w:rPr>
            </w:pPr>
            <w:r w:rsidRPr="007357F2">
              <w:rPr>
                <w:rFonts w:ascii="Arial Narrow" w:hAnsi="Arial Narrow"/>
                <w:b/>
                <w:sz w:val="20"/>
                <w:szCs w:val="20"/>
              </w:rPr>
              <w:t>Program</w:t>
            </w:r>
          </w:p>
        </w:tc>
        <w:tc>
          <w:tcPr>
            <w:tcW w:w="6379" w:type="dxa"/>
            <w:gridSpan w:val="4"/>
            <w:tcBorders>
              <w:top w:val="single" w:sz="4" w:space="0" w:color="auto"/>
              <w:left w:val="single" w:sz="4" w:space="0" w:color="auto"/>
              <w:bottom w:val="single" w:sz="4" w:space="0" w:color="auto"/>
              <w:right w:val="single" w:sz="4" w:space="0" w:color="auto"/>
            </w:tcBorders>
          </w:tcPr>
          <w:p w:rsidR="007357F2" w:rsidRPr="007357F2" w:rsidRDefault="007357F2" w:rsidP="00B21D8A">
            <w:pPr>
              <w:rPr>
                <w:rFonts w:ascii="Arial Narrow" w:hAnsi="Arial Narrow"/>
                <w:sz w:val="20"/>
                <w:szCs w:val="20"/>
              </w:rPr>
            </w:pPr>
            <w:r w:rsidRPr="007357F2">
              <w:rPr>
                <w:rFonts w:ascii="Arial Narrow" w:hAnsi="Arial Narrow"/>
                <w:sz w:val="20"/>
                <w:szCs w:val="20"/>
              </w:rPr>
              <w:t xml:space="preserve">Section 100 – Efficient funding of Chemotherapy </w:t>
            </w:r>
          </w:p>
        </w:tc>
      </w:tr>
      <w:tr w:rsidR="007357F2" w:rsidRPr="007357F2" w:rsidTr="00B21D8A">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7357F2" w:rsidRPr="007357F2" w:rsidRDefault="007357F2" w:rsidP="00B21D8A">
            <w:pPr>
              <w:rPr>
                <w:rFonts w:ascii="Arial Narrow" w:hAnsi="Arial Narrow"/>
                <w:b/>
                <w:sz w:val="20"/>
                <w:szCs w:val="20"/>
              </w:rPr>
            </w:pPr>
            <w:r w:rsidRPr="007357F2">
              <w:rPr>
                <w:rFonts w:ascii="Arial Narrow" w:hAnsi="Arial Narrow"/>
                <w:b/>
                <w:sz w:val="20"/>
                <w:szCs w:val="20"/>
              </w:rPr>
              <w:t>Prescriber type:</w:t>
            </w:r>
          </w:p>
          <w:p w:rsidR="007357F2" w:rsidRPr="007357F2" w:rsidRDefault="007357F2" w:rsidP="00B21D8A">
            <w:pPr>
              <w:rPr>
                <w:rFonts w:ascii="Arial Narrow" w:hAnsi="Arial Narrow"/>
                <w:b/>
                <w:sz w:val="20"/>
                <w:szCs w:val="20"/>
              </w:rPr>
            </w:pPr>
          </w:p>
        </w:tc>
        <w:tc>
          <w:tcPr>
            <w:tcW w:w="6379" w:type="dxa"/>
            <w:gridSpan w:val="4"/>
            <w:tcBorders>
              <w:top w:val="single" w:sz="4" w:space="0" w:color="auto"/>
              <w:left w:val="single" w:sz="4" w:space="0" w:color="auto"/>
              <w:bottom w:val="single" w:sz="4" w:space="0" w:color="auto"/>
              <w:right w:val="single" w:sz="4" w:space="0" w:color="auto"/>
            </w:tcBorders>
          </w:tcPr>
          <w:p w:rsidR="007357F2" w:rsidRPr="007357F2" w:rsidRDefault="007357F2" w:rsidP="00B21D8A">
            <w:pPr>
              <w:rPr>
                <w:rFonts w:ascii="Arial Narrow" w:hAnsi="Arial Narrow"/>
                <w:sz w:val="20"/>
                <w:szCs w:val="20"/>
              </w:rPr>
            </w:pPr>
            <w:r w:rsidRPr="007357F2">
              <w:rPr>
                <w:rFonts w:ascii="Arial Narrow" w:hAnsi="Arial Narrow"/>
                <w:sz w:val="20"/>
                <w:szCs w:val="20"/>
              </w:rPr>
              <w:fldChar w:fldCharType="begin">
                <w:ffData>
                  <w:name w:val="Check1"/>
                  <w:enabled/>
                  <w:calcOnExit w:val="0"/>
                  <w:checkBox>
                    <w:sizeAuto/>
                    <w:default w:val="0"/>
                  </w:checkBox>
                </w:ffData>
              </w:fldChar>
            </w:r>
            <w:r w:rsidRPr="007357F2">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7357F2">
              <w:rPr>
                <w:rFonts w:ascii="Arial Narrow" w:hAnsi="Arial Narrow"/>
                <w:sz w:val="20"/>
                <w:szCs w:val="20"/>
              </w:rPr>
              <w:fldChar w:fldCharType="end"/>
            </w:r>
            <w:r w:rsidRPr="007357F2">
              <w:rPr>
                <w:rFonts w:ascii="Arial Narrow" w:hAnsi="Arial Narrow"/>
                <w:sz w:val="20"/>
                <w:szCs w:val="20"/>
              </w:rPr>
              <w:t xml:space="preserve">Dental  </w:t>
            </w:r>
            <w:r w:rsidRPr="007357F2">
              <w:rPr>
                <w:rFonts w:ascii="Arial Narrow" w:hAnsi="Arial Narrow"/>
                <w:sz w:val="20"/>
                <w:szCs w:val="20"/>
              </w:rPr>
              <w:fldChar w:fldCharType="begin">
                <w:ffData>
                  <w:name w:val=""/>
                  <w:enabled/>
                  <w:calcOnExit w:val="0"/>
                  <w:checkBox>
                    <w:sizeAuto/>
                    <w:default w:val="1"/>
                  </w:checkBox>
                </w:ffData>
              </w:fldChar>
            </w:r>
            <w:r w:rsidRPr="007357F2">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7357F2">
              <w:rPr>
                <w:rFonts w:ascii="Arial Narrow" w:hAnsi="Arial Narrow"/>
                <w:sz w:val="20"/>
                <w:szCs w:val="20"/>
              </w:rPr>
              <w:fldChar w:fldCharType="end"/>
            </w:r>
            <w:r w:rsidRPr="007357F2">
              <w:rPr>
                <w:rFonts w:ascii="Arial Narrow" w:hAnsi="Arial Narrow"/>
                <w:sz w:val="20"/>
                <w:szCs w:val="20"/>
              </w:rPr>
              <w:t xml:space="preserve">Medical Practitioners  </w:t>
            </w:r>
            <w:r w:rsidRPr="007357F2">
              <w:rPr>
                <w:rFonts w:ascii="Arial Narrow" w:hAnsi="Arial Narrow"/>
                <w:sz w:val="20"/>
                <w:szCs w:val="20"/>
              </w:rPr>
              <w:fldChar w:fldCharType="begin">
                <w:ffData>
                  <w:name w:val="Check3"/>
                  <w:enabled/>
                  <w:calcOnExit w:val="0"/>
                  <w:checkBox>
                    <w:sizeAuto/>
                    <w:default w:val="0"/>
                  </w:checkBox>
                </w:ffData>
              </w:fldChar>
            </w:r>
            <w:r w:rsidRPr="007357F2">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7357F2">
              <w:rPr>
                <w:rFonts w:ascii="Arial Narrow" w:hAnsi="Arial Narrow"/>
                <w:sz w:val="20"/>
                <w:szCs w:val="20"/>
              </w:rPr>
              <w:fldChar w:fldCharType="end"/>
            </w:r>
            <w:r w:rsidRPr="007357F2">
              <w:rPr>
                <w:rFonts w:ascii="Arial Narrow" w:hAnsi="Arial Narrow"/>
                <w:sz w:val="20"/>
                <w:szCs w:val="20"/>
              </w:rPr>
              <w:t xml:space="preserve">Nurse practitioners  </w:t>
            </w:r>
            <w:r w:rsidRPr="007357F2">
              <w:rPr>
                <w:rFonts w:ascii="Arial Narrow" w:hAnsi="Arial Narrow"/>
                <w:sz w:val="20"/>
                <w:szCs w:val="20"/>
              </w:rPr>
              <w:fldChar w:fldCharType="begin">
                <w:ffData>
                  <w:name w:val=""/>
                  <w:enabled/>
                  <w:calcOnExit w:val="0"/>
                  <w:checkBox>
                    <w:sizeAuto/>
                    <w:default w:val="0"/>
                  </w:checkBox>
                </w:ffData>
              </w:fldChar>
            </w:r>
            <w:r w:rsidRPr="007357F2">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7357F2">
              <w:rPr>
                <w:rFonts w:ascii="Arial Narrow" w:hAnsi="Arial Narrow"/>
                <w:sz w:val="20"/>
                <w:szCs w:val="20"/>
              </w:rPr>
              <w:fldChar w:fldCharType="end"/>
            </w:r>
            <w:r w:rsidRPr="007357F2">
              <w:rPr>
                <w:rFonts w:ascii="Arial Narrow" w:hAnsi="Arial Narrow"/>
                <w:sz w:val="20"/>
                <w:szCs w:val="20"/>
              </w:rPr>
              <w:t>Optometrists</w:t>
            </w:r>
          </w:p>
          <w:p w:rsidR="007357F2" w:rsidRPr="007357F2" w:rsidRDefault="007357F2" w:rsidP="00B21D8A">
            <w:pPr>
              <w:rPr>
                <w:rFonts w:ascii="Arial Narrow" w:hAnsi="Arial Narrow"/>
                <w:sz w:val="20"/>
                <w:szCs w:val="20"/>
              </w:rPr>
            </w:pPr>
            <w:r w:rsidRPr="007357F2">
              <w:rPr>
                <w:rFonts w:ascii="Arial Narrow" w:hAnsi="Arial Narrow"/>
                <w:sz w:val="20"/>
                <w:szCs w:val="20"/>
              </w:rPr>
              <w:fldChar w:fldCharType="begin">
                <w:ffData>
                  <w:name w:val="Check5"/>
                  <w:enabled/>
                  <w:calcOnExit w:val="0"/>
                  <w:checkBox>
                    <w:sizeAuto/>
                    <w:default w:val="0"/>
                  </w:checkBox>
                </w:ffData>
              </w:fldChar>
            </w:r>
            <w:r w:rsidRPr="007357F2">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7357F2">
              <w:rPr>
                <w:rFonts w:ascii="Arial Narrow" w:hAnsi="Arial Narrow"/>
                <w:sz w:val="20"/>
                <w:szCs w:val="20"/>
              </w:rPr>
              <w:fldChar w:fldCharType="end"/>
            </w:r>
            <w:r w:rsidRPr="007357F2">
              <w:rPr>
                <w:rFonts w:ascii="Arial Narrow" w:hAnsi="Arial Narrow"/>
                <w:sz w:val="20"/>
                <w:szCs w:val="20"/>
              </w:rPr>
              <w:t>Midwives</w:t>
            </w:r>
          </w:p>
        </w:tc>
      </w:tr>
      <w:tr w:rsidR="007357F2" w:rsidRPr="007357F2" w:rsidTr="00B21D8A">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7357F2" w:rsidRPr="007357F2" w:rsidRDefault="007357F2" w:rsidP="00B21D8A">
            <w:pPr>
              <w:rPr>
                <w:rFonts w:ascii="Arial Narrow" w:hAnsi="Arial Narrow"/>
                <w:b/>
                <w:sz w:val="20"/>
                <w:szCs w:val="20"/>
              </w:rPr>
            </w:pPr>
            <w:r w:rsidRPr="007357F2">
              <w:rPr>
                <w:rFonts w:ascii="Arial Narrow" w:hAnsi="Arial Narrow"/>
                <w:b/>
                <w:sz w:val="20"/>
                <w:szCs w:val="20"/>
              </w:rPr>
              <w:t>Severity:</w:t>
            </w:r>
          </w:p>
        </w:tc>
        <w:tc>
          <w:tcPr>
            <w:tcW w:w="6379" w:type="dxa"/>
            <w:gridSpan w:val="4"/>
            <w:tcBorders>
              <w:top w:val="single" w:sz="4" w:space="0" w:color="auto"/>
              <w:left w:val="single" w:sz="4" w:space="0" w:color="auto"/>
              <w:bottom w:val="single" w:sz="4" w:space="0" w:color="auto"/>
              <w:right w:val="single" w:sz="4" w:space="0" w:color="auto"/>
            </w:tcBorders>
          </w:tcPr>
          <w:p w:rsidR="007357F2" w:rsidRPr="007357F2" w:rsidRDefault="007357F2" w:rsidP="00B21D8A">
            <w:pPr>
              <w:rPr>
                <w:rFonts w:ascii="Arial Narrow" w:hAnsi="Arial Narrow"/>
                <w:sz w:val="20"/>
                <w:szCs w:val="20"/>
              </w:rPr>
            </w:pPr>
            <w:r w:rsidRPr="007357F2">
              <w:rPr>
                <w:rFonts w:ascii="Arial Narrow" w:hAnsi="Arial Narrow"/>
                <w:sz w:val="20"/>
                <w:szCs w:val="20"/>
              </w:rPr>
              <w:t xml:space="preserve">Advanced or metastatic </w:t>
            </w:r>
          </w:p>
        </w:tc>
      </w:tr>
      <w:tr w:rsidR="007357F2" w:rsidRPr="007357F2" w:rsidTr="00B21D8A">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7357F2" w:rsidRPr="007357F2" w:rsidRDefault="007357F2" w:rsidP="00B21D8A">
            <w:pPr>
              <w:rPr>
                <w:rFonts w:ascii="Arial Narrow" w:hAnsi="Arial Narrow"/>
                <w:b/>
                <w:sz w:val="20"/>
                <w:szCs w:val="20"/>
              </w:rPr>
            </w:pPr>
            <w:r w:rsidRPr="007357F2">
              <w:rPr>
                <w:rFonts w:ascii="Arial Narrow" w:hAnsi="Arial Narrow"/>
                <w:b/>
                <w:sz w:val="20"/>
                <w:szCs w:val="20"/>
              </w:rPr>
              <w:t>Condition:</w:t>
            </w:r>
          </w:p>
        </w:tc>
        <w:tc>
          <w:tcPr>
            <w:tcW w:w="6379" w:type="dxa"/>
            <w:gridSpan w:val="4"/>
            <w:tcBorders>
              <w:top w:val="single" w:sz="4" w:space="0" w:color="auto"/>
              <w:left w:val="single" w:sz="4" w:space="0" w:color="auto"/>
              <w:bottom w:val="single" w:sz="4" w:space="0" w:color="auto"/>
              <w:right w:val="single" w:sz="4" w:space="0" w:color="auto"/>
            </w:tcBorders>
          </w:tcPr>
          <w:p w:rsidR="007357F2" w:rsidRPr="007357F2" w:rsidRDefault="007357F2" w:rsidP="00953AF2">
            <w:pPr>
              <w:rPr>
                <w:rFonts w:ascii="Arial Narrow" w:hAnsi="Arial Narrow"/>
                <w:sz w:val="20"/>
                <w:szCs w:val="20"/>
              </w:rPr>
            </w:pPr>
            <w:r w:rsidRPr="007357F2">
              <w:rPr>
                <w:rFonts w:ascii="Arial Narrow" w:hAnsi="Arial Narrow"/>
                <w:sz w:val="20"/>
                <w:szCs w:val="20"/>
              </w:rPr>
              <w:t xml:space="preserve">gastric </w:t>
            </w:r>
            <w:r w:rsidR="00953AF2">
              <w:rPr>
                <w:rFonts w:ascii="Arial Narrow" w:hAnsi="Arial Narrow"/>
                <w:sz w:val="20"/>
                <w:szCs w:val="20"/>
              </w:rPr>
              <w:t xml:space="preserve">adenocarcinoma </w:t>
            </w:r>
            <w:r w:rsidRPr="007357F2">
              <w:rPr>
                <w:rFonts w:ascii="Arial Narrow" w:hAnsi="Arial Narrow"/>
                <w:sz w:val="20"/>
                <w:szCs w:val="20"/>
              </w:rPr>
              <w:t>or gastro-oesophageal junction adenocarcinoma</w:t>
            </w:r>
          </w:p>
        </w:tc>
      </w:tr>
      <w:tr w:rsidR="007357F2" w:rsidRPr="007357F2" w:rsidTr="00B21D8A">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7357F2" w:rsidRPr="007357F2" w:rsidRDefault="007357F2" w:rsidP="00B21D8A">
            <w:pPr>
              <w:rPr>
                <w:rFonts w:ascii="Arial Narrow" w:hAnsi="Arial Narrow"/>
                <w:b/>
                <w:sz w:val="20"/>
                <w:szCs w:val="20"/>
              </w:rPr>
            </w:pPr>
            <w:r w:rsidRPr="007357F2">
              <w:rPr>
                <w:rFonts w:ascii="Arial Narrow" w:hAnsi="Arial Narrow"/>
                <w:b/>
                <w:sz w:val="20"/>
                <w:szCs w:val="20"/>
              </w:rPr>
              <w:t>PBS Indication:</w:t>
            </w:r>
          </w:p>
        </w:tc>
        <w:tc>
          <w:tcPr>
            <w:tcW w:w="6379" w:type="dxa"/>
            <w:gridSpan w:val="4"/>
            <w:tcBorders>
              <w:top w:val="single" w:sz="4" w:space="0" w:color="auto"/>
              <w:left w:val="single" w:sz="4" w:space="0" w:color="auto"/>
              <w:bottom w:val="single" w:sz="4" w:space="0" w:color="auto"/>
              <w:right w:val="single" w:sz="4" w:space="0" w:color="auto"/>
            </w:tcBorders>
          </w:tcPr>
          <w:p w:rsidR="007357F2" w:rsidRPr="007357F2" w:rsidRDefault="007357F2" w:rsidP="00B21D8A">
            <w:pPr>
              <w:rPr>
                <w:rFonts w:ascii="Arial Narrow" w:hAnsi="Arial Narrow"/>
                <w:sz w:val="20"/>
                <w:szCs w:val="20"/>
              </w:rPr>
            </w:pPr>
            <w:r w:rsidRPr="007357F2">
              <w:rPr>
                <w:rFonts w:ascii="Arial Narrow" w:hAnsi="Arial Narrow"/>
                <w:sz w:val="20"/>
                <w:szCs w:val="20"/>
              </w:rPr>
              <w:t xml:space="preserve">Advanced or metastatic gastric </w:t>
            </w:r>
            <w:r w:rsidR="004306FC">
              <w:rPr>
                <w:rFonts w:ascii="Arial Narrow" w:hAnsi="Arial Narrow"/>
                <w:sz w:val="20"/>
                <w:szCs w:val="20"/>
              </w:rPr>
              <w:t>adenocarcinoma</w:t>
            </w:r>
            <w:r w:rsidRPr="007357F2">
              <w:rPr>
                <w:rFonts w:ascii="Arial Narrow" w:hAnsi="Arial Narrow"/>
                <w:sz w:val="20"/>
                <w:szCs w:val="20"/>
              </w:rPr>
              <w:t xml:space="preserve"> or gastro-oesophageal junction adenocarcinoma</w:t>
            </w:r>
          </w:p>
        </w:tc>
      </w:tr>
      <w:tr w:rsidR="007357F2" w:rsidRPr="007357F2" w:rsidTr="00B21D8A">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7357F2" w:rsidRPr="007357F2" w:rsidRDefault="007357F2" w:rsidP="00B21D8A">
            <w:pPr>
              <w:rPr>
                <w:rFonts w:ascii="Arial Narrow" w:hAnsi="Arial Narrow"/>
                <w:b/>
                <w:sz w:val="20"/>
                <w:szCs w:val="20"/>
              </w:rPr>
            </w:pPr>
            <w:r w:rsidRPr="007357F2">
              <w:rPr>
                <w:rFonts w:ascii="Arial Narrow" w:hAnsi="Arial Narrow"/>
                <w:b/>
                <w:sz w:val="20"/>
                <w:szCs w:val="20"/>
              </w:rPr>
              <w:t>Treatment phase:</w:t>
            </w:r>
          </w:p>
        </w:tc>
        <w:tc>
          <w:tcPr>
            <w:tcW w:w="6379" w:type="dxa"/>
            <w:gridSpan w:val="4"/>
            <w:tcBorders>
              <w:top w:val="single" w:sz="4" w:space="0" w:color="auto"/>
              <w:left w:val="single" w:sz="4" w:space="0" w:color="auto"/>
              <w:bottom w:val="single" w:sz="4" w:space="0" w:color="auto"/>
              <w:right w:val="single" w:sz="4" w:space="0" w:color="auto"/>
            </w:tcBorders>
          </w:tcPr>
          <w:p w:rsidR="007357F2" w:rsidRPr="007357F2" w:rsidRDefault="007357F2" w:rsidP="00B21D8A">
            <w:pPr>
              <w:rPr>
                <w:rFonts w:ascii="Arial Narrow" w:hAnsi="Arial Narrow"/>
                <w:sz w:val="20"/>
                <w:szCs w:val="20"/>
              </w:rPr>
            </w:pPr>
            <w:r w:rsidRPr="007357F2">
              <w:rPr>
                <w:rFonts w:ascii="Arial Narrow" w:hAnsi="Arial Narrow"/>
                <w:sz w:val="20"/>
                <w:szCs w:val="20"/>
              </w:rPr>
              <w:t xml:space="preserve">Initial treatment </w:t>
            </w:r>
          </w:p>
        </w:tc>
      </w:tr>
      <w:tr w:rsidR="007357F2" w:rsidRPr="007357F2" w:rsidTr="00B21D8A">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7357F2" w:rsidRPr="007357F2" w:rsidRDefault="007357F2" w:rsidP="00B21D8A">
            <w:pPr>
              <w:rPr>
                <w:rFonts w:ascii="Arial Narrow" w:hAnsi="Arial Narrow"/>
                <w:b/>
                <w:sz w:val="20"/>
                <w:szCs w:val="20"/>
              </w:rPr>
            </w:pPr>
            <w:r w:rsidRPr="007357F2">
              <w:rPr>
                <w:rFonts w:ascii="Arial Narrow" w:hAnsi="Arial Narrow"/>
                <w:b/>
                <w:sz w:val="20"/>
                <w:szCs w:val="20"/>
              </w:rPr>
              <w:t>Restriction Level / Method:</w:t>
            </w:r>
          </w:p>
          <w:p w:rsidR="007357F2" w:rsidRPr="007357F2" w:rsidRDefault="007357F2" w:rsidP="00B21D8A">
            <w:pPr>
              <w:rPr>
                <w:rFonts w:ascii="Arial Narrow" w:hAnsi="Arial Narrow"/>
                <w:sz w:val="20"/>
                <w:szCs w:val="20"/>
                <w:highlight w:val="yellow"/>
              </w:rPr>
            </w:pPr>
          </w:p>
          <w:p w:rsidR="007357F2" w:rsidRPr="007357F2" w:rsidRDefault="007357F2" w:rsidP="00B21D8A">
            <w:pPr>
              <w:rPr>
                <w:rFonts w:ascii="Arial Narrow" w:hAnsi="Arial Narrow"/>
                <w:sz w:val="20"/>
                <w:szCs w:val="20"/>
              </w:rPr>
            </w:pPr>
          </w:p>
          <w:p w:rsidR="007357F2" w:rsidRPr="007357F2" w:rsidRDefault="007357F2" w:rsidP="00B21D8A">
            <w:pPr>
              <w:rPr>
                <w:rFonts w:ascii="Arial Narrow" w:hAnsi="Arial Narrow"/>
                <w:sz w:val="20"/>
                <w:szCs w:val="20"/>
              </w:rPr>
            </w:pPr>
          </w:p>
          <w:p w:rsidR="007357F2" w:rsidRPr="007357F2" w:rsidRDefault="007357F2" w:rsidP="00B21D8A">
            <w:pPr>
              <w:rPr>
                <w:rFonts w:ascii="Arial Narrow" w:hAnsi="Arial Narrow"/>
                <w:sz w:val="20"/>
                <w:szCs w:val="20"/>
              </w:rPr>
            </w:pPr>
          </w:p>
        </w:tc>
        <w:tc>
          <w:tcPr>
            <w:tcW w:w="6379" w:type="dxa"/>
            <w:gridSpan w:val="4"/>
            <w:tcBorders>
              <w:top w:val="single" w:sz="4" w:space="0" w:color="auto"/>
              <w:left w:val="single" w:sz="4" w:space="0" w:color="auto"/>
              <w:bottom w:val="single" w:sz="4" w:space="0" w:color="auto"/>
              <w:right w:val="single" w:sz="4" w:space="0" w:color="auto"/>
            </w:tcBorders>
          </w:tcPr>
          <w:p w:rsidR="007357F2" w:rsidRPr="007357F2" w:rsidRDefault="007357F2" w:rsidP="00B21D8A">
            <w:pPr>
              <w:rPr>
                <w:rFonts w:ascii="Arial Narrow" w:hAnsi="Arial Narrow"/>
                <w:sz w:val="20"/>
                <w:szCs w:val="20"/>
              </w:rPr>
            </w:pPr>
            <w:r w:rsidRPr="007357F2">
              <w:rPr>
                <w:rFonts w:ascii="Arial Narrow" w:hAnsi="Arial Narrow"/>
                <w:sz w:val="20"/>
                <w:szCs w:val="20"/>
              </w:rPr>
              <w:fldChar w:fldCharType="begin">
                <w:ffData>
                  <w:name w:val="Check1"/>
                  <w:enabled/>
                  <w:calcOnExit w:val="0"/>
                  <w:checkBox>
                    <w:sizeAuto/>
                    <w:default w:val="0"/>
                  </w:checkBox>
                </w:ffData>
              </w:fldChar>
            </w:r>
            <w:r w:rsidRPr="007357F2">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7357F2">
              <w:rPr>
                <w:rFonts w:ascii="Arial Narrow" w:hAnsi="Arial Narrow"/>
                <w:sz w:val="20"/>
                <w:szCs w:val="20"/>
              </w:rPr>
              <w:fldChar w:fldCharType="end"/>
            </w:r>
            <w:r w:rsidRPr="007357F2">
              <w:rPr>
                <w:rFonts w:ascii="Arial Narrow" w:hAnsi="Arial Narrow"/>
                <w:sz w:val="20"/>
                <w:szCs w:val="20"/>
              </w:rPr>
              <w:t>Restricted benefit</w:t>
            </w:r>
          </w:p>
          <w:p w:rsidR="007357F2" w:rsidRPr="007357F2" w:rsidRDefault="007357F2" w:rsidP="00B21D8A">
            <w:pPr>
              <w:rPr>
                <w:rFonts w:ascii="Arial Narrow" w:hAnsi="Arial Narrow"/>
                <w:sz w:val="20"/>
                <w:szCs w:val="20"/>
              </w:rPr>
            </w:pPr>
            <w:r w:rsidRPr="007357F2">
              <w:rPr>
                <w:rFonts w:ascii="Arial Narrow" w:hAnsi="Arial Narrow"/>
                <w:sz w:val="20"/>
                <w:szCs w:val="20"/>
              </w:rPr>
              <w:fldChar w:fldCharType="begin">
                <w:ffData>
                  <w:name w:val=""/>
                  <w:enabled/>
                  <w:calcOnExit w:val="0"/>
                  <w:checkBox>
                    <w:sizeAuto/>
                    <w:default w:val="0"/>
                  </w:checkBox>
                </w:ffData>
              </w:fldChar>
            </w:r>
            <w:r w:rsidRPr="007357F2">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7357F2">
              <w:rPr>
                <w:rFonts w:ascii="Arial Narrow" w:hAnsi="Arial Narrow"/>
                <w:sz w:val="20"/>
                <w:szCs w:val="20"/>
              </w:rPr>
              <w:fldChar w:fldCharType="end"/>
            </w:r>
            <w:r w:rsidRPr="007357F2">
              <w:rPr>
                <w:rFonts w:ascii="Arial Narrow" w:hAnsi="Arial Narrow"/>
                <w:sz w:val="20"/>
                <w:szCs w:val="20"/>
              </w:rPr>
              <w:t>Authority Required - In Writing</w:t>
            </w:r>
          </w:p>
          <w:p w:rsidR="007357F2" w:rsidRPr="007357F2" w:rsidRDefault="007357F2" w:rsidP="00B21D8A">
            <w:pPr>
              <w:rPr>
                <w:rFonts w:ascii="Arial Narrow" w:hAnsi="Arial Narrow"/>
                <w:sz w:val="20"/>
                <w:szCs w:val="20"/>
              </w:rPr>
            </w:pPr>
            <w:r w:rsidRPr="007357F2">
              <w:rPr>
                <w:rFonts w:ascii="Arial Narrow" w:hAnsi="Arial Narrow"/>
                <w:sz w:val="20"/>
                <w:szCs w:val="20"/>
                <w:bdr w:val="single" w:sz="4" w:space="0" w:color="auto"/>
              </w:rPr>
              <w:fldChar w:fldCharType="begin">
                <w:ffData>
                  <w:name w:val=""/>
                  <w:enabled/>
                  <w:calcOnExit w:val="0"/>
                  <w:checkBox>
                    <w:sizeAuto/>
                    <w:default w:val="0"/>
                  </w:checkBox>
                </w:ffData>
              </w:fldChar>
            </w:r>
            <w:r w:rsidRPr="007357F2">
              <w:rPr>
                <w:rFonts w:ascii="Arial Narrow" w:hAnsi="Arial Narrow"/>
                <w:sz w:val="20"/>
                <w:szCs w:val="20"/>
                <w:bdr w:val="single" w:sz="4" w:space="0" w:color="auto"/>
              </w:rPr>
              <w:instrText xml:space="preserve"> FORMCHECKBOX </w:instrText>
            </w:r>
            <w:r w:rsidR="003B4E62">
              <w:rPr>
                <w:rFonts w:ascii="Arial Narrow" w:hAnsi="Arial Narrow"/>
                <w:sz w:val="20"/>
                <w:szCs w:val="20"/>
                <w:bdr w:val="single" w:sz="4" w:space="0" w:color="auto"/>
              </w:rPr>
            </w:r>
            <w:r w:rsidR="003B4E62">
              <w:rPr>
                <w:rFonts w:ascii="Arial Narrow" w:hAnsi="Arial Narrow"/>
                <w:sz w:val="20"/>
                <w:szCs w:val="20"/>
                <w:bdr w:val="single" w:sz="4" w:space="0" w:color="auto"/>
              </w:rPr>
              <w:fldChar w:fldCharType="separate"/>
            </w:r>
            <w:r w:rsidRPr="007357F2">
              <w:rPr>
                <w:rFonts w:ascii="Arial Narrow" w:hAnsi="Arial Narrow"/>
                <w:sz w:val="20"/>
                <w:szCs w:val="20"/>
                <w:bdr w:val="single" w:sz="4" w:space="0" w:color="auto"/>
              </w:rPr>
              <w:fldChar w:fldCharType="end"/>
            </w:r>
            <w:r w:rsidRPr="007357F2">
              <w:rPr>
                <w:rFonts w:ascii="Arial Narrow" w:hAnsi="Arial Narrow"/>
                <w:sz w:val="20"/>
                <w:szCs w:val="20"/>
              </w:rPr>
              <w:t>Authority Required - Telephone</w:t>
            </w:r>
          </w:p>
          <w:p w:rsidR="007357F2" w:rsidRPr="007357F2" w:rsidRDefault="007357F2" w:rsidP="00B21D8A">
            <w:pPr>
              <w:rPr>
                <w:rFonts w:ascii="Arial Narrow" w:hAnsi="Arial Narrow"/>
                <w:sz w:val="20"/>
                <w:szCs w:val="20"/>
              </w:rPr>
            </w:pPr>
            <w:r w:rsidRPr="007357F2">
              <w:rPr>
                <w:rFonts w:ascii="Arial Narrow" w:hAnsi="Arial Narrow"/>
                <w:sz w:val="20"/>
                <w:szCs w:val="20"/>
              </w:rPr>
              <w:fldChar w:fldCharType="begin">
                <w:ffData>
                  <w:name w:val=""/>
                  <w:enabled/>
                  <w:calcOnExit w:val="0"/>
                  <w:checkBox>
                    <w:sizeAuto/>
                    <w:default w:val="0"/>
                  </w:checkBox>
                </w:ffData>
              </w:fldChar>
            </w:r>
            <w:r w:rsidRPr="007357F2">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7357F2">
              <w:rPr>
                <w:rFonts w:ascii="Arial Narrow" w:hAnsi="Arial Narrow"/>
                <w:sz w:val="20"/>
                <w:szCs w:val="20"/>
              </w:rPr>
              <w:fldChar w:fldCharType="end"/>
            </w:r>
            <w:r w:rsidRPr="007357F2">
              <w:rPr>
                <w:rFonts w:ascii="Arial Narrow" w:hAnsi="Arial Narrow"/>
                <w:sz w:val="20"/>
                <w:szCs w:val="20"/>
              </w:rPr>
              <w:t>Authority Required - Emergency</w:t>
            </w:r>
          </w:p>
          <w:p w:rsidR="007357F2" w:rsidRPr="007357F2" w:rsidRDefault="007357F2" w:rsidP="00B21D8A">
            <w:pPr>
              <w:rPr>
                <w:rFonts w:ascii="Arial Narrow" w:hAnsi="Arial Narrow"/>
                <w:sz w:val="20"/>
                <w:szCs w:val="20"/>
              </w:rPr>
            </w:pPr>
            <w:r w:rsidRPr="007357F2">
              <w:rPr>
                <w:rFonts w:ascii="Arial Narrow" w:hAnsi="Arial Narrow"/>
                <w:sz w:val="20"/>
                <w:szCs w:val="20"/>
              </w:rPr>
              <w:fldChar w:fldCharType="begin">
                <w:ffData>
                  <w:name w:val="Check5"/>
                  <w:enabled/>
                  <w:calcOnExit w:val="0"/>
                  <w:checkBox>
                    <w:sizeAuto/>
                    <w:default w:val="0"/>
                  </w:checkBox>
                </w:ffData>
              </w:fldChar>
            </w:r>
            <w:r w:rsidRPr="007357F2">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7357F2">
              <w:rPr>
                <w:rFonts w:ascii="Arial Narrow" w:hAnsi="Arial Narrow"/>
                <w:sz w:val="20"/>
                <w:szCs w:val="20"/>
              </w:rPr>
              <w:fldChar w:fldCharType="end"/>
            </w:r>
            <w:r w:rsidRPr="007357F2">
              <w:rPr>
                <w:rFonts w:ascii="Arial Narrow" w:hAnsi="Arial Narrow"/>
                <w:sz w:val="20"/>
                <w:szCs w:val="20"/>
              </w:rPr>
              <w:t>Authority Required - Electronic</w:t>
            </w:r>
          </w:p>
          <w:p w:rsidR="007357F2" w:rsidRPr="007357F2" w:rsidRDefault="007357F2" w:rsidP="00B21D8A">
            <w:pPr>
              <w:rPr>
                <w:rFonts w:ascii="Arial Narrow" w:hAnsi="Arial Narrow"/>
                <w:sz w:val="20"/>
                <w:szCs w:val="20"/>
              </w:rPr>
            </w:pPr>
            <w:r w:rsidRPr="007357F2">
              <w:rPr>
                <w:rFonts w:ascii="Arial Narrow" w:hAnsi="Arial Narrow"/>
                <w:sz w:val="20"/>
                <w:szCs w:val="20"/>
              </w:rPr>
              <w:fldChar w:fldCharType="begin">
                <w:ffData>
                  <w:name w:val=""/>
                  <w:enabled/>
                  <w:calcOnExit w:val="0"/>
                  <w:checkBox>
                    <w:sizeAuto/>
                    <w:default w:val="1"/>
                  </w:checkBox>
                </w:ffData>
              </w:fldChar>
            </w:r>
            <w:r w:rsidRPr="007357F2">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7357F2">
              <w:rPr>
                <w:rFonts w:ascii="Arial Narrow" w:hAnsi="Arial Narrow"/>
                <w:sz w:val="20"/>
                <w:szCs w:val="20"/>
              </w:rPr>
              <w:fldChar w:fldCharType="end"/>
            </w:r>
            <w:r w:rsidRPr="007357F2">
              <w:rPr>
                <w:rFonts w:ascii="Arial Narrow" w:hAnsi="Arial Narrow"/>
                <w:sz w:val="20"/>
                <w:szCs w:val="20"/>
              </w:rPr>
              <w:t>Streamlined</w:t>
            </w:r>
          </w:p>
        </w:tc>
      </w:tr>
      <w:tr w:rsidR="007357F2" w:rsidRPr="007357F2" w:rsidTr="00B21D8A">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7357F2" w:rsidRPr="007357F2" w:rsidRDefault="007357F2" w:rsidP="00B21D8A">
            <w:pPr>
              <w:rPr>
                <w:rFonts w:ascii="Arial Narrow" w:hAnsi="Arial Narrow"/>
                <w:b/>
                <w:sz w:val="20"/>
                <w:szCs w:val="20"/>
              </w:rPr>
            </w:pPr>
            <w:r w:rsidRPr="007357F2">
              <w:rPr>
                <w:rFonts w:ascii="Arial Narrow" w:hAnsi="Arial Narrow"/>
                <w:b/>
                <w:sz w:val="20"/>
                <w:szCs w:val="20"/>
              </w:rPr>
              <w:t>Clinical criteria:</w:t>
            </w:r>
          </w:p>
          <w:p w:rsidR="007357F2" w:rsidRPr="007357F2" w:rsidRDefault="007357F2" w:rsidP="00B21D8A">
            <w:pPr>
              <w:rPr>
                <w:rFonts w:ascii="Arial Narrow" w:hAnsi="Arial Narrow"/>
                <w:sz w:val="20"/>
                <w:szCs w:val="20"/>
              </w:rPr>
            </w:pPr>
          </w:p>
        </w:tc>
        <w:tc>
          <w:tcPr>
            <w:tcW w:w="6379" w:type="dxa"/>
            <w:gridSpan w:val="4"/>
            <w:tcBorders>
              <w:top w:val="single" w:sz="4" w:space="0" w:color="auto"/>
              <w:left w:val="single" w:sz="4" w:space="0" w:color="auto"/>
              <w:bottom w:val="single" w:sz="4" w:space="0" w:color="auto"/>
              <w:right w:val="single" w:sz="4" w:space="0" w:color="auto"/>
            </w:tcBorders>
          </w:tcPr>
          <w:p w:rsidR="007357F2" w:rsidRPr="007357F2" w:rsidRDefault="00D672FB" w:rsidP="00B21D8A">
            <w:pPr>
              <w:rPr>
                <w:rFonts w:ascii="Arial Narrow" w:hAnsi="Arial Narrow"/>
                <w:sz w:val="20"/>
                <w:szCs w:val="20"/>
              </w:rPr>
            </w:pPr>
            <w:r>
              <w:rPr>
                <w:rFonts w:ascii="Arial Narrow" w:hAnsi="Arial Narrow"/>
                <w:sz w:val="20"/>
                <w:szCs w:val="20"/>
              </w:rPr>
              <w:t>P</w:t>
            </w:r>
            <w:r w:rsidR="007357F2" w:rsidRPr="007357F2">
              <w:rPr>
                <w:rFonts w:ascii="Arial Narrow" w:hAnsi="Arial Narrow"/>
                <w:sz w:val="20"/>
                <w:szCs w:val="20"/>
              </w:rPr>
              <w:t xml:space="preserve">atient must have progressive disease after prior platinum and fluoropyrimidine chemotherapy; </w:t>
            </w:r>
          </w:p>
          <w:p w:rsidR="007357F2" w:rsidRPr="007357F2" w:rsidRDefault="007357F2" w:rsidP="00B21D8A">
            <w:pPr>
              <w:rPr>
                <w:rFonts w:ascii="Arial Narrow" w:hAnsi="Arial Narrow"/>
                <w:sz w:val="20"/>
                <w:szCs w:val="20"/>
              </w:rPr>
            </w:pPr>
            <w:r w:rsidRPr="007357F2">
              <w:rPr>
                <w:rFonts w:ascii="Arial Narrow" w:hAnsi="Arial Narrow"/>
                <w:sz w:val="20"/>
                <w:szCs w:val="20"/>
              </w:rPr>
              <w:t>AND</w:t>
            </w:r>
          </w:p>
          <w:p w:rsidR="007357F2" w:rsidRPr="007357F2" w:rsidRDefault="007357F2" w:rsidP="00B21D8A">
            <w:pPr>
              <w:rPr>
                <w:rFonts w:ascii="Arial Narrow" w:hAnsi="Arial Narrow"/>
                <w:sz w:val="20"/>
                <w:szCs w:val="20"/>
              </w:rPr>
            </w:pPr>
            <w:r w:rsidRPr="007357F2">
              <w:rPr>
                <w:rFonts w:ascii="Arial Narrow" w:hAnsi="Arial Narrow"/>
                <w:sz w:val="20"/>
                <w:szCs w:val="20"/>
              </w:rPr>
              <w:t xml:space="preserve">Patient must have an ECOG performance status 0 or 1, </w:t>
            </w:r>
          </w:p>
          <w:p w:rsidR="007357F2" w:rsidRPr="007357F2" w:rsidRDefault="007357F2" w:rsidP="00B21D8A">
            <w:pPr>
              <w:rPr>
                <w:rFonts w:ascii="Arial Narrow" w:hAnsi="Arial Narrow"/>
                <w:sz w:val="20"/>
                <w:szCs w:val="20"/>
              </w:rPr>
            </w:pPr>
            <w:r w:rsidRPr="007357F2">
              <w:rPr>
                <w:rFonts w:ascii="Arial Narrow" w:hAnsi="Arial Narrow"/>
                <w:sz w:val="20"/>
                <w:szCs w:val="20"/>
              </w:rPr>
              <w:t>AND</w:t>
            </w:r>
          </w:p>
          <w:p w:rsidR="007357F2" w:rsidRPr="007357F2" w:rsidRDefault="007357F2" w:rsidP="00B21D8A">
            <w:pPr>
              <w:rPr>
                <w:rFonts w:ascii="Arial Narrow" w:hAnsi="Arial Narrow"/>
                <w:sz w:val="20"/>
                <w:szCs w:val="20"/>
              </w:rPr>
            </w:pPr>
            <w:r w:rsidRPr="007357F2">
              <w:rPr>
                <w:rFonts w:ascii="Arial Narrow" w:hAnsi="Arial Narrow"/>
                <w:sz w:val="20"/>
                <w:szCs w:val="20"/>
              </w:rPr>
              <w:t>Treatment must be in combination with paclitaxel</w:t>
            </w:r>
          </w:p>
        </w:tc>
      </w:tr>
      <w:tr w:rsidR="001A2733" w:rsidRPr="007357F2" w:rsidTr="001A2733">
        <w:trPr>
          <w:cantSplit/>
          <w:trHeight w:val="471"/>
        </w:trPr>
        <w:tc>
          <w:tcPr>
            <w:tcW w:w="2694" w:type="dxa"/>
          </w:tcPr>
          <w:p w:rsidR="001A2733" w:rsidRPr="007357F2" w:rsidRDefault="001A2733" w:rsidP="001A2733">
            <w:pPr>
              <w:keepNext/>
              <w:rPr>
                <w:rFonts w:ascii="Arial Narrow" w:hAnsi="Arial Narrow"/>
                <w:sz w:val="20"/>
                <w:szCs w:val="20"/>
              </w:rPr>
            </w:pPr>
          </w:p>
        </w:tc>
        <w:tc>
          <w:tcPr>
            <w:tcW w:w="1134" w:type="dxa"/>
            <w:gridSpan w:val="2"/>
          </w:tcPr>
          <w:p w:rsidR="001A2733" w:rsidRPr="007357F2" w:rsidRDefault="001A2733" w:rsidP="00B21D8A">
            <w:pPr>
              <w:keepNext/>
              <w:ind w:left="-108"/>
              <w:rPr>
                <w:rFonts w:ascii="Arial Narrow" w:hAnsi="Arial Narrow"/>
                <w:sz w:val="20"/>
                <w:szCs w:val="20"/>
              </w:rPr>
            </w:pPr>
          </w:p>
        </w:tc>
        <w:tc>
          <w:tcPr>
            <w:tcW w:w="1417" w:type="dxa"/>
          </w:tcPr>
          <w:p w:rsidR="001A2733" w:rsidRPr="007357F2" w:rsidRDefault="001A2733" w:rsidP="00B21D8A">
            <w:pPr>
              <w:keepNext/>
              <w:ind w:left="-108"/>
              <w:rPr>
                <w:rFonts w:ascii="Arial Narrow" w:hAnsi="Arial Narrow"/>
                <w:sz w:val="20"/>
                <w:szCs w:val="20"/>
              </w:rPr>
            </w:pPr>
          </w:p>
        </w:tc>
        <w:tc>
          <w:tcPr>
            <w:tcW w:w="3969" w:type="dxa"/>
            <w:gridSpan w:val="2"/>
          </w:tcPr>
          <w:p w:rsidR="001A2733" w:rsidRPr="007357F2" w:rsidRDefault="001A2733" w:rsidP="00B21D8A">
            <w:pPr>
              <w:keepNext/>
              <w:rPr>
                <w:rFonts w:ascii="Arial Narrow" w:hAnsi="Arial Narrow"/>
                <w:sz w:val="20"/>
                <w:szCs w:val="20"/>
              </w:rPr>
            </w:pPr>
          </w:p>
        </w:tc>
      </w:tr>
      <w:tr w:rsidR="001F0915" w:rsidRPr="007357F2" w:rsidTr="001F0915">
        <w:trPr>
          <w:cantSplit/>
          <w:trHeight w:val="471"/>
        </w:trPr>
        <w:tc>
          <w:tcPr>
            <w:tcW w:w="2694" w:type="dxa"/>
            <w:tcBorders>
              <w:bottom w:val="single" w:sz="4" w:space="0" w:color="auto"/>
            </w:tcBorders>
          </w:tcPr>
          <w:p w:rsidR="001F0915" w:rsidRPr="007357F2" w:rsidRDefault="001F0915" w:rsidP="00B21D8A">
            <w:pPr>
              <w:keepNext/>
              <w:ind w:left="-108"/>
              <w:rPr>
                <w:rFonts w:ascii="Arial Narrow" w:hAnsi="Arial Narrow"/>
                <w:sz w:val="20"/>
                <w:szCs w:val="20"/>
              </w:rPr>
            </w:pPr>
            <w:r w:rsidRPr="007357F2">
              <w:rPr>
                <w:rFonts w:ascii="Arial Narrow" w:hAnsi="Arial Narrow"/>
                <w:sz w:val="20"/>
                <w:szCs w:val="20"/>
              </w:rPr>
              <w:t>Name, Restriction,</w:t>
            </w:r>
          </w:p>
          <w:p w:rsidR="001F0915" w:rsidRPr="007357F2" w:rsidRDefault="001F0915" w:rsidP="00B21D8A">
            <w:pPr>
              <w:keepNext/>
              <w:ind w:left="-108"/>
              <w:rPr>
                <w:rFonts w:ascii="Arial Narrow" w:hAnsi="Arial Narrow"/>
                <w:sz w:val="20"/>
                <w:szCs w:val="20"/>
              </w:rPr>
            </w:pPr>
            <w:r w:rsidRPr="007357F2">
              <w:rPr>
                <w:rFonts w:ascii="Arial Narrow" w:hAnsi="Arial Narrow"/>
                <w:sz w:val="20"/>
                <w:szCs w:val="20"/>
              </w:rPr>
              <w:t>Manner of administration and form</w:t>
            </w:r>
          </w:p>
        </w:tc>
        <w:tc>
          <w:tcPr>
            <w:tcW w:w="1134" w:type="dxa"/>
            <w:gridSpan w:val="2"/>
            <w:tcBorders>
              <w:bottom w:val="single" w:sz="4" w:space="0" w:color="auto"/>
            </w:tcBorders>
          </w:tcPr>
          <w:p w:rsidR="001F0915" w:rsidRPr="007357F2" w:rsidRDefault="001F0915" w:rsidP="00B21D8A">
            <w:pPr>
              <w:keepNext/>
              <w:ind w:left="-108"/>
              <w:rPr>
                <w:rFonts w:ascii="Arial Narrow" w:hAnsi="Arial Narrow"/>
                <w:sz w:val="20"/>
                <w:szCs w:val="20"/>
              </w:rPr>
            </w:pPr>
            <w:r w:rsidRPr="007357F2">
              <w:rPr>
                <w:rFonts w:ascii="Arial Narrow" w:hAnsi="Arial Narrow"/>
                <w:sz w:val="20"/>
                <w:szCs w:val="20"/>
              </w:rPr>
              <w:t>Max.</w:t>
            </w:r>
          </w:p>
          <w:p w:rsidR="001F0915" w:rsidRPr="007357F2" w:rsidRDefault="001F0915" w:rsidP="00B21D8A">
            <w:pPr>
              <w:keepNext/>
              <w:ind w:left="-108"/>
              <w:rPr>
                <w:rFonts w:ascii="Arial Narrow" w:hAnsi="Arial Narrow"/>
                <w:sz w:val="20"/>
                <w:szCs w:val="20"/>
              </w:rPr>
            </w:pPr>
            <w:r w:rsidRPr="007357F2">
              <w:rPr>
                <w:rFonts w:ascii="Arial Narrow" w:hAnsi="Arial Narrow"/>
                <w:sz w:val="20"/>
                <w:szCs w:val="20"/>
              </w:rPr>
              <w:t>Amt</w:t>
            </w:r>
          </w:p>
        </w:tc>
        <w:tc>
          <w:tcPr>
            <w:tcW w:w="1417" w:type="dxa"/>
            <w:tcBorders>
              <w:bottom w:val="single" w:sz="4" w:space="0" w:color="auto"/>
            </w:tcBorders>
          </w:tcPr>
          <w:p w:rsidR="001F0915" w:rsidRPr="007357F2" w:rsidRDefault="001F0915" w:rsidP="00B21D8A">
            <w:pPr>
              <w:keepNext/>
              <w:ind w:left="-108"/>
              <w:rPr>
                <w:rFonts w:ascii="Arial Narrow" w:hAnsi="Arial Narrow"/>
                <w:sz w:val="20"/>
                <w:szCs w:val="20"/>
              </w:rPr>
            </w:pPr>
            <w:r w:rsidRPr="007357F2">
              <w:rPr>
                <w:rFonts w:ascii="Arial Narrow" w:hAnsi="Arial Narrow"/>
                <w:sz w:val="20"/>
                <w:szCs w:val="20"/>
              </w:rPr>
              <w:t>№.of</w:t>
            </w:r>
          </w:p>
          <w:p w:rsidR="001F0915" w:rsidRPr="007357F2" w:rsidRDefault="001F0915" w:rsidP="00B21D8A">
            <w:pPr>
              <w:keepNext/>
              <w:ind w:left="-108"/>
              <w:rPr>
                <w:rFonts w:ascii="Arial Narrow" w:hAnsi="Arial Narrow"/>
                <w:sz w:val="20"/>
                <w:szCs w:val="20"/>
              </w:rPr>
            </w:pPr>
            <w:r w:rsidRPr="007357F2">
              <w:rPr>
                <w:rFonts w:ascii="Arial Narrow" w:hAnsi="Arial Narrow"/>
                <w:sz w:val="20"/>
                <w:szCs w:val="20"/>
              </w:rPr>
              <w:t>Rpts</w:t>
            </w:r>
          </w:p>
        </w:tc>
        <w:tc>
          <w:tcPr>
            <w:tcW w:w="3969" w:type="dxa"/>
            <w:gridSpan w:val="2"/>
            <w:tcBorders>
              <w:bottom w:val="single" w:sz="4" w:space="0" w:color="auto"/>
            </w:tcBorders>
          </w:tcPr>
          <w:p w:rsidR="001F0915" w:rsidRPr="007357F2" w:rsidRDefault="001F0915" w:rsidP="00B21D8A">
            <w:pPr>
              <w:keepNext/>
              <w:rPr>
                <w:rFonts w:ascii="Arial Narrow" w:hAnsi="Arial Narrow"/>
                <w:sz w:val="20"/>
                <w:szCs w:val="20"/>
                <w:lang w:val="fr-FR"/>
              </w:rPr>
            </w:pPr>
            <w:r w:rsidRPr="007357F2">
              <w:rPr>
                <w:rFonts w:ascii="Arial Narrow" w:hAnsi="Arial Narrow"/>
                <w:sz w:val="20"/>
                <w:szCs w:val="20"/>
              </w:rPr>
              <w:t>Proprietary Name and Manufacturer</w:t>
            </w:r>
          </w:p>
        </w:tc>
      </w:tr>
      <w:tr w:rsidR="001F0915" w:rsidRPr="007357F2" w:rsidTr="001F0915">
        <w:trPr>
          <w:cantSplit/>
          <w:trHeight w:val="577"/>
        </w:trPr>
        <w:tc>
          <w:tcPr>
            <w:tcW w:w="2694" w:type="dxa"/>
          </w:tcPr>
          <w:p w:rsidR="001F0915" w:rsidRPr="007357F2" w:rsidRDefault="001F0915" w:rsidP="00B21D8A">
            <w:pPr>
              <w:keepNext/>
              <w:ind w:left="-108"/>
              <w:rPr>
                <w:rFonts w:ascii="Arial Narrow" w:hAnsi="Arial Narrow"/>
                <w:sz w:val="20"/>
                <w:szCs w:val="20"/>
              </w:rPr>
            </w:pPr>
            <w:r w:rsidRPr="007357F2">
              <w:rPr>
                <w:rFonts w:ascii="Arial Narrow" w:hAnsi="Arial Narrow"/>
                <w:smallCaps/>
                <w:sz w:val="20"/>
                <w:szCs w:val="20"/>
              </w:rPr>
              <w:t>RAMUCIRUMAB</w:t>
            </w:r>
          </w:p>
          <w:p w:rsidR="001F0915" w:rsidRPr="007357F2" w:rsidRDefault="001F0915" w:rsidP="00B21D8A">
            <w:pPr>
              <w:keepNext/>
              <w:ind w:left="-108"/>
              <w:rPr>
                <w:rFonts w:ascii="Arial Narrow" w:hAnsi="Arial Narrow"/>
                <w:sz w:val="20"/>
                <w:szCs w:val="20"/>
              </w:rPr>
            </w:pPr>
            <w:r w:rsidRPr="007357F2">
              <w:rPr>
                <w:rFonts w:ascii="Arial Narrow" w:hAnsi="Arial Narrow"/>
                <w:sz w:val="20"/>
                <w:szCs w:val="20"/>
              </w:rPr>
              <w:t>500 mg/50 mL injection, 1 vial</w:t>
            </w:r>
          </w:p>
          <w:p w:rsidR="001F0915" w:rsidRPr="007357F2" w:rsidRDefault="001F0915" w:rsidP="00B21D8A">
            <w:pPr>
              <w:keepNext/>
              <w:ind w:left="-108"/>
              <w:rPr>
                <w:rFonts w:ascii="Arial Narrow" w:hAnsi="Arial Narrow"/>
                <w:sz w:val="20"/>
                <w:szCs w:val="20"/>
              </w:rPr>
            </w:pPr>
            <w:r w:rsidRPr="007357F2">
              <w:rPr>
                <w:rFonts w:ascii="Arial Narrow" w:hAnsi="Arial Narrow"/>
                <w:sz w:val="20"/>
                <w:szCs w:val="20"/>
              </w:rPr>
              <w:t>100 mg/10 mL injection, 1 vial</w:t>
            </w:r>
          </w:p>
        </w:tc>
        <w:tc>
          <w:tcPr>
            <w:tcW w:w="1134" w:type="dxa"/>
            <w:gridSpan w:val="2"/>
          </w:tcPr>
          <w:p w:rsidR="001F0915" w:rsidRPr="007357F2" w:rsidRDefault="001F0915" w:rsidP="00B21D8A">
            <w:pPr>
              <w:keepNext/>
              <w:ind w:left="-108"/>
              <w:rPr>
                <w:rFonts w:ascii="Arial Narrow" w:hAnsi="Arial Narrow"/>
                <w:sz w:val="20"/>
                <w:szCs w:val="20"/>
              </w:rPr>
            </w:pPr>
          </w:p>
          <w:p w:rsidR="001F0915" w:rsidRPr="007357F2" w:rsidRDefault="001F0915" w:rsidP="00B21D8A">
            <w:pPr>
              <w:keepNext/>
              <w:ind w:left="-108"/>
              <w:rPr>
                <w:rFonts w:ascii="Arial Narrow" w:hAnsi="Arial Narrow"/>
                <w:sz w:val="20"/>
                <w:szCs w:val="20"/>
              </w:rPr>
            </w:pPr>
            <w:r w:rsidRPr="007357F2">
              <w:rPr>
                <w:rFonts w:ascii="Arial Narrow" w:hAnsi="Arial Narrow"/>
                <w:sz w:val="20"/>
                <w:szCs w:val="20"/>
              </w:rPr>
              <w:t>551 mg</w:t>
            </w:r>
          </w:p>
          <w:p w:rsidR="001F0915" w:rsidRPr="007357F2" w:rsidRDefault="001F0915" w:rsidP="00B21D8A">
            <w:pPr>
              <w:keepNext/>
              <w:ind w:left="-108"/>
              <w:rPr>
                <w:rFonts w:ascii="Arial Narrow" w:hAnsi="Arial Narrow"/>
                <w:sz w:val="20"/>
                <w:szCs w:val="20"/>
              </w:rPr>
            </w:pPr>
            <w:r w:rsidRPr="007357F2">
              <w:rPr>
                <w:rFonts w:ascii="Arial Narrow" w:hAnsi="Arial Narrow"/>
                <w:sz w:val="20"/>
                <w:szCs w:val="20"/>
              </w:rPr>
              <w:t>1920 mg</w:t>
            </w:r>
          </w:p>
        </w:tc>
        <w:tc>
          <w:tcPr>
            <w:tcW w:w="1417" w:type="dxa"/>
          </w:tcPr>
          <w:p w:rsidR="001F0915" w:rsidRPr="007357F2" w:rsidRDefault="001F0915" w:rsidP="00B21D8A">
            <w:pPr>
              <w:keepNext/>
              <w:ind w:left="-108"/>
              <w:rPr>
                <w:rFonts w:ascii="Arial Narrow" w:hAnsi="Arial Narrow"/>
                <w:sz w:val="20"/>
                <w:szCs w:val="20"/>
              </w:rPr>
            </w:pPr>
          </w:p>
          <w:p w:rsidR="001F0915" w:rsidRPr="007357F2" w:rsidRDefault="001F0915" w:rsidP="00B21D8A">
            <w:pPr>
              <w:keepNext/>
              <w:ind w:left="-108"/>
              <w:rPr>
                <w:rFonts w:ascii="Arial Narrow" w:hAnsi="Arial Narrow"/>
                <w:sz w:val="20"/>
                <w:szCs w:val="20"/>
              </w:rPr>
            </w:pPr>
            <w:r w:rsidRPr="007357F2">
              <w:rPr>
                <w:rFonts w:ascii="Arial Narrow" w:hAnsi="Arial Narrow"/>
                <w:sz w:val="20"/>
                <w:szCs w:val="20"/>
              </w:rPr>
              <w:t>32</w:t>
            </w:r>
          </w:p>
          <w:p w:rsidR="001F0915" w:rsidRPr="007357F2" w:rsidRDefault="001F0915" w:rsidP="00B21D8A">
            <w:pPr>
              <w:keepNext/>
              <w:ind w:left="-108"/>
              <w:rPr>
                <w:rFonts w:ascii="Arial Narrow" w:hAnsi="Arial Narrow"/>
                <w:sz w:val="20"/>
                <w:szCs w:val="20"/>
              </w:rPr>
            </w:pPr>
          </w:p>
          <w:p w:rsidR="001F0915" w:rsidRPr="007357F2" w:rsidRDefault="001F0915" w:rsidP="001F0915">
            <w:pPr>
              <w:keepNext/>
              <w:rPr>
                <w:rFonts w:ascii="Arial Narrow" w:hAnsi="Arial Narrow"/>
                <w:sz w:val="20"/>
                <w:szCs w:val="20"/>
              </w:rPr>
            </w:pPr>
          </w:p>
        </w:tc>
        <w:tc>
          <w:tcPr>
            <w:tcW w:w="1843" w:type="dxa"/>
          </w:tcPr>
          <w:p w:rsidR="001F0915" w:rsidRPr="007357F2" w:rsidRDefault="001F0915" w:rsidP="00B21D8A">
            <w:pPr>
              <w:keepNext/>
              <w:rPr>
                <w:rFonts w:ascii="Arial Narrow" w:hAnsi="Arial Narrow"/>
                <w:sz w:val="20"/>
                <w:szCs w:val="20"/>
              </w:rPr>
            </w:pPr>
            <w:r w:rsidRPr="007357F2">
              <w:rPr>
                <w:rFonts w:ascii="Arial Narrow" w:hAnsi="Arial Narrow" w:cs="Times New Roman"/>
                <w:snapToGrid/>
                <w:sz w:val="20"/>
              </w:rPr>
              <w:t>Cyramza®</w:t>
            </w:r>
          </w:p>
        </w:tc>
        <w:tc>
          <w:tcPr>
            <w:tcW w:w="2126" w:type="dxa"/>
          </w:tcPr>
          <w:p w:rsidR="001F0915" w:rsidRPr="007357F2" w:rsidRDefault="001F0915" w:rsidP="00B21D8A">
            <w:pPr>
              <w:keepNext/>
              <w:rPr>
                <w:rFonts w:ascii="Arial Narrow" w:hAnsi="Arial Narrow"/>
                <w:sz w:val="20"/>
                <w:szCs w:val="20"/>
              </w:rPr>
            </w:pPr>
            <w:r w:rsidRPr="007357F2">
              <w:rPr>
                <w:rFonts w:ascii="Arial Narrow" w:hAnsi="Arial Narrow" w:cs="Times New Roman"/>
                <w:snapToGrid/>
                <w:sz w:val="20"/>
                <w:szCs w:val="20"/>
              </w:rPr>
              <w:t>Eli Lilly Australia Pty Ltd</w:t>
            </w:r>
          </w:p>
        </w:tc>
      </w:tr>
      <w:tr w:rsidR="007357F2" w:rsidRPr="007357F2" w:rsidTr="00B21D8A">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7357F2" w:rsidRPr="007357F2" w:rsidRDefault="007357F2" w:rsidP="00B21D8A">
            <w:pPr>
              <w:rPr>
                <w:rFonts w:ascii="Arial Narrow" w:hAnsi="Arial Narrow"/>
                <w:b/>
                <w:sz w:val="20"/>
                <w:szCs w:val="20"/>
              </w:rPr>
            </w:pPr>
            <w:r w:rsidRPr="007357F2">
              <w:rPr>
                <w:rFonts w:ascii="Arial Narrow" w:hAnsi="Arial Narrow"/>
                <w:b/>
                <w:sz w:val="20"/>
                <w:szCs w:val="20"/>
              </w:rPr>
              <w:t xml:space="preserve">Category / </w:t>
            </w:r>
          </w:p>
          <w:p w:rsidR="007357F2" w:rsidRPr="007357F2" w:rsidRDefault="007357F2" w:rsidP="00B21D8A">
            <w:pPr>
              <w:rPr>
                <w:rFonts w:ascii="Arial Narrow" w:hAnsi="Arial Narrow"/>
                <w:b/>
                <w:sz w:val="20"/>
                <w:szCs w:val="20"/>
              </w:rPr>
            </w:pPr>
            <w:r w:rsidRPr="007357F2">
              <w:rPr>
                <w:rFonts w:ascii="Arial Narrow" w:hAnsi="Arial Narrow"/>
                <w:b/>
                <w:sz w:val="20"/>
                <w:szCs w:val="20"/>
              </w:rPr>
              <w:t>Program</w:t>
            </w:r>
          </w:p>
        </w:tc>
        <w:tc>
          <w:tcPr>
            <w:tcW w:w="6379" w:type="dxa"/>
            <w:gridSpan w:val="4"/>
            <w:tcBorders>
              <w:top w:val="single" w:sz="4" w:space="0" w:color="auto"/>
              <w:left w:val="single" w:sz="4" w:space="0" w:color="auto"/>
              <w:bottom w:val="single" w:sz="4" w:space="0" w:color="auto"/>
              <w:right w:val="single" w:sz="4" w:space="0" w:color="auto"/>
            </w:tcBorders>
          </w:tcPr>
          <w:p w:rsidR="007357F2" w:rsidRPr="007357F2" w:rsidRDefault="007357F2" w:rsidP="00B21D8A">
            <w:pPr>
              <w:rPr>
                <w:rFonts w:ascii="Arial Narrow" w:hAnsi="Arial Narrow"/>
                <w:sz w:val="20"/>
                <w:szCs w:val="20"/>
              </w:rPr>
            </w:pPr>
            <w:r w:rsidRPr="007357F2">
              <w:rPr>
                <w:rFonts w:ascii="Arial Narrow" w:hAnsi="Arial Narrow"/>
                <w:sz w:val="20"/>
                <w:szCs w:val="20"/>
              </w:rPr>
              <w:t xml:space="preserve">Section 100 – Efficient funding of Chemotherapy </w:t>
            </w:r>
          </w:p>
        </w:tc>
      </w:tr>
      <w:tr w:rsidR="007357F2" w:rsidRPr="007357F2" w:rsidTr="00B21D8A">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7357F2" w:rsidRPr="007357F2" w:rsidRDefault="007357F2" w:rsidP="00B21D8A">
            <w:pPr>
              <w:rPr>
                <w:rFonts w:ascii="Arial Narrow" w:hAnsi="Arial Narrow"/>
                <w:b/>
                <w:sz w:val="20"/>
                <w:szCs w:val="20"/>
              </w:rPr>
            </w:pPr>
            <w:r w:rsidRPr="007357F2">
              <w:rPr>
                <w:rFonts w:ascii="Arial Narrow" w:hAnsi="Arial Narrow"/>
                <w:b/>
                <w:sz w:val="20"/>
                <w:szCs w:val="20"/>
              </w:rPr>
              <w:t>Prescriber type:</w:t>
            </w:r>
          </w:p>
          <w:p w:rsidR="007357F2" w:rsidRPr="007357F2" w:rsidRDefault="007357F2" w:rsidP="00B21D8A">
            <w:pPr>
              <w:rPr>
                <w:rFonts w:ascii="Arial Narrow" w:hAnsi="Arial Narrow"/>
                <w:b/>
                <w:sz w:val="20"/>
                <w:szCs w:val="20"/>
              </w:rPr>
            </w:pPr>
          </w:p>
        </w:tc>
        <w:tc>
          <w:tcPr>
            <w:tcW w:w="6379" w:type="dxa"/>
            <w:gridSpan w:val="4"/>
            <w:tcBorders>
              <w:top w:val="single" w:sz="4" w:space="0" w:color="auto"/>
              <w:left w:val="single" w:sz="4" w:space="0" w:color="auto"/>
              <w:bottom w:val="single" w:sz="4" w:space="0" w:color="auto"/>
              <w:right w:val="single" w:sz="4" w:space="0" w:color="auto"/>
            </w:tcBorders>
          </w:tcPr>
          <w:p w:rsidR="007357F2" w:rsidRPr="007357F2" w:rsidRDefault="007357F2" w:rsidP="00B21D8A">
            <w:pPr>
              <w:rPr>
                <w:rFonts w:ascii="Arial Narrow" w:hAnsi="Arial Narrow"/>
                <w:sz w:val="20"/>
                <w:szCs w:val="20"/>
              </w:rPr>
            </w:pPr>
            <w:r w:rsidRPr="007357F2">
              <w:rPr>
                <w:rFonts w:ascii="Arial Narrow" w:hAnsi="Arial Narrow"/>
                <w:sz w:val="20"/>
                <w:szCs w:val="20"/>
              </w:rPr>
              <w:fldChar w:fldCharType="begin">
                <w:ffData>
                  <w:name w:val="Check1"/>
                  <w:enabled/>
                  <w:calcOnExit w:val="0"/>
                  <w:checkBox>
                    <w:sizeAuto/>
                    <w:default w:val="0"/>
                  </w:checkBox>
                </w:ffData>
              </w:fldChar>
            </w:r>
            <w:r w:rsidRPr="007357F2">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7357F2">
              <w:rPr>
                <w:rFonts w:ascii="Arial Narrow" w:hAnsi="Arial Narrow"/>
                <w:sz w:val="20"/>
                <w:szCs w:val="20"/>
              </w:rPr>
              <w:fldChar w:fldCharType="end"/>
            </w:r>
            <w:r w:rsidRPr="007357F2">
              <w:rPr>
                <w:rFonts w:ascii="Arial Narrow" w:hAnsi="Arial Narrow"/>
                <w:sz w:val="20"/>
                <w:szCs w:val="20"/>
              </w:rPr>
              <w:t xml:space="preserve">Dental  </w:t>
            </w:r>
            <w:r w:rsidRPr="007357F2">
              <w:rPr>
                <w:rFonts w:ascii="Arial Narrow" w:hAnsi="Arial Narrow"/>
                <w:sz w:val="20"/>
                <w:szCs w:val="20"/>
              </w:rPr>
              <w:fldChar w:fldCharType="begin">
                <w:ffData>
                  <w:name w:val=""/>
                  <w:enabled/>
                  <w:calcOnExit w:val="0"/>
                  <w:checkBox>
                    <w:sizeAuto/>
                    <w:default w:val="1"/>
                  </w:checkBox>
                </w:ffData>
              </w:fldChar>
            </w:r>
            <w:r w:rsidRPr="007357F2">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7357F2">
              <w:rPr>
                <w:rFonts w:ascii="Arial Narrow" w:hAnsi="Arial Narrow"/>
                <w:sz w:val="20"/>
                <w:szCs w:val="20"/>
              </w:rPr>
              <w:fldChar w:fldCharType="end"/>
            </w:r>
            <w:r w:rsidRPr="007357F2">
              <w:rPr>
                <w:rFonts w:ascii="Arial Narrow" w:hAnsi="Arial Narrow"/>
                <w:sz w:val="20"/>
                <w:szCs w:val="20"/>
              </w:rPr>
              <w:t xml:space="preserve">Medical Practitioners  </w:t>
            </w:r>
            <w:r w:rsidRPr="007357F2">
              <w:rPr>
                <w:rFonts w:ascii="Arial Narrow" w:hAnsi="Arial Narrow"/>
                <w:sz w:val="20"/>
                <w:szCs w:val="20"/>
              </w:rPr>
              <w:fldChar w:fldCharType="begin">
                <w:ffData>
                  <w:name w:val="Check3"/>
                  <w:enabled/>
                  <w:calcOnExit w:val="0"/>
                  <w:checkBox>
                    <w:sizeAuto/>
                    <w:default w:val="0"/>
                  </w:checkBox>
                </w:ffData>
              </w:fldChar>
            </w:r>
            <w:r w:rsidRPr="007357F2">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7357F2">
              <w:rPr>
                <w:rFonts w:ascii="Arial Narrow" w:hAnsi="Arial Narrow"/>
                <w:sz w:val="20"/>
                <w:szCs w:val="20"/>
              </w:rPr>
              <w:fldChar w:fldCharType="end"/>
            </w:r>
            <w:r w:rsidRPr="007357F2">
              <w:rPr>
                <w:rFonts w:ascii="Arial Narrow" w:hAnsi="Arial Narrow"/>
                <w:sz w:val="20"/>
                <w:szCs w:val="20"/>
              </w:rPr>
              <w:t xml:space="preserve">Nurse practitioners  </w:t>
            </w:r>
            <w:r w:rsidRPr="007357F2">
              <w:rPr>
                <w:rFonts w:ascii="Arial Narrow" w:hAnsi="Arial Narrow"/>
                <w:sz w:val="20"/>
                <w:szCs w:val="20"/>
              </w:rPr>
              <w:fldChar w:fldCharType="begin">
                <w:ffData>
                  <w:name w:val=""/>
                  <w:enabled/>
                  <w:calcOnExit w:val="0"/>
                  <w:checkBox>
                    <w:sizeAuto/>
                    <w:default w:val="0"/>
                  </w:checkBox>
                </w:ffData>
              </w:fldChar>
            </w:r>
            <w:r w:rsidRPr="007357F2">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7357F2">
              <w:rPr>
                <w:rFonts w:ascii="Arial Narrow" w:hAnsi="Arial Narrow"/>
                <w:sz w:val="20"/>
                <w:szCs w:val="20"/>
              </w:rPr>
              <w:fldChar w:fldCharType="end"/>
            </w:r>
            <w:r w:rsidRPr="007357F2">
              <w:rPr>
                <w:rFonts w:ascii="Arial Narrow" w:hAnsi="Arial Narrow"/>
                <w:sz w:val="20"/>
                <w:szCs w:val="20"/>
              </w:rPr>
              <w:t>Optometrists</w:t>
            </w:r>
          </w:p>
          <w:p w:rsidR="007357F2" w:rsidRPr="007357F2" w:rsidRDefault="007357F2" w:rsidP="00B21D8A">
            <w:pPr>
              <w:rPr>
                <w:rFonts w:ascii="Arial Narrow" w:hAnsi="Arial Narrow"/>
                <w:sz w:val="20"/>
                <w:szCs w:val="20"/>
              </w:rPr>
            </w:pPr>
            <w:r w:rsidRPr="007357F2">
              <w:rPr>
                <w:rFonts w:ascii="Arial Narrow" w:hAnsi="Arial Narrow"/>
                <w:sz w:val="20"/>
                <w:szCs w:val="20"/>
              </w:rPr>
              <w:fldChar w:fldCharType="begin">
                <w:ffData>
                  <w:name w:val="Check5"/>
                  <w:enabled/>
                  <w:calcOnExit w:val="0"/>
                  <w:checkBox>
                    <w:sizeAuto/>
                    <w:default w:val="0"/>
                  </w:checkBox>
                </w:ffData>
              </w:fldChar>
            </w:r>
            <w:r w:rsidRPr="007357F2">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7357F2">
              <w:rPr>
                <w:rFonts w:ascii="Arial Narrow" w:hAnsi="Arial Narrow"/>
                <w:sz w:val="20"/>
                <w:szCs w:val="20"/>
              </w:rPr>
              <w:fldChar w:fldCharType="end"/>
            </w:r>
            <w:r w:rsidRPr="007357F2">
              <w:rPr>
                <w:rFonts w:ascii="Arial Narrow" w:hAnsi="Arial Narrow"/>
                <w:sz w:val="20"/>
                <w:szCs w:val="20"/>
              </w:rPr>
              <w:t>Midwives</w:t>
            </w:r>
          </w:p>
        </w:tc>
      </w:tr>
      <w:tr w:rsidR="007357F2" w:rsidRPr="007357F2" w:rsidTr="00B21D8A">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7357F2" w:rsidRPr="007357F2" w:rsidRDefault="007357F2" w:rsidP="00B21D8A">
            <w:pPr>
              <w:rPr>
                <w:rFonts w:ascii="Arial Narrow" w:hAnsi="Arial Narrow"/>
                <w:b/>
                <w:sz w:val="20"/>
                <w:szCs w:val="20"/>
              </w:rPr>
            </w:pPr>
            <w:r w:rsidRPr="007357F2">
              <w:rPr>
                <w:rFonts w:ascii="Arial Narrow" w:hAnsi="Arial Narrow"/>
                <w:b/>
                <w:sz w:val="20"/>
                <w:szCs w:val="20"/>
              </w:rPr>
              <w:t>Severity:</w:t>
            </w:r>
          </w:p>
        </w:tc>
        <w:tc>
          <w:tcPr>
            <w:tcW w:w="6379" w:type="dxa"/>
            <w:gridSpan w:val="4"/>
            <w:tcBorders>
              <w:top w:val="single" w:sz="4" w:space="0" w:color="auto"/>
              <w:left w:val="single" w:sz="4" w:space="0" w:color="auto"/>
              <w:bottom w:val="single" w:sz="4" w:space="0" w:color="auto"/>
              <w:right w:val="single" w:sz="4" w:space="0" w:color="auto"/>
            </w:tcBorders>
          </w:tcPr>
          <w:p w:rsidR="007357F2" w:rsidRPr="007357F2" w:rsidRDefault="007357F2" w:rsidP="009B5465">
            <w:pPr>
              <w:rPr>
                <w:rFonts w:ascii="Arial Narrow" w:hAnsi="Arial Narrow"/>
                <w:sz w:val="20"/>
                <w:szCs w:val="20"/>
              </w:rPr>
            </w:pPr>
            <w:r w:rsidRPr="007357F2">
              <w:rPr>
                <w:rFonts w:ascii="Arial Narrow" w:hAnsi="Arial Narrow"/>
                <w:sz w:val="20"/>
                <w:szCs w:val="20"/>
              </w:rPr>
              <w:t xml:space="preserve">Advanced or metastatic </w:t>
            </w:r>
          </w:p>
        </w:tc>
      </w:tr>
      <w:tr w:rsidR="007357F2" w:rsidRPr="007357F2" w:rsidTr="00B21D8A">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7357F2" w:rsidRPr="007357F2" w:rsidRDefault="007357F2" w:rsidP="00B21D8A">
            <w:pPr>
              <w:rPr>
                <w:rFonts w:ascii="Arial Narrow" w:hAnsi="Arial Narrow"/>
                <w:b/>
                <w:sz w:val="20"/>
                <w:szCs w:val="20"/>
              </w:rPr>
            </w:pPr>
            <w:r w:rsidRPr="007357F2">
              <w:rPr>
                <w:rFonts w:ascii="Arial Narrow" w:hAnsi="Arial Narrow"/>
                <w:b/>
                <w:sz w:val="20"/>
                <w:szCs w:val="20"/>
              </w:rPr>
              <w:t>Condition:</w:t>
            </w:r>
          </w:p>
        </w:tc>
        <w:tc>
          <w:tcPr>
            <w:tcW w:w="6379" w:type="dxa"/>
            <w:gridSpan w:val="4"/>
            <w:tcBorders>
              <w:top w:val="single" w:sz="4" w:space="0" w:color="auto"/>
              <w:left w:val="single" w:sz="4" w:space="0" w:color="auto"/>
              <w:bottom w:val="single" w:sz="4" w:space="0" w:color="auto"/>
              <w:right w:val="single" w:sz="4" w:space="0" w:color="auto"/>
            </w:tcBorders>
          </w:tcPr>
          <w:p w:rsidR="007357F2" w:rsidRPr="007357F2" w:rsidRDefault="007357F2" w:rsidP="00B21D8A">
            <w:pPr>
              <w:rPr>
                <w:rFonts w:ascii="Arial Narrow" w:hAnsi="Arial Narrow"/>
                <w:sz w:val="20"/>
                <w:szCs w:val="20"/>
              </w:rPr>
            </w:pPr>
            <w:r w:rsidRPr="007357F2">
              <w:rPr>
                <w:rFonts w:ascii="Arial Narrow" w:hAnsi="Arial Narrow"/>
                <w:sz w:val="20"/>
                <w:szCs w:val="20"/>
              </w:rPr>
              <w:t xml:space="preserve">gastric </w:t>
            </w:r>
            <w:r w:rsidR="009B5465">
              <w:rPr>
                <w:rFonts w:ascii="Arial Narrow" w:hAnsi="Arial Narrow"/>
                <w:sz w:val="20"/>
                <w:szCs w:val="20"/>
              </w:rPr>
              <w:t>adenocarcinoma</w:t>
            </w:r>
            <w:r w:rsidRPr="007357F2">
              <w:rPr>
                <w:rFonts w:ascii="Arial Narrow" w:hAnsi="Arial Narrow"/>
                <w:sz w:val="20"/>
                <w:szCs w:val="20"/>
              </w:rPr>
              <w:t xml:space="preserve"> or gastro-oesophageal junction adenocarcinoma</w:t>
            </w:r>
          </w:p>
        </w:tc>
      </w:tr>
      <w:tr w:rsidR="007357F2" w:rsidRPr="007357F2" w:rsidTr="00B21D8A">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7357F2" w:rsidRPr="007357F2" w:rsidRDefault="007357F2" w:rsidP="00B21D8A">
            <w:pPr>
              <w:rPr>
                <w:rFonts w:ascii="Arial Narrow" w:hAnsi="Arial Narrow"/>
                <w:b/>
                <w:sz w:val="20"/>
                <w:szCs w:val="20"/>
              </w:rPr>
            </w:pPr>
            <w:r w:rsidRPr="007357F2">
              <w:rPr>
                <w:rFonts w:ascii="Arial Narrow" w:hAnsi="Arial Narrow"/>
                <w:b/>
                <w:sz w:val="20"/>
                <w:szCs w:val="20"/>
              </w:rPr>
              <w:t>PBS Indication:</w:t>
            </w:r>
          </w:p>
        </w:tc>
        <w:tc>
          <w:tcPr>
            <w:tcW w:w="6379" w:type="dxa"/>
            <w:gridSpan w:val="4"/>
            <w:tcBorders>
              <w:top w:val="single" w:sz="4" w:space="0" w:color="auto"/>
              <w:left w:val="single" w:sz="4" w:space="0" w:color="auto"/>
              <w:bottom w:val="single" w:sz="4" w:space="0" w:color="auto"/>
              <w:right w:val="single" w:sz="4" w:space="0" w:color="auto"/>
            </w:tcBorders>
          </w:tcPr>
          <w:p w:rsidR="007357F2" w:rsidRPr="007357F2" w:rsidRDefault="007357F2" w:rsidP="004920A6">
            <w:pPr>
              <w:rPr>
                <w:rFonts w:ascii="Arial Narrow" w:hAnsi="Arial Narrow"/>
                <w:sz w:val="20"/>
                <w:szCs w:val="20"/>
              </w:rPr>
            </w:pPr>
            <w:r w:rsidRPr="007357F2">
              <w:rPr>
                <w:rFonts w:ascii="Arial Narrow" w:hAnsi="Arial Narrow"/>
                <w:sz w:val="20"/>
                <w:szCs w:val="20"/>
              </w:rPr>
              <w:t xml:space="preserve">Advanced or metastatic gastric </w:t>
            </w:r>
            <w:r w:rsidR="004920A6">
              <w:rPr>
                <w:rFonts w:ascii="Arial Narrow" w:hAnsi="Arial Narrow"/>
                <w:sz w:val="20"/>
                <w:szCs w:val="20"/>
              </w:rPr>
              <w:t>adenocarcinoma</w:t>
            </w:r>
            <w:r w:rsidRPr="007357F2">
              <w:rPr>
                <w:rFonts w:ascii="Arial Narrow" w:hAnsi="Arial Narrow"/>
                <w:sz w:val="20"/>
                <w:szCs w:val="20"/>
              </w:rPr>
              <w:t xml:space="preserve"> or gastro-oesophageal junction adenocarcinoma</w:t>
            </w:r>
          </w:p>
        </w:tc>
      </w:tr>
      <w:tr w:rsidR="007357F2" w:rsidRPr="007357F2" w:rsidTr="00B21D8A">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7357F2" w:rsidRPr="007357F2" w:rsidRDefault="007357F2" w:rsidP="00B21D8A">
            <w:pPr>
              <w:rPr>
                <w:rFonts w:ascii="Arial Narrow" w:hAnsi="Arial Narrow"/>
                <w:b/>
                <w:sz w:val="20"/>
                <w:szCs w:val="20"/>
              </w:rPr>
            </w:pPr>
            <w:r w:rsidRPr="007357F2">
              <w:rPr>
                <w:rFonts w:ascii="Arial Narrow" w:hAnsi="Arial Narrow"/>
                <w:b/>
                <w:sz w:val="20"/>
                <w:szCs w:val="20"/>
              </w:rPr>
              <w:t>Treatment phase:</w:t>
            </w:r>
          </w:p>
        </w:tc>
        <w:tc>
          <w:tcPr>
            <w:tcW w:w="6379" w:type="dxa"/>
            <w:gridSpan w:val="4"/>
            <w:tcBorders>
              <w:top w:val="single" w:sz="4" w:space="0" w:color="auto"/>
              <w:left w:val="single" w:sz="4" w:space="0" w:color="auto"/>
              <w:bottom w:val="single" w:sz="4" w:space="0" w:color="auto"/>
              <w:right w:val="single" w:sz="4" w:space="0" w:color="auto"/>
            </w:tcBorders>
          </w:tcPr>
          <w:p w:rsidR="007357F2" w:rsidRPr="007357F2" w:rsidRDefault="005D37B8" w:rsidP="00B21D8A">
            <w:pPr>
              <w:rPr>
                <w:rFonts w:ascii="Arial Narrow" w:hAnsi="Arial Narrow"/>
                <w:sz w:val="20"/>
                <w:szCs w:val="20"/>
              </w:rPr>
            </w:pPr>
            <w:r>
              <w:rPr>
                <w:rFonts w:ascii="Arial Narrow" w:hAnsi="Arial Narrow"/>
                <w:sz w:val="20"/>
                <w:szCs w:val="20"/>
              </w:rPr>
              <w:t>Continuing</w:t>
            </w:r>
            <w:r w:rsidR="007357F2" w:rsidRPr="007357F2">
              <w:rPr>
                <w:rFonts w:ascii="Arial Narrow" w:hAnsi="Arial Narrow"/>
                <w:sz w:val="20"/>
                <w:szCs w:val="20"/>
              </w:rPr>
              <w:t xml:space="preserve"> treatment </w:t>
            </w:r>
          </w:p>
        </w:tc>
      </w:tr>
      <w:tr w:rsidR="007357F2" w:rsidRPr="007357F2" w:rsidTr="00B21D8A">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7357F2" w:rsidRPr="007357F2" w:rsidRDefault="007357F2" w:rsidP="00B21D8A">
            <w:pPr>
              <w:rPr>
                <w:rFonts w:ascii="Arial Narrow" w:hAnsi="Arial Narrow"/>
                <w:b/>
                <w:sz w:val="20"/>
                <w:szCs w:val="20"/>
              </w:rPr>
            </w:pPr>
            <w:r w:rsidRPr="007357F2">
              <w:rPr>
                <w:rFonts w:ascii="Arial Narrow" w:hAnsi="Arial Narrow"/>
                <w:b/>
                <w:sz w:val="20"/>
                <w:szCs w:val="20"/>
              </w:rPr>
              <w:t>Restriction Level / Method:</w:t>
            </w:r>
          </w:p>
          <w:p w:rsidR="007357F2" w:rsidRPr="007357F2" w:rsidRDefault="007357F2" w:rsidP="00B21D8A">
            <w:pPr>
              <w:rPr>
                <w:rFonts w:ascii="Arial Narrow" w:hAnsi="Arial Narrow"/>
                <w:sz w:val="20"/>
                <w:szCs w:val="20"/>
                <w:highlight w:val="yellow"/>
              </w:rPr>
            </w:pPr>
          </w:p>
          <w:p w:rsidR="007357F2" w:rsidRPr="007357F2" w:rsidRDefault="007357F2" w:rsidP="00B21D8A">
            <w:pPr>
              <w:rPr>
                <w:rFonts w:ascii="Arial Narrow" w:hAnsi="Arial Narrow"/>
                <w:sz w:val="20"/>
                <w:szCs w:val="20"/>
              </w:rPr>
            </w:pPr>
          </w:p>
          <w:p w:rsidR="007357F2" w:rsidRPr="007357F2" w:rsidRDefault="007357F2" w:rsidP="00B21D8A">
            <w:pPr>
              <w:rPr>
                <w:rFonts w:ascii="Arial Narrow" w:hAnsi="Arial Narrow"/>
                <w:sz w:val="20"/>
                <w:szCs w:val="20"/>
              </w:rPr>
            </w:pPr>
          </w:p>
          <w:p w:rsidR="007357F2" w:rsidRPr="007357F2" w:rsidRDefault="007357F2" w:rsidP="00B21D8A">
            <w:pPr>
              <w:rPr>
                <w:rFonts w:ascii="Arial Narrow" w:hAnsi="Arial Narrow"/>
                <w:sz w:val="20"/>
                <w:szCs w:val="20"/>
              </w:rPr>
            </w:pPr>
          </w:p>
        </w:tc>
        <w:tc>
          <w:tcPr>
            <w:tcW w:w="6379" w:type="dxa"/>
            <w:gridSpan w:val="4"/>
            <w:tcBorders>
              <w:top w:val="single" w:sz="4" w:space="0" w:color="auto"/>
              <w:left w:val="single" w:sz="4" w:space="0" w:color="auto"/>
              <w:bottom w:val="single" w:sz="4" w:space="0" w:color="auto"/>
              <w:right w:val="single" w:sz="4" w:space="0" w:color="auto"/>
            </w:tcBorders>
          </w:tcPr>
          <w:p w:rsidR="007357F2" w:rsidRPr="007357F2" w:rsidRDefault="007357F2" w:rsidP="00B21D8A">
            <w:pPr>
              <w:rPr>
                <w:rFonts w:ascii="Arial Narrow" w:hAnsi="Arial Narrow"/>
                <w:sz w:val="20"/>
                <w:szCs w:val="20"/>
              </w:rPr>
            </w:pPr>
            <w:r w:rsidRPr="007357F2">
              <w:rPr>
                <w:rFonts w:ascii="Arial Narrow" w:hAnsi="Arial Narrow"/>
                <w:sz w:val="20"/>
                <w:szCs w:val="20"/>
              </w:rPr>
              <w:fldChar w:fldCharType="begin">
                <w:ffData>
                  <w:name w:val="Check1"/>
                  <w:enabled/>
                  <w:calcOnExit w:val="0"/>
                  <w:checkBox>
                    <w:sizeAuto/>
                    <w:default w:val="0"/>
                  </w:checkBox>
                </w:ffData>
              </w:fldChar>
            </w:r>
            <w:r w:rsidRPr="007357F2">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7357F2">
              <w:rPr>
                <w:rFonts w:ascii="Arial Narrow" w:hAnsi="Arial Narrow"/>
                <w:sz w:val="20"/>
                <w:szCs w:val="20"/>
              </w:rPr>
              <w:fldChar w:fldCharType="end"/>
            </w:r>
            <w:r w:rsidRPr="007357F2">
              <w:rPr>
                <w:rFonts w:ascii="Arial Narrow" w:hAnsi="Arial Narrow"/>
                <w:sz w:val="20"/>
                <w:szCs w:val="20"/>
              </w:rPr>
              <w:t>Restricted benefit</w:t>
            </w:r>
          </w:p>
          <w:p w:rsidR="007357F2" w:rsidRPr="007357F2" w:rsidRDefault="007357F2" w:rsidP="00B21D8A">
            <w:pPr>
              <w:rPr>
                <w:rFonts w:ascii="Arial Narrow" w:hAnsi="Arial Narrow"/>
                <w:sz w:val="20"/>
                <w:szCs w:val="20"/>
              </w:rPr>
            </w:pPr>
            <w:r w:rsidRPr="007357F2">
              <w:rPr>
                <w:rFonts w:ascii="Arial Narrow" w:hAnsi="Arial Narrow"/>
                <w:sz w:val="20"/>
                <w:szCs w:val="20"/>
              </w:rPr>
              <w:fldChar w:fldCharType="begin">
                <w:ffData>
                  <w:name w:val=""/>
                  <w:enabled/>
                  <w:calcOnExit w:val="0"/>
                  <w:checkBox>
                    <w:sizeAuto/>
                    <w:default w:val="0"/>
                  </w:checkBox>
                </w:ffData>
              </w:fldChar>
            </w:r>
            <w:r w:rsidRPr="007357F2">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7357F2">
              <w:rPr>
                <w:rFonts w:ascii="Arial Narrow" w:hAnsi="Arial Narrow"/>
                <w:sz w:val="20"/>
                <w:szCs w:val="20"/>
              </w:rPr>
              <w:fldChar w:fldCharType="end"/>
            </w:r>
            <w:r w:rsidRPr="007357F2">
              <w:rPr>
                <w:rFonts w:ascii="Arial Narrow" w:hAnsi="Arial Narrow"/>
                <w:sz w:val="20"/>
                <w:szCs w:val="20"/>
              </w:rPr>
              <w:t>Authority Required - In Writing</w:t>
            </w:r>
          </w:p>
          <w:p w:rsidR="007357F2" w:rsidRPr="007357F2" w:rsidRDefault="007357F2" w:rsidP="00B21D8A">
            <w:pPr>
              <w:rPr>
                <w:rFonts w:ascii="Arial Narrow" w:hAnsi="Arial Narrow"/>
                <w:sz w:val="20"/>
                <w:szCs w:val="20"/>
              </w:rPr>
            </w:pPr>
            <w:r>
              <w:rPr>
                <w:rFonts w:ascii="Arial Narrow" w:hAnsi="Arial Narrow"/>
                <w:sz w:val="20"/>
                <w:szCs w:val="20"/>
                <w:bdr w:val="single" w:sz="4" w:space="0" w:color="auto"/>
              </w:rPr>
              <w:fldChar w:fldCharType="begin">
                <w:ffData>
                  <w:name w:val=""/>
                  <w:enabled/>
                  <w:calcOnExit w:val="0"/>
                  <w:checkBox>
                    <w:sizeAuto/>
                    <w:default w:val="0"/>
                  </w:checkBox>
                </w:ffData>
              </w:fldChar>
            </w:r>
            <w:r>
              <w:rPr>
                <w:rFonts w:ascii="Arial Narrow" w:hAnsi="Arial Narrow"/>
                <w:sz w:val="20"/>
                <w:szCs w:val="20"/>
                <w:bdr w:val="single" w:sz="4" w:space="0" w:color="auto"/>
              </w:rPr>
              <w:instrText xml:space="preserve"> FORMCHECKBOX </w:instrText>
            </w:r>
            <w:r w:rsidR="003B4E62">
              <w:rPr>
                <w:rFonts w:ascii="Arial Narrow" w:hAnsi="Arial Narrow"/>
                <w:sz w:val="20"/>
                <w:szCs w:val="20"/>
                <w:bdr w:val="single" w:sz="4" w:space="0" w:color="auto"/>
              </w:rPr>
            </w:r>
            <w:r w:rsidR="003B4E62">
              <w:rPr>
                <w:rFonts w:ascii="Arial Narrow" w:hAnsi="Arial Narrow"/>
                <w:sz w:val="20"/>
                <w:szCs w:val="20"/>
                <w:bdr w:val="single" w:sz="4" w:space="0" w:color="auto"/>
              </w:rPr>
              <w:fldChar w:fldCharType="separate"/>
            </w:r>
            <w:r>
              <w:rPr>
                <w:rFonts w:ascii="Arial Narrow" w:hAnsi="Arial Narrow"/>
                <w:sz w:val="20"/>
                <w:szCs w:val="20"/>
                <w:bdr w:val="single" w:sz="4" w:space="0" w:color="auto"/>
              </w:rPr>
              <w:fldChar w:fldCharType="end"/>
            </w:r>
            <w:r w:rsidRPr="007357F2">
              <w:rPr>
                <w:rFonts w:ascii="Arial Narrow" w:hAnsi="Arial Narrow"/>
                <w:sz w:val="20"/>
                <w:szCs w:val="20"/>
              </w:rPr>
              <w:t>Authority Required - Telephone</w:t>
            </w:r>
          </w:p>
          <w:p w:rsidR="007357F2" w:rsidRPr="007357F2" w:rsidRDefault="007357F2" w:rsidP="00B21D8A">
            <w:pPr>
              <w:rPr>
                <w:rFonts w:ascii="Arial Narrow" w:hAnsi="Arial Narrow"/>
                <w:sz w:val="20"/>
                <w:szCs w:val="20"/>
              </w:rPr>
            </w:pPr>
            <w:r w:rsidRPr="007357F2">
              <w:rPr>
                <w:rFonts w:ascii="Arial Narrow" w:hAnsi="Arial Narrow"/>
                <w:sz w:val="20"/>
                <w:szCs w:val="20"/>
              </w:rPr>
              <w:fldChar w:fldCharType="begin">
                <w:ffData>
                  <w:name w:val=""/>
                  <w:enabled/>
                  <w:calcOnExit w:val="0"/>
                  <w:checkBox>
                    <w:sizeAuto/>
                    <w:default w:val="0"/>
                  </w:checkBox>
                </w:ffData>
              </w:fldChar>
            </w:r>
            <w:r w:rsidRPr="007357F2">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7357F2">
              <w:rPr>
                <w:rFonts w:ascii="Arial Narrow" w:hAnsi="Arial Narrow"/>
                <w:sz w:val="20"/>
                <w:szCs w:val="20"/>
              </w:rPr>
              <w:fldChar w:fldCharType="end"/>
            </w:r>
            <w:r w:rsidRPr="007357F2">
              <w:rPr>
                <w:rFonts w:ascii="Arial Narrow" w:hAnsi="Arial Narrow"/>
                <w:sz w:val="20"/>
                <w:szCs w:val="20"/>
              </w:rPr>
              <w:t>Authority Required - Emergency</w:t>
            </w:r>
          </w:p>
          <w:p w:rsidR="007357F2" w:rsidRPr="007357F2" w:rsidRDefault="007357F2" w:rsidP="00B21D8A">
            <w:pPr>
              <w:rPr>
                <w:rFonts w:ascii="Arial Narrow" w:hAnsi="Arial Narrow"/>
                <w:sz w:val="20"/>
                <w:szCs w:val="20"/>
              </w:rPr>
            </w:pPr>
            <w:r w:rsidRPr="007357F2">
              <w:rPr>
                <w:rFonts w:ascii="Arial Narrow" w:hAnsi="Arial Narrow"/>
                <w:sz w:val="20"/>
                <w:szCs w:val="20"/>
              </w:rPr>
              <w:fldChar w:fldCharType="begin">
                <w:ffData>
                  <w:name w:val="Check5"/>
                  <w:enabled/>
                  <w:calcOnExit w:val="0"/>
                  <w:checkBox>
                    <w:sizeAuto/>
                    <w:default w:val="0"/>
                  </w:checkBox>
                </w:ffData>
              </w:fldChar>
            </w:r>
            <w:r w:rsidRPr="007357F2">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sidRPr="007357F2">
              <w:rPr>
                <w:rFonts w:ascii="Arial Narrow" w:hAnsi="Arial Narrow"/>
                <w:sz w:val="20"/>
                <w:szCs w:val="20"/>
              </w:rPr>
              <w:fldChar w:fldCharType="end"/>
            </w:r>
            <w:r w:rsidRPr="007357F2">
              <w:rPr>
                <w:rFonts w:ascii="Arial Narrow" w:hAnsi="Arial Narrow"/>
                <w:sz w:val="20"/>
                <w:szCs w:val="20"/>
              </w:rPr>
              <w:t>Authority Required - Electronic</w:t>
            </w:r>
          </w:p>
          <w:p w:rsidR="007357F2" w:rsidRPr="007357F2" w:rsidRDefault="007357F2" w:rsidP="00B21D8A">
            <w:pPr>
              <w:rPr>
                <w:rFonts w:ascii="Arial Narrow" w:hAnsi="Arial Narrow"/>
                <w:sz w:val="20"/>
                <w:szCs w:val="20"/>
              </w:rPr>
            </w:pP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3B4E62">
              <w:rPr>
                <w:rFonts w:ascii="Arial Narrow" w:hAnsi="Arial Narrow"/>
                <w:sz w:val="20"/>
                <w:szCs w:val="20"/>
              </w:rPr>
            </w:r>
            <w:r w:rsidR="003B4E62">
              <w:rPr>
                <w:rFonts w:ascii="Arial Narrow" w:hAnsi="Arial Narrow"/>
                <w:sz w:val="20"/>
                <w:szCs w:val="20"/>
              </w:rPr>
              <w:fldChar w:fldCharType="separate"/>
            </w:r>
            <w:r>
              <w:rPr>
                <w:rFonts w:ascii="Arial Narrow" w:hAnsi="Arial Narrow"/>
                <w:sz w:val="20"/>
                <w:szCs w:val="20"/>
              </w:rPr>
              <w:fldChar w:fldCharType="end"/>
            </w:r>
            <w:r w:rsidRPr="007357F2">
              <w:rPr>
                <w:rFonts w:ascii="Arial Narrow" w:hAnsi="Arial Narrow"/>
                <w:sz w:val="20"/>
                <w:szCs w:val="20"/>
              </w:rPr>
              <w:t>Streamlined</w:t>
            </w:r>
          </w:p>
        </w:tc>
      </w:tr>
      <w:tr w:rsidR="007357F2" w:rsidRPr="007357F2" w:rsidTr="00B21D8A">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7357F2" w:rsidRPr="007357F2" w:rsidRDefault="007357F2" w:rsidP="00B21D8A">
            <w:pPr>
              <w:rPr>
                <w:rFonts w:ascii="Arial Narrow" w:hAnsi="Arial Narrow"/>
                <w:b/>
                <w:sz w:val="20"/>
                <w:szCs w:val="20"/>
              </w:rPr>
            </w:pPr>
            <w:r w:rsidRPr="007357F2">
              <w:rPr>
                <w:rFonts w:ascii="Arial Narrow" w:hAnsi="Arial Narrow"/>
                <w:b/>
                <w:sz w:val="20"/>
                <w:szCs w:val="20"/>
              </w:rPr>
              <w:t>Clinical criteria:</w:t>
            </w:r>
          </w:p>
          <w:p w:rsidR="007357F2" w:rsidRPr="007357F2" w:rsidRDefault="007357F2" w:rsidP="00B21D8A">
            <w:pPr>
              <w:rPr>
                <w:rFonts w:ascii="Arial Narrow" w:hAnsi="Arial Narrow"/>
                <w:sz w:val="20"/>
                <w:szCs w:val="20"/>
              </w:rPr>
            </w:pPr>
          </w:p>
        </w:tc>
        <w:tc>
          <w:tcPr>
            <w:tcW w:w="6379" w:type="dxa"/>
            <w:gridSpan w:val="4"/>
            <w:tcBorders>
              <w:top w:val="single" w:sz="4" w:space="0" w:color="auto"/>
              <w:left w:val="single" w:sz="4" w:space="0" w:color="auto"/>
              <w:bottom w:val="single" w:sz="4" w:space="0" w:color="auto"/>
              <w:right w:val="single" w:sz="4" w:space="0" w:color="auto"/>
            </w:tcBorders>
          </w:tcPr>
          <w:p w:rsidR="007357F2" w:rsidRPr="007357F2" w:rsidRDefault="007357F2" w:rsidP="00B21D8A">
            <w:pPr>
              <w:rPr>
                <w:rFonts w:ascii="Arial Narrow" w:hAnsi="Arial Narrow"/>
                <w:sz w:val="20"/>
                <w:szCs w:val="20"/>
              </w:rPr>
            </w:pPr>
            <w:r w:rsidRPr="007357F2">
              <w:rPr>
                <w:rFonts w:ascii="Arial Narrow" w:hAnsi="Arial Narrow"/>
                <w:sz w:val="20"/>
                <w:szCs w:val="20"/>
              </w:rPr>
              <w:t>Patient must have previously</w:t>
            </w:r>
            <w:r w:rsidR="009519DD">
              <w:rPr>
                <w:rFonts w:ascii="Arial Narrow" w:hAnsi="Arial Narrow"/>
                <w:sz w:val="20"/>
                <w:szCs w:val="20"/>
              </w:rPr>
              <w:t xml:space="preserve"> received PBS-subsidised treatment</w:t>
            </w:r>
            <w:r w:rsidRPr="007357F2">
              <w:rPr>
                <w:rFonts w:ascii="Arial Narrow" w:hAnsi="Arial Narrow"/>
                <w:sz w:val="20"/>
                <w:szCs w:val="20"/>
              </w:rPr>
              <w:t xml:space="preserve"> with this drug for this condition, </w:t>
            </w:r>
          </w:p>
          <w:p w:rsidR="007357F2" w:rsidRPr="007357F2" w:rsidRDefault="007357F2" w:rsidP="00B21D8A">
            <w:pPr>
              <w:rPr>
                <w:rFonts w:ascii="Arial Narrow" w:hAnsi="Arial Narrow"/>
                <w:sz w:val="20"/>
                <w:szCs w:val="20"/>
              </w:rPr>
            </w:pPr>
            <w:r w:rsidRPr="007357F2">
              <w:rPr>
                <w:rFonts w:ascii="Arial Narrow" w:hAnsi="Arial Narrow"/>
                <w:sz w:val="20"/>
                <w:szCs w:val="20"/>
              </w:rPr>
              <w:t>AND</w:t>
            </w:r>
          </w:p>
          <w:p w:rsidR="007357F2" w:rsidRPr="007357F2" w:rsidRDefault="007357F2" w:rsidP="00B21D8A">
            <w:pPr>
              <w:rPr>
                <w:rFonts w:ascii="Arial Narrow" w:hAnsi="Arial Narrow"/>
                <w:sz w:val="20"/>
                <w:szCs w:val="20"/>
              </w:rPr>
            </w:pPr>
            <w:r w:rsidRPr="007357F2">
              <w:rPr>
                <w:rFonts w:ascii="Arial Narrow" w:hAnsi="Arial Narrow"/>
                <w:sz w:val="20"/>
                <w:szCs w:val="20"/>
              </w:rPr>
              <w:t>Patient must not receive PBS-subsidised treatment with this drug if progressive disease develops while on this drug</w:t>
            </w:r>
            <w:r w:rsidR="00D9018C">
              <w:rPr>
                <w:rFonts w:ascii="Arial Narrow" w:hAnsi="Arial Narrow"/>
                <w:sz w:val="20"/>
                <w:szCs w:val="20"/>
              </w:rPr>
              <w:t xml:space="preserve"> for this condition</w:t>
            </w:r>
            <w:r w:rsidRPr="007357F2">
              <w:rPr>
                <w:rFonts w:ascii="Arial Narrow" w:hAnsi="Arial Narrow"/>
                <w:sz w:val="20"/>
                <w:szCs w:val="20"/>
              </w:rPr>
              <w:t>,</w:t>
            </w:r>
          </w:p>
          <w:p w:rsidR="007357F2" w:rsidRPr="007357F2" w:rsidRDefault="007357F2" w:rsidP="00B21D8A">
            <w:pPr>
              <w:rPr>
                <w:rFonts w:ascii="Arial Narrow" w:hAnsi="Arial Narrow"/>
                <w:sz w:val="20"/>
                <w:szCs w:val="20"/>
              </w:rPr>
            </w:pPr>
            <w:r w:rsidRPr="007357F2">
              <w:rPr>
                <w:rFonts w:ascii="Arial Narrow" w:hAnsi="Arial Narrow"/>
                <w:sz w:val="20"/>
                <w:szCs w:val="20"/>
              </w:rPr>
              <w:t>AND</w:t>
            </w:r>
          </w:p>
          <w:p w:rsidR="007357F2" w:rsidRPr="007357F2" w:rsidRDefault="007357F2" w:rsidP="00B21D8A">
            <w:pPr>
              <w:rPr>
                <w:rFonts w:ascii="Arial Narrow" w:hAnsi="Arial Narrow"/>
                <w:sz w:val="20"/>
                <w:szCs w:val="20"/>
              </w:rPr>
            </w:pPr>
            <w:r w:rsidRPr="007357F2">
              <w:rPr>
                <w:rFonts w:ascii="Arial Narrow" w:hAnsi="Arial Narrow"/>
                <w:sz w:val="20"/>
                <w:szCs w:val="20"/>
              </w:rPr>
              <w:t>Treatment must be in combination with paclitaxel</w:t>
            </w:r>
          </w:p>
        </w:tc>
      </w:tr>
    </w:tbl>
    <w:p w:rsidR="00FE0761" w:rsidRPr="00FE0761" w:rsidRDefault="00FE0761" w:rsidP="001A2733">
      <w:pPr>
        <w:pStyle w:val="PBACHeading1"/>
        <w:rPr>
          <w:rFonts w:eastAsiaTheme="minorHAnsi"/>
          <w:snapToGrid/>
        </w:rPr>
      </w:pPr>
      <w:r w:rsidRPr="00FE0761">
        <w:rPr>
          <w:rFonts w:eastAsiaTheme="minorHAnsi"/>
          <w:snapToGrid/>
        </w:rPr>
        <w:t>Context for Decision</w:t>
      </w:r>
    </w:p>
    <w:p w:rsidR="00FE0761" w:rsidRPr="00FE0761" w:rsidRDefault="00FE0761" w:rsidP="001A2733">
      <w:pPr>
        <w:widowControl/>
        <w:spacing w:line="276" w:lineRule="auto"/>
        <w:rPr>
          <w:rFonts w:asciiTheme="minorHAnsi" w:eastAsiaTheme="minorHAnsi" w:hAnsiTheme="minorHAnsi"/>
          <w:snapToGrid/>
        </w:rPr>
      </w:pPr>
      <w:r w:rsidRPr="00FE0761">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E0761" w:rsidRPr="00FE0761" w:rsidRDefault="00FE0761" w:rsidP="001A2733">
      <w:pPr>
        <w:pStyle w:val="PBACHeading1"/>
        <w:rPr>
          <w:rFonts w:eastAsiaTheme="minorHAnsi"/>
          <w:snapToGrid/>
        </w:rPr>
      </w:pPr>
      <w:r w:rsidRPr="00FE0761">
        <w:rPr>
          <w:rFonts w:eastAsiaTheme="minorHAnsi"/>
          <w:snapToGrid/>
        </w:rPr>
        <w:t xml:space="preserve"> Sponsor’s Comment</w:t>
      </w:r>
    </w:p>
    <w:p w:rsidR="00FE0761" w:rsidRPr="00FE0761" w:rsidRDefault="00FE0761" w:rsidP="001A2733">
      <w:pPr>
        <w:widowControl/>
        <w:spacing w:after="120" w:line="276" w:lineRule="auto"/>
        <w:rPr>
          <w:rFonts w:asciiTheme="minorHAnsi" w:eastAsiaTheme="minorHAnsi" w:hAnsiTheme="minorHAnsi"/>
          <w:bCs/>
          <w:snapToGrid/>
        </w:rPr>
      </w:pPr>
      <w:r w:rsidRPr="00FE0761">
        <w:rPr>
          <w:rFonts w:asciiTheme="minorHAnsi" w:eastAsiaTheme="minorHAnsi" w:hAnsiTheme="minorHAnsi"/>
          <w:bCs/>
          <w:snapToGrid/>
        </w:rPr>
        <w:t>The sponsor had no comment.</w:t>
      </w:r>
    </w:p>
    <w:p w:rsidR="00FE0761" w:rsidRPr="00382705" w:rsidRDefault="00FE0761" w:rsidP="00325465">
      <w:pPr>
        <w:widowControl/>
      </w:pPr>
    </w:p>
    <w:sectPr w:rsidR="00FE0761" w:rsidRPr="00382705" w:rsidSect="00283BBC">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6C3A70" w15:done="0"/>
  <w15:commentEx w15:paraId="2F1C0A09" w15:done="0"/>
  <w15:commentEx w15:paraId="16F85522" w15:done="0"/>
  <w15:commentEx w15:paraId="1F3AE20C" w15:done="0"/>
  <w15:commentEx w15:paraId="4E74183E" w15:done="0"/>
  <w15:commentEx w15:paraId="27ECD744" w15:done="0"/>
  <w15:commentEx w15:paraId="28C617F9" w15:done="0"/>
  <w15:commentEx w15:paraId="3C423F26" w15:paraIdParent="28C617F9" w15:done="0"/>
  <w15:commentEx w15:paraId="7D7E5358" w15:done="0"/>
  <w15:commentEx w15:paraId="15E60606" w15:paraIdParent="7D7E5358" w15:done="0"/>
  <w15:commentEx w15:paraId="76D5FB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6C3A70" w16cid:durableId="1E625132"/>
  <w16cid:commentId w16cid:paraId="2F1C0A09" w16cid:durableId="1E625133"/>
  <w16cid:commentId w16cid:paraId="16F85522" w16cid:durableId="1E62559A"/>
  <w16cid:commentId w16cid:paraId="1F3AE20C" w16cid:durableId="1E62557F"/>
  <w16cid:commentId w16cid:paraId="4E74183E" w16cid:durableId="1E6256DA"/>
  <w16cid:commentId w16cid:paraId="27ECD744" w16cid:durableId="1E625134"/>
  <w16cid:commentId w16cid:paraId="28C617F9" w16cid:durableId="1E625135"/>
  <w16cid:commentId w16cid:paraId="3C423F26" w16cid:durableId="1E625972"/>
  <w16cid:commentId w16cid:paraId="7D7E5358" w16cid:durableId="1E625136"/>
  <w16cid:commentId w16cid:paraId="15E60606" w16cid:durableId="1E625A29"/>
  <w16cid:commentId w16cid:paraId="76D5FBED" w16cid:durableId="1E6251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E62" w:rsidRDefault="003B4E62" w:rsidP="00124A51">
      <w:r>
        <w:separator/>
      </w:r>
    </w:p>
    <w:p w:rsidR="003B4E62" w:rsidRDefault="003B4E62"/>
  </w:endnote>
  <w:endnote w:type="continuationSeparator" w:id="0">
    <w:p w:rsidR="003B4E62" w:rsidRDefault="003B4E62" w:rsidP="00124A51">
      <w:r>
        <w:continuationSeparator/>
      </w:r>
    </w:p>
    <w:p w:rsidR="003B4E62" w:rsidRDefault="003B4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E62" w:rsidRDefault="003B4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92770896"/>
      <w:docPartObj>
        <w:docPartGallery w:val="Page Numbers (Bottom of Page)"/>
        <w:docPartUnique/>
      </w:docPartObj>
    </w:sdtPr>
    <w:sdtEndPr>
      <w:rPr>
        <w:noProof/>
      </w:rPr>
    </w:sdtEndPr>
    <w:sdtContent>
      <w:p w:rsidR="00796489" w:rsidRPr="00DD3AD8" w:rsidRDefault="00796489" w:rsidP="00DD3AD8">
        <w:pPr>
          <w:pStyle w:val="Footer"/>
          <w:tabs>
            <w:tab w:val="clear" w:pos="9026"/>
          </w:tabs>
          <w:jc w:val="center"/>
          <w:rPr>
            <w:b/>
          </w:rPr>
        </w:pPr>
        <w:r w:rsidRPr="00805640">
          <w:rPr>
            <w:b/>
          </w:rPr>
          <w:fldChar w:fldCharType="begin"/>
        </w:r>
        <w:r w:rsidRPr="00805640">
          <w:rPr>
            <w:b/>
          </w:rPr>
          <w:instrText xml:space="preserve"> PAGE   \* MERGEFORMAT </w:instrText>
        </w:r>
        <w:r w:rsidRPr="00805640">
          <w:rPr>
            <w:b/>
          </w:rPr>
          <w:fldChar w:fldCharType="separate"/>
        </w:r>
        <w:r w:rsidR="003B4E62">
          <w:rPr>
            <w:b/>
            <w:noProof/>
          </w:rPr>
          <w:t>1</w:t>
        </w:r>
        <w:r w:rsidRPr="00805640">
          <w:rPr>
            <w:b/>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E62" w:rsidRDefault="003B4E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E62" w:rsidRDefault="003B4E62" w:rsidP="00124A51">
      <w:r>
        <w:separator/>
      </w:r>
    </w:p>
    <w:p w:rsidR="003B4E62" w:rsidRDefault="003B4E62"/>
  </w:footnote>
  <w:footnote w:type="continuationSeparator" w:id="0">
    <w:p w:rsidR="003B4E62" w:rsidRDefault="003B4E62" w:rsidP="00124A51">
      <w:r>
        <w:continuationSeparator/>
      </w:r>
    </w:p>
    <w:p w:rsidR="003B4E62" w:rsidRDefault="003B4E62"/>
  </w:footnote>
  <w:footnote w:id="1">
    <w:p w:rsidR="00796489" w:rsidRDefault="00796489" w:rsidP="00F675CF">
      <w:pPr>
        <w:pStyle w:val="FootnoteText"/>
      </w:pPr>
      <w:r w:rsidRPr="00AB10CB">
        <w:rPr>
          <w:rStyle w:val="FootnoteReference"/>
          <w:sz w:val="18"/>
        </w:rPr>
        <w:footnoteRef/>
      </w:r>
      <w:r w:rsidRPr="00AB10CB">
        <w:rPr>
          <w:sz w:val="18"/>
        </w:rPr>
        <w:t xml:space="preserve"> The diagnosis and management of gastric cancer. BMJ 2013;347:f6367. doi: 10.1136/bmj.f6367</w:t>
      </w:r>
    </w:p>
  </w:footnote>
  <w:footnote w:id="2">
    <w:p w:rsidR="00796489" w:rsidRPr="00B57ACB" w:rsidRDefault="00796489" w:rsidP="00B57ACB">
      <w:pPr>
        <w:pStyle w:val="FootnoteText"/>
        <w:rPr>
          <w:sz w:val="16"/>
          <w:szCs w:val="18"/>
        </w:rPr>
      </w:pPr>
      <w:r w:rsidRPr="00B57ACB">
        <w:rPr>
          <w:rStyle w:val="FootnoteReference"/>
          <w:sz w:val="16"/>
          <w:szCs w:val="18"/>
        </w:rPr>
        <w:footnoteRef/>
      </w:r>
      <w:r w:rsidRPr="00B57ACB">
        <w:rPr>
          <w:sz w:val="16"/>
          <w:szCs w:val="18"/>
        </w:rPr>
        <w:t xml:space="preserve">  Boku N. HER2-positive gastric cancer. Gastric Cancer. 2014;17(1):1-12, Kumarasinghe MP, et al. Pathology. 2017;49(6):575-81., Lee S, et al. Histopathology. 2011;59(5):832-40.</w:t>
      </w:r>
    </w:p>
    <w:p w:rsidR="00796489" w:rsidRPr="00B57ACB" w:rsidRDefault="00796489" w:rsidP="00B57ACB">
      <w:pPr>
        <w:pStyle w:val="FootnoteText"/>
        <w:rPr>
          <w:sz w:val="22"/>
          <w:szCs w:val="18"/>
        </w:rPr>
      </w:pPr>
    </w:p>
  </w:footnote>
  <w:footnote w:id="3">
    <w:p w:rsidR="00796489" w:rsidRDefault="00796489">
      <w:pPr>
        <w:pStyle w:val="FootnoteText"/>
      </w:pPr>
      <w:r>
        <w:rPr>
          <w:rStyle w:val="FootnoteReference"/>
        </w:rPr>
        <w:footnoteRef/>
      </w:r>
      <w:r>
        <w:t xml:space="preserve"> </w:t>
      </w:r>
      <w:r w:rsidRPr="00B57ACB">
        <w:rPr>
          <w:sz w:val="16"/>
          <w:szCs w:val="18"/>
        </w:rPr>
        <w:t>Cherny NI, Dafni U, Bogaerts J, et al: ESMO-Magnitude of Clinical Benefit Scale version 1.1. Annals of Oncology 28:2340-2366, 2017</w:t>
      </w:r>
    </w:p>
  </w:footnote>
  <w:footnote w:id="4">
    <w:p w:rsidR="00796489" w:rsidRPr="00401853" w:rsidRDefault="00796489">
      <w:pPr>
        <w:pStyle w:val="FootnoteText"/>
        <w:rPr>
          <w:rFonts w:asciiTheme="minorHAnsi" w:hAnsiTheme="minorHAnsi"/>
          <w:sz w:val="18"/>
          <w:szCs w:val="18"/>
        </w:rPr>
      </w:pPr>
      <w:r w:rsidRPr="00401853">
        <w:rPr>
          <w:rStyle w:val="FootnoteReference"/>
          <w:rFonts w:asciiTheme="minorHAnsi" w:hAnsiTheme="minorHAnsi"/>
          <w:sz w:val="18"/>
          <w:szCs w:val="18"/>
        </w:rPr>
        <w:footnoteRef/>
      </w:r>
      <w:r w:rsidRPr="00401853">
        <w:rPr>
          <w:rFonts w:asciiTheme="minorHAnsi" w:hAnsiTheme="minorHAnsi"/>
          <w:sz w:val="18"/>
          <w:szCs w:val="18"/>
        </w:rPr>
        <w:t xml:space="preserve"> </w:t>
      </w:r>
      <w:r w:rsidRPr="00401853">
        <w:rPr>
          <w:rFonts w:asciiTheme="minorHAnsi" w:hAnsiTheme="minorHAnsi" w:cs="Segoe UI"/>
          <w:snapToGrid/>
          <w:sz w:val="18"/>
          <w:szCs w:val="18"/>
          <w:lang w:eastAsia="en-AU"/>
        </w:rPr>
        <w:t>Lam SW, Wai M, Lau JE, McNamara M, Earl M, Udeh B. Cost-Effectiveness Analysis of Second-Line Chemotherapy Agents for Advanced Gastric Cancer. Pharmacotherapy. 2017 Jan;37(1):94-103.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E62" w:rsidRDefault="003B4E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89" w:rsidRPr="00F90A91" w:rsidRDefault="00796489" w:rsidP="00805640">
    <w:pPr>
      <w:pStyle w:val="Header"/>
      <w:ind w:left="360"/>
      <w:jc w:val="center"/>
      <w:rPr>
        <w:rFonts w:asciiTheme="minorHAnsi" w:hAnsiTheme="minorHAnsi"/>
        <w:i/>
        <w:color w:val="808080"/>
        <w:sz w:val="22"/>
      </w:rPr>
    </w:pPr>
    <w:r>
      <w:rPr>
        <w:rFonts w:asciiTheme="minorHAnsi" w:hAnsiTheme="minorHAnsi"/>
        <w:i/>
        <w:color w:val="808080"/>
        <w:sz w:val="22"/>
      </w:rPr>
      <w:t>Public Summary Document</w:t>
    </w:r>
    <w:r w:rsidRPr="00F90A91">
      <w:rPr>
        <w:rFonts w:asciiTheme="minorHAnsi" w:hAnsiTheme="minorHAnsi"/>
        <w:i/>
        <w:color w:val="808080"/>
        <w:sz w:val="22"/>
      </w:rPr>
      <w:t xml:space="preserve"> – </w:t>
    </w:r>
    <w:r>
      <w:rPr>
        <w:rFonts w:asciiTheme="minorHAnsi" w:hAnsiTheme="minorHAnsi"/>
        <w:i/>
        <w:color w:val="808080"/>
        <w:sz w:val="22"/>
      </w:rPr>
      <w:t>March 2018</w:t>
    </w:r>
    <w:r w:rsidRPr="00F90A91">
      <w:rPr>
        <w:rFonts w:asciiTheme="minorHAnsi" w:hAnsiTheme="minorHAnsi"/>
        <w:i/>
        <w:color w:val="808080"/>
        <w:sz w:val="22"/>
      </w:rPr>
      <w:t xml:space="preserve"> PBAC Meeting</w:t>
    </w:r>
  </w:p>
  <w:p w:rsidR="00796489" w:rsidRPr="00805640" w:rsidRDefault="00796489" w:rsidP="008056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E62" w:rsidRDefault="003B4E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5D3E50"/>
    <w:multiLevelType w:val="hybridMultilevel"/>
    <w:tmpl w:val="856E5FE6"/>
    <w:lvl w:ilvl="0" w:tplc="5956B98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9575C"/>
    <w:multiLevelType w:val="hybridMultilevel"/>
    <w:tmpl w:val="47701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F503476"/>
    <w:multiLevelType w:val="hybridMultilevel"/>
    <w:tmpl w:val="19BA6FF0"/>
    <w:lvl w:ilvl="0" w:tplc="0C090001">
      <w:start w:val="1"/>
      <w:numFmt w:val="bullet"/>
      <w:lvlText w:val=""/>
      <w:lvlJc w:val="left"/>
      <w:pPr>
        <w:ind w:left="1495" w:hanging="360"/>
      </w:pPr>
      <w:rPr>
        <w:rFonts w:ascii="Symbol" w:hAnsi="Symbol"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6">
    <w:nsid w:val="12161268"/>
    <w:multiLevelType w:val="hybridMultilevel"/>
    <w:tmpl w:val="F6443A6C"/>
    <w:lvl w:ilvl="0" w:tplc="CE6CB1D2">
      <w:start w:val="1"/>
      <w:numFmt w:val="decimal"/>
      <w:lvlText w:val="%1."/>
      <w:lvlJc w:val="left"/>
      <w:pPr>
        <w:ind w:left="720" w:hanging="360"/>
      </w:pPr>
      <w:rPr>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2F31528"/>
    <w:multiLevelType w:val="hybridMultilevel"/>
    <w:tmpl w:val="AD96F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177543"/>
    <w:multiLevelType w:val="hybridMultilevel"/>
    <w:tmpl w:val="C82A8F5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nsid w:val="1FB50C39"/>
    <w:multiLevelType w:val="hybridMultilevel"/>
    <w:tmpl w:val="49583930"/>
    <w:lvl w:ilvl="0" w:tplc="5956B98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0CD0B57"/>
    <w:multiLevelType w:val="hybridMultilevel"/>
    <w:tmpl w:val="872E75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614770A"/>
    <w:multiLevelType w:val="hybridMultilevel"/>
    <w:tmpl w:val="03E47F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28BF606E"/>
    <w:multiLevelType w:val="hybridMultilevel"/>
    <w:tmpl w:val="380C7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980439A"/>
    <w:multiLevelType w:val="hybridMultilevel"/>
    <w:tmpl w:val="761C96C0"/>
    <w:lvl w:ilvl="0" w:tplc="CAF236F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602A02"/>
    <w:multiLevelType w:val="hybridMultilevel"/>
    <w:tmpl w:val="95DED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7C34E2"/>
    <w:multiLevelType w:val="hybridMultilevel"/>
    <w:tmpl w:val="F6A0F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C3A4A69"/>
    <w:multiLevelType w:val="hybridMultilevel"/>
    <w:tmpl w:val="C458F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D187A24"/>
    <w:multiLevelType w:val="hybridMultilevel"/>
    <w:tmpl w:val="F3DE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E8367B3"/>
    <w:multiLevelType w:val="hybridMultilevel"/>
    <w:tmpl w:val="FAEE359A"/>
    <w:lvl w:ilvl="0" w:tplc="CF9AC60A">
      <w:start w:val="1"/>
      <w:numFmt w:val="bullet"/>
      <w:lvlText w:val="•"/>
      <w:lvlJc w:val="left"/>
      <w:pPr>
        <w:tabs>
          <w:tab w:val="num" w:pos="720"/>
        </w:tabs>
        <w:ind w:left="720" w:hanging="360"/>
      </w:pPr>
      <w:rPr>
        <w:rFonts w:ascii="Times New Roman" w:hAnsi="Times New Roman" w:hint="default"/>
      </w:rPr>
    </w:lvl>
    <w:lvl w:ilvl="1" w:tplc="E5DA7434" w:tentative="1">
      <w:start w:val="1"/>
      <w:numFmt w:val="bullet"/>
      <w:lvlText w:val="•"/>
      <w:lvlJc w:val="left"/>
      <w:pPr>
        <w:tabs>
          <w:tab w:val="num" w:pos="1440"/>
        </w:tabs>
        <w:ind w:left="1440" w:hanging="360"/>
      </w:pPr>
      <w:rPr>
        <w:rFonts w:ascii="Times New Roman" w:hAnsi="Times New Roman" w:hint="default"/>
      </w:rPr>
    </w:lvl>
    <w:lvl w:ilvl="2" w:tplc="501C92B4" w:tentative="1">
      <w:start w:val="1"/>
      <w:numFmt w:val="bullet"/>
      <w:lvlText w:val="•"/>
      <w:lvlJc w:val="left"/>
      <w:pPr>
        <w:tabs>
          <w:tab w:val="num" w:pos="2160"/>
        </w:tabs>
        <w:ind w:left="2160" w:hanging="360"/>
      </w:pPr>
      <w:rPr>
        <w:rFonts w:ascii="Times New Roman" w:hAnsi="Times New Roman" w:hint="default"/>
      </w:rPr>
    </w:lvl>
    <w:lvl w:ilvl="3" w:tplc="99641716" w:tentative="1">
      <w:start w:val="1"/>
      <w:numFmt w:val="bullet"/>
      <w:lvlText w:val="•"/>
      <w:lvlJc w:val="left"/>
      <w:pPr>
        <w:tabs>
          <w:tab w:val="num" w:pos="2880"/>
        </w:tabs>
        <w:ind w:left="2880" w:hanging="360"/>
      </w:pPr>
      <w:rPr>
        <w:rFonts w:ascii="Times New Roman" w:hAnsi="Times New Roman" w:hint="default"/>
      </w:rPr>
    </w:lvl>
    <w:lvl w:ilvl="4" w:tplc="2826C08A" w:tentative="1">
      <w:start w:val="1"/>
      <w:numFmt w:val="bullet"/>
      <w:lvlText w:val="•"/>
      <w:lvlJc w:val="left"/>
      <w:pPr>
        <w:tabs>
          <w:tab w:val="num" w:pos="3600"/>
        </w:tabs>
        <w:ind w:left="3600" w:hanging="360"/>
      </w:pPr>
      <w:rPr>
        <w:rFonts w:ascii="Times New Roman" w:hAnsi="Times New Roman" w:hint="default"/>
      </w:rPr>
    </w:lvl>
    <w:lvl w:ilvl="5" w:tplc="23BA0F94" w:tentative="1">
      <w:start w:val="1"/>
      <w:numFmt w:val="bullet"/>
      <w:lvlText w:val="•"/>
      <w:lvlJc w:val="left"/>
      <w:pPr>
        <w:tabs>
          <w:tab w:val="num" w:pos="4320"/>
        </w:tabs>
        <w:ind w:left="4320" w:hanging="360"/>
      </w:pPr>
      <w:rPr>
        <w:rFonts w:ascii="Times New Roman" w:hAnsi="Times New Roman" w:hint="default"/>
      </w:rPr>
    </w:lvl>
    <w:lvl w:ilvl="6" w:tplc="17520A00" w:tentative="1">
      <w:start w:val="1"/>
      <w:numFmt w:val="bullet"/>
      <w:lvlText w:val="•"/>
      <w:lvlJc w:val="left"/>
      <w:pPr>
        <w:tabs>
          <w:tab w:val="num" w:pos="5040"/>
        </w:tabs>
        <w:ind w:left="5040" w:hanging="360"/>
      </w:pPr>
      <w:rPr>
        <w:rFonts w:ascii="Times New Roman" w:hAnsi="Times New Roman" w:hint="default"/>
      </w:rPr>
    </w:lvl>
    <w:lvl w:ilvl="7" w:tplc="DF22B750" w:tentative="1">
      <w:start w:val="1"/>
      <w:numFmt w:val="bullet"/>
      <w:lvlText w:val="•"/>
      <w:lvlJc w:val="left"/>
      <w:pPr>
        <w:tabs>
          <w:tab w:val="num" w:pos="5760"/>
        </w:tabs>
        <w:ind w:left="5760" w:hanging="360"/>
      </w:pPr>
      <w:rPr>
        <w:rFonts w:ascii="Times New Roman" w:hAnsi="Times New Roman" w:hint="default"/>
      </w:rPr>
    </w:lvl>
    <w:lvl w:ilvl="8" w:tplc="2EB65DE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F3878B7"/>
    <w:multiLevelType w:val="hybridMultilevel"/>
    <w:tmpl w:val="CA723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10A570A"/>
    <w:multiLevelType w:val="hybridMultilevel"/>
    <w:tmpl w:val="C2306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4147052"/>
    <w:multiLevelType w:val="hybridMultilevel"/>
    <w:tmpl w:val="7DD6DB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442297"/>
    <w:multiLevelType w:val="hybridMultilevel"/>
    <w:tmpl w:val="E6FE4E00"/>
    <w:lvl w:ilvl="0" w:tplc="C324F4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476C5A"/>
    <w:multiLevelType w:val="hybridMultilevel"/>
    <w:tmpl w:val="1D7A4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96B19F5"/>
    <w:multiLevelType w:val="hybridMultilevel"/>
    <w:tmpl w:val="CA00F2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6EF2262"/>
    <w:multiLevelType w:val="hybridMultilevel"/>
    <w:tmpl w:val="2D9E927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7573E54"/>
    <w:multiLevelType w:val="hybridMultilevel"/>
    <w:tmpl w:val="BFB66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9523278"/>
    <w:multiLevelType w:val="hybridMultilevel"/>
    <w:tmpl w:val="C1402B4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7318204F"/>
    <w:multiLevelType w:val="hybridMultilevel"/>
    <w:tmpl w:val="49F82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84D033C"/>
    <w:multiLevelType w:val="multilevel"/>
    <w:tmpl w:val="CCCAF346"/>
    <w:lvl w:ilvl="0">
      <w:start w:val="1"/>
      <w:numFmt w:val="decimal"/>
      <w:pStyle w:val="PBACHeading1"/>
      <w:lvlText w:val="%1"/>
      <w:lvlJc w:val="left"/>
      <w:pPr>
        <w:ind w:left="720" w:hanging="720"/>
      </w:pPr>
      <w:rPr>
        <w:rFonts w:hint="default"/>
        <w:b/>
        <w:i w:val="0"/>
        <w:sz w:val="32"/>
        <w:szCs w:val="32"/>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C872120"/>
    <w:multiLevelType w:val="hybridMultilevel"/>
    <w:tmpl w:val="02106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31"/>
  </w:num>
  <w:num w:numId="4">
    <w:abstractNumId w:val="23"/>
  </w:num>
  <w:num w:numId="5">
    <w:abstractNumId w:val="9"/>
  </w:num>
  <w:num w:numId="6">
    <w:abstractNumId w:val="1"/>
  </w:num>
  <w:num w:numId="7">
    <w:abstractNumId w:val="8"/>
  </w:num>
  <w:num w:numId="8">
    <w:abstractNumId w:val="18"/>
  </w:num>
  <w:num w:numId="9">
    <w:abstractNumId w:val="17"/>
  </w:num>
  <w:num w:numId="10">
    <w:abstractNumId w:val="21"/>
  </w:num>
  <w:num w:numId="11">
    <w:abstractNumId w:val="13"/>
  </w:num>
  <w:num w:numId="12">
    <w:abstractNumId w:val="32"/>
  </w:num>
  <w:num w:numId="13">
    <w:abstractNumId w:val="22"/>
  </w:num>
  <w:num w:numId="14">
    <w:abstractNumId w:val="15"/>
  </w:num>
  <w:num w:numId="15">
    <w:abstractNumId w:val="14"/>
  </w:num>
  <w:num w:numId="16">
    <w:abstractNumId w:val="28"/>
  </w:num>
  <w:num w:numId="17">
    <w:abstractNumId w:val="20"/>
  </w:num>
  <w:num w:numId="18">
    <w:abstractNumId w:val="24"/>
  </w:num>
  <w:num w:numId="19">
    <w:abstractNumId w:val="7"/>
  </w:num>
  <w:num w:numId="20">
    <w:abstractNumId w:val="3"/>
  </w:num>
  <w:num w:numId="21">
    <w:abstractNumId w:val="30"/>
  </w:num>
  <w:num w:numId="22">
    <w:abstractNumId w:val="29"/>
  </w:num>
  <w:num w:numId="23">
    <w:abstractNumId w:val="12"/>
  </w:num>
  <w:num w:numId="24">
    <w:abstractNumId w:val="5"/>
  </w:num>
  <w:num w:numId="25">
    <w:abstractNumId w:val="27"/>
  </w:num>
  <w:num w:numId="26">
    <w:abstractNumId w:val="10"/>
  </w:num>
  <w:num w:numId="27">
    <w:abstractNumId w:val="23"/>
  </w:num>
  <w:num w:numId="28">
    <w:abstractNumId w:val="23"/>
  </w:num>
  <w:num w:numId="29">
    <w:abstractNumId w:val="23"/>
  </w:num>
  <w:num w:numId="30">
    <w:abstractNumId w:val="23"/>
  </w:num>
  <w:num w:numId="31">
    <w:abstractNumId w:val="6"/>
  </w:num>
  <w:num w:numId="32">
    <w:abstractNumId w:val="26"/>
  </w:num>
  <w:num w:numId="33">
    <w:abstractNumId w:val="19"/>
  </w:num>
  <w:num w:numId="34">
    <w:abstractNumId w:val="25"/>
  </w:num>
  <w:num w:numId="35">
    <w:abstractNumId w:val="4"/>
  </w:num>
  <w:num w:numId="36">
    <w:abstractNumId w:val="0"/>
  </w:num>
  <w:num w:numId="37">
    <w:abstractNumId w:val="11"/>
  </w:num>
  <w:num w:numId="38">
    <w:abstractNumId w:val="31"/>
  </w:num>
  <w:num w:numId="39">
    <w:abstractNumId w:val="31"/>
  </w:num>
  <w:num w:numId="40">
    <w:abstractNumId w:val="31"/>
  </w:num>
  <w:num w:numId="41">
    <w:abstractNumId w:val="31"/>
  </w:num>
  <w:num w:numId="42">
    <w:abstractNumId w:val="31"/>
  </w:num>
  <w:num w:numId="43">
    <w:abstractNumId w:val="31"/>
  </w:num>
  <w:num w:numId="44">
    <w:abstractNumId w:val="31"/>
  </w:num>
  <w:num w:numId="45">
    <w:abstractNumId w:val="31"/>
  </w:num>
  <w:num w:numId="46">
    <w:abstractNumId w:val="31"/>
  </w:num>
  <w:num w:numId="47">
    <w:abstractNumId w:val="31"/>
  </w:num>
  <w:num w:numId="48">
    <w:abstractNumId w:val="31"/>
  </w:num>
  <w:num w:numId="49">
    <w:abstractNumId w:val="3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2f2w2x05fs02ner0d6pvzwqzt0af5d2aa9v&quot;&gt;ramucirumab&lt;record-ids&gt;&lt;item&gt;2&lt;/item&gt;&lt;item&gt;6&lt;/item&gt;&lt;item&gt;7&lt;/item&gt;&lt;item&gt;8&lt;/item&gt;&lt;item&gt;11&lt;/item&gt;&lt;item&gt;12&lt;/item&gt;&lt;item&gt;13&lt;/item&gt;&lt;item&gt;14&lt;/item&gt;&lt;item&gt;15&lt;/item&gt;&lt;item&gt;16&lt;/item&gt;&lt;item&gt;17&lt;/item&gt;&lt;item&gt;18&lt;/item&gt;&lt;item&gt;19&lt;/item&gt;&lt;item&gt;20&lt;/item&gt;&lt;item&gt;21&lt;/item&gt;&lt;item&gt;22&lt;/item&gt;&lt;item&gt;24&lt;/item&gt;&lt;item&gt;25&lt;/item&gt;&lt;item&gt;26&lt;/item&gt;&lt;item&gt;27&lt;/item&gt;&lt;item&gt;28&lt;/item&gt;&lt;item&gt;29&lt;/item&gt;&lt;item&gt;30&lt;/item&gt;&lt;item&gt;32&lt;/item&gt;&lt;item&gt;33&lt;/item&gt;&lt;item&gt;34&lt;/item&gt;&lt;item&gt;35&lt;/item&gt;&lt;item&gt;36&lt;/item&gt;&lt;item&gt;37&lt;/item&gt;&lt;item&gt;38&lt;/item&gt;&lt;/record-ids&gt;&lt;/item&gt;&lt;/Libraries&gt;"/>
  </w:docVars>
  <w:rsids>
    <w:rsidRoot w:val="00E65E79"/>
    <w:rsid w:val="00000583"/>
    <w:rsid w:val="00000790"/>
    <w:rsid w:val="0000110B"/>
    <w:rsid w:val="0000129C"/>
    <w:rsid w:val="000021B0"/>
    <w:rsid w:val="00002439"/>
    <w:rsid w:val="00003499"/>
    <w:rsid w:val="000039B7"/>
    <w:rsid w:val="000040F5"/>
    <w:rsid w:val="00007344"/>
    <w:rsid w:val="0001146F"/>
    <w:rsid w:val="00013247"/>
    <w:rsid w:val="0001392C"/>
    <w:rsid w:val="0001586E"/>
    <w:rsid w:val="00015886"/>
    <w:rsid w:val="000162EF"/>
    <w:rsid w:val="00016404"/>
    <w:rsid w:val="000165D1"/>
    <w:rsid w:val="00020973"/>
    <w:rsid w:val="00020E28"/>
    <w:rsid w:val="00021A20"/>
    <w:rsid w:val="0002225F"/>
    <w:rsid w:val="00022363"/>
    <w:rsid w:val="00023763"/>
    <w:rsid w:val="000237A8"/>
    <w:rsid w:val="0002385B"/>
    <w:rsid w:val="00025854"/>
    <w:rsid w:val="0002585C"/>
    <w:rsid w:val="00031015"/>
    <w:rsid w:val="000315E1"/>
    <w:rsid w:val="00033863"/>
    <w:rsid w:val="00035DC0"/>
    <w:rsid w:val="00036829"/>
    <w:rsid w:val="000374BC"/>
    <w:rsid w:val="00040343"/>
    <w:rsid w:val="00040895"/>
    <w:rsid w:val="000414AE"/>
    <w:rsid w:val="00042827"/>
    <w:rsid w:val="00043C37"/>
    <w:rsid w:val="00043D38"/>
    <w:rsid w:val="0004441D"/>
    <w:rsid w:val="00045017"/>
    <w:rsid w:val="000454CD"/>
    <w:rsid w:val="000456F2"/>
    <w:rsid w:val="00045A2B"/>
    <w:rsid w:val="000465E9"/>
    <w:rsid w:val="0004698F"/>
    <w:rsid w:val="00047B4B"/>
    <w:rsid w:val="0005037E"/>
    <w:rsid w:val="00052D57"/>
    <w:rsid w:val="000539D0"/>
    <w:rsid w:val="00054621"/>
    <w:rsid w:val="000546D7"/>
    <w:rsid w:val="000578FF"/>
    <w:rsid w:val="00062D28"/>
    <w:rsid w:val="000661E3"/>
    <w:rsid w:val="000662D6"/>
    <w:rsid w:val="00066360"/>
    <w:rsid w:val="000666AB"/>
    <w:rsid w:val="00071248"/>
    <w:rsid w:val="000720B9"/>
    <w:rsid w:val="000737F7"/>
    <w:rsid w:val="000746F6"/>
    <w:rsid w:val="00075B4C"/>
    <w:rsid w:val="0007672F"/>
    <w:rsid w:val="000774F0"/>
    <w:rsid w:val="00080909"/>
    <w:rsid w:val="000812CA"/>
    <w:rsid w:val="00081467"/>
    <w:rsid w:val="0008258D"/>
    <w:rsid w:val="00083E99"/>
    <w:rsid w:val="00084625"/>
    <w:rsid w:val="000856C5"/>
    <w:rsid w:val="0009080E"/>
    <w:rsid w:val="00090C7E"/>
    <w:rsid w:val="00092600"/>
    <w:rsid w:val="0009262B"/>
    <w:rsid w:val="00093310"/>
    <w:rsid w:val="0009445C"/>
    <w:rsid w:val="00094A2C"/>
    <w:rsid w:val="00095FE5"/>
    <w:rsid w:val="00096284"/>
    <w:rsid w:val="00097FEE"/>
    <w:rsid w:val="000A03FB"/>
    <w:rsid w:val="000A0AD4"/>
    <w:rsid w:val="000A1148"/>
    <w:rsid w:val="000A13A0"/>
    <w:rsid w:val="000A4DB8"/>
    <w:rsid w:val="000A5A68"/>
    <w:rsid w:val="000A61B8"/>
    <w:rsid w:val="000A77D9"/>
    <w:rsid w:val="000A7855"/>
    <w:rsid w:val="000A7D08"/>
    <w:rsid w:val="000A7DD5"/>
    <w:rsid w:val="000B0670"/>
    <w:rsid w:val="000B0E75"/>
    <w:rsid w:val="000B2494"/>
    <w:rsid w:val="000B30A1"/>
    <w:rsid w:val="000B3AD3"/>
    <w:rsid w:val="000B3B29"/>
    <w:rsid w:val="000B5D9E"/>
    <w:rsid w:val="000B6CAC"/>
    <w:rsid w:val="000B7612"/>
    <w:rsid w:val="000C01D3"/>
    <w:rsid w:val="000C049B"/>
    <w:rsid w:val="000C2763"/>
    <w:rsid w:val="000C3DF9"/>
    <w:rsid w:val="000C5067"/>
    <w:rsid w:val="000C606C"/>
    <w:rsid w:val="000C6713"/>
    <w:rsid w:val="000C69ED"/>
    <w:rsid w:val="000D15ED"/>
    <w:rsid w:val="000D1A1A"/>
    <w:rsid w:val="000D1BFC"/>
    <w:rsid w:val="000D281A"/>
    <w:rsid w:val="000D326A"/>
    <w:rsid w:val="000D3DF8"/>
    <w:rsid w:val="000D4F69"/>
    <w:rsid w:val="000D51FB"/>
    <w:rsid w:val="000D70ED"/>
    <w:rsid w:val="000D7D60"/>
    <w:rsid w:val="000E11B9"/>
    <w:rsid w:val="000E135D"/>
    <w:rsid w:val="000E1C8E"/>
    <w:rsid w:val="000E37F2"/>
    <w:rsid w:val="000E3FE1"/>
    <w:rsid w:val="000E6061"/>
    <w:rsid w:val="000F00BA"/>
    <w:rsid w:val="000F3080"/>
    <w:rsid w:val="000F316A"/>
    <w:rsid w:val="000F3C74"/>
    <w:rsid w:val="000F4A1D"/>
    <w:rsid w:val="000F4BB8"/>
    <w:rsid w:val="000F4D81"/>
    <w:rsid w:val="000F7127"/>
    <w:rsid w:val="000F7C9C"/>
    <w:rsid w:val="00100F8A"/>
    <w:rsid w:val="00102D91"/>
    <w:rsid w:val="00103364"/>
    <w:rsid w:val="0010553E"/>
    <w:rsid w:val="00105AE2"/>
    <w:rsid w:val="00106B80"/>
    <w:rsid w:val="00106FE9"/>
    <w:rsid w:val="0011032E"/>
    <w:rsid w:val="00111B58"/>
    <w:rsid w:val="0011348B"/>
    <w:rsid w:val="00113A54"/>
    <w:rsid w:val="00115622"/>
    <w:rsid w:val="00115982"/>
    <w:rsid w:val="00116C53"/>
    <w:rsid w:val="001170C2"/>
    <w:rsid w:val="00120096"/>
    <w:rsid w:val="00120E9D"/>
    <w:rsid w:val="00121799"/>
    <w:rsid w:val="001221F3"/>
    <w:rsid w:val="001222FC"/>
    <w:rsid w:val="001227BE"/>
    <w:rsid w:val="00124A51"/>
    <w:rsid w:val="00126621"/>
    <w:rsid w:val="00126A14"/>
    <w:rsid w:val="00126FD6"/>
    <w:rsid w:val="001301E9"/>
    <w:rsid w:val="00131D82"/>
    <w:rsid w:val="00133D36"/>
    <w:rsid w:val="00136BE5"/>
    <w:rsid w:val="00137645"/>
    <w:rsid w:val="0014015A"/>
    <w:rsid w:val="001407D7"/>
    <w:rsid w:val="00140E99"/>
    <w:rsid w:val="001438AD"/>
    <w:rsid w:val="00145540"/>
    <w:rsid w:val="001456B0"/>
    <w:rsid w:val="001458FA"/>
    <w:rsid w:val="00145B42"/>
    <w:rsid w:val="00145DA7"/>
    <w:rsid w:val="00150E77"/>
    <w:rsid w:val="0015643A"/>
    <w:rsid w:val="00157130"/>
    <w:rsid w:val="001576B1"/>
    <w:rsid w:val="00160A4C"/>
    <w:rsid w:val="00162913"/>
    <w:rsid w:val="001639AF"/>
    <w:rsid w:val="00163EFF"/>
    <w:rsid w:val="001661FB"/>
    <w:rsid w:val="001664A4"/>
    <w:rsid w:val="00170A65"/>
    <w:rsid w:val="00171086"/>
    <w:rsid w:val="00173565"/>
    <w:rsid w:val="00173B07"/>
    <w:rsid w:val="001753FE"/>
    <w:rsid w:val="0017752C"/>
    <w:rsid w:val="00180CAB"/>
    <w:rsid w:val="00181D9C"/>
    <w:rsid w:val="00182080"/>
    <w:rsid w:val="0018305C"/>
    <w:rsid w:val="0018752F"/>
    <w:rsid w:val="00190CAB"/>
    <w:rsid w:val="0019171B"/>
    <w:rsid w:val="001928DA"/>
    <w:rsid w:val="00195222"/>
    <w:rsid w:val="00195E78"/>
    <w:rsid w:val="00195E8F"/>
    <w:rsid w:val="001975D8"/>
    <w:rsid w:val="001A0145"/>
    <w:rsid w:val="001A0B26"/>
    <w:rsid w:val="001A2733"/>
    <w:rsid w:val="001A39E3"/>
    <w:rsid w:val="001A4023"/>
    <w:rsid w:val="001A43FA"/>
    <w:rsid w:val="001A59FB"/>
    <w:rsid w:val="001A6354"/>
    <w:rsid w:val="001A7AE8"/>
    <w:rsid w:val="001A7CDE"/>
    <w:rsid w:val="001B1B76"/>
    <w:rsid w:val="001B204E"/>
    <w:rsid w:val="001B3443"/>
    <w:rsid w:val="001B4D20"/>
    <w:rsid w:val="001B5435"/>
    <w:rsid w:val="001B5CD4"/>
    <w:rsid w:val="001B63E0"/>
    <w:rsid w:val="001B75B2"/>
    <w:rsid w:val="001C2982"/>
    <w:rsid w:val="001C2A9B"/>
    <w:rsid w:val="001C384C"/>
    <w:rsid w:val="001C4299"/>
    <w:rsid w:val="001C43B0"/>
    <w:rsid w:val="001C4515"/>
    <w:rsid w:val="001C5F94"/>
    <w:rsid w:val="001C6E66"/>
    <w:rsid w:val="001D1143"/>
    <w:rsid w:val="001D183E"/>
    <w:rsid w:val="001D2C1E"/>
    <w:rsid w:val="001D3000"/>
    <w:rsid w:val="001D31B4"/>
    <w:rsid w:val="001D42E9"/>
    <w:rsid w:val="001E0A00"/>
    <w:rsid w:val="001E0E6A"/>
    <w:rsid w:val="001E1824"/>
    <w:rsid w:val="001E238E"/>
    <w:rsid w:val="001E2483"/>
    <w:rsid w:val="001E2B1E"/>
    <w:rsid w:val="001E30D4"/>
    <w:rsid w:val="001E52EB"/>
    <w:rsid w:val="001E61D2"/>
    <w:rsid w:val="001E740C"/>
    <w:rsid w:val="001F011D"/>
    <w:rsid w:val="001F0915"/>
    <w:rsid w:val="001F1235"/>
    <w:rsid w:val="001F1CB3"/>
    <w:rsid w:val="001F38B5"/>
    <w:rsid w:val="001F46FB"/>
    <w:rsid w:val="001F7361"/>
    <w:rsid w:val="002011B0"/>
    <w:rsid w:val="00202FD4"/>
    <w:rsid w:val="00203181"/>
    <w:rsid w:val="00203783"/>
    <w:rsid w:val="0020385F"/>
    <w:rsid w:val="00207021"/>
    <w:rsid w:val="0020732F"/>
    <w:rsid w:val="00207660"/>
    <w:rsid w:val="00207D00"/>
    <w:rsid w:val="00207EEE"/>
    <w:rsid w:val="002105C1"/>
    <w:rsid w:val="002121A3"/>
    <w:rsid w:val="002140D1"/>
    <w:rsid w:val="00216947"/>
    <w:rsid w:val="002212F2"/>
    <w:rsid w:val="00223B49"/>
    <w:rsid w:val="00224018"/>
    <w:rsid w:val="00224DD4"/>
    <w:rsid w:val="002309CC"/>
    <w:rsid w:val="00230A5D"/>
    <w:rsid w:val="00231D5F"/>
    <w:rsid w:val="0023209F"/>
    <w:rsid w:val="00232990"/>
    <w:rsid w:val="0023629D"/>
    <w:rsid w:val="00236A39"/>
    <w:rsid w:val="00237255"/>
    <w:rsid w:val="002424AF"/>
    <w:rsid w:val="002439DC"/>
    <w:rsid w:val="00244DC8"/>
    <w:rsid w:val="00244F3D"/>
    <w:rsid w:val="002458BA"/>
    <w:rsid w:val="00245BFE"/>
    <w:rsid w:val="0024636C"/>
    <w:rsid w:val="002470AB"/>
    <w:rsid w:val="00247925"/>
    <w:rsid w:val="00250927"/>
    <w:rsid w:val="002521C0"/>
    <w:rsid w:val="00254DCF"/>
    <w:rsid w:val="0025534B"/>
    <w:rsid w:val="00255BB7"/>
    <w:rsid w:val="00257541"/>
    <w:rsid w:val="00262A1A"/>
    <w:rsid w:val="00262A87"/>
    <w:rsid w:val="0026361B"/>
    <w:rsid w:val="002639E8"/>
    <w:rsid w:val="00263A5D"/>
    <w:rsid w:val="00264D26"/>
    <w:rsid w:val="002663F5"/>
    <w:rsid w:val="002672C8"/>
    <w:rsid w:val="00267642"/>
    <w:rsid w:val="00267AEA"/>
    <w:rsid w:val="00267F72"/>
    <w:rsid w:val="002700E6"/>
    <w:rsid w:val="0027294B"/>
    <w:rsid w:val="0027443C"/>
    <w:rsid w:val="00275C5A"/>
    <w:rsid w:val="00276174"/>
    <w:rsid w:val="00277513"/>
    <w:rsid w:val="00281014"/>
    <w:rsid w:val="002826AB"/>
    <w:rsid w:val="00283BBC"/>
    <w:rsid w:val="00291077"/>
    <w:rsid w:val="00291907"/>
    <w:rsid w:val="00295476"/>
    <w:rsid w:val="002A14AB"/>
    <w:rsid w:val="002A21DB"/>
    <w:rsid w:val="002A2F50"/>
    <w:rsid w:val="002A3D6A"/>
    <w:rsid w:val="002B04FD"/>
    <w:rsid w:val="002B08BA"/>
    <w:rsid w:val="002B09A4"/>
    <w:rsid w:val="002B0D5E"/>
    <w:rsid w:val="002B1C1F"/>
    <w:rsid w:val="002B432F"/>
    <w:rsid w:val="002B44B3"/>
    <w:rsid w:val="002B4E28"/>
    <w:rsid w:val="002B61E5"/>
    <w:rsid w:val="002B62B3"/>
    <w:rsid w:val="002B6754"/>
    <w:rsid w:val="002B694A"/>
    <w:rsid w:val="002B6CCE"/>
    <w:rsid w:val="002C2510"/>
    <w:rsid w:val="002C2775"/>
    <w:rsid w:val="002C27C1"/>
    <w:rsid w:val="002C4213"/>
    <w:rsid w:val="002C5099"/>
    <w:rsid w:val="002C52C6"/>
    <w:rsid w:val="002C5889"/>
    <w:rsid w:val="002C6D16"/>
    <w:rsid w:val="002C71CE"/>
    <w:rsid w:val="002D04DF"/>
    <w:rsid w:val="002D08C7"/>
    <w:rsid w:val="002D200E"/>
    <w:rsid w:val="002D21E5"/>
    <w:rsid w:val="002D4362"/>
    <w:rsid w:val="002D577C"/>
    <w:rsid w:val="002D637E"/>
    <w:rsid w:val="002D68DA"/>
    <w:rsid w:val="002D6948"/>
    <w:rsid w:val="002D6FC9"/>
    <w:rsid w:val="002E0827"/>
    <w:rsid w:val="002E15B9"/>
    <w:rsid w:val="002E2158"/>
    <w:rsid w:val="002E24DF"/>
    <w:rsid w:val="002E3CEF"/>
    <w:rsid w:val="002E7722"/>
    <w:rsid w:val="002F03CC"/>
    <w:rsid w:val="002F07BA"/>
    <w:rsid w:val="002F0DA9"/>
    <w:rsid w:val="002F1B81"/>
    <w:rsid w:val="002F643C"/>
    <w:rsid w:val="002F71C0"/>
    <w:rsid w:val="003006E8"/>
    <w:rsid w:val="00301017"/>
    <w:rsid w:val="0030155F"/>
    <w:rsid w:val="00301CBD"/>
    <w:rsid w:val="003025E2"/>
    <w:rsid w:val="0030364F"/>
    <w:rsid w:val="003043C7"/>
    <w:rsid w:val="0030502E"/>
    <w:rsid w:val="0030587B"/>
    <w:rsid w:val="00305DB1"/>
    <w:rsid w:val="00306D98"/>
    <w:rsid w:val="0030786C"/>
    <w:rsid w:val="0031031A"/>
    <w:rsid w:val="00310981"/>
    <w:rsid w:val="0031145A"/>
    <w:rsid w:val="00312A7C"/>
    <w:rsid w:val="00313814"/>
    <w:rsid w:val="003138DE"/>
    <w:rsid w:val="00315498"/>
    <w:rsid w:val="00317D25"/>
    <w:rsid w:val="00321A9E"/>
    <w:rsid w:val="00322107"/>
    <w:rsid w:val="00322846"/>
    <w:rsid w:val="003232F1"/>
    <w:rsid w:val="00325409"/>
    <w:rsid w:val="0032542F"/>
    <w:rsid w:val="00325465"/>
    <w:rsid w:val="00325587"/>
    <w:rsid w:val="00326863"/>
    <w:rsid w:val="00326968"/>
    <w:rsid w:val="00326DA7"/>
    <w:rsid w:val="003270E4"/>
    <w:rsid w:val="00330F5C"/>
    <w:rsid w:val="003323B5"/>
    <w:rsid w:val="00333033"/>
    <w:rsid w:val="003336DF"/>
    <w:rsid w:val="00334A7A"/>
    <w:rsid w:val="00335249"/>
    <w:rsid w:val="003366C9"/>
    <w:rsid w:val="00336B67"/>
    <w:rsid w:val="003371B0"/>
    <w:rsid w:val="00340DF1"/>
    <w:rsid w:val="003423F1"/>
    <w:rsid w:val="003517F9"/>
    <w:rsid w:val="00352DF0"/>
    <w:rsid w:val="003556D9"/>
    <w:rsid w:val="0035620E"/>
    <w:rsid w:val="003572BF"/>
    <w:rsid w:val="003578A0"/>
    <w:rsid w:val="003624C4"/>
    <w:rsid w:val="003654AC"/>
    <w:rsid w:val="00365600"/>
    <w:rsid w:val="00366876"/>
    <w:rsid w:val="00366FAA"/>
    <w:rsid w:val="003710CF"/>
    <w:rsid w:val="0037358A"/>
    <w:rsid w:val="0037425B"/>
    <w:rsid w:val="00374CE4"/>
    <w:rsid w:val="003750F6"/>
    <w:rsid w:val="003760FC"/>
    <w:rsid w:val="00376A6D"/>
    <w:rsid w:val="00381915"/>
    <w:rsid w:val="00381945"/>
    <w:rsid w:val="00382705"/>
    <w:rsid w:val="0038365C"/>
    <w:rsid w:val="0038369B"/>
    <w:rsid w:val="00383B78"/>
    <w:rsid w:val="003859F3"/>
    <w:rsid w:val="00385A9D"/>
    <w:rsid w:val="003865DA"/>
    <w:rsid w:val="00386F93"/>
    <w:rsid w:val="0038707F"/>
    <w:rsid w:val="003875B6"/>
    <w:rsid w:val="00387779"/>
    <w:rsid w:val="003900E7"/>
    <w:rsid w:val="003902B1"/>
    <w:rsid w:val="0039208D"/>
    <w:rsid w:val="003922F4"/>
    <w:rsid w:val="00396896"/>
    <w:rsid w:val="00396FD0"/>
    <w:rsid w:val="003A1693"/>
    <w:rsid w:val="003A1A7A"/>
    <w:rsid w:val="003A2392"/>
    <w:rsid w:val="003A2831"/>
    <w:rsid w:val="003A2AF9"/>
    <w:rsid w:val="003A3129"/>
    <w:rsid w:val="003A3ED1"/>
    <w:rsid w:val="003A607E"/>
    <w:rsid w:val="003B3811"/>
    <w:rsid w:val="003B42A3"/>
    <w:rsid w:val="003B4E62"/>
    <w:rsid w:val="003B5981"/>
    <w:rsid w:val="003B5B61"/>
    <w:rsid w:val="003C0EE7"/>
    <w:rsid w:val="003C1654"/>
    <w:rsid w:val="003C20B9"/>
    <w:rsid w:val="003C4785"/>
    <w:rsid w:val="003C6855"/>
    <w:rsid w:val="003C7CC2"/>
    <w:rsid w:val="003C7D19"/>
    <w:rsid w:val="003D15F1"/>
    <w:rsid w:val="003D1809"/>
    <w:rsid w:val="003D1828"/>
    <w:rsid w:val="003D184D"/>
    <w:rsid w:val="003D199B"/>
    <w:rsid w:val="003D1DE4"/>
    <w:rsid w:val="003D1F89"/>
    <w:rsid w:val="003D2422"/>
    <w:rsid w:val="003D2584"/>
    <w:rsid w:val="003D39A1"/>
    <w:rsid w:val="003D3FBF"/>
    <w:rsid w:val="003D4A30"/>
    <w:rsid w:val="003D4C6A"/>
    <w:rsid w:val="003D710B"/>
    <w:rsid w:val="003D79BB"/>
    <w:rsid w:val="003D7C98"/>
    <w:rsid w:val="003E01DC"/>
    <w:rsid w:val="003E0543"/>
    <w:rsid w:val="003E15D0"/>
    <w:rsid w:val="003F0624"/>
    <w:rsid w:val="003F093B"/>
    <w:rsid w:val="003F12AF"/>
    <w:rsid w:val="003F1D97"/>
    <w:rsid w:val="003F2876"/>
    <w:rsid w:val="003F3618"/>
    <w:rsid w:val="003F4156"/>
    <w:rsid w:val="003F68A1"/>
    <w:rsid w:val="00400478"/>
    <w:rsid w:val="00400B29"/>
    <w:rsid w:val="00401853"/>
    <w:rsid w:val="004024AC"/>
    <w:rsid w:val="00402855"/>
    <w:rsid w:val="00403560"/>
    <w:rsid w:val="0040504B"/>
    <w:rsid w:val="0040608F"/>
    <w:rsid w:val="00406E09"/>
    <w:rsid w:val="00407387"/>
    <w:rsid w:val="004075A3"/>
    <w:rsid w:val="00410708"/>
    <w:rsid w:val="00410EC7"/>
    <w:rsid w:val="004110AB"/>
    <w:rsid w:val="00411B39"/>
    <w:rsid w:val="00411C7D"/>
    <w:rsid w:val="00413A1E"/>
    <w:rsid w:val="00414476"/>
    <w:rsid w:val="00414A1B"/>
    <w:rsid w:val="00414C2E"/>
    <w:rsid w:val="004151CF"/>
    <w:rsid w:val="0041621E"/>
    <w:rsid w:val="00416364"/>
    <w:rsid w:val="004204DD"/>
    <w:rsid w:val="00420AA6"/>
    <w:rsid w:val="00420B9F"/>
    <w:rsid w:val="00422260"/>
    <w:rsid w:val="0042413F"/>
    <w:rsid w:val="00426820"/>
    <w:rsid w:val="00427276"/>
    <w:rsid w:val="00427B37"/>
    <w:rsid w:val="004306FC"/>
    <w:rsid w:val="004319F8"/>
    <w:rsid w:val="00431E55"/>
    <w:rsid w:val="004321F6"/>
    <w:rsid w:val="00432F12"/>
    <w:rsid w:val="00433044"/>
    <w:rsid w:val="00433D04"/>
    <w:rsid w:val="004375B9"/>
    <w:rsid w:val="004375CC"/>
    <w:rsid w:val="004408DC"/>
    <w:rsid w:val="0044154F"/>
    <w:rsid w:val="00441FC8"/>
    <w:rsid w:val="004428D0"/>
    <w:rsid w:val="004434AA"/>
    <w:rsid w:val="004443A7"/>
    <w:rsid w:val="0044442C"/>
    <w:rsid w:val="004447B8"/>
    <w:rsid w:val="00445941"/>
    <w:rsid w:val="00445F54"/>
    <w:rsid w:val="00446077"/>
    <w:rsid w:val="004464EB"/>
    <w:rsid w:val="00447D26"/>
    <w:rsid w:val="00454468"/>
    <w:rsid w:val="00455D45"/>
    <w:rsid w:val="00456E19"/>
    <w:rsid w:val="0045708D"/>
    <w:rsid w:val="004621FA"/>
    <w:rsid w:val="00464595"/>
    <w:rsid w:val="00470ED2"/>
    <w:rsid w:val="00472A79"/>
    <w:rsid w:val="00472E9E"/>
    <w:rsid w:val="00473F19"/>
    <w:rsid w:val="00475E22"/>
    <w:rsid w:val="00475EB1"/>
    <w:rsid w:val="00477597"/>
    <w:rsid w:val="0048019E"/>
    <w:rsid w:val="0048088E"/>
    <w:rsid w:val="00482720"/>
    <w:rsid w:val="004834F0"/>
    <w:rsid w:val="004835E7"/>
    <w:rsid w:val="00486640"/>
    <w:rsid w:val="004867E2"/>
    <w:rsid w:val="00486AB2"/>
    <w:rsid w:val="00487D1F"/>
    <w:rsid w:val="004918BF"/>
    <w:rsid w:val="00491B3A"/>
    <w:rsid w:val="004920A6"/>
    <w:rsid w:val="00492CFD"/>
    <w:rsid w:val="00494DD5"/>
    <w:rsid w:val="004956C2"/>
    <w:rsid w:val="004962D2"/>
    <w:rsid w:val="004A0A7E"/>
    <w:rsid w:val="004A0DA1"/>
    <w:rsid w:val="004A52E9"/>
    <w:rsid w:val="004A604E"/>
    <w:rsid w:val="004A617A"/>
    <w:rsid w:val="004A6597"/>
    <w:rsid w:val="004A70F8"/>
    <w:rsid w:val="004A7848"/>
    <w:rsid w:val="004A7BF4"/>
    <w:rsid w:val="004B0E23"/>
    <w:rsid w:val="004B1CB4"/>
    <w:rsid w:val="004B2F18"/>
    <w:rsid w:val="004B396E"/>
    <w:rsid w:val="004B3DDB"/>
    <w:rsid w:val="004B44FD"/>
    <w:rsid w:val="004B5CFC"/>
    <w:rsid w:val="004B5CFD"/>
    <w:rsid w:val="004B672B"/>
    <w:rsid w:val="004B7293"/>
    <w:rsid w:val="004B72EC"/>
    <w:rsid w:val="004B774D"/>
    <w:rsid w:val="004C0F3E"/>
    <w:rsid w:val="004C152C"/>
    <w:rsid w:val="004C4416"/>
    <w:rsid w:val="004C4AED"/>
    <w:rsid w:val="004C5557"/>
    <w:rsid w:val="004C77D4"/>
    <w:rsid w:val="004D1BFB"/>
    <w:rsid w:val="004D29FA"/>
    <w:rsid w:val="004D2C2D"/>
    <w:rsid w:val="004D4FC4"/>
    <w:rsid w:val="004D7227"/>
    <w:rsid w:val="004D7AF3"/>
    <w:rsid w:val="004E0E7F"/>
    <w:rsid w:val="004E0EB8"/>
    <w:rsid w:val="004E2ADC"/>
    <w:rsid w:val="004E2E29"/>
    <w:rsid w:val="004E2F2F"/>
    <w:rsid w:val="004E43B2"/>
    <w:rsid w:val="004F1D02"/>
    <w:rsid w:val="004F1DE6"/>
    <w:rsid w:val="004F2679"/>
    <w:rsid w:val="004F2F21"/>
    <w:rsid w:val="004F42AC"/>
    <w:rsid w:val="004F436E"/>
    <w:rsid w:val="004F639B"/>
    <w:rsid w:val="004F6913"/>
    <w:rsid w:val="004F7865"/>
    <w:rsid w:val="0050219B"/>
    <w:rsid w:val="00502C99"/>
    <w:rsid w:val="00502E26"/>
    <w:rsid w:val="00503067"/>
    <w:rsid w:val="00503F17"/>
    <w:rsid w:val="0050572B"/>
    <w:rsid w:val="00506928"/>
    <w:rsid w:val="00510156"/>
    <w:rsid w:val="00511669"/>
    <w:rsid w:val="0051253E"/>
    <w:rsid w:val="00512CC7"/>
    <w:rsid w:val="005133C8"/>
    <w:rsid w:val="005141BC"/>
    <w:rsid w:val="005143D2"/>
    <w:rsid w:val="00514C83"/>
    <w:rsid w:val="005152B5"/>
    <w:rsid w:val="00516556"/>
    <w:rsid w:val="00521319"/>
    <w:rsid w:val="00522BC8"/>
    <w:rsid w:val="00523232"/>
    <w:rsid w:val="00523BD0"/>
    <w:rsid w:val="00523C28"/>
    <w:rsid w:val="005250EB"/>
    <w:rsid w:val="00525DDB"/>
    <w:rsid w:val="005263AB"/>
    <w:rsid w:val="005278B5"/>
    <w:rsid w:val="00531D22"/>
    <w:rsid w:val="00534282"/>
    <w:rsid w:val="005367E6"/>
    <w:rsid w:val="00536F42"/>
    <w:rsid w:val="00537182"/>
    <w:rsid w:val="00540B1F"/>
    <w:rsid w:val="00542743"/>
    <w:rsid w:val="00542C2D"/>
    <w:rsid w:val="0054329F"/>
    <w:rsid w:val="00544E10"/>
    <w:rsid w:val="00546DA2"/>
    <w:rsid w:val="005509BB"/>
    <w:rsid w:val="00551001"/>
    <w:rsid w:val="0055123E"/>
    <w:rsid w:val="00551985"/>
    <w:rsid w:val="00552877"/>
    <w:rsid w:val="00552BD3"/>
    <w:rsid w:val="00555109"/>
    <w:rsid w:val="00555A41"/>
    <w:rsid w:val="00556D34"/>
    <w:rsid w:val="005617B3"/>
    <w:rsid w:val="00563945"/>
    <w:rsid w:val="005661E6"/>
    <w:rsid w:val="0056696F"/>
    <w:rsid w:val="005676F7"/>
    <w:rsid w:val="00570DF4"/>
    <w:rsid w:val="00572269"/>
    <w:rsid w:val="0057244A"/>
    <w:rsid w:val="00573193"/>
    <w:rsid w:val="005731CF"/>
    <w:rsid w:val="00573583"/>
    <w:rsid w:val="005736FB"/>
    <w:rsid w:val="00575D8D"/>
    <w:rsid w:val="0057665E"/>
    <w:rsid w:val="00576972"/>
    <w:rsid w:val="00577E8D"/>
    <w:rsid w:val="00580E53"/>
    <w:rsid w:val="00583699"/>
    <w:rsid w:val="00583B0D"/>
    <w:rsid w:val="00585CDD"/>
    <w:rsid w:val="00586D02"/>
    <w:rsid w:val="00587058"/>
    <w:rsid w:val="00591957"/>
    <w:rsid w:val="00591C17"/>
    <w:rsid w:val="0059216B"/>
    <w:rsid w:val="0059300B"/>
    <w:rsid w:val="005936A2"/>
    <w:rsid w:val="00595817"/>
    <w:rsid w:val="00595A5B"/>
    <w:rsid w:val="00597BF9"/>
    <w:rsid w:val="005A02EC"/>
    <w:rsid w:val="005A0975"/>
    <w:rsid w:val="005A1AE1"/>
    <w:rsid w:val="005A1B46"/>
    <w:rsid w:val="005A3163"/>
    <w:rsid w:val="005A373D"/>
    <w:rsid w:val="005A6904"/>
    <w:rsid w:val="005B5857"/>
    <w:rsid w:val="005B717F"/>
    <w:rsid w:val="005C1817"/>
    <w:rsid w:val="005C1B83"/>
    <w:rsid w:val="005C2D55"/>
    <w:rsid w:val="005C346B"/>
    <w:rsid w:val="005C368A"/>
    <w:rsid w:val="005C55FD"/>
    <w:rsid w:val="005D044D"/>
    <w:rsid w:val="005D0560"/>
    <w:rsid w:val="005D0ABD"/>
    <w:rsid w:val="005D0C78"/>
    <w:rsid w:val="005D0D77"/>
    <w:rsid w:val="005D18AD"/>
    <w:rsid w:val="005D1A80"/>
    <w:rsid w:val="005D26B4"/>
    <w:rsid w:val="005D2D8A"/>
    <w:rsid w:val="005D37B8"/>
    <w:rsid w:val="005D4410"/>
    <w:rsid w:val="005D5C68"/>
    <w:rsid w:val="005D5EA7"/>
    <w:rsid w:val="005D632D"/>
    <w:rsid w:val="005D6BC9"/>
    <w:rsid w:val="005D6C15"/>
    <w:rsid w:val="005D7043"/>
    <w:rsid w:val="005E0698"/>
    <w:rsid w:val="005E3763"/>
    <w:rsid w:val="005E5B14"/>
    <w:rsid w:val="005E613C"/>
    <w:rsid w:val="005E658A"/>
    <w:rsid w:val="005E6CBC"/>
    <w:rsid w:val="005E73C0"/>
    <w:rsid w:val="005E7C1B"/>
    <w:rsid w:val="005F0155"/>
    <w:rsid w:val="005F2706"/>
    <w:rsid w:val="005F340D"/>
    <w:rsid w:val="005F4353"/>
    <w:rsid w:val="005F6A8F"/>
    <w:rsid w:val="005F7CE4"/>
    <w:rsid w:val="005F7D6A"/>
    <w:rsid w:val="00603661"/>
    <w:rsid w:val="006038BA"/>
    <w:rsid w:val="00603DB9"/>
    <w:rsid w:val="00605C56"/>
    <w:rsid w:val="00606253"/>
    <w:rsid w:val="00607669"/>
    <w:rsid w:val="00607AFD"/>
    <w:rsid w:val="006124E6"/>
    <w:rsid w:val="00612743"/>
    <w:rsid w:val="00612F97"/>
    <w:rsid w:val="00613439"/>
    <w:rsid w:val="0061345D"/>
    <w:rsid w:val="00613ABC"/>
    <w:rsid w:val="00613FAB"/>
    <w:rsid w:val="00614655"/>
    <w:rsid w:val="00616802"/>
    <w:rsid w:val="00616C6F"/>
    <w:rsid w:val="00617E12"/>
    <w:rsid w:val="00620B86"/>
    <w:rsid w:val="00621477"/>
    <w:rsid w:val="006225CD"/>
    <w:rsid w:val="00623119"/>
    <w:rsid w:val="00624CC5"/>
    <w:rsid w:val="0063158F"/>
    <w:rsid w:val="00631D6B"/>
    <w:rsid w:val="006330A1"/>
    <w:rsid w:val="006337C0"/>
    <w:rsid w:val="00634101"/>
    <w:rsid w:val="0063479F"/>
    <w:rsid w:val="006353F0"/>
    <w:rsid w:val="006364A1"/>
    <w:rsid w:val="00637BFD"/>
    <w:rsid w:val="00641200"/>
    <w:rsid w:val="006417A3"/>
    <w:rsid w:val="00641C4E"/>
    <w:rsid w:val="00643290"/>
    <w:rsid w:val="00643598"/>
    <w:rsid w:val="00644E54"/>
    <w:rsid w:val="006451C0"/>
    <w:rsid w:val="0064713A"/>
    <w:rsid w:val="006471CC"/>
    <w:rsid w:val="0065079F"/>
    <w:rsid w:val="00652006"/>
    <w:rsid w:val="00652044"/>
    <w:rsid w:val="0065222B"/>
    <w:rsid w:val="006524DD"/>
    <w:rsid w:val="00653092"/>
    <w:rsid w:val="0065379F"/>
    <w:rsid w:val="00653E36"/>
    <w:rsid w:val="006549E4"/>
    <w:rsid w:val="00655213"/>
    <w:rsid w:val="00661C6B"/>
    <w:rsid w:val="00663ED0"/>
    <w:rsid w:val="00664438"/>
    <w:rsid w:val="006654B8"/>
    <w:rsid w:val="00666148"/>
    <w:rsid w:val="0066628D"/>
    <w:rsid w:val="00671CB1"/>
    <w:rsid w:val="00674E42"/>
    <w:rsid w:val="00675726"/>
    <w:rsid w:val="006804E8"/>
    <w:rsid w:val="00680C1C"/>
    <w:rsid w:val="00681989"/>
    <w:rsid w:val="00681B09"/>
    <w:rsid w:val="00682112"/>
    <w:rsid w:val="006827BE"/>
    <w:rsid w:val="00686957"/>
    <w:rsid w:val="006872BA"/>
    <w:rsid w:val="00687A36"/>
    <w:rsid w:val="00691648"/>
    <w:rsid w:val="006917D7"/>
    <w:rsid w:val="00694419"/>
    <w:rsid w:val="00694F44"/>
    <w:rsid w:val="006962AD"/>
    <w:rsid w:val="00697785"/>
    <w:rsid w:val="00697C0C"/>
    <w:rsid w:val="006A2899"/>
    <w:rsid w:val="006A2B1A"/>
    <w:rsid w:val="006A64DC"/>
    <w:rsid w:val="006A7E5F"/>
    <w:rsid w:val="006B08DC"/>
    <w:rsid w:val="006B261B"/>
    <w:rsid w:val="006B2C90"/>
    <w:rsid w:val="006B41E1"/>
    <w:rsid w:val="006B53DB"/>
    <w:rsid w:val="006B6DD0"/>
    <w:rsid w:val="006C2A8E"/>
    <w:rsid w:val="006C5870"/>
    <w:rsid w:val="006C7254"/>
    <w:rsid w:val="006D158F"/>
    <w:rsid w:val="006D3C7D"/>
    <w:rsid w:val="006D5D5F"/>
    <w:rsid w:val="006D738B"/>
    <w:rsid w:val="006E2B8A"/>
    <w:rsid w:val="006E2C18"/>
    <w:rsid w:val="006E2F8A"/>
    <w:rsid w:val="006E45E1"/>
    <w:rsid w:val="006E4AF2"/>
    <w:rsid w:val="006E7C9D"/>
    <w:rsid w:val="006F1712"/>
    <w:rsid w:val="006F2E80"/>
    <w:rsid w:val="006F306C"/>
    <w:rsid w:val="006F4797"/>
    <w:rsid w:val="006F63A5"/>
    <w:rsid w:val="006F6EE1"/>
    <w:rsid w:val="006F74FD"/>
    <w:rsid w:val="0070142B"/>
    <w:rsid w:val="0070276E"/>
    <w:rsid w:val="00702F8F"/>
    <w:rsid w:val="00704894"/>
    <w:rsid w:val="00705B77"/>
    <w:rsid w:val="00711817"/>
    <w:rsid w:val="00711A36"/>
    <w:rsid w:val="0071529C"/>
    <w:rsid w:val="007172AD"/>
    <w:rsid w:val="00720BDF"/>
    <w:rsid w:val="00720E87"/>
    <w:rsid w:val="00722B1B"/>
    <w:rsid w:val="00722DBC"/>
    <w:rsid w:val="0072416F"/>
    <w:rsid w:val="00727C94"/>
    <w:rsid w:val="00731EAE"/>
    <w:rsid w:val="00735033"/>
    <w:rsid w:val="00735328"/>
    <w:rsid w:val="007354D0"/>
    <w:rsid w:val="007357F2"/>
    <w:rsid w:val="0073685B"/>
    <w:rsid w:val="00741902"/>
    <w:rsid w:val="007420B6"/>
    <w:rsid w:val="00742851"/>
    <w:rsid w:val="00744D1C"/>
    <w:rsid w:val="0074573E"/>
    <w:rsid w:val="00746CA6"/>
    <w:rsid w:val="00751454"/>
    <w:rsid w:val="00752142"/>
    <w:rsid w:val="007523F9"/>
    <w:rsid w:val="00753158"/>
    <w:rsid w:val="007573E8"/>
    <w:rsid w:val="0075780B"/>
    <w:rsid w:val="00757BD0"/>
    <w:rsid w:val="00760C4E"/>
    <w:rsid w:val="0076199E"/>
    <w:rsid w:val="007624D8"/>
    <w:rsid w:val="00765B1A"/>
    <w:rsid w:val="0076666B"/>
    <w:rsid w:val="007755DF"/>
    <w:rsid w:val="00776E65"/>
    <w:rsid w:val="00782C93"/>
    <w:rsid w:val="00782EB0"/>
    <w:rsid w:val="007843F2"/>
    <w:rsid w:val="00787F1A"/>
    <w:rsid w:val="007920A8"/>
    <w:rsid w:val="0079624A"/>
    <w:rsid w:val="00796489"/>
    <w:rsid w:val="00796FC2"/>
    <w:rsid w:val="00797F43"/>
    <w:rsid w:val="007A0A12"/>
    <w:rsid w:val="007A0B24"/>
    <w:rsid w:val="007A132D"/>
    <w:rsid w:val="007A1AD5"/>
    <w:rsid w:val="007A44D8"/>
    <w:rsid w:val="007A6C26"/>
    <w:rsid w:val="007A730B"/>
    <w:rsid w:val="007A78F3"/>
    <w:rsid w:val="007B0D68"/>
    <w:rsid w:val="007B251D"/>
    <w:rsid w:val="007B4797"/>
    <w:rsid w:val="007B4F58"/>
    <w:rsid w:val="007B528D"/>
    <w:rsid w:val="007B6312"/>
    <w:rsid w:val="007B77D1"/>
    <w:rsid w:val="007C1B3B"/>
    <w:rsid w:val="007C1CD9"/>
    <w:rsid w:val="007C1DF7"/>
    <w:rsid w:val="007C361D"/>
    <w:rsid w:val="007C4B84"/>
    <w:rsid w:val="007C6C6A"/>
    <w:rsid w:val="007D004F"/>
    <w:rsid w:val="007D0A07"/>
    <w:rsid w:val="007D0B38"/>
    <w:rsid w:val="007D0ED1"/>
    <w:rsid w:val="007D33BE"/>
    <w:rsid w:val="007D5440"/>
    <w:rsid w:val="007D6D11"/>
    <w:rsid w:val="007D72A3"/>
    <w:rsid w:val="007D7FC4"/>
    <w:rsid w:val="007E0250"/>
    <w:rsid w:val="007E3C2F"/>
    <w:rsid w:val="007E3CB5"/>
    <w:rsid w:val="007F1017"/>
    <w:rsid w:val="007F3B55"/>
    <w:rsid w:val="007F4A3F"/>
    <w:rsid w:val="007F4A61"/>
    <w:rsid w:val="007F61C2"/>
    <w:rsid w:val="007F646F"/>
    <w:rsid w:val="007F64F5"/>
    <w:rsid w:val="007F780E"/>
    <w:rsid w:val="00800B60"/>
    <w:rsid w:val="0080113B"/>
    <w:rsid w:val="008020F7"/>
    <w:rsid w:val="00805142"/>
    <w:rsid w:val="00805640"/>
    <w:rsid w:val="00805DA9"/>
    <w:rsid w:val="00807A8B"/>
    <w:rsid w:val="008103BA"/>
    <w:rsid w:val="00811383"/>
    <w:rsid w:val="008113FB"/>
    <w:rsid w:val="00812149"/>
    <w:rsid w:val="00812CAC"/>
    <w:rsid w:val="008142DE"/>
    <w:rsid w:val="008166EF"/>
    <w:rsid w:val="0081718E"/>
    <w:rsid w:val="008215BF"/>
    <w:rsid w:val="00824506"/>
    <w:rsid w:val="00825133"/>
    <w:rsid w:val="00825751"/>
    <w:rsid w:val="008264EB"/>
    <w:rsid w:val="00826508"/>
    <w:rsid w:val="00826D55"/>
    <w:rsid w:val="008270E2"/>
    <w:rsid w:val="00833B05"/>
    <w:rsid w:val="008356B5"/>
    <w:rsid w:val="008358D8"/>
    <w:rsid w:val="008362B4"/>
    <w:rsid w:val="00840CA2"/>
    <w:rsid w:val="008425D4"/>
    <w:rsid w:val="0084374F"/>
    <w:rsid w:val="00845301"/>
    <w:rsid w:val="008455DF"/>
    <w:rsid w:val="00845827"/>
    <w:rsid w:val="00845DA5"/>
    <w:rsid w:val="00845F49"/>
    <w:rsid w:val="00847DF5"/>
    <w:rsid w:val="00850F99"/>
    <w:rsid w:val="008521CD"/>
    <w:rsid w:val="00852732"/>
    <w:rsid w:val="0085309D"/>
    <w:rsid w:val="00853F84"/>
    <w:rsid w:val="00854644"/>
    <w:rsid w:val="008549CD"/>
    <w:rsid w:val="00856897"/>
    <w:rsid w:val="00856E9A"/>
    <w:rsid w:val="008604F4"/>
    <w:rsid w:val="0086075D"/>
    <w:rsid w:val="00862502"/>
    <w:rsid w:val="00862611"/>
    <w:rsid w:val="00862D0D"/>
    <w:rsid w:val="00862F3D"/>
    <w:rsid w:val="008660D4"/>
    <w:rsid w:val="008662F2"/>
    <w:rsid w:val="00871FA9"/>
    <w:rsid w:val="00871FC1"/>
    <w:rsid w:val="008728E9"/>
    <w:rsid w:val="00875101"/>
    <w:rsid w:val="008756B4"/>
    <w:rsid w:val="00875EC8"/>
    <w:rsid w:val="00876370"/>
    <w:rsid w:val="00882874"/>
    <w:rsid w:val="00883787"/>
    <w:rsid w:val="00886CD2"/>
    <w:rsid w:val="008912AA"/>
    <w:rsid w:val="00891B3E"/>
    <w:rsid w:val="00891C9C"/>
    <w:rsid w:val="00892A36"/>
    <w:rsid w:val="00893239"/>
    <w:rsid w:val="00894489"/>
    <w:rsid w:val="0089632C"/>
    <w:rsid w:val="008963A5"/>
    <w:rsid w:val="008A02D6"/>
    <w:rsid w:val="008A3363"/>
    <w:rsid w:val="008A3371"/>
    <w:rsid w:val="008A34E5"/>
    <w:rsid w:val="008A3B59"/>
    <w:rsid w:val="008A3C3E"/>
    <w:rsid w:val="008A4C6C"/>
    <w:rsid w:val="008A79DE"/>
    <w:rsid w:val="008B07C9"/>
    <w:rsid w:val="008B0FEA"/>
    <w:rsid w:val="008B1757"/>
    <w:rsid w:val="008B2088"/>
    <w:rsid w:val="008B7D7E"/>
    <w:rsid w:val="008B7F4D"/>
    <w:rsid w:val="008C1299"/>
    <w:rsid w:val="008C7ECB"/>
    <w:rsid w:val="008C7F7A"/>
    <w:rsid w:val="008D167A"/>
    <w:rsid w:val="008D3803"/>
    <w:rsid w:val="008D4219"/>
    <w:rsid w:val="008D437E"/>
    <w:rsid w:val="008D4755"/>
    <w:rsid w:val="008D4C3D"/>
    <w:rsid w:val="008D5A48"/>
    <w:rsid w:val="008E0526"/>
    <w:rsid w:val="008E0D3C"/>
    <w:rsid w:val="008E1720"/>
    <w:rsid w:val="008E1B9E"/>
    <w:rsid w:val="008E2BCC"/>
    <w:rsid w:val="008E559C"/>
    <w:rsid w:val="008E55AB"/>
    <w:rsid w:val="008E706F"/>
    <w:rsid w:val="008F120A"/>
    <w:rsid w:val="008F27E0"/>
    <w:rsid w:val="008F30E0"/>
    <w:rsid w:val="008F422E"/>
    <w:rsid w:val="008F48EB"/>
    <w:rsid w:val="008F4F0B"/>
    <w:rsid w:val="0090387C"/>
    <w:rsid w:val="009046C4"/>
    <w:rsid w:val="009062A5"/>
    <w:rsid w:val="0090686B"/>
    <w:rsid w:val="00906B54"/>
    <w:rsid w:val="00910289"/>
    <w:rsid w:val="00911272"/>
    <w:rsid w:val="00911E2F"/>
    <w:rsid w:val="009135D6"/>
    <w:rsid w:val="00914C77"/>
    <w:rsid w:val="00917CF4"/>
    <w:rsid w:val="0092369B"/>
    <w:rsid w:val="00927DE7"/>
    <w:rsid w:val="00931A31"/>
    <w:rsid w:val="009341A5"/>
    <w:rsid w:val="00941AA4"/>
    <w:rsid w:val="00941F1C"/>
    <w:rsid w:val="009422FC"/>
    <w:rsid w:val="009446BD"/>
    <w:rsid w:val="00944AD5"/>
    <w:rsid w:val="00945F1C"/>
    <w:rsid w:val="009510A2"/>
    <w:rsid w:val="009519DD"/>
    <w:rsid w:val="00953257"/>
    <w:rsid w:val="00953AF2"/>
    <w:rsid w:val="009542AC"/>
    <w:rsid w:val="00960AA2"/>
    <w:rsid w:val="009629DC"/>
    <w:rsid w:val="00962CB9"/>
    <w:rsid w:val="00964312"/>
    <w:rsid w:val="009643B5"/>
    <w:rsid w:val="0096564E"/>
    <w:rsid w:val="00965B8A"/>
    <w:rsid w:val="0096644B"/>
    <w:rsid w:val="00967EB3"/>
    <w:rsid w:val="009717AC"/>
    <w:rsid w:val="00972CBA"/>
    <w:rsid w:val="00972EEA"/>
    <w:rsid w:val="00974E64"/>
    <w:rsid w:val="00982308"/>
    <w:rsid w:val="00983E57"/>
    <w:rsid w:val="00984DD1"/>
    <w:rsid w:val="00984E2D"/>
    <w:rsid w:val="00986128"/>
    <w:rsid w:val="0098675D"/>
    <w:rsid w:val="00987549"/>
    <w:rsid w:val="009924EF"/>
    <w:rsid w:val="00992A69"/>
    <w:rsid w:val="0099414A"/>
    <w:rsid w:val="00994BD1"/>
    <w:rsid w:val="009959A9"/>
    <w:rsid w:val="00996B1A"/>
    <w:rsid w:val="009A15F9"/>
    <w:rsid w:val="009A27C8"/>
    <w:rsid w:val="009A4399"/>
    <w:rsid w:val="009A7F10"/>
    <w:rsid w:val="009B1003"/>
    <w:rsid w:val="009B3E26"/>
    <w:rsid w:val="009B4F11"/>
    <w:rsid w:val="009B5465"/>
    <w:rsid w:val="009C0D03"/>
    <w:rsid w:val="009C3474"/>
    <w:rsid w:val="009C4FAC"/>
    <w:rsid w:val="009C5A3E"/>
    <w:rsid w:val="009C6CEA"/>
    <w:rsid w:val="009C7B85"/>
    <w:rsid w:val="009C7C78"/>
    <w:rsid w:val="009D440C"/>
    <w:rsid w:val="009D560F"/>
    <w:rsid w:val="009D5B91"/>
    <w:rsid w:val="009D61F7"/>
    <w:rsid w:val="009D773D"/>
    <w:rsid w:val="009D792E"/>
    <w:rsid w:val="009E05AD"/>
    <w:rsid w:val="009E0DFE"/>
    <w:rsid w:val="009E2732"/>
    <w:rsid w:val="009E4C07"/>
    <w:rsid w:val="009E6996"/>
    <w:rsid w:val="009E7F5F"/>
    <w:rsid w:val="009F63DD"/>
    <w:rsid w:val="009F70E8"/>
    <w:rsid w:val="00A01184"/>
    <w:rsid w:val="00A026B8"/>
    <w:rsid w:val="00A027BA"/>
    <w:rsid w:val="00A03D43"/>
    <w:rsid w:val="00A04380"/>
    <w:rsid w:val="00A047A2"/>
    <w:rsid w:val="00A10D9B"/>
    <w:rsid w:val="00A11373"/>
    <w:rsid w:val="00A11CD0"/>
    <w:rsid w:val="00A13948"/>
    <w:rsid w:val="00A14F77"/>
    <w:rsid w:val="00A1555B"/>
    <w:rsid w:val="00A155C5"/>
    <w:rsid w:val="00A155F6"/>
    <w:rsid w:val="00A16AD8"/>
    <w:rsid w:val="00A2006A"/>
    <w:rsid w:val="00A208F9"/>
    <w:rsid w:val="00A21CF3"/>
    <w:rsid w:val="00A25F52"/>
    <w:rsid w:val="00A27AEC"/>
    <w:rsid w:val="00A30852"/>
    <w:rsid w:val="00A320DB"/>
    <w:rsid w:val="00A346F3"/>
    <w:rsid w:val="00A35D16"/>
    <w:rsid w:val="00A37BCD"/>
    <w:rsid w:val="00A37D2C"/>
    <w:rsid w:val="00A407DE"/>
    <w:rsid w:val="00A436A7"/>
    <w:rsid w:val="00A43C59"/>
    <w:rsid w:val="00A447CF"/>
    <w:rsid w:val="00A44A7F"/>
    <w:rsid w:val="00A46AF6"/>
    <w:rsid w:val="00A50ECD"/>
    <w:rsid w:val="00A518F3"/>
    <w:rsid w:val="00A51954"/>
    <w:rsid w:val="00A52729"/>
    <w:rsid w:val="00A53675"/>
    <w:rsid w:val="00A55C29"/>
    <w:rsid w:val="00A55FAC"/>
    <w:rsid w:val="00A564D7"/>
    <w:rsid w:val="00A56B6A"/>
    <w:rsid w:val="00A578DC"/>
    <w:rsid w:val="00A60E45"/>
    <w:rsid w:val="00A66536"/>
    <w:rsid w:val="00A6725B"/>
    <w:rsid w:val="00A70605"/>
    <w:rsid w:val="00A72B61"/>
    <w:rsid w:val="00A73134"/>
    <w:rsid w:val="00A742B2"/>
    <w:rsid w:val="00A75087"/>
    <w:rsid w:val="00A75782"/>
    <w:rsid w:val="00A76760"/>
    <w:rsid w:val="00A777B2"/>
    <w:rsid w:val="00A827D2"/>
    <w:rsid w:val="00A83CE6"/>
    <w:rsid w:val="00A86E8B"/>
    <w:rsid w:val="00A87164"/>
    <w:rsid w:val="00A874C1"/>
    <w:rsid w:val="00A87611"/>
    <w:rsid w:val="00A93072"/>
    <w:rsid w:val="00A93953"/>
    <w:rsid w:val="00A945E1"/>
    <w:rsid w:val="00A959D8"/>
    <w:rsid w:val="00A96D6F"/>
    <w:rsid w:val="00AA01F5"/>
    <w:rsid w:val="00AA113D"/>
    <w:rsid w:val="00AA18E0"/>
    <w:rsid w:val="00AA2311"/>
    <w:rsid w:val="00AA2F68"/>
    <w:rsid w:val="00AA577B"/>
    <w:rsid w:val="00AA591E"/>
    <w:rsid w:val="00AA68DF"/>
    <w:rsid w:val="00AA6C7D"/>
    <w:rsid w:val="00AA750C"/>
    <w:rsid w:val="00AA7FD6"/>
    <w:rsid w:val="00AB042A"/>
    <w:rsid w:val="00AB0EE9"/>
    <w:rsid w:val="00AB0F73"/>
    <w:rsid w:val="00AB10CB"/>
    <w:rsid w:val="00AB2D34"/>
    <w:rsid w:val="00AB3430"/>
    <w:rsid w:val="00AB4AD1"/>
    <w:rsid w:val="00AB549B"/>
    <w:rsid w:val="00AB5E84"/>
    <w:rsid w:val="00AB7CFA"/>
    <w:rsid w:val="00AC0138"/>
    <w:rsid w:val="00AC04EF"/>
    <w:rsid w:val="00AC06FA"/>
    <w:rsid w:val="00AC21C7"/>
    <w:rsid w:val="00AC3D5B"/>
    <w:rsid w:val="00AC4148"/>
    <w:rsid w:val="00AC5B48"/>
    <w:rsid w:val="00AC6832"/>
    <w:rsid w:val="00AC6896"/>
    <w:rsid w:val="00AC6D47"/>
    <w:rsid w:val="00AD1E99"/>
    <w:rsid w:val="00AD331D"/>
    <w:rsid w:val="00AD365B"/>
    <w:rsid w:val="00AD4A57"/>
    <w:rsid w:val="00AD6502"/>
    <w:rsid w:val="00AD7E7D"/>
    <w:rsid w:val="00AE07BA"/>
    <w:rsid w:val="00AE09BC"/>
    <w:rsid w:val="00AE650B"/>
    <w:rsid w:val="00AF04AE"/>
    <w:rsid w:val="00AF1315"/>
    <w:rsid w:val="00AF1519"/>
    <w:rsid w:val="00AF19BF"/>
    <w:rsid w:val="00AF2DC3"/>
    <w:rsid w:val="00AF34F6"/>
    <w:rsid w:val="00AF3570"/>
    <w:rsid w:val="00AF3586"/>
    <w:rsid w:val="00AF3743"/>
    <w:rsid w:val="00B01E4D"/>
    <w:rsid w:val="00B033E5"/>
    <w:rsid w:val="00B03A63"/>
    <w:rsid w:val="00B04996"/>
    <w:rsid w:val="00B04B22"/>
    <w:rsid w:val="00B06213"/>
    <w:rsid w:val="00B079E2"/>
    <w:rsid w:val="00B127D4"/>
    <w:rsid w:val="00B13AA1"/>
    <w:rsid w:val="00B13F14"/>
    <w:rsid w:val="00B155E7"/>
    <w:rsid w:val="00B16E2D"/>
    <w:rsid w:val="00B1723A"/>
    <w:rsid w:val="00B201A4"/>
    <w:rsid w:val="00B213A6"/>
    <w:rsid w:val="00B21D8A"/>
    <w:rsid w:val="00B24DF6"/>
    <w:rsid w:val="00B25A81"/>
    <w:rsid w:val="00B265E2"/>
    <w:rsid w:val="00B267FD"/>
    <w:rsid w:val="00B330BE"/>
    <w:rsid w:val="00B34E79"/>
    <w:rsid w:val="00B34FE2"/>
    <w:rsid w:val="00B353F9"/>
    <w:rsid w:val="00B357D8"/>
    <w:rsid w:val="00B36DDD"/>
    <w:rsid w:val="00B37BFC"/>
    <w:rsid w:val="00B40358"/>
    <w:rsid w:val="00B40D50"/>
    <w:rsid w:val="00B4157B"/>
    <w:rsid w:val="00B41614"/>
    <w:rsid w:val="00B41B6B"/>
    <w:rsid w:val="00B42851"/>
    <w:rsid w:val="00B42918"/>
    <w:rsid w:val="00B42F80"/>
    <w:rsid w:val="00B435CB"/>
    <w:rsid w:val="00B44441"/>
    <w:rsid w:val="00B44B8B"/>
    <w:rsid w:val="00B502F3"/>
    <w:rsid w:val="00B50DB8"/>
    <w:rsid w:val="00B53654"/>
    <w:rsid w:val="00B53905"/>
    <w:rsid w:val="00B54B5B"/>
    <w:rsid w:val="00B5562E"/>
    <w:rsid w:val="00B56558"/>
    <w:rsid w:val="00B57000"/>
    <w:rsid w:val="00B57ACB"/>
    <w:rsid w:val="00B60939"/>
    <w:rsid w:val="00B60AFD"/>
    <w:rsid w:val="00B62715"/>
    <w:rsid w:val="00B62CF4"/>
    <w:rsid w:val="00B64D6F"/>
    <w:rsid w:val="00B6545A"/>
    <w:rsid w:val="00B65547"/>
    <w:rsid w:val="00B678DD"/>
    <w:rsid w:val="00B71A0B"/>
    <w:rsid w:val="00B72214"/>
    <w:rsid w:val="00B73757"/>
    <w:rsid w:val="00B74807"/>
    <w:rsid w:val="00B74E9C"/>
    <w:rsid w:val="00B75D21"/>
    <w:rsid w:val="00B818A4"/>
    <w:rsid w:val="00B8360C"/>
    <w:rsid w:val="00B84117"/>
    <w:rsid w:val="00B85AA2"/>
    <w:rsid w:val="00B86483"/>
    <w:rsid w:val="00B8649C"/>
    <w:rsid w:val="00B87420"/>
    <w:rsid w:val="00B875D5"/>
    <w:rsid w:val="00B87F0A"/>
    <w:rsid w:val="00B92725"/>
    <w:rsid w:val="00B92D0B"/>
    <w:rsid w:val="00B94945"/>
    <w:rsid w:val="00B949D5"/>
    <w:rsid w:val="00BA0D1C"/>
    <w:rsid w:val="00BA1BA3"/>
    <w:rsid w:val="00BA26A7"/>
    <w:rsid w:val="00BA305C"/>
    <w:rsid w:val="00BA322D"/>
    <w:rsid w:val="00BB0BDD"/>
    <w:rsid w:val="00BB1632"/>
    <w:rsid w:val="00BB2A73"/>
    <w:rsid w:val="00BB4ACC"/>
    <w:rsid w:val="00BB703E"/>
    <w:rsid w:val="00BB7405"/>
    <w:rsid w:val="00BC0E03"/>
    <w:rsid w:val="00BC220D"/>
    <w:rsid w:val="00BC3631"/>
    <w:rsid w:val="00BC3699"/>
    <w:rsid w:val="00BC4A37"/>
    <w:rsid w:val="00BC5A6B"/>
    <w:rsid w:val="00BC6668"/>
    <w:rsid w:val="00BC71BA"/>
    <w:rsid w:val="00BC7B3E"/>
    <w:rsid w:val="00BD10E5"/>
    <w:rsid w:val="00BD28DE"/>
    <w:rsid w:val="00BD362F"/>
    <w:rsid w:val="00BD68A3"/>
    <w:rsid w:val="00BD6938"/>
    <w:rsid w:val="00BD6B42"/>
    <w:rsid w:val="00BD6CF3"/>
    <w:rsid w:val="00BE2180"/>
    <w:rsid w:val="00BE21F2"/>
    <w:rsid w:val="00BE4275"/>
    <w:rsid w:val="00BE4C6A"/>
    <w:rsid w:val="00BE581D"/>
    <w:rsid w:val="00BE5A3D"/>
    <w:rsid w:val="00BE704B"/>
    <w:rsid w:val="00BE7C3A"/>
    <w:rsid w:val="00BF0F95"/>
    <w:rsid w:val="00BF2433"/>
    <w:rsid w:val="00BF4539"/>
    <w:rsid w:val="00BF468D"/>
    <w:rsid w:val="00BF4DEF"/>
    <w:rsid w:val="00BF5E7D"/>
    <w:rsid w:val="00BF61C9"/>
    <w:rsid w:val="00BF6C94"/>
    <w:rsid w:val="00C00424"/>
    <w:rsid w:val="00C01362"/>
    <w:rsid w:val="00C053EF"/>
    <w:rsid w:val="00C11ACA"/>
    <w:rsid w:val="00C11F2E"/>
    <w:rsid w:val="00C125FC"/>
    <w:rsid w:val="00C12C14"/>
    <w:rsid w:val="00C15614"/>
    <w:rsid w:val="00C15BE0"/>
    <w:rsid w:val="00C15BF3"/>
    <w:rsid w:val="00C16B33"/>
    <w:rsid w:val="00C200AA"/>
    <w:rsid w:val="00C22553"/>
    <w:rsid w:val="00C237ED"/>
    <w:rsid w:val="00C24632"/>
    <w:rsid w:val="00C24911"/>
    <w:rsid w:val="00C25418"/>
    <w:rsid w:val="00C25814"/>
    <w:rsid w:val="00C25D9C"/>
    <w:rsid w:val="00C2778B"/>
    <w:rsid w:val="00C30098"/>
    <w:rsid w:val="00C31649"/>
    <w:rsid w:val="00C35E13"/>
    <w:rsid w:val="00C378A2"/>
    <w:rsid w:val="00C37917"/>
    <w:rsid w:val="00C37D7C"/>
    <w:rsid w:val="00C40385"/>
    <w:rsid w:val="00C4108F"/>
    <w:rsid w:val="00C42417"/>
    <w:rsid w:val="00C434C9"/>
    <w:rsid w:val="00C43CA0"/>
    <w:rsid w:val="00C4611D"/>
    <w:rsid w:val="00C46157"/>
    <w:rsid w:val="00C475AA"/>
    <w:rsid w:val="00C51876"/>
    <w:rsid w:val="00C53D6D"/>
    <w:rsid w:val="00C54CB9"/>
    <w:rsid w:val="00C54D11"/>
    <w:rsid w:val="00C563D5"/>
    <w:rsid w:val="00C571CC"/>
    <w:rsid w:val="00C63299"/>
    <w:rsid w:val="00C64EA8"/>
    <w:rsid w:val="00C65576"/>
    <w:rsid w:val="00C66165"/>
    <w:rsid w:val="00C661B1"/>
    <w:rsid w:val="00C66781"/>
    <w:rsid w:val="00C7151A"/>
    <w:rsid w:val="00C71F60"/>
    <w:rsid w:val="00C72241"/>
    <w:rsid w:val="00C750C8"/>
    <w:rsid w:val="00C7560F"/>
    <w:rsid w:val="00C75663"/>
    <w:rsid w:val="00C77ADC"/>
    <w:rsid w:val="00C77E42"/>
    <w:rsid w:val="00C80A0E"/>
    <w:rsid w:val="00C8213F"/>
    <w:rsid w:val="00C83C23"/>
    <w:rsid w:val="00C84BA9"/>
    <w:rsid w:val="00C84C02"/>
    <w:rsid w:val="00C8537E"/>
    <w:rsid w:val="00C864BA"/>
    <w:rsid w:val="00C865AA"/>
    <w:rsid w:val="00C8797A"/>
    <w:rsid w:val="00C900B8"/>
    <w:rsid w:val="00C90494"/>
    <w:rsid w:val="00C9051D"/>
    <w:rsid w:val="00C90C71"/>
    <w:rsid w:val="00C931CF"/>
    <w:rsid w:val="00C93343"/>
    <w:rsid w:val="00C933AB"/>
    <w:rsid w:val="00C938CF"/>
    <w:rsid w:val="00C947C4"/>
    <w:rsid w:val="00C94C2C"/>
    <w:rsid w:val="00C9624D"/>
    <w:rsid w:val="00C969DA"/>
    <w:rsid w:val="00C97CE7"/>
    <w:rsid w:val="00CA2A01"/>
    <w:rsid w:val="00CA2C77"/>
    <w:rsid w:val="00CA3C85"/>
    <w:rsid w:val="00CA444F"/>
    <w:rsid w:val="00CA5245"/>
    <w:rsid w:val="00CA71F4"/>
    <w:rsid w:val="00CA7B09"/>
    <w:rsid w:val="00CB2F2A"/>
    <w:rsid w:val="00CB369B"/>
    <w:rsid w:val="00CB5B1A"/>
    <w:rsid w:val="00CB6B22"/>
    <w:rsid w:val="00CB74C1"/>
    <w:rsid w:val="00CB7F5F"/>
    <w:rsid w:val="00CC102C"/>
    <w:rsid w:val="00CC1B39"/>
    <w:rsid w:val="00CC3B8F"/>
    <w:rsid w:val="00CC7098"/>
    <w:rsid w:val="00CC7AB8"/>
    <w:rsid w:val="00CD0729"/>
    <w:rsid w:val="00CD2869"/>
    <w:rsid w:val="00CD30CC"/>
    <w:rsid w:val="00CD40B0"/>
    <w:rsid w:val="00CD52CC"/>
    <w:rsid w:val="00CD5338"/>
    <w:rsid w:val="00CD6ADC"/>
    <w:rsid w:val="00CD77D9"/>
    <w:rsid w:val="00CE03B5"/>
    <w:rsid w:val="00CE1B7F"/>
    <w:rsid w:val="00CE2675"/>
    <w:rsid w:val="00CE3244"/>
    <w:rsid w:val="00CE5EDE"/>
    <w:rsid w:val="00CE6274"/>
    <w:rsid w:val="00CF2A20"/>
    <w:rsid w:val="00CF2AE1"/>
    <w:rsid w:val="00CF2B8D"/>
    <w:rsid w:val="00CF38BF"/>
    <w:rsid w:val="00CF4558"/>
    <w:rsid w:val="00CF456B"/>
    <w:rsid w:val="00CF499A"/>
    <w:rsid w:val="00CF5A22"/>
    <w:rsid w:val="00D00501"/>
    <w:rsid w:val="00D0052C"/>
    <w:rsid w:val="00D0262E"/>
    <w:rsid w:val="00D03DC2"/>
    <w:rsid w:val="00D05F3A"/>
    <w:rsid w:val="00D07C94"/>
    <w:rsid w:val="00D110BD"/>
    <w:rsid w:val="00D114FD"/>
    <w:rsid w:val="00D11C42"/>
    <w:rsid w:val="00D1266F"/>
    <w:rsid w:val="00D13675"/>
    <w:rsid w:val="00D13685"/>
    <w:rsid w:val="00D14028"/>
    <w:rsid w:val="00D141E1"/>
    <w:rsid w:val="00D14790"/>
    <w:rsid w:val="00D15B0C"/>
    <w:rsid w:val="00D17D6C"/>
    <w:rsid w:val="00D20743"/>
    <w:rsid w:val="00D20758"/>
    <w:rsid w:val="00D233D9"/>
    <w:rsid w:val="00D23577"/>
    <w:rsid w:val="00D2359A"/>
    <w:rsid w:val="00D2511B"/>
    <w:rsid w:val="00D26D92"/>
    <w:rsid w:val="00D2754D"/>
    <w:rsid w:val="00D27B27"/>
    <w:rsid w:val="00D3116C"/>
    <w:rsid w:val="00D3241C"/>
    <w:rsid w:val="00D334BA"/>
    <w:rsid w:val="00D33BE9"/>
    <w:rsid w:val="00D34AE9"/>
    <w:rsid w:val="00D357FF"/>
    <w:rsid w:val="00D377EA"/>
    <w:rsid w:val="00D400F7"/>
    <w:rsid w:val="00D409F9"/>
    <w:rsid w:val="00D409FB"/>
    <w:rsid w:val="00D41712"/>
    <w:rsid w:val="00D41BE9"/>
    <w:rsid w:val="00D424C7"/>
    <w:rsid w:val="00D42A8A"/>
    <w:rsid w:val="00D43037"/>
    <w:rsid w:val="00D43B2A"/>
    <w:rsid w:val="00D441B4"/>
    <w:rsid w:val="00D47575"/>
    <w:rsid w:val="00D47822"/>
    <w:rsid w:val="00D50F66"/>
    <w:rsid w:val="00D53C7B"/>
    <w:rsid w:val="00D551EC"/>
    <w:rsid w:val="00D55473"/>
    <w:rsid w:val="00D56278"/>
    <w:rsid w:val="00D5653C"/>
    <w:rsid w:val="00D61805"/>
    <w:rsid w:val="00D672FB"/>
    <w:rsid w:val="00D70F16"/>
    <w:rsid w:val="00D73E09"/>
    <w:rsid w:val="00D74A53"/>
    <w:rsid w:val="00D75BA2"/>
    <w:rsid w:val="00D763E2"/>
    <w:rsid w:val="00D76A44"/>
    <w:rsid w:val="00D77B83"/>
    <w:rsid w:val="00D8010F"/>
    <w:rsid w:val="00D815EF"/>
    <w:rsid w:val="00D86A0C"/>
    <w:rsid w:val="00D9018C"/>
    <w:rsid w:val="00D91923"/>
    <w:rsid w:val="00D92DCE"/>
    <w:rsid w:val="00D92FD3"/>
    <w:rsid w:val="00D93753"/>
    <w:rsid w:val="00D962F9"/>
    <w:rsid w:val="00DA03D2"/>
    <w:rsid w:val="00DA3167"/>
    <w:rsid w:val="00DA44B3"/>
    <w:rsid w:val="00DA4DA0"/>
    <w:rsid w:val="00DA4DC3"/>
    <w:rsid w:val="00DA728B"/>
    <w:rsid w:val="00DA77A5"/>
    <w:rsid w:val="00DB484F"/>
    <w:rsid w:val="00DB54BE"/>
    <w:rsid w:val="00DC035E"/>
    <w:rsid w:val="00DC04F6"/>
    <w:rsid w:val="00DC0AAC"/>
    <w:rsid w:val="00DC2159"/>
    <w:rsid w:val="00DC3C57"/>
    <w:rsid w:val="00DC5501"/>
    <w:rsid w:val="00DC6132"/>
    <w:rsid w:val="00DD273C"/>
    <w:rsid w:val="00DD3AD8"/>
    <w:rsid w:val="00DD3F28"/>
    <w:rsid w:val="00DD4537"/>
    <w:rsid w:val="00DD4E15"/>
    <w:rsid w:val="00DE0094"/>
    <w:rsid w:val="00DE20A6"/>
    <w:rsid w:val="00DE3138"/>
    <w:rsid w:val="00DE37F8"/>
    <w:rsid w:val="00DE4FCB"/>
    <w:rsid w:val="00DE7832"/>
    <w:rsid w:val="00DF18FC"/>
    <w:rsid w:val="00DF276E"/>
    <w:rsid w:val="00DF5015"/>
    <w:rsid w:val="00DF5D2B"/>
    <w:rsid w:val="00DF78F1"/>
    <w:rsid w:val="00E00E8E"/>
    <w:rsid w:val="00E04CA7"/>
    <w:rsid w:val="00E05630"/>
    <w:rsid w:val="00E06DBB"/>
    <w:rsid w:val="00E10149"/>
    <w:rsid w:val="00E13AA9"/>
    <w:rsid w:val="00E142E8"/>
    <w:rsid w:val="00E143A7"/>
    <w:rsid w:val="00E162F3"/>
    <w:rsid w:val="00E16372"/>
    <w:rsid w:val="00E168FA"/>
    <w:rsid w:val="00E20E4D"/>
    <w:rsid w:val="00E20ED6"/>
    <w:rsid w:val="00E2112D"/>
    <w:rsid w:val="00E21358"/>
    <w:rsid w:val="00E218ED"/>
    <w:rsid w:val="00E2249B"/>
    <w:rsid w:val="00E22610"/>
    <w:rsid w:val="00E22A0D"/>
    <w:rsid w:val="00E2434F"/>
    <w:rsid w:val="00E24529"/>
    <w:rsid w:val="00E2771E"/>
    <w:rsid w:val="00E30443"/>
    <w:rsid w:val="00E3236F"/>
    <w:rsid w:val="00E324E3"/>
    <w:rsid w:val="00E33C54"/>
    <w:rsid w:val="00E34948"/>
    <w:rsid w:val="00E35C0F"/>
    <w:rsid w:val="00E35EFB"/>
    <w:rsid w:val="00E37569"/>
    <w:rsid w:val="00E37961"/>
    <w:rsid w:val="00E41E30"/>
    <w:rsid w:val="00E43D70"/>
    <w:rsid w:val="00E43DA7"/>
    <w:rsid w:val="00E44221"/>
    <w:rsid w:val="00E44F70"/>
    <w:rsid w:val="00E45499"/>
    <w:rsid w:val="00E466F3"/>
    <w:rsid w:val="00E4673C"/>
    <w:rsid w:val="00E4696A"/>
    <w:rsid w:val="00E47B2C"/>
    <w:rsid w:val="00E51294"/>
    <w:rsid w:val="00E51560"/>
    <w:rsid w:val="00E52049"/>
    <w:rsid w:val="00E52B1C"/>
    <w:rsid w:val="00E54347"/>
    <w:rsid w:val="00E54E86"/>
    <w:rsid w:val="00E55424"/>
    <w:rsid w:val="00E55BB5"/>
    <w:rsid w:val="00E63940"/>
    <w:rsid w:val="00E63B28"/>
    <w:rsid w:val="00E6521E"/>
    <w:rsid w:val="00E65E79"/>
    <w:rsid w:val="00E66BA2"/>
    <w:rsid w:val="00E67416"/>
    <w:rsid w:val="00E706CF"/>
    <w:rsid w:val="00E712CD"/>
    <w:rsid w:val="00E718B6"/>
    <w:rsid w:val="00E723BA"/>
    <w:rsid w:val="00E73581"/>
    <w:rsid w:val="00E76A60"/>
    <w:rsid w:val="00E772B9"/>
    <w:rsid w:val="00E833F7"/>
    <w:rsid w:val="00E83BDF"/>
    <w:rsid w:val="00E8599D"/>
    <w:rsid w:val="00E87A1D"/>
    <w:rsid w:val="00E90039"/>
    <w:rsid w:val="00E926A5"/>
    <w:rsid w:val="00E92B22"/>
    <w:rsid w:val="00E92B31"/>
    <w:rsid w:val="00EA17C3"/>
    <w:rsid w:val="00EA1F98"/>
    <w:rsid w:val="00EA2CAA"/>
    <w:rsid w:val="00EA3536"/>
    <w:rsid w:val="00EA3864"/>
    <w:rsid w:val="00EA4B59"/>
    <w:rsid w:val="00EA6343"/>
    <w:rsid w:val="00EA751F"/>
    <w:rsid w:val="00EA7884"/>
    <w:rsid w:val="00EB034C"/>
    <w:rsid w:val="00EB15B6"/>
    <w:rsid w:val="00EB17E9"/>
    <w:rsid w:val="00EB23B1"/>
    <w:rsid w:val="00EB4916"/>
    <w:rsid w:val="00EC00C9"/>
    <w:rsid w:val="00EC0461"/>
    <w:rsid w:val="00EC2649"/>
    <w:rsid w:val="00EC5550"/>
    <w:rsid w:val="00ED4278"/>
    <w:rsid w:val="00ED57EA"/>
    <w:rsid w:val="00ED5F41"/>
    <w:rsid w:val="00ED63DA"/>
    <w:rsid w:val="00EE07A1"/>
    <w:rsid w:val="00EE07D3"/>
    <w:rsid w:val="00EE113F"/>
    <w:rsid w:val="00EE22AF"/>
    <w:rsid w:val="00EE3D82"/>
    <w:rsid w:val="00EE3DD3"/>
    <w:rsid w:val="00EE473C"/>
    <w:rsid w:val="00EE4CE7"/>
    <w:rsid w:val="00EE4F32"/>
    <w:rsid w:val="00EE57E9"/>
    <w:rsid w:val="00EE6DC5"/>
    <w:rsid w:val="00EF0171"/>
    <w:rsid w:val="00EF1B25"/>
    <w:rsid w:val="00EF3E11"/>
    <w:rsid w:val="00EF4747"/>
    <w:rsid w:val="00EF4BF8"/>
    <w:rsid w:val="00EF78FE"/>
    <w:rsid w:val="00F00837"/>
    <w:rsid w:val="00F01A8F"/>
    <w:rsid w:val="00F02253"/>
    <w:rsid w:val="00F02A50"/>
    <w:rsid w:val="00F03C2E"/>
    <w:rsid w:val="00F04A66"/>
    <w:rsid w:val="00F0516C"/>
    <w:rsid w:val="00F067A2"/>
    <w:rsid w:val="00F118B1"/>
    <w:rsid w:val="00F121EA"/>
    <w:rsid w:val="00F1263A"/>
    <w:rsid w:val="00F16531"/>
    <w:rsid w:val="00F21168"/>
    <w:rsid w:val="00F241F5"/>
    <w:rsid w:val="00F24837"/>
    <w:rsid w:val="00F2575F"/>
    <w:rsid w:val="00F2616F"/>
    <w:rsid w:val="00F26223"/>
    <w:rsid w:val="00F27565"/>
    <w:rsid w:val="00F310D4"/>
    <w:rsid w:val="00F31D5A"/>
    <w:rsid w:val="00F33DE9"/>
    <w:rsid w:val="00F34289"/>
    <w:rsid w:val="00F3484A"/>
    <w:rsid w:val="00F3619A"/>
    <w:rsid w:val="00F40120"/>
    <w:rsid w:val="00F40AAA"/>
    <w:rsid w:val="00F40BA7"/>
    <w:rsid w:val="00F4183F"/>
    <w:rsid w:val="00F443FC"/>
    <w:rsid w:val="00F44585"/>
    <w:rsid w:val="00F45508"/>
    <w:rsid w:val="00F46CB6"/>
    <w:rsid w:val="00F4739A"/>
    <w:rsid w:val="00F478C5"/>
    <w:rsid w:val="00F47DE8"/>
    <w:rsid w:val="00F508C1"/>
    <w:rsid w:val="00F531FF"/>
    <w:rsid w:val="00F53A5C"/>
    <w:rsid w:val="00F542C1"/>
    <w:rsid w:val="00F55555"/>
    <w:rsid w:val="00F55E73"/>
    <w:rsid w:val="00F55EDA"/>
    <w:rsid w:val="00F60092"/>
    <w:rsid w:val="00F648A7"/>
    <w:rsid w:val="00F64B78"/>
    <w:rsid w:val="00F65F4B"/>
    <w:rsid w:val="00F675CF"/>
    <w:rsid w:val="00F70C9D"/>
    <w:rsid w:val="00F744AE"/>
    <w:rsid w:val="00F74CD9"/>
    <w:rsid w:val="00F80A7B"/>
    <w:rsid w:val="00F80B20"/>
    <w:rsid w:val="00F80E5D"/>
    <w:rsid w:val="00F81108"/>
    <w:rsid w:val="00F851CE"/>
    <w:rsid w:val="00F85C89"/>
    <w:rsid w:val="00F86050"/>
    <w:rsid w:val="00F91219"/>
    <w:rsid w:val="00F93295"/>
    <w:rsid w:val="00F934CB"/>
    <w:rsid w:val="00F93F9B"/>
    <w:rsid w:val="00F97A78"/>
    <w:rsid w:val="00FA057B"/>
    <w:rsid w:val="00FA0B20"/>
    <w:rsid w:val="00FA1A10"/>
    <w:rsid w:val="00FA1FAF"/>
    <w:rsid w:val="00FA229A"/>
    <w:rsid w:val="00FA24E7"/>
    <w:rsid w:val="00FA63C4"/>
    <w:rsid w:val="00FA7D27"/>
    <w:rsid w:val="00FB0314"/>
    <w:rsid w:val="00FB100C"/>
    <w:rsid w:val="00FB11CF"/>
    <w:rsid w:val="00FB2FCB"/>
    <w:rsid w:val="00FB607C"/>
    <w:rsid w:val="00FC1074"/>
    <w:rsid w:val="00FC1884"/>
    <w:rsid w:val="00FC1D8D"/>
    <w:rsid w:val="00FC1F75"/>
    <w:rsid w:val="00FC371D"/>
    <w:rsid w:val="00FC3F81"/>
    <w:rsid w:val="00FC49D2"/>
    <w:rsid w:val="00FC4D18"/>
    <w:rsid w:val="00FC5B9A"/>
    <w:rsid w:val="00FC5F0B"/>
    <w:rsid w:val="00FC60AC"/>
    <w:rsid w:val="00FC6FBC"/>
    <w:rsid w:val="00FD1C47"/>
    <w:rsid w:val="00FD2100"/>
    <w:rsid w:val="00FD436C"/>
    <w:rsid w:val="00FD446D"/>
    <w:rsid w:val="00FD5F6D"/>
    <w:rsid w:val="00FD6394"/>
    <w:rsid w:val="00FE0761"/>
    <w:rsid w:val="00FE0E6C"/>
    <w:rsid w:val="00FE3063"/>
    <w:rsid w:val="00FE4560"/>
    <w:rsid w:val="00FE6101"/>
    <w:rsid w:val="00FE70C3"/>
    <w:rsid w:val="00FF1186"/>
    <w:rsid w:val="00FF3DCF"/>
    <w:rsid w:val="00FF492C"/>
    <w:rsid w:val="00FF4A21"/>
    <w:rsid w:val="00FF5AA3"/>
    <w:rsid w:val="00FF5AD8"/>
    <w:rsid w:val="00FF6B07"/>
    <w:rsid w:val="00FF6E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5F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Plain Text" w:uiPriority="99"/>
    <w:lsdException w:name="Normal (Web)" w:uiPriority="99"/>
    <w:lsdException w:name="No List" w:uiPriority="99"/>
    <w:lsdException w:name="Table Grid" w:uiPriority="5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PRIMA,Bayer Caption,IB Caption,Medical Caption,Char,CSR Caption,Caption Char1,Caption Char Char,Char Char Char,Char Char1,Char1,Table caption,Caption 3,c,appendix,Figure caption,Figure caption1 Char Char,Caption SYNEVi,Caption Char2 Char"/>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Caption PRIMA Char,Bayer Caption Char,IB Caption Char,Medical Caption Char,Char Char,CSR Caption Char,Caption Char1 Char,Caption Char Char Char,Char Char Char Char,Char Char1 Char,Char1 Char,Table caption Char,Caption 3 Char,c Char"/>
    <w:link w:val="Caption"/>
    <w:uiPriority w:val="10"/>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link w:val="BulletpointsChar"/>
    <w:qFormat/>
    <w:rsid w:val="002C5099"/>
    <w:pPr>
      <w:spacing w:after="0"/>
      <w:ind w:left="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2D4362"/>
    <w:pPr>
      <w:numPr>
        <w:numId w:val="3"/>
      </w:numPr>
      <w:spacing w:before="240" w:after="120"/>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BodyText2">
    <w:name w:val="Body Text 2"/>
    <w:basedOn w:val="Normal"/>
    <w:link w:val="BodyText2Char"/>
    <w:unhideWhenUsed/>
    <w:rsid w:val="00426820"/>
    <w:rPr>
      <w:color w:val="3366FF"/>
    </w:rPr>
  </w:style>
  <w:style w:type="character" w:customStyle="1" w:styleId="BodyText2Char">
    <w:name w:val="Body Text 2 Char"/>
    <w:basedOn w:val="DefaultParagraphFont"/>
    <w:link w:val="BodyText2"/>
    <w:rsid w:val="00426820"/>
    <w:rPr>
      <w:rFonts w:ascii="Calibri" w:hAnsi="Calibri" w:cs="Arial"/>
      <w:snapToGrid w:val="0"/>
      <w:color w:val="3366FF"/>
      <w:sz w:val="24"/>
      <w:szCs w:val="22"/>
      <w:lang w:eastAsia="en-US"/>
    </w:rPr>
  </w:style>
  <w:style w:type="paragraph" w:customStyle="1" w:styleId="mdTblEntry">
    <w:name w:val="md_Tbl Entry"/>
    <w:basedOn w:val="Normal"/>
    <w:link w:val="mdTblEntryChar"/>
    <w:uiPriority w:val="99"/>
    <w:rsid w:val="00BC5A6B"/>
    <w:pPr>
      <w:keepLines/>
      <w:widowControl/>
      <w:spacing w:line="259" w:lineRule="atLeast"/>
      <w:jc w:val="left"/>
    </w:pPr>
    <w:rPr>
      <w:rFonts w:ascii="Times New Roman" w:hAnsi="Times New Roman" w:cs="Times New Roman"/>
      <w:snapToGrid/>
      <w:sz w:val="20"/>
      <w:szCs w:val="20"/>
      <w:lang w:val="en-US"/>
    </w:rPr>
  </w:style>
  <w:style w:type="character" w:customStyle="1" w:styleId="mdTblEntryChar">
    <w:name w:val="md_Tbl Entry Char"/>
    <w:basedOn w:val="DefaultParagraphFont"/>
    <w:link w:val="mdTblEntry"/>
    <w:uiPriority w:val="99"/>
    <w:locked/>
    <w:rsid w:val="00BC5A6B"/>
    <w:rPr>
      <w:lang w:val="en-US" w:eastAsia="en-US"/>
    </w:rPr>
  </w:style>
  <w:style w:type="paragraph" w:customStyle="1" w:styleId="Default">
    <w:name w:val="Default"/>
    <w:rsid w:val="00BF4539"/>
    <w:pPr>
      <w:autoSpaceDE w:val="0"/>
      <w:autoSpaceDN w:val="0"/>
      <w:adjustRightInd w:val="0"/>
    </w:pPr>
    <w:rPr>
      <w:rFonts w:ascii="Calibri" w:eastAsiaTheme="minorHAnsi" w:hAnsi="Calibri" w:cs="Calibri"/>
      <w:color w:val="000000"/>
      <w:sz w:val="24"/>
      <w:szCs w:val="24"/>
      <w:lang w:eastAsia="en-US"/>
    </w:rPr>
  </w:style>
  <w:style w:type="paragraph" w:customStyle="1" w:styleId="TableLeft">
    <w:name w:val="Table Left"/>
    <w:basedOn w:val="Normal"/>
    <w:link w:val="TableLeftChar"/>
    <w:uiPriority w:val="99"/>
    <w:qFormat/>
    <w:rsid w:val="000662D6"/>
    <w:pPr>
      <w:widowControl/>
      <w:jc w:val="left"/>
    </w:pPr>
    <w:rPr>
      <w:rFonts w:cs="Times New Roman"/>
      <w:snapToGrid/>
      <w:sz w:val="20"/>
    </w:rPr>
  </w:style>
  <w:style w:type="character" w:customStyle="1" w:styleId="TableLeftChar">
    <w:name w:val="Table Left Char"/>
    <w:basedOn w:val="DefaultParagraphFont"/>
    <w:link w:val="TableLeft"/>
    <w:uiPriority w:val="99"/>
    <w:locked/>
    <w:rsid w:val="000662D6"/>
    <w:rPr>
      <w:rFonts w:ascii="Calibri" w:hAnsi="Calibri"/>
      <w:szCs w:val="22"/>
      <w:lang w:eastAsia="en-US"/>
    </w:rPr>
  </w:style>
  <w:style w:type="paragraph" w:customStyle="1" w:styleId="TableText0">
    <w:name w:val="Table Text"/>
    <w:basedOn w:val="Normal"/>
    <w:link w:val="TableTextChar0"/>
    <w:qFormat/>
    <w:rsid w:val="00C22553"/>
    <w:pPr>
      <w:keepNext/>
      <w:widowControl/>
    </w:pPr>
    <w:rPr>
      <w:rFonts w:ascii="Arial Narrow" w:hAnsi="Arial Narrow" w:cs="Times New Roman"/>
      <w:snapToGrid/>
      <w:sz w:val="20"/>
      <w:szCs w:val="20"/>
    </w:rPr>
  </w:style>
  <w:style w:type="character" w:customStyle="1" w:styleId="TableTextChar0">
    <w:name w:val="Table Text Char"/>
    <w:link w:val="TableText0"/>
    <w:rsid w:val="00C22553"/>
    <w:rPr>
      <w:rFonts w:ascii="Arial Narrow" w:hAnsi="Arial Narrow"/>
      <w:lang w:eastAsia="en-US"/>
    </w:rPr>
  </w:style>
  <w:style w:type="paragraph" w:styleId="FootnoteText">
    <w:name w:val="footnote text"/>
    <w:basedOn w:val="Normal"/>
    <w:link w:val="FootnoteTextChar"/>
    <w:unhideWhenUsed/>
    <w:rsid w:val="001407D7"/>
    <w:rPr>
      <w:sz w:val="20"/>
      <w:szCs w:val="20"/>
    </w:rPr>
  </w:style>
  <w:style w:type="character" w:customStyle="1" w:styleId="FootnoteTextChar">
    <w:name w:val="Footnote Text Char"/>
    <w:basedOn w:val="DefaultParagraphFont"/>
    <w:link w:val="FootnoteText"/>
    <w:rsid w:val="001407D7"/>
    <w:rPr>
      <w:rFonts w:ascii="Calibri" w:hAnsi="Calibri" w:cs="Arial"/>
      <w:snapToGrid w:val="0"/>
      <w:lang w:eastAsia="en-US"/>
    </w:rPr>
  </w:style>
  <w:style w:type="character" w:styleId="FootnoteReference">
    <w:name w:val="footnote reference"/>
    <w:basedOn w:val="DefaultParagraphFont"/>
    <w:semiHidden/>
    <w:unhideWhenUsed/>
    <w:rsid w:val="001407D7"/>
    <w:rPr>
      <w:vertAlign w:val="superscript"/>
    </w:rPr>
  </w:style>
  <w:style w:type="paragraph" w:customStyle="1" w:styleId="EndNoteBibliographyTitle">
    <w:name w:val="EndNote Bibliography Title"/>
    <w:basedOn w:val="Normal"/>
    <w:link w:val="EndNoteBibliographyTitleChar"/>
    <w:rsid w:val="001407D7"/>
    <w:pPr>
      <w:jc w:val="center"/>
    </w:pPr>
    <w:rPr>
      <w:noProof/>
      <w:lang w:val="en-US"/>
    </w:rPr>
  </w:style>
  <w:style w:type="character" w:customStyle="1" w:styleId="BulletpointsChar">
    <w:name w:val="Bullet points Char"/>
    <w:basedOn w:val="ListParagraphChar"/>
    <w:link w:val="Bulletpoints"/>
    <w:rsid w:val="001407D7"/>
    <w:rPr>
      <w:rFonts w:ascii="Calibri" w:hAnsi="Calibri" w:cs="Arial"/>
      <w:snapToGrid w:val="0"/>
      <w:sz w:val="24"/>
      <w:szCs w:val="24"/>
      <w:lang w:eastAsia="en-US"/>
    </w:rPr>
  </w:style>
  <w:style w:type="character" w:customStyle="1" w:styleId="EndNoteBibliographyTitleChar">
    <w:name w:val="EndNote Bibliography Title Char"/>
    <w:basedOn w:val="BulletpointsChar"/>
    <w:link w:val="EndNoteBibliographyTitle"/>
    <w:rsid w:val="001407D7"/>
    <w:rPr>
      <w:rFonts w:ascii="Calibri" w:hAnsi="Calibri" w:cs="Arial"/>
      <w:noProof/>
      <w:snapToGrid w:val="0"/>
      <w:sz w:val="24"/>
      <w:szCs w:val="22"/>
      <w:lang w:val="en-US" w:eastAsia="en-US"/>
    </w:rPr>
  </w:style>
  <w:style w:type="paragraph" w:customStyle="1" w:styleId="EndNoteBibliography">
    <w:name w:val="EndNote Bibliography"/>
    <w:basedOn w:val="Normal"/>
    <w:link w:val="EndNoteBibliographyChar"/>
    <w:rsid w:val="001407D7"/>
    <w:rPr>
      <w:noProof/>
      <w:lang w:val="en-US"/>
    </w:rPr>
  </w:style>
  <w:style w:type="character" w:customStyle="1" w:styleId="EndNoteBibliographyChar">
    <w:name w:val="EndNote Bibliography Char"/>
    <w:basedOn w:val="BulletpointsChar"/>
    <w:link w:val="EndNoteBibliography"/>
    <w:rsid w:val="001407D7"/>
    <w:rPr>
      <w:rFonts w:ascii="Calibri" w:hAnsi="Calibri" w:cs="Arial"/>
      <w:noProof/>
      <w:snapToGrid w:val="0"/>
      <w:sz w:val="24"/>
      <w:szCs w:val="22"/>
      <w:lang w:val="en-US" w:eastAsia="en-US"/>
    </w:rPr>
  </w:style>
  <w:style w:type="character" w:styleId="Strong">
    <w:name w:val="Strong"/>
    <w:basedOn w:val="DefaultParagraphFont"/>
    <w:uiPriority w:val="22"/>
    <w:qFormat/>
    <w:rsid w:val="001407D7"/>
    <w:rPr>
      <w:b/>
      <w:bCs/>
    </w:rPr>
  </w:style>
  <w:style w:type="table" w:styleId="LightList-Accent1">
    <w:name w:val="Light List Accent 1"/>
    <w:basedOn w:val="TableNormal"/>
    <w:uiPriority w:val="61"/>
    <w:rsid w:val="001407D7"/>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erLndscp">
    <w:name w:val="HeaderLndscp"/>
    <w:basedOn w:val="Footer"/>
    <w:qFormat/>
    <w:rsid w:val="001407D7"/>
    <w:pPr>
      <w:widowControl/>
      <w:tabs>
        <w:tab w:val="clear" w:pos="4513"/>
        <w:tab w:val="clear" w:pos="9026"/>
        <w:tab w:val="center" w:pos="5310"/>
        <w:tab w:val="right" w:pos="12870"/>
      </w:tabs>
      <w:spacing w:before="60"/>
      <w:ind w:left="90" w:right="90"/>
      <w:jc w:val="left"/>
    </w:pPr>
    <w:rPr>
      <w:rFonts w:ascii="Arial" w:hAnsi="Arial" w:cs="Times New Roman"/>
      <w:snapToGrid/>
      <w:sz w:val="16"/>
      <w:szCs w:val="18"/>
      <w:lang w:val="en-US"/>
    </w:rPr>
  </w:style>
  <w:style w:type="table" w:customStyle="1" w:styleId="LightList-Accent11">
    <w:name w:val="Light List - Accent 11"/>
    <w:basedOn w:val="TableNormal"/>
    <w:next w:val="LightList-Accent1"/>
    <w:uiPriority w:val="61"/>
    <w:rsid w:val="001407D7"/>
    <w:rPr>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igFootnote">
    <w:name w:val="Fig Footnote"/>
    <w:basedOn w:val="Normal"/>
    <w:next w:val="Normal"/>
    <w:uiPriority w:val="99"/>
    <w:rsid w:val="001407D7"/>
    <w:pPr>
      <w:keepNext/>
      <w:keepLines/>
      <w:widowControl/>
      <w:spacing w:line="259" w:lineRule="atLeast"/>
      <w:ind w:left="2304"/>
      <w:jc w:val="left"/>
    </w:pPr>
    <w:rPr>
      <w:rFonts w:ascii="Times New Roman" w:hAnsi="Times New Roman" w:cs="Times New Roman"/>
      <w:snapToGrid/>
      <w:sz w:val="20"/>
      <w:szCs w:val="20"/>
      <w:lang w:val="en-US"/>
    </w:rPr>
  </w:style>
  <w:style w:type="paragraph" w:customStyle="1" w:styleId="mdFigure">
    <w:name w:val="md_Figure"/>
    <w:basedOn w:val="Normal"/>
    <w:uiPriority w:val="99"/>
    <w:rsid w:val="001407D7"/>
    <w:pPr>
      <w:keepNext/>
      <w:keepLines/>
      <w:widowControl/>
      <w:tabs>
        <w:tab w:val="left" w:pos="2880"/>
        <w:tab w:val="left" w:pos="3240"/>
      </w:tabs>
      <w:spacing w:line="299" w:lineRule="atLeast"/>
      <w:jc w:val="center"/>
    </w:pPr>
    <w:rPr>
      <w:rFonts w:ascii="Times New Roman" w:hAnsi="Times New Roman" w:cs="Times New Roman"/>
      <w:snapToGrid/>
      <w:szCs w:val="20"/>
      <w:lang w:val="en-US"/>
    </w:rPr>
  </w:style>
  <w:style w:type="paragraph" w:customStyle="1" w:styleId="TblFootnote">
    <w:name w:val="Tbl Footnote"/>
    <w:basedOn w:val="Normal"/>
    <w:next w:val="Normal"/>
    <w:link w:val="TblFootnoteChar"/>
    <w:uiPriority w:val="99"/>
    <w:rsid w:val="001407D7"/>
    <w:pPr>
      <w:keepNext/>
      <w:keepLines/>
      <w:widowControl/>
      <w:tabs>
        <w:tab w:val="left" w:pos="259"/>
      </w:tabs>
      <w:spacing w:line="259" w:lineRule="atLeast"/>
      <w:ind w:left="259" w:hanging="259"/>
      <w:jc w:val="left"/>
    </w:pPr>
    <w:rPr>
      <w:rFonts w:ascii="Times New Roman" w:hAnsi="Times New Roman" w:cs="Times New Roman"/>
      <w:snapToGrid/>
      <w:sz w:val="20"/>
      <w:szCs w:val="20"/>
      <w:lang w:val="en-US"/>
    </w:rPr>
  </w:style>
  <w:style w:type="character" w:customStyle="1" w:styleId="TblFootnoteChar">
    <w:name w:val="Tbl Footnote Char"/>
    <w:basedOn w:val="DefaultParagraphFont"/>
    <w:link w:val="TblFootnote"/>
    <w:uiPriority w:val="99"/>
    <w:locked/>
    <w:rsid w:val="001407D7"/>
    <w:rPr>
      <w:lang w:val="en-US" w:eastAsia="en-US"/>
    </w:rPr>
  </w:style>
  <w:style w:type="character" w:customStyle="1" w:styleId="st">
    <w:name w:val="st"/>
    <w:basedOn w:val="DefaultParagraphFont"/>
    <w:rsid w:val="001407D7"/>
  </w:style>
  <w:style w:type="table" w:customStyle="1" w:styleId="TableGrid1">
    <w:name w:val="Table Grid1"/>
    <w:basedOn w:val="TableNormal"/>
    <w:next w:val="TableGrid"/>
    <w:uiPriority w:val="59"/>
    <w:rsid w:val="00681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1B09"/>
    <w:rPr>
      <w:color w:val="80808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92725"/>
    <w:pPr>
      <w:widowControl/>
      <w:spacing w:after="160" w:line="240" w:lineRule="exact"/>
      <w:jc w:val="left"/>
    </w:pPr>
    <w:rPr>
      <w:rFonts w:ascii="Verdana" w:eastAsia="MS Mincho" w:hAnsi="Verdana" w:cs="Verdana"/>
      <w:snapToGrid/>
      <w:sz w:val="20"/>
      <w:szCs w:val="20"/>
      <w:lang w:val="en-US"/>
    </w:rPr>
  </w:style>
  <w:style w:type="paragraph" w:styleId="PlainText">
    <w:name w:val="Plain Text"/>
    <w:basedOn w:val="Normal"/>
    <w:link w:val="PlainTextChar"/>
    <w:uiPriority w:val="99"/>
    <w:rsid w:val="00C053EF"/>
    <w:pPr>
      <w:widowControl/>
      <w:jc w:val="left"/>
    </w:pPr>
    <w:rPr>
      <w:rFonts w:ascii="Courier New" w:hAnsi="Courier New" w:cs="Times New Roman"/>
      <w:snapToGrid/>
      <w:sz w:val="20"/>
      <w:szCs w:val="20"/>
      <w:lang w:eastAsia="en-AU"/>
    </w:rPr>
  </w:style>
  <w:style w:type="character" w:customStyle="1" w:styleId="PlainTextChar">
    <w:name w:val="Plain Text Char"/>
    <w:basedOn w:val="DefaultParagraphFont"/>
    <w:link w:val="PlainText"/>
    <w:uiPriority w:val="99"/>
    <w:rsid w:val="00C053EF"/>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Plain Text" w:uiPriority="99"/>
    <w:lsdException w:name="Normal (Web)" w:uiPriority="99"/>
    <w:lsdException w:name="No List" w:uiPriority="99"/>
    <w:lsdException w:name="Table Grid" w:uiPriority="5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PRIMA,Bayer Caption,IB Caption,Medical Caption,Char,CSR Caption,Caption Char1,Caption Char Char,Char Char Char,Char Char1,Char1,Table caption,Caption 3,c,appendix,Figure caption,Figure caption1 Char Char,Caption SYNEVi,Caption Char2 Char"/>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Caption PRIMA Char,Bayer Caption Char,IB Caption Char,Medical Caption Char,Char Char,CSR Caption Char,Caption Char1 Char,Caption Char Char Char,Char Char Char Char,Char Char1 Char,Char1 Char,Table caption Char,Caption 3 Char,c Char"/>
    <w:link w:val="Caption"/>
    <w:uiPriority w:val="10"/>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link w:val="BulletpointsChar"/>
    <w:qFormat/>
    <w:rsid w:val="002C5099"/>
    <w:pPr>
      <w:spacing w:after="0"/>
      <w:ind w:left="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2D4362"/>
    <w:pPr>
      <w:numPr>
        <w:numId w:val="3"/>
      </w:numPr>
      <w:spacing w:before="240" w:after="120"/>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BodyText2">
    <w:name w:val="Body Text 2"/>
    <w:basedOn w:val="Normal"/>
    <w:link w:val="BodyText2Char"/>
    <w:unhideWhenUsed/>
    <w:rsid w:val="00426820"/>
    <w:rPr>
      <w:color w:val="3366FF"/>
    </w:rPr>
  </w:style>
  <w:style w:type="character" w:customStyle="1" w:styleId="BodyText2Char">
    <w:name w:val="Body Text 2 Char"/>
    <w:basedOn w:val="DefaultParagraphFont"/>
    <w:link w:val="BodyText2"/>
    <w:rsid w:val="00426820"/>
    <w:rPr>
      <w:rFonts w:ascii="Calibri" w:hAnsi="Calibri" w:cs="Arial"/>
      <w:snapToGrid w:val="0"/>
      <w:color w:val="3366FF"/>
      <w:sz w:val="24"/>
      <w:szCs w:val="22"/>
      <w:lang w:eastAsia="en-US"/>
    </w:rPr>
  </w:style>
  <w:style w:type="paragraph" w:customStyle="1" w:styleId="mdTblEntry">
    <w:name w:val="md_Tbl Entry"/>
    <w:basedOn w:val="Normal"/>
    <w:link w:val="mdTblEntryChar"/>
    <w:uiPriority w:val="99"/>
    <w:rsid w:val="00BC5A6B"/>
    <w:pPr>
      <w:keepLines/>
      <w:widowControl/>
      <w:spacing w:line="259" w:lineRule="atLeast"/>
      <w:jc w:val="left"/>
    </w:pPr>
    <w:rPr>
      <w:rFonts w:ascii="Times New Roman" w:hAnsi="Times New Roman" w:cs="Times New Roman"/>
      <w:snapToGrid/>
      <w:sz w:val="20"/>
      <w:szCs w:val="20"/>
      <w:lang w:val="en-US"/>
    </w:rPr>
  </w:style>
  <w:style w:type="character" w:customStyle="1" w:styleId="mdTblEntryChar">
    <w:name w:val="md_Tbl Entry Char"/>
    <w:basedOn w:val="DefaultParagraphFont"/>
    <w:link w:val="mdTblEntry"/>
    <w:uiPriority w:val="99"/>
    <w:locked/>
    <w:rsid w:val="00BC5A6B"/>
    <w:rPr>
      <w:lang w:val="en-US" w:eastAsia="en-US"/>
    </w:rPr>
  </w:style>
  <w:style w:type="paragraph" w:customStyle="1" w:styleId="Default">
    <w:name w:val="Default"/>
    <w:rsid w:val="00BF4539"/>
    <w:pPr>
      <w:autoSpaceDE w:val="0"/>
      <w:autoSpaceDN w:val="0"/>
      <w:adjustRightInd w:val="0"/>
    </w:pPr>
    <w:rPr>
      <w:rFonts w:ascii="Calibri" w:eastAsiaTheme="minorHAnsi" w:hAnsi="Calibri" w:cs="Calibri"/>
      <w:color w:val="000000"/>
      <w:sz w:val="24"/>
      <w:szCs w:val="24"/>
      <w:lang w:eastAsia="en-US"/>
    </w:rPr>
  </w:style>
  <w:style w:type="paragraph" w:customStyle="1" w:styleId="TableLeft">
    <w:name w:val="Table Left"/>
    <w:basedOn w:val="Normal"/>
    <w:link w:val="TableLeftChar"/>
    <w:uiPriority w:val="99"/>
    <w:qFormat/>
    <w:rsid w:val="000662D6"/>
    <w:pPr>
      <w:widowControl/>
      <w:jc w:val="left"/>
    </w:pPr>
    <w:rPr>
      <w:rFonts w:cs="Times New Roman"/>
      <w:snapToGrid/>
      <w:sz w:val="20"/>
    </w:rPr>
  </w:style>
  <w:style w:type="character" w:customStyle="1" w:styleId="TableLeftChar">
    <w:name w:val="Table Left Char"/>
    <w:basedOn w:val="DefaultParagraphFont"/>
    <w:link w:val="TableLeft"/>
    <w:uiPriority w:val="99"/>
    <w:locked/>
    <w:rsid w:val="000662D6"/>
    <w:rPr>
      <w:rFonts w:ascii="Calibri" w:hAnsi="Calibri"/>
      <w:szCs w:val="22"/>
      <w:lang w:eastAsia="en-US"/>
    </w:rPr>
  </w:style>
  <w:style w:type="paragraph" w:customStyle="1" w:styleId="TableText0">
    <w:name w:val="Table Text"/>
    <w:basedOn w:val="Normal"/>
    <w:link w:val="TableTextChar0"/>
    <w:qFormat/>
    <w:rsid w:val="00C22553"/>
    <w:pPr>
      <w:keepNext/>
      <w:widowControl/>
    </w:pPr>
    <w:rPr>
      <w:rFonts w:ascii="Arial Narrow" w:hAnsi="Arial Narrow" w:cs="Times New Roman"/>
      <w:snapToGrid/>
      <w:sz w:val="20"/>
      <w:szCs w:val="20"/>
    </w:rPr>
  </w:style>
  <w:style w:type="character" w:customStyle="1" w:styleId="TableTextChar0">
    <w:name w:val="Table Text Char"/>
    <w:link w:val="TableText0"/>
    <w:rsid w:val="00C22553"/>
    <w:rPr>
      <w:rFonts w:ascii="Arial Narrow" w:hAnsi="Arial Narrow"/>
      <w:lang w:eastAsia="en-US"/>
    </w:rPr>
  </w:style>
  <w:style w:type="paragraph" w:styleId="FootnoteText">
    <w:name w:val="footnote text"/>
    <w:basedOn w:val="Normal"/>
    <w:link w:val="FootnoteTextChar"/>
    <w:unhideWhenUsed/>
    <w:rsid w:val="001407D7"/>
    <w:rPr>
      <w:sz w:val="20"/>
      <w:szCs w:val="20"/>
    </w:rPr>
  </w:style>
  <w:style w:type="character" w:customStyle="1" w:styleId="FootnoteTextChar">
    <w:name w:val="Footnote Text Char"/>
    <w:basedOn w:val="DefaultParagraphFont"/>
    <w:link w:val="FootnoteText"/>
    <w:rsid w:val="001407D7"/>
    <w:rPr>
      <w:rFonts w:ascii="Calibri" w:hAnsi="Calibri" w:cs="Arial"/>
      <w:snapToGrid w:val="0"/>
      <w:lang w:eastAsia="en-US"/>
    </w:rPr>
  </w:style>
  <w:style w:type="character" w:styleId="FootnoteReference">
    <w:name w:val="footnote reference"/>
    <w:basedOn w:val="DefaultParagraphFont"/>
    <w:semiHidden/>
    <w:unhideWhenUsed/>
    <w:rsid w:val="001407D7"/>
    <w:rPr>
      <w:vertAlign w:val="superscript"/>
    </w:rPr>
  </w:style>
  <w:style w:type="paragraph" w:customStyle="1" w:styleId="EndNoteBibliographyTitle">
    <w:name w:val="EndNote Bibliography Title"/>
    <w:basedOn w:val="Normal"/>
    <w:link w:val="EndNoteBibliographyTitleChar"/>
    <w:rsid w:val="001407D7"/>
    <w:pPr>
      <w:jc w:val="center"/>
    </w:pPr>
    <w:rPr>
      <w:noProof/>
      <w:lang w:val="en-US"/>
    </w:rPr>
  </w:style>
  <w:style w:type="character" w:customStyle="1" w:styleId="BulletpointsChar">
    <w:name w:val="Bullet points Char"/>
    <w:basedOn w:val="ListParagraphChar"/>
    <w:link w:val="Bulletpoints"/>
    <w:rsid w:val="001407D7"/>
    <w:rPr>
      <w:rFonts w:ascii="Calibri" w:hAnsi="Calibri" w:cs="Arial"/>
      <w:snapToGrid w:val="0"/>
      <w:sz w:val="24"/>
      <w:szCs w:val="24"/>
      <w:lang w:eastAsia="en-US"/>
    </w:rPr>
  </w:style>
  <w:style w:type="character" w:customStyle="1" w:styleId="EndNoteBibliographyTitleChar">
    <w:name w:val="EndNote Bibliography Title Char"/>
    <w:basedOn w:val="BulletpointsChar"/>
    <w:link w:val="EndNoteBibliographyTitle"/>
    <w:rsid w:val="001407D7"/>
    <w:rPr>
      <w:rFonts w:ascii="Calibri" w:hAnsi="Calibri" w:cs="Arial"/>
      <w:noProof/>
      <w:snapToGrid w:val="0"/>
      <w:sz w:val="24"/>
      <w:szCs w:val="22"/>
      <w:lang w:val="en-US" w:eastAsia="en-US"/>
    </w:rPr>
  </w:style>
  <w:style w:type="paragraph" w:customStyle="1" w:styleId="EndNoteBibliography">
    <w:name w:val="EndNote Bibliography"/>
    <w:basedOn w:val="Normal"/>
    <w:link w:val="EndNoteBibliographyChar"/>
    <w:rsid w:val="001407D7"/>
    <w:rPr>
      <w:noProof/>
      <w:lang w:val="en-US"/>
    </w:rPr>
  </w:style>
  <w:style w:type="character" w:customStyle="1" w:styleId="EndNoteBibliographyChar">
    <w:name w:val="EndNote Bibliography Char"/>
    <w:basedOn w:val="BulletpointsChar"/>
    <w:link w:val="EndNoteBibliography"/>
    <w:rsid w:val="001407D7"/>
    <w:rPr>
      <w:rFonts w:ascii="Calibri" w:hAnsi="Calibri" w:cs="Arial"/>
      <w:noProof/>
      <w:snapToGrid w:val="0"/>
      <w:sz w:val="24"/>
      <w:szCs w:val="22"/>
      <w:lang w:val="en-US" w:eastAsia="en-US"/>
    </w:rPr>
  </w:style>
  <w:style w:type="character" w:styleId="Strong">
    <w:name w:val="Strong"/>
    <w:basedOn w:val="DefaultParagraphFont"/>
    <w:uiPriority w:val="22"/>
    <w:qFormat/>
    <w:rsid w:val="001407D7"/>
    <w:rPr>
      <w:b/>
      <w:bCs/>
    </w:rPr>
  </w:style>
  <w:style w:type="table" w:styleId="LightList-Accent1">
    <w:name w:val="Light List Accent 1"/>
    <w:basedOn w:val="TableNormal"/>
    <w:uiPriority w:val="61"/>
    <w:rsid w:val="001407D7"/>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erLndscp">
    <w:name w:val="HeaderLndscp"/>
    <w:basedOn w:val="Footer"/>
    <w:qFormat/>
    <w:rsid w:val="001407D7"/>
    <w:pPr>
      <w:widowControl/>
      <w:tabs>
        <w:tab w:val="clear" w:pos="4513"/>
        <w:tab w:val="clear" w:pos="9026"/>
        <w:tab w:val="center" w:pos="5310"/>
        <w:tab w:val="right" w:pos="12870"/>
      </w:tabs>
      <w:spacing w:before="60"/>
      <w:ind w:left="90" w:right="90"/>
      <w:jc w:val="left"/>
    </w:pPr>
    <w:rPr>
      <w:rFonts w:ascii="Arial" w:hAnsi="Arial" w:cs="Times New Roman"/>
      <w:snapToGrid/>
      <w:sz w:val="16"/>
      <w:szCs w:val="18"/>
      <w:lang w:val="en-US"/>
    </w:rPr>
  </w:style>
  <w:style w:type="table" w:customStyle="1" w:styleId="LightList-Accent11">
    <w:name w:val="Light List - Accent 11"/>
    <w:basedOn w:val="TableNormal"/>
    <w:next w:val="LightList-Accent1"/>
    <w:uiPriority w:val="61"/>
    <w:rsid w:val="001407D7"/>
    <w:rPr>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igFootnote">
    <w:name w:val="Fig Footnote"/>
    <w:basedOn w:val="Normal"/>
    <w:next w:val="Normal"/>
    <w:uiPriority w:val="99"/>
    <w:rsid w:val="001407D7"/>
    <w:pPr>
      <w:keepNext/>
      <w:keepLines/>
      <w:widowControl/>
      <w:spacing w:line="259" w:lineRule="atLeast"/>
      <w:ind w:left="2304"/>
      <w:jc w:val="left"/>
    </w:pPr>
    <w:rPr>
      <w:rFonts w:ascii="Times New Roman" w:hAnsi="Times New Roman" w:cs="Times New Roman"/>
      <w:snapToGrid/>
      <w:sz w:val="20"/>
      <w:szCs w:val="20"/>
      <w:lang w:val="en-US"/>
    </w:rPr>
  </w:style>
  <w:style w:type="paragraph" w:customStyle="1" w:styleId="mdFigure">
    <w:name w:val="md_Figure"/>
    <w:basedOn w:val="Normal"/>
    <w:uiPriority w:val="99"/>
    <w:rsid w:val="001407D7"/>
    <w:pPr>
      <w:keepNext/>
      <w:keepLines/>
      <w:widowControl/>
      <w:tabs>
        <w:tab w:val="left" w:pos="2880"/>
        <w:tab w:val="left" w:pos="3240"/>
      </w:tabs>
      <w:spacing w:line="299" w:lineRule="atLeast"/>
      <w:jc w:val="center"/>
    </w:pPr>
    <w:rPr>
      <w:rFonts w:ascii="Times New Roman" w:hAnsi="Times New Roman" w:cs="Times New Roman"/>
      <w:snapToGrid/>
      <w:szCs w:val="20"/>
      <w:lang w:val="en-US"/>
    </w:rPr>
  </w:style>
  <w:style w:type="paragraph" w:customStyle="1" w:styleId="TblFootnote">
    <w:name w:val="Tbl Footnote"/>
    <w:basedOn w:val="Normal"/>
    <w:next w:val="Normal"/>
    <w:link w:val="TblFootnoteChar"/>
    <w:uiPriority w:val="99"/>
    <w:rsid w:val="001407D7"/>
    <w:pPr>
      <w:keepNext/>
      <w:keepLines/>
      <w:widowControl/>
      <w:tabs>
        <w:tab w:val="left" w:pos="259"/>
      </w:tabs>
      <w:spacing w:line="259" w:lineRule="atLeast"/>
      <w:ind w:left="259" w:hanging="259"/>
      <w:jc w:val="left"/>
    </w:pPr>
    <w:rPr>
      <w:rFonts w:ascii="Times New Roman" w:hAnsi="Times New Roman" w:cs="Times New Roman"/>
      <w:snapToGrid/>
      <w:sz w:val="20"/>
      <w:szCs w:val="20"/>
      <w:lang w:val="en-US"/>
    </w:rPr>
  </w:style>
  <w:style w:type="character" w:customStyle="1" w:styleId="TblFootnoteChar">
    <w:name w:val="Tbl Footnote Char"/>
    <w:basedOn w:val="DefaultParagraphFont"/>
    <w:link w:val="TblFootnote"/>
    <w:uiPriority w:val="99"/>
    <w:locked/>
    <w:rsid w:val="001407D7"/>
    <w:rPr>
      <w:lang w:val="en-US" w:eastAsia="en-US"/>
    </w:rPr>
  </w:style>
  <w:style w:type="character" w:customStyle="1" w:styleId="st">
    <w:name w:val="st"/>
    <w:basedOn w:val="DefaultParagraphFont"/>
    <w:rsid w:val="001407D7"/>
  </w:style>
  <w:style w:type="table" w:customStyle="1" w:styleId="TableGrid1">
    <w:name w:val="Table Grid1"/>
    <w:basedOn w:val="TableNormal"/>
    <w:next w:val="TableGrid"/>
    <w:uiPriority w:val="59"/>
    <w:rsid w:val="00681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1B09"/>
    <w:rPr>
      <w:color w:val="80808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92725"/>
    <w:pPr>
      <w:widowControl/>
      <w:spacing w:after="160" w:line="240" w:lineRule="exact"/>
      <w:jc w:val="left"/>
    </w:pPr>
    <w:rPr>
      <w:rFonts w:ascii="Verdana" w:eastAsia="MS Mincho" w:hAnsi="Verdana" w:cs="Verdana"/>
      <w:snapToGrid/>
      <w:sz w:val="20"/>
      <w:szCs w:val="20"/>
      <w:lang w:val="en-US"/>
    </w:rPr>
  </w:style>
  <w:style w:type="paragraph" w:styleId="PlainText">
    <w:name w:val="Plain Text"/>
    <w:basedOn w:val="Normal"/>
    <w:link w:val="PlainTextChar"/>
    <w:uiPriority w:val="99"/>
    <w:rsid w:val="00C053EF"/>
    <w:pPr>
      <w:widowControl/>
      <w:jc w:val="left"/>
    </w:pPr>
    <w:rPr>
      <w:rFonts w:ascii="Courier New" w:hAnsi="Courier New" w:cs="Times New Roman"/>
      <w:snapToGrid/>
      <w:sz w:val="20"/>
      <w:szCs w:val="20"/>
      <w:lang w:eastAsia="en-AU"/>
    </w:rPr>
  </w:style>
  <w:style w:type="character" w:customStyle="1" w:styleId="PlainTextChar">
    <w:name w:val="Plain Text Char"/>
    <w:basedOn w:val="DefaultParagraphFont"/>
    <w:link w:val="PlainText"/>
    <w:uiPriority w:val="99"/>
    <w:rsid w:val="00C053E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2304">
      <w:bodyDiv w:val="1"/>
      <w:marLeft w:val="0"/>
      <w:marRight w:val="0"/>
      <w:marTop w:val="0"/>
      <w:marBottom w:val="0"/>
      <w:divBdr>
        <w:top w:val="none" w:sz="0" w:space="0" w:color="auto"/>
        <w:left w:val="none" w:sz="0" w:space="0" w:color="auto"/>
        <w:bottom w:val="none" w:sz="0" w:space="0" w:color="auto"/>
        <w:right w:val="none" w:sz="0" w:space="0" w:color="auto"/>
      </w:divBdr>
    </w:div>
    <w:div w:id="467016104">
      <w:bodyDiv w:val="1"/>
      <w:marLeft w:val="0"/>
      <w:marRight w:val="0"/>
      <w:marTop w:val="0"/>
      <w:marBottom w:val="0"/>
      <w:divBdr>
        <w:top w:val="none" w:sz="0" w:space="0" w:color="auto"/>
        <w:left w:val="none" w:sz="0" w:space="0" w:color="auto"/>
        <w:bottom w:val="none" w:sz="0" w:space="0" w:color="auto"/>
        <w:right w:val="none" w:sz="0" w:space="0" w:color="auto"/>
      </w:divBdr>
    </w:div>
    <w:div w:id="1629778881">
      <w:bodyDiv w:val="1"/>
      <w:marLeft w:val="0"/>
      <w:marRight w:val="0"/>
      <w:marTop w:val="0"/>
      <w:marBottom w:val="0"/>
      <w:divBdr>
        <w:top w:val="none" w:sz="0" w:space="0" w:color="auto"/>
        <w:left w:val="none" w:sz="0" w:space="0" w:color="auto"/>
        <w:bottom w:val="none" w:sz="0" w:space="0" w:color="auto"/>
        <w:right w:val="none" w:sz="0" w:space="0" w:color="auto"/>
      </w:divBdr>
      <w:divsChild>
        <w:div w:id="1635521643">
          <w:marLeft w:val="547"/>
          <w:marRight w:val="0"/>
          <w:marTop w:val="86"/>
          <w:marBottom w:val="0"/>
          <w:divBdr>
            <w:top w:val="none" w:sz="0" w:space="0" w:color="auto"/>
            <w:left w:val="none" w:sz="0" w:space="0" w:color="auto"/>
            <w:bottom w:val="none" w:sz="0" w:space="0" w:color="auto"/>
            <w:right w:val="none" w:sz="0" w:space="0" w:color="auto"/>
          </w:divBdr>
        </w:div>
      </w:divsChild>
    </w:div>
    <w:div w:id="1811046865">
      <w:bodyDiv w:val="1"/>
      <w:marLeft w:val="0"/>
      <w:marRight w:val="0"/>
      <w:marTop w:val="0"/>
      <w:marBottom w:val="0"/>
      <w:divBdr>
        <w:top w:val="none" w:sz="0" w:space="0" w:color="auto"/>
        <w:left w:val="none" w:sz="0" w:space="0" w:color="auto"/>
        <w:bottom w:val="none" w:sz="0" w:space="0" w:color="auto"/>
        <w:right w:val="none" w:sz="0" w:space="0" w:color="auto"/>
      </w:divBdr>
    </w:div>
    <w:div w:id="1871602310">
      <w:bodyDiv w:val="1"/>
      <w:marLeft w:val="0"/>
      <w:marRight w:val="0"/>
      <w:marTop w:val="0"/>
      <w:marBottom w:val="0"/>
      <w:divBdr>
        <w:top w:val="none" w:sz="0" w:space="0" w:color="auto"/>
        <w:left w:val="none" w:sz="0" w:space="0" w:color="auto"/>
        <w:bottom w:val="none" w:sz="0" w:space="0" w:color="auto"/>
        <w:right w:val="none" w:sz="0" w:space="0" w:color="auto"/>
      </w:divBdr>
    </w:div>
    <w:div w:id="1994874214">
      <w:bodyDiv w:val="1"/>
      <w:marLeft w:val="0"/>
      <w:marRight w:val="0"/>
      <w:marTop w:val="0"/>
      <w:marBottom w:val="0"/>
      <w:divBdr>
        <w:top w:val="none" w:sz="0" w:space="0" w:color="auto"/>
        <w:left w:val="none" w:sz="0" w:space="0" w:color="auto"/>
        <w:bottom w:val="none" w:sz="0" w:space="0" w:color="auto"/>
        <w:right w:val="none" w:sz="0" w:space="0" w:color="auto"/>
      </w:divBdr>
    </w:div>
    <w:div w:id="1999184980">
      <w:bodyDiv w:val="1"/>
      <w:marLeft w:val="0"/>
      <w:marRight w:val="0"/>
      <w:marTop w:val="0"/>
      <w:marBottom w:val="0"/>
      <w:divBdr>
        <w:top w:val="none" w:sz="0" w:space="0" w:color="auto"/>
        <w:left w:val="none" w:sz="0" w:space="0" w:color="auto"/>
        <w:bottom w:val="none" w:sz="0" w:space="0" w:color="auto"/>
        <w:right w:val="none" w:sz="0" w:space="0" w:color="auto"/>
      </w:divBdr>
    </w:div>
    <w:div w:id="202389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4990A-5D13-4BD8-B181-83B2FB6C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9695</Words>
  <Characters>57642</Characters>
  <Application>Microsoft Office Word</Application>
  <DocSecurity>0</DocSecurity>
  <Lines>480</Lines>
  <Paragraphs>134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2018-06-19T02:44:00Z</dcterms:created>
  <dcterms:modified xsi:type="dcterms:W3CDTF">2018-06-19T02:44:00Z</dcterms:modified>
</cp:coreProperties>
</file>