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5D" w:rsidRPr="00986D60" w:rsidRDefault="00941A05" w:rsidP="00C12C14">
      <w:pPr>
        <w:rPr>
          <w:b/>
          <w:sz w:val="36"/>
          <w:szCs w:val="36"/>
        </w:rPr>
      </w:pPr>
      <w:bookmarkStart w:id="0" w:name="_GoBack"/>
      <w:bookmarkEnd w:id="0"/>
      <w:r w:rsidRPr="00986D60">
        <w:rPr>
          <w:b/>
          <w:sz w:val="36"/>
          <w:szCs w:val="36"/>
        </w:rPr>
        <w:t>7.05</w:t>
      </w:r>
      <w:r w:rsidR="00B60939" w:rsidRPr="00986D60">
        <w:rPr>
          <w:b/>
          <w:sz w:val="36"/>
          <w:szCs w:val="36"/>
        </w:rPr>
        <w:tab/>
      </w:r>
      <w:r w:rsidR="00AA30FE" w:rsidRPr="00986D60">
        <w:rPr>
          <w:b/>
          <w:sz w:val="36"/>
          <w:szCs w:val="36"/>
        </w:rPr>
        <w:t xml:space="preserve">SAPROPTERIN, </w:t>
      </w:r>
    </w:p>
    <w:p w:rsidR="009E365D" w:rsidRPr="00986D60" w:rsidRDefault="009E365D" w:rsidP="00C12C14">
      <w:pPr>
        <w:rPr>
          <w:b/>
          <w:sz w:val="36"/>
          <w:szCs w:val="36"/>
        </w:rPr>
      </w:pPr>
      <w:r w:rsidRPr="00986D60">
        <w:rPr>
          <w:b/>
          <w:sz w:val="36"/>
          <w:szCs w:val="36"/>
        </w:rPr>
        <w:tab/>
      </w:r>
      <w:r w:rsidR="002833C4" w:rsidRPr="00986D60">
        <w:rPr>
          <w:b/>
          <w:sz w:val="36"/>
          <w:szCs w:val="36"/>
        </w:rPr>
        <w:t xml:space="preserve">Tablet (soluble) containing sapropterin dihydrochloride </w:t>
      </w:r>
      <w:r w:rsidRPr="00986D60">
        <w:rPr>
          <w:b/>
          <w:sz w:val="36"/>
          <w:szCs w:val="36"/>
        </w:rPr>
        <w:tab/>
      </w:r>
      <w:r w:rsidR="002833C4" w:rsidRPr="00986D60">
        <w:rPr>
          <w:b/>
          <w:sz w:val="36"/>
          <w:szCs w:val="36"/>
        </w:rPr>
        <w:t>100 mg</w:t>
      </w:r>
      <w:r w:rsidR="00AA30FE" w:rsidRPr="00986D60">
        <w:rPr>
          <w:b/>
          <w:sz w:val="36"/>
          <w:szCs w:val="36"/>
        </w:rPr>
        <w:t xml:space="preserve">, </w:t>
      </w:r>
    </w:p>
    <w:p w:rsidR="009E365D" w:rsidRPr="00986D60" w:rsidRDefault="009E365D" w:rsidP="00C12C14">
      <w:pPr>
        <w:rPr>
          <w:b/>
          <w:sz w:val="36"/>
          <w:szCs w:val="36"/>
        </w:rPr>
      </w:pPr>
      <w:r w:rsidRPr="00986D60">
        <w:rPr>
          <w:b/>
          <w:sz w:val="36"/>
          <w:szCs w:val="36"/>
        </w:rPr>
        <w:tab/>
      </w:r>
      <w:r w:rsidR="00AA30FE" w:rsidRPr="00986D60">
        <w:rPr>
          <w:b/>
          <w:sz w:val="36"/>
          <w:szCs w:val="36"/>
        </w:rPr>
        <w:t>Kuvan</w:t>
      </w:r>
      <w:r w:rsidR="00AA30FE" w:rsidRPr="00986D60">
        <w:rPr>
          <w:b/>
          <w:sz w:val="36"/>
          <w:szCs w:val="36"/>
          <w:vertAlign w:val="superscript"/>
        </w:rPr>
        <w:t>®</w:t>
      </w:r>
      <w:r w:rsidR="00AA30FE" w:rsidRPr="00986D60">
        <w:rPr>
          <w:b/>
          <w:sz w:val="36"/>
          <w:szCs w:val="36"/>
        </w:rPr>
        <w:t xml:space="preserve">, </w:t>
      </w:r>
    </w:p>
    <w:p w:rsidR="00B60939" w:rsidRPr="00986D60" w:rsidRDefault="009E365D" w:rsidP="00C12C14">
      <w:pPr>
        <w:rPr>
          <w:b/>
          <w:sz w:val="36"/>
          <w:szCs w:val="36"/>
        </w:rPr>
      </w:pPr>
      <w:r w:rsidRPr="00986D60">
        <w:rPr>
          <w:b/>
          <w:sz w:val="36"/>
          <w:szCs w:val="36"/>
        </w:rPr>
        <w:tab/>
      </w:r>
      <w:r w:rsidR="00AA30FE" w:rsidRPr="00986D60">
        <w:rPr>
          <w:b/>
          <w:sz w:val="36"/>
          <w:szCs w:val="36"/>
        </w:rPr>
        <w:t>BioMarin Pharmaceutical Australia</w:t>
      </w:r>
      <w:r w:rsidR="00B60939" w:rsidRPr="00986D60">
        <w:rPr>
          <w:b/>
          <w:sz w:val="36"/>
          <w:szCs w:val="36"/>
        </w:rPr>
        <w:t>.</w:t>
      </w:r>
    </w:p>
    <w:p w:rsidR="00433044" w:rsidRPr="00986D60" w:rsidRDefault="00433044" w:rsidP="00281014">
      <w:pPr>
        <w:pStyle w:val="BodyText"/>
        <w:rPr>
          <w:szCs w:val="24"/>
        </w:rPr>
      </w:pPr>
    </w:p>
    <w:p w:rsidR="006D41D5" w:rsidRDefault="006D41D5" w:rsidP="000C5491">
      <w:pPr>
        <w:pStyle w:val="PBACHeading1"/>
      </w:pPr>
      <w:r w:rsidRPr="009B48AE">
        <w:t>Purpose of application</w:t>
      </w:r>
    </w:p>
    <w:p w:rsidR="009B48AE" w:rsidRPr="009B48AE" w:rsidRDefault="009B48AE" w:rsidP="00654311">
      <w:pPr>
        <w:pStyle w:val="BodyText"/>
      </w:pPr>
    </w:p>
    <w:p w:rsidR="006174FA" w:rsidRPr="00986D60" w:rsidRDefault="006174FA" w:rsidP="006D41D5">
      <w:pPr>
        <w:pStyle w:val="ListParagraph"/>
        <w:widowControl/>
        <w:numPr>
          <w:ilvl w:val="1"/>
          <w:numId w:val="14"/>
        </w:numPr>
        <w:ind w:left="709" w:hanging="709"/>
        <w:rPr>
          <w:rFonts w:cs="Calibri"/>
          <w:snapToGrid/>
          <w:szCs w:val="24"/>
          <w:lang w:val="en-US" w:eastAsia="en-AU"/>
        </w:rPr>
      </w:pPr>
      <w:r w:rsidRPr="00986D60">
        <w:rPr>
          <w:rFonts w:cs="Calibri"/>
          <w:snapToGrid/>
          <w:szCs w:val="24"/>
          <w:lang w:val="en-US" w:eastAsia="en-AU"/>
        </w:rPr>
        <w:t xml:space="preserve">Section 85, Authority </w:t>
      </w:r>
      <w:r w:rsidR="0094732A" w:rsidRPr="00986D60">
        <w:rPr>
          <w:rFonts w:cs="Calibri"/>
          <w:snapToGrid/>
          <w:szCs w:val="24"/>
          <w:lang w:val="en-US" w:eastAsia="en-AU"/>
        </w:rPr>
        <w:t>required</w:t>
      </w:r>
      <w:r w:rsidRPr="00986D60">
        <w:rPr>
          <w:rFonts w:cs="Calibri"/>
          <w:snapToGrid/>
          <w:szCs w:val="24"/>
          <w:lang w:val="en-US" w:eastAsia="en-AU"/>
        </w:rPr>
        <w:t xml:space="preserve"> (in writing) listing for sapropterin for the treatment of hyperphenylalaninaemia (HPA) caused by phenylketonuria (PKU) who have previously been shown to be sapropterin-responsive. The first submission (requesting listing for both PKU and BH4 deficiency) was considered at the November 2011 PBAC meeting.  </w:t>
      </w:r>
    </w:p>
    <w:p w:rsidR="006174FA" w:rsidRPr="00986D60" w:rsidRDefault="006174FA" w:rsidP="006D41D5">
      <w:pPr>
        <w:pStyle w:val="ListParagraph"/>
        <w:widowControl/>
        <w:numPr>
          <w:ilvl w:val="1"/>
          <w:numId w:val="14"/>
        </w:numPr>
        <w:ind w:left="709" w:hanging="709"/>
        <w:rPr>
          <w:rFonts w:cs="Calibri"/>
          <w:snapToGrid/>
          <w:szCs w:val="24"/>
          <w:lang w:val="en-US" w:eastAsia="en-AU"/>
        </w:rPr>
      </w:pPr>
      <w:r w:rsidRPr="00986D60">
        <w:rPr>
          <w:rFonts w:cs="Calibri"/>
          <w:snapToGrid/>
          <w:szCs w:val="24"/>
          <w:lang w:val="en-US" w:eastAsia="en-AU"/>
        </w:rPr>
        <w:t>The basis for the requested listing was a cost-utility analysis compared with a strict / relaxed / abandoned phenylalanine (Phe)-restricted diet and Phe-free supplements.</w:t>
      </w:r>
    </w:p>
    <w:p w:rsidR="00C30C5B" w:rsidRPr="00986D60" w:rsidRDefault="00C30C5B" w:rsidP="00DB17A3">
      <w:pPr>
        <w:keepNext/>
        <w:keepLines/>
        <w:rPr>
          <w:rStyle w:val="CommentReference"/>
        </w:rPr>
      </w:pPr>
      <w:r w:rsidRPr="00986D60">
        <w:rPr>
          <w:rStyle w:val="CommentReference"/>
        </w:rPr>
        <w:lastRenderedPageBreak/>
        <w:t>Table 1</w:t>
      </w:r>
      <w:r w:rsidR="00231EAD" w:rsidRPr="00986D60">
        <w:rPr>
          <w:rStyle w:val="CommentReference"/>
        </w:rPr>
        <w:t>:</w:t>
      </w:r>
      <w:r w:rsidRPr="00986D60">
        <w:rPr>
          <w:rStyle w:val="CommentReference"/>
        </w:rPr>
        <w:t xml:space="preserve"> Key components of the clinical issue addressed by the </w:t>
      </w:r>
      <w:r w:rsidR="00063220">
        <w:rPr>
          <w:rStyle w:val="CommentReference"/>
        </w:rPr>
        <w:t>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8135"/>
      </w:tblGrid>
      <w:tr w:rsidR="00C30C5B" w:rsidRPr="00986D60" w:rsidTr="003E4C83">
        <w:tc>
          <w:tcPr>
            <w:tcW w:w="1021" w:type="dxa"/>
            <w:vAlign w:val="center"/>
          </w:tcPr>
          <w:p w:rsidR="00C30C5B" w:rsidRPr="00986D60" w:rsidRDefault="00C30C5B" w:rsidP="00DB17A3">
            <w:pPr>
              <w:pStyle w:val="TableText0"/>
              <w:keepLines/>
              <w:spacing w:before="0" w:after="0"/>
              <w:rPr>
                <w:b/>
              </w:rPr>
            </w:pPr>
            <w:r w:rsidRPr="00986D60">
              <w:rPr>
                <w:b/>
              </w:rPr>
              <w:t>Component</w:t>
            </w:r>
          </w:p>
        </w:tc>
        <w:tc>
          <w:tcPr>
            <w:tcW w:w="8135" w:type="dxa"/>
            <w:vAlign w:val="center"/>
          </w:tcPr>
          <w:p w:rsidR="00C30C5B" w:rsidRPr="00986D60" w:rsidRDefault="00C30C5B" w:rsidP="00DB17A3">
            <w:pPr>
              <w:pStyle w:val="TableText0"/>
              <w:keepLines/>
              <w:spacing w:before="0" w:after="0"/>
              <w:jc w:val="center"/>
              <w:rPr>
                <w:b/>
              </w:rPr>
            </w:pPr>
            <w:r w:rsidRPr="00986D60">
              <w:rPr>
                <w:b/>
              </w:rPr>
              <w:t>Description</w:t>
            </w:r>
          </w:p>
        </w:tc>
      </w:tr>
      <w:tr w:rsidR="00C30C5B" w:rsidRPr="00986D60" w:rsidTr="003E4C83">
        <w:tc>
          <w:tcPr>
            <w:tcW w:w="1021" w:type="dxa"/>
            <w:vAlign w:val="center"/>
          </w:tcPr>
          <w:p w:rsidR="00C30C5B" w:rsidRPr="00986D60" w:rsidRDefault="00C30C5B" w:rsidP="00DB17A3">
            <w:pPr>
              <w:pStyle w:val="TableText0"/>
              <w:keepLines/>
              <w:spacing w:before="0" w:after="0"/>
            </w:pPr>
            <w:r w:rsidRPr="00986D60">
              <w:t>Population</w:t>
            </w:r>
          </w:p>
        </w:tc>
        <w:tc>
          <w:tcPr>
            <w:tcW w:w="8135" w:type="dxa"/>
            <w:vAlign w:val="center"/>
          </w:tcPr>
          <w:p w:rsidR="00C30C5B" w:rsidRPr="00986D60" w:rsidRDefault="00C30C5B" w:rsidP="00DB17A3">
            <w:pPr>
              <w:pStyle w:val="TableText0"/>
              <w:keepLines/>
              <w:spacing w:before="0" w:after="0"/>
            </w:pPr>
            <w:r w:rsidRPr="00986D60">
              <w:t xml:space="preserve">Patients with hyperphenylalaninemia (HPA) due to phenylketonuria (PKU) and who are sapropterin-responsive. The </w:t>
            </w:r>
            <w:r w:rsidR="00063220">
              <w:t>resubmission</w:t>
            </w:r>
            <w:r w:rsidRPr="00986D60">
              <w:t xml:space="preserve"> describe</w:t>
            </w:r>
            <w:r w:rsidR="003E4C83">
              <w:t>d</w:t>
            </w:r>
            <w:r w:rsidRPr="00986D60">
              <w:t xml:space="preserve"> two populations:</w:t>
            </w:r>
          </w:p>
          <w:p w:rsidR="00C30C5B" w:rsidRPr="00986D60" w:rsidRDefault="00C30C5B" w:rsidP="007A7ACD">
            <w:pPr>
              <w:pStyle w:val="TableText0"/>
              <w:keepLines/>
              <w:numPr>
                <w:ilvl w:val="0"/>
                <w:numId w:val="3"/>
              </w:numPr>
              <w:spacing w:before="0" w:after="0"/>
              <w:ind w:left="142" w:hanging="142"/>
            </w:pPr>
            <w:r w:rsidRPr="00986D60">
              <w:t>Those with poorly controlled phenylalanine (Phe) blood levels; and</w:t>
            </w:r>
          </w:p>
          <w:p w:rsidR="00C30C5B" w:rsidRPr="00986D60" w:rsidRDefault="00C30C5B" w:rsidP="007A7ACD">
            <w:pPr>
              <w:pStyle w:val="TableText0"/>
              <w:keepLines/>
              <w:numPr>
                <w:ilvl w:val="0"/>
                <w:numId w:val="3"/>
              </w:numPr>
              <w:spacing w:before="0" w:after="0"/>
              <w:ind w:left="142" w:hanging="142"/>
            </w:pPr>
            <w:r w:rsidRPr="00986D60">
              <w:t>Those with well controlled Phe blood levels.</w:t>
            </w:r>
          </w:p>
          <w:p w:rsidR="00C30C5B" w:rsidRPr="00986D60" w:rsidRDefault="00F84F98" w:rsidP="003E4C83">
            <w:pPr>
              <w:pStyle w:val="TableText0"/>
              <w:keepLines/>
              <w:spacing w:before="0" w:after="0"/>
            </w:pPr>
            <w:r w:rsidRPr="00986D60">
              <w:t>The</w:t>
            </w:r>
            <w:r w:rsidR="00AB3FA4">
              <w:t xml:space="preserve"> PBAC considered that the</w:t>
            </w:r>
            <w:r w:rsidRPr="00986D60">
              <w:t xml:space="preserve">se </w:t>
            </w:r>
            <w:r w:rsidR="00AB3FA4">
              <w:t>do</w:t>
            </w:r>
            <w:r w:rsidR="00AB3FA4" w:rsidRPr="00986D60">
              <w:t xml:space="preserve"> </w:t>
            </w:r>
            <w:r w:rsidRPr="00986D60">
              <w:t xml:space="preserve">not represent two distinct sub-populations </w:t>
            </w:r>
            <w:r w:rsidR="00231EAD" w:rsidRPr="00986D60">
              <w:t>as</w:t>
            </w:r>
            <w:r w:rsidRPr="00986D60">
              <w:t xml:space="preserve"> patients </w:t>
            </w:r>
            <w:r w:rsidR="003E4C83">
              <w:t xml:space="preserve">would </w:t>
            </w:r>
            <w:r w:rsidRPr="00986D60">
              <w:t xml:space="preserve">cycle between the two groups. </w:t>
            </w:r>
          </w:p>
        </w:tc>
      </w:tr>
      <w:tr w:rsidR="00C30C5B" w:rsidRPr="00986D60" w:rsidTr="003E4C83">
        <w:tc>
          <w:tcPr>
            <w:tcW w:w="1021" w:type="dxa"/>
            <w:vAlign w:val="center"/>
          </w:tcPr>
          <w:p w:rsidR="00C30C5B" w:rsidRPr="00986D60" w:rsidRDefault="00C30C5B" w:rsidP="00DB17A3">
            <w:pPr>
              <w:pStyle w:val="TableText0"/>
              <w:keepLines/>
              <w:spacing w:before="0" w:after="0"/>
            </w:pPr>
            <w:r w:rsidRPr="00986D60">
              <w:t>Intervention</w:t>
            </w:r>
          </w:p>
        </w:tc>
        <w:tc>
          <w:tcPr>
            <w:tcW w:w="8135" w:type="dxa"/>
            <w:vAlign w:val="center"/>
          </w:tcPr>
          <w:p w:rsidR="00C30C5B" w:rsidRPr="00986D60" w:rsidRDefault="00C30C5B" w:rsidP="00DB17A3">
            <w:pPr>
              <w:pStyle w:val="TableText0"/>
              <w:keepLines/>
              <w:spacing w:before="0" w:after="0"/>
            </w:pPr>
            <w:r w:rsidRPr="00986D60">
              <w:t>Based on the two described population</w:t>
            </w:r>
            <w:r w:rsidR="0085666D">
              <w:t>s, the nominated interventions we</w:t>
            </w:r>
            <w:r w:rsidRPr="00986D60">
              <w:t xml:space="preserve">re: </w:t>
            </w:r>
          </w:p>
          <w:tbl>
            <w:tblPr>
              <w:tblStyle w:val="TableGrid"/>
              <w:tblW w:w="0" w:type="auto"/>
              <w:tblLayout w:type="fixed"/>
              <w:tblCellMar>
                <w:left w:w="28" w:type="dxa"/>
                <w:right w:w="28" w:type="dxa"/>
              </w:tblCellMar>
              <w:tblLook w:val="04A0" w:firstRow="1" w:lastRow="0" w:firstColumn="1" w:lastColumn="0" w:noHBand="0" w:noVBand="1"/>
            </w:tblPr>
            <w:tblGrid>
              <w:gridCol w:w="2944"/>
              <w:gridCol w:w="4875"/>
            </w:tblGrid>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Poorly controlled Phe blood levels:</w:t>
                  </w:r>
                </w:p>
              </w:tc>
              <w:tc>
                <w:tcPr>
                  <w:tcW w:w="4875" w:type="dxa"/>
                  <w:vAlign w:val="center"/>
                </w:tcPr>
                <w:p w:rsidR="00C30C5B" w:rsidRPr="00986D60" w:rsidRDefault="00C30C5B" w:rsidP="00E95A5C">
                  <w:pPr>
                    <w:pStyle w:val="TableText0"/>
                    <w:keepLines/>
                    <w:spacing w:before="0" w:after="0"/>
                  </w:pPr>
                  <w:r w:rsidRPr="00986D60">
                    <w:t>Sapropterin 5-20</w:t>
                  </w:r>
                  <w:r w:rsidR="000214F7" w:rsidRPr="00986D60">
                    <w:t xml:space="preserve"> </w:t>
                  </w:r>
                  <w:r w:rsidRPr="00986D60">
                    <w:t>mg/kg</w:t>
                  </w:r>
                  <w:r w:rsidR="000214F7" w:rsidRPr="00986D60">
                    <w:t>/day</w:t>
                  </w:r>
                  <w:r w:rsidRPr="00986D60">
                    <w:t xml:space="preserve"> + usual Phe-restricted diet with Phe-free protein supplements (ie, </w:t>
                  </w:r>
                  <w:r w:rsidR="00E95A5C" w:rsidRPr="00986D60">
                    <w:t>an</w:t>
                  </w:r>
                  <w:r w:rsidRPr="00986D60">
                    <w:t xml:space="preserve"> abandoned or relaxed diet</w:t>
                  </w:r>
                  <w:r w:rsidR="00E95A5C" w:rsidRPr="00986D60">
                    <w:t>, rather than a strict diet).</w:t>
                  </w:r>
                </w:p>
              </w:tc>
            </w:tr>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Well controlled Phe blood levels:</w:t>
                  </w:r>
                </w:p>
              </w:tc>
              <w:tc>
                <w:tcPr>
                  <w:tcW w:w="4875" w:type="dxa"/>
                  <w:vAlign w:val="center"/>
                </w:tcPr>
                <w:p w:rsidR="00C30C5B" w:rsidRPr="00986D60" w:rsidRDefault="00C30C5B" w:rsidP="00DB17A3">
                  <w:pPr>
                    <w:pStyle w:val="TableText0"/>
                    <w:keepLines/>
                    <w:spacing w:before="0" w:after="0"/>
                  </w:pPr>
                  <w:r w:rsidRPr="00986D60">
                    <w:t>Sapropterin 5-20</w:t>
                  </w:r>
                  <w:r w:rsidR="000214F7" w:rsidRPr="00986D60">
                    <w:t xml:space="preserve"> </w:t>
                  </w:r>
                  <w:r w:rsidRPr="00986D60">
                    <w:t>mg/kg</w:t>
                  </w:r>
                  <w:r w:rsidR="000214F7" w:rsidRPr="00986D60">
                    <w:t>/day</w:t>
                  </w:r>
                  <w:r w:rsidRPr="00986D60">
                    <w:t xml:space="preserve"> + Phe-restricted diet with Phe-free protein supplements (ie, a strict diet)</w:t>
                  </w:r>
                </w:p>
              </w:tc>
            </w:tr>
          </w:tbl>
          <w:p w:rsidR="00C30C5B" w:rsidRPr="00986D60" w:rsidRDefault="00C30C5B" w:rsidP="00DB17A3">
            <w:pPr>
              <w:pStyle w:val="TableText0"/>
              <w:keepLines/>
              <w:spacing w:before="0" w:after="0"/>
            </w:pPr>
          </w:p>
        </w:tc>
      </w:tr>
      <w:tr w:rsidR="00C30C5B" w:rsidRPr="00986D60" w:rsidTr="003E4C83">
        <w:trPr>
          <w:trHeight w:val="1223"/>
        </w:trPr>
        <w:tc>
          <w:tcPr>
            <w:tcW w:w="1021" w:type="dxa"/>
            <w:vAlign w:val="center"/>
          </w:tcPr>
          <w:p w:rsidR="00C30C5B" w:rsidRPr="00986D60" w:rsidRDefault="00C30C5B" w:rsidP="00DB17A3">
            <w:pPr>
              <w:pStyle w:val="TableText0"/>
              <w:keepLines/>
              <w:spacing w:before="0" w:after="0"/>
            </w:pPr>
            <w:r w:rsidRPr="00986D60">
              <w:t>Comparator</w:t>
            </w:r>
          </w:p>
        </w:tc>
        <w:tc>
          <w:tcPr>
            <w:tcW w:w="8135" w:type="dxa"/>
            <w:vAlign w:val="center"/>
          </w:tcPr>
          <w:p w:rsidR="00C30C5B" w:rsidRPr="00986D60" w:rsidRDefault="00C30C5B" w:rsidP="00DB17A3">
            <w:pPr>
              <w:pStyle w:val="TableText0"/>
              <w:keepLines/>
              <w:spacing w:before="0" w:after="0"/>
            </w:pPr>
            <w:r w:rsidRPr="00986D60">
              <w:t>Based on the two described populati</w:t>
            </w:r>
            <w:r w:rsidR="0085666D">
              <w:t>ons, the nominated comparators we</w:t>
            </w:r>
            <w:r w:rsidRPr="00986D60">
              <w:t xml:space="preserve">re: </w:t>
            </w:r>
          </w:p>
          <w:tbl>
            <w:tblPr>
              <w:tblStyle w:val="TableGrid"/>
              <w:tblW w:w="0" w:type="auto"/>
              <w:tblLayout w:type="fixed"/>
              <w:tblCellMar>
                <w:left w:w="28" w:type="dxa"/>
                <w:right w:w="28" w:type="dxa"/>
              </w:tblCellMar>
              <w:tblLook w:val="04A0" w:firstRow="1" w:lastRow="0" w:firstColumn="1" w:lastColumn="0" w:noHBand="0" w:noVBand="1"/>
            </w:tblPr>
            <w:tblGrid>
              <w:gridCol w:w="2944"/>
              <w:gridCol w:w="4875"/>
            </w:tblGrid>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Poorly controlled Phe blood levels:</w:t>
                  </w:r>
                </w:p>
              </w:tc>
              <w:tc>
                <w:tcPr>
                  <w:tcW w:w="4875" w:type="dxa"/>
                  <w:vAlign w:val="center"/>
                </w:tcPr>
                <w:p w:rsidR="00C30C5B" w:rsidRPr="00986D60" w:rsidRDefault="00C30C5B" w:rsidP="00A22465">
                  <w:pPr>
                    <w:pStyle w:val="TableText0"/>
                    <w:keepLines/>
                    <w:spacing w:before="0" w:after="0"/>
                  </w:pPr>
                  <w:r w:rsidRPr="00986D60">
                    <w:t xml:space="preserve">Placebo (PBO) + their usual Phe-restricted diet with Phe-free protein supplements (ie, </w:t>
                  </w:r>
                  <w:r w:rsidR="00A22465">
                    <w:t>a relaxed</w:t>
                  </w:r>
                  <w:r w:rsidRPr="00986D60">
                    <w:t xml:space="preserve"> diet)</w:t>
                  </w:r>
                </w:p>
              </w:tc>
            </w:tr>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Well controlled Phe blood levels:</w:t>
                  </w:r>
                </w:p>
              </w:tc>
              <w:tc>
                <w:tcPr>
                  <w:tcW w:w="4875" w:type="dxa"/>
                  <w:vAlign w:val="center"/>
                </w:tcPr>
                <w:p w:rsidR="00C30C5B" w:rsidRPr="00986D60" w:rsidRDefault="00C30C5B" w:rsidP="00DB17A3">
                  <w:pPr>
                    <w:pStyle w:val="TableText0"/>
                    <w:keepLines/>
                    <w:spacing w:before="0" w:after="0"/>
                  </w:pPr>
                  <w:r w:rsidRPr="00986D60">
                    <w:t>Phe-restricted diet with Phe-free protein supplements (ie, a strict diet)</w:t>
                  </w:r>
                </w:p>
              </w:tc>
            </w:tr>
          </w:tbl>
          <w:p w:rsidR="00C30C5B" w:rsidRPr="00986D60" w:rsidRDefault="00C30C5B" w:rsidP="0085666D">
            <w:pPr>
              <w:pStyle w:val="TableText0"/>
              <w:keepLines/>
              <w:spacing w:before="0" w:after="0"/>
            </w:pPr>
          </w:p>
        </w:tc>
      </w:tr>
      <w:tr w:rsidR="00C30C5B" w:rsidRPr="00986D60" w:rsidTr="003E4C83">
        <w:tc>
          <w:tcPr>
            <w:tcW w:w="1021" w:type="dxa"/>
            <w:vAlign w:val="center"/>
          </w:tcPr>
          <w:p w:rsidR="00C30C5B" w:rsidRPr="00986D60" w:rsidRDefault="00C30C5B" w:rsidP="00DB17A3">
            <w:pPr>
              <w:pStyle w:val="TableText0"/>
              <w:keepLines/>
              <w:spacing w:before="0" w:after="0"/>
            </w:pPr>
            <w:r w:rsidRPr="00986D60">
              <w:t>Outcomes</w:t>
            </w:r>
          </w:p>
        </w:tc>
        <w:tc>
          <w:tcPr>
            <w:tcW w:w="8135" w:type="dxa"/>
            <w:vAlign w:val="center"/>
          </w:tcPr>
          <w:p w:rsidR="00C30C5B" w:rsidRPr="00986D60" w:rsidRDefault="00C30C5B" w:rsidP="00DB17A3">
            <w:pPr>
              <w:pStyle w:val="TableText0"/>
              <w:keepLines/>
              <w:spacing w:before="0" w:after="0"/>
            </w:pPr>
            <w:r w:rsidRPr="00986D60">
              <w:t xml:space="preserve">Based on the two described populations, the nominated outcomes </w:t>
            </w:r>
            <w:r w:rsidR="0085666D">
              <w:t>we</w:t>
            </w:r>
            <w:r w:rsidRPr="00986D60">
              <w:t xml:space="preserve">re: </w:t>
            </w:r>
          </w:p>
          <w:tbl>
            <w:tblPr>
              <w:tblStyle w:val="TableGrid"/>
              <w:tblW w:w="0" w:type="auto"/>
              <w:tblLayout w:type="fixed"/>
              <w:tblCellMar>
                <w:left w:w="28" w:type="dxa"/>
                <w:right w:w="28" w:type="dxa"/>
              </w:tblCellMar>
              <w:tblLook w:val="04A0" w:firstRow="1" w:lastRow="0" w:firstColumn="1" w:lastColumn="0" w:noHBand="0" w:noVBand="1"/>
            </w:tblPr>
            <w:tblGrid>
              <w:gridCol w:w="2944"/>
              <w:gridCol w:w="4875"/>
            </w:tblGrid>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Poorly controlled Phe blood levels:</w:t>
                  </w:r>
                </w:p>
              </w:tc>
              <w:tc>
                <w:tcPr>
                  <w:tcW w:w="4875" w:type="dxa"/>
                  <w:vAlign w:val="center"/>
                </w:tcPr>
                <w:p w:rsidR="00C30C5B" w:rsidRPr="00986D60" w:rsidRDefault="00C30C5B" w:rsidP="00DB17A3">
                  <w:pPr>
                    <w:pStyle w:val="TableText0"/>
                    <w:keepLines/>
                    <w:spacing w:before="0" w:after="0"/>
                  </w:pPr>
                  <w:r w:rsidRPr="00986D60">
                    <w:t>Change in blood Phe levels</w:t>
                  </w:r>
                </w:p>
              </w:tc>
            </w:tr>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Well controlled Phe blood levels:</w:t>
                  </w:r>
                </w:p>
              </w:tc>
              <w:tc>
                <w:tcPr>
                  <w:tcW w:w="4875" w:type="dxa"/>
                  <w:vAlign w:val="center"/>
                </w:tcPr>
                <w:p w:rsidR="00C30C5B" w:rsidRPr="00986D60" w:rsidRDefault="00C30C5B" w:rsidP="00DB17A3">
                  <w:pPr>
                    <w:pStyle w:val="TableText0"/>
                    <w:keepLines/>
                    <w:spacing w:before="0" w:after="0"/>
                  </w:pPr>
                  <w:r w:rsidRPr="00986D60">
                    <w:t>Change in dietary restrictions (Phe-intake and Phe-supplements)</w:t>
                  </w:r>
                </w:p>
              </w:tc>
            </w:tr>
          </w:tbl>
          <w:p w:rsidR="00C30C5B" w:rsidRPr="00986D60" w:rsidRDefault="00C30C5B" w:rsidP="003E4C83">
            <w:pPr>
              <w:pStyle w:val="TableText0"/>
              <w:keepLines/>
              <w:spacing w:before="0" w:after="0"/>
            </w:pPr>
            <w:r w:rsidRPr="00AB3FA4">
              <w:t>The</w:t>
            </w:r>
            <w:r w:rsidR="0085666D" w:rsidRPr="00AB3FA4">
              <w:t xml:space="preserve"> </w:t>
            </w:r>
            <w:r w:rsidR="00AB3FA4" w:rsidRPr="00AB3FA4">
              <w:t xml:space="preserve">PBAC </w:t>
            </w:r>
            <w:r w:rsidR="0085666D" w:rsidRPr="00AB3FA4">
              <w:t>considered that there we</w:t>
            </w:r>
            <w:r w:rsidRPr="00AB3FA4">
              <w:t>re issue</w:t>
            </w:r>
            <w:r w:rsidR="00CA6A79" w:rsidRPr="00AB3FA4">
              <w:t>s</w:t>
            </w:r>
            <w:r w:rsidRPr="00AB3FA4">
              <w:t xml:space="preserve"> with the nominated </w:t>
            </w:r>
            <w:r w:rsidR="00AB3FA4" w:rsidRPr="00AB3FA4">
              <w:t xml:space="preserve">comparators and </w:t>
            </w:r>
            <w:r w:rsidRPr="00AB3FA4">
              <w:t>outcomes</w:t>
            </w:r>
            <w:r w:rsidR="00AB3FA4" w:rsidRPr="00AB3FA4">
              <w:t xml:space="preserve"> as they were based on </w:t>
            </w:r>
            <w:r w:rsidR="003E4C83">
              <w:t>sub-</w:t>
            </w:r>
            <w:r w:rsidRPr="00AB3FA4">
              <w:t>populations</w:t>
            </w:r>
            <w:r w:rsidR="003E4C83">
              <w:t xml:space="preserve"> that did not reflect the Australian population</w:t>
            </w:r>
            <w:r w:rsidRPr="00AB3FA4">
              <w:t>.</w:t>
            </w:r>
          </w:p>
        </w:tc>
      </w:tr>
      <w:tr w:rsidR="00C30C5B" w:rsidRPr="00986D60" w:rsidTr="003E4C83">
        <w:tc>
          <w:tcPr>
            <w:tcW w:w="1021" w:type="dxa"/>
            <w:vAlign w:val="center"/>
          </w:tcPr>
          <w:p w:rsidR="00C30C5B" w:rsidRPr="00986D60" w:rsidRDefault="00C30C5B" w:rsidP="00DB17A3">
            <w:pPr>
              <w:pStyle w:val="TableText0"/>
              <w:keepLines/>
              <w:spacing w:before="0" w:after="0"/>
            </w:pPr>
            <w:r w:rsidRPr="00986D60">
              <w:t>Clinical claim</w:t>
            </w:r>
          </w:p>
        </w:tc>
        <w:tc>
          <w:tcPr>
            <w:tcW w:w="8135" w:type="dxa"/>
            <w:vAlign w:val="center"/>
          </w:tcPr>
          <w:p w:rsidR="00C30C5B" w:rsidRPr="00986D60" w:rsidRDefault="00C30C5B" w:rsidP="00DB17A3">
            <w:pPr>
              <w:pStyle w:val="TableText0"/>
              <w:keepLines/>
              <w:spacing w:before="0" w:after="0"/>
              <w:rPr>
                <w:rFonts w:eastAsia="Times New Roman" w:cs="Times New Roman"/>
              </w:rPr>
            </w:pPr>
            <w:r w:rsidRPr="00986D60">
              <w:rPr>
                <w:rFonts w:eastAsia="Times New Roman" w:cs="Times New Roman"/>
              </w:rPr>
              <w:t xml:space="preserve">Based on the two described populations, the clinical claims </w:t>
            </w:r>
            <w:r w:rsidR="00231EAD" w:rsidRPr="00986D60">
              <w:rPr>
                <w:rFonts w:eastAsia="Times New Roman" w:cs="Times New Roman"/>
              </w:rPr>
              <w:t xml:space="preserve">made by the </w:t>
            </w:r>
            <w:r w:rsidR="00063220">
              <w:rPr>
                <w:rFonts w:eastAsia="Times New Roman" w:cs="Times New Roman"/>
              </w:rPr>
              <w:t>resubmission</w:t>
            </w:r>
            <w:r w:rsidR="00231EAD" w:rsidRPr="00986D60">
              <w:rPr>
                <w:rFonts w:eastAsia="Times New Roman" w:cs="Times New Roman"/>
              </w:rPr>
              <w:t xml:space="preserve"> we</w:t>
            </w:r>
            <w:r w:rsidRPr="00986D60">
              <w:rPr>
                <w:rFonts w:eastAsia="Times New Roman" w:cs="Times New Roman"/>
              </w:rPr>
              <w:t>re:</w:t>
            </w:r>
          </w:p>
          <w:tbl>
            <w:tblPr>
              <w:tblStyle w:val="TableGrid"/>
              <w:tblW w:w="0" w:type="auto"/>
              <w:tblLayout w:type="fixed"/>
              <w:tblCellMar>
                <w:left w:w="28" w:type="dxa"/>
                <w:right w:w="28" w:type="dxa"/>
              </w:tblCellMar>
              <w:tblLook w:val="04A0" w:firstRow="1" w:lastRow="0" w:firstColumn="1" w:lastColumn="0" w:noHBand="0" w:noVBand="1"/>
            </w:tblPr>
            <w:tblGrid>
              <w:gridCol w:w="2944"/>
              <w:gridCol w:w="4875"/>
            </w:tblGrid>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Poorly controlled Phe blood levels</w:t>
                  </w:r>
                </w:p>
              </w:tc>
              <w:tc>
                <w:tcPr>
                  <w:tcW w:w="4875" w:type="dxa"/>
                  <w:vAlign w:val="center"/>
                </w:tcPr>
                <w:p w:rsidR="00C30C5B" w:rsidRPr="00986D60" w:rsidRDefault="00C30C5B" w:rsidP="00DB17A3">
                  <w:pPr>
                    <w:pStyle w:val="TableText0"/>
                    <w:keepLines/>
                    <w:spacing w:before="0" w:after="0"/>
                  </w:pPr>
                  <w:r w:rsidRPr="00986D60">
                    <w:t>Sapropterin in combination with the usual Phe-restricted diet is superior in terms of reducing blood Phe levels than placebo plus the usual Phe-restricted diet alone</w:t>
                  </w:r>
                </w:p>
              </w:tc>
            </w:tr>
            <w:tr w:rsidR="00C30C5B" w:rsidRPr="00986D60" w:rsidTr="00002455">
              <w:tc>
                <w:tcPr>
                  <w:tcW w:w="2944" w:type="dxa"/>
                  <w:vAlign w:val="center"/>
                </w:tcPr>
                <w:p w:rsidR="00C30C5B" w:rsidRPr="00986D60" w:rsidRDefault="00C30C5B" w:rsidP="00DB17A3">
                  <w:pPr>
                    <w:pStyle w:val="TableText0"/>
                    <w:keepLines/>
                    <w:spacing w:before="0" w:after="0"/>
                    <w:rPr>
                      <w:b/>
                    </w:rPr>
                  </w:pPr>
                  <w:r w:rsidRPr="00986D60">
                    <w:rPr>
                      <w:b/>
                    </w:rPr>
                    <w:t>Well controlled Phe blood levels</w:t>
                  </w:r>
                </w:p>
              </w:tc>
              <w:tc>
                <w:tcPr>
                  <w:tcW w:w="4875" w:type="dxa"/>
                  <w:vAlign w:val="center"/>
                </w:tcPr>
                <w:p w:rsidR="00C30C5B" w:rsidRPr="00986D60" w:rsidRDefault="00C30C5B" w:rsidP="00DB17A3">
                  <w:pPr>
                    <w:pStyle w:val="TableText0"/>
                    <w:keepLines/>
                    <w:spacing w:before="0" w:after="0"/>
                  </w:pPr>
                  <w:r w:rsidRPr="00986D60">
                    <w:t>Sapropterin in combination with a Phe-restricted diet is superior in terms of increasing dietary Phe intake compared with a strict Phe-restricted diet</w:t>
                  </w:r>
                </w:p>
              </w:tc>
            </w:tr>
          </w:tbl>
          <w:p w:rsidR="00C30C5B" w:rsidRPr="00986D60" w:rsidRDefault="00C30C5B" w:rsidP="00DB17A3">
            <w:pPr>
              <w:pStyle w:val="TableText0"/>
              <w:keepLines/>
              <w:spacing w:before="0" w:after="0"/>
            </w:pPr>
          </w:p>
        </w:tc>
      </w:tr>
    </w:tbl>
    <w:p w:rsidR="004E43B2" w:rsidRPr="00986D60" w:rsidRDefault="00C30C5B" w:rsidP="00DB17A3">
      <w:pPr>
        <w:pStyle w:val="TableFooter"/>
        <w:spacing w:after="120"/>
      </w:pPr>
      <w:r w:rsidRPr="00986D60">
        <w:t xml:space="preserve">Source: Table 1-1, p21 of the </w:t>
      </w:r>
      <w:r w:rsidR="00063220">
        <w:t>resubmission</w:t>
      </w:r>
      <w:r w:rsidRPr="00986D60">
        <w:t xml:space="preserve"> and Sections 1 and 2 of the </w:t>
      </w:r>
      <w:r w:rsidR="00063220">
        <w:t>resubmission</w:t>
      </w:r>
      <w:r w:rsidRPr="00986D60">
        <w:t>.</w:t>
      </w:r>
    </w:p>
    <w:p w:rsidR="00B60939" w:rsidRPr="00986D60" w:rsidRDefault="00B50DB8" w:rsidP="009B48AE">
      <w:pPr>
        <w:pStyle w:val="PBACHeading1"/>
        <w:spacing w:after="120"/>
      </w:pPr>
      <w:bookmarkStart w:id="1" w:name="_Toc503291163"/>
      <w:r w:rsidRPr="00986D60">
        <w:t>Requested listing</w:t>
      </w:r>
      <w:bookmarkEnd w:id="1"/>
    </w:p>
    <w:p w:rsidR="00DB17A3" w:rsidRPr="009B48AE" w:rsidRDefault="00DB17A3" w:rsidP="009B48AE">
      <w:pPr>
        <w:pStyle w:val="ListParagraph"/>
        <w:widowControl/>
        <w:numPr>
          <w:ilvl w:val="1"/>
          <w:numId w:val="36"/>
        </w:numPr>
        <w:ind w:left="709" w:hanging="709"/>
        <w:rPr>
          <w:rFonts w:cs="Calibri"/>
          <w:snapToGrid/>
          <w:szCs w:val="24"/>
          <w:lang w:val="en-US" w:eastAsia="en-AU"/>
        </w:rPr>
      </w:pPr>
      <w:r w:rsidRPr="009B48AE">
        <w:rPr>
          <w:rFonts w:cs="Calibri"/>
          <w:snapToGrid/>
          <w:szCs w:val="24"/>
          <w:lang w:val="en-US" w:eastAsia="en-AU"/>
        </w:rPr>
        <w:t xml:space="preserve">The </w:t>
      </w:r>
      <w:r w:rsidR="00063220">
        <w:rPr>
          <w:rFonts w:cs="Calibri"/>
          <w:snapToGrid/>
          <w:szCs w:val="24"/>
          <w:lang w:val="en-US" w:eastAsia="en-AU"/>
        </w:rPr>
        <w:t>resubmission</w:t>
      </w:r>
      <w:r w:rsidRPr="009B48AE">
        <w:rPr>
          <w:rFonts w:cs="Calibri"/>
          <w:snapToGrid/>
          <w:szCs w:val="24"/>
          <w:lang w:val="en-US" w:eastAsia="en-AU"/>
        </w:rPr>
        <w:t xml:space="preserve"> requested PBS-listing </w:t>
      </w:r>
      <w:r w:rsidR="00B02E2D" w:rsidRPr="009B48AE">
        <w:rPr>
          <w:rFonts w:cs="Calibri"/>
          <w:snapToGrid/>
          <w:szCs w:val="24"/>
          <w:lang w:val="en-US" w:eastAsia="en-AU"/>
        </w:rPr>
        <w:t>for the treatment of</w:t>
      </w:r>
      <w:r w:rsidRPr="009B48AE">
        <w:rPr>
          <w:rFonts w:cs="Calibri"/>
          <w:snapToGrid/>
          <w:szCs w:val="24"/>
          <w:lang w:val="en-US" w:eastAsia="en-AU"/>
        </w:rPr>
        <w:t xml:space="preserve"> all sapropterin responsive patients, irrespective of age or phenylalanine (Phe) blood levels. This differed to the previous submission which specified different qualifying Phe levels </w:t>
      </w:r>
      <w:r w:rsidR="00946743" w:rsidRPr="009B48AE">
        <w:rPr>
          <w:rFonts w:cs="Calibri"/>
          <w:snapToGrid/>
          <w:szCs w:val="24"/>
          <w:lang w:val="en-US" w:eastAsia="en-AU"/>
        </w:rPr>
        <w:t>for different</w:t>
      </w:r>
      <w:r w:rsidRPr="009B48AE">
        <w:rPr>
          <w:rFonts w:cs="Calibri"/>
          <w:snapToGrid/>
          <w:szCs w:val="24"/>
          <w:lang w:val="en-US" w:eastAsia="en-AU"/>
        </w:rPr>
        <w:t xml:space="preserve"> age group</w:t>
      </w:r>
      <w:r w:rsidR="00946743" w:rsidRPr="009B48AE">
        <w:rPr>
          <w:rFonts w:cs="Calibri"/>
          <w:snapToGrid/>
          <w:szCs w:val="24"/>
          <w:lang w:val="en-US" w:eastAsia="en-AU"/>
        </w:rPr>
        <w:t>s</w:t>
      </w:r>
      <w:r w:rsidRPr="009B48AE">
        <w:rPr>
          <w:rFonts w:cs="Calibri"/>
          <w:snapToGrid/>
          <w:szCs w:val="24"/>
          <w:lang w:val="en-US" w:eastAsia="en-AU"/>
        </w:rPr>
        <w:t xml:space="preserve">. The November 2011 PBAC had </w:t>
      </w:r>
      <w:r w:rsidR="00946743" w:rsidRPr="009B48AE">
        <w:rPr>
          <w:rFonts w:cs="Calibri"/>
          <w:snapToGrid/>
          <w:szCs w:val="24"/>
          <w:lang w:val="en-US" w:eastAsia="en-AU"/>
        </w:rPr>
        <w:t xml:space="preserve">stated that it was </w:t>
      </w:r>
      <w:r w:rsidRPr="009B48AE">
        <w:rPr>
          <w:rFonts w:cs="Calibri"/>
          <w:snapToGrid/>
          <w:szCs w:val="24"/>
          <w:lang w:val="en-US" w:eastAsia="en-AU"/>
        </w:rPr>
        <w:t xml:space="preserve">unclear whether these were clinically appropriate and how they would relate to clinical practice.  </w:t>
      </w:r>
    </w:p>
    <w:p w:rsidR="00EB7873" w:rsidRPr="00986D60" w:rsidRDefault="00AE4831" w:rsidP="009B48AE">
      <w:pPr>
        <w:pStyle w:val="ListParagraph"/>
        <w:widowControl/>
        <w:numPr>
          <w:ilvl w:val="1"/>
          <w:numId w:val="36"/>
        </w:numPr>
        <w:ind w:left="709" w:hanging="709"/>
      </w:pPr>
      <w:r w:rsidRPr="00986D60">
        <w:rPr>
          <w:rFonts w:cs="Calibri"/>
          <w:snapToGrid/>
          <w:szCs w:val="24"/>
          <w:lang w:val="en-US" w:eastAsia="en-AU"/>
        </w:rPr>
        <w:t>The</w:t>
      </w:r>
      <w:r w:rsidRPr="00986D60">
        <w:t xml:space="preserve"> </w:t>
      </w:r>
      <w:r w:rsidR="00063220">
        <w:t>resubmission</w:t>
      </w:r>
      <w:r w:rsidRPr="00986D60">
        <w:t xml:space="preserve"> had proposed a continuing restriction only. T</w:t>
      </w:r>
      <w:r w:rsidR="00D0011F" w:rsidRPr="00986D60">
        <w:t>o address concerns raised in the commentary, t</w:t>
      </w:r>
      <w:r w:rsidRPr="00986D60">
        <w:t xml:space="preserve">he </w:t>
      </w:r>
      <w:r w:rsidR="00D0011F" w:rsidRPr="00986D60">
        <w:t>Pre-Sub-Committee Response (</w:t>
      </w:r>
      <w:r w:rsidRPr="00986D60">
        <w:t>PSCR</w:t>
      </w:r>
      <w:r w:rsidR="00D0011F" w:rsidRPr="00986D60">
        <w:t>)</w:t>
      </w:r>
      <w:r w:rsidRPr="00986D60">
        <w:t xml:space="preserve"> </w:t>
      </w:r>
      <w:r w:rsidR="001C6D45" w:rsidRPr="00986D60">
        <w:t xml:space="preserve">also </w:t>
      </w:r>
      <w:r w:rsidRPr="00986D60">
        <w:t xml:space="preserve">proposed an initial restriction, which is </w:t>
      </w:r>
      <w:r w:rsidR="003E4C83">
        <w:t xml:space="preserve">also </w:t>
      </w:r>
      <w:r w:rsidRPr="00986D60">
        <w:t xml:space="preserve">outlined below. </w:t>
      </w:r>
    </w:p>
    <w:p w:rsidR="00C30C5B" w:rsidRPr="00986D60" w:rsidRDefault="00C30C5B" w:rsidP="00002455">
      <w:pPr>
        <w:keepNext/>
        <w:keepLines/>
      </w:pPr>
      <w:r w:rsidRPr="00986D60">
        <w:rPr>
          <w:rStyle w:val="CommentReference"/>
        </w:rPr>
        <w:lastRenderedPageBreak/>
        <w:t>Table 2: Key elements of the requested listing</w:t>
      </w:r>
      <w:r w:rsidR="00AE4831" w:rsidRPr="00986D60">
        <w:rPr>
          <w:rStyle w:val="CommentReference"/>
        </w:rPr>
        <w:t xml:space="preserve"> – initial (as proposed in PSCR)</w:t>
      </w:r>
    </w:p>
    <w:tbl>
      <w:tblPr>
        <w:tblW w:w="4984" w:type="pct"/>
        <w:tblInd w:w="28" w:type="dxa"/>
        <w:tblCellMar>
          <w:left w:w="28" w:type="dxa"/>
          <w:right w:w="28" w:type="dxa"/>
        </w:tblCellMar>
        <w:tblLook w:val="0000" w:firstRow="0" w:lastRow="0" w:firstColumn="0" w:lastColumn="0" w:noHBand="0" w:noVBand="0"/>
      </w:tblPr>
      <w:tblGrid>
        <w:gridCol w:w="1902"/>
        <w:gridCol w:w="941"/>
        <w:gridCol w:w="704"/>
        <w:gridCol w:w="858"/>
        <w:gridCol w:w="849"/>
        <w:gridCol w:w="1421"/>
        <w:gridCol w:w="2379"/>
      </w:tblGrid>
      <w:tr w:rsidR="00F04EC0" w:rsidRPr="00986D60" w:rsidTr="0099589E">
        <w:trPr>
          <w:cantSplit/>
          <w:trHeight w:val="463"/>
        </w:trPr>
        <w:tc>
          <w:tcPr>
            <w:tcW w:w="1569" w:type="pct"/>
            <w:gridSpan w:val="2"/>
            <w:tcBorders>
              <w:top w:val="single" w:sz="4" w:space="0" w:color="auto"/>
              <w:bottom w:val="single" w:sz="4" w:space="0" w:color="auto"/>
            </w:tcBorders>
            <w:vAlign w:val="center"/>
          </w:tcPr>
          <w:p w:rsidR="00C30C5B" w:rsidRPr="00986D60" w:rsidRDefault="00C30C5B" w:rsidP="00002455">
            <w:pPr>
              <w:keepNext/>
              <w:keepLines/>
              <w:jc w:val="left"/>
              <w:rPr>
                <w:rFonts w:ascii="Arial Narrow" w:hAnsi="Arial Narrow"/>
                <w:b/>
                <w:sz w:val="20"/>
              </w:rPr>
            </w:pPr>
            <w:r w:rsidRPr="00986D60">
              <w:rPr>
                <w:rFonts w:ascii="Arial Narrow" w:hAnsi="Arial Narrow"/>
                <w:b/>
                <w:sz w:val="20"/>
              </w:rPr>
              <w:t>Name, Restriction,</w:t>
            </w:r>
          </w:p>
          <w:p w:rsidR="00C30C5B" w:rsidRPr="00986D60" w:rsidRDefault="00C30C5B" w:rsidP="00002455">
            <w:pPr>
              <w:keepNext/>
              <w:keepLines/>
              <w:jc w:val="left"/>
              <w:rPr>
                <w:rFonts w:ascii="Arial Narrow" w:hAnsi="Arial Narrow"/>
                <w:b/>
                <w:sz w:val="20"/>
              </w:rPr>
            </w:pPr>
            <w:r w:rsidRPr="00986D60">
              <w:rPr>
                <w:rFonts w:ascii="Arial Narrow" w:hAnsi="Arial Narrow"/>
                <w:b/>
                <w:sz w:val="20"/>
              </w:rPr>
              <w:t>Manner of administration and form</w:t>
            </w:r>
          </w:p>
        </w:tc>
        <w:tc>
          <w:tcPr>
            <w:tcW w:w="389" w:type="pct"/>
            <w:tcBorders>
              <w:top w:val="single" w:sz="4" w:space="0" w:color="auto"/>
              <w:bottom w:val="single" w:sz="4" w:space="0" w:color="auto"/>
            </w:tcBorders>
          </w:tcPr>
          <w:p w:rsidR="00C30C5B" w:rsidRPr="00986D60" w:rsidRDefault="00C30C5B" w:rsidP="00002455">
            <w:pPr>
              <w:keepNext/>
              <w:keepLines/>
              <w:jc w:val="center"/>
              <w:rPr>
                <w:rFonts w:ascii="Arial Narrow" w:hAnsi="Arial Narrow"/>
                <w:b/>
                <w:sz w:val="20"/>
              </w:rPr>
            </w:pPr>
            <w:r w:rsidRPr="00986D60">
              <w:rPr>
                <w:rFonts w:ascii="Arial Narrow" w:hAnsi="Arial Narrow"/>
                <w:b/>
                <w:sz w:val="20"/>
              </w:rPr>
              <w:t>Max Qty (packs)</w:t>
            </w:r>
          </w:p>
        </w:tc>
        <w:tc>
          <w:tcPr>
            <w:tcW w:w="474" w:type="pct"/>
            <w:tcBorders>
              <w:top w:val="single" w:sz="4" w:space="0" w:color="auto"/>
              <w:bottom w:val="single" w:sz="4" w:space="0" w:color="auto"/>
            </w:tcBorders>
            <w:vAlign w:val="center"/>
          </w:tcPr>
          <w:p w:rsidR="00C30C5B" w:rsidRPr="00986D60" w:rsidRDefault="00C30C5B" w:rsidP="00002455">
            <w:pPr>
              <w:keepNext/>
              <w:keepLines/>
              <w:jc w:val="center"/>
              <w:rPr>
                <w:rFonts w:ascii="Arial Narrow" w:hAnsi="Arial Narrow"/>
                <w:b/>
                <w:sz w:val="20"/>
              </w:rPr>
            </w:pPr>
            <w:r w:rsidRPr="00986D60">
              <w:rPr>
                <w:rFonts w:ascii="Arial Narrow" w:hAnsi="Arial Narrow"/>
                <w:b/>
                <w:sz w:val="20"/>
              </w:rPr>
              <w:t>Max.</w:t>
            </w:r>
          </w:p>
          <w:p w:rsidR="00C30C5B" w:rsidRPr="00986D60" w:rsidRDefault="00C30C5B" w:rsidP="00002455">
            <w:pPr>
              <w:keepNext/>
              <w:keepLines/>
              <w:jc w:val="center"/>
              <w:rPr>
                <w:rFonts w:ascii="Arial Narrow" w:hAnsi="Arial Narrow"/>
                <w:b/>
                <w:sz w:val="20"/>
              </w:rPr>
            </w:pPr>
            <w:r w:rsidRPr="00986D60">
              <w:rPr>
                <w:rFonts w:ascii="Arial Narrow" w:hAnsi="Arial Narrow"/>
                <w:b/>
                <w:sz w:val="20"/>
              </w:rPr>
              <w:t>Qty (unit)</w:t>
            </w:r>
          </w:p>
        </w:tc>
        <w:tc>
          <w:tcPr>
            <w:tcW w:w="469" w:type="pct"/>
            <w:tcBorders>
              <w:top w:val="single" w:sz="4" w:space="0" w:color="auto"/>
              <w:bottom w:val="single" w:sz="4" w:space="0" w:color="auto"/>
            </w:tcBorders>
            <w:vAlign w:val="center"/>
          </w:tcPr>
          <w:p w:rsidR="00C30C5B" w:rsidRPr="00986D60" w:rsidRDefault="00C30C5B" w:rsidP="00002455">
            <w:pPr>
              <w:keepNext/>
              <w:keepLines/>
              <w:jc w:val="center"/>
              <w:rPr>
                <w:rFonts w:ascii="Arial Narrow" w:hAnsi="Arial Narrow"/>
                <w:b/>
                <w:sz w:val="20"/>
              </w:rPr>
            </w:pPr>
            <w:r w:rsidRPr="00986D60">
              <w:rPr>
                <w:rFonts w:ascii="Arial Narrow" w:hAnsi="Arial Narrow" w:cs="Times New Roman"/>
                <w:b/>
                <w:sz w:val="20"/>
              </w:rPr>
              <w:t>№</w:t>
            </w:r>
            <w:r w:rsidRPr="00986D60">
              <w:rPr>
                <w:rFonts w:ascii="Arial Narrow" w:hAnsi="Arial Narrow"/>
                <w:b/>
                <w:sz w:val="20"/>
              </w:rPr>
              <w:t>.of</w:t>
            </w:r>
          </w:p>
          <w:p w:rsidR="00C30C5B" w:rsidRPr="00986D60" w:rsidRDefault="00C30C5B" w:rsidP="00002455">
            <w:pPr>
              <w:keepNext/>
              <w:keepLines/>
              <w:jc w:val="center"/>
              <w:rPr>
                <w:rFonts w:ascii="Arial Narrow" w:hAnsi="Arial Narrow"/>
                <w:b/>
                <w:sz w:val="20"/>
              </w:rPr>
            </w:pPr>
            <w:r w:rsidRPr="00986D60">
              <w:rPr>
                <w:rFonts w:ascii="Arial Narrow" w:hAnsi="Arial Narrow"/>
                <w:b/>
                <w:sz w:val="20"/>
              </w:rPr>
              <w:t>Rpts</w:t>
            </w:r>
          </w:p>
        </w:tc>
        <w:tc>
          <w:tcPr>
            <w:tcW w:w="785" w:type="pct"/>
            <w:tcBorders>
              <w:top w:val="single" w:sz="4" w:space="0" w:color="auto"/>
              <w:bottom w:val="single" w:sz="4" w:space="0" w:color="auto"/>
            </w:tcBorders>
            <w:vAlign w:val="center"/>
          </w:tcPr>
          <w:p w:rsidR="00C30C5B" w:rsidRPr="00986D60" w:rsidRDefault="00C30C5B" w:rsidP="00002455">
            <w:pPr>
              <w:keepNext/>
              <w:keepLines/>
              <w:jc w:val="center"/>
              <w:rPr>
                <w:rFonts w:ascii="Arial Narrow" w:hAnsi="Arial Narrow"/>
                <w:b/>
                <w:sz w:val="20"/>
              </w:rPr>
            </w:pPr>
            <w:r w:rsidRPr="00986D60">
              <w:rPr>
                <w:rFonts w:ascii="Arial Narrow" w:hAnsi="Arial Narrow"/>
                <w:b/>
                <w:sz w:val="20"/>
              </w:rPr>
              <w:t>Dispensed Price for Max. Qty</w:t>
            </w:r>
          </w:p>
        </w:tc>
        <w:tc>
          <w:tcPr>
            <w:tcW w:w="1315" w:type="pct"/>
            <w:tcBorders>
              <w:top w:val="single" w:sz="4" w:space="0" w:color="auto"/>
              <w:bottom w:val="single" w:sz="4" w:space="0" w:color="auto"/>
            </w:tcBorders>
            <w:vAlign w:val="center"/>
          </w:tcPr>
          <w:p w:rsidR="00C30C5B" w:rsidRPr="00986D60" w:rsidRDefault="00C30C5B" w:rsidP="00002455">
            <w:pPr>
              <w:keepNext/>
              <w:keepLines/>
              <w:jc w:val="center"/>
              <w:rPr>
                <w:rFonts w:ascii="Arial Narrow" w:hAnsi="Arial Narrow"/>
                <w:b/>
                <w:sz w:val="20"/>
                <w:lang w:val="fr-FR"/>
              </w:rPr>
            </w:pPr>
            <w:r w:rsidRPr="00986D60">
              <w:rPr>
                <w:rFonts w:ascii="Arial Narrow" w:hAnsi="Arial Narrow"/>
                <w:b/>
                <w:sz w:val="20"/>
              </w:rPr>
              <w:t>Proprietary Name and Manufacturer</w:t>
            </w:r>
          </w:p>
        </w:tc>
      </w:tr>
      <w:tr w:rsidR="00F04EC0" w:rsidRPr="00986D60" w:rsidTr="0099589E">
        <w:trPr>
          <w:cantSplit/>
          <w:trHeight w:val="567"/>
        </w:trPr>
        <w:tc>
          <w:tcPr>
            <w:tcW w:w="1569" w:type="pct"/>
            <w:gridSpan w:val="2"/>
            <w:vAlign w:val="center"/>
          </w:tcPr>
          <w:p w:rsidR="00F04EC0" w:rsidRPr="00986D60" w:rsidRDefault="005D0DD8" w:rsidP="00002455">
            <w:pPr>
              <w:keepNext/>
              <w:keepLines/>
              <w:jc w:val="left"/>
              <w:rPr>
                <w:rFonts w:ascii="Arial Narrow" w:hAnsi="Arial Narrow"/>
                <w:smallCaps/>
                <w:sz w:val="20"/>
              </w:rPr>
            </w:pPr>
            <w:r w:rsidRPr="00986D60">
              <w:rPr>
                <w:rFonts w:ascii="Arial Narrow" w:hAnsi="Arial Narrow"/>
                <w:smallCaps/>
                <w:sz w:val="20"/>
              </w:rPr>
              <w:t>Sapropterin dihydrochloride</w:t>
            </w:r>
          </w:p>
          <w:p w:rsidR="00F04EC0" w:rsidRPr="00986D60" w:rsidRDefault="00DF3B00" w:rsidP="00002455">
            <w:pPr>
              <w:keepNext/>
              <w:keepLines/>
              <w:jc w:val="left"/>
              <w:rPr>
                <w:rFonts w:ascii="Arial Narrow" w:hAnsi="Arial Narrow"/>
                <w:sz w:val="20"/>
              </w:rPr>
            </w:pPr>
            <w:r w:rsidRPr="00986D60">
              <w:rPr>
                <w:rFonts w:ascii="Arial Narrow" w:hAnsi="Arial Narrow"/>
                <w:smallCaps/>
                <w:sz w:val="20"/>
              </w:rPr>
              <w:t>100mg, soluble tablets, pack of 30</w:t>
            </w:r>
          </w:p>
        </w:tc>
        <w:tc>
          <w:tcPr>
            <w:tcW w:w="389" w:type="pct"/>
            <w:vAlign w:val="center"/>
          </w:tcPr>
          <w:p w:rsidR="00F04EC0" w:rsidRPr="00986D60" w:rsidRDefault="00F04EC0" w:rsidP="00002455">
            <w:pPr>
              <w:keepNext/>
              <w:keepLines/>
              <w:jc w:val="center"/>
              <w:rPr>
                <w:rFonts w:ascii="Arial Narrow" w:hAnsi="Arial Narrow"/>
                <w:sz w:val="20"/>
              </w:rPr>
            </w:pPr>
            <w:r w:rsidRPr="00986D60">
              <w:rPr>
                <w:rFonts w:ascii="Arial Narrow" w:hAnsi="Arial Narrow"/>
                <w:sz w:val="20"/>
              </w:rPr>
              <w:t>1</w:t>
            </w:r>
          </w:p>
        </w:tc>
        <w:tc>
          <w:tcPr>
            <w:tcW w:w="474" w:type="pct"/>
            <w:vAlign w:val="center"/>
          </w:tcPr>
          <w:p w:rsidR="00F04EC0" w:rsidRPr="00986D60" w:rsidRDefault="00F04EC0" w:rsidP="00002455">
            <w:pPr>
              <w:keepNext/>
              <w:keepLines/>
              <w:jc w:val="center"/>
              <w:rPr>
                <w:rFonts w:ascii="Arial Narrow" w:hAnsi="Arial Narrow"/>
                <w:sz w:val="20"/>
              </w:rPr>
            </w:pPr>
            <w:r w:rsidRPr="00986D60">
              <w:rPr>
                <w:rFonts w:ascii="Arial Narrow" w:hAnsi="Arial Narrow"/>
                <w:sz w:val="20"/>
              </w:rPr>
              <w:t>1</w:t>
            </w:r>
          </w:p>
        </w:tc>
        <w:tc>
          <w:tcPr>
            <w:tcW w:w="469" w:type="pct"/>
            <w:vAlign w:val="center"/>
          </w:tcPr>
          <w:p w:rsidR="00F04EC0" w:rsidRPr="00986D60" w:rsidRDefault="00F04EC0" w:rsidP="00002455">
            <w:pPr>
              <w:keepNext/>
              <w:keepLines/>
              <w:jc w:val="center"/>
              <w:rPr>
                <w:rFonts w:ascii="Arial Narrow" w:hAnsi="Arial Narrow"/>
                <w:sz w:val="20"/>
              </w:rPr>
            </w:pPr>
            <w:r w:rsidRPr="00986D60">
              <w:rPr>
                <w:rFonts w:ascii="Arial Narrow" w:hAnsi="Arial Narrow"/>
                <w:sz w:val="20"/>
              </w:rPr>
              <w:t>5</w:t>
            </w:r>
          </w:p>
        </w:tc>
        <w:tc>
          <w:tcPr>
            <w:tcW w:w="785" w:type="pct"/>
            <w:vAlign w:val="center"/>
          </w:tcPr>
          <w:p w:rsidR="00F04EC0" w:rsidRPr="00986D60" w:rsidRDefault="00F04EC0" w:rsidP="00002455">
            <w:pPr>
              <w:keepNext/>
              <w:keepLines/>
              <w:jc w:val="center"/>
              <w:rPr>
                <w:rFonts w:ascii="Arial Narrow" w:hAnsi="Arial Narrow"/>
                <w:sz w:val="20"/>
              </w:rPr>
            </w:pPr>
            <w:r w:rsidRPr="00986D60">
              <w:rPr>
                <w:rFonts w:ascii="Arial Narrow" w:hAnsi="Arial Narrow"/>
                <w:sz w:val="20"/>
              </w:rPr>
              <w:t>$</w:t>
            </w:r>
            <w:r w:rsidR="006A61EC">
              <w:rPr>
                <w:rFonts w:ascii="Arial Narrow" w:hAnsi="Arial Narrow"/>
                <w:noProof/>
                <w:color w:val="000000"/>
                <w:sz w:val="20"/>
                <w:highlight w:val="black"/>
              </w:rPr>
              <w:t>''''''''''''''''''</w:t>
            </w:r>
            <w:r w:rsidR="00D5134B">
              <w:rPr>
                <w:rFonts w:ascii="Arial Narrow" w:hAnsi="Arial Narrow"/>
                <w:sz w:val="20"/>
                <w:vertAlign w:val="superscript"/>
              </w:rPr>
              <w:t xml:space="preserve"> </w:t>
            </w:r>
            <w:r w:rsidR="00D5134B" w:rsidRPr="00D5134B">
              <w:rPr>
                <w:rFonts w:ascii="Arial Narrow" w:hAnsi="Arial Narrow"/>
                <w:sz w:val="20"/>
              </w:rPr>
              <w:t>(published)</w:t>
            </w:r>
          </w:p>
          <w:p w:rsidR="00F04EC0" w:rsidRPr="00986D60" w:rsidRDefault="00F04EC0" w:rsidP="00D5134B">
            <w:pPr>
              <w:keepNext/>
              <w:keepLines/>
              <w:jc w:val="center"/>
              <w:rPr>
                <w:rFonts w:ascii="Arial Narrow" w:hAnsi="Arial Narrow"/>
                <w:sz w:val="20"/>
                <w:vertAlign w:val="superscript"/>
              </w:rPr>
            </w:pPr>
            <w:r w:rsidRPr="00986D60">
              <w:rPr>
                <w:rFonts w:ascii="Arial Narrow" w:hAnsi="Arial Narrow"/>
                <w:sz w:val="20"/>
              </w:rPr>
              <w:t>$</w:t>
            </w:r>
            <w:r w:rsidR="006A61EC">
              <w:rPr>
                <w:rFonts w:ascii="Arial Narrow" w:hAnsi="Arial Narrow"/>
                <w:noProof/>
                <w:color w:val="000000"/>
                <w:sz w:val="20"/>
                <w:highlight w:val="black"/>
              </w:rPr>
              <w:t>'''''''''''''''</w:t>
            </w:r>
            <w:r w:rsidR="00D5134B">
              <w:rPr>
                <w:rFonts w:ascii="Arial Narrow" w:hAnsi="Arial Narrow"/>
                <w:sz w:val="20"/>
              </w:rPr>
              <w:t xml:space="preserve"> </w:t>
            </w:r>
            <w:r w:rsidR="00D5134B" w:rsidRPr="00D5134B">
              <w:rPr>
                <w:rFonts w:ascii="Arial Narrow" w:hAnsi="Arial Narrow"/>
                <w:sz w:val="20"/>
              </w:rPr>
              <w:t>(effective)</w:t>
            </w:r>
          </w:p>
        </w:tc>
        <w:tc>
          <w:tcPr>
            <w:tcW w:w="1315" w:type="pct"/>
            <w:vAlign w:val="center"/>
          </w:tcPr>
          <w:p w:rsidR="00F04EC0" w:rsidRPr="00986D60" w:rsidRDefault="00F04EC0" w:rsidP="00002455">
            <w:pPr>
              <w:keepNext/>
              <w:keepLines/>
              <w:jc w:val="center"/>
              <w:rPr>
                <w:rFonts w:ascii="Arial Narrow" w:hAnsi="Arial Narrow"/>
                <w:sz w:val="20"/>
              </w:rPr>
            </w:pPr>
            <w:r w:rsidRPr="00986D60">
              <w:rPr>
                <w:rFonts w:ascii="Arial Narrow" w:hAnsi="Arial Narrow"/>
                <w:sz w:val="20"/>
              </w:rPr>
              <w:t>Kuvan ®</w:t>
            </w:r>
          </w:p>
          <w:p w:rsidR="00F04EC0" w:rsidRPr="00986D60" w:rsidRDefault="005D0DD8" w:rsidP="0099589E">
            <w:pPr>
              <w:keepNext/>
              <w:keepLines/>
              <w:jc w:val="center"/>
              <w:rPr>
                <w:rFonts w:ascii="Arial Narrow" w:hAnsi="Arial Narrow"/>
                <w:sz w:val="20"/>
              </w:rPr>
            </w:pPr>
            <w:r w:rsidRPr="00986D60">
              <w:rPr>
                <w:rFonts w:ascii="Arial Narrow" w:hAnsi="Arial Narrow"/>
                <w:sz w:val="20"/>
              </w:rPr>
              <w:t>Bio</w:t>
            </w:r>
            <w:r w:rsidR="0099589E">
              <w:rPr>
                <w:rFonts w:ascii="Arial Narrow" w:hAnsi="Arial Narrow"/>
                <w:sz w:val="20"/>
              </w:rPr>
              <w:t>M</w:t>
            </w:r>
            <w:r w:rsidRPr="00986D60">
              <w:rPr>
                <w:rFonts w:ascii="Arial Narrow" w:hAnsi="Arial Narrow"/>
                <w:sz w:val="20"/>
              </w:rPr>
              <w:t xml:space="preserve">arin </w:t>
            </w:r>
            <w:r w:rsidR="0099589E">
              <w:rPr>
                <w:rFonts w:ascii="Arial Narrow" w:hAnsi="Arial Narrow"/>
                <w:sz w:val="20"/>
              </w:rPr>
              <w:t>Pharmaceutical A</w:t>
            </w:r>
            <w:r w:rsidRPr="00986D60">
              <w:rPr>
                <w:rFonts w:ascii="Arial Narrow" w:hAnsi="Arial Narrow"/>
                <w:sz w:val="20"/>
              </w:rPr>
              <w:t xml:space="preserve">ustralia </w:t>
            </w:r>
            <w:r w:rsidR="0099589E">
              <w:rPr>
                <w:rFonts w:ascii="Arial Narrow" w:hAnsi="Arial Narrow"/>
                <w:sz w:val="20"/>
              </w:rPr>
              <w:t>Pty</w:t>
            </w:r>
            <w:r w:rsidRPr="00986D60">
              <w:rPr>
                <w:rFonts w:ascii="Arial Narrow" w:hAnsi="Arial Narrow"/>
                <w:sz w:val="20"/>
              </w:rPr>
              <w:t xml:space="preserve"> </w:t>
            </w:r>
            <w:r w:rsidR="0099589E">
              <w:rPr>
                <w:rFonts w:ascii="Arial Narrow" w:hAnsi="Arial Narrow"/>
                <w:sz w:val="20"/>
              </w:rPr>
              <w:t>L</w:t>
            </w:r>
            <w:r w:rsidRPr="00986D60">
              <w:rPr>
                <w:rFonts w:ascii="Arial Narrow" w:hAnsi="Arial Narrow"/>
                <w:sz w:val="20"/>
              </w:rPr>
              <w:t>td</w:t>
            </w:r>
          </w:p>
        </w:tc>
      </w:tr>
      <w:tr w:rsidR="00AE4831"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AE4831" w:rsidRPr="00986D60" w:rsidRDefault="00AE4831" w:rsidP="00002455">
            <w:pPr>
              <w:pStyle w:val="Tabletext"/>
              <w:keepNext/>
              <w:keepLines/>
              <w:rPr>
                <w:b/>
                <w:lang w:eastAsia="en-AU"/>
              </w:rPr>
            </w:pPr>
            <w:r w:rsidRPr="00986D60">
              <w:rPr>
                <w:b/>
                <w:lang w:eastAsia="en-AU"/>
              </w:rPr>
              <w:t>Initial restriction</w:t>
            </w:r>
            <w:r w:rsidR="00D0011F" w:rsidRPr="00986D60">
              <w:rPr>
                <w:b/>
                <w:lang w:eastAsia="en-AU"/>
              </w:rPr>
              <w:t xml:space="preserve"> (proposed in PSCR)</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Category/Program:</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C30C5B" w:rsidP="00002455">
            <w:pPr>
              <w:pStyle w:val="Tabletext"/>
              <w:keepNext/>
              <w:keepLines/>
              <w:rPr>
                <w:lang w:eastAsia="en-AU"/>
              </w:rPr>
            </w:pPr>
            <w:r w:rsidRPr="00986D60">
              <w:rPr>
                <w:lang w:eastAsia="en-AU"/>
              </w:rPr>
              <w:t>General Schedule Section 85</w:t>
            </w:r>
          </w:p>
        </w:tc>
      </w:tr>
      <w:tr w:rsidR="0099589E"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tcPr>
          <w:p w:rsidR="0099589E" w:rsidRPr="00986D60" w:rsidRDefault="0099589E" w:rsidP="00002455">
            <w:pPr>
              <w:pStyle w:val="Tabletext"/>
              <w:keepNext/>
              <w:keepLines/>
              <w:rPr>
                <w:rFonts w:eastAsiaTheme="minorHAnsi" w:cstheme="minorHAnsi"/>
                <w:szCs w:val="20"/>
              </w:rPr>
            </w:pPr>
            <w:r w:rsidRPr="00446E1D">
              <w:rPr>
                <w:rFonts w:asciiTheme="minorHAnsi" w:hAnsiTheme="minorHAnsi" w:cstheme="minorHAnsi"/>
                <w:szCs w:val="20"/>
              </w:rPr>
              <w:t>Prescriber type</w:t>
            </w:r>
          </w:p>
        </w:tc>
        <w:tc>
          <w:tcPr>
            <w:tcW w:w="3950" w:type="pct"/>
            <w:gridSpan w:val="6"/>
            <w:tcBorders>
              <w:top w:val="single" w:sz="4" w:space="0" w:color="auto"/>
              <w:left w:val="single" w:sz="4" w:space="0" w:color="auto"/>
              <w:bottom w:val="single" w:sz="4" w:space="0" w:color="auto"/>
              <w:right w:val="single" w:sz="4" w:space="0" w:color="auto"/>
            </w:tcBorders>
          </w:tcPr>
          <w:p w:rsidR="0099589E" w:rsidRPr="00440FDC" w:rsidRDefault="0099589E" w:rsidP="0099589E">
            <w:pPr>
              <w:keepNext/>
              <w:contextualSpacing/>
              <w:rPr>
                <w:sz w:val="20"/>
                <w:szCs w:val="20"/>
                <w:lang w:eastAsia="en-AU"/>
              </w:rPr>
            </w:pPr>
            <w:r w:rsidRPr="00440FDC">
              <w:rPr>
                <w:sz w:val="20"/>
                <w:szCs w:val="20"/>
                <w:lang w:eastAsia="en-AU"/>
              </w:rPr>
              <w:fldChar w:fldCharType="begin">
                <w:ffData>
                  <w:name w:val=""/>
                  <w:enabled/>
                  <w:calcOnExit w:val="0"/>
                  <w:checkBox>
                    <w:sizeAuto/>
                    <w:default w:val="1"/>
                  </w:checkBox>
                </w:ffData>
              </w:fldChar>
            </w:r>
            <w:r w:rsidRPr="00440FDC">
              <w:rPr>
                <w:sz w:val="20"/>
                <w:szCs w:val="20"/>
                <w:lang w:eastAsia="en-AU"/>
              </w:rPr>
              <w:instrText xml:space="preserve"> FORMCHECKBOX </w:instrText>
            </w:r>
            <w:r w:rsidR="006A61EC">
              <w:rPr>
                <w:sz w:val="20"/>
                <w:szCs w:val="20"/>
                <w:lang w:eastAsia="en-AU"/>
              </w:rPr>
            </w:r>
            <w:r w:rsidR="006A61EC">
              <w:rPr>
                <w:sz w:val="20"/>
                <w:szCs w:val="20"/>
                <w:lang w:eastAsia="en-AU"/>
              </w:rPr>
              <w:fldChar w:fldCharType="separate"/>
            </w:r>
            <w:r w:rsidRPr="00440FDC">
              <w:rPr>
                <w:sz w:val="20"/>
                <w:szCs w:val="20"/>
                <w:lang w:eastAsia="en-AU"/>
              </w:rPr>
              <w:fldChar w:fldCharType="end"/>
            </w:r>
            <w:r w:rsidRPr="00440FDC">
              <w:rPr>
                <w:sz w:val="20"/>
                <w:szCs w:val="20"/>
                <w:lang w:eastAsia="en-AU"/>
              </w:rPr>
              <w:t xml:space="preserve">Medical Practitioners  </w:t>
            </w:r>
          </w:p>
          <w:p w:rsidR="0099589E" w:rsidRPr="00986D60" w:rsidRDefault="0099589E" w:rsidP="00002455">
            <w:pPr>
              <w:pStyle w:val="Tabletext"/>
              <w:keepNext/>
              <w:keepLines/>
              <w:rPr>
                <w:rFonts w:eastAsiaTheme="minorHAnsi" w:cstheme="minorHAnsi"/>
                <w:szCs w:val="20"/>
              </w:rPr>
            </w:pPr>
            <w:r w:rsidRPr="00440FDC">
              <w:rPr>
                <w:rFonts w:eastAsia="Calibri"/>
                <w:szCs w:val="20"/>
              </w:rPr>
              <w:fldChar w:fldCharType="begin">
                <w:ffData>
                  <w:name w:val="Check3"/>
                  <w:enabled/>
                  <w:calcOnExit w:val="0"/>
                  <w:checkBox>
                    <w:sizeAuto/>
                    <w:default w:val="1"/>
                  </w:checkBox>
                </w:ffData>
              </w:fldChar>
            </w:r>
            <w:bookmarkStart w:id="2" w:name="Check3"/>
            <w:r w:rsidRPr="00440FDC">
              <w:rPr>
                <w:rFonts w:eastAsia="Calibri"/>
                <w:szCs w:val="20"/>
              </w:rPr>
              <w:instrText xml:space="preserve"> FORMCHECKBOX </w:instrText>
            </w:r>
            <w:r w:rsidR="006A61EC">
              <w:rPr>
                <w:rFonts w:eastAsia="Calibri"/>
                <w:szCs w:val="20"/>
              </w:rPr>
            </w:r>
            <w:r w:rsidR="006A61EC">
              <w:rPr>
                <w:rFonts w:eastAsia="Calibri"/>
                <w:szCs w:val="20"/>
              </w:rPr>
              <w:fldChar w:fldCharType="separate"/>
            </w:r>
            <w:r w:rsidRPr="00440FDC">
              <w:rPr>
                <w:rFonts w:eastAsia="Calibri"/>
                <w:szCs w:val="20"/>
              </w:rPr>
              <w:fldChar w:fldCharType="end"/>
            </w:r>
            <w:bookmarkEnd w:id="2"/>
            <w:r w:rsidRPr="00440FDC">
              <w:rPr>
                <w:szCs w:val="20"/>
                <w:lang w:eastAsia="en-AU"/>
              </w:rPr>
              <w:t>Nurse practitioners</w:t>
            </w:r>
          </w:p>
        </w:tc>
      </w:tr>
      <w:tr w:rsidR="00AE4831"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tcPr>
          <w:p w:rsidR="00AE4831" w:rsidRPr="00986D60" w:rsidRDefault="00AE4831" w:rsidP="00002455">
            <w:pPr>
              <w:pStyle w:val="Tabletext"/>
              <w:keepNext/>
              <w:keepLines/>
              <w:rPr>
                <w:rFonts w:eastAsiaTheme="minorHAnsi" w:cstheme="minorHAnsi"/>
                <w:szCs w:val="20"/>
              </w:rPr>
            </w:pPr>
            <w:r w:rsidRPr="00986D60">
              <w:rPr>
                <w:rFonts w:eastAsiaTheme="minorHAnsi" w:cstheme="minorHAnsi"/>
                <w:szCs w:val="20"/>
              </w:rPr>
              <w:t>Episodicity:</w:t>
            </w:r>
          </w:p>
        </w:tc>
        <w:tc>
          <w:tcPr>
            <w:tcW w:w="3950" w:type="pct"/>
            <w:gridSpan w:val="6"/>
            <w:tcBorders>
              <w:top w:val="single" w:sz="4" w:space="0" w:color="auto"/>
              <w:left w:val="single" w:sz="4" w:space="0" w:color="auto"/>
              <w:bottom w:val="single" w:sz="4" w:space="0" w:color="auto"/>
              <w:right w:val="single" w:sz="4" w:space="0" w:color="auto"/>
            </w:tcBorders>
          </w:tcPr>
          <w:p w:rsidR="00AE4831" w:rsidRPr="00986D60" w:rsidRDefault="00AE4831" w:rsidP="00002455">
            <w:pPr>
              <w:pStyle w:val="Tabletext"/>
              <w:keepNext/>
              <w:keepLines/>
              <w:rPr>
                <w:rFonts w:eastAsiaTheme="minorHAnsi" w:cstheme="minorHAnsi"/>
                <w:szCs w:val="20"/>
              </w:rPr>
            </w:pPr>
            <w:r w:rsidRPr="00986D60">
              <w:rPr>
                <w:rFonts w:eastAsiaTheme="minorHAnsi" w:cstheme="minorHAnsi"/>
                <w:szCs w:val="20"/>
              </w:rPr>
              <w:t xml:space="preserve">Chronic </w:t>
            </w:r>
          </w:p>
        </w:tc>
      </w:tr>
      <w:tr w:rsidR="00AE4831"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tcPr>
          <w:p w:rsidR="00AE4831" w:rsidRPr="00986D60" w:rsidRDefault="00AE4831" w:rsidP="00002455">
            <w:pPr>
              <w:pStyle w:val="Tabletext"/>
              <w:keepNext/>
              <w:keepLines/>
              <w:rPr>
                <w:lang w:eastAsia="en-AU"/>
              </w:rPr>
            </w:pPr>
            <w:r w:rsidRPr="00986D60">
              <w:rPr>
                <w:rFonts w:eastAsiaTheme="minorHAnsi" w:cstheme="minorHAnsi"/>
                <w:szCs w:val="20"/>
              </w:rPr>
              <w:t>Condition:</w:t>
            </w:r>
          </w:p>
        </w:tc>
        <w:tc>
          <w:tcPr>
            <w:tcW w:w="3950" w:type="pct"/>
            <w:gridSpan w:val="6"/>
            <w:tcBorders>
              <w:top w:val="single" w:sz="4" w:space="0" w:color="auto"/>
              <w:left w:val="single" w:sz="4" w:space="0" w:color="auto"/>
              <w:bottom w:val="single" w:sz="4" w:space="0" w:color="auto"/>
              <w:right w:val="single" w:sz="4" w:space="0" w:color="auto"/>
            </w:tcBorders>
          </w:tcPr>
          <w:p w:rsidR="00AE4831" w:rsidRPr="00986D60" w:rsidRDefault="00AE4831" w:rsidP="00002455">
            <w:pPr>
              <w:pStyle w:val="Tabletext"/>
              <w:keepNext/>
              <w:keepLines/>
              <w:rPr>
                <w:lang w:eastAsia="en-AU"/>
              </w:rPr>
            </w:pPr>
            <w:r w:rsidRPr="00986D60">
              <w:rPr>
                <w:rFonts w:eastAsiaTheme="minorHAnsi" w:cstheme="minorHAnsi"/>
                <w:szCs w:val="20"/>
              </w:rPr>
              <w:t>Hyperphenylalaninemia (HPA) due to phenylketonuria (PKU)</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PBS indication:</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C30C5B" w:rsidP="00002455">
            <w:pPr>
              <w:pStyle w:val="Tabletext"/>
              <w:keepNext/>
              <w:keepLines/>
              <w:rPr>
                <w:lang w:eastAsia="en-AU"/>
              </w:rPr>
            </w:pPr>
            <w:r w:rsidRPr="00986D60">
              <w:rPr>
                <w:lang w:eastAsia="en-AU"/>
              </w:rPr>
              <w:t>Hyperphenylalaninemia (HPA)</w:t>
            </w:r>
            <w:r w:rsidR="00AE4831" w:rsidRPr="00986D60">
              <w:rPr>
                <w:lang w:eastAsia="en-AU"/>
              </w:rPr>
              <w:t xml:space="preserve"> due to phenylketonuria (PKU)</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Treatment phase:</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AE4831" w:rsidP="00002455">
            <w:pPr>
              <w:pStyle w:val="Tabletext"/>
              <w:keepNext/>
              <w:keepLines/>
              <w:rPr>
                <w:lang w:eastAsia="en-AU"/>
              </w:rPr>
            </w:pPr>
            <w:r w:rsidRPr="00986D60">
              <w:rPr>
                <w:lang w:eastAsia="en-AU"/>
              </w:rPr>
              <w:t>Initial</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Restriction:</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C30C5B" w:rsidP="00002455">
            <w:pPr>
              <w:pStyle w:val="Tabletext"/>
              <w:keepNext/>
              <w:keepLines/>
              <w:rPr>
                <w:lang w:eastAsia="en-AU"/>
              </w:rPr>
            </w:pPr>
            <w:r w:rsidRPr="00986D60">
              <w:rPr>
                <w:lang w:eastAsia="en-AU"/>
              </w:rPr>
              <w:t>Section 85 (Authority Required in Writing)</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Treatment criteria:</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AE4831" w:rsidP="00002455">
            <w:pPr>
              <w:pStyle w:val="Tabletext"/>
              <w:keepNext/>
              <w:keepLines/>
              <w:rPr>
                <w:lang w:eastAsia="en-AU"/>
              </w:rPr>
            </w:pPr>
            <w:r w:rsidRPr="00986D60">
              <w:t>Must be treated by a metabolic physician or a medical practitioner experienced in the treatment of phenylketonuria (PKU)</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Clinical criteria:</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C30C5B" w:rsidP="00002455">
            <w:pPr>
              <w:pStyle w:val="Tabletext"/>
              <w:keepNext/>
              <w:keepLines/>
            </w:pPr>
            <w:r w:rsidRPr="00986D60">
              <w:t xml:space="preserve">Patient must have hyperphenylalaninemia (HPA) due to phenylketonuria (PKU). </w:t>
            </w:r>
          </w:p>
          <w:p w:rsidR="00C30C5B" w:rsidRPr="00986D60" w:rsidRDefault="00C30C5B" w:rsidP="00002455">
            <w:pPr>
              <w:keepNext/>
              <w:keepLines/>
              <w:rPr>
                <w:rFonts w:ascii="Arial Narrow" w:hAnsi="Arial Narrow" w:cs="Times New Roman"/>
                <w:snapToGrid/>
                <w:sz w:val="20"/>
              </w:rPr>
            </w:pPr>
            <w:r w:rsidRPr="00986D60">
              <w:rPr>
                <w:rFonts w:ascii="Arial Narrow" w:hAnsi="Arial Narrow" w:cs="Times New Roman"/>
                <w:snapToGrid/>
                <w:sz w:val="20"/>
              </w:rPr>
              <w:t>AND</w:t>
            </w:r>
          </w:p>
          <w:p w:rsidR="00C30C5B" w:rsidRPr="00986D60" w:rsidRDefault="00C30C5B" w:rsidP="00002455">
            <w:pPr>
              <w:pStyle w:val="Tabletext"/>
              <w:keepNext/>
              <w:keepLines/>
              <w:rPr>
                <w:lang w:eastAsia="en-AU"/>
              </w:rPr>
            </w:pPr>
            <w:r w:rsidRPr="00986D60">
              <w:t>Patient must have previously been shown to be responsive to sapropterin.</w:t>
            </w:r>
          </w:p>
        </w:tc>
      </w:tr>
      <w:tr w:rsidR="00C30C5B"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50" w:type="pct"/>
            <w:tcBorders>
              <w:top w:val="single" w:sz="4" w:space="0" w:color="auto"/>
              <w:left w:val="single" w:sz="4" w:space="0" w:color="auto"/>
              <w:bottom w:val="single" w:sz="4" w:space="0" w:color="auto"/>
              <w:right w:val="single" w:sz="4" w:space="0" w:color="auto"/>
            </w:tcBorders>
            <w:hideMark/>
          </w:tcPr>
          <w:p w:rsidR="00C30C5B" w:rsidRPr="00986D60" w:rsidRDefault="00C30C5B" w:rsidP="00002455">
            <w:pPr>
              <w:pStyle w:val="Tabletext"/>
              <w:keepNext/>
              <w:keepLines/>
              <w:rPr>
                <w:lang w:eastAsia="en-AU"/>
              </w:rPr>
            </w:pPr>
            <w:r w:rsidRPr="00986D60">
              <w:rPr>
                <w:lang w:eastAsia="en-AU"/>
              </w:rPr>
              <w:t>Prescriber criteria:</w:t>
            </w:r>
          </w:p>
        </w:tc>
        <w:tc>
          <w:tcPr>
            <w:tcW w:w="3950" w:type="pct"/>
            <w:gridSpan w:val="6"/>
            <w:tcBorders>
              <w:top w:val="single" w:sz="4" w:space="0" w:color="auto"/>
              <w:left w:val="single" w:sz="4" w:space="0" w:color="auto"/>
              <w:bottom w:val="single" w:sz="4" w:space="0" w:color="auto"/>
              <w:right w:val="single" w:sz="4" w:space="0" w:color="auto"/>
            </w:tcBorders>
          </w:tcPr>
          <w:p w:rsidR="00C30C5B" w:rsidRPr="00986D60" w:rsidRDefault="00C30C5B" w:rsidP="00002455">
            <w:pPr>
              <w:keepNext/>
              <w:keepLines/>
              <w:rPr>
                <w:rFonts w:ascii="Arial Narrow" w:hAnsi="Arial Narrow" w:cs="Times New Roman"/>
                <w:snapToGrid/>
                <w:sz w:val="20"/>
              </w:rPr>
            </w:pPr>
            <w:r w:rsidRPr="00986D60">
              <w:rPr>
                <w:rFonts w:ascii="Arial Narrow" w:hAnsi="Arial Narrow" w:cs="Times New Roman"/>
                <w:snapToGrid/>
                <w:sz w:val="20"/>
              </w:rPr>
              <w:t>The authority application must be in writing and include:</w:t>
            </w:r>
          </w:p>
          <w:p w:rsidR="00C30C5B" w:rsidRPr="00986D60" w:rsidRDefault="00C30C5B" w:rsidP="00002455">
            <w:pPr>
              <w:keepNext/>
              <w:keepLines/>
              <w:rPr>
                <w:rFonts w:ascii="Arial Narrow" w:hAnsi="Arial Narrow" w:cs="Times New Roman"/>
                <w:snapToGrid/>
                <w:sz w:val="20"/>
              </w:rPr>
            </w:pPr>
            <w:r w:rsidRPr="00986D60">
              <w:rPr>
                <w:rFonts w:ascii="Arial Narrow" w:hAnsi="Arial Narrow" w:cs="Times New Roman"/>
                <w:snapToGrid/>
                <w:sz w:val="20"/>
              </w:rPr>
              <w:t xml:space="preserve">1. Documented confirmed diagnosis of PKU </w:t>
            </w:r>
          </w:p>
          <w:p w:rsidR="00C30C5B" w:rsidRPr="00986D60" w:rsidRDefault="00C30C5B" w:rsidP="00002455">
            <w:pPr>
              <w:keepNext/>
              <w:keepLines/>
              <w:rPr>
                <w:rFonts w:ascii="Arial Narrow" w:hAnsi="Arial Narrow" w:cs="Times New Roman"/>
                <w:snapToGrid/>
                <w:sz w:val="20"/>
              </w:rPr>
            </w:pPr>
            <w:r w:rsidRPr="00986D60">
              <w:rPr>
                <w:rFonts w:ascii="Arial Narrow" w:hAnsi="Arial Narrow" w:cs="Times New Roman"/>
                <w:snapToGrid/>
                <w:sz w:val="20"/>
              </w:rPr>
              <w:t>2. Documented response to sapropterin</w:t>
            </w:r>
          </w:p>
          <w:p w:rsidR="00C30C5B" w:rsidRPr="00986D60" w:rsidRDefault="00C30C5B" w:rsidP="00002455">
            <w:pPr>
              <w:pStyle w:val="Tabletext"/>
              <w:keepNext/>
              <w:keepLines/>
              <w:rPr>
                <w:szCs w:val="24"/>
                <w:lang w:eastAsia="en-AU"/>
              </w:rPr>
            </w:pPr>
            <w:r w:rsidRPr="00986D60">
              <w:t>At the time of authority application, medical practitioners should request the appropriate number of packs to provide sufficient drug, based on the prescribed dose and weight of the patient, for one month of treatment. Up to a maximum of 5 repeats will be authorised.</w:t>
            </w:r>
          </w:p>
        </w:tc>
      </w:tr>
      <w:tr w:rsidR="006C30C6" w:rsidRPr="00986D60" w:rsidTr="0043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6C30C6" w:rsidRPr="00986D60" w:rsidRDefault="006C30C6" w:rsidP="000714CE">
            <w:pPr>
              <w:keepNext/>
              <w:rPr>
                <w:rFonts w:ascii="Arial Narrow" w:hAnsi="Arial Narrow" w:cs="Times New Roman"/>
                <w:snapToGrid/>
                <w:sz w:val="20"/>
              </w:rPr>
            </w:pPr>
            <w:r w:rsidRPr="00986D60">
              <w:rPr>
                <w:rFonts w:ascii="Arial Narrow" w:hAnsi="Arial Narrow" w:cs="Times New Roman"/>
                <w:b/>
                <w:snapToGrid/>
                <w:sz w:val="20"/>
              </w:rPr>
              <w:t>Continuing restriction</w:t>
            </w:r>
            <w:r w:rsidR="0085666D">
              <w:rPr>
                <w:rFonts w:ascii="Arial Narrow" w:hAnsi="Arial Narrow" w:cs="Times New Roman"/>
                <w:b/>
                <w:snapToGrid/>
                <w:sz w:val="20"/>
              </w:rPr>
              <w:t xml:space="preserve"> (proposed in </w:t>
            </w:r>
            <w:r w:rsidR="00063220">
              <w:rPr>
                <w:rFonts w:ascii="Arial Narrow" w:hAnsi="Arial Narrow" w:cs="Times New Roman"/>
                <w:b/>
                <w:snapToGrid/>
                <w:sz w:val="20"/>
              </w:rPr>
              <w:t>resubmission</w:t>
            </w:r>
            <w:r w:rsidR="0085666D">
              <w:rPr>
                <w:rFonts w:ascii="Arial Narrow" w:hAnsi="Arial Narrow" w:cs="Times New Roman"/>
                <w:b/>
                <w:snapToGrid/>
                <w:sz w:val="20"/>
              </w:rPr>
              <w:t xml:space="preserve"> and updated in PSCR)</w:t>
            </w:r>
          </w:p>
        </w:tc>
      </w:tr>
      <w:tr w:rsidR="003A086A" w:rsidRPr="00986D60" w:rsidTr="00432BB5">
        <w:tblPrEx>
          <w:tblCellMar>
            <w:left w:w="108" w:type="dxa"/>
            <w:right w:w="108" w:type="dxa"/>
          </w:tblCellMar>
        </w:tblPrEx>
        <w:trPr>
          <w:cantSplit/>
          <w:trHeight w:val="77"/>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bookmarkStart w:id="3" w:name="_Hlk497144476"/>
            <w:r w:rsidRPr="00986D60">
              <w:rPr>
                <w:rFonts w:ascii="Arial Narrow" w:hAnsi="Arial Narrow" w:cs="Times New Roman"/>
                <w:snapToGrid/>
                <w:sz w:val="20"/>
              </w:rPr>
              <w:t>Category/Program</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Section 85</w:t>
            </w:r>
          </w:p>
        </w:tc>
      </w:tr>
      <w:tr w:rsidR="003A086A" w:rsidRPr="00986D60" w:rsidTr="00432BB5">
        <w:tblPrEx>
          <w:tblCellMar>
            <w:left w:w="108" w:type="dxa"/>
            <w:right w:w="108" w:type="dxa"/>
          </w:tblCellMar>
        </w:tblPrEx>
        <w:trPr>
          <w:cantSplit/>
          <w:trHeight w:val="249"/>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Episodicity:</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Chronic </w:t>
            </w:r>
          </w:p>
        </w:tc>
      </w:tr>
      <w:tr w:rsidR="003A086A" w:rsidRPr="00986D60" w:rsidTr="00432BB5">
        <w:tblPrEx>
          <w:tblCellMar>
            <w:left w:w="108" w:type="dxa"/>
            <w:right w:w="108" w:type="dxa"/>
          </w:tblCellMar>
        </w:tblPrEx>
        <w:trPr>
          <w:cantSplit/>
          <w:trHeight w:val="139"/>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Condition:</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Hyperphenylalaninemia (HPA) due to phenylketonuria (PKU)</w:t>
            </w:r>
          </w:p>
        </w:tc>
      </w:tr>
      <w:tr w:rsidR="003A086A" w:rsidRPr="00986D60" w:rsidTr="00432BB5">
        <w:tblPrEx>
          <w:tblCellMar>
            <w:left w:w="108" w:type="dxa"/>
            <w:right w:w="108" w:type="dxa"/>
          </w:tblCellMar>
        </w:tblPrEx>
        <w:trPr>
          <w:cantSplit/>
          <w:trHeight w:val="157"/>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PBS Indication:</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Hyperphenylalaninemia (HPA) due to phenylketonuria (PKU)</w:t>
            </w:r>
          </w:p>
        </w:tc>
      </w:tr>
      <w:tr w:rsidR="003A086A" w:rsidRPr="00986D60" w:rsidTr="00432BB5">
        <w:tblPrEx>
          <w:tblCellMar>
            <w:left w:w="108" w:type="dxa"/>
            <w:right w:w="108" w:type="dxa"/>
          </w:tblCellMar>
        </w:tblPrEx>
        <w:trPr>
          <w:cantSplit/>
          <w:trHeight w:val="157"/>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Treatment phase: </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Continuing </w:t>
            </w:r>
          </w:p>
        </w:tc>
      </w:tr>
      <w:tr w:rsidR="003A086A" w:rsidRPr="00986D60" w:rsidTr="00432BB5">
        <w:tblPrEx>
          <w:tblCellMar>
            <w:left w:w="108" w:type="dxa"/>
            <w:right w:w="108" w:type="dxa"/>
          </w:tblCellMar>
        </w:tblPrEx>
        <w:trPr>
          <w:cantSplit/>
          <w:trHeight w:val="60"/>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Restriction:</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6C30C6" w:rsidP="006C30C6">
            <w:pPr>
              <w:rPr>
                <w:rFonts w:ascii="Arial Narrow" w:hAnsi="Arial Narrow" w:cs="Times New Roman"/>
                <w:snapToGrid/>
                <w:sz w:val="20"/>
              </w:rPr>
            </w:pPr>
            <w:r w:rsidRPr="00986D60">
              <w:rPr>
                <w:rFonts w:ascii="Arial Narrow" w:hAnsi="Arial Narrow" w:cs="Times New Roman"/>
                <w:snapToGrid/>
                <w:sz w:val="20"/>
              </w:rPr>
              <w:t>Section 85 (Authority Required in Writing)</w:t>
            </w:r>
          </w:p>
        </w:tc>
      </w:tr>
      <w:tr w:rsidR="003A086A" w:rsidRPr="00986D60" w:rsidTr="00432BB5">
        <w:tblPrEx>
          <w:tblCellMar>
            <w:left w:w="108" w:type="dxa"/>
            <w:right w:w="108" w:type="dxa"/>
          </w:tblCellMar>
        </w:tblPrEx>
        <w:trPr>
          <w:cantSplit/>
          <w:trHeight w:val="360"/>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Treatment criteria</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Must be treated by a metabolic physician or a medical practitioner experienced in the treatment of phenylketonuria (PKU)</w:t>
            </w:r>
          </w:p>
        </w:tc>
      </w:tr>
      <w:tr w:rsidR="003A086A" w:rsidRPr="00986D60" w:rsidTr="00432BB5">
        <w:tblPrEx>
          <w:tblCellMar>
            <w:left w:w="108" w:type="dxa"/>
            <w:right w:w="108" w:type="dxa"/>
          </w:tblCellMar>
        </w:tblPrEx>
        <w:trPr>
          <w:cantSplit/>
          <w:trHeight w:val="360"/>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Clinical criteria:</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Must have previously been issued with an authority prescription for this drug for this condition </w:t>
            </w:r>
          </w:p>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AND</w:t>
            </w:r>
          </w:p>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Patient must have demonstrated blood phenylalanine levels within the target range, or a maintenance of blood phenylalanine levels achieved at sapropterin responsiveness testing. </w:t>
            </w:r>
          </w:p>
        </w:tc>
      </w:tr>
      <w:tr w:rsidR="003A086A" w:rsidRPr="00986D60" w:rsidTr="00432BB5">
        <w:tblPrEx>
          <w:tblCellMar>
            <w:left w:w="108" w:type="dxa"/>
            <w:right w:w="108" w:type="dxa"/>
          </w:tblCellMar>
        </w:tblPrEx>
        <w:trPr>
          <w:cantSplit/>
          <w:trHeight w:val="360"/>
        </w:trPr>
        <w:tc>
          <w:tcPr>
            <w:tcW w:w="1050" w:type="pct"/>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Prescriber Instructions:</w:t>
            </w:r>
          </w:p>
        </w:tc>
        <w:tc>
          <w:tcPr>
            <w:tcW w:w="3950" w:type="pct"/>
            <w:gridSpan w:val="6"/>
            <w:tcBorders>
              <w:top w:val="single" w:sz="4" w:space="0" w:color="auto"/>
              <w:left w:val="single" w:sz="4" w:space="0" w:color="auto"/>
              <w:bottom w:val="single" w:sz="4" w:space="0" w:color="auto"/>
              <w:right w:val="single" w:sz="4" w:space="0" w:color="auto"/>
            </w:tcBorders>
          </w:tcPr>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The authority application must be in writing and include documentation of blood phenylalanine levels within the target range, or a maintenance of blood phenylalanine levels achieved at sapropterin responsiveness testing.</w:t>
            </w:r>
          </w:p>
          <w:p w:rsidR="003A086A" w:rsidRPr="00986D60" w:rsidRDefault="003A086A" w:rsidP="006C30C6">
            <w:pPr>
              <w:rPr>
                <w:rFonts w:ascii="Arial Narrow" w:hAnsi="Arial Narrow" w:cs="Times New Roman"/>
                <w:snapToGrid/>
                <w:sz w:val="20"/>
              </w:rPr>
            </w:pPr>
          </w:p>
          <w:p w:rsidR="003A086A" w:rsidRPr="00986D60" w:rsidRDefault="003A086A" w:rsidP="006C30C6">
            <w:pPr>
              <w:rPr>
                <w:rFonts w:ascii="Arial Narrow" w:hAnsi="Arial Narrow" w:cs="Times New Roman"/>
                <w:snapToGrid/>
                <w:sz w:val="20"/>
              </w:rPr>
            </w:pPr>
            <w:r w:rsidRPr="00986D60">
              <w:rPr>
                <w:rFonts w:ascii="Arial Narrow" w:hAnsi="Arial Narrow" w:cs="Times New Roman"/>
                <w:snapToGrid/>
                <w:sz w:val="20"/>
              </w:rPr>
              <w:t xml:space="preserve">At the time of authority application, medical practitioners should request the appropriate number of packs to provide sufficient drug, based on the prescribed dose and weight of the patient, for one month of treatment. Up to a maximum of 5 repeats will be authorised. </w:t>
            </w:r>
          </w:p>
        </w:tc>
      </w:tr>
    </w:tbl>
    <w:bookmarkEnd w:id="3"/>
    <w:p w:rsidR="00AE4831" w:rsidRPr="00986D60" w:rsidRDefault="00AE4831" w:rsidP="00AE4831">
      <w:pPr>
        <w:pStyle w:val="TableFooter"/>
        <w:rPr>
          <w:rFonts w:eastAsiaTheme="minorEastAsia"/>
          <w:snapToGrid/>
          <w:lang w:eastAsia="zh-CN" w:bidi="th-TH"/>
        </w:rPr>
      </w:pPr>
      <w:r w:rsidRPr="00986D60">
        <w:rPr>
          <w:rFonts w:eastAsiaTheme="minorEastAsia"/>
          <w:snapToGrid/>
          <w:lang w:eastAsia="zh-CN" w:bidi="th-TH"/>
        </w:rPr>
        <w:t xml:space="preserve">Source: Table 1-10 &amp; 1-11, p39 &amp; 41of the </w:t>
      </w:r>
      <w:r w:rsidR="00063220">
        <w:rPr>
          <w:rFonts w:eastAsiaTheme="minorEastAsia"/>
          <w:snapToGrid/>
          <w:lang w:eastAsia="zh-CN" w:bidi="th-TH"/>
        </w:rPr>
        <w:t>resubmission</w:t>
      </w:r>
    </w:p>
    <w:p w:rsidR="00C30C5B" w:rsidRPr="00986D60" w:rsidRDefault="00C30C5B" w:rsidP="009B48AE">
      <w:pPr>
        <w:pStyle w:val="ListParagraph"/>
        <w:widowControl/>
        <w:numPr>
          <w:ilvl w:val="1"/>
          <w:numId w:val="36"/>
        </w:numPr>
        <w:ind w:left="709" w:hanging="709"/>
      </w:pPr>
      <w:r w:rsidRPr="00986D60">
        <w:rPr>
          <w:rFonts w:cs="Calibri"/>
          <w:snapToGrid/>
          <w:szCs w:val="24"/>
          <w:lang w:val="en-US" w:eastAsia="en-AU"/>
        </w:rPr>
        <w:t>A</w:t>
      </w:r>
      <w:r w:rsidRPr="00986D60">
        <w:t xml:space="preserve"> special pricing arrangement </w:t>
      </w:r>
      <w:r w:rsidR="006D28F7" w:rsidRPr="00986D60">
        <w:t>wa</w:t>
      </w:r>
      <w:r w:rsidRPr="00986D60">
        <w:t>s proposed with a published price and an effective price, whereby the sponsor w</w:t>
      </w:r>
      <w:r w:rsidR="0085666D">
        <w:t>ould</w:t>
      </w:r>
      <w:r w:rsidRPr="00986D60">
        <w:t xml:space="preserve"> pay a rebate to the Government. </w:t>
      </w:r>
    </w:p>
    <w:p w:rsidR="00C30C5B" w:rsidRPr="00986D60" w:rsidRDefault="00C30C5B" w:rsidP="009B48AE">
      <w:pPr>
        <w:pStyle w:val="ListParagraph"/>
        <w:widowControl/>
        <w:numPr>
          <w:ilvl w:val="1"/>
          <w:numId w:val="36"/>
        </w:numPr>
        <w:ind w:left="709" w:hanging="709"/>
      </w:pPr>
      <w:r w:rsidRPr="00986D60">
        <w:t xml:space="preserve">The previous submission </w:t>
      </w:r>
      <w:r w:rsidR="0085666D">
        <w:t>(</w:t>
      </w:r>
      <w:r w:rsidRPr="00986D60">
        <w:t>considered at the November 2011 PBAC meeting</w:t>
      </w:r>
      <w:r w:rsidR="0085666D">
        <w:t>)</w:t>
      </w:r>
      <w:r w:rsidRPr="00986D60">
        <w:t xml:space="preserve"> requested an additional initial indication (BH4 deficiency which has since been PBS-listed). The previous submission requested a Section 100 (Highly Specialised Drugs Program) listing</w:t>
      </w:r>
      <w:r w:rsidR="0085666D">
        <w:t xml:space="preserve">, while the </w:t>
      </w:r>
      <w:r w:rsidR="00063220">
        <w:t>resubmission</w:t>
      </w:r>
      <w:r w:rsidR="0085666D">
        <w:t xml:space="preserve"> requested a Section 85 (general schedule) listing. Further, the previous submission requested </w:t>
      </w:r>
      <w:r w:rsidRPr="00986D60">
        <w:t>a DPMQ of $</w:t>
      </w:r>
      <w:r w:rsidR="006A61EC">
        <w:rPr>
          <w:noProof/>
          <w:color w:val="000000"/>
          <w:highlight w:val="black"/>
        </w:rPr>
        <w:t>''''''''''''''</w:t>
      </w:r>
      <w:r w:rsidR="0085666D">
        <w:t>, while th</w:t>
      </w:r>
      <w:r w:rsidR="009B48AE">
        <w:t xml:space="preserve">e </w:t>
      </w:r>
      <w:r w:rsidR="0085666D">
        <w:t xml:space="preserve">DPMQ requested in the </w:t>
      </w:r>
      <w:r w:rsidR="00063220">
        <w:t>resubmission</w:t>
      </w:r>
      <w:r w:rsidR="009B48AE">
        <w:t xml:space="preserve">, of </w:t>
      </w:r>
      <w:r w:rsidR="00654311">
        <w:t>$</w:t>
      </w:r>
      <w:r w:rsidR="006A61EC">
        <w:rPr>
          <w:noProof/>
          <w:color w:val="000000"/>
          <w:highlight w:val="black"/>
        </w:rPr>
        <w:t>''''''''''''''</w:t>
      </w:r>
      <w:r w:rsidR="00654311">
        <w:t xml:space="preserve">, was </w:t>
      </w:r>
      <w:r w:rsidR="006A61EC">
        <w:rPr>
          <w:noProof/>
          <w:color w:val="000000"/>
          <w:highlight w:val="black"/>
        </w:rPr>
        <w:t>'''''</w:t>
      </w:r>
      <w:r w:rsidR="009B48AE">
        <w:t xml:space="preserve">% </w:t>
      </w:r>
      <w:r w:rsidR="00654311">
        <w:t>lower.</w:t>
      </w:r>
    </w:p>
    <w:p w:rsidR="0020732F" w:rsidRPr="00986D60" w:rsidRDefault="007C0A1A" w:rsidP="009B48AE">
      <w:pPr>
        <w:pStyle w:val="ListParagraph"/>
        <w:widowControl/>
        <w:numPr>
          <w:ilvl w:val="1"/>
          <w:numId w:val="36"/>
        </w:numPr>
        <w:ind w:left="709" w:hanging="709"/>
      </w:pPr>
      <w:r w:rsidRPr="00986D60">
        <w:t>During evaluation, a</w:t>
      </w:r>
      <w:r w:rsidR="00786BD8" w:rsidRPr="00986D60">
        <w:t>n</w:t>
      </w:r>
      <w:r w:rsidR="00C30C5B" w:rsidRPr="00986D60">
        <w:t xml:space="preserve"> issue</w:t>
      </w:r>
      <w:r w:rsidR="00213AE7" w:rsidRPr="00986D60">
        <w:t xml:space="preserve"> that was identified</w:t>
      </w:r>
      <w:r w:rsidR="00C30C5B" w:rsidRPr="00986D60">
        <w:t xml:space="preserve"> with the requested listing </w:t>
      </w:r>
      <w:r w:rsidR="00EB7873" w:rsidRPr="00986D60">
        <w:t>(</w:t>
      </w:r>
      <w:r w:rsidR="008078D5" w:rsidRPr="00986D60">
        <w:t xml:space="preserve">proposed in the </w:t>
      </w:r>
      <w:r w:rsidR="00063220">
        <w:t>resubmission</w:t>
      </w:r>
      <w:r w:rsidR="00EB7873" w:rsidRPr="00986D60">
        <w:t>)</w:t>
      </w:r>
      <w:r w:rsidRPr="00986D60">
        <w:t>,</w:t>
      </w:r>
      <w:r w:rsidR="008078D5" w:rsidRPr="00986D60">
        <w:t xml:space="preserve"> </w:t>
      </w:r>
      <w:r w:rsidR="00186F87" w:rsidRPr="00986D60">
        <w:t xml:space="preserve">was </w:t>
      </w:r>
      <w:r w:rsidR="00C30C5B" w:rsidRPr="00986D60">
        <w:t xml:space="preserve">that an initial treatment listing </w:t>
      </w:r>
      <w:r w:rsidRPr="00986D60">
        <w:t>wa</w:t>
      </w:r>
      <w:r w:rsidR="00C30C5B" w:rsidRPr="00986D60">
        <w:t xml:space="preserve">s not requested, and therefore initial response may not be auditable. Additionally, there </w:t>
      </w:r>
      <w:r w:rsidRPr="00986D60">
        <w:t>we</w:t>
      </w:r>
      <w:r w:rsidR="00C30C5B" w:rsidRPr="00986D60">
        <w:t>re no specifications indicating how, or if, a continued response w</w:t>
      </w:r>
      <w:r w:rsidR="00186F87" w:rsidRPr="00986D60">
        <w:t>ould</w:t>
      </w:r>
      <w:r w:rsidR="00C30C5B" w:rsidRPr="00986D60">
        <w:t xml:space="preserve"> be measured once patients have begun continuing treatment.</w:t>
      </w:r>
      <w:r w:rsidR="00186F87" w:rsidRPr="00986D60">
        <w:t xml:space="preserve"> To address these issues, the PSCR provided the following additional information: </w:t>
      </w:r>
    </w:p>
    <w:p w:rsidR="00F04EC0" w:rsidRPr="00986D60" w:rsidRDefault="00016FFC" w:rsidP="00186F87">
      <w:pPr>
        <w:pStyle w:val="Bulletpoints"/>
        <w:ind w:left="1077" w:hanging="357"/>
      </w:pPr>
      <w:r w:rsidRPr="00986D60">
        <w:rPr>
          <w:u w:val="single"/>
        </w:rPr>
        <w:t>Initial supply:</w:t>
      </w:r>
      <w:r w:rsidRPr="00986D60">
        <w:t xml:space="preserve"> </w:t>
      </w:r>
      <w:r w:rsidR="00213AE7" w:rsidRPr="00986D60">
        <w:t>The PSCR proposed an initial restriction</w:t>
      </w:r>
      <w:r w:rsidR="00EB7873" w:rsidRPr="00986D60">
        <w:t xml:space="preserve"> (outlined above)</w:t>
      </w:r>
      <w:r w:rsidR="00213AE7" w:rsidRPr="00986D60">
        <w:t>, however t</w:t>
      </w:r>
      <w:r w:rsidR="003A086A" w:rsidRPr="00986D60">
        <w:t xml:space="preserve">he sponsor </w:t>
      </w:r>
      <w:r w:rsidR="00013D4D" w:rsidRPr="00986D60">
        <w:t>maintained</w:t>
      </w:r>
      <w:r w:rsidR="003A086A" w:rsidRPr="00986D60">
        <w:t xml:space="preserve"> </w:t>
      </w:r>
      <w:r w:rsidR="007C0A1A" w:rsidRPr="00986D60">
        <w:t>that it would</w:t>
      </w:r>
      <w:r w:rsidR="003A086A" w:rsidRPr="00986D60">
        <w:t xml:space="preserve"> </w:t>
      </w:r>
      <w:r w:rsidR="007C0A1A" w:rsidRPr="00986D60">
        <w:t>“</w:t>
      </w:r>
      <w:r w:rsidR="003A086A" w:rsidRPr="00986D60">
        <w:t>provide access to sapropterin for the purpose of sapropterin responsiveness testing as requested by each patient’s metabolic physician who would conduct the testing and determine sapropterin responsiveness at their usual PKU clinics</w:t>
      </w:r>
      <w:r w:rsidR="00186F87" w:rsidRPr="00986D60">
        <w:t>”.</w:t>
      </w:r>
      <w:r w:rsidR="007C0A1A" w:rsidRPr="00986D60">
        <w:t xml:space="preserve"> </w:t>
      </w:r>
    </w:p>
    <w:p w:rsidR="003A086A" w:rsidRPr="00CB318C" w:rsidRDefault="00016FFC" w:rsidP="00186F87">
      <w:pPr>
        <w:pStyle w:val="Bulletpoints"/>
        <w:ind w:left="1077" w:hanging="357"/>
      </w:pPr>
      <w:r w:rsidRPr="00986D60">
        <w:rPr>
          <w:u w:val="single"/>
        </w:rPr>
        <w:t>Initial response:</w:t>
      </w:r>
      <w:r w:rsidRPr="00986D60">
        <w:t xml:space="preserve"> </w:t>
      </w:r>
      <w:r w:rsidR="00186F87" w:rsidRPr="00986D60">
        <w:t>The PSCR stated that, for sapropterin responsiveness testing, it envisaged that clinicians w</w:t>
      </w:r>
      <w:r w:rsidR="00081B21" w:rsidRPr="00986D60">
        <w:t>ould</w:t>
      </w:r>
      <w:r w:rsidR="00186F87" w:rsidRPr="00986D60">
        <w:t xml:space="preserve"> be guided by the recommended dosing regimen from </w:t>
      </w:r>
      <w:r w:rsidR="00186F87" w:rsidRPr="00CB318C">
        <w:t>the Product Information: seven days of sapropterin 10</w:t>
      </w:r>
      <w:r w:rsidR="00213AE7" w:rsidRPr="00CB318C">
        <w:t> </w:t>
      </w:r>
      <w:r w:rsidR="00186F87" w:rsidRPr="00CB318C">
        <w:t>mg/kg which can be extended up to one month with sapropterin 20 mg/kg.</w:t>
      </w:r>
    </w:p>
    <w:p w:rsidR="008D5B91" w:rsidRPr="00CB318C" w:rsidRDefault="0034013E" w:rsidP="00160065">
      <w:pPr>
        <w:pStyle w:val="Bulletpoints"/>
        <w:ind w:left="1077" w:hanging="357"/>
      </w:pPr>
      <w:r w:rsidRPr="00CB318C">
        <w:rPr>
          <w:u w:val="single"/>
        </w:rPr>
        <w:t xml:space="preserve">Responsiveness testing: </w:t>
      </w:r>
      <w:r w:rsidR="00186F87" w:rsidRPr="00CB318C">
        <w:t>To determine initial response, t</w:t>
      </w:r>
      <w:r w:rsidR="008078D5" w:rsidRPr="00CB318C">
        <w:t xml:space="preserve">he PSCR </w:t>
      </w:r>
      <w:r w:rsidR="00186F87" w:rsidRPr="00CB318C">
        <w:t>referred to the Product Information, which</w:t>
      </w:r>
      <w:r w:rsidR="008078D5" w:rsidRPr="00CB318C">
        <w:t xml:space="preserve"> define</w:t>
      </w:r>
      <w:r w:rsidR="00C9758A">
        <w:t>d</w:t>
      </w:r>
      <w:r w:rsidR="008078D5" w:rsidRPr="00CB318C">
        <w:t xml:space="preserve"> a satisfactory response as a ≥ 30% reduction in blood Phe levels or attainment of therapeutic blood Phe goals as defined for an individual patient by the treating physician. </w:t>
      </w:r>
      <w:r w:rsidR="00186F87" w:rsidRPr="00CB318C">
        <w:t>The PSCR further noted that</w:t>
      </w:r>
      <w:r w:rsidR="008078D5" w:rsidRPr="00CB318C">
        <w:t xml:space="preserve"> the sapropterin clinical trials defined sapropterin responsiveness as a ≥ 30% reduction in blood Phe levels</w:t>
      </w:r>
      <w:r w:rsidR="00186F87" w:rsidRPr="00CB318C">
        <w:t xml:space="preserve">, </w:t>
      </w:r>
      <w:r w:rsidR="00D0011F" w:rsidRPr="00CB318C">
        <w:t>but also</w:t>
      </w:r>
      <w:r w:rsidR="00186F87" w:rsidRPr="00CB318C">
        <w:t xml:space="preserve"> considered that clinical judgement may be relevant (e.g. if Phe levels are elevated due to illness or dietary overcorrection)</w:t>
      </w:r>
      <w:r w:rsidR="008078D5" w:rsidRPr="00CB318C">
        <w:t>.</w:t>
      </w:r>
      <w:r w:rsidR="00154D4E" w:rsidRPr="00CB318C">
        <w:t xml:space="preserve"> </w:t>
      </w:r>
      <w:r w:rsidR="00CB318C" w:rsidRPr="00CB318C">
        <w:t xml:space="preserve">The PBAC </w:t>
      </w:r>
      <w:r w:rsidR="000266BC">
        <w:t>considered</w:t>
      </w:r>
      <w:r w:rsidR="00CB318C" w:rsidRPr="00CB318C">
        <w:t xml:space="preserve"> that the </w:t>
      </w:r>
      <w:r w:rsidR="00063220">
        <w:t>resubmission</w:t>
      </w:r>
      <w:r w:rsidR="00CB318C" w:rsidRPr="00CB318C">
        <w:t xml:space="preserve"> had not provided </w:t>
      </w:r>
      <w:r w:rsidR="00160065">
        <w:t xml:space="preserve">sufficient </w:t>
      </w:r>
      <w:r w:rsidR="00CB318C" w:rsidRPr="00CB318C">
        <w:t xml:space="preserve">evidence </w:t>
      </w:r>
      <w:r w:rsidR="00C9758A">
        <w:t xml:space="preserve">regarding: the processes for responsiveness testing; </w:t>
      </w:r>
      <w:r w:rsidR="00CB318C" w:rsidRPr="00CB318C">
        <w:t xml:space="preserve">that the treatment effect varies between individuals; </w:t>
      </w:r>
      <w:r w:rsidR="00C9758A">
        <w:t xml:space="preserve">that </w:t>
      </w:r>
      <w:r w:rsidR="00CB318C" w:rsidRPr="00CB318C">
        <w:t>this variation cannot be determined based on gen</w:t>
      </w:r>
      <w:r w:rsidR="00160065">
        <w:t>otyping</w:t>
      </w:r>
      <w:r w:rsidR="00C11A77">
        <w:t xml:space="preserve"> </w:t>
      </w:r>
      <w:r w:rsidR="00CB318C" w:rsidRPr="00CB318C">
        <w:t xml:space="preserve">or </w:t>
      </w:r>
      <w:r w:rsidR="00C24846">
        <w:t>clinic-</w:t>
      </w:r>
      <w:r w:rsidR="00CB318C" w:rsidRPr="00CB318C">
        <w:t xml:space="preserve">pathological features alone; </w:t>
      </w:r>
      <w:r w:rsidR="00160065">
        <w:t xml:space="preserve">and </w:t>
      </w:r>
      <w:r w:rsidR="00C9758A">
        <w:t xml:space="preserve">that </w:t>
      </w:r>
      <w:r w:rsidR="00CB318C" w:rsidRPr="00CB318C">
        <w:t>not all individuals meet the treatment targets.</w:t>
      </w:r>
      <w:r w:rsidR="00447314" w:rsidRPr="00CB318C">
        <w:t xml:space="preserve"> </w:t>
      </w:r>
      <w:r w:rsidR="00CB318C" w:rsidRPr="00CB318C">
        <w:t xml:space="preserve">Further, </w:t>
      </w:r>
      <w:r w:rsidR="00CB318C">
        <w:t xml:space="preserve">while </w:t>
      </w:r>
      <w:r w:rsidR="00CB318C" w:rsidRPr="00CB318C">
        <w:t>the PBAC noted that a reduction in 30% in Phe was the cut-off used for determining initial responsiveness in</w:t>
      </w:r>
      <w:r w:rsidR="00322313">
        <w:t xml:space="preserve"> some</w:t>
      </w:r>
      <w:r w:rsidR="00CB318C" w:rsidRPr="00CB318C">
        <w:t xml:space="preserve"> clinical </w:t>
      </w:r>
      <w:r w:rsidR="00322313">
        <w:t>studie</w:t>
      </w:r>
      <w:r w:rsidR="00CB318C" w:rsidRPr="00CB318C">
        <w:t xml:space="preserve">s, the PBAC considered that </w:t>
      </w:r>
      <w:r w:rsidR="00CB318C">
        <w:t xml:space="preserve">the </w:t>
      </w:r>
      <w:r w:rsidR="00063220">
        <w:t>resubmission</w:t>
      </w:r>
      <w:r w:rsidR="00160065">
        <w:t xml:space="preserve"> had n</w:t>
      </w:r>
      <w:r w:rsidR="00C24846">
        <w:t>either</w:t>
      </w:r>
      <w:r w:rsidR="00160065">
        <w:t xml:space="preserve"> described the </w:t>
      </w:r>
      <w:r w:rsidR="00C11A77">
        <w:t>underlying basis</w:t>
      </w:r>
      <w:r w:rsidR="00160065">
        <w:t xml:space="preserve"> </w:t>
      </w:r>
      <w:r w:rsidR="00C11A77">
        <w:t xml:space="preserve">for </w:t>
      </w:r>
      <w:r w:rsidR="00160065">
        <w:t>this target</w:t>
      </w:r>
      <w:r w:rsidR="00CB318C">
        <w:t xml:space="preserve">, nor whether the </w:t>
      </w:r>
      <w:r w:rsidR="00CB318C" w:rsidRPr="00CB318C">
        <w:t xml:space="preserve">30% </w:t>
      </w:r>
      <w:r w:rsidR="00CB318C">
        <w:t xml:space="preserve">reduction </w:t>
      </w:r>
      <w:r w:rsidR="00322313">
        <w:t>was</w:t>
      </w:r>
      <w:r w:rsidR="00CB318C">
        <w:t xml:space="preserve"> </w:t>
      </w:r>
      <w:r w:rsidR="00CB318C" w:rsidRPr="00CB318C">
        <w:t>relevant regardless of baseline Phe levels.</w:t>
      </w:r>
    </w:p>
    <w:p w:rsidR="00F75CBB" w:rsidRPr="00986D60" w:rsidRDefault="00F75CBB" w:rsidP="00F75CBB">
      <w:pPr>
        <w:pStyle w:val="Bulletpoints"/>
        <w:ind w:left="1077" w:hanging="357"/>
      </w:pPr>
      <w:r w:rsidRPr="00CB318C">
        <w:t xml:space="preserve">To make </w:t>
      </w:r>
      <w:r w:rsidR="00016FFC" w:rsidRPr="00CB318C">
        <w:t xml:space="preserve">attainment of an </w:t>
      </w:r>
      <w:r w:rsidRPr="00CB318C">
        <w:t>initial response auditable, the PSCR proposed that clinicians would be required to provide documentation</w:t>
      </w:r>
      <w:r w:rsidRPr="00986D60">
        <w:t xml:space="preserve"> of sapropterin responsiveness. That is, the </w:t>
      </w:r>
      <w:r w:rsidR="00EB7873" w:rsidRPr="00986D60">
        <w:t xml:space="preserve">PSCR’s </w:t>
      </w:r>
      <w:r w:rsidRPr="00986D60">
        <w:t>proposed initial PBS restriction include</w:t>
      </w:r>
      <w:r w:rsidR="00D0011F" w:rsidRPr="00986D60">
        <w:t>d</w:t>
      </w:r>
      <w:r w:rsidRPr="00986D60">
        <w:t xml:space="preserve"> the</w:t>
      </w:r>
      <w:r w:rsidR="00D0011F" w:rsidRPr="00986D60">
        <w:t xml:space="preserve"> prescriber</w:t>
      </w:r>
      <w:r w:rsidRPr="00986D60">
        <w:t xml:space="preserve"> instruction that “The authority application must </w:t>
      </w:r>
      <w:r w:rsidR="00013D4D" w:rsidRPr="00986D60">
        <w:t>…</w:t>
      </w:r>
      <w:r w:rsidRPr="00986D60">
        <w:t xml:space="preserve"> include … documented response to sapropterin”. Though not </w:t>
      </w:r>
      <w:r w:rsidR="00D0011F" w:rsidRPr="00986D60">
        <w:t>stat</w:t>
      </w:r>
      <w:r w:rsidRPr="00986D60">
        <w:t xml:space="preserve">ed in the proposed restriction, the PSCR proposed </w:t>
      </w:r>
      <w:r w:rsidR="00D0011F" w:rsidRPr="00986D60">
        <w:t>that</w:t>
      </w:r>
      <w:r w:rsidR="00186F87" w:rsidRPr="00986D60">
        <w:t xml:space="preserve"> blood Phe measurements</w:t>
      </w:r>
      <w:r w:rsidR="00D0011F" w:rsidRPr="00986D60">
        <w:t xml:space="preserve"> would be required</w:t>
      </w:r>
      <w:r w:rsidR="00186F87" w:rsidRPr="00986D60">
        <w:t xml:space="preserve"> at baseline (prior to responsiveness testing) and </w:t>
      </w:r>
      <w:r w:rsidR="00D0011F" w:rsidRPr="00986D60">
        <w:t>when</w:t>
      </w:r>
      <w:r w:rsidR="00186F87" w:rsidRPr="00986D60">
        <w:t xml:space="preserve"> response is achieved (i.e. </w:t>
      </w:r>
      <w:r w:rsidR="00EB7873" w:rsidRPr="00986D60">
        <w:t xml:space="preserve">after </w:t>
      </w:r>
      <w:r w:rsidR="00186F87" w:rsidRPr="00986D60">
        <w:t>up to 28 days)</w:t>
      </w:r>
      <w:r w:rsidRPr="00986D60">
        <w:t xml:space="preserve">. </w:t>
      </w:r>
    </w:p>
    <w:p w:rsidR="00013D4D" w:rsidRPr="00986D60" w:rsidRDefault="00016FFC" w:rsidP="00B02E2D">
      <w:pPr>
        <w:pStyle w:val="Bulletpoints"/>
        <w:spacing w:after="120"/>
        <w:ind w:left="1077" w:hanging="357"/>
      </w:pPr>
      <w:r w:rsidRPr="00986D60">
        <w:rPr>
          <w:u w:val="single"/>
        </w:rPr>
        <w:t>Continuing response:</w:t>
      </w:r>
      <w:r w:rsidRPr="00986D60">
        <w:t xml:space="preserve"> </w:t>
      </w:r>
      <w:r w:rsidR="00F75CBB" w:rsidRPr="00986D60">
        <w:t xml:space="preserve">For continuing </w:t>
      </w:r>
      <w:r w:rsidR="00013D4D" w:rsidRPr="00986D60">
        <w:t>access</w:t>
      </w:r>
      <w:r w:rsidR="00F75CBB" w:rsidRPr="00986D60">
        <w:t xml:space="preserve">, the PSCR proposed that </w:t>
      </w:r>
      <w:r w:rsidR="00186F87" w:rsidRPr="00986D60">
        <w:t xml:space="preserve">evidence of sustained benefit </w:t>
      </w:r>
      <w:r w:rsidR="00F75CBB" w:rsidRPr="00986D60">
        <w:t>would need to be provided</w:t>
      </w:r>
      <w:r w:rsidR="00186F87" w:rsidRPr="00986D60">
        <w:t xml:space="preserve"> every six months</w:t>
      </w:r>
      <w:r w:rsidR="00F75CBB" w:rsidRPr="00986D60">
        <w:t>. That is, the proposed continuing restriction included the in</w:t>
      </w:r>
      <w:r w:rsidR="00013D4D" w:rsidRPr="00986D60">
        <w:t>struction that “the authority application must … include documentation of blood phenylalanine levels within the target range, or a maintenance of blood phenylalanine levels achieved at sapropterin responsiveness testing”.</w:t>
      </w:r>
      <w:r w:rsidR="00186F87" w:rsidRPr="00986D60">
        <w:t xml:space="preserve"> </w:t>
      </w:r>
    </w:p>
    <w:p w:rsidR="00554C6B" w:rsidRPr="00AB65F3" w:rsidRDefault="00AB65F3" w:rsidP="00AB65F3">
      <w:pPr>
        <w:pStyle w:val="ListParagraph"/>
        <w:widowControl/>
        <w:numPr>
          <w:ilvl w:val="1"/>
          <w:numId w:val="36"/>
        </w:numPr>
        <w:ind w:left="709" w:hanging="709"/>
      </w:pPr>
      <w:r w:rsidRPr="00AB65F3">
        <w:rPr>
          <w:rFonts w:asciiTheme="minorHAnsi" w:hAnsiTheme="minorHAnsi"/>
          <w:szCs w:val="24"/>
        </w:rPr>
        <w:t xml:space="preserve">DUSC </w:t>
      </w:r>
      <w:r w:rsidR="00A108F5">
        <w:rPr>
          <w:rFonts w:asciiTheme="minorHAnsi" w:hAnsiTheme="minorHAnsi"/>
          <w:szCs w:val="24"/>
        </w:rPr>
        <w:t>was concerned that the revised initial restriction</w:t>
      </w:r>
      <w:r w:rsidR="00A108F5" w:rsidRPr="00A108F5">
        <w:rPr>
          <w:rFonts w:asciiTheme="minorHAnsi" w:hAnsiTheme="minorHAnsi"/>
          <w:szCs w:val="24"/>
        </w:rPr>
        <w:t xml:space="preserve"> </w:t>
      </w:r>
      <w:r w:rsidR="00287164">
        <w:rPr>
          <w:rFonts w:asciiTheme="minorHAnsi" w:hAnsiTheme="minorHAnsi"/>
          <w:szCs w:val="24"/>
        </w:rPr>
        <w:t xml:space="preserve">proposed in the PSCR </w:t>
      </w:r>
      <w:r w:rsidR="004D4C49">
        <w:rPr>
          <w:rFonts w:asciiTheme="minorHAnsi" w:hAnsiTheme="minorHAnsi"/>
          <w:szCs w:val="24"/>
        </w:rPr>
        <w:t>did not address that determination of sapropterin response lies outside the PBS and is</w:t>
      </w:r>
      <w:r w:rsidR="00A108F5" w:rsidRPr="00AB65F3">
        <w:rPr>
          <w:rFonts w:asciiTheme="minorHAnsi" w:hAnsiTheme="minorHAnsi"/>
          <w:szCs w:val="24"/>
        </w:rPr>
        <w:t xml:space="preserve"> clinical</w:t>
      </w:r>
      <w:r w:rsidR="004D4C49">
        <w:rPr>
          <w:rFonts w:asciiTheme="minorHAnsi" w:hAnsiTheme="minorHAnsi"/>
          <w:szCs w:val="24"/>
        </w:rPr>
        <w:t>ly</w:t>
      </w:r>
      <w:r w:rsidR="00A108F5" w:rsidRPr="00AB65F3">
        <w:rPr>
          <w:rFonts w:asciiTheme="minorHAnsi" w:hAnsiTheme="minorHAnsi"/>
          <w:szCs w:val="24"/>
        </w:rPr>
        <w:t xml:space="preserve"> subjectiv</w:t>
      </w:r>
      <w:r w:rsidR="004D4C49">
        <w:rPr>
          <w:rFonts w:asciiTheme="minorHAnsi" w:hAnsiTheme="minorHAnsi"/>
          <w:szCs w:val="24"/>
        </w:rPr>
        <w:t>e</w:t>
      </w:r>
      <w:r w:rsidR="00A108F5">
        <w:rPr>
          <w:rFonts w:asciiTheme="minorHAnsi" w:hAnsiTheme="minorHAnsi"/>
          <w:szCs w:val="24"/>
        </w:rPr>
        <w:t>;</w:t>
      </w:r>
      <w:r w:rsidR="00554C6B" w:rsidRPr="00AB65F3">
        <w:rPr>
          <w:rFonts w:asciiTheme="minorHAnsi" w:hAnsiTheme="minorHAnsi"/>
          <w:szCs w:val="24"/>
        </w:rPr>
        <w:t xml:space="preserve"> and </w:t>
      </w:r>
      <w:r w:rsidR="00287164">
        <w:rPr>
          <w:rFonts w:asciiTheme="minorHAnsi" w:hAnsiTheme="minorHAnsi"/>
          <w:szCs w:val="24"/>
        </w:rPr>
        <w:t xml:space="preserve">that </w:t>
      </w:r>
      <w:r w:rsidR="00554C6B" w:rsidRPr="00AB65F3">
        <w:rPr>
          <w:rFonts w:asciiTheme="minorHAnsi" w:hAnsiTheme="minorHAnsi"/>
          <w:szCs w:val="24"/>
        </w:rPr>
        <w:t>response to sapropterin was not adequately defined</w:t>
      </w:r>
      <w:r w:rsidRPr="00AB65F3">
        <w:rPr>
          <w:rFonts w:asciiTheme="minorHAnsi" w:hAnsiTheme="minorHAnsi"/>
          <w:szCs w:val="24"/>
        </w:rPr>
        <w:t>.</w:t>
      </w:r>
      <w:r w:rsidR="00A108F5" w:rsidRPr="00A108F5">
        <w:rPr>
          <w:rFonts w:asciiTheme="minorHAnsi" w:hAnsiTheme="minorHAnsi"/>
        </w:rPr>
        <w:t xml:space="preserve"> </w:t>
      </w:r>
    </w:p>
    <w:p w:rsidR="00554C6B" w:rsidRPr="00FE5D3F" w:rsidRDefault="00554C6B" w:rsidP="00AB65F3">
      <w:pPr>
        <w:pStyle w:val="ListParagraph"/>
        <w:widowControl/>
        <w:numPr>
          <w:ilvl w:val="1"/>
          <w:numId w:val="36"/>
        </w:numPr>
        <w:ind w:left="709" w:hanging="709"/>
      </w:pPr>
      <w:r w:rsidRPr="00554C6B">
        <w:t xml:space="preserve">DUSC noted that grandfathering arrangements were not proposed. DUSC considered that sapropterin may be available for some PKU patients via hospital pharmacy funding </w:t>
      </w:r>
      <w:r w:rsidRPr="00FE5D3F">
        <w:t xml:space="preserve">arrangements; however the extent of this is unclear.  </w:t>
      </w:r>
    </w:p>
    <w:p w:rsidR="00986D60" w:rsidRPr="0094732A" w:rsidRDefault="00E04A50" w:rsidP="0094732A">
      <w:pPr>
        <w:pStyle w:val="ListParagraph"/>
        <w:widowControl/>
        <w:numPr>
          <w:ilvl w:val="1"/>
          <w:numId w:val="36"/>
        </w:numPr>
        <w:ind w:left="709" w:hanging="709"/>
      </w:pPr>
      <w:r w:rsidRPr="00FE5D3F">
        <w:t xml:space="preserve">The ESC </w:t>
      </w:r>
      <w:r w:rsidR="00B02E2D" w:rsidRPr="00FE5D3F">
        <w:t>c</w:t>
      </w:r>
      <w:r w:rsidR="00257F36" w:rsidRPr="00FE5D3F">
        <w:t xml:space="preserve">onsidered that a number of issues </w:t>
      </w:r>
      <w:r w:rsidR="00892F83" w:rsidRPr="00FE5D3F">
        <w:t xml:space="preserve">with the proposed restriction </w:t>
      </w:r>
      <w:r w:rsidR="00257F36" w:rsidRPr="00FE5D3F">
        <w:t>remained</w:t>
      </w:r>
      <w:r w:rsidR="00892F83" w:rsidRPr="00986D60">
        <w:t xml:space="preserve">, but </w:t>
      </w:r>
      <w:r w:rsidR="001723AF" w:rsidRPr="00986D60">
        <w:t xml:space="preserve">that </w:t>
      </w:r>
      <w:r w:rsidR="00892F83" w:rsidRPr="00986D60">
        <w:t xml:space="preserve">these </w:t>
      </w:r>
      <w:r w:rsidR="001723AF" w:rsidRPr="00986D60">
        <w:t>could only be resolved subsequent to the</w:t>
      </w:r>
      <w:r w:rsidR="00892F83" w:rsidRPr="00986D60">
        <w:t xml:space="preserve"> other</w:t>
      </w:r>
      <w:r w:rsidR="001723AF" w:rsidRPr="00986D60">
        <w:t xml:space="preserve"> clinical issues</w:t>
      </w:r>
      <w:r w:rsidR="00892F83" w:rsidRPr="00986D60">
        <w:t xml:space="preserve"> raised</w:t>
      </w:r>
      <w:r w:rsidR="00E9068E" w:rsidRPr="00986D60">
        <w:t xml:space="preserve">. </w:t>
      </w:r>
    </w:p>
    <w:p w:rsidR="00986D60" w:rsidRPr="0094732A" w:rsidRDefault="00986D60" w:rsidP="0094732A">
      <w:pPr>
        <w:pStyle w:val="ListParagraph"/>
        <w:ind w:left="709"/>
        <w:rPr>
          <w:rFonts w:asciiTheme="minorHAnsi" w:hAnsiTheme="minorHAnsi"/>
          <w:i/>
        </w:rPr>
      </w:pPr>
      <w:r w:rsidRPr="00C20DCC">
        <w:rPr>
          <w:rFonts w:asciiTheme="minorHAnsi" w:hAnsiTheme="minorHAnsi"/>
          <w:i/>
        </w:rPr>
        <w:t>For more detail on PBAC’s view, see section 7 PBAC outcome.</w:t>
      </w:r>
    </w:p>
    <w:p w:rsidR="00B50DB8" w:rsidRPr="00986D60" w:rsidRDefault="00B50DB8" w:rsidP="004C4666">
      <w:pPr>
        <w:pStyle w:val="PBACHeading1"/>
        <w:spacing w:after="120"/>
      </w:pPr>
      <w:bookmarkStart w:id="4" w:name="_Toc503291164"/>
      <w:r w:rsidRPr="00986D60">
        <w:t>Background</w:t>
      </w:r>
      <w:bookmarkEnd w:id="4"/>
    </w:p>
    <w:p w:rsidR="00591957" w:rsidRPr="00777DFF" w:rsidRDefault="00591957" w:rsidP="00777DFF">
      <w:pPr>
        <w:pStyle w:val="Heading2"/>
      </w:pPr>
      <w:r w:rsidRPr="00777DFF">
        <w:t>Registration status</w:t>
      </w:r>
    </w:p>
    <w:p w:rsidR="00B60939" w:rsidRPr="00986D60" w:rsidRDefault="00C30C5B" w:rsidP="007A7ACD">
      <w:pPr>
        <w:pStyle w:val="ListParagraph"/>
        <w:widowControl/>
        <w:numPr>
          <w:ilvl w:val="1"/>
          <w:numId w:val="11"/>
        </w:numPr>
        <w:ind w:left="709" w:hanging="709"/>
      </w:pPr>
      <w:r w:rsidRPr="00986D60">
        <w:t>Sapropterin was TGA registered on the 21</w:t>
      </w:r>
      <w:r w:rsidRPr="00986D60">
        <w:rPr>
          <w:vertAlign w:val="superscript"/>
        </w:rPr>
        <w:t>st</w:t>
      </w:r>
      <w:r w:rsidRPr="00986D60">
        <w:t xml:space="preserve"> October 2010 for “the treatment of HPA in sapropterin-responsive adult and paediatric patients with phenylketonuria (PKU) or tetrahydrobiopterin (BH4) deficiency”. </w:t>
      </w:r>
    </w:p>
    <w:p w:rsidR="00B033E5" w:rsidRPr="005D0DD8" w:rsidRDefault="00AB7458" w:rsidP="00777DFF">
      <w:pPr>
        <w:pStyle w:val="Heading2"/>
      </w:pPr>
      <w:r w:rsidRPr="005D0DD8">
        <w:t>Previous PBAC consideration</w:t>
      </w:r>
    </w:p>
    <w:p w:rsidR="00C30C5B" w:rsidRPr="00986D60" w:rsidRDefault="00C30C5B" w:rsidP="007A7ACD">
      <w:pPr>
        <w:pStyle w:val="ListParagraph"/>
        <w:widowControl/>
        <w:numPr>
          <w:ilvl w:val="1"/>
          <w:numId w:val="11"/>
        </w:numPr>
        <w:ind w:left="709" w:hanging="709"/>
        <w:rPr>
          <w:rFonts w:asciiTheme="minorHAnsi" w:hAnsiTheme="minorHAnsi" w:cstheme="minorHAnsi"/>
          <w:szCs w:val="16"/>
        </w:rPr>
      </w:pPr>
      <w:r w:rsidRPr="00986D60">
        <w:rPr>
          <w:rFonts w:asciiTheme="minorHAnsi" w:hAnsiTheme="minorHAnsi" w:cstheme="minorHAnsi"/>
          <w:snapToGrid/>
          <w:szCs w:val="24"/>
          <w:lang w:val="en-US" w:eastAsia="en-AU"/>
        </w:rPr>
        <w:t xml:space="preserve">Table 3 </w:t>
      </w:r>
      <w:r w:rsidRPr="00986D60">
        <w:rPr>
          <w:rFonts w:asciiTheme="minorHAnsi" w:hAnsiTheme="minorHAnsi" w:cstheme="minorHAnsi"/>
        </w:rPr>
        <w:t>summarises</w:t>
      </w:r>
      <w:r w:rsidRPr="00986D60">
        <w:rPr>
          <w:rFonts w:asciiTheme="minorHAnsi" w:hAnsiTheme="minorHAnsi" w:cstheme="minorHAnsi"/>
          <w:snapToGrid/>
          <w:szCs w:val="24"/>
          <w:lang w:val="en-US" w:eastAsia="en-AU"/>
        </w:rPr>
        <w:t xml:space="preserve"> the key outstanding matters from the previous PBAC consideration. </w:t>
      </w:r>
    </w:p>
    <w:p w:rsidR="00C30C5B" w:rsidRPr="00986D60" w:rsidRDefault="007140D6" w:rsidP="005F08AF">
      <w:pPr>
        <w:keepNext/>
        <w:keepLines/>
        <w:rPr>
          <w:rStyle w:val="CommentReference"/>
        </w:rPr>
      </w:pPr>
      <w:r w:rsidRPr="00986D60">
        <w:rPr>
          <w:rStyle w:val="CommentReference"/>
        </w:rPr>
        <w:t xml:space="preserve">Table 3: </w:t>
      </w:r>
      <w:r w:rsidR="00C30C5B" w:rsidRPr="00986D60">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4569"/>
        <w:gridCol w:w="3459"/>
      </w:tblGrid>
      <w:tr w:rsidR="00C30C5B" w:rsidRPr="00986D60" w:rsidTr="00C5786B">
        <w:trPr>
          <w:tblHeader/>
        </w:trPr>
        <w:tc>
          <w:tcPr>
            <w:tcW w:w="988" w:type="dxa"/>
            <w:vAlign w:val="center"/>
          </w:tcPr>
          <w:p w:rsidR="00C30C5B" w:rsidRPr="00986D60" w:rsidRDefault="00C30C5B" w:rsidP="005F08AF">
            <w:pPr>
              <w:pStyle w:val="Tabletext"/>
              <w:keepNext/>
              <w:keepLines/>
              <w:widowControl w:val="0"/>
              <w:rPr>
                <w:b/>
              </w:rPr>
            </w:pPr>
            <w:r w:rsidRPr="00986D60">
              <w:rPr>
                <w:b/>
              </w:rPr>
              <w:t>Component</w:t>
            </w:r>
          </w:p>
        </w:tc>
        <w:tc>
          <w:tcPr>
            <w:tcW w:w="4569" w:type="dxa"/>
            <w:vAlign w:val="center"/>
          </w:tcPr>
          <w:p w:rsidR="00C30C5B" w:rsidRPr="00986D60" w:rsidRDefault="00C30C5B" w:rsidP="005F08AF">
            <w:pPr>
              <w:pStyle w:val="Tabletext"/>
              <w:keepNext/>
              <w:keepLines/>
              <w:widowControl w:val="0"/>
              <w:jc w:val="center"/>
              <w:rPr>
                <w:b/>
              </w:rPr>
            </w:pPr>
            <w:r w:rsidRPr="00986D60">
              <w:rPr>
                <w:b/>
              </w:rPr>
              <w:t>Matter of concern</w:t>
            </w:r>
            <w:r w:rsidR="00D85BE1" w:rsidRPr="00986D60">
              <w:t xml:space="preserve"> (</w:t>
            </w:r>
            <w:r w:rsidR="00D85BE1" w:rsidRPr="00986D60">
              <w:rPr>
                <w:b/>
              </w:rPr>
              <w:t>November 2011)</w:t>
            </w:r>
          </w:p>
        </w:tc>
        <w:tc>
          <w:tcPr>
            <w:tcW w:w="3459" w:type="dxa"/>
            <w:vAlign w:val="center"/>
          </w:tcPr>
          <w:p w:rsidR="00C30C5B" w:rsidRPr="00986D60" w:rsidRDefault="00C30C5B" w:rsidP="005F08AF">
            <w:pPr>
              <w:pStyle w:val="Tabletext"/>
              <w:keepNext/>
              <w:keepLines/>
              <w:widowControl w:val="0"/>
              <w:jc w:val="center"/>
              <w:rPr>
                <w:b/>
              </w:rPr>
            </w:pPr>
            <w:r w:rsidRPr="00986D60">
              <w:rPr>
                <w:b/>
              </w:rPr>
              <w:t xml:space="preserve">How the </w:t>
            </w:r>
            <w:r w:rsidR="00063220">
              <w:rPr>
                <w:b/>
              </w:rPr>
              <w:t>resubmission</w:t>
            </w:r>
            <w:r w:rsidRPr="00986D60">
              <w:rPr>
                <w:b/>
              </w:rPr>
              <w:t xml:space="preserve"> addresses it</w:t>
            </w:r>
          </w:p>
        </w:tc>
      </w:tr>
      <w:tr w:rsidR="00C30C5B" w:rsidRPr="00986D60" w:rsidTr="00C5786B">
        <w:tc>
          <w:tcPr>
            <w:tcW w:w="988" w:type="dxa"/>
            <w:vAlign w:val="center"/>
          </w:tcPr>
          <w:p w:rsidR="00C30C5B" w:rsidRPr="00986D60" w:rsidRDefault="00C30C5B" w:rsidP="005F08AF">
            <w:pPr>
              <w:pStyle w:val="Tabletext"/>
              <w:keepNext/>
              <w:keepLines/>
              <w:widowControl w:val="0"/>
            </w:pPr>
            <w:r w:rsidRPr="00986D60">
              <w:t>Comparator</w:t>
            </w:r>
          </w:p>
        </w:tc>
        <w:tc>
          <w:tcPr>
            <w:tcW w:w="4569" w:type="dxa"/>
            <w:vAlign w:val="center"/>
          </w:tcPr>
          <w:p w:rsidR="00C30C5B" w:rsidRPr="00986D60" w:rsidRDefault="00C30C5B" w:rsidP="005F08AF">
            <w:pPr>
              <w:pStyle w:val="Tabletext"/>
              <w:keepNext/>
              <w:keepLines/>
              <w:widowControl w:val="0"/>
            </w:pPr>
            <w:r w:rsidRPr="00986D60">
              <w:t>The PBAC did not accept the nominated comparator of placebo plus standard management with a Phe-restricted diet and dietary supplements because of the uncertainty regarding whether sapropterin would replace, or be used as an adjunct, to diet. A more appropriate comparator would have been “standard management with a Phe-restricted diet in combination with Phe-free protein supplements as the same therapeutic outcome (reduction in blood Phe levels) is also achieved by adherence to a Phe-restricted diet in combination with Phe-free protein supplements” (pg 7, Nov 2011 PSD)</w:t>
            </w:r>
          </w:p>
        </w:tc>
        <w:tc>
          <w:tcPr>
            <w:tcW w:w="3459" w:type="dxa"/>
            <w:vAlign w:val="center"/>
          </w:tcPr>
          <w:p w:rsidR="00C30C5B" w:rsidRPr="00986D60" w:rsidRDefault="00C30C5B" w:rsidP="005F08AF">
            <w:pPr>
              <w:pStyle w:val="Tabletext"/>
              <w:keepNext/>
              <w:keepLines/>
              <w:widowControl w:val="0"/>
            </w:pPr>
            <w:r w:rsidRPr="00986D60">
              <w:t xml:space="preserve">The </w:t>
            </w:r>
            <w:r w:rsidR="00063220">
              <w:t>resubmission</w:t>
            </w:r>
            <w:r w:rsidRPr="00986D60">
              <w:t xml:space="preserve"> split the patient population into two sub-groups based on Phe blood</w:t>
            </w:r>
            <w:r w:rsidR="00432BE8" w:rsidRPr="00986D60">
              <w:t xml:space="preserve"> </w:t>
            </w:r>
            <w:r w:rsidRPr="00986D60">
              <w:t>level control, each with a different comparator. Patients with ‘poorly-controlled’ Phe levels have a placebo + a relaxed or abandoned Phe-restricted diet comparator. Patients with ‘well-controlled’ Phe levels have a strict Phe-restricted diet comparator.</w:t>
            </w:r>
          </w:p>
        </w:tc>
      </w:tr>
      <w:tr w:rsidR="00C30C5B" w:rsidRPr="00986D60" w:rsidTr="00C5786B">
        <w:tc>
          <w:tcPr>
            <w:tcW w:w="988" w:type="dxa"/>
            <w:vAlign w:val="center"/>
          </w:tcPr>
          <w:p w:rsidR="00C30C5B" w:rsidRPr="00986D60" w:rsidRDefault="00C30C5B" w:rsidP="005F08AF">
            <w:pPr>
              <w:pStyle w:val="Tabletext"/>
              <w:keepNext/>
              <w:keepLines/>
              <w:widowControl w:val="0"/>
            </w:pPr>
            <w:r w:rsidRPr="00986D60">
              <w:t>Requested Restriction</w:t>
            </w:r>
          </w:p>
        </w:tc>
        <w:tc>
          <w:tcPr>
            <w:tcW w:w="4569" w:type="dxa"/>
            <w:vAlign w:val="center"/>
          </w:tcPr>
          <w:p w:rsidR="00C30C5B" w:rsidRPr="00986D60" w:rsidRDefault="00C30C5B" w:rsidP="005F08AF">
            <w:pPr>
              <w:keepNext/>
              <w:keepLines/>
              <w:autoSpaceDE w:val="0"/>
              <w:autoSpaceDN w:val="0"/>
              <w:adjustRightInd w:val="0"/>
              <w:jc w:val="left"/>
              <w:rPr>
                <w:rFonts w:ascii="Arial Narrow" w:hAnsi="Arial Narrow" w:cs="Times New Roman"/>
                <w:snapToGrid/>
                <w:sz w:val="20"/>
              </w:rPr>
            </w:pPr>
            <w:r w:rsidRPr="00986D60">
              <w:rPr>
                <w:rFonts w:ascii="Arial Narrow" w:hAnsi="Arial Narrow" w:cs="Times New Roman"/>
                <w:snapToGrid/>
                <w:sz w:val="20"/>
              </w:rPr>
              <w:t>“The PBAC was unclear whether the proposed restrictions for treatment of HPA with PKU, which are split by age group with different qualifying Phe levels, were clinically appropriate and how they would relate to clinical practice” and were uncertain about “clinical relevance of a 30% reduction in baseline levels” (pg 8, Nov 2011 PSD).</w:t>
            </w:r>
          </w:p>
        </w:tc>
        <w:tc>
          <w:tcPr>
            <w:tcW w:w="3459" w:type="dxa"/>
            <w:vAlign w:val="center"/>
          </w:tcPr>
          <w:p w:rsidR="00C30C5B" w:rsidRPr="00986D60" w:rsidRDefault="00D85BE1" w:rsidP="005F08AF">
            <w:pPr>
              <w:pStyle w:val="Tabletext"/>
              <w:keepNext/>
              <w:keepLines/>
              <w:widowControl w:val="0"/>
            </w:pPr>
            <w:r w:rsidRPr="00986D60">
              <w:t>Proposed restriction was for patients who are sapropterin responsive (sponsor proposed that it would provide access to sapropterin for responsiveness testing). N</w:t>
            </w:r>
            <w:r w:rsidR="00C30C5B" w:rsidRPr="00986D60">
              <w:t>ot restricted by age or blood Phe-control</w:t>
            </w:r>
            <w:r w:rsidR="00EB7873" w:rsidRPr="00986D60">
              <w:t>.</w:t>
            </w:r>
            <w:r w:rsidR="00C30C5B" w:rsidRPr="00986D60">
              <w:t xml:space="preserve"> The </w:t>
            </w:r>
            <w:r w:rsidRPr="00986D60">
              <w:t>restrictions proposed in the PSCR d</w:t>
            </w:r>
            <w:r w:rsidR="00C5786B" w:rsidRPr="00986D60">
              <w:t>id</w:t>
            </w:r>
            <w:r w:rsidRPr="00986D60">
              <w:t xml:space="preserve"> not include specific thresholds for defining initial</w:t>
            </w:r>
            <w:r w:rsidR="00EB7873" w:rsidRPr="00986D60">
              <w:t xml:space="preserve"> or continuing</w:t>
            </w:r>
            <w:r w:rsidRPr="00986D60">
              <w:t xml:space="preserve"> response.</w:t>
            </w:r>
          </w:p>
        </w:tc>
      </w:tr>
      <w:tr w:rsidR="007140D6" w:rsidRPr="00986D60" w:rsidTr="00C5786B">
        <w:tc>
          <w:tcPr>
            <w:tcW w:w="988" w:type="dxa"/>
            <w:vAlign w:val="center"/>
          </w:tcPr>
          <w:p w:rsidR="007140D6" w:rsidRPr="00986D60" w:rsidRDefault="007140D6" w:rsidP="005F08AF">
            <w:pPr>
              <w:pStyle w:val="Tabletext"/>
              <w:keepNext/>
              <w:keepLines/>
              <w:widowControl w:val="0"/>
            </w:pPr>
            <w:r w:rsidRPr="00986D60">
              <w:t xml:space="preserve">Evidence </w:t>
            </w:r>
          </w:p>
        </w:tc>
        <w:tc>
          <w:tcPr>
            <w:tcW w:w="4569" w:type="dxa"/>
            <w:vAlign w:val="center"/>
          </w:tcPr>
          <w:p w:rsidR="007140D6" w:rsidRPr="00986D60" w:rsidRDefault="007140D6" w:rsidP="005F08AF">
            <w:pPr>
              <w:keepNext/>
              <w:keepLines/>
              <w:autoSpaceDE w:val="0"/>
              <w:autoSpaceDN w:val="0"/>
              <w:adjustRightInd w:val="0"/>
              <w:jc w:val="left"/>
              <w:rPr>
                <w:rFonts w:ascii="Arial Narrow" w:hAnsi="Arial Narrow" w:cs="Times New Roman"/>
                <w:snapToGrid/>
                <w:sz w:val="20"/>
              </w:rPr>
            </w:pPr>
            <w:r w:rsidRPr="00986D60">
              <w:rPr>
                <w:rFonts w:ascii="Arial Narrow" w:hAnsi="Arial Narrow" w:cs="Times New Roman"/>
                <w:snapToGrid/>
                <w:sz w:val="20"/>
              </w:rPr>
              <w:t>“There were no data to suggest whether treatment with sapropterin allows meaningful changes in dietary restrictions for some patients over the long term, or in patients uncontrolled using a Phe-restricted diet” (p8, Nov 2011 PSD)..</w:t>
            </w:r>
          </w:p>
        </w:tc>
        <w:tc>
          <w:tcPr>
            <w:tcW w:w="3459" w:type="dxa"/>
            <w:vAlign w:val="center"/>
          </w:tcPr>
          <w:p w:rsidR="007140D6" w:rsidRPr="00986D60" w:rsidRDefault="007140D6" w:rsidP="005F08AF">
            <w:pPr>
              <w:pStyle w:val="Tabletext"/>
              <w:keepNext/>
              <w:keepLines/>
              <w:widowControl w:val="0"/>
            </w:pPr>
            <w:r w:rsidRPr="00986D60">
              <w:t xml:space="preserve">Longer-term data </w:t>
            </w:r>
            <w:r w:rsidR="00EB7873" w:rsidRPr="00986D60">
              <w:t>wa</w:t>
            </w:r>
            <w:r w:rsidRPr="00986D60">
              <w:t>s presented showing continued increased Phe tolerance among those well controlled. No data reported for dietary changes among those uncontrolled.</w:t>
            </w:r>
          </w:p>
        </w:tc>
      </w:tr>
      <w:tr w:rsidR="00C30C5B" w:rsidRPr="00986D60" w:rsidTr="00C5786B">
        <w:tc>
          <w:tcPr>
            <w:tcW w:w="988" w:type="dxa"/>
            <w:vAlign w:val="center"/>
          </w:tcPr>
          <w:p w:rsidR="00C30C5B" w:rsidRPr="00986D60" w:rsidRDefault="00C30C5B" w:rsidP="005F08AF">
            <w:pPr>
              <w:pStyle w:val="Tabletext"/>
              <w:keepNext/>
              <w:keepLines/>
              <w:widowControl w:val="0"/>
            </w:pPr>
            <w:r w:rsidRPr="00986D60">
              <w:t>Utility values</w:t>
            </w:r>
          </w:p>
        </w:tc>
        <w:tc>
          <w:tcPr>
            <w:tcW w:w="4569" w:type="dxa"/>
            <w:vAlign w:val="center"/>
          </w:tcPr>
          <w:p w:rsidR="00C30C5B" w:rsidRPr="00986D60" w:rsidRDefault="00C30C5B" w:rsidP="005F08AF">
            <w:pPr>
              <w:keepNext/>
              <w:keepLines/>
              <w:autoSpaceDE w:val="0"/>
              <w:autoSpaceDN w:val="0"/>
              <w:adjustRightInd w:val="0"/>
              <w:jc w:val="left"/>
              <w:rPr>
                <w:rFonts w:ascii="Arial Narrow" w:hAnsi="Arial Narrow" w:cs="Times New Roman"/>
                <w:snapToGrid/>
                <w:sz w:val="20"/>
              </w:rPr>
            </w:pPr>
            <w:r w:rsidRPr="00986D60">
              <w:rPr>
                <w:rFonts w:ascii="Arial Narrow" w:hAnsi="Arial Narrow" w:cs="Times New Roman"/>
                <w:snapToGrid/>
                <w:sz w:val="20"/>
              </w:rPr>
              <w:t>Many of the utility values used in the model appeared implausible and associated with uncertainty (pg 8, Nov 2011 PSD).</w:t>
            </w:r>
          </w:p>
        </w:tc>
        <w:tc>
          <w:tcPr>
            <w:tcW w:w="3459" w:type="dxa"/>
            <w:vAlign w:val="center"/>
          </w:tcPr>
          <w:p w:rsidR="00C30C5B" w:rsidRPr="00986D60" w:rsidRDefault="00C5786B" w:rsidP="005F08AF">
            <w:pPr>
              <w:pStyle w:val="Tabletext"/>
              <w:keepNext/>
              <w:keepLines/>
              <w:widowControl w:val="0"/>
            </w:pPr>
            <w:r w:rsidRPr="00986D60">
              <w:t xml:space="preserve">Utility values from evaluator-conducted sensitivity analyses from the previous submission were used, however the derivation of these values was unclear. </w:t>
            </w:r>
          </w:p>
        </w:tc>
      </w:tr>
      <w:tr w:rsidR="00C30C5B" w:rsidRPr="00986D60" w:rsidTr="00C5786B">
        <w:tc>
          <w:tcPr>
            <w:tcW w:w="988" w:type="dxa"/>
            <w:vAlign w:val="center"/>
          </w:tcPr>
          <w:p w:rsidR="00C30C5B" w:rsidRPr="00986D60" w:rsidRDefault="00C30C5B" w:rsidP="005F08AF">
            <w:pPr>
              <w:pStyle w:val="Tabletext"/>
              <w:keepNext/>
              <w:keepLines/>
              <w:widowControl w:val="0"/>
            </w:pPr>
            <w:r w:rsidRPr="00986D60">
              <w:t>Financial estimates</w:t>
            </w:r>
          </w:p>
        </w:tc>
        <w:tc>
          <w:tcPr>
            <w:tcW w:w="4569" w:type="dxa"/>
            <w:vAlign w:val="center"/>
          </w:tcPr>
          <w:p w:rsidR="00C30C5B" w:rsidRPr="00986D60" w:rsidRDefault="00C30C5B" w:rsidP="005F08AF">
            <w:pPr>
              <w:keepNext/>
              <w:keepLines/>
              <w:autoSpaceDE w:val="0"/>
              <w:autoSpaceDN w:val="0"/>
              <w:adjustRightInd w:val="0"/>
              <w:jc w:val="left"/>
              <w:rPr>
                <w:rFonts w:ascii="Arial Narrow" w:hAnsi="Arial Narrow" w:cs="Times New Roman"/>
                <w:snapToGrid/>
                <w:sz w:val="20"/>
              </w:rPr>
            </w:pPr>
            <w:r w:rsidRPr="00986D60">
              <w:rPr>
                <w:rFonts w:ascii="Arial Narrow" w:hAnsi="Arial Narrow" w:cs="Times New Roman"/>
                <w:snapToGrid/>
                <w:sz w:val="20"/>
              </w:rPr>
              <w:t xml:space="preserve">Patients aged over 40 years were inappropriately excluded, and estimates did not “account for patients continuing PBS treatment with sapropterin via grandfathering </w:t>
            </w:r>
            <w:r w:rsidRPr="00986D60">
              <w:rPr>
                <w:rFonts w:ascii="Arial Narrow" w:hAnsi="Arial Narrow" w:cs="Times New Roman"/>
                <w:sz w:val="20"/>
              </w:rPr>
              <w:t>which is inconsistent with the requested listing” (</w:t>
            </w:r>
            <w:r w:rsidRPr="00986D60">
              <w:rPr>
                <w:rFonts w:ascii="Arial Narrow" w:hAnsi="Arial Narrow" w:cs="Times New Roman"/>
                <w:snapToGrid/>
                <w:sz w:val="20"/>
              </w:rPr>
              <w:t>pg 8, Nov 2011 PSD).</w:t>
            </w:r>
          </w:p>
        </w:tc>
        <w:tc>
          <w:tcPr>
            <w:tcW w:w="3459" w:type="dxa"/>
            <w:vAlign w:val="center"/>
          </w:tcPr>
          <w:p w:rsidR="00C30C5B" w:rsidRPr="00986D60" w:rsidRDefault="00C30C5B" w:rsidP="005F08AF">
            <w:pPr>
              <w:pStyle w:val="Tabletext"/>
              <w:keepNext/>
              <w:keepLines/>
              <w:widowControl w:val="0"/>
            </w:pPr>
            <w:r w:rsidRPr="00986D60">
              <w:t xml:space="preserve">Financial estimates excluded patients aged &gt;51 in 2017. </w:t>
            </w:r>
            <w:r w:rsidR="007140D6" w:rsidRPr="00986D60">
              <w:t>No grandfathering was proposed.</w:t>
            </w:r>
          </w:p>
        </w:tc>
      </w:tr>
    </w:tbl>
    <w:p w:rsidR="00986D60" w:rsidRPr="0094732A" w:rsidRDefault="00C30C5B" w:rsidP="0094732A">
      <w:pPr>
        <w:pStyle w:val="TableFooter"/>
        <w:keepNext/>
        <w:keepLines/>
        <w:spacing w:after="120"/>
      </w:pPr>
      <w:r w:rsidRPr="00986D60">
        <w:t>Source: Section</w:t>
      </w:r>
      <w:r w:rsidR="007140D6" w:rsidRPr="00986D60">
        <w:t>s</w:t>
      </w:r>
      <w:r w:rsidRPr="00986D60">
        <w:t xml:space="preserve"> 1, </w:t>
      </w:r>
      <w:r w:rsidR="007140D6" w:rsidRPr="00986D60">
        <w:t xml:space="preserve">2 3 and 4 of the </w:t>
      </w:r>
      <w:r w:rsidR="00063220">
        <w:t>resubmission</w:t>
      </w:r>
    </w:p>
    <w:p w:rsidR="00986D60" w:rsidRPr="0094732A" w:rsidRDefault="00986D60" w:rsidP="0094732A">
      <w:pPr>
        <w:spacing w:after="160"/>
        <w:ind w:left="709"/>
        <w:rPr>
          <w:rFonts w:asciiTheme="minorHAnsi" w:hAnsiTheme="minorHAnsi"/>
          <w:i/>
        </w:rPr>
      </w:pPr>
      <w:r w:rsidRPr="00AB3FA4">
        <w:rPr>
          <w:rFonts w:asciiTheme="minorHAnsi" w:hAnsiTheme="minorHAnsi"/>
          <w:i/>
        </w:rPr>
        <w:t>For more detail on PBAC’s v</w:t>
      </w:r>
      <w:r w:rsidR="0094732A">
        <w:rPr>
          <w:rFonts w:asciiTheme="minorHAnsi" w:hAnsiTheme="minorHAnsi"/>
          <w:i/>
        </w:rPr>
        <w:t>iew, see section 7 PBAC outcome.</w:t>
      </w:r>
    </w:p>
    <w:p w:rsidR="00B60939" w:rsidRPr="00986D60" w:rsidRDefault="00203181" w:rsidP="004C4666">
      <w:pPr>
        <w:pStyle w:val="PBACHeading1"/>
        <w:spacing w:after="120"/>
      </w:pPr>
      <w:bookmarkStart w:id="5" w:name="_Toc503291165"/>
      <w:r w:rsidRPr="00986D60">
        <w:t xml:space="preserve">Population and </w:t>
      </w:r>
      <w:r w:rsidR="008E0D3C" w:rsidRPr="00986D60">
        <w:t>d</w:t>
      </w:r>
      <w:r w:rsidRPr="00986D60">
        <w:t>isease</w:t>
      </w:r>
      <w:bookmarkEnd w:id="5"/>
    </w:p>
    <w:p w:rsidR="00191975" w:rsidRPr="00986D60" w:rsidRDefault="007140D6" w:rsidP="007A7ACD">
      <w:pPr>
        <w:pStyle w:val="ListParagraph"/>
        <w:widowControl/>
        <w:numPr>
          <w:ilvl w:val="1"/>
          <w:numId w:val="9"/>
        </w:numPr>
        <w:spacing w:after="120"/>
        <w:ind w:left="709" w:hanging="709"/>
      </w:pPr>
      <w:r w:rsidRPr="00986D60">
        <w:t xml:space="preserve">PKU is a rare inborn </w:t>
      </w:r>
      <w:r w:rsidR="001C6D45" w:rsidRPr="00986D60">
        <w:t>error of metabolism</w:t>
      </w:r>
      <w:r w:rsidRPr="00986D60">
        <w:t xml:space="preserve"> </w:t>
      </w:r>
      <w:r w:rsidR="00051415" w:rsidRPr="00986D60">
        <w:t>that</w:t>
      </w:r>
      <w:r w:rsidRPr="00986D60">
        <w:t xml:space="preserve"> leads to HPA whereby patients </w:t>
      </w:r>
      <w:r w:rsidR="00C11E97" w:rsidRPr="00986D60">
        <w:t>experience</w:t>
      </w:r>
      <w:r w:rsidRPr="00986D60">
        <w:t xml:space="preserve"> elevated levels of the essential amino acid Phe in the blood due to a poorly-functioning enzyme</w:t>
      </w:r>
      <w:r w:rsidR="00C21C85" w:rsidRPr="00986D60">
        <w:t xml:space="preserve"> (phenylalanine hydroxylase)</w:t>
      </w:r>
      <w:r w:rsidRPr="00986D60">
        <w:t xml:space="preserve">. </w:t>
      </w:r>
      <w:r w:rsidR="001C56DB" w:rsidRPr="00986D60">
        <w:t>There is a spectrum of disease severity related to the residual activity of the defective enzyme.</w:t>
      </w:r>
    </w:p>
    <w:p w:rsidR="005556AE" w:rsidRPr="00986D60" w:rsidRDefault="00191975" w:rsidP="007A7ACD">
      <w:pPr>
        <w:pStyle w:val="ListParagraph"/>
        <w:widowControl/>
        <w:numPr>
          <w:ilvl w:val="1"/>
          <w:numId w:val="9"/>
        </w:numPr>
        <w:spacing w:after="120"/>
        <w:ind w:left="709" w:hanging="709"/>
      </w:pPr>
      <w:r w:rsidRPr="00986D60">
        <w:t xml:space="preserve">If untreated in neonates and children, </w:t>
      </w:r>
      <w:r w:rsidR="00432BE8" w:rsidRPr="00986D60">
        <w:t xml:space="preserve">high Phe blood </w:t>
      </w:r>
      <w:r w:rsidR="007140D6" w:rsidRPr="00986D60">
        <w:t>levels can lead to mental retardation, neurocognitive deficits, behavioural abnormalities, seizures and other serious neurological complications.</w:t>
      </w:r>
      <w:r w:rsidRPr="00986D60">
        <w:t xml:space="preserve"> </w:t>
      </w:r>
      <w:r w:rsidR="001C56DB" w:rsidRPr="00986D60">
        <w:t xml:space="preserve">By around 10 to 12 years of age, IQ appears to be fixed and remains stable independent of Phe levels. </w:t>
      </w:r>
      <w:r w:rsidRPr="00986D60">
        <w:t xml:space="preserve">In </w:t>
      </w:r>
      <w:r w:rsidR="001C56DB" w:rsidRPr="00986D60">
        <w:t>adolescents</w:t>
      </w:r>
      <w:r w:rsidRPr="00986D60">
        <w:t xml:space="preserve"> and adults, high Phe blood</w:t>
      </w:r>
      <w:r w:rsidR="00432BE8" w:rsidRPr="00986D60">
        <w:t xml:space="preserve"> </w:t>
      </w:r>
      <w:r w:rsidRPr="00986D60">
        <w:t>levels can lead to subtle, reversible effects on neurocognition</w:t>
      </w:r>
      <w:r w:rsidR="001C56DB" w:rsidRPr="00986D60">
        <w:t xml:space="preserve"> (</w:t>
      </w:r>
      <w:r w:rsidR="005556AE" w:rsidRPr="00986D60">
        <w:t>Lachmann, 2011)</w:t>
      </w:r>
      <w:r w:rsidR="005556AE" w:rsidRPr="00986D60">
        <w:rPr>
          <w:rStyle w:val="FootnoteReference"/>
        </w:rPr>
        <w:footnoteReference w:id="1"/>
      </w:r>
      <w:r w:rsidR="005556AE" w:rsidRPr="00986D60">
        <w:t>.</w:t>
      </w:r>
    </w:p>
    <w:p w:rsidR="00073854" w:rsidRPr="00986D60" w:rsidRDefault="00073854" w:rsidP="007A7ACD">
      <w:pPr>
        <w:pStyle w:val="ListParagraph"/>
        <w:widowControl/>
        <w:numPr>
          <w:ilvl w:val="1"/>
          <w:numId w:val="9"/>
        </w:numPr>
        <w:spacing w:after="120"/>
        <w:ind w:left="709" w:hanging="709"/>
      </w:pPr>
      <w:r w:rsidRPr="00986D60">
        <w:t xml:space="preserve">The </w:t>
      </w:r>
      <w:r w:rsidR="00063220">
        <w:t>resubmission</w:t>
      </w:r>
      <w:r w:rsidRPr="00986D60">
        <w:t xml:space="preserve"> stated that newborn screening and dietary treatment commencement shortly after birth has eliminated the effects of severe intellectual disability for people with PKU.</w:t>
      </w:r>
    </w:p>
    <w:p w:rsidR="008A7FEA" w:rsidRPr="00986D60" w:rsidRDefault="0058482E" w:rsidP="007A7ACD">
      <w:pPr>
        <w:pStyle w:val="ListParagraph"/>
        <w:widowControl/>
        <w:numPr>
          <w:ilvl w:val="1"/>
          <w:numId w:val="9"/>
        </w:numPr>
        <w:spacing w:after="120"/>
        <w:ind w:left="709" w:hanging="709"/>
      </w:pPr>
      <w:r w:rsidRPr="00986D60">
        <w:t>C</w:t>
      </w:r>
      <w:r w:rsidR="001C6D45" w:rsidRPr="00986D60">
        <w:t xml:space="preserve">urrent </w:t>
      </w:r>
      <w:r w:rsidRPr="00986D60">
        <w:t xml:space="preserve">management of PKU </w:t>
      </w:r>
      <w:r w:rsidR="001C6D45" w:rsidRPr="00986D60">
        <w:t>i</w:t>
      </w:r>
      <w:r w:rsidR="00576C3D" w:rsidRPr="00986D60">
        <w:t>nvolve</w:t>
      </w:r>
      <w:r w:rsidR="001C6D45" w:rsidRPr="00986D60">
        <w:t xml:space="preserve">s </w:t>
      </w:r>
      <w:r w:rsidR="007140D6" w:rsidRPr="00986D60">
        <w:t>regulating dietary Phe-intake</w:t>
      </w:r>
      <w:r w:rsidR="001C6D45" w:rsidRPr="00986D60">
        <w:t xml:space="preserve"> through</w:t>
      </w:r>
      <w:r w:rsidR="008A7FEA" w:rsidRPr="00986D60">
        <w:t>: restricting natural protein</w:t>
      </w:r>
      <w:r w:rsidR="00E67AB7" w:rsidRPr="00986D60">
        <w:t xml:space="preserve"> intake</w:t>
      </w:r>
      <w:r w:rsidR="008A7FEA" w:rsidRPr="00986D60">
        <w:t>; taking Phe-free amino acid</w:t>
      </w:r>
      <w:r w:rsidR="00322313">
        <w:t>,</w:t>
      </w:r>
      <w:r w:rsidR="008A7FEA" w:rsidRPr="00986D60">
        <w:t xml:space="preserve"> vitamin and mineral</w:t>
      </w:r>
      <w:r w:rsidR="00322313">
        <w:t xml:space="preserve"> supplement</w:t>
      </w:r>
      <w:r w:rsidR="008A7FEA" w:rsidRPr="00986D60">
        <w:t>s to meet protein and non-protein requirements</w:t>
      </w:r>
      <w:r w:rsidR="004B719A" w:rsidRPr="00986D60">
        <w:t>; and consuming l</w:t>
      </w:r>
      <w:r w:rsidR="008A7FEA" w:rsidRPr="00986D60">
        <w:t>ow-protein food to meet energy requirements</w:t>
      </w:r>
      <w:r w:rsidR="004B719A" w:rsidRPr="00986D60">
        <w:t>.</w:t>
      </w:r>
      <w:r w:rsidRPr="00986D60">
        <w:t xml:space="preserve"> The degree of Phe restriction varies and depends on factors such as the severity of PKU, age and growth rate.</w:t>
      </w:r>
    </w:p>
    <w:p w:rsidR="001C6D45" w:rsidRDefault="001C6D45" w:rsidP="007A7ACD">
      <w:pPr>
        <w:pStyle w:val="ListParagraph"/>
        <w:widowControl/>
        <w:numPr>
          <w:ilvl w:val="1"/>
          <w:numId w:val="9"/>
        </w:numPr>
        <w:spacing w:after="120"/>
        <w:ind w:left="709" w:hanging="709"/>
      </w:pPr>
      <w:r w:rsidRPr="00986D60">
        <w:t xml:space="preserve">The resubmission stated the </w:t>
      </w:r>
      <w:r w:rsidR="00695013" w:rsidRPr="00986D60">
        <w:t>current dietary management of PKU is difficult to adhere to because of the restrictions on the type and amount of food intake. It stated that a Phe-restricted diet requires a considerable time commitment and includes weighing foods, keeping records of Phe intake and preparing special low Phe foods.</w:t>
      </w:r>
    </w:p>
    <w:p w:rsidR="00875EB8" w:rsidRPr="00986D60" w:rsidRDefault="00875EB8" w:rsidP="0025757C">
      <w:pPr>
        <w:pStyle w:val="ListParagraph"/>
        <w:widowControl/>
        <w:numPr>
          <w:ilvl w:val="1"/>
          <w:numId w:val="9"/>
        </w:numPr>
        <w:spacing w:after="120"/>
        <w:ind w:left="709" w:hanging="709"/>
      </w:pPr>
      <w:r>
        <w:t xml:space="preserve">The PBAC noted that the </w:t>
      </w:r>
      <w:r w:rsidR="00203599">
        <w:t xml:space="preserve">PKU </w:t>
      </w:r>
      <w:r>
        <w:t xml:space="preserve">diet </w:t>
      </w:r>
      <w:r w:rsidR="0025757C">
        <w:t xml:space="preserve">mainly </w:t>
      </w:r>
      <w:r>
        <w:t>comprises</w:t>
      </w:r>
      <w:r w:rsidR="0025757C">
        <w:t xml:space="preserve"> synthesised low protein foods, </w:t>
      </w:r>
      <w:r w:rsidR="00203599">
        <w:t xml:space="preserve">with restrictions </w:t>
      </w:r>
      <w:r w:rsidR="0025757C">
        <w:t>extending to wheat, rice and other grains, nuts, soy and some vegetables and fruits (e</w:t>
      </w:r>
      <w:r w:rsidR="00203599">
        <w:t>.</w:t>
      </w:r>
      <w:r w:rsidR="0025757C">
        <w:t>g</w:t>
      </w:r>
      <w:r w:rsidR="00203599">
        <w:t>.</w:t>
      </w:r>
      <w:r w:rsidR="0025757C">
        <w:t xml:space="preserve"> bananas,</w:t>
      </w:r>
      <w:r w:rsidR="00203599">
        <w:t xml:space="preserve"> </w:t>
      </w:r>
      <w:r w:rsidR="0025757C">
        <w:t>avocados</w:t>
      </w:r>
      <w:r w:rsidR="00203599">
        <w:t xml:space="preserve"> and</w:t>
      </w:r>
      <w:r w:rsidR="0025757C">
        <w:t xml:space="preserve"> broccoli). The PBAC noted that the daily protein allowance may be as low as 6 grams</w:t>
      </w:r>
      <w:r w:rsidR="00203599" w:rsidRPr="00203599">
        <w:t xml:space="preserve"> </w:t>
      </w:r>
      <w:r w:rsidR="00203599">
        <w:t>in some patients</w:t>
      </w:r>
      <w:r w:rsidR="0025757C">
        <w:t>, which is equivalent to one avocado</w:t>
      </w:r>
      <w:r>
        <w:t>.</w:t>
      </w:r>
    </w:p>
    <w:p w:rsidR="00894489" w:rsidRPr="00986D60" w:rsidRDefault="004B719A" w:rsidP="007A7ACD">
      <w:pPr>
        <w:pStyle w:val="ListParagraph"/>
        <w:widowControl/>
        <w:numPr>
          <w:ilvl w:val="1"/>
          <w:numId w:val="9"/>
        </w:numPr>
        <w:spacing w:after="120"/>
        <w:ind w:left="709" w:hanging="709"/>
      </w:pPr>
      <w:r w:rsidRPr="00986D60">
        <w:t>Guidelines generally recommend maintaining blood Phe levels ≤360 μmol/L</w:t>
      </w:r>
      <w:r w:rsidR="00051415" w:rsidRPr="00986D60">
        <w:t>, although target levels may vary</w:t>
      </w:r>
      <w:r w:rsidRPr="00986D60">
        <w:t>.</w:t>
      </w:r>
      <w:r w:rsidR="00C3770C" w:rsidRPr="00986D60">
        <w:t xml:space="preserve"> </w:t>
      </w:r>
      <w:r w:rsidR="005723E5">
        <w:t>For example, t</w:t>
      </w:r>
      <w:r w:rsidR="005723E5" w:rsidRPr="00986D60">
        <w:t>he Australian guidelines state that in patients over 12 years of age, an informed decision to accept Phe levels above 360μmol/L may be appropriate in some cases.</w:t>
      </w:r>
      <w:r w:rsidR="005723E5">
        <w:t xml:space="preserve"> On the other hand, c</w:t>
      </w:r>
      <w:r w:rsidR="00C3770C" w:rsidRPr="00986D60">
        <w:t>hildren, pregnant women and pre-conception women with PKU are often required to maintain their blood Phe-levels at a lower targeted range than adolescents and adults with PKU.</w:t>
      </w:r>
      <w:r w:rsidR="005723E5">
        <w:t xml:space="preserve"> </w:t>
      </w:r>
    </w:p>
    <w:p w:rsidR="002C2775" w:rsidRPr="00986D60" w:rsidRDefault="007140D6" w:rsidP="007A7ACD">
      <w:pPr>
        <w:pStyle w:val="ListParagraph"/>
        <w:widowControl/>
        <w:numPr>
          <w:ilvl w:val="1"/>
          <w:numId w:val="9"/>
        </w:numPr>
        <w:spacing w:after="120"/>
        <w:ind w:left="709" w:hanging="709"/>
      </w:pPr>
      <w:r w:rsidRPr="00986D60">
        <w:t xml:space="preserve">Sapropterin is proposed as </w:t>
      </w:r>
      <w:r w:rsidR="001F4BF0" w:rsidRPr="00986D60">
        <w:t xml:space="preserve">a </w:t>
      </w:r>
      <w:r w:rsidRPr="00986D60">
        <w:t>first-line therapy in conjunction with a Phe-restricted diet and Phe-free amino acid supplements for those individuals with a diagnosis of PKU and neonatal/untreated Phe blood levels ≥360 µmol/L who are sapropterin-responsive.</w:t>
      </w:r>
    </w:p>
    <w:p w:rsidR="00C3770C" w:rsidRPr="00986D60" w:rsidRDefault="00C3770C" w:rsidP="007A7ACD">
      <w:pPr>
        <w:pStyle w:val="ListParagraph"/>
        <w:widowControl/>
        <w:numPr>
          <w:ilvl w:val="1"/>
          <w:numId w:val="9"/>
        </w:numPr>
        <w:spacing w:after="120"/>
        <w:ind w:left="709" w:hanging="709"/>
      </w:pPr>
      <w:r w:rsidRPr="00986D60">
        <w:t xml:space="preserve">Sapropterin acts by enhancing the activity of the defective enzyme (phenylalanine hydroxylase) allowing Phe to be more effectively metabolised. </w:t>
      </w:r>
      <w:r w:rsidR="00051415" w:rsidRPr="00986D60">
        <w:t>It acts as a cofactor, and appears to work best for certain mutations of the defective enzyme</w:t>
      </w:r>
      <w:r w:rsidRPr="00986D60">
        <w:t xml:space="preserve">. Hence there </w:t>
      </w:r>
      <w:r w:rsidR="00051415" w:rsidRPr="00986D60">
        <w:t>is a</w:t>
      </w:r>
      <w:r w:rsidRPr="00986D60">
        <w:t xml:space="preserve"> subgroup of patients with PKU who </w:t>
      </w:r>
      <w:r w:rsidR="00051415" w:rsidRPr="00986D60">
        <w:t>ar</w:t>
      </w:r>
      <w:r w:rsidRPr="00986D60">
        <w:t>e ‘responsive’ to sapropterin.</w:t>
      </w:r>
      <w:r w:rsidR="00313030" w:rsidRPr="00986D60">
        <w:t xml:space="preserve"> </w:t>
      </w:r>
      <w:r w:rsidRPr="00986D60">
        <w:t xml:space="preserve">The mutant enzymes that are significantly enhanced by sapropterin are generally those that have considerable residual activity. Thus, patients who are most likely to respond to sapropterin are those with lower baseline Phe levels and ‘milder’ disease. </w:t>
      </w:r>
      <w:r w:rsidR="00051415" w:rsidRPr="00986D60">
        <w:t>(Lachmann, 2011)</w:t>
      </w:r>
    </w:p>
    <w:p w:rsidR="00E55BB5" w:rsidRDefault="004B719A" w:rsidP="007A7ACD">
      <w:pPr>
        <w:pStyle w:val="ListParagraph"/>
        <w:widowControl/>
        <w:numPr>
          <w:ilvl w:val="1"/>
          <w:numId w:val="9"/>
        </w:numPr>
        <w:spacing w:after="120"/>
        <w:ind w:left="709" w:hanging="709"/>
      </w:pPr>
      <w:r w:rsidRPr="00986D60">
        <w:t xml:space="preserve">The aim of sapropterin therapy is to </w:t>
      </w:r>
      <w:r w:rsidR="00EB35C1" w:rsidRPr="00986D60">
        <w:t>reduce blood Phe levels and/or improve an individual’s ability to tolerate higher amounts of Phe in the blood</w:t>
      </w:r>
      <w:r w:rsidR="00747B2D" w:rsidRPr="00986D60">
        <w:t xml:space="preserve"> (i.e. maintain blood Phe levels within the target therapeutic range while increasing dietary intake of Phe)</w:t>
      </w:r>
      <w:r w:rsidR="00EB35C1" w:rsidRPr="00986D60">
        <w:t>.</w:t>
      </w:r>
    </w:p>
    <w:p w:rsidR="00986D60" w:rsidRPr="0094732A" w:rsidRDefault="00986D60" w:rsidP="0094732A">
      <w:pPr>
        <w:pStyle w:val="ListParagraph"/>
        <w:spacing w:before="240"/>
        <w:ind w:left="709"/>
        <w:rPr>
          <w:rFonts w:asciiTheme="minorHAnsi" w:hAnsiTheme="minorHAnsi"/>
          <w:i/>
        </w:rPr>
      </w:pPr>
      <w:r w:rsidRPr="00875EB8">
        <w:rPr>
          <w:rFonts w:asciiTheme="minorHAnsi" w:hAnsiTheme="minorHAnsi"/>
          <w:i/>
        </w:rPr>
        <w:t>For more detail on PBAC’s view, see section 7 PBAC outcome.</w:t>
      </w:r>
    </w:p>
    <w:p w:rsidR="00B60939" w:rsidRPr="00986D60" w:rsidRDefault="00B50DB8" w:rsidP="004C4666">
      <w:pPr>
        <w:pStyle w:val="PBACHeading1"/>
        <w:spacing w:after="120"/>
      </w:pPr>
      <w:bookmarkStart w:id="6" w:name="_Toc503291166"/>
      <w:r w:rsidRPr="00986D60">
        <w:t>Comparator</w:t>
      </w:r>
      <w:bookmarkEnd w:id="6"/>
    </w:p>
    <w:p w:rsidR="00EB1AA8" w:rsidRPr="00986D60" w:rsidRDefault="000C0F91" w:rsidP="007A7ACD">
      <w:pPr>
        <w:pStyle w:val="ListParagraph"/>
        <w:widowControl/>
        <w:numPr>
          <w:ilvl w:val="1"/>
          <w:numId w:val="12"/>
        </w:numPr>
        <w:spacing w:after="120"/>
        <w:ind w:left="709" w:hanging="709"/>
      </w:pPr>
      <w:r w:rsidRPr="00986D60">
        <w:rPr>
          <w:rFonts w:cs="Calibri"/>
          <w:snapToGrid/>
          <w:szCs w:val="24"/>
          <w:lang w:val="en-US" w:eastAsia="en-AU"/>
        </w:rPr>
        <w:t>The nominated comparator</w:t>
      </w:r>
      <w:r w:rsidR="00A92CA4" w:rsidRPr="00986D60">
        <w:rPr>
          <w:rFonts w:cs="Calibri"/>
          <w:snapToGrid/>
          <w:szCs w:val="24"/>
          <w:lang w:val="en-US" w:eastAsia="en-AU"/>
        </w:rPr>
        <w:t>s</w:t>
      </w:r>
      <w:r w:rsidRPr="00986D60">
        <w:rPr>
          <w:rFonts w:cs="Calibri"/>
          <w:snapToGrid/>
          <w:szCs w:val="24"/>
          <w:lang w:val="en-US" w:eastAsia="en-AU"/>
        </w:rPr>
        <w:t xml:space="preserve"> </w:t>
      </w:r>
      <w:r w:rsidR="00A92CA4" w:rsidRPr="00986D60">
        <w:rPr>
          <w:rFonts w:cs="Calibri"/>
          <w:snapToGrid/>
          <w:szCs w:val="24"/>
          <w:lang w:val="en-US" w:eastAsia="en-AU"/>
        </w:rPr>
        <w:t xml:space="preserve">changed since the previous submission (see Table 3) and </w:t>
      </w:r>
      <w:r w:rsidR="00EB1AA8" w:rsidRPr="00986D60">
        <w:rPr>
          <w:rFonts w:cs="Calibri"/>
          <w:snapToGrid/>
          <w:szCs w:val="24"/>
          <w:lang w:val="en-US" w:eastAsia="en-AU"/>
        </w:rPr>
        <w:t>w</w:t>
      </w:r>
      <w:r w:rsidR="00A92CA4" w:rsidRPr="00986D60">
        <w:rPr>
          <w:rFonts w:cs="Calibri"/>
          <w:snapToGrid/>
          <w:szCs w:val="24"/>
          <w:lang w:val="en-US" w:eastAsia="en-AU"/>
        </w:rPr>
        <w:t>ere</w:t>
      </w:r>
      <w:r w:rsidR="00EB1AA8" w:rsidRPr="00986D60">
        <w:rPr>
          <w:rFonts w:cs="Calibri"/>
          <w:snapToGrid/>
          <w:szCs w:val="24"/>
          <w:lang w:val="en-US" w:eastAsia="en-AU"/>
        </w:rPr>
        <w:t>:</w:t>
      </w:r>
    </w:p>
    <w:p w:rsidR="00EB1AA8" w:rsidRPr="00986D60" w:rsidRDefault="000C0F91" w:rsidP="001A0DBB">
      <w:pPr>
        <w:pStyle w:val="Bulletpoints"/>
        <w:spacing w:after="120"/>
        <w:ind w:left="1077" w:hanging="357"/>
        <w:contextualSpacing/>
        <w:rPr>
          <w:szCs w:val="22"/>
        </w:rPr>
      </w:pPr>
      <w:r w:rsidRPr="00986D60">
        <w:rPr>
          <w:rFonts w:cs="Calibri"/>
          <w:snapToGrid/>
          <w:lang w:val="en-US" w:eastAsia="en-AU"/>
        </w:rPr>
        <w:t>‘placebo + a relaxed or abandoned diet’ for individuals with poorly-controlled blood Phe-levels</w:t>
      </w:r>
      <w:r w:rsidR="00EB1AA8" w:rsidRPr="00986D60">
        <w:rPr>
          <w:rFonts w:cs="Calibri"/>
          <w:snapToGrid/>
          <w:lang w:val="en-US" w:eastAsia="en-AU"/>
        </w:rPr>
        <w:t xml:space="preserve">. The </w:t>
      </w:r>
      <w:r w:rsidR="00063220">
        <w:rPr>
          <w:rFonts w:cs="Calibri"/>
          <w:snapToGrid/>
          <w:lang w:val="en-US" w:eastAsia="en-AU"/>
        </w:rPr>
        <w:t>resubmission</w:t>
      </w:r>
      <w:r w:rsidR="00EB1AA8" w:rsidRPr="00986D60">
        <w:rPr>
          <w:rFonts w:cs="Calibri"/>
          <w:snapToGrid/>
          <w:lang w:val="en-US" w:eastAsia="en-AU"/>
        </w:rPr>
        <w:t xml:space="preserve"> considered that sapropterin was likely to result in a reduction in blood Phe levels in these patients;</w:t>
      </w:r>
      <w:r w:rsidRPr="00986D60">
        <w:rPr>
          <w:rFonts w:cs="Calibri"/>
          <w:snapToGrid/>
          <w:lang w:val="en-US" w:eastAsia="en-AU"/>
        </w:rPr>
        <w:t xml:space="preserve"> and </w:t>
      </w:r>
    </w:p>
    <w:p w:rsidR="00EB1AA8" w:rsidRPr="00986D60" w:rsidRDefault="000C0F91" w:rsidP="001A0DBB">
      <w:pPr>
        <w:pStyle w:val="Bulletpoints"/>
        <w:spacing w:after="120"/>
        <w:ind w:left="1077" w:hanging="357"/>
        <w:contextualSpacing/>
        <w:rPr>
          <w:szCs w:val="22"/>
        </w:rPr>
      </w:pPr>
      <w:r w:rsidRPr="00986D60">
        <w:rPr>
          <w:rFonts w:cs="Calibri"/>
          <w:snapToGrid/>
          <w:lang w:val="en-US" w:eastAsia="en-AU"/>
        </w:rPr>
        <w:t>‘a strict Phe-restricted diet’ for those with well-controlled blood Phe levels.</w:t>
      </w:r>
      <w:r w:rsidR="002C7F01" w:rsidRPr="00986D60">
        <w:t xml:space="preserve"> </w:t>
      </w:r>
      <w:r w:rsidR="00EB1AA8" w:rsidRPr="00986D60">
        <w:t xml:space="preserve">The </w:t>
      </w:r>
      <w:r w:rsidR="00063220">
        <w:t>resubmission</w:t>
      </w:r>
      <w:r w:rsidR="00EB1AA8" w:rsidRPr="00986D60">
        <w:t xml:space="preserve"> considered that sapropterin was likely to allow a liberalisation of the diet (increased intake of natural protein) in these patients. </w:t>
      </w:r>
      <w:r w:rsidR="003A5DCA" w:rsidRPr="00986D60">
        <w:t>Note that the Phe-diet relates to restricted Phe dietary intake and to Phe-free supplements.</w:t>
      </w:r>
    </w:p>
    <w:p w:rsidR="00EB1AA8" w:rsidRPr="00986D60" w:rsidRDefault="00A92CA4" w:rsidP="00D33562">
      <w:pPr>
        <w:pStyle w:val="ListParagraph"/>
        <w:widowControl/>
        <w:numPr>
          <w:ilvl w:val="1"/>
          <w:numId w:val="12"/>
        </w:numPr>
        <w:spacing w:after="120"/>
        <w:ind w:left="709" w:hanging="709"/>
        <w:rPr>
          <w:rFonts w:cs="Calibri"/>
          <w:snapToGrid/>
          <w:lang w:val="en-US" w:eastAsia="en-AU"/>
        </w:rPr>
      </w:pPr>
      <w:r w:rsidRPr="00986D60">
        <w:rPr>
          <w:rFonts w:cs="Calibri"/>
          <w:snapToGrid/>
          <w:lang w:val="en-US" w:eastAsia="en-AU"/>
        </w:rPr>
        <w:t xml:space="preserve">The </w:t>
      </w:r>
      <w:r w:rsidR="00063220">
        <w:rPr>
          <w:rFonts w:cs="Calibri"/>
          <w:snapToGrid/>
          <w:lang w:val="en-US" w:eastAsia="en-AU"/>
        </w:rPr>
        <w:t>resubmission</w:t>
      </w:r>
      <w:r w:rsidRPr="00986D60">
        <w:rPr>
          <w:rFonts w:cs="Calibri"/>
          <w:snapToGrid/>
          <w:lang w:val="en-US" w:eastAsia="en-AU"/>
        </w:rPr>
        <w:t xml:space="preserve"> noted that the two patient groups were not mutually exclusive, </w:t>
      </w:r>
      <w:r w:rsidR="001A0DBB" w:rsidRPr="001A0DBB">
        <w:rPr>
          <w:rFonts w:cs="Calibri"/>
          <w:snapToGrid/>
          <w:lang w:val="en-US" w:eastAsia="en-AU"/>
        </w:rPr>
        <w:t xml:space="preserve">with most patients cycling between </w:t>
      </w:r>
      <w:r w:rsidR="001A0DBB">
        <w:rPr>
          <w:rFonts w:cs="Calibri"/>
          <w:snapToGrid/>
          <w:lang w:val="en-US" w:eastAsia="en-AU"/>
        </w:rPr>
        <w:t>the groups</w:t>
      </w:r>
      <w:r w:rsidR="001A0DBB" w:rsidRPr="001A0DBB">
        <w:rPr>
          <w:rFonts w:cs="Calibri"/>
          <w:snapToGrid/>
          <w:lang w:val="en-US" w:eastAsia="en-AU"/>
        </w:rPr>
        <w:t xml:space="preserve"> because of the difficulty in maintaining a strict low Phe diet</w:t>
      </w:r>
      <w:r w:rsidR="001A0DBB">
        <w:rPr>
          <w:rFonts w:cs="Calibri"/>
          <w:snapToGrid/>
          <w:lang w:val="en-US" w:eastAsia="en-AU"/>
        </w:rPr>
        <w:t>. Further</w:t>
      </w:r>
      <w:r w:rsidRPr="00986D60">
        <w:rPr>
          <w:rFonts w:cs="Calibri"/>
          <w:snapToGrid/>
          <w:lang w:val="en-US" w:eastAsia="en-AU"/>
        </w:rPr>
        <w:t xml:space="preserve">, the proportion of patients with well-controlled blood Phe levels decreases with age as compliance with a strict diet decreases. </w:t>
      </w:r>
    </w:p>
    <w:p w:rsidR="00986D60" w:rsidRPr="0094732A" w:rsidRDefault="00654311" w:rsidP="0094732A">
      <w:pPr>
        <w:pStyle w:val="ListParagraph"/>
        <w:widowControl/>
        <w:numPr>
          <w:ilvl w:val="1"/>
          <w:numId w:val="12"/>
        </w:numPr>
        <w:spacing w:after="120"/>
        <w:ind w:left="709" w:hanging="709"/>
      </w:pPr>
      <w:r>
        <w:rPr>
          <w:rFonts w:cs="Calibri"/>
          <w:snapToGrid/>
          <w:szCs w:val="24"/>
          <w:lang w:val="en-US" w:eastAsia="en-AU"/>
        </w:rPr>
        <w:t xml:space="preserve">The </w:t>
      </w:r>
      <w:r w:rsidR="00CA7E59">
        <w:rPr>
          <w:rFonts w:cs="Calibri"/>
          <w:snapToGrid/>
          <w:szCs w:val="24"/>
          <w:lang w:val="en-US" w:eastAsia="en-AU"/>
        </w:rPr>
        <w:t xml:space="preserve">PBAC </w:t>
      </w:r>
      <w:r>
        <w:rPr>
          <w:rFonts w:cs="Calibri"/>
          <w:snapToGrid/>
          <w:szCs w:val="24"/>
          <w:lang w:val="en-US" w:eastAsia="en-AU"/>
        </w:rPr>
        <w:t xml:space="preserve">considered that </w:t>
      </w:r>
      <w:r w:rsidR="001A0DBB">
        <w:rPr>
          <w:rFonts w:cs="Calibri"/>
          <w:snapToGrid/>
          <w:szCs w:val="24"/>
          <w:lang w:val="en-US" w:eastAsia="en-AU"/>
        </w:rPr>
        <w:t xml:space="preserve">these </w:t>
      </w:r>
      <w:r w:rsidR="00CA7E59">
        <w:rPr>
          <w:rFonts w:cs="Calibri"/>
          <w:snapToGrid/>
          <w:szCs w:val="24"/>
          <w:lang w:val="en-US" w:eastAsia="en-AU"/>
        </w:rPr>
        <w:t>do</w:t>
      </w:r>
      <w:r w:rsidR="001A0DBB" w:rsidRPr="001A0DBB">
        <w:rPr>
          <w:rFonts w:cs="Calibri"/>
          <w:snapToGrid/>
          <w:szCs w:val="24"/>
          <w:lang w:val="en-US" w:eastAsia="en-AU"/>
        </w:rPr>
        <w:t xml:space="preserve"> not represent two distinct sub-populations sufficient to justify the use of different comparators and outcomes</w:t>
      </w:r>
      <w:r w:rsidR="00CA7E59">
        <w:rPr>
          <w:rFonts w:cs="Calibri"/>
          <w:snapToGrid/>
          <w:szCs w:val="24"/>
          <w:lang w:val="en-US" w:eastAsia="en-AU"/>
        </w:rPr>
        <w:t>,</w:t>
      </w:r>
      <w:r w:rsidR="00CA7E59" w:rsidRPr="00CA7E59">
        <w:t xml:space="preserve"> </w:t>
      </w:r>
      <w:r w:rsidR="00CA7E59" w:rsidRPr="00CA7E59">
        <w:rPr>
          <w:rFonts w:cs="Calibri"/>
          <w:snapToGrid/>
          <w:szCs w:val="24"/>
          <w:lang w:val="en-US" w:eastAsia="en-AU"/>
        </w:rPr>
        <w:t>particularly given that patients would likely cycle between the two groups</w:t>
      </w:r>
      <w:r w:rsidR="001A0DBB">
        <w:rPr>
          <w:rFonts w:cs="Calibri"/>
          <w:snapToGrid/>
          <w:szCs w:val="24"/>
          <w:lang w:val="en-US" w:eastAsia="en-AU"/>
        </w:rPr>
        <w:t>. Further,</w:t>
      </w:r>
      <w:r w:rsidR="001A0DBB" w:rsidRPr="001A0DBB">
        <w:t xml:space="preserve"> </w:t>
      </w:r>
      <w:r w:rsidR="00D33562">
        <w:rPr>
          <w:rFonts w:cs="Calibri"/>
          <w:snapToGrid/>
          <w:szCs w:val="24"/>
          <w:lang w:val="en-US" w:eastAsia="en-AU"/>
        </w:rPr>
        <w:t>there was</w:t>
      </w:r>
      <w:r w:rsidR="000C0F91" w:rsidRPr="00986D60">
        <w:rPr>
          <w:rFonts w:cs="Calibri"/>
          <w:snapToGrid/>
          <w:szCs w:val="24"/>
          <w:lang w:val="en-US" w:eastAsia="en-AU"/>
        </w:rPr>
        <w:t xml:space="preserve"> uncertainty in segregating patients into either benefiting only from reductions in blood Phe-levels or only from reductions in dietary restrictions</w:t>
      </w:r>
      <w:r w:rsidR="00051415" w:rsidRPr="00986D60">
        <w:rPr>
          <w:rFonts w:cs="Calibri"/>
          <w:snapToGrid/>
          <w:szCs w:val="24"/>
          <w:lang w:val="en-US" w:eastAsia="en-AU"/>
        </w:rPr>
        <w:t>.</w:t>
      </w:r>
      <w:r w:rsidR="000C0F91" w:rsidRPr="00986D60">
        <w:rPr>
          <w:rFonts w:cs="Calibri"/>
          <w:snapToGrid/>
          <w:szCs w:val="24"/>
          <w:lang w:val="en-US" w:eastAsia="en-AU"/>
        </w:rPr>
        <w:t xml:space="preserve"> </w:t>
      </w:r>
    </w:p>
    <w:p w:rsidR="00986D60" w:rsidRPr="0094732A" w:rsidRDefault="00986D60" w:rsidP="0094732A">
      <w:pPr>
        <w:pStyle w:val="ListParagraph"/>
        <w:ind w:left="709"/>
        <w:rPr>
          <w:rFonts w:asciiTheme="minorHAnsi" w:hAnsiTheme="minorHAnsi"/>
          <w:i/>
        </w:rPr>
      </w:pPr>
      <w:r w:rsidRPr="00CA7E59">
        <w:rPr>
          <w:rFonts w:asciiTheme="minorHAnsi" w:hAnsiTheme="minorHAnsi"/>
          <w:i/>
        </w:rPr>
        <w:t>For more detail on PBAC’s view, see section 7 PBAC outcome.</w:t>
      </w:r>
    </w:p>
    <w:p w:rsidR="00B60939" w:rsidRPr="00F64C2A" w:rsidRDefault="00BD6CF3" w:rsidP="004C4666">
      <w:pPr>
        <w:pStyle w:val="PBACHeading1"/>
        <w:spacing w:after="120"/>
      </w:pPr>
      <w:bookmarkStart w:id="7" w:name="_Toc503291167"/>
      <w:r w:rsidRPr="00F64C2A">
        <w:t>C</w:t>
      </w:r>
      <w:r w:rsidR="00B50DB8" w:rsidRPr="00F64C2A">
        <w:t>onsideration of the evidence</w:t>
      </w:r>
      <w:bookmarkEnd w:id="7"/>
    </w:p>
    <w:p w:rsidR="00986D60" w:rsidRPr="00F64C2A" w:rsidRDefault="00986D60" w:rsidP="00777DFF">
      <w:pPr>
        <w:pStyle w:val="Heading2"/>
      </w:pPr>
      <w:bookmarkStart w:id="8" w:name="_Toc503291168"/>
      <w:r w:rsidRPr="00F64C2A">
        <w:t>Sponsor hearing</w:t>
      </w:r>
    </w:p>
    <w:bookmarkEnd w:id="8"/>
    <w:p w:rsidR="00986D60" w:rsidRPr="00F64C2A" w:rsidRDefault="00986D60" w:rsidP="00986D60">
      <w:pPr>
        <w:pStyle w:val="ListParagraph"/>
        <w:widowControl/>
        <w:numPr>
          <w:ilvl w:val="1"/>
          <w:numId w:val="13"/>
        </w:numPr>
        <w:spacing w:after="120"/>
        <w:ind w:left="709" w:hanging="709"/>
      </w:pPr>
      <w:r w:rsidRPr="00F64C2A">
        <w:t>There was no hearing for this item.</w:t>
      </w:r>
    </w:p>
    <w:p w:rsidR="003C76D6" w:rsidRPr="00F64C2A" w:rsidRDefault="003C76D6" w:rsidP="00777DFF">
      <w:pPr>
        <w:pStyle w:val="Heading2"/>
      </w:pPr>
      <w:r w:rsidRPr="00F64C2A">
        <w:t>Consumer comments</w:t>
      </w:r>
    </w:p>
    <w:p w:rsidR="007774F0" w:rsidRPr="00680C5D" w:rsidRDefault="007774F0" w:rsidP="007774F0">
      <w:pPr>
        <w:pStyle w:val="ListParagraph"/>
        <w:numPr>
          <w:ilvl w:val="1"/>
          <w:numId w:val="13"/>
        </w:numPr>
        <w:ind w:left="709" w:hanging="709"/>
      </w:pPr>
      <w:r w:rsidRPr="00680C5D">
        <w:t xml:space="preserve">The PBAC noted and welcomed the input from individuals (919), health care professionals (42) and organisations (4) via the Consumer Comments facility on the PBS website. </w:t>
      </w:r>
    </w:p>
    <w:p w:rsidR="007774F0" w:rsidRPr="007774F0" w:rsidRDefault="007774F0" w:rsidP="007774F0">
      <w:pPr>
        <w:pStyle w:val="ListParagraph"/>
        <w:numPr>
          <w:ilvl w:val="1"/>
          <w:numId w:val="13"/>
        </w:numPr>
        <w:ind w:left="709" w:hanging="709"/>
        <w:rPr>
          <w:szCs w:val="24"/>
        </w:rPr>
      </w:pPr>
      <w:r w:rsidRPr="007774F0">
        <w:rPr>
          <w:szCs w:val="24"/>
        </w:rPr>
        <w:t>Representatives of the PBAC met with representatives of the Metabolic Dietary Disorders Association (MDDA) prior to the PBAC meeting. The following is a summary of the perspectives presented to the PBAC representatives:</w:t>
      </w:r>
    </w:p>
    <w:p w:rsidR="007774F0" w:rsidRPr="007774F0" w:rsidRDefault="007774F0" w:rsidP="0049725A">
      <w:pPr>
        <w:widowControl/>
        <w:numPr>
          <w:ilvl w:val="0"/>
          <w:numId w:val="44"/>
        </w:numPr>
        <w:spacing w:after="120"/>
        <w:ind w:left="1134" w:hanging="283"/>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PKU affects the quality of life of patients and their families, impacting on a patient’s cognitive function, mental health and social inclusion. The patients and their carers outlined the complex dietary requirements which are particularly difficult to manage in social situations</w:t>
      </w:r>
      <w:r>
        <w:rPr>
          <w:rFonts w:asciiTheme="minorHAnsi" w:eastAsiaTheme="minorHAnsi" w:hAnsiTheme="minorHAnsi" w:cstheme="minorBidi"/>
          <w:snapToGrid/>
          <w:szCs w:val="24"/>
        </w:rPr>
        <w:t>,</w:t>
      </w:r>
      <w:r w:rsidRPr="007774F0">
        <w:rPr>
          <w:rFonts w:asciiTheme="minorHAnsi" w:eastAsiaTheme="minorHAnsi" w:hAnsiTheme="minorHAnsi" w:cstheme="minorBidi"/>
          <w:snapToGrid/>
          <w:szCs w:val="24"/>
        </w:rPr>
        <w:t xml:space="preserve"> at school and </w:t>
      </w:r>
      <w:r>
        <w:rPr>
          <w:rFonts w:asciiTheme="minorHAnsi" w:eastAsiaTheme="minorHAnsi" w:hAnsiTheme="minorHAnsi" w:cstheme="minorBidi"/>
          <w:snapToGrid/>
          <w:szCs w:val="24"/>
        </w:rPr>
        <w:t xml:space="preserve">at </w:t>
      </w:r>
      <w:r w:rsidRPr="007774F0">
        <w:rPr>
          <w:rFonts w:asciiTheme="minorHAnsi" w:eastAsiaTheme="minorHAnsi" w:hAnsiTheme="minorHAnsi" w:cstheme="minorBidi"/>
          <w:snapToGrid/>
          <w:szCs w:val="24"/>
        </w:rPr>
        <w:t>work.</w:t>
      </w:r>
    </w:p>
    <w:p w:rsidR="007774F0" w:rsidRPr="007774F0" w:rsidRDefault="007774F0" w:rsidP="0049725A">
      <w:pPr>
        <w:widowControl/>
        <w:numPr>
          <w:ilvl w:val="0"/>
          <w:numId w:val="44"/>
        </w:numPr>
        <w:spacing w:after="120"/>
        <w:ind w:left="1134" w:hanging="283"/>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The patient representatives outlined that protecting brain function is the primary objective of any PKU treatment. High Phe levels can lead to irreversible neurological damage in babies and children, and subtle reversible effects on neurological function in adults.</w:t>
      </w:r>
    </w:p>
    <w:p w:rsidR="007774F0" w:rsidRPr="007774F0" w:rsidRDefault="007774F0" w:rsidP="0049725A">
      <w:pPr>
        <w:widowControl/>
        <w:numPr>
          <w:ilvl w:val="0"/>
          <w:numId w:val="44"/>
        </w:numPr>
        <w:spacing w:after="120"/>
        <w:ind w:left="1134" w:hanging="283"/>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 xml:space="preserve">The patient representatives acknowledged that not all patients with PKU would respond to sapropterin, and those who do respond would still need to adhere to a highly restricted diet (although more liberal than without sapropterin). The patient representatives outlined that, in responsive patients, sapropterin would: </w:t>
      </w:r>
    </w:p>
    <w:p w:rsidR="007774F0" w:rsidRPr="007774F0" w:rsidRDefault="007774F0" w:rsidP="0049725A">
      <w:pPr>
        <w:widowControl/>
        <w:numPr>
          <w:ilvl w:val="1"/>
          <w:numId w:val="45"/>
        </w:numPr>
        <w:spacing w:after="120"/>
        <w:ind w:left="1560" w:hanging="284"/>
        <w:contextualSpacing/>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 xml:space="preserve">lead to improvements in neurological function, which may reduce fluctuations in mood, reduce anxiety and improve concentration. The patient representatives outlined that this may enable patients to study, maintain stable employment and healthy relationships, and aid compliance to diet; </w:t>
      </w:r>
    </w:p>
    <w:p w:rsidR="007774F0" w:rsidRPr="007774F0" w:rsidRDefault="007774F0" w:rsidP="0049725A">
      <w:pPr>
        <w:widowControl/>
        <w:numPr>
          <w:ilvl w:val="1"/>
          <w:numId w:val="45"/>
        </w:numPr>
        <w:spacing w:after="120"/>
        <w:ind w:left="1560" w:hanging="284"/>
        <w:contextualSpacing/>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 xml:space="preserve">minimise the health impacts associated with inadequate dietary intake of natural protein and nutrients which include impaired growth, osteoporosis, diabetes and obesity (as low Phe foods are generally high in calories and sugar); </w:t>
      </w:r>
    </w:p>
    <w:p w:rsidR="007774F0" w:rsidRPr="007774F0" w:rsidRDefault="007774F0" w:rsidP="0049725A">
      <w:pPr>
        <w:widowControl/>
        <w:numPr>
          <w:ilvl w:val="1"/>
          <w:numId w:val="45"/>
        </w:numPr>
        <w:spacing w:after="120"/>
        <w:ind w:left="1560" w:hanging="284"/>
        <w:contextualSpacing/>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 xml:space="preserve">minimise the fluctuations in Phe levels during periods of protein consumption or intercurrent illness (e.g. common cold or hayfever), which may improve neuropsychological outcomes; </w:t>
      </w:r>
    </w:p>
    <w:p w:rsidR="007774F0" w:rsidRPr="007774F0" w:rsidRDefault="007774F0" w:rsidP="0049725A">
      <w:pPr>
        <w:widowControl/>
        <w:numPr>
          <w:ilvl w:val="1"/>
          <w:numId w:val="45"/>
        </w:numPr>
        <w:spacing w:after="120"/>
        <w:ind w:left="1560" w:hanging="284"/>
        <w:contextualSpacing/>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 xml:space="preserve">enable more flexibility in a patient’s diet which would facilitate eating in social situations such as at childcare and school, on school trips and at restaurants. It would also reduce worry and anxiety about diet; </w:t>
      </w:r>
    </w:p>
    <w:p w:rsidR="007774F0" w:rsidRPr="007774F0" w:rsidRDefault="007774F0" w:rsidP="0049725A">
      <w:pPr>
        <w:widowControl/>
        <w:numPr>
          <w:ilvl w:val="1"/>
          <w:numId w:val="45"/>
        </w:numPr>
        <w:spacing w:after="120"/>
        <w:ind w:left="1560" w:hanging="284"/>
        <w:contextualSpacing/>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reduce the need for special formula and complex multi-vitamin regimens. The special formula needs to be consumed at fixed intervals which can be intrusive on daily life; and</w:t>
      </w:r>
    </w:p>
    <w:p w:rsidR="007774F0" w:rsidRPr="007774F0" w:rsidRDefault="007774F0" w:rsidP="0049725A">
      <w:pPr>
        <w:widowControl/>
        <w:numPr>
          <w:ilvl w:val="1"/>
          <w:numId w:val="45"/>
        </w:numPr>
        <w:spacing w:after="120"/>
        <w:ind w:left="1560" w:hanging="284"/>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help patients maintain their blood Phe closer to the levels recommended in guidelines.</w:t>
      </w:r>
    </w:p>
    <w:p w:rsidR="007774F0" w:rsidRPr="007774F0" w:rsidRDefault="007774F0" w:rsidP="0049725A">
      <w:pPr>
        <w:widowControl/>
        <w:numPr>
          <w:ilvl w:val="0"/>
          <w:numId w:val="44"/>
        </w:numPr>
        <w:spacing w:after="120"/>
        <w:ind w:left="1134" w:hanging="283"/>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The patient representatives highlighted that PKU is particularly difficult to manage during pre-conception and pregnancy. Lower blood Phe levels must be maintained to reduce the risk of deformities or miscarriage; for some patients this means they can only consume synthesised foods during this time. The patient representatives also outlined that sapropterin may enable some babies with PKU to be breastfed.</w:t>
      </w:r>
    </w:p>
    <w:p w:rsidR="00856356" w:rsidRPr="00856356" w:rsidRDefault="00856356" w:rsidP="00856356">
      <w:pPr>
        <w:widowControl/>
        <w:numPr>
          <w:ilvl w:val="0"/>
          <w:numId w:val="44"/>
        </w:numPr>
        <w:spacing w:after="120"/>
        <w:ind w:left="1134" w:hanging="283"/>
        <w:rPr>
          <w:rFonts w:asciiTheme="minorHAnsi" w:eastAsiaTheme="minorHAnsi" w:hAnsiTheme="minorHAnsi" w:cstheme="minorBidi"/>
          <w:snapToGrid/>
          <w:szCs w:val="24"/>
        </w:rPr>
      </w:pPr>
      <w:r w:rsidRPr="00856356">
        <w:rPr>
          <w:rFonts w:asciiTheme="minorHAnsi" w:eastAsiaTheme="minorHAnsi" w:hAnsiTheme="minorHAnsi" w:cstheme="minorBidi"/>
          <w:snapToGrid/>
          <w:szCs w:val="24"/>
        </w:rPr>
        <w:t xml:space="preserve">The patient representatives </w:t>
      </w:r>
      <w:r w:rsidR="007D71C0">
        <w:rPr>
          <w:rFonts w:asciiTheme="minorHAnsi" w:eastAsiaTheme="minorHAnsi" w:hAnsiTheme="minorHAnsi" w:cstheme="minorBidi"/>
          <w:snapToGrid/>
          <w:szCs w:val="24"/>
        </w:rPr>
        <w:t>consider</w:t>
      </w:r>
      <w:r w:rsidRPr="00856356">
        <w:rPr>
          <w:rFonts w:asciiTheme="minorHAnsi" w:eastAsiaTheme="minorHAnsi" w:hAnsiTheme="minorHAnsi" w:cstheme="minorBidi"/>
          <w:snapToGrid/>
          <w:szCs w:val="24"/>
        </w:rPr>
        <w:t>ed that all patients with HPA due to PKU should have the opportunity to be tested for sapropterin responsiveness, regardless of age or Phe levels</w:t>
      </w:r>
      <w:r w:rsidR="00F60049">
        <w:rPr>
          <w:rFonts w:asciiTheme="minorHAnsi" w:eastAsiaTheme="minorHAnsi" w:hAnsiTheme="minorHAnsi" w:cstheme="minorBidi"/>
          <w:snapToGrid/>
          <w:szCs w:val="24"/>
        </w:rPr>
        <w:t>,</w:t>
      </w:r>
      <w:r w:rsidRPr="00856356">
        <w:rPr>
          <w:rFonts w:asciiTheme="minorHAnsi" w:eastAsiaTheme="minorHAnsi" w:hAnsiTheme="minorHAnsi" w:cstheme="minorBidi"/>
          <w:snapToGrid/>
          <w:szCs w:val="24"/>
        </w:rPr>
        <w:t xml:space="preserve"> as all patients </w:t>
      </w:r>
      <w:r w:rsidR="00F60049">
        <w:rPr>
          <w:rFonts w:asciiTheme="minorHAnsi" w:eastAsiaTheme="minorHAnsi" w:hAnsiTheme="minorHAnsi" w:cstheme="minorBidi"/>
          <w:snapToGrid/>
          <w:szCs w:val="24"/>
        </w:rPr>
        <w:t>have potential to benefit from sapropterin therapy</w:t>
      </w:r>
      <w:r w:rsidRPr="00856356">
        <w:rPr>
          <w:rFonts w:asciiTheme="minorHAnsi" w:eastAsiaTheme="minorHAnsi" w:hAnsiTheme="minorHAnsi" w:cstheme="minorBidi"/>
          <w:snapToGrid/>
          <w:szCs w:val="24"/>
        </w:rPr>
        <w:t xml:space="preserve">. </w:t>
      </w:r>
    </w:p>
    <w:p w:rsidR="007774F0" w:rsidRPr="007774F0" w:rsidRDefault="007774F0" w:rsidP="0049725A">
      <w:pPr>
        <w:widowControl/>
        <w:numPr>
          <w:ilvl w:val="0"/>
          <w:numId w:val="44"/>
        </w:numPr>
        <w:spacing w:after="120"/>
        <w:ind w:left="1134" w:hanging="283"/>
        <w:rPr>
          <w:rFonts w:asciiTheme="minorHAnsi" w:eastAsiaTheme="minorHAnsi" w:hAnsiTheme="minorHAnsi" w:cstheme="minorBidi"/>
          <w:snapToGrid/>
          <w:szCs w:val="24"/>
        </w:rPr>
      </w:pPr>
      <w:r w:rsidRPr="007774F0">
        <w:rPr>
          <w:rFonts w:asciiTheme="minorHAnsi" w:eastAsiaTheme="minorHAnsi" w:hAnsiTheme="minorHAnsi" w:cstheme="minorBidi"/>
          <w:snapToGrid/>
          <w:szCs w:val="24"/>
        </w:rPr>
        <w:t>The patient representatives outlined that there is no distinction between patients whose blood Phe levels are well-controlled and those whose levels are poorly-controlled, with most patients cycling between the groups.</w:t>
      </w:r>
    </w:p>
    <w:p w:rsidR="007E69F3" w:rsidRPr="00680C5D" w:rsidRDefault="007E69F3" w:rsidP="00680C5D">
      <w:pPr>
        <w:pStyle w:val="ListParagraph"/>
        <w:numPr>
          <w:ilvl w:val="1"/>
          <w:numId w:val="13"/>
        </w:numPr>
        <w:ind w:left="709" w:hanging="709"/>
      </w:pPr>
      <w:r w:rsidRPr="00680C5D">
        <w:t xml:space="preserve">The PBAC also noted correspondence from </w:t>
      </w:r>
      <w:r w:rsidR="00A844CF" w:rsidRPr="00680C5D">
        <w:t xml:space="preserve">a clinician </w:t>
      </w:r>
      <w:r w:rsidRPr="00680C5D">
        <w:t xml:space="preserve">describing </w:t>
      </w:r>
      <w:r w:rsidR="004C7489">
        <w:t>their centre’s</w:t>
      </w:r>
      <w:r w:rsidR="0051041B" w:rsidRPr="00680C5D">
        <w:t xml:space="preserve"> extensive experience with sapropterin. The correspondence </w:t>
      </w:r>
      <w:r w:rsidR="00F64C2A" w:rsidRPr="00680C5D">
        <w:t>stat</w:t>
      </w:r>
      <w:r w:rsidR="0051041B" w:rsidRPr="00680C5D">
        <w:t xml:space="preserve">ed that </w:t>
      </w:r>
      <w:r w:rsidR="00A86C48" w:rsidRPr="00680C5D">
        <w:t>around</w:t>
      </w:r>
      <w:r w:rsidR="0051041B" w:rsidRPr="00680C5D">
        <w:t xml:space="preserve"> 20%</w:t>
      </w:r>
      <w:r w:rsidR="001457EE" w:rsidRPr="00680C5D">
        <w:t xml:space="preserve"> to </w:t>
      </w:r>
      <w:r w:rsidR="0051041B" w:rsidRPr="00680C5D">
        <w:t>30% of patients with PKU (</w:t>
      </w:r>
      <w:r w:rsidR="00F72641" w:rsidRPr="00680C5D">
        <w:t>with</w:t>
      </w:r>
      <w:r w:rsidR="0051041B" w:rsidRPr="00680C5D">
        <w:t xml:space="preserve"> blood Phe &gt;</w:t>
      </w:r>
      <w:r w:rsidR="00F64C2A" w:rsidRPr="00680C5D">
        <w:t> </w:t>
      </w:r>
      <w:r w:rsidR="0051041B" w:rsidRPr="00680C5D">
        <w:t>400</w:t>
      </w:r>
      <w:r w:rsidR="0049725A">
        <w:t xml:space="preserve"> </w:t>
      </w:r>
      <w:r w:rsidR="0051041B" w:rsidRPr="00680C5D">
        <w:t xml:space="preserve">micromol/L) respond to sapropterin and there are clear biological factors for determining responsiveness. </w:t>
      </w:r>
      <w:r w:rsidR="00F72641" w:rsidRPr="00680C5D">
        <w:t>As part of th</w:t>
      </w:r>
      <w:r w:rsidR="0051041B" w:rsidRPr="00680C5D">
        <w:t xml:space="preserve">e </w:t>
      </w:r>
      <w:r w:rsidR="009C3FC1" w:rsidRPr="00680C5D">
        <w:t xml:space="preserve">centre’s </w:t>
      </w:r>
      <w:r w:rsidRPr="00680C5D">
        <w:t xml:space="preserve">protocol for </w:t>
      </w:r>
      <w:r w:rsidR="00F72641" w:rsidRPr="00680C5D">
        <w:t xml:space="preserve">determining </w:t>
      </w:r>
      <w:r w:rsidRPr="00680C5D">
        <w:t xml:space="preserve">responsiveness, </w:t>
      </w:r>
      <w:r w:rsidR="00CF70DD" w:rsidRPr="00680C5D">
        <w:t xml:space="preserve">babies diagnosed with PKU are administered a sapropterin load, with Phe and tyrosine levels </w:t>
      </w:r>
      <w:r w:rsidR="004007DE" w:rsidRPr="00680C5D">
        <w:t>monitored</w:t>
      </w:r>
      <w:r w:rsidR="00CF70DD" w:rsidRPr="00680C5D">
        <w:t xml:space="preserve"> regularly for the following 24 hours. </w:t>
      </w:r>
      <w:r w:rsidRPr="00680C5D">
        <w:t>In patients who are responsive, sapropterin is commenced once solids are introduced.</w:t>
      </w:r>
      <w:r w:rsidR="009C3FC1" w:rsidRPr="00680C5D">
        <w:t xml:space="preserve"> </w:t>
      </w:r>
      <w:r w:rsidR="004007DE" w:rsidRPr="00680C5D">
        <w:t xml:space="preserve">Patients then undergo regular, lifelong </w:t>
      </w:r>
      <w:r w:rsidR="00F72641" w:rsidRPr="00680C5D">
        <w:t xml:space="preserve">monitoring </w:t>
      </w:r>
      <w:r w:rsidR="004007DE" w:rsidRPr="00680C5D">
        <w:t xml:space="preserve">of their </w:t>
      </w:r>
      <w:r w:rsidR="00F72641" w:rsidRPr="00680C5D">
        <w:t>blood</w:t>
      </w:r>
      <w:r w:rsidR="009C3FC1" w:rsidRPr="00680C5D">
        <w:t xml:space="preserve"> Phe levels</w:t>
      </w:r>
      <w:r w:rsidR="00F72641" w:rsidRPr="00680C5D">
        <w:t xml:space="preserve"> and also</w:t>
      </w:r>
      <w:r w:rsidR="009C3FC1" w:rsidRPr="00680C5D">
        <w:t xml:space="preserve"> </w:t>
      </w:r>
      <w:r w:rsidR="004007DE" w:rsidRPr="00680C5D">
        <w:t xml:space="preserve">their </w:t>
      </w:r>
      <w:r w:rsidR="009C3FC1" w:rsidRPr="00680C5D">
        <w:t>Phe to tyrosine ratio.</w:t>
      </w:r>
      <w:r w:rsidRPr="00680C5D">
        <w:t xml:space="preserve"> </w:t>
      </w:r>
    </w:p>
    <w:p w:rsidR="0094732A" w:rsidRPr="00680C5D" w:rsidRDefault="007E69F3" w:rsidP="0094732A">
      <w:pPr>
        <w:pStyle w:val="ListParagraph"/>
        <w:numPr>
          <w:ilvl w:val="1"/>
          <w:numId w:val="13"/>
        </w:numPr>
        <w:ind w:left="709" w:hanging="709"/>
      </w:pPr>
      <w:r w:rsidRPr="00680C5D">
        <w:t>The correspondence also noted that</w:t>
      </w:r>
      <w:r w:rsidR="009C3FC1" w:rsidRPr="00680C5D">
        <w:t xml:space="preserve">, in responsive patients, sapropterin is effective in reducing the </w:t>
      </w:r>
      <w:r w:rsidRPr="00680C5D">
        <w:t>requirements for strict adherence to low Phe formulae and foods</w:t>
      </w:r>
      <w:r w:rsidR="00F72641" w:rsidRPr="00680C5D">
        <w:t>, which</w:t>
      </w:r>
      <w:r w:rsidRPr="00680C5D">
        <w:t xml:space="preserve"> can significantly impact quality of life</w:t>
      </w:r>
      <w:r w:rsidR="00676EF9" w:rsidRPr="00680C5D">
        <w:t>, particularly</w:t>
      </w:r>
      <w:r w:rsidRPr="00680C5D">
        <w:t xml:space="preserve"> in teenagers. </w:t>
      </w:r>
      <w:r w:rsidR="00875EB8" w:rsidRPr="00680C5D">
        <w:t>The correspondence re</w:t>
      </w:r>
      <w:r w:rsidR="00875EB8" w:rsidRPr="00680C5D">
        <w:noBreakHyphen/>
        <w:t>affirmed the views presented by the patient representatives, particularly highlighting that sapropterin can</w:t>
      </w:r>
      <w:r w:rsidR="00063D9C">
        <w:t>:</w:t>
      </w:r>
      <w:r w:rsidR="00875EB8" w:rsidRPr="00680C5D">
        <w:t xml:space="preserve"> help stabilise Phe levels </w:t>
      </w:r>
      <w:r w:rsidR="001457EE" w:rsidRPr="00680C5D">
        <w:t>which may lead to improved neuropsychological outcomes (although it was acknowledged that this has not been unequivocally confirmed); and increase tolerance to natural protein which leads to improvements in body composition</w:t>
      </w:r>
      <w:r w:rsidR="00875EB8" w:rsidRPr="00680C5D">
        <w:t xml:space="preserve">. </w:t>
      </w:r>
    </w:p>
    <w:p w:rsidR="00986D60" w:rsidRPr="005D0DD8" w:rsidRDefault="00986D60" w:rsidP="00777DFF">
      <w:pPr>
        <w:pStyle w:val="Heading2"/>
      </w:pPr>
      <w:r w:rsidRPr="005D0DD8">
        <w:t>Clinical trials</w:t>
      </w:r>
    </w:p>
    <w:p w:rsidR="00287FD1" w:rsidRPr="00986D60" w:rsidRDefault="000C0F91" w:rsidP="007A7ACD">
      <w:pPr>
        <w:pStyle w:val="ListParagraph"/>
        <w:widowControl/>
        <w:numPr>
          <w:ilvl w:val="1"/>
          <w:numId w:val="13"/>
        </w:numPr>
        <w:spacing w:after="120"/>
        <w:ind w:left="709" w:hanging="709"/>
      </w:pPr>
      <w:r w:rsidRPr="00986D60">
        <w:t>T</w:t>
      </w:r>
      <w:r w:rsidR="00AD1ED6" w:rsidRPr="00986D60">
        <w:t xml:space="preserve">able 4 outlines the included studies by outcome reported. The key outcome for the sub-group of patients with poorly controlled Phe </w:t>
      </w:r>
      <w:r w:rsidR="00CD359B" w:rsidRPr="00986D60">
        <w:t>(on a ‘relaxed/abandoned’ die</w:t>
      </w:r>
      <w:r w:rsidR="00B555C7" w:rsidRPr="00986D60">
        <w:t>t</w:t>
      </w:r>
      <w:r w:rsidR="00CD359B" w:rsidRPr="00986D60">
        <w:t xml:space="preserve">) </w:t>
      </w:r>
      <w:r w:rsidR="00AD1ED6" w:rsidRPr="00986D60">
        <w:t>was changes in Phe blood levels; while the key outcome for patients</w:t>
      </w:r>
      <w:r w:rsidR="00CD359B" w:rsidRPr="00986D60">
        <w:t xml:space="preserve"> </w:t>
      </w:r>
      <w:r w:rsidR="00AD1ED6" w:rsidRPr="00986D60">
        <w:t xml:space="preserve">with well controlled Phe </w:t>
      </w:r>
      <w:r w:rsidR="00CD359B" w:rsidRPr="00986D60">
        <w:t xml:space="preserve">(on a strict diet) </w:t>
      </w:r>
      <w:r w:rsidR="00AD1ED6" w:rsidRPr="00986D60">
        <w:t>was change in dietary Phe intake.</w:t>
      </w:r>
    </w:p>
    <w:p w:rsidR="00AD1ED6" w:rsidRPr="00986D60" w:rsidRDefault="00AD1ED6" w:rsidP="00C5786B">
      <w:pPr>
        <w:keepNext/>
        <w:keepLines/>
      </w:pPr>
      <w:r w:rsidRPr="00986D60">
        <w:rPr>
          <w:rStyle w:val="CommentReference"/>
        </w:rPr>
        <w:t>Table 4: Trials and studies by reported outcome</w:t>
      </w:r>
    </w:p>
    <w:tbl>
      <w:tblPr>
        <w:tblStyle w:val="TableGrid"/>
        <w:tblW w:w="9356" w:type="dxa"/>
        <w:tblInd w:w="-147" w:type="dxa"/>
        <w:tblCellMar>
          <w:left w:w="28" w:type="dxa"/>
          <w:right w:w="28" w:type="dxa"/>
        </w:tblCellMar>
        <w:tblLook w:val="04A0" w:firstRow="1" w:lastRow="0" w:firstColumn="1" w:lastColumn="0" w:noHBand="0" w:noVBand="1"/>
      </w:tblPr>
      <w:tblGrid>
        <w:gridCol w:w="1985"/>
        <w:gridCol w:w="425"/>
        <w:gridCol w:w="1701"/>
        <w:gridCol w:w="709"/>
        <w:gridCol w:w="1701"/>
        <w:gridCol w:w="709"/>
        <w:gridCol w:w="1417"/>
        <w:gridCol w:w="709"/>
      </w:tblGrid>
      <w:tr w:rsidR="000C0F91" w:rsidRPr="00986D60" w:rsidTr="000C0F91">
        <w:tc>
          <w:tcPr>
            <w:tcW w:w="2410" w:type="dxa"/>
            <w:gridSpan w:val="2"/>
            <w:vAlign w:val="center"/>
          </w:tcPr>
          <w:p w:rsidR="000C0F91" w:rsidRPr="00986D60" w:rsidRDefault="000C0F91" w:rsidP="00C5786B">
            <w:pPr>
              <w:keepNext/>
              <w:keepLines/>
              <w:jc w:val="center"/>
              <w:rPr>
                <w:rFonts w:ascii="Arial Narrow" w:hAnsi="Arial Narrow"/>
                <w:b/>
                <w:sz w:val="20"/>
                <w:szCs w:val="20"/>
              </w:rPr>
            </w:pPr>
            <w:r w:rsidRPr="00986D60">
              <w:rPr>
                <w:rFonts w:ascii="Arial Narrow" w:hAnsi="Arial Narrow"/>
                <w:b/>
                <w:sz w:val="20"/>
                <w:szCs w:val="20"/>
              </w:rPr>
              <w:t>Response</w:t>
            </w:r>
          </w:p>
        </w:tc>
        <w:tc>
          <w:tcPr>
            <w:tcW w:w="2410" w:type="dxa"/>
            <w:gridSpan w:val="2"/>
            <w:vAlign w:val="center"/>
          </w:tcPr>
          <w:p w:rsidR="000C0F91" w:rsidRPr="00986D60" w:rsidRDefault="000C0F91" w:rsidP="00C5786B">
            <w:pPr>
              <w:keepNext/>
              <w:keepLines/>
              <w:jc w:val="center"/>
              <w:rPr>
                <w:rFonts w:ascii="Arial Narrow" w:hAnsi="Arial Narrow"/>
                <w:b/>
                <w:sz w:val="20"/>
              </w:rPr>
            </w:pPr>
            <w:r w:rsidRPr="00986D60">
              <w:rPr>
                <w:rFonts w:ascii="Arial Narrow" w:hAnsi="Arial Narrow"/>
                <w:b/>
                <w:sz w:val="20"/>
              </w:rPr>
              <w:t>Phe Blood levels</w:t>
            </w:r>
          </w:p>
        </w:tc>
        <w:tc>
          <w:tcPr>
            <w:tcW w:w="2410" w:type="dxa"/>
            <w:gridSpan w:val="2"/>
            <w:vAlign w:val="center"/>
          </w:tcPr>
          <w:p w:rsidR="000C0F91" w:rsidRPr="00986D60" w:rsidRDefault="000C0F91" w:rsidP="00C5786B">
            <w:pPr>
              <w:keepNext/>
              <w:keepLines/>
              <w:jc w:val="center"/>
              <w:rPr>
                <w:rFonts w:ascii="Arial Narrow" w:hAnsi="Arial Narrow"/>
                <w:b/>
                <w:sz w:val="20"/>
              </w:rPr>
            </w:pPr>
            <w:r w:rsidRPr="00986D60">
              <w:rPr>
                <w:rFonts w:ascii="Arial Narrow" w:hAnsi="Arial Narrow"/>
                <w:b/>
                <w:sz w:val="20"/>
              </w:rPr>
              <w:t>Dietary Phe intake</w:t>
            </w:r>
          </w:p>
        </w:tc>
        <w:tc>
          <w:tcPr>
            <w:tcW w:w="2126" w:type="dxa"/>
            <w:gridSpan w:val="2"/>
            <w:vAlign w:val="center"/>
          </w:tcPr>
          <w:p w:rsidR="000C0F91" w:rsidRPr="00986D60" w:rsidRDefault="000C0F91" w:rsidP="00C5786B">
            <w:pPr>
              <w:keepNext/>
              <w:keepLines/>
              <w:jc w:val="center"/>
              <w:rPr>
                <w:rFonts w:ascii="Arial Narrow" w:hAnsi="Arial Narrow"/>
                <w:b/>
                <w:sz w:val="20"/>
              </w:rPr>
            </w:pPr>
            <w:r w:rsidRPr="00986D60">
              <w:rPr>
                <w:rFonts w:ascii="Arial Narrow" w:hAnsi="Arial Narrow"/>
                <w:b/>
                <w:sz w:val="20"/>
              </w:rPr>
              <w:t>Long-term data</w:t>
            </w:r>
          </w:p>
        </w:tc>
      </w:tr>
      <w:tr w:rsidR="000C0F91" w:rsidRPr="00986D60" w:rsidTr="000C0F91">
        <w:tc>
          <w:tcPr>
            <w:tcW w:w="2410" w:type="dxa"/>
            <w:gridSpan w:val="2"/>
            <w:vAlign w:val="center"/>
          </w:tcPr>
          <w:p w:rsidR="000C0F91" w:rsidRPr="00986D60" w:rsidRDefault="000C0F91" w:rsidP="00C5786B">
            <w:pPr>
              <w:keepNext/>
              <w:keepLines/>
              <w:jc w:val="center"/>
              <w:rPr>
                <w:rFonts w:ascii="Arial Narrow" w:hAnsi="Arial Narrow"/>
                <w:sz w:val="20"/>
              </w:rPr>
            </w:pPr>
            <w:r w:rsidRPr="00986D60">
              <w:rPr>
                <w:rFonts w:ascii="Arial Narrow" w:hAnsi="Arial Narrow"/>
                <w:sz w:val="20"/>
              </w:rPr>
              <w:t>≥30% reduction in blood Phe levels</w:t>
            </w:r>
          </w:p>
        </w:tc>
        <w:tc>
          <w:tcPr>
            <w:tcW w:w="2410" w:type="dxa"/>
            <w:gridSpan w:val="2"/>
            <w:vAlign w:val="center"/>
          </w:tcPr>
          <w:p w:rsidR="000C0F91" w:rsidRPr="00986D60" w:rsidRDefault="000C0F91" w:rsidP="00C5786B">
            <w:pPr>
              <w:keepNext/>
              <w:keepLines/>
              <w:jc w:val="center"/>
              <w:rPr>
                <w:rFonts w:ascii="Arial Narrow" w:hAnsi="Arial Narrow"/>
                <w:sz w:val="20"/>
              </w:rPr>
            </w:pPr>
            <w:r w:rsidRPr="00986D60">
              <w:rPr>
                <w:rFonts w:ascii="Arial Narrow" w:hAnsi="Arial Narrow"/>
                <w:sz w:val="20"/>
              </w:rPr>
              <w:t>Change in blood Phe levels from baseline to endpoint</w:t>
            </w:r>
          </w:p>
        </w:tc>
        <w:tc>
          <w:tcPr>
            <w:tcW w:w="2410" w:type="dxa"/>
            <w:gridSpan w:val="2"/>
            <w:vAlign w:val="center"/>
          </w:tcPr>
          <w:p w:rsidR="000C0F91" w:rsidRPr="00986D60" w:rsidRDefault="000C0F91" w:rsidP="00C5786B">
            <w:pPr>
              <w:keepNext/>
              <w:keepLines/>
              <w:jc w:val="center"/>
              <w:rPr>
                <w:rFonts w:ascii="Arial Narrow" w:hAnsi="Arial Narrow"/>
                <w:sz w:val="20"/>
              </w:rPr>
            </w:pPr>
            <w:r w:rsidRPr="00986D60">
              <w:rPr>
                <w:rFonts w:ascii="Arial Narrow" w:hAnsi="Arial Narrow"/>
                <w:sz w:val="20"/>
              </w:rPr>
              <w:t>Change in dietary Phe intake from baseline to endpoint</w:t>
            </w:r>
          </w:p>
        </w:tc>
        <w:tc>
          <w:tcPr>
            <w:tcW w:w="2126" w:type="dxa"/>
            <w:gridSpan w:val="2"/>
            <w:vAlign w:val="center"/>
          </w:tcPr>
          <w:p w:rsidR="000C0F91" w:rsidRPr="00986D60" w:rsidRDefault="000C0F91" w:rsidP="00C5786B">
            <w:pPr>
              <w:keepNext/>
              <w:keepLines/>
              <w:jc w:val="center"/>
              <w:rPr>
                <w:rFonts w:ascii="Arial Narrow" w:hAnsi="Arial Narrow"/>
                <w:sz w:val="20"/>
              </w:rPr>
            </w:pPr>
            <w:r w:rsidRPr="00986D60">
              <w:rPr>
                <w:rFonts w:ascii="Arial Narrow" w:hAnsi="Arial Narrow"/>
                <w:sz w:val="20"/>
              </w:rPr>
              <w:t>Change in dietary Phe intake</w:t>
            </w:r>
          </w:p>
        </w:tc>
      </w:tr>
      <w:tr w:rsidR="000C0F91" w:rsidRPr="00986D60" w:rsidTr="000C0F91">
        <w:tc>
          <w:tcPr>
            <w:tcW w:w="1985"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PKU-001, N=490</w:t>
            </w:r>
          </w:p>
        </w:tc>
        <w:tc>
          <w:tcPr>
            <w:tcW w:w="425" w:type="dxa"/>
            <w:vMerge w:val="restart"/>
            <w:vAlign w:val="center"/>
          </w:tcPr>
          <w:p w:rsidR="000C0F91" w:rsidRPr="00986D60" w:rsidRDefault="000C0F91" w:rsidP="00C5786B">
            <w:pPr>
              <w:keepNext/>
              <w:keepLines/>
              <w:jc w:val="center"/>
              <w:rPr>
                <w:rFonts w:ascii="Arial Narrow" w:hAnsi="Arial Narrow"/>
                <w:sz w:val="20"/>
              </w:rPr>
            </w:pPr>
            <w:r w:rsidRPr="00986D60">
              <w:rPr>
                <w:rFonts w:ascii="Arial Narrow" w:hAnsi="Arial Narrow"/>
                <w:sz w:val="20"/>
              </w:rPr>
              <w:t>OL, SA</w:t>
            </w:r>
          </w:p>
        </w:tc>
        <w:tc>
          <w:tcPr>
            <w:tcW w:w="1701"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PKU-003, N=88</w:t>
            </w:r>
          </w:p>
        </w:tc>
        <w:tc>
          <w:tcPr>
            <w:tcW w:w="709" w:type="dxa"/>
          </w:tcPr>
          <w:p w:rsidR="000C0F91" w:rsidRPr="00986D60" w:rsidRDefault="000C0F91" w:rsidP="00C5786B">
            <w:pPr>
              <w:keepNext/>
              <w:keepLines/>
              <w:rPr>
                <w:rFonts w:ascii="Arial Narrow" w:hAnsi="Arial Narrow"/>
                <w:sz w:val="20"/>
              </w:rPr>
            </w:pPr>
            <w:r w:rsidRPr="00986D60">
              <w:rPr>
                <w:rFonts w:ascii="Arial Narrow" w:hAnsi="Arial Narrow"/>
                <w:sz w:val="20"/>
              </w:rPr>
              <w:t>DB, R</w:t>
            </w:r>
          </w:p>
        </w:tc>
        <w:tc>
          <w:tcPr>
            <w:tcW w:w="1701"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PKU-006 (Pt 2), N=45</w:t>
            </w:r>
          </w:p>
        </w:tc>
        <w:tc>
          <w:tcPr>
            <w:tcW w:w="709" w:type="dxa"/>
          </w:tcPr>
          <w:p w:rsidR="000C0F91" w:rsidRPr="00986D60" w:rsidRDefault="000C0F91" w:rsidP="00C5786B">
            <w:pPr>
              <w:keepNext/>
              <w:keepLines/>
              <w:rPr>
                <w:rFonts w:ascii="Arial Narrow" w:hAnsi="Arial Narrow"/>
                <w:sz w:val="20"/>
              </w:rPr>
            </w:pPr>
            <w:r w:rsidRPr="00986D60">
              <w:rPr>
                <w:rFonts w:ascii="Arial Narrow" w:hAnsi="Arial Narrow"/>
                <w:sz w:val="20"/>
              </w:rPr>
              <w:t>DB, R</w:t>
            </w:r>
          </w:p>
        </w:tc>
        <w:tc>
          <w:tcPr>
            <w:tcW w:w="1417"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PKUDOS; N=715</w:t>
            </w:r>
          </w:p>
        </w:tc>
        <w:tc>
          <w:tcPr>
            <w:tcW w:w="709"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 xml:space="preserve">Registry </w:t>
            </w:r>
          </w:p>
        </w:tc>
      </w:tr>
      <w:tr w:rsidR="000C0F91" w:rsidRPr="00986D60" w:rsidTr="000C0F91">
        <w:tc>
          <w:tcPr>
            <w:tcW w:w="1985"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EMR_700773_510, N=90</w:t>
            </w:r>
          </w:p>
        </w:tc>
        <w:tc>
          <w:tcPr>
            <w:tcW w:w="425" w:type="dxa"/>
            <w:vMerge/>
          </w:tcPr>
          <w:p w:rsidR="000C0F91" w:rsidRPr="00986D60" w:rsidRDefault="000C0F91" w:rsidP="00C5786B">
            <w:pPr>
              <w:keepNext/>
              <w:keepLines/>
              <w:rPr>
                <w:rFonts w:ascii="Arial Narrow" w:hAnsi="Arial Narrow"/>
                <w:sz w:val="20"/>
              </w:rPr>
            </w:pPr>
          </w:p>
        </w:tc>
        <w:tc>
          <w:tcPr>
            <w:tcW w:w="1701"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PKU-006 (Pt 2), N=45</w:t>
            </w:r>
          </w:p>
        </w:tc>
        <w:tc>
          <w:tcPr>
            <w:tcW w:w="709" w:type="dxa"/>
          </w:tcPr>
          <w:p w:rsidR="000C0F91" w:rsidRPr="00986D60" w:rsidRDefault="000C0F91" w:rsidP="00C5786B">
            <w:pPr>
              <w:keepNext/>
              <w:keepLines/>
              <w:rPr>
                <w:rFonts w:ascii="Arial Narrow" w:hAnsi="Arial Narrow"/>
                <w:sz w:val="20"/>
              </w:rPr>
            </w:pPr>
            <w:r w:rsidRPr="00986D60">
              <w:rPr>
                <w:rFonts w:ascii="Arial Narrow" w:hAnsi="Arial Narrow"/>
                <w:sz w:val="20"/>
              </w:rPr>
              <w:t>DB, R</w:t>
            </w:r>
          </w:p>
        </w:tc>
        <w:tc>
          <w:tcPr>
            <w:tcW w:w="1701"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SPARK, N=56</w:t>
            </w:r>
          </w:p>
        </w:tc>
        <w:tc>
          <w:tcPr>
            <w:tcW w:w="709"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OL, R</w:t>
            </w:r>
          </w:p>
        </w:tc>
        <w:tc>
          <w:tcPr>
            <w:tcW w:w="1417"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KAMPER; N=575</w:t>
            </w:r>
          </w:p>
        </w:tc>
        <w:tc>
          <w:tcPr>
            <w:tcW w:w="709"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 xml:space="preserve">Registry </w:t>
            </w:r>
          </w:p>
        </w:tc>
      </w:tr>
      <w:tr w:rsidR="000C0F91" w:rsidRPr="00986D60" w:rsidTr="000C0F91">
        <w:tc>
          <w:tcPr>
            <w:tcW w:w="1985"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ENDURE, N=59</w:t>
            </w:r>
          </w:p>
        </w:tc>
        <w:tc>
          <w:tcPr>
            <w:tcW w:w="425" w:type="dxa"/>
            <w:vMerge/>
          </w:tcPr>
          <w:p w:rsidR="000C0F91" w:rsidRPr="00986D60" w:rsidRDefault="000C0F91" w:rsidP="00C5786B">
            <w:pPr>
              <w:keepNext/>
              <w:keepLines/>
              <w:rPr>
                <w:rFonts w:ascii="Arial Narrow" w:hAnsi="Arial Narrow"/>
                <w:sz w:val="20"/>
              </w:rPr>
            </w:pPr>
          </w:p>
        </w:tc>
        <w:tc>
          <w:tcPr>
            <w:tcW w:w="1701"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PKU-004, N=80</w:t>
            </w:r>
          </w:p>
        </w:tc>
        <w:tc>
          <w:tcPr>
            <w:tcW w:w="709" w:type="dxa"/>
          </w:tcPr>
          <w:p w:rsidR="000C0F91" w:rsidRPr="00986D60" w:rsidRDefault="000C0F91" w:rsidP="00C5786B">
            <w:pPr>
              <w:keepNext/>
              <w:keepLines/>
              <w:rPr>
                <w:rFonts w:ascii="Arial Narrow" w:hAnsi="Arial Narrow"/>
                <w:sz w:val="20"/>
              </w:rPr>
            </w:pPr>
            <w:r w:rsidRPr="00986D60">
              <w:rPr>
                <w:rFonts w:ascii="Arial Narrow" w:hAnsi="Arial Narrow"/>
                <w:sz w:val="20"/>
              </w:rPr>
              <w:t>OL, SA</w:t>
            </w:r>
          </w:p>
        </w:tc>
        <w:tc>
          <w:tcPr>
            <w:tcW w:w="1701"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PKU-015 (Pt 2), N=65</w:t>
            </w:r>
          </w:p>
        </w:tc>
        <w:tc>
          <w:tcPr>
            <w:tcW w:w="709"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OL, SA</w:t>
            </w:r>
          </w:p>
        </w:tc>
        <w:tc>
          <w:tcPr>
            <w:tcW w:w="2126" w:type="dxa"/>
            <w:gridSpan w:val="2"/>
            <w:tcBorders>
              <w:bottom w:val="nil"/>
              <w:right w:val="nil"/>
            </w:tcBorders>
          </w:tcPr>
          <w:p w:rsidR="000C0F91" w:rsidRPr="00986D60" w:rsidRDefault="000C0F91" w:rsidP="00C5786B">
            <w:pPr>
              <w:keepNext/>
              <w:keepLines/>
              <w:rPr>
                <w:rFonts w:ascii="Arial Narrow" w:hAnsi="Arial Narrow"/>
                <w:sz w:val="20"/>
              </w:rPr>
            </w:pPr>
          </w:p>
        </w:tc>
      </w:tr>
      <w:tr w:rsidR="000C0F91" w:rsidRPr="00986D60" w:rsidTr="000C0F91">
        <w:tc>
          <w:tcPr>
            <w:tcW w:w="1985" w:type="dxa"/>
          </w:tcPr>
          <w:p w:rsidR="000C0F91" w:rsidRPr="00986D60" w:rsidRDefault="000C0F91" w:rsidP="00C5786B">
            <w:pPr>
              <w:keepNext/>
              <w:keepLines/>
              <w:rPr>
                <w:rFonts w:ascii="Arial Narrow" w:hAnsi="Arial Narrow"/>
                <w:sz w:val="20"/>
              </w:rPr>
            </w:pPr>
            <w:r w:rsidRPr="00986D60">
              <w:rPr>
                <w:rFonts w:ascii="Arial Narrow" w:hAnsi="Arial Narrow"/>
                <w:sz w:val="20"/>
              </w:rPr>
              <w:t>PKU-006 (Pt 1), N=90</w:t>
            </w:r>
          </w:p>
        </w:tc>
        <w:tc>
          <w:tcPr>
            <w:tcW w:w="425" w:type="dxa"/>
            <w:vMerge/>
          </w:tcPr>
          <w:p w:rsidR="000C0F91" w:rsidRPr="00986D60" w:rsidRDefault="000C0F91" w:rsidP="00C5786B">
            <w:pPr>
              <w:keepNext/>
              <w:keepLines/>
              <w:rPr>
                <w:rFonts w:ascii="Arial Narrow" w:hAnsi="Arial Narrow"/>
                <w:sz w:val="20"/>
              </w:rPr>
            </w:pPr>
          </w:p>
        </w:tc>
        <w:tc>
          <w:tcPr>
            <w:tcW w:w="1701" w:type="dxa"/>
            <w:tcBorders>
              <w:bottom w:val="single" w:sz="4" w:space="0" w:color="auto"/>
              <w:right w:val="single" w:sz="4" w:space="0" w:color="auto"/>
            </w:tcBorders>
          </w:tcPr>
          <w:p w:rsidR="000C0F91" w:rsidRPr="00986D60" w:rsidRDefault="000C0F91" w:rsidP="00C5786B">
            <w:pPr>
              <w:keepNext/>
              <w:keepLines/>
              <w:rPr>
                <w:rFonts w:ascii="Arial Narrow" w:hAnsi="Arial Narrow"/>
                <w:sz w:val="20"/>
              </w:rPr>
            </w:pPr>
            <w:r w:rsidRPr="00986D60">
              <w:rPr>
                <w:rFonts w:ascii="Arial Narrow" w:hAnsi="Arial Narrow"/>
                <w:sz w:val="20"/>
              </w:rPr>
              <w:t>PKU-008, N=111</w:t>
            </w:r>
          </w:p>
        </w:tc>
        <w:tc>
          <w:tcPr>
            <w:tcW w:w="709" w:type="dxa"/>
            <w:tcBorders>
              <w:left w:val="single" w:sz="4" w:space="0" w:color="auto"/>
              <w:bottom w:val="single" w:sz="4" w:space="0" w:color="auto"/>
            </w:tcBorders>
          </w:tcPr>
          <w:p w:rsidR="000C0F91" w:rsidRPr="00986D60" w:rsidRDefault="000C0F91" w:rsidP="00C5786B">
            <w:pPr>
              <w:keepNext/>
              <w:keepLines/>
              <w:rPr>
                <w:rFonts w:ascii="Arial Narrow" w:hAnsi="Arial Narrow"/>
                <w:sz w:val="20"/>
              </w:rPr>
            </w:pPr>
            <w:r w:rsidRPr="00986D60">
              <w:rPr>
                <w:rFonts w:ascii="Arial Narrow" w:hAnsi="Arial Narrow"/>
                <w:sz w:val="20"/>
              </w:rPr>
              <w:t>OL, SA</w:t>
            </w:r>
          </w:p>
        </w:tc>
        <w:tc>
          <w:tcPr>
            <w:tcW w:w="1701"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KOGNITO, N=26</w:t>
            </w:r>
          </w:p>
        </w:tc>
        <w:tc>
          <w:tcPr>
            <w:tcW w:w="709" w:type="dxa"/>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OL, SA</w:t>
            </w:r>
          </w:p>
        </w:tc>
        <w:tc>
          <w:tcPr>
            <w:tcW w:w="2126" w:type="dxa"/>
            <w:gridSpan w:val="2"/>
            <w:tcBorders>
              <w:top w:val="nil"/>
              <w:bottom w:val="nil"/>
              <w:right w:val="nil"/>
            </w:tcBorders>
          </w:tcPr>
          <w:p w:rsidR="000C0F91" w:rsidRPr="00986D60" w:rsidRDefault="000C0F91" w:rsidP="00C5786B">
            <w:pPr>
              <w:keepNext/>
              <w:keepLines/>
              <w:rPr>
                <w:rFonts w:ascii="Arial Narrow" w:hAnsi="Arial Narrow"/>
                <w:sz w:val="20"/>
              </w:rPr>
            </w:pPr>
          </w:p>
        </w:tc>
      </w:tr>
      <w:tr w:rsidR="000C0F91" w:rsidRPr="00986D60" w:rsidTr="000C0F91">
        <w:tc>
          <w:tcPr>
            <w:tcW w:w="1985" w:type="dxa"/>
            <w:tcBorders>
              <w:bottom w:val="single" w:sz="4" w:space="0" w:color="auto"/>
            </w:tcBorders>
            <w:shd w:val="clear" w:color="auto" w:fill="BFBFBF" w:themeFill="background1" w:themeFillShade="BF"/>
          </w:tcPr>
          <w:p w:rsidR="000C0F91" w:rsidRPr="00986D60" w:rsidRDefault="000C0F91" w:rsidP="00C5786B">
            <w:pPr>
              <w:keepNext/>
              <w:keepLines/>
              <w:rPr>
                <w:rFonts w:ascii="Arial Narrow" w:hAnsi="Arial Narrow"/>
                <w:sz w:val="20"/>
              </w:rPr>
            </w:pPr>
            <w:r w:rsidRPr="00986D60">
              <w:rPr>
                <w:rFonts w:ascii="Arial Narrow" w:hAnsi="Arial Narrow"/>
                <w:sz w:val="20"/>
              </w:rPr>
              <w:t>PKU-015 (Pt 1), N=80</w:t>
            </w:r>
          </w:p>
        </w:tc>
        <w:tc>
          <w:tcPr>
            <w:tcW w:w="425" w:type="dxa"/>
            <w:vMerge/>
            <w:tcBorders>
              <w:bottom w:val="single" w:sz="4" w:space="0" w:color="auto"/>
            </w:tcBorders>
          </w:tcPr>
          <w:p w:rsidR="000C0F91" w:rsidRPr="00986D60" w:rsidRDefault="000C0F91" w:rsidP="00C5786B">
            <w:pPr>
              <w:keepNext/>
              <w:keepLines/>
              <w:rPr>
                <w:rFonts w:ascii="Arial Narrow" w:hAnsi="Arial Narrow"/>
                <w:sz w:val="20"/>
              </w:rPr>
            </w:pPr>
          </w:p>
        </w:tc>
        <w:tc>
          <w:tcPr>
            <w:tcW w:w="1701" w:type="dxa"/>
            <w:tcBorders>
              <w:top w:val="single" w:sz="4" w:space="0" w:color="auto"/>
              <w:bottom w:val="nil"/>
              <w:right w:val="nil"/>
            </w:tcBorders>
          </w:tcPr>
          <w:p w:rsidR="000C0F91" w:rsidRPr="00986D60" w:rsidRDefault="000C0F91" w:rsidP="00C5786B">
            <w:pPr>
              <w:keepNext/>
              <w:keepLines/>
              <w:rPr>
                <w:rFonts w:ascii="Arial Narrow" w:hAnsi="Arial Narrow"/>
                <w:sz w:val="20"/>
              </w:rPr>
            </w:pPr>
          </w:p>
        </w:tc>
        <w:tc>
          <w:tcPr>
            <w:tcW w:w="709" w:type="dxa"/>
            <w:tcBorders>
              <w:top w:val="single" w:sz="4" w:space="0" w:color="auto"/>
              <w:left w:val="nil"/>
              <w:bottom w:val="nil"/>
              <w:right w:val="nil"/>
            </w:tcBorders>
          </w:tcPr>
          <w:p w:rsidR="000C0F91" w:rsidRPr="00986D60" w:rsidRDefault="000C0F91" w:rsidP="00C5786B">
            <w:pPr>
              <w:keepNext/>
              <w:keepLines/>
              <w:rPr>
                <w:rFonts w:ascii="Arial Narrow" w:hAnsi="Arial Narrow"/>
                <w:sz w:val="20"/>
              </w:rPr>
            </w:pPr>
          </w:p>
        </w:tc>
        <w:tc>
          <w:tcPr>
            <w:tcW w:w="1701" w:type="dxa"/>
            <w:tcBorders>
              <w:left w:val="nil"/>
              <w:bottom w:val="nil"/>
              <w:right w:val="nil"/>
            </w:tcBorders>
          </w:tcPr>
          <w:p w:rsidR="000C0F91" w:rsidRPr="00986D60" w:rsidRDefault="000C0F91" w:rsidP="00C5786B">
            <w:pPr>
              <w:keepNext/>
              <w:keepLines/>
              <w:rPr>
                <w:rFonts w:ascii="Arial Narrow" w:hAnsi="Arial Narrow"/>
                <w:sz w:val="20"/>
              </w:rPr>
            </w:pPr>
          </w:p>
        </w:tc>
        <w:tc>
          <w:tcPr>
            <w:tcW w:w="709" w:type="dxa"/>
            <w:tcBorders>
              <w:left w:val="nil"/>
              <w:bottom w:val="nil"/>
              <w:right w:val="nil"/>
            </w:tcBorders>
          </w:tcPr>
          <w:p w:rsidR="000C0F91" w:rsidRPr="00986D60" w:rsidRDefault="000C0F91" w:rsidP="00C5786B">
            <w:pPr>
              <w:keepNext/>
              <w:keepLines/>
              <w:rPr>
                <w:rFonts w:ascii="Arial Narrow" w:hAnsi="Arial Narrow"/>
                <w:sz w:val="20"/>
              </w:rPr>
            </w:pPr>
          </w:p>
        </w:tc>
        <w:tc>
          <w:tcPr>
            <w:tcW w:w="2126" w:type="dxa"/>
            <w:gridSpan w:val="2"/>
            <w:tcBorders>
              <w:top w:val="nil"/>
              <w:left w:val="nil"/>
              <w:bottom w:val="nil"/>
              <w:right w:val="nil"/>
            </w:tcBorders>
          </w:tcPr>
          <w:p w:rsidR="000C0F91" w:rsidRPr="00986D60" w:rsidRDefault="000C0F91" w:rsidP="00C5786B">
            <w:pPr>
              <w:keepNext/>
              <w:keepLines/>
              <w:rPr>
                <w:rFonts w:ascii="Arial Narrow" w:hAnsi="Arial Narrow"/>
                <w:sz w:val="20"/>
              </w:rPr>
            </w:pPr>
          </w:p>
        </w:tc>
      </w:tr>
    </w:tbl>
    <w:p w:rsidR="000C0F91" w:rsidRPr="00986D60" w:rsidRDefault="000C0F91" w:rsidP="00C5786B">
      <w:pPr>
        <w:keepNext/>
        <w:keepLines/>
        <w:rPr>
          <w:rFonts w:ascii="Arial Narrow" w:hAnsi="Arial Narrow"/>
          <w:sz w:val="18"/>
        </w:rPr>
      </w:pPr>
      <w:r w:rsidRPr="00986D60">
        <w:rPr>
          <w:rFonts w:ascii="Arial Narrow" w:hAnsi="Arial Narrow"/>
          <w:sz w:val="18"/>
        </w:rPr>
        <w:t>DB=double blind; OL=open-label; Pt=Part; R=randomised; SA=single arm</w:t>
      </w:r>
    </w:p>
    <w:p w:rsidR="000C0F91" w:rsidRPr="00986D60" w:rsidRDefault="000C0F91" w:rsidP="00C5786B">
      <w:pPr>
        <w:keepNext/>
        <w:keepLines/>
        <w:widowControl/>
        <w:spacing w:after="120"/>
        <w:rPr>
          <w:rFonts w:ascii="Arial Narrow" w:hAnsi="Arial Narrow"/>
          <w:sz w:val="18"/>
        </w:rPr>
      </w:pPr>
      <w:r w:rsidRPr="00986D60">
        <w:rPr>
          <w:rFonts w:ascii="Arial Narrow" w:hAnsi="Arial Narrow"/>
          <w:sz w:val="18"/>
        </w:rPr>
        <w:t xml:space="preserve">Source: Figure 2-3, p54 of the </w:t>
      </w:r>
      <w:r w:rsidR="00063220">
        <w:rPr>
          <w:rFonts w:ascii="Arial Narrow" w:hAnsi="Arial Narrow"/>
          <w:sz w:val="18"/>
        </w:rPr>
        <w:t>resubmission</w:t>
      </w:r>
    </w:p>
    <w:p w:rsidR="000C0F91" w:rsidRPr="00986D60" w:rsidRDefault="000C0F91" w:rsidP="007A7ACD">
      <w:pPr>
        <w:pStyle w:val="ListParagraph"/>
        <w:widowControl/>
        <w:numPr>
          <w:ilvl w:val="1"/>
          <w:numId w:val="13"/>
        </w:numPr>
        <w:spacing w:after="120"/>
        <w:ind w:left="709" w:hanging="709"/>
        <w:rPr>
          <w:rFonts w:cs="Calibri"/>
          <w:snapToGrid/>
          <w:szCs w:val="24"/>
          <w:lang w:val="en-US" w:eastAsia="en-AU"/>
        </w:rPr>
      </w:pPr>
      <w:r w:rsidRPr="00986D60">
        <w:rPr>
          <w:rFonts w:cs="Calibri"/>
          <w:snapToGrid/>
          <w:szCs w:val="24"/>
          <w:lang w:val="en-US" w:eastAsia="en-AU"/>
        </w:rPr>
        <w:t xml:space="preserve">Trials and studies shaded in grey in the table above and throughout </w:t>
      </w:r>
      <w:r w:rsidR="00733A7A" w:rsidRPr="00986D60">
        <w:rPr>
          <w:rFonts w:cs="Calibri"/>
          <w:snapToGrid/>
          <w:szCs w:val="24"/>
          <w:lang w:val="en-US" w:eastAsia="en-AU"/>
        </w:rPr>
        <w:t>this section</w:t>
      </w:r>
      <w:r w:rsidRPr="00986D60">
        <w:rPr>
          <w:rFonts w:cs="Calibri"/>
          <w:snapToGrid/>
          <w:szCs w:val="24"/>
          <w:lang w:val="en-US" w:eastAsia="en-AU"/>
        </w:rPr>
        <w:t xml:space="preserve"> are those that are new to the </w:t>
      </w:r>
      <w:r w:rsidR="00063220">
        <w:rPr>
          <w:rFonts w:cs="Calibri"/>
          <w:snapToGrid/>
          <w:szCs w:val="24"/>
          <w:lang w:val="en-US" w:eastAsia="en-AU"/>
        </w:rPr>
        <w:t>resubmission</w:t>
      </w:r>
      <w:r w:rsidRPr="00986D60">
        <w:rPr>
          <w:rFonts w:cs="Calibri"/>
          <w:snapToGrid/>
          <w:szCs w:val="24"/>
          <w:lang w:val="en-US" w:eastAsia="en-AU"/>
        </w:rPr>
        <w:t>. All other trials and studies were considered by the PBAC in the submission considered at the November 2011 meeting.</w:t>
      </w:r>
    </w:p>
    <w:p w:rsidR="00862502" w:rsidRPr="00986D60" w:rsidRDefault="00A73134" w:rsidP="007A7ACD">
      <w:pPr>
        <w:pStyle w:val="ListParagraph"/>
        <w:widowControl/>
        <w:numPr>
          <w:ilvl w:val="1"/>
          <w:numId w:val="13"/>
        </w:numPr>
        <w:spacing w:after="120"/>
        <w:ind w:left="709" w:hanging="709"/>
      </w:pPr>
      <w:r w:rsidRPr="00986D60">
        <w:rPr>
          <w:rFonts w:cs="Calibri"/>
          <w:snapToGrid/>
          <w:szCs w:val="24"/>
          <w:lang w:val="en-US" w:eastAsia="en-AU"/>
        </w:rPr>
        <w:t xml:space="preserve">Details of the trials presented in the </w:t>
      </w:r>
      <w:r w:rsidR="00063220">
        <w:rPr>
          <w:rFonts w:cs="Calibri"/>
          <w:snapToGrid/>
          <w:szCs w:val="24"/>
          <w:lang w:val="en-US" w:eastAsia="en-AU"/>
        </w:rPr>
        <w:t>resubmission</w:t>
      </w:r>
      <w:r w:rsidRPr="00986D60">
        <w:rPr>
          <w:rFonts w:cs="Calibri"/>
          <w:snapToGrid/>
          <w:szCs w:val="24"/>
          <w:lang w:val="en-US" w:eastAsia="en-AU"/>
        </w:rPr>
        <w:t xml:space="preserve"> are provided in </w:t>
      </w:r>
      <w:r w:rsidR="000C0F91" w:rsidRPr="00986D60">
        <w:rPr>
          <w:rFonts w:cs="Calibri"/>
          <w:snapToGrid/>
          <w:szCs w:val="24"/>
          <w:lang w:val="en-US" w:eastAsia="en-AU"/>
        </w:rPr>
        <w:t xml:space="preserve">Table </w:t>
      </w:r>
      <w:r w:rsidR="00AD1ED6" w:rsidRPr="00986D60">
        <w:rPr>
          <w:rFonts w:cs="Calibri"/>
          <w:snapToGrid/>
          <w:szCs w:val="24"/>
          <w:lang w:val="en-US" w:eastAsia="en-AU"/>
        </w:rPr>
        <w:t>5</w:t>
      </w:r>
      <w:r w:rsidRPr="00986D60">
        <w:rPr>
          <w:rFonts w:cs="Calibri"/>
          <w:snapToGrid/>
          <w:szCs w:val="24"/>
          <w:lang w:val="en-US" w:eastAsia="en-AU"/>
        </w:rPr>
        <w:t xml:space="preserve">.  </w:t>
      </w:r>
    </w:p>
    <w:p w:rsidR="000C0F91" w:rsidRPr="00986D60" w:rsidRDefault="000C0F91" w:rsidP="00D85BE1">
      <w:pPr>
        <w:keepNext/>
        <w:keepLines/>
      </w:pPr>
      <w:r w:rsidRPr="00986D60">
        <w:rPr>
          <w:rStyle w:val="CommentReference"/>
        </w:rPr>
        <w:t xml:space="preserve">Table </w:t>
      </w:r>
      <w:r w:rsidR="00AD1ED6" w:rsidRPr="00986D60">
        <w:rPr>
          <w:rStyle w:val="CommentReference"/>
        </w:rPr>
        <w:t>5</w:t>
      </w:r>
      <w:r w:rsidRPr="00986D60">
        <w:rPr>
          <w:rStyle w:val="CommentReference"/>
        </w:rPr>
        <w:t xml:space="preserve">: Trials and associated reports presented in the </w:t>
      </w:r>
      <w:r w:rsidR="00063220">
        <w:rPr>
          <w:rStyle w:val="CommentReference"/>
        </w:rPr>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8"/>
        <w:gridCol w:w="5711"/>
        <w:gridCol w:w="2234"/>
      </w:tblGrid>
      <w:tr w:rsidR="000C0F91" w:rsidRPr="00986D60" w:rsidTr="000714CE">
        <w:trPr>
          <w:tblHeader/>
        </w:trPr>
        <w:tc>
          <w:tcPr>
            <w:tcW w:w="626" w:type="pct"/>
          </w:tcPr>
          <w:p w:rsidR="000C0F91" w:rsidRPr="00986D60" w:rsidRDefault="000C0F91" w:rsidP="00D85BE1">
            <w:pPr>
              <w:pStyle w:val="Tabletext"/>
              <w:keepNext/>
              <w:keepLines/>
              <w:rPr>
                <w:b/>
              </w:rPr>
            </w:pPr>
            <w:r w:rsidRPr="00986D60">
              <w:rPr>
                <w:b/>
              </w:rPr>
              <w:t>Trial/Study</w:t>
            </w:r>
          </w:p>
        </w:tc>
        <w:tc>
          <w:tcPr>
            <w:tcW w:w="3144" w:type="pct"/>
            <w:vAlign w:val="center"/>
          </w:tcPr>
          <w:p w:rsidR="000C0F91" w:rsidRPr="00986D60" w:rsidRDefault="000C0F91" w:rsidP="00D85BE1">
            <w:pPr>
              <w:pStyle w:val="Tabletext"/>
              <w:keepNext/>
              <w:keepLines/>
              <w:jc w:val="center"/>
              <w:rPr>
                <w:b/>
              </w:rPr>
            </w:pPr>
            <w:r w:rsidRPr="00986D60">
              <w:rPr>
                <w:b/>
              </w:rPr>
              <w:t>Protocol title/ Publication title</w:t>
            </w:r>
          </w:p>
        </w:tc>
        <w:tc>
          <w:tcPr>
            <w:tcW w:w="1230" w:type="pct"/>
          </w:tcPr>
          <w:p w:rsidR="000C0F91" w:rsidRPr="00986D60" w:rsidRDefault="000C0F91" w:rsidP="00D85BE1">
            <w:pPr>
              <w:pStyle w:val="Tabletext"/>
              <w:keepNext/>
              <w:keepLines/>
              <w:rPr>
                <w:b/>
              </w:rPr>
            </w:pPr>
            <w:r w:rsidRPr="00986D60">
              <w:rPr>
                <w:b/>
              </w:rPr>
              <w:t>Publication citation</w:t>
            </w:r>
          </w:p>
        </w:tc>
      </w:tr>
      <w:tr w:rsidR="000C0F91" w:rsidRPr="00986D60" w:rsidTr="000714CE">
        <w:tc>
          <w:tcPr>
            <w:tcW w:w="626" w:type="pct"/>
            <w:tcBorders>
              <w:bottom w:val="nil"/>
            </w:tcBorders>
          </w:tcPr>
          <w:p w:rsidR="000C0F91" w:rsidRPr="00986D60" w:rsidRDefault="000C0F91" w:rsidP="00D85BE1">
            <w:pPr>
              <w:pStyle w:val="Tabletext"/>
              <w:keepNext/>
              <w:keepLines/>
              <w:spacing w:after="40"/>
            </w:pPr>
            <w:r w:rsidRPr="00986D60">
              <w:t>PKU-001</w:t>
            </w:r>
          </w:p>
        </w:tc>
        <w:tc>
          <w:tcPr>
            <w:tcW w:w="3144" w:type="pct"/>
            <w:tcBorders>
              <w:bottom w:val="nil"/>
            </w:tcBorders>
          </w:tcPr>
          <w:p w:rsidR="000C0F91" w:rsidRPr="00986D60" w:rsidRDefault="000C0F91" w:rsidP="00D85BE1">
            <w:pPr>
              <w:pStyle w:val="Tabletext"/>
              <w:keepNext/>
              <w:keepLines/>
              <w:spacing w:after="40"/>
              <w:rPr>
                <w:szCs w:val="18"/>
              </w:rPr>
            </w:pPr>
            <w:r w:rsidRPr="00986D60">
              <w:rPr>
                <w:szCs w:val="18"/>
              </w:rPr>
              <w:t>A Phase 2, Multicenter, Open-Label Study to Evaluate the Response to and Safety of an 8-Day Course of Phenoptin™ (sapropterin dihydrochloride) Treatment in Subjects with Phenylketonuria Who Have Elevated Phenylalanine Levels</w:t>
            </w:r>
          </w:p>
        </w:tc>
        <w:tc>
          <w:tcPr>
            <w:tcW w:w="1230" w:type="pct"/>
            <w:tcBorders>
              <w:bottom w:val="nil"/>
            </w:tcBorders>
          </w:tcPr>
          <w:p w:rsidR="000C0F91" w:rsidRPr="00986D60" w:rsidRDefault="000C0F91" w:rsidP="00D85BE1">
            <w:pPr>
              <w:pStyle w:val="Tabletext"/>
              <w:keepNext/>
              <w:keepLines/>
              <w:spacing w:after="40"/>
            </w:pPr>
            <w:r w:rsidRPr="00986D60">
              <w:t>22 December 2006</w:t>
            </w:r>
          </w:p>
        </w:tc>
      </w:tr>
      <w:tr w:rsidR="000C0F91" w:rsidRPr="00986D60" w:rsidTr="000714CE">
        <w:tc>
          <w:tcPr>
            <w:tcW w:w="626" w:type="pct"/>
            <w:tcBorders>
              <w:top w:val="nil"/>
              <w:bottom w:val="nil"/>
            </w:tcBorders>
          </w:tcPr>
          <w:p w:rsidR="000C0F91" w:rsidRPr="00986D60" w:rsidRDefault="000C0F91" w:rsidP="00D85BE1">
            <w:pPr>
              <w:pStyle w:val="Tabletext"/>
              <w:keepNext/>
              <w:keepLines/>
              <w:spacing w:after="40"/>
            </w:pPr>
          </w:p>
        </w:tc>
        <w:tc>
          <w:tcPr>
            <w:tcW w:w="3144" w:type="pct"/>
            <w:tcBorders>
              <w:top w:val="nil"/>
              <w:bottom w:val="nil"/>
            </w:tcBorders>
          </w:tcPr>
          <w:p w:rsidR="000C0F91" w:rsidRPr="00986D60" w:rsidRDefault="000C0F91" w:rsidP="00D85BE1">
            <w:pPr>
              <w:pStyle w:val="Tabletext"/>
              <w:keepNext/>
              <w:keepLines/>
              <w:spacing w:after="40"/>
              <w:rPr>
                <w:szCs w:val="18"/>
                <w:lang w:eastAsia="en-AU"/>
              </w:rPr>
            </w:pPr>
            <w:r w:rsidRPr="00986D60">
              <w:rPr>
                <w:szCs w:val="18"/>
                <w:lang w:eastAsia="en-AU"/>
              </w:rPr>
              <w:t>An Open-label Substudy to Evaluate Phenylalanine Levels Over a Twenty-Four Hour Period in Subjects with Phenylketonuria Participating in the PKU-001 Study</w:t>
            </w:r>
          </w:p>
        </w:tc>
        <w:tc>
          <w:tcPr>
            <w:tcW w:w="1230" w:type="pct"/>
            <w:tcBorders>
              <w:top w:val="nil"/>
              <w:bottom w:val="nil"/>
            </w:tcBorders>
          </w:tcPr>
          <w:p w:rsidR="000C0F91" w:rsidRPr="00986D60" w:rsidRDefault="000C0F91" w:rsidP="00D85BE1">
            <w:pPr>
              <w:pStyle w:val="Tabletext"/>
              <w:keepNext/>
              <w:keepLines/>
              <w:spacing w:after="40"/>
              <w:rPr>
                <w:szCs w:val="18"/>
                <w:lang w:eastAsia="en-AU"/>
              </w:rPr>
            </w:pPr>
            <w:r w:rsidRPr="00986D60">
              <w:rPr>
                <w:szCs w:val="18"/>
                <w:lang w:eastAsia="en-AU"/>
              </w:rPr>
              <w:t>22 December 2006</w:t>
            </w:r>
          </w:p>
        </w:tc>
      </w:tr>
      <w:tr w:rsidR="000C0F91" w:rsidRPr="00986D60" w:rsidTr="000714CE">
        <w:tc>
          <w:tcPr>
            <w:tcW w:w="626" w:type="pct"/>
            <w:tcBorders>
              <w:top w:val="nil"/>
              <w:bottom w:val="nil"/>
            </w:tcBorders>
          </w:tcPr>
          <w:p w:rsidR="000C0F91" w:rsidRPr="00986D60" w:rsidRDefault="000C0F91" w:rsidP="00D85BE1">
            <w:pPr>
              <w:pStyle w:val="Tabletext"/>
              <w:keepNext/>
              <w:keepLines/>
              <w:spacing w:after="40"/>
            </w:pPr>
          </w:p>
        </w:tc>
        <w:tc>
          <w:tcPr>
            <w:tcW w:w="3144" w:type="pct"/>
            <w:tcBorders>
              <w:top w:val="nil"/>
              <w:bottom w:val="nil"/>
            </w:tcBorders>
          </w:tcPr>
          <w:p w:rsidR="000C0F91" w:rsidRPr="00986D60" w:rsidRDefault="000C0F91" w:rsidP="00D85BE1">
            <w:pPr>
              <w:pStyle w:val="Tabletext"/>
              <w:keepNext/>
              <w:keepLines/>
              <w:spacing w:after="40"/>
              <w:rPr>
                <w:szCs w:val="18"/>
                <w:lang w:val="en-US" w:eastAsia="en-AU"/>
              </w:rPr>
            </w:pPr>
            <w:r w:rsidRPr="00986D60">
              <w:rPr>
                <w:szCs w:val="18"/>
                <w:lang w:val="en-US" w:eastAsia="en-AU"/>
              </w:rPr>
              <w:t>A Phase 2, Multicenter, Open-Label Study to Evaluate the Response to and Safety of an 8-Day Course of Kuvan® (sapropterin dihydrochloride) Treatment in Subjects with Phenylketonuria Who Have Elevated Phenylalanine Levels</w:t>
            </w:r>
          </w:p>
        </w:tc>
        <w:tc>
          <w:tcPr>
            <w:tcW w:w="1230" w:type="pct"/>
            <w:tcBorders>
              <w:top w:val="nil"/>
              <w:bottom w:val="nil"/>
            </w:tcBorders>
          </w:tcPr>
          <w:p w:rsidR="000C0F91" w:rsidRPr="00986D60" w:rsidRDefault="000C0F91" w:rsidP="00D85BE1">
            <w:pPr>
              <w:pStyle w:val="Tabletext"/>
              <w:keepNext/>
              <w:keepLines/>
              <w:spacing w:after="40"/>
              <w:rPr>
                <w:szCs w:val="18"/>
                <w:lang w:val="en-US" w:eastAsia="en-AU"/>
              </w:rPr>
            </w:pPr>
            <w:r w:rsidRPr="00986D60">
              <w:rPr>
                <w:szCs w:val="18"/>
                <w:lang w:val="en-US" w:eastAsia="en-AU"/>
              </w:rPr>
              <w:t>11 December 2008</w:t>
            </w:r>
          </w:p>
        </w:tc>
      </w:tr>
      <w:tr w:rsidR="000C0F91" w:rsidRPr="00986D60" w:rsidTr="000714CE">
        <w:tc>
          <w:tcPr>
            <w:tcW w:w="626" w:type="pct"/>
            <w:tcBorders>
              <w:top w:val="nil"/>
              <w:bottom w:val="nil"/>
            </w:tcBorders>
          </w:tcPr>
          <w:p w:rsidR="000C0F91" w:rsidRPr="00986D60" w:rsidRDefault="000C0F91" w:rsidP="00D85BE1">
            <w:pPr>
              <w:pStyle w:val="Tabletext"/>
              <w:keepNext/>
              <w:keepLines/>
              <w:spacing w:after="40"/>
            </w:pPr>
          </w:p>
        </w:tc>
        <w:tc>
          <w:tcPr>
            <w:tcW w:w="3144" w:type="pct"/>
            <w:tcBorders>
              <w:top w:val="nil"/>
              <w:bottom w:val="nil"/>
            </w:tcBorders>
          </w:tcPr>
          <w:p w:rsidR="000C0F91" w:rsidRPr="00986D60" w:rsidRDefault="000C0F91" w:rsidP="00D85BE1">
            <w:pPr>
              <w:pStyle w:val="Tabletext"/>
              <w:keepNext/>
              <w:keepLines/>
              <w:spacing w:after="40"/>
              <w:rPr>
                <w:szCs w:val="18"/>
                <w:lang w:val="en-US" w:eastAsia="en-AU"/>
              </w:rPr>
            </w:pPr>
            <w:r w:rsidRPr="00986D60">
              <w:rPr>
                <w:szCs w:val="18"/>
                <w:lang w:val="en-US" w:eastAsia="en-AU"/>
              </w:rPr>
              <w:t>Burton et al. (2007) The response of patients with phenylketonuria and elevated serum phenylalanine to treatment with oral sapropterin dihydrochloride (6R-tetrahydrobiopterin): a phase II, multicentre, open-label, screening study</w:t>
            </w:r>
          </w:p>
        </w:tc>
        <w:tc>
          <w:tcPr>
            <w:tcW w:w="1230" w:type="pct"/>
            <w:tcBorders>
              <w:top w:val="nil"/>
              <w:bottom w:val="nil"/>
            </w:tcBorders>
          </w:tcPr>
          <w:p w:rsidR="000C0F91" w:rsidRPr="00986D60" w:rsidRDefault="000C0F91" w:rsidP="00D85BE1">
            <w:pPr>
              <w:pStyle w:val="Tabletext"/>
              <w:keepNext/>
              <w:keepLines/>
              <w:spacing w:after="40"/>
              <w:rPr>
                <w:szCs w:val="18"/>
                <w:lang w:val="en-US" w:eastAsia="en-AU"/>
              </w:rPr>
            </w:pPr>
            <w:r w:rsidRPr="00986D60">
              <w:rPr>
                <w:szCs w:val="18"/>
                <w:lang w:val="en-US" w:eastAsia="en-AU"/>
              </w:rPr>
              <w:t>Journal of Inherited Metabolic Disease 30:700–707</w:t>
            </w:r>
          </w:p>
        </w:tc>
      </w:tr>
      <w:tr w:rsidR="000C0F91" w:rsidRPr="00986D60" w:rsidTr="000714CE">
        <w:tc>
          <w:tcPr>
            <w:tcW w:w="626" w:type="pct"/>
            <w:tcBorders>
              <w:bottom w:val="nil"/>
            </w:tcBorders>
            <w:shd w:val="clear" w:color="auto" w:fill="D9D9D9" w:themeFill="background1" w:themeFillShade="D9"/>
          </w:tcPr>
          <w:p w:rsidR="000C0F91" w:rsidRPr="00986D60" w:rsidRDefault="000C0F91" w:rsidP="000714CE">
            <w:pPr>
              <w:pStyle w:val="Tabletext"/>
              <w:spacing w:after="40"/>
            </w:pPr>
            <w:r w:rsidRPr="00986D60">
              <w:t>EMR_700773_510</w:t>
            </w:r>
          </w:p>
        </w:tc>
        <w:tc>
          <w:tcPr>
            <w:tcW w:w="3144" w:type="pct"/>
            <w:tcBorders>
              <w:bottom w:val="nil"/>
            </w:tcBorders>
            <w:shd w:val="clear" w:color="auto" w:fill="D9D9D9" w:themeFill="background1" w:themeFillShade="D9"/>
          </w:tcPr>
          <w:p w:rsidR="000C0F91" w:rsidRPr="00986D60" w:rsidRDefault="000C0F91" w:rsidP="000714CE">
            <w:pPr>
              <w:pStyle w:val="Tabletext"/>
              <w:spacing w:after="40"/>
            </w:pPr>
            <w:r w:rsidRPr="00986D60">
              <w:t>A phase III non-comparative open-label clinical study to evaluate the response to and safety of Kuvan (sapropterin dihydrochloride) after 6 weeks of treatment in patients of 4 to 18 years of age with phenylketonuria who have elevated blood Phenylalanine levels</w:t>
            </w:r>
          </w:p>
        </w:tc>
        <w:tc>
          <w:tcPr>
            <w:tcW w:w="1230" w:type="pct"/>
            <w:tcBorders>
              <w:bottom w:val="nil"/>
            </w:tcBorders>
            <w:shd w:val="clear" w:color="auto" w:fill="D9D9D9" w:themeFill="background1" w:themeFillShade="D9"/>
          </w:tcPr>
          <w:p w:rsidR="000C0F91" w:rsidRPr="00986D60" w:rsidRDefault="000C0F91" w:rsidP="000714CE">
            <w:pPr>
              <w:pStyle w:val="Tabletext"/>
              <w:spacing w:after="40"/>
            </w:pPr>
            <w:r w:rsidRPr="00986D60">
              <w:t>25 November 2013</w:t>
            </w:r>
          </w:p>
        </w:tc>
      </w:tr>
      <w:tr w:rsidR="000C0F91" w:rsidRPr="00986D60" w:rsidTr="000714CE">
        <w:tc>
          <w:tcPr>
            <w:tcW w:w="626" w:type="pct"/>
            <w:tcBorders>
              <w:top w:val="nil"/>
              <w:bottom w:val="nil"/>
            </w:tcBorders>
            <w:shd w:val="clear" w:color="auto" w:fill="D9D9D9" w:themeFill="background1" w:themeFillShade="D9"/>
          </w:tcPr>
          <w:p w:rsidR="000C0F91" w:rsidRPr="00986D60" w:rsidRDefault="000C0F91" w:rsidP="000714CE">
            <w:pPr>
              <w:pStyle w:val="Tabletext"/>
              <w:spacing w:after="40"/>
            </w:pPr>
          </w:p>
        </w:tc>
        <w:tc>
          <w:tcPr>
            <w:tcW w:w="3144" w:type="pct"/>
            <w:tcBorders>
              <w:top w:val="nil"/>
              <w:bottom w:val="nil"/>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Addendum to Clinical Trial Report: A phase III non-comparative open-label clinical study to evaluate the response to and safety of Kuvan (sapropterin dihydrochloride) after 6 weeks of treatment in patients of 4 to 18 years of age with phenylketonuria who have elevated blood Phenylalanine levels</w:t>
            </w:r>
          </w:p>
        </w:tc>
        <w:tc>
          <w:tcPr>
            <w:tcW w:w="1230" w:type="pct"/>
            <w:tcBorders>
              <w:top w:val="nil"/>
              <w:bottom w:val="nil"/>
            </w:tcBorders>
            <w:shd w:val="clear" w:color="auto" w:fill="D9D9D9" w:themeFill="background1" w:themeFillShade="D9"/>
          </w:tcPr>
          <w:p w:rsidR="000C0F91" w:rsidRPr="00986D60" w:rsidRDefault="000C0F91" w:rsidP="000714CE">
            <w:pPr>
              <w:pStyle w:val="Tabletext"/>
              <w:spacing w:after="40"/>
            </w:pPr>
            <w:r w:rsidRPr="00986D60">
              <w:t>24 July 2014</w:t>
            </w:r>
          </w:p>
        </w:tc>
      </w:tr>
      <w:tr w:rsidR="000C0F91" w:rsidRPr="00986D60" w:rsidTr="000714CE">
        <w:tc>
          <w:tcPr>
            <w:tcW w:w="626" w:type="pct"/>
            <w:tcBorders>
              <w:top w:val="nil"/>
              <w:bottom w:val="nil"/>
            </w:tcBorders>
            <w:shd w:val="clear" w:color="auto" w:fill="D9D9D9" w:themeFill="background1" w:themeFillShade="D9"/>
          </w:tcPr>
          <w:p w:rsidR="000C0F91" w:rsidRPr="00986D60" w:rsidRDefault="000C0F91" w:rsidP="000714CE">
            <w:pPr>
              <w:pStyle w:val="Tabletext"/>
              <w:spacing w:after="40"/>
            </w:pPr>
          </w:p>
        </w:tc>
        <w:tc>
          <w:tcPr>
            <w:tcW w:w="3144" w:type="pct"/>
            <w:tcBorders>
              <w:top w:val="nil"/>
              <w:bottom w:val="nil"/>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Bushueva et al. (2014) Open, Non-Comparative Phase III Clinical Study to Evaluate the Efficacy and Safety of Sapropterin in Patients with Phenylketonuria and Hyperphenylalaninemia.</w:t>
            </w:r>
          </w:p>
        </w:tc>
        <w:tc>
          <w:tcPr>
            <w:tcW w:w="1230" w:type="pct"/>
            <w:tcBorders>
              <w:top w:val="nil"/>
              <w:bottom w:val="nil"/>
            </w:tcBorders>
            <w:shd w:val="clear" w:color="auto" w:fill="D9D9D9" w:themeFill="background1" w:themeFillShade="D9"/>
          </w:tcPr>
          <w:p w:rsidR="000C0F91" w:rsidRPr="00986D60" w:rsidRDefault="000C0F91" w:rsidP="000714CE">
            <w:pPr>
              <w:pStyle w:val="Tabletext"/>
              <w:spacing w:after="40"/>
            </w:pPr>
            <w:r w:rsidRPr="00986D60">
              <w:t>Annals of the Russian Academy of Medical Sciences. 7–8: 69–77</w:t>
            </w:r>
          </w:p>
        </w:tc>
      </w:tr>
      <w:tr w:rsidR="000C0F91" w:rsidRPr="00986D60" w:rsidTr="000714CE">
        <w:tc>
          <w:tcPr>
            <w:tcW w:w="626" w:type="pct"/>
            <w:tcBorders>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ENDURE</w:t>
            </w:r>
          </w:p>
        </w:tc>
        <w:tc>
          <w:tcPr>
            <w:tcW w:w="3144" w:type="pct"/>
            <w:tcBorders>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ENDURE: A Phase IV, Prospective, Open-label, Uncontrolled, Multi-Centre Cohort Trial to Assess the Responsiveness of Subjects with Phenylketonuria (PKU) to Treatment with Kuvan® 20 mg/kg/day for 28 Days.</w:t>
            </w:r>
          </w:p>
        </w:tc>
        <w:tc>
          <w:tcPr>
            <w:tcW w:w="1230" w:type="pct"/>
            <w:tcBorders>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23 April 2013</w:t>
            </w:r>
          </w:p>
        </w:tc>
      </w:tr>
      <w:tr w:rsidR="000C0F91" w:rsidRPr="00986D60" w:rsidTr="000714CE">
        <w:tc>
          <w:tcPr>
            <w:tcW w:w="626" w:type="pct"/>
            <w:tcBorders>
              <w:top w:val="single" w:sz="4" w:space="0" w:color="auto"/>
              <w:bottom w:val="nil"/>
            </w:tcBorders>
          </w:tcPr>
          <w:p w:rsidR="000C0F91" w:rsidRPr="00986D60" w:rsidRDefault="000C0F91" w:rsidP="000714CE">
            <w:pPr>
              <w:pStyle w:val="Tabletext"/>
              <w:spacing w:after="40"/>
            </w:pPr>
            <w:r w:rsidRPr="00986D60">
              <w:t>PKU-003</w:t>
            </w:r>
          </w:p>
        </w:tc>
        <w:tc>
          <w:tcPr>
            <w:tcW w:w="3144" w:type="pct"/>
            <w:tcBorders>
              <w:top w:val="single" w:sz="4" w:space="0" w:color="auto"/>
              <w:bottom w:val="nil"/>
            </w:tcBorders>
          </w:tcPr>
          <w:p w:rsidR="000C0F91" w:rsidRPr="00986D60" w:rsidRDefault="000C0F91" w:rsidP="000714CE">
            <w:pPr>
              <w:pStyle w:val="Tabletext"/>
              <w:spacing w:after="40"/>
              <w:rPr>
                <w:szCs w:val="18"/>
              </w:rPr>
            </w:pPr>
            <w:r w:rsidRPr="00986D60">
              <w:rPr>
                <w:szCs w:val="18"/>
              </w:rPr>
              <w:t>A Phase 3, Randomized, Double-Blind, Placebo-Controlled Study to Evaluate the Safety and Efficacy of Phenoptin™ (sapropterin dihydrochloride) in Subjects with Phenylketonuria Who Have Elevated Phenylalanine Levels</w:t>
            </w:r>
          </w:p>
        </w:tc>
        <w:tc>
          <w:tcPr>
            <w:tcW w:w="1230" w:type="pct"/>
            <w:tcBorders>
              <w:top w:val="single" w:sz="4" w:space="0" w:color="auto"/>
              <w:bottom w:val="nil"/>
            </w:tcBorders>
          </w:tcPr>
          <w:p w:rsidR="000C0F91" w:rsidRPr="00986D60" w:rsidRDefault="000C0F91" w:rsidP="000714CE">
            <w:pPr>
              <w:pStyle w:val="Tabletext"/>
              <w:spacing w:after="40"/>
            </w:pPr>
            <w:r w:rsidRPr="00986D60">
              <w:t>5 December 2006</w:t>
            </w:r>
          </w:p>
        </w:tc>
      </w:tr>
      <w:tr w:rsidR="000C0F91" w:rsidRPr="00986D60" w:rsidTr="000714CE">
        <w:tc>
          <w:tcPr>
            <w:tcW w:w="626" w:type="pct"/>
            <w:tcBorders>
              <w:top w:val="nil"/>
              <w:bottom w:val="single" w:sz="4" w:space="0" w:color="auto"/>
            </w:tcBorders>
          </w:tcPr>
          <w:p w:rsidR="000C0F91" w:rsidRPr="00986D60" w:rsidRDefault="000C0F91" w:rsidP="000714CE">
            <w:pPr>
              <w:pStyle w:val="Tabletext"/>
              <w:spacing w:after="40"/>
            </w:pPr>
          </w:p>
        </w:tc>
        <w:tc>
          <w:tcPr>
            <w:tcW w:w="3144" w:type="pct"/>
            <w:tcBorders>
              <w:top w:val="nil"/>
              <w:bottom w:val="single" w:sz="4" w:space="0" w:color="auto"/>
            </w:tcBorders>
          </w:tcPr>
          <w:p w:rsidR="000C0F91" w:rsidRPr="00986D60" w:rsidRDefault="000C0F91" w:rsidP="000714CE">
            <w:pPr>
              <w:pStyle w:val="Tabletext"/>
              <w:spacing w:after="40"/>
              <w:rPr>
                <w:szCs w:val="18"/>
              </w:rPr>
            </w:pPr>
            <w:r w:rsidRPr="00986D60">
              <w:rPr>
                <w:szCs w:val="18"/>
              </w:rPr>
              <w:t>Levy et al. (2007) Efficacy of sapropterin dihydrochloride (tetrahydrobiopterin, 6R-BH4) for reduction of phenylalanine concentration in patients with phenylketonuria: a phase III randomised placebo-controlled study</w:t>
            </w:r>
          </w:p>
        </w:tc>
        <w:tc>
          <w:tcPr>
            <w:tcW w:w="1230" w:type="pct"/>
            <w:tcBorders>
              <w:top w:val="nil"/>
              <w:bottom w:val="single" w:sz="4" w:space="0" w:color="auto"/>
            </w:tcBorders>
          </w:tcPr>
          <w:p w:rsidR="000C0F91" w:rsidRPr="00986D60" w:rsidRDefault="000C0F91" w:rsidP="000714CE">
            <w:pPr>
              <w:pStyle w:val="Tabletext"/>
              <w:spacing w:after="40"/>
            </w:pPr>
            <w:r w:rsidRPr="00986D60">
              <w:t>Lancet 370: 504-510</w:t>
            </w:r>
          </w:p>
        </w:tc>
      </w:tr>
      <w:tr w:rsidR="000C0F91" w:rsidRPr="00986D60" w:rsidTr="000714CE">
        <w:tc>
          <w:tcPr>
            <w:tcW w:w="626" w:type="pct"/>
            <w:tcBorders>
              <w:top w:val="single" w:sz="4" w:space="0" w:color="auto"/>
              <w:bottom w:val="nil"/>
            </w:tcBorders>
          </w:tcPr>
          <w:p w:rsidR="000C0F91" w:rsidRPr="00986D60" w:rsidRDefault="000C0F91" w:rsidP="000714CE">
            <w:pPr>
              <w:pStyle w:val="Tabletext"/>
              <w:spacing w:after="40"/>
            </w:pPr>
            <w:r w:rsidRPr="00986D60">
              <w:t>PKU-004</w:t>
            </w:r>
          </w:p>
        </w:tc>
        <w:tc>
          <w:tcPr>
            <w:tcW w:w="3144" w:type="pct"/>
            <w:tcBorders>
              <w:top w:val="single" w:sz="4" w:space="0" w:color="auto"/>
              <w:bottom w:val="nil"/>
            </w:tcBorders>
          </w:tcPr>
          <w:p w:rsidR="000C0F91" w:rsidRPr="00986D60" w:rsidRDefault="000C0F91" w:rsidP="000714CE">
            <w:pPr>
              <w:pStyle w:val="Tabletext"/>
              <w:spacing w:after="40"/>
              <w:rPr>
                <w:szCs w:val="18"/>
              </w:rPr>
            </w:pPr>
            <w:r w:rsidRPr="00986D60">
              <w:rPr>
                <w:szCs w:val="18"/>
              </w:rPr>
              <w:t>A Phase 3, Multicenter, Open-Label Extension Study of Phenoptin™ (sapropterin dihydrochloride) in Subjects with Phenylketonuria Who Have Elevated Phenylalanine Levels</w:t>
            </w:r>
          </w:p>
        </w:tc>
        <w:tc>
          <w:tcPr>
            <w:tcW w:w="1230" w:type="pct"/>
            <w:tcBorders>
              <w:top w:val="single" w:sz="4" w:space="0" w:color="auto"/>
              <w:bottom w:val="nil"/>
            </w:tcBorders>
          </w:tcPr>
          <w:p w:rsidR="000C0F91" w:rsidRPr="00986D60" w:rsidRDefault="000C0F91" w:rsidP="000714CE">
            <w:pPr>
              <w:pStyle w:val="Tabletext"/>
              <w:spacing w:after="40"/>
            </w:pPr>
            <w:r w:rsidRPr="00986D60">
              <w:t>16 March 2007</w:t>
            </w:r>
          </w:p>
        </w:tc>
      </w:tr>
      <w:tr w:rsidR="000C0F91" w:rsidRPr="00986D60" w:rsidTr="000714CE">
        <w:tc>
          <w:tcPr>
            <w:tcW w:w="626" w:type="pct"/>
            <w:tcBorders>
              <w:top w:val="nil"/>
              <w:bottom w:val="single" w:sz="4" w:space="0" w:color="auto"/>
            </w:tcBorders>
          </w:tcPr>
          <w:p w:rsidR="000C0F91" w:rsidRPr="00986D60" w:rsidRDefault="000C0F91" w:rsidP="000714CE">
            <w:pPr>
              <w:pStyle w:val="Tabletext"/>
              <w:spacing w:after="40"/>
            </w:pPr>
          </w:p>
        </w:tc>
        <w:tc>
          <w:tcPr>
            <w:tcW w:w="3144" w:type="pct"/>
            <w:tcBorders>
              <w:top w:val="nil"/>
              <w:bottom w:val="single" w:sz="4" w:space="0" w:color="auto"/>
            </w:tcBorders>
          </w:tcPr>
          <w:p w:rsidR="000C0F91" w:rsidRPr="00986D60" w:rsidRDefault="000C0F91" w:rsidP="000714CE">
            <w:pPr>
              <w:pStyle w:val="Tabletext"/>
              <w:spacing w:after="40"/>
              <w:rPr>
                <w:szCs w:val="18"/>
              </w:rPr>
            </w:pPr>
            <w:r w:rsidRPr="00986D60">
              <w:rPr>
                <w:szCs w:val="18"/>
              </w:rPr>
              <w:t>Lee et al. (2008) Safety and Efficacy of 22 Weeks of Treatment with Sapropterin Dihydrochloride in Patients with Phenylketonuria.</w:t>
            </w:r>
          </w:p>
        </w:tc>
        <w:tc>
          <w:tcPr>
            <w:tcW w:w="1230" w:type="pct"/>
            <w:tcBorders>
              <w:top w:val="nil"/>
              <w:bottom w:val="single" w:sz="4" w:space="0" w:color="auto"/>
            </w:tcBorders>
          </w:tcPr>
          <w:p w:rsidR="000C0F91" w:rsidRPr="00986D60" w:rsidRDefault="000C0F91" w:rsidP="000714CE">
            <w:pPr>
              <w:pStyle w:val="Tabletext"/>
              <w:spacing w:after="40"/>
            </w:pPr>
            <w:r w:rsidRPr="00986D60">
              <w:t>American Journal of Medical Genetics Part A 146A:2851–2859</w:t>
            </w:r>
          </w:p>
        </w:tc>
      </w:tr>
      <w:tr w:rsidR="000C0F91" w:rsidRPr="00986D60" w:rsidTr="000714CE">
        <w:tc>
          <w:tcPr>
            <w:tcW w:w="626" w:type="pct"/>
            <w:tcBorders>
              <w:top w:val="single" w:sz="4" w:space="0" w:color="auto"/>
              <w:bottom w:val="nil"/>
            </w:tcBorders>
          </w:tcPr>
          <w:p w:rsidR="000C0F91" w:rsidRPr="00986D60" w:rsidRDefault="000C0F91" w:rsidP="000714CE">
            <w:pPr>
              <w:pStyle w:val="Tabletext"/>
              <w:spacing w:after="40"/>
            </w:pPr>
            <w:r w:rsidRPr="00986D60">
              <w:t>PKU-008</w:t>
            </w:r>
          </w:p>
        </w:tc>
        <w:tc>
          <w:tcPr>
            <w:tcW w:w="3144" w:type="pct"/>
            <w:tcBorders>
              <w:top w:val="single" w:sz="4" w:space="0" w:color="auto"/>
              <w:bottom w:val="nil"/>
            </w:tcBorders>
          </w:tcPr>
          <w:p w:rsidR="000C0F91" w:rsidRPr="00986D60" w:rsidRDefault="000C0F91" w:rsidP="000714CE">
            <w:pPr>
              <w:pStyle w:val="Tabletext"/>
              <w:spacing w:after="40"/>
              <w:rPr>
                <w:szCs w:val="18"/>
              </w:rPr>
            </w:pPr>
            <w:r w:rsidRPr="00986D60">
              <w:rPr>
                <w:szCs w:val="18"/>
              </w:rPr>
              <w:t>A Phase 3b, Multicenter, Open–Label Extension Study of Phenoptin™ (sapropterin dihydrochloride) in Subjects with Phenylketonuria Who Participated in Studies PKU-004 or PKU-006</w:t>
            </w:r>
          </w:p>
        </w:tc>
        <w:tc>
          <w:tcPr>
            <w:tcW w:w="1230" w:type="pct"/>
            <w:tcBorders>
              <w:top w:val="single" w:sz="4" w:space="0" w:color="auto"/>
              <w:bottom w:val="nil"/>
            </w:tcBorders>
          </w:tcPr>
          <w:p w:rsidR="000C0F91" w:rsidRPr="00986D60" w:rsidRDefault="000C0F91" w:rsidP="000714CE">
            <w:pPr>
              <w:pStyle w:val="Tabletext"/>
              <w:spacing w:after="40"/>
            </w:pPr>
            <w:r w:rsidRPr="00986D60">
              <w:t>19 April 2010</w:t>
            </w:r>
          </w:p>
        </w:tc>
      </w:tr>
      <w:tr w:rsidR="000C0F91" w:rsidRPr="00986D60" w:rsidTr="000714CE">
        <w:tc>
          <w:tcPr>
            <w:tcW w:w="626" w:type="pct"/>
            <w:tcBorders>
              <w:top w:val="nil"/>
              <w:bottom w:val="single" w:sz="4" w:space="0" w:color="auto"/>
            </w:tcBorders>
          </w:tcPr>
          <w:p w:rsidR="000C0F91" w:rsidRPr="00986D60" w:rsidRDefault="000C0F91" w:rsidP="000714CE">
            <w:pPr>
              <w:pStyle w:val="Tabletext"/>
              <w:spacing w:after="40"/>
            </w:pPr>
          </w:p>
        </w:tc>
        <w:tc>
          <w:tcPr>
            <w:tcW w:w="3144" w:type="pct"/>
            <w:tcBorders>
              <w:top w:val="nil"/>
              <w:bottom w:val="single" w:sz="4" w:space="0" w:color="auto"/>
            </w:tcBorders>
          </w:tcPr>
          <w:p w:rsidR="000C0F91" w:rsidRPr="00986D60" w:rsidRDefault="000C0F91" w:rsidP="000714CE">
            <w:pPr>
              <w:pStyle w:val="Tabletext"/>
              <w:spacing w:after="40"/>
              <w:rPr>
                <w:szCs w:val="18"/>
              </w:rPr>
            </w:pPr>
            <w:r w:rsidRPr="00986D60">
              <w:rPr>
                <w:szCs w:val="18"/>
              </w:rPr>
              <w:t xml:space="preserve">Burton et al. (2011) Safety of extended treatment with sapropterin dihydrochloride in patients with phenylketonuria: Results of a phase 3b study. </w:t>
            </w:r>
          </w:p>
        </w:tc>
        <w:tc>
          <w:tcPr>
            <w:tcW w:w="1230" w:type="pct"/>
            <w:tcBorders>
              <w:top w:val="nil"/>
              <w:bottom w:val="single" w:sz="4" w:space="0" w:color="auto"/>
            </w:tcBorders>
          </w:tcPr>
          <w:p w:rsidR="000C0F91" w:rsidRPr="00986D60" w:rsidRDefault="000C0F91" w:rsidP="000714CE">
            <w:pPr>
              <w:pStyle w:val="Tabletext"/>
              <w:spacing w:after="40"/>
            </w:pPr>
            <w:r w:rsidRPr="00986D60">
              <w:rPr>
                <w:szCs w:val="18"/>
              </w:rPr>
              <w:t>Molecular Genetics and Metabolism 103: 315–322</w:t>
            </w:r>
          </w:p>
        </w:tc>
      </w:tr>
      <w:tr w:rsidR="000C0F91" w:rsidRPr="00986D60" w:rsidTr="000714CE">
        <w:tc>
          <w:tcPr>
            <w:tcW w:w="626" w:type="pct"/>
            <w:tcBorders>
              <w:top w:val="single" w:sz="4" w:space="0" w:color="auto"/>
              <w:bottom w:val="nil"/>
            </w:tcBorders>
          </w:tcPr>
          <w:p w:rsidR="000C0F91" w:rsidRPr="00986D60" w:rsidRDefault="000C0F91" w:rsidP="000714CE">
            <w:pPr>
              <w:pStyle w:val="Tabletext"/>
              <w:spacing w:after="40"/>
            </w:pPr>
            <w:r w:rsidRPr="00986D60">
              <w:t>PKU-006</w:t>
            </w:r>
          </w:p>
        </w:tc>
        <w:tc>
          <w:tcPr>
            <w:tcW w:w="3144" w:type="pct"/>
            <w:tcBorders>
              <w:top w:val="single" w:sz="4" w:space="0" w:color="auto"/>
              <w:bottom w:val="nil"/>
            </w:tcBorders>
          </w:tcPr>
          <w:p w:rsidR="000C0F91" w:rsidRPr="00986D60" w:rsidRDefault="000C0F91" w:rsidP="000714CE">
            <w:pPr>
              <w:pStyle w:val="Tabletext"/>
              <w:spacing w:after="40"/>
              <w:rPr>
                <w:szCs w:val="18"/>
              </w:rPr>
            </w:pPr>
            <w:r w:rsidRPr="00986D60">
              <w:rPr>
                <w:szCs w:val="18"/>
              </w:rPr>
              <w:t>A Phase 3, Multicenter, Randomized, Double-Blind, Placebo-Controlled Study to Evaluate the Safety and Efficacy of Phenoptin (sapropterin dihydrochloride) 20 mg/kg/day to Increase Phenylalanine Tolerance in Phenylketonuric Children on a Phenylalanine-restricted Diet</w:t>
            </w:r>
          </w:p>
        </w:tc>
        <w:tc>
          <w:tcPr>
            <w:tcW w:w="1230" w:type="pct"/>
            <w:tcBorders>
              <w:top w:val="single" w:sz="4" w:space="0" w:color="auto"/>
              <w:bottom w:val="nil"/>
            </w:tcBorders>
          </w:tcPr>
          <w:p w:rsidR="000C0F91" w:rsidRPr="00986D60" w:rsidRDefault="000C0F91" w:rsidP="000714CE">
            <w:pPr>
              <w:pStyle w:val="Tabletext"/>
              <w:spacing w:after="40"/>
            </w:pPr>
            <w:r w:rsidRPr="00986D60">
              <w:t>2 April 2007</w:t>
            </w:r>
          </w:p>
        </w:tc>
      </w:tr>
      <w:tr w:rsidR="000C0F91" w:rsidRPr="00986D60" w:rsidTr="000714CE">
        <w:tc>
          <w:tcPr>
            <w:tcW w:w="626" w:type="pct"/>
            <w:tcBorders>
              <w:top w:val="nil"/>
              <w:bottom w:val="nil"/>
            </w:tcBorders>
          </w:tcPr>
          <w:p w:rsidR="000C0F91" w:rsidRPr="00986D60" w:rsidRDefault="000C0F91" w:rsidP="000714CE">
            <w:pPr>
              <w:pStyle w:val="Tabletext"/>
              <w:spacing w:after="40"/>
            </w:pPr>
          </w:p>
        </w:tc>
        <w:tc>
          <w:tcPr>
            <w:tcW w:w="3144" w:type="pct"/>
            <w:tcBorders>
              <w:top w:val="nil"/>
              <w:bottom w:val="nil"/>
            </w:tcBorders>
          </w:tcPr>
          <w:p w:rsidR="000C0F91" w:rsidRPr="00986D60" w:rsidRDefault="000C0F91" w:rsidP="000714CE">
            <w:pPr>
              <w:pStyle w:val="Tabletext"/>
              <w:spacing w:after="40"/>
              <w:rPr>
                <w:szCs w:val="18"/>
              </w:rPr>
            </w:pPr>
            <w:r w:rsidRPr="00986D60">
              <w:rPr>
                <w:szCs w:val="18"/>
              </w:rPr>
              <w:t>Potential reduction in the cost of medical foods and Phe-free formulas</w:t>
            </w:r>
          </w:p>
        </w:tc>
        <w:tc>
          <w:tcPr>
            <w:tcW w:w="1230" w:type="pct"/>
            <w:tcBorders>
              <w:top w:val="nil"/>
              <w:bottom w:val="nil"/>
            </w:tcBorders>
            <w:shd w:val="clear" w:color="auto" w:fill="auto"/>
          </w:tcPr>
          <w:p w:rsidR="000C0F91" w:rsidRPr="00986D60" w:rsidRDefault="000C0F91" w:rsidP="000714CE">
            <w:pPr>
              <w:pStyle w:val="Tabletext"/>
              <w:spacing w:after="40"/>
            </w:pPr>
            <w:r w:rsidRPr="00986D60">
              <w:t>28 August 2007</w:t>
            </w:r>
          </w:p>
        </w:tc>
      </w:tr>
      <w:tr w:rsidR="000C0F91" w:rsidRPr="00986D60" w:rsidTr="000714CE">
        <w:tc>
          <w:tcPr>
            <w:tcW w:w="626" w:type="pct"/>
            <w:tcBorders>
              <w:top w:val="nil"/>
              <w:bottom w:val="single" w:sz="4" w:space="0" w:color="auto"/>
            </w:tcBorders>
          </w:tcPr>
          <w:p w:rsidR="000C0F91" w:rsidRPr="00986D60" w:rsidRDefault="000C0F91" w:rsidP="000714CE">
            <w:pPr>
              <w:pStyle w:val="Tabletext"/>
              <w:spacing w:after="40"/>
            </w:pPr>
          </w:p>
        </w:tc>
        <w:tc>
          <w:tcPr>
            <w:tcW w:w="3144" w:type="pct"/>
            <w:tcBorders>
              <w:top w:val="nil"/>
              <w:bottom w:val="single" w:sz="4" w:space="0" w:color="auto"/>
            </w:tcBorders>
          </w:tcPr>
          <w:p w:rsidR="000C0F91" w:rsidRPr="00986D60" w:rsidRDefault="000C0F91" w:rsidP="000714CE">
            <w:pPr>
              <w:pStyle w:val="Tabletext"/>
              <w:spacing w:after="40"/>
              <w:rPr>
                <w:szCs w:val="18"/>
              </w:rPr>
            </w:pPr>
            <w:r w:rsidRPr="00986D60">
              <w:rPr>
                <w:szCs w:val="18"/>
              </w:rPr>
              <w:t xml:space="preserve">Trefz et al. (2009) Efficacy of Sapropterin Dihydrochloride in Increasing Phenylalanine Tolerance in Children with Phenylketonuria: A Phase III, Randomized, Double-Blind, Placebo-Controlled Study. </w:t>
            </w:r>
          </w:p>
        </w:tc>
        <w:tc>
          <w:tcPr>
            <w:tcW w:w="1230" w:type="pct"/>
            <w:tcBorders>
              <w:top w:val="nil"/>
              <w:bottom w:val="single" w:sz="4" w:space="0" w:color="auto"/>
            </w:tcBorders>
          </w:tcPr>
          <w:p w:rsidR="000C0F91" w:rsidRPr="00986D60" w:rsidRDefault="000C0F91" w:rsidP="000714CE">
            <w:pPr>
              <w:pStyle w:val="Tabletext"/>
              <w:spacing w:after="40"/>
            </w:pPr>
            <w:r w:rsidRPr="00986D60">
              <w:rPr>
                <w:szCs w:val="18"/>
              </w:rPr>
              <w:t>Journal of Pediatrics 154: 700-707</w:t>
            </w:r>
          </w:p>
        </w:tc>
      </w:tr>
      <w:tr w:rsidR="000C0F91" w:rsidRPr="00986D60" w:rsidTr="000714CE">
        <w:tc>
          <w:tcPr>
            <w:tcW w:w="626"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t>SPARK</w:t>
            </w:r>
          </w:p>
        </w:tc>
        <w:tc>
          <w:tcPr>
            <w:tcW w:w="3144"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A Phase IIIb, Multicentre, Open-Label, Randomized, Controlled Study of the Efficacy, Safety, and Population Pharmacokinetics of Sapropterin Dihydrochloride (Kuvan®) in Phenylketonuria (PKU) Patients &lt;4 Years Old</w:t>
            </w:r>
          </w:p>
        </w:tc>
        <w:tc>
          <w:tcPr>
            <w:tcW w:w="1230"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t>25 June 2014</w:t>
            </w:r>
          </w:p>
        </w:tc>
      </w:tr>
      <w:tr w:rsidR="000C0F91" w:rsidRPr="00986D60" w:rsidTr="000714CE">
        <w:tc>
          <w:tcPr>
            <w:tcW w:w="626"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p>
        </w:tc>
        <w:tc>
          <w:tcPr>
            <w:tcW w:w="3144"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 xml:space="preserve">Muntau et al. (2017) Efficacy, safety and population pharmacokinetics of sapropterin in PKU patients &lt;4 years: results from the SPARK open-label, multicentre, randomized phase IIIb trial </w:t>
            </w:r>
          </w:p>
        </w:tc>
        <w:tc>
          <w:tcPr>
            <w:tcW w:w="1230"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rPr>
                <w:szCs w:val="18"/>
              </w:rPr>
              <w:t>Orphanet Journal of Rare Diseases 12:47</w:t>
            </w:r>
          </w:p>
        </w:tc>
      </w:tr>
      <w:tr w:rsidR="000C0F91" w:rsidRPr="00986D60" w:rsidTr="000714CE">
        <w:tc>
          <w:tcPr>
            <w:tcW w:w="626"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t>PKU-015</w:t>
            </w:r>
          </w:p>
        </w:tc>
        <w:tc>
          <w:tcPr>
            <w:tcW w:w="3144"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A Phase 3b Open-Label Study to Evaluate the Effect of Kuvan® on Neurocognitive Function, Maintenance of Blood Phenylalanine Concentrations, Safety, and Population Pharmacokinetics in Young Children with Phenylketonuria</w:t>
            </w:r>
          </w:p>
        </w:tc>
        <w:tc>
          <w:tcPr>
            <w:tcW w:w="1230"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t>26 June 2013</w:t>
            </w:r>
          </w:p>
        </w:tc>
      </w:tr>
      <w:tr w:rsidR="000C0F91" w:rsidRPr="00986D60" w:rsidTr="000714CE">
        <w:tc>
          <w:tcPr>
            <w:tcW w:w="626"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p>
        </w:tc>
        <w:tc>
          <w:tcPr>
            <w:tcW w:w="3144"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 xml:space="preserve">Longo et al. (2015a) Long-term developmental progression in infants and young children taking sapropterin for phenylketonuria: a two-year analysis of safety and efficacy. </w:t>
            </w:r>
          </w:p>
        </w:tc>
        <w:tc>
          <w:tcPr>
            <w:tcW w:w="1230"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rPr>
                <w:szCs w:val="18"/>
              </w:rPr>
              <w:t>Genetics in Medicine 17: 365-373</w:t>
            </w:r>
          </w:p>
        </w:tc>
      </w:tr>
      <w:tr w:rsidR="000C0F91" w:rsidRPr="00986D60" w:rsidTr="000714CE">
        <w:tc>
          <w:tcPr>
            <w:tcW w:w="626"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KOGNITO</w:t>
            </w:r>
          </w:p>
        </w:tc>
        <w:tc>
          <w:tcPr>
            <w:tcW w:w="3144"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A Phase IV Open-Label, Single-Cohort Study of the Long-Term Neurocognitive Outcomes in 4 to 5 Year-Old Children with Phenylketonuria Treated with Sapropterin Dihydrochloride (Kuvan®) for 7 Years</w:t>
            </w:r>
          </w:p>
        </w:tc>
        <w:tc>
          <w:tcPr>
            <w:tcW w:w="1230"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13 January 2016</w:t>
            </w:r>
          </w:p>
        </w:tc>
      </w:tr>
      <w:tr w:rsidR="000C0F91" w:rsidRPr="00986D60" w:rsidTr="000714CE">
        <w:tc>
          <w:tcPr>
            <w:tcW w:w="626"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t>PKUDOS</w:t>
            </w:r>
          </w:p>
        </w:tc>
        <w:tc>
          <w:tcPr>
            <w:tcW w:w="3144"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 xml:space="preserve">Longo et al. (2015b) Long-term safety and efficacy of sapropterin: The PKUDOS registry experience. </w:t>
            </w:r>
          </w:p>
        </w:tc>
        <w:tc>
          <w:tcPr>
            <w:tcW w:w="1230" w:type="pct"/>
            <w:tcBorders>
              <w:top w:val="single" w:sz="4" w:space="0" w:color="auto"/>
              <w:bottom w:val="nil"/>
            </w:tcBorders>
            <w:shd w:val="clear" w:color="auto" w:fill="D9D9D9" w:themeFill="background1" w:themeFillShade="D9"/>
          </w:tcPr>
          <w:p w:rsidR="000C0F91" w:rsidRPr="00986D60" w:rsidRDefault="000C0F91" w:rsidP="000714CE">
            <w:pPr>
              <w:pStyle w:val="Tabletext"/>
              <w:spacing w:after="40"/>
            </w:pPr>
            <w:r w:rsidRPr="00986D60">
              <w:rPr>
                <w:szCs w:val="18"/>
              </w:rPr>
              <w:t>Molecular Genetics and Metabolism 114: 557–563</w:t>
            </w:r>
          </w:p>
        </w:tc>
      </w:tr>
      <w:tr w:rsidR="000C0F91" w:rsidRPr="00986D60" w:rsidTr="000714CE">
        <w:tc>
          <w:tcPr>
            <w:tcW w:w="626"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p>
        </w:tc>
        <w:tc>
          <w:tcPr>
            <w:tcW w:w="3144"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 xml:space="preserve">Grange et al. (2014) Sapropterin dihydrochloride use in pregnant women with phenylketonuria: An interim report of the PKU MOMS sub-registry </w:t>
            </w:r>
          </w:p>
        </w:tc>
        <w:tc>
          <w:tcPr>
            <w:tcW w:w="1230" w:type="pct"/>
            <w:tcBorders>
              <w:top w:val="nil"/>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rPr>
                <w:szCs w:val="18"/>
              </w:rPr>
              <w:t>Molecular Genetics and Metabolism 112: 9–16</w:t>
            </w:r>
          </w:p>
        </w:tc>
      </w:tr>
      <w:tr w:rsidR="000C0F91" w:rsidRPr="00986D60" w:rsidTr="000714CE">
        <w:tc>
          <w:tcPr>
            <w:tcW w:w="626"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KAMPER</w:t>
            </w:r>
          </w:p>
        </w:tc>
        <w:tc>
          <w:tcPr>
            <w:tcW w:w="3144"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rPr>
                <w:szCs w:val="18"/>
              </w:rPr>
            </w:pPr>
            <w:r w:rsidRPr="00986D60">
              <w:rPr>
                <w:szCs w:val="18"/>
              </w:rPr>
              <w:t>Kuvan® Adult Maternal Paediatric European Registry (KAMPER) (7th Interim report)</w:t>
            </w:r>
          </w:p>
        </w:tc>
        <w:tc>
          <w:tcPr>
            <w:tcW w:w="1230" w:type="pct"/>
            <w:tcBorders>
              <w:top w:val="single" w:sz="4" w:space="0" w:color="auto"/>
              <w:bottom w:val="single" w:sz="4" w:space="0" w:color="auto"/>
            </w:tcBorders>
            <w:shd w:val="clear" w:color="auto" w:fill="D9D9D9" w:themeFill="background1" w:themeFillShade="D9"/>
          </w:tcPr>
          <w:p w:rsidR="000C0F91" w:rsidRPr="00986D60" w:rsidRDefault="000C0F91" w:rsidP="000714CE">
            <w:pPr>
              <w:pStyle w:val="Tabletext"/>
              <w:spacing w:after="40"/>
            </w:pPr>
            <w:r w:rsidRPr="00986D60">
              <w:t>9 June 2017</w:t>
            </w:r>
          </w:p>
        </w:tc>
      </w:tr>
    </w:tbl>
    <w:p w:rsidR="000C0F91" w:rsidRPr="00986D60" w:rsidRDefault="000C0F91" w:rsidP="000C0F91">
      <w:pPr>
        <w:pStyle w:val="TableFooter"/>
        <w:rPr>
          <w:sz w:val="20"/>
        </w:rPr>
      </w:pPr>
      <w:r w:rsidRPr="00986D60">
        <w:t xml:space="preserve">Source: Table 2-3, pp51-53 of the </w:t>
      </w:r>
      <w:r w:rsidR="00063220">
        <w:t>resubmission</w:t>
      </w:r>
    </w:p>
    <w:p w:rsidR="007F1017" w:rsidRPr="00986D60" w:rsidRDefault="008F120A" w:rsidP="007A7ACD">
      <w:pPr>
        <w:pStyle w:val="ListParagraph"/>
        <w:widowControl/>
        <w:numPr>
          <w:ilvl w:val="1"/>
          <w:numId w:val="13"/>
        </w:numPr>
        <w:spacing w:after="120"/>
        <w:ind w:left="709" w:hanging="709"/>
      </w:pPr>
      <w:r w:rsidRPr="00986D60">
        <w:t xml:space="preserve">The key features of the </w:t>
      </w:r>
      <w:r w:rsidR="00733A7A" w:rsidRPr="00986D60">
        <w:t>trial</w:t>
      </w:r>
      <w:r w:rsidRPr="00986D60">
        <w:t>s</w:t>
      </w:r>
      <w:r w:rsidR="00733A7A" w:rsidRPr="00986D60">
        <w:t xml:space="preserve"> and studies</w:t>
      </w:r>
      <w:r w:rsidRPr="00986D60">
        <w:t xml:space="preserve"> are summarised in </w:t>
      </w:r>
      <w:r w:rsidR="00877B6E" w:rsidRPr="00986D60">
        <w:t xml:space="preserve">Table </w:t>
      </w:r>
      <w:r w:rsidR="00823347" w:rsidRPr="00986D60">
        <w:t>6</w:t>
      </w:r>
      <w:r w:rsidRPr="00986D60">
        <w:t xml:space="preserve">. </w:t>
      </w:r>
      <w:r w:rsidR="00DD44B2" w:rsidRPr="00986D60">
        <w:t>None of th</w:t>
      </w:r>
      <w:r w:rsidR="00C5786B" w:rsidRPr="00986D60">
        <w:t>ese</w:t>
      </w:r>
      <w:r w:rsidR="00DD44B2" w:rsidRPr="00986D60">
        <w:t xml:space="preserve"> </w:t>
      </w:r>
      <w:r w:rsidR="00C5786B" w:rsidRPr="00986D60">
        <w:t>studies</w:t>
      </w:r>
      <w:r w:rsidR="00DD44B2" w:rsidRPr="00986D60">
        <w:t xml:space="preserve"> were used in the economic evaluation. </w:t>
      </w:r>
    </w:p>
    <w:p w:rsidR="007F1017" w:rsidRPr="00986D60" w:rsidRDefault="007F1017" w:rsidP="007F0733">
      <w:pPr>
        <w:keepNext/>
        <w:keepLines/>
        <w:rPr>
          <w:rStyle w:val="CommentReference"/>
        </w:rPr>
      </w:pPr>
      <w:r w:rsidRPr="00986D60">
        <w:rPr>
          <w:rStyle w:val="CommentReference"/>
        </w:rPr>
        <w:t xml:space="preserve">Table </w:t>
      </w:r>
      <w:r w:rsidR="00823347" w:rsidRPr="00986D60">
        <w:rPr>
          <w:rStyle w:val="CommentReference"/>
        </w:rPr>
        <w:t>6</w:t>
      </w:r>
      <w:r w:rsidRPr="00986D60">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8"/>
        <w:gridCol w:w="570"/>
        <w:gridCol w:w="1283"/>
        <w:gridCol w:w="1003"/>
        <w:gridCol w:w="1275"/>
        <w:gridCol w:w="1702"/>
        <w:gridCol w:w="1542"/>
      </w:tblGrid>
      <w:tr w:rsidR="00B41614" w:rsidRPr="00986D60" w:rsidTr="00D365E5">
        <w:tc>
          <w:tcPr>
            <w:tcW w:w="940" w:type="pct"/>
            <w:shd w:val="clear" w:color="auto" w:fill="auto"/>
            <w:vAlign w:val="center"/>
          </w:tcPr>
          <w:p w:rsidR="007F1017" w:rsidRPr="00986D60" w:rsidRDefault="007F1017" w:rsidP="007F0733">
            <w:pPr>
              <w:pStyle w:val="Tabletext"/>
              <w:keepNext/>
              <w:keepLines/>
              <w:rPr>
                <w:b/>
                <w:lang w:val="en-US"/>
              </w:rPr>
            </w:pPr>
            <w:r w:rsidRPr="00986D60">
              <w:rPr>
                <w:b/>
                <w:lang w:val="en-US"/>
              </w:rPr>
              <w:t>Trial</w:t>
            </w:r>
            <w:r w:rsidR="00877B6E" w:rsidRPr="00986D60">
              <w:rPr>
                <w:b/>
                <w:lang w:val="en-US"/>
              </w:rPr>
              <w:t>/Study</w:t>
            </w:r>
          </w:p>
          <w:p w:rsidR="00877B6E" w:rsidRPr="00986D60" w:rsidRDefault="00877B6E" w:rsidP="007F0733">
            <w:pPr>
              <w:pStyle w:val="Tabletext"/>
              <w:keepNext/>
              <w:keepLines/>
              <w:rPr>
                <w:b/>
                <w:lang w:val="en-US"/>
              </w:rPr>
            </w:pPr>
            <w:r w:rsidRPr="00986D60">
              <w:rPr>
                <w:b/>
                <w:lang w:val="en-US"/>
              </w:rPr>
              <w:t>Dose of sapropterin</w:t>
            </w:r>
          </w:p>
        </w:tc>
        <w:tc>
          <w:tcPr>
            <w:tcW w:w="314" w:type="pct"/>
            <w:shd w:val="clear" w:color="auto" w:fill="auto"/>
            <w:vAlign w:val="center"/>
          </w:tcPr>
          <w:p w:rsidR="007F1017" w:rsidRPr="00986D60" w:rsidRDefault="007F1017" w:rsidP="007F0733">
            <w:pPr>
              <w:pStyle w:val="Tabletext"/>
              <w:keepNext/>
              <w:keepLines/>
              <w:jc w:val="center"/>
              <w:rPr>
                <w:b/>
                <w:lang w:val="en-US"/>
              </w:rPr>
            </w:pPr>
            <w:r w:rsidRPr="00986D60">
              <w:rPr>
                <w:b/>
                <w:lang w:val="en-US"/>
              </w:rPr>
              <w:t>N</w:t>
            </w:r>
          </w:p>
        </w:tc>
        <w:tc>
          <w:tcPr>
            <w:tcW w:w="706" w:type="pct"/>
            <w:shd w:val="clear" w:color="auto" w:fill="auto"/>
            <w:vAlign w:val="center"/>
          </w:tcPr>
          <w:p w:rsidR="007F1017" w:rsidRPr="00986D60" w:rsidRDefault="007F1017" w:rsidP="007F0733">
            <w:pPr>
              <w:pStyle w:val="Tabletext"/>
              <w:keepNext/>
              <w:keepLines/>
              <w:jc w:val="center"/>
              <w:rPr>
                <w:b/>
                <w:lang w:val="en-US"/>
              </w:rPr>
            </w:pPr>
            <w:r w:rsidRPr="00986D60">
              <w:rPr>
                <w:b/>
                <w:lang w:val="en-US"/>
              </w:rPr>
              <w:t>Design/ duration</w:t>
            </w:r>
          </w:p>
        </w:tc>
        <w:tc>
          <w:tcPr>
            <w:tcW w:w="552" w:type="pct"/>
            <w:shd w:val="clear" w:color="auto" w:fill="auto"/>
            <w:vAlign w:val="center"/>
          </w:tcPr>
          <w:p w:rsidR="007F1017" w:rsidRPr="00986D60" w:rsidRDefault="007F1017" w:rsidP="007F0733">
            <w:pPr>
              <w:pStyle w:val="Tabletext"/>
              <w:keepNext/>
              <w:keepLines/>
              <w:jc w:val="center"/>
              <w:rPr>
                <w:b/>
                <w:lang w:val="en-US"/>
              </w:rPr>
            </w:pPr>
            <w:r w:rsidRPr="00986D60">
              <w:rPr>
                <w:b/>
                <w:lang w:val="en-US"/>
              </w:rPr>
              <w:t>Risk of bias</w:t>
            </w:r>
          </w:p>
        </w:tc>
        <w:tc>
          <w:tcPr>
            <w:tcW w:w="702" w:type="pct"/>
            <w:shd w:val="clear" w:color="auto" w:fill="auto"/>
            <w:vAlign w:val="center"/>
          </w:tcPr>
          <w:p w:rsidR="007F1017" w:rsidRPr="00986D60" w:rsidRDefault="007F1017" w:rsidP="007F0733">
            <w:pPr>
              <w:pStyle w:val="Tabletext"/>
              <w:keepNext/>
              <w:keepLines/>
              <w:jc w:val="center"/>
              <w:rPr>
                <w:b/>
                <w:lang w:val="en-US"/>
              </w:rPr>
            </w:pPr>
            <w:r w:rsidRPr="00986D60">
              <w:rPr>
                <w:b/>
                <w:lang w:val="en-US"/>
              </w:rPr>
              <w:t>Patient population</w:t>
            </w:r>
          </w:p>
        </w:tc>
        <w:tc>
          <w:tcPr>
            <w:tcW w:w="937" w:type="pct"/>
            <w:shd w:val="clear" w:color="auto" w:fill="auto"/>
            <w:vAlign w:val="center"/>
          </w:tcPr>
          <w:p w:rsidR="007F1017" w:rsidRPr="00986D60" w:rsidRDefault="007F1017" w:rsidP="007F0733">
            <w:pPr>
              <w:pStyle w:val="Tabletext"/>
              <w:keepNext/>
              <w:keepLines/>
              <w:jc w:val="center"/>
              <w:rPr>
                <w:b/>
                <w:lang w:val="en-US"/>
              </w:rPr>
            </w:pPr>
            <w:r w:rsidRPr="00986D60">
              <w:rPr>
                <w:b/>
                <w:lang w:val="en-US"/>
              </w:rPr>
              <w:t>Outcome(s)</w:t>
            </w:r>
          </w:p>
        </w:tc>
        <w:tc>
          <w:tcPr>
            <w:tcW w:w="849" w:type="pct"/>
            <w:shd w:val="clear" w:color="auto" w:fill="auto"/>
            <w:vAlign w:val="center"/>
          </w:tcPr>
          <w:p w:rsidR="007F1017" w:rsidRPr="00986D60" w:rsidRDefault="00DD44B2" w:rsidP="007F0733">
            <w:pPr>
              <w:pStyle w:val="Tabletext"/>
              <w:keepNext/>
              <w:keepLines/>
              <w:jc w:val="center"/>
              <w:rPr>
                <w:b/>
                <w:lang w:val="en-US"/>
              </w:rPr>
            </w:pPr>
            <w:r w:rsidRPr="00986D60">
              <w:rPr>
                <w:b/>
                <w:lang w:val="en-US"/>
              </w:rPr>
              <w:t>Relevance in submission</w:t>
            </w:r>
          </w:p>
        </w:tc>
      </w:tr>
      <w:tr w:rsidR="007F1017" w:rsidRPr="00986D60" w:rsidTr="00B41614">
        <w:tc>
          <w:tcPr>
            <w:tcW w:w="5000" w:type="pct"/>
            <w:gridSpan w:val="7"/>
            <w:shd w:val="clear" w:color="auto" w:fill="auto"/>
            <w:vAlign w:val="center"/>
          </w:tcPr>
          <w:p w:rsidR="007F1017" w:rsidRPr="00986D60" w:rsidRDefault="00877B6E" w:rsidP="007F0733">
            <w:pPr>
              <w:pStyle w:val="Tabletext"/>
              <w:keepNext/>
              <w:keepLines/>
              <w:rPr>
                <w:b/>
                <w:lang w:val="en-US"/>
              </w:rPr>
            </w:pPr>
            <w:r w:rsidRPr="00986D60">
              <w:rPr>
                <w:b/>
                <w:lang w:val="en-US"/>
              </w:rPr>
              <w:t>Sapropterin + diet versus diet alone</w:t>
            </w:r>
          </w:p>
        </w:tc>
      </w:tr>
      <w:tr w:rsidR="00B41614" w:rsidRPr="00986D60" w:rsidTr="00D365E5">
        <w:tc>
          <w:tcPr>
            <w:tcW w:w="940" w:type="pct"/>
            <w:shd w:val="clear" w:color="auto" w:fill="auto"/>
            <w:vAlign w:val="center"/>
          </w:tcPr>
          <w:p w:rsidR="007F1017" w:rsidRPr="00986D60" w:rsidRDefault="00877B6E" w:rsidP="007F0733">
            <w:pPr>
              <w:pStyle w:val="Tabletext"/>
              <w:keepNext/>
              <w:keepLines/>
              <w:rPr>
                <w:lang w:val="en-US"/>
              </w:rPr>
            </w:pPr>
            <w:r w:rsidRPr="00986D60">
              <w:rPr>
                <w:lang w:val="en-US"/>
              </w:rPr>
              <w:t>PKU-003</w:t>
            </w:r>
          </w:p>
          <w:p w:rsidR="00877B6E" w:rsidRPr="00986D60" w:rsidRDefault="00877B6E" w:rsidP="007F0733">
            <w:pPr>
              <w:pStyle w:val="Tabletext"/>
              <w:keepNext/>
              <w:keepLines/>
              <w:rPr>
                <w:lang w:val="en-US"/>
              </w:rPr>
            </w:pPr>
            <w:r w:rsidRPr="00986D60">
              <w:rPr>
                <w:lang w:val="en-US"/>
              </w:rPr>
              <w:t>10</w:t>
            </w:r>
            <w:r w:rsidR="000214F7" w:rsidRPr="00986D60">
              <w:rPr>
                <w:lang w:val="en-US"/>
              </w:rPr>
              <w:t xml:space="preserve"> </w:t>
            </w:r>
            <w:r w:rsidRPr="00986D60">
              <w:rPr>
                <w:lang w:val="en-US"/>
              </w:rPr>
              <w:t>mg/kg/day</w:t>
            </w:r>
          </w:p>
        </w:tc>
        <w:tc>
          <w:tcPr>
            <w:tcW w:w="314" w:type="pct"/>
            <w:shd w:val="clear" w:color="auto" w:fill="auto"/>
            <w:vAlign w:val="center"/>
          </w:tcPr>
          <w:p w:rsidR="007F1017" w:rsidRPr="00986D60" w:rsidRDefault="00733A7A" w:rsidP="007F0733">
            <w:pPr>
              <w:pStyle w:val="Tabletext"/>
              <w:keepNext/>
              <w:keepLines/>
              <w:jc w:val="center"/>
              <w:rPr>
                <w:lang w:val="en-US"/>
              </w:rPr>
            </w:pPr>
            <w:r w:rsidRPr="00986D60">
              <w:rPr>
                <w:lang w:val="en-US"/>
              </w:rPr>
              <w:t>88</w:t>
            </w:r>
          </w:p>
        </w:tc>
        <w:tc>
          <w:tcPr>
            <w:tcW w:w="706" w:type="pct"/>
            <w:shd w:val="clear" w:color="auto" w:fill="auto"/>
            <w:vAlign w:val="center"/>
          </w:tcPr>
          <w:p w:rsidR="007F1017" w:rsidRPr="00986D60" w:rsidRDefault="007F1017" w:rsidP="007F0733">
            <w:pPr>
              <w:pStyle w:val="Tabletext"/>
              <w:keepNext/>
              <w:keepLines/>
              <w:jc w:val="center"/>
              <w:rPr>
                <w:lang w:val="en-US"/>
              </w:rPr>
            </w:pPr>
            <w:r w:rsidRPr="00986D60">
              <w:rPr>
                <w:lang w:val="en-US"/>
              </w:rPr>
              <w:t>R, DB</w:t>
            </w:r>
          </w:p>
          <w:p w:rsidR="007F1017" w:rsidRPr="00986D60" w:rsidRDefault="007F1017" w:rsidP="007F0733">
            <w:pPr>
              <w:pStyle w:val="Tabletext"/>
              <w:keepNext/>
              <w:keepLines/>
              <w:jc w:val="center"/>
              <w:rPr>
                <w:lang w:val="en-US"/>
              </w:rPr>
            </w:pPr>
            <w:r w:rsidRPr="00986D60">
              <w:rPr>
                <w:lang w:val="en-US"/>
              </w:rPr>
              <w:t xml:space="preserve">6 </w:t>
            </w:r>
            <w:r w:rsidR="000714CE" w:rsidRPr="00986D60">
              <w:rPr>
                <w:lang w:val="en-US"/>
              </w:rPr>
              <w:t>weeks</w:t>
            </w:r>
          </w:p>
        </w:tc>
        <w:tc>
          <w:tcPr>
            <w:tcW w:w="552" w:type="pct"/>
            <w:shd w:val="clear" w:color="auto" w:fill="auto"/>
            <w:vAlign w:val="center"/>
          </w:tcPr>
          <w:p w:rsidR="007F1017" w:rsidRPr="00986D60" w:rsidRDefault="007F1017" w:rsidP="007F0733">
            <w:pPr>
              <w:pStyle w:val="Tabletext"/>
              <w:keepNext/>
              <w:keepLines/>
              <w:jc w:val="center"/>
              <w:rPr>
                <w:lang w:val="en-US"/>
              </w:rPr>
            </w:pPr>
            <w:r w:rsidRPr="00986D60">
              <w:rPr>
                <w:lang w:val="en-US"/>
              </w:rPr>
              <w:t>Low</w:t>
            </w:r>
          </w:p>
        </w:tc>
        <w:tc>
          <w:tcPr>
            <w:tcW w:w="702"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 xml:space="preserve">Uncontrolled </w:t>
            </w:r>
          </w:p>
        </w:tc>
        <w:tc>
          <w:tcPr>
            <w:tcW w:w="937"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Reduction blood Phe</w:t>
            </w:r>
          </w:p>
        </w:tc>
        <w:tc>
          <w:tcPr>
            <w:tcW w:w="849" w:type="pct"/>
            <w:shd w:val="clear" w:color="auto" w:fill="auto"/>
            <w:vAlign w:val="center"/>
          </w:tcPr>
          <w:p w:rsidR="007F1017" w:rsidRPr="00986D60" w:rsidRDefault="00DD44B2" w:rsidP="00D365E5">
            <w:pPr>
              <w:pStyle w:val="Tabletext"/>
              <w:keepNext/>
              <w:keepLines/>
              <w:jc w:val="center"/>
              <w:rPr>
                <w:lang w:val="en-US"/>
              </w:rPr>
            </w:pPr>
            <w:r w:rsidRPr="00986D60">
              <w:rPr>
                <w:snapToGrid w:val="0"/>
              </w:rPr>
              <w:t>Efficacy in poorly-controlled p</w:t>
            </w:r>
            <w:r w:rsidR="00D365E5" w:rsidRPr="00986D60">
              <w:rPr>
                <w:snapToGrid w:val="0"/>
              </w:rPr>
              <w:t>ts</w:t>
            </w:r>
          </w:p>
        </w:tc>
      </w:tr>
      <w:tr w:rsidR="00B41614" w:rsidRPr="00986D60" w:rsidTr="00D365E5">
        <w:tc>
          <w:tcPr>
            <w:tcW w:w="940" w:type="pct"/>
            <w:shd w:val="clear" w:color="auto" w:fill="auto"/>
            <w:vAlign w:val="center"/>
          </w:tcPr>
          <w:p w:rsidR="000214F7" w:rsidRPr="00986D60" w:rsidRDefault="00877B6E" w:rsidP="007F0733">
            <w:pPr>
              <w:pStyle w:val="Tabletext"/>
              <w:keepNext/>
              <w:keepLines/>
              <w:rPr>
                <w:lang w:val="en-US"/>
              </w:rPr>
            </w:pPr>
            <w:r w:rsidRPr="00986D60">
              <w:rPr>
                <w:lang w:val="en-US"/>
              </w:rPr>
              <w:t xml:space="preserve">PKU-006 (Part 2); </w:t>
            </w:r>
          </w:p>
          <w:p w:rsidR="007F1017" w:rsidRPr="00986D60" w:rsidRDefault="00877B6E" w:rsidP="007F0733">
            <w:pPr>
              <w:pStyle w:val="Tabletext"/>
              <w:keepNext/>
              <w:keepLines/>
              <w:rPr>
                <w:lang w:val="en-US"/>
              </w:rPr>
            </w:pPr>
            <w:r w:rsidRPr="00986D60">
              <w:rPr>
                <w:lang w:val="en-US"/>
              </w:rPr>
              <w:t>20</w:t>
            </w:r>
            <w:r w:rsidR="000214F7" w:rsidRPr="00986D60">
              <w:rPr>
                <w:lang w:val="en-US"/>
              </w:rPr>
              <w:t xml:space="preserve"> </w:t>
            </w:r>
            <w:r w:rsidRPr="00986D60">
              <w:rPr>
                <w:lang w:val="en-US"/>
              </w:rPr>
              <w:t>mg/kg/day</w:t>
            </w:r>
          </w:p>
        </w:tc>
        <w:tc>
          <w:tcPr>
            <w:tcW w:w="314" w:type="pct"/>
            <w:shd w:val="clear" w:color="auto" w:fill="auto"/>
            <w:vAlign w:val="center"/>
          </w:tcPr>
          <w:p w:rsidR="007F1017" w:rsidRPr="00986D60" w:rsidRDefault="00733A7A" w:rsidP="007F0733">
            <w:pPr>
              <w:pStyle w:val="Tabletext"/>
              <w:keepNext/>
              <w:keepLines/>
              <w:jc w:val="center"/>
              <w:rPr>
                <w:lang w:val="en-US"/>
              </w:rPr>
            </w:pPr>
            <w:r w:rsidRPr="00986D60">
              <w:rPr>
                <w:lang w:val="en-US"/>
              </w:rPr>
              <w:t>45</w:t>
            </w:r>
          </w:p>
        </w:tc>
        <w:tc>
          <w:tcPr>
            <w:tcW w:w="706" w:type="pct"/>
            <w:shd w:val="clear" w:color="auto" w:fill="auto"/>
            <w:vAlign w:val="center"/>
          </w:tcPr>
          <w:p w:rsidR="007F1017" w:rsidRPr="00986D60" w:rsidRDefault="007F1017" w:rsidP="007F0733">
            <w:pPr>
              <w:pStyle w:val="Tabletext"/>
              <w:keepNext/>
              <w:keepLines/>
              <w:jc w:val="center"/>
              <w:rPr>
                <w:lang w:val="en-US"/>
              </w:rPr>
            </w:pPr>
            <w:r w:rsidRPr="00986D60">
              <w:rPr>
                <w:lang w:val="en-US"/>
              </w:rPr>
              <w:t xml:space="preserve">R, </w:t>
            </w:r>
            <w:r w:rsidR="000714CE" w:rsidRPr="00986D60">
              <w:rPr>
                <w:lang w:val="en-US"/>
              </w:rPr>
              <w:t>DB</w:t>
            </w:r>
          </w:p>
          <w:p w:rsidR="007F1017" w:rsidRPr="00986D60" w:rsidRDefault="000714CE" w:rsidP="007F0733">
            <w:pPr>
              <w:pStyle w:val="Tabletext"/>
              <w:keepNext/>
              <w:keepLines/>
              <w:jc w:val="center"/>
              <w:rPr>
                <w:lang w:val="en-US"/>
              </w:rPr>
            </w:pPr>
            <w:r w:rsidRPr="00986D60">
              <w:rPr>
                <w:lang w:val="en-US"/>
              </w:rPr>
              <w:t>6 weeks</w:t>
            </w:r>
          </w:p>
        </w:tc>
        <w:tc>
          <w:tcPr>
            <w:tcW w:w="552"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 xml:space="preserve">Low </w:t>
            </w:r>
          </w:p>
        </w:tc>
        <w:tc>
          <w:tcPr>
            <w:tcW w:w="702"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Phe tolerance</w:t>
            </w:r>
          </w:p>
          <w:p w:rsidR="000714CE" w:rsidRPr="00986D60" w:rsidRDefault="000714CE" w:rsidP="007F0733">
            <w:pPr>
              <w:pStyle w:val="Tabletext"/>
              <w:keepNext/>
              <w:keepLines/>
              <w:jc w:val="center"/>
              <w:rPr>
                <w:lang w:val="en-US"/>
              </w:rPr>
            </w:pPr>
            <w:r w:rsidRPr="00986D60">
              <w:rPr>
                <w:lang w:val="en-US"/>
              </w:rPr>
              <w:t>Reduction blood Phe</w:t>
            </w:r>
          </w:p>
        </w:tc>
        <w:tc>
          <w:tcPr>
            <w:tcW w:w="849" w:type="pct"/>
            <w:shd w:val="clear" w:color="auto" w:fill="auto"/>
            <w:vAlign w:val="center"/>
          </w:tcPr>
          <w:p w:rsidR="007F1017" w:rsidRPr="00986D60" w:rsidRDefault="00DD44B2" w:rsidP="00D365E5">
            <w:pPr>
              <w:pStyle w:val="Tabletext"/>
              <w:keepNext/>
              <w:keepLines/>
              <w:jc w:val="center"/>
              <w:rPr>
                <w:lang w:val="en-US"/>
              </w:rPr>
            </w:pPr>
            <w:r w:rsidRPr="00986D60">
              <w:rPr>
                <w:lang w:val="en-US"/>
              </w:rPr>
              <w:t>Efficacy in well controlled p</w:t>
            </w:r>
            <w:r w:rsidR="00D365E5" w:rsidRPr="00986D60">
              <w:rPr>
                <w:lang w:val="en-US"/>
              </w:rPr>
              <w:t>ts</w:t>
            </w:r>
          </w:p>
        </w:tc>
      </w:tr>
      <w:tr w:rsidR="00B41614" w:rsidRPr="00986D60" w:rsidTr="00D365E5">
        <w:tc>
          <w:tcPr>
            <w:tcW w:w="940" w:type="pct"/>
            <w:shd w:val="clear" w:color="auto" w:fill="D9D9D9" w:themeFill="background1" w:themeFillShade="D9"/>
            <w:vAlign w:val="center"/>
          </w:tcPr>
          <w:p w:rsidR="007F1017" w:rsidRPr="00986D60" w:rsidRDefault="00877B6E" w:rsidP="007F0733">
            <w:pPr>
              <w:pStyle w:val="Tabletext"/>
              <w:keepNext/>
              <w:keepLines/>
              <w:rPr>
                <w:lang w:val="en-US"/>
              </w:rPr>
            </w:pPr>
            <w:r w:rsidRPr="00986D60">
              <w:rPr>
                <w:lang w:val="en-US"/>
              </w:rPr>
              <w:t>SPARK</w:t>
            </w:r>
          </w:p>
          <w:p w:rsidR="00877B6E" w:rsidRPr="00986D60" w:rsidRDefault="00877B6E" w:rsidP="007F0733">
            <w:pPr>
              <w:pStyle w:val="Tabletext"/>
              <w:keepNext/>
              <w:keepLines/>
              <w:rPr>
                <w:lang w:val="en-US"/>
              </w:rPr>
            </w:pPr>
            <w:r w:rsidRPr="00986D60">
              <w:rPr>
                <w:lang w:val="en-US"/>
              </w:rPr>
              <w:t>10-20</w:t>
            </w:r>
            <w:r w:rsidR="000214F7" w:rsidRPr="00986D60">
              <w:rPr>
                <w:lang w:val="en-US"/>
              </w:rPr>
              <w:t xml:space="preserve"> </w:t>
            </w:r>
            <w:r w:rsidRPr="00986D60">
              <w:rPr>
                <w:lang w:val="en-US"/>
              </w:rPr>
              <w:t>mg/kg/day</w:t>
            </w:r>
          </w:p>
        </w:tc>
        <w:tc>
          <w:tcPr>
            <w:tcW w:w="314" w:type="pct"/>
            <w:shd w:val="clear" w:color="auto" w:fill="D9D9D9" w:themeFill="background1" w:themeFillShade="D9"/>
            <w:vAlign w:val="center"/>
          </w:tcPr>
          <w:p w:rsidR="007F1017" w:rsidRPr="00986D60" w:rsidRDefault="00733A7A" w:rsidP="007F0733">
            <w:pPr>
              <w:pStyle w:val="Tabletext"/>
              <w:keepNext/>
              <w:keepLines/>
              <w:jc w:val="center"/>
              <w:rPr>
                <w:lang w:val="en-US"/>
              </w:rPr>
            </w:pPr>
            <w:r w:rsidRPr="00986D60">
              <w:rPr>
                <w:lang w:val="en-US"/>
              </w:rPr>
              <w:t>56</w:t>
            </w:r>
          </w:p>
        </w:tc>
        <w:tc>
          <w:tcPr>
            <w:tcW w:w="706" w:type="pct"/>
            <w:shd w:val="clear" w:color="auto" w:fill="D9D9D9" w:themeFill="background1" w:themeFillShade="D9"/>
            <w:vAlign w:val="center"/>
          </w:tcPr>
          <w:p w:rsidR="007F1017" w:rsidRPr="00986D60" w:rsidRDefault="000714CE" w:rsidP="007F0733">
            <w:pPr>
              <w:pStyle w:val="Tabletext"/>
              <w:keepNext/>
              <w:keepLines/>
              <w:jc w:val="center"/>
              <w:rPr>
                <w:lang w:val="en-US"/>
              </w:rPr>
            </w:pPr>
            <w:r w:rsidRPr="00986D60">
              <w:rPr>
                <w:lang w:val="en-US"/>
              </w:rPr>
              <w:t>R, OL</w:t>
            </w:r>
          </w:p>
          <w:p w:rsidR="007F1017" w:rsidRPr="00986D60" w:rsidRDefault="000714CE" w:rsidP="007F0733">
            <w:pPr>
              <w:pStyle w:val="Tabletext"/>
              <w:keepNext/>
              <w:keepLines/>
              <w:jc w:val="center"/>
              <w:rPr>
                <w:lang w:val="en-US"/>
              </w:rPr>
            </w:pPr>
            <w:r w:rsidRPr="00986D60">
              <w:rPr>
                <w:lang w:val="en-US"/>
              </w:rPr>
              <w:t>26 weeks</w:t>
            </w:r>
          </w:p>
        </w:tc>
        <w:tc>
          <w:tcPr>
            <w:tcW w:w="552" w:type="pct"/>
            <w:shd w:val="clear" w:color="auto" w:fill="D9D9D9" w:themeFill="background1" w:themeFillShade="D9"/>
            <w:vAlign w:val="center"/>
          </w:tcPr>
          <w:p w:rsidR="007F1017" w:rsidRPr="00986D60" w:rsidRDefault="000714CE" w:rsidP="007F0733">
            <w:pPr>
              <w:pStyle w:val="Tabletext"/>
              <w:keepNext/>
              <w:keepLines/>
              <w:jc w:val="center"/>
              <w:rPr>
                <w:lang w:val="en-US"/>
              </w:rPr>
            </w:pPr>
            <w:r w:rsidRPr="00986D60">
              <w:rPr>
                <w:lang w:val="en-US"/>
              </w:rPr>
              <w:t xml:space="preserve">Moderate </w:t>
            </w:r>
          </w:p>
        </w:tc>
        <w:tc>
          <w:tcPr>
            <w:tcW w:w="702" w:type="pct"/>
            <w:shd w:val="clear" w:color="auto" w:fill="D9D9D9" w:themeFill="background1" w:themeFillShade="D9"/>
            <w:vAlign w:val="center"/>
          </w:tcPr>
          <w:p w:rsidR="007F1017"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D9D9D9" w:themeFill="background1" w:themeFillShade="D9"/>
            <w:vAlign w:val="center"/>
          </w:tcPr>
          <w:p w:rsidR="007F1017" w:rsidRPr="00986D60" w:rsidRDefault="000714CE" w:rsidP="007F0733">
            <w:pPr>
              <w:pStyle w:val="Tabletext"/>
              <w:keepNext/>
              <w:keepLines/>
              <w:jc w:val="center"/>
              <w:rPr>
                <w:lang w:val="en-US"/>
              </w:rPr>
            </w:pPr>
            <w:r w:rsidRPr="00986D60">
              <w:rPr>
                <w:lang w:val="en-US"/>
              </w:rPr>
              <w:t>Phe tolerance</w:t>
            </w:r>
          </w:p>
        </w:tc>
        <w:tc>
          <w:tcPr>
            <w:tcW w:w="849" w:type="pct"/>
            <w:shd w:val="clear" w:color="auto" w:fill="D9D9D9" w:themeFill="background1" w:themeFillShade="D9"/>
            <w:vAlign w:val="center"/>
          </w:tcPr>
          <w:p w:rsidR="007F1017" w:rsidRPr="00986D60" w:rsidRDefault="00DD44B2" w:rsidP="00D365E5">
            <w:pPr>
              <w:pStyle w:val="Tabletext"/>
              <w:keepNext/>
              <w:keepLines/>
              <w:jc w:val="center"/>
              <w:rPr>
                <w:lang w:val="en-US"/>
              </w:rPr>
            </w:pPr>
            <w:r w:rsidRPr="00986D60">
              <w:rPr>
                <w:snapToGrid w:val="0"/>
              </w:rPr>
              <w:t xml:space="preserve">Efficacy in well controlled </w:t>
            </w:r>
            <w:r w:rsidR="00D365E5" w:rsidRPr="00986D60">
              <w:rPr>
                <w:snapToGrid w:val="0"/>
              </w:rPr>
              <w:t>pts</w:t>
            </w:r>
          </w:p>
        </w:tc>
      </w:tr>
      <w:tr w:rsidR="000714CE" w:rsidRPr="00986D60" w:rsidTr="000714CE">
        <w:tc>
          <w:tcPr>
            <w:tcW w:w="5000" w:type="pct"/>
            <w:gridSpan w:val="7"/>
            <w:shd w:val="clear" w:color="auto" w:fill="auto"/>
            <w:vAlign w:val="center"/>
          </w:tcPr>
          <w:p w:rsidR="000714CE" w:rsidRPr="00986D60" w:rsidRDefault="000714CE" w:rsidP="007F0733">
            <w:pPr>
              <w:pStyle w:val="Tabletext"/>
              <w:keepNext/>
              <w:keepLines/>
              <w:rPr>
                <w:b/>
                <w:lang w:val="en-US"/>
              </w:rPr>
            </w:pPr>
            <w:r w:rsidRPr="00986D60">
              <w:rPr>
                <w:b/>
                <w:lang w:val="en-US"/>
              </w:rPr>
              <w:t>Single –arm, open-label studies</w:t>
            </w:r>
          </w:p>
        </w:tc>
      </w:tr>
      <w:tr w:rsidR="00B41614" w:rsidRPr="00986D60" w:rsidTr="00D365E5">
        <w:tc>
          <w:tcPr>
            <w:tcW w:w="940" w:type="pct"/>
            <w:shd w:val="clear" w:color="auto" w:fill="auto"/>
            <w:vAlign w:val="center"/>
          </w:tcPr>
          <w:p w:rsidR="007F1017" w:rsidRPr="00986D60" w:rsidRDefault="000714CE" w:rsidP="007F0733">
            <w:pPr>
              <w:pStyle w:val="Tabletext"/>
              <w:keepNext/>
              <w:keepLines/>
              <w:rPr>
                <w:lang w:val="en-US"/>
              </w:rPr>
            </w:pPr>
            <w:r w:rsidRPr="00986D60">
              <w:rPr>
                <w:lang w:val="en-US"/>
              </w:rPr>
              <w:t>PKU-001</w:t>
            </w:r>
          </w:p>
          <w:p w:rsidR="000714CE" w:rsidRPr="00986D60" w:rsidRDefault="000714CE" w:rsidP="007F0733">
            <w:pPr>
              <w:pStyle w:val="Tabletext"/>
              <w:keepNext/>
              <w:keepLines/>
              <w:rPr>
                <w:lang w:val="en-US"/>
              </w:rPr>
            </w:pPr>
            <w:r w:rsidRPr="00986D60">
              <w:rPr>
                <w:lang w:val="en-US"/>
              </w:rPr>
              <w:t>10</w:t>
            </w:r>
            <w:r w:rsidR="000214F7" w:rsidRPr="00986D60">
              <w:rPr>
                <w:lang w:val="en-US"/>
              </w:rPr>
              <w:t xml:space="preserve"> </w:t>
            </w:r>
            <w:r w:rsidRPr="00986D60">
              <w:rPr>
                <w:lang w:val="en-US"/>
              </w:rPr>
              <w:t>mg/kg/day</w:t>
            </w:r>
          </w:p>
        </w:tc>
        <w:tc>
          <w:tcPr>
            <w:tcW w:w="314" w:type="pct"/>
            <w:shd w:val="clear" w:color="auto" w:fill="auto"/>
            <w:vAlign w:val="center"/>
          </w:tcPr>
          <w:p w:rsidR="007F1017" w:rsidRPr="00986D60" w:rsidRDefault="00733A7A" w:rsidP="007F0733">
            <w:pPr>
              <w:pStyle w:val="Tabletext"/>
              <w:keepNext/>
              <w:keepLines/>
              <w:jc w:val="center"/>
              <w:rPr>
                <w:lang w:val="en-US"/>
              </w:rPr>
            </w:pPr>
            <w:r w:rsidRPr="00986D60">
              <w:rPr>
                <w:lang w:val="en-US"/>
              </w:rPr>
              <w:t>490</w:t>
            </w:r>
          </w:p>
        </w:tc>
        <w:tc>
          <w:tcPr>
            <w:tcW w:w="706"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8 days</w:t>
            </w:r>
          </w:p>
        </w:tc>
        <w:tc>
          <w:tcPr>
            <w:tcW w:w="552"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NA</w:t>
            </w:r>
          </w:p>
        </w:tc>
        <w:tc>
          <w:tcPr>
            <w:tcW w:w="702"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 xml:space="preserve">Uncontrolled </w:t>
            </w:r>
          </w:p>
        </w:tc>
        <w:tc>
          <w:tcPr>
            <w:tcW w:w="937" w:type="pct"/>
            <w:shd w:val="clear" w:color="auto" w:fill="auto"/>
            <w:vAlign w:val="center"/>
          </w:tcPr>
          <w:p w:rsidR="007F1017" w:rsidRPr="00986D60" w:rsidRDefault="000714CE" w:rsidP="007F0733">
            <w:pPr>
              <w:pStyle w:val="Tabletext"/>
              <w:keepNext/>
              <w:keepLines/>
              <w:jc w:val="center"/>
              <w:rPr>
                <w:lang w:val="en-US"/>
              </w:rPr>
            </w:pPr>
            <w:r w:rsidRPr="00986D60">
              <w:rPr>
                <w:lang w:val="en-US"/>
              </w:rPr>
              <w:t>Response rate</w:t>
            </w:r>
          </w:p>
        </w:tc>
        <w:tc>
          <w:tcPr>
            <w:tcW w:w="849" w:type="pct"/>
            <w:shd w:val="clear" w:color="auto" w:fill="auto"/>
            <w:vAlign w:val="center"/>
          </w:tcPr>
          <w:p w:rsidR="007F1017" w:rsidRPr="00986D60" w:rsidRDefault="00DD44B2" w:rsidP="007F0733">
            <w:pPr>
              <w:pStyle w:val="Tabletext"/>
              <w:keepNext/>
              <w:keepLines/>
              <w:jc w:val="center"/>
              <w:rPr>
                <w:lang w:val="en-US"/>
              </w:rPr>
            </w:pPr>
            <w:r w:rsidRPr="00986D60">
              <w:rPr>
                <w:lang w:val="en-US"/>
              </w:rPr>
              <w:t>Determination of response rate</w:t>
            </w:r>
          </w:p>
        </w:tc>
      </w:tr>
      <w:tr w:rsidR="000714CE" w:rsidRPr="00986D60" w:rsidTr="00D365E5">
        <w:tc>
          <w:tcPr>
            <w:tcW w:w="940" w:type="pct"/>
            <w:shd w:val="clear" w:color="auto" w:fill="D9D9D9" w:themeFill="background1" w:themeFillShade="D9"/>
            <w:vAlign w:val="center"/>
          </w:tcPr>
          <w:p w:rsidR="000714CE" w:rsidRPr="00986D60" w:rsidRDefault="000714CE" w:rsidP="007F0733">
            <w:pPr>
              <w:pStyle w:val="Tabletext"/>
              <w:keepNext/>
              <w:keepLines/>
              <w:rPr>
                <w:lang w:val="en-US"/>
              </w:rPr>
            </w:pPr>
            <w:r w:rsidRPr="00986D60">
              <w:rPr>
                <w:lang w:val="en-US"/>
              </w:rPr>
              <w:t>EMR_700733_510</w:t>
            </w:r>
          </w:p>
          <w:p w:rsidR="000714CE" w:rsidRPr="00986D60" w:rsidRDefault="000714CE" w:rsidP="007F0733">
            <w:pPr>
              <w:pStyle w:val="Tabletext"/>
              <w:keepNext/>
              <w:keepLines/>
              <w:rPr>
                <w:lang w:val="en-US"/>
              </w:rPr>
            </w:pPr>
            <w:r w:rsidRPr="00986D60">
              <w:rPr>
                <w:lang w:val="en-US"/>
              </w:rPr>
              <w:t>20</w:t>
            </w:r>
            <w:r w:rsidR="000214F7" w:rsidRPr="00986D60">
              <w:rPr>
                <w:lang w:val="en-US"/>
              </w:rPr>
              <w:t xml:space="preserve"> </w:t>
            </w:r>
            <w:r w:rsidRPr="00986D60">
              <w:rPr>
                <w:lang w:val="en-US"/>
              </w:rPr>
              <w:t>mg/kg/day</w:t>
            </w:r>
          </w:p>
        </w:tc>
        <w:tc>
          <w:tcPr>
            <w:tcW w:w="314" w:type="pct"/>
            <w:shd w:val="clear" w:color="auto" w:fill="D9D9D9" w:themeFill="background1" w:themeFillShade="D9"/>
            <w:vAlign w:val="center"/>
          </w:tcPr>
          <w:p w:rsidR="000714CE" w:rsidRPr="00986D60" w:rsidRDefault="00733A7A" w:rsidP="007F0733">
            <w:pPr>
              <w:pStyle w:val="Tabletext"/>
              <w:keepNext/>
              <w:keepLines/>
              <w:jc w:val="center"/>
              <w:rPr>
                <w:lang w:val="en-US"/>
              </w:rPr>
            </w:pPr>
            <w:r w:rsidRPr="00986D60">
              <w:rPr>
                <w:lang w:val="en-US"/>
              </w:rPr>
              <w:t>90</w:t>
            </w:r>
          </w:p>
        </w:tc>
        <w:tc>
          <w:tcPr>
            <w:tcW w:w="706"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8 days</w:t>
            </w:r>
          </w:p>
        </w:tc>
        <w:tc>
          <w:tcPr>
            <w:tcW w:w="55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 xml:space="preserve">Uncontrolled </w:t>
            </w:r>
          </w:p>
        </w:tc>
        <w:tc>
          <w:tcPr>
            <w:tcW w:w="937"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Response rate</w:t>
            </w:r>
          </w:p>
        </w:tc>
        <w:tc>
          <w:tcPr>
            <w:tcW w:w="849" w:type="pct"/>
            <w:shd w:val="clear" w:color="auto" w:fill="D9D9D9" w:themeFill="background1" w:themeFillShade="D9"/>
            <w:vAlign w:val="center"/>
          </w:tcPr>
          <w:p w:rsidR="000714CE" w:rsidRPr="00986D60" w:rsidRDefault="00DD44B2" w:rsidP="007F0733">
            <w:pPr>
              <w:pStyle w:val="Tabletext"/>
              <w:keepNext/>
              <w:keepLines/>
              <w:jc w:val="center"/>
              <w:rPr>
                <w:lang w:val="en-US"/>
              </w:rPr>
            </w:pPr>
            <w:r w:rsidRPr="00986D60">
              <w:rPr>
                <w:lang w:val="en-US"/>
              </w:rPr>
              <w:t>Determination of response rate</w:t>
            </w:r>
          </w:p>
        </w:tc>
      </w:tr>
      <w:tr w:rsidR="000714CE" w:rsidRPr="00986D60" w:rsidTr="00D365E5">
        <w:tc>
          <w:tcPr>
            <w:tcW w:w="940" w:type="pct"/>
            <w:shd w:val="clear" w:color="auto" w:fill="D9D9D9" w:themeFill="background1" w:themeFillShade="D9"/>
            <w:vAlign w:val="center"/>
          </w:tcPr>
          <w:p w:rsidR="000714CE" w:rsidRPr="00986D60" w:rsidRDefault="000714CE" w:rsidP="007F0733">
            <w:pPr>
              <w:pStyle w:val="Tabletext"/>
              <w:keepNext/>
              <w:keepLines/>
              <w:rPr>
                <w:lang w:val="en-US"/>
              </w:rPr>
            </w:pPr>
            <w:r w:rsidRPr="00986D60">
              <w:rPr>
                <w:lang w:val="en-US"/>
              </w:rPr>
              <w:t>ENDURE</w:t>
            </w:r>
          </w:p>
          <w:p w:rsidR="000714CE" w:rsidRPr="00986D60" w:rsidRDefault="000714CE" w:rsidP="007F0733">
            <w:pPr>
              <w:pStyle w:val="Tabletext"/>
              <w:keepNext/>
              <w:keepLines/>
              <w:rPr>
                <w:lang w:val="en-US"/>
              </w:rPr>
            </w:pPr>
            <w:r w:rsidRPr="00986D60">
              <w:rPr>
                <w:lang w:val="en-US"/>
              </w:rPr>
              <w:t>20</w:t>
            </w:r>
            <w:r w:rsidR="000214F7" w:rsidRPr="00986D60">
              <w:rPr>
                <w:lang w:val="en-US"/>
              </w:rPr>
              <w:t xml:space="preserve"> </w:t>
            </w:r>
            <w:r w:rsidRPr="00986D60">
              <w:rPr>
                <w:lang w:val="en-US"/>
              </w:rPr>
              <w:t>mg/kg/day</w:t>
            </w:r>
          </w:p>
        </w:tc>
        <w:tc>
          <w:tcPr>
            <w:tcW w:w="314" w:type="pct"/>
            <w:shd w:val="clear" w:color="auto" w:fill="D9D9D9" w:themeFill="background1" w:themeFillShade="D9"/>
            <w:vAlign w:val="center"/>
          </w:tcPr>
          <w:p w:rsidR="000714CE" w:rsidRPr="00986D60" w:rsidRDefault="00733A7A" w:rsidP="007F0733">
            <w:pPr>
              <w:pStyle w:val="Tabletext"/>
              <w:keepNext/>
              <w:keepLines/>
              <w:jc w:val="center"/>
              <w:rPr>
                <w:lang w:val="en-US"/>
              </w:rPr>
            </w:pPr>
            <w:r w:rsidRPr="00986D60">
              <w:rPr>
                <w:lang w:val="en-US"/>
              </w:rPr>
              <w:t>59</w:t>
            </w:r>
          </w:p>
        </w:tc>
        <w:tc>
          <w:tcPr>
            <w:tcW w:w="706"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28 days</w:t>
            </w:r>
          </w:p>
        </w:tc>
        <w:tc>
          <w:tcPr>
            <w:tcW w:w="55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 xml:space="preserve">Uncontrolled </w:t>
            </w:r>
          </w:p>
        </w:tc>
        <w:tc>
          <w:tcPr>
            <w:tcW w:w="937"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Response rate</w:t>
            </w:r>
          </w:p>
        </w:tc>
        <w:tc>
          <w:tcPr>
            <w:tcW w:w="849" w:type="pct"/>
            <w:shd w:val="clear" w:color="auto" w:fill="D9D9D9" w:themeFill="background1" w:themeFillShade="D9"/>
            <w:vAlign w:val="center"/>
          </w:tcPr>
          <w:p w:rsidR="000714CE" w:rsidRPr="00986D60" w:rsidRDefault="00DD44B2" w:rsidP="007F0733">
            <w:pPr>
              <w:pStyle w:val="Tabletext"/>
              <w:keepNext/>
              <w:keepLines/>
              <w:jc w:val="center"/>
              <w:rPr>
                <w:lang w:val="en-US"/>
              </w:rPr>
            </w:pPr>
            <w:r w:rsidRPr="00986D60">
              <w:rPr>
                <w:snapToGrid w:val="0"/>
              </w:rPr>
              <w:t>Determination of response rate</w:t>
            </w:r>
          </w:p>
        </w:tc>
      </w:tr>
      <w:tr w:rsidR="000714CE" w:rsidRPr="00986D60" w:rsidTr="00D365E5">
        <w:tc>
          <w:tcPr>
            <w:tcW w:w="940" w:type="pct"/>
            <w:shd w:val="clear" w:color="auto" w:fill="auto"/>
            <w:vAlign w:val="center"/>
          </w:tcPr>
          <w:p w:rsidR="000714CE" w:rsidRPr="00986D60" w:rsidRDefault="000714CE" w:rsidP="007F0733">
            <w:pPr>
              <w:pStyle w:val="Tabletext"/>
              <w:keepNext/>
              <w:keepLines/>
              <w:rPr>
                <w:lang w:val="en-US"/>
              </w:rPr>
            </w:pPr>
            <w:r w:rsidRPr="00986D60">
              <w:rPr>
                <w:lang w:val="en-US"/>
              </w:rPr>
              <w:t>PKU-006 (Part 1)</w:t>
            </w:r>
          </w:p>
          <w:p w:rsidR="000714CE" w:rsidRPr="00986D60" w:rsidRDefault="000714CE" w:rsidP="007F0733">
            <w:pPr>
              <w:pStyle w:val="Tabletext"/>
              <w:keepNext/>
              <w:keepLines/>
              <w:rPr>
                <w:lang w:val="en-US"/>
              </w:rPr>
            </w:pPr>
            <w:r w:rsidRPr="00986D60">
              <w:rPr>
                <w:lang w:val="en-US"/>
              </w:rPr>
              <w:t>20</w:t>
            </w:r>
            <w:r w:rsidR="000214F7" w:rsidRPr="00986D60">
              <w:rPr>
                <w:lang w:val="en-US"/>
              </w:rPr>
              <w:t xml:space="preserve"> </w:t>
            </w:r>
            <w:r w:rsidRPr="00986D60">
              <w:rPr>
                <w:lang w:val="en-US"/>
              </w:rPr>
              <w:t>mg/kg/day</w:t>
            </w:r>
          </w:p>
        </w:tc>
        <w:tc>
          <w:tcPr>
            <w:tcW w:w="314" w:type="pct"/>
            <w:shd w:val="clear" w:color="auto" w:fill="auto"/>
            <w:vAlign w:val="center"/>
          </w:tcPr>
          <w:p w:rsidR="000714CE" w:rsidRPr="00986D60" w:rsidRDefault="00733A7A" w:rsidP="007F0733">
            <w:pPr>
              <w:pStyle w:val="Tabletext"/>
              <w:keepNext/>
              <w:keepLines/>
              <w:jc w:val="center"/>
              <w:rPr>
                <w:lang w:val="en-US"/>
              </w:rPr>
            </w:pPr>
            <w:r w:rsidRPr="00986D60">
              <w:rPr>
                <w:lang w:val="en-US"/>
              </w:rPr>
              <w:t>90</w:t>
            </w:r>
          </w:p>
        </w:tc>
        <w:tc>
          <w:tcPr>
            <w:tcW w:w="706"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8 days</w:t>
            </w:r>
          </w:p>
        </w:tc>
        <w:tc>
          <w:tcPr>
            <w:tcW w:w="55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Response rate</w:t>
            </w:r>
          </w:p>
        </w:tc>
        <w:tc>
          <w:tcPr>
            <w:tcW w:w="849" w:type="pct"/>
            <w:shd w:val="clear" w:color="auto" w:fill="auto"/>
            <w:vAlign w:val="center"/>
          </w:tcPr>
          <w:p w:rsidR="000714CE" w:rsidRPr="00986D60" w:rsidRDefault="00DD44B2" w:rsidP="00D365E5">
            <w:pPr>
              <w:pStyle w:val="Tabletext"/>
              <w:keepNext/>
              <w:keepLines/>
              <w:jc w:val="center"/>
              <w:rPr>
                <w:lang w:val="en-US"/>
              </w:rPr>
            </w:pPr>
            <w:r w:rsidRPr="00986D60">
              <w:rPr>
                <w:lang w:val="en-US"/>
              </w:rPr>
              <w:t xml:space="preserve">Efficacy in well controlled </w:t>
            </w:r>
            <w:r w:rsidR="00D365E5" w:rsidRPr="00986D60">
              <w:rPr>
                <w:lang w:val="en-US"/>
              </w:rPr>
              <w:t>pts</w:t>
            </w:r>
          </w:p>
        </w:tc>
      </w:tr>
      <w:tr w:rsidR="000714CE" w:rsidRPr="00986D60" w:rsidTr="00D365E5">
        <w:tc>
          <w:tcPr>
            <w:tcW w:w="940" w:type="pct"/>
            <w:shd w:val="clear" w:color="auto" w:fill="D9D9D9" w:themeFill="background1" w:themeFillShade="D9"/>
            <w:vAlign w:val="center"/>
          </w:tcPr>
          <w:p w:rsidR="000714CE" w:rsidRPr="00986D60" w:rsidRDefault="000714CE" w:rsidP="007F0733">
            <w:pPr>
              <w:pStyle w:val="Tabletext"/>
              <w:keepNext/>
              <w:keepLines/>
              <w:rPr>
                <w:lang w:val="en-US"/>
              </w:rPr>
            </w:pPr>
            <w:r w:rsidRPr="00986D60">
              <w:rPr>
                <w:lang w:val="en-US"/>
              </w:rPr>
              <w:t>PKU-015 (Part 1)</w:t>
            </w:r>
          </w:p>
          <w:p w:rsidR="000714CE" w:rsidRPr="00986D60" w:rsidRDefault="000714CE" w:rsidP="007F0733">
            <w:pPr>
              <w:pStyle w:val="Tabletext"/>
              <w:keepNext/>
              <w:keepLines/>
              <w:rPr>
                <w:lang w:val="en-US"/>
              </w:rPr>
            </w:pPr>
            <w:r w:rsidRPr="00986D60">
              <w:rPr>
                <w:lang w:val="en-US"/>
              </w:rPr>
              <w:t>20</w:t>
            </w:r>
            <w:r w:rsidR="000214F7" w:rsidRPr="00986D60">
              <w:rPr>
                <w:lang w:val="en-US"/>
              </w:rPr>
              <w:t xml:space="preserve"> </w:t>
            </w:r>
            <w:r w:rsidRPr="00986D60">
              <w:rPr>
                <w:lang w:val="en-US"/>
              </w:rPr>
              <w:t>mg/kg/day</w:t>
            </w:r>
          </w:p>
        </w:tc>
        <w:tc>
          <w:tcPr>
            <w:tcW w:w="314" w:type="pct"/>
            <w:shd w:val="clear" w:color="auto" w:fill="D9D9D9" w:themeFill="background1" w:themeFillShade="D9"/>
            <w:vAlign w:val="center"/>
          </w:tcPr>
          <w:p w:rsidR="000714CE" w:rsidRPr="00986D60" w:rsidRDefault="00733A7A" w:rsidP="007F0733">
            <w:pPr>
              <w:pStyle w:val="Tabletext"/>
              <w:keepNext/>
              <w:keepLines/>
              <w:jc w:val="center"/>
              <w:rPr>
                <w:lang w:val="en-US"/>
              </w:rPr>
            </w:pPr>
            <w:r w:rsidRPr="00986D60">
              <w:rPr>
                <w:lang w:val="en-US"/>
              </w:rPr>
              <w:t>80</w:t>
            </w:r>
          </w:p>
        </w:tc>
        <w:tc>
          <w:tcPr>
            <w:tcW w:w="706"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28 days</w:t>
            </w:r>
          </w:p>
        </w:tc>
        <w:tc>
          <w:tcPr>
            <w:tcW w:w="55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Response rate</w:t>
            </w:r>
          </w:p>
        </w:tc>
        <w:tc>
          <w:tcPr>
            <w:tcW w:w="849" w:type="pct"/>
            <w:shd w:val="clear" w:color="auto" w:fill="D9D9D9" w:themeFill="background1" w:themeFillShade="D9"/>
            <w:vAlign w:val="center"/>
          </w:tcPr>
          <w:p w:rsidR="000714CE" w:rsidRPr="00986D60" w:rsidRDefault="00C5786B" w:rsidP="00C5786B">
            <w:pPr>
              <w:pStyle w:val="Tabletext"/>
              <w:keepNext/>
              <w:keepLines/>
              <w:jc w:val="center"/>
              <w:rPr>
                <w:lang w:val="en-US"/>
              </w:rPr>
            </w:pPr>
            <w:r w:rsidRPr="00986D60">
              <w:rPr>
                <w:lang w:val="en-US"/>
              </w:rPr>
              <w:t xml:space="preserve">Determination of response rate </w:t>
            </w:r>
          </w:p>
        </w:tc>
      </w:tr>
      <w:tr w:rsidR="000714CE" w:rsidRPr="00986D60" w:rsidTr="00D365E5">
        <w:tc>
          <w:tcPr>
            <w:tcW w:w="940" w:type="pct"/>
            <w:shd w:val="clear" w:color="auto" w:fill="auto"/>
            <w:vAlign w:val="center"/>
          </w:tcPr>
          <w:p w:rsidR="000714CE" w:rsidRPr="00986D60" w:rsidRDefault="000714CE" w:rsidP="007F0733">
            <w:pPr>
              <w:pStyle w:val="Tabletext"/>
              <w:keepNext/>
              <w:keepLines/>
              <w:rPr>
                <w:lang w:val="en-US"/>
              </w:rPr>
            </w:pPr>
            <w:r w:rsidRPr="00986D60">
              <w:rPr>
                <w:lang w:val="en-US"/>
              </w:rPr>
              <w:t>PKU-004</w:t>
            </w:r>
          </w:p>
          <w:p w:rsidR="000714CE" w:rsidRPr="00986D60" w:rsidRDefault="000714CE" w:rsidP="007F0733">
            <w:pPr>
              <w:pStyle w:val="Tabletext"/>
              <w:keepNext/>
              <w:keepLines/>
              <w:rPr>
                <w:lang w:val="en-US"/>
              </w:rPr>
            </w:pPr>
            <w:r w:rsidRPr="00986D60">
              <w:rPr>
                <w:lang w:val="en-US"/>
              </w:rPr>
              <w:t>5-20</w:t>
            </w:r>
            <w:r w:rsidR="000214F7" w:rsidRPr="00986D60">
              <w:rPr>
                <w:lang w:val="en-US"/>
              </w:rPr>
              <w:t xml:space="preserve"> </w:t>
            </w:r>
            <w:r w:rsidRPr="00986D60">
              <w:rPr>
                <w:lang w:val="en-US"/>
              </w:rPr>
              <w:t>mg/kg/day</w:t>
            </w:r>
          </w:p>
        </w:tc>
        <w:tc>
          <w:tcPr>
            <w:tcW w:w="314" w:type="pct"/>
            <w:shd w:val="clear" w:color="auto" w:fill="auto"/>
            <w:vAlign w:val="center"/>
          </w:tcPr>
          <w:p w:rsidR="000714CE" w:rsidRPr="00986D60" w:rsidRDefault="00733A7A" w:rsidP="007F0733">
            <w:pPr>
              <w:pStyle w:val="Tabletext"/>
              <w:keepNext/>
              <w:keepLines/>
              <w:jc w:val="center"/>
              <w:rPr>
                <w:lang w:val="en-US"/>
              </w:rPr>
            </w:pPr>
            <w:r w:rsidRPr="00986D60">
              <w:rPr>
                <w:lang w:val="en-US"/>
              </w:rPr>
              <w:t>80</w:t>
            </w:r>
          </w:p>
        </w:tc>
        <w:tc>
          <w:tcPr>
            <w:tcW w:w="706"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22 weeks</w:t>
            </w:r>
          </w:p>
        </w:tc>
        <w:tc>
          <w:tcPr>
            <w:tcW w:w="55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 xml:space="preserve">Uncontrolled </w:t>
            </w:r>
          </w:p>
        </w:tc>
        <w:tc>
          <w:tcPr>
            <w:tcW w:w="937"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Reduction blood Phe</w:t>
            </w:r>
          </w:p>
        </w:tc>
        <w:tc>
          <w:tcPr>
            <w:tcW w:w="849" w:type="pct"/>
            <w:shd w:val="clear" w:color="auto" w:fill="auto"/>
            <w:vAlign w:val="center"/>
          </w:tcPr>
          <w:p w:rsidR="000714CE" w:rsidRPr="00986D60" w:rsidRDefault="00DD44B2" w:rsidP="00D365E5">
            <w:pPr>
              <w:pStyle w:val="Tabletext"/>
              <w:keepNext/>
              <w:keepLines/>
              <w:jc w:val="center"/>
              <w:rPr>
                <w:lang w:val="en-US"/>
              </w:rPr>
            </w:pPr>
            <w:r w:rsidRPr="00986D60">
              <w:rPr>
                <w:snapToGrid w:val="0"/>
              </w:rPr>
              <w:t xml:space="preserve">Efficacy in poorly-controlled </w:t>
            </w:r>
            <w:r w:rsidR="00D365E5" w:rsidRPr="00986D60">
              <w:rPr>
                <w:snapToGrid w:val="0"/>
              </w:rPr>
              <w:t>pts</w:t>
            </w:r>
          </w:p>
        </w:tc>
      </w:tr>
      <w:tr w:rsidR="000714CE" w:rsidRPr="00986D60" w:rsidTr="00D365E5">
        <w:tc>
          <w:tcPr>
            <w:tcW w:w="940" w:type="pct"/>
            <w:shd w:val="clear" w:color="auto" w:fill="auto"/>
            <w:vAlign w:val="center"/>
          </w:tcPr>
          <w:p w:rsidR="000714CE" w:rsidRPr="00986D60" w:rsidRDefault="000714CE" w:rsidP="007F0733">
            <w:pPr>
              <w:pStyle w:val="Tabletext"/>
              <w:keepNext/>
              <w:keepLines/>
              <w:rPr>
                <w:lang w:val="en-US"/>
              </w:rPr>
            </w:pPr>
            <w:r w:rsidRPr="00986D60">
              <w:rPr>
                <w:lang w:val="en-US"/>
              </w:rPr>
              <w:t>PKU-008</w:t>
            </w:r>
          </w:p>
          <w:p w:rsidR="000714CE" w:rsidRPr="00986D60" w:rsidRDefault="000714CE" w:rsidP="007F0733">
            <w:pPr>
              <w:pStyle w:val="Tabletext"/>
              <w:keepNext/>
              <w:keepLines/>
              <w:rPr>
                <w:lang w:val="en-US"/>
              </w:rPr>
            </w:pPr>
            <w:r w:rsidRPr="00986D60">
              <w:rPr>
                <w:lang w:val="en-US"/>
              </w:rPr>
              <w:t>5-20</w:t>
            </w:r>
            <w:r w:rsidR="000214F7" w:rsidRPr="00986D60">
              <w:rPr>
                <w:lang w:val="en-US"/>
              </w:rPr>
              <w:t xml:space="preserve"> </w:t>
            </w:r>
            <w:r w:rsidRPr="00986D60">
              <w:rPr>
                <w:lang w:val="en-US"/>
              </w:rPr>
              <w:t>mg/kg/day</w:t>
            </w:r>
          </w:p>
        </w:tc>
        <w:tc>
          <w:tcPr>
            <w:tcW w:w="314" w:type="pct"/>
            <w:shd w:val="clear" w:color="auto" w:fill="auto"/>
            <w:vAlign w:val="center"/>
          </w:tcPr>
          <w:p w:rsidR="000714CE" w:rsidRPr="00986D60" w:rsidRDefault="00733A7A" w:rsidP="007F0733">
            <w:pPr>
              <w:pStyle w:val="Tabletext"/>
              <w:keepNext/>
              <w:keepLines/>
              <w:jc w:val="center"/>
              <w:rPr>
                <w:lang w:val="en-US"/>
              </w:rPr>
            </w:pPr>
            <w:r w:rsidRPr="00986D60">
              <w:rPr>
                <w:lang w:val="en-US"/>
              </w:rPr>
              <w:t>111</w:t>
            </w:r>
          </w:p>
        </w:tc>
        <w:tc>
          <w:tcPr>
            <w:tcW w:w="706"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3 years</w:t>
            </w:r>
          </w:p>
        </w:tc>
        <w:tc>
          <w:tcPr>
            <w:tcW w:w="55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Uncontrolled / Controlled</w:t>
            </w:r>
          </w:p>
        </w:tc>
        <w:tc>
          <w:tcPr>
            <w:tcW w:w="937"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Reduction blood Phe</w:t>
            </w:r>
          </w:p>
        </w:tc>
        <w:tc>
          <w:tcPr>
            <w:tcW w:w="849" w:type="pct"/>
            <w:shd w:val="clear" w:color="auto" w:fill="auto"/>
            <w:vAlign w:val="center"/>
          </w:tcPr>
          <w:p w:rsidR="000714CE" w:rsidRPr="00986D60" w:rsidRDefault="00DD44B2" w:rsidP="007F0733">
            <w:pPr>
              <w:pStyle w:val="Tabletext"/>
              <w:keepNext/>
              <w:keepLines/>
              <w:jc w:val="center"/>
              <w:rPr>
                <w:lang w:val="en-US"/>
              </w:rPr>
            </w:pPr>
            <w:r w:rsidRPr="00986D60">
              <w:rPr>
                <w:lang w:val="en-US"/>
              </w:rPr>
              <w:t>-</w:t>
            </w:r>
          </w:p>
        </w:tc>
      </w:tr>
      <w:tr w:rsidR="000714CE" w:rsidRPr="00986D60" w:rsidTr="00D365E5">
        <w:tc>
          <w:tcPr>
            <w:tcW w:w="940" w:type="pct"/>
            <w:shd w:val="clear" w:color="auto" w:fill="D9D9D9" w:themeFill="background1" w:themeFillShade="D9"/>
            <w:vAlign w:val="center"/>
          </w:tcPr>
          <w:p w:rsidR="000714CE" w:rsidRPr="00986D60" w:rsidRDefault="000714CE" w:rsidP="007F0733">
            <w:pPr>
              <w:pStyle w:val="Tabletext"/>
              <w:keepNext/>
              <w:keepLines/>
              <w:rPr>
                <w:lang w:val="en-US"/>
              </w:rPr>
            </w:pPr>
            <w:r w:rsidRPr="00986D60">
              <w:rPr>
                <w:lang w:val="en-US"/>
              </w:rPr>
              <w:t>PKU-015 (Part 2)</w:t>
            </w:r>
          </w:p>
          <w:p w:rsidR="000714CE" w:rsidRPr="00986D60" w:rsidRDefault="000714CE" w:rsidP="007F0733">
            <w:pPr>
              <w:pStyle w:val="Tabletext"/>
              <w:keepNext/>
              <w:keepLines/>
              <w:rPr>
                <w:lang w:val="en-US"/>
              </w:rPr>
            </w:pPr>
            <w:r w:rsidRPr="00986D60">
              <w:rPr>
                <w:lang w:val="en-US"/>
              </w:rPr>
              <w:t>10-20</w:t>
            </w:r>
            <w:r w:rsidR="000214F7" w:rsidRPr="00986D60">
              <w:rPr>
                <w:lang w:val="en-US"/>
              </w:rPr>
              <w:t xml:space="preserve"> </w:t>
            </w:r>
            <w:r w:rsidRPr="00986D60">
              <w:rPr>
                <w:lang w:val="en-US"/>
              </w:rPr>
              <w:t>mg/kg/day</w:t>
            </w:r>
          </w:p>
        </w:tc>
        <w:tc>
          <w:tcPr>
            <w:tcW w:w="314" w:type="pct"/>
            <w:shd w:val="clear" w:color="auto" w:fill="D9D9D9" w:themeFill="background1" w:themeFillShade="D9"/>
            <w:vAlign w:val="center"/>
          </w:tcPr>
          <w:p w:rsidR="000714CE" w:rsidRPr="00986D60" w:rsidRDefault="00733A7A" w:rsidP="007F0733">
            <w:pPr>
              <w:pStyle w:val="Tabletext"/>
              <w:keepNext/>
              <w:keepLines/>
              <w:jc w:val="center"/>
              <w:rPr>
                <w:lang w:val="en-US"/>
              </w:rPr>
            </w:pPr>
            <w:r w:rsidRPr="00986D60">
              <w:rPr>
                <w:lang w:val="en-US"/>
              </w:rPr>
              <w:t>65</w:t>
            </w:r>
          </w:p>
        </w:tc>
        <w:tc>
          <w:tcPr>
            <w:tcW w:w="706"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2 years</w:t>
            </w:r>
          </w:p>
        </w:tc>
        <w:tc>
          <w:tcPr>
            <w:tcW w:w="55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D9D9D9" w:themeFill="background1" w:themeFillShade="D9"/>
            <w:vAlign w:val="center"/>
          </w:tcPr>
          <w:p w:rsidR="000714CE" w:rsidRPr="00986D60" w:rsidRDefault="000714CE" w:rsidP="007F0733">
            <w:pPr>
              <w:pStyle w:val="Tabletext"/>
              <w:keepNext/>
              <w:keepLines/>
              <w:jc w:val="center"/>
              <w:rPr>
                <w:lang w:val="en-US"/>
              </w:rPr>
            </w:pPr>
            <w:r w:rsidRPr="00986D60">
              <w:rPr>
                <w:lang w:val="en-US"/>
              </w:rPr>
              <w:t>Phe tolerance</w:t>
            </w:r>
          </w:p>
        </w:tc>
        <w:tc>
          <w:tcPr>
            <w:tcW w:w="849" w:type="pct"/>
            <w:shd w:val="clear" w:color="auto" w:fill="D9D9D9" w:themeFill="background1" w:themeFillShade="D9"/>
            <w:vAlign w:val="center"/>
          </w:tcPr>
          <w:p w:rsidR="000714CE" w:rsidRPr="00986D60" w:rsidRDefault="00DD44B2" w:rsidP="007F0733">
            <w:pPr>
              <w:pStyle w:val="Tabletext"/>
              <w:keepNext/>
              <w:keepLines/>
              <w:jc w:val="center"/>
              <w:rPr>
                <w:lang w:val="en-US"/>
              </w:rPr>
            </w:pPr>
            <w:r w:rsidRPr="00986D60">
              <w:rPr>
                <w:lang w:val="en-US"/>
              </w:rPr>
              <w:t>-</w:t>
            </w:r>
          </w:p>
        </w:tc>
      </w:tr>
      <w:tr w:rsidR="000714CE" w:rsidRPr="00986D60" w:rsidTr="00D365E5">
        <w:tc>
          <w:tcPr>
            <w:tcW w:w="940" w:type="pct"/>
            <w:shd w:val="clear" w:color="auto" w:fill="auto"/>
            <w:vAlign w:val="center"/>
          </w:tcPr>
          <w:p w:rsidR="000714CE" w:rsidRPr="00986D60" w:rsidRDefault="000714CE" w:rsidP="007F0733">
            <w:pPr>
              <w:pStyle w:val="Tabletext"/>
              <w:keepNext/>
              <w:keepLines/>
              <w:rPr>
                <w:lang w:val="en-US"/>
              </w:rPr>
            </w:pPr>
            <w:r w:rsidRPr="00986D60">
              <w:rPr>
                <w:lang w:val="en-US"/>
              </w:rPr>
              <w:t>KOGNITO</w:t>
            </w:r>
          </w:p>
          <w:p w:rsidR="0021414B" w:rsidRPr="00986D60" w:rsidRDefault="0021414B" w:rsidP="007F0733">
            <w:pPr>
              <w:pStyle w:val="Tabletext"/>
              <w:keepNext/>
              <w:keepLines/>
              <w:rPr>
                <w:lang w:val="en-US"/>
              </w:rPr>
            </w:pPr>
            <w:r w:rsidRPr="00986D60">
              <w:rPr>
                <w:lang w:val="en-US"/>
              </w:rPr>
              <w:t>5-20 mg/kg/day</w:t>
            </w:r>
          </w:p>
        </w:tc>
        <w:tc>
          <w:tcPr>
            <w:tcW w:w="314" w:type="pct"/>
            <w:shd w:val="clear" w:color="auto" w:fill="auto"/>
            <w:vAlign w:val="center"/>
          </w:tcPr>
          <w:p w:rsidR="000714CE" w:rsidRPr="00986D60" w:rsidRDefault="00733A7A" w:rsidP="007F0733">
            <w:pPr>
              <w:pStyle w:val="Tabletext"/>
              <w:keepNext/>
              <w:keepLines/>
              <w:jc w:val="center"/>
              <w:rPr>
                <w:lang w:val="en-US"/>
              </w:rPr>
            </w:pPr>
            <w:r w:rsidRPr="00986D60">
              <w:rPr>
                <w:lang w:val="en-US"/>
              </w:rPr>
              <w:t>26</w:t>
            </w:r>
          </w:p>
        </w:tc>
        <w:tc>
          <w:tcPr>
            <w:tcW w:w="706"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SA, OL</w:t>
            </w:r>
          </w:p>
          <w:p w:rsidR="000714CE" w:rsidRPr="00986D60" w:rsidRDefault="000714CE" w:rsidP="007F0733">
            <w:pPr>
              <w:pStyle w:val="Tabletext"/>
              <w:keepNext/>
              <w:keepLines/>
              <w:jc w:val="center"/>
              <w:rPr>
                <w:lang w:val="en-US"/>
              </w:rPr>
            </w:pPr>
            <w:r w:rsidRPr="00986D60">
              <w:rPr>
                <w:lang w:val="en-US"/>
              </w:rPr>
              <w:t>19 months</w:t>
            </w:r>
          </w:p>
        </w:tc>
        <w:tc>
          <w:tcPr>
            <w:tcW w:w="55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NA</w:t>
            </w:r>
          </w:p>
        </w:tc>
        <w:tc>
          <w:tcPr>
            <w:tcW w:w="702"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 xml:space="preserve">Controlled </w:t>
            </w:r>
          </w:p>
        </w:tc>
        <w:tc>
          <w:tcPr>
            <w:tcW w:w="937" w:type="pct"/>
            <w:shd w:val="clear" w:color="auto" w:fill="auto"/>
            <w:vAlign w:val="center"/>
          </w:tcPr>
          <w:p w:rsidR="000714CE" w:rsidRPr="00986D60" w:rsidRDefault="000714CE" w:rsidP="007F0733">
            <w:pPr>
              <w:pStyle w:val="Tabletext"/>
              <w:keepNext/>
              <w:keepLines/>
              <w:jc w:val="center"/>
              <w:rPr>
                <w:lang w:val="en-US"/>
              </w:rPr>
            </w:pPr>
            <w:r w:rsidRPr="00986D60">
              <w:rPr>
                <w:lang w:val="en-US"/>
              </w:rPr>
              <w:t>Phe tolerance</w:t>
            </w:r>
          </w:p>
        </w:tc>
        <w:tc>
          <w:tcPr>
            <w:tcW w:w="849" w:type="pct"/>
            <w:shd w:val="clear" w:color="auto" w:fill="auto"/>
            <w:vAlign w:val="center"/>
          </w:tcPr>
          <w:p w:rsidR="000714CE" w:rsidRPr="00986D60" w:rsidRDefault="00DD44B2" w:rsidP="007F0733">
            <w:pPr>
              <w:pStyle w:val="Tabletext"/>
              <w:keepNext/>
              <w:keepLines/>
              <w:jc w:val="center"/>
              <w:rPr>
                <w:lang w:val="en-US"/>
              </w:rPr>
            </w:pPr>
            <w:r w:rsidRPr="00986D60">
              <w:rPr>
                <w:lang w:val="en-US"/>
              </w:rPr>
              <w:t>-</w:t>
            </w:r>
          </w:p>
        </w:tc>
      </w:tr>
      <w:tr w:rsidR="00733A7A" w:rsidRPr="00986D60" w:rsidTr="00733A7A">
        <w:tc>
          <w:tcPr>
            <w:tcW w:w="5000" w:type="pct"/>
            <w:gridSpan w:val="7"/>
            <w:shd w:val="clear" w:color="auto" w:fill="auto"/>
          </w:tcPr>
          <w:p w:rsidR="00733A7A" w:rsidRPr="00986D60" w:rsidRDefault="00733A7A" w:rsidP="007F0733">
            <w:pPr>
              <w:pStyle w:val="Tabletext"/>
              <w:keepNext/>
              <w:keepLines/>
              <w:rPr>
                <w:b/>
                <w:lang w:val="en-US"/>
              </w:rPr>
            </w:pPr>
            <w:r w:rsidRPr="00986D60">
              <w:rPr>
                <w:b/>
                <w:lang w:val="en-US"/>
              </w:rPr>
              <w:t>Registry data</w:t>
            </w:r>
          </w:p>
        </w:tc>
      </w:tr>
      <w:tr w:rsidR="00733A7A" w:rsidRPr="00986D60" w:rsidTr="00D365E5">
        <w:tc>
          <w:tcPr>
            <w:tcW w:w="940" w:type="pct"/>
            <w:shd w:val="clear" w:color="auto" w:fill="D9D9D9" w:themeFill="background1" w:themeFillShade="D9"/>
            <w:vAlign w:val="center"/>
          </w:tcPr>
          <w:p w:rsidR="00733A7A" w:rsidRPr="00986D60" w:rsidRDefault="00733A7A" w:rsidP="007F0733">
            <w:pPr>
              <w:pStyle w:val="Tabletext"/>
              <w:keepNext/>
              <w:keepLines/>
              <w:rPr>
                <w:lang w:val="en-US"/>
              </w:rPr>
            </w:pPr>
            <w:r w:rsidRPr="00986D60">
              <w:rPr>
                <w:lang w:val="en-US"/>
              </w:rPr>
              <w:t>PKUDOS</w:t>
            </w:r>
          </w:p>
        </w:tc>
        <w:tc>
          <w:tcPr>
            <w:tcW w:w="314"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715</w:t>
            </w:r>
          </w:p>
        </w:tc>
        <w:tc>
          <w:tcPr>
            <w:tcW w:w="706"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SA, OL</w:t>
            </w:r>
          </w:p>
          <w:p w:rsidR="00733A7A" w:rsidRPr="00986D60" w:rsidRDefault="00733A7A" w:rsidP="007F0733">
            <w:pPr>
              <w:pStyle w:val="Tabletext"/>
              <w:keepNext/>
              <w:keepLines/>
              <w:jc w:val="center"/>
              <w:rPr>
                <w:lang w:val="en-US"/>
              </w:rPr>
            </w:pPr>
            <w:r w:rsidRPr="00986D60">
              <w:rPr>
                <w:lang w:val="en-US"/>
              </w:rPr>
              <w:t>7 years</w:t>
            </w:r>
          </w:p>
        </w:tc>
        <w:tc>
          <w:tcPr>
            <w:tcW w:w="552"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Uncontrolled / Controlled</w:t>
            </w:r>
          </w:p>
        </w:tc>
        <w:tc>
          <w:tcPr>
            <w:tcW w:w="937"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Phe tolerance</w:t>
            </w:r>
          </w:p>
          <w:p w:rsidR="00733A7A" w:rsidRPr="00986D60" w:rsidRDefault="00733A7A" w:rsidP="007F0733">
            <w:pPr>
              <w:pStyle w:val="Tabletext"/>
              <w:keepNext/>
              <w:keepLines/>
              <w:jc w:val="center"/>
              <w:rPr>
                <w:lang w:val="en-US"/>
              </w:rPr>
            </w:pPr>
            <w:r w:rsidRPr="00986D60">
              <w:rPr>
                <w:lang w:val="en-US"/>
              </w:rPr>
              <w:t>Reduction blood Phe</w:t>
            </w:r>
          </w:p>
        </w:tc>
        <w:tc>
          <w:tcPr>
            <w:tcW w:w="849" w:type="pct"/>
            <w:shd w:val="clear" w:color="auto" w:fill="D9D9D9" w:themeFill="background1" w:themeFillShade="D9"/>
            <w:vAlign w:val="center"/>
          </w:tcPr>
          <w:p w:rsidR="00733A7A" w:rsidRPr="00986D60" w:rsidRDefault="00DD44B2" w:rsidP="007F0733">
            <w:pPr>
              <w:pStyle w:val="Tabletext"/>
              <w:keepNext/>
              <w:keepLines/>
              <w:jc w:val="center"/>
              <w:rPr>
                <w:lang w:val="en-US"/>
              </w:rPr>
            </w:pPr>
            <w:r w:rsidRPr="00986D60">
              <w:rPr>
                <w:lang w:val="en-US"/>
              </w:rPr>
              <w:t>-</w:t>
            </w:r>
          </w:p>
        </w:tc>
      </w:tr>
      <w:tr w:rsidR="00733A7A" w:rsidRPr="00986D60" w:rsidTr="00D365E5">
        <w:tc>
          <w:tcPr>
            <w:tcW w:w="940" w:type="pct"/>
            <w:shd w:val="clear" w:color="auto" w:fill="D9D9D9" w:themeFill="background1" w:themeFillShade="D9"/>
            <w:vAlign w:val="center"/>
          </w:tcPr>
          <w:p w:rsidR="00733A7A" w:rsidRPr="00986D60" w:rsidRDefault="00733A7A" w:rsidP="007F0733">
            <w:pPr>
              <w:pStyle w:val="Tabletext"/>
              <w:keepNext/>
              <w:keepLines/>
              <w:rPr>
                <w:lang w:val="en-US"/>
              </w:rPr>
            </w:pPr>
            <w:r w:rsidRPr="00986D60">
              <w:rPr>
                <w:lang w:val="en-US"/>
              </w:rPr>
              <w:t>KAMPER</w:t>
            </w:r>
          </w:p>
        </w:tc>
        <w:tc>
          <w:tcPr>
            <w:tcW w:w="314"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575</w:t>
            </w:r>
          </w:p>
        </w:tc>
        <w:tc>
          <w:tcPr>
            <w:tcW w:w="706"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SA, OL</w:t>
            </w:r>
          </w:p>
          <w:p w:rsidR="00733A7A" w:rsidRPr="00986D60" w:rsidRDefault="00733A7A" w:rsidP="007F0733">
            <w:pPr>
              <w:pStyle w:val="Tabletext"/>
              <w:keepNext/>
              <w:keepLines/>
              <w:jc w:val="center"/>
              <w:rPr>
                <w:lang w:val="en-US"/>
              </w:rPr>
            </w:pPr>
            <w:r w:rsidRPr="00986D60">
              <w:rPr>
                <w:lang w:val="en-US"/>
              </w:rPr>
              <w:t>7 years</w:t>
            </w:r>
          </w:p>
        </w:tc>
        <w:tc>
          <w:tcPr>
            <w:tcW w:w="552"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NA</w:t>
            </w:r>
          </w:p>
        </w:tc>
        <w:tc>
          <w:tcPr>
            <w:tcW w:w="702"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Uncontrolled / Controlled</w:t>
            </w:r>
          </w:p>
        </w:tc>
        <w:tc>
          <w:tcPr>
            <w:tcW w:w="937" w:type="pct"/>
            <w:shd w:val="clear" w:color="auto" w:fill="D9D9D9" w:themeFill="background1" w:themeFillShade="D9"/>
            <w:vAlign w:val="center"/>
          </w:tcPr>
          <w:p w:rsidR="00733A7A" w:rsidRPr="00986D60" w:rsidRDefault="00733A7A" w:rsidP="007F0733">
            <w:pPr>
              <w:pStyle w:val="Tabletext"/>
              <w:keepNext/>
              <w:keepLines/>
              <w:jc w:val="center"/>
              <w:rPr>
                <w:lang w:val="en-US"/>
              </w:rPr>
            </w:pPr>
            <w:r w:rsidRPr="00986D60">
              <w:rPr>
                <w:lang w:val="en-US"/>
              </w:rPr>
              <w:t>Phe tolerance</w:t>
            </w:r>
          </w:p>
          <w:p w:rsidR="00733A7A" w:rsidRPr="00986D60" w:rsidRDefault="00733A7A" w:rsidP="007F0733">
            <w:pPr>
              <w:pStyle w:val="Tabletext"/>
              <w:keepNext/>
              <w:keepLines/>
              <w:jc w:val="center"/>
              <w:rPr>
                <w:lang w:val="en-US"/>
              </w:rPr>
            </w:pPr>
            <w:r w:rsidRPr="00986D60">
              <w:rPr>
                <w:lang w:val="en-US"/>
              </w:rPr>
              <w:t>Reduction blood Phe</w:t>
            </w:r>
          </w:p>
        </w:tc>
        <w:tc>
          <w:tcPr>
            <w:tcW w:w="849" w:type="pct"/>
            <w:shd w:val="clear" w:color="auto" w:fill="D9D9D9" w:themeFill="background1" w:themeFillShade="D9"/>
            <w:vAlign w:val="center"/>
          </w:tcPr>
          <w:p w:rsidR="00733A7A" w:rsidRPr="00986D60" w:rsidRDefault="00DD44B2" w:rsidP="007F0733">
            <w:pPr>
              <w:pStyle w:val="Tabletext"/>
              <w:keepNext/>
              <w:keepLines/>
              <w:jc w:val="center"/>
              <w:rPr>
                <w:lang w:val="en-US"/>
              </w:rPr>
            </w:pPr>
            <w:r w:rsidRPr="00986D60">
              <w:rPr>
                <w:lang w:val="en-US"/>
              </w:rPr>
              <w:t>-</w:t>
            </w:r>
          </w:p>
        </w:tc>
      </w:tr>
    </w:tbl>
    <w:p w:rsidR="007F1017" w:rsidRPr="00986D60" w:rsidRDefault="007F1017" w:rsidP="007F0733">
      <w:pPr>
        <w:pStyle w:val="TableFooter"/>
        <w:keepNext/>
        <w:keepLines/>
      </w:pPr>
      <w:r w:rsidRPr="00986D60">
        <w:t>DB=double blind; OL=open label;</w:t>
      </w:r>
      <w:r w:rsidR="00733A7A" w:rsidRPr="00986D60">
        <w:t xml:space="preserve"> </w:t>
      </w:r>
      <w:r w:rsidR="00D365E5" w:rsidRPr="00986D60">
        <w:t xml:space="preserve">pts = patients; </w:t>
      </w:r>
      <w:r w:rsidR="00733A7A" w:rsidRPr="00986D60">
        <w:t xml:space="preserve">R=randomised; </w:t>
      </w:r>
      <w:r w:rsidR="00D365E5" w:rsidRPr="00986D60">
        <w:t xml:space="preserve">SA = </w:t>
      </w:r>
      <w:r w:rsidR="00733A7A" w:rsidRPr="00986D60">
        <w:t>Single arm</w:t>
      </w:r>
    </w:p>
    <w:p w:rsidR="00045017" w:rsidRPr="00986D60" w:rsidRDefault="00045017" w:rsidP="007F0733">
      <w:pPr>
        <w:pStyle w:val="TableFooter"/>
        <w:keepNext/>
        <w:keepLines/>
        <w:rPr>
          <w:sz w:val="20"/>
        </w:rPr>
      </w:pPr>
      <w:r w:rsidRPr="00986D60">
        <w:t xml:space="preserve">Source: </w:t>
      </w:r>
      <w:r w:rsidR="00733A7A" w:rsidRPr="00986D60">
        <w:t xml:space="preserve">Section 2 of the </w:t>
      </w:r>
      <w:r w:rsidR="00063220">
        <w:t>resubmission</w:t>
      </w:r>
    </w:p>
    <w:p w:rsidR="0094732A" w:rsidRPr="00986D60" w:rsidRDefault="00733A7A" w:rsidP="0094732A">
      <w:pPr>
        <w:pStyle w:val="ListParagraph"/>
        <w:widowControl/>
        <w:numPr>
          <w:ilvl w:val="1"/>
          <w:numId w:val="13"/>
        </w:numPr>
        <w:spacing w:after="120"/>
        <w:ind w:left="709" w:hanging="709"/>
      </w:pPr>
      <w:r w:rsidRPr="00986D60">
        <w:t xml:space="preserve">PKU-003 and PKU-006 (Part 2) </w:t>
      </w:r>
      <w:r w:rsidR="00823347" w:rsidRPr="00986D60">
        <w:t>we</w:t>
      </w:r>
      <w:r w:rsidRPr="00986D60">
        <w:t xml:space="preserve">re considered to </w:t>
      </w:r>
      <w:r w:rsidR="00823347" w:rsidRPr="00986D60">
        <w:t>have</w:t>
      </w:r>
      <w:r w:rsidRPr="00986D60">
        <w:t xml:space="preserve"> a low risk of bias. SPARK, </w:t>
      </w:r>
      <w:r w:rsidR="00823347" w:rsidRPr="00986D60">
        <w:t>an</w:t>
      </w:r>
      <w:r w:rsidRPr="00986D60">
        <w:t xml:space="preserve"> open-label</w:t>
      </w:r>
      <w:r w:rsidR="00823347" w:rsidRPr="00986D60">
        <w:t xml:space="preserve"> study</w:t>
      </w:r>
      <w:r w:rsidRPr="00986D60">
        <w:t xml:space="preserve">, </w:t>
      </w:r>
      <w:r w:rsidR="00823347" w:rsidRPr="00986D60">
        <w:t>was</w:t>
      </w:r>
      <w:r w:rsidRPr="00986D60">
        <w:t xml:space="preserve"> considered to be at a moderate risk of bias</w:t>
      </w:r>
      <w:r w:rsidR="00823347" w:rsidRPr="00986D60">
        <w:t>. A</w:t>
      </w:r>
      <w:r w:rsidRPr="00986D60">
        <w:t xml:space="preserve">lthough blood Phe levels are an objective outcome, knowledge of receiving treatment may influence a patient’s compliance with diet and consequently </w:t>
      </w:r>
      <w:r w:rsidR="00823347" w:rsidRPr="00986D60">
        <w:t xml:space="preserve">their </w:t>
      </w:r>
      <w:r w:rsidRPr="00986D60">
        <w:t>blood Phe levels.</w:t>
      </w:r>
    </w:p>
    <w:p w:rsidR="00B60939" w:rsidRPr="005D0DD8" w:rsidRDefault="00B60939" w:rsidP="00777DFF">
      <w:pPr>
        <w:pStyle w:val="Heading2"/>
      </w:pPr>
      <w:bookmarkStart w:id="9" w:name="_Toc503291169"/>
      <w:r w:rsidRPr="005D0DD8">
        <w:t>Comparative effectiveness</w:t>
      </w:r>
      <w:bookmarkEnd w:id="9"/>
    </w:p>
    <w:p w:rsidR="002C2775" w:rsidRPr="00986D60" w:rsidRDefault="00733A7A" w:rsidP="007A7ACD">
      <w:pPr>
        <w:pStyle w:val="ListParagraph"/>
        <w:widowControl/>
        <w:numPr>
          <w:ilvl w:val="1"/>
          <w:numId w:val="13"/>
        </w:numPr>
        <w:spacing w:after="120"/>
        <w:ind w:left="709" w:hanging="709"/>
      </w:pPr>
      <w:r w:rsidRPr="00986D60">
        <w:rPr>
          <w:rFonts w:cs="Calibri"/>
          <w:snapToGrid/>
          <w:szCs w:val="24"/>
          <w:lang w:val="en-US" w:eastAsia="en-AU"/>
        </w:rPr>
        <w:t xml:space="preserve">The </w:t>
      </w:r>
      <w:r w:rsidR="00063220">
        <w:rPr>
          <w:rFonts w:cs="Calibri"/>
          <w:snapToGrid/>
          <w:szCs w:val="24"/>
          <w:lang w:val="en-US" w:eastAsia="en-AU"/>
        </w:rPr>
        <w:t>resubmission</w:t>
      </w:r>
      <w:r w:rsidRPr="00986D60">
        <w:rPr>
          <w:rFonts w:cs="Calibri"/>
          <w:snapToGrid/>
          <w:szCs w:val="24"/>
          <w:lang w:val="en-US" w:eastAsia="en-AU"/>
        </w:rPr>
        <w:t xml:space="preserve"> include</w:t>
      </w:r>
      <w:r w:rsidR="00823347" w:rsidRPr="00986D60">
        <w:rPr>
          <w:rFonts w:cs="Calibri"/>
          <w:snapToGrid/>
          <w:szCs w:val="24"/>
          <w:lang w:val="en-US" w:eastAsia="en-AU"/>
        </w:rPr>
        <w:t>d</w:t>
      </w:r>
      <w:r w:rsidRPr="00986D60">
        <w:rPr>
          <w:rFonts w:cs="Calibri"/>
          <w:snapToGrid/>
          <w:szCs w:val="24"/>
          <w:lang w:val="en-US" w:eastAsia="en-AU"/>
        </w:rPr>
        <w:t xml:space="preserve"> a number of additional trials and studies compared with the previous submission. The data for the trials and studies previously considered remain unchanged from the November 2011 submission, however the totality of the evidence presented in the </w:t>
      </w:r>
      <w:r w:rsidR="00063220">
        <w:rPr>
          <w:rFonts w:cs="Calibri"/>
          <w:snapToGrid/>
          <w:szCs w:val="24"/>
          <w:lang w:val="en-US" w:eastAsia="en-AU"/>
        </w:rPr>
        <w:t>resubmission</w:t>
      </w:r>
      <w:r w:rsidRPr="00986D60">
        <w:rPr>
          <w:rFonts w:cs="Calibri"/>
          <w:snapToGrid/>
          <w:szCs w:val="24"/>
          <w:lang w:val="en-US" w:eastAsia="en-AU"/>
        </w:rPr>
        <w:t xml:space="preserve"> is provided below</w:t>
      </w:r>
      <w:r w:rsidR="00E15BBE" w:rsidRPr="00986D60">
        <w:rPr>
          <w:rFonts w:cs="Calibri"/>
          <w:snapToGrid/>
          <w:szCs w:val="24"/>
          <w:lang w:val="en-US" w:eastAsia="en-AU"/>
        </w:rPr>
        <w:t xml:space="preserve"> (shaded cells represent newly provided data)</w:t>
      </w:r>
      <w:r w:rsidRPr="00986D60">
        <w:rPr>
          <w:rFonts w:cs="Calibri"/>
          <w:snapToGrid/>
          <w:szCs w:val="24"/>
          <w:lang w:val="en-US" w:eastAsia="en-AU"/>
        </w:rPr>
        <w:t>.</w:t>
      </w:r>
    </w:p>
    <w:p w:rsidR="00DA3167" w:rsidRPr="00986D60" w:rsidRDefault="00733A7A" w:rsidP="007A7ACD">
      <w:pPr>
        <w:pStyle w:val="ListParagraph"/>
        <w:widowControl/>
        <w:numPr>
          <w:ilvl w:val="1"/>
          <w:numId w:val="13"/>
        </w:numPr>
        <w:spacing w:after="120"/>
        <w:ind w:left="709" w:hanging="709"/>
      </w:pPr>
      <w:r w:rsidRPr="00986D60">
        <w:rPr>
          <w:rFonts w:cs="Calibri"/>
          <w:snapToGrid/>
          <w:szCs w:val="24"/>
          <w:lang w:val="en-US" w:eastAsia="en-AU"/>
        </w:rPr>
        <w:t>Response rates to sapropterin w</w:t>
      </w:r>
      <w:r w:rsidR="00823347" w:rsidRPr="00986D60">
        <w:rPr>
          <w:rFonts w:cs="Calibri"/>
          <w:snapToGrid/>
          <w:szCs w:val="24"/>
          <w:lang w:val="en-US" w:eastAsia="en-AU"/>
        </w:rPr>
        <w:t>ere</w:t>
      </w:r>
      <w:r w:rsidR="00E15BBE" w:rsidRPr="00986D60">
        <w:rPr>
          <w:rFonts w:cs="Calibri"/>
          <w:snapToGrid/>
          <w:szCs w:val="24"/>
          <w:lang w:val="en-US" w:eastAsia="en-AU"/>
        </w:rPr>
        <w:t xml:space="preserve"> assessed</w:t>
      </w:r>
      <w:r w:rsidRPr="00986D60">
        <w:rPr>
          <w:rFonts w:cs="Calibri"/>
          <w:snapToGrid/>
          <w:szCs w:val="24"/>
          <w:lang w:val="en-US" w:eastAsia="en-AU"/>
        </w:rPr>
        <w:t xml:space="preserve"> in five studies, the </w:t>
      </w:r>
      <w:r w:rsidR="005C63D9" w:rsidRPr="00986D60">
        <w:rPr>
          <w:rFonts w:cs="Calibri"/>
          <w:snapToGrid/>
          <w:szCs w:val="24"/>
          <w:lang w:val="en-US" w:eastAsia="en-AU"/>
        </w:rPr>
        <w:t>results are presented in Table 7</w:t>
      </w:r>
      <w:r w:rsidRPr="00986D60">
        <w:rPr>
          <w:rFonts w:cs="Calibri"/>
          <w:snapToGrid/>
          <w:szCs w:val="24"/>
          <w:lang w:val="en-US" w:eastAsia="en-AU"/>
        </w:rPr>
        <w:t>.</w:t>
      </w:r>
    </w:p>
    <w:p w:rsidR="00E15BBE" w:rsidRPr="00986D60" w:rsidRDefault="005C63D9" w:rsidP="00E15BBE">
      <w:pPr>
        <w:rPr>
          <w:rFonts w:ascii="Arial Narrow" w:hAnsi="Arial Narrow"/>
          <w:b/>
          <w:sz w:val="20"/>
        </w:rPr>
      </w:pPr>
      <w:r w:rsidRPr="00986D60">
        <w:rPr>
          <w:rFonts w:ascii="Arial Narrow" w:hAnsi="Arial Narrow"/>
          <w:b/>
          <w:sz w:val="20"/>
        </w:rPr>
        <w:t>Table 7</w:t>
      </w:r>
      <w:r w:rsidR="00E15BBE" w:rsidRPr="00986D60">
        <w:rPr>
          <w:rFonts w:ascii="Arial Narrow" w:hAnsi="Arial Narrow"/>
          <w:b/>
          <w:sz w:val="20"/>
        </w:rPr>
        <w:t>: Response to sapropterin, defined as ≥30% reduction in blood Phe levels in studies PKU-001, EMR_700773_510, ENDURE, PKU-015 (Part 1), and defined as ≥30% reduction in blood Phe levels AND blood Phe ≤300 μmol/L in PKU-006 (Part 1)</w:t>
      </w:r>
      <w:r w:rsidR="00CA0F03" w:rsidRPr="00986D60">
        <w:rPr>
          <w:rFonts w:ascii="Arial Narrow" w:hAnsi="Arial Narrow"/>
          <w:b/>
          <w:sz w:val="20"/>
        </w:rPr>
        <w:t xml:space="preserve"> - results for overall study populations and subgroup analysis by baseline characteristics are reported</w:t>
      </w:r>
    </w:p>
    <w:tbl>
      <w:tblPr>
        <w:tblStyle w:val="TableGrid"/>
        <w:tblW w:w="0" w:type="auto"/>
        <w:tblCellMar>
          <w:left w:w="28" w:type="dxa"/>
          <w:right w:w="28" w:type="dxa"/>
        </w:tblCellMar>
        <w:tblLook w:val="04A0" w:firstRow="1" w:lastRow="0" w:firstColumn="1" w:lastColumn="0" w:noHBand="0" w:noVBand="1"/>
      </w:tblPr>
      <w:tblGrid>
        <w:gridCol w:w="3256"/>
        <w:gridCol w:w="1417"/>
        <w:gridCol w:w="1418"/>
        <w:gridCol w:w="2926"/>
      </w:tblGrid>
      <w:tr w:rsidR="00E15BBE" w:rsidRPr="00986D60" w:rsidTr="00CA0F03">
        <w:trPr>
          <w:trHeight w:val="195"/>
        </w:trPr>
        <w:tc>
          <w:tcPr>
            <w:tcW w:w="3256" w:type="dxa"/>
            <w:vMerge w:val="restart"/>
            <w:vAlign w:val="center"/>
          </w:tcPr>
          <w:p w:rsidR="00E15BBE" w:rsidRPr="00986D60" w:rsidRDefault="00E15BBE" w:rsidP="00CA0F03">
            <w:pPr>
              <w:jc w:val="left"/>
              <w:rPr>
                <w:rFonts w:ascii="Arial Narrow" w:hAnsi="Arial Narrow"/>
                <w:b/>
                <w:sz w:val="20"/>
              </w:rPr>
            </w:pPr>
            <w:r w:rsidRPr="00986D60">
              <w:rPr>
                <w:rFonts w:ascii="Arial Narrow" w:hAnsi="Arial Narrow"/>
                <w:b/>
                <w:sz w:val="20"/>
              </w:rPr>
              <w:t>Study</w:t>
            </w:r>
          </w:p>
        </w:tc>
        <w:tc>
          <w:tcPr>
            <w:tcW w:w="2835" w:type="dxa"/>
            <w:gridSpan w:val="2"/>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 xml:space="preserve">Response </w:t>
            </w:r>
          </w:p>
        </w:tc>
        <w:tc>
          <w:tcPr>
            <w:tcW w:w="2926" w:type="dxa"/>
            <w:vMerge w:val="restart"/>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 xml:space="preserve">Patients </w:t>
            </w:r>
          </w:p>
        </w:tc>
      </w:tr>
      <w:tr w:rsidR="00E15BBE" w:rsidRPr="00986D60" w:rsidTr="00CA0F03">
        <w:trPr>
          <w:trHeight w:val="255"/>
        </w:trPr>
        <w:tc>
          <w:tcPr>
            <w:tcW w:w="3256" w:type="dxa"/>
            <w:vMerge/>
            <w:vAlign w:val="center"/>
          </w:tcPr>
          <w:p w:rsidR="00E15BBE" w:rsidRPr="00986D60" w:rsidRDefault="00E15BBE" w:rsidP="00CA0F03">
            <w:pPr>
              <w:jc w:val="left"/>
              <w:rPr>
                <w:rFonts w:ascii="Arial Narrow" w:hAnsi="Arial Narrow"/>
                <w:b/>
                <w:sz w:val="20"/>
              </w:rPr>
            </w:pPr>
          </w:p>
        </w:tc>
        <w:tc>
          <w:tcPr>
            <w:tcW w:w="1417" w:type="dxa"/>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 xml:space="preserve">n/N (%) </w:t>
            </w:r>
          </w:p>
        </w:tc>
        <w:tc>
          <w:tcPr>
            <w:tcW w:w="1418" w:type="dxa"/>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95% CI</w:t>
            </w:r>
          </w:p>
        </w:tc>
        <w:tc>
          <w:tcPr>
            <w:tcW w:w="2926" w:type="dxa"/>
            <w:vMerge/>
            <w:vAlign w:val="center"/>
          </w:tcPr>
          <w:p w:rsidR="00E15BBE" w:rsidRPr="00986D60" w:rsidRDefault="00E15BBE" w:rsidP="007E5495">
            <w:pPr>
              <w:jc w:val="center"/>
              <w:rPr>
                <w:rFonts w:ascii="Arial Narrow" w:hAnsi="Arial Narrow"/>
                <w:b/>
                <w:sz w:val="20"/>
              </w:rPr>
            </w:pPr>
          </w:p>
        </w:tc>
      </w:tr>
      <w:tr w:rsidR="00CC528B" w:rsidRPr="00986D60" w:rsidTr="00CC528B">
        <w:tc>
          <w:tcPr>
            <w:tcW w:w="3256" w:type="dxa"/>
          </w:tcPr>
          <w:p w:rsidR="00CC528B" w:rsidRPr="00986D60" w:rsidRDefault="00CC528B" w:rsidP="00CC528B">
            <w:pPr>
              <w:jc w:val="left"/>
              <w:rPr>
                <w:rFonts w:ascii="Arial Narrow" w:hAnsi="Arial Narrow"/>
                <w:sz w:val="20"/>
              </w:rPr>
            </w:pPr>
            <w:r w:rsidRPr="00986D60">
              <w:rPr>
                <w:rFonts w:ascii="Arial Narrow" w:hAnsi="Arial Narrow"/>
                <w:sz w:val="20"/>
              </w:rPr>
              <w:t>PKU-001, 10 mg/kg/day for 8 days</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96/485 (20) </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16, 23</w:t>
            </w:r>
          </w:p>
        </w:tc>
        <w:tc>
          <w:tcPr>
            <w:tcW w:w="2926" w:type="dxa"/>
            <w:vMerge w:val="restart"/>
            <w:vAlign w:val="center"/>
          </w:tcPr>
          <w:p w:rsidR="00CC528B" w:rsidRPr="00986D60" w:rsidRDefault="00CC528B" w:rsidP="00CC528B">
            <w:pPr>
              <w:jc w:val="center"/>
              <w:rPr>
                <w:rFonts w:ascii="Arial Narrow" w:hAnsi="Arial Narrow"/>
                <w:sz w:val="20"/>
              </w:rPr>
            </w:pPr>
            <w:r w:rsidRPr="00986D60">
              <w:rPr>
                <w:rFonts w:ascii="Arial Narrow" w:hAnsi="Arial Narrow"/>
                <w:sz w:val="20"/>
              </w:rPr>
              <w:t>≥8 years, baseline Phe ≥480 μmol/L, no strict diet</w:t>
            </w:r>
          </w:p>
        </w:tc>
      </w:tr>
      <w:tr w:rsidR="00CC528B" w:rsidRPr="00986D60" w:rsidTr="00CC528B">
        <w:tc>
          <w:tcPr>
            <w:tcW w:w="3256" w:type="dxa"/>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ab/>
              <w:t>&lt;600 μmol/L</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31/57 (54) </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41, 68</w:t>
            </w:r>
          </w:p>
        </w:tc>
        <w:tc>
          <w:tcPr>
            <w:tcW w:w="2926" w:type="dxa"/>
            <w:vMerge/>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ab/>
              <w:t>600-899 μmol/L</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38/157 (24) </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ab/>
              <w:t>900-1119 μmol/L</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14/135 (10)</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ab/>
              <w:t>≥1200 μmol/L</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13/136 (10)</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vAlign w:val="center"/>
          </w:tcPr>
          <w:p w:rsidR="00CC528B" w:rsidRPr="00986D60" w:rsidRDefault="00CC528B" w:rsidP="00CC528B">
            <w:pPr>
              <w:jc w:val="center"/>
              <w:rPr>
                <w:rFonts w:ascii="Arial Narrow" w:hAnsi="Arial Narrow"/>
                <w:sz w:val="20"/>
              </w:rPr>
            </w:pPr>
          </w:p>
        </w:tc>
      </w:tr>
      <w:tr w:rsidR="00CC528B" w:rsidRPr="00986D60" w:rsidTr="00CA0F03">
        <w:tc>
          <w:tcPr>
            <w:tcW w:w="3256" w:type="dxa"/>
            <w:shd w:val="clear" w:color="auto" w:fill="D9D9D9" w:themeFill="background1" w:themeFillShade="D9"/>
            <w:vAlign w:val="center"/>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EMR_700773_510, 20 mg/kg/day for 8 days</w:t>
            </w:r>
          </w:p>
        </w:tc>
        <w:tc>
          <w:tcPr>
            <w:tcW w:w="1417"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30/90 (33.3)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24, 44</w:t>
            </w:r>
          </w:p>
        </w:tc>
        <w:tc>
          <w:tcPr>
            <w:tcW w:w="2926"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4-18 years, baseline Phe ≥450 μmol/L, maintain diet</w:t>
            </w: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ENDURE, 20 mg/kg/day for 28 days</w:t>
            </w:r>
          </w:p>
        </w:tc>
        <w:tc>
          <w:tcPr>
            <w:tcW w:w="1417"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44/59 (75)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62, 85</w:t>
            </w:r>
          </w:p>
        </w:tc>
        <w:tc>
          <w:tcPr>
            <w:tcW w:w="2926" w:type="dxa"/>
            <w:vMerge w:val="restart"/>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≥4 years, baseline Phe ≥300 μmol/L, maintain diet</w:t>
            </w: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82"/>
              </w:tabs>
              <w:jc w:val="left"/>
              <w:rPr>
                <w:rFonts w:ascii="Arial Narrow" w:hAnsi="Arial Narrow"/>
                <w:sz w:val="20"/>
              </w:rPr>
            </w:pPr>
            <w:r w:rsidRPr="00986D60">
              <w:rPr>
                <w:rFonts w:ascii="Arial Narrow" w:hAnsi="Arial Narrow"/>
                <w:sz w:val="20"/>
              </w:rPr>
              <w:tab/>
              <w:t>7 days</w:t>
            </w:r>
          </w:p>
        </w:tc>
        <w:tc>
          <w:tcPr>
            <w:tcW w:w="1417" w:type="dxa"/>
            <w:shd w:val="clear" w:color="auto" w:fill="D9D9D9" w:themeFill="background1" w:themeFillShade="D9"/>
            <w:vAlign w:val="center"/>
          </w:tcPr>
          <w:p w:rsidR="00CC528B" w:rsidRPr="00986D60" w:rsidRDefault="006A61EC" w:rsidP="00CC528B">
            <w:pPr>
              <w:jc w:val="center"/>
              <w:rPr>
                <w:rFonts w:ascii="Arial Narrow" w:hAnsi="Arial Narrow"/>
                <w:sz w:val="20"/>
              </w:rPr>
            </w:pPr>
            <w:r>
              <w:rPr>
                <w:rFonts w:ascii="Arial Narrow" w:hAnsi="Arial Narrow"/>
                <w:noProof/>
                <w:color w:val="000000"/>
                <w:sz w:val="20"/>
                <w:highlight w:val="black"/>
              </w:rPr>
              <w:t>''''''</w:t>
            </w:r>
            <w:r w:rsidR="00CC528B" w:rsidRPr="00986D60">
              <w:rPr>
                <w:rFonts w:ascii="Arial Narrow" w:hAnsi="Arial Narrow"/>
                <w:sz w:val="20"/>
              </w:rPr>
              <w:t>/59 (64)</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51, 77</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67"/>
              </w:tabs>
              <w:jc w:val="left"/>
              <w:rPr>
                <w:rFonts w:ascii="Arial Narrow" w:hAnsi="Arial Narrow"/>
                <w:sz w:val="20"/>
              </w:rPr>
            </w:pPr>
            <w:r w:rsidRPr="00986D60">
              <w:rPr>
                <w:rFonts w:ascii="Arial Narrow" w:hAnsi="Arial Narrow"/>
                <w:sz w:val="20"/>
              </w:rPr>
              <w:tab/>
              <w:t>4-16 years</w:t>
            </w:r>
          </w:p>
        </w:tc>
        <w:tc>
          <w:tcPr>
            <w:tcW w:w="1417"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418"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67"/>
              </w:tabs>
              <w:jc w:val="left"/>
              <w:rPr>
                <w:rFonts w:ascii="Arial Narrow" w:hAnsi="Arial Narrow"/>
                <w:sz w:val="20"/>
              </w:rPr>
            </w:pPr>
            <w:r w:rsidRPr="00986D60">
              <w:rPr>
                <w:rFonts w:ascii="Arial Narrow" w:hAnsi="Arial Narrow"/>
                <w:sz w:val="20"/>
              </w:rPr>
              <w:tab/>
              <w:t>&gt;16 years</w:t>
            </w:r>
          </w:p>
        </w:tc>
        <w:tc>
          <w:tcPr>
            <w:tcW w:w="1417"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418"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67"/>
              </w:tabs>
              <w:jc w:val="left"/>
              <w:rPr>
                <w:rFonts w:ascii="Arial Narrow" w:hAnsi="Arial Narrow"/>
                <w:sz w:val="20"/>
              </w:rPr>
            </w:pPr>
            <w:r w:rsidRPr="00986D60">
              <w:rPr>
                <w:rFonts w:ascii="Arial Narrow" w:hAnsi="Arial Narrow"/>
                <w:sz w:val="20"/>
              </w:rPr>
              <w:tab/>
              <w:t>≤600 μmol/L</w:t>
            </w:r>
          </w:p>
        </w:tc>
        <w:tc>
          <w:tcPr>
            <w:tcW w:w="1417"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67"/>
              </w:tabs>
              <w:jc w:val="left"/>
              <w:rPr>
                <w:rFonts w:ascii="Arial Narrow" w:hAnsi="Arial Narrow"/>
                <w:sz w:val="20"/>
              </w:rPr>
            </w:pPr>
            <w:r w:rsidRPr="00986D60">
              <w:rPr>
                <w:rFonts w:ascii="Arial Narrow" w:hAnsi="Arial Narrow"/>
                <w:sz w:val="20"/>
              </w:rPr>
              <w:tab/>
              <w:t>600-1200 μmol/L</w:t>
            </w:r>
          </w:p>
        </w:tc>
        <w:tc>
          <w:tcPr>
            <w:tcW w:w="1417"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C528B">
        <w:tc>
          <w:tcPr>
            <w:tcW w:w="3256" w:type="dxa"/>
            <w:shd w:val="clear" w:color="auto" w:fill="D9D9D9" w:themeFill="background1" w:themeFillShade="D9"/>
          </w:tcPr>
          <w:p w:rsidR="00CC528B" w:rsidRPr="00986D60" w:rsidRDefault="00CC528B" w:rsidP="00CC528B">
            <w:pPr>
              <w:tabs>
                <w:tab w:val="left" w:pos="267"/>
              </w:tabs>
              <w:jc w:val="left"/>
              <w:rPr>
                <w:rFonts w:ascii="Arial Narrow" w:hAnsi="Arial Narrow"/>
                <w:sz w:val="20"/>
              </w:rPr>
            </w:pPr>
            <w:r w:rsidRPr="00986D60">
              <w:rPr>
                <w:rFonts w:ascii="Arial Narrow" w:hAnsi="Arial Narrow"/>
                <w:sz w:val="20"/>
              </w:rPr>
              <w:tab/>
              <w:t>≥1200 μmol/L</w:t>
            </w:r>
          </w:p>
        </w:tc>
        <w:tc>
          <w:tcPr>
            <w:tcW w:w="1417" w:type="dxa"/>
            <w:shd w:val="clear" w:color="auto" w:fill="D9D9D9" w:themeFill="background1" w:themeFillShade="D9"/>
            <w:vAlign w:val="center"/>
          </w:tcPr>
          <w:p w:rsidR="00CC528B" w:rsidRPr="006A61EC" w:rsidRDefault="006A61EC" w:rsidP="00CC528B">
            <w:pPr>
              <w:jc w:val="center"/>
              <w:rPr>
                <w:rFonts w:ascii="Arial Narrow" w:hAnsi="Arial Narrow"/>
                <w:sz w:val="20"/>
                <w:highlight w:val="black"/>
              </w:rPr>
            </w:pPr>
            <w:r>
              <w:rPr>
                <w:rFonts w:ascii="Arial Narrow" w:hAnsi="Arial Narrow"/>
                <w:noProof/>
                <w:color w:val="000000"/>
                <w:sz w:val="20"/>
                <w:highlight w:val="black"/>
              </w:rPr>
              <w:t>'''''''''''''''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Merge/>
            <w:shd w:val="clear" w:color="auto" w:fill="D9D9D9" w:themeFill="background1" w:themeFillShade="D9"/>
            <w:vAlign w:val="center"/>
          </w:tcPr>
          <w:p w:rsidR="00CC528B" w:rsidRPr="00986D60" w:rsidRDefault="00CC528B" w:rsidP="00CC528B">
            <w:pPr>
              <w:jc w:val="center"/>
              <w:rPr>
                <w:rFonts w:ascii="Arial Narrow" w:hAnsi="Arial Narrow"/>
                <w:sz w:val="20"/>
              </w:rPr>
            </w:pPr>
          </w:p>
        </w:tc>
      </w:tr>
      <w:tr w:rsidR="00CC528B" w:rsidRPr="00986D60" w:rsidTr="00CA0F03">
        <w:tc>
          <w:tcPr>
            <w:tcW w:w="3256" w:type="dxa"/>
            <w:vAlign w:val="center"/>
          </w:tcPr>
          <w:p w:rsidR="00CC528B" w:rsidRPr="00986D60" w:rsidRDefault="00CC528B" w:rsidP="00CC528B">
            <w:pPr>
              <w:jc w:val="left"/>
              <w:rPr>
                <w:rFonts w:ascii="Arial Narrow" w:hAnsi="Arial Narrow"/>
                <w:sz w:val="20"/>
              </w:rPr>
            </w:pPr>
            <w:r w:rsidRPr="00986D60">
              <w:rPr>
                <w:rFonts w:ascii="Arial Narrow" w:hAnsi="Arial Narrow"/>
                <w:sz w:val="20"/>
              </w:rPr>
              <w:t>PKU-006 (Part 1), 20 mg/kg/day for 8 days</w:t>
            </w:r>
          </w:p>
        </w:tc>
        <w:tc>
          <w:tcPr>
            <w:tcW w:w="1417"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50/90 (56) </w:t>
            </w:r>
          </w:p>
        </w:tc>
        <w:tc>
          <w:tcPr>
            <w:tcW w:w="1418"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vAlign w:val="center"/>
          </w:tcPr>
          <w:p w:rsidR="00CC528B" w:rsidRPr="00986D60" w:rsidRDefault="00CC528B" w:rsidP="00CC528B">
            <w:pPr>
              <w:jc w:val="center"/>
              <w:rPr>
                <w:rFonts w:ascii="Arial Narrow" w:hAnsi="Arial Narrow"/>
                <w:sz w:val="20"/>
              </w:rPr>
            </w:pPr>
            <w:r w:rsidRPr="00986D60">
              <w:rPr>
                <w:rFonts w:ascii="Arial Narrow" w:hAnsi="Arial Narrow"/>
                <w:sz w:val="20"/>
              </w:rPr>
              <w:t>4-12 years, baseline Phe ≤480 μmol/L, strict diet</w:t>
            </w:r>
          </w:p>
        </w:tc>
      </w:tr>
      <w:tr w:rsidR="00CC528B" w:rsidRPr="00986D60" w:rsidTr="00CA0F03">
        <w:tc>
          <w:tcPr>
            <w:tcW w:w="3256" w:type="dxa"/>
            <w:shd w:val="clear" w:color="auto" w:fill="D9D9D9" w:themeFill="background1" w:themeFillShade="D9"/>
            <w:vAlign w:val="center"/>
          </w:tcPr>
          <w:p w:rsidR="00CC528B" w:rsidRPr="00986D60" w:rsidRDefault="00CC528B" w:rsidP="00CC528B">
            <w:pPr>
              <w:jc w:val="left"/>
              <w:rPr>
                <w:rFonts w:ascii="Arial Narrow" w:hAnsi="Arial Narrow"/>
                <w:sz w:val="20"/>
              </w:rPr>
            </w:pPr>
            <w:r w:rsidRPr="00986D60">
              <w:rPr>
                <w:rFonts w:ascii="Arial Narrow" w:hAnsi="Arial Narrow"/>
                <w:sz w:val="20"/>
              </w:rPr>
              <w:t>PKU-015 (Part 1), 20 mg/kg/day for 28 days</w:t>
            </w:r>
          </w:p>
        </w:tc>
        <w:tc>
          <w:tcPr>
            <w:tcW w:w="1417"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 xml:space="preserve">63/95 (66.3) </w:t>
            </w:r>
          </w:p>
        </w:tc>
        <w:tc>
          <w:tcPr>
            <w:tcW w:w="1418"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NR</w:t>
            </w:r>
          </w:p>
        </w:tc>
        <w:tc>
          <w:tcPr>
            <w:tcW w:w="2926" w:type="dxa"/>
            <w:shd w:val="clear" w:color="auto" w:fill="D9D9D9" w:themeFill="background1" w:themeFillShade="D9"/>
            <w:vAlign w:val="center"/>
          </w:tcPr>
          <w:p w:rsidR="00CC528B" w:rsidRPr="00986D60" w:rsidRDefault="00CC528B" w:rsidP="00CC528B">
            <w:pPr>
              <w:jc w:val="center"/>
              <w:rPr>
                <w:rFonts w:ascii="Arial Narrow" w:hAnsi="Arial Narrow"/>
                <w:sz w:val="20"/>
              </w:rPr>
            </w:pPr>
            <w:r w:rsidRPr="00986D60">
              <w:rPr>
                <w:rFonts w:ascii="Arial Narrow" w:hAnsi="Arial Narrow"/>
                <w:sz w:val="20"/>
              </w:rPr>
              <w:t>0-6 years, baseline Phe not reported, strict diet</w:t>
            </w:r>
          </w:p>
        </w:tc>
      </w:tr>
    </w:tbl>
    <w:p w:rsidR="00E15BBE" w:rsidRPr="00986D60" w:rsidRDefault="00E15BBE" w:rsidP="00E15BBE">
      <w:pPr>
        <w:pStyle w:val="TableFooter"/>
        <w:spacing w:after="120"/>
      </w:pPr>
      <w:r w:rsidRPr="00986D60">
        <w:t xml:space="preserve">Source: Table 2-12, p74; Figure 2-4, p75; Table2-15, p77; Table 2-17, p78; Table 20, p81; pp79-80 of the </w:t>
      </w:r>
      <w:r w:rsidR="00063220">
        <w:t>resubmission</w:t>
      </w:r>
      <w:r w:rsidRPr="00986D60">
        <w:t xml:space="preserve"> and Table 11.3, p58 of the PKU-001 CSR; Table 11-12, pp57-59 of the ENDURE CSR.</w:t>
      </w:r>
    </w:p>
    <w:p w:rsidR="00E15BBE" w:rsidRPr="00986D60" w:rsidRDefault="00E15BBE" w:rsidP="007A7ACD">
      <w:pPr>
        <w:pStyle w:val="ListParagraph"/>
        <w:widowControl/>
        <w:numPr>
          <w:ilvl w:val="1"/>
          <w:numId w:val="13"/>
        </w:numPr>
        <w:spacing w:after="120"/>
        <w:ind w:left="709" w:hanging="709"/>
      </w:pPr>
      <w:r w:rsidRPr="00986D60">
        <w:t xml:space="preserve">The response </w:t>
      </w:r>
      <w:r w:rsidRPr="00986D60">
        <w:rPr>
          <w:rFonts w:cs="Calibri"/>
          <w:snapToGrid/>
          <w:szCs w:val="24"/>
          <w:lang w:val="en-US" w:eastAsia="en-AU"/>
        </w:rPr>
        <w:t>to</w:t>
      </w:r>
      <w:r w:rsidRPr="00986D60">
        <w:t xml:space="preserve"> sapropterin ranged from 20% (PKU-001) to 75% (ENDURE) for the whole study populations across the included studies. Response to sapropterin appeared to vary depending on:</w:t>
      </w:r>
    </w:p>
    <w:p w:rsidR="00E15BBE" w:rsidRPr="00986D60" w:rsidRDefault="00E15BBE" w:rsidP="007A7ACD">
      <w:pPr>
        <w:pStyle w:val="ListParagraph"/>
        <w:numPr>
          <w:ilvl w:val="0"/>
          <w:numId w:val="6"/>
        </w:numPr>
        <w:spacing w:after="120"/>
        <w:ind w:left="1134" w:hanging="425"/>
      </w:pPr>
      <w:r w:rsidRPr="00986D60">
        <w:t>Sapropterin dose (20</w:t>
      </w:r>
      <w:r w:rsidR="0021414B" w:rsidRPr="00986D60">
        <w:t xml:space="preserve"> </w:t>
      </w:r>
      <w:r w:rsidRPr="00986D60">
        <w:t>mg/kg</w:t>
      </w:r>
      <w:r w:rsidR="00EB54F1" w:rsidRPr="00986D60">
        <w:t>/day</w:t>
      </w:r>
      <w:r w:rsidRPr="00986D60">
        <w:t xml:space="preserve"> being better than 10</w:t>
      </w:r>
      <w:r w:rsidR="0021414B" w:rsidRPr="00986D60">
        <w:t xml:space="preserve"> </w:t>
      </w:r>
      <w:r w:rsidRPr="00986D60">
        <w:t>mg/kg</w:t>
      </w:r>
      <w:r w:rsidR="00EB54F1" w:rsidRPr="00986D60">
        <w:t>/day</w:t>
      </w:r>
      <w:r w:rsidRPr="00986D60">
        <w:t>);</w:t>
      </w:r>
    </w:p>
    <w:p w:rsidR="00E15BBE" w:rsidRPr="00986D60" w:rsidRDefault="00E15BBE" w:rsidP="007A7ACD">
      <w:pPr>
        <w:pStyle w:val="ListParagraph"/>
        <w:numPr>
          <w:ilvl w:val="0"/>
          <w:numId w:val="6"/>
        </w:numPr>
        <w:spacing w:after="120"/>
        <w:ind w:left="1134" w:hanging="425"/>
      </w:pPr>
      <w:r w:rsidRPr="00986D60">
        <w:t xml:space="preserve">Test period duration (better </w:t>
      </w:r>
      <w:r w:rsidR="00CA0F03" w:rsidRPr="00986D60">
        <w:t xml:space="preserve">response </w:t>
      </w:r>
      <w:r w:rsidRPr="00986D60">
        <w:t>with a longer duration);</w:t>
      </w:r>
    </w:p>
    <w:p w:rsidR="00E15BBE" w:rsidRPr="00986D60" w:rsidRDefault="00E15BBE" w:rsidP="007A7ACD">
      <w:pPr>
        <w:pStyle w:val="ListParagraph"/>
        <w:numPr>
          <w:ilvl w:val="0"/>
          <w:numId w:val="6"/>
        </w:numPr>
        <w:spacing w:after="120"/>
        <w:ind w:left="1134" w:hanging="425"/>
      </w:pPr>
      <w:r w:rsidRPr="00986D60">
        <w:t>Baseline Phe levels (better response with lower levels);</w:t>
      </w:r>
    </w:p>
    <w:p w:rsidR="00E15BBE" w:rsidRPr="00986D60" w:rsidRDefault="00E15BBE" w:rsidP="007A7ACD">
      <w:pPr>
        <w:pStyle w:val="ListParagraph"/>
        <w:numPr>
          <w:ilvl w:val="0"/>
          <w:numId w:val="6"/>
        </w:numPr>
        <w:spacing w:after="120"/>
        <w:ind w:left="1134" w:hanging="425"/>
      </w:pPr>
      <w:r w:rsidRPr="00986D60">
        <w:t>Age (</w:t>
      </w:r>
      <w:r w:rsidR="00F60049">
        <w:t xml:space="preserve">the PBAC noted there was </w:t>
      </w:r>
      <w:r w:rsidRPr="00986D60">
        <w:t>better response among younger patients); and</w:t>
      </w:r>
    </w:p>
    <w:p w:rsidR="00E15BBE" w:rsidRPr="00986D60" w:rsidRDefault="00E15BBE" w:rsidP="007A7ACD">
      <w:pPr>
        <w:pStyle w:val="ListParagraph"/>
        <w:numPr>
          <w:ilvl w:val="0"/>
          <w:numId w:val="6"/>
        </w:numPr>
        <w:spacing w:after="120"/>
        <w:ind w:left="1134" w:hanging="425"/>
      </w:pPr>
      <w:r w:rsidRPr="00986D60">
        <w:t>Adherence to a strict diet (rather than no strict diet).</w:t>
      </w:r>
    </w:p>
    <w:p w:rsidR="00247925" w:rsidRPr="00986D60" w:rsidRDefault="00E15BBE" w:rsidP="007A7ACD">
      <w:pPr>
        <w:pStyle w:val="ListParagraph"/>
        <w:widowControl/>
        <w:numPr>
          <w:ilvl w:val="1"/>
          <w:numId w:val="13"/>
        </w:numPr>
        <w:spacing w:after="120"/>
        <w:ind w:left="709" w:hanging="709"/>
      </w:pPr>
      <w:r w:rsidRPr="00986D60">
        <w:rPr>
          <w:rFonts w:cs="Calibri"/>
          <w:snapToGrid/>
          <w:szCs w:val="24"/>
          <w:lang w:val="en-US" w:eastAsia="en-AU"/>
        </w:rPr>
        <w:t xml:space="preserve">The applicability of the response rates in the studies to the likely Australian population </w:t>
      </w:r>
      <w:r w:rsidR="00823347" w:rsidRPr="00986D60">
        <w:rPr>
          <w:rFonts w:cs="Calibri"/>
          <w:snapToGrid/>
          <w:szCs w:val="24"/>
          <w:lang w:val="en-US" w:eastAsia="en-AU"/>
        </w:rPr>
        <w:t>wa</w:t>
      </w:r>
      <w:r w:rsidRPr="00986D60">
        <w:rPr>
          <w:rFonts w:cs="Calibri"/>
          <w:snapToGrid/>
          <w:szCs w:val="24"/>
          <w:lang w:val="en-US" w:eastAsia="en-AU"/>
        </w:rPr>
        <w:t xml:space="preserve">s uncertain. The </w:t>
      </w:r>
      <w:r w:rsidR="00063220">
        <w:rPr>
          <w:rFonts w:cs="Calibri"/>
          <w:snapToGrid/>
          <w:szCs w:val="24"/>
          <w:lang w:val="en-US" w:eastAsia="en-AU"/>
        </w:rPr>
        <w:t>resubmission</w:t>
      </w:r>
      <w:r w:rsidRPr="00986D60">
        <w:rPr>
          <w:rFonts w:cs="Calibri"/>
          <w:snapToGrid/>
          <w:szCs w:val="24"/>
          <w:lang w:val="en-US" w:eastAsia="en-AU"/>
        </w:rPr>
        <w:t xml:space="preserve"> </w:t>
      </w:r>
      <w:r w:rsidR="00861CA2" w:rsidRPr="00986D60">
        <w:rPr>
          <w:rFonts w:cs="Calibri"/>
          <w:snapToGrid/>
          <w:szCs w:val="24"/>
          <w:lang w:val="en-US" w:eastAsia="en-AU"/>
        </w:rPr>
        <w:t>suggest</w:t>
      </w:r>
      <w:r w:rsidR="00823347" w:rsidRPr="00986D60">
        <w:rPr>
          <w:rFonts w:cs="Calibri"/>
          <w:snapToGrid/>
          <w:szCs w:val="24"/>
          <w:lang w:val="en-US" w:eastAsia="en-AU"/>
        </w:rPr>
        <w:t>ed</w:t>
      </w:r>
      <w:r w:rsidR="00861CA2" w:rsidRPr="00986D60">
        <w:rPr>
          <w:rFonts w:cs="Calibri"/>
          <w:snapToGrid/>
          <w:szCs w:val="24"/>
          <w:lang w:val="en-US" w:eastAsia="en-AU"/>
        </w:rPr>
        <w:t xml:space="preserve"> </w:t>
      </w:r>
      <w:r w:rsidRPr="00986D60">
        <w:rPr>
          <w:rFonts w:cs="Calibri"/>
          <w:snapToGrid/>
          <w:szCs w:val="24"/>
          <w:lang w:val="en-US" w:eastAsia="en-AU"/>
        </w:rPr>
        <w:t>that responsiveness testing w</w:t>
      </w:r>
      <w:r w:rsidR="00823347" w:rsidRPr="00986D60">
        <w:rPr>
          <w:rFonts w:cs="Calibri"/>
          <w:snapToGrid/>
          <w:szCs w:val="24"/>
          <w:lang w:val="en-US" w:eastAsia="en-AU"/>
        </w:rPr>
        <w:t>ould</w:t>
      </w:r>
      <w:r w:rsidRPr="00986D60">
        <w:rPr>
          <w:rFonts w:cs="Calibri"/>
          <w:snapToGrid/>
          <w:szCs w:val="24"/>
          <w:lang w:val="en-US" w:eastAsia="en-AU"/>
        </w:rPr>
        <w:t xml:space="preserve"> involve treatment with sapropterin 10 mg/kg</w:t>
      </w:r>
      <w:r w:rsidR="00CA0F03" w:rsidRPr="00986D60">
        <w:rPr>
          <w:rFonts w:cs="Calibri"/>
          <w:snapToGrid/>
          <w:szCs w:val="24"/>
          <w:lang w:val="en-US" w:eastAsia="en-AU"/>
        </w:rPr>
        <w:t>/day</w:t>
      </w:r>
      <w:r w:rsidRPr="00986D60">
        <w:rPr>
          <w:rFonts w:cs="Calibri"/>
          <w:snapToGrid/>
          <w:szCs w:val="24"/>
          <w:lang w:val="en-US" w:eastAsia="en-AU"/>
        </w:rPr>
        <w:t xml:space="preserve"> for 7 days, </w:t>
      </w:r>
      <w:r w:rsidR="00CA0F03" w:rsidRPr="00986D60">
        <w:rPr>
          <w:rFonts w:cs="Calibri"/>
          <w:snapToGrid/>
          <w:szCs w:val="24"/>
          <w:lang w:val="en-US" w:eastAsia="en-AU"/>
        </w:rPr>
        <w:t>and if inadequate b</w:t>
      </w:r>
      <w:r w:rsidR="0021414B" w:rsidRPr="00986D60">
        <w:rPr>
          <w:rFonts w:cs="Calibri"/>
          <w:snapToGrid/>
          <w:szCs w:val="24"/>
          <w:lang w:val="en-US" w:eastAsia="en-AU"/>
        </w:rPr>
        <w:t>l</w:t>
      </w:r>
      <w:r w:rsidR="00CA0F03" w:rsidRPr="00986D60">
        <w:rPr>
          <w:rFonts w:cs="Calibri"/>
          <w:snapToGrid/>
          <w:szCs w:val="24"/>
          <w:lang w:val="en-US" w:eastAsia="en-AU"/>
        </w:rPr>
        <w:t xml:space="preserve">ood Phe reductions are achieved, </w:t>
      </w:r>
      <w:r w:rsidR="00995863" w:rsidRPr="00986D60">
        <w:rPr>
          <w:rFonts w:cs="Calibri"/>
          <w:snapToGrid/>
          <w:szCs w:val="24"/>
          <w:lang w:val="en-US" w:eastAsia="en-AU"/>
        </w:rPr>
        <w:t xml:space="preserve">dose may be increased weekly to </w:t>
      </w:r>
      <w:r w:rsidRPr="00986D60">
        <w:rPr>
          <w:rFonts w:cs="Calibri"/>
          <w:snapToGrid/>
          <w:szCs w:val="24"/>
          <w:lang w:val="en-US" w:eastAsia="en-AU"/>
        </w:rPr>
        <w:t>20 mg/kg</w:t>
      </w:r>
      <w:r w:rsidR="00CA0F03" w:rsidRPr="00986D60">
        <w:rPr>
          <w:rFonts w:cs="Calibri"/>
          <w:snapToGrid/>
          <w:szCs w:val="24"/>
          <w:lang w:val="en-US" w:eastAsia="en-AU"/>
        </w:rPr>
        <w:t>/day</w:t>
      </w:r>
      <w:r w:rsidRPr="00986D60">
        <w:rPr>
          <w:rFonts w:cs="Calibri"/>
          <w:snapToGrid/>
          <w:szCs w:val="24"/>
          <w:lang w:val="en-US" w:eastAsia="en-AU"/>
        </w:rPr>
        <w:t xml:space="preserve"> for up to 28 days</w:t>
      </w:r>
      <w:r w:rsidR="00995863" w:rsidRPr="00986D60">
        <w:rPr>
          <w:rFonts w:cs="Calibri"/>
          <w:snapToGrid/>
          <w:szCs w:val="24"/>
          <w:lang w:val="en-US" w:eastAsia="en-AU"/>
        </w:rPr>
        <w:t xml:space="preserve"> in</w:t>
      </w:r>
      <w:r w:rsidRPr="00986D60">
        <w:rPr>
          <w:rFonts w:cs="Calibri"/>
          <w:snapToGrid/>
          <w:szCs w:val="24"/>
          <w:lang w:val="en-US" w:eastAsia="en-AU"/>
        </w:rPr>
        <w:t xml:space="preserve"> total, which was not conducted in any of the studies.</w:t>
      </w:r>
    </w:p>
    <w:p w:rsidR="00760C4E" w:rsidRPr="00986D60" w:rsidRDefault="00E15BBE" w:rsidP="007A7ACD">
      <w:pPr>
        <w:pStyle w:val="ListParagraph"/>
        <w:widowControl/>
        <w:numPr>
          <w:ilvl w:val="1"/>
          <w:numId w:val="13"/>
        </w:numPr>
        <w:spacing w:after="120"/>
        <w:ind w:left="709" w:hanging="709"/>
      </w:pPr>
      <w:r w:rsidRPr="00986D60">
        <w:rPr>
          <w:rFonts w:cs="Calibri"/>
          <w:snapToGrid/>
          <w:szCs w:val="24"/>
          <w:lang w:val="en-US" w:eastAsia="en-AU"/>
        </w:rPr>
        <w:t xml:space="preserve">The rates may also be underestimated as a review of the </w:t>
      </w:r>
      <w:r w:rsidR="007B14B5" w:rsidRPr="00986D60">
        <w:rPr>
          <w:rFonts w:cs="Calibri"/>
          <w:snapToGrid/>
          <w:szCs w:val="24"/>
          <w:lang w:val="en-US" w:eastAsia="en-AU"/>
        </w:rPr>
        <w:t>patients’</w:t>
      </w:r>
      <w:r w:rsidRPr="00986D60">
        <w:rPr>
          <w:rFonts w:cs="Calibri"/>
          <w:snapToGrid/>
          <w:szCs w:val="24"/>
          <w:lang w:val="en-US" w:eastAsia="en-AU"/>
        </w:rPr>
        <w:t xml:space="preserve"> medical history in PKU-015 (Part 1) increased the response rate to 75%. </w:t>
      </w:r>
      <w:r w:rsidRPr="00986D60">
        <w:t>This type of review and re-assessment of response may be relevant to the assessment of response to be eligible for sapropterin on the PBS.</w:t>
      </w:r>
    </w:p>
    <w:p w:rsidR="00B34FE2" w:rsidRPr="00986D60" w:rsidRDefault="00E15BBE" w:rsidP="007A7ACD">
      <w:pPr>
        <w:pStyle w:val="ListParagraph"/>
        <w:widowControl/>
        <w:numPr>
          <w:ilvl w:val="1"/>
          <w:numId w:val="13"/>
        </w:numPr>
        <w:spacing w:after="120"/>
        <w:ind w:left="709" w:hanging="709"/>
      </w:pPr>
      <w:r w:rsidRPr="00986D60">
        <w:rPr>
          <w:rFonts w:cs="Calibri"/>
          <w:snapToGrid/>
          <w:szCs w:val="24"/>
          <w:lang w:val="en-US" w:eastAsia="en-AU"/>
        </w:rPr>
        <w:t>Reduction in blood Phe levels was assessed in two randomised trials (PKU-003 and PKU-006 (Part 2)) and two</w:t>
      </w:r>
      <w:r w:rsidR="00A6188D" w:rsidRPr="00986D60">
        <w:rPr>
          <w:rFonts w:cs="Calibri"/>
          <w:snapToGrid/>
          <w:szCs w:val="24"/>
          <w:lang w:val="en-US" w:eastAsia="en-AU"/>
        </w:rPr>
        <w:t xml:space="preserve"> single-arm</w:t>
      </w:r>
      <w:r w:rsidRPr="00986D60">
        <w:rPr>
          <w:rFonts w:cs="Calibri"/>
          <w:snapToGrid/>
          <w:szCs w:val="24"/>
          <w:lang w:val="en-US" w:eastAsia="en-AU"/>
        </w:rPr>
        <w:t xml:space="preserve"> studies (PKU-004 and PKU-008). The results </w:t>
      </w:r>
      <w:r w:rsidR="00C14535" w:rsidRPr="00986D60">
        <w:rPr>
          <w:rFonts w:cs="Calibri"/>
          <w:snapToGrid/>
          <w:szCs w:val="24"/>
          <w:lang w:val="en-US" w:eastAsia="en-AU"/>
        </w:rPr>
        <w:t xml:space="preserve">from the </w:t>
      </w:r>
      <w:r w:rsidR="00A6188D" w:rsidRPr="00986D60">
        <w:rPr>
          <w:rFonts w:cs="Calibri"/>
          <w:snapToGrid/>
          <w:szCs w:val="24"/>
          <w:lang w:val="en-US" w:eastAsia="en-AU"/>
        </w:rPr>
        <w:t xml:space="preserve">randomised </w:t>
      </w:r>
      <w:r w:rsidR="00C14535" w:rsidRPr="00986D60">
        <w:rPr>
          <w:rFonts w:cs="Calibri"/>
          <w:snapToGrid/>
          <w:szCs w:val="24"/>
          <w:lang w:val="en-US" w:eastAsia="en-AU"/>
        </w:rPr>
        <w:t xml:space="preserve">trials </w:t>
      </w:r>
      <w:r w:rsidRPr="00986D60">
        <w:rPr>
          <w:rFonts w:cs="Calibri"/>
          <w:snapToGrid/>
          <w:szCs w:val="24"/>
          <w:lang w:val="en-US" w:eastAsia="en-AU"/>
        </w:rPr>
        <w:t xml:space="preserve">are presented </w:t>
      </w:r>
      <w:r w:rsidR="005C63D9" w:rsidRPr="00986D60">
        <w:rPr>
          <w:rFonts w:cs="Calibri"/>
          <w:snapToGrid/>
          <w:szCs w:val="24"/>
          <w:lang w:val="en-US" w:eastAsia="en-AU"/>
        </w:rPr>
        <w:t>in Table 8</w:t>
      </w:r>
      <w:r w:rsidRPr="00986D60">
        <w:rPr>
          <w:rFonts w:cs="Calibri"/>
          <w:snapToGrid/>
          <w:szCs w:val="24"/>
          <w:lang w:val="en-US" w:eastAsia="en-AU"/>
        </w:rPr>
        <w:t>.</w:t>
      </w:r>
    </w:p>
    <w:p w:rsidR="00E15BBE" w:rsidRPr="00986D60" w:rsidRDefault="00E15BBE" w:rsidP="00E15BBE">
      <w:pPr>
        <w:rPr>
          <w:rFonts w:ascii="Arial Narrow" w:hAnsi="Arial Narrow"/>
          <w:b/>
          <w:sz w:val="20"/>
        </w:rPr>
      </w:pPr>
      <w:r w:rsidRPr="00986D60">
        <w:rPr>
          <w:rFonts w:ascii="Arial Narrow" w:hAnsi="Arial Narrow"/>
          <w:b/>
          <w:sz w:val="20"/>
        </w:rPr>
        <w:t xml:space="preserve">Table </w:t>
      </w:r>
      <w:r w:rsidR="005C63D9" w:rsidRPr="00986D60">
        <w:rPr>
          <w:rFonts w:ascii="Arial Narrow" w:hAnsi="Arial Narrow"/>
          <w:b/>
          <w:sz w:val="20"/>
        </w:rPr>
        <w:t>8</w:t>
      </w:r>
      <w:r w:rsidRPr="00986D60">
        <w:rPr>
          <w:rFonts w:ascii="Arial Narrow" w:hAnsi="Arial Narrow"/>
          <w:b/>
          <w:sz w:val="20"/>
        </w:rPr>
        <w:t>: Results for the change in blood Phe levels reported in the PKU-003 and PKU-006 (Part 2) randomised trials</w:t>
      </w:r>
    </w:p>
    <w:tbl>
      <w:tblPr>
        <w:tblStyle w:val="TableGrid"/>
        <w:tblW w:w="0" w:type="auto"/>
        <w:tblCellMar>
          <w:left w:w="28" w:type="dxa"/>
          <w:right w:w="28" w:type="dxa"/>
        </w:tblCellMar>
        <w:tblLook w:val="04A0" w:firstRow="1" w:lastRow="0" w:firstColumn="1" w:lastColumn="0" w:noHBand="0" w:noVBand="1"/>
      </w:tblPr>
      <w:tblGrid>
        <w:gridCol w:w="2547"/>
        <w:gridCol w:w="1842"/>
        <w:gridCol w:w="1843"/>
        <w:gridCol w:w="2785"/>
      </w:tblGrid>
      <w:tr w:rsidR="00E15BBE" w:rsidRPr="00986D60" w:rsidTr="007E5495">
        <w:tc>
          <w:tcPr>
            <w:tcW w:w="2547" w:type="dxa"/>
          </w:tcPr>
          <w:p w:rsidR="00E15BBE" w:rsidRPr="00986D60" w:rsidRDefault="00E15BBE" w:rsidP="007E5495">
            <w:pPr>
              <w:rPr>
                <w:rFonts w:ascii="Arial Narrow" w:hAnsi="Arial Narrow"/>
                <w:b/>
                <w:sz w:val="20"/>
              </w:rPr>
            </w:pPr>
            <w:r w:rsidRPr="00986D60">
              <w:rPr>
                <w:rFonts w:ascii="Arial Narrow" w:hAnsi="Arial Narrow"/>
                <w:b/>
                <w:sz w:val="20"/>
              </w:rPr>
              <w:t>Trial/Study</w:t>
            </w:r>
          </w:p>
        </w:tc>
        <w:tc>
          <w:tcPr>
            <w:tcW w:w="1842" w:type="dxa"/>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Sapropterin</w:t>
            </w:r>
          </w:p>
        </w:tc>
        <w:tc>
          <w:tcPr>
            <w:tcW w:w="1843" w:type="dxa"/>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Placebo</w:t>
            </w:r>
          </w:p>
        </w:tc>
        <w:tc>
          <w:tcPr>
            <w:tcW w:w="2785" w:type="dxa"/>
            <w:vAlign w:val="center"/>
          </w:tcPr>
          <w:p w:rsidR="00E15BBE" w:rsidRPr="00986D60" w:rsidRDefault="00E15BBE" w:rsidP="007E5495">
            <w:pPr>
              <w:jc w:val="center"/>
              <w:rPr>
                <w:rFonts w:ascii="Arial Narrow" w:hAnsi="Arial Narrow"/>
                <w:b/>
                <w:sz w:val="20"/>
              </w:rPr>
            </w:pPr>
            <w:r w:rsidRPr="00986D60">
              <w:rPr>
                <w:rFonts w:ascii="Arial Narrow" w:hAnsi="Arial Narrow"/>
                <w:b/>
                <w:sz w:val="20"/>
              </w:rPr>
              <w:t>Estimate (95% CI) between groups</w:t>
            </w:r>
          </w:p>
        </w:tc>
      </w:tr>
      <w:tr w:rsidR="00E15BBE" w:rsidRPr="00986D60" w:rsidTr="007E5495">
        <w:tc>
          <w:tcPr>
            <w:tcW w:w="9017" w:type="dxa"/>
            <w:gridSpan w:val="4"/>
          </w:tcPr>
          <w:p w:rsidR="00E15BBE" w:rsidRPr="00986D60" w:rsidRDefault="00E15BBE" w:rsidP="007E5495">
            <w:pPr>
              <w:jc w:val="left"/>
              <w:rPr>
                <w:rFonts w:ascii="Arial Narrow" w:hAnsi="Arial Narrow"/>
                <w:sz w:val="20"/>
              </w:rPr>
            </w:pPr>
            <w:r w:rsidRPr="00986D60">
              <w:rPr>
                <w:rFonts w:ascii="Arial Narrow" w:hAnsi="Arial Narrow"/>
                <w:sz w:val="20"/>
              </w:rPr>
              <w:t>PKU-003</w:t>
            </w:r>
          </w:p>
        </w:tc>
      </w:tr>
      <w:tr w:rsidR="00E15BBE" w:rsidRPr="00986D60" w:rsidTr="007E5495">
        <w:tc>
          <w:tcPr>
            <w:tcW w:w="2547" w:type="dxa"/>
          </w:tcPr>
          <w:p w:rsidR="00E15BBE" w:rsidRPr="00986D60" w:rsidRDefault="00E15BBE" w:rsidP="007E5495">
            <w:pPr>
              <w:tabs>
                <w:tab w:val="left" w:pos="237"/>
              </w:tabs>
              <w:rPr>
                <w:rFonts w:ascii="Arial Narrow" w:hAnsi="Arial Narrow"/>
                <w:sz w:val="20"/>
              </w:rPr>
            </w:pPr>
            <w:r w:rsidRPr="00986D60">
              <w:rPr>
                <w:rFonts w:ascii="Arial Narrow" w:hAnsi="Arial Narrow"/>
                <w:sz w:val="20"/>
              </w:rPr>
              <w:t>Baseline, mean μmol/L (SD)</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N=41, 842.7 (299.6)</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N=47, 888.3 (323.1)</w:t>
            </w:r>
          </w:p>
        </w:tc>
        <w:tc>
          <w:tcPr>
            <w:tcW w:w="2785" w:type="dxa"/>
            <w:vMerge w:val="restart"/>
            <w:vAlign w:val="bottom"/>
          </w:tcPr>
          <w:p w:rsidR="00E15BBE" w:rsidRPr="00986D60" w:rsidRDefault="00E15BBE" w:rsidP="007E5495">
            <w:pPr>
              <w:jc w:val="center"/>
              <w:rPr>
                <w:rFonts w:ascii="Arial Narrow" w:hAnsi="Arial Narrow"/>
                <w:sz w:val="20"/>
              </w:rPr>
            </w:pPr>
            <w:r w:rsidRPr="00986D60">
              <w:rPr>
                <w:rFonts w:ascii="Arial Narrow" w:hAnsi="Arial Narrow"/>
                <w:sz w:val="20"/>
              </w:rPr>
              <w:t>Difference =</w:t>
            </w:r>
            <w:r w:rsidRPr="00986D60">
              <w:rPr>
                <w:rFonts w:ascii="Arial Narrow" w:hAnsi="Arial Narrow"/>
                <w:b/>
                <w:sz w:val="20"/>
              </w:rPr>
              <w:t xml:space="preserve"> -245 (-350, -141)</w:t>
            </w:r>
          </w:p>
        </w:tc>
      </w:tr>
      <w:tr w:rsidR="00E15BBE" w:rsidRPr="00986D60" w:rsidTr="007E5495">
        <w:tc>
          <w:tcPr>
            <w:tcW w:w="2547" w:type="dxa"/>
          </w:tcPr>
          <w:p w:rsidR="00E15BBE" w:rsidRPr="00986D60" w:rsidRDefault="00E15BBE" w:rsidP="007E5495">
            <w:pPr>
              <w:tabs>
                <w:tab w:val="left" w:pos="267"/>
              </w:tabs>
              <w:rPr>
                <w:rFonts w:ascii="Arial Narrow" w:hAnsi="Arial Narrow"/>
                <w:sz w:val="20"/>
              </w:rPr>
            </w:pPr>
            <w:r w:rsidRPr="00986D60">
              <w:rPr>
                <w:rFonts w:ascii="Arial Narrow" w:hAnsi="Arial Narrow"/>
                <w:sz w:val="20"/>
              </w:rPr>
              <w:t xml:space="preserve">6 weeks, mean μmol/L (SD) </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N=41, 606.9 (377.0)</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N=47, 981.2 (347.6)</w:t>
            </w:r>
          </w:p>
        </w:tc>
        <w:tc>
          <w:tcPr>
            <w:tcW w:w="2785" w:type="dxa"/>
            <w:vMerge/>
            <w:vAlign w:val="center"/>
          </w:tcPr>
          <w:p w:rsidR="00E15BBE" w:rsidRPr="00986D60" w:rsidRDefault="00E15BBE" w:rsidP="007E5495">
            <w:pPr>
              <w:jc w:val="center"/>
              <w:rPr>
                <w:rFonts w:ascii="Arial Narrow" w:hAnsi="Arial Narrow"/>
                <w:sz w:val="20"/>
              </w:rPr>
            </w:pPr>
          </w:p>
        </w:tc>
      </w:tr>
      <w:tr w:rsidR="00E15BBE" w:rsidRPr="00986D60" w:rsidTr="007E5495">
        <w:tc>
          <w:tcPr>
            <w:tcW w:w="2547" w:type="dxa"/>
          </w:tcPr>
          <w:p w:rsidR="00E15BBE" w:rsidRPr="00986D60" w:rsidRDefault="00E15BBE" w:rsidP="007E5495">
            <w:pPr>
              <w:tabs>
                <w:tab w:val="left" w:pos="267"/>
              </w:tabs>
              <w:rPr>
                <w:rFonts w:ascii="Arial Narrow" w:hAnsi="Arial Narrow"/>
                <w:sz w:val="20"/>
              </w:rPr>
            </w:pPr>
            <w:r w:rsidRPr="00986D60">
              <w:rPr>
                <w:rFonts w:ascii="Arial Narrow" w:hAnsi="Arial Narrow"/>
                <w:sz w:val="20"/>
              </w:rPr>
              <w:t xml:space="preserve">Change, mean μmol/L (SE)  </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N=41, -239 (38.3)</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N=47, 6 (35.8)</w:t>
            </w:r>
          </w:p>
        </w:tc>
        <w:tc>
          <w:tcPr>
            <w:tcW w:w="2785" w:type="dxa"/>
            <w:vMerge/>
            <w:vAlign w:val="center"/>
          </w:tcPr>
          <w:p w:rsidR="00E15BBE" w:rsidRPr="00986D60" w:rsidRDefault="00E15BBE" w:rsidP="007E5495">
            <w:pPr>
              <w:jc w:val="center"/>
              <w:rPr>
                <w:rFonts w:ascii="Arial Narrow" w:hAnsi="Arial Narrow"/>
                <w:b/>
                <w:sz w:val="20"/>
              </w:rPr>
            </w:pPr>
          </w:p>
        </w:tc>
      </w:tr>
      <w:tr w:rsidR="00E15BBE" w:rsidRPr="00986D60" w:rsidTr="007E5495">
        <w:tc>
          <w:tcPr>
            <w:tcW w:w="2547" w:type="dxa"/>
            <w:vAlign w:val="center"/>
          </w:tcPr>
          <w:p w:rsidR="00E15BBE" w:rsidRPr="00986D60" w:rsidRDefault="00E15BBE" w:rsidP="007E5495">
            <w:pPr>
              <w:tabs>
                <w:tab w:val="left" w:pos="267"/>
              </w:tabs>
              <w:jc w:val="left"/>
              <w:rPr>
                <w:rFonts w:ascii="Arial Narrow" w:hAnsi="Arial Narrow"/>
                <w:sz w:val="20"/>
              </w:rPr>
            </w:pPr>
            <w:r w:rsidRPr="00986D60">
              <w:rPr>
                <w:rFonts w:ascii="Arial Narrow" w:hAnsi="Arial Narrow"/>
                <w:sz w:val="20"/>
              </w:rPr>
              <w:t>Proportion &lt;600 μmol/L, n/N (%)</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22/41 (54)</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11/47 (23)</w:t>
            </w:r>
          </w:p>
        </w:tc>
        <w:tc>
          <w:tcPr>
            <w:tcW w:w="2785" w:type="dxa"/>
            <w:vAlign w:val="center"/>
          </w:tcPr>
          <w:p w:rsidR="00E15BBE" w:rsidRPr="00986D60" w:rsidRDefault="00E15BBE" w:rsidP="007E5495">
            <w:pPr>
              <w:jc w:val="center"/>
              <w:rPr>
                <w:rFonts w:ascii="Arial Narrow" w:hAnsi="Arial Narrow"/>
                <w:b/>
                <w:sz w:val="20"/>
              </w:rPr>
            </w:pPr>
            <w:r w:rsidRPr="00986D60">
              <w:rPr>
                <w:rFonts w:ascii="Arial Narrow" w:hAnsi="Arial Narrow"/>
                <w:sz w:val="20"/>
              </w:rPr>
              <w:t>RR=</w:t>
            </w:r>
            <w:r w:rsidRPr="00986D60">
              <w:rPr>
                <w:rFonts w:ascii="Arial Narrow" w:hAnsi="Arial Narrow"/>
                <w:b/>
                <w:sz w:val="20"/>
              </w:rPr>
              <w:t>2.3 (1.3, 4.1)</w:t>
            </w:r>
          </w:p>
          <w:p w:rsidR="00E15BBE" w:rsidRPr="00986D60" w:rsidRDefault="00E15BBE" w:rsidP="007E5495">
            <w:pPr>
              <w:jc w:val="center"/>
              <w:rPr>
                <w:rFonts w:ascii="Arial Narrow" w:hAnsi="Arial Narrow"/>
                <w:b/>
                <w:sz w:val="20"/>
              </w:rPr>
            </w:pPr>
            <w:r w:rsidRPr="00986D60">
              <w:rPr>
                <w:rFonts w:ascii="Arial Narrow" w:hAnsi="Arial Narrow"/>
                <w:sz w:val="20"/>
              </w:rPr>
              <w:t>RD=</w:t>
            </w:r>
            <w:r w:rsidRPr="00986D60">
              <w:rPr>
                <w:rFonts w:ascii="Arial Narrow" w:hAnsi="Arial Narrow"/>
                <w:b/>
                <w:sz w:val="20"/>
              </w:rPr>
              <w:t>0.3 (0.1, 0.5)</w:t>
            </w:r>
          </w:p>
        </w:tc>
      </w:tr>
      <w:tr w:rsidR="00E15BBE" w:rsidRPr="00986D60" w:rsidTr="007E5495">
        <w:tc>
          <w:tcPr>
            <w:tcW w:w="2547" w:type="dxa"/>
            <w:vAlign w:val="center"/>
          </w:tcPr>
          <w:p w:rsidR="00E15BBE" w:rsidRPr="00986D60" w:rsidRDefault="00E15BBE" w:rsidP="007E5495">
            <w:pPr>
              <w:tabs>
                <w:tab w:val="left" w:pos="267"/>
              </w:tabs>
              <w:jc w:val="left"/>
              <w:rPr>
                <w:rFonts w:ascii="Arial Narrow" w:hAnsi="Arial Narrow"/>
                <w:sz w:val="20"/>
              </w:rPr>
            </w:pPr>
            <w:r w:rsidRPr="00986D60">
              <w:rPr>
                <w:rFonts w:ascii="Arial Narrow" w:hAnsi="Arial Narrow"/>
                <w:sz w:val="20"/>
              </w:rPr>
              <w:t>Proportion &lt;360 μmol/L, n/N (%)</w:t>
            </w:r>
          </w:p>
        </w:tc>
        <w:tc>
          <w:tcPr>
            <w:tcW w:w="1842" w:type="dxa"/>
            <w:vAlign w:val="center"/>
          </w:tcPr>
          <w:p w:rsidR="00E15BBE" w:rsidRPr="00986D60" w:rsidRDefault="00E15BBE" w:rsidP="00E94CFA">
            <w:pPr>
              <w:jc w:val="center"/>
              <w:rPr>
                <w:rFonts w:ascii="Arial Narrow" w:hAnsi="Arial Narrow"/>
                <w:sz w:val="20"/>
              </w:rPr>
            </w:pPr>
            <w:r w:rsidRPr="00986D60">
              <w:rPr>
                <w:rFonts w:ascii="Arial Narrow" w:hAnsi="Arial Narrow"/>
                <w:sz w:val="20"/>
              </w:rPr>
              <w:t>1</w:t>
            </w:r>
            <w:r w:rsidR="00E94CFA">
              <w:rPr>
                <w:rFonts w:ascii="Arial Narrow" w:hAnsi="Arial Narrow"/>
                <w:sz w:val="20"/>
              </w:rPr>
              <w:t>3</w:t>
            </w:r>
            <w:r w:rsidRPr="00986D60">
              <w:rPr>
                <w:rFonts w:ascii="Arial Narrow" w:hAnsi="Arial Narrow"/>
                <w:sz w:val="20"/>
              </w:rPr>
              <w:t>/41 (32)</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1/47 (2)</w:t>
            </w:r>
          </w:p>
        </w:tc>
        <w:tc>
          <w:tcPr>
            <w:tcW w:w="2785"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RR=</w:t>
            </w:r>
            <w:r w:rsidRPr="00986D60">
              <w:rPr>
                <w:rFonts w:ascii="Arial Narrow" w:hAnsi="Arial Narrow"/>
                <w:b/>
                <w:sz w:val="20"/>
              </w:rPr>
              <w:t>14.9 (2.0, 109.1)</w:t>
            </w:r>
          </w:p>
          <w:p w:rsidR="00E15BBE" w:rsidRPr="00986D60" w:rsidRDefault="00E15BBE" w:rsidP="007E5495">
            <w:pPr>
              <w:jc w:val="center"/>
              <w:rPr>
                <w:rFonts w:ascii="Arial Narrow" w:hAnsi="Arial Narrow"/>
                <w:sz w:val="20"/>
              </w:rPr>
            </w:pPr>
            <w:r w:rsidRPr="00986D60">
              <w:rPr>
                <w:rFonts w:ascii="Arial Narrow" w:hAnsi="Arial Narrow"/>
                <w:sz w:val="20"/>
              </w:rPr>
              <w:t>RD=</w:t>
            </w:r>
            <w:r w:rsidRPr="00986D60">
              <w:rPr>
                <w:rFonts w:ascii="Arial Narrow" w:hAnsi="Arial Narrow"/>
                <w:b/>
                <w:sz w:val="20"/>
              </w:rPr>
              <w:t>0.3 (0.2, 0.4)</w:t>
            </w:r>
          </w:p>
        </w:tc>
      </w:tr>
      <w:tr w:rsidR="00E15BBE" w:rsidRPr="00986D60" w:rsidTr="007E5495">
        <w:tc>
          <w:tcPr>
            <w:tcW w:w="9017" w:type="dxa"/>
            <w:gridSpan w:val="4"/>
          </w:tcPr>
          <w:p w:rsidR="00E15BBE" w:rsidRPr="00986D60" w:rsidRDefault="00E15BBE" w:rsidP="007E5495">
            <w:pPr>
              <w:jc w:val="left"/>
              <w:rPr>
                <w:rFonts w:ascii="Arial Narrow" w:hAnsi="Arial Narrow"/>
                <w:sz w:val="20"/>
              </w:rPr>
            </w:pPr>
            <w:r w:rsidRPr="00986D60">
              <w:rPr>
                <w:rFonts w:ascii="Arial Narrow" w:hAnsi="Arial Narrow"/>
                <w:sz w:val="20"/>
              </w:rPr>
              <w:t>PKU-006 (Part 2)</w:t>
            </w:r>
          </w:p>
        </w:tc>
      </w:tr>
      <w:tr w:rsidR="00E15BBE" w:rsidRPr="00986D60" w:rsidTr="007E5495">
        <w:tc>
          <w:tcPr>
            <w:tcW w:w="2547" w:type="dxa"/>
          </w:tcPr>
          <w:p w:rsidR="00E15BBE" w:rsidRPr="00986D60" w:rsidRDefault="00E15BBE" w:rsidP="007E5495">
            <w:pPr>
              <w:tabs>
                <w:tab w:val="left" w:pos="267"/>
              </w:tabs>
              <w:jc w:val="left"/>
              <w:rPr>
                <w:rFonts w:ascii="Arial Narrow" w:hAnsi="Arial Narrow"/>
                <w:sz w:val="20"/>
              </w:rPr>
            </w:pPr>
            <w:r w:rsidRPr="00986D60">
              <w:rPr>
                <w:rFonts w:ascii="Arial Narrow" w:hAnsi="Arial Narrow"/>
                <w:sz w:val="20"/>
              </w:rPr>
              <w:t>Baseline, mean μmol/L (SD)</w:t>
            </w:r>
          </w:p>
        </w:tc>
        <w:tc>
          <w:tcPr>
            <w:tcW w:w="1842" w:type="dxa"/>
            <w:vAlign w:val="center"/>
          </w:tcPr>
          <w:p w:rsidR="00E15BBE" w:rsidRPr="00986D60" w:rsidRDefault="00E15BBE" w:rsidP="00C74204">
            <w:pPr>
              <w:jc w:val="center"/>
              <w:rPr>
                <w:rFonts w:ascii="Arial Narrow" w:hAnsi="Arial Narrow"/>
                <w:sz w:val="20"/>
              </w:rPr>
            </w:pPr>
            <w:r w:rsidRPr="00986D60">
              <w:rPr>
                <w:rFonts w:ascii="Arial Narrow" w:hAnsi="Arial Narrow"/>
                <w:sz w:val="20"/>
              </w:rPr>
              <w:t>N=33; 275.7 (135.2)</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 xml:space="preserve">N=12; </w:t>
            </w:r>
            <w:r w:rsidR="006A61EC">
              <w:rPr>
                <w:rFonts w:ascii="Arial Narrow" w:hAnsi="Arial Narrow"/>
                <w:noProof/>
                <w:color w:val="000000"/>
                <w:sz w:val="20"/>
                <w:highlight w:val="black"/>
              </w:rPr>
              <w:t>'''''''''''' ''''''''''''''''</w:t>
            </w:r>
          </w:p>
        </w:tc>
        <w:tc>
          <w:tcPr>
            <w:tcW w:w="2785" w:type="dxa"/>
            <w:vMerge w:val="restart"/>
            <w:vAlign w:val="bottom"/>
          </w:tcPr>
          <w:p w:rsidR="00E15BBE" w:rsidRPr="00986D60" w:rsidRDefault="00E15BBE" w:rsidP="007E5495">
            <w:pPr>
              <w:jc w:val="center"/>
              <w:rPr>
                <w:rFonts w:ascii="Arial Narrow" w:hAnsi="Arial Narrow"/>
                <w:sz w:val="20"/>
              </w:rPr>
            </w:pPr>
            <w:r w:rsidRPr="00986D60">
              <w:rPr>
                <w:rFonts w:ascii="Arial Narrow" w:hAnsi="Arial Narrow"/>
                <w:sz w:val="20"/>
              </w:rPr>
              <w:t>-51.9 (-197, 93.3)</w:t>
            </w:r>
          </w:p>
        </w:tc>
      </w:tr>
      <w:tr w:rsidR="00E15BBE" w:rsidRPr="00986D60" w:rsidTr="007E5495">
        <w:tc>
          <w:tcPr>
            <w:tcW w:w="2547" w:type="dxa"/>
          </w:tcPr>
          <w:p w:rsidR="00E15BBE" w:rsidRPr="00986D60" w:rsidRDefault="00E15BBE" w:rsidP="007E5495">
            <w:pPr>
              <w:tabs>
                <w:tab w:val="left" w:pos="267"/>
              </w:tabs>
              <w:jc w:val="left"/>
              <w:rPr>
                <w:rFonts w:ascii="Arial Narrow" w:hAnsi="Arial Narrow"/>
                <w:sz w:val="20"/>
              </w:rPr>
            </w:pPr>
            <w:r w:rsidRPr="00986D60">
              <w:rPr>
                <w:rFonts w:ascii="Arial Narrow" w:hAnsi="Arial Narrow"/>
                <w:sz w:val="20"/>
              </w:rPr>
              <w:t xml:space="preserve">3 weeks, mean μmol/L (SD) </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N=33; 127.2 (89.6)</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 xml:space="preserve">N=12; </w:t>
            </w:r>
            <w:r w:rsidR="006A61EC">
              <w:rPr>
                <w:rFonts w:ascii="Arial Narrow" w:hAnsi="Arial Narrow"/>
                <w:noProof/>
                <w:color w:val="000000"/>
                <w:sz w:val="20"/>
                <w:highlight w:val="black"/>
              </w:rPr>
              <w:t>'''''''''' ''''''''''''''''</w:t>
            </w:r>
          </w:p>
        </w:tc>
        <w:tc>
          <w:tcPr>
            <w:tcW w:w="2785" w:type="dxa"/>
            <w:vMerge/>
            <w:vAlign w:val="center"/>
          </w:tcPr>
          <w:p w:rsidR="00E15BBE" w:rsidRPr="00986D60" w:rsidRDefault="00E15BBE" w:rsidP="007E5495">
            <w:pPr>
              <w:jc w:val="center"/>
              <w:rPr>
                <w:rFonts w:ascii="Arial Narrow" w:hAnsi="Arial Narrow"/>
                <w:sz w:val="20"/>
              </w:rPr>
            </w:pPr>
          </w:p>
        </w:tc>
      </w:tr>
      <w:tr w:rsidR="00E15BBE" w:rsidRPr="00986D60" w:rsidTr="007E5495">
        <w:tc>
          <w:tcPr>
            <w:tcW w:w="2547" w:type="dxa"/>
          </w:tcPr>
          <w:p w:rsidR="00E15BBE" w:rsidRPr="00986D60" w:rsidRDefault="00E15BBE" w:rsidP="007E5495">
            <w:pPr>
              <w:tabs>
                <w:tab w:val="left" w:pos="267"/>
              </w:tabs>
              <w:jc w:val="left"/>
              <w:rPr>
                <w:rFonts w:ascii="Arial Narrow" w:hAnsi="Arial Narrow"/>
                <w:sz w:val="20"/>
              </w:rPr>
            </w:pPr>
            <w:r w:rsidRPr="00986D60">
              <w:rPr>
                <w:rFonts w:ascii="Arial Narrow" w:hAnsi="Arial Narrow"/>
                <w:sz w:val="20"/>
              </w:rPr>
              <w:t xml:space="preserve">Change, mean μmol/L (SD) – week 3 from baseline  </w:t>
            </w:r>
          </w:p>
        </w:tc>
        <w:tc>
          <w:tcPr>
            <w:tcW w:w="1842"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N=33; -148.5 (134.2)</w:t>
            </w:r>
          </w:p>
          <w:p w:rsidR="00E15BBE" w:rsidRPr="00986D60" w:rsidRDefault="00E15BBE" w:rsidP="007E5495">
            <w:pPr>
              <w:jc w:val="center"/>
              <w:rPr>
                <w:rFonts w:ascii="Arial Narrow" w:hAnsi="Arial Narrow"/>
                <w:b/>
                <w:sz w:val="20"/>
              </w:rPr>
            </w:pPr>
            <w:r w:rsidRPr="00986D60">
              <w:rPr>
                <w:rFonts w:ascii="Arial Narrow" w:hAnsi="Arial Narrow"/>
                <w:b/>
                <w:sz w:val="20"/>
              </w:rPr>
              <w:t>P&lt;0.001</w:t>
            </w:r>
          </w:p>
        </w:tc>
        <w:tc>
          <w:tcPr>
            <w:tcW w:w="1843" w:type="dxa"/>
            <w:vAlign w:val="center"/>
          </w:tcPr>
          <w:p w:rsidR="00E15BBE" w:rsidRPr="00986D60" w:rsidRDefault="00E15BBE" w:rsidP="007E5495">
            <w:pPr>
              <w:jc w:val="center"/>
              <w:rPr>
                <w:rFonts w:ascii="Arial Narrow" w:hAnsi="Arial Narrow"/>
                <w:sz w:val="20"/>
              </w:rPr>
            </w:pPr>
            <w:r w:rsidRPr="00986D60">
              <w:rPr>
                <w:rFonts w:ascii="Arial Narrow" w:hAnsi="Arial Narrow"/>
                <w:sz w:val="20"/>
              </w:rPr>
              <w:t>N=12; -96.6 (243.6)</w:t>
            </w:r>
          </w:p>
          <w:p w:rsidR="00E15BBE" w:rsidRPr="00986D60" w:rsidRDefault="00E15BBE" w:rsidP="007E5495">
            <w:pPr>
              <w:jc w:val="center"/>
              <w:rPr>
                <w:rFonts w:ascii="Arial Narrow" w:hAnsi="Arial Narrow"/>
                <w:sz w:val="20"/>
              </w:rPr>
            </w:pPr>
            <w:r w:rsidRPr="00986D60">
              <w:rPr>
                <w:rFonts w:ascii="Arial Narrow" w:hAnsi="Arial Narrow"/>
                <w:sz w:val="20"/>
              </w:rPr>
              <w:t>P=0.20</w:t>
            </w:r>
          </w:p>
        </w:tc>
        <w:tc>
          <w:tcPr>
            <w:tcW w:w="2785" w:type="dxa"/>
            <w:vMerge/>
            <w:vAlign w:val="center"/>
          </w:tcPr>
          <w:p w:rsidR="00E15BBE" w:rsidRPr="00986D60" w:rsidRDefault="00E15BBE" w:rsidP="007E5495">
            <w:pPr>
              <w:jc w:val="center"/>
              <w:rPr>
                <w:rFonts w:ascii="Arial Narrow" w:hAnsi="Arial Narrow"/>
                <w:sz w:val="20"/>
              </w:rPr>
            </w:pPr>
          </w:p>
        </w:tc>
      </w:tr>
    </w:tbl>
    <w:p w:rsidR="00E15BBE" w:rsidRPr="00986D60" w:rsidRDefault="00E15BBE" w:rsidP="00C14535">
      <w:pPr>
        <w:pStyle w:val="TableFooter"/>
        <w:spacing w:after="120"/>
      </w:pPr>
      <w:r w:rsidRPr="00986D60">
        <w:t xml:space="preserve">Source: Table 2-35, p113; Tables 2-37 and 2-38, p115; Table 2-65, p167 of the </w:t>
      </w:r>
      <w:r w:rsidR="00063220">
        <w:t>resubmission</w:t>
      </w:r>
      <w:r w:rsidRPr="00986D60">
        <w:t xml:space="preserve"> and Table B.6.3, 5.7 COM.45, commentary on the November 2011 Sapropterin submission</w:t>
      </w:r>
    </w:p>
    <w:p w:rsidR="00760C4E" w:rsidRPr="00986D60" w:rsidRDefault="00C14535" w:rsidP="007A7ACD">
      <w:pPr>
        <w:pStyle w:val="ListParagraph"/>
        <w:widowControl/>
        <w:numPr>
          <w:ilvl w:val="1"/>
          <w:numId w:val="13"/>
        </w:numPr>
        <w:spacing w:after="120"/>
        <w:ind w:left="709" w:hanging="709"/>
      </w:pPr>
      <w:r w:rsidRPr="00986D60">
        <w:t>A statistically significant reduction in blood Phe levels were observed among those treated with sapropterin 10</w:t>
      </w:r>
      <w:r w:rsidR="0021414B" w:rsidRPr="00986D60">
        <w:t xml:space="preserve"> </w:t>
      </w:r>
      <w:r w:rsidRPr="00986D60">
        <w:t>mg/kg</w:t>
      </w:r>
      <w:r w:rsidR="00474037" w:rsidRPr="00986D60">
        <w:t>/day</w:t>
      </w:r>
      <w:r w:rsidRPr="00986D60">
        <w:t xml:space="preserve"> compared with placebo, both in combination with a patient’s usual diet (abandoned strict low Phe diet) over 6 weeks in PKU-003. Additionally</w:t>
      </w:r>
      <w:r w:rsidR="00474037" w:rsidRPr="00986D60">
        <w:t>,</w:t>
      </w:r>
      <w:r w:rsidRPr="00986D60">
        <w:t xml:space="preserve"> a significantly greater proportion of sapropterin treated patients achieved blood Phe levels &lt;600 and &lt;360 </w:t>
      </w:r>
      <w:r w:rsidRPr="00986D60">
        <w:rPr>
          <w:rFonts w:cs="Calibri"/>
        </w:rPr>
        <w:t>μ</w:t>
      </w:r>
      <w:r w:rsidRPr="00986D60">
        <w:t>mol/L.</w:t>
      </w:r>
      <w:r w:rsidR="00AC584D" w:rsidRPr="00986D60">
        <w:t xml:space="preserve"> Notably however, the mean </w:t>
      </w:r>
      <w:r w:rsidR="00474037" w:rsidRPr="00986D60">
        <w:t xml:space="preserve">blood </w:t>
      </w:r>
      <w:r w:rsidR="00AC584D" w:rsidRPr="00986D60">
        <w:t xml:space="preserve">Phe </w:t>
      </w:r>
      <w:r w:rsidR="00474037" w:rsidRPr="00986D60">
        <w:t>levels among those treated with sapropterin was 607</w:t>
      </w:r>
      <w:r w:rsidR="00EB54F1" w:rsidRPr="00986D60">
        <w:t xml:space="preserve"> </w:t>
      </w:r>
      <w:r w:rsidR="00AC584D" w:rsidRPr="00986D60">
        <w:rPr>
          <w:rFonts w:cs="Calibri"/>
        </w:rPr>
        <w:t>μ</w:t>
      </w:r>
      <w:r w:rsidR="00AC584D" w:rsidRPr="00986D60">
        <w:t>mol/L</w:t>
      </w:r>
      <w:r w:rsidR="00474037" w:rsidRPr="00986D60">
        <w:t xml:space="preserve"> following 6 weeks of treatment,</w:t>
      </w:r>
      <w:r w:rsidR="00AC584D" w:rsidRPr="00986D60">
        <w:t xml:space="preserve"> </w:t>
      </w:r>
      <w:r w:rsidR="00995863" w:rsidRPr="00986D60">
        <w:t>with only 32% of patie</w:t>
      </w:r>
      <w:r w:rsidR="00474037" w:rsidRPr="00986D60">
        <w:t xml:space="preserve">nts achieving blood Phe levels </w:t>
      </w:r>
      <w:r w:rsidR="00AC584D" w:rsidRPr="00986D60">
        <w:rPr>
          <w:rFonts w:cs="Calibri"/>
        </w:rPr>
        <w:t>≤</w:t>
      </w:r>
      <w:r w:rsidR="00AC584D" w:rsidRPr="00986D60">
        <w:t xml:space="preserve">360 </w:t>
      </w:r>
      <w:r w:rsidR="00AC584D" w:rsidRPr="00986D60">
        <w:rPr>
          <w:rFonts w:cs="Calibri"/>
        </w:rPr>
        <w:t>μ</w:t>
      </w:r>
      <w:r w:rsidR="00AC584D" w:rsidRPr="00986D60">
        <w:t>mol/L</w:t>
      </w:r>
      <w:r w:rsidR="00474037" w:rsidRPr="00986D60">
        <w:t xml:space="preserve"> (the level recommended in </w:t>
      </w:r>
      <w:r w:rsidR="00BA224D" w:rsidRPr="00986D60">
        <w:t>g</w:t>
      </w:r>
      <w:r w:rsidR="00474037" w:rsidRPr="00986D60">
        <w:t>uidelines)</w:t>
      </w:r>
      <w:r w:rsidR="00AC584D" w:rsidRPr="00986D60">
        <w:t>.</w:t>
      </w:r>
    </w:p>
    <w:p w:rsidR="00C14535" w:rsidRPr="00986D60" w:rsidRDefault="00C14535" w:rsidP="007A7ACD">
      <w:pPr>
        <w:pStyle w:val="ListParagraph"/>
        <w:widowControl/>
        <w:numPr>
          <w:ilvl w:val="1"/>
          <w:numId w:val="13"/>
        </w:numPr>
        <w:spacing w:after="120"/>
        <w:ind w:left="709" w:hanging="709"/>
      </w:pPr>
      <w:r w:rsidRPr="00986D60">
        <w:t xml:space="preserve">In Trial PKU-006 (Part 2) a statistically significant reduction in blood Phe levels </w:t>
      </w:r>
      <w:r w:rsidR="00632838" w:rsidRPr="00986D60">
        <w:t xml:space="preserve">was </w:t>
      </w:r>
      <w:r w:rsidRPr="00986D60">
        <w:t>observed among those treated with sapropterin 20</w:t>
      </w:r>
      <w:r w:rsidR="0021414B" w:rsidRPr="00986D60">
        <w:t xml:space="preserve"> </w:t>
      </w:r>
      <w:r w:rsidRPr="00986D60">
        <w:t>mg/kg</w:t>
      </w:r>
      <w:r w:rsidR="00474037" w:rsidRPr="00986D60">
        <w:t>/day</w:t>
      </w:r>
      <w:r w:rsidRPr="00986D60">
        <w:t xml:space="preserve"> in combination with a strict diet for 3 weeks, </w:t>
      </w:r>
      <w:r w:rsidR="00632838" w:rsidRPr="00986D60">
        <w:t xml:space="preserve">while </w:t>
      </w:r>
      <w:r w:rsidRPr="00986D60">
        <w:t xml:space="preserve">no statistically significant differences were observed in Phe blood levels between weeks 0 and 3 in those treated with placebo in combination with a strict diet. Although not reported in the </w:t>
      </w:r>
      <w:r w:rsidR="00063220">
        <w:t>resubmission</w:t>
      </w:r>
      <w:r w:rsidRPr="00986D60">
        <w:t xml:space="preserve"> (or the clinical study report for PKU-006 provided with the </w:t>
      </w:r>
      <w:r w:rsidR="00063220">
        <w:t>resubmission</w:t>
      </w:r>
      <w:r w:rsidRPr="00986D60">
        <w:t>), there were no statistically significant differences in blood Phe levels in those treated with sapropterin + a strict diet versus a strict diet alone after 3 weeks of treatment.</w:t>
      </w:r>
    </w:p>
    <w:p w:rsidR="00C14535" w:rsidRPr="00986D60" w:rsidRDefault="00C14535" w:rsidP="007A7ACD">
      <w:pPr>
        <w:pStyle w:val="ListParagraph"/>
        <w:widowControl/>
        <w:numPr>
          <w:ilvl w:val="1"/>
          <w:numId w:val="13"/>
        </w:numPr>
        <w:spacing w:after="120"/>
        <w:ind w:left="709" w:hanging="709"/>
      </w:pPr>
      <w:r w:rsidRPr="00986D60">
        <w:t xml:space="preserve">Patients enrolled in PKU-004 were those who had completed PKU-003. A reduction in blood Phe was observed at all time points with treatment with sapropterin, with </w:t>
      </w:r>
      <w:r w:rsidR="00632838" w:rsidRPr="00986D60">
        <w:t>larger</w:t>
      </w:r>
      <w:r w:rsidR="00A36EE9" w:rsidRPr="00986D60">
        <w:t xml:space="preserve"> reductions</w:t>
      </w:r>
      <w:r w:rsidRPr="00986D60">
        <w:t xml:space="preserve"> observed with increasing doses of sapropterin, which were statistically significant.</w:t>
      </w:r>
    </w:p>
    <w:p w:rsidR="00C14535" w:rsidRPr="00986D60" w:rsidRDefault="00C14535" w:rsidP="007A7ACD">
      <w:pPr>
        <w:pStyle w:val="ListParagraph"/>
        <w:widowControl/>
        <w:numPr>
          <w:ilvl w:val="1"/>
          <w:numId w:val="13"/>
        </w:numPr>
        <w:spacing w:after="120"/>
        <w:ind w:left="709" w:hanging="709"/>
      </w:pPr>
      <w:r w:rsidRPr="00986D60">
        <w:t>Patients enrolled in PKU-008 are those who completed PKU-004 and -006 (Part 2). Overall, the mean blood Phe remained constant in both cohorts over 24 months.</w:t>
      </w:r>
    </w:p>
    <w:p w:rsidR="00C14535" w:rsidRPr="00986D60" w:rsidRDefault="00C14535" w:rsidP="007A7ACD">
      <w:pPr>
        <w:pStyle w:val="ListParagraph"/>
        <w:widowControl/>
        <w:numPr>
          <w:ilvl w:val="1"/>
          <w:numId w:val="13"/>
        </w:numPr>
        <w:spacing w:after="120"/>
        <w:ind w:left="709" w:hanging="709"/>
      </w:pPr>
      <w:r w:rsidRPr="00986D60">
        <w:t xml:space="preserve">Changes in dietary Phe restrictions were reported in two </w:t>
      </w:r>
      <w:r w:rsidR="00632838" w:rsidRPr="00986D60">
        <w:t xml:space="preserve">randomised </w:t>
      </w:r>
      <w:r w:rsidRPr="00986D60">
        <w:t xml:space="preserve">trials (PKU-006 (Part 2), SPARK) and two </w:t>
      </w:r>
      <w:r w:rsidR="00632838" w:rsidRPr="00986D60">
        <w:t xml:space="preserve">single arm </w:t>
      </w:r>
      <w:r w:rsidRPr="00986D60">
        <w:t>studies (PKU-015 (Part 2), KOGNITO). The results from the trials are presented in Figures 1 and 2.</w:t>
      </w:r>
    </w:p>
    <w:p w:rsidR="00C14535" w:rsidRPr="00986D60" w:rsidRDefault="00C14535" w:rsidP="00C14535">
      <w:pPr>
        <w:rPr>
          <w:rFonts w:ascii="Arial Narrow" w:hAnsi="Arial Narrow"/>
          <w:b/>
          <w:sz w:val="20"/>
          <w:szCs w:val="20"/>
        </w:rPr>
      </w:pPr>
      <w:r w:rsidRPr="00986D60">
        <w:rPr>
          <w:rFonts w:ascii="Arial Narrow" w:hAnsi="Arial Narrow"/>
          <w:b/>
          <w:sz w:val="20"/>
          <w:szCs w:val="20"/>
        </w:rPr>
        <w:t>Figure 1: Total Phe supplement tolerated by patients</w:t>
      </w:r>
      <w:r w:rsidR="0021414B" w:rsidRPr="00986D60">
        <w:rPr>
          <w:rFonts w:ascii="Arial Narrow" w:hAnsi="Arial Narrow"/>
          <w:b/>
          <w:sz w:val="20"/>
          <w:szCs w:val="20"/>
        </w:rPr>
        <w:t xml:space="preserve"> receiving sapropterin 20 mg/kg/day </w:t>
      </w:r>
      <w:r w:rsidRPr="00986D60">
        <w:rPr>
          <w:rFonts w:ascii="Arial Narrow" w:hAnsi="Arial Narrow"/>
          <w:b/>
          <w:sz w:val="20"/>
          <w:szCs w:val="20"/>
        </w:rPr>
        <w:t>or placebo, based on prescribed Phe supplements in PKU-006 (Part 2)</w:t>
      </w:r>
    </w:p>
    <w:p w:rsidR="00C14535" w:rsidRPr="00986D60" w:rsidRDefault="00C14535" w:rsidP="00C14535">
      <w:pPr>
        <w:pStyle w:val="TableFooter"/>
        <w:jc w:val="center"/>
      </w:pPr>
      <w:r w:rsidRPr="00986D60">
        <w:rPr>
          <w:rFonts w:eastAsia="Calibri"/>
          <w:noProof/>
          <w:lang w:eastAsia="en-AU"/>
        </w:rPr>
        <w:drawing>
          <wp:inline distT="0" distB="0" distL="0" distR="0" wp14:anchorId="173A6B52" wp14:editId="3733DE4A">
            <wp:extent cx="3553002" cy="251367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692" cy="2519116"/>
                    </a:xfrm>
                    <a:prstGeom prst="rect">
                      <a:avLst/>
                    </a:prstGeom>
                    <a:noFill/>
                  </pic:spPr>
                </pic:pic>
              </a:graphicData>
            </a:graphic>
          </wp:inline>
        </w:drawing>
      </w:r>
    </w:p>
    <w:p w:rsidR="00C14535" w:rsidRPr="00986D60" w:rsidRDefault="00C14535" w:rsidP="00C14535">
      <w:pPr>
        <w:pStyle w:val="TableFooter"/>
      </w:pPr>
      <w:r w:rsidRPr="00986D60">
        <w:t xml:space="preserve">Source: Figure 2-11, p163 of the </w:t>
      </w:r>
      <w:r w:rsidR="00063220">
        <w:t>resubmission</w:t>
      </w:r>
    </w:p>
    <w:p w:rsidR="00C14535" w:rsidRPr="00986D60" w:rsidRDefault="00C14535">
      <w:pPr>
        <w:widowControl/>
        <w:jc w:val="left"/>
        <w:rPr>
          <w:rFonts w:ascii="Arial Narrow" w:hAnsi="Arial Narrow"/>
          <w:b/>
          <w:sz w:val="20"/>
        </w:rPr>
      </w:pPr>
    </w:p>
    <w:p w:rsidR="00C14535" w:rsidRPr="00986D60" w:rsidRDefault="00C14535" w:rsidP="00C14535">
      <w:pPr>
        <w:rPr>
          <w:rFonts w:ascii="Arial Narrow" w:hAnsi="Arial Narrow"/>
          <w:b/>
          <w:sz w:val="20"/>
        </w:rPr>
      </w:pPr>
      <w:r w:rsidRPr="00986D60">
        <w:rPr>
          <w:rFonts w:ascii="Arial Narrow" w:hAnsi="Arial Narrow"/>
          <w:b/>
          <w:sz w:val="20"/>
        </w:rPr>
        <w:t>Figure 2: Dietary tolerance based on prescribed Phe (mg/kg/day) in SPARK</w:t>
      </w:r>
    </w:p>
    <w:p w:rsidR="00C14535" w:rsidRPr="00986D60" w:rsidRDefault="00C14535" w:rsidP="00C14535">
      <w:pPr>
        <w:jc w:val="center"/>
      </w:pPr>
      <w:r w:rsidRPr="00986D60">
        <w:rPr>
          <w:noProof/>
          <w:lang w:eastAsia="en-AU"/>
        </w:rPr>
        <w:drawing>
          <wp:inline distT="0" distB="0" distL="0" distR="0" wp14:anchorId="0DFECCB3" wp14:editId="02FFA07C">
            <wp:extent cx="5126315" cy="2176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126399" cy="2176145"/>
                    </a:xfrm>
                    <a:prstGeom prst="rect">
                      <a:avLst/>
                    </a:prstGeom>
                    <a:noFill/>
                    <a:ln>
                      <a:noFill/>
                    </a:ln>
                    <a:extLst>
                      <a:ext uri="{53640926-AAD7-44D8-BBD7-CCE9431645EC}">
                        <a14:shadowObscured xmlns:a14="http://schemas.microsoft.com/office/drawing/2010/main"/>
                      </a:ext>
                    </a:extLst>
                  </pic:spPr>
                </pic:pic>
              </a:graphicData>
            </a:graphic>
          </wp:inline>
        </w:drawing>
      </w:r>
    </w:p>
    <w:p w:rsidR="00C14535" w:rsidRPr="00986D60" w:rsidRDefault="00C14535" w:rsidP="00C14535">
      <w:pPr>
        <w:spacing w:after="120"/>
        <w:jc w:val="left"/>
        <w:rPr>
          <w:rFonts w:ascii="Arial Narrow" w:hAnsi="Arial Narrow"/>
          <w:sz w:val="18"/>
        </w:rPr>
      </w:pPr>
      <w:r w:rsidRPr="00986D60">
        <w:rPr>
          <w:rFonts w:ascii="Arial Narrow" w:hAnsi="Arial Narrow"/>
          <w:sz w:val="18"/>
        </w:rPr>
        <w:t xml:space="preserve">Source: Figure 2-14, p170 of the </w:t>
      </w:r>
      <w:r w:rsidR="00063220">
        <w:rPr>
          <w:rFonts w:ascii="Arial Narrow" w:hAnsi="Arial Narrow"/>
          <w:sz w:val="18"/>
        </w:rPr>
        <w:t>resubmission</w:t>
      </w:r>
    </w:p>
    <w:p w:rsidR="00C14535" w:rsidRPr="00986D60" w:rsidRDefault="00C14535" w:rsidP="00C24846">
      <w:pPr>
        <w:pStyle w:val="ListParagraph"/>
        <w:widowControl/>
        <w:numPr>
          <w:ilvl w:val="1"/>
          <w:numId w:val="13"/>
        </w:numPr>
        <w:spacing w:after="120"/>
        <w:ind w:left="709" w:hanging="709"/>
      </w:pPr>
      <w:r w:rsidRPr="00986D60">
        <w:t xml:space="preserve">In PKU-006 (Part 2), over the 10-week period of the trial (Phe supplementation beginning from week 3), patients in the sapropterin group tolerated a mean ± SD of 20.9 ± 15.4 mg/kg/day </w:t>
      </w:r>
      <w:r w:rsidR="0070008B" w:rsidRPr="00986D60">
        <w:t xml:space="preserve">of Phe supplementation </w:t>
      </w:r>
      <w:r w:rsidRPr="00986D60">
        <w:t>which was a statistically significant increase from week 0 (P &lt;0.001).</w:t>
      </w:r>
      <w:r w:rsidR="00AC584D" w:rsidRPr="00986D60">
        <w:t xml:space="preserve"> </w:t>
      </w:r>
      <w:r w:rsidR="00324D11">
        <w:t>P</w:t>
      </w:r>
      <w:r w:rsidR="00324D11" w:rsidRPr="00324D11">
        <w:t xml:space="preserve">atients </w:t>
      </w:r>
      <w:r w:rsidR="00324D11">
        <w:t xml:space="preserve">treated with </w:t>
      </w:r>
      <w:r w:rsidR="00324D11" w:rsidRPr="00324D11">
        <w:t>sapropterin tolerated 17.7 mg/kg (95% CI: 9, 27</w:t>
      </w:r>
      <w:r w:rsidR="00324D11">
        <w:t xml:space="preserve"> mg/kg</w:t>
      </w:r>
      <w:r w:rsidR="00324D11" w:rsidRPr="00324D11">
        <w:t>) more Phe supplement than patients on placebo</w:t>
      </w:r>
      <w:r w:rsidR="00AC584D" w:rsidRPr="00986D60">
        <w:t>.</w:t>
      </w:r>
    </w:p>
    <w:p w:rsidR="00AC584D" w:rsidRPr="00986D60" w:rsidRDefault="00AC584D" w:rsidP="007A7ACD">
      <w:pPr>
        <w:pStyle w:val="ListParagraph"/>
        <w:widowControl/>
        <w:numPr>
          <w:ilvl w:val="1"/>
          <w:numId w:val="13"/>
        </w:numPr>
        <w:spacing w:after="120"/>
        <w:ind w:left="709" w:hanging="709"/>
      </w:pPr>
      <w:r w:rsidRPr="00986D60">
        <w:t xml:space="preserve">While the data suggest that in some patients initially well controlled on Phe-restricted diets, the addition of sapropterin may increase tolerance of dietary Phe while maintaining blood Phe at ≤360μmol/L, this is based on </w:t>
      </w:r>
      <w:r w:rsidR="00BC506D">
        <w:t xml:space="preserve">follow-up </w:t>
      </w:r>
      <w:r w:rsidRPr="00986D60">
        <w:t>as short as 2 weeks. There are no data from this trial indicating whether treatment with sapropterin allows meaningful changes in dietary restrictions for some patients over the long term.</w:t>
      </w:r>
      <w:r w:rsidR="00525342" w:rsidRPr="00986D60">
        <w:t xml:space="preserve"> The ESC considered that this lack of data </w:t>
      </w:r>
      <w:r w:rsidR="00D365E5" w:rsidRPr="00986D60">
        <w:t>was a key issue because</w:t>
      </w:r>
      <w:r w:rsidR="00525342" w:rsidRPr="00986D60">
        <w:t xml:space="preserve"> </w:t>
      </w:r>
      <w:r w:rsidR="00D365E5" w:rsidRPr="00986D60">
        <w:t>a substantial utility increase wa</w:t>
      </w:r>
      <w:r w:rsidR="00525342" w:rsidRPr="00986D60">
        <w:t>s associated with diet relaxation in the modelled economic evaluation.</w:t>
      </w:r>
    </w:p>
    <w:p w:rsidR="00AC584D" w:rsidRPr="00986D60" w:rsidRDefault="00AC584D" w:rsidP="007A7ACD">
      <w:pPr>
        <w:pStyle w:val="ListParagraph"/>
        <w:widowControl/>
        <w:numPr>
          <w:ilvl w:val="1"/>
          <w:numId w:val="13"/>
        </w:numPr>
        <w:spacing w:after="120"/>
        <w:ind w:left="709" w:hanging="709"/>
      </w:pPr>
      <w:r w:rsidRPr="00986D60">
        <w:t xml:space="preserve">A significant increase in prescribed dietary Phe over time in the sapropterin plus Phe-restricted diet group from a mean of 37.1 mg/kg/day to 80.6 mg/kg/day was observed in SPARK. In the Phe-restricted diet group only, there was a slight increase in dietary Phe from 35.8 mg/kg/day to 50.1 mg/kg/day. This difference was statistically significant, mean difference (95% CI) of 30.5 (18.7, 42.3) mg/kg/day and occurred while maintaining blood Phe levels between 120 and 360 </w:t>
      </w:r>
      <w:r w:rsidRPr="00986D60">
        <w:rPr>
          <w:rFonts w:cs="Calibri"/>
        </w:rPr>
        <w:t>μ</w:t>
      </w:r>
      <w:r w:rsidRPr="00986D60">
        <w:t>mol/L. Like PKU-006 (Part 2), this is based on tolerance periods as short as 2 weeks.</w:t>
      </w:r>
    </w:p>
    <w:p w:rsidR="00A119F7" w:rsidRPr="00986D60" w:rsidRDefault="00AC584D" w:rsidP="0094732A">
      <w:pPr>
        <w:pStyle w:val="ListParagraph"/>
        <w:widowControl/>
        <w:numPr>
          <w:ilvl w:val="1"/>
          <w:numId w:val="13"/>
        </w:numPr>
        <w:spacing w:after="120"/>
        <w:ind w:left="709" w:hanging="709"/>
      </w:pPr>
      <w:r w:rsidRPr="00986D60">
        <w:t xml:space="preserve">PKU-015 (Part 2) reported that despite the increases in dietary Phe, mean blood Phe levels remained within the recommended range for the 2-year duration of the analysis period (&lt;360 µmol/L, with a goal of maintaining blood Phe levels between 120 to 240 µmol/L) and KOGNITO reported increasing Phe tolerance among those previously naïve to sapropterin increased over the study period, while Phe tolerance remained constant among continuing users over the 18 month period. </w:t>
      </w:r>
      <w:r w:rsidR="00A67375" w:rsidRPr="00986D60">
        <w:t xml:space="preserve">Data from PKU-015 (Part 2) and KOGNITO indicate that treatment with sapropterin leads to an increased Phe tolerance over a period of up to two years. However, neither of these studies included a comparator group, thus the Phe tolerance levels among those not treated with sapropterin is unknown. Similar reports of continued Phe tolerance was reported in PKUDOS and KAMPER. </w:t>
      </w:r>
    </w:p>
    <w:p w:rsidR="00B60939" w:rsidRPr="005D0DD8" w:rsidRDefault="00B60939" w:rsidP="00777DFF">
      <w:pPr>
        <w:pStyle w:val="Heading2"/>
      </w:pPr>
      <w:bookmarkStart w:id="10" w:name="_Toc503291170"/>
      <w:r w:rsidRPr="005D0DD8">
        <w:t>Comparative harms</w:t>
      </w:r>
      <w:bookmarkEnd w:id="10"/>
    </w:p>
    <w:p w:rsidR="00BC7EFA" w:rsidRPr="00986D60" w:rsidRDefault="00BC7EFA" w:rsidP="007A7ACD">
      <w:pPr>
        <w:pStyle w:val="ListParagraph"/>
        <w:widowControl/>
        <w:numPr>
          <w:ilvl w:val="1"/>
          <w:numId w:val="13"/>
        </w:numPr>
        <w:spacing w:after="120"/>
        <w:ind w:left="709" w:hanging="709"/>
      </w:pPr>
      <w:r w:rsidRPr="00986D60">
        <w:t xml:space="preserve">The only statistically significant difference </w:t>
      </w:r>
      <w:r w:rsidR="00D85BE1" w:rsidRPr="00986D60">
        <w:t xml:space="preserve">in adverse events reported in the trials and studies </w:t>
      </w:r>
      <w:r w:rsidRPr="00986D60">
        <w:t>(by relative risk and odds ratio, but not risk difference) was a lower proportion of patients in the sapropterin arm of PKU-003 experiencing adverse events compared with diet alone.</w:t>
      </w:r>
    </w:p>
    <w:p w:rsidR="0094732A" w:rsidRPr="00986D60" w:rsidRDefault="00BC7EFA" w:rsidP="0094732A">
      <w:pPr>
        <w:pStyle w:val="ListParagraph"/>
        <w:widowControl/>
        <w:numPr>
          <w:ilvl w:val="1"/>
          <w:numId w:val="13"/>
        </w:numPr>
        <w:spacing w:after="120"/>
        <w:ind w:left="709" w:hanging="709"/>
      </w:pPr>
      <w:r w:rsidRPr="00986D60">
        <w:rPr>
          <w:rFonts w:cs="Calibri"/>
          <w:snapToGrid/>
          <w:szCs w:val="24"/>
          <w:lang w:val="en-US" w:eastAsia="en-AU"/>
        </w:rPr>
        <w:t>The</w:t>
      </w:r>
      <w:r w:rsidRPr="00986D60">
        <w:t xml:space="preserve"> most common events reported among the trials and studies were cough, upper respiratory tract infections and nasopharyngitis.</w:t>
      </w:r>
    </w:p>
    <w:p w:rsidR="004151CF" w:rsidRPr="005D0DD8" w:rsidRDefault="007F1017" w:rsidP="00777DFF">
      <w:pPr>
        <w:pStyle w:val="Heading2"/>
      </w:pPr>
      <w:bookmarkStart w:id="11" w:name="_Toc503291171"/>
      <w:r w:rsidRPr="005D0DD8">
        <w:t>Benefits/harms</w:t>
      </w:r>
      <w:bookmarkEnd w:id="11"/>
    </w:p>
    <w:p w:rsidR="007362EC" w:rsidRPr="00986D60" w:rsidRDefault="00EC00C9" w:rsidP="007A7ACD">
      <w:pPr>
        <w:pStyle w:val="ListParagraph"/>
        <w:widowControl/>
        <w:numPr>
          <w:ilvl w:val="1"/>
          <w:numId w:val="13"/>
        </w:numPr>
        <w:spacing w:after="120"/>
        <w:ind w:left="709" w:hanging="709"/>
        <w:rPr>
          <w:rStyle w:val="CommentReference"/>
          <w:rFonts w:ascii="Calibri" w:hAnsi="Calibri"/>
          <w:b w:val="0"/>
          <w:sz w:val="24"/>
          <w:szCs w:val="22"/>
        </w:rPr>
      </w:pPr>
      <w:r w:rsidRPr="00986D60">
        <w:t xml:space="preserve">A summary of the comparative benefits for </w:t>
      </w:r>
      <w:r w:rsidR="00BC7EFA" w:rsidRPr="00986D60">
        <w:t>sapropterin + diet</w:t>
      </w:r>
      <w:r w:rsidRPr="00986D60">
        <w:t xml:space="preserve"> versus </w:t>
      </w:r>
      <w:r w:rsidR="00BC7EFA" w:rsidRPr="00986D60">
        <w:t>diet alone</w:t>
      </w:r>
      <w:r w:rsidRPr="00986D60">
        <w:t xml:space="preserve"> is presented in </w:t>
      </w:r>
      <w:r w:rsidR="00BC7EFA" w:rsidRPr="00986D60">
        <w:t xml:space="preserve">Table </w:t>
      </w:r>
      <w:r w:rsidR="005C63D9" w:rsidRPr="00986D60">
        <w:t>9</w:t>
      </w:r>
      <w:r w:rsidRPr="00986D60">
        <w:t>.</w:t>
      </w:r>
      <w:r w:rsidR="00410708" w:rsidRPr="00986D60">
        <w:t xml:space="preserve"> </w:t>
      </w:r>
      <w:r w:rsidR="00BC7EFA" w:rsidRPr="00986D60">
        <w:t>No differences were observed for harms.</w:t>
      </w:r>
    </w:p>
    <w:p w:rsidR="00B62715" w:rsidRPr="00986D60" w:rsidRDefault="00B62715" w:rsidP="00D365E5">
      <w:pPr>
        <w:keepNext/>
        <w:keepLines/>
        <w:rPr>
          <w:rStyle w:val="CommentReference"/>
        </w:rPr>
      </w:pPr>
      <w:r w:rsidRPr="00986D60">
        <w:rPr>
          <w:rStyle w:val="CommentReference"/>
        </w:rPr>
        <w:t xml:space="preserve">Table </w:t>
      </w:r>
      <w:r w:rsidR="005C63D9" w:rsidRPr="00986D60">
        <w:rPr>
          <w:rStyle w:val="CommentReference"/>
        </w:rPr>
        <w:t>9</w:t>
      </w:r>
      <w:r w:rsidRPr="00986D60">
        <w:rPr>
          <w:rStyle w:val="CommentReference"/>
        </w:rPr>
        <w:t xml:space="preserve">: Summary of comparative benefits </w:t>
      </w:r>
      <w:r w:rsidR="00BC7EFA" w:rsidRPr="00986D60">
        <w:rPr>
          <w:rStyle w:val="CommentReference"/>
        </w:rPr>
        <w:t>for sapropterin + diet versus diet alone</w:t>
      </w:r>
    </w:p>
    <w:tbl>
      <w:tblPr>
        <w:tblW w:w="5000" w:type="pct"/>
        <w:tblLayout w:type="fixed"/>
        <w:tblCellMar>
          <w:left w:w="28" w:type="dxa"/>
          <w:right w:w="28" w:type="dxa"/>
        </w:tblCellMar>
        <w:tblLook w:val="04A0" w:firstRow="1" w:lastRow="0" w:firstColumn="1" w:lastColumn="0" w:noHBand="0" w:noVBand="1"/>
      </w:tblPr>
      <w:tblGrid>
        <w:gridCol w:w="1428"/>
        <w:gridCol w:w="570"/>
        <w:gridCol w:w="1194"/>
        <w:gridCol w:w="883"/>
        <w:gridCol w:w="639"/>
        <w:gridCol w:w="1124"/>
        <w:gridCol w:w="883"/>
        <w:gridCol w:w="2362"/>
      </w:tblGrid>
      <w:tr w:rsidR="00B62715" w:rsidRPr="00986D60" w:rsidTr="00BC7EFA">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6D60" w:rsidRDefault="00B62715" w:rsidP="00D365E5">
            <w:pPr>
              <w:keepNext/>
              <w:keepLines/>
              <w:rPr>
                <w:rFonts w:ascii="Arial Narrow" w:hAnsi="Arial Narrow"/>
                <w:b/>
                <w:color w:val="000000"/>
                <w:sz w:val="20"/>
                <w:szCs w:val="18"/>
              </w:rPr>
            </w:pPr>
            <w:r w:rsidRPr="00986D60">
              <w:rPr>
                <w:rFonts w:ascii="Arial Narrow" w:hAnsi="Arial Narrow"/>
                <w:b/>
                <w:color w:val="000000"/>
                <w:sz w:val="20"/>
                <w:szCs w:val="18"/>
              </w:rPr>
              <w:t xml:space="preserve">Continuous </w:t>
            </w:r>
            <w:r w:rsidR="00B24DF6" w:rsidRPr="00986D60">
              <w:rPr>
                <w:rFonts w:ascii="Arial Narrow" w:hAnsi="Arial Narrow"/>
                <w:b/>
                <w:color w:val="000000"/>
                <w:sz w:val="20"/>
                <w:szCs w:val="18"/>
              </w:rPr>
              <w:t>o</w:t>
            </w:r>
            <w:r w:rsidRPr="00986D60">
              <w:rPr>
                <w:rFonts w:ascii="Arial Narrow" w:hAnsi="Arial Narrow"/>
                <w:b/>
                <w:color w:val="000000"/>
                <w:sz w:val="20"/>
                <w:szCs w:val="18"/>
              </w:rPr>
              <w:t xml:space="preserve">utcome I: change from baseline </w:t>
            </w:r>
            <w:r w:rsidR="00BC7EFA" w:rsidRPr="00986D60">
              <w:rPr>
                <w:rFonts w:ascii="Arial Narrow" w:hAnsi="Arial Narrow"/>
                <w:b/>
                <w:color w:val="000000"/>
                <w:sz w:val="20"/>
                <w:szCs w:val="18"/>
              </w:rPr>
              <w:t>blood Phe levels</w:t>
            </w:r>
          </w:p>
        </w:tc>
      </w:tr>
      <w:tr w:rsidR="007F4A61" w:rsidRPr="00986D60" w:rsidTr="00BA224D">
        <w:trPr>
          <w:trHeight w:val="225"/>
        </w:trPr>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6D60" w:rsidRDefault="00B62715" w:rsidP="00D365E5">
            <w:pPr>
              <w:keepNext/>
              <w:keepLines/>
              <w:rPr>
                <w:rFonts w:ascii="Arial Narrow" w:hAnsi="Arial Narrow"/>
                <w:color w:val="000000"/>
                <w:sz w:val="20"/>
                <w:szCs w:val="18"/>
              </w:rPr>
            </w:pP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B62715" w:rsidRPr="00986D60" w:rsidRDefault="00BC7EFA" w:rsidP="00D365E5">
            <w:pPr>
              <w:keepNext/>
              <w:keepLines/>
              <w:jc w:val="center"/>
              <w:rPr>
                <w:rFonts w:ascii="Arial Narrow" w:hAnsi="Arial Narrow"/>
                <w:color w:val="000000"/>
                <w:sz w:val="20"/>
                <w:szCs w:val="18"/>
                <w:vertAlign w:val="superscript"/>
              </w:rPr>
            </w:pPr>
            <w:r w:rsidRPr="00986D60">
              <w:rPr>
                <w:rFonts w:ascii="Arial Narrow" w:hAnsi="Arial Narrow"/>
                <w:b/>
                <w:color w:val="000000"/>
                <w:sz w:val="20"/>
                <w:szCs w:val="18"/>
              </w:rPr>
              <w:t xml:space="preserve">Sapropterin </w:t>
            </w:r>
            <w:r w:rsidR="005D0735" w:rsidRPr="00986D60">
              <w:rPr>
                <w:rFonts w:ascii="Arial Narrow" w:hAnsi="Arial Narrow"/>
                <w:b/>
                <w:color w:val="000000"/>
                <w:sz w:val="20"/>
                <w:szCs w:val="18"/>
              </w:rPr>
              <w:t>10 or 20</w:t>
            </w:r>
            <w:r w:rsidR="0021414B" w:rsidRPr="00986D60">
              <w:rPr>
                <w:rFonts w:ascii="Arial Narrow" w:hAnsi="Arial Narrow"/>
                <w:b/>
                <w:color w:val="000000"/>
                <w:sz w:val="20"/>
                <w:szCs w:val="18"/>
              </w:rPr>
              <w:t xml:space="preserve"> </w:t>
            </w:r>
            <w:r w:rsidR="005D0735" w:rsidRPr="00986D60">
              <w:rPr>
                <w:rFonts w:ascii="Arial Narrow" w:hAnsi="Arial Narrow"/>
                <w:b/>
                <w:color w:val="000000"/>
                <w:sz w:val="20"/>
                <w:szCs w:val="18"/>
              </w:rPr>
              <w:t>mg/kg/day</w:t>
            </w:r>
            <w:r w:rsidR="005D0735" w:rsidRPr="00986D60">
              <w:rPr>
                <w:rFonts w:ascii="Arial Narrow" w:hAnsi="Arial Narrow"/>
                <w:b/>
                <w:color w:val="000000"/>
                <w:sz w:val="20"/>
                <w:szCs w:val="18"/>
                <w:vertAlign w:val="superscript"/>
              </w:rPr>
              <w:t>a</w:t>
            </w:r>
            <w:r w:rsidR="005D0735" w:rsidRPr="00986D60">
              <w:rPr>
                <w:rFonts w:ascii="Arial Narrow" w:hAnsi="Arial Narrow"/>
                <w:b/>
                <w:color w:val="000000"/>
                <w:sz w:val="20"/>
                <w:szCs w:val="18"/>
              </w:rPr>
              <w:t xml:space="preserve"> </w:t>
            </w:r>
            <w:r w:rsidRPr="00986D60">
              <w:rPr>
                <w:rFonts w:ascii="Arial Narrow" w:hAnsi="Arial Narrow"/>
                <w:b/>
                <w:color w:val="000000"/>
                <w:sz w:val="20"/>
                <w:szCs w:val="18"/>
              </w:rPr>
              <w:t>+ diet</w:t>
            </w:r>
            <w:r w:rsidR="002A5CCE" w:rsidRPr="00986D60">
              <w:rPr>
                <w:rFonts w:ascii="Arial Narrow" w:hAnsi="Arial Narrow"/>
                <w:b/>
                <w:color w:val="000000"/>
                <w:sz w:val="20"/>
                <w:szCs w:val="18"/>
                <w:vertAlign w:val="superscript"/>
              </w:rPr>
              <w:t>b</w:t>
            </w: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B62715" w:rsidRPr="00986D60" w:rsidRDefault="00BC7EFA" w:rsidP="00D365E5">
            <w:pPr>
              <w:keepNext/>
              <w:keepLines/>
              <w:jc w:val="center"/>
              <w:rPr>
                <w:rFonts w:ascii="Arial Narrow" w:hAnsi="Arial Narrow"/>
                <w:color w:val="000000"/>
                <w:sz w:val="20"/>
                <w:szCs w:val="18"/>
              </w:rPr>
            </w:pPr>
            <w:r w:rsidRPr="00986D60">
              <w:rPr>
                <w:rFonts w:ascii="Arial Narrow" w:hAnsi="Arial Narrow"/>
                <w:b/>
                <w:color w:val="000000"/>
                <w:sz w:val="20"/>
                <w:szCs w:val="18"/>
              </w:rPr>
              <w:t>Diet alone</w:t>
            </w:r>
          </w:p>
        </w:tc>
        <w:tc>
          <w:tcPr>
            <w:tcW w:w="1300" w:type="pct"/>
            <w:vMerge w:val="restart"/>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 xml:space="preserve">Mean difference*: </w:t>
            </w:r>
          </w:p>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(95% CI)</w:t>
            </w:r>
          </w:p>
        </w:tc>
      </w:tr>
      <w:tr w:rsidR="007F4A61" w:rsidRPr="00986D60" w:rsidTr="00BA224D">
        <w:trPr>
          <w:trHeight w:val="225"/>
        </w:trPr>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6D60" w:rsidRDefault="00B62715" w:rsidP="00D365E5">
            <w:pPr>
              <w:keepNext/>
              <w:keepLines/>
              <w:rPr>
                <w:rFonts w:ascii="Arial Narrow" w:hAnsi="Arial Narrow"/>
                <w:color w:val="000000"/>
                <w:sz w:val="20"/>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62715" w:rsidRPr="00986D60" w:rsidRDefault="00B24DF6" w:rsidP="00D365E5">
            <w:pPr>
              <w:keepNext/>
              <w:keepLines/>
              <w:jc w:val="center"/>
              <w:rPr>
                <w:rFonts w:ascii="Arial Narrow" w:hAnsi="Arial Narrow"/>
                <w:b/>
                <w:color w:val="000000"/>
                <w:sz w:val="20"/>
                <w:szCs w:val="18"/>
              </w:rPr>
            </w:pPr>
            <w:r w:rsidRPr="00986D60">
              <w:rPr>
                <w:rFonts w:ascii="Arial Narrow" w:hAnsi="Arial Narrow"/>
                <w:b/>
                <w:color w:val="000000"/>
                <w:sz w:val="20"/>
                <w:szCs w:val="18"/>
              </w:rPr>
              <w:t>N</w:t>
            </w:r>
          </w:p>
        </w:tc>
        <w:tc>
          <w:tcPr>
            <w:tcW w:w="657" w:type="pct"/>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 xml:space="preserve">Mean ∆ baseline </w:t>
            </w:r>
            <w:r w:rsidR="00BC7EFA" w:rsidRPr="00986D60">
              <w:rPr>
                <w:rFonts w:ascii="Arial Narrow" w:hAnsi="Arial Narrow"/>
                <w:b/>
                <w:sz w:val="20"/>
                <w:szCs w:val="18"/>
              </w:rPr>
              <w:t>blood Phe</w:t>
            </w:r>
          </w:p>
        </w:tc>
        <w:tc>
          <w:tcPr>
            <w:tcW w:w="486" w:type="pct"/>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S</w:t>
            </w:r>
            <w:r w:rsidR="005D0735" w:rsidRPr="00986D60">
              <w:rPr>
                <w:rFonts w:ascii="Arial Narrow" w:hAnsi="Arial Narrow"/>
                <w:b/>
                <w:sz w:val="20"/>
                <w:szCs w:val="18"/>
              </w:rPr>
              <w:t>D</w:t>
            </w:r>
          </w:p>
        </w:tc>
        <w:tc>
          <w:tcPr>
            <w:tcW w:w="352" w:type="pct"/>
            <w:tcBorders>
              <w:top w:val="single" w:sz="4" w:space="0" w:color="auto"/>
              <w:left w:val="single" w:sz="4" w:space="0" w:color="auto"/>
              <w:bottom w:val="single" w:sz="4" w:space="0" w:color="auto"/>
              <w:right w:val="single" w:sz="4" w:space="0" w:color="auto"/>
            </w:tcBorders>
            <w:vAlign w:val="center"/>
          </w:tcPr>
          <w:p w:rsidR="00B62715" w:rsidRPr="00986D60" w:rsidRDefault="00B24DF6" w:rsidP="00D365E5">
            <w:pPr>
              <w:keepNext/>
              <w:keepLines/>
              <w:jc w:val="center"/>
              <w:rPr>
                <w:rFonts w:ascii="Arial Narrow" w:hAnsi="Arial Narrow"/>
                <w:b/>
                <w:color w:val="000000"/>
                <w:sz w:val="20"/>
                <w:szCs w:val="18"/>
              </w:rPr>
            </w:pPr>
            <w:r w:rsidRPr="00986D60">
              <w:rPr>
                <w:rFonts w:ascii="Arial Narrow" w:hAnsi="Arial Narrow"/>
                <w:b/>
                <w:color w:val="000000"/>
                <w:sz w:val="20"/>
                <w:szCs w:val="18"/>
              </w:rPr>
              <w:t>N</w:t>
            </w:r>
          </w:p>
        </w:tc>
        <w:tc>
          <w:tcPr>
            <w:tcW w:w="619" w:type="pct"/>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 xml:space="preserve">Mean ∆ baseline </w:t>
            </w:r>
            <w:r w:rsidR="00BC7EFA" w:rsidRPr="00986D60">
              <w:rPr>
                <w:rFonts w:ascii="Arial Narrow" w:hAnsi="Arial Narrow"/>
                <w:b/>
                <w:sz w:val="20"/>
                <w:szCs w:val="18"/>
              </w:rPr>
              <w:t>blood Phe</w:t>
            </w:r>
          </w:p>
        </w:tc>
        <w:tc>
          <w:tcPr>
            <w:tcW w:w="486" w:type="pct"/>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r w:rsidRPr="00986D60">
              <w:rPr>
                <w:rFonts w:ascii="Arial Narrow" w:hAnsi="Arial Narrow"/>
                <w:b/>
                <w:sz w:val="20"/>
                <w:szCs w:val="18"/>
              </w:rPr>
              <w:t>SD</w:t>
            </w:r>
          </w:p>
        </w:tc>
        <w:tc>
          <w:tcPr>
            <w:tcW w:w="1300" w:type="pct"/>
            <w:vMerge/>
            <w:tcBorders>
              <w:top w:val="single" w:sz="4" w:space="0" w:color="auto"/>
              <w:left w:val="single" w:sz="4" w:space="0" w:color="auto"/>
              <w:bottom w:val="single" w:sz="4" w:space="0" w:color="auto"/>
              <w:right w:val="single" w:sz="4" w:space="0" w:color="auto"/>
            </w:tcBorders>
            <w:vAlign w:val="center"/>
          </w:tcPr>
          <w:p w:rsidR="00B62715" w:rsidRPr="00986D60" w:rsidRDefault="00B62715" w:rsidP="00D365E5">
            <w:pPr>
              <w:keepNext/>
              <w:keepLines/>
              <w:jc w:val="center"/>
              <w:rPr>
                <w:rFonts w:ascii="Arial Narrow" w:hAnsi="Arial Narrow"/>
                <w:b/>
                <w:sz w:val="20"/>
                <w:szCs w:val="18"/>
              </w:rPr>
            </w:pPr>
          </w:p>
        </w:tc>
      </w:tr>
      <w:tr w:rsidR="007F4A61" w:rsidRPr="00986D60" w:rsidTr="00BA224D">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86D60" w:rsidRDefault="00BC7EFA" w:rsidP="00D365E5">
            <w:pPr>
              <w:keepNext/>
              <w:keepLines/>
              <w:rPr>
                <w:rFonts w:ascii="Arial Narrow" w:hAnsi="Arial Narrow"/>
                <w:color w:val="000000"/>
                <w:sz w:val="20"/>
                <w:szCs w:val="18"/>
              </w:rPr>
            </w:pPr>
            <w:r w:rsidRPr="00986D60">
              <w:rPr>
                <w:rFonts w:ascii="Arial Narrow" w:hAnsi="Arial Narrow"/>
                <w:color w:val="000000"/>
                <w:sz w:val="20"/>
                <w:szCs w:val="18"/>
              </w:rPr>
              <w:t>PKU-003</w:t>
            </w:r>
          </w:p>
        </w:tc>
        <w:tc>
          <w:tcPr>
            <w:tcW w:w="314"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41</w:t>
            </w:r>
          </w:p>
        </w:tc>
        <w:tc>
          <w:tcPr>
            <w:tcW w:w="657"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sz w:val="20"/>
              </w:rPr>
              <w:t>-239 μmol/L</w:t>
            </w:r>
          </w:p>
        </w:tc>
        <w:tc>
          <w:tcPr>
            <w:tcW w:w="486"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SE: 38.3</w:t>
            </w:r>
          </w:p>
        </w:tc>
        <w:tc>
          <w:tcPr>
            <w:tcW w:w="352"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47</w:t>
            </w:r>
          </w:p>
        </w:tc>
        <w:tc>
          <w:tcPr>
            <w:tcW w:w="619"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6 μmol/L</w:t>
            </w:r>
          </w:p>
        </w:tc>
        <w:tc>
          <w:tcPr>
            <w:tcW w:w="486"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SE: 35.8</w:t>
            </w:r>
          </w:p>
        </w:tc>
        <w:tc>
          <w:tcPr>
            <w:tcW w:w="1300" w:type="pct"/>
            <w:tcBorders>
              <w:top w:val="single" w:sz="4" w:space="0" w:color="auto"/>
              <w:left w:val="single" w:sz="4" w:space="0" w:color="auto"/>
              <w:bottom w:val="single" w:sz="4" w:space="0" w:color="auto"/>
              <w:right w:val="single" w:sz="4" w:space="0" w:color="auto"/>
            </w:tcBorders>
            <w:vAlign w:val="center"/>
          </w:tcPr>
          <w:p w:rsidR="00B62715" w:rsidRPr="00986D60" w:rsidRDefault="005D0735" w:rsidP="00D365E5">
            <w:pPr>
              <w:keepNext/>
              <w:keepLines/>
              <w:jc w:val="center"/>
              <w:rPr>
                <w:rFonts w:ascii="Arial Narrow" w:hAnsi="Arial Narrow"/>
                <w:sz w:val="20"/>
                <w:szCs w:val="18"/>
              </w:rPr>
            </w:pPr>
            <w:r w:rsidRPr="00986D60">
              <w:rPr>
                <w:rFonts w:ascii="Arial Narrow" w:hAnsi="Arial Narrow"/>
                <w:b/>
                <w:sz w:val="20"/>
              </w:rPr>
              <w:t>-245 (-350, -141)</w:t>
            </w:r>
          </w:p>
        </w:tc>
      </w:tr>
      <w:tr w:rsidR="007F4A61" w:rsidRPr="00986D60" w:rsidTr="00BA224D">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rsidR="00B62715" w:rsidRPr="00986D60" w:rsidRDefault="00BC7EFA" w:rsidP="00D365E5">
            <w:pPr>
              <w:keepNext/>
              <w:keepLines/>
              <w:rPr>
                <w:rFonts w:ascii="Arial Narrow" w:hAnsi="Arial Narrow"/>
                <w:color w:val="000000"/>
                <w:sz w:val="20"/>
                <w:szCs w:val="18"/>
              </w:rPr>
            </w:pPr>
            <w:r w:rsidRPr="00986D60">
              <w:rPr>
                <w:rFonts w:ascii="Arial Narrow" w:hAnsi="Arial Narrow"/>
                <w:color w:val="000000"/>
                <w:sz w:val="20"/>
                <w:szCs w:val="18"/>
              </w:rPr>
              <w:t>PKU-006 (Part 2)</w:t>
            </w:r>
          </w:p>
        </w:tc>
        <w:tc>
          <w:tcPr>
            <w:tcW w:w="314"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33</w:t>
            </w:r>
          </w:p>
        </w:tc>
        <w:tc>
          <w:tcPr>
            <w:tcW w:w="657"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-148.5 μmol/L</w:t>
            </w:r>
          </w:p>
        </w:tc>
        <w:tc>
          <w:tcPr>
            <w:tcW w:w="486"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C74204">
            <w:pPr>
              <w:keepNext/>
              <w:keepLines/>
              <w:jc w:val="center"/>
              <w:rPr>
                <w:rFonts w:ascii="Arial Narrow" w:hAnsi="Arial Narrow"/>
                <w:color w:val="000000"/>
                <w:sz w:val="20"/>
                <w:szCs w:val="18"/>
              </w:rPr>
            </w:pPr>
            <w:r w:rsidRPr="00986D60">
              <w:rPr>
                <w:rFonts w:ascii="Arial Narrow" w:hAnsi="Arial Narrow"/>
                <w:color w:val="000000"/>
                <w:sz w:val="20"/>
                <w:szCs w:val="18"/>
              </w:rPr>
              <w:t>13</w:t>
            </w:r>
            <w:r w:rsidR="00C74204" w:rsidRPr="00986D60">
              <w:rPr>
                <w:rFonts w:ascii="Arial Narrow" w:hAnsi="Arial Narrow"/>
                <w:color w:val="000000"/>
                <w:sz w:val="20"/>
                <w:szCs w:val="18"/>
              </w:rPr>
              <w:t>4</w:t>
            </w:r>
            <w:r w:rsidRPr="00986D60">
              <w:rPr>
                <w:rFonts w:ascii="Arial Narrow" w:hAnsi="Arial Narrow"/>
                <w:color w:val="000000"/>
                <w:sz w:val="20"/>
                <w:szCs w:val="18"/>
              </w:rPr>
              <w:t>.2</w:t>
            </w:r>
          </w:p>
        </w:tc>
        <w:tc>
          <w:tcPr>
            <w:tcW w:w="352"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12</w:t>
            </w:r>
          </w:p>
        </w:tc>
        <w:tc>
          <w:tcPr>
            <w:tcW w:w="619"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-96.6 μmol/L</w:t>
            </w:r>
          </w:p>
        </w:tc>
        <w:tc>
          <w:tcPr>
            <w:tcW w:w="486"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243.6</w:t>
            </w:r>
          </w:p>
        </w:tc>
        <w:tc>
          <w:tcPr>
            <w:tcW w:w="1300" w:type="pct"/>
            <w:tcBorders>
              <w:top w:val="single" w:sz="4" w:space="0" w:color="auto"/>
              <w:left w:val="single" w:sz="4" w:space="0" w:color="auto"/>
              <w:bottom w:val="double" w:sz="4" w:space="0" w:color="auto"/>
              <w:right w:val="single" w:sz="4" w:space="0" w:color="auto"/>
            </w:tcBorders>
            <w:vAlign w:val="center"/>
          </w:tcPr>
          <w:p w:rsidR="00B62715" w:rsidRPr="00986D60" w:rsidRDefault="005D0735" w:rsidP="00D365E5">
            <w:pPr>
              <w:keepNext/>
              <w:keepLines/>
              <w:jc w:val="center"/>
              <w:rPr>
                <w:rFonts w:ascii="Arial Narrow" w:hAnsi="Arial Narrow"/>
                <w:sz w:val="20"/>
                <w:szCs w:val="18"/>
              </w:rPr>
            </w:pPr>
            <w:r w:rsidRPr="00986D60">
              <w:rPr>
                <w:rFonts w:ascii="Arial Narrow" w:hAnsi="Arial Narrow"/>
                <w:sz w:val="20"/>
              </w:rPr>
              <w:t>-51.9 (-197, 93.3)</w:t>
            </w:r>
          </w:p>
        </w:tc>
      </w:tr>
      <w:tr w:rsidR="00BA224D" w:rsidRPr="00986D60" w:rsidTr="00BA224D">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224D" w:rsidRPr="00986D60" w:rsidRDefault="00BA224D" w:rsidP="00D365E5">
            <w:pPr>
              <w:keepNext/>
              <w:keepLines/>
              <w:jc w:val="left"/>
              <w:rPr>
                <w:rFonts w:ascii="Arial Narrow" w:hAnsi="Arial Narrow"/>
                <w:b/>
                <w:sz w:val="20"/>
              </w:rPr>
            </w:pPr>
            <w:r w:rsidRPr="00986D60">
              <w:rPr>
                <w:rFonts w:ascii="Arial Narrow" w:hAnsi="Arial Narrow"/>
                <w:b/>
                <w:sz w:val="20"/>
              </w:rPr>
              <w:t>Proportion of patients achieving blood Phe levels &lt;360 μmol/L (the target recommended in guidelines)</w:t>
            </w:r>
          </w:p>
        </w:tc>
      </w:tr>
      <w:tr w:rsidR="00BA224D" w:rsidRPr="00986D60" w:rsidTr="00BA224D">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BA224D" w:rsidRPr="00986D60" w:rsidRDefault="00BA224D" w:rsidP="00D365E5">
            <w:pPr>
              <w:keepNext/>
              <w:keepLines/>
              <w:rPr>
                <w:rFonts w:ascii="Arial Narrow" w:hAnsi="Arial Narrow"/>
                <w:color w:val="000000"/>
                <w:sz w:val="20"/>
                <w:szCs w:val="18"/>
              </w:rPr>
            </w:pP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BA224D" w:rsidRPr="00986D60" w:rsidRDefault="00BA224D"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Sapropterin 10 mg/kg/day b</w:t>
            </w: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BA224D" w:rsidRPr="00986D60" w:rsidRDefault="00BA224D"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Diet alone</w:t>
            </w:r>
          </w:p>
        </w:tc>
        <w:tc>
          <w:tcPr>
            <w:tcW w:w="1300" w:type="pct"/>
            <w:tcBorders>
              <w:top w:val="single" w:sz="4" w:space="0" w:color="auto"/>
              <w:left w:val="single" w:sz="4" w:space="0" w:color="auto"/>
              <w:bottom w:val="single" w:sz="4" w:space="0" w:color="auto"/>
              <w:right w:val="single" w:sz="4" w:space="0" w:color="auto"/>
            </w:tcBorders>
            <w:vAlign w:val="center"/>
          </w:tcPr>
          <w:p w:rsidR="00BA224D" w:rsidRPr="00986D60" w:rsidRDefault="00BA224D" w:rsidP="00D365E5">
            <w:pPr>
              <w:keepNext/>
              <w:keepLines/>
              <w:jc w:val="center"/>
              <w:rPr>
                <w:rFonts w:ascii="Arial Narrow" w:hAnsi="Arial Narrow"/>
                <w:color w:val="000000"/>
                <w:sz w:val="20"/>
                <w:szCs w:val="18"/>
              </w:rPr>
            </w:pPr>
          </w:p>
        </w:tc>
      </w:tr>
      <w:tr w:rsidR="00BA224D" w:rsidRPr="00986D60" w:rsidTr="00BA224D">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rsidR="00BA224D" w:rsidRPr="00986D60" w:rsidRDefault="00BA224D" w:rsidP="00D365E5">
            <w:pPr>
              <w:keepNext/>
              <w:keepLines/>
              <w:rPr>
                <w:rFonts w:ascii="Arial Narrow" w:hAnsi="Arial Narrow"/>
                <w:color w:val="000000"/>
                <w:sz w:val="20"/>
                <w:szCs w:val="18"/>
              </w:rPr>
            </w:pPr>
            <w:r w:rsidRPr="00986D60">
              <w:rPr>
                <w:rFonts w:ascii="Arial Narrow" w:hAnsi="Arial Narrow"/>
                <w:color w:val="000000"/>
                <w:sz w:val="20"/>
                <w:szCs w:val="18"/>
              </w:rPr>
              <w:t>PKU-003</w:t>
            </w:r>
          </w:p>
        </w:tc>
        <w:tc>
          <w:tcPr>
            <w:tcW w:w="1457" w:type="pct"/>
            <w:gridSpan w:val="3"/>
            <w:tcBorders>
              <w:top w:val="single" w:sz="4" w:space="0" w:color="auto"/>
              <w:left w:val="single" w:sz="4" w:space="0" w:color="auto"/>
              <w:bottom w:val="double" w:sz="4" w:space="0" w:color="auto"/>
              <w:right w:val="single" w:sz="4" w:space="0" w:color="auto"/>
            </w:tcBorders>
            <w:vAlign w:val="center"/>
          </w:tcPr>
          <w:p w:rsidR="00BA224D" w:rsidRPr="00986D60" w:rsidRDefault="00BA224D" w:rsidP="005E674D">
            <w:pPr>
              <w:keepNext/>
              <w:keepLines/>
              <w:jc w:val="center"/>
              <w:rPr>
                <w:rFonts w:ascii="Arial Narrow" w:hAnsi="Arial Narrow"/>
                <w:color w:val="000000"/>
                <w:sz w:val="20"/>
                <w:szCs w:val="18"/>
              </w:rPr>
            </w:pPr>
            <w:r w:rsidRPr="00986D60">
              <w:rPr>
                <w:rFonts w:ascii="Arial Narrow" w:hAnsi="Arial Narrow"/>
                <w:color w:val="000000"/>
                <w:sz w:val="20"/>
                <w:szCs w:val="18"/>
              </w:rPr>
              <w:t>1</w:t>
            </w:r>
            <w:r w:rsidR="005E674D">
              <w:rPr>
                <w:rFonts w:ascii="Arial Narrow" w:hAnsi="Arial Narrow"/>
                <w:color w:val="000000"/>
                <w:sz w:val="20"/>
                <w:szCs w:val="18"/>
              </w:rPr>
              <w:t>3</w:t>
            </w:r>
            <w:r w:rsidRPr="00986D60">
              <w:rPr>
                <w:rFonts w:ascii="Arial Narrow" w:hAnsi="Arial Narrow"/>
                <w:color w:val="000000"/>
                <w:sz w:val="20"/>
                <w:szCs w:val="18"/>
              </w:rPr>
              <w:t>/41 (32%)</w:t>
            </w:r>
          </w:p>
        </w:tc>
        <w:tc>
          <w:tcPr>
            <w:tcW w:w="1457" w:type="pct"/>
            <w:gridSpan w:val="3"/>
            <w:tcBorders>
              <w:top w:val="single" w:sz="4" w:space="0" w:color="auto"/>
              <w:left w:val="single" w:sz="4" w:space="0" w:color="auto"/>
              <w:bottom w:val="double" w:sz="4" w:space="0" w:color="auto"/>
              <w:right w:val="single" w:sz="4" w:space="0" w:color="auto"/>
            </w:tcBorders>
            <w:vAlign w:val="center"/>
          </w:tcPr>
          <w:p w:rsidR="00BA224D" w:rsidRPr="00986D60" w:rsidRDefault="00BA224D"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1/47 (2%)</w:t>
            </w:r>
          </w:p>
        </w:tc>
        <w:tc>
          <w:tcPr>
            <w:tcW w:w="1300" w:type="pct"/>
            <w:tcBorders>
              <w:top w:val="single" w:sz="4" w:space="0" w:color="auto"/>
              <w:left w:val="single" w:sz="4" w:space="0" w:color="auto"/>
              <w:bottom w:val="double" w:sz="4" w:space="0" w:color="auto"/>
              <w:right w:val="single" w:sz="4" w:space="0" w:color="auto"/>
            </w:tcBorders>
            <w:vAlign w:val="center"/>
          </w:tcPr>
          <w:p w:rsidR="00BA224D" w:rsidRPr="00986D60" w:rsidRDefault="00BA224D" w:rsidP="00D365E5">
            <w:pPr>
              <w:keepNext/>
              <w:keepLines/>
              <w:jc w:val="center"/>
              <w:rPr>
                <w:rFonts w:ascii="Arial Narrow" w:hAnsi="Arial Narrow"/>
                <w:b/>
                <w:color w:val="000000"/>
                <w:sz w:val="20"/>
                <w:szCs w:val="18"/>
              </w:rPr>
            </w:pPr>
            <w:r w:rsidRPr="00986D60">
              <w:rPr>
                <w:rFonts w:ascii="Arial Narrow" w:hAnsi="Arial Narrow"/>
                <w:color w:val="000000"/>
                <w:sz w:val="20"/>
                <w:szCs w:val="18"/>
              </w:rPr>
              <w:t xml:space="preserve">RR = </w:t>
            </w:r>
            <w:r w:rsidRPr="00986D60">
              <w:rPr>
                <w:rFonts w:ascii="Arial Narrow" w:hAnsi="Arial Narrow"/>
                <w:b/>
                <w:color w:val="000000"/>
                <w:sz w:val="20"/>
                <w:szCs w:val="18"/>
              </w:rPr>
              <w:t>14.9 (2.0, 109.1)</w:t>
            </w:r>
          </w:p>
          <w:p w:rsidR="00BA224D" w:rsidRPr="00986D60" w:rsidRDefault="00BA224D"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 xml:space="preserve">RD = </w:t>
            </w:r>
            <w:r w:rsidRPr="00986D60">
              <w:rPr>
                <w:rFonts w:ascii="Arial Narrow" w:hAnsi="Arial Narrow"/>
                <w:b/>
                <w:color w:val="000000"/>
                <w:sz w:val="20"/>
                <w:szCs w:val="18"/>
              </w:rPr>
              <w:t>0.3 (0.2, 0.4)</w:t>
            </w:r>
          </w:p>
        </w:tc>
      </w:tr>
      <w:tr w:rsidR="00BC7EFA" w:rsidRPr="00986D60" w:rsidTr="007E5495">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C7EFA" w:rsidRPr="00986D60" w:rsidRDefault="00BC7EFA" w:rsidP="00D365E5">
            <w:pPr>
              <w:keepNext/>
              <w:keepLines/>
              <w:rPr>
                <w:rFonts w:ascii="Arial Narrow" w:hAnsi="Arial Narrow"/>
                <w:b/>
                <w:color w:val="000000"/>
                <w:sz w:val="20"/>
                <w:szCs w:val="18"/>
              </w:rPr>
            </w:pPr>
            <w:r w:rsidRPr="00986D60">
              <w:rPr>
                <w:rFonts w:ascii="Arial Narrow" w:hAnsi="Arial Narrow"/>
                <w:b/>
                <w:color w:val="000000"/>
                <w:sz w:val="20"/>
                <w:szCs w:val="18"/>
              </w:rPr>
              <w:t>Continuous outcome I</w:t>
            </w:r>
            <w:r w:rsidR="002A5CCE" w:rsidRPr="00986D60">
              <w:rPr>
                <w:rFonts w:ascii="Arial Narrow" w:hAnsi="Arial Narrow"/>
                <w:b/>
                <w:color w:val="000000"/>
                <w:sz w:val="20"/>
                <w:szCs w:val="18"/>
              </w:rPr>
              <w:t>I</w:t>
            </w:r>
            <w:r w:rsidRPr="00986D60">
              <w:rPr>
                <w:rFonts w:ascii="Arial Narrow" w:hAnsi="Arial Narrow"/>
                <w:b/>
                <w:color w:val="000000"/>
                <w:sz w:val="20"/>
                <w:szCs w:val="18"/>
              </w:rPr>
              <w:t>: change in Phe tolerance</w:t>
            </w:r>
          </w:p>
        </w:tc>
      </w:tr>
      <w:tr w:rsidR="005D0735" w:rsidRPr="00986D60" w:rsidTr="00BA224D">
        <w:trPr>
          <w:trHeight w:val="225"/>
        </w:trPr>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735" w:rsidRPr="00986D60" w:rsidRDefault="005D0735" w:rsidP="00D365E5">
            <w:pPr>
              <w:keepNext/>
              <w:keepLines/>
              <w:rPr>
                <w:rFonts w:ascii="Arial Narrow" w:hAnsi="Arial Narrow"/>
                <w:color w:val="000000"/>
                <w:sz w:val="20"/>
                <w:szCs w:val="18"/>
              </w:rPr>
            </w:pP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5D0735" w:rsidRPr="00986D60" w:rsidRDefault="005D0735" w:rsidP="00D365E5">
            <w:pPr>
              <w:keepNext/>
              <w:keepLines/>
              <w:jc w:val="center"/>
              <w:rPr>
                <w:rFonts w:ascii="Arial Narrow" w:hAnsi="Arial Narrow"/>
                <w:color w:val="000000"/>
                <w:sz w:val="20"/>
                <w:szCs w:val="18"/>
              </w:rPr>
            </w:pPr>
            <w:r w:rsidRPr="00986D60">
              <w:rPr>
                <w:rFonts w:ascii="Arial Narrow" w:hAnsi="Arial Narrow"/>
                <w:b/>
                <w:color w:val="000000"/>
                <w:sz w:val="20"/>
                <w:szCs w:val="18"/>
              </w:rPr>
              <w:t>Sapropterin 10 or 20</w:t>
            </w:r>
            <w:r w:rsidR="0021414B" w:rsidRPr="00986D60">
              <w:rPr>
                <w:rFonts w:ascii="Arial Narrow" w:hAnsi="Arial Narrow"/>
                <w:b/>
                <w:color w:val="000000"/>
                <w:sz w:val="20"/>
                <w:szCs w:val="18"/>
              </w:rPr>
              <w:t xml:space="preserve"> </w:t>
            </w:r>
            <w:r w:rsidRPr="00986D60">
              <w:rPr>
                <w:rFonts w:ascii="Arial Narrow" w:hAnsi="Arial Narrow"/>
                <w:b/>
                <w:color w:val="000000"/>
                <w:sz w:val="20"/>
                <w:szCs w:val="18"/>
              </w:rPr>
              <w:t>mg/kg/day</w:t>
            </w:r>
            <w:r w:rsidRPr="00986D60">
              <w:rPr>
                <w:rFonts w:ascii="Arial Narrow" w:hAnsi="Arial Narrow"/>
                <w:b/>
                <w:color w:val="000000"/>
                <w:sz w:val="20"/>
                <w:szCs w:val="18"/>
                <w:vertAlign w:val="superscript"/>
              </w:rPr>
              <w:t>a</w:t>
            </w:r>
            <w:r w:rsidRPr="00986D60">
              <w:rPr>
                <w:rFonts w:ascii="Arial Narrow" w:hAnsi="Arial Narrow"/>
                <w:b/>
                <w:color w:val="000000"/>
                <w:sz w:val="20"/>
                <w:szCs w:val="18"/>
              </w:rPr>
              <w:t xml:space="preserve"> + diet</w:t>
            </w: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5D0735" w:rsidRPr="00986D60" w:rsidRDefault="005D0735" w:rsidP="00D365E5">
            <w:pPr>
              <w:keepNext/>
              <w:keepLines/>
              <w:jc w:val="center"/>
              <w:rPr>
                <w:rFonts w:ascii="Arial Narrow" w:hAnsi="Arial Narrow"/>
                <w:color w:val="000000"/>
                <w:sz w:val="20"/>
                <w:szCs w:val="18"/>
              </w:rPr>
            </w:pPr>
            <w:r w:rsidRPr="00986D60">
              <w:rPr>
                <w:rFonts w:ascii="Arial Narrow" w:hAnsi="Arial Narrow"/>
                <w:b/>
                <w:color w:val="000000"/>
                <w:sz w:val="20"/>
                <w:szCs w:val="18"/>
              </w:rPr>
              <w:t>Diet alone</w:t>
            </w:r>
          </w:p>
        </w:tc>
        <w:tc>
          <w:tcPr>
            <w:tcW w:w="1300" w:type="pct"/>
            <w:vMerge w:val="restart"/>
            <w:tcBorders>
              <w:top w:val="single" w:sz="4" w:space="0" w:color="auto"/>
              <w:left w:val="single" w:sz="4" w:space="0" w:color="auto"/>
              <w:bottom w:val="single" w:sz="4" w:space="0" w:color="auto"/>
              <w:right w:val="single" w:sz="4" w:space="0" w:color="auto"/>
            </w:tcBorders>
            <w:vAlign w:val="center"/>
          </w:tcPr>
          <w:p w:rsidR="005D0735" w:rsidRPr="00986D60" w:rsidRDefault="005D0735" w:rsidP="00D365E5">
            <w:pPr>
              <w:keepNext/>
              <w:keepLines/>
              <w:jc w:val="center"/>
              <w:rPr>
                <w:rFonts w:ascii="Arial Narrow" w:hAnsi="Arial Narrow"/>
                <w:b/>
                <w:sz w:val="20"/>
                <w:szCs w:val="18"/>
              </w:rPr>
            </w:pPr>
            <w:r w:rsidRPr="00986D60">
              <w:rPr>
                <w:rFonts w:ascii="Arial Narrow" w:hAnsi="Arial Narrow"/>
                <w:b/>
                <w:sz w:val="20"/>
                <w:szCs w:val="18"/>
              </w:rPr>
              <w:t xml:space="preserve">Mean difference*: </w:t>
            </w:r>
          </w:p>
          <w:p w:rsidR="005D0735" w:rsidRPr="00986D60" w:rsidRDefault="00AA67C4" w:rsidP="00D365E5">
            <w:pPr>
              <w:keepNext/>
              <w:keepLines/>
              <w:jc w:val="center"/>
              <w:rPr>
                <w:rFonts w:ascii="Arial Narrow" w:hAnsi="Arial Narrow"/>
                <w:b/>
                <w:sz w:val="20"/>
                <w:szCs w:val="18"/>
              </w:rPr>
            </w:pPr>
            <w:r w:rsidRPr="00986D60">
              <w:rPr>
                <w:rFonts w:ascii="Arial Narrow" w:hAnsi="Arial Narrow"/>
                <w:b/>
                <w:sz w:val="20"/>
                <w:szCs w:val="18"/>
              </w:rPr>
              <w:t xml:space="preserve"> </w:t>
            </w:r>
            <w:r w:rsidR="005D0735" w:rsidRPr="00986D60">
              <w:rPr>
                <w:rFonts w:ascii="Arial Narrow" w:hAnsi="Arial Narrow"/>
                <w:b/>
                <w:sz w:val="20"/>
                <w:szCs w:val="18"/>
              </w:rPr>
              <w:t>(95% CI)</w:t>
            </w:r>
          </w:p>
        </w:tc>
      </w:tr>
      <w:tr w:rsidR="00BC7EFA" w:rsidRPr="00986D60" w:rsidTr="00BA224D">
        <w:trPr>
          <w:trHeight w:val="225"/>
        </w:trPr>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7EFA" w:rsidRPr="00986D60" w:rsidRDefault="00BC7EFA" w:rsidP="00D365E5">
            <w:pPr>
              <w:keepNext/>
              <w:keepLines/>
              <w:rPr>
                <w:rFonts w:ascii="Arial Narrow" w:hAnsi="Arial Narrow"/>
                <w:color w:val="000000"/>
                <w:sz w:val="20"/>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color w:val="000000"/>
                <w:sz w:val="20"/>
                <w:szCs w:val="18"/>
              </w:rPr>
            </w:pPr>
            <w:r w:rsidRPr="00986D60">
              <w:rPr>
                <w:rFonts w:ascii="Arial Narrow" w:hAnsi="Arial Narrow"/>
                <w:b/>
                <w:color w:val="000000"/>
                <w:sz w:val="20"/>
                <w:szCs w:val="18"/>
              </w:rPr>
              <w:t>N</w:t>
            </w:r>
          </w:p>
        </w:tc>
        <w:tc>
          <w:tcPr>
            <w:tcW w:w="657"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sz w:val="20"/>
                <w:szCs w:val="18"/>
              </w:rPr>
            </w:pPr>
            <w:r w:rsidRPr="00986D60">
              <w:rPr>
                <w:rFonts w:ascii="Arial Narrow" w:hAnsi="Arial Narrow"/>
                <w:b/>
                <w:sz w:val="20"/>
                <w:szCs w:val="18"/>
              </w:rPr>
              <w:t>Mean ∆ baseline Phe tolerance</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sz w:val="20"/>
                <w:szCs w:val="18"/>
              </w:rPr>
            </w:pPr>
            <w:r w:rsidRPr="00986D60">
              <w:rPr>
                <w:rFonts w:ascii="Arial Narrow" w:hAnsi="Arial Narrow"/>
                <w:b/>
                <w:sz w:val="20"/>
                <w:szCs w:val="18"/>
              </w:rPr>
              <w:t>SD</w:t>
            </w:r>
          </w:p>
        </w:tc>
        <w:tc>
          <w:tcPr>
            <w:tcW w:w="352"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color w:val="000000"/>
                <w:sz w:val="20"/>
                <w:szCs w:val="18"/>
              </w:rPr>
            </w:pPr>
            <w:r w:rsidRPr="00986D60">
              <w:rPr>
                <w:rFonts w:ascii="Arial Narrow" w:hAnsi="Arial Narrow"/>
                <w:b/>
                <w:color w:val="000000"/>
                <w:sz w:val="20"/>
                <w:szCs w:val="18"/>
              </w:rPr>
              <w:t>N</w:t>
            </w:r>
          </w:p>
        </w:tc>
        <w:tc>
          <w:tcPr>
            <w:tcW w:w="619"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sz w:val="20"/>
                <w:szCs w:val="18"/>
              </w:rPr>
            </w:pPr>
            <w:r w:rsidRPr="00986D60">
              <w:rPr>
                <w:rFonts w:ascii="Arial Narrow" w:hAnsi="Arial Narrow"/>
                <w:b/>
                <w:sz w:val="20"/>
                <w:szCs w:val="18"/>
              </w:rPr>
              <w:t xml:space="preserve">Mean ∆ baseline </w:t>
            </w:r>
            <w:r w:rsidR="005D0735" w:rsidRPr="00986D60">
              <w:rPr>
                <w:rFonts w:ascii="Arial Narrow" w:hAnsi="Arial Narrow"/>
                <w:b/>
                <w:sz w:val="20"/>
                <w:szCs w:val="18"/>
              </w:rPr>
              <w:t>Phe tolerance</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sz w:val="20"/>
                <w:szCs w:val="18"/>
              </w:rPr>
            </w:pPr>
            <w:r w:rsidRPr="00986D60">
              <w:rPr>
                <w:rFonts w:ascii="Arial Narrow" w:hAnsi="Arial Narrow"/>
                <w:b/>
                <w:sz w:val="20"/>
                <w:szCs w:val="18"/>
              </w:rPr>
              <w:t>SD</w:t>
            </w:r>
          </w:p>
        </w:tc>
        <w:tc>
          <w:tcPr>
            <w:tcW w:w="1300" w:type="pct"/>
            <w:vMerge/>
            <w:tcBorders>
              <w:top w:val="single" w:sz="4" w:space="0" w:color="auto"/>
              <w:left w:val="single" w:sz="4" w:space="0" w:color="auto"/>
              <w:bottom w:val="single" w:sz="4" w:space="0" w:color="auto"/>
              <w:right w:val="single" w:sz="4" w:space="0" w:color="auto"/>
            </w:tcBorders>
            <w:vAlign w:val="center"/>
          </w:tcPr>
          <w:p w:rsidR="00BC7EFA" w:rsidRPr="00986D60" w:rsidRDefault="00BC7EFA" w:rsidP="00D365E5">
            <w:pPr>
              <w:keepNext/>
              <w:keepLines/>
              <w:jc w:val="center"/>
              <w:rPr>
                <w:rFonts w:ascii="Arial Narrow" w:hAnsi="Arial Narrow"/>
                <w:b/>
                <w:sz w:val="20"/>
                <w:szCs w:val="18"/>
              </w:rPr>
            </w:pPr>
          </w:p>
        </w:tc>
      </w:tr>
      <w:tr w:rsidR="00BC7EFA" w:rsidRPr="00986D60" w:rsidTr="00BA224D">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BC7EFA" w:rsidRPr="00986D60" w:rsidRDefault="00BC7EFA" w:rsidP="00D365E5">
            <w:pPr>
              <w:keepNext/>
              <w:keepLines/>
              <w:rPr>
                <w:rFonts w:ascii="Arial Narrow" w:hAnsi="Arial Narrow"/>
                <w:color w:val="000000"/>
                <w:sz w:val="20"/>
                <w:szCs w:val="18"/>
              </w:rPr>
            </w:pPr>
            <w:r w:rsidRPr="00986D60">
              <w:rPr>
                <w:rFonts w:ascii="Arial Narrow" w:hAnsi="Arial Narrow"/>
                <w:color w:val="000000"/>
                <w:sz w:val="20"/>
                <w:szCs w:val="18"/>
              </w:rPr>
              <w:t>PKU-006 (Part 2)</w:t>
            </w:r>
          </w:p>
        </w:tc>
        <w:tc>
          <w:tcPr>
            <w:tcW w:w="314"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33</w:t>
            </w:r>
          </w:p>
        </w:tc>
        <w:tc>
          <w:tcPr>
            <w:tcW w:w="657"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20.9mg</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15.4</w:t>
            </w:r>
          </w:p>
        </w:tc>
        <w:tc>
          <w:tcPr>
            <w:tcW w:w="352"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12</w:t>
            </w:r>
          </w:p>
        </w:tc>
        <w:tc>
          <w:tcPr>
            <w:tcW w:w="619"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3.3</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2A5CCE"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3.9</w:t>
            </w:r>
          </w:p>
        </w:tc>
        <w:tc>
          <w:tcPr>
            <w:tcW w:w="1300"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b/>
                <w:sz w:val="20"/>
                <w:szCs w:val="18"/>
              </w:rPr>
            </w:pPr>
            <w:r w:rsidRPr="00986D60">
              <w:rPr>
                <w:rFonts w:ascii="Arial Narrow" w:hAnsi="Arial Narrow"/>
                <w:b/>
                <w:sz w:val="20"/>
                <w:szCs w:val="18"/>
              </w:rPr>
              <w:t>17.7 (9, 27)</w:t>
            </w:r>
          </w:p>
        </w:tc>
      </w:tr>
      <w:tr w:rsidR="00BC7EFA" w:rsidRPr="00986D60" w:rsidTr="00BA224D">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BC7EFA" w:rsidRPr="00986D60" w:rsidRDefault="00BC7EFA" w:rsidP="00D365E5">
            <w:pPr>
              <w:keepNext/>
              <w:keepLines/>
              <w:rPr>
                <w:rFonts w:ascii="Arial Narrow" w:hAnsi="Arial Narrow"/>
                <w:color w:val="000000"/>
                <w:sz w:val="20"/>
                <w:szCs w:val="18"/>
              </w:rPr>
            </w:pPr>
            <w:r w:rsidRPr="00986D60">
              <w:rPr>
                <w:rFonts w:ascii="Arial Narrow" w:hAnsi="Arial Narrow"/>
                <w:color w:val="000000"/>
                <w:sz w:val="20"/>
                <w:szCs w:val="18"/>
              </w:rPr>
              <w:t>SPARK</w:t>
            </w:r>
          </w:p>
        </w:tc>
        <w:tc>
          <w:tcPr>
            <w:tcW w:w="314" w:type="pct"/>
            <w:tcBorders>
              <w:top w:val="single" w:sz="4" w:space="0" w:color="auto"/>
              <w:left w:val="single" w:sz="4" w:space="0" w:color="auto"/>
              <w:bottom w:val="single" w:sz="4" w:space="0" w:color="auto"/>
              <w:right w:val="single" w:sz="4" w:space="0" w:color="auto"/>
            </w:tcBorders>
            <w:vAlign w:val="center"/>
          </w:tcPr>
          <w:p w:rsidR="00BC7EFA" w:rsidRPr="00986D60" w:rsidRDefault="002A5CCE"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27</w:t>
            </w:r>
          </w:p>
        </w:tc>
        <w:tc>
          <w:tcPr>
            <w:tcW w:w="657" w:type="pct"/>
            <w:tcBorders>
              <w:top w:val="single" w:sz="4" w:space="0" w:color="auto"/>
              <w:left w:val="single" w:sz="4" w:space="0" w:color="auto"/>
              <w:bottom w:val="single" w:sz="4" w:space="0" w:color="auto"/>
              <w:right w:val="single" w:sz="4" w:space="0" w:color="auto"/>
            </w:tcBorders>
            <w:vAlign w:val="center"/>
          </w:tcPr>
          <w:p w:rsidR="00BC7EFA" w:rsidRPr="00986D60" w:rsidRDefault="006A61EC" w:rsidP="00D365E5">
            <w:pPr>
              <w:keepNext/>
              <w:keepLines/>
              <w:jc w:val="center"/>
              <w:rPr>
                <w:rFonts w:ascii="Arial Narrow" w:hAnsi="Arial Narrow"/>
                <w:color w:val="000000"/>
                <w:sz w:val="20"/>
                <w:szCs w:val="18"/>
              </w:rPr>
            </w:pPr>
            <w:r>
              <w:rPr>
                <w:rFonts w:ascii="Arial Narrow" w:hAnsi="Arial Narrow"/>
                <w:noProof/>
                <w:color w:val="000000"/>
                <w:sz w:val="20"/>
                <w:szCs w:val="18"/>
                <w:highlight w:val="black"/>
              </w:rPr>
              <w:t>''''''''''</w:t>
            </w:r>
            <w:r w:rsidR="005D0735" w:rsidRPr="00986D60">
              <w:rPr>
                <w:rFonts w:ascii="Arial Narrow" w:hAnsi="Arial Narrow"/>
                <w:color w:val="000000"/>
                <w:sz w:val="20"/>
                <w:szCs w:val="18"/>
              </w:rPr>
              <w:t>mg</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NR</w:t>
            </w:r>
          </w:p>
        </w:tc>
        <w:tc>
          <w:tcPr>
            <w:tcW w:w="352" w:type="pct"/>
            <w:tcBorders>
              <w:top w:val="single" w:sz="4" w:space="0" w:color="auto"/>
              <w:left w:val="single" w:sz="4" w:space="0" w:color="auto"/>
              <w:bottom w:val="single" w:sz="4" w:space="0" w:color="auto"/>
              <w:right w:val="single" w:sz="4" w:space="0" w:color="auto"/>
            </w:tcBorders>
            <w:vAlign w:val="center"/>
          </w:tcPr>
          <w:p w:rsidR="00BC7EFA" w:rsidRPr="00986D60" w:rsidRDefault="002A5CCE"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27</w:t>
            </w:r>
          </w:p>
        </w:tc>
        <w:tc>
          <w:tcPr>
            <w:tcW w:w="619" w:type="pct"/>
            <w:tcBorders>
              <w:top w:val="single" w:sz="4" w:space="0" w:color="auto"/>
              <w:left w:val="single" w:sz="4" w:space="0" w:color="auto"/>
              <w:bottom w:val="single" w:sz="4" w:space="0" w:color="auto"/>
              <w:right w:val="single" w:sz="4" w:space="0" w:color="auto"/>
            </w:tcBorders>
            <w:vAlign w:val="center"/>
          </w:tcPr>
          <w:p w:rsidR="00BC7EFA" w:rsidRPr="00986D60" w:rsidRDefault="006A61EC" w:rsidP="00D365E5">
            <w:pPr>
              <w:keepNext/>
              <w:keepLines/>
              <w:jc w:val="center"/>
              <w:rPr>
                <w:rFonts w:ascii="Arial Narrow" w:hAnsi="Arial Narrow"/>
                <w:color w:val="000000"/>
                <w:sz w:val="20"/>
                <w:szCs w:val="18"/>
              </w:rPr>
            </w:pPr>
            <w:r>
              <w:rPr>
                <w:rFonts w:ascii="Arial Narrow" w:hAnsi="Arial Narrow"/>
                <w:noProof/>
                <w:color w:val="000000"/>
                <w:sz w:val="20"/>
                <w:szCs w:val="18"/>
                <w:highlight w:val="black"/>
              </w:rPr>
              <w:t>'''''''''''</w:t>
            </w:r>
            <w:r w:rsidR="005D0735" w:rsidRPr="00986D60">
              <w:rPr>
                <w:rFonts w:ascii="Arial Narrow" w:hAnsi="Arial Narrow"/>
                <w:color w:val="000000"/>
                <w:sz w:val="20"/>
                <w:szCs w:val="18"/>
              </w:rPr>
              <w:t xml:space="preserve">mg </w:t>
            </w:r>
          </w:p>
        </w:tc>
        <w:tc>
          <w:tcPr>
            <w:tcW w:w="486"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color w:val="000000"/>
                <w:sz w:val="20"/>
                <w:szCs w:val="18"/>
              </w:rPr>
            </w:pPr>
            <w:r w:rsidRPr="00986D60">
              <w:rPr>
                <w:rFonts w:ascii="Arial Narrow" w:hAnsi="Arial Narrow"/>
                <w:color w:val="000000"/>
                <w:sz w:val="20"/>
                <w:szCs w:val="18"/>
              </w:rPr>
              <w:t>NR</w:t>
            </w:r>
          </w:p>
        </w:tc>
        <w:tc>
          <w:tcPr>
            <w:tcW w:w="1300" w:type="pct"/>
            <w:tcBorders>
              <w:top w:val="single" w:sz="4" w:space="0" w:color="auto"/>
              <w:left w:val="single" w:sz="4" w:space="0" w:color="auto"/>
              <w:bottom w:val="single" w:sz="4" w:space="0" w:color="auto"/>
              <w:right w:val="single" w:sz="4" w:space="0" w:color="auto"/>
            </w:tcBorders>
            <w:vAlign w:val="center"/>
          </w:tcPr>
          <w:p w:rsidR="00BC7EFA" w:rsidRPr="00986D60" w:rsidRDefault="005D0735" w:rsidP="00D365E5">
            <w:pPr>
              <w:keepNext/>
              <w:keepLines/>
              <w:jc w:val="center"/>
              <w:rPr>
                <w:rFonts w:ascii="Arial Narrow" w:hAnsi="Arial Narrow"/>
                <w:b/>
                <w:sz w:val="20"/>
                <w:szCs w:val="18"/>
              </w:rPr>
            </w:pPr>
            <w:r w:rsidRPr="00986D60">
              <w:rPr>
                <w:rFonts w:ascii="Arial Narrow" w:hAnsi="Arial Narrow"/>
                <w:b/>
                <w:sz w:val="20"/>
                <w:szCs w:val="18"/>
              </w:rPr>
              <w:t>30.5 (18.7, 42.3)</w:t>
            </w:r>
          </w:p>
        </w:tc>
      </w:tr>
    </w:tbl>
    <w:p w:rsidR="00B62715" w:rsidRPr="00986D60" w:rsidRDefault="005D0735" w:rsidP="00D365E5">
      <w:pPr>
        <w:pStyle w:val="TableFooter"/>
        <w:keepNext/>
        <w:keepLines/>
        <w:tabs>
          <w:tab w:val="left" w:pos="284"/>
        </w:tabs>
        <w:ind w:left="284" w:hanging="284"/>
      </w:pPr>
      <w:r w:rsidRPr="00986D60">
        <w:rPr>
          <w:vertAlign w:val="superscript"/>
        </w:rPr>
        <w:t>a</w:t>
      </w:r>
      <w:r w:rsidRPr="00986D60">
        <w:tab/>
        <w:t>10 mg/kg/day in PKU-003, 20</w:t>
      </w:r>
      <w:r w:rsidR="0021414B" w:rsidRPr="00986D60">
        <w:t xml:space="preserve"> </w:t>
      </w:r>
      <w:r w:rsidRPr="00986D60">
        <w:t>mg/kg/day in PKU-006 (Part 2); only 2 patients on 20</w:t>
      </w:r>
      <w:r w:rsidR="0021414B" w:rsidRPr="00986D60">
        <w:t xml:space="preserve"> </w:t>
      </w:r>
      <w:r w:rsidRPr="00986D60">
        <w:t>mg/kg/day in SPARK with remainder on 10 mg/kg/day</w:t>
      </w:r>
    </w:p>
    <w:p w:rsidR="002A5CCE" w:rsidRPr="00986D60" w:rsidRDefault="002A5CCE" w:rsidP="00D365E5">
      <w:pPr>
        <w:pStyle w:val="TableFooter"/>
        <w:keepNext/>
        <w:keepLines/>
        <w:tabs>
          <w:tab w:val="left" w:pos="284"/>
        </w:tabs>
      </w:pPr>
      <w:r w:rsidRPr="00986D60">
        <w:rPr>
          <w:vertAlign w:val="superscript"/>
        </w:rPr>
        <w:t>b</w:t>
      </w:r>
      <w:r w:rsidRPr="00986D60">
        <w:tab/>
        <w:t>not a strict diet in PKU-003, strict diet in PKU-006 (Part 2) and SPARK</w:t>
      </w:r>
    </w:p>
    <w:p w:rsidR="007F4A61" w:rsidRPr="00986D60" w:rsidRDefault="007F4A61" w:rsidP="00D365E5">
      <w:pPr>
        <w:pStyle w:val="TableFooter"/>
        <w:keepNext/>
        <w:keepLines/>
        <w:rPr>
          <w:sz w:val="20"/>
        </w:rPr>
      </w:pPr>
      <w:r w:rsidRPr="00986D60">
        <w:t xml:space="preserve">Source: </w:t>
      </w:r>
      <w:r w:rsidR="002A5CCE" w:rsidRPr="00986D60">
        <w:t>compiled during the evaluation</w:t>
      </w:r>
    </w:p>
    <w:p w:rsidR="00FC1884" w:rsidRPr="00986D60" w:rsidRDefault="002A5CCE" w:rsidP="007A7ACD">
      <w:pPr>
        <w:pStyle w:val="ListParagraph"/>
        <w:widowControl/>
        <w:numPr>
          <w:ilvl w:val="1"/>
          <w:numId w:val="13"/>
        </w:numPr>
        <w:spacing w:after="120"/>
        <w:ind w:left="709" w:hanging="709"/>
      </w:pPr>
      <w:r w:rsidRPr="00986D60">
        <w:rPr>
          <w:rFonts w:cs="Calibri"/>
          <w:snapToGrid/>
          <w:szCs w:val="24"/>
          <w:lang w:val="en-US" w:eastAsia="en-AU"/>
        </w:rPr>
        <w:t>On</w:t>
      </w:r>
      <w:r w:rsidRPr="00986D60">
        <w:t xml:space="preserve"> the basis of </w:t>
      </w:r>
      <w:r w:rsidR="00FC1884" w:rsidRPr="00986D60">
        <w:t xml:space="preserve">direct evidence presented by the </w:t>
      </w:r>
      <w:r w:rsidR="00063220">
        <w:t>resubmission</w:t>
      </w:r>
      <w:r w:rsidR="00FC1884" w:rsidRPr="00986D60">
        <w:t xml:space="preserve">, the comparison of </w:t>
      </w:r>
      <w:r w:rsidRPr="00986D60">
        <w:t>sapropterin + diet</w:t>
      </w:r>
      <w:r w:rsidR="009A0D23" w:rsidRPr="00986D60">
        <w:t xml:space="preserve"> and diet alone</w:t>
      </w:r>
      <w:r w:rsidR="00FC1884" w:rsidRPr="00986D60">
        <w:t xml:space="preserve"> resulted in:</w:t>
      </w:r>
    </w:p>
    <w:p w:rsidR="00FC1884" w:rsidRPr="00986D60" w:rsidRDefault="003270E4" w:rsidP="00C1479D">
      <w:pPr>
        <w:pStyle w:val="ListParagraph"/>
        <w:widowControl/>
        <w:numPr>
          <w:ilvl w:val="0"/>
          <w:numId w:val="1"/>
        </w:numPr>
        <w:spacing w:after="120"/>
        <w:ind w:left="1134" w:hanging="425"/>
      </w:pPr>
      <w:r w:rsidRPr="00986D60">
        <w:rPr>
          <w:rFonts w:cs="Calibri"/>
          <w:snapToGrid/>
          <w:szCs w:val="24"/>
          <w:lang w:val="en-US" w:eastAsia="en-AU"/>
        </w:rPr>
        <w:t xml:space="preserve">Approximately a </w:t>
      </w:r>
      <w:r w:rsidR="009A0D23" w:rsidRPr="00986D60">
        <w:rPr>
          <w:rFonts w:cs="Calibri"/>
          <w:snapToGrid/>
          <w:szCs w:val="24"/>
          <w:lang w:val="en-US" w:eastAsia="en-AU"/>
        </w:rPr>
        <w:t>245 μmol/L</w:t>
      </w:r>
      <w:r w:rsidRPr="00986D60">
        <w:rPr>
          <w:rFonts w:cs="Calibri"/>
          <w:snapToGrid/>
          <w:szCs w:val="24"/>
          <w:lang w:val="en-US" w:eastAsia="en-AU"/>
        </w:rPr>
        <w:t xml:space="preserve"> reduction</w:t>
      </w:r>
      <w:r w:rsidR="009A0D23" w:rsidRPr="00986D60">
        <w:rPr>
          <w:rFonts w:cs="Calibri"/>
          <w:snapToGrid/>
          <w:szCs w:val="24"/>
          <w:lang w:val="en-US" w:eastAsia="en-AU"/>
        </w:rPr>
        <w:t xml:space="preserve"> in blood Phe levels</w:t>
      </w:r>
      <w:r w:rsidRPr="00986D60">
        <w:rPr>
          <w:rFonts w:cs="Calibri"/>
          <w:snapToGrid/>
          <w:szCs w:val="24"/>
          <w:lang w:val="en-US" w:eastAsia="en-AU"/>
        </w:rPr>
        <w:t xml:space="preserve"> over </w:t>
      </w:r>
      <w:r w:rsidR="009A0D23" w:rsidRPr="00986D60">
        <w:rPr>
          <w:rFonts w:cs="Calibri"/>
          <w:snapToGrid/>
          <w:szCs w:val="24"/>
          <w:lang w:val="en-US" w:eastAsia="en-AU"/>
        </w:rPr>
        <w:t>a 6 week</w:t>
      </w:r>
      <w:r w:rsidRPr="00986D60">
        <w:rPr>
          <w:rFonts w:cs="Calibri"/>
          <w:snapToGrid/>
          <w:szCs w:val="24"/>
          <w:lang w:val="en-US" w:eastAsia="en-AU"/>
        </w:rPr>
        <w:t xml:space="preserve"> duration </w:t>
      </w:r>
      <w:r w:rsidR="009A0D23" w:rsidRPr="00986D60">
        <w:rPr>
          <w:rFonts w:cs="Calibri"/>
          <w:snapToGrid/>
          <w:szCs w:val="24"/>
          <w:lang w:val="en-US" w:eastAsia="en-AU"/>
        </w:rPr>
        <w:t>among patients not adhering to a strict diet;</w:t>
      </w:r>
    </w:p>
    <w:p w:rsidR="009A0D23" w:rsidRPr="00986D60" w:rsidRDefault="009A0D23" w:rsidP="00C1479D">
      <w:pPr>
        <w:pStyle w:val="ListParagraph"/>
        <w:widowControl/>
        <w:numPr>
          <w:ilvl w:val="0"/>
          <w:numId w:val="1"/>
        </w:numPr>
        <w:spacing w:after="120"/>
        <w:ind w:left="1134" w:hanging="425"/>
      </w:pPr>
      <w:r w:rsidRPr="00986D60">
        <w:rPr>
          <w:rFonts w:cs="Calibri"/>
          <w:snapToGrid/>
          <w:szCs w:val="24"/>
          <w:lang w:val="en-US" w:eastAsia="en-AU"/>
        </w:rPr>
        <w:t xml:space="preserve">No difference in blood Phe levels over a </w:t>
      </w:r>
      <w:r w:rsidR="00B34416" w:rsidRPr="00986D60">
        <w:rPr>
          <w:rFonts w:cs="Calibri"/>
          <w:snapToGrid/>
          <w:szCs w:val="24"/>
          <w:lang w:val="en-US" w:eastAsia="en-AU"/>
        </w:rPr>
        <w:t>3</w:t>
      </w:r>
      <w:r w:rsidRPr="00986D60">
        <w:rPr>
          <w:rFonts w:cs="Calibri"/>
          <w:snapToGrid/>
          <w:szCs w:val="24"/>
          <w:lang w:val="en-US" w:eastAsia="en-AU"/>
        </w:rPr>
        <w:t xml:space="preserve"> week duration among patients adhering to a strict diet; and</w:t>
      </w:r>
    </w:p>
    <w:p w:rsidR="009A0D23" w:rsidRPr="00986D60" w:rsidRDefault="009A0D23" w:rsidP="00C1479D">
      <w:pPr>
        <w:pStyle w:val="ListParagraph"/>
        <w:widowControl/>
        <w:numPr>
          <w:ilvl w:val="0"/>
          <w:numId w:val="1"/>
        </w:numPr>
        <w:spacing w:after="120"/>
        <w:ind w:left="1134" w:hanging="425"/>
      </w:pPr>
      <w:r w:rsidRPr="00986D60">
        <w:rPr>
          <w:rFonts w:cs="Calibri"/>
          <w:snapToGrid/>
          <w:szCs w:val="24"/>
          <w:lang w:val="en-US" w:eastAsia="en-AU"/>
        </w:rPr>
        <w:t>Approximately a 17.7</w:t>
      </w:r>
      <w:r w:rsidR="00D85BE1" w:rsidRPr="00986D60">
        <w:rPr>
          <w:rFonts w:cs="Calibri"/>
          <w:snapToGrid/>
          <w:szCs w:val="24"/>
          <w:lang w:val="en-US" w:eastAsia="en-AU"/>
        </w:rPr>
        <w:t xml:space="preserve"> </w:t>
      </w:r>
      <w:r w:rsidRPr="00986D60">
        <w:rPr>
          <w:rFonts w:cs="Calibri"/>
          <w:snapToGrid/>
          <w:szCs w:val="24"/>
          <w:lang w:val="en-US" w:eastAsia="en-AU"/>
        </w:rPr>
        <w:t>mg increase in Phe tolerance over a 6 week duration among patients who were adhering to a strict diet; and</w:t>
      </w:r>
    </w:p>
    <w:p w:rsidR="009A0D23" w:rsidRPr="00986D60" w:rsidRDefault="009A0D23" w:rsidP="00C1479D">
      <w:pPr>
        <w:pStyle w:val="ListParagraph"/>
        <w:widowControl/>
        <w:numPr>
          <w:ilvl w:val="0"/>
          <w:numId w:val="1"/>
        </w:numPr>
        <w:spacing w:after="120"/>
        <w:ind w:left="1134" w:hanging="425"/>
      </w:pPr>
      <w:r w:rsidRPr="00986D60">
        <w:rPr>
          <w:rFonts w:cs="Calibri"/>
          <w:snapToGrid/>
          <w:szCs w:val="24"/>
          <w:lang w:val="en-US" w:eastAsia="en-AU"/>
        </w:rPr>
        <w:t>Approximately a 30.5</w:t>
      </w:r>
      <w:r w:rsidR="00D85BE1" w:rsidRPr="00986D60">
        <w:rPr>
          <w:rFonts w:cs="Calibri"/>
          <w:snapToGrid/>
          <w:szCs w:val="24"/>
          <w:lang w:val="en-US" w:eastAsia="en-AU"/>
        </w:rPr>
        <w:t xml:space="preserve"> </w:t>
      </w:r>
      <w:r w:rsidRPr="00986D60">
        <w:rPr>
          <w:rFonts w:cs="Calibri"/>
          <w:snapToGrid/>
          <w:szCs w:val="24"/>
          <w:lang w:val="en-US" w:eastAsia="en-AU"/>
        </w:rPr>
        <w:t>mg increase in Phe tolerance over a 26 week duration among patients who were adhering to a strict diet.</w:t>
      </w:r>
    </w:p>
    <w:p w:rsidR="00BA224D" w:rsidRPr="00986D60" w:rsidRDefault="00BA224D" w:rsidP="007A7ACD">
      <w:pPr>
        <w:pStyle w:val="ListParagraph"/>
        <w:widowControl/>
        <w:numPr>
          <w:ilvl w:val="1"/>
          <w:numId w:val="13"/>
        </w:numPr>
        <w:spacing w:after="120"/>
        <w:ind w:left="709" w:hanging="709"/>
      </w:pPr>
      <w:r w:rsidRPr="00986D60">
        <w:t xml:space="preserve">After six weeks of therapy, only 32% of patients in PKU-003 </w:t>
      </w:r>
      <w:r w:rsidR="004D0F37" w:rsidRPr="00986D60">
        <w:t>(i.e.</w:t>
      </w:r>
      <w:r w:rsidR="005B1EE5" w:rsidRPr="00986D60">
        <w:t xml:space="preserve"> </w:t>
      </w:r>
      <w:r w:rsidR="00526DEA" w:rsidRPr="00986D60">
        <w:t>patients</w:t>
      </w:r>
      <w:r w:rsidR="004D0F37" w:rsidRPr="00986D60">
        <w:t xml:space="preserve"> not adhering to a strict diet) </w:t>
      </w:r>
      <w:r w:rsidRPr="00986D60">
        <w:t>achieved blood Phe levels ≤360 μmol/L (the level recommended in guidelines).</w:t>
      </w:r>
    </w:p>
    <w:p w:rsidR="00A119F7" w:rsidRPr="0094732A" w:rsidRDefault="009A0D23" w:rsidP="0094732A">
      <w:pPr>
        <w:pStyle w:val="ListParagraph"/>
        <w:widowControl/>
        <w:numPr>
          <w:ilvl w:val="1"/>
          <w:numId w:val="13"/>
        </w:numPr>
        <w:spacing w:after="120"/>
        <w:ind w:left="709" w:hanging="709"/>
      </w:pPr>
      <w:r w:rsidRPr="00986D60">
        <w:t xml:space="preserve">The </w:t>
      </w:r>
      <w:r w:rsidR="00063220">
        <w:t>resubmission</w:t>
      </w:r>
      <w:r w:rsidRPr="00986D60">
        <w:t xml:space="preserve"> </w:t>
      </w:r>
      <w:r w:rsidR="00934D4E">
        <w:t>attempted</w:t>
      </w:r>
      <w:r w:rsidRPr="00986D60">
        <w:t xml:space="preserve"> to inform what these reductions in blood Phe levels or increases in Phe tolerance would mean for a particular patient, </w:t>
      </w:r>
      <w:r w:rsidR="00934D4E">
        <w:t>by</w:t>
      </w:r>
      <w:r w:rsidRPr="00986D60">
        <w:t xml:space="preserve"> providing some evidence that IQ and neurocognitive effects are affected by increasing blood Phe levels and </w:t>
      </w:r>
      <w:r w:rsidR="00A36EE9" w:rsidRPr="00986D60">
        <w:t>stating that it would</w:t>
      </w:r>
      <w:r w:rsidR="00406254" w:rsidRPr="00986D60">
        <w:t xml:space="preserve"> enable some PKU patients to</w:t>
      </w:r>
      <w:r w:rsidR="001C3B26" w:rsidRPr="00986D60">
        <w:t xml:space="preserve"> relax the</w:t>
      </w:r>
      <w:r w:rsidR="00406254" w:rsidRPr="00986D60">
        <w:t>ir</w:t>
      </w:r>
      <w:r w:rsidR="001C3B26" w:rsidRPr="00986D60">
        <w:t xml:space="preserve"> restrictive Phe diet</w:t>
      </w:r>
      <w:r w:rsidR="002232AC" w:rsidRPr="00986D60">
        <w:t>.</w:t>
      </w:r>
      <w:bookmarkStart w:id="12" w:name="_Toc503291172"/>
    </w:p>
    <w:p w:rsidR="00B60939" w:rsidRPr="005D0DD8" w:rsidRDefault="00B60939" w:rsidP="00777DFF">
      <w:pPr>
        <w:pStyle w:val="Heading2"/>
        <w:keepNext/>
      </w:pPr>
      <w:r w:rsidRPr="005D0DD8">
        <w:t>Clinical claim</w:t>
      </w:r>
      <w:bookmarkEnd w:id="12"/>
    </w:p>
    <w:p w:rsidR="00CD359B" w:rsidRPr="00986D60" w:rsidRDefault="0068506C" w:rsidP="00CD359B">
      <w:pPr>
        <w:widowControl/>
        <w:spacing w:after="120"/>
        <w:rPr>
          <w:u w:val="single"/>
        </w:rPr>
      </w:pPr>
      <w:r w:rsidRPr="00986D60">
        <w:rPr>
          <w:u w:val="single"/>
        </w:rPr>
        <w:t xml:space="preserve">Poorly-controlled Phe blood level sub-population </w:t>
      </w:r>
    </w:p>
    <w:p w:rsidR="007928F8" w:rsidRPr="00986D60" w:rsidRDefault="007928F8" w:rsidP="00C5372B">
      <w:pPr>
        <w:pStyle w:val="ListParagraph"/>
        <w:widowControl/>
        <w:numPr>
          <w:ilvl w:val="1"/>
          <w:numId w:val="13"/>
        </w:numPr>
        <w:spacing w:after="120"/>
        <w:ind w:left="709" w:hanging="709"/>
      </w:pPr>
      <w:r w:rsidRPr="00986D60">
        <w:t xml:space="preserve">The </w:t>
      </w:r>
      <w:r w:rsidR="00063220">
        <w:t>resubmission</w:t>
      </w:r>
      <w:r w:rsidRPr="00986D60">
        <w:t xml:space="preserve"> described sapropterin plus </w:t>
      </w:r>
      <w:r w:rsidR="00C5372B">
        <w:t xml:space="preserve">a relaxed </w:t>
      </w:r>
      <w:r w:rsidR="00A22465">
        <w:t xml:space="preserve">(“non strict”) </w:t>
      </w:r>
      <w:r w:rsidRPr="00986D60">
        <w:t xml:space="preserve">diet compared with </w:t>
      </w:r>
      <w:r w:rsidR="00C5372B">
        <w:t xml:space="preserve">a relaxed </w:t>
      </w:r>
      <w:r w:rsidR="00C5372B" w:rsidRPr="00986D60">
        <w:t xml:space="preserve">diet </w:t>
      </w:r>
      <w:r w:rsidRPr="00986D60">
        <w:t xml:space="preserve">alone as superior in terms of efficacy, based on the outcome of blood Phe levels. </w:t>
      </w:r>
      <w:r w:rsidR="004D3EBA">
        <w:t xml:space="preserve">The </w:t>
      </w:r>
      <w:r w:rsidR="00063220">
        <w:t>resubmission</w:t>
      </w:r>
      <w:r w:rsidR="004D3EBA">
        <w:t xml:space="preserve"> claimed that s</w:t>
      </w:r>
      <w:r w:rsidRPr="00986D60">
        <w:t xml:space="preserve">apropterin has non-inferior safety compared with </w:t>
      </w:r>
      <w:r w:rsidR="00C5372B" w:rsidRPr="00C5372B">
        <w:t xml:space="preserve">a relaxed diet </w:t>
      </w:r>
      <w:r w:rsidRPr="00986D60">
        <w:t xml:space="preserve">alone.  </w:t>
      </w:r>
    </w:p>
    <w:p w:rsidR="00FE5D3F" w:rsidRDefault="007928F8" w:rsidP="00C5372B">
      <w:pPr>
        <w:pStyle w:val="ListParagraph"/>
        <w:widowControl/>
        <w:numPr>
          <w:ilvl w:val="1"/>
          <w:numId w:val="13"/>
        </w:numPr>
        <w:spacing w:after="120"/>
        <w:ind w:left="709" w:hanging="709"/>
      </w:pPr>
      <w:r w:rsidRPr="00986D60">
        <w:t xml:space="preserve">The </w:t>
      </w:r>
      <w:r w:rsidR="0038206C">
        <w:t xml:space="preserve">PBAC considered that the </w:t>
      </w:r>
      <w:r w:rsidR="00063220">
        <w:t>resubmission</w:t>
      </w:r>
      <w:r w:rsidR="0038206C">
        <w:t xml:space="preserve">’s claim of superior comparative effectiveness of sapropterin </w:t>
      </w:r>
      <w:r w:rsidR="00C5372B" w:rsidRPr="00C5372B">
        <w:t>plus a relaxed diet</w:t>
      </w:r>
      <w:r w:rsidR="00C5372B">
        <w:t xml:space="preserve"> </w:t>
      </w:r>
      <w:r w:rsidR="0038206C">
        <w:t xml:space="preserve">versus </w:t>
      </w:r>
      <w:r w:rsidR="00C5372B" w:rsidRPr="00C5372B">
        <w:t xml:space="preserve">a relaxed diet </w:t>
      </w:r>
      <w:r w:rsidR="0038206C">
        <w:t>alone wa</w:t>
      </w:r>
      <w:r w:rsidRPr="00986D60">
        <w:t>s adequately supported by the evidence presented</w:t>
      </w:r>
      <w:r w:rsidR="0038206C">
        <w:t>.</w:t>
      </w:r>
      <w:r w:rsidRPr="00986D60">
        <w:t xml:space="preserve"> </w:t>
      </w:r>
      <w:r w:rsidR="0038206C">
        <w:t xml:space="preserve">The PBAC noted that </w:t>
      </w:r>
      <w:r w:rsidRPr="00986D60">
        <w:t xml:space="preserve">the randomised trial (PKU-003) demonstrated a statistically significant decrease in blood Phe levels among those treated with sapropterin plus a non strict Phe-restricted diet compared with those on a non strict Phe-restricted diet alone over 6 weeks. </w:t>
      </w:r>
    </w:p>
    <w:p w:rsidR="001D4766" w:rsidRPr="00986D60" w:rsidRDefault="007928F8" w:rsidP="007A7ACD">
      <w:pPr>
        <w:pStyle w:val="ListParagraph"/>
        <w:widowControl/>
        <w:numPr>
          <w:ilvl w:val="1"/>
          <w:numId w:val="13"/>
        </w:numPr>
        <w:spacing w:after="120"/>
        <w:ind w:left="709" w:hanging="709"/>
      </w:pPr>
      <w:r w:rsidRPr="00986D60">
        <w:t xml:space="preserve">However, </w:t>
      </w:r>
      <w:r w:rsidR="0038206C">
        <w:t xml:space="preserve">the </w:t>
      </w:r>
      <w:r w:rsidR="000266BC">
        <w:t>PBAC</w:t>
      </w:r>
      <w:r w:rsidR="0038206C">
        <w:t xml:space="preserve"> </w:t>
      </w:r>
      <w:r w:rsidR="00FE5D3F">
        <w:t xml:space="preserve">considered that the clinical significance of these benefits was </w:t>
      </w:r>
      <w:r w:rsidR="003F6F45">
        <w:t xml:space="preserve">not clearly described in the </w:t>
      </w:r>
      <w:r w:rsidR="00063220">
        <w:t>resubmission</w:t>
      </w:r>
      <w:r w:rsidR="00FE5D3F">
        <w:t xml:space="preserve">, </w:t>
      </w:r>
      <w:r w:rsidR="0038206C">
        <w:t>not</w:t>
      </w:r>
      <w:r w:rsidR="00FE5D3F">
        <w:t>ing</w:t>
      </w:r>
      <w:r w:rsidR="0038206C">
        <w:t xml:space="preserve"> that </w:t>
      </w:r>
      <w:r w:rsidR="006D0686">
        <w:t xml:space="preserve">the </w:t>
      </w:r>
      <w:r w:rsidR="00EB54F1" w:rsidRPr="00986D60">
        <w:t xml:space="preserve">mean blood Phe level </w:t>
      </w:r>
      <w:r w:rsidR="006D0686" w:rsidRPr="00986D60">
        <w:t>w</w:t>
      </w:r>
      <w:r w:rsidR="006D0686">
        <w:t>as 607 </w:t>
      </w:r>
      <w:r w:rsidR="006D0686" w:rsidRPr="00986D60">
        <w:rPr>
          <w:rFonts w:cs="Calibri"/>
        </w:rPr>
        <w:t>μ</w:t>
      </w:r>
      <w:r w:rsidR="006D0686" w:rsidRPr="00986D60">
        <w:t xml:space="preserve">mol/L </w:t>
      </w:r>
      <w:r w:rsidR="006D0686">
        <w:t>after</w:t>
      </w:r>
      <w:r w:rsidR="006D0686" w:rsidRPr="00986D60">
        <w:t xml:space="preserve"> 6 weeks of sapropterin treatment</w:t>
      </w:r>
      <w:r w:rsidR="00E15683" w:rsidRPr="00986D60">
        <w:t>, with only 32% of patie</w:t>
      </w:r>
      <w:r w:rsidR="00EB54F1" w:rsidRPr="00986D60">
        <w:t xml:space="preserve">nts achieving blood Phe levels </w:t>
      </w:r>
      <w:r w:rsidR="00EB54F1" w:rsidRPr="00986D60">
        <w:rPr>
          <w:rFonts w:cs="Calibri"/>
        </w:rPr>
        <w:t>≤</w:t>
      </w:r>
      <w:r w:rsidR="00EB54F1" w:rsidRPr="00986D60">
        <w:t xml:space="preserve">360 </w:t>
      </w:r>
      <w:r w:rsidR="00EB54F1" w:rsidRPr="00986D60">
        <w:rPr>
          <w:rFonts w:cs="Calibri"/>
        </w:rPr>
        <w:t>μ</w:t>
      </w:r>
      <w:r w:rsidR="00EB54F1" w:rsidRPr="00986D60">
        <w:t xml:space="preserve">mol/L (the level recommended in </w:t>
      </w:r>
      <w:r w:rsidR="006D0686">
        <w:t>g</w:t>
      </w:r>
      <w:r w:rsidR="00EB54F1" w:rsidRPr="00986D60">
        <w:t>uidelines)</w:t>
      </w:r>
      <w:r w:rsidRPr="00986D60">
        <w:t xml:space="preserve">. Long-term data of continued use of sapropterin for up to six years also demonstrated continued decreased blood Phe levels, although approximately </w:t>
      </w:r>
      <w:r w:rsidR="006A61EC">
        <w:rPr>
          <w:noProof/>
          <w:color w:val="000000"/>
          <w:highlight w:val="black"/>
        </w:rPr>
        <w:t>''''''</w:t>
      </w:r>
      <w:r w:rsidRPr="00986D60">
        <w:t xml:space="preserve">% of those patients also failed to achieve target levels. </w:t>
      </w:r>
    </w:p>
    <w:p w:rsidR="001D4766" w:rsidRPr="00986D60" w:rsidRDefault="007928F8" w:rsidP="007A7ACD">
      <w:pPr>
        <w:pStyle w:val="ListParagraph"/>
        <w:widowControl/>
        <w:numPr>
          <w:ilvl w:val="1"/>
          <w:numId w:val="13"/>
        </w:numPr>
        <w:spacing w:after="120"/>
        <w:ind w:left="709" w:hanging="709"/>
      </w:pPr>
      <w:r w:rsidRPr="00986D60">
        <w:t xml:space="preserve">Although the </w:t>
      </w:r>
      <w:r w:rsidR="00063220">
        <w:t>resubmission</w:t>
      </w:r>
      <w:r w:rsidRPr="00986D60">
        <w:t xml:space="preserve"> presented data demonstrating a correlation </w:t>
      </w:r>
      <w:r w:rsidR="00A22465">
        <w:t>between</w:t>
      </w:r>
      <w:r w:rsidRPr="00986D60">
        <w:t xml:space="preserve"> increased blood Phe levels </w:t>
      </w:r>
      <w:r w:rsidR="00A22465">
        <w:t>and</w:t>
      </w:r>
      <w:r w:rsidRPr="00986D60">
        <w:t xml:space="preserve"> IQ and neurocognitive effects, </w:t>
      </w:r>
      <w:r w:rsidR="000C29EF">
        <w:t xml:space="preserve">the ESC considered that </w:t>
      </w:r>
      <w:r w:rsidRPr="00986D60">
        <w:t xml:space="preserve">it </w:t>
      </w:r>
      <w:r w:rsidR="000C29EF">
        <w:t>wa</w:t>
      </w:r>
      <w:r w:rsidRPr="00986D60">
        <w:t xml:space="preserve">s not clear how the observed changes in blood Phe levels would translate for a given patient. </w:t>
      </w:r>
      <w:r w:rsidR="001D4766" w:rsidRPr="00986D60">
        <w:t>The ESC considered that, while sapropterin may improve blood Phe levels in some patients, the clinical impact of the likely changes in Australian practice was not clear (e.g. whether neurocognitive function would be improved compared with standard dietary management).</w:t>
      </w:r>
    </w:p>
    <w:p w:rsidR="00CD359B" w:rsidRPr="00A22465" w:rsidRDefault="0068506C" w:rsidP="00A22465">
      <w:pPr>
        <w:widowControl/>
        <w:spacing w:after="120"/>
        <w:rPr>
          <w:u w:val="single"/>
        </w:rPr>
      </w:pPr>
      <w:r w:rsidRPr="00A22465">
        <w:rPr>
          <w:u w:val="single"/>
        </w:rPr>
        <w:t xml:space="preserve">Well-controlled Phe blood level sub-population </w:t>
      </w:r>
    </w:p>
    <w:p w:rsidR="007928F8" w:rsidRPr="00986D60" w:rsidRDefault="007928F8" w:rsidP="007A7ACD">
      <w:pPr>
        <w:pStyle w:val="ListParagraph"/>
        <w:widowControl/>
        <w:numPr>
          <w:ilvl w:val="1"/>
          <w:numId w:val="13"/>
        </w:numPr>
        <w:spacing w:after="120"/>
        <w:ind w:left="709" w:hanging="709"/>
      </w:pPr>
      <w:r w:rsidRPr="00986D60">
        <w:t xml:space="preserve">The </w:t>
      </w:r>
      <w:r w:rsidR="00063220">
        <w:t>resubmission</w:t>
      </w:r>
      <w:r w:rsidRPr="00986D60">
        <w:t xml:space="preserve"> described sapropterin as superior in terms of increasing Phe tolerance compared with a strict Phe-restricted diet alone. The</w:t>
      </w:r>
      <w:r w:rsidR="004D3EBA">
        <w:t xml:space="preserve"> </w:t>
      </w:r>
      <w:r w:rsidR="00063220">
        <w:t>resubmission</w:t>
      </w:r>
      <w:r w:rsidR="004D3EBA">
        <w:t xml:space="preserve"> claimed there</w:t>
      </w:r>
      <w:r w:rsidRPr="00986D60">
        <w:t xml:space="preserve"> </w:t>
      </w:r>
      <w:r w:rsidR="004D3EBA">
        <w:t>would be</w:t>
      </w:r>
      <w:r w:rsidR="004D3EBA" w:rsidRPr="00986D60">
        <w:t xml:space="preserve"> </w:t>
      </w:r>
      <w:r w:rsidRPr="00986D60">
        <w:t>no benefits in terms of blood Phe control in th</w:t>
      </w:r>
      <w:r w:rsidR="00FE5D3F">
        <w:t>e</w:t>
      </w:r>
      <w:r w:rsidRPr="00986D60">
        <w:t xml:space="preserve"> well-controlled population</w:t>
      </w:r>
      <w:r w:rsidR="008755FF">
        <w:t xml:space="preserve"> given their</w:t>
      </w:r>
      <w:r w:rsidRPr="00986D60">
        <w:t xml:space="preserve"> blood Phe levels are </w:t>
      </w:r>
      <w:r w:rsidR="004D3EBA">
        <w:t xml:space="preserve">already </w:t>
      </w:r>
      <w:r w:rsidRPr="00986D60">
        <w:t xml:space="preserve">within the therapeutic range. </w:t>
      </w:r>
      <w:r w:rsidR="004D3EBA">
        <w:t xml:space="preserve">The </w:t>
      </w:r>
      <w:r w:rsidR="00063220">
        <w:t>resubmission</w:t>
      </w:r>
      <w:r w:rsidR="004D3EBA">
        <w:t xml:space="preserve"> claimed that sapropterin has </w:t>
      </w:r>
      <w:r w:rsidRPr="00986D60">
        <w:t xml:space="preserve">non-inferior safety compared with a Phe-restricted diet alone. </w:t>
      </w:r>
    </w:p>
    <w:p w:rsidR="001D4766" w:rsidRPr="00986D60" w:rsidRDefault="007928F8" w:rsidP="000C29EF">
      <w:pPr>
        <w:pStyle w:val="ListParagraph"/>
        <w:widowControl/>
        <w:numPr>
          <w:ilvl w:val="1"/>
          <w:numId w:val="13"/>
        </w:numPr>
        <w:spacing w:after="120"/>
        <w:ind w:left="709" w:hanging="709"/>
      </w:pPr>
      <w:r w:rsidRPr="00986D60">
        <w:t xml:space="preserve">The </w:t>
      </w:r>
      <w:r w:rsidR="0038206C" w:rsidRPr="0038206C">
        <w:t xml:space="preserve">PBAC considered that the </w:t>
      </w:r>
      <w:r w:rsidR="00063220">
        <w:t>resubmission</w:t>
      </w:r>
      <w:r w:rsidR="0038206C" w:rsidRPr="0038206C">
        <w:t xml:space="preserve">’s claim </w:t>
      </w:r>
      <w:r w:rsidR="00BC506D">
        <w:t>that sapropterin has</w:t>
      </w:r>
      <w:r w:rsidR="0038206C" w:rsidRPr="0038206C">
        <w:t xml:space="preserve"> superior effectiveness</w:t>
      </w:r>
      <w:r w:rsidR="00BC506D">
        <w:t>,</w:t>
      </w:r>
      <w:r w:rsidR="0038206C" w:rsidRPr="0038206C">
        <w:t xml:space="preserve"> in terms of increasing Phe tolerance</w:t>
      </w:r>
      <w:r w:rsidR="00BC506D">
        <w:t>,</w:t>
      </w:r>
      <w:r w:rsidR="0038206C" w:rsidRPr="0038206C">
        <w:t xml:space="preserve"> compared with a strict Phe-restricted diet alone </w:t>
      </w:r>
      <w:r w:rsidR="0038206C">
        <w:t>was</w:t>
      </w:r>
      <w:r w:rsidRPr="00986D60">
        <w:t xml:space="preserve"> adequately supported by the evidence presented</w:t>
      </w:r>
      <w:r w:rsidR="0038206C">
        <w:t>. The PBAC noted that</w:t>
      </w:r>
      <w:r w:rsidRPr="00986D60">
        <w:t xml:space="preserve"> the randomised trials (PKU-006 (Part 2), SPARK) demonstrated a statistically significant increase in Phe tolerance among those treated with sapropterin compared with those on a strict Phe-restricted diet alone over 6 or 26 weeks. Long-term data of continued use of sapropterin for up to six years also demonstrated continued increased Phe tolerance, although the contribution of increasing age and weight of the patients over time may have contributed to that observation. </w:t>
      </w:r>
    </w:p>
    <w:p w:rsidR="001D4766" w:rsidRDefault="000C29EF" w:rsidP="007A7ACD">
      <w:pPr>
        <w:pStyle w:val="ListParagraph"/>
        <w:widowControl/>
        <w:numPr>
          <w:ilvl w:val="1"/>
          <w:numId w:val="13"/>
        </w:numPr>
        <w:spacing w:after="120"/>
        <w:ind w:left="709" w:hanging="709"/>
      </w:pPr>
      <w:r>
        <w:t xml:space="preserve">The </w:t>
      </w:r>
      <w:r w:rsidR="00063220">
        <w:t>resubmission</w:t>
      </w:r>
      <w:r>
        <w:t xml:space="preserve"> did not </w:t>
      </w:r>
      <w:r w:rsidR="00FE5D3F">
        <w:t xml:space="preserve">quantify </w:t>
      </w:r>
      <w:r w:rsidR="007928F8" w:rsidRPr="00986D60">
        <w:t xml:space="preserve">the level of reduction in dietary </w:t>
      </w:r>
      <w:r>
        <w:t xml:space="preserve">Phe </w:t>
      </w:r>
      <w:r w:rsidR="007928F8" w:rsidRPr="00986D60">
        <w:t xml:space="preserve">restriction </w:t>
      </w:r>
      <w:r w:rsidR="00FE5D3F">
        <w:t>that would result in a</w:t>
      </w:r>
      <w:r w:rsidR="007928F8" w:rsidRPr="00986D60">
        <w:t xml:space="preserve"> </w:t>
      </w:r>
      <w:r w:rsidR="00FE5D3F">
        <w:t>meaningful benefit for patients</w:t>
      </w:r>
      <w:r w:rsidR="007928F8" w:rsidRPr="00986D60">
        <w:t xml:space="preserve">. </w:t>
      </w:r>
      <w:r w:rsidR="001D4766" w:rsidRPr="00986D60">
        <w:t xml:space="preserve">The ESC considered that, while sapropterin may increase Phe tolerance in some patients, the </w:t>
      </w:r>
      <w:r w:rsidR="00063220">
        <w:t>resubmission</w:t>
      </w:r>
      <w:r w:rsidR="001D4766" w:rsidRPr="00986D60">
        <w:t xml:space="preserve"> did not outline the extent to which a patient’s diet could be relaxed, and what impact this would have on patient outcomes or quality of life. </w:t>
      </w:r>
    </w:p>
    <w:p w:rsidR="000C2E27" w:rsidRDefault="000C2E27" w:rsidP="000C2E27">
      <w:pPr>
        <w:pStyle w:val="ListParagraph"/>
        <w:widowControl/>
        <w:numPr>
          <w:ilvl w:val="1"/>
          <w:numId w:val="13"/>
        </w:numPr>
        <w:spacing w:after="120"/>
        <w:ind w:left="709" w:hanging="709"/>
      </w:pPr>
      <w:r>
        <w:t xml:space="preserve">The pre-PBAC response stated that </w:t>
      </w:r>
      <w:r w:rsidR="00324D11">
        <w:t>the results of PKU-006 (</w:t>
      </w:r>
      <w:r w:rsidRPr="000C2E27">
        <w:t>Part 2</w:t>
      </w:r>
      <w:r w:rsidR="00324D11">
        <w:t xml:space="preserve">), as outlined in Paragraph 6.22, showed that </w:t>
      </w:r>
      <w:r w:rsidRPr="000C2E27">
        <w:t>patients aged 4-12 years on sapropterin tolerated 17.7 mg/kg (95% CI: 9, 27) more Phe supplement than patients on placebo.</w:t>
      </w:r>
      <w:r>
        <w:t xml:space="preserve"> At baseline, these patients had Phe tolerance of approximately 17 mg/kg, hence sapropterin resulted in a doubling of Phe tolerance. The </w:t>
      </w:r>
      <w:r w:rsidR="008755FF">
        <w:t>p</w:t>
      </w:r>
      <w:r>
        <w:t>re-PBAC response outlined that</w:t>
      </w:r>
      <w:r w:rsidR="00324D11">
        <w:t xml:space="preserve"> this may </w:t>
      </w:r>
      <w:r w:rsidR="008755FF">
        <w:t>enable</w:t>
      </w:r>
      <w:r w:rsidR="00324D11">
        <w:t xml:space="preserve"> </w:t>
      </w:r>
      <w:r>
        <w:t>a 4</w:t>
      </w:r>
      <w:r w:rsidR="008755FF">
        <w:t xml:space="preserve"> </w:t>
      </w:r>
      <w:r>
        <w:t>year old</w:t>
      </w:r>
      <w:r w:rsidR="00324D11">
        <w:t xml:space="preserve"> (weighing 15 kg) to consume an additional</w:t>
      </w:r>
      <w:r>
        <w:t xml:space="preserve"> 5 g of protein</w:t>
      </w:r>
      <w:r w:rsidR="000C29EF">
        <w:t xml:space="preserve">, which </w:t>
      </w:r>
      <w:r>
        <w:t xml:space="preserve">corresponds </w:t>
      </w:r>
      <w:r w:rsidR="003101A8">
        <w:t>with</w:t>
      </w:r>
      <w:r>
        <w:t xml:space="preserve"> a slice of regular bread (3 g protein) and one banana (2 g). </w:t>
      </w:r>
      <w:r w:rsidR="00203599">
        <w:t>A</w:t>
      </w:r>
      <w:r>
        <w:t>s a patient grows the amount of protein per day would also increase</w:t>
      </w:r>
      <w:r w:rsidR="000C29EF">
        <w:t>.</w:t>
      </w:r>
      <w:r>
        <w:t xml:space="preserve"> </w:t>
      </w:r>
    </w:p>
    <w:p w:rsidR="001A0DBB" w:rsidRPr="001A0DBB" w:rsidRDefault="001A0DBB" w:rsidP="001A0DBB">
      <w:pPr>
        <w:widowControl/>
        <w:spacing w:after="120"/>
        <w:rPr>
          <w:u w:val="single"/>
        </w:rPr>
      </w:pPr>
      <w:r w:rsidRPr="001A0DBB">
        <w:rPr>
          <w:u w:val="single"/>
        </w:rPr>
        <w:t>Both sub-populations</w:t>
      </w:r>
    </w:p>
    <w:p w:rsidR="00717DF4" w:rsidRPr="00717DF4" w:rsidRDefault="00717DF4" w:rsidP="00717DF4">
      <w:pPr>
        <w:pStyle w:val="ListParagraph"/>
        <w:numPr>
          <w:ilvl w:val="1"/>
          <w:numId w:val="13"/>
        </w:numPr>
        <w:spacing w:after="120"/>
        <w:ind w:left="709" w:hanging="709"/>
        <w:rPr>
          <w:rFonts w:asciiTheme="minorHAnsi" w:hAnsiTheme="minorHAnsi"/>
          <w:bCs/>
          <w:lang w:val="en-GB"/>
        </w:rPr>
      </w:pPr>
      <w:r w:rsidRPr="00717DF4">
        <w:t xml:space="preserve">The ESC considered that the incremental health benefit of sapropterin over </w:t>
      </w:r>
      <w:r>
        <w:t xml:space="preserve">standard </w:t>
      </w:r>
      <w:r w:rsidRPr="00717DF4">
        <w:t>dietary management</w:t>
      </w:r>
      <w:r>
        <w:t xml:space="preserve"> (either a relaxed or strict diet)</w:t>
      </w:r>
      <w:r w:rsidRPr="00717DF4">
        <w:t xml:space="preserve"> in current Australian practice was unclear, particularly in terms of clinically meaningful health outcomes.</w:t>
      </w:r>
    </w:p>
    <w:p w:rsidR="00717DF4" w:rsidRPr="00717DF4" w:rsidRDefault="00717DF4" w:rsidP="00717DF4">
      <w:pPr>
        <w:pStyle w:val="ListParagraph"/>
        <w:numPr>
          <w:ilvl w:val="1"/>
          <w:numId w:val="13"/>
        </w:numPr>
        <w:spacing w:after="120"/>
        <w:ind w:left="709" w:hanging="709"/>
      </w:pPr>
      <w:r w:rsidRPr="00717DF4">
        <w:t xml:space="preserve">The PBAC considered that the </w:t>
      </w:r>
      <w:r w:rsidR="00F21573">
        <w:t xml:space="preserve">potential </w:t>
      </w:r>
      <w:r w:rsidRPr="00717DF4">
        <w:t>benefits of sapropterin over dietary management</w:t>
      </w:r>
      <w:r w:rsidR="00F21573">
        <w:t xml:space="preserve"> alone</w:t>
      </w:r>
      <w:r w:rsidRPr="00717DF4">
        <w:t xml:space="preserve"> in terms of meaningful patient-relevant outcomes</w:t>
      </w:r>
      <w:r w:rsidR="00F21573">
        <w:t>,</w:t>
      </w:r>
      <w:r w:rsidRPr="00717DF4">
        <w:t xml:space="preserve"> were not </w:t>
      </w:r>
      <w:r w:rsidR="00CA6554">
        <w:t xml:space="preserve">clearly </w:t>
      </w:r>
      <w:r w:rsidR="000317D0">
        <w:t>demonstrated</w:t>
      </w:r>
      <w:r w:rsidRPr="00717DF4">
        <w:t xml:space="preserve"> in the </w:t>
      </w:r>
      <w:r w:rsidR="00063220">
        <w:t>resubmission</w:t>
      </w:r>
      <w:r w:rsidRPr="00717DF4">
        <w:t xml:space="preserve">, but were </w:t>
      </w:r>
      <w:r w:rsidR="00CA6554">
        <w:t>identified</w:t>
      </w:r>
      <w:r w:rsidRPr="00717DF4">
        <w:t xml:space="preserve"> by patients and their families in the consumer comments, clinician correspondence and at the consumer hearing.</w:t>
      </w:r>
    </w:p>
    <w:p w:rsidR="00717DF4" w:rsidRPr="00484924" w:rsidRDefault="00717DF4" w:rsidP="007E2504">
      <w:pPr>
        <w:pStyle w:val="ListParagraph"/>
        <w:numPr>
          <w:ilvl w:val="1"/>
          <w:numId w:val="13"/>
        </w:numPr>
        <w:spacing w:after="120"/>
        <w:ind w:left="709" w:hanging="709"/>
      </w:pPr>
      <w:r w:rsidRPr="00484924">
        <w:t>The PBAC considered that the claim of superior comparative effect</w:t>
      </w:r>
      <w:r w:rsidR="00A22465">
        <w:t>iveness versus either a relaxed</w:t>
      </w:r>
      <w:r w:rsidRPr="00484924">
        <w:t xml:space="preserve"> or strict Phe-restricted diet was reasonable. </w:t>
      </w:r>
      <w:r w:rsidR="007E2504" w:rsidRPr="007E2504">
        <w:t>The PBAC noted that that response to sapropterin appeared to vary across the studies, depending on a range of factors, including that there was better response among younger patients.</w:t>
      </w:r>
    </w:p>
    <w:p w:rsidR="00484924" w:rsidRDefault="00484924" w:rsidP="00717DF4">
      <w:pPr>
        <w:pStyle w:val="ListParagraph"/>
        <w:numPr>
          <w:ilvl w:val="1"/>
          <w:numId w:val="13"/>
        </w:numPr>
        <w:spacing w:after="120"/>
        <w:ind w:left="709" w:hanging="709"/>
      </w:pPr>
      <w:r w:rsidRPr="00986D60">
        <w:t xml:space="preserve">The </w:t>
      </w:r>
      <w:r>
        <w:t xml:space="preserve">PBAC considered that the </w:t>
      </w:r>
      <w:r w:rsidRPr="00986D60">
        <w:t xml:space="preserve">claim of non-inferior </w:t>
      </w:r>
      <w:r>
        <w:t xml:space="preserve">comparative </w:t>
      </w:r>
      <w:r w:rsidRPr="00986D60">
        <w:t>safety was reasonable for both sub-populations.</w:t>
      </w:r>
    </w:p>
    <w:p w:rsidR="00B60939" w:rsidRPr="005D0DD8" w:rsidRDefault="00B60939" w:rsidP="00777DFF">
      <w:pPr>
        <w:pStyle w:val="Heading2"/>
      </w:pPr>
      <w:bookmarkStart w:id="13" w:name="_Toc503291173"/>
      <w:r w:rsidRPr="005D0DD8">
        <w:t>Economic analysis</w:t>
      </w:r>
      <w:bookmarkEnd w:id="13"/>
      <w:r w:rsidR="00491B3A" w:rsidRPr="005D0DD8">
        <w:t xml:space="preserve"> </w:t>
      </w:r>
    </w:p>
    <w:p w:rsidR="00E9068E" w:rsidRPr="00986D60" w:rsidRDefault="00E73AC7" w:rsidP="007A7ACD">
      <w:pPr>
        <w:pStyle w:val="ListParagraph"/>
        <w:widowControl/>
        <w:numPr>
          <w:ilvl w:val="1"/>
          <w:numId w:val="13"/>
        </w:numPr>
        <w:spacing w:after="120"/>
        <w:ind w:left="709" w:hanging="709"/>
      </w:pPr>
      <w:r w:rsidRPr="00986D60">
        <w:rPr>
          <w:rFonts w:cs="Calibri"/>
          <w:snapToGrid/>
          <w:szCs w:val="24"/>
          <w:lang w:val="en-US" w:eastAsia="en-AU"/>
        </w:rPr>
        <w:t>A modelled cost-utility decision-tree analysis was used, with separate analyses for cohorts by age</w:t>
      </w:r>
      <w:r w:rsidR="001D38AC" w:rsidRPr="00986D60">
        <w:rPr>
          <w:rFonts w:cs="Calibri"/>
          <w:snapToGrid/>
          <w:szCs w:val="24"/>
          <w:lang w:val="en-US" w:eastAsia="en-AU"/>
        </w:rPr>
        <w:t xml:space="preserve"> with one ratio for adults</w:t>
      </w:r>
      <w:r w:rsidRPr="00986D60">
        <w:rPr>
          <w:rFonts w:cs="Calibri"/>
          <w:snapToGrid/>
          <w:szCs w:val="24"/>
          <w:lang w:val="en-US" w:eastAsia="en-AU"/>
        </w:rPr>
        <w:t xml:space="preserve">. </w:t>
      </w:r>
      <w:r w:rsidR="0036248F">
        <w:rPr>
          <w:rFonts w:cs="Calibri"/>
          <w:snapToGrid/>
          <w:szCs w:val="24"/>
          <w:lang w:val="en-US" w:eastAsia="en-AU"/>
        </w:rPr>
        <w:t>The c</w:t>
      </w:r>
      <w:r w:rsidRPr="00986D60">
        <w:rPr>
          <w:rFonts w:cs="Calibri"/>
          <w:snapToGrid/>
          <w:szCs w:val="24"/>
          <w:lang w:val="en-US" w:eastAsia="en-AU"/>
        </w:rPr>
        <w:t xml:space="preserve">linical </w:t>
      </w:r>
      <w:r w:rsidR="0036248F">
        <w:rPr>
          <w:rFonts w:cs="Calibri"/>
          <w:snapToGrid/>
          <w:szCs w:val="24"/>
          <w:lang w:val="en-US" w:eastAsia="en-AU"/>
        </w:rPr>
        <w:t xml:space="preserve">study data outlined above (in ‘Clinical trials’ and ‘Comparative effectiveness’) </w:t>
      </w:r>
      <w:r w:rsidRPr="00986D60">
        <w:rPr>
          <w:rFonts w:cs="Calibri"/>
          <w:snapToGrid/>
          <w:szCs w:val="24"/>
          <w:lang w:val="en-US" w:eastAsia="en-AU"/>
        </w:rPr>
        <w:t>were not used to inform the model</w:t>
      </w:r>
      <w:r w:rsidR="00BD5B2A" w:rsidRPr="00986D60">
        <w:rPr>
          <w:rFonts w:cs="Calibri"/>
          <w:snapToGrid/>
          <w:szCs w:val="24"/>
          <w:lang w:val="en-US" w:eastAsia="en-AU"/>
        </w:rPr>
        <w:t>. Instead, the model was informed by</w:t>
      </w:r>
      <w:r w:rsidR="00530364" w:rsidRPr="00986D60">
        <w:rPr>
          <w:rFonts w:cs="Calibri"/>
          <w:snapToGrid/>
          <w:szCs w:val="24"/>
          <w:lang w:val="en-US" w:eastAsia="en-AU"/>
        </w:rPr>
        <w:t xml:space="preserve"> </w:t>
      </w:r>
      <w:r w:rsidR="00C23417" w:rsidRPr="00986D60">
        <w:rPr>
          <w:rFonts w:cs="Calibri"/>
          <w:snapToGrid/>
          <w:szCs w:val="24"/>
          <w:lang w:val="en-US" w:eastAsia="en-AU"/>
        </w:rPr>
        <w:t>epidemiological</w:t>
      </w:r>
      <w:r w:rsidR="00530364" w:rsidRPr="00986D60">
        <w:rPr>
          <w:rFonts w:cs="Calibri"/>
          <w:snapToGrid/>
          <w:szCs w:val="24"/>
          <w:lang w:val="en-US" w:eastAsia="en-AU"/>
        </w:rPr>
        <w:t xml:space="preserve"> data </w:t>
      </w:r>
      <w:r w:rsidR="00BD5B2A" w:rsidRPr="00986D60">
        <w:rPr>
          <w:rFonts w:cs="Calibri"/>
          <w:snapToGrid/>
          <w:szCs w:val="24"/>
          <w:lang w:val="en-US" w:eastAsia="en-AU"/>
        </w:rPr>
        <w:t xml:space="preserve">that was </w:t>
      </w:r>
      <w:r w:rsidR="00530364" w:rsidRPr="00986D60">
        <w:rPr>
          <w:rFonts w:cs="Calibri"/>
          <w:snapToGrid/>
          <w:szCs w:val="24"/>
          <w:lang w:val="en-US" w:eastAsia="en-AU"/>
        </w:rPr>
        <w:t xml:space="preserve">not </w:t>
      </w:r>
      <w:r w:rsidR="00BD5B2A" w:rsidRPr="00986D60">
        <w:rPr>
          <w:rFonts w:cs="Calibri"/>
          <w:snapToGrid/>
          <w:szCs w:val="24"/>
          <w:lang w:val="en-US" w:eastAsia="en-AU"/>
        </w:rPr>
        <w:t xml:space="preserve">applicable to the Australian population (e.g. the studies were conducted in the US or UK, and from </w:t>
      </w:r>
      <w:r w:rsidR="006A60C0" w:rsidRPr="00986D60">
        <w:rPr>
          <w:rFonts w:cs="Calibri"/>
          <w:snapToGrid/>
          <w:szCs w:val="24"/>
          <w:lang w:val="en-US" w:eastAsia="en-AU"/>
        </w:rPr>
        <w:t>different time periods with one having been conducted in</w:t>
      </w:r>
      <w:r w:rsidR="00BD5B2A" w:rsidRPr="00986D60">
        <w:rPr>
          <w:rFonts w:cs="Calibri"/>
          <w:snapToGrid/>
          <w:szCs w:val="24"/>
          <w:lang w:val="en-US" w:eastAsia="en-AU"/>
        </w:rPr>
        <w:t xml:space="preserve"> the 1970s</w:t>
      </w:r>
      <w:r w:rsidR="0068506C" w:rsidRPr="00986D60">
        <w:rPr>
          <w:rFonts w:cs="Calibri"/>
          <w:snapToGrid/>
          <w:szCs w:val="24"/>
          <w:lang w:val="en-US" w:eastAsia="en-AU"/>
        </w:rPr>
        <w:t>, as outlined in Table 1</w:t>
      </w:r>
      <w:r w:rsidR="005F08AF">
        <w:rPr>
          <w:rFonts w:cs="Calibri"/>
          <w:snapToGrid/>
          <w:szCs w:val="24"/>
          <w:lang w:val="en-US" w:eastAsia="en-AU"/>
        </w:rPr>
        <w:t>1</w:t>
      </w:r>
      <w:r w:rsidR="00BD5B2A" w:rsidRPr="00986D60">
        <w:rPr>
          <w:rFonts w:cs="Calibri"/>
          <w:snapToGrid/>
          <w:szCs w:val="24"/>
          <w:lang w:val="en-US" w:eastAsia="en-AU"/>
        </w:rPr>
        <w:t xml:space="preserve">). </w:t>
      </w:r>
    </w:p>
    <w:p w:rsidR="00B50A0C" w:rsidRPr="00986D60" w:rsidRDefault="00E9068E" w:rsidP="007A7ACD">
      <w:pPr>
        <w:pStyle w:val="ListParagraph"/>
        <w:widowControl/>
        <w:numPr>
          <w:ilvl w:val="1"/>
          <w:numId w:val="13"/>
        </w:numPr>
        <w:spacing w:after="120"/>
        <w:ind w:left="709" w:hanging="709"/>
        <w:rPr>
          <w:rStyle w:val="CommentReference"/>
          <w:rFonts w:ascii="Calibri" w:hAnsi="Calibri"/>
          <w:b w:val="0"/>
          <w:sz w:val="24"/>
          <w:szCs w:val="22"/>
        </w:rPr>
      </w:pPr>
      <w:r w:rsidRPr="00986D60">
        <w:rPr>
          <w:rStyle w:val="CommentReference"/>
          <w:rFonts w:ascii="Calibri" w:hAnsi="Calibri"/>
          <w:b w:val="0"/>
          <w:sz w:val="24"/>
          <w:szCs w:val="22"/>
        </w:rPr>
        <w:t>Two decision-tree analytic models with slightly different structures were used: one for the ‘</w:t>
      </w:r>
      <w:r w:rsidR="00BB14D9" w:rsidRPr="00986D60">
        <w:rPr>
          <w:rStyle w:val="CommentReference"/>
          <w:rFonts w:ascii="Calibri" w:hAnsi="Calibri"/>
          <w:b w:val="0"/>
          <w:sz w:val="24"/>
          <w:szCs w:val="22"/>
        </w:rPr>
        <w:t>poorly</w:t>
      </w:r>
      <w:r w:rsidRPr="00986D60">
        <w:rPr>
          <w:rStyle w:val="CommentReference"/>
          <w:rFonts w:ascii="Calibri" w:hAnsi="Calibri"/>
          <w:b w:val="0"/>
          <w:sz w:val="24"/>
          <w:szCs w:val="22"/>
        </w:rPr>
        <w:t>-controlled Phe level’ group; and one for the ‘</w:t>
      </w:r>
      <w:r w:rsidR="00BB14D9" w:rsidRPr="00986D60">
        <w:rPr>
          <w:rStyle w:val="CommentReference"/>
          <w:rFonts w:ascii="Calibri" w:hAnsi="Calibri"/>
          <w:b w:val="0"/>
          <w:sz w:val="24"/>
          <w:szCs w:val="22"/>
        </w:rPr>
        <w:t>well</w:t>
      </w:r>
      <w:r w:rsidRPr="00986D60">
        <w:rPr>
          <w:rStyle w:val="CommentReference"/>
          <w:rFonts w:ascii="Calibri" w:hAnsi="Calibri"/>
          <w:b w:val="0"/>
          <w:sz w:val="24"/>
          <w:szCs w:val="22"/>
        </w:rPr>
        <w:t>-controlled Phe level’ group</w:t>
      </w:r>
      <w:r w:rsidR="00DB2765" w:rsidRPr="00986D60">
        <w:rPr>
          <w:rStyle w:val="CommentReference"/>
          <w:rFonts w:ascii="Calibri" w:hAnsi="Calibri"/>
          <w:b w:val="0"/>
          <w:sz w:val="24"/>
          <w:szCs w:val="22"/>
        </w:rPr>
        <w:t>, as shown in Figures 3 and 4, respectively</w:t>
      </w:r>
      <w:r w:rsidRPr="00986D60">
        <w:rPr>
          <w:rStyle w:val="CommentReference"/>
          <w:rFonts w:ascii="Calibri" w:hAnsi="Calibri"/>
          <w:b w:val="0"/>
          <w:sz w:val="24"/>
          <w:szCs w:val="22"/>
        </w:rPr>
        <w:t xml:space="preserve">. These were combined in a weighted analysis </w:t>
      </w:r>
      <w:r w:rsidR="002E668E" w:rsidRPr="00986D60">
        <w:rPr>
          <w:rStyle w:val="CommentReference"/>
          <w:rFonts w:ascii="Calibri" w:hAnsi="Calibri"/>
          <w:b w:val="0"/>
          <w:sz w:val="24"/>
          <w:szCs w:val="22"/>
        </w:rPr>
        <w:t>for</w:t>
      </w:r>
      <w:r w:rsidRPr="00986D60">
        <w:rPr>
          <w:rStyle w:val="CommentReference"/>
          <w:rFonts w:ascii="Calibri" w:hAnsi="Calibri"/>
          <w:b w:val="0"/>
          <w:sz w:val="24"/>
          <w:szCs w:val="22"/>
        </w:rPr>
        <w:t xml:space="preserve"> the base-case economic evaluation. </w:t>
      </w:r>
    </w:p>
    <w:p w:rsidR="00280D62" w:rsidRPr="00986D60" w:rsidRDefault="00280D62" w:rsidP="005F08AF">
      <w:pPr>
        <w:pStyle w:val="ListParagraph"/>
        <w:widowControl/>
        <w:numPr>
          <w:ilvl w:val="1"/>
          <w:numId w:val="13"/>
        </w:numPr>
        <w:spacing w:after="120"/>
        <w:ind w:left="709" w:hanging="709"/>
        <w:rPr>
          <w:rStyle w:val="CommentReference"/>
          <w:rFonts w:ascii="Calibri" w:hAnsi="Calibri"/>
          <w:b w:val="0"/>
          <w:sz w:val="24"/>
          <w:szCs w:val="22"/>
        </w:rPr>
      </w:pPr>
      <w:r w:rsidRPr="00986D60">
        <w:rPr>
          <w:rStyle w:val="CommentReference"/>
          <w:rFonts w:ascii="Calibri" w:hAnsi="Calibri"/>
          <w:b w:val="0"/>
          <w:sz w:val="24"/>
          <w:szCs w:val="22"/>
        </w:rPr>
        <w:t xml:space="preserve">Separate </w:t>
      </w:r>
      <w:r w:rsidR="00954290" w:rsidRPr="00954290">
        <w:rPr>
          <w:rStyle w:val="CommentReference"/>
          <w:rFonts w:ascii="Calibri" w:hAnsi="Calibri"/>
          <w:b w:val="0"/>
          <w:sz w:val="24"/>
          <w:szCs w:val="22"/>
        </w:rPr>
        <w:t>incremental cost</w:t>
      </w:r>
      <w:r w:rsidR="00954290">
        <w:rPr>
          <w:rStyle w:val="CommentReference"/>
          <w:rFonts w:ascii="Calibri" w:hAnsi="Calibri"/>
          <w:b w:val="0"/>
          <w:sz w:val="24"/>
          <w:szCs w:val="22"/>
        </w:rPr>
        <w:t>-</w:t>
      </w:r>
      <w:r w:rsidR="00954290" w:rsidRPr="00954290">
        <w:rPr>
          <w:rStyle w:val="CommentReference"/>
          <w:rFonts w:ascii="Calibri" w:hAnsi="Calibri"/>
          <w:b w:val="0"/>
          <w:sz w:val="24"/>
          <w:szCs w:val="22"/>
        </w:rPr>
        <w:t>effectiveness ratio</w:t>
      </w:r>
      <w:r w:rsidR="00954290">
        <w:rPr>
          <w:rStyle w:val="CommentReference"/>
          <w:rFonts w:ascii="Calibri" w:hAnsi="Calibri"/>
          <w:b w:val="0"/>
          <w:sz w:val="24"/>
          <w:szCs w:val="22"/>
        </w:rPr>
        <w:t>s</w:t>
      </w:r>
      <w:r w:rsidR="00954290" w:rsidRPr="00954290">
        <w:rPr>
          <w:rStyle w:val="CommentReference"/>
          <w:rFonts w:ascii="Calibri" w:hAnsi="Calibri"/>
          <w:b w:val="0"/>
          <w:sz w:val="24"/>
          <w:szCs w:val="22"/>
        </w:rPr>
        <w:t xml:space="preserve"> </w:t>
      </w:r>
      <w:r w:rsidR="00954290">
        <w:rPr>
          <w:rStyle w:val="CommentReference"/>
          <w:rFonts w:ascii="Calibri" w:hAnsi="Calibri"/>
          <w:b w:val="0"/>
          <w:sz w:val="24"/>
          <w:szCs w:val="22"/>
        </w:rPr>
        <w:t>(</w:t>
      </w:r>
      <w:r w:rsidRPr="00986D60">
        <w:rPr>
          <w:rStyle w:val="CommentReference"/>
          <w:rFonts w:ascii="Calibri" w:hAnsi="Calibri"/>
          <w:b w:val="0"/>
          <w:sz w:val="24"/>
          <w:szCs w:val="22"/>
        </w:rPr>
        <w:t>ICERs</w:t>
      </w:r>
      <w:r w:rsidR="00954290">
        <w:rPr>
          <w:rStyle w:val="CommentReference"/>
          <w:rFonts w:ascii="Calibri" w:hAnsi="Calibri"/>
          <w:b w:val="0"/>
          <w:sz w:val="24"/>
          <w:szCs w:val="22"/>
        </w:rPr>
        <w:t>)</w:t>
      </w:r>
      <w:r w:rsidRPr="00986D60">
        <w:rPr>
          <w:rStyle w:val="CommentReference"/>
          <w:rFonts w:ascii="Calibri" w:hAnsi="Calibri"/>
          <w:b w:val="0"/>
          <w:sz w:val="24"/>
          <w:szCs w:val="22"/>
        </w:rPr>
        <w:t xml:space="preserve"> were calculated for each age between 0 and 17 years, and one for ≥ 18 years of age, rather than one lifetime ICER. This was based on feedback from the ESC fr</w:t>
      </w:r>
      <w:r w:rsidR="0068506C" w:rsidRPr="00986D60">
        <w:rPr>
          <w:rStyle w:val="CommentReference"/>
          <w:rFonts w:ascii="Calibri" w:hAnsi="Calibri"/>
          <w:b w:val="0"/>
          <w:sz w:val="24"/>
          <w:szCs w:val="22"/>
        </w:rPr>
        <w:t>om</w:t>
      </w:r>
      <w:r w:rsidRPr="00986D60">
        <w:rPr>
          <w:rStyle w:val="CommentReference"/>
          <w:rFonts w:ascii="Calibri" w:hAnsi="Calibri"/>
          <w:b w:val="0"/>
          <w:sz w:val="24"/>
          <w:szCs w:val="22"/>
        </w:rPr>
        <w:t xml:space="preserve"> the previous submission. </w:t>
      </w:r>
    </w:p>
    <w:p w:rsidR="00DB2765" w:rsidRPr="00986D60" w:rsidRDefault="00DB2765" w:rsidP="00980236">
      <w:pPr>
        <w:pStyle w:val="TableHeading0"/>
        <w:rPr>
          <w:rStyle w:val="CommentReference"/>
          <w:b/>
          <w:szCs w:val="22"/>
        </w:rPr>
      </w:pPr>
      <w:r w:rsidRPr="00986D60">
        <w:rPr>
          <w:rStyle w:val="CommentReference"/>
          <w:b/>
          <w:szCs w:val="22"/>
        </w:rPr>
        <w:t>Figure 3: Decision-tree structure for the poorly-controlled sub-population analysis</w:t>
      </w:r>
    </w:p>
    <w:p w:rsidR="00DB2765" w:rsidRPr="00986D60" w:rsidRDefault="00DB2765" w:rsidP="00980236">
      <w:pPr>
        <w:pStyle w:val="ListParagraph"/>
        <w:keepNext/>
        <w:keepLines/>
        <w:ind w:left="360"/>
      </w:pPr>
      <w:r w:rsidRPr="00986D60">
        <w:rPr>
          <w:noProof/>
          <w:lang w:eastAsia="en-AU"/>
        </w:rPr>
        <w:drawing>
          <wp:inline distT="0" distB="0" distL="0" distR="0" wp14:anchorId="1C658364" wp14:editId="2277A52E">
            <wp:extent cx="5589352" cy="17716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9352" cy="1771650"/>
                    </a:xfrm>
                    <a:prstGeom prst="rect">
                      <a:avLst/>
                    </a:prstGeom>
                    <a:noFill/>
                    <a:ln>
                      <a:noFill/>
                    </a:ln>
                  </pic:spPr>
                </pic:pic>
              </a:graphicData>
            </a:graphic>
          </wp:inline>
        </w:drawing>
      </w:r>
    </w:p>
    <w:p w:rsidR="00DB2765" w:rsidRPr="00986D60" w:rsidRDefault="00DB2765" w:rsidP="00980236">
      <w:pPr>
        <w:pStyle w:val="TableFooter"/>
      </w:pPr>
      <w:r w:rsidRPr="00986D60">
        <w:t xml:space="preserve">Source: Figure 3-8, p231 of the </w:t>
      </w:r>
      <w:r w:rsidR="00063220">
        <w:t>resubmission</w:t>
      </w:r>
    </w:p>
    <w:p w:rsidR="00DB2765" w:rsidRPr="00986D60" w:rsidRDefault="00DB2765" w:rsidP="00980236">
      <w:pPr>
        <w:pStyle w:val="TableFooter"/>
      </w:pPr>
      <w:r w:rsidRPr="00986D60">
        <w:t>R/A = relaxed or abandoned</w:t>
      </w:r>
    </w:p>
    <w:p w:rsidR="00DB2765" w:rsidRPr="00986D60" w:rsidRDefault="00DB2765" w:rsidP="00251B24">
      <w:pPr>
        <w:pStyle w:val="TableHeading0"/>
        <w:keepLines/>
      </w:pPr>
      <w:r w:rsidRPr="00986D60">
        <w:t xml:space="preserve">Figure </w:t>
      </w:r>
      <w:r w:rsidR="00980236" w:rsidRPr="00986D60">
        <w:t>4</w:t>
      </w:r>
      <w:r w:rsidRPr="00986D60">
        <w:t>: Decision-tree structure for the well-controlled sub-population analysis</w:t>
      </w:r>
    </w:p>
    <w:p w:rsidR="00DB2765" w:rsidRPr="00986D60" w:rsidRDefault="00DB2765" w:rsidP="00251B24">
      <w:pPr>
        <w:keepNext/>
        <w:keepLines/>
      </w:pPr>
      <w:r w:rsidRPr="00986D60">
        <w:rPr>
          <w:noProof/>
          <w:lang w:eastAsia="en-AU"/>
        </w:rPr>
        <w:drawing>
          <wp:inline distT="0" distB="0" distL="0" distR="0" wp14:anchorId="1616601C" wp14:editId="5E2FDEA6">
            <wp:extent cx="5564753"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497" cy="964747"/>
                    </a:xfrm>
                    <a:prstGeom prst="rect">
                      <a:avLst/>
                    </a:prstGeom>
                    <a:noFill/>
                    <a:ln>
                      <a:noFill/>
                    </a:ln>
                  </pic:spPr>
                </pic:pic>
              </a:graphicData>
            </a:graphic>
          </wp:inline>
        </w:drawing>
      </w:r>
    </w:p>
    <w:p w:rsidR="00DB2765" w:rsidRPr="00986D60" w:rsidRDefault="00DB2765" w:rsidP="00251B24">
      <w:pPr>
        <w:pStyle w:val="TableFooter"/>
        <w:keepNext/>
        <w:keepLines/>
        <w:rPr>
          <w:sz w:val="20"/>
        </w:rPr>
      </w:pPr>
      <w:r w:rsidRPr="00986D60">
        <w:t xml:space="preserve">Source: Figure 3-9, p231 of the </w:t>
      </w:r>
      <w:r w:rsidR="00063220">
        <w:t>resubmission</w:t>
      </w:r>
    </w:p>
    <w:p w:rsidR="00B555C7" w:rsidRPr="00986D60" w:rsidRDefault="00266F58" w:rsidP="007A7ACD">
      <w:pPr>
        <w:pStyle w:val="ListParagraph"/>
        <w:widowControl/>
        <w:numPr>
          <w:ilvl w:val="1"/>
          <w:numId w:val="13"/>
        </w:numPr>
        <w:spacing w:after="120"/>
        <w:ind w:left="709" w:hanging="709"/>
      </w:pPr>
      <w:r w:rsidRPr="00986D60">
        <w:t>T</w:t>
      </w:r>
      <w:r w:rsidR="00B555C7" w:rsidRPr="00986D60">
        <w:t xml:space="preserve">he ESC </w:t>
      </w:r>
      <w:r w:rsidR="00E733DF">
        <w:t xml:space="preserve">and the PBAC </w:t>
      </w:r>
      <w:r w:rsidR="00B555C7" w:rsidRPr="00986D60">
        <w:t>considered that basing the model on two discrete patient sub-groups was not reasonable as patients would likely cycle between the poorly-controlled and well-controlled groups</w:t>
      </w:r>
      <w:r w:rsidR="00DF71F1" w:rsidRPr="00986D60">
        <w:t xml:space="preserve"> over time</w:t>
      </w:r>
      <w:r w:rsidR="00B555C7" w:rsidRPr="00986D60">
        <w:t>.</w:t>
      </w:r>
    </w:p>
    <w:p w:rsidR="007362EC" w:rsidRPr="00986D60" w:rsidRDefault="005C63D9" w:rsidP="007A7ACD">
      <w:pPr>
        <w:pStyle w:val="ListParagraph"/>
        <w:widowControl/>
        <w:numPr>
          <w:ilvl w:val="1"/>
          <w:numId w:val="13"/>
        </w:numPr>
        <w:spacing w:after="120"/>
        <w:ind w:left="709" w:hanging="709"/>
      </w:pPr>
      <w:r w:rsidRPr="00986D60">
        <w:rPr>
          <w:rFonts w:cs="Calibri"/>
          <w:snapToGrid/>
          <w:szCs w:val="24"/>
          <w:lang w:val="en-US" w:eastAsia="en-AU"/>
        </w:rPr>
        <w:t>Table 10</w:t>
      </w:r>
      <w:r w:rsidR="00E73AC7" w:rsidRPr="00986D60">
        <w:rPr>
          <w:rFonts w:cs="Calibri"/>
          <w:snapToGrid/>
          <w:szCs w:val="24"/>
          <w:lang w:val="en-US" w:eastAsia="en-AU"/>
        </w:rPr>
        <w:t xml:space="preserve"> summarises the model structure and rationale. The economic evaluation differ</w:t>
      </w:r>
      <w:r w:rsidR="00EC2F40" w:rsidRPr="00986D60">
        <w:rPr>
          <w:rFonts w:cs="Calibri"/>
          <w:snapToGrid/>
          <w:szCs w:val="24"/>
          <w:lang w:val="en-US" w:eastAsia="en-AU"/>
        </w:rPr>
        <w:t>ed</w:t>
      </w:r>
      <w:r w:rsidR="00E73AC7" w:rsidRPr="00986D60">
        <w:rPr>
          <w:rFonts w:cs="Calibri"/>
          <w:snapToGrid/>
          <w:szCs w:val="24"/>
          <w:lang w:val="en-US" w:eastAsia="en-AU"/>
        </w:rPr>
        <w:t xml:space="preserve"> to that presented in the November </w:t>
      </w:r>
      <w:r w:rsidR="00EC2F40" w:rsidRPr="00986D60">
        <w:rPr>
          <w:rFonts w:cs="Calibri"/>
          <w:snapToGrid/>
          <w:szCs w:val="24"/>
          <w:lang w:val="en-US" w:eastAsia="en-AU"/>
        </w:rPr>
        <w:t xml:space="preserve">2011 </w:t>
      </w:r>
      <w:r w:rsidR="00E73AC7" w:rsidRPr="00986D60">
        <w:rPr>
          <w:rFonts w:cs="Calibri"/>
          <w:snapToGrid/>
          <w:szCs w:val="24"/>
          <w:lang w:val="en-US" w:eastAsia="en-AU"/>
        </w:rPr>
        <w:t xml:space="preserve">submission, </w:t>
      </w:r>
      <w:r w:rsidR="0068506C" w:rsidRPr="00986D60">
        <w:rPr>
          <w:rFonts w:cs="Calibri"/>
          <w:snapToGrid/>
          <w:szCs w:val="24"/>
          <w:lang w:val="en-US" w:eastAsia="en-AU"/>
        </w:rPr>
        <w:t>which used a</w:t>
      </w:r>
      <w:r w:rsidR="00E73AC7" w:rsidRPr="00986D60">
        <w:rPr>
          <w:rFonts w:cs="Calibri"/>
          <w:snapToGrid/>
          <w:szCs w:val="24"/>
          <w:lang w:val="en-US" w:eastAsia="en-AU"/>
        </w:rPr>
        <w:t xml:space="preserve"> Markov model with a lifetime time-horizon for an &lt;18 year-old population only.</w:t>
      </w:r>
    </w:p>
    <w:p w:rsidR="00275C5A" w:rsidRPr="00986D60" w:rsidRDefault="00275C5A" w:rsidP="008E6926">
      <w:pPr>
        <w:keepNext/>
        <w:keepLines/>
        <w:rPr>
          <w:rStyle w:val="CommentReference"/>
        </w:rPr>
      </w:pPr>
      <w:r w:rsidRPr="00986D60">
        <w:rPr>
          <w:rStyle w:val="CommentReference"/>
        </w:rPr>
        <w:t xml:space="preserve">Table </w:t>
      </w:r>
      <w:r w:rsidR="005C63D9" w:rsidRPr="00986D60">
        <w:rPr>
          <w:rStyle w:val="CommentReference"/>
        </w:rPr>
        <w:t>10</w:t>
      </w:r>
      <w:r w:rsidRPr="00986D60">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5"/>
        <w:gridCol w:w="7088"/>
      </w:tblGrid>
      <w:tr w:rsidR="00E73AC7" w:rsidRPr="00986D60" w:rsidTr="00150D90">
        <w:trPr>
          <w:tblHeader/>
        </w:trPr>
        <w:tc>
          <w:tcPr>
            <w:tcW w:w="1098" w:type="pct"/>
            <w:shd w:val="clear" w:color="auto" w:fill="auto"/>
            <w:vAlign w:val="center"/>
          </w:tcPr>
          <w:p w:rsidR="00E73AC7" w:rsidRPr="00986D60" w:rsidRDefault="00E73AC7" w:rsidP="008E6926">
            <w:pPr>
              <w:pStyle w:val="Tabletext"/>
              <w:keepNext/>
              <w:keepLines/>
              <w:rPr>
                <w:b/>
              </w:rPr>
            </w:pPr>
            <w:r w:rsidRPr="00986D60">
              <w:rPr>
                <w:b/>
              </w:rPr>
              <w:t>Component</w:t>
            </w:r>
          </w:p>
        </w:tc>
        <w:tc>
          <w:tcPr>
            <w:tcW w:w="3902" w:type="pct"/>
            <w:shd w:val="clear" w:color="auto" w:fill="auto"/>
            <w:vAlign w:val="center"/>
          </w:tcPr>
          <w:p w:rsidR="00E73AC7" w:rsidRPr="00986D60" w:rsidRDefault="00E73AC7" w:rsidP="008E6926">
            <w:pPr>
              <w:pStyle w:val="Tabletext"/>
              <w:keepNext/>
              <w:keepLines/>
              <w:jc w:val="center"/>
              <w:rPr>
                <w:b/>
              </w:rPr>
            </w:pPr>
            <w:r w:rsidRPr="00986D60">
              <w:rPr>
                <w:b/>
              </w:rPr>
              <w:t>Summary</w:t>
            </w:r>
          </w:p>
        </w:tc>
      </w:tr>
      <w:tr w:rsidR="00E73AC7" w:rsidRPr="00986D60" w:rsidTr="00150D90">
        <w:tc>
          <w:tcPr>
            <w:tcW w:w="1098" w:type="pct"/>
            <w:shd w:val="clear" w:color="auto" w:fill="auto"/>
            <w:vAlign w:val="center"/>
          </w:tcPr>
          <w:p w:rsidR="00E73AC7" w:rsidRPr="00986D60" w:rsidRDefault="00E73AC7" w:rsidP="008E6926">
            <w:pPr>
              <w:pStyle w:val="Tabletext"/>
              <w:keepNext/>
              <w:keepLines/>
            </w:pPr>
            <w:r w:rsidRPr="00986D60">
              <w:t>Time horizon</w:t>
            </w:r>
          </w:p>
        </w:tc>
        <w:tc>
          <w:tcPr>
            <w:tcW w:w="3902" w:type="pct"/>
            <w:shd w:val="clear" w:color="auto" w:fill="auto"/>
            <w:vAlign w:val="center"/>
          </w:tcPr>
          <w:p w:rsidR="00E73AC7" w:rsidRPr="00986D60" w:rsidRDefault="00E73AC7" w:rsidP="008E6926">
            <w:pPr>
              <w:pStyle w:val="Tabletext"/>
              <w:keepNext/>
              <w:keepLines/>
            </w:pPr>
            <w:r w:rsidRPr="00986D60">
              <w:t>1 year (analyses conducted for each age from 0 -17 years old, and for an ≥18 group)</w:t>
            </w:r>
          </w:p>
        </w:tc>
      </w:tr>
      <w:tr w:rsidR="00E73AC7" w:rsidRPr="00986D60" w:rsidTr="00150D90">
        <w:tc>
          <w:tcPr>
            <w:tcW w:w="1098" w:type="pct"/>
            <w:shd w:val="clear" w:color="auto" w:fill="auto"/>
            <w:vAlign w:val="center"/>
          </w:tcPr>
          <w:p w:rsidR="00E73AC7" w:rsidRPr="00986D60" w:rsidRDefault="00E73AC7" w:rsidP="008E6926">
            <w:pPr>
              <w:pStyle w:val="Tabletext"/>
              <w:keepNext/>
              <w:keepLines/>
            </w:pPr>
            <w:r w:rsidRPr="00986D60">
              <w:t>Outcomes</w:t>
            </w:r>
          </w:p>
        </w:tc>
        <w:tc>
          <w:tcPr>
            <w:tcW w:w="3902" w:type="pct"/>
            <w:shd w:val="clear" w:color="auto" w:fill="auto"/>
            <w:vAlign w:val="center"/>
          </w:tcPr>
          <w:p w:rsidR="00E73AC7" w:rsidRPr="00986D60" w:rsidRDefault="00E73AC7" w:rsidP="008E6926">
            <w:pPr>
              <w:pStyle w:val="Tabletext"/>
              <w:keepNext/>
              <w:keepLines/>
            </w:pPr>
            <w:r w:rsidRPr="00986D60">
              <w:t xml:space="preserve">Outcome of reduction in blood Phe-levels incorporated through the difference in utility values between relevant sapropterin and comparator health states. </w:t>
            </w:r>
          </w:p>
          <w:p w:rsidR="00E73AC7" w:rsidRPr="00986D60" w:rsidRDefault="00E73AC7" w:rsidP="008E6926">
            <w:pPr>
              <w:pStyle w:val="Tabletext"/>
              <w:keepNext/>
              <w:keepLines/>
            </w:pPr>
            <w:r w:rsidRPr="00986D60">
              <w:t>Outcome of reduction in Phe-free dietary restrictions incorporated through reduction in quantity of Phe-free supplement intake.</w:t>
            </w:r>
          </w:p>
        </w:tc>
      </w:tr>
      <w:tr w:rsidR="00E73AC7" w:rsidRPr="00986D60" w:rsidTr="00150D90">
        <w:tc>
          <w:tcPr>
            <w:tcW w:w="1098" w:type="pct"/>
            <w:shd w:val="clear" w:color="auto" w:fill="auto"/>
            <w:vAlign w:val="center"/>
          </w:tcPr>
          <w:p w:rsidR="00E73AC7" w:rsidRPr="00986D60" w:rsidRDefault="00E73AC7" w:rsidP="008E6926">
            <w:pPr>
              <w:pStyle w:val="Tabletext"/>
              <w:keepNext/>
              <w:keepLines/>
            </w:pPr>
            <w:r w:rsidRPr="00986D60">
              <w:t>Methods used to generate results</w:t>
            </w:r>
          </w:p>
        </w:tc>
        <w:tc>
          <w:tcPr>
            <w:tcW w:w="3902" w:type="pct"/>
            <w:shd w:val="clear" w:color="auto" w:fill="auto"/>
            <w:vAlign w:val="center"/>
          </w:tcPr>
          <w:p w:rsidR="00E73AC7" w:rsidRPr="00986D60" w:rsidRDefault="00E73AC7" w:rsidP="008E6926">
            <w:pPr>
              <w:pStyle w:val="Tabletext"/>
              <w:keepNext/>
              <w:keepLines/>
            </w:pPr>
            <w:r w:rsidRPr="00986D60">
              <w:t>For each cohort, two decision-tree analytic models (one for the ‘well-controlled Phe level’ group and one for the ‘poorly-controlled Phe level’ group) were combined in a weighted analysis to formulate the base-case economic evaluation.</w:t>
            </w:r>
          </w:p>
        </w:tc>
      </w:tr>
      <w:tr w:rsidR="00E73AC7" w:rsidRPr="00986D60" w:rsidTr="00150D90">
        <w:tc>
          <w:tcPr>
            <w:tcW w:w="1098" w:type="pct"/>
            <w:shd w:val="clear" w:color="auto" w:fill="auto"/>
            <w:vAlign w:val="center"/>
          </w:tcPr>
          <w:p w:rsidR="00E73AC7" w:rsidRPr="00986D60" w:rsidRDefault="00E73AC7" w:rsidP="008E6926">
            <w:pPr>
              <w:pStyle w:val="Tabletext"/>
              <w:keepNext/>
              <w:keepLines/>
            </w:pPr>
            <w:r w:rsidRPr="00986D60">
              <w:t>Health states</w:t>
            </w:r>
          </w:p>
        </w:tc>
        <w:tc>
          <w:tcPr>
            <w:tcW w:w="3902" w:type="pct"/>
            <w:shd w:val="clear" w:color="auto" w:fill="auto"/>
          </w:tcPr>
          <w:p w:rsidR="00E73AC7" w:rsidRPr="00986D60" w:rsidRDefault="00E73AC7" w:rsidP="008E6926">
            <w:pPr>
              <w:pStyle w:val="Tabletext"/>
              <w:keepNext/>
              <w:keepLines/>
            </w:pPr>
            <w:r w:rsidRPr="00986D60">
              <w:t>In patients with poorly-controlled Phe levels:</w:t>
            </w:r>
          </w:p>
          <w:p w:rsidR="00E73AC7" w:rsidRPr="00986D60" w:rsidRDefault="00E73AC7" w:rsidP="007A7ACD">
            <w:pPr>
              <w:pStyle w:val="Tabletext"/>
              <w:keepNext/>
              <w:keepLines/>
              <w:numPr>
                <w:ilvl w:val="0"/>
                <w:numId w:val="4"/>
              </w:numPr>
              <w:ind w:left="397" w:hanging="397"/>
            </w:pPr>
            <w:r w:rsidRPr="00986D60">
              <w:t>Sapropterin + relaxed Phe-restricted diet</w:t>
            </w:r>
            <w:r w:rsidR="00B738BF" w:rsidRPr="00986D60">
              <w:t xml:space="preserve"> </w:t>
            </w:r>
          </w:p>
          <w:p w:rsidR="00E73AC7" w:rsidRPr="00986D60" w:rsidRDefault="00E73AC7" w:rsidP="007A7ACD">
            <w:pPr>
              <w:pStyle w:val="Tabletext"/>
              <w:keepNext/>
              <w:keepLines/>
              <w:numPr>
                <w:ilvl w:val="0"/>
                <w:numId w:val="4"/>
              </w:numPr>
              <w:ind w:left="397" w:hanging="397"/>
            </w:pPr>
            <w:r w:rsidRPr="00986D60">
              <w:t>Sapropterin + abandoned Phe-restricted diet</w:t>
            </w:r>
            <w:r w:rsidR="00B738BF" w:rsidRPr="00986D60">
              <w:t xml:space="preserve"> </w:t>
            </w:r>
          </w:p>
          <w:p w:rsidR="00E73AC7" w:rsidRPr="00986D60" w:rsidRDefault="00E73AC7" w:rsidP="007A7ACD">
            <w:pPr>
              <w:pStyle w:val="Tabletext"/>
              <w:keepNext/>
              <w:keepLines/>
              <w:numPr>
                <w:ilvl w:val="0"/>
                <w:numId w:val="4"/>
              </w:numPr>
              <w:ind w:left="397" w:hanging="397"/>
            </w:pPr>
            <w:r w:rsidRPr="00986D60">
              <w:t>Relaxed Phe-restricted diet</w:t>
            </w:r>
            <w:r w:rsidR="00B738BF" w:rsidRPr="00986D60">
              <w:t xml:space="preserve"> </w:t>
            </w:r>
          </w:p>
          <w:p w:rsidR="00E73AC7" w:rsidRPr="00986D60" w:rsidRDefault="00E73AC7" w:rsidP="007A7ACD">
            <w:pPr>
              <w:pStyle w:val="Tabletext"/>
              <w:keepNext/>
              <w:keepLines/>
              <w:numPr>
                <w:ilvl w:val="0"/>
                <w:numId w:val="4"/>
              </w:numPr>
              <w:spacing w:after="40"/>
              <w:ind w:left="397" w:hanging="397"/>
            </w:pPr>
            <w:r w:rsidRPr="00986D60">
              <w:t>Abandoned Phe-restricted diet</w:t>
            </w:r>
            <w:r w:rsidR="00B738BF" w:rsidRPr="00986D60">
              <w:t xml:space="preserve"> </w:t>
            </w:r>
          </w:p>
          <w:p w:rsidR="00E73AC7" w:rsidRPr="00986D60" w:rsidRDefault="00E73AC7" w:rsidP="008E6926">
            <w:pPr>
              <w:pStyle w:val="Tabletext"/>
              <w:keepNext/>
              <w:keepLines/>
            </w:pPr>
            <w:r w:rsidRPr="00986D60">
              <w:t>In patients with well-controlled Phe levels:</w:t>
            </w:r>
          </w:p>
          <w:p w:rsidR="0068506C" w:rsidRPr="00986D60" w:rsidRDefault="00E73AC7" w:rsidP="007A7ACD">
            <w:pPr>
              <w:pStyle w:val="Tabletext"/>
              <w:keepNext/>
              <w:keepLines/>
              <w:numPr>
                <w:ilvl w:val="0"/>
                <w:numId w:val="5"/>
              </w:numPr>
              <w:ind w:left="397" w:hanging="397"/>
            </w:pPr>
            <w:r w:rsidRPr="00986D60">
              <w:t>Sapropterin + relaxed Phe-restricted diet</w:t>
            </w:r>
            <w:r w:rsidR="00B738BF" w:rsidRPr="00986D60">
              <w:t xml:space="preserve"> </w:t>
            </w:r>
          </w:p>
          <w:p w:rsidR="00E73AC7" w:rsidRPr="00986D60" w:rsidRDefault="00E73AC7" w:rsidP="007A7ACD">
            <w:pPr>
              <w:pStyle w:val="Tabletext"/>
              <w:keepNext/>
              <w:keepLines/>
              <w:numPr>
                <w:ilvl w:val="0"/>
                <w:numId w:val="5"/>
              </w:numPr>
              <w:ind w:left="397" w:hanging="397"/>
            </w:pPr>
            <w:r w:rsidRPr="00986D60">
              <w:t>Phe-restricted diet</w:t>
            </w:r>
            <w:r w:rsidR="00B738BF" w:rsidRPr="00986D60">
              <w:t xml:space="preserve"> </w:t>
            </w:r>
          </w:p>
        </w:tc>
      </w:tr>
      <w:tr w:rsidR="008E6926" w:rsidRPr="00986D60" w:rsidTr="00150D90">
        <w:tc>
          <w:tcPr>
            <w:tcW w:w="1098" w:type="pct"/>
            <w:shd w:val="clear" w:color="auto" w:fill="auto"/>
            <w:vAlign w:val="center"/>
          </w:tcPr>
          <w:p w:rsidR="008E6926" w:rsidRPr="00986D60" w:rsidRDefault="008E6926" w:rsidP="008E6926">
            <w:pPr>
              <w:pStyle w:val="Tabletext"/>
              <w:keepNext/>
              <w:keepLines/>
            </w:pPr>
            <w:r w:rsidRPr="00986D60">
              <w:t>Utility values</w:t>
            </w:r>
          </w:p>
        </w:tc>
        <w:tc>
          <w:tcPr>
            <w:tcW w:w="3902" w:type="pct"/>
            <w:shd w:val="clear" w:color="auto" w:fill="auto"/>
          </w:tcPr>
          <w:tbl>
            <w:tblPr>
              <w:tblStyle w:val="TableGrid"/>
              <w:tblW w:w="0" w:type="auto"/>
              <w:tblLook w:val="04A0" w:firstRow="1" w:lastRow="0" w:firstColumn="1" w:lastColumn="0" w:noHBand="0" w:noVBand="1"/>
            </w:tblPr>
            <w:tblGrid>
              <w:gridCol w:w="2253"/>
              <w:gridCol w:w="709"/>
              <w:gridCol w:w="4055"/>
            </w:tblGrid>
            <w:tr w:rsidR="00E7350B" w:rsidRPr="00986D60" w:rsidTr="00E7350B">
              <w:tc>
                <w:tcPr>
                  <w:tcW w:w="2253" w:type="dxa"/>
                </w:tcPr>
                <w:p w:rsidR="00E7350B" w:rsidRPr="00986D60" w:rsidRDefault="00E7350B" w:rsidP="00E7350B">
                  <w:pPr>
                    <w:pStyle w:val="Tabletext"/>
                    <w:keepNext/>
                    <w:keepLines/>
                  </w:pPr>
                  <w:r w:rsidRPr="00986D60">
                    <w:t>Health state</w:t>
                  </w:r>
                </w:p>
              </w:tc>
              <w:tc>
                <w:tcPr>
                  <w:tcW w:w="709" w:type="dxa"/>
                </w:tcPr>
                <w:p w:rsidR="00E7350B" w:rsidRPr="00986D60" w:rsidRDefault="00E7350B" w:rsidP="00E7350B">
                  <w:pPr>
                    <w:pStyle w:val="Tabletext"/>
                    <w:keepNext/>
                    <w:keepLines/>
                  </w:pPr>
                  <w:r w:rsidRPr="00986D60">
                    <w:t>Utility</w:t>
                  </w:r>
                </w:p>
              </w:tc>
              <w:tc>
                <w:tcPr>
                  <w:tcW w:w="4055" w:type="dxa"/>
                </w:tcPr>
                <w:p w:rsidR="00E7350B" w:rsidRPr="00986D60" w:rsidRDefault="00E7350B" w:rsidP="00E7350B">
                  <w:pPr>
                    <w:pStyle w:val="Tabletext"/>
                    <w:keepNext/>
                    <w:keepLines/>
                  </w:pPr>
                  <w:r w:rsidRPr="00986D60">
                    <w:t>Source</w:t>
                  </w:r>
                </w:p>
              </w:tc>
            </w:tr>
            <w:tr w:rsidR="00E7350B" w:rsidRPr="00986D60" w:rsidTr="00E7350B">
              <w:tc>
                <w:tcPr>
                  <w:tcW w:w="2253" w:type="dxa"/>
                </w:tcPr>
                <w:p w:rsidR="00E7350B" w:rsidRPr="00986D60" w:rsidRDefault="00E7350B" w:rsidP="00E7350B">
                  <w:pPr>
                    <w:pStyle w:val="Tabletext"/>
                    <w:keepNext/>
                    <w:keepLines/>
                  </w:pPr>
                  <w:r w:rsidRPr="00986D60">
                    <w:t>Sapropterin + relaxed or abandoned diet</w:t>
                  </w:r>
                </w:p>
              </w:tc>
              <w:tc>
                <w:tcPr>
                  <w:tcW w:w="709" w:type="dxa"/>
                </w:tcPr>
                <w:p w:rsidR="00E7350B" w:rsidRPr="006A61EC" w:rsidRDefault="006A61EC" w:rsidP="00E7350B">
                  <w:pPr>
                    <w:pStyle w:val="Tabletext"/>
                    <w:keepNext/>
                    <w:keepLines/>
                    <w:rPr>
                      <w:highlight w:val="black"/>
                    </w:rPr>
                  </w:pPr>
                  <w:r>
                    <w:rPr>
                      <w:noProof/>
                      <w:color w:val="000000"/>
                      <w:highlight w:val="black"/>
                    </w:rPr>
                    <w:t>''''''''''</w:t>
                  </w:r>
                </w:p>
              </w:tc>
              <w:tc>
                <w:tcPr>
                  <w:tcW w:w="4055" w:type="dxa"/>
                </w:tcPr>
                <w:p w:rsidR="00E7350B" w:rsidRPr="00986D60" w:rsidRDefault="00E7350B" w:rsidP="00E7350B">
                  <w:pPr>
                    <w:pStyle w:val="Tabletext"/>
                    <w:keepNext/>
                    <w:keepLines/>
                  </w:pPr>
                  <w:r w:rsidRPr="00986D60">
                    <w:t>UK general public parent valuations of ‘severe PKU controlled by drug’ child health state using EQ-5D</w:t>
                  </w:r>
                </w:p>
              </w:tc>
            </w:tr>
            <w:tr w:rsidR="00E7350B" w:rsidRPr="00986D60" w:rsidTr="00E7350B">
              <w:tc>
                <w:tcPr>
                  <w:tcW w:w="2253" w:type="dxa"/>
                </w:tcPr>
                <w:p w:rsidR="00E7350B" w:rsidRPr="00986D60" w:rsidRDefault="00E7350B" w:rsidP="00E7350B">
                  <w:pPr>
                    <w:pStyle w:val="Tabletext"/>
                    <w:keepNext/>
                    <w:keepLines/>
                  </w:pPr>
                  <w:r w:rsidRPr="00986D60">
                    <w:t xml:space="preserve">Strict Phe-restricted diet  </w:t>
                  </w:r>
                </w:p>
              </w:tc>
              <w:tc>
                <w:tcPr>
                  <w:tcW w:w="709" w:type="dxa"/>
                </w:tcPr>
                <w:p w:rsidR="00E7350B" w:rsidRPr="006A61EC" w:rsidRDefault="006A61EC" w:rsidP="00E7350B">
                  <w:pPr>
                    <w:pStyle w:val="Tabletext"/>
                    <w:keepNext/>
                    <w:keepLines/>
                    <w:rPr>
                      <w:highlight w:val="black"/>
                      <w:vertAlign w:val="superscript"/>
                    </w:rPr>
                  </w:pPr>
                  <w:r>
                    <w:rPr>
                      <w:noProof/>
                      <w:color w:val="000000"/>
                      <w:highlight w:val="black"/>
                    </w:rPr>
                    <w:t>'''''''''' ''''</w:t>
                  </w:r>
                </w:p>
              </w:tc>
              <w:tc>
                <w:tcPr>
                  <w:tcW w:w="4055" w:type="dxa"/>
                </w:tcPr>
                <w:p w:rsidR="00E7350B" w:rsidRPr="00986D60" w:rsidRDefault="00E7350B" w:rsidP="00E7350B">
                  <w:pPr>
                    <w:pStyle w:val="Tabletext"/>
                    <w:keepNext/>
                    <w:keepLines/>
                  </w:pPr>
                  <w:r w:rsidRPr="00986D60">
                    <w:t>unclear</w:t>
                  </w:r>
                </w:p>
              </w:tc>
            </w:tr>
            <w:tr w:rsidR="00E7350B" w:rsidRPr="00986D60" w:rsidTr="00E7350B">
              <w:tc>
                <w:tcPr>
                  <w:tcW w:w="2253" w:type="dxa"/>
                </w:tcPr>
                <w:p w:rsidR="00E7350B" w:rsidRPr="00986D60" w:rsidRDefault="00E7350B" w:rsidP="00E7350B">
                  <w:pPr>
                    <w:pStyle w:val="Tabletext"/>
                    <w:keepNext/>
                    <w:keepLines/>
                  </w:pPr>
                  <w:r w:rsidRPr="00986D60">
                    <w:t>Relaxed Phe-restricted diet</w:t>
                  </w:r>
                </w:p>
              </w:tc>
              <w:tc>
                <w:tcPr>
                  <w:tcW w:w="709" w:type="dxa"/>
                </w:tcPr>
                <w:p w:rsidR="00E7350B" w:rsidRPr="006A61EC" w:rsidRDefault="006A61EC" w:rsidP="00E7350B">
                  <w:pPr>
                    <w:pStyle w:val="Tabletext"/>
                    <w:keepNext/>
                    <w:keepLines/>
                    <w:rPr>
                      <w:highlight w:val="black"/>
                    </w:rPr>
                  </w:pPr>
                  <w:r>
                    <w:rPr>
                      <w:noProof/>
                      <w:color w:val="000000"/>
                      <w:highlight w:val="black"/>
                    </w:rPr>
                    <w:t>''''''''''</w:t>
                  </w:r>
                </w:p>
              </w:tc>
              <w:tc>
                <w:tcPr>
                  <w:tcW w:w="4055" w:type="dxa"/>
                </w:tcPr>
                <w:p w:rsidR="00E7350B" w:rsidRPr="00986D60" w:rsidRDefault="00E7350B" w:rsidP="00E7350B">
                  <w:pPr>
                    <w:pStyle w:val="Tabletext"/>
                    <w:keepNext/>
                    <w:keepLines/>
                  </w:pPr>
                  <w:r w:rsidRPr="00986D60">
                    <w:t>unclear</w:t>
                  </w:r>
                </w:p>
              </w:tc>
            </w:tr>
            <w:tr w:rsidR="00E7350B" w:rsidRPr="00986D60" w:rsidTr="00E7350B">
              <w:tc>
                <w:tcPr>
                  <w:tcW w:w="2253" w:type="dxa"/>
                </w:tcPr>
                <w:p w:rsidR="00E7350B" w:rsidRPr="00986D60" w:rsidRDefault="00E7350B" w:rsidP="00E7350B">
                  <w:pPr>
                    <w:pStyle w:val="Tabletext"/>
                    <w:keepNext/>
                    <w:keepLines/>
                  </w:pPr>
                  <w:r w:rsidRPr="00986D60">
                    <w:t>Abandoned Phe-restricted diet</w:t>
                  </w:r>
                  <w:r w:rsidR="004752F7" w:rsidRPr="00986D60">
                    <w:t xml:space="preserve"> (i.e. uncontrolled PKU)</w:t>
                  </w:r>
                </w:p>
              </w:tc>
              <w:tc>
                <w:tcPr>
                  <w:tcW w:w="709" w:type="dxa"/>
                </w:tcPr>
                <w:p w:rsidR="00E7350B" w:rsidRPr="006A61EC" w:rsidRDefault="006A61EC" w:rsidP="00E7350B">
                  <w:pPr>
                    <w:pStyle w:val="Tabletext"/>
                    <w:keepNext/>
                    <w:keepLines/>
                    <w:rPr>
                      <w:highlight w:val="black"/>
                    </w:rPr>
                  </w:pPr>
                  <w:r>
                    <w:rPr>
                      <w:noProof/>
                      <w:color w:val="000000"/>
                      <w:highlight w:val="black"/>
                    </w:rPr>
                    <w:t>'''''''''''</w:t>
                  </w:r>
                </w:p>
              </w:tc>
              <w:tc>
                <w:tcPr>
                  <w:tcW w:w="4055" w:type="dxa"/>
                </w:tcPr>
                <w:p w:rsidR="00E7350B" w:rsidRPr="00986D60" w:rsidRDefault="00E7350B" w:rsidP="00E7350B">
                  <w:pPr>
                    <w:pStyle w:val="Tabletext"/>
                    <w:keepNext/>
                    <w:keepLines/>
                  </w:pPr>
                  <w:r w:rsidRPr="00986D60">
                    <w:t>UK general public parent valuations of ‘uncontrolled PKU’ child health state using EQ-5D</w:t>
                  </w:r>
                </w:p>
              </w:tc>
            </w:tr>
          </w:tbl>
          <w:p w:rsidR="00E7350B" w:rsidRPr="00986D60" w:rsidRDefault="00E7350B" w:rsidP="00E7350B">
            <w:pPr>
              <w:pStyle w:val="Tabletext"/>
              <w:keepNext/>
              <w:keepLines/>
            </w:pPr>
          </w:p>
        </w:tc>
      </w:tr>
    </w:tbl>
    <w:p w:rsidR="003270E4" w:rsidRPr="00986D60" w:rsidRDefault="003270E4" w:rsidP="008E6926">
      <w:pPr>
        <w:pStyle w:val="TableFooter"/>
        <w:keepNext/>
        <w:keepLines/>
      </w:pPr>
      <w:r w:rsidRPr="00986D60">
        <w:t xml:space="preserve">Source: </w:t>
      </w:r>
      <w:r w:rsidR="00150D90" w:rsidRPr="00986D60">
        <w:t xml:space="preserve">Section 3 of the </w:t>
      </w:r>
      <w:r w:rsidR="00063220">
        <w:t>resubmission</w:t>
      </w:r>
    </w:p>
    <w:p w:rsidR="00613EFB" w:rsidRPr="00986D60" w:rsidRDefault="00613EFB" w:rsidP="00231EAD">
      <w:pPr>
        <w:pStyle w:val="TableFooter"/>
      </w:pPr>
      <w:r w:rsidRPr="00986D60">
        <w:rPr>
          <w:vertAlign w:val="superscript"/>
        </w:rPr>
        <w:t>a</w:t>
      </w:r>
      <w:r w:rsidRPr="00986D60">
        <w:t xml:space="preserve"> The ESC noted that as a straight linear relationship was assumed between </w:t>
      </w:r>
      <w:r w:rsidR="006A61EC">
        <w:rPr>
          <w:noProof/>
          <w:color w:val="000000"/>
          <w:highlight w:val="black"/>
        </w:rPr>
        <w:t>''''''''''</w:t>
      </w:r>
      <w:r w:rsidRPr="00986D60">
        <w:t xml:space="preserve"> and </w:t>
      </w:r>
      <w:r w:rsidR="006A61EC">
        <w:rPr>
          <w:noProof/>
          <w:color w:val="000000"/>
          <w:highlight w:val="black"/>
        </w:rPr>
        <w:t>'''''''''''</w:t>
      </w:r>
      <w:r w:rsidRPr="00986D60">
        <w:t xml:space="preserve">, then the utility value should be </w:t>
      </w:r>
      <w:r w:rsidR="006A61EC">
        <w:rPr>
          <w:noProof/>
          <w:color w:val="000000"/>
          <w:highlight w:val="black"/>
        </w:rPr>
        <w:t>''''''''''</w:t>
      </w:r>
      <w:r w:rsidRPr="00986D60">
        <w:t xml:space="preserve"> (rather than </w:t>
      </w:r>
      <w:r w:rsidR="006A61EC">
        <w:rPr>
          <w:noProof/>
          <w:color w:val="000000"/>
          <w:highlight w:val="black"/>
        </w:rPr>
        <w:t>''''''''''</w:t>
      </w:r>
      <w:r w:rsidRPr="00986D60">
        <w:t>)</w:t>
      </w:r>
      <w:r w:rsidR="00E7350B" w:rsidRPr="00986D60">
        <w:t xml:space="preserve"> as outlined on page</w:t>
      </w:r>
      <w:r w:rsidR="004752F7" w:rsidRPr="00986D60">
        <w:t>s 79 to 80 of the commentary (</w:t>
      </w:r>
      <w:r w:rsidR="00E7350B" w:rsidRPr="00986D60">
        <w:t>7.05.COM.</w:t>
      </w:r>
      <w:r w:rsidR="004752F7" w:rsidRPr="00986D60">
        <w:t>79-</w:t>
      </w:r>
      <w:r w:rsidR="00E7350B" w:rsidRPr="00986D60">
        <w:t>80</w:t>
      </w:r>
      <w:r w:rsidR="004752F7" w:rsidRPr="00986D60">
        <w:t>).</w:t>
      </w:r>
    </w:p>
    <w:p w:rsidR="00BB14D9" w:rsidRPr="00986D60" w:rsidRDefault="00BB14D9" w:rsidP="00231EAD">
      <w:pPr>
        <w:keepNext/>
        <w:keepLines/>
        <w:spacing w:after="120"/>
        <w:rPr>
          <w:u w:val="single"/>
        </w:rPr>
      </w:pPr>
      <w:r w:rsidRPr="00986D60">
        <w:rPr>
          <w:u w:val="single"/>
        </w:rPr>
        <w:t>Utilities</w:t>
      </w:r>
    </w:p>
    <w:p w:rsidR="002D64EE" w:rsidRPr="00986D60" w:rsidRDefault="00880109" w:rsidP="007A7ACD">
      <w:pPr>
        <w:pStyle w:val="ListParagraph"/>
        <w:keepNext/>
        <w:keepLines/>
        <w:numPr>
          <w:ilvl w:val="1"/>
          <w:numId w:val="13"/>
        </w:numPr>
        <w:ind w:left="709" w:hanging="709"/>
      </w:pPr>
      <w:r w:rsidRPr="00986D60">
        <w:t>The ESC considered that t</w:t>
      </w:r>
      <w:r w:rsidR="002D64EE" w:rsidRPr="00986D60">
        <w:t xml:space="preserve">he utility weights (outlined in Table </w:t>
      </w:r>
      <w:r w:rsidR="0036248F">
        <w:t>10</w:t>
      </w:r>
      <w:r w:rsidR="002D64EE" w:rsidRPr="00986D60">
        <w:t xml:space="preserve">) applied in the model lacked face validity because: </w:t>
      </w:r>
    </w:p>
    <w:p w:rsidR="002E6294" w:rsidRPr="00986D60" w:rsidRDefault="002E6294" w:rsidP="00231EAD">
      <w:pPr>
        <w:pStyle w:val="Bulletpoints"/>
        <w:keepNext/>
        <w:keepLines/>
        <w:ind w:left="993" w:hanging="284"/>
      </w:pPr>
      <w:r w:rsidRPr="00986D60">
        <w:t xml:space="preserve">applying a utility of </w:t>
      </w:r>
      <w:r w:rsidR="006A61EC">
        <w:rPr>
          <w:noProof/>
          <w:color w:val="000000"/>
          <w:highlight w:val="black"/>
        </w:rPr>
        <w:t>'''''''''</w:t>
      </w:r>
      <w:r w:rsidRPr="00986D60">
        <w:t xml:space="preserve"> to all patients receiving sapropterin, regardless of whether the benefit was reduced blood Phe (in </w:t>
      </w:r>
      <w:r w:rsidR="005160F0" w:rsidRPr="00986D60">
        <w:t xml:space="preserve">the </w:t>
      </w:r>
      <w:r w:rsidRPr="00986D60">
        <w:t>poorly</w:t>
      </w:r>
      <w:r w:rsidR="005160F0" w:rsidRPr="00986D60">
        <w:t>-</w:t>
      </w:r>
      <w:r w:rsidRPr="00986D60">
        <w:t>controlled</w:t>
      </w:r>
      <w:r w:rsidR="005160F0" w:rsidRPr="00986D60">
        <w:t xml:space="preserve"> group</w:t>
      </w:r>
      <w:r w:rsidRPr="00986D60">
        <w:t>) or increase</w:t>
      </w:r>
      <w:r w:rsidR="00980236" w:rsidRPr="00986D60">
        <w:t>d</w:t>
      </w:r>
      <w:r w:rsidRPr="00986D60">
        <w:t xml:space="preserve"> Phe tolerance (in </w:t>
      </w:r>
      <w:r w:rsidR="005160F0" w:rsidRPr="00986D60">
        <w:t xml:space="preserve">the </w:t>
      </w:r>
      <w:r w:rsidRPr="00986D60">
        <w:t>wel</w:t>
      </w:r>
      <w:r w:rsidR="005160F0" w:rsidRPr="00986D60">
        <w:t>l-</w:t>
      </w:r>
      <w:r w:rsidRPr="00986D60">
        <w:t xml:space="preserve"> controlled</w:t>
      </w:r>
      <w:r w:rsidR="005160F0" w:rsidRPr="00986D60">
        <w:t xml:space="preserve"> group</w:t>
      </w:r>
      <w:r w:rsidRPr="00986D60">
        <w:t>) was not reasonable</w:t>
      </w:r>
      <w:r w:rsidR="005160F0" w:rsidRPr="00986D60">
        <w:t xml:space="preserve">. In the poorly controlled group, the utility of </w:t>
      </w:r>
      <w:r w:rsidR="006A61EC">
        <w:rPr>
          <w:noProof/>
          <w:color w:val="000000"/>
          <w:highlight w:val="black"/>
        </w:rPr>
        <w:t>''''''''</w:t>
      </w:r>
      <w:r w:rsidR="005160F0" w:rsidRPr="00986D60">
        <w:t xml:space="preserve"> was applied regardless of actual change in blood Phe levels, despite only 32% of patients achieving blood Phe levels ≤</w:t>
      </w:r>
      <w:r w:rsidR="00980236" w:rsidRPr="00986D60">
        <w:t> </w:t>
      </w:r>
      <w:r w:rsidR="005160F0" w:rsidRPr="00986D60">
        <w:t>360</w:t>
      </w:r>
      <w:r w:rsidR="00980236" w:rsidRPr="00986D60">
        <w:t> </w:t>
      </w:r>
      <w:r w:rsidR="005160F0" w:rsidRPr="00986D60">
        <w:t>μmol/L (</w:t>
      </w:r>
      <w:r w:rsidR="00980236" w:rsidRPr="00986D60">
        <w:t xml:space="preserve">the </w:t>
      </w:r>
      <w:r w:rsidR="005160F0" w:rsidRPr="00986D60">
        <w:t xml:space="preserve">target </w:t>
      </w:r>
      <w:r w:rsidR="00980236" w:rsidRPr="00986D60">
        <w:t>range</w:t>
      </w:r>
      <w:r w:rsidR="005160F0" w:rsidRPr="00986D60">
        <w:t>) in Trial PKU-003. In the well-controlled group, there was no evidence to support the extent of relaxation of diet that would be achieved in clinical practice;</w:t>
      </w:r>
      <w:r w:rsidRPr="00986D60">
        <w:t xml:space="preserve"> </w:t>
      </w:r>
    </w:p>
    <w:p w:rsidR="002D64EE" w:rsidRPr="00986D60" w:rsidRDefault="002D64EE" w:rsidP="005160F0">
      <w:pPr>
        <w:pStyle w:val="Bulletpoints"/>
        <w:ind w:left="993" w:hanging="284"/>
      </w:pPr>
      <w:r w:rsidRPr="00986D60">
        <w:t xml:space="preserve">the use of </w:t>
      </w:r>
      <w:r w:rsidR="00280D62" w:rsidRPr="00986D60">
        <w:t>the same</w:t>
      </w:r>
      <w:r w:rsidRPr="00986D60">
        <w:t xml:space="preserve"> utilit</w:t>
      </w:r>
      <w:r w:rsidR="00280D62" w:rsidRPr="00986D60">
        <w:t xml:space="preserve">ies </w:t>
      </w:r>
      <w:r w:rsidR="00980236" w:rsidRPr="00986D60">
        <w:t>for</w:t>
      </w:r>
      <w:r w:rsidRPr="00986D60">
        <w:t xml:space="preserve"> both adults and children was </w:t>
      </w:r>
      <w:r w:rsidR="00280D62" w:rsidRPr="00986D60">
        <w:t xml:space="preserve">not clinically plausible. </w:t>
      </w:r>
      <w:r w:rsidR="00880109" w:rsidRPr="00986D60">
        <w:t>For example, t</w:t>
      </w:r>
      <w:r w:rsidR="0082272B" w:rsidRPr="00986D60">
        <w:t xml:space="preserve">he utility value of </w:t>
      </w:r>
      <w:r w:rsidR="006A61EC">
        <w:rPr>
          <w:noProof/>
          <w:color w:val="000000"/>
          <w:highlight w:val="black"/>
        </w:rPr>
        <w:t>''''''''</w:t>
      </w:r>
      <w:r w:rsidR="0082272B" w:rsidRPr="00986D60">
        <w:t xml:space="preserve"> </w:t>
      </w:r>
      <w:r w:rsidR="002A749B" w:rsidRPr="00986D60">
        <w:t xml:space="preserve">(for the ‘abandoned Phe-restricted diet, i.e. uncontrolled PKU, health state) </w:t>
      </w:r>
      <w:r w:rsidR="0082272B" w:rsidRPr="00986D60">
        <w:t>w</w:t>
      </w:r>
      <w:r w:rsidR="002A749B" w:rsidRPr="00986D60">
        <w:t>as</w:t>
      </w:r>
      <w:r w:rsidR="0082272B" w:rsidRPr="00986D60">
        <w:t xml:space="preserve"> based explicitly on </w:t>
      </w:r>
      <w:r w:rsidR="002A749B" w:rsidRPr="00986D60">
        <w:t xml:space="preserve">a </w:t>
      </w:r>
      <w:r w:rsidR="0082272B" w:rsidRPr="00986D60">
        <w:t>child health-state</w:t>
      </w:r>
      <w:r w:rsidR="00B83320" w:rsidRPr="00986D60">
        <w:t xml:space="preserve">. </w:t>
      </w:r>
      <w:r w:rsidR="001C0343">
        <w:t>The PBAC considered that i</w:t>
      </w:r>
      <w:r w:rsidR="00B83320" w:rsidRPr="00986D60">
        <w:t xml:space="preserve">t is highly likely that </w:t>
      </w:r>
      <w:r w:rsidR="0082272B" w:rsidRPr="00986D60">
        <w:t>potential health impacts of uncontrolled</w:t>
      </w:r>
      <w:r w:rsidR="00880109" w:rsidRPr="00986D60">
        <w:t xml:space="preserve"> PKU are more severe in infants and young children than in adults</w:t>
      </w:r>
      <w:r w:rsidR="0082272B" w:rsidRPr="00986D60">
        <w:t>;</w:t>
      </w:r>
    </w:p>
    <w:p w:rsidR="002E6294" w:rsidRPr="00986D60" w:rsidRDefault="002E6294" w:rsidP="005160F0">
      <w:pPr>
        <w:pStyle w:val="Bulletpoints"/>
        <w:ind w:left="993" w:hanging="284"/>
      </w:pPr>
      <w:r w:rsidRPr="00986D60">
        <w:t>the utility weight for the ‘abandoned Phe-restricted diet’ health state included behavioural impacts and the impact on parents, which were not appropriate for inclusion in the base case (</w:t>
      </w:r>
      <w:r w:rsidR="00B50A0C" w:rsidRPr="00986D60">
        <w:t xml:space="preserve">refer to </w:t>
      </w:r>
      <w:r w:rsidRPr="00986D60">
        <w:t>Section 3A.5, page 76, Guidelines for preparing a submission to the PBAC, Version 5.0, September 2016)</w:t>
      </w:r>
      <w:r w:rsidR="005160F0" w:rsidRPr="00986D60">
        <w:t>;</w:t>
      </w:r>
    </w:p>
    <w:p w:rsidR="002D64EE" w:rsidRPr="00986D60" w:rsidRDefault="00880109" w:rsidP="003D191E">
      <w:pPr>
        <w:pStyle w:val="Bulletpoints"/>
        <w:ind w:left="993" w:hanging="284"/>
      </w:pPr>
      <w:r w:rsidRPr="00986D60">
        <w:t>w</w:t>
      </w:r>
      <w:r w:rsidR="002D64EE" w:rsidRPr="00986D60">
        <w:t xml:space="preserve">hen compared with weights for other conditions with </w:t>
      </w:r>
      <w:r w:rsidR="003D191E" w:rsidRPr="00986D60">
        <w:t xml:space="preserve">potentially </w:t>
      </w:r>
      <w:r w:rsidR="002D64EE" w:rsidRPr="00986D60">
        <w:t>similar behavioural and functional impacts</w:t>
      </w:r>
      <w:r w:rsidR="00B83320" w:rsidRPr="00986D60">
        <w:t xml:space="preserve"> (such as </w:t>
      </w:r>
      <w:r w:rsidR="003D191E" w:rsidRPr="00986D60">
        <w:t>attention deficit hyperactivity disorder</w:t>
      </w:r>
      <w:r w:rsidR="00C01C71">
        <w:t xml:space="preserve"> [ADHD]</w:t>
      </w:r>
      <w:r w:rsidR="00B83320" w:rsidRPr="00986D60">
        <w:t>)</w:t>
      </w:r>
      <w:r w:rsidR="002D64EE" w:rsidRPr="00986D60">
        <w:t>, the weights used in the economic evaluation appeared implausible</w:t>
      </w:r>
      <w:r w:rsidR="00C01C71">
        <w:t xml:space="preserve">. The pre-PBAC response stated that </w:t>
      </w:r>
      <w:r w:rsidR="00E733DF">
        <w:t xml:space="preserve">while </w:t>
      </w:r>
      <w:r w:rsidR="003101A8">
        <w:t xml:space="preserve">some aspects of PKU </w:t>
      </w:r>
      <w:r w:rsidR="00C01C71">
        <w:t>resemble ADHD, the quality of life impacts of PKU extend beyond those of ADHD</w:t>
      </w:r>
      <w:r w:rsidR="005160F0" w:rsidRPr="00986D60">
        <w:t>; and</w:t>
      </w:r>
      <w:r w:rsidR="002D64EE" w:rsidRPr="00986D60">
        <w:t xml:space="preserve"> </w:t>
      </w:r>
    </w:p>
    <w:p w:rsidR="00613EFB" w:rsidRPr="00986D60" w:rsidRDefault="00880109" w:rsidP="005160F0">
      <w:pPr>
        <w:pStyle w:val="Bulletpoints"/>
        <w:spacing w:after="120"/>
        <w:ind w:left="993" w:hanging="284"/>
      </w:pPr>
      <w:r w:rsidRPr="00986D60">
        <w:t>t</w:t>
      </w:r>
      <w:r w:rsidR="00613EFB" w:rsidRPr="00986D60">
        <w:t xml:space="preserve">he resubmission assumed that the disutility associated with </w:t>
      </w:r>
      <w:r w:rsidR="00B2126B" w:rsidRPr="00986D60">
        <w:t xml:space="preserve">adhering to a </w:t>
      </w:r>
      <w:r w:rsidR="00613EFB" w:rsidRPr="00986D60">
        <w:t>Phe-restricted diet (</w:t>
      </w:r>
      <w:r w:rsidR="006A61EC">
        <w:rPr>
          <w:noProof/>
          <w:color w:val="000000"/>
          <w:highlight w:val="black"/>
        </w:rPr>
        <w:t>'''''''''</w:t>
      </w:r>
      <w:r w:rsidR="00613EFB" w:rsidRPr="00986D60">
        <w:t xml:space="preserve"> – </w:t>
      </w:r>
      <w:r w:rsidR="006A61EC">
        <w:rPr>
          <w:noProof/>
          <w:color w:val="000000"/>
          <w:highlight w:val="black"/>
        </w:rPr>
        <w:t>'''''''''</w:t>
      </w:r>
      <w:r w:rsidR="00613EFB" w:rsidRPr="00986D60">
        <w:t xml:space="preserve"> = </w:t>
      </w:r>
      <w:r w:rsidR="006A61EC">
        <w:rPr>
          <w:noProof/>
          <w:color w:val="000000"/>
          <w:highlight w:val="black"/>
        </w:rPr>
        <w:t>''''''''</w:t>
      </w:r>
      <w:r w:rsidR="00613EFB" w:rsidRPr="00986D60">
        <w:t>) w</w:t>
      </w:r>
      <w:r w:rsidR="00B2126B" w:rsidRPr="00986D60">
        <w:t>ould be</w:t>
      </w:r>
      <w:r w:rsidR="00613EFB" w:rsidRPr="00986D60">
        <w:t xml:space="preserve"> the same as the disutility associated with uncontrolled PKU (i.e. the abandoned Phe-restricted diet; </w:t>
      </w:r>
      <w:r w:rsidR="006A61EC">
        <w:rPr>
          <w:noProof/>
          <w:color w:val="000000"/>
          <w:highlight w:val="black"/>
        </w:rPr>
        <w:t>'''''''''</w:t>
      </w:r>
      <w:r w:rsidR="00613EFB" w:rsidRPr="00986D60">
        <w:t xml:space="preserve"> – </w:t>
      </w:r>
      <w:r w:rsidR="006A61EC">
        <w:rPr>
          <w:noProof/>
          <w:color w:val="000000"/>
          <w:highlight w:val="black"/>
        </w:rPr>
        <w:t>'''''''''</w:t>
      </w:r>
      <w:r w:rsidR="00613EFB" w:rsidRPr="00986D60">
        <w:t xml:space="preserve"> = </w:t>
      </w:r>
      <w:r w:rsidR="006A61EC">
        <w:rPr>
          <w:noProof/>
          <w:color w:val="000000"/>
          <w:highlight w:val="black"/>
        </w:rPr>
        <w:t>''''''''</w:t>
      </w:r>
      <w:r w:rsidR="00613EFB" w:rsidRPr="00986D60">
        <w:t>)</w:t>
      </w:r>
      <w:r w:rsidR="00B2126B" w:rsidRPr="00986D60">
        <w:t xml:space="preserve"> despite uncontrolled PKU in children potentially leading to irreversible neurological, behavioural and physiological sequelae</w:t>
      </w:r>
      <w:r w:rsidR="005160F0" w:rsidRPr="00986D60">
        <w:t>.</w:t>
      </w:r>
    </w:p>
    <w:p w:rsidR="002E668E" w:rsidRPr="00986D60" w:rsidRDefault="00346F41" w:rsidP="007A7ACD">
      <w:pPr>
        <w:pStyle w:val="ListParagraph"/>
        <w:numPr>
          <w:ilvl w:val="1"/>
          <w:numId w:val="13"/>
        </w:numPr>
        <w:ind w:left="709" w:hanging="709"/>
      </w:pPr>
      <w:r w:rsidRPr="00986D60">
        <w:rPr>
          <w:rStyle w:val="CommentReference"/>
          <w:rFonts w:ascii="Calibri" w:hAnsi="Calibri"/>
          <w:b w:val="0"/>
          <w:sz w:val="24"/>
          <w:szCs w:val="22"/>
        </w:rPr>
        <w:t xml:space="preserve">The PSCR acknowledged the limitations of the utility values but argued that no alternatives were available. </w:t>
      </w:r>
      <w:r w:rsidR="00740ADA" w:rsidRPr="00986D60">
        <w:rPr>
          <w:rStyle w:val="CommentReference"/>
          <w:rFonts w:ascii="Calibri" w:hAnsi="Calibri"/>
          <w:b w:val="0"/>
          <w:sz w:val="24"/>
          <w:szCs w:val="22"/>
        </w:rPr>
        <w:t xml:space="preserve">Overall, the ESC </w:t>
      </w:r>
      <w:r w:rsidR="00E733DF">
        <w:rPr>
          <w:rStyle w:val="CommentReference"/>
          <w:rFonts w:ascii="Calibri" w:hAnsi="Calibri"/>
          <w:b w:val="0"/>
          <w:sz w:val="24"/>
          <w:szCs w:val="22"/>
        </w:rPr>
        <w:t xml:space="preserve">and the PBAC </w:t>
      </w:r>
      <w:r w:rsidR="00740ADA" w:rsidRPr="00986D60">
        <w:rPr>
          <w:rStyle w:val="CommentReference"/>
          <w:rFonts w:ascii="Calibri" w:hAnsi="Calibri"/>
          <w:b w:val="0"/>
          <w:sz w:val="24"/>
          <w:szCs w:val="22"/>
        </w:rPr>
        <w:t>considered that the utility values, which were key drivers of the model, were implausible</w:t>
      </w:r>
      <w:r w:rsidR="00740ADA" w:rsidRPr="00986D60">
        <w:t xml:space="preserve">. </w:t>
      </w:r>
    </w:p>
    <w:p w:rsidR="00BB14D9" w:rsidRPr="00986D60" w:rsidRDefault="00BB14D9" w:rsidP="00BB14D9">
      <w:pPr>
        <w:widowControl/>
        <w:spacing w:after="120"/>
        <w:rPr>
          <w:rStyle w:val="CommentReference"/>
          <w:rFonts w:ascii="Calibri" w:hAnsi="Calibri"/>
          <w:b w:val="0"/>
          <w:sz w:val="24"/>
          <w:szCs w:val="22"/>
          <w:u w:val="single"/>
        </w:rPr>
      </w:pPr>
      <w:r w:rsidRPr="00986D60">
        <w:rPr>
          <w:rStyle w:val="CommentReference"/>
          <w:rFonts w:ascii="Calibri" w:hAnsi="Calibri"/>
          <w:b w:val="0"/>
          <w:sz w:val="24"/>
          <w:szCs w:val="22"/>
          <w:u w:val="single"/>
        </w:rPr>
        <w:t>Proportion of patients in the poorly-controlled verses well-controlled Phe level groups</w:t>
      </w:r>
    </w:p>
    <w:p w:rsidR="00BB14D9" w:rsidRPr="00986D60" w:rsidRDefault="00BB14D9" w:rsidP="007A7ACD">
      <w:pPr>
        <w:pStyle w:val="ListParagraph"/>
        <w:numPr>
          <w:ilvl w:val="1"/>
          <w:numId w:val="13"/>
        </w:numPr>
        <w:ind w:left="709" w:hanging="709"/>
        <w:rPr>
          <w:rStyle w:val="CommentReference"/>
          <w:rFonts w:ascii="Calibri" w:hAnsi="Calibri"/>
          <w:b w:val="0"/>
          <w:sz w:val="24"/>
          <w:szCs w:val="22"/>
        </w:rPr>
      </w:pPr>
      <w:r w:rsidRPr="00986D60">
        <w:rPr>
          <w:rStyle w:val="CommentReference"/>
          <w:rFonts w:ascii="Calibri" w:hAnsi="Calibri"/>
          <w:b w:val="0"/>
          <w:sz w:val="24"/>
          <w:szCs w:val="22"/>
        </w:rPr>
        <w:t>The proportion of patients in the ‘well-controlled Phe level’ group was assumed to be 82% for ages 0 to 12, 85% for ages 13 to 17, and 33% for ages ≥ 18 years. This was based on an epidemiological study, Freehauf 2013, which used blood-level data from a US database. The data were from 76 patients aged ≤ 21 years who received dietary management from 2000 to 2005. Median Phe-levels were calculated over five years and the proportion of pat</w:t>
      </w:r>
      <w:r w:rsidR="0082638C">
        <w:rPr>
          <w:rStyle w:val="CommentReference"/>
          <w:rFonts w:ascii="Calibri" w:hAnsi="Calibri"/>
          <w:b w:val="0"/>
          <w:sz w:val="24"/>
          <w:szCs w:val="22"/>
        </w:rPr>
        <w:t>i</w:t>
      </w:r>
      <w:r w:rsidRPr="00986D60">
        <w:rPr>
          <w:rStyle w:val="CommentReference"/>
          <w:rFonts w:ascii="Calibri" w:hAnsi="Calibri"/>
          <w:b w:val="0"/>
          <w:sz w:val="24"/>
          <w:szCs w:val="22"/>
        </w:rPr>
        <w:t xml:space="preserve">ents in each age group (0-12 years, 13-17 years and ≥18 years) who had median Phe levels within the target range were calculated. </w:t>
      </w:r>
    </w:p>
    <w:p w:rsidR="00B50A0C" w:rsidRPr="00986D60" w:rsidRDefault="00BB14D9" w:rsidP="007A7ACD">
      <w:pPr>
        <w:pStyle w:val="ListParagraph"/>
        <w:numPr>
          <w:ilvl w:val="1"/>
          <w:numId w:val="13"/>
        </w:numPr>
        <w:ind w:left="709" w:hanging="709"/>
        <w:rPr>
          <w:rStyle w:val="CommentReference"/>
          <w:rFonts w:ascii="Calibri" w:hAnsi="Calibri"/>
          <w:b w:val="0"/>
          <w:sz w:val="24"/>
          <w:szCs w:val="22"/>
        </w:rPr>
      </w:pPr>
      <w:r w:rsidRPr="00986D60">
        <w:rPr>
          <w:rStyle w:val="CommentReference"/>
          <w:rFonts w:ascii="Calibri" w:hAnsi="Calibri"/>
          <w:b w:val="0"/>
          <w:sz w:val="24"/>
          <w:szCs w:val="22"/>
        </w:rPr>
        <w:t xml:space="preserve">A number of issues were identified with </w:t>
      </w:r>
      <w:r w:rsidR="00B50A0C" w:rsidRPr="00986D60">
        <w:rPr>
          <w:rStyle w:val="CommentReference"/>
          <w:rFonts w:ascii="Calibri" w:hAnsi="Calibri"/>
          <w:b w:val="0"/>
          <w:sz w:val="24"/>
          <w:szCs w:val="22"/>
        </w:rPr>
        <w:t>applying</w:t>
      </w:r>
      <w:r w:rsidRPr="00986D60">
        <w:rPr>
          <w:rStyle w:val="CommentReference"/>
          <w:rFonts w:ascii="Calibri" w:hAnsi="Calibri"/>
          <w:b w:val="0"/>
          <w:sz w:val="24"/>
          <w:szCs w:val="22"/>
        </w:rPr>
        <w:t xml:space="preserve"> data from Freehauf 2013 in the economic model</w:t>
      </w:r>
      <w:r w:rsidR="00B50A0C" w:rsidRPr="00986D60">
        <w:rPr>
          <w:rStyle w:val="CommentReference"/>
          <w:rFonts w:ascii="Calibri" w:hAnsi="Calibri"/>
          <w:b w:val="0"/>
          <w:sz w:val="24"/>
          <w:szCs w:val="22"/>
        </w:rPr>
        <w:t>:</w:t>
      </w:r>
      <w:r w:rsidRPr="00986D60">
        <w:rPr>
          <w:rStyle w:val="CommentReference"/>
          <w:rFonts w:ascii="Calibri" w:hAnsi="Calibri"/>
          <w:b w:val="0"/>
          <w:sz w:val="24"/>
          <w:szCs w:val="22"/>
        </w:rPr>
        <w:t xml:space="preserve"> </w:t>
      </w:r>
    </w:p>
    <w:p w:rsidR="00B50A0C" w:rsidRPr="00986D60" w:rsidRDefault="00B50A0C" w:rsidP="00740ADA">
      <w:pPr>
        <w:pStyle w:val="Bulletpoints"/>
        <w:spacing w:after="120"/>
        <w:ind w:left="993" w:hanging="284"/>
        <w:contextualSpacing/>
        <w:rPr>
          <w:rStyle w:val="CommentReference"/>
          <w:rFonts w:ascii="Calibri" w:hAnsi="Calibri"/>
          <w:b w:val="0"/>
          <w:sz w:val="24"/>
          <w:szCs w:val="22"/>
        </w:rPr>
      </w:pPr>
      <w:r w:rsidRPr="00986D60">
        <w:rPr>
          <w:rStyle w:val="CommentReference"/>
          <w:rFonts w:ascii="Calibri" w:hAnsi="Calibri"/>
          <w:b w:val="0"/>
          <w:sz w:val="24"/>
          <w:szCs w:val="22"/>
        </w:rPr>
        <w:t>p</w:t>
      </w:r>
      <w:r w:rsidR="00BB14D9" w:rsidRPr="00986D60">
        <w:rPr>
          <w:rStyle w:val="CommentReference"/>
          <w:rFonts w:ascii="Calibri" w:hAnsi="Calibri"/>
          <w:b w:val="0"/>
          <w:sz w:val="24"/>
          <w:szCs w:val="22"/>
        </w:rPr>
        <w:t xml:space="preserve">atient numbers in the 13-17 and ≥ 18 year age groups were </w:t>
      </w:r>
      <w:r w:rsidR="00740ADA" w:rsidRPr="00986D60">
        <w:rPr>
          <w:rStyle w:val="CommentReference"/>
          <w:rFonts w:ascii="Calibri" w:hAnsi="Calibri"/>
          <w:b w:val="0"/>
          <w:sz w:val="24"/>
          <w:szCs w:val="22"/>
        </w:rPr>
        <w:t>low</w:t>
      </w:r>
      <w:r w:rsidR="00BB14D9" w:rsidRPr="00986D60">
        <w:rPr>
          <w:rStyle w:val="CommentReference"/>
          <w:rFonts w:ascii="Calibri" w:hAnsi="Calibri"/>
          <w:b w:val="0"/>
          <w:sz w:val="24"/>
          <w:szCs w:val="22"/>
        </w:rPr>
        <w:t xml:space="preserve"> (13 and 12 patients, respectively) and the ≥ 18 year age group comprised young adults only</w:t>
      </w:r>
      <w:r w:rsidRPr="00986D60">
        <w:rPr>
          <w:rStyle w:val="CommentReference"/>
          <w:rFonts w:ascii="Calibri" w:hAnsi="Calibri"/>
          <w:b w:val="0"/>
          <w:sz w:val="24"/>
          <w:szCs w:val="22"/>
        </w:rPr>
        <w:t>; and</w:t>
      </w:r>
    </w:p>
    <w:p w:rsidR="00B50A0C" w:rsidRPr="00986D60" w:rsidRDefault="00B50A0C" w:rsidP="00B50A0C">
      <w:pPr>
        <w:pStyle w:val="Bulletpoints"/>
        <w:spacing w:after="120"/>
        <w:ind w:left="993" w:hanging="284"/>
        <w:rPr>
          <w:rStyle w:val="CommentReference"/>
          <w:rFonts w:ascii="Calibri" w:hAnsi="Calibri"/>
          <w:b w:val="0"/>
          <w:sz w:val="24"/>
          <w:szCs w:val="22"/>
        </w:rPr>
      </w:pPr>
      <w:r w:rsidRPr="00986D60">
        <w:rPr>
          <w:rStyle w:val="CommentReference"/>
          <w:rFonts w:ascii="Calibri" w:hAnsi="Calibri"/>
          <w:b w:val="0"/>
          <w:sz w:val="24"/>
          <w:szCs w:val="22"/>
        </w:rPr>
        <w:t xml:space="preserve">the ESC </w:t>
      </w:r>
      <w:r w:rsidR="00E733DF">
        <w:rPr>
          <w:rStyle w:val="CommentReference"/>
          <w:rFonts w:ascii="Calibri" w:hAnsi="Calibri"/>
          <w:b w:val="0"/>
          <w:sz w:val="24"/>
          <w:szCs w:val="22"/>
        </w:rPr>
        <w:t xml:space="preserve">and the PBAC </w:t>
      </w:r>
      <w:r w:rsidRPr="00986D60">
        <w:rPr>
          <w:rStyle w:val="CommentReference"/>
          <w:rFonts w:ascii="Calibri" w:hAnsi="Calibri"/>
          <w:b w:val="0"/>
          <w:sz w:val="24"/>
          <w:szCs w:val="22"/>
        </w:rPr>
        <w:t>considered that Freehauf 2013 was unlikely to be a</w:t>
      </w:r>
      <w:r w:rsidR="00BB14D9" w:rsidRPr="00986D60">
        <w:rPr>
          <w:rStyle w:val="CommentReference"/>
          <w:rFonts w:ascii="Calibri" w:hAnsi="Calibri"/>
          <w:b w:val="0"/>
          <w:sz w:val="24"/>
          <w:szCs w:val="22"/>
        </w:rPr>
        <w:t>pplicabl</w:t>
      </w:r>
      <w:r w:rsidRPr="00986D60">
        <w:rPr>
          <w:rStyle w:val="CommentReference"/>
          <w:rFonts w:ascii="Calibri" w:hAnsi="Calibri"/>
          <w:b w:val="0"/>
          <w:sz w:val="24"/>
          <w:szCs w:val="22"/>
        </w:rPr>
        <w:t>e</w:t>
      </w:r>
      <w:r w:rsidR="00BB14D9" w:rsidRPr="00986D60">
        <w:rPr>
          <w:rStyle w:val="CommentReference"/>
          <w:rFonts w:ascii="Calibri" w:hAnsi="Calibri"/>
          <w:b w:val="0"/>
          <w:sz w:val="24"/>
          <w:szCs w:val="22"/>
        </w:rPr>
        <w:t xml:space="preserve"> to </w:t>
      </w:r>
      <w:r w:rsidRPr="00986D60">
        <w:rPr>
          <w:rStyle w:val="CommentReference"/>
          <w:rFonts w:ascii="Calibri" w:hAnsi="Calibri"/>
          <w:b w:val="0"/>
          <w:sz w:val="24"/>
          <w:szCs w:val="22"/>
        </w:rPr>
        <w:t xml:space="preserve">the </w:t>
      </w:r>
      <w:r w:rsidR="00BB14D9" w:rsidRPr="00986D60">
        <w:rPr>
          <w:rStyle w:val="CommentReference"/>
          <w:rFonts w:ascii="Calibri" w:hAnsi="Calibri"/>
          <w:b w:val="0"/>
          <w:sz w:val="24"/>
          <w:szCs w:val="22"/>
        </w:rPr>
        <w:t>PBS population</w:t>
      </w:r>
      <w:r w:rsidRPr="00986D60">
        <w:rPr>
          <w:rStyle w:val="CommentReference"/>
          <w:rFonts w:ascii="Calibri" w:hAnsi="Calibri"/>
          <w:b w:val="0"/>
          <w:sz w:val="24"/>
          <w:szCs w:val="22"/>
        </w:rPr>
        <w:t>.</w:t>
      </w:r>
      <w:r w:rsidR="00BB14D9" w:rsidRPr="00986D60">
        <w:rPr>
          <w:rStyle w:val="CommentReference"/>
          <w:rFonts w:ascii="Calibri" w:hAnsi="Calibri"/>
          <w:b w:val="0"/>
          <w:sz w:val="24"/>
          <w:szCs w:val="22"/>
        </w:rPr>
        <w:t xml:space="preserve"> </w:t>
      </w:r>
      <w:r w:rsidRPr="00986D60">
        <w:rPr>
          <w:rStyle w:val="CommentReference"/>
          <w:rFonts w:ascii="Calibri" w:hAnsi="Calibri"/>
          <w:b w:val="0"/>
          <w:sz w:val="24"/>
          <w:szCs w:val="22"/>
        </w:rPr>
        <w:t>F</w:t>
      </w:r>
      <w:r w:rsidR="00BB14D9" w:rsidRPr="00986D60">
        <w:rPr>
          <w:rStyle w:val="CommentReference"/>
          <w:rFonts w:ascii="Calibri" w:hAnsi="Calibri"/>
          <w:b w:val="0"/>
          <w:sz w:val="24"/>
          <w:szCs w:val="22"/>
        </w:rPr>
        <w:t>or example the study was conducted in the US where dietary management and access to supplements may differ from current Australian clinical practice</w:t>
      </w:r>
      <w:r w:rsidRPr="00986D60">
        <w:rPr>
          <w:rStyle w:val="CommentReference"/>
          <w:rFonts w:ascii="Calibri" w:hAnsi="Calibri"/>
          <w:b w:val="0"/>
          <w:sz w:val="24"/>
          <w:szCs w:val="22"/>
        </w:rPr>
        <w:t xml:space="preserve">. Further, </w:t>
      </w:r>
      <w:r w:rsidR="00BB14D9" w:rsidRPr="00986D60">
        <w:rPr>
          <w:rStyle w:val="CommentReference"/>
          <w:rFonts w:ascii="Calibri" w:hAnsi="Calibri"/>
          <w:b w:val="0"/>
          <w:sz w:val="24"/>
          <w:szCs w:val="22"/>
        </w:rPr>
        <w:t xml:space="preserve">patient characteristics were not available (such as Phe blood levels at diagnosis). </w:t>
      </w:r>
    </w:p>
    <w:p w:rsidR="00275C5A" w:rsidRPr="00986D60" w:rsidRDefault="005C63D9" w:rsidP="007A7ACD">
      <w:pPr>
        <w:pStyle w:val="ListParagraph"/>
        <w:widowControl/>
        <w:numPr>
          <w:ilvl w:val="1"/>
          <w:numId w:val="13"/>
        </w:numPr>
        <w:spacing w:after="120"/>
        <w:ind w:left="709" w:hanging="709"/>
      </w:pPr>
      <w:r w:rsidRPr="00986D60">
        <w:t>Table 11</w:t>
      </w:r>
      <w:r w:rsidR="00150D90" w:rsidRPr="00986D60">
        <w:t xml:space="preserve"> summarises the key model drivers.</w:t>
      </w:r>
    </w:p>
    <w:p w:rsidR="00D110BD" w:rsidRPr="00986D60" w:rsidRDefault="00D110BD" w:rsidP="005B1EE5">
      <w:pPr>
        <w:keepNext/>
        <w:keepLines/>
        <w:rPr>
          <w:rStyle w:val="CommentReference"/>
        </w:rPr>
      </w:pPr>
      <w:r w:rsidRPr="00986D60">
        <w:rPr>
          <w:rStyle w:val="CommentReference"/>
        </w:rPr>
        <w:t xml:space="preserve">Table </w:t>
      </w:r>
      <w:r w:rsidR="00150D90" w:rsidRPr="00986D60">
        <w:rPr>
          <w:rStyle w:val="CommentReference"/>
        </w:rPr>
        <w:t>1</w:t>
      </w:r>
      <w:r w:rsidR="005C63D9" w:rsidRPr="00986D60">
        <w:rPr>
          <w:rStyle w:val="CommentReference"/>
        </w:rPr>
        <w:t>1</w:t>
      </w:r>
      <w:r w:rsidRPr="00986D60">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2269"/>
        <w:gridCol w:w="5226"/>
      </w:tblGrid>
      <w:tr w:rsidR="00150D90" w:rsidRPr="00986D60" w:rsidTr="00BD5B2A">
        <w:trPr>
          <w:tblHeader/>
        </w:trPr>
        <w:tc>
          <w:tcPr>
            <w:tcW w:w="874" w:type="pct"/>
            <w:shd w:val="clear" w:color="auto" w:fill="auto"/>
            <w:vAlign w:val="center"/>
          </w:tcPr>
          <w:p w:rsidR="00150D90" w:rsidRPr="00986D60" w:rsidRDefault="00150D90" w:rsidP="005B1EE5">
            <w:pPr>
              <w:pStyle w:val="Tabletext"/>
              <w:keepNext/>
              <w:keepLines/>
              <w:rPr>
                <w:b/>
                <w:lang w:val="en-US"/>
              </w:rPr>
            </w:pPr>
            <w:r w:rsidRPr="00986D60">
              <w:rPr>
                <w:b/>
                <w:lang w:val="en-US"/>
              </w:rPr>
              <w:t>Description</w:t>
            </w:r>
          </w:p>
        </w:tc>
        <w:tc>
          <w:tcPr>
            <w:tcW w:w="1249" w:type="pct"/>
            <w:shd w:val="clear" w:color="auto" w:fill="auto"/>
            <w:vAlign w:val="center"/>
          </w:tcPr>
          <w:p w:rsidR="00150D90" w:rsidRPr="00986D60" w:rsidRDefault="00150D90" w:rsidP="005B1EE5">
            <w:pPr>
              <w:pStyle w:val="Tabletext"/>
              <w:keepNext/>
              <w:keepLines/>
              <w:jc w:val="center"/>
              <w:rPr>
                <w:b/>
                <w:lang w:val="en-US"/>
              </w:rPr>
            </w:pPr>
            <w:r w:rsidRPr="00986D60">
              <w:rPr>
                <w:b/>
                <w:lang w:val="en-US"/>
              </w:rPr>
              <w:t>Method/Value</w:t>
            </w:r>
          </w:p>
        </w:tc>
        <w:tc>
          <w:tcPr>
            <w:tcW w:w="2877" w:type="pct"/>
            <w:shd w:val="clear" w:color="auto" w:fill="auto"/>
            <w:vAlign w:val="center"/>
          </w:tcPr>
          <w:p w:rsidR="00150D90" w:rsidRPr="00986D60" w:rsidRDefault="00150D90" w:rsidP="005B1EE5">
            <w:pPr>
              <w:pStyle w:val="Tabletext"/>
              <w:keepNext/>
              <w:keepLines/>
              <w:jc w:val="center"/>
              <w:rPr>
                <w:b/>
                <w:lang w:val="en-US"/>
              </w:rPr>
            </w:pPr>
            <w:r w:rsidRPr="00986D60">
              <w:rPr>
                <w:b/>
                <w:lang w:val="en-US"/>
              </w:rPr>
              <w:t>Impact</w:t>
            </w:r>
            <w:r w:rsidR="00B17408" w:rsidRPr="00986D60">
              <w:rPr>
                <w:b/>
                <w:lang w:val="en-US"/>
              </w:rPr>
              <w:t>/Direction of bias</w:t>
            </w:r>
          </w:p>
        </w:tc>
      </w:tr>
      <w:tr w:rsidR="00150D90" w:rsidRPr="00986D60" w:rsidTr="00BD5B2A">
        <w:tc>
          <w:tcPr>
            <w:tcW w:w="874" w:type="pct"/>
            <w:shd w:val="clear" w:color="auto" w:fill="auto"/>
            <w:vAlign w:val="center"/>
          </w:tcPr>
          <w:p w:rsidR="00150D90" w:rsidRPr="00986D60" w:rsidRDefault="00150D90" w:rsidP="005B1EE5">
            <w:pPr>
              <w:pStyle w:val="Tabletext"/>
              <w:keepNext/>
              <w:keepLines/>
              <w:rPr>
                <w:lang w:val="en-US"/>
              </w:rPr>
            </w:pPr>
            <w:r w:rsidRPr="00986D60">
              <w:rPr>
                <w:lang w:val="en-US"/>
              </w:rPr>
              <w:t>Proportion of ‘well-controlled’ vs ‘poorly-controlled’ Phe blood level patients</w:t>
            </w:r>
          </w:p>
        </w:tc>
        <w:tc>
          <w:tcPr>
            <w:tcW w:w="1249" w:type="pct"/>
            <w:shd w:val="clear" w:color="auto" w:fill="auto"/>
            <w:vAlign w:val="center"/>
          </w:tcPr>
          <w:p w:rsidR="00150D90" w:rsidRPr="00986D60" w:rsidRDefault="00150D90" w:rsidP="005B1EE5">
            <w:pPr>
              <w:pStyle w:val="Tabletext"/>
              <w:keepNext/>
              <w:keepLines/>
              <w:rPr>
                <w:lang w:val="en-US"/>
              </w:rPr>
            </w:pPr>
            <w:r w:rsidRPr="00986D60">
              <w:rPr>
                <w:lang w:val="en-US"/>
              </w:rPr>
              <w:t>Epidemiological estimates by age taken from the l</w:t>
            </w:r>
            <w:r w:rsidR="007F0733" w:rsidRPr="00986D60">
              <w:rPr>
                <w:lang w:val="en-US"/>
              </w:rPr>
              <w:t>iterature (Freehauf et al 2013)</w:t>
            </w:r>
            <w:r w:rsidRPr="00986D60">
              <w:rPr>
                <w:lang w:val="en-US"/>
              </w:rPr>
              <w:t xml:space="preserve">. </w:t>
            </w:r>
          </w:p>
        </w:tc>
        <w:tc>
          <w:tcPr>
            <w:tcW w:w="2877" w:type="pct"/>
            <w:shd w:val="clear" w:color="auto" w:fill="auto"/>
            <w:vAlign w:val="center"/>
          </w:tcPr>
          <w:p w:rsidR="00150D90" w:rsidRPr="00986D60" w:rsidRDefault="000B7DAC" w:rsidP="005B1EE5">
            <w:pPr>
              <w:pStyle w:val="Tabletext"/>
              <w:keepNext/>
              <w:keepLines/>
              <w:rPr>
                <w:lang w:val="en-US"/>
              </w:rPr>
            </w:pPr>
            <w:r w:rsidRPr="00986D60">
              <w:rPr>
                <w:lang w:val="en-US"/>
              </w:rPr>
              <w:t>H</w:t>
            </w:r>
            <w:r w:rsidR="00150D90" w:rsidRPr="00986D60">
              <w:rPr>
                <w:lang w:val="en-US"/>
              </w:rPr>
              <w:t>igh</w:t>
            </w:r>
            <w:r w:rsidR="002F673F" w:rsidRPr="00986D60">
              <w:rPr>
                <w:lang w:val="en-US"/>
              </w:rPr>
              <w:t xml:space="preserve">. </w:t>
            </w:r>
            <w:r w:rsidR="007F0733" w:rsidRPr="00986D60">
              <w:rPr>
                <w:lang w:val="en-US"/>
              </w:rPr>
              <w:t xml:space="preserve">‘Poorly-controlled’ sub-group has substantially lower ICERs, thus these epidemiological inputs are key cost drivers. </w:t>
            </w:r>
            <w:r w:rsidR="002F673F" w:rsidRPr="00986D60">
              <w:rPr>
                <w:lang w:val="en-US"/>
              </w:rPr>
              <w:t>Unclear</w:t>
            </w:r>
            <w:r w:rsidR="00FA1F8C" w:rsidRPr="00986D60">
              <w:rPr>
                <w:lang w:val="en-US"/>
              </w:rPr>
              <w:t xml:space="preserve"> direction of bias</w:t>
            </w:r>
            <w:r w:rsidR="002F673F" w:rsidRPr="00986D60">
              <w:rPr>
                <w:lang w:val="en-US"/>
              </w:rPr>
              <w:t xml:space="preserve"> as the proportions in</w:t>
            </w:r>
            <w:r w:rsidR="00FA1F8C" w:rsidRPr="00986D60">
              <w:rPr>
                <w:lang w:val="en-US"/>
              </w:rPr>
              <w:t xml:space="preserve"> the</w:t>
            </w:r>
            <w:r w:rsidR="002F673F" w:rsidRPr="00986D60">
              <w:rPr>
                <w:lang w:val="en-US"/>
              </w:rPr>
              <w:t xml:space="preserve"> PBS population are unknown.</w:t>
            </w:r>
          </w:p>
        </w:tc>
      </w:tr>
      <w:tr w:rsidR="005A432F" w:rsidRPr="00986D60" w:rsidTr="00BD5B2A">
        <w:tc>
          <w:tcPr>
            <w:tcW w:w="874" w:type="pct"/>
            <w:shd w:val="clear" w:color="auto" w:fill="auto"/>
            <w:vAlign w:val="center"/>
          </w:tcPr>
          <w:p w:rsidR="005A432F" w:rsidRPr="00986D60" w:rsidRDefault="005A432F" w:rsidP="005B1EE5">
            <w:pPr>
              <w:pStyle w:val="Tabletext"/>
              <w:keepNext/>
              <w:keepLines/>
              <w:rPr>
                <w:lang w:val="en-US"/>
              </w:rPr>
            </w:pPr>
            <w:r w:rsidRPr="00986D60">
              <w:rPr>
                <w:lang w:val="en-US"/>
              </w:rPr>
              <w:t>Proportion on a ‘relaxed’ versus an ‘abandoned’ diet in the comparator arm (</w:t>
            </w:r>
            <w:r w:rsidR="00346F41" w:rsidRPr="00986D60">
              <w:rPr>
                <w:lang w:val="en-US"/>
              </w:rPr>
              <w:t xml:space="preserve">of the </w:t>
            </w:r>
            <w:r w:rsidRPr="00986D60">
              <w:rPr>
                <w:lang w:val="en-US"/>
              </w:rPr>
              <w:t>poorly-controlled group)</w:t>
            </w:r>
          </w:p>
        </w:tc>
        <w:tc>
          <w:tcPr>
            <w:tcW w:w="1249" w:type="pct"/>
            <w:shd w:val="clear" w:color="auto" w:fill="auto"/>
            <w:vAlign w:val="center"/>
          </w:tcPr>
          <w:p w:rsidR="005A432F" w:rsidRPr="00986D60" w:rsidRDefault="00346F41" w:rsidP="005B1EE5">
            <w:pPr>
              <w:pStyle w:val="Tabletext"/>
              <w:keepNext/>
              <w:keepLines/>
              <w:rPr>
                <w:lang w:val="en-US"/>
              </w:rPr>
            </w:pPr>
            <w:r w:rsidRPr="00986D60">
              <w:rPr>
                <w:lang w:val="en-US"/>
              </w:rPr>
              <w:t>Epidemiological studies. Smith 1991 for ages 0 to 17, Koch 2002 for ≥ 18 years.</w:t>
            </w:r>
          </w:p>
        </w:tc>
        <w:tc>
          <w:tcPr>
            <w:tcW w:w="2877" w:type="pct"/>
            <w:shd w:val="clear" w:color="auto" w:fill="auto"/>
            <w:vAlign w:val="center"/>
          </w:tcPr>
          <w:p w:rsidR="005A432F" w:rsidRPr="00986D60" w:rsidRDefault="002E668E" w:rsidP="005B1EE5">
            <w:pPr>
              <w:pStyle w:val="Tabletext"/>
              <w:keepNext/>
              <w:keepLines/>
              <w:rPr>
                <w:lang w:val="en-US"/>
              </w:rPr>
            </w:pPr>
            <w:r w:rsidRPr="00986D60">
              <w:rPr>
                <w:lang w:val="en-US"/>
              </w:rPr>
              <w:t xml:space="preserve">Moderate. </w:t>
            </w:r>
            <w:r w:rsidR="006A76D6" w:rsidRPr="00986D60">
              <w:rPr>
                <w:lang w:val="en-US"/>
              </w:rPr>
              <w:t xml:space="preserve">Unclear direction of bias. </w:t>
            </w:r>
            <w:r w:rsidRPr="00986D60">
              <w:rPr>
                <w:lang w:val="en-US"/>
              </w:rPr>
              <w:t>Smith 1991 was U</w:t>
            </w:r>
            <w:r w:rsidR="006A76D6" w:rsidRPr="00986D60">
              <w:rPr>
                <w:lang w:val="en-US"/>
              </w:rPr>
              <w:t>K study of patients born in 1972-1978. Koch 2002 was a US study based on 73 young adults</w:t>
            </w:r>
            <w:r w:rsidR="00BD5B2A" w:rsidRPr="00986D60">
              <w:rPr>
                <w:lang w:val="en-US"/>
              </w:rPr>
              <w:t>, d</w:t>
            </w:r>
            <w:r w:rsidR="006A76D6" w:rsidRPr="00986D60">
              <w:rPr>
                <w:lang w:val="en-US"/>
              </w:rPr>
              <w:t>ata were from the 1990s. T</w:t>
            </w:r>
            <w:r w:rsidRPr="00986D60">
              <w:rPr>
                <w:lang w:val="en-US"/>
              </w:rPr>
              <w:t xml:space="preserve">he methodology and the applicability </w:t>
            </w:r>
            <w:r w:rsidR="006A76D6" w:rsidRPr="00986D60">
              <w:rPr>
                <w:lang w:val="en-US"/>
              </w:rPr>
              <w:t xml:space="preserve">of both studies </w:t>
            </w:r>
            <w:r w:rsidRPr="00986D60">
              <w:rPr>
                <w:lang w:val="en-US"/>
              </w:rPr>
              <w:t xml:space="preserve">to the current Australian population were unclear (e.g. it was unclear if the dietary cut-offs </w:t>
            </w:r>
            <w:r w:rsidR="00BD5B2A" w:rsidRPr="00986D60">
              <w:rPr>
                <w:lang w:val="en-US"/>
              </w:rPr>
              <w:t>are</w:t>
            </w:r>
            <w:r w:rsidRPr="00986D60">
              <w:rPr>
                <w:lang w:val="en-US"/>
              </w:rPr>
              <w:t xml:space="preserve"> applicable </w:t>
            </w:r>
            <w:r w:rsidR="006A76D6" w:rsidRPr="00986D60">
              <w:rPr>
                <w:lang w:val="en-US"/>
              </w:rPr>
              <w:t xml:space="preserve">and if adherence has changed since the time the studies were conducted). </w:t>
            </w:r>
          </w:p>
        </w:tc>
      </w:tr>
      <w:tr w:rsidR="00150D90" w:rsidRPr="00986D60" w:rsidTr="00BD5B2A">
        <w:tc>
          <w:tcPr>
            <w:tcW w:w="874" w:type="pct"/>
            <w:shd w:val="clear" w:color="auto" w:fill="auto"/>
            <w:vAlign w:val="center"/>
          </w:tcPr>
          <w:p w:rsidR="00150D90" w:rsidRPr="00986D60" w:rsidRDefault="00150D90" w:rsidP="005B1EE5">
            <w:pPr>
              <w:pStyle w:val="Tabletext"/>
              <w:keepNext/>
              <w:keepLines/>
              <w:rPr>
                <w:lang w:val="en-US"/>
              </w:rPr>
            </w:pPr>
            <w:r w:rsidRPr="00986D60">
              <w:rPr>
                <w:lang w:val="en-US"/>
              </w:rPr>
              <w:t>Sapropterin health states utility value</w:t>
            </w:r>
          </w:p>
        </w:tc>
        <w:tc>
          <w:tcPr>
            <w:tcW w:w="1249" w:type="pct"/>
            <w:shd w:val="clear" w:color="auto" w:fill="auto"/>
            <w:vAlign w:val="center"/>
          </w:tcPr>
          <w:p w:rsidR="00150D90" w:rsidRPr="00986D60" w:rsidRDefault="00150D90" w:rsidP="005B1EE5">
            <w:pPr>
              <w:pStyle w:val="Tabletext"/>
              <w:keepNext/>
              <w:keepLines/>
              <w:rPr>
                <w:lang w:val="en-US"/>
              </w:rPr>
            </w:pPr>
            <w:r w:rsidRPr="00986D60">
              <w:rPr>
                <w:lang w:val="en-US"/>
              </w:rPr>
              <w:t>Utility value (</w:t>
            </w:r>
            <w:r w:rsidR="006A61EC">
              <w:rPr>
                <w:noProof/>
                <w:color w:val="000000"/>
                <w:highlight w:val="black"/>
                <w:lang w:val="en-US"/>
              </w:rPr>
              <w:t>''''''''''</w:t>
            </w:r>
            <w:r w:rsidRPr="00986D60">
              <w:rPr>
                <w:lang w:val="en-US"/>
              </w:rPr>
              <w:t>) derived from YHEC Utility Study for the ‘Child Severe PKU controlled by drug’ health-state using the EQ-5D.</w:t>
            </w:r>
          </w:p>
        </w:tc>
        <w:tc>
          <w:tcPr>
            <w:tcW w:w="2877" w:type="pct"/>
            <w:shd w:val="clear" w:color="auto" w:fill="auto"/>
            <w:vAlign w:val="center"/>
          </w:tcPr>
          <w:p w:rsidR="00150D90" w:rsidRPr="00986D60" w:rsidRDefault="00150D90" w:rsidP="005B1EE5">
            <w:pPr>
              <w:pStyle w:val="Tabletext"/>
              <w:keepNext/>
              <w:keepLines/>
              <w:rPr>
                <w:lang w:val="en-US"/>
              </w:rPr>
            </w:pPr>
            <w:r w:rsidRPr="00986D60">
              <w:rPr>
                <w:lang w:val="en-US"/>
              </w:rPr>
              <w:t>High</w:t>
            </w:r>
            <w:r w:rsidR="002F673F" w:rsidRPr="00986D60">
              <w:rPr>
                <w:lang w:val="en-US"/>
              </w:rPr>
              <w:t>. Unclear</w:t>
            </w:r>
            <w:r w:rsidR="00FA1F8C" w:rsidRPr="00986D60">
              <w:rPr>
                <w:lang w:val="en-US"/>
              </w:rPr>
              <w:t xml:space="preserve"> direction</w:t>
            </w:r>
            <w:r w:rsidR="002F673F" w:rsidRPr="00986D60">
              <w:rPr>
                <w:lang w:val="en-US"/>
              </w:rPr>
              <w:t>, but the assumption of the same utility being applied to those benefitting from blood Phe reductions and those ben</w:t>
            </w:r>
            <w:r w:rsidR="00FC4764" w:rsidRPr="00986D60">
              <w:rPr>
                <w:lang w:val="en-US"/>
              </w:rPr>
              <w:t>e</w:t>
            </w:r>
            <w:r w:rsidR="002F673F" w:rsidRPr="00986D60">
              <w:rPr>
                <w:lang w:val="en-US"/>
              </w:rPr>
              <w:t>f</w:t>
            </w:r>
            <w:r w:rsidR="00FC4764" w:rsidRPr="00986D60">
              <w:rPr>
                <w:lang w:val="en-US"/>
              </w:rPr>
              <w:t>i</w:t>
            </w:r>
            <w:r w:rsidR="002F673F" w:rsidRPr="00986D60">
              <w:rPr>
                <w:lang w:val="en-US"/>
              </w:rPr>
              <w:t xml:space="preserve">tting from relaxation of diet </w:t>
            </w:r>
            <w:r w:rsidR="00FC4764" w:rsidRPr="00986D60">
              <w:rPr>
                <w:lang w:val="en-US"/>
              </w:rPr>
              <w:t xml:space="preserve">while maintaining target levels </w:t>
            </w:r>
            <w:r w:rsidR="002F673F" w:rsidRPr="00986D60">
              <w:rPr>
                <w:lang w:val="en-US"/>
              </w:rPr>
              <w:t>appear</w:t>
            </w:r>
            <w:r w:rsidR="00BD5B2A" w:rsidRPr="00986D60">
              <w:rPr>
                <w:lang w:val="en-US"/>
              </w:rPr>
              <w:t>ed</w:t>
            </w:r>
            <w:r w:rsidR="002F673F" w:rsidRPr="00986D60">
              <w:rPr>
                <w:lang w:val="en-US"/>
              </w:rPr>
              <w:t xml:space="preserve"> implausible.</w:t>
            </w:r>
          </w:p>
        </w:tc>
      </w:tr>
      <w:tr w:rsidR="00150D90" w:rsidRPr="00986D60" w:rsidTr="00BD5B2A">
        <w:tc>
          <w:tcPr>
            <w:tcW w:w="874" w:type="pct"/>
            <w:shd w:val="clear" w:color="auto" w:fill="auto"/>
            <w:vAlign w:val="center"/>
          </w:tcPr>
          <w:p w:rsidR="00150D90" w:rsidRPr="00986D60" w:rsidRDefault="00150D90" w:rsidP="00266F58">
            <w:pPr>
              <w:pStyle w:val="Tabletext"/>
              <w:keepNext/>
              <w:keepLines/>
              <w:rPr>
                <w:lang w:val="en-US"/>
              </w:rPr>
            </w:pPr>
            <w:r w:rsidRPr="00986D60">
              <w:rPr>
                <w:lang w:val="en-US"/>
              </w:rPr>
              <w:t>‘</w:t>
            </w:r>
            <w:r w:rsidR="00266F58" w:rsidRPr="00986D60">
              <w:rPr>
                <w:lang w:val="en-US"/>
              </w:rPr>
              <w:t xml:space="preserve">Strict </w:t>
            </w:r>
            <w:r w:rsidRPr="00986D60">
              <w:rPr>
                <w:lang w:val="en-US"/>
              </w:rPr>
              <w:t>Phe-restricted diet’ health state utility value</w:t>
            </w:r>
          </w:p>
        </w:tc>
        <w:tc>
          <w:tcPr>
            <w:tcW w:w="1249" w:type="pct"/>
            <w:shd w:val="clear" w:color="auto" w:fill="auto"/>
            <w:vAlign w:val="center"/>
          </w:tcPr>
          <w:p w:rsidR="00150D90" w:rsidRPr="00986D60" w:rsidRDefault="00150D90" w:rsidP="005B1EE5">
            <w:pPr>
              <w:pStyle w:val="Tabletext"/>
              <w:keepNext/>
              <w:keepLines/>
              <w:rPr>
                <w:lang w:val="en-US"/>
              </w:rPr>
            </w:pPr>
            <w:r w:rsidRPr="00986D60">
              <w:rPr>
                <w:lang w:val="en-US"/>
              </w:rPr>
              <w:t>Utility value (</w:t>
            </w:r>
            <w:r w:rsidR="006A61EC">
              <w:rPr>
                <w:noProof/>
                <w:color w:val="000000"/>
                <w:highlight w:val="black"/>
                <w:lang w:val="en-US"/>
              </w:rPr>
              <w:t>''''''''''''</w:t>
            </w:r>
            <w:r w:rsidRPr="00986D60">
              <w:rPr>
                <w:lang w:val="en-US"/>
              </w:rPr>
              <w:t>) taken from November 2011 evaluator-conducted sensitivity analyses, the derivation of which is unclear.</w:t>
            </w:r>
          </w:p>
        </w:tc>
        <w:tc>
          <w:tcPr>
            <w:tcW w:w="2877" w:type="pct"/>
            <w:shd w:val="clear" w:color="auto" w:fill="auto"/>
            <w:vAlign w:val="center"/>
          </w:tcPr>
          <w:p w:rsidR="00150D90" w:rsidRPr="00986D60" w:rsidRDefault="00150D90" w:rsidP="00266F58">
            <w:pPr>
              <w:pStyle w:val="Tabletext"/>
              <w:keepNext/>
              <w:keepLines/>
              <w:rPr>
                <w:lang w:val="en-US"/>
              </w:rPr>
            </w:pPr>
            <w:r w:rsidRPr="00986D60">
              <w:rPr>
                <w:lang w:val="en-US"/>
              </w:rPr>
              <w:t>High</w:t>
            </w:r>
            <w:r w:rsidR="002F673F" w:rsidRPr="00986D60">
              <w:rPr>
                <w:lang w:val="en-US"/>
              </w:rPr>
              <w:t xml:space="preserve">. Unclear </w:t>
            </w:r>
            <w:r w:rsidR="00FA1F8C" w:rsidRPr="00986D60">
              <w:rPr>
                <w:lang w:val="en-US"/>
              </w:rPr>
              <w:t xml:space="preserve">direction </w:t>
            </w:r>
            <w:r w:rsidR="002F673F" w:rsidRPr="00986D60">
              <w:rPr>
                <w:lang w:val="en-US"/>
              </w:rPr>
              <w:t xml:space="preserve">as source of utility not reported. Results in a </w:t>
            </w:r>
            <w:r w:rsidR="006A61EC">
              <w:rPr>
                <w:noProof/>
                <w:color w:val="000000"/>
                <w:highlight w:val="black"/>
                <w:lang w:val="en-US"/>
              </w:rPr>
              <w:t>'''''''''''</w:t>
            </w:r>
            <w:r w:rsidR="00FA1F8C" w:rsidRPr="00986D60">
              <w:rPr>
                <w:lang w:val="en-US"/>
              </w:rPr>
              <w:t xml:space="preserve"> </w:t>
            </w:r>
            <w:r w:rsidR="00266F58" w:rsidRPr="00986D60">
              <w:rPr>
                <w:vertAlign w:val="superscript"/>
                <w:lang w:val="en-US"/>
              </w:rPr>
              <w:t xml:space="preserve">a </w:t>
            </w:r>
            <w:r w:rsidR="002F673F" w:rsidRPr="00986D60">
              <w:rPr>
                <w:lang w:val="en-US"/>
              </w:rPr>
              <w:t xml:space="preserve">utility increment </w:t>
            </w:r>
            <w:r w:rsidR="00FA1F8C" w:rsidRPr="00986D60">
              <w:rPr>
                <w:lang w:val="en-US"/>
              </w:rPr>
              <w:t xml:space="preserve">being associated with </w:t>
            </w:r>
            <w:r w:rsidR="002F673F" w:rsidRPr="00986D60">
              <w:rPr>
                <w:lang w:val="en-US"/>
              </w:rPr>
              <w:t>relax</w:t>
            </w:r>
            <w:r w:rsidR="00FA1F8C" w:rsidRPr="00986D60">
              <w:rPr>
                <w:lang w:val="en-US"/>
              </w:rPr>
              <w:t>ation of</w:t>
            </w:r>
            <w:r w:rsidR="002F673F" w:rsidRPr="00986D60">
              <w:rPr>
                <w:lang w:val="en-US"/>
              </w:rPr>
              <w:t xml:space="preserve"> diet among those “well controlled”, when these patients may not change diet and </w:t>
            </w:r>
            <w:r w:rsidR="007F0733" w:rsidRPr="00986D60">
              <w:rPr>
                <w:lang w:val="en-US"/>
              </w:rPr>
              <w:t xml:space="preserve">thus would </w:t>
            </w:r>
            <w:r w:rsidR="002F673F" w:rsidRPr="00986D60">
              <w:rPr>
                <w:lang w:val="en-US"/>
              </w:rPr>
              <w:t xml:space="preserve">benefit </w:t>
            </w:r>
            <w:r w:rsidR="00FA1F8C" w:rsidRPr="00986D60">
              <w:rPr>
                <w:lang w:val="en-US"/>
              </w:rPr>
              <w:t xml:space="preserve">only </w:t>
            </w:r>
            <w:r w:rsidR="002F673F" w:rsidRPr="00986D60">
              <w:rPr>
                <w:lang w:val="en-US"/>
              </w:rPr>
              <w:t>from further bloo</w:t>
            </w:r>
            <w:r w:rsidR="00FA1F8C" w:rsidRPr="00986D60">
              <w:rPr>
                <w:lang w:val="en-US"/>
              </w:rPr>
              <w:t>d Phe level reductions of unknown clinical significance.</w:t>
            </w:r>
          </w:p>
        </w:tc>
      </w:tr>
      <w:tr w:rsidR="00525342" w:rsidRPr="00986D60" w:rsidTr="00BD5B2A">
        <w:tc>
          <w:tcPr>
            <w:tcW w:w="874" w:type="pct"/>
            <w:shd w:val="clear" w:color="auto" w:fill="auto"/>
          </w:tcPr>
          <w:p w:rsidR="00525342" w:rsidRPr="00986D60" w:rsidRDefault="002E6294" w:rsidP="005B1EE5">
            <w:pPr>
              <w:pStyle w:val="Tabletext"/>
              <w:keepNext/>
              <w:keepLines/>
              <w:rPr>
                <w:lang w:val="en-US"/>
              </w:rPr>
            </w:pPr>
            <w:r w:rsidRPr="00986D60">
              <w:t>‘Abandoned Phe-restricted diet’ (i.e. uncontrolled PKU) health state utility value</w:t>
            </w:r>
          </w:p>
        </w:tc>
        <w:tc>
          <w:tcPr>
            <w:tcW w:w="1249" w:type="pct"/>
            <w:shd w:val="clear" w:color="auto" w:fill="auto"/>
          </w:tcPr>
          <w:p w:rsidR="00525342" w:rsidRPr="00986D60" w:rsidRDefault="00525342" w:rsidP="005B1EE5">
            <w:pPr>
              <w:pStyle w:val="Tabletext"/>
              <w:keepNext/>
              <w:keepLines/>
              <w:rPr>
                <w:lang w:val="en-US"/>
              </w:rPr>
            </w:pPr>
            <w:r w:rsidRPr="00986D60">
              <w:t>Utility value (</w:t>
            </w:r>
            <w:r w:rsidR="006A61EC">
              <w:rPr>
                <w:noProof/>
                <w:color w:val="000000"/>
                <w:highlight w:val="black"/>
              </w:rPr>
              <w:t>''''''''''</w:t>
            </w:r>
            <w:r w:rsidRPr="00986D60">
              <w:t>) derived from YHEC Utility Study ‘uncontrolled PKU child health states.</w:t>
            </w:r>
          </w:p>
        </w:tc>
        <w:tc>
          <w:tcPr>
            <w:tcW w:w="2877" w:type="pct"/>
            <w:shd w:val="clear" w:color="auto" w:fill="auto"/>
          </w:tcPr>
          <w:p w:rsidR="00525342" w:rsidRPr="00986D60" w:rsidRDefault="00525342" w:rsidP="00266F58">
            <w:pPr>
              <w:pStyle w:val="Tabletext"/>
              <w:keepNext/>
              <w:keepLines/>
              <w:rPr>
                <w:lang w:val="en-US"/>
              </w:rPr>
            </w:pPr>
            <w:r w:rsidRPr="00986D60">
              <w:t>High</w:t>
            </w:r>
            <w:r w:rsidR="00BD5B2A" w:rsidRPr="00986D60">
              <w:t xml:space="preserve">. </w:t>
            </w:r>
            <w:r w:rsidR="001756FD" w:rsidRPr="00986D60">
              <w:t xml:space="preserve">Favours saproterin. </w:t>
            </w:r>
            <w:r w:rsidR="006A1CCA" w:rsidRPr="00986D60">
              <w:t>S</w:t>
            </w:r>
            <w:r w:rsidRPr="00986D60">
              <w:t>uch a low utility value</w:t>
            </w:r>
            <w:r w:rsidR="006A1CCA" w:rsidRPr="00986D60">
              <w:t xml:space="preserve"> appear</w:t>
            </w:r>
            <w:r w:rsidR="00266F58" w:rsidRPr="00986D60">
              <w:t>ed</w:t>
            </w:r>
            <w:r w:rsidR="006A1CCA" w:rsidRPr="00986D60">
              <w:t xml:space="preserve"> implausible</w:t>
            </w:r>
            <w:r w:rsidRPr="00986D60">
              <w:t xml:space="preserve"> given the likely impacts within an Australian population </w:t>
            </w:r>
            <w:r w:rsidR="006A1CCA" w:rsidRPr="00986D60">
              <w:t>of</w:t>
            </w:r>
            <w:r w:rsidRPr="00986D60">
              <w:t xml:space="preserve"> children</w:t>
            </w:r>
            <w:r w:rsidR="002E6294" w:rsidRPr="00986D60">
              <w:t xml:space="preserve"> (the </w:t>
            </w:r>
            <w:r w:rsidR="00063220">
              <w:t>resubmission</w:t>
            </w:r>
            <w:r w:rsidR="002E6294" w:rsidRPr="00986D60">
              <w:t xml:space="preserve"> did not present evidence </w:t>
            </w:r>
            <w:r w:rsidR="00C816CB" w:rsidRPr="00986D60">
              <w:t>showing</w:t>
            </w:r>
            <w:r w:rsidR="002E6294" w:rsidRPr="00986D60">
              <w:t xml:space="preserve"> </w:t>
            </w:r>
            <w:r w:rsidR="00C816CB" w:rsidRPr="00986D60">
              <w:t>the prevalence of detrimental health outcomes in the current Australian population)</w:t>
            </w:r>
            <w:r w:rsidR="002E6294" w:rsidRPr="00986D60">
              <w:t xml:space="preserve">. </w:t>
            </w:r>
            <w:r w:rsidR="006A1CCA" w:rsidRPr="00986D60">
              <w:t>I</w:t>
            </w:r>
            <w:r w:rsidRPr="00986D60">
              <w:t xml:space="preserve">mplausible </w:t>
            </w:r>
            <w:r w:rsidR="006A1CCA" w:rsidRPr="00986D60">
              <w:t xml:space="preserve">value </w:t>
            </w:r>
            <w:r w:rsidRPr="00986D60">
              <w:t>for adults.</w:t>
            </w:r>
          </w:p>
        </w:tc>
      </w:tr>
    </w:tbl>
    <w:p w:rsidR="00D110BD" w:rsidRPr="00986D60" w:rsidRDefault="009D792E" w:rsidP="005B1EE5">
      <w:pPr>
        <w:pStyle w:val="TableFooter"/>
        <w:keepNext/>
        <w:keepLines/>
      </w:pPr>
      <w:r w:rsidRPr="00986D60">
        <w:t xml:space="preserve">Source: </w:t>
      </w:r>
      <w:r w:rsidR="00150D90" w:rsidRPr="00986D60">
        <w:t xml:space="preserve">Section 3 of the </w:t>
      </w:r>
      <w:r w:rsidR="00063220">
        <w:t>resubmission</w:t>
      </w:r>
    </w:p>
    <w:p w:rsidR="009D792E" w:rsidRPr="00986D60" w:rsidRDefault="00507605" w:rsidP="005B1EE5">
      <w:pPr>
        <w:pStyle w:val="TableFooter"/>
        <w:keepNext/>
        <w:keepLines/>
      </w:pPr>
      <w:r w:rsidRPr="00986D60">
        <w:t>YHEC = York Health Economics Consortium</w:t>
      </w:r>
    </w:p>
    <w:p w:rsidR="00266F58" w:rsidRPr="00986D60" w:rsidRDefault="00266F58" w:rsidP="00266F58">
      <w:pPr>
        <w:pStyle w:val="TableFooter"/>
      </w:pPr>
      <w:r w:rsidRPr="00986D60">
        <w:rPr>
          <w:vertAlign w:val="superscript"/>
        </w:rPr>
        <w:t>a</w:t>
      </w:r>
      <w:r w:rsidRPr="00986D60">
        <w:t xml:space="preserve"> The ESC noted that as a straight linear relationship was assumed between </w:t>
      </w:r>
      <w:r w:rsidR="006A61EC">
        <w:rPr>
          <w:noProof/>
          <w:color w:val="000000"/>
          <w:highlight w:val="black"/>
        </w:rPr>
        <w:t>''''''''''''</w:t>
      </w:r>
      <w:r w:rsidRPr="00986D60">
        <w:t xml:space="preserve"> and </w:t>
      </w:r>
      <w:r w:rsidR="006A61EC">
        <w:rPr>
          <w:noProof/>
          <w:color w:val="000000"/>
          <w:highlight w:val="black"/>
        </w:rPr>
        <w:t>'''''''''</w:t>
      </w:r>
      <w:r w:rsidRPr="00986D60">
        <w:t xml:space="preserve">, then the utility value should be </w:t>
      </w:r>
      <w:r w:rsidR="006A61EC">
        <w:rPr>
          <w:noProof/>
          <w:color w:val="000000"/>
          <w:highlight w:val="black"/>
        </w:rPr>
        <w:t>'''''''''</w:t>
      </w:r>
      <w:r w:rsidRPr="00986D60">
        <w:t xml:space="preserve"> (rather than </w:t>
      </w:r>
      <w:r w:rsidR="006A61EC">
        <w:rPr>
          <w:noProof/>
          <w:color w:val="000000"/>
          <w:highlight w:val="black"/>
        </w:rPr>
        <w:t>''''''''''</w:t>
      </w:r>
      <w:r w:rsidRPr="00986D60">
        <w:t xml:space="preserve">) as outlined on pages 79 to 80 of the commentary (7.05.COM.79-80). Thus the increment between the “sapropterin” health state and the “strict Phe-restricted diet” health state would be </w:t>
      </w:r>
      <w:r w:rsidR="006A61EC">
        <w:rPr>
          <w:noProof/>
          <w:color w:val="000000"/>
          <w:highlight w:val="black"/>
        </w:rPr>
        <w:t>'''''''''' '''''''''''' ''' '''''''''''''</w:t>
      </w:r>
    </w:p>
    <w:p w:rsidR="007362EC" w:rsidRPr="00986D60" w:rsidRDefault="005C63D9" w:rsidP="007A7ACD">
      <w:pPr>
        <w:pStyle w:val="ListParagraph"/>
        <w:widowControl/>
        <w:numPr>
          <w:ilvl w:val="1"/>
          <w:numId w:val="13"/>
        </w:numPr>
        <w:spacing w:after="120"/>
        <w:ind w:left="709" w:hanging="709"/>
      </w:pPr>
      <w:r w:rsidRPr="00986D60">
        <w:t>Table 12</w:t>
      </w:r>
      <w:r w:rsidR="00150D90" w:rsidRPr="00986D60">
        <w:t xml:space="preserve"> summarises the results of the economic evaluation.</w:t>
      </w:r>
      <w:r w:rsidR="00507605" w:rsidRPr="00986D60">
        <w:t xml:space="preserve"> </w:t>
      </w:r>
      <w:r w:rsidR="002E6294" w:rsidRPr="00986D60">
        <w:t>T</w:t>
      </w:r>
      <w:r w:rsidR="00507605" w:rsidRPr="00986D60">
        <w:t>he two decision-tree analytic models (</w:t>
      </w:r>
      <w:r w:rsidR="00695A43" w:rsidRPr="00986D60">
        <w:t>for the</w:t>
      </w:r>
      <w:r w:rsidR="00507605" w:rsidRPr="00986D60">
        <w:t xml:space="preserve"> </w:t>
      </w:r>
      <w:r w:rsidR="00695A43" w:rsidRPr="00986D60">
        <w:t>poorly-controlled and the well-controlled Phe-level groups)</w:t>
      </w:r>
      <w:r w:rsidR="00507605" w:rsidRPr="00986D60">
        <w:t xml:space="preserve"> were combined in a weighted analysis to estimate the base-case ICER for each age. </w:t>
      </w:r>
    </w:p>
    <w:p w:rsidR="005C2E24" w:rsidRPr="00986D60" w:rsidRDefault="005C2E24" w:rsidP="005C2E24">
      <w:pPr>
        <w:keepNext/>
        <w:keepLines/>
        <w:widowControl/>
      </w:pPr>
      <w:r w:rsidRPr="00986D60">
        <w:rPr>
          <w:rStyle w:val="CommentReference"/>
        </w:rPr>
        <w:t>Table 1</w:t>
      </w:r>
      <w:r w:rsidR="005C63D9" w:rsidRPr="00986D60">
        <w:rPr>
          <w:rStyle w:val="CommentReference"/>
        </w:rPr>
        <w:t>2</w:t>
      </w:r>
      <w:r w:rsidRPr="00986D60">
        <w:rPr>
          <w:rStyle w:val="CommentReference"/>
        </w:rPr>
        <w:t>: Results of the economic evaluation – weighted analysis of the poorly- and well-controlled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992"/>
        <w:gridCol w:w="994"/>
        <w:gridCol w:w="1135"/>
        <w:gridCol w:w="1134"/>
        <w:gridCol w:w="992"/>
        <w:gridCol w:w="992"/>
        <w:gridCol w:w="1134"/>
        <w:gridCol w:w="1259"/>
      </w:tblGrid>
      <w:tr w:rsidR="005C2E24" w:rsidRPr="00986D60" w:rsidTr="005C2E24">
        <w:trPr>
          <w:tblHeader/>
        </w:trPr>
        <w:tc>
          <w:tcPr>
            <w:tcW w:w="248" w:type="pct"/>
            <w:vMerge w:val="restart"/>
            <w:tcBorders>
              <w:right w:val="double" w:sz="4" w:space="0" w:color="auto"/>
            </w:tcBorders>
            <w:vAlign w:val="center"/>
          </w:tcPr>
          <w:p w:rsidR="005C2E24" w:rsidRPr="00986D60" w:rsidRDefault="005C2E24" w:rsidP="005C2E24">
            <w:pPr>
              <w:pStyle w:val="Tabletext"/>
              <w:keepNext/>
              <w:keepLines/>
              <w:rPr>
                <w:b/>
              </w:rPr>
            </w:pPr>
            <w:r w:rsidRPr="00986D60">
              <w:rPr>
                <w:b/>
              </w:rPr>
              <w:t>Age</w:t>
            </w:r>
          </w:p>
        </w:tc>
        <w:tc>
          <w:tcPr>
            <w:tcW w:w="546" w:type="pct"/>
            <w:vMerge w:val="restart"/>
            <w:tcBorders>
              <w:left w:val="double" w:sz="4" w:space="0" w:color="auto"/>
              <w:right w:val="double" w:sz="4" w:space="0" w:color="auto"/>
            </w:tcBorders>
          </w:tcPr>
          <w:p w:rsidR="005C2E24" w:rsidRPr="00986D60" w:rsidRDefault="005C2E24" w:rsidP="005C2E24">
            <w:pPr>
              <w:pStyle w:val="Tabletext"/>
              <w:keepNext/>
              <w:keepLines/>
              <w:jc w:val="center"/>
              <w:rPr>
                <w:b/>
              </w:rPr>
            </w:pPr>
            <w:r w:rsidRPr="00986D60">
              <w:rPr>
                <w:b/>
              </w:rPr>
              <w:t>% in well controlled Phe group</w:t>
            </w:r>
          </w:p>
        </w:tc>
        <w:tc>
          <w:tcPr>
            <w:tcW w:w="1796" w:type="pct"/>
            <w:gridSpan w:val="3"/>
            <w:tcBorders>
              <w:left w:val="double" w:sz="4" w:space="0" w:color="auto"/>
              <w:right w:val="double" w:sz="4" w:space="0" w:color="auto"/>
            </w:tcBorders>
            <w:vAlign w:val="center"/>
          </w:tcPr>
          <w:p w:rsidR="005C2E24" w:rsidRPr="00986D60" w:rsidRDefault="005C2E24" w:rsidP="005C2E24">
            <w:pPr>
              <w:pStyle w:val="Tabletext"/>
              <w:keepNext/>
              <w:keepLines/>
              <w:jc w:val="center"/>
              <w:rPr>
                <w:b/>
              </w:rPr>
            </w:pPr>
            <w:r w:rsidRPr="00986D60">
              <w:rPr>
                <w:b/>
              </w:rPr>
              <w:t>Poorly controlled Phe level group</w:t>
            </w:r>
          </w:p>
        </w:tc>
        <w:tc>
          <w:tcPr>
            <w:tcW w:w="1716" w:type="pct"/>
            <w:gridSpan w:val="3"/>
            <w:tcBorders>
              <w:left w:val="double" w:sz="4" w:space="0" w:color="auto"/>
              <w:right w:val="double" w:sz="4" w:space="0" w:color="auto"/>
            </w:tcBorders>
          </w:tcPr>
          <w:p w:rsidR="005C2E24" w:rsidRPr="00986D60" w:rsidRDefault="005C2E24" w:rsidP="005C2E24">
            <w:pPr>
              <w:pStyle w:val="Tabletext"/>
              <w:keepNext/>
              <w:keepLines/>
              <w:jc w:val="center"/>
              <w:rPr>
                <w:b/>
              </w:rPr>
            </w:pPr>
            <w:r w:rsidRPr="00986D60">
              <w:rPr>
                <w:b/>
              </w:rPr>
              <w:t>Well controlled Phe level group</w:t>
            </w:r>
          </w:p>
        </w:tc>
        <w:tc>
          <w:tcPr>
            <w:tcW w:w="693" w:type="pct"/>
            <w:vMerge w:val="restart"/>
            <w:tcBorders>
              <w:left w:val="double" w:sz="4" w:space="0" w:color="auto"/>
            </w:tcBorders>
            <w:vAlign w:val="center"/>
          </w:tcPr>
          <w:p w:rsidR="005C2E24" w:rsidRPr="00986D60" w:rsidRDefault="005C2E24" w:rsidP="005C2E24">
            <w:pPr>
              <w:pStyle w:val="Tabletext"/>
              <w:keepNext/>
              <w:keepLines/>
              <w:jc w:val="center"/>
              <w:rPr>
                <w:b/>
              </w:rPr>
            </w:pPr>
            <w:r w:rsidRPr="00986D60">
              <w:rPr>
                <w:b/>
              </w:rPr>
              <w:t>Weighted</w:t>
            </w:r>
          </w:p>
          <w:p w:rsidR="005C2E24" w:rsidRPr="00986D60" w:rsidRDefault="005C2E24" w:rsidP="005C2E24">
            <w:pPr>
              <w:pStyle w:val="Tabletext"/>
              <w:keepNext/>
              <w:keepLines/>
              <w:jc w:val="center"/>
              <w:rPr>
                <w:b/>
              </w:rPr>
            </w:pPr>
            <w:r w:rsidRPr="00986D60">
              <w:rPr>
                <w:b/>
              </w:rPr>
              <w:t>ICER</w:t>
            </w:r>
          </w:p>
          <w:p w:rsidR="005C2E24" w:rsidRPr="00986D60" w:rsidRDefault="005C2E24" w:rsidP="005C2E24">
            <w:pPr>
              <w:pStyle w:val="Tabletext"/>
              <w:keepNext/>
              <w:keepLines/>
              <w:jc w:val="center"/>
              <w:rPr>
                <w:b/>
              </w:rPr>
            </w:pPr>
            <w:r w:rsidRPr="00986D60">
              <w:rPr>
                <w:b/>
              </w:rPr>
              <w:t>($/QALY)</w:t>
            </w:r>
          </w:p>
        </w:tc>
      </w:tr>
      <w:tr w:rsidR="005C2E24" w:rsidRPr="00986D60" w:rsidTr="005C2E24">
        <w:tc>
          <w:tcPr>
            <w:tcW w:w="248" w:type="pct"/>
            <w:vMerge/>
            <w:tcBorders>
              <w:right w:val="double" w:sz="4" w:space="0" w:color="auto"/>
            </w:tcBorders>
            <w:vAlign w:val="center"/>
          </w:tcPr>
          <w:p w:rsidR="005C2E24" w:rsidRPr="00986D60" w:rsidRDefault="005C2E24" w:rsidP="005C2E24">
            <w:pPr>
              <w:pStyle w:val="Tabletext"/>
              <w:keepNext/>
              <w:keepLines/>
              <w:rPr>
                <w:rFonts w:ascii="Times" w:hAnsi="Times"/>
              </w:rPr>
            </w:pPr>
          </w:p>
        </w:tc>
        <w:tc>
          <w:tcPr>
            <w:tcW w:w="546" w:type="pct"/>
            <w:vMerge/>
            <w:tcBorders>
              <w:left w:val="double" w:sz="4" w:space="0" w:color="auto"/>
              <w:right w:val="double" w:sz="4" w:space="0" w:color="auto"/>
            </w:tcBorders>
            <w:vAlign w:val="center"/>
          </w:tcPr>
          <w:p w:rsidR="005C2E24" w:rsidRPr="00986D60" w:rsidRDefault="005C2E24" w:rsidP="005C2E24">
            <w:pPr>
              <w:pStyle w:val="Tabletext"/>
              <w:keepNext/>
              <w:keepLines/>
              <w:jc w:val="center"/>
              <w:rPr>
                <w:b/>
              </w:rPr>
            </w:pP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rPr>
                <w:b/>
              </w:rPr>
              <w:t>Incremental Costs</w:t>
            </w:r>
          </w:p>
        </w:tc>
        <w:tc>
          <w:tcPr>
            <w:tcW w:w="625" w:type="pct"/>
            <w:vAlign w:val="center"/>
          </w:tcPr>
          <w:p w:rsidR="005C2E24" w:rsidRPr="00986D60" w:rsidRDefault="005C2E24" w:rsidP="005C2E24">
            <w:pPr>
              <w:pStyle w:val="Tabletext"/>
              <w:keepNext/>
              <w:keepLines/>
              <w:jc w:val="center"/>
              <w:rPr>
                <w:rFonts w:ascii="Times" w:hAnsi="Times"/>
              </w:rPr>
            </w:pPr>
            <w:r w:rsidRPr="00986D60">
              <w:rPr>
                <w:b/>
              </w:rPr>
              <w:t>Incremental Outcomes</w:t>
            </w:r>
          </w:p>
        </w:tc>
        <w:tc>
          <w:tcPr>
            <w:tcW w:w="624" w:type="pct"/>
            <w:tcBorders>
              <w:right w:val="double" w:sz="4" w:space="0" w:color="auto"/>
            </w:tcBorders>
            <w:vAlign w:val="center"/>
          </w:tcPr>
          <w:p w:rsidR="005C2E24" w:rsidRPr="00986D60" w:rsidRDefault="005C2E24" w:rsidP="005C2E24">
            <w:pPr>
              <w:pStyle w:val="Tabletext"/>
              <w:jc w:val="center"/>
              <w:rPr>
                <w:b/>
              </w:rPr>
            </w:pPr>
            <w:r w:rsidRPr="00986D60">
              <w:rPr>
                <w:b/>
              </w:rPr>
              <w:t>ICER</w:t>
            </w:r>
          </w:p>
          <w:p w:rsidR="005C2E24" w:rsidRPr="00986D60" w:rsidRDefault="005C2E24" w:rsidP="005C2E24">
            <w:pPr>
              <w:pStyle w:val="Tabletext"/>
              <w:keepNext/>
              <w:keepLines/>
              <w:jc w:val="center"/>
              <w:rPr>
                <w:rFonts w:ascii="Times" w:hAnsi="Times"/>
              </w:rPr>
            </w:pPr>
            <w:r w:rsidRPr="00986D60">
              <w:rPr>
                <w:b/>
              </w:rPr>
              <w:t>($/QALY)</w:t>
            </w:r>
          </w:p>
        </w:tc>
        <w:tc>
          <w:tcPr>
            <w:tcW w:w="546"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rPr>
                <w:b/>
              </w:rPr>
              <w:t>Incremental Costs</w:t>
            </w:r>
          </w:p>
        </w:tc>
        <w:tc>
          <w:tcPr>
            <w:tcW w:w="546" w:type="pct"/>
            <w:vAlign w:val="center"/>
          </w:tcPr>
          <w:p w:rsidR="005C2E24" w:rsidRPr="00986D60" w:rsidRDefault="005C2E24" w:rsidP="005C2E24">
            <w:pPr>
              <w:pStyle w:val="Tabletext"/>
              <w:keepNext/>
              <w:keepLines/>
              <w:jc w:val="center"/>
              <w:rPr>
                <w:rFonts w:ascii="Times" w:hAnsi="Times"/>
              </w:rPr>
            </w:pPr>
            <w:r w:rsidRPr="00986D60">
              <w:rPr>
                <w:b/>
              </w:rPr>
              <w:t>Incremental Outcomes</w:t>
            </w:r>
          </w:p>
        </w:tc>
        <w:tc>
          <w:tcPr>
            <w:tcW w:w="624" w:type="pct"/>
            <w:tcBorders>
              <w:right w:val="double" w:sz="4" w:space="0" w:color="auto"/>
            </w:tcBorders>
            <w:vAlign w:val="center"/>
          </w:tcPr>
          <w:p w:rsidR="005C2E24" w:rsidRPr="00986D60" w:rsidRDefault="005C2E24" w:rsidP="005C2E24">
            <w:pPr>
              <w:pStyle w:val="Tabletext"/>
              <w:jc w:val="center"/>
              <w:rPr>
                <w:b/>
              </w:rPr>
            </w:pPr>
            <w:r w:rsidRPr="00986D60">
              <w:rPr>
                <w:b/>
              </w:rPr>
              <w:t>ICER</w:t>
            </w:r>
          </w:p>
          <w:p w:rsidR="005C2E24" w:rsidRPr="00986D60" w:rsidRDefault="005C2E24" w:rsidP="005C2E24">
            <w:pPr>
              <w:pStyle w:val="Tabletext"/>
              <w:keepNext/>
              <w:keepLines/>
              <w:jc w:val="center"/>
              <w:rPr>
                <w:rFonts w:ascii="Times" w:hAnsi="Times"/>
              </w:rPr>
            </w:pPr>
            <w:r w:rsidRPr="00986D60">
              <w:rPr>
                <w:b/>
              </w:rPr>
              <w:t>($/QALY)</w:t>
            </w:r>
          </w:p>
        </w:tc>
        <w:tc>
          <w:tcPr>
            <w:tcW w:w="693" w:type="pct"/>
            <w:vMerge/>
            <w:tcBorders>
              <w:left w:val="double" w:sz="4" w:space="0" w:color="auto"/>
            </w:tcBorders>
          </w:tcPr>
          <w:p w:rsidR="005C2E24" w:rsidRPr="00986D60" w:rsidRDefault="005C2E24" w:rsidP="005C2E24">
            <w:pPr>
              <w:pStyle w:val="Tabletext"/>
              <w:keepNext/>
              <w:keepLines/>
              <w:jc w:val="center"/>
              <w:rPr>
                <w:rFonts w:ascii="Times" w:hAnsi="Times"/>
              </w:rPr>
            </w:pP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0</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2</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3</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4</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5</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6</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7</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8</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9</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10</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11</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12</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82%</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13</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14</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15</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16</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17</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85%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r w:rsidR="005C2E24" w:rsidRPr="00986D60" w:rsidTr="005C2E24">
        <w:tc>
          <w:tcPr>
            <w:tcW w:w="248" w:type="pct"/>
            <w:tcBorders>
              <w:right w:val="double" w:sz="4" w:space="0" w:color="auto"/>
            </w:tcBorders>
            <w:vAlign w:val="center"/>
          </w:tcPr>
          <w:p w:rsidR="005C2E24" w:rsidRPr="00986D60" w:rsidRDefault="005C2E24" w:rsidP="005C2E24">
            <w:pPr>
              <w:pStyle w:val="Tabletext"/>
              <w:keepNext/>
              <w:keepLines/>
              <w:rPr>
                <w:rFonts w:ascii="Times" w:hAnsi="Times"/>
              </w:rPr>
            </w:pPr>
            <w:r w:rsidRPr="00986D60">
              <w:t>≥18</w:t>
            </w:r>
          </w:p>
        </w:tc>
        <w:tc>
          <w:tcPr>
            <w:tcW w:w="546" w:type="pct"/>
            <w:tcBorders>
              <w:left w:val="double" w:sz="4" w:space="0" w:color="auto"/>
              <w:right w:val="double" w:sz="4" w:space="0" w:color="auto"/>
            </w:tcBorders>
            <w:vAlign w:val="center"/>
          </w:tcPr>
          <w:p w:rsidR="005C2E24" w:rsidRPr="00986D60" w:rsidRDefault="005C2E24" w:rsidP="005C2E24">
            <w:pPr>
              <w:pStyle w:val="Tabletext"/>
              <w:keepNext/>
              <w:keepLines/>
              <w:jc w:val="center"/>
            </w:pPr>
            <w:r w:rsidRPr="00986D60">
              <w:t>35%</w:t>
            </w:r>
          </w:p>
        </w:tc>
        <w:tc>
          <w:tcPr>
            <w:tcW w:w="547" w:type="pct"/>
            <w:tcBorders>
              <w:left w:val="double" w:sz="4" w:space="0" w:color="auto"/>
            </w:tcBorders>
            <w:vAlign w:val="center"/>
          </w:tcPr>
          <w:p w:rsidR="005C2E24" w:rsidRPr="00986D60" w:rsidRDefault="005C2E24" w:rsidP="005C2E24">
            <w:pPr>
              <w:pStyle w:val="Tabletext"/>
              <w:keepNext/>
              <w:keepLines/>
              <w:jc w:val="center"/>
              <w:rPr>
                <w:rFonts w:ascii="Times" w:hAnsi="Times"/>
              </w:rPr>
            </w:pPr>
            <w:r w:rsidRPr="00986D60">
              <w:t>$</w:t>
            </w:r>
            <w:r w:rsidR="006A61EC">
              <w:rPr>
                <w:noProof/>
                <w:color w:val="000000"/>
                <w:highlight w:val="black"/>
              </w:rPr>
              <w:t>'''''''''''''''''</w:t>
            </w:r>
          </w:p>
        </w:tc>
        <w:tc>
          <w:tcPr>
            <w:tcW w:w="625" w:type="pct"/>
            <w:vAlign w:val="center"/>
          </w:tcPr>
          <w:p w:rsidR="005C2E24" w:rsidRPr="006A61EC" w:rsidRDefault="006A61EC" w:rsidP="005C2E24">
            <w:pPr>
              <w:pStyle w:val="Tabletext"/>
              <w:keepNext/>
              <w:keepLines/>
              <w:jc w:val="center"/>
              <w:rPr>
                <w:rFonts w:ascii="Times" w:hAnsi="Times"/>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tcBorders>
              <w:lef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546" w:type="pct"/>
            <w:vAlign w:val="center"/>
          </w:tcPr>
          <w:p w:rsidR="005C2E24" w:rsidRPr="006A61EC" w:rsidRDefault="006A61EC" w:rsidP="005C2E24">
            <w:pPr>
              <w:pStyle w:val="Tabletext"/>
              <w:keepNext/>
              <w:keepLines/>
              <w:jc w:val="center"/>
              <w:rPr>
                <w:highlight w:val="black"/>
              </w:rPr>
            </w:pPr>
            <w:r>
              <w:rPr>
                <w:noProof/>
                <w:color w:val="000000"/>
                <w:highlight w:val="black"/>
              </w:rPr>
              <w:t>''''''''''</w:t>
            </w:r>
          </w:p>
        </w:tc>
        <w:tc>
          <w:tcPr>
            <w:tcW w:w="624" w:type="pct"/>
            <w:tcBorders>
              <w:right w:val="double" w:sz="4" w:space="0" w:color="auto"/>
            </w:tcBorders>
            <w:vAlign w:val="center"/>
          </w:tcPr>
          <w:p w:rsidR="005C2E24" w:rsidRPr="00986D60" w:rsidRDefault="005C2E24" w:rsidP="005C2E24">
            <w:pPr>
              <w:pStyle w:val="Tabletext"/>
              <w:keepNext/>
              <w:keepLines/>
              <w:jc w:val="center"/>
            </w:pPr>
            <w:r w:rsidRPr="00986D60">
              <w:t>$</w:t>
            </w:r>
            <w:r w:rsidR="006A61EC">
              <w:rPr>
                <w:noProof/>
                <w:color w:val="000000"/>
                <w:highlight w:val="black"/>
              </w:rPr>
              <w:t>'''''''''''''''''''</w:t>
            </w:r>
          </w:p>
        </w:tc>
        <w:tc>
          <w:tcPr>
            <w:tcW w:w="693" w:type="pct"/>
            <w:tcBorders>
              <w:left w:val="double" w:sz="4" w:space="0" w:color="auto"/>
            </w:tcBorders>
            <w:vAlign w:val="bottom"/>
          </w:tcPr>
          <w:p w:rsidR="005C2E24" w:rsidRPr="00986D60" w:rsidRDefault="005C2E24" w:rsidP="005C2E24">
            <w:pPr>
              <w:pStyle w:val="Tabletext"/>
              <w:keepNext/>
              <w:keepLines/>
              <w:jc w:val="center"/>
            </w:pPr>
            <w:r w:rsidRPr="00986D60">
              <w:t>$</w:t>
            </w:r>
            <w:r w:rsidR="006A61EC">
              <w:rPr>
                <w:noProof/>
                <w:color w:val="000000"/>
                <w:highlight w:val="black"/>
              </w:rPr>
              <w:t>''''''''''''''''''''''</w:t>
            </w:r>
          </w:p>
        </w:tc>
      </w:tr>
    </w:tbl>
    <w:p w:rsidR="00F27DD5" w:rsidRDefault="005C2E24" w:rsidP="005C2E24">
      <w:pPr>
        <w:pStyle w:val="TableFooter"/>
        <w:keepNext/>
        <w:keepLines/>
      </w:pPr>
      <w:r w:rsidRPr="00986D60">
        <w:t xml:space="preserve">Source: Tables 3-20 and 3-21 pp256-7 of the </w:t>
      </w:r>
      <w:r w:rsidR="00063220">
        <w:t>resubmission</w:t>
      </w:r>
      <w:r w:rsidRPr="00986D60">
        <w:t xml:space="preserve">; Table 3-10 of the </w:t>
      </w:r>
      <w:r w:rsidR="00063220">
        <w:t>resubmission</w:t>
      </w:r>
      <w:r w:rsidRPr="00986D60">
        <w:t xml:space="preserve"> </w:t>
      </w:r>
    </w:p>
    <w:p w:rsidR="00F27DD5" w:rsidRPr="00F27DD5" w:rsidRDefault="00F27DD5" w:rsidP="005C2E24">
      <w:pPr>
        <w:pStyle w:val="TableFooter"/>
        <w:keepNext/>
        <w:keepLines/>
        <w:rPr>
          <w:rFonts w:asciiTheme="minorHAnsi" w:hAnsiTheme="minorHAnsi"/>
          <w:sz w:val="24"/>
          <w:szCs w:val="24"/>
        </w:rPr>
      </w:pPr>
      <w:r>
        <w:rPr>
          <w:rFonts w:asciiTheme="minorHAnsi" w:hAnsiTheme="minorHAnsi"/>
          <w:sz w:val="24"/>
          <w:szCs w:val="24"/>
        </w:rPr>
        <w:t>The redacted table shows ICERs in the range of less than $15,000/QALY – more than $200,000/QALY.</w:t>
      </w:r>
    </w:p>
    <w:p w:rsidR="00795F1F" w:rsidRPr="00986D60" w:rsidRDefault="007E5495" w:rsidP="00954290">
      <w:pPr>
        <w:pStyle w:val="ListParagraph"/>
        <w:widowControl/>
        <w:numPr>
          <w:ilvl w:val="1"/>
          <w:numId w:val="13"/>
        </w:numPr>
        <w:spacing w:after="120"/>
        <w:ind w:left="709" w:hanging="709"/>
      </w:pPr>
      <w:r w:rsidRPr="00986D60">
        <w:t>Treatment with sapropterin was estimated to be more cost-effective among the ‘poorly-controlled’ sub-population. This highlights th</w:t>
      </w:r>
      <w:r w:rsidR="004E33DD" w:rsidRPr="00986D60">
        <w:t>at splitting the population into the two sub-populations is a key issue, particularly given the lack of reliable data and clinical rationale to inform the proportional-split.</w:t>
      </w:r>
      <w:r w:rsidRPr="00986D60">
        <w:t xml:space="preserve"> The key driver of th</w:t>
      </w:r>
      <w:r w:rsidR="004E33DD" w:rsidRPr="00986D60">
        <w:t>e</w:t>
      </w:r>
      <w:r w:rsidRPr="00986D60">
        <w:t xml:space="preserve"> difference between the two sub-populations </w:t>
      </w:r>
      <w:r w:rsidR="004E33DD" w:rsidRPr="00986D60">
        <w:t>w</w:t>
      </w:r>
      <w:r w:rsidR="00954290">
        <w:t>ere</w:t>
      </w:r>
      <w:r w:rsidRPr="00986D60">
        <w:t xml:space="preserve"> the lower </w:t>
      </w:r>
      <w:r w:rsidR="00954290" w:rsidRPr="00954290">
        <w:t>quality-adjusted life year</w:t>
      </w:r>
      <w:r w:rsidR="00954290">
        <w:t>s</w:t>
      </w:r>
      <w:r w:rsidR="00954290" w:rsidRPr="00954290">
        <w:t xml:space="preserve"> </w:t>
      </w:r>
      <w:r w:rsidR="00954290">
        <w:t>(</w:t>
      </w:r>
      <w:r w:rsidRPr="00986D60">
        <w:t>QALYs</w:t>
      </w:r>
      <w:r w:rsidR="00954290">
        <w:t>)</w:t>
      </w:r>
      <w:r w:rsidRPr="00986D60">
        <w:t xml:space="preserve"> </w:t>
      </w:r>
      <w:r w:rsidR="00F10EC4">
        <w:t xml:space="preserve">accrued </w:t>
      </w:r>
      <w:r w:rsidRPr="00986D60">
        <w:t xml:space="preserve">in the ‘poorly-controlled’ comparator arm </w:t>
      </w:r>
      <w:r w:rsidR="004E33DD" w:rsidRPr="00986D60">
        <w:t xml:space="preserve">(utility value between </w:t>
      </w:r>
      <w:r w:rsidR="006A61EC">
        <w:rPr>
          <w:noProof/>
          <w:color w:val="000000"/>
          <w:highlight w:val="black"/>
        </w:rPr>
        <w:t>''''''''</w:t>
      </w:r>
      <w:r w:rsidR="004E33DD" w:rsidRPr="00986D60">
        <w:t xml:space="preserve"> and </w:t>
      </w:r>
      <w:r w:rsidR="006A61EC">
        <w:rPr>
          <w:noProof/>
          <w:color w:val="000000"/>
          <w:highlight w:val="black"/>
        </w:rPr>
        <w:t>''''''''</w:t>
      </w:r>
      <w:r w:rsidR="004E33DD" w:rsidRPr="00986D60">
        <w:t xml:space="preserve">, depending on age) </w:t>
      </w:r>
      <w:r w:rsidRPr="00986D60">
        <w:t xml:space="preserve">compared </w:t>
      </w:r>
      <w:r w:rsidR="004E33DD" w:rsidRPr="00986D60">
        <w:t>with</w:t>
      </w:r>
      <w:r w:rsidRPr="00986D60">
        <w:t xml:space="preserve"> the ‘well-controlled’ comparator arm</w:t>
      </w:r>
      <w:r w:rsidR="004E33DD" w:rsidRPr="00986D60">
        <w:t xml:space="preserve"> (utility of </w:t>
      </w:r>
      <w:r w:rsidR="006A61EC">
        <w:rPr>
          <w:noProof/>
          <w:color w:val="000000"/>
          <w:highlight w:val="black"/>
        </w:rPr>
        <w:t>''''''''</w:t>
      </w:r>
      <w:r w:rsidR="004E33DD" w:rsidRPr="00986D60">
        <w:t>)</w:t>
      </w:r>
      <w:r w:rsidR="00795F1F" w:rsidRPr="00986D60">
        <w:t>, while the drug cost of sapropterin was the same in the two sub-populations.</w:t>
      </w:r>
    </w:p>
    <w:p w:rsidR="00795F1F" w:rsidRPr="00986D60" w:rsidRDefault="00795F1F" w:rsidP="007A7ACD">
      <w:pPr>
        <w:pStyle w:val="ListParagraph"/>
        <w:widowControl/>
        <w:numPr>
          <w:ilvl w:val="1"/>
          <w:numId w:val="13"/>
        </w:numPr>
        <w:spacing w:after="120"/>
        <w:ind w:left="709" w:hanging="709"/>
      </w:pPr>
      <w:r w:rsidRPr="00986D60">
        <w:t>T</w:t>
      </w:r>
      <w:r w:rsidR="007E5495" w:rsidRPr="00986D60">
        <w:t>hese results indicate that th</w:t>
      </w:r>
      <w:r w:rsidRPr="00986D60">
        <w:t>e</w:t>
      </w:r>
      <w:r w:rsidR="007E5495" w:rsidRPr="00986D60">
        <w:t xml:space="preserve"> gain in health benefit in patients taking sapropterin to reduce blood Phe-levels is substantially greater than the gain in health benefit in patients taking sapropterin to reduce dietary restrictions, particularly in adults. </w:t>
      </w:r>
    </w:p>
    <w:p w:rsidR="008F6D4E" w:rsidRPr="00986D60" w:rsidRDefault="008F6D4E" w:rsidP="007A7ACD">
      <w:pPr>
        <w:pStyle w:val="ListParagraph"/>
        <w:widowControl/>
        <w:numPr>
          <w:ilvl w:val="1"/>
          <w:numId w:val="13"/>
        </w:numPr>
        <w:spacing w:after="120"/>
        <w:ind w:left="709" w:hanging="709"/>
      </w:pPr>
      <w:r w:rsidRPr="00986D60">
        <w:t>Overall, the ESC considered that the model lacked face val</w:t>
      </w:r>
      <w:r w:rsidR="00ED3C05" w:rsidRPr="00986D60">
        <w:t>id</w:t>
      </w:r>
      <w:r w:rsidRPr="00986D60">
        <w:t xml:space="preserve">ity and considered that it was implausible that the same incremental outcomes were derived for all patients in the well controlled Phe goup (utility gain of </w:t>
      </w:r>
      <w:r w:rsidR="006A61EC">
        <w:rPr>
          <w:noProof/>
          <w:color w:val="000000"/>
          <w:highlight w:val="black"/>
        </w:rPr>
        <w:t>'''''''''</w:t>
      </w:r>
      <w:r w:rsidRPr="00986D60">
        <w:t xml:space="preserve"> each year) and for all patients aged 2</w:t>
      </w:r>
      <w:r w:rsidR="007A7ACD" w:rsidRPr="00986D60">
        <w:t xml:space="preserve"> to 17 years in the poorly controlled group (utility gain of </w:t>
      </w:r>
      <w:r w:rsidR="006A61EC">
        <w:rPr>
          <w:noProof/>
          <w:color w:val="000000"/>
          <w:highlight w:val="black"/>
        </w:rPr>
        <w:t>'''''''''</w:t>
      </w:r>
      <w:r w:rsidR="007A7ACD" w:rsidRPr="00986D60">
        <w:t xml:space="preserve"> each year). </w:t>
      </w:r>
    </w:p>
    <w:p w:rsidR="00B738BF" w:rsidRDefault="002E6294" w:rsidP="007A7ACD">
      <w:pPr>
        <w:pStyle w:val="ListParagraph"/>
        <w:widowControl/>
        <w:numPr>
          <w:ilvl w:val="1"/>
          <w:numId w:val="13"/>
        </w:numPr>
        <w:spacing w:after="120"/>
        <w:ind w:left="709" w:hanging="709"/>
      </w:pPr>
      <w:r w:rsidRPr="00986D60">
        <w:t xml:space="preserve">The </w:t>
      </w:r>
      <w:r w:rsidR="00B738BF" w:rsidRPr="00986D60">
        <w:t xml:space="preserve">ICER </w:t>
      </w:r>
      <w:r w:rsidR="00346F41" w:rsidRPr="00986D60">
        <w:t xml:space="preserve">generally </w:t>
      </w:r>
      <w:r w:rsidR="00B738BF" w:rsidRPr="00986D60">
        <w:t>increase</w:t>
      </w:r>
      <w:r w:rsidR="00A92645" w:rsidRPr="00986D60">
        <w:t>d</w:t>
      </w:r>
      <w:r w:rsidR="00B738BF" w:rsidRPr="00986D60">
        <w:t xml:space="preserve"> with age because the dose of sapropterin is weight-based</w:t>
      </w:r>
      <w:r w:rsidR="00A92645" w:rsidRPr="00986D60">
        <w:t xml:space="preserve"> (although the ICER decreased after 17 years of age </w:t>
      </w:r>
      <w:r w:rsidR="00BB0B59" w:rsidRPr="00986D60">
        <w:t>because</w:t>
      </w:r>
      <w:r w:rsidR="00795F1F" w:rsidRPr="00986D60">
        <w:t xml:space="preserve"> the proportion of patients assumed to be poorly controlled increased</w:t>
      </w:r>
      <w:r w:rsidR="0068506C" w:rsidRPr="00986D60">
        <w:t xml:space="preserve"> from 15% to 6</w:t>
      </w:r>
      <w:r w:rsidR="00E05001">
        <w:t>7</w:t>
      </w:r>
      <w:r w:rsidR="0068506C" w:rsidRPr="00986D60">
        <w:t>%</w:t>
      </w:r>
      <w:r w:rsidR="00A92645" w:rsidRPr="00986D60">
        <w:t>)</w:t>
      </w:r>
      <w:r w:rsidR="00C816CB" w:rsidRPr="00986D60">
        <w:t xml:space="preserve">. The ESC noted that the majority of people with PKU would be adults, </w:t>
      </w:r>
      <w:r w:rsidR="005A432F" w:rsidRPr="00986D60">
        <w:t xml:space="preserve">so the ICER in </w:t>
      </w:r>
      <w:r w:rsidR="00FD6D89" w:rsidRPr="00986D60">
        <w:t>patients aged ≥ </w:t>
      </w:r>
      <w:r w:rsidR="00A92645" w:rsidRPr="00986D60">
        <w:t>18 years</w:t>
      </w:r>
      <w:r w:rsidR="005A432F" w:rsidRPr="00986D60">
        <w:t xml:space="preserve">, </w:t>
      </w:r>
      <w:r w:rsidR="00F27DD5">
        <w:t>more than $200,000/QALY</w:t>
      </w:r>
      <w:r w:rsidR="005A432F" w:rsidRPr="00986D60">
        <w:t xml:space="preserve">, </w:t>
      </w:r>
      <w:r w:rsidR="00A92645" w:rsidRPr="00986D60">
        <w:t>would more</w:t>
      </w:r>
      <w:r w:rsidR="005A432F" w:rsidRPr="00986D60">
        <w:t xml:space="preserve"> closely </w:t>
      </w:r>
      <w:r w:rsidR="00A92645" w:rsidRPr="00986D60">
        <w:t>reflect</w:t>
      </w:r>
      <w:r w:rsidR="005A432F" w:rsidRPr="00986D60">
        <w:t xml:space="preserve"> the </w:t>
      </w:r>
      <w:r w:rsidR="00A92645" w:rsidRPr="00986D60">
        <w:t>overall</w:t>
      </w:r>
      <w:r w:rsidR="005A432F" w:rsidRPr="00986D60">
        <w:t xml:space="preserve"> cost-effectiveness of sapropterin</w:t>
      </w:r>
      <w:r w:rsidR="00A92645" w:rsidRPr="00986D60">
        <w:t xml:space="preserve"> in the Australian population</w:t>
      </w:r>
      <w:r w:rsidR="005A432F" w:rsidRPr="00986D60">
        <w:t>.</w:t>
      </w:r>
      <w:r w:rsidR="00C816CB" w:rsidRPr="00986D60">
        <w:t xml:space="preserve"> </w:t>
      </w:r>
    </w:p>
    <w:p w:rsidR="001C0343" w:rsidRPr="00986D60" w:rsidRDefault="00F41AE0" w:rsidP="007A7ACD">
      <w:pPr>
        <w:pStyle w:val="ListParagraph"/>
        <w:widowControl/>
        <w:numPr>
          <w:ilvl w:val="1"/>
          <w:numId w:val="13"/>
        </w:numPr>
        <w:spacing w:after="120"/>
        <w:ind w:left="709" w:hanging="709"/>
      </w:pPr>
      <w:r w:rsidRPr="00F41AE0">
        <w:t xml:space="preserve">The PBAC considered that the economic model may not have accurately captured the additional benefits of sapropterin in children relative to adults. For example, the model used the </w:t>
      </w:r>
      <w:r w:rsidR="001C0343" w:rsidRPr="00986D60">
        <w:t>same utilities for adults and children</w:t>
      </w:r>
      <w:r>
        <w:t>, despite</w:t>
      </w:r>
      <w:r w:rsidR="001C0343" w:rsidRPr="00986D60">
        <w:t xml:space="preserve"> </w:t>
      </w:r>
      <w:r>
        <w:t xml:space="preserve">the </w:t>
      </w:r>
      <w:r w:rsidR="001C0343" w:rsidRPr="00986D60">
        <w:t xml:space="preserve">potential health impacts of uncontrolled PKU </w:t>
      </w:r>
      <w:r>
        <w:t>being irreversible and more</w:t>
      </w:r>
      <w:r w:rsidR="001C0343" w:rsidRPr="00986D60">
        <w:t xml:space="preserve"> severe</w:t>
      </w:r>
      <w:r>
        <w:t xml:space="preserve"> </w:t>
      </w:r>
      <w:r w:rsidR="001C0343" w:rsidRPr="00986D60">
        <w:t>in children</w:t>
      </w:r>
      <w:r w:rsidR="00E64249">
        <w:t xml:space="preserve"> compared with adults</w:t>
      </w:r>
      <w:r>
        <w:t>.</w:t>
      </w:r>
      <w:r w:rsidR="001C0343" w:rsidRPr="00986D60">
        <w:t xml:space="preserve"> </w:t>
      </w:r>
    </w:p>
    <w:p w:rsidR="005A373D" w:rsidRPr="00986D60" w:rsidRDefault="00346F41" w:rsidP="007A7ACD">
      <w:pPr>
        <w:pStyle w:val="ListParagraph"/>
        <w:widowControl/>
        <w:numPr>
          <w:ilvl w:val="1"/>
          <w:numId w:val="13"/>
        </w:numPr>
        <w:spacing w:after="120"/>
        <w:ind w:left="709" w:hanging="709"/>
      </w:pPr>
      <w:r w:rsidRPr="00986D60">
        <w:t>U</w:t>
      </w:r>
      <w:r w:rsidR="007E5495" w:rsidRPr="00986D60">
        <w:t xml:space="preserve">nivariate sensitivity analyses were </w:t>
      </w:r>
      <w:r w:rsidR="000B7DAC" w:rsidRPr="00986D60">
        <w:t xml:space="preserve">presented in the </w:t>
      </w:r>
      <w:r w:rsidR="00063220">
        <w:t>resubmission</w:t>
      </w:r>
      <w:r w:rsidR="000B7DAC" w:rsidRPr="00986D60">
        <w:t xml:space="preserve">, </w:t>
      </w:r>
      <w:r w:rsidRPr="00986D60">
        <w:t>which showed the proportion of individuals with well</w:t>
      </w:r>
      <w:r w:rsidR="00FD6D89" w:rsidRPr="00986D60">
        <w:t>-</w:t>
      </w:r>
      <w:r w:rsidRPr="00986D60">
        <w:t xml:space="preserve"> versus poor</w:t>
      </w:r>
      <w:r w:rsidR="00795F1F" w:rsidRPr="00986D60">
        <w:t>ly-controlled blood Phe levels wa</w:t>
      </w:r>
      <w:r w:rsidRPr="00986D60">
        <w:t>s a key driver of the economic model. T</w:t>
      </w:r>
      <w:r w:rsidR="000B7DAC" w:rsidRPr="00986D60">
        <w:t>he ESC considered th</w:t>
      </w:r>
      <w:r w:rsidRPr="00986D60">
        <w:t xml:space="preserve">at </w:t>
      </w:r>
      <w:r w:rsidR="00795F1F" w:rsidRPr="00986D60">
        <w:t xml:space="preserve">the </w:t>
      </w:r>
      <w:r w:rsidRPr="00986D60">
        <w:t>sensitivity analyses</w:t>
      </w:r>
      <w:r w:rsidR="000B7DAC" w:rsidRPr="00986D60">
        <w:t xml:space="preserve"> were not informative given the </w:t>
      </w:r>
      <w:r w:rsidR="00BF7F83" w:rsidRPr="00986D60">
        <w:t>s</w:t>
      </w:r>
      <w:r w:rsidRPr="00986D60">
        <w:t>ignificant</w:t>
      </w:r>
      <w:r w:rsidR="00BF7F83" w:rsidRPr="00986D60">
        <w:t xml:space="preserve"> issues </w:t>
      </w:r>
      <w:r w:rsidR="000B7DAC" w:rsidRPr="00986D60">
        <w:t xml:space="preserve">identified </w:t>
      </w:r>
      <w:r w:rsidR="00BF7F83" w:rsidRPr="00986D60">
        <w:t xml:space="preserve">with the model </w:t>
      </w:r>
      <w:r w:rsidR="000B7DAC" w:rsidRPr="00986D60">
        <w:t xml:space="preserve">utilities and the </w:t>
      </w:r>
      <w:r w:rsidR="00BF7F83" w:rsidRPr="00986D60">
        <w:t xml:space="preserve">differentiation of </w:t>
      </w:r>
      <w:r w:rsidRPr="00986D60">
        <w:t xml:space="preserve">the </w:t>
      </w:r>
      <w:r w:rsidR="000B7DAC" w:rsidRPr="00986D60">
        <w:t>population into poor</w:t>
      </w:r>
      <w:r w:rsidRPr="00986D60">
        <w:t>ly-controlled and well-controlled sub-groups</w:t>
      </w:r>
      <w:r w:rsidR="00BF7F83" w:rsidRPr="00986D60">
        <w:t>.</w:t>
      </w:r>
    </w:p>
    <w:p w:rsidR="00A119F7" w:rsidRPr="00986D60" w:rsidRDefault="00B34416" w:rsidP="0094732A">
      <w:pPr>
        <w:pStyle w:val="ListParagraph"/>
        <w:numPr>
          <w:ilvl w:val="1"/>
          <w:numId w:val="13"/>
        </w:numPr>
        <w:ind w:left="709" w:hanging="709"/>
      </w:pPr>
      <w:r w:rsidRPr="00986D60">
        <w:t xml:space="preserve">The ICERs estimated in the November 2011 submission were </w:t>
      </w:r>
      <w:r w:rsidR="00F27DD5">
        <w:t>more than $200,000/QALY</w:t>
      </w:r>
      <w:r w:rsidRPr="00986D60">
        <w:t xml:space="preserve"> (versus strict diet), </w:t>
      </w:r>
      <w:r w:rsidR="00F27DD5">
        <w:t>$</w:t>
      </w:r>
      <w:r w:rsidR="00E05001">
        <w:t>105</w:t>
      </w:r>
      <w:r w:rsidR="00F27DD5">
        <w:t>,000/QALY</w:t>
      </w:r>
      <w:r w:rsidR="00E05001">
        <w:t xml:space="preserve"> - $200,000/QALY</w:t>
      </w:r>
      <w:r w:rsidR="00F27DD5" w:rsidRPr="00986D60" w:rsidDel="00F27DD5">
        <w:t xml:space="preserve"> </w:t>
      </w:r>
      <w:r w:rsidRPr="00986D60">
        <w:t xml:space="preserve">(versus relaxed diet) and </w:t>
      </w:r>
      <w:r w:rsidR="00F27DD5">
        <w:t>$75,000/QALY - $105,000/QALY</w:t>
      </w:r>
      <w:r w:rsidRPr="00986D60">
        <w:t xml:space="preserve"> (versus uncontrolled diet). The November 2011 submission reported a base case ICER of </w:t>
      </w:r>
      <w:r w:rsidR="00F27DD5">
        <w:t>$105,000/QALY - $200,000/QALY</w:t>
      </w:r>
      <w:r w:rsidRPr="00986D60">
        <w:t xml:space="preserve"> (the submission used the relaxed diet as the comparator in the base case as this was considered to be reflective of ‘real life’ compliance with diet restrictions and supplements). </w:t>
      </w:r>
    </w:p>
    <w:p w:rsidR="00C25D9C" w:rsidRPr="00F27DD5" w:rsidRDefault="00C25D9C" w:rsidP="00777DFF">
      <w:pPr>
        <w:pStyle w:val="Heading2"/>
      </w:pPr>
      <w:bookmarkStart w:id="14" w:name="_Toc503291174"/>
      <w:r w:rsidRPr="00F27DD5">
        <w:t>Drug cost/patient/</w:t>
      </w:r>
      <w:r w:rsidR="007E5495" w:rsidRPr="00F27DD5">
        <w:t>y</w:t>
      </w:r>
      <w:r w:rsidRPr="00F27DD5">
        <w:t>ear</w:t>
      </w:r>
      <w:bookmarkEnd w:id="14"/>
    </w:p>
    <w:p w:rsidR="00A119F7" w:rsidRPr="00986D60" w:rsidRDefault="007E5495" w:rsidP="0094732A">
      <w:pPr>
        <w:pStyle w:val="ListParagraph"/>
        <w:widowControl/>
        <w:numPr>
          <w:ilvl w:val="1"/>
          <w:numId w:val="13"/>
        </w:numPr>
        <w:spacing w:after="120"/>
        <w:ind w:left="709" w:hanging="709"/>
      </w:pPr>
      <w:r w:rsidRPr="00986D60">
        <w:t>The cost of sapropterin per patient per year ranged from $</w:t>
      </w:r>
      <w:r w:rsidR="006A61EC">
        <w:rPr>
          <w:noProof/>
          <w:color w:val="000000"/>
          <w:highlight w:val="black"/>
        </w:rPr>
        <w:t>'''''''''''</w:t>
      </w:r>
      <w:r w:rsidRPr="00986D60">
        <w:t xml:space="preserve"> in the 0-year old cohort to $</w:t>
      </w:r>
      <w:r w:rsidR="006A61EC">
        <w:rPr>
          <w:noProof/>
          <w:color w:val="000000"/>
          <w:highlight w:val="black"/>
        </w:rPr>
        <w:t>''''''''''''''''</w:t>
      </w:r>
      <w:r w:rsidRPr="00986D60">
        <w:t xml:space="preserve"> in the ≥18 year-old cohort. These costs were determined by applying the proposed effective sapropterin DPMQ ($</w:t>
      </w:r>
      <w:r w:rsidR="006A61EC">
        <w:rPr>
          <w:noProof/>
          <w:color w:val="000000"/>
          <w:highlight w:val="black"/>
        </w:rPr>
        <w:t>''''''''''''</w:t>
      </w:r>
      <w:r w:rsidRPr="00986D60">
        <w:t xml:space="preserve">) to mean weight-by-age data and a mean daily dose of </w:t>
      </w:r>
      <w:r w:rsidR="006A61EC">
        <w:rPr>
          <w:noProof/>
          <w:color w:val="000000"/>
          <w:highlight w:val="black"/>
        </w:rPr>
        <w:t>''''''''</w:t>
      </w:r>
      <w:r w:rsidRPr="00986D60">
        <w:t xml:space="preserve"> mg/kg/day (derived from trial/study evidence, although this may </w:t>
      </w:r>
      <w:r w:rsidR="002C31A3">
        <w:t xml:space="preserve">have </w:t>
      </w:r>
      <w:r w:rsidRPr="00986D60">
        <w:t>be</w:t>
      </w:r>
      <w:r w:rsidR="002C31A3">
        <w:t>en</w:t>
      </w:r>
      <w:r w:rsidRPr="00986D60">
        <w:t xml:space="preserve"> underestimated).</w:t>
      </w:r>
    </w:p>
    <w:p w:rsidR="00B60939" w:rsidRPr="00E05001" w:rsidRDefault="00B60939" w:rsidP="00777DFF">
      <w:pPr>
        <w:pStyle w:val="Heading2"/>
      </w:pPr>
      <w:bookmarkStart w:id="15" w:name="_Toc503291175"/>
      <w:r w:rsidRPr="00E05001">
        <w:t>Estimated PBS usage &amp; financial implications</w:t>
      </w:r>
      <w:bookmarkEnd w:id="15"/>
    </w:p>
    <w:p w:rsidR="00937564" w:rsidRPr="00937564" w:rsidRDefault="002C31A3" w:rsidP="00937564">
      <w:pPr>
        <w:pStyle w:val="ListParagraph"/>
        <w:widowControl/>
        <w:numPr>
          <w:ilvl w:val="1"/>
          <w:numId w:val="13"/>
        </w:numPr>
        <w:spacing w:after="120"/>
        <w:ind w:left="709" w:hanging="709"/>
      </w:pPr>
      <w:r>
        <w:t>The resubmission was considered by DUSC.</w:t>
      </w:r>
      <w:r w:rsidR="00937564">
        <w:t xml:space="preserve"> </w:t>
      </w:r>
      <w:r w:rsidR="00937564" w:rsidRPr="00937564">
        <w:t>An epidemiological approach was used. The key sources used were Boneh et al (2006) and Abadie et al (2001) for estimates of PKU prevalence requiring treatment for HPA in the population, clinical trial evidence for estimates of the proportion of PKU sapropterin-responders and inputs used to inform the economic analysis.</w:t>
      </w:r>
    </w:p>
    <w:p w:rsidR="007D2DED" w:rsidRPr="007D2DED" w:rsidRDefault="00937564" w:rsidP="007D2DED">
      <w:pPr>
        <w:pStyle w:val="ListParagraph"/>
        <w:numPr>
          <w:ilvl w:val="1"/>
          <w:numId w:val="13"/>
        </w:numPr>
        <w:ind w:left="709" w:hanging="709"/>
      </w:pPr>
      <w:r w:rsidRPr="00937564">
        <w:t>The financial estimates largely depended on the assumed sapropterin response rates.</w:t>
      </w:r>
      <w:r w:rsidR="008759C7">
        <w:t xml:space="preserve"> </w:t>
      </w:r>
      <w:r w:rsidR="007D2DED" w:rsidRPr="007D2DED">
        <w:t xml:space="preserve">DUSC noted that a patient’s response to sapropterin appeared to be influenced by a range of factors including dose, test period duration, baseline Phe levels, age and adherence to a strict Phe-restricted diet. DUSC considered that the method for determining sapropterin response rates, particularly the role of clinical judgement regarding the extent of illness and dietary adherence, generated uncertainty in the financial estimates. DUSC also considered that there was ambiguity in what constituted a response, and reiterated its concerns that the restriction is likely to allow use of sapropterin in a broader population than the eligible population used in the estimates. </w:t>
      </w:r>
    </w:p>
    <w:p w:rsidR="00937564" w:rsidRDefault="00937564" w:rsidP="00937564">
      <w:pPr>
        <w:pStyle w:val="ListParagraph"/>
        <w:numPr>
          <w:ilvl w:val="1"/>
          <w:numId w:val="13"/>
        </w:numPr>
        <w:spacing w:after="120"/>
        <w:ind w:left="709" w:hanging="709"/>
      </w:pPr>
      <w:r w:rsidRPr="00937564">
        <w:t xml:space="preserve">Response was assumed to vary for </w:t>
      </w:r>
      <w:r w:rsidR="009155A2">
        <w:t xml:space="preserve">people with </w:t>
      </w:r>
      <w:r w:rsidRPr="00937564">
        <w:t xml:space="preserve">“well-controlled” versus “poorly-controlled” </w:t>
      </w:r>
      <w:r w:rsidR="009155A2">
        <w:t>blood Phe levels</w:t>
      </w:r>
      <w:r w:rsidR="00063220">
        <w:t>. The re</w:t>
      </w:r>
      <w:r w:rsidRPr="00937564">
        <w:t xml:space="preserve">submission estimated that 82% of 0-12 year olds, 85% of 13-17 year olds and 33% of those aged ≥18 years were “well” controlled, with the remainder being “poorly” controlled; based on Freehauf et al (2013). </w:t>
      </w:r>
      <w:r w:rsidRPr="008759C7">
        <w:t>The</w:t>
      </w:r>
      <w:r w:rsidR="009155A2">
        <w:t xml:space="preserve"> DUSC considered that the</w:t>
      </w:r>
      <w:r w:rsidRPr="008759C7">
        <w:t>se estimates might not be applicable to the likely PBS population as</w:t>
      </w:r>
      <w:r w:rsidR="00351C70">
        <w:t>:</w:t>
      </w:r>
      <w:r w:rsidRPr="008759C7">
        <w:t xml:space="preserve"> it was unclear how patients that crossed age boundaries were categorised in the study; the sample sizes </w:t>
      </w:r>
      <w:r w:rsidR="00351C70" w:rsidRPr="008759C7">
        <w:t xml:space="preserve">were small </w:t>
      </w:r>
      <w:r w:rsidRPr="008759C7">
        <w:t>for those aged 13-17 years and for adults; and the adult population in the study only included those aged 18-26 years.</w:t>
      </w:r>
    </w:p>
    <w:p w:rsidR="007402B5" w:rsidRDefault="00063220" w:rsidP="007402B5">
      <w:pPr>
        <w:pStyle w:val="ListParagraph"/>
        <w:numPr>
          <w:ilvl w:val="1"/>
          <w:numId w:val="13"/>
        </w:numPr>
        <w:spacing w:after="120"/>
        <w:ind w:left="709" w:hanging="709"/>
      </w:pPr>
      <w:r>
        <w:t>The re</w:t>
      </w:r>
      <w:r w:rsidR="00937564" w:rsidRPr="00937564">
        <w:t xml:space="preserve">submission subsequently applied the derived </w:t>
      </w:r>
      <w:r w:rsidR="00B54EF6">
        <w:t>D</w:t>
      </w:r>
      <w:r w:rsidR="00937564" w:rsidRPr="00937564">
        <w:t>ay 28 sapropterin response rates (</w:t>
      </w:r>
      <w:r w:rsidR="006A61EC">
        <w:rPr>
          <w:noProof/>
          <w:color w:val="000000"/>
          <w:highlight w:val="black"/>
        </w:rPr>
        <w:t>'''''</w:t>
      </w:r>
      <w:r w:rsidR="00937564" w:rsidRPr="00937564">
        <w:t xml:space="preserve">% for well-controlled and </w:t>
      </w:r>
      <w:r w:rsidR="006A61EC">
        <w:rPr>
          <w:noProof/>
          <w:color w:val="000000"/>
          <w:highlight w:val="black"/>
        </w:rPr>
        <w:t>''''''</w:t>
      </w:r>
      <w:r w:rsidR="00937564" w:rsidRPr="00937564">
        <w:t xml:space="preserve">% for poorly controlled) to each age group to estimate the proportion of responders. </w:t>
      </w:r>
      <w:r w:rsidR="00937564" w:rsidRPr="008759C7">
        <w:t xml:space="preserve">The </w:t>
      </w:r>
      <w:r w:rsidR="009155A2">
        <w:t xml:space="preserve">DUSC considered that the </w:t>
      </w:r>
      <w:r w:rsidR="00937564" w:rsidRPr="008759C7">
        <w:t xml:space="preserve">applicability of these response rates was uncertain, given none of the studies included the responsiveness regimen suggested by the </w:t>
      </w:r>
      <w:r>
        <w:t>resubmission</w:t>
      </w:r>
      <w:r w:rsidR="00937564" w:rsidRPr="008759C7">
        <w:t>, the studies reporting response rates for those “well” controlled only included patients aged &lt;</w:t>
      </w:r>
      <w:r w:rsidR="008759C7">
        <w:t xml:space="preserve"> </w:t>
      </w:r>
      <w:r w:rsidR="00937564" w:rsidRPr="008759C7">
        <w:t>12 years and baseline blood Phe levels among those “poorly” controlled in the PBS population are unknown, and response rates in the studies appeared to be better with an increased sapropterin dose, increased test period duration, lower baseline Phe levels and decreasing age.</w:t>
      </w:r>
      <w:r w:rsidR="007402B5" w:rsidRPr="007402B5">
        <w:t xml:space="preserve"> </w:t>
      </w:r>
    </w:p>
    <w:p w:rsidR="00E16AA8" w:rsidRDefault="00E16AA8" w:rsidP="008759C7">
      <w:pPr>
        <w:pStyle w:val="ListParagraph"/>
        <w:widowControl/>
        <w:numPr>
          <w:ilvl w:val="1"/>
          <w:numId w:val="13"/>
        </w:numPr>
        <w:spacing w:after="120"/>
        <w:ind w:left="709" w:hanging="709"/>
      </w:pPr>
      <w:r>
        <w:t>DUSC consider</w:t>
      </w:r>
      <w:r w:rsidR="008759C7">
        <w:t>ed</w:t>
      </w:r>
      <w:r>
        <w:t xml:space="preserve"> </w:t>
      </w:r>
      <w:r w:rsidR="008759C7">
        <w:t xml:space="preserve">that </w:t>
      </w:r>
      <w:r>
        <w:t xml:space="preserve">the estimates presented in the </w:t>
      </w:r>
      <w:r w:rsidR="00063220">
        <w:t>re</w:t>
      </w:r>
      <w:r>
        <w:t xml:space="preserve">submission </w:t>
      </w:r>
      <w:r w:rsidR="008759C7">
        <w:t>were</w:t>
      </w:r>
      <w:r>
        <w:t xml:space="preserve"> underestimated. The</w:t>
      </w:r>
      <w:r w:rsidR="008759C7">
        <w:t xml:space="preserve"> DUSC considered that the</w:t>
      </w:r>
      <w:r>
        <w:t xml:space="preserve"> main issues </w:t>
      </w:r>
      <w:r w:rsidR="008759C7">
        <w:t>we</w:t>
      </w:r>
      <w:r>
        <w:t>re:</w:t>
      </w:r>
    </w:p>
    <w:p w:rsidR="00E16AA8" w:rsidRDefault="00E16AA8" w:rsidP="008759C7">
      <w:pPr>
        <w:pStyle w:val="Bulletpoints"/>
        <w:spacing w:after="120"/>
        <w:ind w:left="993" w:hanging="284"/>
        <w:contextualSpacing/>
      </w:pPr>
      <w:r>
        <w:t xml:space="preserve">The financial estimates largely depend on the assumed sapropterin response rates. Response to sapropterin appears to be influenced by a number of factors and there is a high degree of clinical subjectivity in determining a response. </w:t>
      </w:r>
    </w:p>
    <w:p w:rsidR="00E16AA8" w:rsidRDefault="00E16AA8" w:rsidP="008759C7">
      <w:pPr>
        <w:pStyle w:val="Bulletpoints"/>
        <w:spacing w:after="120"/>
        <w:ind w:left="993" w:hanging="284"/>
        <w:contextualSpacing/>
      </w:pPr>
      <w:r>
        <w:t xml:space="preserve">The proportion of sapropterin responders and the estimated sapropterin uptake rates may not be applicable to the PBS population. </w:t>
      </w:r>
    </w:p>
    <w:p w:rsidR="00E16AA8" w:rsidRDefault="00E16AA8" w:rsidP="008759C7">
      <w:pPr>
        <w:pStyle w:val="Bulletpoints"/>
        <w:spacing w:after="120"/>
        <w:ind w:left="993" w:hanging="284"/>
        <w:contextualSpacing/>
      </w:pPr>
      <w:r>
        <w:t xml:space="preserve">The exclusion of patients over the age of 51 in determining the eligible population was inappropriate, given age criteria were not specified in the requested restriction. This potentially excluded some eligible patients. </w:t>
      </w:r>
    </w:p>
    <w:p w:rsidR="00E16AA8" w:rsidRDefault="00E16AA8" w:rsidP="008759C7">
      <w:pPr>
        <w:pStyle w:val="Bulletpoints"/>
        <w:spacing w:after="120"/>
        <w:ind w:left="993" w:hanging="284"/>
        <w:contextualSpacing/>
      </w:pPr>
      <w:r>
        <w:t>The clinical algorithm recommended treatment at blood Phe levels ≥ 360 µmol/L whereas the eligible population was determined using a threshold of &gt; 300 µmol/L. This overestimates the eligible population.</w:t>
      </w:r>
    </w:p>
    <w:p w:rsidR="00E16AA8" w:rsidRDefault="00E16AA8" w:rsidP="008759C7">
      <w:pPr>
        <w:pStyle w:val="Bulletpoints"/>
        <w:spacing w:after="120"/>
        <w:ind w:left="993" w:hanging="284"/>
        <w:contextualSpacing/>
      </w:pPr>
      <w:r>
        <w:t>The uptake rates are likely underestimated given that no other alternative treatments are available other than the Phe-restricted diet; sapropterin appears to be well tolerated; and there are severe health impacts for the patient if the condition is not well-managed.</w:t>
      </w:r>
    </w:p>
    <w:p w:rsidR="00E16AA8" w:rsidRDefault="00E16AA8" w:rsidP="008759C7">
      <w:pPr>
        <w:pStyle w:val="Bulletpoints"/>
        <w:spacing w:after="120"/>
        <w:ind w:left="993" w:hanging="284"/>
        <w:contextualSpacing/>
      </w:pPr>
      <w:r>
        <w:t xml:space="preserve">The estimated annual number of prescriptions may be over or underestimated due to inappropriate rounding of the average dosage amount. The direction of the uncertainty varies by patient age group. </w:t>
      </w:r>
    </w:p>
    <w:p w:rsidR="00E16AA8" w:rsidRDefault="00E16AA8" w:rsidP="008759C7">
      <w:pPr>
        <w:pStyle w:val="Bulletpoints"/>
        <w:spacing w:after="120"/>
        <w:ind w:left="993" w:hanging="284"/>
        <w:contextualSpacing/>
      </w:pPr>
      <w:r>
        <w:t>A 100% compliance rate may not appropriately reflect a real world situation.</w:t>
      </w:r>
    </w:p>
    <w:p w:rsidR="00E16AA8" w:rsidRDefault="00E16AA8" w:rsidP="008759C7">
      <w:pPr>
        <w:pStyle w:val="Bulletpoints"/>
        <w:spacing w:after="120"/>
        <w:ind w:left="993" w:hanging="284"/>
        <w:contextualSpacing/>
      </w:pPr>
      <w:r>
        <w:t>The use of a single proxy for all Phe-free protein supplements was not appropriate; the cost offsets are therefore uncertain and might not be realised.</w:t>
      </w:r>
    </w:p>
    <w:p w:rsidR="00876E47" w:rsidRDefault="00876E47" w:rsidP="008759C7">
      <w:pPr>
        <w:pStyle w:val="ListParagraph"/>
        <w:widowControl/>
        <w:numPr>
          <w:ilvl w:val="1"/>
          <w:numId w:val="13"/>
        </w:numPr>
        <w:spacing w:after="120"/>
        <w:ind w:left="709" w:hanging="709"/>
      </w:pPr>
      <w:r w:rsidRPr="00876E47">
        <w:t xml:space="preserve">Table </w:t>
      </w:r>
      <w:r w:rsidR="008759C7">
        <w:t>13</w:t>
      </w:r>
      <w:r w:rsidRPr="00876E47">
        <w:t xml:space="preserve"> summarises the estimated use and financial implications.</w:t>
      </w:r>
    </w:p>
    <w:p w:rsidR="00876E47" w:rsidRPr="00876E47" w:rsidRDefault="00876E47" w:rsidP="008759C7">
      <w:pPr>
        <w:keepNext/>
        <w:keepLines/>
        <w:widowControl/>
        <w:spacing w:after="60"/>
        <w:rPr>
          <w:rFonts w:ascii="Arial Narrow" w:eastAsia="Calibri" w:hAnsi="Arial Narrow"/>
          <w:b/>
          <w:snapToGrid/>
          <w:sz w:val="20"/>
        </w:rPr>
      </w:pPr>
      <w:r w:rsidRPr="00876E47">
        <w:rPr>
          <w:rFonts w:ascii="Arial Narrow" w:eastAsia="Calibri" w:hAnsi="Arial Narrow"/>
          <w:b/>
          <w:snapToGrid/>
          <w:sz w:val="20"/>
        </w:rPr>
        <w:t xml:space="preserve">Table </w:t>
      </w:r>
      <w:r w:rsidR="008759C7">
        <w:rPr>
          <w:rFonts w:ascii="Arial Narrow" w:eastAsia="Calibri" w:hAnsi="Arial Narrow"/>
          <w:b/>
          <w:snapToGrid/>
          <w:sz w:val="20"/>
        </w:rPr>
        <w:t>13</w:t>
      </w:r>
      <w:r w:rsidRPr="00876E47">
        <w:rPr>
          <w:rFonts w:ascii="Arial Narrow" w:eastAsia="Calibri" w:hAnsi="Arial Narrow"/>
          <w:b/>
          <w:snapToGrid/>
          <w:sz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0"/>
        <w:gridCol w:w="1069"/>
        <w:gridCol w:w="1072"/>
        <w:gridCol w:w="1072"/>
        <w:gridCol w:w="1070"/>
        <w:gridCol w:w="1072"/>
        <w:gridCol w:w="1070"/>
      </w:tblGrid>
      <w:tr w:rsidR="005D123A" w:rsidRPr="009852B9" w:rsidTr="001B7B23">
        <w:trPr>
          <w:tblHeader/>
        </w:trPr>
        <w:tc>
          <w:tcPr>
            <w:tcW w:w="1433" w:type="pct"/>
            <w:shd w:val="clear" w:color="auto" w:fill="auto"/>
            <w:vAlign w:val="center"/>
          </w:tcPr>
          <w:p w:rsidR="00876E47" w:rsidRPr="009852B9" w:rsidRDefault="00876E47" w:rsidP="008759C7">
            <w:pPr>
              <w:pStyle w:val="Tabletext"/>
              <w:keepNext/>
              <w:keepLines/>
            </w:pPr>
          </w:p>
        </w:tc>
        <w:tc>
          <w:tcPr>
            <w:tcW w:w="594" w:type="pct"/>
            <w:shd w:val="clear" w:color="auto" w:fill="auto"/>
            <w:vAlign w:val="center"/>
          </w:tcPr>
          <w:p w:rsidR="00876E47" w:rsidRPr="009852B9" w:rsidRDefault="00876E47" w:rsidP="008759C7">
            <w:pPr>
              <w:pStyle w:val="Tabletext"/>
              <w:keepNext/>
              <w:keepLines/>
              <w:jc w:val="center"/>
              <w:rPr>
                <w:b/>
              </w:rPr>
            </w:pPr>
            <w:r w:rsidRPr="009852B9">
              <w:rPr>
                <w:b/>
              </w:rPr>
              <w:t>Year 1</w:t>
            </w:r>
          </w:p>
        </w:tc>
        <w:tc>
          <w:tcPr>
            <w:tcW w:w="595" w:type="pct"/>
            <w:shd w:val="clear" w:color="auto" w:fill="auto"/>
            <w:vAlign w:val="center"/>
          </w:tcPr>
          <w:p w:rsidR="00876E47" w:rsidRPr="009852B9" w:rsidRDefault="00876E47" w:rsidP="008759C7">
            <w:pPr>
              <w:pStyle w:val="Tabletext"/>
              <w:keepNext/>
              <w:keepLines/>
              <w:jc w:val="center"/>
              <w:rPr>
                <w:b/>
              </w:rPr>
            </w:pPr>
            <w:r w:rsidRPr="009852B9">
              <w:rPr>
                <w:b/>
              </w:rPr>
              <w:t>Year 2</w:t>
            </w:r>
          </w:p>
        </w:tc>
        <w:tc>
          <w:tcPr>
            <w:tcW w:w="595" w:type="pct"/>
            <w:shd w:val="clear" w:color="auto" w:fill="auto"/>
            <w:vAlign w:val="center"/>
          </w:tcPr>
          <w:p w:rsidR="00876E47" w:rsidRPr="009852B9" w:rsidRDefault="00876E47" w:rsidP="008759C7">
            <w:pPr>
              <w:pStyle w:val="Tabletext"/>
              <w:keepNext/>
              <w:keepLines/>
              <w:jc w:val="center"/>
              <w:rPr>
                <w:b/>
              </w:rPr>
            </w:pPr>
            <w:r w:rsidRPr="009852B9">
              <w:rPr>
                <w:b/>
              </w:rPr>
              <w:t>Year 3</w:t>
            </w:r>
          </w:p>
        </w:tc>
        <w:tc>
          <w:tcPr>
            <w:tcW w:w="594" w:type="pct"/>
            <w:shd w:val="clear" w:color="auto" w:fill="auto"/>
            <w:vAlign w:val="center"/>
          </w:tcPr>
          <w:p w:rsidR="00876E47" w:rsidRPr="009852B9" w:rsidRDefault="00876E47" w:rsidP="008759C7">
            <w:pPr>
              <w:pStyle w:val="Tabletext"/>
              <w:keepNext/>
              <w:keepLines/>
              <w:jc w:val="center"/>
              <w:rPr>
                <w:b/>
              </w:rPr>
            </w:pPr>
            <w:r w:rsidRPr="009852B9">
              <w:rPr>
                <w:b/>
              </w:rPr>
              <w:t>Year 4</w:t>
            </w:r>
          </w:p>
        </w:tc>
        <w:tc>
          <w:tcPr>
            <w:tcW w:w="595" w:type="pct"/>
            <w:shd w:val="clear" w:color="auto" w:fill="auto"/>
            <w:vAlign w:val="center"/>
          </w:tcPr>
          <w:p w:rsidR="00876E47" w:rsidRPr="009852B9" w:rsidRDefault="00876E47" w:rsidP="008759C7">
            <w:pPr>
              <w:pStyle w:val="Tabletext"/>
              <w:keepNext/>
              <w:keepLines/>
              <w:jc w:val="center"/>
              <w:rPr>
                <w:b/>
              </w:rPr>
            </w:pPr>
            <w:r w:rsidRPr="009852B9">
              <w:rPr>
                <w:b/>
              </w:rPr>
              <w:t>Year 5</w:t>
            </w:r>
          </w:p>
        </w:tc>
        <w:tc>
          <w:tcPr>
            <w:tcW w:w="594" w:type="pct"/>
          </w:tcPr>
          <w:p w:rsidR="00876E47" w:rsidRPr="009852B9" w:rsidRDefault="00876E47" w:rsidP="008759C7">
            <w:pPr>
              <w:pStyle w:val="Tabletext"/>
              <w:keepNext/>
              <w:keepLines/>
              <w:jc w:val="center"/>
              <w:rPr>
                <w:b/>
              </w:rPr>
            </w:pPr>
            <w:r w:rsidRPr="009852B9">
              <w:rPr>
                <w:b/>
              </w:rPr>
              <w:t>Year 6</w:t>
            </w:r>
          </w:p>
        </w:tc>
      </w:tr>
      <w:tr w:rsidR="00876E47" w:rsidRPr="009852B9" w:rsidTr="005D123A">
        <w:tc>
          <w:tcPr>
            <w:tcW w:w="5000" w:type="pct"/>
            <w:gridSpan w:val="7"/>
            <w:shd w:val="clear" w:color="auto" w:fill="auto"/>
            <w:vAlign w:val="center"/>
          </w:tcPr>
          <w:p w:rsidR="00876E47" w:rsidRPr="009852B9" w:rsidRDefault="00876E47" w:rsidP="008759C7">
            <w:pPr>
              <w:pStyle w:val="Tabletext"/>
              <w:keepNext/>
              <w:keepLines/>
              <w:rPr>
                <w:b/>
                <w:bCs/>
              </w:rPr>
            </w:pPr>
            <w:r w:rsidRPr="009852B9">
              <w:rPr>
                <w:b/>
                <w:bCs/>
              </w:rPr>
              <w:t>Estimated extent of use</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Number of patients treated</w:t>
            </w:r>
          </w:p>
        </w:tc>
        <w:tc>
          <w:tcPr>
            <w:tcW w:w="594"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4"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4" w:type="pct"/>
          </w:tcPr>
          <w:p w:rsidR="00876E47" w:rsidRPr="006A61EC" w:rsidRDefault="006A61EC" w:rsidP="008759C7">
            <w:pPr>
              <w:pStyle w:val="Tabletext"/>
              <w:keepNext/>
              <w:keepLines/>
              <w:jc w:val="center"/>
              <w:rPr>
                <w:bCs/>
                <w:highlight w:val="black"/>
              </w:rPr>
            </w:pPr>
            <w:r>
              <w:rPr>
                <w:bCs/>
                <w:noProof/>
                <w:color w:val="000000"/>
                <w:highlight w:val="black"/>
              </w:rPr>
              <w:t>''''''''''</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Number of scripts dispensed</w:t>
            </w:r>
            <w:r w:rsidR="005D123A">
              <w:t xml:space="preserve"> </w:t>
            </w:r>
            <w:r w:rsidRPr="009852B9">
              <w:rPr>
                <w:vertAlign w:val="superscript"/>
              </w:rPr>
              <w:t>a</w:t>
            </w:r>
          </w:p>
        </w:tc>
        <w:tc>
          <w:tcPr>
            <w:tcW w:w="594"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4"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5" w:type="pct"/>
            <w:shd w:val="clear" w:color="auto" w:fill="auto"/>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c>
          <w:tcPr>
            <w:tcW w:w="594" w:type="pct"/>
            <w:vAlign w:val="center"/>
          </w:tcPr>
          <w:p w:rsidR="00876E47" w:rsidRPr="006A61EC" w:rsidRDefault="006A61EC" w:rsidP="008759C7">
            <w:pPr>
              <w:pStyle w:val="Tabletext"/>
              <w:keepNext/>
              <w:keepLines/>
              <w:jc w:val="center"/>
              <w:rPr>
                <w:bCs/>
                <w:highlight w:val="black"/>
              </w:rPr>
            </w:pPr>
            <w:r>
              <w:rPr>
                <w:bCs/>
                <w:noProof/>
                <w:color w:val="000000"/>
                <w:highlight w:val="black"/>
              </w:rPr>
              <w:t>'''''''''''''</w:t>
            </w:r>
          </w:p>
        </w:tc>
      </w:tr>
      <w:tr w:rsidR="00876E47" w:rsidRPr="009852B9" w:rsidTr="005D123A">
        <w:tc>
          <w:tcPr>
            <w:tcW w:w="5000" w:type="pct"/>
            <w:gridSpan w:val="7"/>
            <w:shd w:val="clear" w:color="auto" w:fill="auto"/>
            <w:vAlign w:val="center"/>
          </w:tcPr>
          <w:p w:rsidR="00876E47" w:rsidRPr="009852B9" w:rsidRDefault="00876E47" w:rsidP="008759C7">
            <w:pPr>
              <w:pStyle w:val="Tabletext"/>
              <w:keepNext/>
              <w:keepLines/>
              <w:rPr>
                <w:b/>
                <w:bCs/>
                <w:vertAlign w:val="superscript"/>
              </w:rPr>
            </w:pPr>
            <w:r w:rsidRPr="009852B9">
              <w:rPr>
                <w:b/>
                <w:bCs/>
              </w:rPr>
              <w:t>Estimated financial implications of sapropterin</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Cost to PBS</w:t>
            </w:r>
          </w:p>
        </w:tc>
        <w:tc>
          <w:tcPr>
            <w:tcW w:w="594" w:type="pct"/>
            <w:shd w:val="clear" w:color="auto" w:fill="auto"/>
            <w:vAlign w:val="center"/>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4" w:type="pct"/>
            <w:shd w:val="clear" w:color="auto" w:fill="auto"/>
            <w:vAlign w:val="center"/>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4" w:type="pct"/>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Co-payments</w:t>
            </w:r>
          </w:p>
        </w:tc>
        <w:tc>
          <w:tcPr>
            <w:tcW w:w="594" w:type="pct"/>
            <w:shd w:val="clear" w:color="auto" w:fill="auto"/>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4" w:type="pct"/>
            <w:shd w:val="clear" w:color="auto" w:fill="auto"/>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c>
          <w:tcPr>
            <w:tcW w:w="594" w:type="pct"/>
            <w:vAlign w:val="bottom"/>
          </w:tcPr>
          <w:p w:rsidR="00876E47" w:rsidRPr="009852B9" w:rsidRDefault="00876E47" w:rsidP="008759C7">
            <w:pPr>
              <w:pStyle w:val="Tabletext"/>
              <w:keepNext/>
              <w:keepLines/>
              <w:jc w:val="center"/>
              <w:rPr>
                <w:bCs/>
              </w:rPr>
            </w:pPr>
            <w:r w:rsidRPr="009852B9">
              <w:rPr>
                <w:bCs/>
              </w:rPr>
              <w:t>$</w:t>
            </w:r>
            <w:r w:rsidR="006A61EC">
              <w:rPr>
                <w:bCs/>
                <w:noProof/>
                <w:color w:val="000000"/>
                <w:highlight w:val="black"/>
              </w:rPr>
              <w:t>'''''''''''''''''</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Cost to PBS less co-payments</w:t>
            </w:r>
          </w:p>
        </w:tc>
        <w:tc>
          <w:tcPr>
            <w:tcW w:w="594" w:type="pct"/>
            <w:shd w:val="clear" w:color="auto" w:fill="auto"/>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4" w:type="pct"/>
            <w:shd w:val="clear" w:color="auto" w:fill="auto"/>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4" w:type="pct"/>
            <w:vAlign w:val="center"/>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r>
      <w:tr w:rsidR="00876E47" w:rsidRPr="009852B9" w:rsidTr="005D123A">
        <w:tc>
          <w:tcPr>
            <w:tcW w:w="5000" w:type="pct"/>
            <w:gridSpan w:val="7"/>
            <w:shd w:val="clear" w:color="auto" w:fill="auto"/>
            <w:vAlign w:val="center"/>
          </w:tcPr>
          <w:p w:rsidR="00876E47" w:rsidRPr="009852B9" w:rsidRDefault="00876E47" w:rsidP="008759C7">
            <w:pPr>
              <w:pStyle w:val="Tabletext"/>
              <w:keepNext/>
              <w:keepLines/>
              <w:rPr>
                <w:bCs/>
              </w:rPr>
            </w:pPr>
            <w:r w:rsidRPr="009852B9">
              <w:rPr>
                <w:b/>
                <w:bCs/>
              </w:rPr>
              <w:t>Estimated financial implications for Phe-free amino acid supplements</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rPr>
                <w:vertAlign w:val="superscript"/>
              </w:rPr>
            </w:pPr>
            <w:r w:rsidRPr="009852B9">
              <w:t>Cost to PBS</w:t>
            </w:r>
            <w:r w:rsidR="005D123A">
              <w:t xml:space="preserve"> </w:t>
            </w:r>
            <w:r w:rsidRPr="009852B9">
              <w:rPr>
                <w:vertAlign w:val="superscript"/>
              </w:rPr>
              <w:t>b</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-$1</w:t>
            </w:r>
            <w:r w:rsidR="006A61EC">
              <w:rPr>
                <w:rFonts w:ascii="Arial Narrow" w:hAnsi="Arial Narrow"/>
                <w:noProof/>
                <w:color w:val="000000"/>
                <w:sz w:val="20"/>
                <w:highlight w:val="black"/>
              </w:rPr>
              <w:t>''''''''''''''''''''</w:t>
            </w:r>
          </w:p>
        </w:tc>
        <w:tc>
          <w:tcPr>
            <w:tcW w:w="594" w:type="pct"/>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rPr>
                <w:vertAlign w:val="superscript"/>
              </w:rPr>
            </w:pPr>
            <w:r w:rsidRPr="009852B9">
              <w:t>Co-payments</w:t>
            </w:r>
            <w:r w:rsidR="005D123A">
              <w:t xml:space="preserve"> </w:t>
            </w:r>
            <w:r w:rsidRPr="009852B9">
              <w:rPr>
                <w:vertAlign w:val="superscript"/>
              </w:rPr>
              <w:t>b</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4" w:type="pct"/>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rPr>
                <w:vertAlign w:val="superscript"/>
              </w:rPr>
            </w:pPr>
            <w:r w:rsidRPr="009852B9">
              <w:t>Cost to PBS less co-payments</w:t>
            </w:r>
            <w:r w:rsidR="005D123A">
              <w:t xml:space="preserve"> </w:t>
            </w:r>
            <w:r w:rsidRPr="009852B9">
              <w:rPr>
                <w:vertAlign w:val="superscript"/>
              </w:rPr>
              <w:t>b</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4"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5" w:type="pct"/>
            <w:shd w:val="clear" w:color="auto" w:fill="auto"/>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c>
          <w:tcPr>
            <w:tcW w:w="594" w:type="pct"/>
            <w:vAlign w:val="center"/>
          </w:tcPr>
          <w:p w:rsidR="00876E47" w:rsidRPr="009852B9" w:rsidRDefault="00876E47" w:rsidP="008759C7">
            <w:pPr>
              <w:keepNext/>
              <w:keepLines/>
              <w:jc w:val="center"/>
              <w:rPr>
                <w:rFonts w:ascii="Arial Narrow" w:hAnsi="Arial Narrow"/>
                <w:sz w:val="20"/>
              </w:rPr>
            </w:pPr>
            <w:r w:rsidRPr="009852B9">
              <w:rPr>
                <w:rFonts w:ascii="Arial Narrow" w:hAnsi="Arial Narrow"/>
                <w:sz w:val="20"/>
              </w:rPr>
              <w:t>-$</w:t>
            </w:r>
            <w:r w:rsidR="006A61EC">
              <w:rPr>
                <w:rFonts w:ascii="Arial Narrow" w:hAnsi="Arial Narrow"/>
                <w:noProof/>
                <w:color w:val="000000"/>
                <w:sz w:val="20"/>
                <w:highlight w:val="black"/>
              </w:rPr>
              <w:t>''''''''''''''''''''''''</w:t>
            </w:r>
          </w:p>
        </w:tc>
      </w:tr>
      <w:tr w:rsidR="00876E47" w:rsidRPr="009852B9" w:rsidTr="005D123A">
        <w:tc>
          <w:tcPr>
            <w:tcW w:w="5000" w:type="pct"/>
            <w:gridSpan w:val="7"/>
            <w:shd w:val="clear" w:color="auto" w:fill="auto"/>
            <w:vAlign w:val="center"/>
          </w:tcPr>
          <w:p w:rsidR="00876E47" w:rsidRPr="009852B9" w:rsidRDefault="00876E47" w:rsidP="008759C7">
            <w:pPr>
              <w:pStyle w:val="Tabletext"/>
              <w:keepNext/>
              <w:keepLines/>
              <w:rPr>
                <w:b/>
                <w:bCs/>
                <w:vertAlign w:val="superscript"/>
              </w:rPr>
            </w:pPr>
            <w:r w:rsidRPr="009852B9">
              <w:rPr>
                <w:b/>
                <w:bCs/>
              </w:rPr>
              <w:t>Net financial implications</w:t>
            </w:r>
          </w:p>
        </w:tc>
      </w:tr>
      <w:tr w:rsidR="005D123A" w:rsidRPr="009852B9" w:rsidTr="001B7B23">
        <w:tc>
          <w:tcPr>
            <w:tcW w:w="1433" w:type="pct"/>
            <w:shd w:val="clear" w:color="auto" w:fill="auto"/>
            <w:vAlign w:val="center"/>
          </w:tcPr>
          <w:p w:rsidR="00876E47" w:rsidRPr="009852B9" w:rsidRDefault="00876E47" w:rsidP="008759C7">
            <w:pPr>
              <w:pStyle w:val="Tabletext"/>
              <w:keepNext/>
              <w:keepLines/>
            </w:pPr>
            <w:r w:rsidRPr="009852B9">
              <w:t>Net cost to PBS</w:t>
            </w:r>
          </w:p>
        </w:tc>
        <w:tc>
          <w:tcPr>
            <w:tcW w:w="594" w:type="pct"/>
            <w:shd w:val="clear" w:color="auto" w:fill="auto"/>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4" w:type="pct"/>
            <w:shd w:val="clear" w:color="auto" w:fill="auto"/>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5" w:type="pct"/>
            <w:shd w:val="clear" w:color="auto" w:fill="auto"/>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c>
          <w:tcPr>
            <w:tcW w:w="594" w:type="pct"/>
            <w:vAlign w:val="bottom"/>
          </w:tcPr>
          <w:p w:rsidR="00876E47" w:rsidRPr="009852B9" w:rsidRDefault="00876E47" w:rsidP="008759C7">
            <w:pPr>
              <w:pStyle w:val="Tabletext"/>
              <w:keepNext/>
              <w:keepLines/>
              <w:jc w:val="center"/>
              <w:rPr>
                <w:bCs/>
              </w:rPr>
            </w:pPr>
            <w:r w:rsidRPr="009852B9">
              <w:t>$</w:t>
            </w:r>
            <w:r w:rsidR="006A61EC">
              <w:rPr>
                <w:noProof/>
                <w:color w:val="000000"/>
                <w:highlight w:val="black"/>
              </w:rPr>
              <w:t>'''''''''''''''''''''''''</w:t>
            </w:r>
          </w:p>
        </w:tc>
      </w:tr>
    </w:tbl>
    <w:p w:rsidR="001B7B23" w:rsidRPr="008759C7" w:rsidRDefault="001B7B23" w:rsidP="001B7B23">
      <w:pPr>
        <w:keepNext/>
        <w:keepLines/>
        <w:widowControl/>
        <w:spacing w:after="120"/>
        <w:contextualSpacing/>
        <w:rPr>
          <w:rFonts w:ascii="Arial Narrow" w:hAnsi="Arial Narrow"/>
          <w:sz w:val="18"/>
        </w:rPr>
      </w:pPr>
      <w:r w:rsidRPr="008759C7">
        <w:rPr>
          <w:rFonts w:ascii="Arial Narrow" w:hAnsi="Arial Narrow"/>
          <w:sz w:val="18"/>
        </w:rPr>
        <w:t xml:space="preserve">Source: Commentary Table 12, p19; </w:t>
      </w:r>
    </w:p>
    <w:p w:rsidR="001B7B23" w:rsidRPr="008759C7" w:rsidRDefault="001B7B23" w:rsidP="001B7B23">
      <w:pPr>
        <w:keepNext/>
        <w:keepLines/>
        <w:widowControl/>
        <w:spacing w:after="120"/>
        <w:contextualSpacing/>
        <w:rPr>
          <w:rFonts w:ascii="Arial Narrow" w:hAnsi="Arial Narrow"/>
          <w:sz w:val="18"/>
        </w:rPr>
      </w:pPr>
      <w:r w:rsidRPr="008759C7">
        <w:rPr>
          <w:rFonts w:ascii="Arial Narrow" w:hAnsi="Arial Narrow"/>
          <w:sz w:val="18"/>
        </w:rPr>
        <w:t>PBS = pharmaceutical benefits scheme; RPBS = repatriation pharmaceutical benefits scheme</w:t>
      </w:r>
    </w:p>
    <w:p w:rsidR="00876E47" w:rsidRPr="008759C7" w:rsidRDefault="00876E47" w:rsidP="008759C7">
      <w:pPr>
        <w:keepNext/>
        <w:keepLines/>
        <w:widowControl/>
        <w:spacing w:after="120"/>
        <w:contextualSpacing/>
        <w:rPr>
          <w:rFonts w:ascii="Arial Narrow" w:hAnsi="Arial Narrow"/>
          <w:sz w:val="18"/>
        </w:rPr>
      </w:pPr>
      <w:r w:rsidRPr="008759C7">
        <w:rPr>
          <w:rFonts w:ascii="Arial Narrow" w:hAnsi="Arial Narrow"/>
          <w:sz w:val="18"/>
          <w:vertAlign w:val="superscript"/>
        </w:rPr>
        <w:t>a</w:t>
      </w:r>
      <w:r w:rsidRPr="008759C7">
        <w:rPr>
          <w:rFonts w:ascii="Arial Narrow" w:hAnsi="Arial Narrow"/>
          <w:sz w:val="18"/>
        </w:rPr>
        <w:t xml:space="preserve"> Assuming 12.18 scripts per year as estimated by the submission.</w:t>
      </w:r>
    </w:p>
    <w:p w:rsidR="00876E47" w:rsidRDefault="00876E47" w:rsidP="008759C7">
      <w:pPr>
        <w:keepNext/>
        <w:keepLines/>
        <w:widowControl/>
        <w:spacing w:after="120"/>
        <w:contextualSpacing/>
        <w:rPr>
          <w:rFonts w:ascii="Arial Narrow" w:hAnsi="Arial Narrow"/>
          <w:i/>
          <w:sz w:val="18"/>
        </w:rPr>
      </w:pPr>
      <w:r w:rsidRPr="008759C7">
        <w:rPr>
          <w:rFonts w:ascii="Arial Narrow" w:hAnsi="Arial Narrow"/>
          <w:sz w:val="18"/>
          <w:vertAlign w:val="superscript"/>
        </w:rPr>
        <w:t xml:space="preserve">b </w:t>
      </w:r>
      <w:r w:rsidRPr="008759C7">
        <w:rPr>
          <w:rFonts w:ascii="Arial Narrow" w:hAnsi="Arial Narrow"/>
          <w:i/>
          <w:sz w:val="18"/>
        </w:rPr>
        <w:t>Estimates consistent with submission but as raised in the PSCR were noted incorrectly in the Commentary Table 12, p19.</w:t>
      </w:r>
    </w:p>
    <w:p w:rsidR="00063220" w:rsidRPr="00063220" w:rsidRDefault="00063220" w:rsidP="008759C7">
      <w:pPr>
        <w:keepNext/>
        <w:keepLines/>
        <w:widowControl/>
        <w:spacing w:after="120"/>
        <w:contextualSpacing/>
        <w:rPr>
          <w:rFonts w:asciiTheme="minorHAnsi" w:hAnsiTheme="minorHAnsi"/>
          <w:szCs w:val="24"/>
        </w:rPr>
      </w:pPr>
      <w:r>
        <w:rPr>
          <w:rFonts w:asciiTheme="minorHAnsi" w:hAnsiTheme="minorHAnsi"/>
          <w:szCs w:val="24"/>
        </w:rPr>
        <w:t>The redacted table shows that at Year 6 the estimated number of patients was less than 10,000.</w:t>
      </w:r>
    </w:p>
    <w:p w:rsidR="00876E47" w:rsidRDefault="00063220" w:rsidP="005D123A">
      <w:pPr>
        <w:pStyle w:val="ListParagraph"/>
        <w:widowControl/>
        <w:numPr>
          <w:ilvl w:val="1"/>
          <w:numId w:val="13"/>
        </w:numPr>
        <w:spacing w:after="120"/>
        <w:ind w:left="709" w:hanging="709"/>
      </w:pPr>
      <w:r>
        <w:rPr>
          <w:rFonts w:asciiTheme="minorHAnsi" w:hAnsiTheme="minorHAnsi"/>
        </w:rPr>
        <w:t>The re</w:t>
      </w:r>
      <w:r w:rsidR="005D123A">
        <w:rPr>
          <w:rFonts w:asciiTheme="minorHAnsi" w:hAnsiTheme="minorHAnsi"/>
        </w:rPr>
        <w:t xml:space="preserve">submission estimated that the net cost to the PBS/RPBS would be </w:t>
      </w:r>
      <w:r>
        <w:rPr>
          <w:rFonts w:asciiTheme="minorHAnsi" w:hAnsiTheme="minorHAnsi"/>
        </w:rPr>
        <w:t>$20 - $30</w:t>
      </w:r>
      <w:r w:rsidR="005D123A">
        <w:rPr>
          <w:rFonts w:asciiTheme="minorHAnsi" w:hAnsiTheme="minorHAnsi"/>
        </w:rPr>
        <w:t xml:space="preserve"> million in Year 6 and </w:t>
      </w:r>
      <w:r>
        <w:rPr>
          <w:rFonts w:asciiTheme="minorHAnsi" w:hAnsiTheme="minorHAnsi"/>
        </w:rPr>
        <w:t>more than $100</w:t>
      </w:r>
      <w:r w:rsidR="005D123A">
        <w:rPr>
          <w:rFonts w:asciiTheme="minorHAnsi" w:hAnsiTheme="minorHAnsi"/>
        </w:rPr>
        <w:t xml:space="preserve"> million over the first six years of listing. </w:t>
      </w:r>
    </w:p>
    <w:p w:rsidR="00E16AA8" w:rsidRPr="00063220" w:rsidRDefault="00E16AA8" w:rsidP="00777DFF">
      <w:pPr>
        <w:pStyle w:val="Heading2"/>
      </w:pPr>
      <w:bookmarkStart w:id="16" w:name="_Toc503971855"/>
      <w:bookmarkStart w:id="17" w:name="_Toc503291177"/>
      <w:r w:rsidRPr="00063220">
        <w:t>Quality Use of Medicines</w:t>
      </w:r>
      <w:bookmarkEnd w:id="16"/>
    </w:p>
    <w:p w:rsidR="00E16AA8" w:rsidRDefault="00554C6B" w:rsidP="00554C6B">
      <w:pPr>
        <w:pStyle w:val="ListParagraph"/>
        <w:widowControl/>
        <w:numPr>
          <w:ilvl w:val="1"/>
          <w:numId w:val="13"/>
        </w:numPr>
        <w:spacing w:after="120"/>
        <w:ind w:left="709" w:hanging="709"/>
      </w:pPr>
      <w:r>
        <w:t xml:space="preserve">DUSC was concerned that sapropterin </w:t>
      </w:r>
      <w:r w:rsidR="00351C70">
        <w:t xml:space="preserve">use may </w:t>
      </w:r>
      <w:r>
        <w:t>allow inappropriate relaxation of the Phe-restricted diet. DUSC noted the importance of the Phe-restricted diet in the current treatment algorithm for the management of PKU and considered that there are substantial risks associated with non-adherence to a Phe-restricted diet.</w:t>
      </w:r>
    </w:p>
    <w:p w:rsidR="00C25D9C" w:rsidRPr="00063220" w:rsidRDefault="00576972" w:rsidP="00777DFF">
      <w:pPr>
        <w:pStyle w:val="Heading2"/>
      </w:pPr>
      <w:r w:rsidRPr="00063220">
        <w:t>Financial Management – Risk Sharing Arrangements</w:t>
      </w:r>
      <w:bookmarkEnd w:id="17"/>
    </w:p>
    <w:p w:rsidR="00C01C71" w:rsidRDefault="009D25EF" w:rsidP="007A7ACD">
      <w:pPr>
        <w:pStyle w:val="ListParagraph"/>
        <w:widowControl/>
        <w:numPr>
          <w:ilvl w:val="1"/>
          <w:numId w:val="13"/>
        </w:numPr>
        <w:spacing w:after="120"/>
        <w:ind w:left="709" w:hanging="709"/>
      </w:pPr>
      <w:r w:rsidRPr="00986D60">
        <w:t xml:space="preserve">The </w:t>
      </w:r>
      <w:r w:rsidR="00063220">
        <w:t>resubmission</w:t>
      </w:r>
      <w:r w:rsidRPr="00986D60">
        <w:t xml:space="preserve"> did not request a risk</w:t>
      </w:r>
      <w:r w:rsidR="009A6F9B" w:rsidRPr="00986D60">
        <w:t xml:space="preserve"> </w:t>
      </w:r>
      <w:r w:rsidRPr="00986D60">
        <w:t>sharing a</w:t>
      </w:r>
      <w:r w:rsidR="009A6F9B" w:rsidRPr="00986D60">
        <w:t>rrangem</w:t>
      </w:r>
      <w:r w:rsidRPr="00986D60">
        <w:t>ent</w:t>
      </w:r>
      <w:r w:rsidR="00EB35C1" w:rsidRPr="00986D60">
        <w:t xml:space="preserve"> (RSA)</w:t>
      </w:r>
      <w:r w:rsidR="009A6F9B" w:rsidRPr="00986D60">
        <w:t xml:space="preserve">. </w:t>
      </w:r>
      <w:r w:rsidR="003F265B">
        <w:t>However, t</w:t>
      </w:r>
      <w:r w:rsidR="00C01C71">
        <w:t>he pre-PBAC response</w:t>
      </w:r>
      <w:r w:rsidR="00E16AA8">
        <w:t xml:space="preserve"> proposed an RSA </w:t>
      </w:r>
      <w:r w:rsidR="003F265B">
        <w:t xml:space="preserve">whereby </w:t>
      </w:r>
      <w:r w:rsidR="00E16AA8">
        <w:t>Commonwealth expenditure</w:t>
      </w:r>
      <w:r w:rsidR="003F265B">
        <w:t xml:space="preserve"> would be capped</w:t>
      </w:r>
      <w:r w:rsidR="00E16AA8">
        <w:t xml:space="preserve"> at th</w:t>
      </w:r>
      <w:r w:rsidR="001B7B23">
        <w:t xml:space="preserve">e estimates provided in Table 13 (based on the “Cost to PBS less co-payments” row) with a </w:t>
      </w:r>
      <w:r w:rsidR="006A61EC">
        <w:rPr>
          <w:noProof/>
          <w:color w:val="000000"/>
          <w:highlight w:val="black"/>
        </w:rPr>
        <w:t>'''''''</w:t>
      </w:r>
      <w:r w:rsidR="001B7B23">
        <w:t>% rebate for all Commonwealth expenditure above th</w:t>
      </w:r>
      <w:r w:rsidR="00104AE4">
        <w:t>is level</w:t>
      </w:r>
      <w:r w:rsidR="001B7B23">
        <w:t xml:space="preserve">. </w:t>
      </w:r>
    </w:p>
    <w:p w:rsidR="006D435A" w:rsidRPr="001D20C3" w:rsidRDefault="006D435A" w:rsidP="001D20C3">
      <w:pPr>
        <w:pStyle w:val="ListParagraph"/>
        <w:ind w:left="360" w:firstLine="349"/>
        <w:rPr>
          <w:rFonts w:asciiTheme="minorHAnsi" w:hAnsiTheme="minorHAnsi"/>
          <w:i/>
        </w:rPr>
      </w:pPr>
      <w:r w:rsidRPr="0028525E">
        <w:rPr>
          <w:rFonts w:asciiTheme="minorHAnsi" w:hAnsiTheme="minorHAnsi"/>
          <w:i/>
        </w:rPr>
        <w:t>For more detail on PBAC’s view, see section 7 PBAC outcome.</w:t>
      </w:r>
    </w:p>
    <w:p w:rsidR="006D435A" w:rsidRPr="00F45764" w:rsidRDefault="006D435A" w:rsidP="00177B04">
      <w:pPr>
        <w:pStyle w:val="PBACHeading1"/>
        <w:spacing w:after="120"/>
      </w:pPr>
      <w:r w:rsidRPr="00F45764">
        <w:t>PBAC Outcome</w:t>
      </w:r>
    </w:p>
    <w:p w:rsidR="00AC0B53" w:rsidRDefault="00C21626" w:rsidP="00454DC1">
      <w:pPr>
        <w:pStyle w:val="ListParagraph"/>
        <w:numPr>
          <w:ilvl w:val="1"/>
          <w:numId w:val="20"/>
        </w:numPr>
        <w:spacing w:after="120"/>
        <w:ind w:left="709" w:hanging="709"/>
        <w:rPr>
          <w:rFonts w:asciiTheme="minorHAnsi" w:hAnsiTheme="minorHAnsi"/>
          <w:bCs/>
          <w:lang w:val="en-GB"/>
        </w:rPr>
      </w:pPr>
      <w:r w:rsidRPr="00F45764">
        <w:rPr>
          <w:rFonts w:asciiTheme="minorHAnsi" w:hAnsiTheme="minorHAnsi"/>
          <w:bCs/>
          <w:lang w:val="en-GB"/>
        </w:rPr>
        <w:tab/>
      </w:r>
      <w:r w:rsidR="00177B04" w:rsidRPr="00F45764">
        <w:rPr>
          <w:rFonts w:asciiTheme="minorHAnsi" w:hAnsiTheme="minorHAnsi"/>
          <w:bCs/>
          <w:lang w:val="en-GB"/>
        </w:rPr>
        <w:t xml:space="preserve">The PBAC deferred </w:t>
      </w:r>
      <w:r w:rsidR="00A945A7">
        <w:rPr>
          <w:rFonts w:asciiTheme="minorHAnsi" w:hAnsiTheme="minorHAnsi"/>
          <w:bCs/>
          <w:lang w:val="en-GB"/>
        </w:rPr>
        <w:t xml:space="preserve">its decision </w:t>
      </w:r>
      <w:r w:rsidR="00F07FC1">
        <w:rPr>
          <w:rFonts w:asciiTheme="minorHAnsi" w:hAnsiTheme="minorHAnsi"/>
          <w:bCs/>
          <w:lang w:val="en-GB"/>
        </w:rPr>
        <w:t>about</w:t>
      </w:r>
      <w:r w:rsidR="00A945A7">
        <w:rPr>
          <w:rFonts w:asciiTheme="minorHAnsi" w:hAnsiTheme="minorHAnsi"/>
          <w:bCs/>
          <w:lang w:val="en-GB"/>
        </w:rPr>
        <w:t xml:space="preserve"> whether to </w:t>
      </w:r>
      <w:r w:rsidR="00F73B36">
        <w:rPr>
          <w:rFonts w:asciiTheme="minorHAnsi" w:hAnsiTheme="minorHAnsi"/>
          <w:bCs/>
          <w:lang w:val="en-GB"/>
        </w:rPr>
        <w:t xml:space="preserve">recommend listing </w:t>
      </w:r>
      <w:r w:rsidR="00F07FC1">
        <w:rPr>
          <w:rFonts w:asciiTheme="minorHAnsi" w:hAnsiTheme="minorHAnsi"/>
          <w:bCs/>
          <w:lang w:val="en-GB"/>
        </w:rPr>
        <w:t>s</w:t>
      </w:r>
      <w:r w:rsidR="00177B04" w:rsidRPr="00F45764">
        <w:rPr>
          <w:rFonts w:asciiTheme="minorHAnsi" w:hAnsiTheme="minorHAnsi"/>
          <w:bCs/>
          <w:lang w:val="en-GB"/>
        </w:rPr>
        <w:t>apropterin</w:t>
      </w:r>
      <w:r w:rsidR="00F73B36">
        <w:rPr>
          <w:rFonts w:asciiTheme="minorHAnsi" w:hAnsiTheme="minorHAnsi"/>
          <w:bCs/>
          <w:lang w:val="en-GB"/>
        </w:rPr>
        <w:t xml:space="preserve"> </w:t>
      </w:r>
      <w:r w:rsidR="00177B04" w:rsidRPr="00F45764">
        <w:rPr>
          <w:rFonts w:asciiTheme="minorHAnsi" w:hAnsiTheme="minorHAnsi"/>
          <w:bCs/>
          <w:lang w:val="en-GB"/>
        </w:rPr>
        <w:t xml:space="preserve">for the treatment of </w:t>
      </w:r>
      <w:r w:rsidR="00F73B36">
        <w:rPr>
          <w:rFonts w:asciiTheme="minorHAnsi" w:hAnsiTheme="minorHAnsi"/>
          <w:bCs/>
          <w:lang w:val="en-GB"/>
        </w:rPr>
        <w:t xml:space="preserve">patients </w:t>
      </w:r>
      <w:r w:rsidR="00ED3B21">
        <w:rPr>
          <w:rFonts w:asciiTheme="minorHAnsi" w:hAnsiTheme="minorHAnsi"/>
          <w:bCs/>
          <w:lang w:val="en-GB"/>
        </w:rPr>
        <w:t xml:space="preserve">with </w:t>
      </w:r>
      <w:r w:rsidR="00F73B36" w:rsidRPr="00F73B36">
        <w:rPr>
          <w:rFonts w:asciiTheme="minorHAnsi" w:hAnsiTheme="minorHAnsi"/>
          <w:bCs/>
          <w:lang w:val="en-GB"/>
        </w:rPr>
        <w:t>hyperphenylalaninaemia (HPA) caused by phenylketonuria (PKU)</w:t>
      </w:r>
      <w:r w:rsidR="00177B04" w:rsidRPr="00F45764">
        <w:rPr>
          <w:rFonts w:asciiTheme="minorHAnsi" w:hAnsiTheme="minorHAnsi"/>
          <w:bCs/>
          <w:lang w:val="en-GB"/>
        </w:rPr>
        <w:t xml:space="preserve">. The PBAC </w:t>
      </w:r>
      <w:r w:rsidR="007B7D20">
        <w:rPr>
          <w:rFonts w:asciiTheme="minorHAnsi" w:hAnsiTheme="minorHAnsi"/>
          <w:bCs/>
          <w:lang w:val="en-GB"/>
        </w:rPr>
        <w:t>sought</w:t>
      </w:r>
      <w:r w:rsidR="00177B04" w:rsidRPr="00F45764">
        <w:rPr>
          <w:rFonts w:asciiTheme="minorHAnsi" w:hAnsiTheme="minorHAnsi"/>
          <w:bCs/>
          <w:lang w:val="en-GB"/>
        </w:rPr>
        <w:t xml:space="preserve"> further </w:t>
      </w:r>
      <w:r w:rsidR="007B7D20">
        <w:rPr>
          <w:rFonts w:asciiTheme="minorHAnsi" w:hAnsiTheme="minorHAnsi"/>
          <w:bCs/>
          <w:lang w:val="en-GB"/>
        </w:rPr>
        <w:t>evidence</w:t>
      </w:r>
      <w:r w:rsidR="00ED3B21">
        <w:rPr>
          <w:rFonts w:asciiTheme="minorHAnsi" w:hAnsiTheme="minorHAnsi"/>
          <w:bCs/>
          <w:lang w:val="en-GB"/>
        </w:rPr>
        <w:t xml:space="preserve"> regarding</w:t>
      </w:r>
      <w:r w:rsidR="00F07FC1">
        <w:rPr>
          <w:rFonts w:asciiTheme="minorHAnsi" w:hAnsiTheme="minorHAnsi"/>
          <w:bCs/>
          <w:lang w:val="en-GB"/>
        </w:rPr>
        <w:t xml:space="preserve"> </w:t>
      </w:r>
      <w:r w:rsidR="00177B04" w:rsidRPr="00F45764">
        <w:rPr>
          <w:rFonts w:asciiTheme="minorHAnsi" w:hAnsiTheme="minorHAnsi"/>
          <w:bCs/>
          <w:lang w:val="en-GB"/>
        </w:rPr>
        <w:t xml:space="preserve">processes </w:t>
      </w:r>
      <w:r w:rsidR="00F45764" w:rsidRPr="00F45764">
        <w:rPr>
          <w:rFonts w:asciiTheme="minorHAnsi" w:hAnsiTheme="minorHAnsi"/>
          <w:bCs/>
          <w:lang w:val="en-GB"/>
        </w:rPr>
        <w:t xml:space="preserve">for </w:t>
      </w:r>
      <w:r w:rsidR="00177B04" w:rsidRPr="00F45764">
        <w:rPr>
          <w:rFonts w:asciiTheme="minorHAnsi" w:hAnsiTheme="minorHAnsi"/>
          <w:bCs/>
          <w:lang w:val="en-GB"/>
        </w:rPr>
        <w:t>determin</w:t>
      </w:r>
      <w:r w:rsidR="00F45764" w:rsidRPr="00F45764">
        <w:rPr>
          <w:rFonts w:asciiTheme="minorHAnsi" w:hAnsiTheme="minorHAnsi"/>
          <w:bCs/>
          <w:lang w:val="en-GB"/>
        </w:rPr>
        <w:t xml:space="preserve">ing </w:t>
      </w:r>
      <w:r w:rsidR="007B7D20">
        <w:rPr>
          <w:rFonts w:asciiTheme="minorHAnsi" w:hAnsiTheme="minorHAnsi"/>
          <w:bCs/>
          <w:lang w:val="en-GB"/>
        </w:rPr>
        <w:t xml:space="preserve">whether or not a patient is responsive to </w:t>
      </w:r>
      <w:r w:rsidR="00F45764" w:rsidRPr="00F45764">
        <w:rPr>
          <w:rFonts w:asciiTheme="minorHAnsi" w:hAnsiTheme="minorHAnsi"/>
          <w:bCs/>
          <w:lang w:val="en-GB"/>
        </w:rPr>
        <w:t>sapropterin</w:t>
      </w:r>
      <w:r w:rsidR="00F07FC1">
        <w:rPr>
          <w:rFonts w:asciiTheme="minorHAnsi" w:hAnsiTheme="minorHAnsi"/>
          <w:bCs/>
          <w:lang w:val="en-GB"/>
        </w:rPr>
        <w:t xml:space="preserve"> and </w:t>
      </w:r>
      <w:r w:rsidR="00AC0B53">
        <w:rPr>
          <w:rFonts w:asciiTheme="minorHAnsi" w:hAnsiTheme="minorHAnsi"/>
          <w:bCs/>
          <w:lang w:val="en-GB"/>
        </w:rPr>
        <w:t xml:space="preserve">the patient population in which treatment would result in </w:t>
      </w:r>
      <w:r w:rsidR="00AC0B53" w:rsidRPr="00F73B36">
        <w:rPr>
          <w:rFonts w:asciiTheme="minorHAnsi" w:hAnsiTheme="minorHAnsi"/>
          <w:bCs/>
          <w:lang w:val="en-GB"/>
        </w:rPr>
        <w:t>the greatest benefit, in terms of clinically significant outcomes</w:t>
      </w:r>
      <w:r w:rsidR="00AC0B53">
        <w:rPr>
          <w:rFonts w:asciiTheme="minorHAnsi" w:hAnsiTheme="minorHAnsi"/>
          <w:bCs/>
          <w:lang w:val="en-GB"/>
        </w:rPr>
        <w:t xml:space="preserve"> such as </w:t>
      </w:r>
      <w:r w:rsidR="00AC0B53" w:rsidRPr="00F73B36">
        <w:rPr>
          <w:rFonts w:asciiTheme="minorHAnsi" w:hAnsiTheme="minorHAnsi"/>
          <w:bCs/>
          <w:lang w:val="en-GB"/>
        </w:rPr>
        <w:t xml:space="preserve">cognitive function and </w:t>
      </w:r>
      <w:r w:rsidR="00AC0B53">
        <w:rPr>
          <w:rFonts w:asciiTheme="minorHAnsi" w:hAnsiTheme="minorHAnsi"/>
          <w:bCs/>
          <w:lang w:val="en-GB"/>
        </w:rPr>
        <w:t xml:space="preserve">supporting </w:t>
      </w:r>
      <w:r w:rsidR="00AC0B53" w:rsidRPr="00F73B36">
        <w:rPr>
          <w:rFonts w:asciiTheme="minorHAnsi" w:hAnsiTheme="minorHAnsi"/>
          <w:bCs/>
          <w:lang w:val="en-GB"/>
        </w:rPr>
        <w:t>growt</w:t>
      </w:r>
      <w:r w:rsidR="00AC0B53">
        <w:rPr>
          <w:rFonts w:asciiTheme="minorHAnsi" w:hAnsiTheme="minorHAnsi"/>
          <w:bCs/>
          <w:lang w:val="en-GB"/>
        </w:rPr>
        <w:t>h</w:t>
      </w:r>
      <w:r w:rsidR="0006026D">
        <w:rPr>
          <w:rFonts w:asciiTheme="minorHAnsi" w:hAnsiTheme="minorHAnsi"/>
          <w:bCs/>
          <w:lang w:val="en-GB"/>
        </w:rPr>
        <w:t xml:space="preserve">. The PBAC considered the greatest benefits </w:t>
      </w:r>
      <w:r w:rsidR="0006026D" w:rsidRPr="00F73B36">
        <w:rPr>
          <w:rFonts w:asciiTheme="minorHAnsi" w:hAnsiTheme="minorHAnsi"/>
          <w:bCs/>
          <w:lang w:val="en-GB"/>
        </w:rPr>
        <w:t xml:space="preserve">would be experienced in children and </w:t>
      </w:r>
      <w:r w:rsidR="0006026D">
        <w:rPr>
          <w:rFonts w:asciiTheme="minorHAnsi" w:hAnsiTheme="minorHAnsi"/>
          <w:bCs/>
          <w:lang w:val="en-GB"/>
        </w:rPr>
        <w:t xml:space="preserve">adolescents, and sought </w:t>
      </w:r>
      <w:r w:rsidR="0006026D" w:rsidRPr="00063D9C">
        <w:rPr>
          <w:rFonts w:asciiTheme="minorHAnsi" w:hAnsiTheme="minorHAnsi"/>
          <w:bCs/>
          <w:lang w:val="en-GB"/>
        </w:rPr>
        <w:t xml:space="preserve">further </w:t>
      </w:r>
      <w:r w:rsidR="0006026D">
        <w:rPr>
          <w:rFonts w:asciiTheme="minorHAnsi" w:hAnsiTheme="minorHAnsi"/>
          <w:bCs/>
          <w:lang w:val="en-GB"/>
        </w:rPr>
        <w:t>advi</w:t>
      </w:r>
      <w:r w:rsidR="0006026D" w:rsidRPr="00063D9C">
        <w:rPr>
          <w:rFonts w:asciiTheme="minorHAnsi" w:hAnsiTheme="minorHAnsi"/>
          <w:bCs/>
          <w:lang w:val="en-GB"/>
        </w:rPr>
        <w:t xml:space="preserve">ce regarding the </w:t>
      </w:r>
      <w:r w:rsidR="0006026D">
        <w:rPr>
          <w:rFonts w:asciiTheme="minorHAnsi" w:hAnsiTheme="minorHAnsi"/>
          <w:bCs/>
          <w:lang w:val="en-GB"/>
        </w:rPr>
        <w:t xml:space="preserve">age level of patients </w:t>
      </w:r>
      <w:r w:rsidR="0006026D" w:rsidRPr="00063D9C">
        <w:rPr>
          <w:rFonts w:asciiTheme="minorHAnsi" w:hAnsiTheme="minorHAnsi"/>
          <w:bCs/>
          <w:lang w:val="en-GB"/>
        </w:rPr>
        <w:t>who would benefit most from sapropterin therapy</w:t>
      </w:r>
      <w:r w:rsidR="0006026D">
        <w:rPr>
          <w:rFonts w:asciiTheme="minorHAnsi" w:hAnsiTheme="minorHAnsi"/>
          <w:bCs/>
          <w:lang w:val="en-GB"/>
        </w:rPr>
        <w:t>.</w:t>
      </w:r>
    </w:p>
    <w:p w:rsidR="00956928" w:rsidRPr="003E4C83" w:rsidRDefault="00956928" w:rsidP="00454DC1">
      <w:pPr>
        <w:pStyle w:val="ListParagraph"/>
        <w:numPr>
          <w:ilvl w:val="1"/>
          <w:numId w:val="20"/>
        </w:numPr>
        <w:spacing w:after="120"/>
        <w:ind w:left="709" w:hanging="709"/>
        <w:rPr>
          <w:snapToGrid/>
          <w:lang w:val="en-US" w:eastAsia="en-AU"/>
        </w:rPr>
      </w:pPr>
      <w:r w:rsidRPr="003E4C83">
        <w:rPr>
          <w:rFonts w:asciiTheme="minorHAnsi" w:hAnsiTheme="minorHAnsi"/>
          <w:bCs/>
          <w:lang w:val="en-GB"/>
        </w:rPr>
        <w:t xml:space="preserve">The PBAC </w:t>
      </w:r>
      <w:r w:rsidR="00B86CD7">
        <w:rPr>
          <w:rFonts w:asciiTheme="minorHAnsi" w:hAnsiTheme="minorHAnsi"/>
          <w:bCs/>
          <w:lang w:val="en-GB"/>
        </w:rPr>
        <w:t>noted</w:t>
      </w:r>
      <w:r w:rsidRPr="003E4C83">
        <w:rPr>
          <w:rFonts w:asciiTheme="minorHAnsi" w:hAnsiTheme="minorHAnsi"/>
          <w:bCs/>
          <w:lang w:val="en-GB"/>
        </w:rPr>
        <w:t xml:space="preserve"> this </w:t>
      </w:r>
      <w:r w:rsidR="0006026D">
        <w:rPr>
          <w:rFonts w:asciiTheme="minorHAnsi" w:hAnsiTheme="minorHAnsi"/>
          <w:bCs/>
          <w:lang w:val="en-GB"/>
        </w:rPr>
        <w:t>i</w:t>
      </w:r>
      <w:r w:rsidR="0006026D" w:rsidRPr="003E4C83">
        <w:rPr>
          <w:rFonts w:asciiTheme="minorHAnsi" w:hAnsiTheme="minorHAnsi"/>
          <w:bCs/>
          <w:lang w:val="en-GB"/>
        </w:rPr>
        <w:t xml:space="preserve">s </w:t>
      </w:r>
      <w:r w:rsidRPr="003E4C83">
        <w:rPr>
          <w:rFonts w:asciiTheme="minorHAnsi" w:hAnsiTheme="minorHAnsi"/>
          <w:bCs/>
          <w:lang w:val="en-GB"/>
        </w:rPr>
        <w:t>a s</w:t>
      </w:r>
      <w:r w:rsidRPr="003E4C83">
        <w:rPr>
          <w:snapToGrid/>
          <w:lang w:val="en-US" w:eastAsia="en-AU"/>
        </w:rPr>
        <w:t xml:space="preserve">mall patient population, and </w:t>
      </w:r>
      <w:r w:rsidR="00B86CD7">
        <w:rPr>
          <w:snapToGrid/>
          <w:lang w:val="en-US" w:eastAsia="en-AU"/>
        </w:rPr>
        <w:t xml:space="preserve">considered </w:t>
      </w:r>
      <w:r w:rsidRPr="003E4C83">
        <w:rPr>
          <w:snapToGrid/>
          <w:lang w:val="en-US" w:eastAsia="en-AU"/>
        </w:rPr>
        <w:t xml:space="preserve">there were equity of access </w:t>
      </w:r>
      <w:r w:rsidR="00934E26" w:rsidRPr="003E4C83">
        <w:rPr>
          <w:snapToGrid/>
          <w:lang w:val="en-US" w:eastAsia="en-AU"/>
        </w:rPr>
        <w:t>issue</w:t>
      </w:r>
      <w:r w:rsidR="0048017D" w:rsidRPr="003E4C83">
        <w:rPr>
          <w:snapToGrid/>
          <w:lang w:val="en-US" w:eastAsia="en-AU"/>
        </w:rPr>
        <w:t>s</w:t>
      </w:r>
      <w:r w:rsidRPr="003E4C83">
        <w:rPr>
          <w:snapToGrid/>
          <w:lang w:val="en-US" w:eastAsia="en-AU"/>
        </w:rPr>
        <w:t xml:space="preserve"> given </w:t>
      </w:r>
      <w:r w:rsidR="00BA1AF2">
        <w:rPr>
          <w:snapToGrid/>
          <w:lang w:val="en-US" w:eastAsia="en-AU"/>
        </w:rPr>
        <w:t xml:space="preserve">that </w:t>
      </w:r>
      <w:r w:rsidRPr="003E4C83">
        <w:rPr>
          <w:snapToGrid/>
          <w:lang w:val="en-US" w:eastAsia="en-AU"/>
        </w:rPr>
        <w:t xml:space="preserve">hospital–funded access was </w:t>
      </w:r>
      <w:r w:rsidR="0048017D" w:rsidRPr="003E4C83">
        <w:rPr>
          <w:snapToGrid/>
          <w:lang w:val="en-US" w:eastAsia="en-AU"/>
        </w:rPr>
        <w:t xml:space="preserve">available </w:t>
      </w:r>
      <w:r w:rsidRPr="003E4C83">
        <w:rPr>
          <w:snapToGrid/>
          <w:lang w:val="en-US" w:eastAsia="en-AU"/>
        </w:rPr>
        <w:t xml:space="preserve">in some </w:t>
      </w:r>
      <w:r w:rsidR="0059559A">
        <w:rPr>
          <w:snapToGrid/>
          <w:lang w:val="en-US" w:eastAsia="en-AU"/>
        </w:rPr>
        <w:t>s</w:t>
      </w:r>
      <w:r w:rsidRPr="003E4C83">
        <w:rPr>
          <w:snapToGrid/>
          <w:lang w:val="en-US" w:eastAsia="en-AU"/>
        </w:rPr>
        <w:t>tates</w:t>
      </w:r>
      <w:r w:rsidR="00934E26" w:rsidRPr="003E4C83">
        <w:rPr>
          <w:snapToGrid/>
          <w:lang w:val="en-US" w:eastAsia="en-AU"/>
        </w:rPr>
        <w:t xml:space="preserve"> but not others</w:t>
      </w:r>
      <w:r w:rsidRPr="003E4C83">
        <w:rPr>
          <w:snapToGrid/>
          <w:lang w:val="en-US" w:eastAsia="en-AU"/>
        </w:rPr>
        <w:t>.</w:t>
      </w:r>
      <w:r w:rsidR="0048017D" w:rsidRPr="003E4C83">
        <w:rPr>
          <w:snapToGrid/>
          <w:lang w:val="en-US" w:eastAsia="en-AU"/>
        </w:rPr>
        <w:t xml:space="preserve"> </w:t>
      </w:r>
      <w:r w:rsidR="003E4C83" w:rsidRPr="003E4C83">
        <w:rPr>
          <w:rFonts w:asciiTheme="minorHAnsi" w:hAnsiTheme="minorHAnsi"/>
          <w:bCs/>
          <w:lang w:val="en-GB"/>
        </w:rPr>
        <w:t>In deciding to defer, the PBAC acknowledged the input received from individuals</w:t>
      </w:r>
      <w:r w:rsidR="00F71A5A">
        <w:rPr>
          <w:rFonts w:asciiTheme="minorHAnsi" w:hAnsiTheme="minorHAnsi"/>
          <w:bCs/>
          <w:lang w:val="en-GB"/>
        </w:rPr>
        <w:t>, organisations</w:t>
      </w:r>
      <w:r w:rsidR="003E4C83" w:rsidRPr="003E4C83">
        <w:rPr>
          <w:rFonts w:asciiTheme="minorHAnsi" w:hAnsiTheme="minorHAnsi"/>
          <w:bCs/>
          <w:lang w:val="en-GB"/>
        </w:rPr>
        <w:t xml:space="preserve"> and health professionals.</w:t>
      </w:r>
    </w:p>
    <w:p w:rsidR="00903857" w:rsidRPr="00C5372B" w:rsidRDefault="00F71A5A" w:rsidP="00F71A5A">
      <w:pPr>
        <w:pStyle w:val="ListParagraph"/>
        <w:numPr>
          <w:ilvl w:val="1"/>
          <w:numId w:val="20"/>
        </w:numPr>
        <w:spacing w:after="120"/>
        <w:ind w:left="709" w:hanging="709"/>
        <w:rPr>
          <w:rFonts w:asciiTheme="minorHAnsi" w:hAnsiTheme="minorHAnsi"/>
          <w:bCs/>
          <w:lang w:val="en-GB"/>
        </w:rPr>
      </w:pPr>
      <w:r w:rsidRPr="00F71A5A">
        <w:rPr>
          <w:rFonts w:asciiTheme="minorHAnsi" w:hAnsiTheme="minorHAnsi"/>
          <w:bCs/>
          <w:lang w:val="en-GB"/>
        </w:rPr>
        <w:t xml:space="preserve">The PBAC considered that the benefits of sapropterin therapy in terms of improved neurological function were likely to </w:t>
      </w:r>
      <w:r>
        <w:rPr>
          <w:rFonts w:asciiTheme="minorHAnsi" w:hAnsiTheme="minorHAnsi"/>
          <w:bCs/>
          <w:lang w:val="en-GB"/>
        </w:rPr>
        <w:t xml:space="preserve">be </w:t>
      </w:r>
      <w:r w:rsidRPr="00F71A5A">
        <w:rPr>
          <w:rFonts w:asciiTheme="minorHAnsi" w:hAnsiTheme="minorHAnsi"/>
          <w:bCs/>
          <w:lang w:val="en-GB"/>
        </w:rPr>
        <w:t>greatest during the development period for children and adolescent</w:t>
      </w:r>
      <w:r>
        <w:rPr>
          <w:rFonts w:asciiTheme="minorHAnsi" w:hAnsiTheme="minorHAnsi"/>
          <w:bCs/>
          <w:lang w:val="en-GB"/>
        </w:rPr>
        <w:t>s</w:t>
      </w:r>
      <w:r w:rsidRPr="00F71A5A">
        <w:rPr>
          <w:rFonts w:asciiTheme="minorHAnsi" w:hAnsiTheme="minorHAnsi"/>
          <w:bCs/>
          <w:lang w:val="en-GB"/>
        </w:rPr>
        <w:t xml:space="preserve">. The PBAC also noted that the further benefits of sapropterin therapy described by patients and their families, which included a reduced risk of diabetes, reduced weight gain, improved growth and social inclusion. </w:t>
      </w:r>
      <w:r w:rsidR="00B86CD7" w:rsidRPr="00C5372B">
        <w:rPr>
          <w:rFonts w:asciiTheme="minorHAnsi" w:hAnsiTheme="minorHAnsi"/>
          <w:bCs/>
          <w:lang w:val="en-GB"/>
        </w:rPr>
        <w:t xml:space="preserve">The PBAC considered that </w:t>
      </w:r>
      <w:r w:rsidR="00903857" w:rsidRPr="00C5372B">
        <w:rPr>
          <w:rFonts w:asciiTheme="minorHAnsi" w:hAnsiTheme="minorHAnsi"/>
          <w:bCs/>
          <w:lang w:val="en-GB"/>
        </w:rPr>
        <w:t xml:space="preserve">the consumer </w:t>
      </w:r>
      <w:r w:rsidR="00934E26" w:rsidRPr="00C5372B">
        <w:rPr>
          <w:rFonts w:asciiTheme="minorHAnsi" w:hAnsiTheme="minorHAnsi"/>
          <w:bCs/>
          <w:lang w:val="en-GB"/>
        </w:rPr>
        <w:t>input</w:t>
      </w:r>
      <w:r w:rsidR="00903857" w:rsidRPr="00C5372B">
        <w:rPr>
          <w:rFonts w:asciiTheme="minorHAnsi" w:hAnsiTheme="minorHAnsi"/>
          <w:bCs/>
          <w:lang w:val="en-GB"/>
        </w:rPr>
        <w:t xml:space="preserve"> had helped define the incremental benefit</w:t>
      </w:r>
      <w:r w:rsidR="00956928" w:rsidRPr="00C5372B">
        <w:rPr>
          <w:rFonts w:asciiTheme="minorHAnsi" w:hAnsiTheme="minorHAnsi"/>
          <w:bCs/>
          <w:lang w:val="en-GB"/>
        </w:rPr>
        <w:t xml:space="preserve">s of </w:t>
      </w:r>
      <w:r w:rsidR="00903857" w:rsidRPr="00C5372B">
        <w:rPr>
          <w:rFonts w:asciiTheme="minorHAnsi" w:hAnsiTheme="minorHAnsi"/>
          <w:bCs/>
          <w:lang w:val="en-GB"/>
        </w:rPr>
        <w:t>sapropterin over diet</w:t>
      </w:r>
      <w:r w:rsidR="00C5372B">
        <w:rPr>
          <w:rFonts w:asciiTheme="minorHAnsi" w:hAnsiTheme="minorHAnsi"/>
          <w:bCs/>
          <w:lang w:val="en-GB"/>
        </w:rPr>
        <w:t>ary manag</w:t>
      </w:r>
      <w:r w:rsidR="00903857" w:rsidRPr="00C5372B">
        <w:rPr>
          <w:rFonts w:asciiTheme="minorHAnsi" w:hAnsiTheme="minorHAnsi"/>
          <w:bCs/>
          <w:lang w:val="en-GB"/>
        </w:rPr>
        <w:t>ement, in terms of meaningful patient-relevant outcomes</w:t>
      </w:r>
      <w:r w:rsidR="00190C86" w:rsidRPr="00C5372B">
        <w:rPr>
          <w:rFonts w:asciiTheme="minorHAnsi" w:hAnsiTheme="minorHAnsi"/>
          <w:bCs/>
          <w:lang w:val="en-GB"/>
        </w:rPr>
        <w:t>, particularly in children and adolescents</w:t>
      </w:r>
      <w:r w:rsidR="00903857" w:rsidRPr="00C5372B">
        <w:rPr>
          <w:rFonts w:asciiTheme="minorHAnsi" w:hAnsiTheme="minorHAnsi"/>
          <w:bCs/>
          <w:lang w:val="en-GB"/>
        </w:rPr>
        <w:t>.</w:t>
      </w:r>
    </w:p>
    <w:p w:rsidR="00EB6499" w:rsidRPr="00FD16AF" w:rsidRDefault="00FD16AF" w:rsidP="007E2504">
      <w:pPr>
        <w:pStyle w:val="ListParagraph"/>
        <w:numPr>
          <w:ilvl w:val="1"/>
          <w:numId w:val="20"/>
        </w:numPr>
        <w:spacing w:after="120"/>
        <w:ind w:left="709" w:hanging="709"/>
        <w:rPr>
          <w:rFonts w:asciiTheme="minorHAnsi" w:hAnsiTheme="minorHAnsi"/>
          <w:bCs/>
          <w:lang w:val="en-GB"/>
        </w:rPr>
      </w:pPr>
      <w:r w:rsidRPr="00FD16AF">
        <w:rPr>
          <w:rFonts w:asciiTheme="minorHAnsi" w:hAnsiTheme="minorHAnsi"/>
          <w:bCs/>
          <w:lang w:val="en-GB"/>
        </w:rPr>
        <w:t>As such, t</w:t>
      </w:r>
      <w:r w:rsidR="003F6F45" w:rsidRPr="00FD16AF">
        <w:rPr>
          <w:rFonts w:asciiTheme="minorHAnsi" w:hAnsiTheme="minorHAnsi"/>
          <w:bCs/>
          <w:lang w:val="en-GB"/>
        </w:rPr>
        <w:t xml:space="preserve">he PBAC considered that commencement of sapropterin therapy should be restricted to </w:t>
      </w:r>
      <w:r w:rsidRPr="00FD16AF">
        <w:rPr>
          <w:rFonts w:asciiTheme="minorHAnsi" w:hAnsiTheme="minorHAnsi"/>
          <w:bCs/>
          <w:lang w:val="en-GB"/>
        </w:rPr>
        <w:t xml:space="preserve">children and </w:t>
      </w:r>
      <w:r w:rsidR="00237508">
        <w:rPr>
          <w:rFonts w:asciiTheme="minorHAnsi" w:hAnsiTheme="minorHAnsi"/>
          <w:bCs/>
          <w:lang w:val="en-GB"/>
        </w:rPr>
        <w:t>adolescents</w:t>
      </w:r>
      <w:r w:rsidR="00454DC1">
        <w:rPr>
          <w:rFonts w:asciiTheme="minorHAnsi" w:hAnsiTheme="minorHAnsi"/>
          <w:bCs/>
          <w:lang w:val="en-GB"/>
        </w:rPr>
        <w:t>.</w:t>
      </w:r>
      <w:r w:rsidR="001617F4">
        <w:rPr>
          <w:rFonts w:asciiTheme="minorHAnsi" w:hAnsiTheme="minorHAnsi"/>
          <w:bCs/>
          <w:lang w:val="en-GB"/>
        </w:rPr>
        <w:t xml:space="preserve"> </w:t>
      </w:r>
      <w:r w:rsidR="00EB6499" w:rsidRPr="00FD16AF">
        <w:rPr>
          <w:rFonts w:asciiTheme="minorHAnsi" w:hAnsiTheme="minorHAnsi"/>
          <w:bCs/>
          <w:lang w:val="en-GB"/>
        </w:rPr>
        <w:t xml:space="preserve">The PBAC acknowledged that consumers had </w:t>
      </w:r>
      <w:r w:rsidR="003F6F45" w:rsidRPr="00FD16AF">
        <w:rPr>
          <w:rFonts w:asciiTheme="minorHAnsi" w:hAnsiTheme="minorHAnsi"/>
          <w:bCs/>
          <w:lang w:val="en-GB"/>
        </w:rPr>
        <w:t>described</w:t>
      </w:r>
      <w:r>
        <w:rPr>
          <w:rFonts w:asciiTheme="minorHAnsi" w:hAnsiTheme="minorHAnsi"/>
          <w:bCs/>
          <w:lang w:val="en-GB"/>
        </w:rPr>
        <w:t xml:space="preserve"> a</w:t>
      </w:r>
      <w:r w:rsidR="003F6F45" w:rsidRPr="00FD16AF">
        <w:rPr>
          <w:rFonts w:asciiTheme="minorHAnsi" w:hAnsiTheme="minorHAnsi"/>
          <w:bCs/>
          <w:lang w:val="en-GB"/>
        </w:rPr>
        <w:t xml:space="preserve"> range of</w:t>
      </w:r>
      <w:r w:rsidR="00EB6499" w:rsidRPr="00FD16AF">
        <w:rPr>
          <w:rFonts w:asciiTheme="minorHAnsi" w:hAnsiTheme="minorHAnsi"/>
          <w:bCs/>
          <w:lang w:val="en-GB"/>
        </w:rPr>
        <w:t xml:space="preserve"> </w:t>
      </w:r>
      <w:r>
        <w:rPr>
          <w:rFonts w:asciiTheme="minorHAnsi" w:hAnsiTheme="minorHAnsi"/>
          <w:bCs/>
          <w:lang w:val="en-GB"/>
        </w:rPr>
        <w:t xml:space="preserve">important </w:t>
      </w:r>
      <w:r w:rsidR="00EB6499" w:rsidRPr="00FD16AF">
        <w:rPr>
          <w:rFonts w:asciiTheme="minorHAnsi" w:hAnsiTheme="minorHAnsi"/>
          <w:bCs/>
          <w:lang w:val="en-GB"/>
        </w:rPr>
        <w:t>benefits</w:t>
      </w:r>
      <w:r w:rsidR="00CB318C">
        <w:rPr>
          <w:rFonts w:asciiTheme="minorHAnsi" w:hAnsiTheme="minorHAnsi"/>
          <w:bCs/>
          <w:lang w:val="en-GB"/>
        </w:rPr>
        <w:t xml:space="preserve"> associated with lowering and stabilising Phe levels</w:t>
      </w:r>
      <w:r w:rsidR="00EB6499" w:rsidRPr="00FD16AF">
        <w:rPr>
          <w:rFonts w:asciiTheme="minorHAnsi" w:hAnsiTheme="minorHAnsi"/>
          <w:bCs/>
          <w:lang w:val="en-GB"/>
        </w:rPr>
        <w:t xml:space="preserve"> in adults, </w:t>
      </w:r>
      <w:r w:rsidR="00106175">
        <w:rPr>
          <w:rFonts w:asciiTheme="minorHAnsi" w:hAnsiTheme="minorHAnsi"/>
          <w:bCs/>
          <w:lang w:val="en-GB"/>
        </w:rPr>
        <w:t xml:space="preserve">particularly during </w:t>
      </w:r>
      <w:r w:rsidR="00934E26">
        <w:rPr>
          <w:rFonts w:asciiTheme="minorHAnsi" w:hAnsiTheme="minorHAnsi"/>
          <w:bCs/>
          <w:lang w:val="en-GB"/>
        </w:rPr>
        <w:t>pre</w:t>
      </w:r>
      <w:r w:rsidR="00934E26">
        <w:rPr>
          <w:rFonts w:asciiTheme="minorHAnsi" w:hAnsiTheme="minorHAnsi"/>
          <w:bCs/>
          <w:lang w:val="en-GB"/>
        </w:rPr>
        <w:noBreakHyphen/>
      </w:r>
      <w:r w:rsidR="00106175">
        <w:rPr>
          <w:rFonts w:asciiTheme="minorHAnsi" w:hAnsiTheme="minorHAnsi"/>
          <w:bCs/>
          <w:lang w:val="en-GB"/>
        </w:rPr>
        <w:t>conception and pregnancy,</w:t>
      </w:r>
      <w:r w:rsidR="00106175" w:rsidRPr="00FD16AF">
        <w:rPr>
          <w:rFonts w:asciiTheme="minorHAnsi" w:hAnsiTheme="minorHAnsi"/>
          <w:bCs/>
          <w:lang w:val="en-GB"/>
        </w:rPr>
        <w:t xml:space="preserve"> </w:t>
      </w:r>
      <w:r w:rsidR="00EB6499" w:rsidRPr="00FD16AF">
        <w:rPr>
          <w:rFonts w:asciiTheme="minorHAnsi" w:hAnsiTheme="minorHAnsi"/>
          <w:bCs/>
          <w:lang w:val="en-GB"/>
        </w:rPr>
        <w:t>but considered that</w:t>
      </w:r>
      <w:r>
        <w:rPr>
          <w:rFonts w:asciiTheme="minorHAnsi" w:hAnsiTheme="minorHAnsi"/>
          <w:bCs/>
          <w:lang w:val="en-GB"/>
        </w:rPr>
        <w:t xml:space="preserve"> the</w:t>
      </w:r>
      <w:r w:rsidR="0048017D">
        <w:rPr>
          <w:rFonts w:asciiTheme="minorHAnsi" w:hAnsiTheme="minorHAnsi"/>
          <w:bCs/>
          <w:lang w:val="en-GB"/>
        </w:rPr>
        <w:t xml:space="preserve"> </w:t>
      </w:r>
      <w:r w:rsidR="00063220">
        <w:rPr>
          <w:rFonts w:asciiTheme="minorHAnsi" w:hAnsiTheme="minorHAnsi"/>
          <w:bCs/>
          <w:lang w:val="en-GB"/>
        </w:rPr>
        <w:t>resubmission</w:t>
      </w:r>
      <w:r>
        <w:rPr>
          <w:rFonts w:asciiTheme="minorHAnsi" w:hAnsiTheme="minorHAnsi"/>
          <w:bCs/>
          <w:lang w:val="en-GB"/>
        </w:rPr>
        <w:t xml:space="preserve"> had not provided sufficient evidence to support PBS-listing in these groups</w:t>
      </w:r>
      <w:r w:rsidR="0048017D">
        <w:rPr>
          <w:rFonts w:asciiTheme="minorHAnsi" w:hAnsiTheme="minorHAnsi"/>
          <w:bCs/>
          <w:lang w:val="en-GB"/>
        </w:rPr>
        <w:t>.</w:t>
      </w:r>
      <w:r w:rsidR="00EB6499" w:rsidRPr="00FD16AF">
        <w:rPr>
          <w:rFonts w:asciiTheme="minorHAnsi" w:hAnsiTheme="minorHAnsi"/>
          <w:bCs/>
          <w:lang w:val="en-GB"/>
        </w:rPr>
        <w:t xml:space="preserve"> </w:t>
      </w:r>
    </w:p>
    <w:p w:rsidR="00956928" w:rsidRDefault="00956928" w:rsidP="00454DC1">
      <w:pPr>
        <w:pStyle w:val="ListParagraph"/>
        <w:numPr>
          <w:ilvl w:val="1"/>
          <w:numId w:val="20"/>
        </w:numPr>
        <w:spacing w:after="120"/>
        <w:ind w:left="709" w:hanging="709"/>
        <w:rPr>
          <w:rFonts w:asciiTheme="minorHAnsi" w:hAnsiTheme="minorHAnsi"/>
          <w:bCs/>
          <w:lang w:val="en-GB"/>
        </w:rPr>
      </w:pPr>
      <w:r w:rsidRPr="00EB6499">
        <w:rPr>
          <w:rFonts w:asciiTheme="minorHAnsi" w:hAnsiTheme="minorHAnsi"/>
          <w:bCs/>
          <w:lang w:val="en-GB"/>
        </w:rPr>
        <w:t xml:space="preserve">The PBAC </w:t>
      </w:r>
      <w:r>
        <w:rPr>
          <w:rFonts w:asciiTheme="minorHAnsi" w:hAnsiTheme="minorHAnsi"/>
          <w:bCs/>
          <w:lang w:val="en-GB"/>
        </w:rPr>
        <w:t>considered</w:t>
      </w:r>
      <w:r w:rsidRPr="00EB6499">
        <w:rPr>
          <w:rFonts w:asciiTheme="minorHAnsi" w:hAnsiTheme="minorHAnsi"/>
          <w:bCs/>
          <w:lang w:val="en-GB"/>
        </w:rPr>
        <w:t xml:space="preserve"> that the </w:t>
      </w:r>
      <w:r>
        <w:rPr>
          <w:rFonts w:asciiTheme="minorHAnsi" w:hAnsiTheme="minorHAnsi"/>
          <w:bCs/>
          <w:lang w:val="en-GB"/>
        </w:rPr>
        <w:t xml:space="preserve">patient representatives and community correspondence indicated that patients </w:t>
      </w:r>
      <w:r w:rsidRPr="00EB6499">
        <w:rPr>
          <w:rFonts w:asciiTheme="minorHAnsi" w:hAnsiTheme="minorHAnsi"/>
          <w:bCs/>
          <w:lang w:val="en-GB"/>
        </w:rPr>
        <w:t xml:space="preserve">had realistic expectations about the </w:t>
      </w:r>
      <w:r>
        <w:rPr>
          <w:rFonts w:asciiTheme="minorHAnsi" w:hAnsiTheme="minorHAnsi"/>
          <w:bCs/>
          <w:lang w:val="en-GB"/>
        </w:rPr>
        <w:t xml:space="preserve">likely </w:t>
      </w:r>
      <w:r w:rsidRPr="00EB6499">
        <w:rPr>
          <w:rFonts w:asciiTheme="minorHAnsi" w:hAnsiTheme="minorHAnsi"/>
          <w:bCs/>
          <w:lang w:val="en-GB"/>
        </w:rPr>
        <w:t xml:space="preserve">outcomes of sapropterin treatment, including that not all patients would </w:t>
      </w:r>
      <w:r>
        <w:rPr>
          <w:rFonts w:asciiTheme="minorHAnsi" w:hAnsiTheme="minorHAnsi"/>
          <w:bCs/>
          <w:lang w:val="en-GB"/>
        </w:rPr>
        <w:t>respond and that</w:t>
      </w:r>
      <w:r w:rsidRPr="00EB6499">
        <w:rPr>
          <w:rFonts w:asciiTheme="minorHAnsi" w:hAnsiTheme="minorHAnsi"/>
          <w:bCs/>
          <w:lang w:val="en-GB"/>
        </w:rPr>
        <w:t xml:space="preserve"> </w:t>
      </w:r>
      <w:r>
        <w:rPr>
          <w:rFonts w:asciiTheme="minorHAnsi" w:hAnsiTheme="minorHAnsi"/>
          <w:bCs/>
          <w:lang w:val="en-GB"/>
        </w:rPr>
        <w:t xml:space="preserve">responsive </w:t>
      </w:r>
      <w:r w:rsidRPr="00EB6499">
        <w:rPr>
          <w:rFonts w:asciiTheme="minorHAnsi" w:hAnsiTheme="minorHAnsi"/>
          <w:bCs/>
          <w:lang w:val="en-GB"/>
        </w:rPr>
        <w:t>patients would still need to adhere to a strict diet (although more</w:t>
      </w:r>
      <w:r>
        <w:rPr>
          <w:rFonts w:asciiTheme="minorHAnsi" w:hAnsiTheme="minorHAnsi"/>
          <w:bCs/>
          <w:lang w:val="en-GB"/>
        </w:rPr>
        <w:t xml:space="preserve"> liberal than without sapropterin).  </w:t>
      </w:r>
    </w:p>
    <w:p w:rsidR="00447314" w:rsidRPr="00D23754" w:rsidRDefault="00154D4E" w:rsidP="003E13DE">
      <w:pPr>
        <w:pStyle w:val="ListParagraph"/>
        <w:numPr>
          <w:ilvl w:val="1"/>
          <w:numId w:val="20"/>
        </w:numPr>
        <w:spacing w:after="120"/>
        <w:ind w:left="709" w:hanging="709"/>
        <w:rPr>
          <w:rFonts w:asciiTheme="minorHAnsi" w:hAnsiTheme="minorHAnsi"/>
          <w:bCs/>
          <w:lang w:val="en-GB"/>
        </w:rPr>
      </w:pPr>
      <w:r w:rsidRPr="00D23754">
        <w:rPr>
          <w:rFonts w:asciiTheme="minorHAnsi" w:hAnsiTheme="minorHAnsi"/>
          <w:bCs/>
          <w:lang w:val="en-GB"/>
        </w:rPr>
        <w:t xml:space="preserve">The PBAC noted that </w:t>
      </w:r>
      <w:r w:rsidR="00447314" w:rsidRPr="00D23754">
        <w:rPr>
          <w:rFonts w:asciiTheme="minorHAnsi" w:hAnsiTheme="minorHAnsi"/>
          <w:bCs/>
          <w:lang w:val="en-GB"/>
        </w:rPr>
        <w:t xml:space="preserve">the </w:t>
      </w:r>
      <w:r w:rsidR="00063220">
        <w:rPr>
          <w:rFonts w:asciiTheme="minorHAnsi" w:hAnsiTheme="minorHAnsi"/>
          <w:bCs/>
          <w:lang w:val="en-GB"/>
        </w:rPr>
        <w:t>resubmission</w:t>
      </w:r>
      <w:r w:rsidR="00DF39B9" w:rsidRPr="00D23754">
        <w:rPr>
          <w:rFonts w:asciiTheme="minorHAnsi" w:hAnsiTheme="minorHAnsi"/>
          <w:bCs/>
          <w:lang w:val="en-GB"/>
        </w:rPr>
        <w:t>’s</w:t>
      </w:r>
      <w:r w:rsidR="00447314" w:rsidRPr="00D23754">
        <w:rPr>
          <w:rFonts w:asciiTheme="minorHAnsi" w:hAnsiTheme="minorHAnsi"/>
          <w:bCs/>
          <w:lang w:val="en-GB"/>
        </w:rPr>
        <w:t xml:space="preserve"> proposed </w:t>
      </w:r>
      <w:r w:rsidR="009E11F6" w:rsidRPr="00D23754">
        <w:rPr>
          <w:rFonts w:asciiTheme="minorHAnsi" w:hAnsiTheme="minorHAnsi"/>
          <w:bCs/>
          <w:lang w:val="en-GB"/>
        </w:rPr>
        <w:t>defini</w:t>
      </w:r>
      <w:r w:rsidR="00DF39B9" w:rsidRPr="00D23754">
        <w:rPr>
          <w:rFonts w:asciiTheme="minorHAnsi" w:hAnsiTheme="minorHAnsi"/>
          <w:bCs/>
          <w:lang w:val="en-GB"/>
        </w:rPr>
        <w:t>tion of</w:t>
      </w:r>
      <w:r w:rsidR="00447314" w:rsidRPr="00D23754">
        <w:rPr>
          <w:rFonts w:asciiTheme="minorHAnsi" w:hAnsiTheme="minorHAnsi"/>
          <w:bCs/>
          <w:lang w:val="en-GB"/>
        </w:rPr>
        <w:t xml:space="preserve"> </w:t>
      </w:r>
      <w:r w:rsidRPr="00D23754">
        <w:rPr>
          <w:rFonts w:asciiTheme="minorHAnsi" w:hAnsiTheme="minorHAnsi"/>
          <w:bCs/>
          <w:lang w:val="en-GB"/>
        </w:rPr>
        <w:t xml:space="preserve">initial response </w:t>
      </w:r>
      <w:r w:rsidR="00DF39B9" w:rsidRPr="00D23754">
        <w:rPr>
          <w:rFonts w:asciiTheme="minorHAnsi" w:hAnsiTheme="minorHAnsi"/>
          <w:bCs/>
          <w:lang w:val="en-GB"/>
        </w:rPr>
        <w:t>w</w:t>
      </w:r>
      <w:r w:rsidR="009E11F6" w:rsidRPr="00D23754">
        <w:rPr>
          <w:rFonts w:asciiTheme="minorHAnsi" w:hAnsiTheme="minorHAnsi"/>
          <w:bCs/>
          <w:lang w:val="en-GB"/>
        </w:rPr>
        <w:t xml:space="preserve">as </w:t>
      </w:r>
      <w:r w:rsidR="00DF39B9" w:rsidRPr="00D23754">
        <w:rPr>
          <w:rFonts w:asciiTheme="minorHAnsi" w:hAnsiTheme="minorHAnsi"/>
          <w:bCs/>
          <w:lang w:val="en-GB"/>
        </w:rPr>
        <w:t xml:space="preserve">achievement of </w:t>
      </w:r>
      <w:r w:rsidR="009E11F6" w:rsidRPr="00D23754">
        <w:rPr>
          <w:rFonts w:asciiTheme="minorHAnsi" w:hAnsiTheme="minorHAnsi"/>
          <w:bCs/>
          <w:lang w:val="en-GB"/>
        </w:rPr>
        <w:t>either: a ≥ </w:t>
      </w:r>
      <w:r w:rsidRPr="00D23754">
        <w:rPr>
          <w:rFonts w:asciiTheme="minorHAnsi" w:hAnsiTheme="minorHAnsi"/>
          <w:bCs/>
          <w:lang w:val="en-GB"/>
        </w:rPr>
        <w:t xml:space="preserve">30% reduction in blood Phe levels </w:t>
      </w:r>
      <w:r w:rsidR="00447314" w:rsidRPr="00D23754">
        <w:rPr>
          <w:rFonts w:asciiTheme="minorHAnsi" w:hAnsiTheme="minorHAnsi"/>
          <w:bCs/>
          <w:lang w:val="en-GB"/>
        </w:rPr>
        <w:t>over a four-week period</w:t>
      </w:r>
      <w:r w:rsidR="009E11F6" w:rsidRPr="00D23754">
        <w:rPr>
          <w:rFonts w:asciiTheme="minorHAnsi" w:hAnsiTheme="minorHAnsi"/>
          <w:bCs/>
          <w:lang w:val="en-GB"/>
        </w:rPr>
        <w:t>;</w:t>
      </w:r>
      <w:r w:rsidR="00447314" w:rsidRPr="00D23754">
        <w:rPr>
          <w:rFonts w:asciiTheme="minorHAnsi" w:hAnsiTheme="minorHAnsi"/>
          <w:bCs/>
          <w:lang w:val="en-GB"/>
        </w:rPr>
        <w:t xml:space="preserve"> </w:t>
      </w:r>
      <w:r w:rsidRPr="00D23754">
        <w:rPr>
          <w:rFonts w:asciiTheme="minorHAnsi" w:hAnsiTheme="minorHAnsi"/>
          <w:bCs/>
          <w:lang w:val="en-GB"/>
        </w:rPr>
        <w:t xml:space="preserve">or therapeutic blood Phe goals as defined for an individual patient by the treating physician. </w:t>
      </w:r>
      <w:r w:rsidR="00447314" w:rsidRPr="00D23754">
        <w:t xml:space="preserve">The PBAC considered that </w:t>
      </w:r>
      <w:r w:rsidR="009E11F6" w:rsidRPr="00D23754">
        <w:t xml:space="preserve">the latter criterion (i.e. Phe goals defined by the treating physician) </w:t>
      </w:r>
      <w:r w:rsidR="003E13DE">
        <w:t>should not be included</w:t>
      </w:r>
      <w:r w:rsidR="003E13DE" w:rsidRPr="00D23754">
        <w:t xml:space="preserve"> in the initiation criteria</w:t>
      </w:r>
      <w:r w:rsidR="003E13DE">
        <w:t xml:space="preserve"> as it</w:t>
      </w:r>
      <w:r w:rsidR="003E13DE" w:rsidRPr="00D23754">
        <w:t xml:space="preserve"> </w:t>
      </w:r>
      <w:r w:rsidR="00DC263C">
        <w:t>i</w:t>
      </w:r>
      <w:r w:rsidR="009E11F6" w:rsidRPr="00D23754">
        <w:t>s broad and subjective</w:t>
      </w:r>
      <w:r w:rsidR="003E13DE">
        <w:t>.</w:t>
      </w:r>
    </w:p>
    <w:p w:rsidR="00191176" w:rsidRPr="003E13DE" w:rsidRDefault="00447314" w:rsidP="00454DC1">
      <w:pPr>
        <w:pStyle w:val="ListParagraph"/>
        <w:numPr>
          <w:ilvl w:val="1"/>
          <w:numId w:val="20"/>
        </w:numPr>
        <w:spacing w:after="120"/>
        <w:ind w:left="709" w:hanging="709"/>
        <w:rPr>
          <w:rFonts w:asciiTheme="minorHAnsi" w:hAnsiTheme="minorHAnsi"/>
          <w:bCs/>
          <w:lang w:val="en-GB"/>
        </w:rPr>
      </w:pPr>
      <w:r w:rsidRPr="00D23754">
        <w:rPr>
          <w:rFonts w:asciiTheme="minorHAnsi" w:hAnsiTheme="minorHAnsi"/>
          <w:bCs/>
          <w:lang w:val="en-GB"/>
        </w:rPr>
        <w:t>Further, t</w:t>
      </w:r>
      <w:r w:rsidR="00154D4E" w:rsidRPr="00D23754">
        <w:rPr>
          <w:rFonts w:asciiTheme="minorHAnsi" w:hAnsiTheme="minorHAnsi"/>
          <w:bCs/>
          <w:lang w:val="en-GB"/>
        </w:rPr>
        <w:t xml:space="preserve">he PBAC considered that </w:t>
      </w:r>
      <w:r w:rsidRPr="00D23754">
        <w:rPr>
          <w:rFonts w:asciiTheme="minorHAnsi" w:hAnsiTheme="minorHAnsi"/>
          <w:bCs/>
          <w:lang w:val="en-GB"/>
        </w:rPr>
        <w:t>insufficient</w:t>
      </w:r>
      <w:r w:rsidR="00154D4E" w:rsidRPr="00D23754">
        <w:rPr>
          <w:rFonts w:asciiTheme="minorHAnsi" w:hAnsiTheme="minorHAnsi"/>
          <w:bCs/>
          <w:lang w:val="en-GB"/>
        </w:rPr>
        <w:t xml:space="preserve"> evidence had been presented </w:t>
      </w:r>
      <w:r w:rsidR="00D23754" w:rsidRPr="00D23754">
        <w:rPr>
          <w:rFonts w:asciiTheme="minorHAnsi" w:hAnsiTheme="minorHAnsi"/>
          <w:bCs/>
          <w:lang w:val="en-GB"/>
        </w:rPr>
        <w:t>for the Committee to be</w:t>
      </w:r>
      <w:r w:rsidR="009E11F6" w:rsidRPr="00D23754">
        <w:rPr>
          <w:rFonts w:asciiTheme="minorHAnsi" w:hAnsiTheme="minorHAnsi"/>
          <w:bCs/>
          <w:lang w:val="en-GB"/>
        </w:rPr>
        <w:t xml:space="preserve"> confident</w:t>
      </w:r>
      <w:r w:rsidR="00154D4E" w:rsidRPr="00D23754">
        <w:rPr>
          <w:rFonts w:asciiTheme="minorHAnsi" w:hAnsiTheme="minorHAnsi"/>
          <w:bCs/>
          <w:lang w:val="en-GB"/>
        </w:rPr>
        <w:t xml:space="preserve"> that the sapropterin responsiveness test proposed by the </w:t>
      </w:r>
      <w:r w:rsidR="00063220">
        <w:rPr>
          <w:rFonts w:asciiTheme="minorHAnsi" w:hAnsiTheme="minorHAnsi"/>
          <w:bCs/>
          <w:lang w:val="en-GB"/>
        </w:rPr>
        <w:t>resubmission</w:t>
      </w:r>
      <w:r w:rsidR="00154D4E" w:rsidRPr="00D23754">
        <w:rPr>
          <w:rFonts w:asciiTheme="minorHAnsi" w:hAnsiTheme="minorHAnsi"/>
          <w:bCs/>
          <w:lang w:val="en-GB"/>
        </w:rPr>
        <w:t xml:space="preserve"> would identify truly responsive </w:t>
      </w:r>
      <w:r w:rsidR="009E11F6" w:rsidRPr="00D23754">
        <w:rPr>
          <w:rFonts w:asciiTheme="minorHAnsi" w:hAnsiTheme="minorHAnsi"/>
          <w:bCs/>
          <w:lang w:val="en-GB"/>
        </w:rPr>
        <w:t>patients</w:t>
      </w:r>
      <w:r w:rsidR="003F6F45" w:rsidRPr="00D23754">
        <w:rPr>
          <w:rFonts w:asciiTheme="minorHAnsi" w:hAnsiTheme="minorHAnsi"/>
          <w:bCs/>
          <w:lang w:val="en-GB"/>
        </w:rPr>
        <w:t xml:space="preserve"> in terms of correctly identify</w:t>
      </w:r>
      <w:r w:rsidR="00D23754" w:rsidRPr="00D23754">
        <w:rPr>
          <w:rFonts w:asciiTheme="minorHAnsi" w:hAnsiTheme="minorHAnsi"/>
          <w:bCs/>
          <w:lang w:val="en-GB"/>
        </w:rPr>
        <w:t>ing</w:t>
      </w:r>
      <w:r w:rsidR="003F6F45" w:rsidRPr="00D23754">
        <w:rPr>
          <w:rFonts w:asciiTheme="minorHAnsi" w:hAnsiTheme="minorHAnsi"/>
          <w:bCs/>
          <w:lang w:val="en-GB"/>
        </w:rPr>
        <w:t xml:space="preserve"> </w:t>
      </w:r>
      <w:r w:rsidR="00D23754" w:rsidRPr="00D23754">
        <w:rPr>
          <w:rFonts w:asciiTheme="minorHAnsi" w:hAnsiTheme="minorHAnsi"/>
          <w:bCs/>
          <w:lang w:val="en-GB"/>
        </w:rPr>
        <w:t>patients</w:t>
      </w:r>
      <w:r w:rsidR="003F6F45" w:rsidRPr="00D23754">
        <w:rPr>
          <w:rFonts w:asciiTheme="minorHAnsi" w:hAnsiTheme="minorHAnsi"/>
          <w:bCs/>
          <w:lang w:val="en-GB"/>
        </w:rPr>
        <w:t xml:space="preserve"> who are </w:t>
      </w:r>
      <w:r w:rsidR="00683968" w:rsidRPr="00D23754">
        <w:rPr>
          <w:rFonts w:asciiTheme="minorHAnsi" w:hAnsiTheme="minorHAnsi"/>
          <w:bCs/>
          <w:lang w:val="en-GB"/>
        </w:rPr>
        <w:t>and</w:t>
      </w:r>
      <w:r w:rsidR="003F6F45" w:rsidRPr="00D23754">
        <w:rPr>
          <w:rFonts w:asciiTheme="minorHAnsi" w:hAnsiTheme="minorHAnsi"/>
          <w:bCs/>
          <w:lang w:val="en-GB"/>
        </w:rPr>
        <w:t xml:space="preserve"> </w:t>
      </w:r>
      <w:r w:rsidR="00D23754" w:rsidRPr="00D23754">
        <w:rPr>
          <w:rFonts w:asciiTheme="minorHAnsi" w:hAnsiTheme="minorHAnsi"/>
          <w:bCs/>
          <w:lang w:val="en-GB"/>
        </w:rPr>
        <w:t>patients</w:t>
      </w:r>
      <w:r w:rsidR="00CB318C" w:rsidRPr="00D23754">
        <w:rPr>
          <w:rFonts w:asciiTheme="minorHAnsi" w:hAnsiTheme="minorHAnsi"/>
          <w:bCs/>
          <w:lang w:val="en-GB"/>
        </w:rPr>
        <w:t xml:space="preserve"> </w:t>
      </w:r>
      <w:r w:rsidR="00683968" w:rsidRPr="00D23754">
        <w:rPr>
          <w:rFonts w:asciiTheme="minorHAnsi" w:hAnsiTheme="minorHAnsi"/>
          <w:bCs/>
          <w:lang w:val="en-GB"/>
        </w:rPr>
        <w:t xml:space="preserve">who </w:t>
      </w:r>
      <w:r w:rsidR="003F6F45" w:rsidRPr="00D23754">
        <w:rPr>
          <w:rFonts w:asciiTheme="minorHAnsi" w:hAnsiTheme="minorHAnsi"/>
          <w:bCs/>
          <w:lang w:val="en-GB"/>
        </w:rPr>
        <w:t>are not responsive</w:t>
      </w:r>
      <w:r w:rsidR="00154D4E" w:rsidRPr="00D23754">
        <w:rPr>
          <w:rFonts w:asciiTheme="minorHAnsi" w:hAnsiTheme="minorHAnsi"/>
          <w:bCs/>
          <w:lang w:val="en-GB"/>
        </w:rPr>
        <w:t xml:space="preserve">. </w:t>
      </w:r>
      <w:r w:rsidRPr="00D23754">
        <w:rPr>
          <w:rFonts w:asciiTheme="minorHAnsi" w:hAnsiTheme="minorHAnsi"/>
          <w:bCs/>
          <w:lang w:val="en-GB"/>
        </w:rPr>
        <w:t xml:space="preserve">In particular, the PBAC considered that </w:t>
      </w:r>
      <w:r w:rsidR="00154D4E" w:rsidRPr="00D23754">
        <w:rPr>
          <w:rFonts w:asciiTheme="minorHAnsi" w:hAnsiTheme="minorHAnsi"/>
          <w:bCs/>
          <w:lang w:val="en-GB"/>
        </w:rPr>
        <w:t xml:space="preserve">it would be difficult to </w:t>
      </w:r>
      <w:r w:rsidRPr="00D23754">
        <w:rPr>
          <w:rFonts w:asciiTheme="minorHAnsi" w:hAnsiTheme="minorHAnsi"/>
          <w:bCs/>
          <w:lang w:val="en-GB"/>
        </w:rPr>
        <w:t>distinguish</w:t>
      </w:r>
      <w:r w:rsidR="00154D4E" w:rsidRPr="00D23754">
        <w:rPr>
          <w:rFonts w:asciiTheme="minorHAnsi" w:hAnsiTheme="minorHAnsi"/>
          <w:bCs/>
          <w:lang w:val="en-GB"/>
        </w:rPr>
        <w:t xml:space="preserve"> </w:t>
      </w:r>
      <w:r w:rsidRPr="00D23754">
        <w:rPr>
          <w:rFonts w:asciiTheme="minorHAnsi" w:hAnsiTheme="minorHAnsi"/>
          <w:bCs/>
          <w:lang w:val="en-GB"/>
        </w:rPr>
        <w:t>true responsiveness from fluctuations in Phe levels due to other causes such as changes in diet or</w:t>
      </w:r>
      <w:r w:rsidR="00D41E6D" w:rsidRPr="00D23754">
        <w:rPr>
          <w:rFonts w:asciiTheme="minorHAnsi" w:hAnsiTheme="minorHAnsi"/>
          <w:bCs/>
          <w:lang w:val="en-GB"/>
        </w:rPr>
        <w:t xml:space="preserve"> intercurrent</w:t>
      </w:r>
      <w:r w:rsidRPr="00D23754">
        <w:rPr>
          <w:rFonts w:asciiTheme="minorHAnsi" w:hAnsiTheme="minorHAnsi"/>
          <w:bCs/>
          <w:lang w:val="en-GB"/>
        </w:rPr>
        <w:t xml:space="preserve"> illness</w:t>
      </w:r>
      <w:r w:rsidR="00683968" w:rsidRPr="00D23754">
        <w:rPr>
          <w:rFonts w:asciiTheme="minorHAnsi" w:hAnsiTheme="minorHAnsi"/>
          <w:bCs/>
          <w:lang w:val="en-GB"/>
        </w:rPr>
        <w:t>, particularly given the high underlying variability in Phe levels and the long period of testing proposed (four weeks)</w:t>
      </w:r>
      <w:r w:rsidR="00154D4E" w:rsidRPr="00D23754">
        <w:rPr>
          <w:rFonts w:asciiTheme="minorHAnsi" w:hAnsiTheme="minorHAnsi"/>
          <w:bCs/>
          <w:lang w:val="en-GB"/>
        </w:rPr>
        <w:t xml:space="preserve">. </w:t>
      </w:r>
      <w:r w:rsidR="00191176" w:rsidRPr="00D23754">
        <w:rPr>
          <w:rFonts w:asciiTheme="minorHAnsi" w:hAnsiTheme="minorHAnsi"/>
          <w:bCs/>
          <w:lang w:val="en-GB"/>
        </w:rPr>
        <w:t xml:space="preserve">The PBAC </w:t>
      </w:r>
      <w:r w:rsidR="00154D4E" w:rsidRPr="00D23754">
        <w:rPr>
          <w:rFonts w:asciiTheme="minorHAnsi" w:hAnsiTheme="minorHAnsi"/>
          <w:bCs/>
          <w:lang w:val="en-GB"/>
        </w:rPr>
        <w:t>considered</w:t>
      </w:r>
      <w:r w:rsidR="00191176" w:rsidRPr="00D23754">
        <w:rPr>
          <w:rFonts w:asciiTheme="minorHAnsi" w:hAnsiTheme="minorHAnsi"/>
          <w:bCs/>
          <w:lang w:val="en-GB"/>
        </w:rPr>
        <w:t xml:space="preserve"> that further </w:t>
      </w:r>
      <w:r w:rsidR="009E11F6" w:rsidRPr="00D23754">
        <w:rPr>
          <w:rFonts w:asciiTheme="minorHAnsi" w:hAnsiTheme="minorHAnsi"/>
          <w:bCs/>
          <w:lang w:val="en-GB"/>
        </w:rPr>
        <w:t>evidence</w:t>
      </w:r>
      <w:r w:rsidR="00191176" w:rsidRPr="00D23754">
        <w:rPr>
          <w:rFonts w:asciiTheme="minorHAnsi" w:hAnsiTheme="minorHAnsi"/>
          <w:bCs/>
          <w:lang w:val="en-GB"/>
        </w:rPr>
        <w:t xml:space="preserve"> was required regarding sapropterin</w:t>
      </w:r>
      <w:r w:rsidR="00191176" w:rsidRPr="00447314">
        <w:rPr>
          <w:rFonts w:asciiTheme="minorHAnsi" w:hAnsiTheme="minorHAnsi"/>
          <w:bCs/>
          <w:lang w:val="en-GB"/>
        </w:rPr>
        <w:t xml:space="preserve"> responsiveness testing</w:t>
      </w:r>
      <w:r w:rsidR="00106175">
        <w:rPr>
          <w:rFonts w:asciiTheme="minorHAnsi" w:hAnsiTheme="minorHAnsi"/>
          <w:bCs/>
          <w:lang w:val="en-GB"/>
        </w:rPr>
        <w:t>, and assess</w:t>
      </w:r>
      <w:r w:rsidR="00DC263C">
        <w:rPr>
          <w:rFonts w:asciiTheme="minorHAnsi" w:hAnsiTheme="minorHAnsi"/>
          <w:bCs/>
          <w:lang w:val="en-GB"/>
        </w:rPr>
        <w:t xml:space="preserve">ment of </w:t>
      </w:r>
      <w:r w:rsidR="00106175">
        <w:rPr>
          <w:rFonts w:asciiTheme="minorHAnsi" w:hAnsiTheme="minorHAnsi"/>
          <w:bCs/>
          <w:lang w:val="en-GB"/>
        </w:rPr>
        <w:t>ongoing response</w:t>
      </w:r>
      <w:r w:rsidR="00191176" w:rsidRPr="00447314">
        <w:rPr>
          <w:rFonts w:asciiTheme="minorHAnsi" w:hAnsiTheme="minorHAnsi"/>
          <w:bCs/>
          <w:lang w:val="en-GB"/>
        </w:rPr>
        <w:t xml:space="preserve">. </w:t>
      </w:r>
    </w:p>
    <w:p w:rsidR="00237508" w:rsidRDefault="00237508" w:rsidP="00454DC1">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 xml:space="preserve">The PBAC noted that </w:t>
      </w:r>
      <w:r w:rsidR="00322313">
        <w:rPr>
          <w:rFonts w:asciiTheme="minorHAnsi" w:hAnsiTheme="minorHAnsi"/>
          <w:bCs/>
          <w:lang w:val="en-GB"/>
        </w:rPr>
        <w:t xml:space="preserve">the evaluation and DUSC had identified </w:t>
      </w:r>
      <w:r>
        <w:rPr>
          <w:rFonts w:asciiTheme="minorHAnsi" w:hAnsiTheme="minorHAnsi"/>
          <w:bCs/>
          <w:lang w:val="en-GB"/>
        </w:rPr>
        <w:t xml:space="preserve">a number of other issues with the </w:t>
      </w:r>
      <w:r w:rsidR="00322313">
        <w:rPr>
          <w:rFonts w:asciiTheme="minorHAnsi" w:hAnsiTheme="minorHAnsi"/>
          <w:bCs/>
          <w:lang w:val="en-GB"/>
        </w:rPr>
        <w:t xml:space="preserve">proposed </w:t>
      </w:r>
      <w:r>
        <w:rPr>
          <w:rFonts w:asciiTheme="minorHAnsi" w:hAnsiTheme="minorHAnsi"/>
          <w:bCs/>
          <w:lang w:val="en-GB"/>
        </w:rPr>
        <w:t>restrictions, such as access</w:t>
      </w:r>
      <w:r w:rsidR="00322313">
        <w:rPr>
          <w:rFonts w:asciiTheme="minorHAnsi" w:hAnsiTheme="minorHAnsi"/>
          <w:bCs/>
          <w:lang w:val="en-GB"/>
        </w:rPr>
        <w:t>ing</w:t>
      </w:r>
      <w:r>
        <w:rPr>
          <w:rFonts w:asciiTheme="minorHAnsi" w:hAnsiTheme="minorHAnsi"/>
          <w:bCs/>
          <w:lang w:val="en-GB"/>
        </w:rPr>
        <w:t xml:space="preserve"> sapropterin for the purpose of responsiveness testing, </w:t>
      </w:r>
      <w:r w:rsidR="00322313">
        <w:rPr>
          <w:rFonts w:asciiTheme="minorHAnsi" w:hAnsiTheme="minorHAnsi"/>
          <w:bCs/>
          <w:lang w:val="en-GB"/>
        </w:rPr>
        <w:t xml:space="preserve">grandfathering requirements, </w:t>
      </w:r>
      <w:r>
        <w:rPr>
          <w:rFonts w:asciiTheme="minorHAnsi" w:hAnsiTheme="minorHAnsi"/>
          <w:bCs/>
          <w:lang w:val="en-GB"/>
        </w:rPr>
        <w:t>auditing requirements</w:t>
      </w:r>
      <w:r w:rsidR="00322313">
        <w:rPr>
          <w:rFonts w:asciiTheme="minorHAnsi" w:hAnsiTheme="minorHAnsi"/>
          <w:bCs/>
          <w:lang w:val="en-GB"/>
        </w:rPr>
        <w:t xml:space="preserve"> and</w:t>
      </w:r>
      <w:r>
        <w:rPr>
          <w:rFonts w:asciiTheme="minorHAnsi" w:hAnsiTheme="minorHAnsi"/>
          <w:bCs/>
          <w:lang w:val="en-GB"/>
        </w:rPr>
        <w:t xml:space="preserve"> assess</w:t>
      </w:r>
      <w:r w:rsidR="00322313">
        <w:rPr>
          <w:rFonts w:asciiTheme="minorHAnsi" w:hAnsiTheme="minorHAnsi"/>
          <w:bCs/>
          <w:lang w:val="en-GB"/>
        </w:rPr>
        <w:t>ing</w:t>
      </w:r>
      <w:r>
        <w:rPr>
          <w:rFonts w:asciiTheme="minorHAnsi" w:hAnsiTheme="minorHAnsi"/>
          <w:bCs/>
          <w:lang w:val="en-GB"/>
        </w:rPr>
        <w:t xml:space="preserve"> continuing response (refer to Paragraphs 2.5 to 2.7). The PBAC considered that </w:t>
      </w:r>
      <w:r w:rsidR="00322313">
        <w:rPr>
          <w:rFonts w:asciiTheme="minorHAnsi" w:hAnsiTheme="minorHAnsi"/>
          <w:bCs/>
          <w:lang w:val="en-GB"/>
        </w:rPr>
        <w:t xml:space="preserve">many of </w:t>
      </w:r>
      <w:r>
        <w:rPr>
          <w:rFonts w:asciiTheme="minorHAnsi" w:hAnsiTheme="minorHAnsi"/>
          <w:bCs/>
          <w:lang w:val="en-GB"/>
        </w:rPr>
        <w:t xml:space="preserve">these issues hinged on </w:t>
      </w:r>
      <w:r w:rsidR="00322313">
        <w:rPr>
          <w:rFonts w:asciiTheme="minorHAnsi" w:hAnsiTheme="minorHAnsi"/>
          <w:bCs/>
          <w:lang w:val="en-GB"/>
        </w:rPr>
        <w:t xml:space="preserve">the </w:t>
      </w:r>
      <w:r w:rsidR="003E13DE">
        <w:rPr>
          <w:rFonts w:asciiTheme="minorHAnsi" w:hAnsiTheme="minorHAnsi"/>
          <w:bCs/>
          <w:lang w:val="en-GB"/>
        </w:rPr>
        <w:t>processes</w:t>
      </w:r>
      <w:r>
        <w:rPr>
          <w:rFonts w:asciiTheme="minorHAnsi" w:hAnsiTheme="minorHAnsi"/>
          <w:bCs/>
          <w:lang w:val="en-GB"/>
        </w:rPr>
        <w:t xml:space="preserve"> for </w:t>
      </w:r>
      <w:r w:rsidR="00322313">
        <w:rPr>
          <w:rFonts w:asciiTheme="minorHAnsi" w:hAnsiTheme="minorHAnsi"/>
          <w:bCs/>
          <w:lang w:val="en-GB"/>
        </w:rPr>
        <w:t xml:space="preserve">assessing </w:t>
      </w:r>
      <w:r w:rsidR="003E13DE">
        <w:rPr>
          <w:rFonts w:asciiTheme="minorHAnsi" w:hAnsiTheme="minorHAnsi"/>
          <w:bCs/>
          <w:lang w:val="en-GB"/>
        </w:rPr>
        <w:t xml:space="preserve">initial </w:t>
      </w:r>
      <w:r>
        <w:rPr>
          <w:rFonts w:asciiTheme="minorHAnsi" w:hAnsiTheme="minorHAnsi"/>
          <w:bCs/>
          <w:lang w:val="en-GB"/>
        </w:rPr>
        <w:t xml:space="preserve">responsiveness and would also need to be addressed as part of the deferral process. </w:t>
      </w:r>
    </w:p>
    <w:p w:rsidR="00484924" w:rsidRPr="00F45764" w:rsidRDefault="00484924" w:rsidP="00454DC1">
      <w:pPr>
        <w:pStyle w:val="ListParagraph"/>
        <w:numPr>
          <w:ilvl w:val="1"/>
          <w:numId w:val="20"/>
        </w:numPr>
        <w:spacing w:after="120"/>
        <w:ind w:left="709" w:hanging="709"/>
        <w:rPr>
          <w:rFonts w:asciiTheme="minorHAnsi" w:hAnsiTheme="minorHAnsi"/>
          <w:bCs/>
          <w:lang w:val="en-GB"/>
        </w:rPr>
      </w:pPr>
      <w:r w:rsidRPr="00F45764">
        <w:rPr>
          <w:rFonts w:asciiTheme="minorHAnsi" w:hAnsiTheme="minorHAnsi"/>
          <w:bCs/>
          <w:lang w:val="en-GB"/>
        </w:rPr>
        <w:t>The PBAC consider</w:t>
      </w:r>
      <w:r>
        <w:rPr>
          <w:rFonts w:asciiTheme="minorHAnsi" w:hAnsiTheme="minorHAnsi"/>
          <w:bCs/>
          <w:lang w:val="en-GB"/>
        </w:rPr>
        <w:t>ed</w:t>
      </w:r>
      <w:r w:rsidRPr="00F45764">
        <w:rPr>
          <w:rFonts w:asciiTheme="minorHAnsi" w:hAnsiTheme="minorHAnsi"/>
          <w:bCs/>
          <w:lang w:val="en-GB"/>
        </w:rPr>
        <w:t xml:space="preserve"> that the </w:t>
      </w:r>
      <w:r w:rsidR="00063220">
        <w:rPr>
          <w:rFonts w:asciiTheme="minorHAnsi" w:hAnsiTheme="minorHAnsi"/>
          <w:bCs/>
          <w:lang w:val="en-GB"/>
        </w:rPr>
        <w:t>resubmission</w:t>
      </w:r>
      <w:r w:rsidRPr="00F45764">
        <w:rPr>
          <w:rFonts w:asciiTheme="minorHAnsi" w:hAnsiTheme="minorHAnsi"/>
          <w:bCs/>
          <w:lang w:val="en-GB"/>
        </w:rPr>
        <w:t xml:space="preserve">’s approach of splitting the patient population into </w:t>
      </w:r>
      <w:r>
        <w:rPr>
          <w:rFonts w:asciiTheme="minorHAnsi" w:hAnsiTheme="minorHAnsi"/>
          <w:bCs/>
          <w:lang w:val="en-GB"/>
        </w:rPr>
        <w:t xml:space="preserve">those with </w:t>
      </w:r>
      <w:r w:rsidRPr="00F45764">
        <w:rPr>
          <w:rFonts w:asciiTheme="minorHAnsi" w:hAnsiTheme="minorHAnsi"/>
          <w:bCs/>
          <w:lang w:val="en-GB"/>
        </w:rPr>
        <w:t>poorly-controlled</w:t>
      </w:r>
      <w:r>
        <w:rPr>
          <w:rFonts w:asciiTheme="minorHAnsi" w:hAnsiTheme="minorHAnsi"/>
          <w:bCs/>
          <w:lang w:val="en-GB"/>
        </w:rPr>
        <w:t xml:space="preserve"> and</w:t>
      </w:r>
      <w:r w:rsidRPr="00F45764">
        <w:rPr>
          <w:rFonts w:asciiTheme="minorHAnsi" w:hAnsiTheme="minorHAnsi"/>
          <w:bCs/>
          <w:lang w:val="en-GB"/>
        </w:rPr>
        <w:t xml:space="preserve"> </w:t>
      </w:r>
      <w:r w:rsidR="00956928">
        <w:rPr>
          <w:rFonts w:asciiTheme="minorHAnsi" w:hAnsiTheme="minorHAnsi"/>
          <w:bCs/>
          <w:lang w:val="en-GB"/>
        </w:rPr>
        <w:t xml:space="preserve">those with </w:t>
      </w:r>
      <w:r w:rsidRPr="00F45764">
        <w:rPr>
          <w:rFonts w:asciiTheme="minorHAnsi" w:hAnsiTheme="minorHAnsi"/>
          <w:bCs/>
          <w:lang w:val="en-GB"/>
        </w:rPr>
        <w:t xml:space="preserve">well-controlled </w:t>
      </w:r>
      <w:r w:rsidR="003E13DE">
        <w:rPr>
          <w:rFonts w:asciiTheme="minorHAnsi" w:hAnsiTheme="minorHAnsi"/>
          <w:bCs/>
          <w:lang w:val="en-GB"/>
        </w:rPr>
        <w:t xml:space="preserve">blood </w:t>
      </w:r>
      <w:r>
        <w:rPr>
          <w:rFonts w:asciiTheme="minorHAnsi" w:hAnsiTheme="minorHAnsi"/>
          <w:bCs/>
          <w:lang w:val="en-GB"/>
        </w:rPr>
        <w:t xml:space="preserve">Phe levels </w:t>
      </w:r>
      <w:r w:rsidR="00956928">
        <w:rPr>
          <w:rFonts w:asciiTheme="minorHAnsi" w:hAnsiTheme="minorHAnsi"/>
          <w:bCs/>
          <w:lang w:val="en-GB"/>
        </w:rPr>
        <w:t>(</w:t>
      </w:r>
      <w:r w:rsidR="00FD16AF">
        <w:rPr>
          <w:rFonts w:asciiTheme="minorHAnsi" w:hAnsiTheme="minorHAnsi"/>
          <w:bCs/>
          <w:lang w:val="en-GB"/>
        </w:rPr>
        <w:t>for the purpose of nominating differential comparators</w:t>
      </w:r>
      <w:r w:rsidR="00956928">
        <w:rPr>
          <w:rFonts w:asciiTheme="minorHAnsi" w:hAnsiTheme="minorHAnsi"/>
          <w:bCs/>
          <w:lang w:val="en-GB"/>
        </w:rPr>
        <w:t>,</w:t>
      </w:r>
      <w:r w:rsidR="00FD16AF">
        <w:rPr>
          <w:rFonts w:asciiTheme="minorHAnsi" w:hAnsiTheme="minorHAnsi"/>
          <w:bCs/>
          <w:lang w:val="en-GB"/>
        </w:rPr>
        <w:t xml:space="preserve"> outcomes</w:t>
      </w:r>
      <w:r w:rsidR="00956928">
        <w:rPr>
          <w:rFonts w:asciiTheme="minorHAnsi" w:hAnsiTheme="minorHAnsi"/>
          <w:bCs/>
          <w:lang w:val="en-GB"/>
        </w:rPr>
        <w:t xml:space="preserve"> and economic models)</w:t>
      </w:r>
      <w:r w:rsidR="00FD16AF">
        <w:rPr>
          <w:rFonts w:asciiTheme="minorHAnsi" w:hAnsiTheme="minorHAnsi"/>
          <w:bCs/>
          <w:lang w:val="en-GB"/>
        </w:rPr>
        <w:t xml:space="preserve"> </w:t>
      </w:r>
      <w:r>
        <w:rPr>
          <w:rFonts w:asciiTheme="minorHAnsi" w:hAnsiTheme="minorHAnsi"/>
          <w:bCs/>
          <w:lang w:val="en-GB"/>
        </w:rPr>
        <w:t>was not</w:t>
      </w:r>
      <w:r w:rsidRPr="00F45764">
        <w:rPr>
          <w:rFonts w:asciiTheme="minorHAnsi" w:hAnsiTheme="minorHAnsi"/>
          <w:bCs/>
          <w:lang w:val="en-GB"/>
        </w:rPr>
        <w:t xml:space="preserve"> informative</w:t>
      </w:r>
      <w:r>
        <w:rPr>
          <w:rFonts w:asciiTheme="minorHAnsi" w:hAnsiTheme="minorHAnsi"/>
          <w:bCs/>
          <w:lang w:val="en-GB"/>
        </w:rPr>
        <w:t xml:space="preserve"> because these were not two distinct sub-populations</w:t>
      </w:r>
      <w:r w:rsidRPr="00F45764">
        <w:rPr>
          <w:rFonts w:asciiTheme="minorHAnsi" w:hAnsiTheme="minorHAnsi"/>
          <w:bCs/>
          <w:lang w:val="en-GB"/>
        </w:rPr>
        <w:t xml:space="preserve">. </w:t>
      </w:r>
    </w:p>
    <w:p w:rsidR="00911853" w:rsidRPr="00911853" w:rsidRDefault="00DF39B9" w:rsidP="00454DC1">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 xml:space="preserve">The PBAC considered that the </w:t>
      </w:r>
      <w:r w:rsidR="00911853" w:rsidRPr="00911853">
        <w:rPr>
          <w:rFonts w:asciiTheme="minorHAnsi" w:hAnsiTheme="minorHAnsi"/>
          <w:bCs/>
          <w:lang w:val="en-GB"/>
        </w:rPr>
        <w:t xml:space="preserve">claim </w:t>
      </w:r>
      <w:r w:rsidR="00484924">
        <w:rPr>
          <w:rFonts w:asciiTheme="minorHAnsi" w:hAnsiTheme="minorHAnsi"/>
          <w:bCs/>
          <w:lang w:val="en-GB"/>
        </w:rPr>
        <w:t xml:space="preserve">of superior comparative effectiveness versus either a relaxed or strict Phe-restricted diet was reasonable. </w:t>
      </w:r>
    </w:p>
    <w:p w:rsidR="00DF39B9" w:rsidRPr="00DF39B9" w:rsidRDefault="00DF39B9" w:rsidP="00454DC1">
      <w:pPr>
        <w:pStyle w:val="ListParagraph"/>
        <w:numPr>
          <w:ilvl w:val="1"/>
          <w:numId w:val="20"/>
        </w:numPr>
        <w:spacing w:after="120"/>
        <w:ind w:left="709" w:hanging="709"/>
        <w:rPr>
          <w:rFonts w:asciiTheme="minorHAnsi" w:hAnsiTheme="minorHAnsi"/>
          <w:bCs/>
          <w:lang w:val="en-GB"/>
        </w:rPr>
      </w:pPr>
      <w:r w:rsidRPr="00DF39B9">
        <w:rPr>
          <w:rFonts w:asciiTheme="minorHAnsi" w:hAnsiTheme="minorHAnsi"/>
          <w:bCs/>
          <w:lang w:val="en-GB"/>
        </w:rPr>
        <w:t>The PBAC considered that the claim of non-inferior comparative safety was reasonable.</w:t>
      </w:r>
    </w:p>
    <w:p w:rsidR="001025EA" w:rsidRDefault="0036248F" w:rsidP="001C0343">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 xml:space="preserve">The PBAC considered that the </w:t>
      </w:r>
      <w:r w:rsidRPr="00C71A91">
        <w:rPr>
          <w:rFonts w:asciiTheme="minorHAnsi" w:hAnsiTheme="minorHAnsi"/>
          <w:bCs/>
          <w:lang w:val="en-GB"/>
        </w:rPr>
        <w:t>ICER was</w:t>
      </w:r>
      <w:r w:rsidR="005F3F24" w:rsidRPr="00C71A91">
        <w:rPr>
          <w:rFonts w:asciiTheme="minorHAnsi" w:hAnsiTheme="minorHAnsi"/>
          <w:bCs/>
          <w:lang w:val="en-GB"/>
        </w:rPr>
        <w:t xml:space="preserve"> unreliable as it was based on: </w:t>
      </w:r>
    </w:p>
    <w:p w:rsidR="001025EA" w:rsidRPr="001025EA" w:rsidRDefault="005F3F24" w:rsidP="001025EA">
      <w:pPr>
        <w:pStyle w:val="ListParagraph"/>
        <w:numPr>
          <w:ilvl w:val="1"/>
          <w:numId w:val="47"/>
        </w:numPr>
        <w:spacing w:after="120"/>
        <w:ind w:left="1134" w:hanging="283"/>
        <w:rPr>
          <w:rFonts w:asciiTheme="minorHAnsi" w:hAnsiTheme="minorHAnsi"/>
          <w:bCs/>
          <w:lang w:val="en-GB"/>
        </w:rPr>
      </w:pPr>
      <w:r w:rsidRPr="001025EA">
        <w:rPr>
          <w:rFonts w:asciiTheme="minorHAnsi" w:hAnsiTheme="minorHAnsi"/>
          <w:bCs/>
          <w:lang w:val="en-GB"/>
        </w:rPr>
        <w:t>utility weights that lacked face validity</w:t>
      </w:r>
      <w:r w:rsidR="001025EA">
        <w:rPr>
          <w:rFonts w:asciiTheme="minorHAnsi" w:hAnsiTheme="minorHAnsi"/>
          <w:bCs/>
          <w:lang w:val="en-GB"/>
        </w:rPr>
        <w:t>. In particular, the PBAC considered that t</w:t>
      </w:r>
      <w:r w:rsidR="001C0343" w:rsidRPr="001025EA">
        <w:rPr>
          <w:rFonts w:asciiTheme="minorHAnsi" w:hAnsiTheme="minorHAnsi"/>
          <w:bCs/>
          <w:lang w:val="en-GB"/>
        </w:rPr>
        <w:t>he use of the same utilities for both adults and children was not clinically plausible</w:t>
      </w:r>
      <w:r w:rsidR="001025EA">
        <w:rPr>
          <w:rFonts w:asciiTheme="minorHAnsi" w:hAnsiTheme="minorHAnsi"/>
          <w:bCs/>
          <w:lang w:val="en-GB"/>
        </w:rPr>
        <w:t>, as the</w:t>
      </w:r>
      <w:r w:rsidR="001025EA" w:rsidRPr="001025EA">
        <w:rPr>
          <w:rFonts w:asciiTheme="minorHAnsi" w:hAnsiTheme="minorHAnsi"/>
          <w:bCs/>
          <w:lang w:val="en-GB"/>
        </w:rPr>
        <w:t xml:space="preserve"> potential health impacts of uncontrolled PKU are more severe in children;</w:t>
      </w:r>
    </w:p>
    <w:p w:rsidR="001025EA" w:rsidRDefault="005F3F24" w:rsidP="001025EA">
      <w:pPr>
        <w:pStyle w:val="ListParagraph"/>
        <w:numPr>
          <w:ilvl w:val="1"/>
          <w:numId w:val="47"/>
        </w:numPr>
        <w:spacing w:after="120"/>
        <w:ind w:left="1134" w:hanging="283"/>
        <w:rPr>
          <w:rFonts w:asciiTheme="minorHAnsi" w:hAnsiTheme="minorHAnsi"/>
          <w:bCs/>
          <w:lang w:val="en-GB"/>
        </w:rPr>
      </w:pPr>
      <w:r w:rsidRPr="00C71A91">
        <w:rPr>
          <w:rFonts w:asciiTheme="minorHAnsi" w:hAnsiTheme="minorHAnsi"/>
          <w:bCs/>
          <w:lang w:val="en-GB"/>
        </w:rPr>
        <w:t>weighting the ICER between two sub-group</w:t>
      </w:r>
      <w:r w:rsidR="00052D78" w:rsidRPr="00C71A91">
        <w:rPr>
          <w:rFonts w:asciiTheme="minorHAnsi" w:hAnsiTheme="minorHAnsi"/>
          <w:bCs/>
          <w:lang w:val="en-GB"/>
        </w:rPr>
        <w:t>s</w:t>
      </w:r>
      <w:r w:rsidRPr="00C71A91">
        <w:rPr>
          <w:rFonts w:asciiTheme="minorHAnsi" w:hAnsiTheme="minorHAnsi"/>
          <w:bCs/>
          <w:lang w:val="en-GB"/>
        </w:rPr>
        <w:t xml:space="preserve"> (those with </w:t>
      </w:r>
      <w:r w:rsidRPr="00454DC1">
        <w:rPr>
          <w:rFonts w:asciiTheme="minorHAnsi" w:hAnsiTheme="minorHAnsi"/>
          <w:bCs/>
          <w:lang w:val="en-GB"/>
        </w:rPr>
        <w:t>poorly-controlled and well-controlled Phe levels)</w:t>
      </w:r>
      <w:r w:rsidRPr="00C71A91">
        <w:rPr>
          <w:rFonts w:asciiTheme="minorHAnsi" w:hAnsiTheme="minorHAnsi"/>
          <w:bCs/>
          <w:lang w:val="en-GB"/>
        </w:rPr>
        <w:t xml:space="preserve"> which was not reasonable as patients would </w:t>
      </w:r>
      <w:r w:rsidR="0034352E">
        <w:rPr>
          <w:rFonts w:asciiTheme="minorHAnsi" w:hAnsiTheme="minorHAnsi"/>
          <w:bCs/>
          <w:lang w:val="en-GB"/>
        </w:rPr>
        <w:t>c</w:t>
      </w:r>
      <w:r w:rsidRPr="00C71A91">
        <w:rPr>
          <w:rFonts w:asciiTheme="minorHAnsi" w:hAnsiTheme="minorHAnsi"/>
          <w:bCs/>
          <w:lang w:val="en-GB"/>
        </w:rPr>
        <w:t xml:space="preserve">ycle between </w:t>
      </w:r>
      <w:r w:rsidR="0034352E">
        <w:rPr>
          <w:rFonts w:asciiTheme="minorHAnsi" w:hAnsiTheme="minorHAnsi"/>
          <w:bCs/>
          <w:lang w:val="en-GB"/>
        </w:rPr>
        <w:t>the two sub-</w:t>
      </w:r>
      <w:r w:rsidRPr="00C71A91">
        <w:rPr>
          <w:rFonts w:asciiTheme="minorHAnsi" w:hAnsiTheme="minorHAnsi"/>
          <w:bCs/>
          <w:lang w:val="en-GB"/>
        </w:rPr>
        <w:t>groups over</w:t>
      </w:r>
      <w:r w:rsidRPr="005F3F24">
        <w:rPr>
          <w:rFonts w:asciiTheme="minorHAnsi" w:hAnsiTheme="minorHAnsi"/>
          <w:bCs/>
          <w:lang w:val="en-GB"/>
        </w:rPr>
        <w:t xml:space="preserve"> time</w:t>
      </w:r>
      <w:r w:rsidRPr="00454DC1">
        <w:rPr>
          <w:rFonts w:asciiTheme="minorHAnsi" w:hAnsiTheme="minorHAnsi"/>
          <w:bCs/>
          <w:lang w:val="en-GB"/>
        </w:rPr>
        <w:t xml:space="preserve">; </w:t>
      </w:r>
      <w:r w:rsidR="00052D78" w:rsidRPr="00454DC1">
        <w:rPr>
          <w:rFonts w:asciiTheme="minorHAnsi" w:hAnsiTheme="minorHAnsi"/>
          <w:bCs/>
          <w:lang w:val="en-GB"/>
        </w:rPr>
        <w:t xml:space="preserve">and </w:t>
      </w:r>
    </w:p>
    <w:p w:rsidR="00052D78" w:rsidRPr="00052D78" w:rsidRDefault="005F3F24" w:rsidP="001025EA">
      <w:pPr>
        <w:pStyle w:val="ListParagraph"/>
        <w:numPr>
          <w:ilvl w:val="1"/>
          <w:numId w:val="47"/>
        </w:numPr>
        <w:spacing w:after="120"/>
        <w:ind w:left="1134" w:hanging="283"/>
        <w:rPr>
          <w:rFonts w:asciiTheme="minorHAnsi" w:hAnsiTheme="minorHAnsi"/>
          <w:bCs/>
          <w:lang w:val="en-GB"/>
        </w:rPr>
      </w:pPr>
      <w:r w:rsidRPr="00454DC1">
        <w:rPr>
          <w:rFonts w:asciiTheme="minorHAnsi" w:hAnsiTheme="minorHAnsi"/>
          <w:bCs/>
          <w:lang w:val="en-GB"/>
        </w:rPr>
        <w:t>epidemiological data that w</w:t>
      </w:r>
      <w:r w:rsidR="00052D78" w:rsidRPr="00454DC1">
        <w:rPr>
          <w:rFonts w:asciiTheme="minorHAnsi" w:hAnsiTheme="minorHAnsi"/>
          <w:bCs/>
          <w:lang w:val="en-GB"/>
        </w:rPr>
        <w:t>ere</w:t>
      </w:r>
      <w:r w:rsidRPr="00454DC1">
        <w:rPr>
          <w:rFonts w:asciiTheme="minorHAnsi" w:hAnsiTheme="minorHAnsi"/>
          <w:bCs/>
          <w:lang w:val="en-GB"/>
        </w:rPr>
        <w:t xml:space="preserve"> not applicable to the Australian population</w:t>
      </w:r>
      <w:r w:rsidR="001025EA">
        <w:rPr>
          <w:rFonts w:asciiTheme="minorHAnsi" w:hAnsiTheme="minorHAnsi"/>
          <w:bCs/>
          <w:lang w:val="en-GB"/>
        </w:rPr>
        <w:t xml:space="preserve">. For example, the PBAC noted that data informing the </w:t>
      </w:r>
      <w:r w:rsidR="001025EA">
        <w:rPr>
          <w:rStyle w:val="CommentReference"/>
          <w:rFonts w:ascii="Calibri" w:hAnsi="Calibri"/>
          <w:b w:val="0"/>
          <w:sz w:val="24"/>
          <w:szCs w:val="22"/>
        </w:rPr>
        <w:t>18 years and over age group in the economic model was based on young adults only</w:t>
      </w:r>
      <w:r w:rsidRPr="00454DC1">
        <w:rPr>
          <w:rFonts w:asciiTheme="minorHAnsi" w:hAnsiTheme="minorHAnsi"/>
          <w:bCs/>
          <w:lang w:val="en-GB"/>
        </w:rPr>
        <w:t xml:space="preserve">. </w:t>
      </w:r>
    </w:p>
    <w:p w:rsidR="00F71A5A" w:rsidRPr="00F71A5A" w:rsidRDefault="00F71A5A" w:rsidP="00F71A5A">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T</w:t>
      </w:r>
      <w:r w:rsidRPr="00454DC1">
        <w:rPr>
          <w:rFonts w:asciiTheme="minorHAnsi" w:hAnsiTheme="minorHAnsi"/>
          <w:bCs/>
          <w:lang w:val="en-GB"/>
        </w:rPr>
        <w:t xml:space="preserve">he PBAC considered that the resulting ICER </w:t>
      </w:r>
      <w:r>
        <w:rPr>
          <w:rFonts w:asciiTheme="minorHAnsi" w:hAnsiTheme="minorHAnsi"/>
          <w:bCs/>
          <w:lang w:val="en-GB"/>
        </w:rPr>
        <w:t>for</w:t>
      </w:r>
      <w:r w:rsidRPr="00454DC1">
        <w:rPr>
          <w:rFonts w:asciiTheme="minorHAnsi" w:hAnsiTheme="minorHAnsi"/>
          <w:bCs/>
          <w:lang w:val="en-GB"/>
        </w:rPr>
        <w:t xml:space="preserve"> patients aged 18 years and over</w:t>
      </w:r>
      <w:r>
        <w:rPr>
          <w:rFonts w:asciiTheme="minorHAnsi" w:hAnsiTheme="minorHAnsi"/>
          <w:bCs/>
          <w:lang w:val="en-GB"/>
        </w:rPr>
        <w:t>, of</w:t>
      </w:r>
      <w:r w:rsidRPr="00454DC1">
        <w:rPr>
          <w:rFonts w:asciiTheme="minorHAnsi" w:hAnsiTheme="minorHAnsi"/>
          <w:bCs/>
          <w:lang w:val="en-GB"/>
        </w:rPr>
        <w:t xml:space="preserve"> </w:t>
      </w:r>
      <w:r w:rsidR="00F401B7">
        <w:rPr>
          <w:rFonts w:asciiTheme="minorHAnsi" w:hAnsiTheme="minorHAnsi"/>
          <w:bCs/>
          <w:lang w:val="en-GB"/>
        </w:rPr>
        <w:t>more than $200,000/QALY</w:t>
      </w:r>
      <w:r>
        <w:rPr>
          <w:rFonts w:asciiTheme="minorHAnsi" w:hAnsiTheme="minorHAnsi"/>
          <w:bCs/>
          <w:lang w:val="en-GB"/>
        </w:rPr>
        <w:t>,</w:t>
      </w:r>
      <w:r w:rsidRPr="00454DC1">
        <w:rPr>
          <w:rFonts w:asciiTheme="minorHAnsi" w:hAnsiTheme="minorHAnsi"/>
          <w:bCs/>
          <w:lang w:val="en-GB"/>
        </w:rPr>
        <w:t xml:space="preserve"> was unacceptably high. The PBAC </w:t>
      </w:r>
      <w:r>
        <w:rPr>
          <w:rFonts w:asciiTheme="minorHAnsi" w:hAnsiTheme="minorHAnsi"/>
          <w:bCs/>
          <w:lang w:val="en-GB"/>
        </w:rPr>
        <w:t xml:space="preserve">noted the </w:t>
      </w:r>
      <w:r w:rsidRPr="00454DC1">
        <w:rPr>
          <w:rFonts w:asciiTheme="minorHAnsi" w:hAnsiTheme="minorHAnsi"/>
          <w:bCs/>
          <w:lang w:val="en-GB"/>
        </w:rPr>
        <w:t>ICER</w:t>
      </w:r>
      <w:r>
        <w:rPr>
          <w:rFonts w:asciiTheme="minorHAnsi" w:hAnsiTheme="minorHAnsi"/>
          <w:bCs/>
          <w:lang w:val="en-GB"/>
        </w:rPr>
        <w:t>s</w:t>
      </w:r>
      <w:r w:rsidRPr="00454DC1">
        <w:rPr>
          <w:rFonts w:asciiTheme="minorHAnsi" w:hAnsiTheme="minorHAnsi"/>
          <w:bCs/>
          <w:lang w:val="en-GB"/>
        </w:rPr>
        <w:t xml:space="preserve"> </w:t>
      </w:r>
      <w:r>
        <w:rPr>
          <w:rFonts w:asciiTheme="minorHAnsi" w:hAnsiTheme="minorHAnsi"/>
          <w:bCs/>
          <w:lang w:val="en-GB"/>
        </w:rPr>
        <w:t xml:space="preserve">for patients </w:t>
      </w:r>
      <w:r w:rsidRPr="00454DC1">
        <w:rPr>
          <w:rFonts w:asciiTheme="minorHAnsi" w:hAnsiTheme="minorHAnsi"/>
          <w:bCs/>
          <w:lang w:val="en-GB"/>
        </w:rPr>
        <w:t>under 18 years of age</w:t>
      </w:r>
      <w:r>
        <w:rPr>
          <w:rFonts w:asciiTheme="minorHAnsi" w:hAnsiTheme="minorHAnsi"/>
          <w:bCs/>
          <w:lang w:val="en-GB"/>
        </w:rPr>
        <w:t xml:space="preserve"> were </w:t>
      </w:r>
      <w:r w:rsidR="001617F4">
        <w:rPr>
          <w:rFonts w:asciiTheme="minorHAnsi" w:hAnsiTheme="minorHAnsi"/>
          <w:bCs/>
          <w:lang w:val="en-GB"/>
        </w:rPr>
        <w:t xml:space="preserve">generally </w:t>
      </w:r>
      <w:r>
        <w:rPr>
          <w:rFonts w:asciiTheme="minorHAnsi" w:hAnsiTheme="minorHAnsi"/>
          <w:bCs/>
          <w:lang w:val="en-GB"/>
        </w:rPr>
        <w:t>lower</w:t>
      </w:r>
      <w:r w:rsidRPr="00454DC1">
        <w:rPr>
          <w:rFonts w:asciiTheme="minorHAnsi" w:hAnsiTheme="minorHAnsi"/>
          <w:bCs/>
          <w:lang w:val="en-GB"/>
        </w:rPr>
        <w:t xml:space="preserve"> (start</w:t>
      </w:r>
      <w:r w:rsidR="001617F4">
        <w:rPr>
          <w:rFonts w:asciiTheme="minorHAnsi" w:hAnsiTheme="minorHAnsi"/>
          <w:bCs/>
          <w:lang w:val="en-GB"/>
        </w:rPr>
        <w:t>ing</w:t>
      </w:r>
      <w:r w:rsidRPr="00454DC1">
        <w:rPr>
          <w:rFonts w:asciiTheme="minorHAnsi" w:hAnsiTheme="minorHAnsi"/>
          <w:bCs/>
          <w:lang w:val="en-GB"/>
        </w:rPr>
        <w:t xml:space="preserve"> at </w:t>
      </w:r>
      <w:r w:rsidR="00F401B7">
        <w:rPr>
          <w:rFonts w:asciiTheme="minorHAnsi" w:hAnsiTheme="minorHAnsi"/>
          <w:bCs/>
          <w:lang w:val="en-GB"/>
        </w:rPr>
        <w:t>$45,000/QALY - $75,000/QALY</w:t>
      </w:r>
      <w:r w:rsidRPr="00454DC1">
        <w:rPr>
          <w:rFonts w:asciiTheme="minorHAnsi" w:hAnsiTheme="minorHAnsi"/>
          <w:bCs/>
          <w:lang w:val="en-GB"/>
        </w:rPr>
        <w:t xml:space="preserve"> in patients aged</w:t>
      </w:r>
      <w:r w:rsidRPr="00F71A5A">
        <w:rPr>
          <w:rFonts w:asciiTheme="minorHAnsi" w:hAnsiTheme="minorHAnsi"/>
          <w:bCs/>
          <w:lang w:val="en-GB"/>
        </w:rPr>
        <w:t xml:space="preserve"> zero)</w:t>
      </w:r>
      <w:r w:rsidR="001617F4">
        <w:rPr>
          <w:rFonts w:asciiTheme="minorHAnsi" w:hAnsiTheme="minorHAnsi"/>
          <w:bCs/>
          <w:lang w:val="en-GB"/>
        </w:rPr>
        <w:t xml:space="preserve">. While the PBAC considered that the ICERs were high in </w:t>
      </w:r>
      <w:r w:rsidR="00E64249">
        <w:rPr>
          <w:rFonts w:asciiTheme="minorHAnsi" w:hAnsiTheme="minorHAnsi"/>
          <w:bCs/>
          <w:lang w:val="en-GB"/>
        </w:rPr>
        <w:t>children and adolescents</w:t>
      </w:r>
      <w:r w:rsidR="0028525E">
        <w:rPr>
          <w:rFonts w:asciiTheme="minorHAnsi" w:hAnsiTheme="minorHAnsi"/>
          <w:bCs/>
          <w:lang w:val="en-GB"/>
        </w:rPr>
        <w:t xml:space="preserve">, </w:t>
      </w:r>
      <w:r w:rsidR="00E64249">
        <w:rPr>
          <w:rFonts w:asciiTheme="minorHAnsi" w:hAnsiTheme="minorHAnsi"/>
          <w:bCs/>
          <w:lang w:val="en-GB"/>
        </w:rPr>
        <w:t>t</w:t>
      </w:r>
      <w:r w:rsidR="00E64249" w:rsidRPr="00F71A5A">
        <w:rPr>
          <w:rFonts w:asciiTheme="minorHAnsi" w:hAnsiTheme="minorHAnsi"/>
          <w:bCs/>
          <w:lang w:val="en-GB"/>
        </w:rPr>
        <w:t xml:space="preserve">he </w:t>
      </w:r>
      <w:r w:rsidR="00E64249">
        <w:rPr>
          <w:rFonts w:asciiTheme="minorHAnsi" w:hAnsiTheme="minorHAnsi"/>
          <w:bCs/>
          <w:lang w:val="en-GB"/>
        </w:rPr>
        <w:t>Committee</w:t>
      </w:r>
      <w:r w:rsidR="00E64249" w:rsidRPr="00F71A5A">
        <w:rPr>
          <w:rFonts w:asciiTheme="minorHAnsi" w:hAnsiTheme="minorHAnsi"/>
          <w:bCs/>
          <w:lang w:val="en-GB"/>
        </w:rPr>
        <w:t xml:space="preserve"> </w:t>
      </w:r>
      <w:r w:rsidR="00E64249">
        <w:rPr>
          <w:rFonts w:asciiTheme="minorHAnsi" w:hAnsiTheme="minorHAnsi"/>
          <w:bCs/>
          <w:lang w:val="en-GB"/>
        </w:rPr>
        <w:t xml:space="preserve">considered that </w:t>
      </w:r>
      <w:r w:rsidR="00E64249" w:rsidRPr="00F71A5A">
        <w:rPr>
          <w:rFonts w:asciiTheme="minorHAnsi" w:hAnsiTheme="minorHAnsi"/>
          <w:bCs/>
          <w:lang w:val="en-GB"/>
        </w:rPr>
        <w:t>the clinically significant outcomes in younger patients may not have been fully captured in the economic evaluation.</w:t>
      </w:r>
      <w:r w:rsidR="00E64249">
        <w:rPr>
          <w:rFonts w:asciiTheme="minorHAnsi" w:hAnsiTheme="minorHAnsi"/>
          <w:bCs/>
          <w:lang w:val="en-GB"/>
        </w:rPr>
        <w:t xml:space="preserve"> </w:t>
      </w:r>
    </w:p>
    <w:p w:rsidR="00EB6499" w:rsidRDefault="00EB6499" w:rsidP="00454DC1">
      <w:pPr>
        <w:pStyle w:val="ListParagraph"/>
        <w:numPr>
          <w:ilvl w:val="1"/>
          <w:numId w:val="20"/>
        </w:numPr>
        <w:spacing w:after="120"/>
        <w:ind w:left="709" w:hanging="709"/>
        <w:rPr>
          <w:rFonts w:asciiTheme="minorHAnsi" w:hAnsiTheme="minorHAnsi"/>
          <w:bCs/>
          <w:lang w:val="en-GB"/>
        </w:rPr>
      </w:pPr>
      <w:r w:rsidRPr="00F45764">
        <w:rPr>
          <w:rFonts w:asciiTheme="minorHAnsi" w:hAnsiTheme="minorHAnsi"/>
          <w:bCs/>
          <w:lang w:val="en-GB"/>
        </w:rPr>
        <w:t xml:space="preserve">The PBAC considered that an RSA would be required </w:t>
      </w:r>
      <w:r w:rsidR="00911E95">
        <w:rPr>
          <w:rFonts w:asciiTheme="minorHAnsi" w:hAnsiTheme="minorHAnsi"/>
          <w:bCs/>
          <w:lang w:val="en-GB"/>
        </w:rPr>
        <w:t>to manage the high and uncertain cost-effectiveness and the uncertain patient population</w:t>
      </w:r>
      <w:r w:rsidR="0034352E">
        <w:rPr>
          <w:rFonts w:asciiTheme="minorHAnsi" w:hAnsiTheme="minorHAnsi"/>
          <w:bCs/>
          <w:lang w:val="en-GB"/>
        </w:rPr>
        <w:t xml:space="preserve">. The PBAC </w:t>
      </w:r>
      <w:r w:rsidR="005723E5">
        <w:rPr>
          <w:rFonts w:asciiTheme="minorHAnsi" w:hAnsiTheme="minorHAnsi"/>
          <w:bCs/>
          <w:lang w:val="en-GB"/>
        </w:rPr>
        <w:t xml:space="preserve">considered that the RSA should include </w:t>
      </w:r>
      <w:r w:rsidR="00911E95">
        <w:rPr>
          <w:rFonts w:asciiTheme="minorHAnsi" w:hAnsiTheme="minorHAnsi"/>
          <w:bCs/>
          <w:lang w:val="en-GB"/>
        </w:rPr>
        <w:t>100% rebates for expenditure beyond th</w:t>
      </w:r>
      <w:r w:rsidR="005723E5">
        <w:rPr>
          <w:rFonts w:asciiTheme="minorHAnsi" w:hAnsiTheme="minorHAnsi"/>
          <w:bCs/>
          <w:lang w:val="en-GB"/>
        </w:rPr>
        <w:t>e</w:t>
      </w:r>
      <w:r w:rsidR="00911E95">
        <w:rPr>
          <w:rFonts w:asciiTheme="minorHAnsi" w:hAnsiTheme="minorHAnsi"/>
          <w:bCs/>
          <w:lang w:val="en-GB"/>
        </w:rPr>
        <w:t xml:space="preserve"> cap. </w:t>
      </w:r>
    </w:p>
    <w:p w:rsidR="00D66CC1" w:rsidRDefault="00D66CC1" w:rsidP="00454DC1">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 xml:space="preserve">The PBAC noted that the financial estimates </w:t>
      </w:r>
      <w:r w:rsidR="007402B5">
        <w:rPr>
          <w:rFonts w:asciiTheme="minorHAnsi" w:hAnsiTheme="minorHAnsi"/>
          <w:bCs/>
          <w:lang w:val="en-GB"/>
        </w:rPr>
        <w:t>largely depend</w:t>
      </w:r>
      <w:r w:rsidR="00AA0021">
        <w:rPr>
          <w:rFonts w:asciiTheme="minorHAnsi" w:hAnsiTheme="minorHAnsi"/>
          <w:bCs/>
          <w:lang w:val="en-GB"/>
        </w:rPr>
        <w:t>ed</w:t>
      </w:r>
      <w:r>
        <w:rPr>
          <w:rFonts w:asciiTheme="minorHAnsi" w:hAnsiTheme="minorHAnsi"/>
          <w:bCs/>
          <w:lang w:val="en-GB"/>
        </w:rPr>
        <w:t xml:space="preserve"> on the proportion of patients identified as being responsive to sapropterin. The PBAC considered that these proportions may </w:t>
      </w:r>
      <w:r w:rsidR="00954290">
        <w:rPr>
          <w:rFonts w:asciiTheme="minorHAnsi" w:hAnsiTheme="minorHAnsi"/>
          <w:bCs/>
          <w:lang w:val="en-GB"/>
        </w:rPr>
        <w:t xml:space="preserve">need to be updated based on </w:t>
      </w:r>
      <w:r>
        <w:rPr>
          <w:rFonts w:asciiTheme="minorHAnsi" w:hAnsiTheme="minorHAnsi"/>
          <w:bCs/>
          <w:lang w:val="en-GB"/>
        </w:rPr>
        <w:t>further deliberations regarding the processes for initial responsiveness testing.</w:t>
      </w:r>
    </w:p>
    <w:p w:rsidR="007402B5" w:rsidRPr="00F45764" w:rsidRDefault="007402B5" w:rsidP="007D2DED">
      <w:pPr>
        <w:pStyle w:val="ListParagraph"/>
        <w:numPr>
          <w:ilvl w:val="1"/>
          <w:numId w:val="20"/>
        </w:numPr>
        <w:spacing w:after="120"/>
        <w:ind w:left="709" w:hanging="709"/>
        <w:rPr>
          <w:rFonts w:asciiTheme="minorHAnsi" w:hAnsiTheme="minorHAnsi"/>
          <w:bCs/>
          <w:lang w:val="en-GB"/>
        </w:rPr>
      </w:pPr>
      <w:r>
        <w:rPr>
          <w:rFonts w:asciiTheme="minorHAnsi" w:hAnsiTheme="minorHAnsi"/>
          <w:bCs/>
          <w:lang w:val="en-GB"/>
        </w:rPr>
        <w:t xml:space="preserve">The PBAC </w:t>
      </w:r>
      <w:r w:rsidR="00AA0021">
        <w:rPr>
          <w:rFonts w:asciiTheme="minorHAnsi" w:hAnsiTheme="minorHAnsi"/>
          <w:bCs/>
          <w:lang w:val="en-GB"/>
        </w:rPr>
        <w:t xml:space="preserve">also noted that the financial estimates were based on utilisation in patients up to 51 years of age, and considered these would need to be updated to reflect commencement in </w:t>
      </w:r>
      <w:r w:rsidR="00AA0021" w:rsidRPr="00AA0021">
        <w:rPr>
          <w:rFonts w:asciiTheme="minorHAnsi" w:hAnsiTheme="minorHAnsi"/>
          <w:bCs/>
          <w:lang w:val="en-GB"/>
        </w:rPr>
        <w:t xml:space="preserve">children and adolescents </w:t>
      </w:r>
      <w:r w:rsidR="00AA0021">
        <w:rPr>
          <w:rFonts w:asciiTheme="minorHAnsi" w:hAnsiTheme="minorHAnsi"/>
          <w:bCs/>
          <w:lang w:val="en-GB"/>
        </w:rPr>
        <w:t xml:space="preserve">only. The PBAC also considered that: </w:t>
      </w:r>
      <w:r w:rsidR="007D2DED">
        <w:rPr>
          <w:rFonts w:asciiTheme="minorHAnsi" w:hAnsiTheme="minorHAnsi"/>
          <w:bCs/>
          <w:lang w:val="en-GB"/>
        </w:rPr>
        <w:t xml:space="preserve">the eligible population may be overestimated due to </w:t>
      </w:r>
      <w:r w:rsidR="007D2DED" w:rsidRPr="007D2DED">
        <w:rPr>
          <w:rFonts w:asciiTheme="minorHAnsi" w:hAnsiTheme="minorHAnsi"/>
          <w:bCs/>
          <w:lang w:val="en-GB"/>
        </w:rPr>
        <w:t>inconsistencies between the clinical guidelines and the criteria used to determine the eligible population</w:t>
      </w:r>
      <w:r w:rsidR="007D2DED">
        <w:rPr>
          <w:rFonts w:asciiTheme="minorHAnsi" w:hAnsiTheme="minorHAnsi"/>
          <w:bCs/>
          <w:lang w:val="en-GB"/>
        </w:rPr>
        <w:t xml:space="preserve">; the </w:t>
      </w:r>
      <w:r w:rsidR="00AA0021">
        <w:rPr>
          <w:rFonts w:asciiTheme="minorHAnsi" w:hAnsiTheme="minorHAnsi"/>
          <w:bCs/>
          <w:lang w:val="en-GB"/>
        </w:rPr>
        <w:t xml:space="preserve">uptake and compliance rates </w:t>
      </w:r>
      <w:r w:rsidR="007D2DED">
        <w:rPr>
          <w:rFonts w:asciiTheme="minorHAnsi" w:hAnsiTheme="minorHAnsi"/>
          <w:bCs/>
          <w:lang w:val="en-GB"/>
        </w:rPr>
        <w:t>were underestimated</w:t>
      </w:r>
      <w:r w:rsidR="00AA0021">
        <w:rPr>
          <w:rFonts w:asciiTheme="minorHAnsi" w:hAnsiTheme="minorHAnsi"/>
          <w:bCs/>
          <w:lang w:val="en-GB"/>
        </w:rPr>
        <w:t>;</w:t>
      </w:r>
      <w:r w:rsidR="007D2DED">
        <w:rPr>
          <w:rFonts w:asciiTheme="minorHAnsi" w:hAnsiTheme="minorHAnsi"/>
          <w:bCs/>
          <w:lang w:val="en-GB"/>
        </w:rPr>
        <w:t xml:space="preserve"> and</w:t>
      </w:r>
      <w:r w:rsidR="00E64249">
        <w:rPr>
          <w:rFonts w:asciiTheme="minorHAnsi" w:hAnsiTheme="minorHAnsi"/>
          <w:bCs/>
          <w:lang w:val="en-GB"/>
        </w:rPr>
        <w:t xml:space="preserve"> that the </w:t>
      </w:r>
      <w:r w:rsidR="00063220">
        <w:rPr>
          <w:rFonts w:asciiTheme="minorHAnsi" w:hAnsiTheme="minorHAnsi"/>
          <w:bCs/>
          <w:lang w:val="en-GB"/>
        </w:rPr>
        <w:t>resubmission</w:t>
      </w:r>
      <w:r w:rsidR="00AA0021">
        <w:rPr>
          <w:rFonts w:asciiTheme="minorHAnsi" w:hAnsiTheme="minorHAnsi"/>
          <w:bCs/>
          <w:lang w:val="en-GB"/>
        </w:rPr>
        <w:t>’s rounding of doses was inappropriate</w:t>
      </w:r>
      <w:r w:rsidRPr="007402B5">
        <w:rPr>
          <w:rFonts w:asciiTheme="minorHAnsi" w:hAnsiTheme="minorHAnsi"/>
          <w:bCs/>
          <w:lang w:val="en-GB"/>
        </w:rPr>
        <w:t xml:space="preserve"> </w:t>
      </w:r>
      <w:r w:rsidR="00AA0021">
        <w:rPr>
          <w:rFonts w:asciiTheme="minorHAnsi" w:hAnsiTheme="minorHAnsi"/>
          <w:bCs/>
          <w:lang w:val="en-GB"/>
        </w:rPr>
        <w:t xml:space="preserve">(as outlined in Paragraph 6.68). </w:t>
      </w:r>
      <w:r>
        <w:rPr>
          <w:rFonts w:asciiTheme="minorHAnsi" w:hAnsiTheme="minorHAnsi"/>
          <w:bCs/>
          <w:lang w:val="en-GB"/>
        </w:rPr>
        <w:t xml:space="preserve"> </w:t>
      </w:r>
    </w:p>
    <w:p w:rsidR="00911853" w:rsidRPr="00956928" w:rsidRDefault="00FD16AF" w:rsidP="007D2DED">
      <w:pPr>
        <w:pStyle w:val="ListParagraph"/>
        <w:numPr>
          <w:ilvl w:val="1"/>
          <w:numId w:val="20"/>
        </w:numPr>
        <w:spacing w:after="120"/>
        <w:ind w:left="709" w:hanging="709"/>
        <w:rPr>
          <w:rFonts w:asciiTheme="minorHAnsi" w:hAnsiTheme="minorHAnsi"/>
          <w:bCs/>
          <w:lang w:val="en-GB"/>
        </w:rPr>
      </w:pPr>
      <w:r w:rsidRPr="00956928">
        <w:rPr>
          <w:rFonts w:asciiTheme="minorHAnsi" w:hAnsiTheme="minorHAnsi"/>
          <w:bCs/>
          <w:lang w:val="en-GB"/>
        </w:rPr>
        <w:t xml:space="preserve">In deferring making its decision on whether to list sapropterin for the treatment of PKU, the PBAC considered the following issues would need to be addressed: </w:t>
      </w:r>
      <w:r w:rsidR="00D66CC1" w:rsidRPr="00D66CC1">
        <w:rPr>
          <w:rFonts w:asciiTheme="minorHAnsi" w:hAnsiTheme="minorHAnsi"/>
          <w:bCs/>
          <w:lang w:val="en-GB"/>
        </w:rPr>
        <w:t xml:space="preserve">further </w:t>
      </w:r>
      <w:r w:rsidR="007402B5">
        <w:rPr>
          <w:rFonts w:asciiTheme="minorHAnsi" w:hAnsiTheme="minorHAnsi"/>
          <w:bCs/>
          <w:lang w:val="en-GB"/>
        </w:rPr>
        <w:t>advice</w:t>
      </w:r>
      <w:r w:rsidR="00D66CC1" w:rsidRPr="00D66CC1">
        <w:rPr>
          <w:rFonts w:asciiTheme="minorHAnsi" w:hAnsiTheme="minorHAnsi"/>
          <w:bCs/>
          <w:lang w:val="en-GB"/>
        </w:rPr>
        <w:t xml:space="preserve"> </w:t>
      </w:r>
      <w:r w:rsidR="00D66CC1">
        <w:rPr>
          <w:rFonts w:asciiTheme="minorHAnsi" w:hAnsiTheme="minorHAnsi"/>
          <w:bCs/>
          <w:lang w:val="en-GB"/>
        </w:rPr>
        <w:t xml:space="preserve">was required </w:t>
      </w:r>
      <w:r w:rsidR="00D66CC1" w:rsidRPr="00D66CC1">
        <w:rPr>
          <w:rFonts w:asciiTheme="minorHAnsi" w:hAnsiTheme="minorHAnsi"/>
          <w:bCs/>
          <w:lang w:val="en-GB"/>
        </w:rPr>
        <w:t>regarding the age level of patients who would benefit most from sapropterin therapy</w:t>
      </w:r>
      <w:r w:rsidR="00911E95">
        <w:rPr>
          <w:rFonts w:asciiTheme="minorHAnsi" w:hAnsiTheme="minorHAnsi"/>
          <w:bCs/>
          <w:lang w:val="en-GB"/>
        </w:rPr>
        <w:t>;</w:t>
      </w:r>
      <w:r w:rsidR="00956928" w:rsidRPr="00956928">
        <w:rPr>
          <w:rFonts w:asciiTheme="minorHAnsi" w:hAnsiTheme="minorHAnsi"/>
          <w:bCs/>
          <w:lang w:val="en-GB"/>
        </w:rPr>
        <w:t xml:space="preserve"> </w:t>
      </w:r>
      <w:r w:rsidR="00911E95">
        <w:rPr>
          <w:rFonts w:asciiTheme="minorHAnsi" w:hAnsiTheme="minorHAnsi"/>
          <w:bCs/>
          <w:lang w:val="en-GB"/>
        </w:rPr>
        <w:t>further</w:t>
      </w:r>
      <w:r w:rsidR="00956928" w:rsidRPr="00956928">
        <w:rPr>
          <w:rFonts w:asciiTheme="minorHAnsi" w:hAnsiTheme="minorHAnsi"/>
          <w:bCs/>
          <w:lang w:val="en-GB"/>
        </w:rPr>
        <w:t xml:space="preserve"> evidence </w:t>
      </w:r>
      <w:r w:rsidR="0034352E">
        <w:rPr>
          <w:rFonts w:asciiTheme="minorHAnsi" w:hAnsiTheme="minorHAnsi"/>
          <w:bCs/>
          <w:lang w:val="en-GB"/>
        </w:rPr>
        <w:t xml:space="preserve">was </w:t>
      </w:r>
      <w:r w:rsidR="000C178D">
        <w:rPr>
          <w:rFonts w:asciiTheme="minorHAnsi" w:hAnsiTheme="minorHAnsi"/>
          <w:bCs/>
          <w:lang w:val="en-GB"/>
        </w:rPr>
        <w:t>required regarding</w:t>
      </w:r>
      <w:r w:rsidR="00D66CC1">
        <w:rPr>
          <w:rFonts w:asciiTheme="minorHAnsi" w:hAnsiTheme="minorHAnsi"/>
          <w:bCs/>
          <w:lang w:val="en-GB"/>
        </w:rPr>
        <w:t xml:space="preserve"> </w:t>
      </w:r>
      <w:r w:rsidR="007402B5">
        <w:rPr>
          <w:rFonts w:asciiTheme="minorHAnsi" w:hAnsiTheme="minorHAnsi"/>
          <w:bCs/>
          <w:lang w:val="en-GB"/>
        </w:rPr>
        <w:t>responsiveness testing</w:t>
      </w:r>
      <w:r w:rsidR="00911E95">
        <w:rPr>
          <w:rFonts w:asciiTheme="minorHAnsi" w:hAnsiTheme="minorHAnsi"/>
          <w:bCs/>
          <w:lang w:val="en-GB"/>
        </w:rPr>
        <w:t xml:space="preserve">; </w:t>
      </w:r>
      <w:r w:rsidR="005723E5">
        <w:rPr>
          <w:rFonts w:asciiTheme="minorHAnsi" w:hAnsiTheme="minorHAnsi"/>
          <w:bCs/>
          <w:lang w:val="en-GB"/>
        </w:rPr>
        <w:t xml:space="preserve">an updated ICER; </w:t>
      </w:r>
      <w:r w:rsidR="00911E95">
        <w:rPr>
          <w:rFonts w:asciiTheme="minorHAnsi" w:hAnsiTheme="minorHAnsi"/>
          <w:bCs/>
          <w:lang w:val="en-GB"/>
        </w:rPr>
        <w:t xml:space="preserve">and </w:t>
      </w:r>
      <w:r w:rsidR="0034352E">
        <w:rPr>
          <w:rFonts w:asciiTheme="minorHAnsi" w:hAnsiTheme="minorHAnsi"/>
          <w:bCs/>
          <w:lang w:val="en-GB"/>
        </w:rPr>
        <w:t>a</w:t>
      </w:r>
      <w:r w:rsidR="000C178D">
        <w:rPr>
          <w:rFonts w:asciiTheme="minorHAnsi" w:hAnsiTheme="minorHAnsi"/>
          <w:bCs/>
          <w:lang w:val="en-GB"/>
        </w:rPr>
        <w:t xml:space="preserve"> revised</w:t>
      </w:r>
      <w:r w:rsidR="0034352E">
        <w:rPr>
          <w:rFonts w:asciiTheme="minorHAnsi" w:hAnsiTheme="minorHAnsi"/>
          <w:bCs/>
          <w:lang w:val="en-GB"/>
        </w:rPr>
        <w:t xml:space="preserve"> R</w:t>
      </w:r>
      <w:r w:rsidR="00911E95">
        <w:rPr>
          <w:rFonts w:asciiTheme="minorHAnsi" w:hAnsiTheme="minorHAnsi"/>
          <w:bCs/>
          <w:lang w:val="en-GB"/>
        </w:rPr>
        <w:t>SA</w:t>
      </w:r>
      <w:r w:rsidR="0034352E">
        <w:rPr>
          <w:rFonts w:asciiTheme="minorHAnsi" w:hAnsiTheme="minorHAnsi"/>
          <w:bCs/>
          <w:lang w:val="en-GB"/>
        </w:rPr>
        <w:t xml:space="preserve"> </w:t>
      </w:r>
      <w:r w:rsidR="000C178D">
        <w:rPr>
          <w:rFonts w:asciiTheme="minorHAnsi" w:hAnsiTheme="minorHAnsi"/>
          <w:bCs/>
          <w:lang w:val="en-GB"/>
        </w:rPr>
        <w:t>was required</w:t>
      </w:r>
      <w:r w:rsidR="007D2DED">
        <w:rPr>
          <w:rFonts w:asciiTheme="minorHAnsi" w:hAnsiTheme="minorHAnsi"/>
          <w:bCs/>
          <w:lang w:val="en-GB"/>
        </w:rPr>
        <w:t xml:space="preserve"> based on updated financial estimates</w:t>
      </w:r>
      <w:r w:rsidR="00911E95">
        <w:rPr>
          <w:rFonts w:asciiTheme="minorHAnsi" w:hAnsiTheme="minorHAnsi"/>
          <w:bCs/>
          <w:lang w:val="en-GB"/>
        </w:rPr>
        <w:t>.</w:t>
      </w:r>
      <w:r w:rsidR="00911853" w:rsidRPr="00956928">
        <w:rPr>
          <w:rFonts w:asciiTheme="minorHAnsi" w:hAnsiTheme="minorHAnsi"/>
          <w:bCs/>
          <w:lang w:val="en-GB"/>
        </w:rPr>
        <w:t xml:space="preserve"> </w:t>
      </w:r>
    </w:p>
    <w:p w:rsidR="00C71A91" w:rsidRPr="00C71A91" w:rsidRDefault="00C71A91" w:rsidP="00D66CC1">
      <w:pPr>
        <w:pStyle w:val="ListParagraph"/>
        <w:numPr>
          <w:ilvl w:val="1"/>
          <w:numId w:val="20"/>
        </w:numPr>
        <w:spacing w:after="120"/>
        <w:ind w:left="709" w:hanging="709"/>
        <w:rPr>
          <w:rFonts w:asciiTheme="minorHAnsi" w:hAnsiTheme="minorHAnsi"/>
          <w:bCs/>
          <w:lang w:val="en-GB"/>
        </w:rPr>
      </w:pPr>
      <w:r w:rsidRPr="00C71A91">
        <w:rPr>
          <w:rFonts w:asciiTheme="minorHAnsi" w:hAnsiTheme="minorHAnsi"/>
          <w:bCs/>
          <w:lang w:val="en-GB"/>
        </w:rPr>
        <w:t xml:space="preserve">The PBAC noted that this </w:t>
      </w:r>
      <w:r w:rsidR="00063220">
        <w:rPr>
          <w:rFonts w:asciiTheme="minorHAnsi" w:hAnsiTheme="minorHAnsi"/>
          <w:bCs/>
          <w:lang w:val="en-GB"/>
        </w:rPr>
        <w:t>resubmission</w:t>
      </w:r>
      <w:r w:rsidRPr="00C71A91">
        <w:rPr>
          <w:rFonts w:asciiTheme="minorHAnsi" w:hAnsiTheme="minorHAnsi"/>
          <w:bCs/>
          <w:lang w:val="en-GB"/>
        </w:rPr>
        <w:t xml:space="preserve"> is not eligible for an Independent Review as it has been deferred.</w:t>
      </w:r>
    </w:p>
    <w:p w:rsidR="00EB3BE5" w:rsidRPr="00C71A91" w:rsidRDefault="00EB3BE5" w:rsidP="00EB3BE5">
      <w:pPr>
        <w:spacing w:before="240"/>
        <w:rPr>
          <w:rFonts w:asciiTheme="minorHAnsi" w:hAnsiTheme="minorHAnsi"/>
          <w:b/>
          <w:bCs/>
          <w:lang w:val="en-GB"/>
        </w:rPr>
      </w:pPr>
      <w:r w:rsidRPr="00C71A91">
        <w:rPr>
          <w:rFonts w:asciiTheme="minorHAnsi" w:hAnsiTheme="minorHAnsi"/>
          <w:b/>
          <w:bCs/>
          <w:lang w:val="en-GB"/>
        </w:rPr>
        <w:t>Outcome:</w:t>
      </w:r>
    </w:p>
    <w:p w:rsidR="00EB3BE5" w:rsidRDefault="00EB3BE5" w:rsidP="00EB3BE5">
      <w:pPr>
        <w:rPr>
          <w:rFonts w:asciiTheme="minorHAnsi" w:hAnsiTheme="minorHAnsi"/>
          <w:bCs/>
          <w:lang w:val="en-GB"/>
        </w:rPr>
      </w:pPr>
      <w:r w:rsidRPr="00C71A91">
        <w:rPr>
          <w:rFonts w:asciiTheme="minorHAnsi" w:hAnsiTheme="minorHAnsi"/>
          <w:bCs/>
          <w:lang w:val="en-GB"/>
        </w:rPr>
        <w:t xml:space="preserve">Deferred </w:t>
      </w:r>
    </w:p>
    <w:p w:rsidR="00D5134B" w:rsidRPr="00777DFF" w:rsidRDefault="00D5134B" w:rsidP="00777DFF">
      <w:pPr>
        <w:pStyle w:val="PBACHeading1"/>
        <w:spacing w:before="240" w:after="120"/>
        <w:rPr>
          <w:rFonts w:eastAsiaTheme="minorHAnsi"/>
        </w:rPr>
      </w:pPr>
      <w:r w:rsidRPr="00777DFF">
        <w:rPr>
          <w:rFonts w:eastAsiaTheme="minorHAnsi"/>
        </w:rPr>
        <w:t>Context for Decision</w:t>
      </w:r>
    </w:p>
    <w:p w:rsidR="00D5134B" w:rsidRPr="00D5134B" w:rsidRDefault="00D5134B" w:rsidP="00214C15">
      <w:pPr>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5134B" w:rsidRPr="00D5134B" w:rsidRDefault="00D5134B" w:rsidP="00D5134B">
      <w:pPr>
        <w:pStyle w:val="PBACHeading1"/>
        <w:spacing w:before="120" w:after="120"/>
        <w:rPr>
          <w:rFonts w:asciiTheme="minorHAnsi" w:eastAsiaTheme="minorHAnsi" w:hAnsiTheme="minorHAnsi" w:cstheme="minorBidi"/>
        </w:rPr>
      </w:pPr>
      <w:r w:rsidRPr="00D5134B">
        <w:rPr>
          <w:rFonts w:asciiTheme="minorHAnsi" w:eastAsiaTheme="minorHAnsi" w:hAnsiTheme="minorHAnsi" w:cstheme="minorBidi"/>
        </w:rPr>
        <w:t xml:space="preserve"> Sponsor’s Comment</w:t>
      </w:r>
    </w:p>
    <w:p w:rsidR="00A34C88" w:rsidRPr="00986D60" w:rsidRDefault="00214C15" w:rsidP="00CB318C">
      <w:pPr>
        <w:pStyle w:val="BodyText"/>
      </w:pPr>
      <w:r w:rsidRPr="00214C15">
        <w:rPr>
          <w:rFonts w:asciiTheme="minorHAnsi" w:eastAsiaTheme="minorHAnsi" w:hAnsiTheme="minorHAnsi"/>
          <w:bCs/>
          <w:lang w:val="en-GB"/>
        </w:rPr>
        <w:t>BioMarin would like to recognise the input received from patients, families and health professionals. BioMarin would also like to thank the PBAC for its consideration of PKU, a rare disease affecting about 1 in 15,000 newborns in Australia. BioMarin looks forward to continuing to work with the PBAC and Department of Health to improve access to innovative medicines for patients with PKU.</w:t>
      </w:r>
    </w:p>
    <w:p w:rsidR="0022527D" w:rsidRPr="00986D60" w:rsidRDefault="0022527D" w:rsidP="00C1479D">
      <w:pPr>
        <w:spacing w:after="120"/>
      </w:pPr>
    </w:p>
    <w:sectPr w:rsidR="0022527D" w:rsidRPr="00986D60" w:rsidSect="00E21358">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775B0A" w15:done="0"/>
  <w15:commentEx w15:paraId="19658A75" w15:done="0"/>
  <w15:commentEx w15:paraId="47487B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75B0A" w16cid:durableId="1E2E922E"/>
  <w16cid:commentId w16cid:paraId="47487BA5" w16cid:durableId="1E2E8F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EC" w:rsidRDefault="006A61EC" w:rsidP="00124A51">
      <w:r>
        <w:separator/>
      </w:r>
    </w:p>
    <w:p w:rsidR="006A61EC" w:rsidRDefault="006A61EC"/>
  </w:endnote>
  <w:endnote w:type="continuationSeparator" w:id="0">
    <w:p w:rsidR="006A61EC" w:rsidRDefault="006A61EC" w:rsidP="00124A51">
      <w:r>
        <w:continuationSeparator/>
      </w:r>
    </w:p>
    <w:p w:rsidR="006A61EC" w:rsidRDefault="006A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EE" w:rsidRDefault="00862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929599"/>
      <w:docPartObj>
        <w:docPartGallery w:val="Page Numbers (Bottom of Page)"/>
        <w:docPartUnique/>
      </w:docPartObj>
    </w:sdtPr>
    <w:sdtEndPr>
      <w:rPr>
        <w:b/>
        <w:noProof/>
      </w:rPr>
    </w:sdtEndPr>
    <w:sdtContent>
      <w:p w:rsidR="008622EE" w:rsidRPr="00986D60" w:rsidRDefault="008622EE">
        <w:pPr>
          <w:pStyle w:val="Footer"/>
          <w:jc w:val="center"/>
          <w:rPr>
            <w:b/>
          </w:rPr>
        </w:pPr>
        <w:r w:rsidRPr="00986D60">
          <w:rPr>
            <w:b/>
          </w:rPr>
          <w:fldChar w:fldCharType="begin"/>
        </w:r>
        <w:r w:rsidRPr="00986D60">
          <w:rPr>
            <w:b/>
          </w:rPr>
          <w:instrText xml:space="preserve"> PAGE   \* MERGEFORMAT </w:instrText>
        </w:r>
        <w:r w:rsidRPr="00986D60">
          <w:rPr>
            <w:b/>
          </w:rPr>
          <w:fldChar w:fldCharType="separate"/>
        </w:r>
        <w:r w:rsidR="006A61EC">
          <w:rPr>
            <w:b/>
            <w:noProof/>
          </w:rPr>
          <w:t>2</w:t>
        </w:r>
        <w:r w:rsidRPr="00986D60">
          <w:rPr>
            <w:b/>
            <w:noProof/>
          </w:rPr>
          <w:fldChar w:fldCharType="end"/>
        </w:r>
      </w:p>
    </w:sdtContent>
  </w:sdt>
  <w:p w:rsidR="008622EE" w:rsidRDefault="00862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EE" w:rsidRDefault="00862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EC" w:rsidRDefault="006A61EC" w:rsidP="00124A51">
      <w:r>
        <w:separator/>
      </w:r>
    </w:p>
    <w:p w:rsidR="006A61EC" w:rsidRDefault="006A61EC"/>
  </w:footnote>
  <w:footnote w:type="continuationSeparator" w:id="0">
    <w:p w:rsidR="006A61EC" w:rsidRDefault="006A61EC" w:rsidP="00124A51">
      <w:r>
        <w:continuationSeparator/>
      </w:r>
    </w:p>
    <w:p w:rsidR="006A61EC" w:rsidRDefault="006A61EC"/>
  </w:footnote>
  <w:footnote w:id="1">
    <w:p w:rsidR="008622EE" w:rsidRPr="00777DFF" w:rsidRDefault="008622EE" w:rsidP="005556AE">
      <w:pPr>
        <w:pStyle w:val="FootnoteText"/>
        <w:rPr>
          <w:sz w:val="18"/>
          <w:szCs w:val="18"/>
        </w:rPr>
      </w:pPr>
      <w:r>
        <w:rPr>
          <w:rStyle w:val="FootnoteReference"/>
        </w:rPr>
        <w:footnoteRef/>
      </w:r>
      <w:r>
        <w:t xml:space="preserve"> </w:t>
      </w:r>
      <w:r w:rsidRPr="005556AE">
        <w:rPr>
          <w:rFonts w:ascii="Arial Narrow" w:hAnsi="Arial Narrow"/>
        </w:rPr>
        <w:t xml:space="preserve">Lachmann, R. (2011). Sapropterin Hydrochloride: Enzyme Enhancement Therapy for Phenylketonuria. Therapeutic </w:t>
      </w:r>
      <w:r w:rsidRPr="00777DFF">
        <w:rPr>
          <w:rFonts w:ascii="Arial Narrow" w:hAnsi="Arial Narrow"/>
          <w:sz w:val="18"/>
          <w:szCs w:val="18"/>
        </w:rPr>
        <w:t>Advances in Endocrinology and Metabolism, 2(3), 127–133. Accessed 8 February 2018 at https://www.ncbi.nlm.nih.gov/pmc/articles/PMC3474634/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EE" w:rsidRDefault="00862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EE" w:rsidRDefault="008622EE" w:rsidP="00986D60">
    <w:pPr>
      <w:tabs>
        <w:tab w:val="left" w:pos="142"/>
        <w:tab w:val="right" w:pos="9027"/>
      </w:tabs>
      <w:jc w:val="center"/>
      <w:rPr>
        <w:i/>
        <w:szCs w:val="24"/>
      </w:rPr>
    </w:pPr>
    <w:r>
      <w:rPr>
        <w:i/>
        <w:szCs w:val="24"/>
      </w:rPr>
      <w:t>Public Summary Document – March 2018 PBAC Meeting</w:t>
    </w:r>
  </w:p>
  <w:p w:rsidR="008622EE" w:rsidRDefault="008622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EE" w:rsidRDefault="00862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E62EF6"/>
    <w:multiLevelType w:val="hybridMultilevel"/>
    <w:tmpl w:val="217E513C"/>
    <w:lvl w:ilvl="0" w:tplc="8156535A">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16B2A"/>
    <w:multiLevelType w:val="hybridMultilevel"/>
    <w:tmpl w:val="F1F002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152193"/>
    <w:multiLevelType w:val="hybridMultilevel"/>
    <w:tmpl w:val="96CC81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8B18CE"/>
    <w:multiLevelType w:val="multilevel"/>
    <w:tmpl w:val="B4ACDE16"/>
    <w:lvl w:ilvl="0">
      <w:start w:val="5"/>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
    <w:nsid w:val="16B145F4"/>
    <w:multiLevelType w:val="multilevel"/>
    <w:tmpl w:val="EDE276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831421C"/>
    <w:multiLevelType w:val="multilevel"/>
    <w:tmpl w:val="CD524E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C0464"/>
    <w:multiLevelType w:val="multilevel"/>
    <w:tmpl w:val="EB163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906F1A"/>
    <w:multiLevelType w:val="hybridMultilevel"/>
    <w:tmpl w:val="11AAF660"/>
    <w:lvl w:ilvl="0" w:tplc="020849F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A913DD"/>
    <w:multiLevelType w:val="hybridMultilevel"/>
    <w:tmpl w:val="CC1E177A"/>
    <w:lvl w:ilvl="0" w:tplc="6DCA51A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123421E"/>
    <w:multiLevelType w:val="hybridMultilevel"/>
    <w:tmpl w:val="7B7A756A"/>
    <w:lvl w:ilvl="0" w:tplc="0C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3F081A"/>
    <w:multiLevelType w:val="multilevel"/>
    <w:tmpl w:val="DE3055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606B71"/>
    <w:multiLevelType w:val="hybridMultilevel"/>
    <w:tmpl w:val="46A461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69E0E07"/>
    <w:multiLevelType w:val="hybridMultilevel"/>
    <w:tmpl w:val="A9BAF9BC"/>
    <w:lvl w:ilvl="0" w:tplc="6DCA51A0">
      <w:start w:val="1"/>
      <w:numFmt w:val="lowerLetter"/>
      <w:lvlText w:val="%1)"/>
      <w:lvlJc w:val="left"/>
      <w:pPr>
        <w:ind w:left="1080" w:hanging="360"/>
      </w:pPr>
      <w:rPr>
        <w:rFonts w:hint="default"/>
      </w:r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78778CA"/>
    <w:multiLevelType w:val="hybridMultilevel"/>
    <w:tmpl w:val="599AC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7C34E2"/>
    <w:multiLevelType w:val="hybridMultilevel"/>
    <w:tmpl w:val="3F88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EF60D1"/>
    <w:multiLevelType w:val="multilevel"/>
    <w:tmpl w:val="C4DA6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3E7E82"/>
    <w:multiLevelType w:val="multilevel"/>
    <w:tmpl w:val="0B9230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F85BB9"/>
    <w:multiLevelType w:val="hybridMultilevel"/>
    <w:tmpl w:val="4476EE4E"/>
    <w:lvl w:ilvl="0" w:tplc="114A811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60051"/>
    <w:multiLevelType w:val="hybridMultilevel"/>
    <w:tmpl w:val="C90A04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2A2E88"/>
    <w:multiLevelType w:val="multilevel"/>
    <w:tmpl w:val="1B46C1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596DB4"/>
    <w:multiLevelType w:val="multilevel"/>
    <w:tmpl w:val="9F260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4B4F87"/>
    <w:multiLevelType w:val="hybridMultilevel"/>
    <w:tmpl w:val="63D2C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6A1DBF"/>
    <w:multiLevelType w:val="multilevel"/>
    <w:tmpl w:val="CA76CE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845800"/>
    <w:multiLevelType w:val="hybridMultilevel"/>
    <w:tmpl w:val="CE18F262"/>
    <w:lvl w:ilvl="0" w:tplc="51D2686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2C5AD1"/>
    <w:multiLevelType w:val="hybridMultilevel"/>
    <w:tmpl w:val="9892A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580ED2"/>
    <w:multiLevelType w:val="hybridMultilevel"/>
    <w:tmpl w:val="3178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F107AC"/>
    <w:multiLevelType w:val="hybridMultilevel"/>
    <w:tmpl w:val="12D62260"/>
    <w:lvl w:ilvl="0" w:tplc="23E2E54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8DFEF4E4"/>
    <w:lvl w:ilvl="0">
      <w:start w:val="1"/>
      <w:numFmt w:val="decimal"/>
      <w:pStyle w:val="PBACHeading1"/>
      <w:lvlText w:val="%1"/>
      <w:lvlJc w:val="left"/>
      <w:pPr>
        <w:ind w:left="720" w:hanging="720"/>
      </w:pPr>
      <w:rPr>
        <w:rFonts w:hint="default"/>
        <w:b/>
      </w:rPr>
    </w:lvl>
    <w:lvl w:ilvl="1">
      <w:start w:val="1"/>
      <w:numFmt w:val="decimal"/>
      <w:lvlText w:val="%2.1"/>
      <w:lvlJc w:val="left"/>
      <w:pPr>
        <w:ind w:left="720" w:hanging="720"/>
      </w:pPr>
      <w:rPr>
        <w:rFonts w:hint="default"/>
        <w:i w:val="0"/>
      </w:rPr>
    </w:lvl>
    <w:lvl w:ilvl="2">
      <w:start w:val="1"/>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BDF61C4"/>
    <w:multiLevelType w:val="hybridMultilevel"/>
    <w:tmpl w:val="BC5C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AF007F"/>
    <w:multiLevelType w:val="hybridMultilevel"/>
    <w:tmpl w:val="0F545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1"/>
  </w:num>
  <w:num w:numId="3">
    <w:abstractNumId w:val="34"/>
  </w:num>
  <w:num w:numId="4">
    <w:abstractNumId w:val="16"/>
  </w:num>
  <w:num w:numId="5">
    <w:abstractNumId w:val="25"/>
  </w:num>
  <w:num w:numId="6">
    <w:abstractNumId w:val="22"/>
  </w:num>
  <w:num w:numId="7">
    <w:abstractNumId w:val="20"/>
  </w:num>
  <w:num w:numId="8">
    <w:abstractNumId w:val="33"/>
  </w:num>
  <w:num w:numId="9">
    <w:abstractNumId w:val="23"/>
  </w:num>
  <w:num w:numId="10">
    <w:abstractNumId w:val="18"/>
  </w:num>
  <w:num w:numId="11">
    <w:abstractNumId w:val="24"/>
  </w:num>
  <w:num w:numId="12">
    <w:abstractNumId w:val="5"/>
  </w:num>
  <w:num w:numId="13">
    <w:abstractNumId w:val="28"/>
  </w:num>
  <w:num w:numId="14">
    <w:abstractNumId w:val="8"/>
  </w:num>
  <w:num w:numId="15">
    <w:abstractNumId w:val="14"/>
  </w:num>
  <w:num w:numId="16">
    <w:abstractNumId w:val="3"/>
  </w:num>
  <w:num w:numId="17">
    <w:abstractNumId w:val="31"/>
  </w:num>
  <w:num w:numId="18">
    <w:abstractNumId w:val="29"/>
  </w:num>
  <w:num w:numId="19">
    <w:abstractNumId w:val="7"/>
  </w:num>
  <w:num w:numId="20">
    <w:abstractNumId w:val="13"/>
  </w:num>
  <w:num w:numId="21">
    <w:abstractNumId w:val="11"/>
  </w:num>
  <w:num w:numId="22">
    <w:abstractNumId w:val="0"/>
  </w:num>
  <w:num w:numId="23">
    <w:abstractNumId w:val="15"/>
  </w:num>
  <w:num w:numId="24">
    <w:abstractNumId w:val="9"/>
  </w:num>
  <w:num w:numId="25">
    <w:abstractNumId w:val="4"/>
  </w:num>
  <w:num w:numId="26">
    <w:abstractNumId w:val="26"/>
  </w:num>
  <w:num w:numId="27">
    <w:abstractNumId w:val="27"/>
  </w:num>
  <w:num w:numId="28">
    <w:abstractNumId w:val="6"/>
  </w:num>
  <w:num w:numId="29">
    <w:abstractNumId w:val="35"/>
  </w:num>
  <w:num w:numId="30">
    <w:abstractNumId w:val="33"/>
  </w:num>
  <w:num w:numId="31">
    <w:abstractNumId w:val="33"/>
  </w:num>
  <w:num w:numId="32">
    <w:abstractNumId w:val="33"/>
  </w:num>
  <w:num w:numId="33">
    <w:abstractNumId w:val="33"/>
  </w:num>
  <w:num w:numId="34">
    <w:abstractNumId w:val="33"/>
  </w:num>
  <w:num w:numId="35">
    <w:abstractNumId w:val="33"/>
  </w:num>
  <w:num w:numId="36">
    <w:abstractNumId w:val="19"/>
  </w:num>
  <w:num w:numId="37">
    <w:abstractNumId w:val="21"/>
  </w:num>
  <w:num w:numId="38">
    <w:abstractNumId w:val="10"/>
  </w:num>
  <w:num w:numId="39">
    <w:abstractNumId w:val="32"/>
  </w:num>
  <w:num w:numId="40">
    <w:abstractNumId w:val="33"/>
  </w:num>
  <w:num w:numId="41">
    <w:abstractNumId w:val="33"/>
  </w:num>
  <w:num w:numId="42">
    <w:abstractNumId w:val="33"/>
  </w:num>
  <w:num w:numId="43">
    <w:abstractNumId w:val="21"/>
  </w:num>
  <w:num w:numId="44">
    <w:abstractNumId w:val="30"/>
  </w:num>
  <w:num w:numId="45">
    <w:abstractNumId w:val="12"/>
  </w:num>
  <w:num w:numId="46">
    <w:abstractNumId w:val="1"/>
  </w:num>
  <w:num w:numId="47">
    <w:abstractNumId w:val="2"/>
  </w:num>
  <w:num w:numId="48">
    <w:abstractNumId w:val="33"/>
  </w:num>
  <w:num w:numId="49">
    <w:abstractNumId w:val="33"/>
  </w:num>
  <w:num w:numId="50">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Wilson">
    <w15:presenceInfo w15:providerId="Windows Live" w15:userId="240b7366bdefdb51"/>
  </w15:person>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51"/>
    <w:rsid w:val="00000790"/>
    <w:rsid w:val="0000110B"/>
    <w:rsid w:val="00002455"/>
    <w:rsid w:val="00003499"/>
    <w:rsid w:val="000039B7"/>
    <w:rsid w:val="00006511"/>
    <w:rsid w:val="00006F7A"/>
    <w:rsid w:val="0001147C"/>
    <w:rsid w:val="00013247"/>
    <w:rsid w:val="0001345E"/>
    <w:rsid w:val="00013D4D"/>
    <w:rsid w:val="00015886"/>
    <w:rsid w:val="000162EF"/>
    <w:rsid w:val="00016FFC"/>
    <w:rsid w:val="000214F7"/>
    <w:rsid w:val="0002225F"/>
    <w:rsid w:val="00023763"/>
    <w:rsid w:val="000266BC"/>
    <w:rsid w:val="0002763E"/>
    <w:rsid w:val="000315AA"/>
    <w:rsid w:val="000317D0"/>
    <w:rsid w:val="00031A17"/>
    <w:rsid w:val="00032CBA"/>
    <w:rsid w:val="00033863"/>
    <w:rsid w:val="000349C0"/>
    <w:rsid w:val="00035DC0"/>
    <w:rsid w:val="00036829"/>
    <w:rsid w:val="00037B9C"/>
    <w:rsid w:val="00040895"/>
    <w:rsid w:val="000408A5"/>
    <w:rsid w:val="000426A4"/>
    <w:rsid w:val="00043C37"/>
    <w:rsid w:val="000441A6"/>
    <w:rsid w:val="00044291"/>
    <w:rsid w:val="00044705"/>
    <w:rsid w:val="00045017"/>
    <w:rsid w:val="00045A2B"/>
    <w:rsid w:val="0004698F"/>
    <w:rsid w:val="00046F0B"/>
    <w:rsid w:val="00051415"/>
    <w:rsid w:val="00052D78"/>
    <w:rsid w:val="000539D0"/>
    <w:rsid w:val="00054621"/>
    <w:rsid w:val="000546D7"/>
    <w:rsid w:val="0005558B"/>
    <w:rsid w:val="0005688A"/>
    <w:rsid w:val="0006026D"/>
    <w:rsid w:val="00063220"/>
    <w:rsid w:val="00063D9C"/>
    <w:rsid w:val="00065556"/>
    <w:rsid w:val="00066360"/>
    <w:rsid w:val="0006742E"/>
    <w:rsid w:val="00071248"/>
    <w:rsid w:val="000714CE"/>
    <w:rsid w:val="000720B9"/>
    <w:rsid w:val="000737F7"/>
    <w:rsid w:val="00073854"/>
    <w:rsid w:val="00074992"/>
    <w:rsid w:val="0007672F"/>
    <w:rsid w:val="000767D1"/>
    <w:rsid w:val="00077227"/>
    <w:rsid w:val="000774F0"/>
    <w:rsid w:val="00080909"/>
    <w:rsid w:val="000812CA"/>
    <w:rsid w:val="00081B21"/>
    <w:rsid w:val="0008258D"/>
    <w:rsid w:val="00083E99"/>
    <w:rsid w:val="000856C5"/>
    <w:rsid w:val="00085A19"/>
    <w:rsid w:val="00085F1C"/>
    <w:rsid w:val="000867DE"/>
    <w:rsid w:val="00090C7E"/>
    <w:rsid w:val="00092600"/>
    <w:rsid w:val="0009262B"/>
    <w:rsid w:val="00092BB7"/>
    <w:rsid w:val="00093310"/>
    <w:rsid w:val="0009445C"/>
    <w:rsid w:val="000955BB"/>
    <w:rsid w:val="00095FE5"/>
    <w:rsid w:val="00096284"/>
    <w:rsid w:val="00097D9F"/>
    <w:rsid w:val="000A1BC4"/>
    <w:rsid w:val="000A4DCC"/>
    <w:rsid w:val="000A748D"/>
    <w:rsid w:val="000A75EE"/>
    <w:rsid w:val="000A7D08"/>
    <w:rsid w:val="000B0670"/>
    <w:rsid w:val="000B0E75"/>
    <w:rsid w:val="000B1E30"/>
    <w:rsid w:val="000B2256"/>
    <w:rsid w:val="000B280A"/>
    <w:rsid w:val="000B6CAC"/>
    <w:rsid w:val="000B7612"/>
    <w:rsid w:val="000B7DAC"/>
    <w:rsid w:val="000C0F91"/>
    <w:rsid w:val="000C13D2"/>
    <w:rsid w:val="000C178D"/>
    <w:rsid w:val="000C29EF"/>
    <w:rsid w:val="000C2E27"/>
    <w:rsid w:val="000C3DF9"/>
    <w:rsid w:val="000C5491"/>
    <w:rsid w:val="000C6713"/>
    <w:rsid w:val="000C6DB1"/>
    <w:rsid w:val="000C771F"/>
    <w:rsid w:val="000C79FB"/>
    <w:rsid w:val="000D1BFC"/>
    <w:rsid w:val="000D281A"/>
    <w:rsid w:val="000D326A"/>
    <w:rsid w:val="000D51FB"/>
    <w:rsid w:val="000D5391"/>
    <w:rsid w:val="000D61E1"/>
    <w:rsid w:val="000E135D"/>
    <w:rsid w:val="000E2BD7"/>
    <w:rsid w:val="000E5B83"/>
    <w:rsid w:val="000E5D53"/>
    <w:rsid w:val="000E6562"/>
    <w:rsid w:val="000E6644"/>
    <w:rsid w:val="000E6781"/>
    <w:rsid w:val="000F00BA"/>
    <w:rsid w:val="000F00C7"/>
    <w:rsid w:val="000F316A"/>
    <w:rsid w:val="000F3C74"/>
    <w:rsid w:val="000F4BB8"/>
    <w:rsid w:val="000F6E84"/>
    <w:rsid w:val="000F7127"/>
    <w:rsid w:val="000F7165"/>
    <w:rsid w:val="00100F8A"/>
    <w:rsid w:val="001025EA"/>
    <w:rsid w:val="00104AE4"/>
    <w:rsid w:val="00105AE2"/>
    <w:rsid w:val="00106175"/>
    <w:rsid w:val="00106B80"/>
    <w:rsid w:val="0011032E"/>
    <w:rsid w:val="00111BA3"/>
    <w:rsid w:val="0011348B"/>
    <w:rsid w:val="00115982"/>
    <w:rsid w:val="00116C53"/>
    <w:rsid w:val="00121799"/>
    <w:rsid w:val="00121D34"/>
    <w:rsid w:val="001222FC"/>
    <w:rsid w:val="00124A51"/>
    <w:rsid w:val="00126621"/>
    <w:rsid w:val="001301E9"/>
    <w:rsid w:val="00131D82"/>
    <w:rsid w:val="00133D36"/>
    <w:rsid w:val="00137645"/>
    <w:rsid w:val="0014015A"/>
    <w:rsid w:val="001401AC"/>
    <w:rsid w:val="00140E99"/>
    <w:rsid w:val="00142D23"/>
    <w:rsid w:val="00143FDF"/>
    <w:rsid w:val="00145540"/>
    <w:rsid w:val="001456B0"/>
    <w:rsid w:val="001457EE"/>
    <w:rsid w:val="00146180"/>
    <w:rsid w:val="001461E6"/>
    <w:rsid w:val="00150D90"/>
    <w:rsid w:val="00154D4E"/>
    <w:rsid w:val="00157130"/>
    <w:rsid w:val="001576B1"/>
    <w:rsid w:val="00157847"/>
    <w:rsid w:val="00160065"/>
    <w:rsid w:val="00160200"/>
    <w:rsid w:val="00160A4C"/>
    <w:rsid w:val="001617F4"/>
    <w:rsid w:val="00162913"/>
    <w:rsid w:val="00163EFF"/>
    <w:rsid w:val="001653C8"/>
    <w:rsid w:val="001661FB"/>
    <w:rsid w:val="001723AF"/>
    <w:rsid w:val="00173565"/>
    <w:rsid w:val="00173B07"/>
    <w:rsid w:val="001756FD"/>
    <w:rsid w:val="00177B04"/>
    <w:rsid w:val="001817B1"/>
    <w:rsid w:val="00181D9C"/>
    <w:rsid w:val="00186F87"/>
    <w:rsid w:val="0018752F"/>
    <w:rsid w:val="00190C86"/>
    <w:rsid w:val="00191176"/>
    <w:rsid w:val="00191975"/>
    <w:rsid w:val="00194A9D"/>
    <w:rsid w:val="00195222"/>
    <w:rsid w:val="00195962"/>
    <w:rsid w:val="001975D8"/>
    <w:rsid w:val="001A0DBB"/>
    <w:rsid w:val="001A2538"/>
    <w:rsid w:val="001A29B7"/>
    <w:rsid w:val="001A43FA"/>
    <w:rsid w:val="001A59FB"/>
    <w:rsid w:val="001A6354"/>
    <w:rsid w:val="001A762E"/>
    <w:rsid w:val="001A7AE8"/>
    <w:rsid w:val="001B204E"/>
    <w:rsid w:val="001B2AB9"/>
    <w:rsid w:val="001B3443"/>
    <w:rsid w:val="001B4D20"/>
    <w:rsid w:val="001B7B23"/>
    <w:rsid w:val="001C0343"/>
    <w:rsid w:val="001C1CA6"/>
    <w:rsid w:val="001C2231"/>
    <w:rsid w:val="001C2A9B"/>
    <w:rsid w:val="001C3B26"/>
    <w:rsid w:val="001C4299"/>
    <w:rsid w:val="001C49CA"/>
    <w:rsid w:val="001C56DB"/>
    <w:rsid w:val="001C5F94"/>
    <w:rsid w:val="001C6D45"/>
    <w:rsid w:val="001C6E66"/>
    <w:rsid w:val="001C7166"/>
    <w:rsid w:val="001D20C3"/>
    <w:rsid w:val="001D38AC"/>
    <w:rsid w:val="001D4766"/>
    <w:rsid w:val="001D7810"/>
    <w:rsid w:val="001E238E"/>
    <w:rsid w:val="001E2483"/>
    <w:rsid w:val="001E2B1E"/>
    <w:rsid w:val="001E30D4"/>
    <w:rsid w:val="001E511B"/>
    <w:rsid w:val="001E52EB"/>
    <w:rsid w:val="001E6172"/>
    <w:rsid w:val="001E61D2"/>
    <w:rsid w:val="001E740C"/>
    <w:rsid w:val="001E7FAF"/>
    <w:rsid w:val="001F1235"/>
    <w:rsid w:val="001F1CB3"/>
    <w:rsid w:val="001F388A"/>
    <w:rsid w:val="001F38B5"/>
    <w:rsid w:val="001F4BF0"/>
    <w:rsid w:val="001F5FD1"/>
    <w:rsid w:val="001F6FB3"/>
    <w:rsid w:val="001F7361"/>
    <w:rsid w:val="002011B0"/>
    <w:rsid w:val="00203181"/>
    <w:rsid w:val="00203599"/>
    <w:rsid w:val="00203783"/>
    <w:rsid w:val="0020385F"/>
    <w:rsid w:val="00207021"/>
    <w:rsid w:val="0020732F"/>
    <w:rsid w:val="00207D00"/>
    <w:rsid w:val="002105C1"/>
    <w:rsid w:val="00210DCC"/>
    <w:rsid w:val="002139E3"/>
    <w:rsid w:val="00213AE7"/>
    <w:rsid w:val="0021414B"/>
    <w:rsid w:val="00214C15"/>
    <w:rsid w:val="002176A2"/>
    <w:rsid w:val="00217837"/>
    <w:rsid w:val="002202AA"/>
    <w:rsid w:val="002232AC"/>
    <w:rsid w:val="00223B49"/>
    <w:rsid w:val="00224DD4"/>
    <w:rsid w:val="0022527D"/>
    <w:rsid w:val="002254F5"/>
    <w:rsid w:val="0022656A"/>
    <w:rsid w:val="002307A1"/>
    <w:rsid w:val="002309CC"/>
    <w:rsid w:val="00231EAD"/>
    <w:rsid w:val="0023209F"/>
    <w:rsid w:val="002347D3"/>
    <w:rsid w:val="00234EA1"/>
    <w:rsid w:val="0023629D"/>
    <w:rsid w:val="00236A0E"/>
    <w:rsid w:val="00236BC3"/>
    <w:rsid w:val="00237255"/>
    <w:rsid w:val="00237508"/>
    <w:rsid w:val="00237947"/>
    <w:rsid w:val="00241A58"/>
    <w:rsid w:val="00241CD3"/>
    <w:rsid w:val="002424AF"/>
    <w:rsid w:val="002439DC"/>
    <w:rsid w:val="00244DC8"/>
    <w:rsid w:val="002458BA"/>
    <w:rsid w:val="0024636C"/>
    <w:rsid w:val="00247925"/>
    <w:rsid w:val="00250FDD"/>
    <w:rsid w:val="0025114A"/>
    <w:rsid w:val="00251B24"/>
    <w:rsid w:val="0025390D"/>
    <w:rsid w:val="00254DCF"/>
    <w:rsid w:val="0025534B"/>
    <w:rsid w:val="00255BB7"/>
    <w:rsid w:val="00257541"/>
    <w:rsid w:val="0025757C"/>
    <w:rsid w:val="00257F36"/>
    <w:rsid w:val="002610E7"/>
    <w:rsid w:val="00262A1A"/>
    <w:rsid w:val="00262A87"/>
    <w:rsid w:val="00264D26"/>
    <w:rsid w:val="00265A01"/>
    <w:rsid w:val="00266F58"/>
    <w:rsid w:val="0026709C"/>
    <w:rsid w:val="002671E0"/>
    <w:rsid w:val="00267642"/>
    <w:rsid w:val="00267AEA"/>
    <w:rsid w:val="002700E6"/>
    <w:rsid w:val="00270A33"/>
    <w:rsid w:val="0027294B"/>
    <w:rsid w:val="00275C5A"/>
    <w:rsid w:val="00275E16"/>
    <w:rsid w:val="00277210"/>
    <w:rsid w:val="00280D62"/>
    <w:rsid w:val="00281014"/>
    <w:rsid w:val="002833C4"/>
    <w:rsid w:val="00283DD4"/>
    <w:rsid w:val="0028525E"/>
    <w:rsid w:val="0028573C"/>
    <w:rsid w:val="00287164"/>
    <w:rsid w:val="00287FD1"/>
    <w:rsid w:val="002926B5"/>
    <w:rsid w:val="00293AFF"/>
    <w:rsid w:val="00294855"/>
    <w:rsid w:val="00296481"/>
    <w:rsid w:val="0029787F"/>
    <w:rsid w:val="002A14AB"/>
    <w:rsid w:val="002A2B13"/>
    <w:rsid w:val="002A2F50"/>
    <w:rsid w:val="002A4427"/>
    <w:rsid w:val="002A5966"/>
    <w:rsid w:val="002A5CCE"/>
    <w:rsid w:val="002A749B"/>
    <w:rsid w:val="002B09A4"/>
    <w:rsid w:val="002B0FB8"/>
    <w:rsid w:val="002B1C1F"/>
    <w:rsid w:val="002B3E5E"/>
    <w:rsid w:val="002B432F"/>
    <w:rsid w:val="002B62B3"/>
    <w:rsid w:val="002B6754"/>
    <w:rsid w:val="002B6CCE"/>
    <w:rsid w:val="002C0C97"/>
    <w:rsid w:val="002C2510"/>
    <w:rsid w:val="002C2775"/>
    <w:rsid w:val="002C27C1"/>
    <w:rsid w:val="002C31A3"/>
    <w:rsid w:val="002C3C3F"/>
    <w:rsid w:val="002C5099"/>
    <w:rsid w:val="002C5889"/>
    <w:rsid w:val="002C5AE4"/>
    <w:rsid w:val="002C6670"/>
    <w:rsid w:val="002C71CE"/>
    <w:rsid w:val="002C7F01"/>
    <w:rsid w:val="002D0E35"/>
    <w:rsid w:val="002D109C"/>
    <w:rsid w:val="002D1E2A"/>
    <w:rsid w:val="002D216B"/>
    <w:rsid w:val="002D3410"/>
    <w:rsid w:val="002D4C93"/>
    <w:rsid w:val="002D577C"/>
    <w:rsid w:val="002D64EE"/>
    <w:rsid w:val="002D7DEA"/>
    <w:rsid w:val="002E0A00"/>
    <w:rsid w:val="002E11F3"/>
    <w:rsid w:val="002E15B9"/>
    <w:rsid w:val="002E2158"/>
    <w:rsid w:val="002E2EAA"/>
    <w:rsid w:val="002E3355"/>
    <w:rsid w:val="002E6294"/>
    <w:rsid w:val="002E668E"/>
    <w:rsid w:val="002E7722"/>
    <w:rsid w:val="002E7AD5"/>
    <w:rsid w:val="002F07BA"/>
    <w:rsid w:val="002F0DA9"/>
    <w:rsid w:val="002F1F5E"/>
    <w:rsid w:val="002F2A7F"/>
    <w:rsid w:val="002F4963"/>
    <w:rsid w:val="002F5E88"/>
    <w:rsid w:val="002F643C"/>
    <w:rsid w:val="002F673F"/>
    <w:rsid w:val="002F71C0"/>
    <w:rsid w:val="002F76C9"/>
    <w:rsid w:val="00301017"/>
    <w:rsid w:val="0030155F"/>
    <w:rsid w:val="003049E4"/>
    <w:rsid w:val="0030587B"/>
    <w:rsid w:val="00306D98"/>
    <w:rsid w:val="0030786C"/>
    <w:rsid w:val="003101A8"/>
    <w:rsid w:val="0031031A"/>
    <w:rsid w:val="00310981"/>
    <w:rsid w:val="00313030"/>
    <w:rsid w:val="003133F5"/>
    <w:rsid w:val="00315498"/>
    <w:rsid w:val="0032069C"/>
    <w:rsid w:val="00322107"/>
    <w:rsid w:val="00322313"/>
    <w:rsid w:val="00322846"/>
    <w:rsid w:val="00322A03"/>
    <w:rsid w:val="00323DFA"/>
    <w:rsid w:val="00324D11"/>
    <w:rsid w:val="003264EC"/>
    <w:rsid w:val="00326DA7"/>
    <w:rsid w:val="003270E4"/>
    <w:rsid w:val="003277D4"/>
    <w:rsid w:val="00327D13"/>
    <w:rsid w:val="00330F5C"/>
    <w:rsid w:val="003354A4"/>
    <w:rsid w:val="003366C9"/>
    <w:rsid w:val="00336937"/>
    <w:rsid w:val="00336DEE"/>
    <w:rsid w:val="003371B0"/>
    <w:rsid w:val="0034013E"/>
    <w:rsid w:val="00340DF1"/>
    <w:rsid w:val="0034352E"/>
    <w:rsid w:val="00343582"/>
    <w:rsid w:val="00346F41"/>
    <w:rsid w:val="00347F72"/>
    <w:rsid w:val="0035043B"/>
    <w:rsid w:val="003517F9"/>
    <w:rsid w:val="00351C70"/>
    <w:rsid w:val="00355B97"/>
    <w:rsid w:val="00355FA1"/>
    <w:rsid w:val="0035620E"/>
    <w:rsid w:val="00357E49"/>
    <w:rsid w:val="0036248F"/>
    <w:rsid w:val="003624C4"/>
    <w:rsid w:val="00362598"/>
    <w:rsid w:val="003654AC"/>
    <w:rsid w:val="00366B93"/>
    <w:rsid w:val="003710CF"/>
    <w:rsid w:val="0037358A"/>
    <w:rsid w:val="003750F6"/>
    <w:rsid w:val="00375667"/>
    <w:rsid w:val="003760FC"/>
    <w:rsid w:val="003779DF"/>
    <w:rsid w:val="00381153"/>
    <w:rsid w:val="0038206C"/>
    <w:rsid w:val="0038209E"/>
    <w:rsid w:val="0038365C"/>
    <w:rsid w:val="0038369B"/>
    <w:rsid w:val="00383B78"/>
    <w:rsid w:val="00385A9D"/>
    <w:rsid w:val="003902B1"/>
    <w:rsid w:val="00395046"/>
    <w:rsid w:val="00396896"/>
    <w:rsid w:val="00396FD0"/>
    <w:rsid w:val="003A086A"/>
    <w:rsid w:val="003A17DB"/>
    <w:rsid w:val="003A1A7A"/>
    <w:rsid w:val="003A2392"/>
    <w:rsid w:val="003A2831"/>
    <w:rsid w:val="003A3ED1"/>
    <w:rsid w:val="003A5D4A"/>
    <w:rsid w:val="003A5DCA"/>
    <w:rsid w:val="003A6498"/>
    <w:rsid w:val="003A6DCB"/>
    <w:rsid w:val="003B13C4"/>
    <w:rsid w:val="003B2A5A"/>
    <w:rsid w:val="003B425F"/>
    <w:rsid w:val="003B5B61"/>
    <w:rsid w:val="003B5C18"/>
    <w:rsid w:val="003B78BF"/>
    <w:rsid w:val="003C1654"/>
    <w:rsid w:val="003C76D6"/>
    <w:rsid w:val="003C7D19"/>
    <w:rsid w:val="003D0553"/>
    <w:rsid w:val="003D0B53"/>
    <w:rsid w:val="003D1828"/>
    <w:rsid w:val="003D191E"/>
    <w:rsid w:val="003D1DE4"/>
    <w:rsid w:val="003D2422"/>
    <w:rsid w:val="003D2BA6"/>
    <w:rsid w:val="003D39A1"/>
    <w:rsid w:val="003D3FBF"/>
    <w:rsid w:val="003D4A30"/>
    <w:rsid w:val="003D4E7D"/>
    <w:rsid w:val="003D79BB"/>
    <w:rsid w:val="003D7C98"/>
    <w:rsid w:val="003E0543"/>
    <w:rsid w:val="003E13DE"/>
    <w:rsid w:val="003E3CCB"/>
    <w:rsid w:val="003E4C83"/>
    <w:rsid w:val="003E5071"/>
    <w:rsid w:val="003F0E8C"/>
    <w:rsid w:val="003F2284"/>
    <w:rsid w:val="003F25EB"/>
    <w:rsid w:val="003F265B"/>
    <w:rsid w:val="003F325E"/>
    <w:rsid w:val="003F4156"/>
    <w:rsid w:val="003F5F34"/>
    <w:rsid w:val="003F6F45"/>
    <w:rsid w:val="004007DE"/>
    <w:rsid w:val="00400B29"/>
    <w:rsid w:val="0040504B"/>
    <w:rsid w:val="00406254"/>
    <w:rsid w:val="00410708"/>
    <w:rsid w:val="00410EC7"/>
    <w:rsid w:val="00411B39"/>
    <w:rsid w:val="004139E2"/>
    <w:rsid w:val="00413A1E"/>
    <w:rsid w:val="00414476"/>
    <w:rsid w:val="00414C2E"/>
    <w:rsid w:val="004151CF"/>
    <w:rsid w:val="00415E2A"/>
    <w:rsid w:val="00416364"/>
    <w:rsid w:val="0041747E"/>
    <w:rsid w:val="00420AA6"/>
    <w:rsid w:val="00420B9F"/>
    <w:rsid w:val="0042212C"/>
    <w:rsid w:val="00422260"/>
    <w:rsid w:val="004235CE"/>
    <w:rsid w:val="00423BE5"/>
    <w:rsid w:val="0042413F"/>
    <w:rsid w:val="004319F8"/>
    <w:rsid w:val="00431E55"/>
    <w:rsid w:val="00431F06"/>
    <w:rsid w:val="0043217D"/>
    <w:rsid w:val="004321F6"/>
    <w:rsid w:val="00432BB5"/>
    <w:rsid w:val="00432BE8"/>
    <w:rsid w:val="00433044"/>
    <w:rsid w:val="00433693"/>
    <w:rsid w:val="00433F8A"/>
    <w:rsid w:val="00434C48"/>
    <w:rsid w:val="00435205"/>
    <w:rsid w:val="0043587D"/>
    <w:rsid w:val="004375B9"/>
    <w:rsid w:val="004428D0"/>
    <w:rsid w:val="004443A7"/>
    <w:rsid w:val="0044442C"/>
    <w:rsid w:val="00444D42"/>
    <w:rsid w:val="004450B5"/>
    <w:rsid w:val="00445941"/>
    <w:rsid w:val="00445CAB"/>
    <w:rsid w:val="004464EB"/>
    <w:rsid w:val="00447314"/>
    <w:rsid w:val="00447D26"/>
    <w:rsid w:val="0045039E"/>
    <w:rsid w:val="0045340B"/>
    <w:rsid w:val="0045453F"/>
    <w:rsid w:val="00454DC1"/>
    <w:rsid w:val="00455D45"/>
    <w:rsid w:val="00455E99"/>
    <w:rsid w:val="004569AE"/>
    <w:rsid w:val="00461887"/>
    <w:rsid w:val="00464595"/>
    <w:rsid w:val="00464DE8"/>
    <w:rsid w:val="00464F4F"/>
    <w:rsid w:val="00466059"/>
    <w:rsid w:val="00472A79"/>
    <w:rsid w:val="00473F19"/>
    <w:rsid w:val="00474037"/>
    <w:rsid w:val="004752F7"/>
    <w:rsid w:val="00475E22"/>
    <w:rsid w:val="004771D8"/>
    <w:rsid w:val="00477EE1"/>
    <w:rsid w:val="0048017D"/>
    <w:rsid w:val="00480519"/>
    <w:rsid w:val="0048088E"/>
    <w:rsid w:val="00480A7B"/>
    <w:rsid w:val="00481B63"/>
    <w:rsid w:val="00482720"/>
    <w:rsid w:val="004835E7"/>
    <w:rsid w:val="00484924"/>
    <w:rsid w:val="004867E2"/>
    <w:rsid w:val="00487E1D"/>
    <w:rsid w:val="00490A88"/>
    <w:rsid w:val="00491B3A"/>
    <w:rsid w:val="00492CFD"/>
    <w:rsid w:val="00494DD5"/>
    <w:rsid w:val="004962D2"/>
    <w:rsid w:val="0049725A"/>
    <w:rsid w:val="004A0C6C"/>
    <w:rsid w:val="004A0DA1"/>
    <w:rsid w:val="004A0FEC"/>
    <w:rsid w:val="004A4DD7"/>
    <w:rsid w:val="004A52E9"/>
    <w:rsid w:val="004A545B"/>
    <w:rsid w:val="004A6597"/>
    <w:rsid w:val="004A7848"/>
    <w:rsid w:val="004A7D14"/>
    <w:rsid w:val="004A7F22"/>
    <w:rsid w:val="004B0089"/>
    <w:rsid w:val="004B1CB4"/>
    <w:rsid w:val="004B2692"/>
    <w:rsid w:val="004B2B28"/>
    <w:rsid w:val="004B2F18"/>
    <w:rsid w:val="004B3DDB"/>
    <w:rsid w:val="004B44FD"/>
    <w:rsid w:val="004B4EFE"/>
    <w:rsid w:val="004B4F8C"/>
    <w:rsid w:val="004B5CFC"/>
    <w:rsid w:val="004B5EC5"/>
    <w:rsid w:val="004B719A"/>
    <w:rsid w:val="004B774D"/>
    <w:rsid w:val="004C2F79"/>
    <w:rsid w:val="004C4666"/>
    <w:rsid w:val="004C4AED"/>
    <w:rsid w:val="004C5711"/>
    <w:rsid w:val="004C7489"/>
    <w:rsid w:val="004D0F37"/>
    <w:rsid w:val="004D2C2D"/>
    <w:rsid w:val="004D3441"/>
    <w:rsid w:val="004D3EBA"/>
    <w:rsid w:val="004D4C49"/>
    <w:rsid w:val="004D7227"/>
    <w:rsid w:val="004E018A"/>
    <w:rsid w:val="004E0268"/>
    <w:rsid w:val="004E0E7F"/>
    <w:rsid w:val="004E0EB8"/>
    <w:rsid w:val="004E1D81"/>
    <w:rsid w:val="004E253D"/>
    <w:rsid w:val="004E2ADC"/>
    <w:rsid w:val="004E2D4C"/>
    <w:rsid w:val="004E314E"/>
    <w:rsid w:val="004E319E"/>
    <w:rsid w:val="004E33DD"/>
    <w:rsid w:val="004E43B2"/>
    <w:rsid w:val="004E4851"/>
    <w:rsid w:val="004E49DA"/>
    <w:rsid w:val="004E59D0"/>
    <w:rsid w:val="004E6E45"/>
    <w:rsid w:val="004F0AD7"/>
    <w:rsid w:val="004F151C"/>
    <w:rsid w:val="004F1D02"/>
    <w:rsid w:val="004F2679"/>
    <w:rsid w:val="004F2F21"/>
    <w:rsid w:val="004F432D"/>
    <w:rsid w:val="004F6913"/>
    <w:rsid w:val="004F719D"/>
    <w:rsid w:val="004F7865"/>
    <w:rsid w:val="0050219B"/>
    <w:rsid w:val="00503F17"/>
    <w:rsid w:val="00505FD2"/>
    <w:rsid w:val="00506928"/>
    <w:rsid w:val="00507605"/>
    <w:rsid w:val="0051041B"/>
    <w:rsid w:val="00511E1E"/>
    <w:rsid w:val="005152B5"/>
    <w:rsid w:val="00515835"/>
    <w:rsid w:val="0051608D"/>
    <w:rsid w:val="005160F0"/>
    <w:rsid w:val="0051646F"/>
    <w:rsid w:val="00521319"/>
    <w:rsid w:val="00522BC8"/>
    <w:rsid w:val="00522C31"/>
    <w:rsid w:val="00523C28"/>
    <w:rsid w:val="00524315"/>
    <w:rsid w:val="00525342"/>
    <w:rsid w:val="00526DEA"/>
    <w:rsid w:val="00530364"/>
    <w:rsid w:val="005315FE"/>
    <w:rsid w:val="0053207F"/>
    <w:rsid w:val="00536309"/>
    <w:rsid w:val="00536315"/>
    <w:rsid w:val="00536F42"/>
    <w:rsid w:val="00537182"/>
    <w:rsid w:val="00542743"/>
    <w:rsid w:val="005427BE"/>
    <w:rsid w:val="005427FE"/>
    <w:rsid w:val="00542C2D"/>
    <w:rsid w:val="00551623"/>
    <w:rsid w:val="00551985"/>
    <w:rsid w:val="00552BD3"/>
    <w:rsid w:val="0055330C"/>
    <w:rsid w:val="00553576"/>
    <w:rsid w:val="005549CF"/>
    <w:rsid w:val="00554C6B"/>
    <w:rsid w:val="00555109"/>
    <w:rsid w:val="005556AE"/>
    <w:rsid w:val="0056036D"/>
    <w:rsid w:val="005636B1"/>
    <w:rsid w:val="00564E7A"/>
    <w:rsid w:val="005668DB"/>
    <w:rsid w:val="0056696F"/>
    <w:rsid w:val="00572269"/>
    <w:rsid w:val="005723E5"/>
    <w:rsid w:val="0057244A"/>
    <w:rsid w:val="0057358F"/>
    <w:rsid w:val="00575D8D"/>
    <w:rsid w:val="00576972"/>
    <w:rsid w:val="00576C3D"/>
    <w:rsid w:val="00580D2F"/>
    <w:rsid w:val="00583699"/>
    <w:rsid w:val="0058482E"/>
    <w:rsid w:val="00585CDD"/>
    <w:rsid w:val="00587058"/>
    <w:rsid w:val="00591957"/>
    <w:rsid w:val="00592D13"/>
    <w:rsid w:val="0059559A"/>
    <w:rsid w:val="00597BF9"/>
    <w:rsid w:val="005A1BB2"/>
    <w:rsid w:val="005A373D"/>
    <w:rsid w:val="005A432F"/>
    <w:rsid w:val="005A5D6D"/>
    <w:rsid w:val="005A6C12"/>
    <w:rsid w:val="005A6DCC"/>
    <w:rsid w:val="005B0656"/>
    <w:rsid w:val="005B1A8F"/>
    <w:rsid w:val="005B1EE5"/>
    <w:rsid w:val="005B4509"/>
    <w:rsid w:val="005B5857"/>
    <w:rsid w:val="005C0EA1"/>
    <w:rsid w:val="005C12DE"/>
    <w:rsid w:val="005C1B83"/>
    <w:rsid w:val="005C2D55"/>
    <w:rsid w:val="005C2E24"/>
    <w:rsid w:val="005C346B"/>
    <w:rsid w:val="005C63D9"/>
    <w:rsid w:val="005C6FBA"/>
    <w:rsid w:val="005D044D"/>
    <w:rsid w:val="005D0735"/>
    <w:rsid w:val="005D0ABD"/>
    <w:rsid w:val="005D0B3E"/>
    <w:rsid w:val="005D0DD8"/>
    <w:rsid w:val="005D123A"/>
    <w:rsid w:val="005D18AD"/>
    <w:rsid w:val="005D26B4"/>
    <w:rsid w:val="005D694C"/>
    <w:rsid w:val="005E2172"/>
    <w:rsid w:val="005E674D"/>
    <w:rsid w:val="005E6CBC"/>
    <w:rsid w:val="005E6D7A"/>
    <w:rsid w:val="005E73C0"/>
    <w:rsid w:val="005F08AF"/>
    <w:rsid w:val="005F1578"/>
    <w:rsid w:val="005F2706"/>
    <w:rsid w:val="005F3F24"/>
    <w:rsid w:val="005F63A6"/>
    <w:rsid w:val="005F6A8F"/>
    <w:rsid w:val="00603DB9"/>
    <w:rsid w:val="00605AEA"/>
    <w:rsid w:val="00607669"/>
    <w:rsid w:val="00607AFD"/>
    <w:rsid w:val="00612F97"/>
    <w:rsid w:val="0061345D"/>
    <w:rsid w:val="00613EFB"/>
    <w:rsid w:val="00615C75"/>
    <w:rsid w:val="00616802"/>
    <w:rsid w:val="006174FA"/>
    <w:rsid w:val="00617E12"/>
    <w:rsid w:val="006201E7"/>
    <w:rsid w:val="00621477"/>
    <w:rsid w:val="0063158F"/>
    <w:rsid w:val="00631D6B"/>
    <w:rsid w:val="00632347"/>
    <w:rsid w:val="00632838"/>
    <w:rsid w:val="00632D07"/>
    <w:rsid w:val="006330A1"/>
    <w:rsid w:val="0063479F"/>
    <w:rsid w:val="006353F0"/>
    <w:rsid w:val="006364A1"/>
    <w:rsid w:val="00636E81"/>
    <w:rsid w:val="00637BFD"/>
    <w:rsid w:val="00641C4E"/>
    <w:rsid w:val="0064250B"/>
    <w:rsid w:val="00645C9F"/>
    <w:rsid w:val="006471CC"/>
    <w:rsid w:val="006502C3"/>
    <w:rsid w:val="0065079F"/>
    <w:rsid w:val="0065379F"/>
    <w:rsid w:val="00654311"/>
    <w:rsid w:val="006548C9"/>
    <w:rsid w:val="00657BD6"/>
    <w:rsid w:val="00661C6B"/>
    <w:rsid w:val="00663632"/>
    <w:rsid w:val="006638A3"/>
    <w:rsid w:val="00673F6E"/>
    <w:rsid w:val="0067432B"/>
    <w:rsid w:val="00674E42"/>
    <w:rsid w:val="00676EF9"/>
    <w:rsid w:val="00680C5D"/>
    <w:rsid w:val="00682112"/>
    <w:rsid w:val="00682A99"/>
    <w:rsid w:val="00683968"/>
    <w:rsid w:val="0068506C"/>
    <w:rsid w:val="00686957"/>
    <w:rsid w:val="006872BA"/>
    <w:rsid w:val="006873C0"/>
    <w:rsid w:val="00691648"/>
    <w:rsid w:val="006917D7"/>
    <w:rsid w:val="006931A7"/>
    <w:rsid w:val="00694F44"/>
    <w:rsid w:val="00695013"/>
    <w:rsid w:val="00695A43"/>
    <w:rsid w:val="0069632B"/>
    <w:rsid w:val="006A0F19"/>
    <w:rsid w:val="006A1225"/>
    <w:rsid w:val="006A1BEE"/>
    <w:rsid w:val="006A1CCA"/>
    <w:rsid w:val="006A2458"/>
    <w:rsid w:val="006A256D"/>
    <w:rsid w:val="006A3EF3"/>
    <w:rsid w:val="006A60C0"/>
    <w:rsid w:val="006A61EC"/>
    <w:rsid w:val="006A70AD"/>
    <w:rsid w:val="006A76D6"/>
    <w:rsid w:val="006A7E5F"/>
    <w:rsid w:val="006B070A"/>
    <w:rsid w:val="006B159F"/>
    <w:rsid w:val="006B1C56"/>
    <w:rsid w:val="006B261B"/>
    <w:rsid w:val="006B2C90"/>
    <w:rsid w:val="006B6DD0"/>
    <w:rsid w:val="006C2A8E"/>
    <w:rsid w:val="006C30C6"/>
    <w:rsid w:val="006C3B81"/>
    <w:rsid w:val="006C4401"/>
    <w:rsid w:val="006C4F0C"/>
    <w:rsid w:val="006C53FF"/>
    <w:rsid w:val="006C6BE1"/>
    <w:rsid w:val="006D0686"/>
    <w:rsid w:val="006D0FCA"/>
    <w:rsid w:val="006D28F7"/>
    <w:rsid w:val="006D34DA"/>
    <w:rsid w:val="006D3C7D"/>
    <w:rsid w:val="006D41D5"/>
    <w:rsid w:val="006D435A"/>
    <w:rsid w:val="006D4677"/>
    <w:rsid w:val="006D5D5F"/>
    <w:rsid w:val="006D7F4C"/>
    <w:rsid w:val="006E3A3A"/>
    <w:rsid w:val="006E5361"/>
    <w:rsid w:val="006E66DA"/>
    <w:rsid w:val="006F306C"/>
    <w:rsid w:val="006F63A5"/>
    <w:rsid w:val="0070008B"/>
    <w:rsid w:val="0070142B"/>
    <w:rsid w:val="0070276E"/>
    <w:rsid w:val="00702EDB"/>
    <w:rsid w:val="00702F8F"/>
    <w:rsid w:val="00703F8A"/>
    <w:rsid w:val="00711A36"/>
    <w:rsid w:val="007140D6"/>
    <w:rsid w:val="0071529C"/>
    <w:rsid w:val="007155DD"/>
    <w:rsid w:val="007172AD"/>
    <w:rsid w:val="00717DA0"/>
    <w:rsid w:val="00717DF4"/>
    <w:rsid w:val="00722B1B"/>
    <w:rsid w:val="0072416F"/>
    <w:rsid w:val="00724D7B"/>
    <w:rsid w:val="00727C94"/>
    <w:rsid w:val="00731EAE"/>
    <w:rsid w:val="00732297"/>
    <w:rsid w:val="00733A7A"/>
    <w:rsid w:val="00735021"/>
    <w:rsid w:val="00735033"/>
    <w:rsid w:val="00735328"/>
    <w:rsid w:val="007362EC"/>
    <w:rsid w:val="007363E2"/>
    <w:rsid w:val="0073685B"/>
    <w:rsid w:val="007402B5"/>
    <w:rsid w:val="00740ADA"/>
    <w:rsid w:val="00740FF1"/>
    <w:rsid w:val="00741CD9"/>
    <w:rsid w:val="007457E0"/>
    <w:rsid w:val="00747B2D"/>
    <w:rsid w:val="00750829"/>
    <w:rsid w:val="00752142"/>
    <w:rsid w:val="007523F9"/>
    <w:rsid w:val="00754CA4"/>
    <w:rsid w:val="00756625"/>
    <w:rsid w:val="00756657"/>
    <w:rsid w:val="007573E8"/>
    <w:rsid w:val="00760C4E"/>
    <w:rsid w:val="00764A20"/>
    <w:rsid w:val="00765B1A"/>
    <w:rsid w:val="00775686"/>
    <w:rsid w:val="007774F0"/>
    <w:rsid w:val="00777DFF"/>
    <w:rsid w:val="00782F16"/>
    <w:rsid w:val="007843F2"/>
    <w:rsid w:val="007863B8"/>
    <w:rsid w:val="00786BD8"/>
    <w:rsid w:val="007928F8"/>
    <w:rsid w:val="00792918"/>
    <w:rsid w:val="00795F1F"/>
    <w:rsid w:val="007963AA"/>
    <w:rsid w:val="007963AE"/>
    <w:rsid w:val="0079699B"/>
    <w:rsid w:val="00796C42"/>
    <w:rsid w:val="007A0A12"/>
    <w:rsid w:val="007A107B"/>
    <w:rsid w:val="007A132D"/>
    <w:rsid w:val="007A49E3"/>
    <w:rsid w:val="007A7036"/>
    <w:rsid w:val="007A7A24"/>
    <w:rsid w:val="007A7ACD"/>
    <w:rsid w:val="007B0AD2"/>
    <w:rsid w:val="007B0D68"/>
    <w:rsid w:val="007B10C5"/>
    <w:rsid w:val="007B14B5"/>
    <w:rsid w:val="007B251D"/>
    <w:rsid w:val="007B3900"/>
    <w:rsid w:val="007B4F58"/>
    <w:rsid w:val="007B528D"/>
    <w:rsid w:val="007B695C"/>
    <w:rsid w:val="007B77D1"/>
    <w:rsid w:val="007B7D20"/>
    <w:rsid w:val="007C0A1A"/>
    <w:rsid w:val="007C1CD9"/>
    <w:rsid w:val="007C361D"/>
    <w:rsid w:val="007C4B84"/>
    <w:rsid w:val="007C7983"/>
    <w:rsid w:val="007D004F"/>
    <w:rsid w:val="007D08DF"/>
    <w:rsid w:val="007D0B38"/>
    <w:rsid w:val="007D2DED"/>
    <w:rsid w:val="007D542C"/>
    <w:rsid w:val="007D5440"/>
    <w:rsid w:val="007D5F8A"/>
    <w:rsid w:val="007D71C0"/>
    <w:rsid w:val="007D7335"/>
    <w:rsid w:val="007E1F1A"/>
    <w:rsid w:val="007E2504"/>
    <w:rsid w:val="007E5495"/>
    <w:rsid w:val="007E69F3"/>
    <w:rsid w:val="007F03D9"/>
    <w:rsid w:val="007F0733"/>
    <w:rsid w:val="007F1017"/>
    <w:rsid w:val="007F367B"/>
    <w:rsid w:val="007F45C2"/>
    <w:rsid w:val="007F4A3F"/>
    <w:rsid w:val="007F4A61"/>
    <w:rsid w:val="007F61C2"/>
    <w:rsid w:val="008009B7"/>
    <w:rsid w:val="0080379C"/>
    <w:rsid w:val="00805142"/>
    <w:rsid w:val="008065FD"/>
    <w:rsid w:val="008078D5"/>
    <w:rsid w:val="00807A8B"/>
    <w:rsid w:val="00811383"/>
    <w:rsid w:val="00812149"/>
    <w:rsid w:val="00812CAC"/>
    <w:rsid w:val="008166EF"/>
    <w:rsid w:val="00820A9A"/>
    <w:rsid w:val="0082165B"/>
    <w:rsid w:val="0082272B"/>
    <w:rsid w:val="00823347"/>
    <w:rsid w:val="008254B4"/>
    <w:rsid w:val="00825751"/>
    <w:rsid w:val="00826355"/>
    <w:rsid w:val="0082638C"/>
    <w:rsid w:val="008264EB"/>
    <w:rsid w:val="00826A4F"/>
    <w:rsid w:val="00833B05"/>
    <w:rsid w:val="00834AF9"/>
    <w:rsid w:val="00834F55"/>
    <w:rsid w:val="00835724"/>
    <w:rsid w:val="008362B4"/>
    <w:rsid w:val="00837AC2"/>
    <w:rsid w:val="00840CA2"/>
    <w:rsid w:val="00842E8D"/>
    <w:rsid w:val="00843588"/>
    <w:rsid w:val="0084374F"/>
    <w:rsid w:val="008451B0"/>
    <w:rsid w:val="008458CE"/>
    <w:rsid w:val="00845D08"/>
    <w:rsid w:val="00846345"/>
    <w:rsid w:val="008478D9"/>
    <w:rsid w:val="00847DF5"/>
    <w:rsid w:val="008501C8"/>
    <w:rsid w:val="0085309D"/>
    <w:rsid w:val="00856356"/>
    <w:rsid w:val="0085666D"/>
    <w:rsid w:val="00856897"/>
    <w:rsid w:val="00856E9A"/>
    <w:rsid w:val="0086075D"/>
    <w:rsid w:val="00861841"/>
    <w:rsid w:val="00861CA2"/>
    <w:rsid w:val="008622EE"/>
    <w:rsid w:val="00862502"/>
    <w:rsid w:val="008660D4"/>
    <w:rsid w:val="00871FA9"/>
    <w:rsid w:val="008721D4"/>
    <w:rsid w:val="008728E9"/>
    <w:rsid w:val="008755FF"/>
    <w:rsid w:val="008759C7"/>
    <w:rsid w:val="00875EB8"/>
    <w:rsid w:val="00876E47"/>
    <w:rsid w:val="00877784"/>
    <w:rsid w:val="00877A54"/>
    <w:rsid w:val="00877B6E"/>
    <w:rsid w:val="00880109"/>
    <w:rsid w:val="00882874"/>
    <w:rsid w:val="00883477"/>
    <w:rsid w:val="00883787"/>
    <w:rsid w:val="00885DD9"/>
    <w:rsid w:val="00886CD2"/>
    <w:rsid w:val="008916B0"/>
    <w:rsid w:val="00892A36"/>
    <w:rsid w:val="00892F83"/>
    <w:rsid w:val="00893239"/>
    <w:rsid w:val="00894489"/>
    <w:rsid w:val="00895AD6"/>
    <w:rsid w:val="008963A5"/>
    <w:rsid w:val="008A3363"/>
    <w:rsid w:val="008A3371"/>
    <w:rsid w:val="008A3C3E"/>
    <w:rsid w:val="008A44B1"/>
    <w:rsid w:val="008A79DE"/>
    <w:rsid w:val="008A7FEA"/>
    <w:rsid w:val="008B1757"/>
    <w:rsid w:val="008B1DA6"/>
    <w:rsid w:val="008B4077"/>
    <w:rsid w:val="008B7D7E"/>
    <w:rsid w:val="008C1E8E"/>
    <w:rsid w:val="008C78F5"/>
    <w:rsid w:val="008C7ECB"/>
    <w:rsid w:val="008D0951"/>
    <w:rsid w:val="008D284F"/>
    <w:rsid w:val="008D3021"/>
    <w:rsid w:val="008D3CD3"/>
    <w:rsid w:val="008D4755"/>
    <w:rsid w:val="008D4C3D"/>
    <w:rsid w:val="008D5B91"/>
    <w:rsid w:val="008D5F4C"/>
    <w:rsid w:val="008D6E43"/>
    <w:rsid w:val="008E0622"/>
    <w:rsid w:val="008E0D3C"/>
    <w:rsid w:val="008E1B9E"/>
    <w:rsid w:val="008E26B8"/>
    <w:rsid w:val="008E50C3"/>
    <w:rsid w:val="008E55AB"/>
    <w:rsid w:val="008E6926"/>
    <w:rsid w:val="008F120A"/>
    <w:rsid w:val="008F25C3"/>
    <w:rsid w:val="008F27E0"/>
    <w:rsid w:val="008F3A34"/>
    <w:rsid w:val="008F48EB"/>
    <w:rsid w:val="008F4F0B"/>
    <w:rsid w:val="008F6D4E"/>
    <w:rsid w:val="009000F9"/>
    <w:rsid w:val="00900373"/>
    <w:rsid w:val="00900BC5"/>
    <w:rsid w:val="00903857"/>
    <w:rsid w:val="009046C4"/>
    <w:rsid w:val="009062A5"/>
    <w:rsid w:val="00906E03"/>
    <w:rsid w:val="00911272"/>
    <w:rsid w:val="00911853"/>
    <w:rsid w:val="00911E95"/>
    <w:rsid w:val="009135D6"/>
    <w:rsid w:val="00914C77"/>
    <w:rsid w:val="009155A2"/>
    <w:rsid w:val="009170B0"/>
    <w:rsid w:val="0092369B"/>
    <w:rsid w:val="009262F4"/>
    <w:rsid w:val="00934D4E"/>
    <w:rsid w:val="00934E26"/>
    <w:rsid w:val="00935575"/>
    <w:rsid w:val="00935FBE"/>
    <w:rsid w:val="00936051"/>
    <w:rsid w:val="0093684F"/>
    <w:rsid w:val="00937564"/>
    <w:rsid w:val="00940020"/>
    <w:rsid w:val="009412E3"/>
    <w:rsid w:val="00941A05"/>
    <w:rsid w:val="00941BA9"/>
    <w:rsid w:val="00946743"/>
    <w:rsid w:val="00946F2C"/>
    <w:rsid w:val="0094732A"/>
    <w:rsid w:val="009510A2"/>
    <w:rsid w:val="00951307"/>
    <w:rsid w:val="00952397"/>
    <w:rsid w:val="00953257"/>
    <w:rsid w:val="009532C9"/>
    <w:rsid w:val="0095345D"/>
    <w:rsid w:val="00954290"/>
    <w:rsid w:val="009556BE"/>
    <w:rsid w:val="00956928"/>
    <w:rsid w:val="0095747E"/>
    <w:rsid w:val="0096121A"/>
    <w:rsid w:val="00962CB9"/>
    <w:rsid w:val="00964312"/>
    <w:rsid w:val="0096451F"/>
    <w:rsid w:val="00965B8A"/>
    <w:rsid w:val="009717AC"/>
    <w:rsid w:val="00971C64"/>
    <w:rsid w:val="00971E4C"/>
    <w:rsid w:val="009763D4"/>
    <w:rsid w:val="009801A2"/>
    <w:rsid w:val="00980236"/>
    <w:rsid w:val="00981B65"/>
    <w:rsid w:val="00983A85"/>
    <w:rsid w:val="00983E57"/>
    <w:rsid w:val="00983EAE"/>
    <w:rsid w:val="00984D51"/>
    <w:rsid w:val="00985DF5"/>
    <w:rsid w:val="0098675D"/>
    <w:rsid w:val="009867C7"/>
    <w:rsid w:val="00986D60"/>
    <w:rsid w:val="00990EE2"/>
    <w:rsid w:val="00992361"/>
    <w:rsid w:val="0099414A"/>
    <w:rsid w:val="00995863"/>
    <w:rsid w:val="0099589E"/>
    <w:rsid w:val="00996B1A"/>
    <w:rsid w:val="009A0D23"/>
    <w:rsid w:val="009A4D3C"/>
    <w:rsid w:val="009A6F9B"/>
    <w:rsid w:val="009A7F10"/>
    <w:rsid w:val="009B1F85"/>
    <w:rsid w:val="009B3E26"/>
    <w:rsid w:val="009B48AE"/>
    <w:rsid w:val="009B7656"/>
    <w:rsid w:val="009C0F9B"/>
    <w:rsid w:val="009C3FC1"/>
    <w:rsid w:val="009C6CEA"/>
    <w:rsid w:val="009C6FFC"/>
    <w:rsid w:val="009C7B85"/>
    <w:rsid w:val="009D205E"/>
    <w:rsid w:val="009D25EF"/>
    <w:rsid w:val="009D31B5"/>
    <w:rsid w:val="009D5B91"/>
    <w:rsid w:val="009D792E"/>
    <w:rsid w:val="009E044C"/>
    <w:rsid w:val="009E0D2A"/>
    <w:rsid w:val="009E0DFE"/>
    <w:rsid w:val="009E11F6"/>
    <w:rsid w:val="009E365D"/>
    <w:rsid w:val="009E49C2"/>
    <w:rsid w:val="009E4C07"/>
    <w:rsid w:val="009F4F5A"/>
    <w:rsid w:val="009F59D0"/>
    <w:rsid w:val="009F64A9"/>
    <w:rsid w:val="00A01184"/>
    <w:rsid w:val="00A0132A"/>
    <w:rsid w:val="00A03D43"/>
    <w:rsid w:val="00A04380"/>
    <w:rsid w:val="00A06532"/>
    <w:rsid w:val="00A075A6"/>
    <w:rsid w:val="00A07884"/>
    <w:rsid w:val="00A102DC"/>
    <w:rsid w:val="00A108F5"/>
    <w:rsid w:val="00A119F7"/>
    <w:rsid w:val="00A11CD0"/>
    <w:rsid w:val="00A132C8"/>
    <w:rsid w:val="00A13948"/>
    <w:rsid w:val="00A1555B"/>
    <w:rsid w:val="00A155C5"/>
    <w:rsid w:val="00A16AD8"/>
    <w:rsid w:val="00A16E8E"/>
    <w:rsid w:val="00A2013A"/>
    <w:rsid w:val="00A21138"/>
    <w:rsid w:val="00A215D3"/>
    <w:rsid w:val="00A21CF3"/>
    <w:rsid w:val="00A220D6"/>
    <w:rsid w:val="00A22465"/>
    <w:rsid w:val="00A23433"/>
    <w:rsid w:val="00A24E43"/>
    <w:rsid w:val="00A26015"/>
    <w:rsid w:val="00A27AEC"/>
    <w:rsid w:val="00A320DB"/>
    <w:rsid w:val="00A34C88"/>
    <w:rsid w:val="00A35D16"/>
    <w:rsid w:val="00A36D38"/>
    <w:rsid w:val="00A36EE9"/>
    <w:rsid w:val="00A37237"/>
    <w:rsid w:val="00A37BCD"/>
    <w:rsid w:val="00A43C59"/>
    <w:rsid w:val="00A456D4"/>
    <w:rsid w:val="00A50ECD"/>
    <w:rsid w:val="00A518F3"/>
    <w:rsid w:val="00A51B5B"/>
    <w:rsid w:val="00A51EE2"/>
    <w:rsid w:val="00A52729"/>
    <w:rsid w:val="00A53143"/>
    <w:rsid w:val="00A53675"/>
    <w:rsid w:val="00A53CB4"/>
    <w:rsid w:val="00A548EB"/>
    <w:rsid w:val="00A54904"/>
    <w:rsid w:val="00A557EA"/>
    <w:rsid w:val="00A564D7"/>
    <w:rsid w:val="00A5695E"/>
    <w:rsid w:val="00A56B6A"/>
    <w:rsid w:val="00A578DC"/>
    <w:rsid w:val="00A6188D"/>
    <w:rsid w:val="00A62B33"/>
    <w:rsid w:val="00A63856"/>
    <w:rsid w:val="00A6725B"/>
    <w:rsid w:val="00A67375"/>
    <w:rsid w:val="00A70605"/>
    <w:rsid w:val="00A71C9C"/>
    <w:rsid w:val="00A73134"/>
    <w:rsid w:val="00A74E3B"/>
    <w:rsid w:val="00A777B2"/>
    <w:rsid w:val="00A84452"/>
    <w:rsid w:val="00A844CF"/>
    <w:rsid w:val="00A859F2"/>
    <w:rsid w:val="00A86C48"/>
    <w:rsid w:val="00A86E8B"/>
    <w:rsid w:val="00A87164"/>
    <w:rsid w:val="00A92645"/>
    <w:rsid w:val="00A92CA4"/>
    <w:rsid w:val="00A93072"/>
    <w:rsid w:val="00A93953"/>
    <w:rsid w:val="00A945A7"/>
    <w:rsid w:val="00A959D8"/>
    <w:rsid w:val="00A96553"/>
    <w:rsid w:val="00A97EC5"/>
    <w:rsid w:val="00AA0021"/>
    <w:rsid w:val="00AA113D"/>
    <w:rsid w:val="00AA30FE"/>
    <w:rsid w:val="00AA420C"/>
    <w:rsid w:val="00AA4BEC"/>
    <w:rsid w:val="00AA53D6"/>
    <w:rsid w:val="00AA5832"/>
    <w:rsid w:val="00AA5FC0"/>
    <w:rsid w:val="00AA647B"/>
    <w:rsid w:val="00AA67C4"/>
    <w:rsid w:val="00AA6C7D"/>
    <w:rsid w:val="00AA7FD6"/>
    <w:rsid w:val="00AB042A"/>
    <w:rsid w:val="00AB2D34"/>
    <w:rsid w:val="00AB3430"/>
    <w:rsid w:val="00AB3FA4"/>
    <w:rsid w:val="00AB4AD1"/>
    <w:rsid w:val="00AB5DA3"/>
    <w:rsid w:val="00AB65F3"/>
    <w:rsid w:val="00AB7458"/>
    <w:rsid w:val="00AB7CFA"/>
    <w:rsid w:val="00AC0B53"/>
    <w:rsid w:val="00AC2E58"/>
    <w:rsid w:val="00AC584D"/>
    <w:rsid w:val="00AC5B48"/>
    <w:rsid w:val="00AC6A9F"/>
    <w:rsid w:val="00AD1B39"/>
    <w:rsid w:val="00AD1ED6"/>
    <w:rsid w:val="00AD353F"/>
    <w:rsid w:val="00AD6502"/>
    <w:rsid w:val="00AD6CF0"/>
    <w:rsid w:val="00AD7551"/>
    <w:rsid w:val="00AE02D0"/>
    <w:rsid w:val="00AE06B0"/>
    <w:rsid w:val="00AE0B1D"/>
    <w:rsid w:val="00AE20CB"/>
    <w:rsid w:val="00AE2670"/>
    <w:rsid w:val="00AE26A7"/>
    <w:rsid w:val="00AE2BE0"/>
    <w:rsid w:val="00AE39A4"/>
    <w:rsid w:val="00AE443F"/>
    <w:rsid w:val="00AE4831"/>
    <w:rsid w:val="00AF080E"/>
    <w:rsid w:val="00AF0AE7"/>
    <w:rsid w:val="00AF11AD"/>
    <w:rsid w:val="00AF1315"/>
    <w:rsid w:val="00AF19BF"/>
    <w:rsid w:val="00AF2811"/>
    <w:rsid w:val="00AF2DC3"/>
    <w:rsid w:val="00AF4222"/>
    <w:rsid w:val="00AF48D1"/>
    <w:rsid w:val="00AF53FC"/>
    <w:rsid w:val="00B01DC0"/>
    <w:rsid w:val="00B02E2D"/>
    <w:rsid w:val="00B033E5"/>
    <w:rsid w:val="00B03A63"/>
    <w:rsid w:val="00B1623E"/>
    <w:rsid w:val="00B17408"/>
    <w:rsid w:val="00B201A4"/>
    <w:rsid w:val="00B2126B"/>
    <w:rsid w:val="00B213A6"/>
    <w:rsid w:val="00B221B6"/>
    <w:rsid w:val="00B24DF6"/>
    <w:rsid w:val="00B24F27"/>
    <w:rsid w:val="00B25727"/>
    <w:rsid w:val="00B25F56"/>
    <w:rsid w:val="00B307A5"/>
    <w:rsid w:val="00B30CFC"/>
    <w:rsid w:val="00B34416"/>
    <w:rsid w:val="00B34FE2"/>
    <w:rsid w:val="00B357D8"/>
    <w:rsid w:val="00B36A38"/>
    <w:rsid w:val="00B37BFC"/>
    <w:rsid w:val="00B40358"/>
    <w:rsid w:val="00B41614"/>
    <w:rsid w:val="00B42851"/>
    <w:rsid w:val="00B42F80"/>
    <w:rsid w:val="00B435CB"/>
    <w:rsid w:val="00B50A0C"/>
    <w:rsid w:val="00B50DB8"/>
    <w:rsid w:val="00B525E6"/>
    <w:rsid w:val="00B53654"/>
    <w:rsid w:val="00B53905"/>
    <w:rsid w:val="00B54B5B"/>
    <w:rsid w:val="00B54EF6"/>
    <w:rsid w:val="00B555C7"/>
    <w:rsid w:val="00B5562E"/>
    <w:rsid w:val="00B56D4E"/>
    <w:rsid w:val="00B57000"/>
    <w:rsid w:val="00B60939"/>
    <w:rsid w:val="00B60AFD"/>
    <w:rsid w:val="00B60E58"/>
    <w:rsid w:val="00B62715"/>
    <w:rsid w:val="00B65908"/>
    <w:rsid w:val="00B66655"/>
    <w:rsid w:val="00B71F27"/>
    <w:rsid w:val="00B720B7"/>
    <w:rsid w:val="00B738BF"/>
    <w:rsid w:val="00B76C52"/>
    <w:rsid w:val="00B81149"/>
    <w:rsid w:val="00B818A4"/>
    <w:rsid w:val="00B82B72"/>
    <w:rsid w:val="00B83320"/>
    <w:rsid w:val="00B83B37"/>
    <w:rsid w:val="00B84117"/>
    <w:rsid w:val="00B85AA2"/>
    <w:rsid w:val="00B8649C"/>
    <w:rsid w:val="00B86B1E"/>
    <w:rsid w:val="00B86CD7"/>
    <w:rsid w:val="00B87F0A"/>
    <w:rsid w:val="00B91913"/>
    <w:rsid w:val="00B92D0B"/>
    <w:rsid w:val="00B92F15"/>
    <w:rsid w:val="00B94945"/>
    <w:rsid w:val="00B95361"/>
    <w:rsid w:val="00BA1AF2"/>
    <w:rsid w:val="00BA224D"/>
    <w:rsid w:val="00BA322D"/>
    <w:rsid w:val="00BB07A5"/>
    <w:rsid w:val="00BB07E7"/>
    <w:rsid w:val="00BB0B59"/>
    <w:rsid w:val="00BB0BDD"/>
    <w:rsid w:val="00BB14D9"/>
    <w:rsid w:val="00BB1FF2"/>
    <w:rsid w:val="00BB2A73"/>
    <w:rsid w:val="00BB3CA5"/>
    <w:rsid w:val="00BB4ACC"/>
    <w:rsid w:val="00BB703E"/>
    <w:rsid w:val="00BB7405"/>
    <w:rsid w:val="00BC0BFF"/>
    <w:rsid w:val="00BC0CE6"/>
    <w:rsid w:val="00BC3631"/>
    <w:rsid w:val="00BC472B"/>
    <w:rsid w:val="00BC506D"/>
    <w:rsid w:val="00BC7EFA"/>
    <w:rsid w:val="00BD2B5A"/>
    <w:rsid w:val="00BD5B2A"/>
    <w:rsid w:val="00BD68A3"/>
    <w:rsid w:val="00BD6938"/>
    <w:rsid w:val="00BD6CF3"/>
    <w:rsid w:val="00BD7107"/>
    <w:rsid w:val="00BE088F"/>
    <w:rsid w:val="00BE2180"/>
    <w:rsid w:val="00BE21F2"/>
    <w:rsid w:val="00BE4275"/>
    <w:rsid w:val="00BE4F1F"/>
    <w:rsid w:val="00BF0F95"/>
    <w:rsid w:val="00BF2433"/>
    <w:rsid w:val="00BF433E"/>
    <w:rsid w:val="00BF59C0"/>
    <w:rsid w:val="00BF61C9"/>
    <w:rsid w:val="00BF6C94"/>
    <w:rsid w:val="00BF7F83"/>
    <w:rsid w:val="00C00424"/>
    <w:rsid w:val="00C01C71"/>
    <w:rsid w:val="00C0501E"/>
    <w:rsid w:val="00C05452"/>
    <w:rsid w:val="00C0552F"/>
    <w:rsid w:val="00C0634B"/>
    <w:rsid w:val="00C11194"/>
    <w:rsid w:val="00C11A77"/>
    <w:rsid w:val="00C11BC4"/>
    <w:rsid w:val="00C11E97"/>
    <w:rsid w:val="00C12C14"/>
    <w:rsid w:val="00C14535"/>
    <w:rsid w:val="00C1479D"/>
    <w:rsid w:val="00C1583B"/>
    <w:rsid w:val="00C167AF"/>
    <w:rsid w:val="00C17242"/>
    <w:rsid w:val="00C200AA"/>
    <w:rsid w:val="00C20428"/>
    <w:rsid w:val="00C20B39"/>
    <w:rsid w:val="00C20DCC"/>
    <w:rsid w:val="00C21626"/>
    <w:rsid w:val="00C21C85"/>
    <w:rsid w:val="00C2264F"/>
    <w:rsid w:val="00C23417"/>
    <w:rsid w:val="00C237ED"/>
    <w:rsid w:val="00C24632"/>
    <w:rsid w:val="00C24846"/>
    <w:rsid w:val="00C25418"/>
    <w:rsid w:val="00C25D9C"/>
    <w:rsid w:val="00C2778B"/>
    <w:rsid w:val="00C278FE"/>
    <w:rsid w:val="00C30C5B"/>
    <w:rsid w:val="00C31649"/>
    <w:rsid w:val="00C3770C"/>
    <w:rsid w:val="00C40385"/>
    <w:rsid w:val="00C45090"/>
    <w:rsid w:val="00C475AA"/>
    <w:rsid w:val="00C520B1"/>
    <w:rsid w:val="00C52EFC"/>
    <w:rsid w:val="00C5372B"/>
    <w:rsid w:val="00C5786B"/>
    <w:rsid w:val="00C625CC"/>
    <w:rsid w:val="00C63C62"/>
    <w:rsid w:val="00C65576"/>
    <w:rsid w:val="00C66165"/>
    <w:rsid w:val="00C6628F"/>
    <w:rsid w:val="00C666C4"/>
    <w:rsid w:val="00C7151A"/>
    <w:rsid w:val="00C71A91"/>
    <w:rsid w:val="00C71F60"/>
    <w:rsid w:val="00C72241"/>
    <w:rsid w:val="00C72B8D"/>
    <w:rsid w:val="00C74204"/>
    <w:rsid w:val="00C750C8"/>
    <w:rsid w:val="00C754C5"/>
    <w:rsid w:val="00C7560F"/>
    <w:rsid w:val="00C769A9"/>
    <w:rsid w:val="00C80A0E"/>
    <w:rsid w:val="00C81636"/>
    <w:rsid w:val="00C816CB"/>
    <w:rsid w:val="00C8213F"/>
    <w:rsid w:val="00C835C1"/>
    <w:rsid w:val="00C85C67"/>
    <w:rsid w:val="00C8797A"/>
    <w:rsid w:val="00C900B8"/>
    <w:rsid w:val="00C904FD"/>
    <w:rsid w:val="00C90C71"/>
    <w:rsid w:val="00C931CF"/>
    <w:rsid w:val="00C938CF"/>
    <w:rsid w:val="00C9481E"/>
    <w:rsid w:val="00C9624D"/>
    <w:rsid w:val="00C969DA"/>
    <w:rsid w:val="00C9758A"/>
    <w:rsid w:val="00CA018B"/>
    <w:rsid w:val="00CA0F03"/>
    <w:rsid w:val="00CA2C77"/>
    <w:rsid w:val="00CA37D6"/>
    <w:rsid w:val="00CA444F"/>
    <w:rsid w:val="00CA4C6A"/>
    <w:rsid w:val="00CA5245"/>
    <w:rsid w:val="00CA646F"/>
    <w:rsid w:val="00CA6554"/>
    <w:rsid w:val="00CA6A79"/>
    <w:rsid w:val="00CA71F4"/>
    <w:rsid w:val="00CA7B09"/>
    <w:rsid w:val="00CA7E59"/>
    <w:rsid w:val="00CB08F2"/>
    <w:rsid w:val="00CB24A6"/>
    <w:rsid w:val="00CB2F2A"/>
    <w:rsid w:val="00CB318C"/>
    <w:rsid w:val="00CB4315"/>
    <w:rsid w:val="00CB4CFF"/>
    <w:rsid w:val="00CB5B1A"/>
    <w:rsid w:val="00CB6B22"/>
    <w:rsid w:val="00CB7F5F"/>
    <w:rsid w:val="00CC1B39"/>
    <w:rsid w:val="00CC528B"/>
    <w:rsid w:val="00CD0AB0"/>
    <w:rsid w:val="00CD359B"/>
    <w:rsid w:val="00CD480A"/>
    <w:rsid w:val="00CD66B0"/>
    <w:rsid w:val="00CD67CE"/>
    <w:rsid w:val="00CD6ADC"/>
    <w:rsid w:val="00CD7EEA"/>
    <w:rsid w:val="00CE0782"/>
    <w:rsid w:val="00CE1571"/>
    <w:rsid w:val="00CE291E"/>
    <w:rsid w:val="00CE2E5D"/>
    <w:rsid w:val="00CE575A"/>
    <w:rsid w:val="00CE5ECC"/>
    <w:rsid w:val="00CE6274"/>
    <w:rsid w:val="00CF2B8D"/>
    <w:rsid w:val="00CF456B"/>
    <w:rsid w:val="00CF5A22"/>
    <w:rsid w:val="00CF6BB7"/>
    <w:rsid w:val="00CF70DD"/>
    <w:rsid w:val="00D0011F"/>
    <w:rsid w:val="00D00125"/>
    <w:rsid w:val="00D015C8"/>
    <w:rsid w:val="00D0262E"/>
    <w:rsid w:val="00D049AD"/>
    <w:rsid w:val="00D07AB8"/>
    <w:rsid w:val="00D10A88"/>
    <w:rsid w:val="00D110BD"/>
    <w:rsid w:val="00D129E0"/>
    <w:rsid w:val="00D13016"/>
    <w:rsid w:val="00D134A9"/>
    <w:rsid w:val="00D134E3"/>
    <w:rsid w:val="00D13675"/>
    <w:rsid w:val="00D141E1"/>
    <w:rsid w:val="00D17D6C"/>
    <w:rsid w:val="00D201BD"/>
    <w:rsid w:val="00D2293D"/>
    <w:rsid w:val="00D23754"/>
    <w:rsid w:val="00D2707A"/>
    <w:rsid w:val="00D2754D"/>
    <w:rsid w:val="00D27B27"/>
    <w:rsid w:val="00D309EA"/>
    <w:rsid w:val="00D331A1"/>
    <w:rsid w:val="00D33562"/>
    <w:rsid w:val="00D33BE9"/>
    <w:rsid w:val="00D357FF"/>
    <w:rsid w:val="00D365E5"/>
    <w:rsid w:val="00D36DFB"/>
    <w:rsid w:val="00D41E6D"/>
    <w:rsid w:val="00D424C7"/>
    <w:rsid w:val="00D42CB5"/>
    <w:rsid w:val="00D43B2A"/>
    <w:rsid w:val="00D47575"/>
    <w:rsid w:val="00D5134B"/>
    <w:rsid w:val="00D51B17"/>
    <w:rsid w:val="00D52493"/>
    <w:rsid w:val="00D5768D"/>
    <w:rsid w:val="00D60595"/>
    <w:rsid w:val="00D60C44"/>
    <w:rsid w:val="00D6260E"/>
    <w:rsid w:val="00D66CC1"/>
    <w:rsid w:val="00D70F16"/>
    <w:rsid w:val="00D73979"/>
    <w:rsid w:val="00D74057"/>
    <w:rsid w:val="00D75A3E"/>
    <w:rsid w:val="00D7610D"/>
    <w:rsid w:val="00D76A44"/>
    <w:rsid w:val="00D815EF"/>
    <w:rsid w:val="00D84C92"/>
    <w:rsid w:val="00D85BE1"/>
    <w:rsid w:val="00D86B51"/>
    <w:rsid w:val="00D91923"/>
    <w:rsid w:val="00D93753"/>
    <w:rsid w:val="00D9721C"/>
    <w:rsid w:val="00D97E14"/>
    <w:rsid w:val="00DA3167"/>
    <w:rsid w:val="00DA4DC3"/>
    <w:rsid w:val="00DA5023"/>
    <w:rsid w:val="00DA552B"/>
    <w:rsid w:val="00DA565B"/>
    <w:rsid w:val="00DA77A5"/>
    <w:rsid w:val="00DA77A6"/>
    <w:rsid w:val="00DB08E5"/>
    <w:rsid w:val="00DB0DA3"/>
    <w:rsid w:val="00DB17A3"/>
    <w:rsid w:val="00DB2765"/>
    <w:rsid w:val="00DB3124"/>
    <w:rsid w:val="00DB484F"/>
    <w:rsid w:val="00DC04F6"/>
    <w:rsid w:val="00DC263C"/>
    <w:rsid w:val="00DC3C57"/>
    <w:rsid w:val="00DC4A2E"/>
    <w:rsid w:val="00DC4D43"/>
    <w:rsid w:val="00DC500D"/>
    <w:rsid w:val="00DC5501"/>
    <w:rsid w:val="00DC5F81"/>
    <w:rsid w:val="00DD0B75"/>
    <w:rsid w:val="00DD273C"/>
    <w:rsid w:val="00DD3369"/>
    <w:rsid w:val="00DD3F28"/>
    <w:rsid w:val="00DD44B2"/>
    <w:rsid w:val="00DD4537"/>
    <w:rsid w:val="00DD4E15"/>
    <w:rsid w:val="00DE3138"/>
    <w:rsid w:val="00DE37F8"/>
    <w:rsid w:val="00DE4FCB"/>
    <w:rsid w:val="00DE6626"/>
    <w:rsid w:val="00DE7832"/>
    <w:rsid w:val="00DF18FC"/>
    <w:rsid w:val="00DF2FB2"/>
    <w:rsid w:val="00DF39B9"/>
    <w:rsid w:val="00DF3B00"/>
    <w:rsid w:val="00DF4E8A"/>
    <w:rsid w:val="00DF558C"/>
    <w:rsid w:val="00DF5D2B"/>
    <w:rsid w:val="00DF619E"/>
    <w:rsid w:val="00DF71F1"/>
    <w:rsid w:val="00E00E8E"/>
    <w:rsid w:val="00E04A50"/>
    <w:rsid w:val="00E05001"/>
    <w:rsid w:val="00E05630"/>
    <w:rsid w:val="00E05DE0"/>
    <w:rsid w:val="00E06DBB"/>
    <w:rsid w:val="00E07089"/>
    <w:rsid w:val="00E10149"/>
    <w:rsid w:val="00E11D83"/>
    <w:rsid w:val="00E11F1D"/>
    <w:rsid w:val="00E1293B"/>
    <w:rsid w:val="00E15547"/>
    <w:rsid w:val="00E15683"/>
    <w:rsid w:val="00E15BBE"/>
    <w:rsid w:val="00E16372"/>
    <w:rsid w:val="00E16AA8"/>
    <w:rsid w:val="00E2074C"/>
    <w:rsid w:val="00E20E4D"/>
    <w:rsid w:val="00E20ED6"/>
    <w:rsid w:val="00E21358"/>
    <w:rsid w:val="00E2249B"/>
    <w:rsid w:val="00E22A0D"/>
    <w:rsid w:val="00E23303"/>
    <w:rsid w:val="00E2467B"/>
    <w:rsid w:val="00E26988"/>
    <w:rsid w:val="00E2771E"/>
    <w:rsid w:val="00E334E6"/>
    <w:rsid w:val="00E34948"/>
    <w:rsid w:val="00E36BF5"/>
    <w:rsid w:val="00E37569"/>
    <w:rsid w:val="00E41E30"/>
    <w:rsid w:val="00E43D70"/>
    <w:rsid w:val="00E44A2D"/>
    <w:rsid w:val="00E44AB1"/>
    <w:rsid w:val="00E466F3"/>
    <w:rsid w:val="00E47B2C"/>
    <w:rsid w:val="00E51560"/>
    <w:rsid w:val="00E5399E"/>
    <w:rsid w:val="00E54347"/>
    <w:rsid w:val="00E55424"/>
    <w:rsid w:val="00E55BB5"/>
    <w:rsid w:val="00E56D92"/>
    <w:rsid w:val="00E574E7"/>
    <w:rsid w:val="00E6299B"/>
    <w:rsid w:val="00E64249"/>
    <w:rsid w:val="00E65A0E"/>
    <w:rsid w:val="00E65E79"/>
    <w:rsid w:val="00E66BA2"/>
    <w:rsid w:val="00E67416"/>
    <w:rsid w:val="00E67AB7"/>
    <w:rsid w:val="00E7157A"/>
    <w:rsid w:val="00E718B6"/>
    <w:rsid w:val="00E723BA"/>
    <w:rsid w:val="00E733DF"/>
    <w:rsid w:val="00E7350B"/>
    <w:rsid w:val="00E73581"/>
    <w:rsid w:val="00E73AC7"/>
    <w:rsid w:val="00E76746"/>
    <w:rsid w:val="00E776A1"/>
    <w:rsid w:val="00E807AB"/>
    <w:rsid w:val="00E833F7"/>
    <w:rsid w:val="00E83BDF"/>
    <w:rsid w:val="00E852BF"/>
    <w:rsid w:val="00E87A1D"/>
    <w:rsid w:val="00E87E93"/>
    <w:rsid w:val="00E9068E"/>
    <w:rsid w:val="00E91E22"/>
    <w:rsid w:val="00E926A5"/>
    <w:rsid w:val="00E92A01"/>
    <w:rsid w:val="00E94C21"/>
    <w:rsid w:val="00E94CFA"/>
    <w:rsid w:val="00E95A5C"/>
    <w:rsid w:val="00EA078B"/>
    <w:rsid w:val="00EA1311"/>
    <w:rsid w:val="00EA17C3"/>
    <w:rsid w:val="00EA2CAA"/>
    <w:rsid w:val="00EA2E65"/>
    <w:rsid w:val="00EA2FB8"/>
    <w:rsid w:val="00EA3864"/>
    <w:rsid w:val="00EB00B9"/>
    <w:rsid w:val="00EB01A8"/>
    <w:rsid w:val="00EB15B6"/>
    <w:rsid w:val="00EB1AA8"/>
    <w:rsid w:val="00EB2C9E"/>
    <w:rsid w:val="00EB35C1"/>
    <w:rsid w:val="00EB3BE5"/>
    <w:rsid w:val="00EB4916"/>
    <w:rsid w:val="00EB54F1"/>
    <w:rsid w:val="00EB5534"/>
    <w:rsid w:val="00EB6499"/>
    <w:rsid w:val="00EB77D9"/>
    <w:rsid w:val="00EB7873"/>
    <w:rsid w:val="00EC00C9"/>
    <w:rsid w:val="00EC2649"/>
    <w:rsid w:val="00EC2F40"/>
    <w:rsid w:val="00EC718D"/>
    <w:rsid w:val="00EC7F93"/>
    <w:rsid w:val="00ED04A9"/>
    <w:rsid w:val="00ED3857"/>
    <w:rsid w:val="00ED3B21"/>
    <w:rsid w:val="00ED3C05"/>
    <w:rsid w:val="00ED41AF"/>
    <w:rsid w:val="00ED4F87"/>
    <w:rsid w:val="00ED57EA"/>
    <w:rsid w:val="00EE07D3"/>
    <w:rsid w:val="00EE1C69"/>
    <w:rsid w:val="00EE22AF"/>
    <w:rsid w:val="00EE363E"/>
    <w:rsid w:val="00EE3808"/>
    <w:rsid w:val="00EE4FEB"/>
    <w:rsid w:val="00EE5799"/>
    <w:rsid w:val="00EE616B"/>
    <w:rsid w:val="00EF0171"/>
    <w:rsid w:val="00EF1B25"/>
    <w:rsid w:val="00EF4747"/>
    <w:rsid w:val="00EF4BF8"/>
    <w:rsid w:val="00EF52CB"/>
    <w:rsid w:val="00EF55D8"/>
    <w:rsid w:val="00F00FDD"/>
    <w:rsid w:val="00F02253"/>
    <w:rsid w:val="00F02FD5"/>
    <w:rsid w:val="00F033F0"/>
    <w:rsid w:val="00F03C2E"/>
    <w:rsid w:val="00F03FC7"/>
    <w:rsid w:val="00F04A66"/>
    <w:rsid w:val="00F04EC0"/>
    <w:rsid w:val="00F0516C"/>
    <w:rsid w:val="00F067A2"/>
    <w:rsid w:val="00F07FC1"/>
    <w:rsid w:val="00F1033C"/>
    <w:rsid w:val="00F10EC4"/>
    <w:rsid w:val="00F12371"/>
    <w:rsid w:val="00F1263A"/>
    <w:rsid w:val="00F14B6A"/>
    <w:rsid w:val="00F14EEF"/>
    <w:rsid w:val="00F161BC"/>
    <w:rsid w:val="00F17B88"/>
    <w:rsid w:val="00F2050C"/>
    <w:rsid w:val="00F21573"/>
    <w:rsid w:val="00F24837"/>
    <w:rsid w:val="00F2575F"/>
    <w:rsid w:val="00F274D1"/>
    <w:rsid w:val="00F27565"/>
    <w:rsid w:val="00F27DD5"/>
    <w:rsid w:val="00F310D4"/>
    <w:rsid w:val="00F31D5A"/>
    <w:rsid w:val="00F33DE9"/>
    <w:rsid w:val="00F358D0"/>
    <w:rsid w:val="00F3619A"/>
    <w:rsid w:val="00F36E44"/>
    <w:rsid w:val="00F401B7"/>
    <w:rsid w:val="00F40AAA"/>
    <w:rsid w:val="00F40BA7"/>
    <w:rsid w:val="00F41AE0"/>
    <w:rsid w:val="00F42BD0"/>
    <w:rsid w:val="00F43D61"/>
    <w:rsid w:val="00F456AB"/>
    <w:rsid w:val="00F45764"/>
    <w:rsid w:val="00F46C29"/>
    <w:rsid w:val="00F46CB6"/>
    <w:rsid w:val="00F47DE8"/>
    <w:rsid w:val="00F50C7C"/>
    <w:rsid w:val="00F540AA"/>
    <w:rsid w:val="00F542C1"/>
    <w:rsid w:val="00F55E73"/>
    <w:rsid w:val="00F55EDA"/>
    <w:rsid w:val="00F566FB"/>
    <w:rsid w:val="00F60049"/>
    <w:rsid w:val="00F60092"/>
    <w:rsid w:val="00F629D0"/>
    <w:rsid w:val="00F648FB"/>
    <w:rsid w:val="00F64B9D"/>
    <w:rsid w:val="00F64C2A"/>
    <w:rsid w:val="00F65F4B"/>
    <w:rsid w:val="00F70C9D"/>
    <w:rsid w:val="00F71290"/>
    <w:rsid w:val="00F71A5A"/>
    <w:rsid w:val="00F72641"/>
    <w:rsid w:val="00F73B36"/>
    <w:rsid w:val="00F74CD9"/>
    <w:rsid w:val="00F74EDA"/>
    <w:rsid w:val="00F75CBB"/>
    <w:rsid w:val="00F76FC1"/>
    <w:rsid w:val="00F80A7B"/>
    <w:rsid w:val="00F80E5D"/>
    <w:rsid w:val="00F819B0"/>
    <w:rsid w:val="00F827B9"/>
    <w:rsid w:val="00F84F98"/>
    <w:rsid w:val="00F851CE"/>
    <w:rsid w:val="00F87429"/>
    <w:rsid w:val="00F90D28"/>
    <w:rsid w:val="00F91219"/>
    <w:rsid w:val="00F93B20"/>
    <w:rsid w:val="00F94180"/>
    <w:rsid w:val="00F96A4D"/>
    <w:rsid w:val="00F97A78"/>
    <w:rsid w:val="00FA0B20"/>
    <w:rsid w:val="00FA1F8C"/>
    <w:rsid w:val="00FA24E7"/>
    <w:rsid w:val="00FA56BC"/>
    <w:rsid w:val="00FA5828"/>
    <w:rsid w:val="00FB1AF3"/>
    <w:rsid w:val="00FB2D70"/>
    <w:rsid w:val="00FB2FCB"/>
    <w:rsid w:val="00FB5026"/>
    <w:rsid w:val="00FB539A"/>
    <w:rsid w:val="00FC1074"/>
    <w:rsid w:val="00FC1884"/>
    <w:rsid w:val="00FC371D"/>
    <w:rsid w:val="00FC4118"/>
    <w:rsid w:val="00FC4764"/>
    <w:rsid w:val="00FC5F0B"/>
    <w:rsid w:val="00FD05FC"/>
    <w:rsid w:val="00FD10F3"/>
    <w:rsid w:val="00FD16AF"/>
    <w:rsid w:val="00FD2100"/>
    <w:rsid w:val="00FD2E89"/>
    <w:rsid w:val="00FD30DF"/>
    <w:rsid w:val="00FD436C"/>
    <w:rsid w:val="00FD446D"/>
    <w:rsid w:val="00FD6394"/>
    <w:rsid w:val="00FD6D89"/>
    <w:rsid w:val="00FE0E6C"/>
    <w:rsid w:val="00FE3B12"/>
    <w:rsid w:val="00FE5D3F"/>
    <w:rsid w:val="00FE70C3"/>
    <w:rsid w:val="00FF3DCF"/>
    <w:rsid w:val="00FF492C"/>
    <w:rsid w:val="00FF4A21"/>
    <w:rsid w:val="00FF5AA3"/>
    <w:rsid w:val="00FF5AD8"/>
    <w:rsid w:val="00FF64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86D60"/>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777DFF"/>
    <w:pPr>
      <w:spacing w:before="120"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77DFF"/>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7F0733"/>
    <w:pPr>
      <w:spacing w:after="160"/>
      <w:contextualSpacing/>
    </w:pPr>
    <w:rPr>
      <w:rFonts w:ascii="Arial Narrow" w:hAnsi="Arial Narrow"/>
      <w:sz w:val="18"/>
    </w:rPr>
  </w:style>
  <w:style w:type="character" w:customStyle="1" w:styleId="TableFooterChar">
    <w:name w:val="Table Footer Char"/>
    <w:link w:val="TableFooter"/>
    <w:rsid w:val="007F0733"/>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5160F0"/>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54311"/>
    <w:pPr>
      <w:numPr>
        <w:numId w:val="8"/>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32069C"/>
    <w:pPr>
      <w:keepNext/>
      <w:widowControl/>
      <w:spacing w:before="40" w:after="40"/>
      <w:jc w:val="left"/>
    </w:pPr>
    <w:rPr>
      <w:rFonts w:ascii="Arial Narrow" w:eastAsiaTheme="minorHAnsi" w:hAnsi="Arial Narrow" w:cstheme="minorBidi"/>
      <w:snapToGrid/>
      <w:sz w:val="20"/>
    </w:rPr>
  </w:style>
  <w:style w:type="character" w:customStyle="1" w:styleId="Heading1Char">
    <w:name w:val="Heading 1 Char"/>
    <w:basedOn w:val="DefaultParagraphFont"/>
    <w:link w:val="Heading1"/>
    <w:rsid w:val="00E76746"/>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E76746"/>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E76746"/>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E76746"/>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E76746"/>
    <w:rPr>
      <w:rFonts w:ascii="Calibri" w:hAnsi="Calibri" w:cs="Arial"/>
      <w:b/>
      <w:bCs/>
      <w:i/>
      <w:snapToGrid w:val="0"/>
      <w:sz w:val="24"/>
      <w:szCs w:val="22"/>
      <w:lang w:eastAsia="en-US"/>
    </w:rPr>
  </w:style>
  <w:style w:type="paragraph" w:customStyle="1" w:styleId="Default">
    <w:name w:val="Default"/>
    <w:rsid w:val="00E76746"/>
    <w:pPr>
      <w:autoSpaceDE w:val="0"/>
      <w:autoSpaceDN w:val="0"/>
      <w:adjustRightInd w:val="0"/>
    </w:pPr>
    <w:rPr>
      <w:rFonts w:ascii="Calibri" w:eastAsiaTheme="minorHAnsi" w:hAnsi="Calibri" w:cs="Calibri"/>
      <w:color w:val="000000"/>
      <w:sz w:val="24"/>
      <w:szCs w:val="24"/>
      <w:lang w:eastAsia="en-US"/>
    </w:rPr>
  </w:style>
  <w:style w:type="paragraph" w:customStyle="1" w:styleId="TableHeading0">
    <w:name w:val="Table Heading"/>
    <w:basedOn w:val="Normal"/>
    <w:qFormat/>
    <w:rsid w:val="00E76746"/>
    <w:pPr>
      <w:keepNext/>
      <w:widowControl/>
      <w:spacing w:after="60"/>
      <w:jc w:val="left"/>
    </w:pPr>
    <w:rPr>
      <w:rFonts w:ascii="Arial Narrow" w:eastAsiaTheme="minorHAnsi" w:hAnsi="Arial Narrow" w:cstheme="minorBidi"/>
      <w:b/>
      <w:snapToGrid/>
      <w:sz w:val="20"/>
    </w:rPr>
  </w:style>
  <w:style w:type="paragraph" w:styleId="BodyText3">
    <w:name w:val="Body Text 3"/>
    <w:basedOn w:val="Normal"/>
    <w:link w:val="BodyText3Char"/>
    <w:unhideWhenUsed/>
    <w:rsid w:val="00E76746"/>
    <w:pPr>
      <w:spacing w:after="120"/>
    </w:pPr>
    <w:rPr>
      <w:sz w:val="16"/>
      <w:szCs w:val="16"/>
    </w:rPr>
  </w:style>
  <w:style w:type="character" w:customStyle="1" w:styleId="BodyText3Char">
    <w:name w:val="Body Text 3 Char"/>
    <w:basedOn w:val="DefaultParagraphFont"/>
    <w:link w:val="BodyText3"/>
    <w:rsid w:val="00E76746"/>
    <w:rPr>
      <w:rFonts w:ascii="Calibri" w:hAnsi="Calibri" w:cs="Arial"/>
      <w:snapToGrid w:val="0"/>
      <w:sz w:val="16"/>
      <w:szCs w:val="16"/>
      <w:lang w:eastAsia="en-US"/>
    </w:rPr>
  </w:style>
  <w:style w:type="table" w:customStyle="1" w:styleId="Summarybox8">
    <w:name w:val="Summary box8"/>
    <w:basedOn w:val="TableNormal"/>
    <w:next w:val="TableGrid"/>
    <w:uiPriority w:val="59"/>
    <w:rsid w:val="00E76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uiPriority w:val="59"/>
    <w:rsid w:val="00E7674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AD75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00FDD"/>
    <w:pPr>
      <w:widowControl/>
      <w:spacing w:after="160" w:line="240" w:lineRule="exact"/>
      <w:jc w:val="left"/>
    </w:pPr>
    <w:rPr>
      <w:rFonts w:ascii="Verdana" w:eastAsia="MS Mincho" w:hAnsi="Verdana" w:cs="Verdana"/>
      <w:snapToGrid/>
      <w:sz w:val="20"/>
      <w:szCs w:val="20"/>
      <w:lang w:val="en-US"/>
    </w:rPr>
  </w:style>
  <w:style w:type="table" w:customStyle="1" w:styleId="Summarybox6">
    <w:name w:val="Summary box6"/>
    <w:basedOn w:val="TableNormal"/>
    <w:next w:val="TableGrid"/>
    <w:uiPriority w:val="59"/>
    <w:rsid w:val="00AE4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51415"/>
    <w:rPr>
      <w:sz w:val="20"/>
      <w:szCs w:val="20"/>
    </w:rPr>
  </w:style>
  <w:style w:type="character" w:customStyle="1" w:styleId="FootnoteTextChar">
    <w:name w:val="Footnote Text Char"/>
    <w:basedOn w:val="DefaultParagraphFont"/>
    <w:link w:val="FootnoteText"/>
    <w:semiHidden/>
    <w:rsid w:val="00051415"/>
    <w:rPr>
      <w:rFonts w:ascii="Calibri" w:hAnsi="Calibri" w:cs="Arial"/>
      <w:snapToGrid w:val="0"/>
      <w:lang w:eastAsia="en-US"/>
    </w:rPr>
  </w:style>
  <w:style w:type="character" w:styleId="FootnoteReference">
    <w:name w:val="footnote reference"/>
    <w:basedOn w:val="DefaultParagraphFont"/>
    <w:semiHidden/>
    <w:unhideWhenUsed/>
    <w:rsid w:val="00051415"/>
    <w:rPr>
      <w:vertAlign w:val="superscript"/>
    </w:rPr>
  </w:style>
  <w:style w:type="character" w:styleId="PlaceholderText">
    <w:name w:val="Placeholder Text"/>
    <w:basedOn w:val="DefaultParagraphFont"/>
    <w:uiPriority w:val="99"/>
    <w:semiHidden/>
    <w:rsid w:val="00346F41"/>
    <w:rPr>
      <w:color w:val="808080"/>
    </w:rPr>
  </w:style>
  <w:style w:type="paragraph" w:customStyle="1" w:styleId="Table-bodytext">
    <w:name w:val="Table - body text"/>
    <w:basedOn w:val="Normal"/>
    <w:link w:val="Table-bodytextChar"/>
    <w:rsid w:val="006D435A"/>
    <w:pPr>
      <w:adjustRightInd w:val="0"/>
      <w:jc w:val="center"/>
      <w:textAlignment w:val="baseline"/>
    </w:pPr>
    <w:rPr>
      <w:rFonts w:asciiTheme="minorHAnsi" w:hAnsiTheme="minorHAnsi"/>
      <w:snapToGrid/>
      <w:sz w:val="20"/>
      <w:szCs w:val="24"/>
    </w:rPr>
  </w:style>
  <w:style w:type="character" w:customStyle="1" w:styleId="Table-bodytextChar">
    <w:name w:val="Table - body text Char"/>
    <w:basedOn w:val="DefaultParagraphFont"/>
    <w:link w:val="Table-bodytext"/>
    <w:rsid w:val="006D435A"/>
    <w:rPr>
      <w:rFonts w:asciiTheme="minorHAnsi" w:hAnsiTheme="minorHAnsi" w:cs="Arial"/>
      <w:szCs w:val="24"/>
      <w:lang w:eastAsia="en-US"/>
    </w:rPr>
  </w:style>
  <w:style w:type="paragraph" w:customStyle="1" w:styleId="Table-bodytextLEFT">
    <w:name w:val="Table - body text LEFT"/>
    <w:basedOn w:val="Table-bodytext"/>
    <w:rsid w:val="006D435A"/>
    <w:pPr>
      <w:jc w:val="left"/>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86D60"/>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777DFF"/>
    <w:pPr>
      <w:spacing w:before="120"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77DFF"/>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7F0733"/>
    <w:pPr>
      <w:spacing w:after="160"/>
      <w:contextualSpacing/>
    </w:pPr>
    <w:rPr>
      <w:rFonts w:ascii="Arial Narrow" w:hAnsi="Arial Narrow"/>
      <w:sz w:val="18"/>
    </w:rPr>
  </w:style>
  <w:style w:type="character" w:customStyle="1" w:styleId="TableFooterChar">
    <w:name w:val="Table Footer Char"/>
    <w:link w:val="TableFooter"/>
    <w:rsid w:val="007F0733"/>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5160F0"/>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54311"/>
    <w:pPr>
      <w:numPr>
        <w:numId w:val="8"/>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32069C"/>
    <w:pPr>
      <w:keepNext/>
      <w:widowControl/>
      <w:spacing w:before="40" w:after="40"/>
      <w:jc w:val="left"/>
    </w:pPr>
    <w:rPr>
      <w:rFonts w:ascii="Arial Narrow" w:eastAsiaTheme="minorHAnsi" w:hAnsi="Arial Narrow" w:cstheme="minorBidi"/>
      <w:snapToGrid/>
      <w:sz w:val="20"/>
    </w:rPr>
  </w:style>
  <w:style w:type="character" w:customStyle="1" w:styleId="Heading1Char">
    <w:name w:val="Heading 1 Char"/>
    <w:basedOn w:val="DefaultParagraphFont"/>
    <w:link w:val="Heading1"/>
    <w:rsid w:val="00E76746"/>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E76746"/>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E76746"/>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E76746"/>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E76746"/>
    <w:rPr>
      <w:rFonts w:ascii="Calibri" w:hAnsi="Calibri" w:cs="Arial"/>
      <w:b/>
      <w:bCs/>
      <w:i/>
      <w:snapToGrid w:val="0"/>
      <w:sz w:val="24"/>
      <w:szCs w:val="22"/>
      <w:lang w:eastAsia="en-US"/>
    </w:rPr>
  </w:style>
  <w:style w:type="paragraph" w:customStyle="1" w:styleId="Default">
    <w:name w:val="Default"/>
    <w:rsid w:val="00E76746"/>
    <w:pPr>
      <w:autoSpaceDE w:val="0"/>
      <w:autoSpaceDN w:val="0"/>
      <w:adjustRightInd w:val="0"/>
    </w:pPr>
    <w:rPr>
      <w:rFonts w:ascii="Calibri" w:eastAsiaTheme="minorHAnsi" w:hAnsi="Calibri" w:cs="Calibri"/>
      <w:color w:val="000000"/>
      <w:sz w:val="24"/>
      <w:szCs w:val="24"/>
      <w:lang w:eastAsia="en-US"/>
    </w:rPr>
  </w:style>
  <w:style w:type="paragraph" w:customStyle="1" w:styleId="TableHeading0">
    <w:name w:val="Table Heading"/>
    <w:basedOn w:val="Normal"/>
    <w:qFormat/>
    <w:rsid w:val="00E76746"/>
    <w:pPr>
      <w:keepNext/>
      <w:widowControl/>
      <w:spacing w:after="60"/>
      <w:jc w:val="left"/>
    </w:pPr>
    <w:rPr>
      <w:rFonts w:ascii="Arial Narrow" w:eastAsiaTheme="minorHAnsi" w:hAnsi="Arial Narrow" w:cstheme="minorBidi"/>
      <w:b/>
      <w:snapToGrid/>
      <w:sz w:val="20"/>
    </w:rPr>
  </w:style>
  <w:style w:type="paragraph" w:styleId="BodyText3">
    <w:name w:val="Body Text 3"/>
    <w:basedOn w:val="Normal"/>
    <w:link w:val="BodyText3Char"/>
    <w:unhideWhenUsed/>
    <w:rsid w:val="00E76746"/>
    <w:pPr>
      <w:spacing w:after="120"/>
    </w:pPr>
    <w:rPr>
      <w:sz w:val="16"/>
      <w:szCs w:val="16"/>
    </w:rPr>
  </w:style>
  <w:style w:type="character" w:customStyle="1" w:styleId="BodyText3Char">
    <w:name w:val="Body Text 3 Char"/>
    <w:basedOn w:val="DefaultParagraphFont"/>
    <w:link w:val="BodyText3"/>
    <w:rsid w:val="00E76746"/>
    <w:rPr>
      <w:rFonts w:ascii="Calibri" w:hAnsi="Calibri" w:cs="Arial"/>
      <w:snapToGrid w:val="0"/>
      <w:sz w:val="16"/>
      <w:szCs w:val="16"/>
      <w:lang w:eastAsia="en-US"/>
    </w:rPr>
  </w:style>
  <w:style w:type="table" w:customStyle="1" w:styleId="Summarybox8">
    <w:name w:val="Summary box8"/>
    <w:basedOn w:val="TableNormal"/>
    <w:next w:val="TableGrid"/>
    <w:uiPriority w:val="59"/>
    <w:rsid w:val="00E76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uiPriority w:val="59"/>
    <w:rsid w:val="00E7674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AD75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00FDD"/>
    <w:pPr>
      <w:widowControl/>
      <w:spacing w:after="160" w:line="240" w:lineRule="exact"/>
      <w:jc w:val="left"/>
    </w:pPr>
    <w:rPr>
      <w:rFonts w:ascii="Verdana" w:eastAsia="MS Mincho" w:hAnsi="Verdana" w:cs="Verdana"/>
      <w:snapToGrid/>
      <w:sz w:val="20"/>
      <w:szCs w:val="20"/>
      <w:lang w:val="en-US"/>
    </w:rPr>
  </w:style>
  <w:style w:type="table" w:customStyle="1" w:styleId="Summarybox6">
    <w:name w:val="Summary box6"/>
    <w:basedOn w:val="TableNormal"/>
    <w:next w:val="TableGrid"/>
    <w:uiPriority w:val="59"/>
    <w:rsid w:val="00AE4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51415"/>
    <w:rPr>
      <w:sz w:val="20"/>
      <w:szCs w:val="20"/>
    </w:rPr>
  </w:style>
  <w:style w:type="character" w:customStyle="1" w:styleId="FootnoteTextChar">
    <w:name w:val="Footnote Text Char"/>
    <w:basedOn w:val="DefaultParagraphFont"/>
    <w:link w:val="FootnoteText"/>
    <w:semiHidden/>
    <w:rsid w:val="00051415"/>
    <w:rPr>
      <w:rFonts w:ascii="Calibri" w:hAnsi="Calibri" w:cs="Arial"/>
      <w:snapToGrid w:val="0"/>
      <w:lang w:eastAsia="en-US"/>
    </w:rPr>
  </w:style>
  <w:style w:type="character" w:styleId="FootnoteReference">
    <w:name w:val="footnote reference"/>
    <w:basedOn w:val="DefaultParagraphFont"/>
    <w:semiHidden/>
    <w:unhideWhenUsed/>
    <w:rsid w:val="00051415"/>
    <w:rPr>
      <w:vertAlign w:val="superscript"/>
    </w:rPr>
  </w:style>
  <w:style w:type="character" w:styleId="PlaceholderText">
    <w:name w:val="Placeholder Text"/>
    <w:basedOn w:val="DefaultParagraphFont"/>
    <w:uiPriority w:val="99"/>
    <w:semiHidden/>
    <w:rsid w:val="00346F41"/>
    <w:rPr>
      <w:color w:val="808080"/>
    </w:rPr>
  </w:style>
  <w:style w:type="paragraph" w:customStyle="1" w:styleId="Table-bodytext">
    <w:name w:val="Table - body text"/>
    <w:basedOn w:val="Normal"/>
    <w:link w:val="Table-bodytextChar"/>
    <w:rsid w:val="006D435A"/>
    <w:pPr>
      <w:adjustRightInd w:val="0"/>
      <w:jc w:val="center"/>
      <w:textAlignment w:val="baseline"/>
    </w:pPr>
    <w:rPr>
      <w:rFonts w:asciiTheme="minorHAnsi" w:hAnsiTheme="minorHAnsi"/>
      <w:snapToGrid/>
      <w:sz w:val="20"/>
      <w:szCs w:val="24"/>
    </w:rPr>
  </w:style>
  <w:style w:type="character" w:customStyle="1" w:styleId="Table-bodytextChar">
    <w:name w:val="Table - body text Char"/>
    <w:basedOn w:val="DefaultParagraphFont"/>
    <w:link w:val="Table-bodytext"/>
    <w:rsid w:val="006D435A"/>
    <w:rPr>
      <w:rFonts w:asciiTheme="minorHAnsi" w:hAnsiTheme="minorHAnsi" w:cs="Arial"/>
      <w:szCs w:val="24"/>
      <w:lang w:eastAsia="en-US"/>
    </w:rPr>
  </w:style>
  <w:style w:type="paragraph" w:customStyle="1" w:styleId="Table-bodytextLEFT">
    <w:name w:val="Table - body text LEFT"/>
    <w:basedOn w:val="Table-bodytext"/>
    <w:rsid w:val="006D435A"/>
    <w:pPr>
      <w:jc w:val="lef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363">
      <w:bodyDiv w:val="1"/>
      <w:marLeft w:val="0"/>
      <w:marRight w:val="0"/>
      <w:marTop w:val="0"/>
      <w:marBottom w:val="0"/>
      <w:divBdr>
        <w:top w:val="none" w:sz="0" w:space="0" w:color="auto"/>
        <w:left w:val="none" w:sz="0" w:space="0" w:color="auto"/>
        <w:bottom w:val="none" w:sz="0" w:space="0" w:color="auto"/>
        <w:right w:val="none" w:sz="0" w:space="0" w:color="auto"/>
      </w:divBdr>
      <w:divsChild>
        <w:div w:id="298611093">
          <w:marLeft w:val="547"/>
          <w:marRight w:val="0"/>
          <w:marTop w:val="120"/>
          <w:marBottom w:val="0"/>
          <w:divBdr>
            <w:top w:val="none" w:sz="0" w:space="0" w:color="auto"/>
            <w:left w:val="none" w:sz="0" w:space="0" w:color="auto"/>
            <w:bottom w:val="none" w:sz="0" w:space="0" w:color="auto"/>
            <w:right w:val="none" w:sz="0" w:space="0" w:color="auto"/>
          </w:divBdr>
        </w:div>
        <w:div w:id="999768136">
          <w:marLeft w:val="547"/>
          <w:marRight w:val="0"/>
          <w:marTop w:val="120"/>
          <w:marBottom w:val="0"/>
          <w:divBdr>
            <w:top w:val="none" w:sz="0" w:space="0" w:color="auto"/>
            <w:left w:val="none" w:sz="0" w:space="0" w:color="auto"/>
            <w:bottom w:val="none" w:sz="0" w:space="0" w:color="auto"/>
            <w:right w:val="none" w:sz="0" w:space="0" w:color="auto"/>
          </w:divBdr>
        </w:div>
        <w:div w:id="223226032">
          <w:marLeft w:val="1166"/>
          <w:marRight w:val="0"/>
          <w:marTop w:val="106"/>
          <w:marBottom w:val="0"/>
          <w:divBdr>
            <w:top w:val="none" w:sz="0" w:space="0" w:color="auto"/>
            <w:left w:val="none" w:sz="0" w:space="0" w:color="auto"/>
            <w:bottom w:val="none" w:sz="0" w:space="0" w:color="auto"/>
            <w:right w:val="none" w:sz="0" w:space="0" w:color="auto"/>
          </w:divBdr>
        </w:div>
        <w:div w:id="443885955">
          <w:marLeft w:val="1354"/>
          <w:marRight w:val="0"/>
          <w:marTop w:val="106"/>
          <w:marBottom w:val="0"/>
          <w:divBdr>
            <w:top w:val="none" w:sz="0" w:space="0" w:color="auto"/>
            <w:left w:val="none" w:sz="0" w:space="0" w:color="auto"/>
            <w:bottom w:val="none" w:sz="0" w:space="0" w:color="auto"/>
            <w:right w:val="none" w:sz="0" w:space="0" w:color="auto"/>
          </w:divBdr>
        </w:div>
        <w:div w:id="1749427037">
          <w:marLeft w:val="720"/>
          <w:marRight w:val="0"/>
          <w:marTop w:val="120"/>
          <w:marBottom w:val="0"/>
          <w:divBdr>
            <w:top w:val="none" w:sz="0" w:space="0" w:color="auto"/>
            <w:left w:val="none" w:sz="0" w:space="0" w:color="auto"/>
            <w:bottom w:val="none" w:sz="0" w:space="0" w:color="auto"/>
            <w:right w:val="none" w:sz="0" w:space="0" w:color="auto"/>
          </w:divBdr>
        </w:div>
        <w:div w:id="1649018687">
          <w:marLeft w:val="720"/>
          <w:marRight w:val="0"/>
          <w:marTop w:val="120"/>
          <w:marBottom w:val="0"/>
          <w:divBdr>
            <w:top w:val="none" w:sz="0" w:space="0" w:color="auto"/>
            <w:left w:val="none" w:sz="0" w:space="0" w:color="auto"/>
            <w:bottom w:val="none" w:sz="0" w:space="0" w:color="auto"/>
            <w:right w:val="none" w:sz="0" w:space="0" w:color="auto"/>
          </w:divBdr>
        </w:div>
      </w:divsChild>
    </w:div>
    <w:div w:id="1239945421">
      <w:bodyDiv w:val="1"/>
      <w:marLeft w:val="0"/>
      <w:marRight w:val="0"/>
      <w:marTop w:val="0"/>
      <w:marBottom w:val="0"/>
      <w:divBdr>
        <w:top w:val="none" w:sz="0" w:space="0" w:color="auto"/>
        <w:left w:val="none" w:sz="0" w:space="0" w:color="auto"/>
        <w:bottom w:val="none" w:sz="0" w:space="0" w:color="auto"/>
        <w:right w:val="none" w:sz="0" w:space="0" w:color="auto"/>
      </w:divBdr>
      <w:divsChild>
        <w:div w:id="1333492292">
          <w:marLeft w:val="547"/>
          <w:marRight w:val="0"/>
          <w:marTop w:val="115"/>
          <w:marBottom w:val="0"/>
          <w:divBdr>
            <w:top w:val="none" w:sz="0" w:space="0" w:color="auto"/>
            <w:left w:val="none" w:sz="0" w:space="0" w:color="auto"/>
            <w:bottom w:val="none" w:sz="0" w:space="0" w:color="auto"/>
            <w:right w:val="none" w:sz="0" w:space="0" w:color="auto"/>
          </w:divBdr>
        </w:div>
        <w:div w:id="347679736">
          <w:marLeft w:val="547"/>
          <w:marRight w:val="0"/>
          <w:marTop w:val="115"/>
          <w:marBottom w:val="0"/>
          <w:divBdr>
            <w:top w:val="none" w:sz="0" w:space="0" w:color="auto"/>
            <w:left w:val="none" w:sz="0" w:space="0" w:color="auto"/>
            <w:bottom w:val="none" w:sz="0" w:space="0" w:color="auto"/>
            <w:right w:val="none" w:sz="0" w:space="0" w:color="auto"/>
          </w:divBdr>
        </w:div>
        <w:div w:id="32655889">
          <w:marLeft w:val="547"/>
          <w:marRight w:val="0"/>
          <w:marTop w:val="115"/>
          <w:marBottom w:val="0"/>
          <w:divBdr>
            <w:top w:val="none" w:sz="0" w:space="0" w:color="auto"/>
            <w:left w:val="none" w:sz="0" w:space="0" w:color="auto"/>
            <w:bottom w:val="none" w:sz="0" w:space="0" w:color="auto"/>
            <w:right w:val="none" w:sz="0" w:space="0" w:color="auto"/>
          </w:divBdr>
        </w:div>
        <w:div w:id="347219222">
          <w:marLeft w:val="547"/>
          <w:marRight w:val="0"/>
          <w:marTop w:val="115"/>
          <w:marBottom w:val="0"/>
          <w:divBdr>
            <w:top w:val="none" w:sz="0" w:space="0" w:color="auto"/>
            <w:left w:val="none" w:sz="0" w:space="0" w:color="auto"/>
            <w:bottom w:val="none" w:sz="0" w:space="0" w:color="auto"/>
            <w:right w:val="none" w:sz="0" w:space="0" w:color="auto"/>
          </w:divBdr>
        </w:div>
      </w:divsChild>
    </w:div>
    <w:div w:id="1441994423">
      <w:bodyDiv w:val="1"/>
      <w:marLeft w:val="0"/>
      <w:marRight w:val="0"/>
      <w:marTop w:val="0"/>
      <w:marBottom w:val="0"/>
      <w:divBdr>
        <w:top w:val="none" w:sz="0" w:space="0" w:color="auto"/>
        <w:left w:val="none" w:sz="0" w:space="0" w:color="auto"/>
        <w:bottom w:val="none" w:sz="0" w:space="0" w:color="auto"/>
        <w:right w:val="none" w:sz="0" w:space="0" w:color="auto"/>
      </w:divBdr>
      <w:divsChild>
        <w:div w:id="938685934">
          <w:marLeft w:val="547"/>
          <w:marRight w:val="0"/>
          <w:marTop w:val="120"/>
          <w:marBottom w:val="0"/>
          <w:divBdr>
            <w:top w:val="none" w:sz="0" w:space="0" w:color="auto"/>
            <w:left w:val="none" w:sz="0" w:space="0" w:color="auto"/>
            <w:bottom w:val="none" w:sz="0" w:space="0" w:color="auto"/>
            <w:right w:val="none" w:sz="0" w:space="0" w:color="auto"/>
          </w:divBdr>
        </w:div>
        <w:div w:id="205870632">
          <w:marLeft w:val="547"/>
          <w:marRight w:val="0"/>
          <w:marTop w:val="120"/>
          <w:marBottom w:val="0"/>
          <w:divBdr>
            <w:top w:val="none" w:sz="0" w:space="0" w:color="auto"/>
            <w:left w:val="none" w:sz="0" w:space="0" w:color="auto"/>
            <w:bottom w:val="none" w:sz="0" w:space="0" w:color="auto"/>
            <w:right w:val="none" w:sz="0" w:space="0" w:color="auto"/>
          </w:divBdr>
        </w:div>
        <w:div w:id="76053002">
          <w:marLeft w:val="1166"/>
          <w:marRight w:val="0"/>
          <w:marTop w:val="106"/>
          <w:marBottom w:val="0"/>
          <w:divBdr>
            <w:top w:val="none" w:sz="0" w:space="0" w:color="auto"/>
            <w:left w:val="none" w:sz="0" w:space="0" w:color="auto"/>
            <w:bottom w:val="none" w:sz="0" w:space="0" w:color="auto"/>
            <w:right w:val="none" w:sz="0" w:space="0" w:color="auto"/>
          </w:divBdr>
        </w:div>
        <w:div w:id="1378817763">
          <w:marLeft w:val="1354"/>
          <w:marRight w:val="0"/>
          <w:marTop w:val="106"/>
          <w:marBottom w:val="0"/>
          <w:divBdr>
            <w:top w:val="none" w:sz="0" w:space="0" w:color="auto"/>
            <w:left w:val="none" w:sz="0" w:space="0" w:color="auto"/>
            <w:bottom w:val="none" w:sz="0" w:space="0" w:color="auto"/>
            <w:right w:val="none" w:sz="0" w:space="0" w:color="auto"/>
          </w:divBdr>
        </w:div>
        <w:div w:id="685139686">
          <w:marLeft w:val="720"/>
          <w:marRight w:val="0"/>
          <w:marTop w:val="120"/>
          <w:marBottom w:val="0"/>
          <w:divBdr>
            <w:top w:val="none" w:sz="0" w:space="0" w:color="auto"/>
            <w:left w:val="none" w:sz="0" w:space="0" w:color="auto"/>
            <w:bottom w:val="none" w:sz="0" w:space="0" w:color="auto"/>
            <w:right w:val="none" w:sz="0" w:space="0" w:color="auto"/>
          </w:divBdr>
        </w:div>
        <w:div w:id="723525409">
          <w:marLeft w:val="720"/>
          <w:marRight w:val="0"/>
          <w:marTop w:val="120"/>
          <w:marBottom w:val="0"/>
          <w:divBdr>
            <w:top w:val="none" w:sz="0" w:space="0" w:color="auto"/>
            <w:left w:val="none" w:sz="0" w:space="0" w:color="auto"/>
            <w:bottom w:val="none" w:sz="0" w:space="0" w:color="auto"/>
            <w:right w:val="none" w:sz="0" w:space="0" w:color="auto"/>
          </w:divBdr>
        </w:div>
      </w:divsChild>
    </w:div>
    <w:div w:id="1565942642">
      <w:bodyDiv w:val="1"/>
      <w:marLeft w:val="0"/>
      <w:marRight w:val="0"/>
      <w:marTop w:val="0"/>
      <w:marBottom w:val="0"/>
      <w:divBdr>
        <w:top w:val="none" w:sz="0" w:space="0" w:color="auto"/>
        <w:left w:val="none" w:sz="0" w:space="0" w:color="auto"/>
        <w:bottom w:val="none" w:sz="0" w:space="0" w:color="auto"/>
        <w:right w:val="none" w:sz="0" w:space="0" w:color="auto"/>
      </w:divBdr>
    </w:div>
    <w:div w:id="1586525639">
      <w:bodyDiv w:val="1"/>
      <w:marLeft w:val="0"/>
      <w:marRight w:val="0"/>
      <w:marTop w:val="0"/>
      <w:marBottom w:val="0"/>
      <w:divBdr>
        <w:top w:val="none" w:sz="0" w:space="0" w:color="auto"/>
        <w:left w:val="none" w:sz="0" w:space="0" w:color="auto"/>
        <w:bottom w:val="none" w:sz="0" w:space="0" w:color="auto"/>
        <w:right w:val="none" w:sz="0" w:space="0" w:color="auto"/>
      </w:divBdr>
      <w:divsChild>
        <w:div w:id="1384214248">
          <w:marLeft w:val="1166"/>
          <w:marRight w:val="0"/>
          <w:marTop w:val="96"/>
          <w:marBottom w:val="0"/>
          <w:divBdr>
            <w:top w:val="none" w:sz="0" w:space="0" w:color="auto"/>
            <w:left w:val="none" w:sz="0" w:space="0" w:color="auto"/>
            <w:bottom w:val="none" w:sz="0" w:space="0" w:color="auto"/>
            <w:right w:val="none" w:sz="0" w:space="0" w:color="auto"/>
          </w:divBdr>
        </w:div>
      </w:divsChild>
    </w:div>
    <w:div w:id="1971547896">
      <w:bodyDiv w:val="1"/>
      <w:marLeft w:val="0"/>
      <w:marRight w:val="0"/>
      <w:marTop w:val="0"/>
      <w:marBottom w:val="0"/>
      <w:divBdr>
        <w:top w:val="none" w:sz="0" w:space="0" w:color="auto"/>
        <w:left w:val="none" w:sz="0" w:space="0" w:color="auto"/>
        <w:bottom w:val="none" w:sz="0" w:space="0" w:color="auto"/>
        <w:right w:val="none" w:sz="0" w:space="0" w:color="auto"/>
      </w:divBdr>
      <w:divsChild>
        <w:div w:id="63841310">
          <w:marLeft w:val="547"/>
          <w:marRight w:val="0"/>
          <w:marTop w:val="154"/>
          <w:marBottom w:val="0"/>
          <w:divBdr>
            <w:top w:val="none" w:sz="0" w:space="0" w:color="auto"/>
            <w:left w:val="none" w:sz="0" w:space="0" w:color="auto"/>
            <w:bottom w:val="none" w:sz="0" w:space="0" w:color="auto"/>
            <w:right w:val="none" w:sz="0" w:space="0" w:color="auto"/>
          </w:divBdr>
        </w:div>
        <w:div w:id="7293803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12207</Words>
  <Characters>71067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2018-06-20T06:04:00Z</dcterms:created>
  <dcterms:modified xsi:type="dcterms:W3CDTF">2018-06-20T06:05:00Z</dcterms:modified>
</cp:coreProperties>
</file>