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5A" w:rsidRDefault="00B5030E" w:rsidP="00905D6A">
      <w:pPr>
        <w:ind w:left="709" w:hanging="709"/>
        <w:jc w:val="left"/>
        <w:outlineLvl w:val="0"/>
        <w:rPr>
          <w:b/>
          <w:sz w:val="36"/>
          <w:szCs w:val="36"/>
        </w:rPr>
      </w:pPr>
      <w:r>
        <w:rPr>
          <w:b/>
          <w:sz w:val="36"/>
          <w:szCs w:val="36"/>
        </w:rPr>
        <w:t>5.13</w:t>
      </w:r>
      <w:r w:rsidR="00B60939" w:rsidRPr="00C12C14">
        <w:rPr>
          <w:b/>
          <w:sz w:val="36"/>
          <w:szCs w:val="36"/>
        </w:rPr>
        <w:tab/>
      </w:r>
      <w:r w:rsidR="006E4ABF" w:rsidRPr="00B5030E">
        <w:rPr>
          <w:b/>
          <w:sz w:val="36"/>
          <w:szCs w:val="36"/>
        </w:rPr>
        <w:t xml:space="preserve">TRAMADOL HYDROCHLORIDE </w:t>
      </w:r>
    </w:p>
    <w:p w:rsidR="00B5030E" w:rsidRPr="00B5030E" w:rsidRDefault="006E4ABF" w:rsidP="00DB425A">
      <w:pPr>
        <w:ind w:left="709"/>
        <w:jc w:val="left"/>
        <w:rPr>
          <w:b/>
          <w:sz w:val="36"/>
          <w:szCs w:val="36"/>
        </w:rPr>
      </w:pPr>
      <w:r w:rsidRPr="00B5030E">
        <w:rPr>
          <w:b/>
          <w:sz w:val="36"/>
          <w:szCs w:val="36"/>
        </w:rPr>
        <w:t>WITH PARACETAMOL</w:t>
      </w:r>
      <w:r w:rsidR="00B5030E" w:rsidRPr="00B5030E">
        <w:rPr>
          <w:b/>
          <w:sz w:val="36"/>
          <w:szCs w:val="36"/>
        </w:rPr>
        <w:t xml:space="preserve">, </w:t>
      </w:r>
    </w:p>
    <w:p w:rsidR="00DB425A" w:rsidRDefault="00B5030E" w:rsidP="006E4ABF">
      <w:pPr>
        <w:ind w:left="709"/>
        <w:jc w:val="left"/>
        <w:rPr>
          <w:b/>
          <w:sz w:val="36"/>
          <w:szCs w:val="36"/>
        </w:rPr>
      </w:pPr>
      <w:r w:rsidRPr="00B5030E">
        <w:rPr>
          <w:b/>
          <w:sz w:val="36"/>
          <w:szCs w:val="36"/>
        </w:rPr>
        <w:t>Tablet containing tramadol hydrochlori</w:t>
      </w:r>
      <w:r>
        <w:rPr>
          <w:b/>
          <w:sz w:val="36"/>
          <w:szCs w:val="36"/>
        </w:rPr>
        <w:t xml:space="preserve">de 37.5 mg </w:t>
      </w:r>
    </w:p>
    <w:p w:rsidR="00B60939" w:rsidRDefault="00B5030E" w:rsidP="006E4ABF">
      <w:pPr>
        <w:ind w:left="709"/>
        <w:jc w:val="left"/>
        <w:rPr>
          <w:b/>
          <w:sz w:val="36"/>
          <w:szCs w:val="36"/>
        </w:rPr>
      </w:pPr>
      <w:proofErr w:type="gramStart"/>
      <w:r>
        <w:rPr>
          <w:b/>
          <w:sz w:val="36"/>
          <w:szCs w:val="36"/>
        </w:rPr>
        <w:t>with</w:t>
      </w:r>
      <w:proofErr w:type="gramEnd"/>
      <w:r>
        <w:rPr>
          <w:b/>
          <w:sz w:val="36"/>
          <w:szCs w:val="36"/>
        </w:rPr>
        <w:t xml:space="preserve"> paracetamol 325 </w:t>
      </w:r>
      <w:r w:rsidRPr="00B5030E">
        <w:rPr>
          <w:b/>
          <w:sz w:val="36"/>
          <w:szCs w:val="36"/>
        </w:rPr>
        <w:t>mg</w:t>
      </w:r>
      <w:r w:rsidR="00601DBC">
        <w:rPr>
          <w:b/>
          <w:sz w:val="36"/>
          <w:szCs w:val="36"/>
        </w:rPr>
        <w:t>,</w:t>
      </w:r>
      <w:r w:rsidR="006E4ABF">
        <w:rPr>
          <w:b/>
          <w:sz w:val="36"/>
          <w:szCs w:val="36"/>
        </w:rPr>
        <w:br/>
      </w:r>
      <w:proofErr w:type="spellStart"/>
      <w:r w:rsidR="00601DBC">
        <w:rPr>
          <w:b/>
          <w:sz w:val="36"/>
          <w:szCs w:val="36"/>
        </w:rPr>
        <w:t>Zaldiar</w:t>
      </w:r>
      <w:proofErr w:type="spellEnd"/>
      <w:r w:rsidR="00601DBC" w:rsidRPr="00B84D95">
        <w:rPr>
          <w:b/>
          <w:sz w:val="36"/>
          <w:szCs w:val="36"/>
        </w:rPr>
        <w:t>®</w:t>
      </w:r>
      <w:r w:rsidR="00601DBC" w:rsidRPr="00C12C14">
        <w:rPr>
          <w:b/>
          <w:sz w:val="36"/>
          <w:szCs w:val="36"/>
        </w:rPr>
        <w:t xml:space="preserve">, </w:t>
      </w:r>
      <w:r w:rsidR="00601DBC" w:rsidRPr="00D747F3">
        <w:rPr>
          <w:b/>
          <w:sz w:val="36"/>
          <w:szCs w:val="36"/>
        </w:rPr>
        <w:t>Aspen Pharmacare Australia Pty Ltd</w:t>
      </w:r>
      <w:r w:rsidR="00601DBC" w:rsidRPr="00C12C14">
        <w:rPr>
          <w:b/>
          <w:sz w:val="36"/>
          <w:szCs w:val="36"/>
        </w:rPr>
        <w:t>.</w:t>
      </w:r>
    </w:p>
    <w:p w:rsidR="00B350E1" w:rsidRPr="00905D6A" w:rsidRDefault="007E4255" w:rsidP="00055ED2">
      <w:pPr>
        <w:pStyle w:val="Heading1"/>
        <w:spacing w:before="240"/>
      </w:pPr>
      <w:bookmarkStart w:id="0" w:name="_Toc503971841"/>
      <w:r w:rsidRPr="00905D6A">
        <w:t>Purpose of Application</w:t>
      </w:r>
      <w:bookmarkEnd w:id="0"/>
    </w:p>
    <w:p w:rsidR="007E4255" w:rsidRPr="00D123EE" w:rsidRDefault="007E4255" w:rsidP="00FE5602">
      <w:pPr>
        <w:pStyle w:val="ListParagraph"/>
        <w:widowControl/>
        <w:numPr>
          <w:ilvl w:val="1"/>
          <w:numId w:val="1"/>
        </w:numPr>
        <w:spacing w:after="120"/>
      </w:pPr>
      <w:r w:rsidRPr="00D123EE">
        <w:t xml:space="preserve">The submission requested a Section 85, Restricted Benefit listing for the fixed dose combination (FDC) </w:t>
      </w:r>
      <w:r w:rsidR="009E34E9" w:rsidRPr="00D123EE">
        <w:t>of tramadol 37.5 mg/paracetamol 325 mg</w:t>
      </w:r>
      <w:r w:rsidRPr="00D123EE">
        <w:t xml:space="preserve"> for treatment of acute and chronic pain. The</w:t>
      </w:r>
      <w:r w:rsidR="009E34E9" w:rsidRPr="00D123EE">
        <w:t xml:space="preserve"> FDC of tramadol 37.5 mg/paracetamol 325 mg</w:t>
      </w:r>
      <w:r w:rsidRPr="00D123EE">
        <w:t xml:space="preserve"> has not been considered by the PBAC previously.</w:t>
      </w:r>
      <w:r w:rsidR="00455707">
        <w:t xml:space="preserve"> </w:t>
      </w:r>
      <w:r w:rsidR="009D567E">
        <w:t xml:space="preserve">The </w:t>
      </w:r>
      <w:r w:rsidR="00FE5602" w:rsidRPr="00FE5602">
        <w:t>Pre-Sub-Committee Response (</w:t>
      </w:r>
      <w:r w:rsidR="009D567E">
        <w:t>PSCR) proposed</w:t>
      </w:r>
      <w:r w:rsidR="00455707" w:rsidRPr="00B84D95">
        <w:t xml:space="preserve"> restricting the use of the FDC of tramadol 37.5 mg/paracetamol 325 mg to acute pain only</w:t>
      </w:r>
      <w:r w:rsidR="00D95E11" w:rsidRPr="00B84D95">
        <w:t>, with a Maximum Quantity of 20 and 2 repeats (compared with no repeats in the original proposal)</w:t>
      </w:r>
      <w:r w:rsidR="001C0C1F" w:rsidRPr="00B84D95">
        <w:t>.</w:t>
      </w:r>
      <w:r w:rsidR="00D95E11" w:rsidRPr="00B84D95">
        <w:t xml:space="preserve"> </w:t>
      </w:r>
      <w:r w:rsidR="00455707" w:rsidRPr="00B84D95">
        <w:t xml:space="preserve"> The ESC acknowledged this change to the proposed listing but considered that despite this change if the proposed FDC was listed substantial leakage to use in chronic pain would be likely, therefore issues raised specific to use in chronic pain may still be relevant.</w:t>
      </w:r>
    </w:p>
    <w:p w:rsidR="007A0BA2" w:rsidRPr="00D123EE" w:rsidRDefault="007E4255" w:rsidP="007A0BA2">
      <w:pPr>
        <w:pStyle w:val="ListParagraph"/>
        <w:widowControl/>
        <w:numPr>
          <w:ilvl w:val="1"/>
          <w:numId w:val="1"/>
        </w:numPr>
        <w:spacing w:after="120"/>
      </w:pPr>
      <w:r w:rsidRPr="00D123EE">
        <w:t>The basis for the submission was a cost-minimisation ana</w:t>
      </w:r>
      <w:r w:rsidR="007A0BA2">
        <w:t>lysis against tramadol 50 mg IR.</w:t>
      </w:r>
    </w:p>
    <w:p w:rsidR="007E4255" w:rsidRPr="00D123EE" w:rsidRDefault="007E4255" w:rsidP="005B2734">
      <w:pPr>
        <w:keepNext/>
        <w:rPr>
          <w:rStyle w:val="CommentReference"/>
        </w:rPr>
      </w:pPr>
      <w:r w:rsidRPr="00D123EE">
        <w:rPr>
          <w:rStyle w:val="CommentReference"/>
        </w:rPr>
        <w:t>Table 1: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84"/>
      </w:tblGrid>
      <w:tr w:rsidR="007E4255" w:rsidRPr="00D123EE" w:rsidTr="00DB06BF">
        <w:trPr>
          <w:cantSplit/>
          <w:tblHeader/>
        </w:trPr>
        <w:tc>
          <w:tcPr>
            <w:tcW w:w="1696" w:type="dxa"/>
            <w:shd w:val="clear" w:color="auto" w:fill="auto"/>
          </w:tcPr>
          <w:p w:rsidR="007E4255" w:rsidRPr="00D123EE" w:rsidRDefault="007E4255" w:rsidP="005B2734">
            <w:pPr>
              <w:pStyle w:val="Tabletext"/>
              <w:keepNext/>
              <w:rPr>
                <w:b/>
                <w:szCs w:val="20"/>
              </w:rPr>
            </w:pPr>
            <w:r w:rsidRPr="00D123EE">
              <w:rPr>
                <w:b/>
              </w:rPr>
              <w:t>Component</w:t>
            </w:r>
          </w:p>
        </w:tc>
        <w:tc>
          <w:tcPr>
            <w:tcW w:w="7484" w:type="dxa"/>
            <w:shd w:val="clear" w:color="auto" w:fill="auto"/>
          </w:tcPr>
          <w:p w:rsidR="007E4255" w:rsidRPr="00D123EE" w:rsidRDefault="007E4255" w:rsidP="005B2734">
            <w:pPr>
              <w:pStyle w:val="Tabletext"/>
              <w:keepNext/>
              <w:jc w:val="center"/>
              <w:rPr>
                <w:b/>
              </w:rPr>
            </w:pPr>
            <w:r w:rsidRPr="00D123EE">
              <w:rPr>
                <w:b/>
              </w:rPr>
              <w:t>Description</w:t>
            </w:r>
          </w:p>
        </w:tc>
      </w:tr>
      <w:tr w:rsidR="007E4255" w:rsidRPr="00D123EE" w:rsidTr="00DB06BF">
        <w:trPr>
          <w:cantSplit/>
        </w:trPr>
        <w:tc>
          <w:tcPr>
            <w:tcW w:w="1696" w:type="dxa"/>
            <w:shd w:val="clear" w:color="auto" w:fill="auto"/>
          </w:tcPr>
          <w:p w:rsidR="007E4255" w:rsidRPr="00D123EE" w:rsidRDefault="007E4255" w:rsidP="005B2734">
            <w:pPr>
              <w:pStyle w:val="Tabletext"/>
              <w:keepNext/>
            </w:pPr>
            <w:r w:rsidRPr="00D123EE">
              <w:t>Population</w:t>
            </w:r>
          </w:p>
        </w:tc>
        <w:tc>
          <w:tcPr>
            <w:tcW w:w="7484" w:type="dxa"/>
            <w:shd w:val="clear" w:color="auto" w:fill="auto"/>
          </w:tcPr>
          <w:p w:rsidR="007E4255" w:rsidRPr="00D123EE" w:rsidRDefault="007E4255" w:rsidP="005B2734">
            <w:pPr>
              <w:pStyle w:val="Tabletext"/>
              <w:keepNext/>
            </w:pPr>
            <w:r w:rsidRPr="00D123EE">
              <w:t xml:space="preserve">Patients requiring pain medication for acute and chronic treatment. </w:t>
            </w:r>
          </w:p>
        </w:tc>
      </w:tr>
      <w:tr w:rsidR="007E4255" w:rsidRPr="00D123EE" w:rsidTr="00DB06BF">
        <w:trPr>
          <w:cantSplit/>
        </w:trPr>
        <w:tc>
          <w:tcPr>
            <w:tcW w:w="1696" w:type="dxa"/>
            <w:shd w:val="clear" w:color="auto" w:fill="auto"/>
          </w:tcPr>
          <w:p w:rsidR="007E4255" w:rsidRPr="00D123EE" w:rsidRDefault="007E4255" w:rsidP="005B2734">
            <w:pPr>
              <w:pStyle w:val="Tabletext"/>
              <w:keepNext/>
            </w:pPr>
            <w:r w:rsidRPr="00D123EE">
              <w:t>Intervention</w:t>
            </w:r>
          </w:p>
        </w:tc>
        <w:tc>
          <w:tcPr>
            <w:tcW w:w="7484" w:type="dxa"/>
            <w:shd w:val="clear" w:color="auto" w:fill="auto"/>
          </w:tcPr>
          <w:p w:rsidR="007E4255" w:rsidRPr="00D123EE" w:rsidRDefault="007E4255" w:rsidP="005B2734">
            <w:pPr>
              <w:pStyle w:val="Tabletext"/>
              <w:keepNext/>
            </w:pPr>
            <w:r w:rsidRPr="00D123EE">
              <w:t>Fixed dose combination (FDC) tablet: tramadol 37.5 mg</w:t>
            </w:r>
            <w:r w:rsidR="00085C78" w:rsidRPr="00D123EE">
              <w:t>/</w:t>
            </w:r>
            <w:r w:rsidRPr="00D123EE">
              <w:t>paracetamol 325 mg</w:t>
            </w:r>
          </w:p>
        </w:tc>
      </w:tr>
      <w:tr w:rsidR="007E4255" w:rsidRPr="00D123EE" w:rsidTr="00DB06BF">
        <w:trPr>
          <w:cantSplit/>
        </w:trPr>
        <w:tc>
          <w:tcPr>
            <w:tcW w:w="1696" w:type="dxa"/>
            <w:shd w:val="clear" w:color="auto" w:fill="auto"/>
          </w:tcPr>
          <w:p w:rsidR="007E4255" w:rsidRPr="00D123EE" w:rsidRDefault="007E4255" w:rsidP="005B2734">
            <w:pPr>
              <w:pStyle w:val="Tabletext"/>
              <w:keepNext/>
            </w:pPr>
            <w:r w:rsidRPr="00D123EE">
              <w:t>Comparator</w:t>
            </w:r>
          </w:p>
        </w:tc>
        <w:tc>
          <w:tcPr>
            <w:tcW w:w="7484" w:type="dxa"/>
            <w:shd w:val="clear" w:color="auto" w:fill="auto"/>
          </w:tcPr>
          <w:p w:rsidR="007E4255" w:rsidRPr="00D123EE" w:rsidRDefault="007E4255" w:rsidP="005B2734">
            <w:pPr>
              <w:pStyle w:val="Tabletext"/>
              <w:keepNext/>
            </w:pPr>
            <w:r w:rsidRPr="00D123EE">
              <w:t>Tramadol 50 mg</w:t>
            </w:r>
            <w:r w:rsidR="00085C78" w:rsidRPr="00D123EE">
              <w:t xml:space="preserve"> immediate release (IR)</w:t>
            </w:r>
            <w:r w:rsidRPr="00D123EE">
              <w:t xml:space="preserve">. Contrary to the </w:t>
            </w:r>
            <w:r w:rsidR="00B350E1" w:rsidRPr="00D123EE">
              <w:t xml:space="preserve">PBAC </w:t>
            </w:r>
            <w:r w:rsidRPr="00D123EE">
              <w:t>Guidelines</w:t>
            </w:r>
            <w:r w:rsidR="00B350E1" w:rsidRPr="00D123EE">
              <w:t xml:space="preserve"> for FDCs</w:t>
            </w:r>
            <w:r w:rsidRPr="00D123EE">
              <w:t xml:space="preserve">, the submission </w:t>
            </w:r>
            <w:r w:rsidR="00085C78" w:rsidRPr="00D123EE">
              <w:t xml:space="preserve">did </w:t>
            </w:r>
            <w:r w:rsidRPr="00D123EE">
              <w:t xml:space="preserve">not present a comparison against the individual components used concomitantly. In addition, </w:t>
            </w:r>
            <w:r w:rsidR="00085C78" w:rsidRPr="00D123EE">
              <w:t>tramadol 50</w:t>
            </w:r>
            <w:r w:rsidR="00B841B0" w:rsidRPr="00D123EE">
              <w:t> </w:t>
            </w:r>
            <w:r w:rsidR="00085C78" w:rsidRPr="00D123EE">
              <w:t xml:space="preserve">mg is </w:t>
            </w:r>
            <w:r w:rsidR="002836EE" w:rsidRPr="00D123EE">
              <w:t xml:space="preserve">only </w:t>
            </w:r>
            <w:r w:rsidR="00B350E1" w:rsidRPr="00D123EE">
              <w:t xml:space="preserve">PBS listed </w:t>
            </w:r>
            <w:r w:rsidR="002836EE" w:rsidRPr="00D123EE">
              <w:t xml:space="preserve">for dose </w:t>
            </w:r>
            <w:r w:rsidR="0070371A" w:rsidRPr="00D123EE">
              <w:t>titration in</w:t>
            </w:r>
            <w:r w:rsidR="002836EE" w:rsidRPr="00D123EE">
              <w:t xml:space="preserve"> the </w:t>
            </w:r>
            <w:r w:rsidR="00085C78" w:rsidRPr="00D123EE">
              <w:t>chronic pain</w:t>
            </w:r>
            <w:r w:rsidR="00B350E1" w:rsidRPr="00D123EE">
              <w:t xml:space="preserve"> </w:t>
            </w:r>
            <w:r w:rsidR="002836EE" w:rsidRPr="00D123EE">
              <w:t>setting</w:t>
            </w:r>
            <w:r w:rsidR="00085C78" w:rsidRPr="00D123EE">
              <w:t xml:space="preserve">, and </w:t>
            </w:r>
            <w:r w:rsidRPr="00D123EE">
              <w:t>there may be other comparators that are also appropriate.</w:t>
            </w:r>
          </w:p>
        </w:tc>
      </w:tr>
      <w:tr w:rsidR="007E4255" w:rsidRPr="00D123EE" w:rsidTr="00DB06BF">
        <w:trPr>
          <w:cantSplit/>
        </w:trPr>
        <w:tc>
          <w:tcPr>
            <w:tcW w:w="1696" w:type="dxa"/>
            <w:shd w:val="clear" w:color="auto" w:fill="auto"/>
          </w:tcPr>
          <w:p w:rsidR="007E4255" w:rsidRPr="00D123EE" w:rsidRDefault="007E4255" w:rsidP="005B2734">
            <w:pPr>
              <w:pStyle w:val="Tabletext"/>
              <w:keepNext/>
            </w:pPr>
            <w:r w:rsidRPr="00D123EE">
              <w:t>Outcomes</w:t>
            </w:r>
          </w:p>
        </w:tc>
        <w:tc>
          <w:tcPr>
            <w:tcW w:w="7484" w:type="dxa"/>
            <w:shd w:val="clear" w:color="auto" w:fill="auto"/>
          </w:tcPr>
          <w:p w:rsidR="007E4255" w:rsidRPr="00D123EE" w:rsidRDefault="007E4255" w:rsidP="005B2734">
            <w:pPr>
              <w:pStyle w:val="KMC16-TableHeading"/>
              <w:keepNext/>
              <w:rPr>
                <w:b w:val="0"/>
              </w:rPr>
            </w:pPr>
            <w:r w:rsidRPr="00D123EE">
              <w:rPr>
                <w:b w:val="0"/>
              </w:rPr>
              <w:t>Clinical: Pain intensity, pain relief rating scales, SF-36, WOMAC, Investigator and subject overall assessment</w:t>
            </w:r>
          </w:p>
          <w:p w:rsidR="007E4255" w:rsidRPr="00D123EE" w:rsidRDefault="007E4255" w:rsidP="005B2734">
            <w:pPr>
              <w:pStyle w:val="Tabletext"/>
              <w:keepNext/>
            </w:pPr>
            <w:r w:rsidRPr="00D123EE">
              <w:t>Safety: Key safety outcomes: AEs and discontinuations due to AEs</w:t>
            </w:r>
          </w:p>
        </w:tc>
      </w:tr>
      <w:tr w:rsidR="007E4255" w:rsidRPr="00D123EE" w:rsidTr="00DB06BF">
        <w:trPr>
          <w:cantSplit/>
        </w:trPr>
        <w:tc>
          <w:tcPr>
            <w:tcW w:w="1696" w:type="dxa"/>
            <w:shd w:val="clear" w:color="auto" w:fill="auto"/>
          </w:tcPr>
          <w:p w:rsidR="007E4255" w:rsidRPr="00D123EE" w:rsidRDefault="007E4255" w:rsidP="005B2734">
            <w:pPr>
              <w:pStyle w:val="Tabletext"/>
              <w:keepNext/>
            </w:pPr>
            <w:r w:rsidRPr="00D123EE">
              <w:t>Clinical claim</w:t>
            </w:r>
          </w:p>
        </w:tc>
        <w:tc>
          <w:tcPr>
            <w:tcW w:w="7484" w:type="dxa"/>
            <w:shd w:val="clear" w:color="auto" w:fill="auto"/>
          </w:tcPr>
          <w:p w:rsidR="007E4255" w:rsidRPr="00D123EE" w:rsidRDefault="007E4255" w:rsidP="005B2734">
            <w:pPr>
              <w:pStyle w:val="Tabletext"/>
              <w:keepNext/>
            </w:pPr>
            <w:r w:rsidRPr="00D123EE">
              <w:t>FDC of tramadol 37.5 mg</w:t>
            </w:r>
            <w:r w:rsidR="00085C78" w:rsidRPr="00D123EE">
              <w:t>/</w:t>
            </w:r>
            <w:r w:rsidRPr="00D123EE">
              <w:t>paracetamol 325 mg is non-inferior to tramadol 50 mg in terms of efficacy and superior in terms of safety. The claim against tramadol 50 mg appears to be supported by the evidence</w:t>
            </w:r>
            <w:r w:rsidR="007E7D7D" w:rsidRPr="00D123EE">
              <w:t xml:space="preserve"> in acute pain</w:t>
            </w:r>
            <w:r w:rsidRPr="00D123EE">
              <w:t xml:space="preserve">. However, </w:t>
            </w:r>
            <w:r w:rsidR="007E7D7D" w:rsidRPr="00D123EE">
              <w:t>it is not adequately supported in chronic pain. T</w:t>
            </w:r>
            <w:r w:rsidRPr="00D123EE">
              <w:t>he submission did not present sufficient evidence to form a claim against the individual components used concomitantly, or other potentially appropriate comparators.</w:t>
            </w:r>
          </w:p>
        </w:tc>
      </w:tr>
    </w:tbl>
    <w:p w:rsidR="007E4255" w:rsidRPr="00D123EE" w:rsidRDefault="007E4255" w:rsidP="005B2734">
      <w:pPr>
        <w:keepNext/>
        <w:rPr>
          <w:rFonts w:ascii="Arial Narrow" w:hAnsi="Arial Narrow"/>
          <w:sz w:val="18"/>
        </w:rPr>
      </w:pPr>
      <w:proofErr w:type="gramStart"/>
      <w:r w:rsidRPr="00D123EE">
        <w:rPr>
          <w:rFonts w:ascii="Arial Narrow" w:hAnsi="Arial Narrow"/>
          <w:sz w:val="18"/>
        </w:rPr>
        <w:t>Table 1-1 p22 and text Section 2.8.2 p221 of the submission.</w:t>
      </w:r>
      <w:proofErr w:type="gramEnd"/>
    </w:p>
    <w:p w:rsidR="007E4255" w:rsidRPr="00D123EE" w:rsidRDefault="007E4255" w:rsidP="005B2734">
      <w:pPr>
        <w:pStyle w:val="TableFooter"/>
        <w:keepNext/>
      </w:pPr>
      <w:r w:rsidRPr="00D123EE">
        <w:t xml:space="preserve">Abbreviations: AE = adverse event; FDC = fixed dose combination; </w:t>
      </w:r>
      <w:r w:rsidR="00085C78" w:rsidRPr="00D123EE">
        <w:t xml:space="preserve">IR = immediate release; </w:t>
      </w:r>
      <w:r w:rsidRPr="00D123EE">
        <w:t xml:space="preserve">SF-36 = Short-Form 36-item survey; WOMAC = Western Ontario and McMaster Universities Osteoarthritis Index. </w:t>
      </w:r>
    </w:p>
    <w:p w:rsidR="00B30887" w:rsidRDefault="00B30887">
      <w:pPr>
        <w:widowControl/>
        <w:jc w:val="left"/>
      </w:pPr>
      <w:r>
        <w:br w:type="page"/>
      </w:r>
    </w:p>
    <w:p w:rsidR="007E4255" w:rsidRPr="00D123EE" w:rsidRDefault="007E4255" w:rsidP="00905D6A">
      <w:pPr>
        <w:pStyle w:val="Heading1"/>
      </w:pPr>
      <w:bookmarkStart w:id="1" w:name="_Toc503971842"/>
      <w:r w:rsidRPr="00D123EE">
        <w:lastRenderedPageBreak/>
        <w:t>Requested listing</w:t>
      </w:r>
      <w:bookmarkEnd w:id="1"/>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081"/>
        <w:gridCol w:w="253"/>
        <w:gridCol w:w="1061"/>
        <w:gridCol w:w="1298"/>
        <w:gridCol w:w="945"/>
        <w:gridCol w:w="1316"/>
        <w:gridCol w:w="817"/>
        <w:gridCol w:w="1457"/>
        <w:gridCol w:w="15"/>
      </w:tblGrid>
      <w:tr w:rsidR="007E4255" w:rsidRPr="00D123EE" w:rsidTr="001C0C1F">
        <w:tc>
          <w:tcPr>
            <w:tcW w:w="1126" w:type="pct"/>
          </w:tcPr>
          <w:p w:rsidR="007E4255" w:rsidRPr="00D123EE" w:rsidRDefault="007E4255" w:rsidP="00B66D7E">
            <w:pPr>
              <w:pStyle w:val="Tabletext"/>
              <w:keepNext/>
              <w:keepLines/>
              <w:rPr>
                <w:b/>
                <w:bCs/>
              </w:rPr>
            </w:pPr>
            <w:r w:rsidRPr="00D123EE">
              <w:rPr>
                <w:b/>
              </w:rPr>
              <w:t>Name, restriction, manner of administration, form</w:t>
            </w:r>
          </w:p>
        </w:tc>
        <w:tc>
          <w:tcPr>
            <w:tcW w:w="711" w:type="pct"/>
            <w:gridSpan w:val="2"/>
          </w:tcPr>
          <w:p w:rsidR="007E4255" w:rsidRPr="00D123EE" w:rsidRDefault="007E4255" w:rsidP="00B66D7E">
            <w:pPr>
              <w:pStyle w:val="Tabletext"/>
              <w:keepNext/>
              <w:keepLines/>
              <w:jc w:val="center"/>
              <w:rPr>
                <w:b/>
                <w:bCs/>
              </w:rPr>
            </w:pPr>
            <w:r w:rsidRPr="00D123EE">
              <w:rPr>
                <w:b/>
              </w:rPr>
              <w:t>Maximum quantity (packs)</w:t>
            </w:r>
          </w:p>
        </w:tc>
        <w:tc>
          <w:tcPr>
            <w:tcW w:w="702" w:type="pct"/>
          </w:tcPr>
          <w:p w:rsidR="007E4255" w:rsidRPr="00D123EE" w:rsidRDefault="007E4255" w:rsidP="00B66D7E">
            <w:pPr>
              <w:pStyle w:val="Tabletext"/>
              <w:keepNext/>
              <w:keepLines/>
              <w:jc w:val="center"/>
              <w:rPr>
                <w:b/>
                <w:bCs/>
              </w:rPr>
            </w:pPr>
            <w:r w:rsidRPr="00D123EE">
              <w:rPr>
                <w:b/>
              </w:rPr>
              <w:t>Maximum quantity (units)</w:t>
            </w:r>
          </w:p>
        </w:tc>
        <w:tc>
          <w:tcPr>
            <w:tcW w:w="511" w:type="pct"/>
          </w:tcPr>
          <w:p w:rsidR="007E4255" w:rsidRPr="00D123EE" w:rsidRDefault="007E4255" w:rsidP="00B66D7E">
            <w:pPr>
              <w:pStyle w:val="Tabletext"/>
              <w:keepNext/>
              <w:keepLines/>
              <w:rPr>
                <w:b/>
                <w:bCs/>
              </w:rPr>
            </w:pPr>
            <w:r w:rsidRPr="00D123EE">
              <w:rPr>
                <w:b/>
              </w:rPr>
              <w:t>No. of repeats</w:t>
            </w:r>
          </w:p>
        </w:tc>
        <w:tc>
          <w:tcPr>
            <w:tcW w:w="712" w:type="pct"/>
          </w:tcPr>
          <w:p w:rsidR="007E4255" w:rsidRPr="00D123EE" w:rsidRDefault="007E4255" w:rsidP="00B66D7E">
            <w:pPr>
              <w:pStyle w:val="Tabletext"/>
              <w:keepNext/>
              <w:keepLines/>
              <w:rPr>
                <w:b/>
                <w:bCs/>
              </w:rPr>
            </w:pPr>
            <w:r w:rsidRPr="00D123EE">
              <w:rPr>
                <w:b/>
              </w:rPr>
              <w:t>Dispensed price for maximum quantity</w:t>
            </w:r>
          </w:p>
        </w:tc>
        <w:tc>
          <w:tcPr>
            <w:tcW w:w="1238" w:type="pct"/>
            <w:gridSpan w:val="3"/>
          </w:tcPr>
          <w:p w:rsidR="007E4255" w:rsidRPr="00D123EE" w:rsidRDefault="007E4255" w:rsidP="00B66D7E">
            <w:pPr>
              <w:pStyle w:val="Tabletext"/>
              <w:keepNext/>
              <w:keepLines/>
              <w:rPr>
                <w:b/>
                <w:bCs/>
              </w:rPr>
            </w:pPr>
            <w:r w:rsidRPr="00D123EE">
              <w:rPr>
                <w:b/>
              </w:rPr>
              <w:t>Proprietary name and manufacturer</w:t>
            </w:r>
          </w:p>
        </w:tc>
      </w:tr>
      <w:tr w:rsidR="007E4255" w:rsidRPr="00D123EE" w:rsidTr="001C0C1F">
        <w:tc>
          <w:tcPr>
            <w:tcW w:w="1126" w:type="pct"/>
          </w:tcPr>
          <w:p w:rsidR="007E4255" w:rsidRPr="00D123EE" w:rsidRDefault="007E4255" w:rsidP="00B66D7E">
            <w:pPr>
              <w:pStyle w:val="Tabletext"/>
              <w:keepNext/>
              <w:keepLines/>
              <w:rPr>
                <w:b/>
              </w:rPr>
            </w:pPr>
            <w:r w:rsidRPr="00D123EE">
              <w:rPr>
                <w:b/>
              </w:rPr>
              <w:t>Acute pain</w:t>
            </w:r>
          </w:p>
        </w:tc>
        <w:tc>
          <w:tcPr>
            <w:tcW w:w="711" w:type="pct"/>
            <w:gridSpan w:val="2"/>
          </w:tcPr>
          <w:p w:rsidR="007E4255" w:rsidRPr="00D123EE" w:rsidRDefault="007E4255" w:rsidP="00B66D7E">
            <w:pPr>
              <w:pStyle w:val="Tabletext"/>
              <w:keepNext/>
              <w:keepLines/>
              <w:jc w:val="center"/>
              <w:rPr>
                <w:rFonts w:ascii="Times" w:hAnsi="Times"/>
              </w:rPr>
            </w:pPr>
          </w:p>
        </w:tc>
        <w:tc>
          <w:tcPr>
            <w:tcW w:w="702" w:type="pct"/>
          </w:tcPr>
          <w:p w:rsidR="007E4255" w:rsidRPr="00D123EE" w:rsidRDefault="007E4255" w:rsidP="00B66D7E">
            <w:pPr>
              <w:pStyle w:val="Tabletext"/>
              <w:keepNext/>
              <w:keepLines/>
              <w:jc w:val="center"/>
              <w:rPr>
                <w:rFonts w:ascii="Times" w:hAnsi="Times"/>
              </w:rPr>
            </w:pPr>
          </w:p>
        </w:tc>
        <w:tc>
          <w:tcPr>
            <w:tcW w:w="511" w:type="pct"/>
          </w:tcPr>
          <w:p w:rsidR="007E4255" w:rsidRPr="00D123EE" w:rsidRDefault="007E4255" w:rsidP="00B66D7E">
            <w:pPr>
              <w:pStyle w:val="Tabletext"/>
              <w:keepNext/>
              <w:keepLines/>
              <w:jc w:val="center"/>
              <w:rPr>
                <w:rFonts w:ascii="Times" w:hAnsi="Times"/>
              </w:rPr>
            </w:pPr>
          </w:p>
        </w:tc>
        <w:tc>
          <w:tcPr>
            <w:tcW w:w="712" w:type="pct"/>
          </w:tcPr>
          <w:p w:rsidR="007E4255" w:rsidRPr="00D123EE" w:rsidRDefault="007E4255" w:rsidP="00B66D7E">
            <w:pPr>
              <w:pStyle w:val="Tabletext"/>
              <w:keepNext/>
              <w:keepLines/>
              <w:rPr>
                <w:rFonts w:ascii="Times" w:hAnsi="Times"/>
              </w:rPr>
            </w:pPr>
          </w:p>
        </w:tc>
        <w:tc>
          <w:tcPr>
            <w:tcW w:w="1238" w:type="pct"/>
            <w:gridSpan w:val="3"/>
          </w:tcPr>
          <w:p w:rsidR="007E4255" w:rsidRPr="00D123EE" w:rsidRDefault="007E4255" w:rsidP="00B66D7E">
            <w:pPr>
              <w:pStyle w:val="Tabletext"/>
              <w:keepNext/>
              <w:keepLines/>
              <w:rPr>
                <w:rFonts w:ascii="Times" w:hAnsi="Times"/>
              </w:rPr>
            </w:pPr>
          </w:p>
        </w:tc>
      </w:tr>
      <w:tr w:rsidR="007E4255" w:rsidRPr="00D123EE" w:rsidTr="001C0C1F">
        <w:tc>
          <w:tcPr>
            <w:tcW w:w="1126" w:type="pct"/>
          </w:tcPr>
          <w:p w:rsidR="007E4255" w:rsidRPr="00D123EE" w:rsidRDefault="007E4255" w:rsidP="00B66D7E">
            <w:pPr>
              <w:pStyle w:val="Tabletext"/>
              <w:keepNext/>
              <w:keepLines/>
            </w:pPr>
            <w:r w:rsidRPr="00D123EE">
              <w:rPr>
                <w:smallCaps/>
              </w:rPr>
              <w:t>Tramadol 37.5 mg/ paracetamol 325 mg</w:t>
            </w:r>
            <w:r w:rsidRPr="00D123EE">
              <w:t xml:space="preserve"> </w:t>
            </w:r>
          </w:p>
          <w:p w:rsidR="007E4255" w:rsidRPr="00D123EE" w:rsidRDefault="007E4255" w:rsidP="00B66D7E">
            <w:pPr>
              <w:pStyle w:val="Tabletext"/>
              <w:keepNext/>
              <w:keepLines/>
              <w:rPr>
                <w:smallCaps/>
              </w:rPr>
            </w:pPr>
            <w:r w:rsidRPr="00D123EE">
              <w:t>film coated tablets, 20</w:t>
            </w:r>
          </w:p>
        </w:tc>
        <w:tc>
          <w:tcPr>
            <w:tcW w:w="711" w:type="pct"/>
            <w:gridSpan w:val="2"/>
          </w:tcPr>
          <w:p w:rsidR="007E4255" w:rsidRPr="00D123EE" w:rsidRDefault="007E4255" w:rsidP="00B66D7E">
            <w:pPr>
              <w:pStyle w:val="Tabletext"/>
              <w:keepNext/>
              <w:keepLines/>
              <w:jc w:val="center"/>
            </w:pPr>
            <w:r w:rsidRPr="00D123EE">
              <w:t>1</w:t>
            </w:r>
          </w:p>
        </w:tc>
        <w:tc>
          <w:tcPr>
            <w:tcW w:w="702" w:type="pct"/>
          </w:tcPr>
          <w:p w:rsidR="007E4255" w:rsidRPr="00D123EE" w:rsidRDefault="007E4255" w:rsidP="00B66D7E">
            <w:pPr>
              <w:pStyle w:val="Tabletext"/>
              <w:keepNext/>
              <w:keepLines/>
              <w:jc w:val="center"/>
            </w:pPr>
            <w:r w:rsidRPr="00D123EE">
              <w:t>20</w:t>
            </w:r>
          </w:p>
        </w:tc>
        <w:tc>
          <w:tcPr>
            <w:tcW w:w="511" w:type="pct"/>
          </w:tcPr>
          <w:p w:rsidR="007E4255" w:rsidRPr="00D123EE" w:rsidRDefault="00D95E11" w:rsidP="00B66D7E">
            <w:pPr>
              <w:pStyle w:val="Tabletext"/>
              <w:keepNext/>
              <w:keepLines/>
              <w:jc w:val="center"/>
            </w:pPr>
            <w:r>
              <w:t>2</w:t>
            </w:r>
          </w:p>
        </w:tc>
        <w:tc>
          <w:tcPr>
            <w:tcW w:w="712" w:type="pct"/>
          </w:tcPr>
          <w:p w:rsidR="007E4255" w:rsidRPr="00D123EE" w:rsidRDefault="007E4255" w:rsidP="00B66D7E">
            <w:pPr>
              <w:pStyle w:val="Tabletext"/>
              <w:keepNext/>
              <w:keepLines/>
            </w:pPr>
            <w:r w:rsidRPr="00D123EE">
              <w:t xml:space="preserve">$13.09 </w:t>
            </w:r>
          </w:p>
        </w:tc>
        <w:tc>
          <w:tcPr>
            <w:tcW w:w="442" w:type="pct"/>
          </w:tcPr>
          <w:p w:rsidR="007E4255" w:rsidRPr="00D123EE" w:rsidRDefault="007E4255" w:rsidP="00B66D7E">
            <w:pPr>
              <w:pStyle w:val="Tabletext"/>
              <w:keepNext/>
              <w:keepLines/>
            </w:pPr>
            <w:proofErr w:type="spellStart"/>
            <w:r w:rsidRPr="00D123EE">
              <w:t>Zaldiar</w:t>
            </w:r>
            <w:proofErr w:type="spellEnd"/>
            <w:r w:rsidRPr="00D123EE">
              <w:rPr>
                <w:vertAlign w:val="superscript"/>
              </w:rPr>
              <w:t>®</w:t>
            </w:r>
          </w:p>
        </w:tc>
        <w:tc>
          <w:tcPr>
            <w:tcW w:w="796" w:type="pct"/>
            <w:gridSpan w:val="2"/>
          </w:tcPr>
          <w:p w:rsidR="007E4255" w:rsidRPr="00D123EE" w:rsidRDefault="007E4255" w:rsidP="00B66D7E">
            <w:pPr>
              <w:pStyle w:val="Tabletext"/>
              <w:keepNext/>
              <w:keepLines/>
            </w:pPr>
            <w:r w:rsidRPr="00D123EE">
              <w:t>Aspen Pharmacare Australia</w:t>
            </w:r>
            <w:r w:rsidRPr="00D123EE" w:rsidDel="0083484A">
              <w:t xml:space="preserve"> </w:t>
            </w:r>
            <w:r w:rsidRPr="00D123EE">
              <w:t>Pty Ltd</w:t>
            </w:r>
          </w:p>
        </w:tc>
      </w:tr>
      <w:tr w:rsidR="007E4255" w:rsidRPr="00D123EE" w:rsidTr="000F7055">
        <w:tblPrEx>
          <w:tblBorders>
            <w:left w:val="single" w:sz="4" w:space="0" w:color="auto"/>
            <w:right w:val="single" w:sz="4" w:space="0" w:color="auto"/>
            <w:insideV w:val="single" w:sz="4" w:space="0" w:color="auto"/>
          </w:tblBorders>
          <w:tblCellMar>
            <w:left w:w="28" w:type="dxa"/>
            <w:right w:w="28" w:type="dxa"/>
          </w:tblCellMar>
        </w:tblPrEx>
        <w:trPr>
          <w:gridAfter w:val="1"/>
          <w:wAfter w:w="8" w:type="pct"/>
          <w:trHeight w:val="20"/>
        </w:trPr>
        <w:tc>
          <w:tcPr>
            <w:tcW w:w="1263" w:type="pct"/>
            <w:gridSpan w:val="2"/>
            <w:tcBorders>
              <w:top w:val="single" w:sz="4" w:space="0" w:color="auto"/>
              <w:left w:val="single" w:sz="4" w:space="0" w:color="auto"/>
              <w:bottom w:val="single" w:sz="4" w:space="0" w:color="auto"/>
              <w:right w:val="single" w:sz="4" w:space="0" w:color="auto"/>
            </w:tcBorders>
            <w:hideMark/>
          </w:tcPr>
          <w:p w:rsidR="007E4255" w:rsidRPr="00D123EE" w:rsidRDefault="007E4255" w:rsidP="00B66D7E">
            <w:pPr>
              <w:pStyle w:val="Tabletext"/>
              <w:keepNext/>
              <w:keepLines/>
              <w:rPr>
                <w:lang w:eastAsia="en-AU"/>
              </w:rPr>
            </w:pPr>
            <w:r w:rsidRPr="00D123EE">
              <w:rPr>
                <w:lang w:eastAsia="en-AU"/>
              </w:rPr>
              <w:t>Category/Program:</w:t>
            </w:r>
          </w:p>
        </w:tc>
        <w:tc>
          <w:tcPr>
            <w:tcW w:w="3729" w:type="pct"/>
            <w:gridSpan w:val="6"/>
            <w:tcBorders>
              <w:top w:val="single" w:sz="4" w:space="0" w:color="auto"/>
              <w:left w:val="single" w:sz="4" w:space="0" w:color="auto"/>
              <w:bottom w:val="single" w:sz="4" w:space="0" w:color="auto"/>
              <w:right w:val="single" w:sz="4" w:space="0" w:color="auto"/>
            </w:tcBorders>
          </w:tcPr>
          <w:p w:rsidR="007E4255" w:rsidRPr="00D123EE" w:rsidRDefault="007E4255" w:rsidP="00B66D7E">
            <w:pPr>
              <w:pStyle w:val="Tabletext"/>
              <w:keepNext/>
              <w:keepLines/>
              <w:rPr>
                <w:lang w:eastAsia="en-AU"/>
              </w:rPr>
            </w:pPr>
            <w:r w:rsidRPr="00D123EE">
              <w:rPr>
                <w:lang w:eastAsia="en-AU"/>
              </w:rPr>
              <w:t>General Schedule</w:t>
            </w:r>
          </w:p>
        </w:tc>
      </w:tr>
      <w:tr w:rsidR="007E4255" w:rsidRPr="00D123EE" w:rsidTr="000F7055">
        <w:tblPrEx>
          <w:tblBorders>
            <w:left w:val="single" w:sz="4" w:space="0" w:color="auto"/>
            <w:right w:val="single" w:sz="4" w:space="0" w:color="auto"/>
            <w:insideV w:val="single" w:sz="4" w:space="0" w:color="auto"/>
          </w:tblBorders>
          <w:tblCellMar>
            <w:left w:w="28" w:type="dxa"/>
            <w:right w:w="28" w:type="dxa"/>
          </w:tblCellMar>
        </w:tblPrEx>
        <w:trPr>
          <w:gridAfter w:val="1"/>
          <w:wAfter w:w="8" w:type="pct"/>
          <w:trHeight w:val="20"/>
        </w:trPr>
        <w:tc>
          <w:tcPr>
            <w:tcW w:w="1263" w:type="pct"/>
            <w:gridSpan w:val="2"/>
            <w:tcBorders>
              <w:top w:val="single" w:sz="4" w:space="0" w:color="auto"/>
              <w:left w:val="single" w:sz="4" w:space="0" w:color="auto"/>
              <w:bottom w:val="single" w:sz="4" w:space="0" w:color="auto"/>
              <w:right w:val="single" w:sz="4" w:space="0" w:color="auto"/>
            </w:tcBorders>
          </w:tcPr>
          <w:p w:rsidR="007E4255" w:rsidRPr="00D123EE" w:rsidRDefault="007E4255" w:rsidP="00B66D7E">
            <w:pPr>
              <w:pStyle w:val="Tabletext"/>
              <w:keepNext/>
              <w:keepLines/>
              <w:rPr>
                <w:lang w:eastAsia="en-AU"/>
              </w:rPr>
            </w:pPr>
            <w:r w:rsidRPr="00D123EE">
              <w:rPr>
                <w:lang w:eastAsia="en-AU"/>
              </w:rPr>
              <w:t>Clinical criteria:</w:t>
            </w:r>
          </w:p>
        </w:tc>
        <w:tc>
          <w:tcPr>
            <w:tcW w:w="3729" w:type="pct"/>
            <w:gridSpan w:val="6"/>
            <w:tcBorders>
              <w:top w:val="single" w:sz="4" w:space="0" w:color="auto"/>
              <w:left w:val="single" w:sz="4" w:space="0" w:color="auto"/>
              <w:bottom w:val="single" w:sz="4" w:space="0" w:color="auto"/>
              <w:right w:val="single" w:sz="4" w:space="0" w:color="auto"/>
            </w:tcBorders>
          </w:tcPr>
          <w:p w:rsidR="007E4255" w:rsidRPr="00D123EE" w:rsidRDefault="007E4255" w:rsidP="00B66D7E">
            <w:pPr>
              <w:pStyle w:val="Tabletext"/>
              <w:keepNext/>
              <w:keepLines/>
              <w:rPr>
                <w:lang w:eastAsia="en-AU"/>
              </w:rPr>
            </w:pPr>
            <w:r w:rsidRPr="00D123EE">
              <w:t>The condition must be one in which aspirin and/or paracetamol alone are inappropriate or have failed.</w:t>
            </w:r>
          </w:p>
        </w:tc>
      </w:tr>
    </w:tbl>
    <w:p w:rsidR="007E4255" w:rsidRPr="00D123EE" w:rsidRDefault="007E4255" w:rsidP="007E4255"/>
    <w:p w:rsidR="00455707" w:rsidRDefault="007E4255" w:rsidP="00E22F6D">
      <w:pPr>
        <w:pStyle w:val="ListParagraph"/>
        <w:widowControl/>
        <w:numPr>
          <w:ilvl w:val="1"/>
          <w:numId w:val="1"/>
        </w:numPr>
        <w:spacing w:after="120"/>
      </w:pPr>
      <w:r w:rsidRPr="00D123EE">
        <w:t xml:space="preserve">The requested restriction was for patients that require treatment for acute or chronic pain, </w:t>
      </w:r>
      <w:r w:rsidR="000E5F1A" w:rsidRPr="00B84D95">
        <w:t>limited to acute pain in</w:t>
      </w:r>
      <w:r w:rsidR="006E4ABF">
        <w:t xml:space="preserve"> the</w:t>
      </w:r>
      <w:r w:rsidR="000E5F1A" w:rsidRPr="00B84D95">
        <w:t xml:space="preserve"> </w:t>
      </w:r>
      <w:proofErr w:type="gramStart"/>
      <w:r w:rsidR="000E5F1A" w:rsidRPr="00B84D95">
        <w:t>PSCR</w:t>
      </w:r>
      <w:r w:rsidR="00FE5602">
        <w:t xml:space="preserve"> </w:t>
      </w:r>
      <w:r w:rsidR="000E5F1A">
        <w:t>,</w:t>
      </w:r>
      <w:proofErr w:type="gramEnd"/>
      <w:r w:rsidR="000E5F1A">
        <w:t xml:space="preserve"> </w:t>
      </w:r>
      <w:r w:rsidRPr="00D123EE">
        <w:t>where aspirin and/or paracetamol alone are inappropriate or have failed. The population is consistent with the restriction of the nominated primary comparator for acute pain</w:t>
      </w:r>
      <w:r w:rsidR="00085C78" w:rsidRPr="00D123EE">
        <w:t>. H</w:t>
      </w:r>
      <w:r w:rsidRPr="00D123EE">
        <w:t xml:space="preserve">owever, the </w:t>
      </w:r>
      <w:r w:rsidR="00085C78" w:rsidRPr="00D123EE">
        <w:t xml:space="preserve">circumstances of use are </w:t>
      </w:r>
      <w:r w:rsidRPr="00D123EE">
        <w:t>broader tha</w:t>
      </w:r>
      <w:r w:rsidR="00085C78" w:rsidRPr="00D123EE">
        <w:t>n those</w:t>
      </w:r>
      <w:r w:rsidRPr="00D123EE">
        <w:t xml:space="preserve"> </w:t>
      </w:r>
      <w:r w:rsidR="00085C78" w:rsidRPr="00D123EE">
        <w:t xml:space="preserve">of the </w:t>
      </w:r>
      <w:r w:rsidRPr="00D123EE">
        <w:t xml:space="preserve">nominated </w:t>
      </w:r>
      <w:r w:rsidR="00085C78" w:rsidRPr="00D123EE">
        <w:t xml:space="preserve">comparator; </w:t>
      </w:r>
      <w:r w:rsidR="00007E58" w:rsidRPr="00D123EE">
        <w:t xml:space="preserve">in patients with chronic pain </w:t>
      </w:r>
      <w:r w:rsidR="00085C78" w:rsidRPr="00D123EE">
        <w:t>t</w:t>
      </w:r>
      <w:r w:rsidRPr="00D123EE">
        <w:t>ramadol 50 mg IR is only indicated for dose titration</w:t>
      </w:r>
      <w:r w:rsidR="00007E58" w:rsidRPr="00D123EE">
        <w:t>.</w:t>
      </w:r>
      <w:r w:rsidR="00455707">
        <w:t xml:space="preserve"> </w:t>
      </w:r>
      <w:r w:rsidR="00D95E11" w:rsidRPr="00B84D95">
        <w:t xml:space="preserve">The </w:t>
      </w:r>
      <w:r w:rsidR="00455707" w:rsidRPr="00B84D95">
        <w:t>ESC considered that if listed with a restriction to acute pain, there is potential for leakage to chronic pain, where the doses in the proposed FDC are unlikely to be appropriate.</w:t>
      </w:r>
    </w:p>
    <w:p w:rsidR="007E4255" w:rsidRPr="00B84D95" w:rsidRDefault="00455707" w:rsidP="00E22F6D">
      <w:pPr>
        <w:pStyle w:val="ListParagraph"/>
        <w:widowControl/>
        <w:numPr>
          <w:ilvl w:val="1"/>
          <w:numId w:val="1"/>
        </w:numPr>
        <w:spacing w:after="120"/>
        <w:rPr>
          <w:szCs w:val="24"/>
        </w:rPr>
      </w:pPr>
      <w:r w:rsidRPr="00B84D95">
        <w:t xml:space="preserve">The PSCR also </w:t>
      </w:r>
      <w:r w:rsidR="00FE5602">
        <w:t>requested</w:t>
      </w:r>
      <w:r w:rsidR="00FE5602" w:rsidRPr="00B84D95">
        <w:t xml:space="preserve"> </w:t>
      </w:r>
      <w:r w:rsidRPr="00B84D95">
        <w:t xml:space="preserve">that the number of repeats for the requested listing in acute pain be increased to two. Based on the PI maximum of 8 tablets daily this equates to just over one week of </w:t>
      </w:r>
      <w:r w:rsidRPr="00B84D95">
        <w:rPr>
          <w:szCs w:val="24"/>
        </w:rPr>
        <w:t>supply.</w:t>
      </w:r>
      <w:r w:rsidR="007E540C" w:rsidRPr="00B84D95">
        <w:rPr>
          <w:szCs w:val="24"/>
        </w:rPr>
        <w:t xml:space="preserve"> This is inconsistent with the submission’s nominated primary comparator, tramadol 50 mg IR, which does not allow repeat scripts to be filled (PBS item number: 5232J and 8455B) and only provides 20 capsules per supply for acute pain.</w:t>
      </w:r>
      <w:r w:rsidR="007E540C" w:rsidRPr="00B84D95">
        <w:rPr>
          <w:b/>
          <w:szCs w:val="24"/>
        </w:rPr>
        <w:t xml:space="preserve"> </w:t>
      </w:r>
    </w:p>
    <w:p w:rsidR="005B2734" w:rsidRPr="007A0BA2" w:rsidRDefault="00CF676C" w:rsidP="007A0BA2">
      <w:pPr>
        <w:pStyle w:val="ListParagraph"/>
        <w:ind w:left="709"/>
        <w:jc w:val="left"/>
        <w:rPr>
          <w:rFonts w:asciiTheme="minorHAnsi" w:hAnsiTheme="minorHAnsi"/>
          <w:i/>
        </w:rPr>
      </w:pPr>
      <w:bookmarkStart w:id="2" w:name="_Toc503971843"/>
      <w:r w:rsidRPr="007A0BA2">
        <w:rPr>
          <w:rFonts w:asciiTheme="minorHAnsi" w:hAnsiTheme="minorHAnsi"/>
          <w:i/>
        </w:rPr>
        <w:t>For more detail on PBAC’s view, see section 7 PBAC outcome.</w:t>
      </w:r>
    </w:p>
    <w:p w:rsidR="007E4255" w:rsidRPr="00D123EE" w:rsidRDefault="007E4255" w:rsidP="00905D6A">
      <w:pPr>
        <w:pStyle w:val="Heading1"/>
      </w:pPr>
      <w:r w:rsidRPr="00D123EE">
        <w:t>Background</w:t>
      </w:r>
      <w:bookmarkEnd w:id="2"/>
    </w:p>
    <w:p w:rsidR="007E4255" w:rsidRPr="00D123EE" w:rsidRDefault="007E4255" w:rsidP="005B2734">
      <w:pPr>
        <w:spacing w:after="120"/>
        <w:rPr>
          <w:b/>
          <w:sz w:val="28"/>
          <w:szCs w:val="28"/>
        </w:rPr>
      </w:pPr>
      <w:r w:rsidRPr="006337DE">
        <w:rPr>
          <w:b/>
          <w:sz w:val="28"/>
          <w:szCs w:val="28"/>
        </w:rPr>
        <w:t>Registration status</w:t>
      </w:r>
    </w:p>
    <w:p w:rsidR="008C1291" w:rsidRPr="00D123EE" w:rsidRDefault="009E34E9" w:rsidP="008C1291">
      <w:pPr>
        <w:pStyle w:val="ListParagraph"/>
        <w:widowControl/>
        <w:numPr>
          <w:ilvl w:val="1"/>
          <w:numId w:val="1"/>
        </w:numPr>
        <w:spacing w:after="120"/>
      </w:pPr>
      <w:r w:rsidRPr="00D123EE">
        <w:t>The FDC of tramadol 37.5 mg/paracetamol 325 mg</w:t>
      </w:r>
      <w:r w:rsidR="007E4255" w:rsidRPr="00D123EE">
        <w:t xml:space="preserve"> was TGA registered on the 19</w:t>
      </w:r>
      <w:r w:rsidR="007E4255" w:rsidRPr="00D123EE">
        <w:rPr>
          <w:vertAlign w:val="superscript"/>
        </w:rPr>
        <w:t>th</w:t>
      </w:r>
      <w:r w:rsidR="007E4255" w:rsidRPr="00D123EE">
        <w:t xml:space="preserve"> of March 2012 for the indication of moderate pain. Tramadol was first registered in 1998 (</w:t>
      </w:r>
      <w:proofErr w:type="spellStart"/>
      <w:r w:rsidR="007E4255" w:rsidRPr="00D123EE">
        <w:t>AusPAR</w:t>
      </w:r>
      <w:proofErr w:type="spellEnd"/>
      <w:r w:rsidR="007E4255" w:rsidRPr="00D123EE">
        <w:t xml:space="preserve"> September 2012).</w:t>
      </w:r>
    </w:p>
    <w:p w:rsidR="007E4255" w:rsidRPr="00D123EE" w:rsidRDefault="007E4255" w:rsidP="007A0BA2">
      <w:pPr>
        <w:spacing w:after="120"/>
        <w:rPr>
          <w:b/>
          <w:sz w:val="28"/>
          <w:szCs w:val="28"/>
        </w:rPr>
      </w:pPr>
      <w:r w:rsidRPr="00D123EE">
        <w:rPr>
          <w:b/>
          <w:sz w:val="28"/>
          <w:szCs w:val="28"/>
        </w:rPr>
        <w:t>Previous PBAC consideration of OTC pain medications</w:t>
      </w:r>
    </w:p>
    <w:p w:rsidR="007E4255" w:rsidRPr="00D123EE" w:rsidRDefault="007E4255" w:rsidP="00E22F6D">
      <w:pPr>
        <w:pStyle w:val="ListParagraph"/>
        <w:widowControl/>
        <w:numPr>
          <w:ilvl w:val="1"/>
          <w:numId w:val="1"/>
        </w:numPr>
        <w:spacing w:after="120"/>
      </w:pPr>
      <w:r w:rsidRPr="00D123EE">
        <w:t xml:space="preserve">There are a range of formulations of tramadol currently subsidised on the PBS including sustained release (SR) tablet formulations </w:t>
      </w:r>
      <w:r w:rsidR="00085C78" w:rsidRPr="00D123EE">
        <w:t xml:space="preserve">in </w:t>
      </w:r>
      <w:r w:rsidRPr="00D123EE">
        <w:t>multiple strengths (50 mg, 100 </w:t>
      </w:r>
      <w:r w:rsidR="00085C78" w:rsidRPr="00D123EE">
        <w:t>mg</w:t>
      </w:r>
      <w:r w:rsidRPr="00D123EE">
        <w:t xml:space="preserve">, 150 mg and 200 mg), oral liquid, and injections. </w:t>
      </w:r>
      <w:r w:rsidR="005276CB" w:rsidRPr="00D123EE">
        <w:t xml:space="preserve">Although tramadol </w:t>
      </w:r>
      <w:r w:rsidR="00B27E5E" w:rsidRPr="00D123EE">
        <w:t>and its FDC</w:t>
      </w:r>
      <w:r w:rsidRPr="00D123EE">
        <w:t xml:space="preserve"> </w:t>
      </w:r>
      <w:r w:rsidR="00B27E5E" w:rsidRPr="00D123EE">
        <w:t xml:space="preserve">formulation </w:t>
      </w:r>
      <w:r w:rsidRPr="00D123EE">
        <w:t>ha</w:t>
      </w:r>
      <w:r w:rsidR="00B27E5E" w:rsidRPr="00D123EE">
        <w:t xml:space="preserve">ve </w:t>
      </w:r>
      <w:r w:rsidRPr="00D123EE">
        <w:t xml:space="preserve">been registered </w:t>
      </w:r>
      <w:r w:rsidR="005276CB" w:rsidRPr="00D123EE">
        <w:t xml:space="preserve">on the ARTG </w:t>
      </w:r>
      <w:r w:rsidRPr="00D123EE">
        <w:t>for a considerable time, there are no formulations of tramadol available as an FDC on the PBS.</w:t>
      </w:r>
    </w:p>
    <w:p w:rsidR="007E4255" w:rsidRPr="00D123EE" w:rsidRDefault="007E4255" w:rsidP="00E22F6D">
      <w:pPr>
        <w:pStyle w:val="ListParagraph"/>
        <w:widowControl/>
        <w:numPr>
          <w:ilvl w:val="1"/>
          <w:numId w:val="1"/>
        </w:numPr>
        <w:spacing w:after="120"/>
      </w:pPr>
      <w:r w:rsidRPr="00D123EE">
        <w:rPr>
          <w:lang w:val="en-US" w:eastAsia="en-AU"/>
        </w:rPr>
        <w:lastRenderedPageBreak/>
        <w:t xml:space="preserve">Based on specific advice from the PBAC, </w:t>
      </w:r>
      <w:r w:rsidR="000D48D2" w:rsidRPr="00D123EE">
        <w:rPr>
          <w:lang w:val="en-US" w:eastAsia="en-AU"/>
        </w:rPr>
        <w:t>over-the-counter (</w:t>
      </w:r>
      <w:r w:rsidRPr="00D123EE">
        <w:rPr>
          <w:lang w:val="en-US" w:eastAsia="en-AU"/>
        </w:rPr>
        <w:t>OTC</w:t>
      </w:r>
      <w:r w:rsidR="000D48D2" w:rsidRPr="00D123EE">
        <w:rPr>
          <w:lang w:val="en-US" w:eastAsia="en-AU"/>
        </w:rPr>
        <w:t>)</w:t>
      </w:r>
      <w:r w:rsidRPr="00D123EE">
        <w:rPr>
          <w:lang w:val="en-US" w:eastAsia="en-AU"/>
        </w:rPr>
        <w:t xml:space="preserve"> medicines, including paracetamol, that were available to Australian patients at a reasonable cost in the absence of PBS subsidy were removed from general availability on the PBS on 1 January 2016. The PBAC recommended paracetamol 665 mg tablets remain listed for use in palliative care and Aboriginal and/or Torres Strait Islander patients with persistent pain associated with osteoarthritis</w:t>
      </w:r>
      <w:r w:rsidR="00781D97" w:rsidRPr="00D123EE">
        <w:rPr>
          <w:rStyle w:val="FootnoteReference"/>
          <w:lang w:val="en-US" w:eastAsia="en-AU"/>
        </w:rPr>
        <w:footnoteReference w:id="1"/>
      </w:r>
      <w:r w:rsidRPr="00D123EE">
        <w:rPr>
          <w:lang w:val="en-US" w:eastAsia="en-AU"/>
        </w:rPr>
        <w:t xml:space="preserve">. </w:t>
      </w:r>
    </w:p>
    <w:p w:rsidR="007E4255" w:rsidRPr="00D123EE" w:rsidRDefault="007E4255" w:rsidP="005B2734">
      <w:pPr>
        <w:pStyle w:val="ListParagraph"/>
        <w:widowControl/>
        <w:numPr>
          <w:ilvl w:val="1"/>
          <w:numId w:val="1"/>
        </w:numPr>
        <w:spacing w:after="120"/>
      </w:pPr>
      <w:r w:rsidRPr="00D123EE">
        <w:t xml:space="preserve">As of the 1st of February 2018, all medicines containing codeine will be available by prescription only. The Standard for the Uniform Scheduling of Medicines and Poisons (the Poisons Standard) will be amended to delete the codeine entries from Schedule 2 (Pharmacy Medicines) and Schedule 3 (Pharmacist Only Medicines), leaving the codeine entries in Schedule 4 (Prescription Only Medicine) and Schedule 8 (Controlled Drug) only from the 1st February 2018 onwards. This may have implications for the volume of PBS prescriptions for codeine products or </w:t>
      </w:r>
      <w:r w:rsidR="004127B3" w:rsidRPr="00D123EE">
        <w:t xml:space="preserve">their </w:t>
      </w:r>
      <w:r w:rsidRPr="00D123EE">
        <w:t>alternatives, such as tramadol.</w:t>
      </w:r>
    </w:p>
    <w:p w:rsidR="007E4255" w:rsidRPr="00D123EE" w:rsidRDefault="007E4255" w:rsidP="00905D6A">
      <w:pPr>
        <w:pStyle w:val="Heading1"/>
      </w:pPr>
      <w:bookmarkStart w:id="3" w:name="_Toc503971844"/>
      <w:r w:rsidRPr="00D123EE">
        <w:t>Population and disease</w:t>
      </w:r>
      <w:bookmarkEnd w:id="3"/>
    </w:p>
    <w:p w:rsidR="007E4255" w:rsidRPr="00D123EE" w:rsidRDefault="007E4255" w:rsidP="00E22F6D">
      <w:pPr>
        <w:pStyle w:val="ListParagraph"/>
        <w:widowControl/>
        <w:numPr>
          <w:ilvl w:val="1"/>
          <w:numId w:val="1"/>
        </w:numPr>
        <w:spacing w:after="120"/>
      </w:pPr>
      <w:r w:rsidRPr="00D123EE">
        <w:t>Pain exists as an acute or chronic condition. Acute pain lasts for a short time, generally occurs suddenly, and can result from disease, inflammation or tissue injury. Chronic pain lasts beyond the time expected for healing, and may follow surgery, trauma or be caused by another condition. Chronic pain can be continuous or recurrent and it adversely impacts an individual</w:t>
      </w:r>
      <w:r w:rsidR="00F9655D">
        <w:t>’</w:t>
      </w:r>
      <w:r w:rsidRPr="00D123EE">
        <w:t>s well-being, and functional ability.</w:t>
      </w:r>
    </w:p>
    <w:p w:rsidR="007E4255" w:rsidRPr="00D123EE" w:rsidRDefault="007E4255" w:rsidP="00E22F6D">
      <w:pPr>
        <w:pStyle w:val="ListParagraph"/>
        <w:widowControl/>
        <w:numPr>
          <w:ilvl w:val="1"/>
          <w:numId w:val="1"/>
        </w:numPr>
        <w:spacing w:after="120"/>
      </w:pPr>
      <w:r w:rsidRPr="00D123EE">
        <w:t>Both pharmacological and non-pharmacologic approaches are used to treat acute and chronic pain. Pharmacological options include a variety of drug types such as non-opioid analgesics (acetaminophen</w:t>
      </w:r>
      <w:r w:rsidR="00523526" w:rsidRPr="00D123EE">
        <w:t xml:space="preserve"> </w:t>
      </w:r>
      <w:r w:rsidR="003F4C98" w:rsidRPr="00D123EE">
        <w:t>[</w:t>
      </w:r>
      <w:r w:rsidR="00523526" w:rsidRPr="00D123EE">
        <w:t>paracetamol</w:t>
      </w:r>
      <w:r w:rsidR="003F4C98" w:rsidRPr="00D123EE">
        <w:t>]</w:t>
      </w:r>
      <w:r w:rsidRPr="00D123EE">
        <w:t>, non-steroidal anti-inflammatory drug [NSAID]</w:t>
      </w:r>
      <w:r w:rsidR="000D48D2" w:rsidRPr="00D123EE">
        <w:t>, serotonergic drugs</w:t>
      </w:r>
      <w:r w:rsidRPr="00D123EE">
        <w:t xml:space="preserve">), and opioids. </w:t>
      </w:r>
      <w:r w:rsidR="009E34E9" w:rsidRPr="00D123EE">
        <w:t>The FDC of tramadol 37.5</w:t>
      </w:r>
      <w:r w:rsidR="008C2FB9" w:rsidRPr="00D123EE">
        <w:t> </w:t>
      </w:r>
      <w:r w:rsidR="009E34E9" w:rsidRPr="00D123EE">
        <w:t>mg/paracetamol 325</w:t>
      </w:r>
      <w:r w:rsidR="008C2FB9" w:rsidRPr="00D123EE">
        <w:t> </w:t>
      </w:r>
      <w:r w:rsidR="009E34E9" w:rsidRPr="00D123EE">
        <w:t>mg</w:t>
      </w:r>
      <w:r w:rsidRPr="00D123EE">
        <w:t xml:space="preserve"> is proposed for use in patients that require treatment for acute or chronic pain</w:t>
      </w:r>
      <w:r w:rsidRPr="006E4ABF">
        <w:t xml:space="preserve">, </w:t>
      </w:r>
      <w:r w:rsidR="000E5F1A" w:rsidRPr="006E4ABF">
        <w:t>limited to acute pain only in the PSCR,</w:t>
      </w:r>
      <w:r w:rsidR="000E5F1A">
        <w:t xml:space="preserve"> </w:t>
      </w:r>
      <w:r w:rsidRPr="00D123EE">
        <w:t xml:space="preserve">where aspirin and/or paracetamol alone are inappropriate or have failed. </w:t>
      </w:r>
    </w:p>
    <w:p w:rsidR="007E4255" w:rsidRPr="00D123EE" w:rsidRDefault="007E4255" w:rsidP="00E22F6D">
      <w:pPr>
        <w:pStyle w:val="ListParagraph"/>
        <w:widowControl/>
        <w:numPr>
          <w:ilvl w:val="1"/>
          <w:numId w:val="1"/>
        </w:numPr>
        <w:spacing w:after="120"/>
      </w:pPr>
      <w:r w:rsidRPr="00D123EE">
        <w:t>T</w:t>
      </w:r>
      <w:r w:rsidR="001C2788" w:rsidRPr="00D123EE">
        <w:t>reatment</w:t>
      </w:r>
      <w:r w:rsidRPr="00D123EE">
        <w:t xml:space="preserve"> guidelines</w:t>
      </w:r>
      <w:r w:rsidR="001C2788" w:rsidRPr="00D123EE">
        <w:t xml:space="preserve"> (</w:t>
      </w:r>
      <w:proofErr w:type="spellStart"/>
      <w:r w:rsidR="001C2788" w:rsidRPr="00D123EE">
        <w:t>eTG</w:t>
      </w:r>
      <w:proofErr w:type="spellEnd"/>
      <w:r w:rsidR="001C2788" w:rsidRPr="00D123EE">
        <w:t xml:space="preserve"> Complete)</w:t>
      </w:r>
      <w:r w:rsidRPr="00D123EE">
        <w:t xml:space="preserve"> recommend </w:t>
      </w:r>
      <w:r w:rsidR="00D25200" w:rsidRPr="00D123EE">
        <w:t>that</w:t>
      </w:r>
      <w:r w:rsidRPr="00D123EE">
        <w:t xml:space="preserve"> in patients presenting with moderate pain that is not adequately relieved by paracetamol and/or an NSAID, and the pain is interfering with the patients’ quality of life</w:t>
      </w:r>
      <w:r w:rsidR="005D14A7" w:rsidRPr="00D123EE">
        <w:t>,</w:t>
      </w:r>
      <w:r w:rsidRPr="00D123EE">
        <w:t xml:space="preserve"> to consider </w:t>
      </w:r>
      <w:r w:rsidRPr="00C27F27">
        <w:rPr>
          <w:u w:val="single"/>
        </w:rPr>
        <w:t>adding</w:t>
      </w:r>
      <w:r w:rsidRPr="00D123EE">
        <w:t xml:space="preserve"> an oral opioid (codeine, tramadol IR, or oxycodone IR). </w:t>
      </w:r>
      <w:r w:rsidR="00516B67" w:rsidRPr="00D123EE">
        <w:t>However, t</w:t>
      </w:r>
      <w:r w:rsidRPr="00D123EE">
        <w:t xml:space="preserve">here appears to be some concern regarding the place of tramadol in the management of pain in adults (CADTH report 2015). </w:t>
      </w:r>
      <w:r w:rsidR="002861D6" w:rsidRPr="00D123EE">
        <w:t>T</w:t>
      </w:r>
      <w:r w:rsidRPr="00D123EE">
        <w:t>he role of tramadol in managing pain is limited, due to its limited analgesic activity, adverse effects and drug interactions, particularly with serotonergic drugs that may be beneficial in chronic pain management (</w:t>
      </w:r>
      <w:proofErr w:type="spellStart"/>
      <w:r w:rsidRPr="00D123EE">
        <w:t>eTG</w:t>
      </w:r>
      <w:proofErr w:type="spellEnd"/>
      <w:r w:rsidRPr="00D123EE">
        <w:t xml:space="preserve"> Complete).</w:t>
      </w:r>
      <w:r w:rsidR="00455707">
        <w:t xml:space="preserve"> </w:t>
      </w:r>
      <w:r w:rsidR="00455707" w:rsidRPr="00B84D95">
        <w:t>The PSCR</w:t>
      </w:r>
      <w:r w:rsidR="00FE5602">
        <w:t xml:space="preserve"> </w:t>
      </w:r>
      <w:r w:rsidR="00455707" w:rsidRPr="00B84D95">
        <w:t xml:space="preserve">noted that as per </w:t>
      </w:r>
      <w:proofErr w:type="spellStart"/>
      <w:r w:rsidR="00455707" w:rsidRPr="00B84D95">
        <w:t>eTG</w:t>
      </w:r>
      <w:proofErr w:type="spellEnd"/>
      <w:r w:rsidR="00455707" w:rsidRPr="00B84D95">
        <w:t xml:space="preserve"> Complete Analgesic Guidelines tramadol 50mg IR 50-100mg orally up to four times daily is recommended as a suitable Step 2 </w:t>
      </w:r>
      <w:r w:rsidR="00455707" w:rsidRPr="00B84D95">
        <w:lastRenderedPageBreak/>
        <w:t>treatment option that can be added to paracetamol therapy if pain relief is insufficient in moderate acute pain. However this recommended dosing differs from that in the FDC. ESC noted it would be best practice for patients with acute pain to be treated with a higher dose of paracetamol than that contained in the FDC before considering adding an oral opioid such as tramadol.</w:t>
      </w:r>
    </w:p>
    <w:p w:rsidR="007E4255" w:rsidRPr="007A0BA2" w:rsidRDefault="00CF676C" w:rsidP="007A0BA2">
      <w:pPr>
        <w:pStyle w:val="ListParagraph"/>
        <w:ind w:left="709"/>
        <w:jc w:val="left"/>
        <w:rPr>
          <w:rFonts w:asciiTheme="minorHAnsi" w:hAnsiTheme="minorHAnsi"/>
          <w:i/>
        </w:rPr>
      </w:pPr>
      <w:r w:rsidRPr="007A0BA2">
        <w:rPr>
          <w:rFonts w:asciiTheme="minorHAnsi" w:hAnsiTheme="minorHAnsi"/>
          <w:i/>
        </w:rPr>
        <w:t>For more detail on PBAC’s view, see section 7 PBAC outcome.</w:t>
      </w:r>
    </w:p>
    <w:p w:rsidR="007E4255" w:rsidRPr="00D123EE" w:rsidRDefault="007E4255" w:rsidP="00905D6A">
      <w:pPr>
        <w:pStyle w:val="Heading1"/>
      </w:pPr>
      <w:bookmarkStart w:id="4" w:name="_Toc503971845"/>
      <w:r w:rsidRPr="00D123EE">
        <w:t>Comparator</w:t>
      </w:r>
      <w:bookmarkEnd w:id="4"/>
    </w:p>
    <w:p w:rsidR="007E4255" w:rsidRPr="00D123EE" w:rsidRDefault="007E4255" w:rsidP="00E22F6D">
      <w:pPr>
        <w:pStyle w:val="ListParagraph"/>
        <w:widowControl/>
        <w:numPr>
          <w:ilvl w:val="1"/>
          <w:numId w:val="1"/>
        </w:numPr>
        <w:spacing w:after="120"/>
      </w:pPr>
      <w:r w:rsidRPr="00D123EE">
        <w:t xml:space="preserve">The submission nominated tramadol 50 mg IR as the main comparator for both acute and chronic pain. </w:t>
      </w:r>
      <w:r w:rsidR="00742D39" w:rsidRPr="00D123EE">
        <w:t xml:space="preserve">The FDC of </w:t>
      </w:r>
      <w:r w:rsidR="00742D39" w:rsidRPr="00D123EE">
        <w:rPr>
          <w:lang w:val="en-US"/>
        </w:rPr>
        <w:t>paracetamol 500 mg/codeine phosphate 30 mg</w:t>
      </w:r>
      <w:r w:rsidR="00742D39" w:rsidRPr="00D123EE" w:rsidDel="00742D39">
        <w:t xml:space="preserve"> </w:t>
      </w:r>
      <w:r w:rsidRPr="00D123EE">
        <w:t>was nominated as a secondary economic comparator</w:t>
      </w:r>
      <w:r w:rsidR="00AE4FA5" w:rsidRPr="00D123EE">
        <w:t xml:space="preserve"> only</w:t>
      </w:r>
      <w:r w:rsidRPr="00D123EE">
        <w:t xml:space="preserve">. </w:t>
      </w:r>
    </w:p>
    <w:p w:rsidR="00C317CA" w:rsidRPr="00D123EE" w:rsidRDefault="007E4255" w:rsidP="00E22F6D">
      <w:pPr>
        <w:pStyle w:val="ListParagraph"/>
        <w:widowControl/>
        <w:numPr>
          <w:ilvl w:val="1"/>
          <w:numId w:val="1"/>
        </w:numPr>
        <w:spacing w:after="120"/>
      </w:pPr>
      <w:r w:rsidRPr="00D123EE">
        <w:t>Tramadol 50 mg IR may not be the only appropriate</w:t>
      </w:r>
      <w:r w:rsidR="00AB1ED0" w:rsidRPr="00D123EE">
        <w:t xml:space="preserve"> main</w:t>
      </w:r>
      <w:r w:rsidRPr="00D123EE">
        <w:t xml:space="preserve"> comparator</w:t>
      </w:r>
      <w:r w:rsidR="00C317CA" w:rsidRPr="00D123EE">
        <w:t xml:space="preserve"> because:</w:t>
      </w:r>
      <w:r w:rsidRPr="00D123EE">
        <w:t xml:space="preserve"> </w:t>
      </w:r>
    </w:p>
    <w:p w:rsidR="007E4255" w:rsidRPr="00D123EE" w:rsidRDefault="007E4255" w:rsidP="00E22F6D">
      <w:pPr>
        <w:pStyle w:val="ListParagraph"/>
        <w:widowControl/>
        <w:numPr>
          <w:ilvl w:val="2"/>
          <w:numId w:val="9"/>
        </w:numPr>
        <w:spacing w:after="120"/>
        <w:ind w:left="1414" w:hanging="356"/>
      </w:pPr>
      <w:r w:rsidRPr="00D123EE">
        <w:t>Although the comparison is</w:t>
      </w:r>
      <w:r w:rsidR="00623ED6" w:rsidRPr="00D123EE">
        <w:t xml:space="preserve"> </w:t>
      </w:r>
      <w:r w:rsidRPr="00D123EE">
        <w:t>informativ</w:t>
      </w:r>
      <w:r w:rsidR="00623ED6" w:rsidRPr="00D123EE">
        <w:t>e</w:t>
      </w:r>
      <w:r w:rsidRPr="00D123EE">
        <w:t xml:space="preserve"> for acute pain </w:t>
      </w:r>
      <w:r w:rsidR="00B24E78" w:rsidRPr="00D123EE">
        <w:t>as</w:t>
      </w:r>
      <w:r w:rsidRPr="00D123EE">
        <w:t xml:space="preserve"> the </w:t>
      </w:r>
      <w:r w:rsidR="00EB7314" w:rsidRPr="00D123EE">
        <w:t>IR</w:t>
      </w:r>
      <w:r w:rsidRPr="00D123EE">
        <w:t xml:space="preserve"> formulation</w:t>
      </w:r>
      <w:r w:rsidR="00EB7314" w:rsidRPr="00D123EE">
        <w:t xml:space="preserve"> is contained in the FDC</w:t>
      </w:r>
      <w:r w:rsidRPr="00D123EE">
        <w:t xml:space="preserve">, </w:t>
      </w:r>
      <w:r w:rsidR="00C71B17" w:rsidRPr="00D123EE">
        <w:t>only tramadol sustained release (SR)</w:t>
      </w:r>
      <w:r w:rsidR="00007E58" w:rsidRPr="00D123EE">
        <w:t xml:space="preserve"> formulations are</w:t>
      </w:r>
      <w:r w:rsidR="00C71B17" w:rsidRPr="00D123EE">
        <w:t xml:space="preserve"> reimbursed for ongoing use in chronic pain.</w:t>
      </w:r>
      <w:r w:rsidR="00E223D1" w:rsidRPr="00D123EE">
        <w:t xml:space="preserve"> </w:t>
      </w:r>
      <w:r w:rsidR="00C71B17" w:rsidRPr="00D123EE">
        <w:t>T</w:t>
      </w:r>
      <w:r w:rsidRPr="00D123EE">
        <w:t xml:space="preserve">he PBS listing for tramadol 50 mg IR </w:t>
      </w:r>
      <w:r w:rsidR="000D48D2" w:rsidRPr="00D123EE">
        <w:t xml:space="preserve">in chronic pain is as </w:t>
      </w:r>
      <w:r w:rsidRPr="00D123EE">
        <w:t xml:space="preserve">a Restricted Benefit Item </w:t>
      </w:r>
      <w:r w:rsidR="000D48D2" w:rsidRPr="00D123EE">
        <w:t xml:space="preserve">which </w:t>
      </w:r>
      <w:r w:rsidRPr="00D123EE">
        <w:t>specifies use in titration only</w:t>
      </w:r>
      <w:r w:rsidR="00C317CA" w:rsidRPr="00D123EE">
        <w:t>;</w:t>
      </w:r>
      <w:r w:rsidRPr="00D123EE">
        <w:t xml:space="preserve"> </w:t>
      </w:r>
    </w:p>
    <w:p w:rsidR="00C317CA" w:rsidRPr="00D123EE" w:rsidRDefault="00C317CA" w:rsidP="00E22F6D">
      <w:pPr>
        <w:pStyle w:val="ListParagraph"/>
        <w:widowControl/>
        <w:numPr>
          <w:ilvl w:val="2"/>
          <w:numId w:val="9"/>
        </w:numPr>
        <w:spacing w:after="120"/>
        <w:ind w:left="1414" w:hanging="356"/>
      </w:pPr>
      <w:r w:rsidRPr="00D123EE">
        <w:t>There are NSAIDs available over the counter that are recommended as treatments for moderate pain (</w:t>
      </w:r>
      <w:proofErr w:type="spellStart"/>
      <w:r w:rsidRPr="00D123EE">
        <w:t>eTG</w:t>
      </w:r>
      <w:proofErr w:type="spellEnd"/>
      <w:r w:rsidRPr="00D123EE">
        <w:t xml:space="preserve"> </w:t>
      </w:r>
      <w:r w:rsidRPr="00D123EE">
        <w:rPr>
          <w:lang w:val="en-US"/>
        </w:rPr>
        <w:t xml:space="preserve">Complete, URL: </w:t>
      </w:r>
      <w:r w:rsidRPr="00060B8C">
        <w:rPr>
          <w:lang w:val="en-US"/>
        </w:rPr>
        <w:t>https://tgldcdp.tg.org.au</w:t>
      </w:r>
      <w:r w:rsidRPr="00D123EE">
        <w:t>);</w:t>
      </w:r>
    </w:p>
    <w:p w:rsidR="00C317CA" w:rsidRPr="00D123EE" w:rsidRDefault="00C317CA" w:rsidP="00E22F6D">
      <w:pPr>
        <w:pStyle w:val="ListParagraph"/>
        <w:widowControl/>
        <w:numPr>
          <w:ilvl w:val="2"/>
          <w:numId w:val="9"/>
        </w:numPr>
        <w:spacing w:after="120"/>
        <w:ind w:left="1414" w:hanging="356"/>
      </w:pPr>
      <w:r w:rsidRPr="00D123EE">
        <w:t xml:space="preserve">Although paracetamol is not listed on the PBS as a General Benefit item, it is available </w:t>
      </w:r>
      <w:r w:rsidR="00007E58" w:rsidRPr="00D123EE">
        <w:t xml:space="preserve">as an </w:t>
      </w:r>
      <w:r w:rsidRPr="00D123EE">
        <w:t xml:space="preserve">OTC medication and </w:t>
      </w:r>
      <w:r w:rsidR="00F57C4B" w:rsidRPr="00D95E11">
        <w:rPr>
          <w:i/>
        </w:rPr>
        <w:t>should</w:t>
      </w:r>
      <w:r w:rsidR="00F57C4B" w:rsidRPr="00D123EE">
        <w:t xml:space="preserve"> </w:t>
      </w:r>
      <w:r w:rsidRPr="00D123EE">
        <w:t xml:space="preserve">be administered with tramadol </w:t>
      </w:r>
      <w:r w:rsidRPr="00B84D95">
        <w:t>concomitantly</w:t>
      </w:r>
      <w:r w:rsidR="00F57C4B" w:rsidRPr="00B84D95">
        <w:t xml:space="preserve"> according to national and international pain guidelines</w:t>
      </w:r>
      <w:r w:rsidRPr="00B84D95">
        <w:t>.</w:t>
      </w:r>
      <w:r w:rsidR="003B5FCE" w:rsidRPr="00B84D95">
        <w:t xml:space="preserve"> </w:t>
      </w:r>
      <w:r w:rsidR="003B5FCE" w:rsidRPr="00D123EE">
        <w:t xml:space="preserve">Tramadol and paracetamol as individual components </w:t>
      </w:r>
      <w:r w:rsidR="00AE4FA5" w:rsidRPr="00D123EE">
        <w:t xml:space="preserve">administered </w:t>
      </w:r>
      <w:r w:rsidR="003B5FCE" w:rsidRPr="00D123EE">
        <w:t>concomitantly may be considered to be a more appropriate comparison.</w:t>
      </w:r>
      <w:r w:rsidR="00455707" w:rsidRPr="00B84D95">
        <w:t xml:space="preserve"> ESC agreed that this is the most appropriate comparator for the FDC.</w:t>
      </w:r>
    </w:p>
    <w:p w:rsidR="00692587" w:rsidRPr="00D123EE" w:rsidRDefault="00692587" w:rsidP="00E22F6D">
      <w:pPr>
        <w:pStyle w:val="ListParagraph"/>
        <w:widowControl/>
        <w:numPr>
          <w:ilvl w:val="1"/>
          <w:numId w:val="1"/>
        </w:numPr>
        <w:spacing w:after="120"/>
      </w:pPr>
      <w:r w:rsidRPr="00D123EE">
        <w:t>For</w:t>
      </w:r>
      <w:r w:rsidRPr="00D123EE">
        <w:rPr>
          <w:rFonts w:cs="Calibri"/>
          <w:iCs/>
          <w:snapToGrid/>
          <w:szCs w:val="24"/>
          <w:lang w:val="en-US" w:eastAsia="en-AU"/>
        </w:rPr>
        <w:t xml:space="preserve"> the treatment of chronic pain, tramadol SR tablets are less </w:t>
      </w:r>
      <w:r w:rsidR="00AE4FA5" w:rsidRPr="00D123EE">
        <w:rPr>
          <w:rFonts w:cs="Calibri"/>
          <w:iCs/>
          <w:snapToGrid/>
          <w:szCs w:val="24"/>
          <w:lang w:val="en-US" w:eastAsia="en-AU"/>
        </w:rPr>
        <w:t xml:space="preserve">expensive </w:t>
      </w:r>
      <w:r w:rsidRPr="00D123EE">
        <w:rPr>
          <w:rFonts w:cs="Calibri"/>
          <w:iCs/>
          <w:snapToGrid/>
          <w:szCs w:val="24"/>
          <w:lang w:val="en-US" w:eastAsia="en-AU"/>
        </w:rPr>
        <w:t xml:space="preserve">than </w:t>
      </w:r>
      <w:r w:rsidR="009E34E9" w:rsidRPr="00D123EE">
        <w:rPr>
          <w:rFonts w:cs="Calibri"/>
          <w:iCs/>
          <w:snapToGrid/>
          <w:szCs w:val="24"/>
          <w:lang w:val="en-US" w:eastAsia="en-AU"/>
        </w:rPr>
        <w:t>the FDC of tramadol 37.5 mg/paracetamol 325 mg</w:t>
      </w:r>
      <w:r w:rsidRPr="00D123EE">
        <w:rPr>
          <w:rFonts w:cs="Calibri"/>
          <w:iCs/>
          <w:snapToGrid/>
          <w:szCs w:val="24"/>
          <w:lang w:val="en-US" w:eastAsia="en-AU"/>
        </w:rPr>
        <w:t xml:space="preserve"> and are alternative therapies because they could be replaced in practice. If treatment with </w:t>
      </w:r>
      <w:r w:rsidR="009E34E9" w:rsidRPr="00D123EE">
        <w:rPr>
          <w:rFonts w:cs="Calibri"/>
          <w:iCs/>
          <w:snapToGrid/>
          <w:szCs w:val="24"/>
          <w:lang w:val="en-US" w:eastAsia="en-AU"/>
        </w:rPr>
        <w:t>the FDC of tramadol 37.5 mg/paracetamol 325 mg</w:t>
      </w:r>
      <w:r w:rsidRPr="00D123EE">
        <w:rPr>
          <w:rFonts w:cs="Calibri"/>
          <w:iCs/>
          <w:snapToGrid/>
          <w:szCs w:val="24"/>
          <w:lang w:val="en-US" w:eastAsia="en-AU"/>
        </w:rPr>
        <w:t xml:space="preserve"> </w:t>
      </w:r>
      <w:r w:rsidR="002B02A6" w:rsidRPr="00D123EE">
        <w:rPr>
          <w:rFonts w:cs="Calibri"/>
          <w:iCs/>
          <w:snapToGrid/>
          <w:szCs w:val="24"/>
          <w:lang w:val="en-US" w:eastAsia="en-AU"/>
        </w:rPr>
        <w:t>costs</w:t>
      </w:r>
      <w:r w:rsidRPr="00D123EE">
        <w:rPr>
          <w:rFonts w:cs="Calibri"/>
          <w:iCs/>
          <w:snapToGrid/>
          <w:szCs w:val="24"/>
          <w:lang w:val="en-US" w:eastAsia="en-AU"/>
        </w:rPr>
        <w:t xml:space="preserve"> more than an alternative therapy or alternative therapies, the PBAC could only recommend listing of </w:t>
      </w:r>
      <w:r w:rsidR="009E34E9" w:rsidRPr="00D123EE">
        <w:rPr>
          <w:rFonts w:cs="Calibri"/>
          <w:iCs/>
          <w:snapToGrid/>
          <w:szCs w:val="24"/>
          <w:lang w:val="en-US" w:eastAsia="en-AU"/>
        </w:rPr>
        <w:t>the FDC of tramadol 37.5 mg/paracetamol 325 mg</w:t>
      </w:r>
      <w:r w:rsidRPr="00D123EE">
        <w:rPr>
          <w:rFonts w:cs="Calibri"/>
          <w:iCs/>
          <w:snapToGrid/>
          <w:szCs w:val="24"/>
          <w:lang w:val="en-US" w:eastAsia="en-AU"/>
        </w:rPr>
        <w:t xml:space="preserve"> if it is satisfied that </w:t>
      </w:r>
      <w:r w:rsidR="009E34E9" w:rsidRPr="00D123EE">
        <w:rPr>
          <w:rFonts w:cs="Calibri"/>
          <w:iCs/>
          <w:snapToGrid/>
          <w:szCs w:val="24"/>
          <w:lang w:val="en-US" w:eastAsia="en-AU"/>
        </w:rPr>
        <w:t>the FDC of tramadol 37.5 mg/paracetamol 325 mg</w:t>
      </w:r>
      <w:r w:rsidRPr="00D123EE">
        <w:rPr>
          <w:rFonts w:cs="Calibri"/>
          <w:iCs/>
          <w:snapToGrid/>
          <w:szCs w:val="24"/>
          <w:lang w:val="en-US" w:eastAsia="en-AU"/>
        </w:rPr>
        <w:t xml:space="preserve"> provides, for some patients, a significant improvement in efficacy or reduction of toxicity over the alternative therapy or therapies (</w:t>
      </w:r>
      <w:r w:rsidRPr="00FE5602">
        <w:rPr>
          <w:rFonts w:cs="Calibri"/>
          <w:i/>
          <w:iCs/>
          <w:snapToGrid/>
          <w:szCs w:val="24"/>
          <w:lang w:val="en-US" w:eastAsia="en-AU"/>
        </w:rPr>
        <w:t>National Health Act 1953</w:t>
      </w:r>
      <w:r w:rsidRPr="00D123EE">
        <w:rPr>
          <w:rFonts w:cs="Calibri"/>
          <w:iCs/>
          <w:snapToGrid/>
          <w:szCs w:val="24"/>
          <w:lang w:val="en-US" w:eastAsia="en-AU"/>
        </w:rPr>
        <w:t xml:space="preserve">, Section 101(3B)).  </w:t>
      </w:r>
      <w:r w:rsidR="00CE7DA6" w:rsidRPr="00B84D95">
        <w:rPr>
          <w:rFonts w:cs="Calibri"/>
          <w:iCs/>
          <w:snapToGrid/>
          <w:szCs w:val="24"/>
          <w:lang w:val="en-US" w:eastAsia="en-AU"/>
        </w:rPr>
        <w:t xml:space="preserve">The </w:t>
      </w:r>
      <w:r w:rsidR="00455707" w:rsidRPr="00B84D95">
        <w:rPr>
          <w:rFonts w:cs="Calibri"/>
          <w:iCs/>
          <w:snapToGrid/>
          <w:szCs w:val="24"/>
          <w:lang w:val="en-US" w:eastAsia="en-AU"/>
        </w:rPr>
        <w:t xml:space="preserve">ESC noted that where leakage to use in chronic pain occurs for the proposed listing costs would be higher than for the alternative treatments available for chronic pain, resulting </w:t>
      </w:r>
      <w:r w:rsidR="00B97F64">
        <w:rPr>
          <w:rFonts w:cs="Calibri"/>
          <w:iCs/>
          <w:snapToGrid/>
          <w:szCs w:val="24"/>
          <w:lang w:val="en-US" w:eastAsia="en-AU"/>
        </w:rPr>
        <w:t>in an increased cost to the PBS.</w:t>
      </w:r>
      <w:r w:rsidR="00455707" w:rsidRPr="000B385D">
        <w:rPr>
          <w:rFonts w:cs="Calibri"/>
          <w:i/>
          <w:iCs/>
          <w:snapToGrid/>
          <w:szCs w:val="24"/>
          <w:lang w:val="en-US" w:eastAsia="en-AU"/>
        </w:rPr>
        <w:t xml:space="preserve">  </w:t>
      </w:r>
    </w:p>
    <w:p w:rsidR="00B97F64" w:rsidRDefault="00B97F64" w:rsidP="00B97F64">
      <w:pPr>
        <w:pStyle w:val="ListParagraph"/>
        <w:widowControl/>
        <w:numPr>
          <w:ilvl w:val="1"/>
          <w:numId w:val="1"/>
        </w:numPr>
        <w:spacing w:after="120"/>
      </w:pPr>
      <w:r w:rsidRPr="00B97F64">
        <w:t>The submission did not present a comparison against the individual components used concomitantly.</w:t>
      </w:r>
      <w:r w:rsidRPr="00B97F64" w:rsidDel="007F67E2">
        <w:t xml:space="preserve"> </w:t>
      </w:r>
      <w:r w:rsidRPr="00B97F64">
        <w:t xml:space="preserve">The PSCR stated that RCT data from 8 studies comparing the </w:t>
      </w:r>
      <w:r w:rsidRPr="00B97F64">
        <w:lastRenderedPageBreak/>
        <w:t>proposed FDC with the individual components was meta-analysed and presented in Attachment 4 to the submission. However, the meta-analyses in Attachment 4 provided a comparison of the FDC with its individual components given separately (in separate arms of the trials), not concomitantly as is requested under the FDC guidelines. The ESC considered that concomitant use of the components is the most appropriate comparator, particularly as use of tramadol 50 mg IR is recommended by national and international guidelines together with a step 1 analgesic such as paracetamol.  The chosen comparator</w:t>
      </w:r>
      <w:r w:rsidR="007261E9">
        <w:t xml:space="preserve"> in the submission</w:t>
      </w:r>
      <w:r w:rsidRPr="00B97F64">
        <w:t xml:space="preserve"> does not represent best practice. </w:t>
      </w:r>
    </w:p>
    <w:p w:rsidR="00B97F64" w:rsidRPr="00B97F64" w:rsidRDefault="00B97F64" w:rsidP="00B97F64">
      <w:pPr>
        <w:pStyle w:val="ListParagraph"/>
        <w:widowControl/>
        <w:numPr>
          <w:ilvl w:val="1"/>
          <w:numId w:val="1"/>
        </w:numPr>
        <w:spacing w:after="120"/>
      </w:pPr>
      <w:r w:rsidRPr="00B84D95">
        <w:t>For the treatment of acute pain</w:t>
      </w:r>
      <w:r w:rsidRPr="004A444D">
        <w:rPr>
          <w:i/>
        </w:rPr>
        <w:t>,</w:t>
      </w:r>
      <w:r>
        <w:t xml:space="preserve"> t</w:t>
      </w:r>
      <w:r w:rsidRPr="00D123EE">
        <w:t xml:space="preserve">he FDC of </w:t>
      </w:r>
      <w:r w:rsidRPr="00D123EE">
        <w:rPr>
          <w:lang w:val="en-US"/>
        </w:rPr>
        <w:t>paracetamol 500 mg/codeine phosphate 30 mg</w:t>
      </w:r>
      <w:r w:rsidRPr="00D123EE" w:rsidDel="00742D39">
        <w:t xml:space="preserve"> </w:t>
      </w:r>
      <w:r w:rsidRPr="00D123EE">
        <w:t>was provided as a secondary economic comparator. This is an appropriate comparator for this submission</w:t>
      </w:r>
      <w:r>
        <w:t xml:space="preserve"> </w:t>
      </w:r>
      <w:r w:rsidRPr="00B84D95">
        <w:t>as it could be replaced in practice.</w:t>
      </w:r>
      <w:r w:rsidRPr="00D123EE">
        <w:t xml:space="preserve"> Based on review of the therapeutic relativity sheets, the submission reasoned that since tramadol 50 mg was recommended on the basis of acceptable cost-effectiveness compared with the FDC of paracetamol 500 mg and codeine phosphate 30 mg, and with codeine phosphate 30 mg alone, the FDC of tramadol 37.5 mg/paracetamol 325 mg is also cost-effective compared to codeine based regimens. This assertion is only valid if the FDC of tramadol 37.5 mg/paracetamol 325 mg is considered to be non-inferior to tramadol 50 mg. A clinical comparison of tramadol 37.5 mg/paracetamol 325 mg with codeine phosphate 30 mg/ paracetamol 500 mg was not presented in the submission.</w:t>
      </w:r>
    </w:p>
    <w:p w:rsidR="00B60939" w:rsidRPr="007A0BA2" w:rsidRDefault="00CF676C" w:rsidP="007A0BA2">
      <w:pPr>
        <w:pStyle w:val="ListParagraph"/>
        <w:ind w:left="709"/>
        <w:jc w:val="left"/>
        <w:rPr>
          <w:rFonts w:asciiTheme="minorHAnsi" w:hAnsiTheme="minorHAnsi"/>
          <w:i/>
        </w:rPr>
      </w:pPr>
      <w:r w:rsidRPr="007A0BA2">
        <w:rPr>
          <w:rFonts w:asciiTheme="minorHAnsi" w:hAnsiTheme="minorHAnsi"/>
          <w:i/>
        </w:rPr>
        <w:t>For more detail on PBAC’s view, see section 7 PBAC outcome.</w:t>
      </w:r>
    </w:p>
    <w:p w:rsidR="00B50DB8" w:rsidRPr="00D123EE" w:rsidRDefault="00BD6CF3" w:rsidP="00905D6A">
      <w:pPr>
        <w:pStyle w:val="Heading1"/>
      </w:pPr>
      <w:bookmarkStart w:id="5" w:name="_Toc503971846"/>
      <w:r w:rsidRPr="00D123EE">
        <w:t>C</w:t>
      </w:r>
      <w:r w:rsidR="00B50DB8" w:rsidRPr="00D123EE">
        <w:t>onsideration of the evidence</w:t>
      </w:r>
      <w:bookmarkEnd w:id="5"/>
    </w:p>
    <w:p w:rsidR="00CF676C" w:rsidRPr="00905D6A" w:rsidRDefault="00CF676C" w:rsidP="00905D6A">
      <w:pPr>
        <w:pStyle w:val="KMC16-Heading2"/>
      </w:pPr>
      <w:bookmarkStart w:id="6" w:name="_Toc503971847"/>
      <w:r w:rsidRPr="00905D6A">
        <w:t>Sponsor hearing</w:t>
      </w:r>
    </w:p>
    <w:p w:rsidR="00CF676C" w:rsidRPr="006337DE" w:rsidRDefault="00CF676C" w:rsidP="00E22F6D">
      <w:pPr>
        <w:numPr>
          <w:ilvl w:val="1"/>
          <w:numId w:val="1"/>
        </w:numPr>
        <w:spacing w:after="120"/>
        <w:rPr>
          <w:rFonts w:asciiTheme="minorHAnsi" w:hAnsiTheme="minorHAnsi"/>
          <w:bCs/>
        </w:rPr>
      </w:pPr>
      <w:r w:rsidRPr="006337DE">
        <w:rPr>
          <w:rFonts w:asciiTheme="minorHAnsi" w:hAnsiTheme="minorHAnsi"/>
          <w:bCs/>
        </w:rPr>
        <w:t>There was no hearing for this item.</w:t>
      </w:r>
    </w:p>
    <w:p w:rsidR="00CF676C" w:rsidRPr="006337DE" w:rsidRDefault="00CF676C" w:rsidP="00905D6A">
      <w:pPr>
        <w:pStyle w:val="KMC16-Heading2"/>
      </w:pPr>
      <w:r w:rsidRPr="006337DE">
        <w:t>Consumer comments</w:t>
      </w:r>
    </w:p>
    <w:p w:rsidR="00CF676C" w:rsidRPr="006337DE" w:rsidRDefault="00CF676C" w:rsidP="00E22F6D">
      <w:pPr>
        <w:numPr>
          <w:ilvl w:val="1"/>
          <w:numId w:val="1"/>
        </w:numPr>
        <w:spacing w:after="120"/>
        <w:rPr>
          <w:rFonts w:asciiTheme="minorHAnsi" w:hAnsiTheme="minorHAnsi"/>
          <w:bCs/>
        </w:rPr>
      </w:pPr>
      <w:r w:rsidRPr="006337DE">
        <w:rPr>
          <w:rFonts w:asciiTheme="minorHAnsi" w:hAnsiTheme="minorHAnsi"/>
          <w:bCs/>
        </w:rPr>
        <w:t>The PBAC noted and welcomed the input from one health care professional via the Consumer Comments facility on the PBS website.  The comment described the need for available treatments for patients with chronic pain.</w:t>
      </w:r>
    </w:p>
    <w:p w:rsidR="00B60939" w:rsidRPr="0032125F" w:rsidRDefault="00B60939" w:rsidP="00905D6A">
      <w:pPr>
        <w:pStyle w:val="KMC16-Heading2"/>
      </w:pPr>
      <w:r w:rsidRPr="0032125F">
        <w:t>Clinical trials</w:t>
      </w:r>
      <w:bookmarkEnd w:id="6"/>
    </w:p>
    <w:p w:rsidR="00895353" w:rsidRPr="00D123EE" w:rsidRDefault="00A73134" w:rsidP="00E22F6D">
      <w:pPr>
        <w:pStyle w:val="ListParagraph"/>
        <w:widowControl/>
        <w:numPr>
          <w:ilvl w:val="1"/>
          <w:numId w:val="1"/>
        </w:numPr>
        <w:spacing w:after="120"/>
      </w:pPr>
      <w:r w:rsidRPr="00D123EE">
        <w:rPr>
          <w:rFonts w:cs="Calibri"/>
          <w:snapToGrid/>
          <w:szCs w:val="24"/>
          <w:lang w:val="en-US" w:eastAsia="en-AU"/>
        </w:rPr>
        <w:t xml:space="preserve">The submission </w:t>
      </w:r>
      <w:r w:rsidR="00A42619" w:rsidRPr="00D123EE">
        <w:rPr>
          <w:rFonts w:cs="Calibri"/>
          <w:snapToGrid/>
          <w:szCs w:val="24"/>
          <w:lang w:val="en-US" w:eastAsia="en-AU"/>
        </w:rPr>
        <w:t>wa</w:t>
      </w:r>
      <w:r w:rsidRPr="00D123EE">
        <w:rPr>
          <w:rFonts w:cs="Calibri"/>
          <w:snapToGrid/>
          <w:szCs w:val="24"/>
          <w:lang w:val="en-US" w:eastAsia="en-AU"/>
        </w:rPr>
        <w:t xml:space="preserve">s based on </w:t>
      </w:r>
      <w:r w:rsidR="009478FD" w:rsidRPr="00D123EE">
        <w:rPr>
          <w:rFonts w:cs="Calibri"/>
          <w:snapToGrid/>
          <w:szCs w:val="24"/>
          <w:lang w:val="en-US" w:eastAsia="en-AU"/>
        </w:rPr>
        <w:t xml:space="preserve">three </w:t>
      </w:r>
      <w:r w:rsidRPr="00D123EE">
        <w:rPr>
          <w:rFonts w:cs="Calibri"/>
          <w:snapToGrid/>
          <w:szCs w:val="24"/>
          <w:lang w:val="en-US" w:eastAsia="en-AU"/>
        </w:rPr>
        <w:t>head-to-head trial</w:t>
      </w:r>
      <w:r w:rsidR="009478FD" w:rsidRPr="00D123EE">
        <w:rPr>
          <w:rFonts w:cs="Calibri"/>
          <w:snapToGrid/>
          <w:szCs w:val="24"/>
          <w:lang w:val="en-US" w:eastAsia="en-AU"/>
        </w:rPr>
        <w:t>s</w:t>
      </w:r>
      <w:r w:rsidRPr="00D123EE">
        <w:rPr>
          <w:rFonts w:cs="Calibri"/>
          <w:snapToGrid/>
          <w:szCs w:val="24"/>
          <w:lang w:val="en-US" w:eastAsia="en-AU"/>
        </w:rPr>
        <w:t xml:space="preserve"> comparing </w:t>
      </w:r>
      <w:r w:rsidR="009E34E9" w:rsidRPr="00D123EE">
        <w:rPr>
          <w:rFonts w:cs="Calibri"/>
          <w:snapToGrid/>
          <w:szCs w:val="24"/>
          <w:lang w:val="en-US" w:eastAsia="en-AU"/>
        </w:rPr>
        <w:t>the FDC of tramadol 37.5 mg/paracetamol 325 mg</w:t>
      </w:r>
      <w:r w:rsidR="009478FD" w:rsidRPr="00D123EE">
        <w:rPr>
          <w:rFonts w:cs="Calibri"/>
          <w:snapToGrid/>
          <w:szCs w:val="24"/>
          <w:lang w:val="en-US" w:eastAsia="en-AU"/>
        </w:rPr>
        <w:t xml:space="preserve"> </w:t>
      </w:r>
      <w:r w:rsidRPr="00D123EE">
        <w:rPr>
          <w:rFonts w:cs="Calibri"/>
          <w:snapToGrid/>
          <w:szCs w:val="24"/>
          <w:lang w:val="en-US" w:eastAsia="en-AU"/>
        </w:rPr>
        <w:t xml:space="preserve">to </w:t>
      </w:r>
      <w:r w:rsidR="009478FD" w:rsidRPr="00D123EE">
        <w:rPr>
          <w:rFonts w:cs="Calibri"/>
          <w:snapToGrid/>
          <w:szCs w:val="24"/>
          <w:lang w:val="en-US" w:eastAsia="en-AU"/>
        </w:rPr>
        <w:t>tramadol 50 mg IR</w:t>
      </w:r>
      <w:r w:rsidR="00561A85" w:rsidRPr="00D123EE">
        <w:rPr>
          <w:rFonts w:cs="Calibri"/>
          <w:snapToGrid/>
          <w:szCs w:val="24"/>
          <w:lang w:val="en-US" w:eastAsia="en-AU"/>
        </w:rPr>
        <w:t xml:space="preserve"> for treatment of acute pain</w:t>
      </w:r>
      <w:r w:rsidRPr="00D123EE">
        <w:rPr>
          <w:rFonts w:cs="Calibri"/>
          <w:snapToGrid/>
          <w:szCs w:val="24"/>
          <w:lang w:val="en-US" w:eastAsia="en-AU"/>
        </w:rPr>
        <w:t xml:space="preserve"> </w:t>
      </w:r>
      <w:r w:rsidR="009478FD" w:rsidRPr="00D123EE">
        <w:rPr>
          <w:rFonts w:cs="Calibri"/>
          <w:snapToGrid/>
          <w:szCs w:val="24"/>
          <w:lang w:val="en-US" w:eastAsia="en-AU"/>
        </w:rPr>
        <w:t>(ZAL-06, CAPSS-241, and GRTF-ZAL-1</w:t>
      </w:r>
      <w:r w:rsidR="007B0115" w:rsidRPr="00D123EE">
        <w:rPr>
          <w:rFonts w:cs="Calibri"/>
          <w:snapToGrid/>
          <w:szCs w:val="24"/>
          <w:lang w:val="en-US" w:eastAsia="en-AU"/>
        </w:rPr>
        <w:t xml:space="preserve">), and an indirect comparison of </w:t>
      </w:r>
      <w:r w:rsidR="009E34E9" w:rsidRPr="00D123EE">
        <w:rPr>
          <w:rFonts w:cs="Calibri"/>
          <w:snapToGrid/>
          <w:szCs w:val="24"/>
          <w:lang w:val="en-US" w:eastAsia="en-AU"/>
        </w:rPr>
        <w:t>the FDC of tramadol 37.5 mg/paracetamol 325 mg</w:t>
      </w:r>
      <w:r w:rsidR="007B0115" w:rsidRPr="00D123EE">
        <w:rPr>
          <w:rFonts w:cs="Calibri"/>
          <w:snapToGrid/>
          <w:szCs w:val="24"/>
          <w:lang w:val="en-US" w:eastAsia="en-AU"/>
        </w:rPr>
        <w:t xml:space="preserve"> with tramadol 50 mg IR, using placebo as the common comparator</w:t>
      </w:r>
      <w:r w:rsidR="00561A85" w:rsidRPr="00D123EE">
        <w:rPr>
          <w:rFonts w:cs="Calibri"/>
          <w:snapToGrid/>
          <w:szCs w:val="24"/>
          <w:lang w:val="en-US" w:eastAsia="en-AU"/>
        </w:rPr>
        <w:t xml:space="preserve"> for treatment of chronic pain</w:t>
      </w:r>
      <w:r w:rsidR="007B0115" w:rsidRPr="00D123EE">
        <w:rPr>
          <w:rFonts w:cs="Calibri"/>
          <w:snapToGrid/>
          <w:szCs w:val="24"/>
          <w:lang w:val="en-US" w:eastAsia="en-AU"/>
        </w:rPr>
        <w:t xml:space="preserve">. </w:t>
      </w:r>
      <w:r w:rsidR="0028654A" w:rsidRPr="00D123EE">
        <w:rPr>
          <w:rFonts w:cs="Calibri"/>
          <w:snapToGrid/>
          <w:szCs w:val="24"/>
          <w:lang w:val="en-US" w:eastAsia="en-AU"/>
        </w:rPr>
        <w:t xml:space="preserve">The submission presented nine </w:t>
      </w:r>
      <w:r w:rsidR="0028654A" w:rsidRPr="00D123EE">
        <w:t>randomised controlled trials (RCTs) as the basis of the indirect treatment comparison</w:t>
      </w:r>
      <w:r w:rsidR="00B30B73" w:rsidRPr="00D123EE">
        <w:t xml:space="preserve"> (CAPSS-104, CAPSS-112, CAPSS-113, TRP-CAN-1, CAPSS-237, CAPSS-114, Chang 2013, CAPSS-051, </w:t>
      </w:r>
      <w:proofErr w:type="gramStart"/>
      <w:r w:rsidR="00B30B73" w:rsidRPr="00D123EE">
        <w:t>CA</w:t>
      </w:r>
      <w:proofErr w:type="gramEnd"/>
      <w:r w:rsidR="00B30B73" w:rsidRPr="00D123EE">
        <w:t>-R0027)</w:t>
      </w:r>
      <w:r w:rsidR="0028654A" w:rsidRPr="00D123EE">
        <w:t xml:space="preserve">. </w:t>
      </w:r>
    </w:p>
    <w:p w:rsidR="00862502" w:rsidRPr="00FA0516" w:rsidRDefault="00A73134" w:rsidP="00E22F6D">
      <w:pPr>
        <w:pStyle w:val="ListParagraph"/>
        <w:widowControl/>
        <w:numPr>
          <w:ilvl w:val="1"/>
          <w:numId w:val="1"/>
        </w:numPr>
        <w:spacing w:after="120"/>
      </w:pPr>
      <w:r w:rsidRPr="00D123EE">
        <w:rPr>
          <w:rFonts w:cs="Calibri"/>
          <w:snapToGrid/>
          <w:szCs w:val="24"/>
          <w:lang w:val="en-US" w:eastAsia="en-AU"/>
        </w:rPr>
        <w:lastRenderedPageBreak/>
        <w:t xml:space="preserve">Details of the trials presented in the submission are provided in the table below.  </w:t>
      </w:r>
    </w:p>
    <w:p w:rsidR="00FA0516" w:rsidRPr="00D123EE" w:rsidRDefault="00FA0516" w:rsidP="00E22F6D">
      <w:pPr>
        <w:pStyle w:val="ListParagraph"/>
        <w:widowControl/>
        <w:numPr>
          <w:ilvl w:val="1"/>
          <w:numId w:val="1"/>
        </w:numPr>
        <w:spacing w:after="120"/>
      </w:pPr>
      <w:r>
        <w:rPr>
          <w:rFonts w:cs="Calibri"/>
          <w:snapToGrid/>
          <w:szCs w:val="24"/>
          <w:lang w:val="en-US" w:eastAsia="en-AU"/>
        </w:rPr>
        <w:t xml:space="preserve">In addition to the trials presented in the submission the sponsor’s Pre-PBAC response provided a description of a single </w:t>
      </w:r>
      <w:proofErr w:type="spellStart"/>
      <w:r>
        <w:rPr>
          <w:rFonts w:cs="Calibri"/>
          <w:snapToGrid/>
          <w:szCs w:val="24"/>
          <w:lang w:val="en-US" w:eastAsia="en-AU"/>
        </w:rPr>
        <w:t>centre</w:t>
      </w:r>
      <w:proofErr w:type="spellEnd"/>
      <w:r>
        <w:rPr>
          <w:rFonts w:cs="Calibri"/>
          <w:snapToGrid/>
          <w:szCs w:val="24"/>
          <w:lang w:val="en-US" w:eastAsia="en-AU"/>
        </w:rPr>
        <w:t xml:space="preserve"> RCT comparing the FDC of tramadol </w:t>
      </w:r>
      <w:r w:rsidRPr="00D123EE">
        <w:rPr>
          <w:rFonts w:cs="Calibri"/>
          <w:snapToGrid/>
          <w:szCs w:val="24"/>
          <w:lang w:val="en-US" w:eastAsia="en-AU"/>
        </w:rPr>
        <w:t>37.5 mg/paracetamol 325 mg</w:t>
      </w:r>
      <w:r>
        <w:rPr>
          <w:rFonts w:cs="Calibri"/>
          <w:snapToGrid/>
          <w:szCs w:val="24"/>
          <w:lang w:val="en-US" w:eastAsia="en-AU"/>
        </w:rPr>
        <w:t xml:space="preserve"> </w:t>
      </w:r>
      <w:r>
        <w:t>with concomitant tramadol 50 mg IR plus paracetamol 500 mg</w:t>
      </w:r>
      <w:r>
        <w:rPr>
          <w:rStyle w:val="FootnoteReference"/>
        </w:rPr>
        <w:footnoteReference w:id="2"/>
      </w:r>
      <w:r>
        <w:t>.</w:t>
      </w:r>
    </w:p>
    <w:p w:rsidR="00D52F1A" w:rsidRPr="00D123EE" w:rsidRDefault="00D52F1A" w:rsidP="00D52F1A">
      <w:pPr>
        <w:rPr>
          <w:rFonts w:ascii="Arial Narrow" w:hAnsi="Arial Narrow"/>
          <w:b/>
          <w:sz w:val="20"/>
          <w:szCs w:val="16"/>
        </w:rPr>
      </w:pPr>
      <w:r w:rsidRPr="00D123EE">
        <w:rPr>
          <w:rStyle w:val="CommentReference"/>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8"/>
        <w:gridCol w:w="4789"/>
        <w:gridCol w:w="3016"/>
      </w:tblGrid>
      <w:tr w:rsidR="00D52F1A" w:rsidRPr="00D123EE" w:rsidTr="000F7055">
        <w:trPr>
          <w:tblHeader/>
        </w:trPr>
        <w:tc>
          <w:tcPr>
            <w:tcW w:w="704" w:type="pct"/>
          </w:tcPr>
          <w:p w:rsidR="00D52F1A" w:rsidRPr="00D123EE" w:rsidRDefault="00D52F1A" w:rsidP="006A78B5">
            <w:pPr>
              <w:pStyle w:val="TableText0"/>
              <w:keepNext w:val="0"/>
              <w:rPr>
                <w:b/>
              </w:rPr>
            </w:pPr>
            <w:r w:rsidRPr="00D123EE">
              <w:rPr>
                <w:b/>
              </w:rPr>
              <w:t>Trial ID</w:t>
            </w:r>
          </w:p>
        </w:tc>
        <w:tc>
          <w:tcPr>
            <w:tcW w:w="2636" w:type="pct"/>
          </w:tcPr>
          <w:p w:rsidR="00D52F1A" w:rsidRPr="00D123EE" w:rsidRDefault="00D52F1A" w:rsidP="006A78B5">
            <w:pPr>
              <w:pStyle w:val="TableText0"/>
              <w:keepNext w:val="0"/>
              <w:rPr>
                <w:b/>
              </w:rPr>
            </w:pPr>
            <w:r w:rsidRPr="00D123EE">
              <w:rPr>
                <w:b/>
              </w:rPr>
              <w:t>Protocol title/ Publication title</w:t>
            </w:r>
          </w:p>
        </w:tc>
        <w:tc>
          <w:tcPr>
            <w:tcW w:w="1660" w:type="pct"/>
          </w:tcPr>
          <w:p w:rsidR="00D52F1A" w:rsidRPr="00D123EE" w:rsidRDefault="00D52F1A" w:rsidP="006A78B5">
            <w:pPr>
              <w:pStyle w:val="TableText0"/>
              <w:keepNext w:val="0"/>
              <w:rPr>
                <w:b/>
              </w:rPr>
            </w:pPr>
            <w:r w:rsidRPr="00D123EE">
              <w:rPr>
                <w:b/>
              </w:rPr>
              <w:t>Publication citation</w:t>
            </w:r>
          </w:p>
        </w:tc>
      </w:tr>
      <w:tr w:rsidR="00D52F1A" w:rsidRPr="00D123EE" w:rsidTr="000F7055">
        <w:tc>
          <w:tcPr>
            <w:tcW w:w="5000" w:type="pct"/>
            <w:gridSpan w:val="3"/>
            <w:tcBorders>
              <w:bottom w:val="single" w:sz="4" w:space="0" w:color="auto"/>
            </w:tcBorders>
          </w:tcPr>
          <w:p w:rsidR="00D52F1A" w:rsidRPr="00D123EE" w:rsidRDefault="00D52F1A" w:rsidP="006A78B5">
            <w:pPr>
              <w:pStyle w:val="TableText0"/>
              <w:keepNext w:val="0"/>
              <w:rPr>
                <w:b/>
              </w:rPr>
            </w:pPr>
            <w:r w:rsidRPr="00D123EE">
              <w:rPr>
                <w:b/>
              </w:rPr>
              <w:t xml:space="preserve">FDC </w:t>
            </w:r>
            <w:r w:rsidR="009E34E9" w:rsidRPr="00D123EE">
              <w:rPr>
                <w:b/>
              </w:rPr>
              <w:t>the FDC of tramadol 37.5 mg/paracetamol 325 mg</w:t>
            </w:r>
            <w:r w:rsidRPr="00D123EE">
              <w:rPr>
                <w:b/>
              </w:rPr>
              <w:t xml:space="preserve"> vs tramadol 50 mg IR</w:t>
            </w:r>
          </w:p>
        </w:tc>
      </w:tr>
      <w:tr w:rsidR="00D52F1A" w:rsidRPr="00D123EE" w:rsidTr="000F7055">
        <w:tc>
          <w:tcPr>
            <w:tcW w:w="704" w:type="pct"/>
            <w:tcBorders>
              <w:bottom w:val="nil"/>
            </w:tcBorders>
          </w:tcPr>
          <w:p w:rsidR="00D52F1A" w:rsidRPr="00D123EE" w:rsidRDefault="00D52F1A" w:rsidP="006A78B5">
            <w:pPr>
              <w:pStyle w:val="TableText0"/>
              <w:keepNext w:val="0"/>
            </w:pPr>
            <w:r w:rsidRPr="00D123EE">
              <w:t>ZAL-06</w:t>
            </w:r>
          </w:p>
        </w:tc>
        <w:tc>
          <w:tcPr>
            <w:tcW w:w="2636" w:type="pct"/>
            <w:tcBorders>
              <w:bottom w:val="single" w:sz="4" w:space="0" w:color="auto"/>
            </w:tcBorders>
          </w:tcPr>
          <w:p w:rsidR="00D52F1A" w:rsidRPr="00D123EE" w:rsidRDefault="00D52F1A" w:rsidP="006A78B5">
            <w:pPr>
              <w:pStyle w:val="TableText0"/>
              <w:keepNext w:val="0"/>
            </w:pPr>
            <w:r w:rsidRPr="00D123EE">
              <w:t>ZAL-06: A randomized, multi-</w:t>
            </w:r>
            <w:proofErr w:type="spellStart"/>
            <w:r w:rsidRPr="00D123EE">
              <w:t>center</w:t>
            </w:r>
            <w:proofErr w:type="spellEnd"/>
            <w:r w:rsidRPr="00D123EE">
              <w:t xml:space="preserve">, double-blind, double-dummy, parallel group clinical study assessing the effectiveness and tolerability of oral tramadol </w:t>
            </w:r>
            <w:proofErr w:type="spellStart"/>
            <w:r w:rsidRPr="00D123EE">
              <w:t>HCl</w:t>
            </w:r>
            <w:proofErr w:type="spellEnd"/>
            <w:r w:rsidRPr="00D123EE">
              <w:t xml:space="preserve"> 37.5 mg/paracetamol 325 mg compared with tramadol </w:t>
            </w:r>
            <w:proofErr w:type="spellStart"/>
            <w:r w:rsidRPr="00D123EE">
              <w:t>HCl</w:t>
            </w:r>
            <w:proofErr w:type="spellEnd"/>
            <w:r w:rsidRPr="00D123EE">
              <w:t xml:space="preserve"> 50 mg in day-care hand-surgery patients  </w:t>
            </w:r>
          </w:p>
        </w:tc>
        <w:tc>
          <w:tcPr>
            <w:tcW w:w="1660" w:type="pct"/>
            <w:tcBorders>
              <w:bottom w:val="single" w:sz="4" w:space="0" w:color="auto"/>
            </w:tcBorders>
          </w:tcPr>
          <w:p w:rsidR="00D52F1A" w:rsidRPr="00D123EE" w:rsidRDefault="00D52F1A" w:rsidP="006A78B5">
            <w:pPr>
              <w:pStyle w:val="TableText0"/>
              <w:keepNext w:val="0"/>
            </w:pPr>
            <w:proofErr w:type="spellStart"/>
            <w:r w:rsidRPr="00D123EE">
              <w:t>Grunenthal</w:t>
            </w:r>
            <w:proofErr w:type="spellEnd"/>
            <w:r w:rsidRPr="00D123EE">
              <w:t xml:space="preserve">. Internal study report, </w:t>
            </w:r>
            <w:r w:rsidRPr="00D123EE">
              <w:br/>
              <w:t>17 June 2009</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Borders>
              <w:top w:val="nil"/>
              <w:bottom w:val="single" w:sz="4" w:space="0" w:color="auto"/>
            </w:tcBorders>
          </w:tcPr>
          <w:p w:rsidR="00D52F1A" w:rsidRPr="00D123EE" w:rsidRDefault="00D52F1A" w:rsidP="006A78B5">
            <w:pPr>
              <w:pStyle w:val="TableText0"/>
              <w:keepNext w:val="0"/>
            </w:pPr>
            <w:proofErr w:type="spellStart"/>
            <w:r w:rsidRPr="00D123EE">
              <w:t>Rawal</w:t>
            </w:r>
            <w:proofErr w:type="spellEnd"/>
            <w:r w:rsidRPr="00D123EE">
              <w:t xml:space="preserve">, N., et al. (2011). Tramadol/paracetamol combination tablet for postoperative pain following ambulatory hand surgery: a double-blind, double-dummy, randomized, parallel-group trial. </w:t>
            </w:r>
          </w:p>
        </w:tc>
        <w:tc>
          <w:tcPr>
            <w:tcW w:w="1660" w:type="pct"/>
            <w:tcBorders>
              <w:top w:val="nil"/>
              <w:bottom w:val="single" w:sz="4" w:space="0" w:color="auto"/>
            </w:tcBorders>
          </w:tcPr>
          <w:p w:rsidR="00D52F1A" w:rsidRPr="00D123EE" w:rsidRDefault="00D52F1A" w:rsidP="006A78B5">
            <w:pPr>
              <w:pStyle w:val="TableText0"/>
              <w:keepNext w:val="0"/>
            </w:pPr>
            <w:r w:rsidRPr="00D123EE">
              <w:t xml:space="preserve">Journal of Pain Research. 2011, 4: 103-110.  </w:t>
            </w:r>
          </w:p>
        </w:tc>
      </w:tr>
      <w:tr w:rsidR="00D52F1A" w:rsidRPr="00D123EE" w:rsidTr="000F7055">
        <w:tc>
          <w:tcPr>
            <w:tcW w:w="704" w:type="pct"/>
            <w:tcBorders>
              <w:top w:val="single" w:sz="4" w:space="0" w:color="auto"/>
              <w:bottom w:val="nil"/>
            </w:tcBorders>
          </w:tcPr>
          <w:p w:rsidR="00D52F1A" w:rsidRPr="00D123EE" w:rsidRDefault="00D52F1A" w:rsidP="006A78B5">
            <w:pPr>
              <w:pStyle w:val="TableText0"/>
              <w:keepNext w:val="0"/>
            </w:pPr>
            <w:r w:rsidRPr="00D123EE">
              <w:t>CAPSS-241</w:t>
            </w:r>
          </w:p>
        </w:tc>
        <w:tc>
          <w:tcPr>
            <w:tcW w:w="2636" w:type="pct"/>
            <w:tcBorders>
              <w:top w:val="single" w:sz="4" w:space="0" w:color="auto"/>
              <w:bottom w:val="nil"/>
            </w:tcBorders>
          </w:tcPr>
          <w:p w:rsidR="00D52F1A" w:rsidRPr="00D123EE" w:rsidRDefault="00D52F1A" w:rsidP="006A78B5">
            <w:pPr>
              <w:pStyle w:val="TableText0"/>
              <w:keepNext w:val="0"/>
            </w:pPr>
            <w:r w:rsidRPr="00D123EE">
              <w:t xml:space="preserve">CAPSS-241: A comparison of the efficacy and safety of </w:t>
            </w:r>
            <w:proofErr w:type="spellStart"/>
            <w:r w:rsidRPr="00D123EE">
              <w:t>ultracet</w:t>
            </w:r>
            <w:proofErr w:type="spellEnd"/>
            <w:r w:rsidRPr="00D123EE">
              <w:t xml:space="preserve">™ (tramadol </w:t>
            </w:r>
            <w:proofErr w:type="spellStart"/>
            <w:r w:rsidRPr="00D123EE">
              <w:t>hcl</w:t>
            </w:r>
            <w:proofErr w:type="spellEnd"/>
            <w:r w:rsidRPr="00D123EE">
              <w:t xml:space="preserve">/acetaminophen) versus </w:t>
            </w:r>
            <w:proofErr w:type="spellStart"/>
            <w:r w:rsidRPr="00D123EE">
              <w:t>ultram</w:t>
            </w:r>
            <w:proofErr w:type="spellEnd"/>
            <w:r w:rsidRPr="00D123EE">
              <w:t xml:space="preserve">® (tramadol </w:t>
            </w:r>
            <w:proofErr w:type="spellStart"/>
            <w:r w:rsidRPr="00D123EE">
              <w:t>hcl</w:t>
            </w:r>
            <w:proofErr w:type="spellEnd"/>
            <w:r w:rsidRPr="00D123EE">
              <w:t>) versus placebo in subjects with pain following oral surgery.</w:t>
            </w:r>
          </w:p>
        </w:tc>
        <w:tc>
          <w:tcPr>
            <w:tcW w:w="1660" w:type="pct"/>
            <w:tcBorders>
              <w:top w:val="single" w:sz="4" w:space="0" w:color="auto"/>
              <w:bottom w:val="nil"/>
            </w:tcBorders>
          </w:tcPr>
          <w:p w:rsidR="00D52F1A" w:rsidRPr="00D123EE" w:rsidRDefault="00D52F1A" w:rsidP="006A78B5">
            <w:pPr>
              <w:pStyle w:val="TableText0"/>
              <w:keepNext w:val="0"/>
            </w:pPr>
            <w:r w:rsidRPr="00D123EE">
              <w:t>Ortho-McNeil Pharmaceutical. Internal study report 7 February 2003.</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Borders>
              <w:top w:val="nil"/>
              <w:bottom w:val="single" w:sz="4" w:space="0" w:color="auto"/>
            </w:tcBorders>
          </w:tcPr>
          <w:p w:rsidR="00D52F1A" w:rsidRPr="00D123EE" w:rsidRDefault="00D52F1A" w:rsidP="006A78B5">
            <w:pPr>
              <w:pStyle w:val="TableText0"/>
              <w:keepNext w:val="0"/>
            </w:pPr>
            <w:r w:rsidRPr="00D123EE">
              <w:rPr>
                <w:lang w:val="de-DE"/>
              </w:rPr>
              <w:t xml:space="preserve">Fricke, J.R., Jr., Hewitt, D.J., et al. </w:t>
            </w:r>
            <w:r w:rsidRPr="00D123EE">
              <w:t xml:space="preserve">(2004). "A double-blind placebo-controlled comparison of tramadol/acetaminophen and tramadol in patients with postoperative dental pain." </w:t>
            </w:r>
          </w:p>
        </w:tc>
        <w:tc>
          <w:tcPr>
            <w:tcW w:w="1660" w:type="pct"/>
            <w:tcBorders>
              <w:top w:val="nil"/>
              <w:bottom w:val="single" w:sz="4" w:space="0" w:color="auto"/>
            </w:tcBorders>
          </w:tcPr>
          <w:p w:rsidR="00D52F1A" w:rsidRPr="00D123EE" w:rsidRDefault="00D52F1A" w:rsidP="006A78B5">
            <w:pPr>
              <w:pStyle w:val="TableText0"/>
              <w:keepNext w:val="0"/>
            </w:pPr>
            <w:r w:rsidRPr="00D123EE">
              <w:t>Pain. 2004, 109(3): 250-257.</w:t>
            </w:r>
          </w:p>
        </w:tc>
      </w:tr>
      <w:tr w:rsidR="00D52F1A" w:rsidRPr="00D123EE" w:rsidTr="000F7055">
        <w:tc>
          <w:tcPr>
            <w:tcW w:w="704" w:type="pct"/>
            <w:tcBorders>
              <w:bottom w:val="nil"/>
            </w:tcBorders>
          </w:tcPr>
          <w:p w:rsidR="00D52F1A" w:rsidRPr="00D123EE" w:rsidRDefault="00D52F1A" w:rsidP="006A78B5">
            <w:pPr>
              <w:pStyle w:val="TableText0"/>
              <w:keepNext w:val="0"/>
            </w:pPr>
            <w:r w:rsidRPr="00D123EE">
              <w:t>GRTF-ZAL 1</w:t>
            </w:r>
          </w:p>
        </w:tc>
        <w:tc>
          <w:tcPr>
            <w:tcW w:w="2636" w:type="pct"/>
            <w:tcBorders>
              <w:bottom w:val="single" w:sz="4" w:space="0" w:color="auto"/>
            </w:tcBorders>
          </w:tcPr>
          <w:p w:rsidR="00D52F1A" w:rsidRPr="00D123EE" w:rsidRDefault="00D52F1A" w:rsidP="006A78B5">
            <w:pPr>
              <w:pStyle w:val="TableText0"/>
              <w:keepNext w:val="0"/>
            </w:pPr>
            <w:r w:rsidRPr="00D123EE">
              <w:t xml:space="preserve">GRTF-ZAL 1: A comparison of patient satisfaction with the association tramadol HCI (37,5 mg) plus paracetamol (325 mg) versus tramadol (50 mg) for the treatment of subacute low back pain. </w:t>
            </w:r>
          </w:p>
        </w:tc>
        <w:tc>
          <w:tcPr>
            <w:tcW w:w="1660" w:type="pct"/>
            <w:tcBorders>
              <w:bottom w:val="single" w:sz="4" w:space="0" w:color="auto"/>
            </w:tcBorders>
          </w:tcPr>
          <w:p w:rsidR="00D52F1A" w:rsidRPr="00D123EE" w:rsidRDefault="00D52F1A" w:rsidP="006A78B5">
            <w:pPr>
              <w:pStyle w:val="TableText0"/>
              <w:keepNext w:val="0"/>
            </w:pPr>
            <w:proofErr w:type="spellStart"/>
            <w:r w:rsidRPr="00D123EE">
              <w:t>Grunenthal</w:t>
            </w:r>
            <w:proofErr w:type="spellEnd"/>
            <w:r w:rsidRPr="00D123EE">
              <w:t xml:space="preserve">. Internal study report, </w:t>
            </w:r>
            <w:r w:rsidRPr="00D123EE">
              <w:br/>
              <w:t>28 June 2002</w:t>
            </w:r>
          </w:p>
        </w:tc>
      </w:tr>
      <w:tr w:rsidR="00D52F1A" w:rsidRPr="00D123EE" w:rsidTr="000F7055">
        <w:tc>
          <w:tcPr>
            <w:tcW w:w="704" w:type="pct"/>
            <w:tcBorders>
              <w:top w:val="nil"/>
            </w:tcBorders>
          </w:tcPr>
          <w:p w:rsidR="00D52F1A" w:rsidRPr="00D123EE" w:rsidRDefault="00D52F1A" w:rsidP="006A78B5">
            <w:pPr>
              <w:pStyle w:val="TableText0"/>
              <w:keepNext w:val="0"/>
            </w:pPr>
          </w:p>
        </w:tc>
        <w:tc>
          <w:tcPr>
            <w:tcW w:w="2636" w:type="pct"/>
            <w:tcBorders>
              <w:top w:val="single" w:sz="4" w:space="0" w:color="auto"/>
            </w:tcBorders>
          </w:tcPr>
          <w:p w:rsidR="00D52F1A" w:rsidRPr="00D123EE" w:rsidRDefault="00D52F1A" w:rsidP="006A78B5">
            <w:pPr>
              <w:pStyle w:val="TableText0"/>
              <w:keepNext w:val="0"/>
            </w:pPr>
            <w:r w:rsidRPr="00D123EE">
              <w:rPr>
                <w:lang w:val="de-DE"/>
              </w:rPr>
              <w:t xml:space="preserve">Perrot, S., Krause, D., et al. </w:t>
            </w:r>
            <w:r w:rsidRPr="00D123EE">
              <w:t xml:space="preserve">(2006). Efficacy and tolerability of paracetamol/tramadol (325 mg/37.5 mg) combination treatment compared with tramadol (50 mg) monotherapy in patients with subacute low back pain: A multicenter, randomized, double-blind, parallel-group, 10-day treatment study." </w:t>
            </w:r>
          </w:p>
        </w:tc>
        <w:tc>
          <w:tcPr>
            <w:tcW w:w="1660" w:type="pct"/>
            <w:tcBorders>
              <w:top w:val="single" w:sz="4" w:space="0" w:color="auto"/>
            </w:tcBorders>
          </w:tcPr>
          <w:p w:rsidR="00D52F1A" w:rsidRPr="00D123EE" w:rsidRDefault="00D52F1A" w:rsidP="006A78B5">
            <w:pPr>
              <w:pStyle w:val="TableText0"/>
              <w:keepNext w:val="0"/>
            </w:pPr>
            <w:proofErr w:type="spellStart"/>
            <w:r w:rsidRPr="00D123EE">
              <w:t>Clin</w:t>
            </w:r>
            <w:proofErr w:type="spellEnd"/>
            <w:r w:rsidRPr="00D123EE">
              <w:t xml:space="preserve"> </w:t>
            </w:r>
            <w:proofErr w:type="spellStart"/>
            <w:r w:rsidRPr="00D123EE">
              <w:t>Ther</w:t>
            </w:r>
            <w:proofErr w:type="spellEnd"/>
            <w:r w:rsidRPr="00D123EE">
              <w:t xml:space="preserve">. 2006, 28(10): 1592-1606.  </w:t>
            </w:r>
          </w:p>
        </w:tc>
      </w:tr>
      <w:tr w:rsidR="00D52F1A" w:rsidRPr="00D123EE" w:rsidTr="000F7055">
        <w:tc>
          <w:tcPr>
            <w:tcW w:w="5000" w:type="pct"/>
            <w:gridSpan w:val="3"/>
          </w:tcPr>
          <w:p w:rsidR="00D52F1A" w:rsidRPr="00D123EE" w:rsidRDefault="00D52F1A" w:rsidP="006A78B5">
            <w:pPr>
              <w:pStyle w:val="TableText0"/>
              <w:keepNext w:val="0"/>
              <w:rPr>
                <w:b/>
              </w:rPr>
            </w:pPr>
            <w:r w:rsidRPr="00D123EE">
              <w:rPr>
                <w:b/>
              </w:rPr>
              <w:t xml:space="preserve">FDC </w:t>
            </w:r>
            <w:r w:rsidR="009E34E9" w:rsidRPr="00D123EE">
              <w:rPr>
                <w:b/>
              </w:rPr>
              <w:t>the FDC of tramadol 37.5 mg/paracetamol 325 mg</w:t>
            </w:r>
            <w:r w:rsidRPr="00D123EE">
              <w:rPr>
                <w:b/>
              </w:rPr>
              <w:t xml:space="preserve"> vs placebo</w:t>
            </w:r>
          </w:p>
        </w:tc>
      </w:tr>
      <w:tr w:rsidR="00D52F1A" w:rsidRPr="00D123EE" w:rsidTr="000F7055">
        <w:tc>
          <w:tcPr>
            <w:tcW w:w="704" w:type="pct"/>
            <w:tcBorders>
              <w:bottom w:val="nil"/>
            </w:tcBorders>
          </w:tcPr>
          <w:p w:rsidR="00D52F1A" w:rsidRPr="00D123EE" w:rsidRDefault="00D52F1A" w:rsidP="006A78B5">
            <w:pPr>
              <w:pStyle w:val="TableText0"/>
              <w:keepNext w:val="0"/>
            </w:pPr>
            <w:r w:rsidRPr="00D123EE">
              <w:t>CAPSS-104</w:t>
            </w:r>
          </w:p>
        </w:tc>
        <w:tc>
          <w:tcPr>
            <w:tcW w:w="2636" w:type="pct"/>
          </w:tcPr>
          <w:p w:rsidR="00D52F1A" w:rsidRPr="00D123EE" w:rsidRDefault="00D52F1A" w:rsidP="006A78B5">
            <w:pPr>
              <w:pStyle w:val="TableText0"/>
              <w:keepNext w:val="0"/>
            </w:pPr>
            <w:r w:rsidRPr="00D123EE">
              <w:t>CAPSS-104: A comparison of the analgesic efficacy and safety of Tramadol HCL/Acetaminophen versus placebo for the symptomatic treatment of the pain and function of osteoarthritis. .</w:t>
            </w:r>
          </w:p>
        </w:tc>
        <w:tc>
          <w:tcPr>
            <w:tcW w:w="1660" w:type="pct"/>
          </w:tcPr>
          <w:p w:rsidR="00D52F1A" w:rsidRPr="00D123EE" w:rsidRDefault="00D52F1A" w:rsidP="006A78B5">
            <w:pPr>
              <w:pStyle w:val="TableText0"/>
              <w:keepNext w:val="0"/>
            </w:pPr>
            <w:r w:rsidRPr="00D123EE">
              <w:t>Ortho-McNeil Pharmaceutical. Internal study report 03 August 2001.</w:t>
            </w:r>
          </w:p>
        </w:tc>
      </w:tr>
      <w:tr w:rsidR="00D52F1A" w:rsidRPr="00D123EE" w:rsidTr="000F7055">
        <w:tc>
          <w:tcPr>
            <w:tcW w:w="704" w:type="pct"/>
            <w:tcBorders>
              <w:top w:val="nil"/>
              <w:bottom w:val="nil"/>
            </w:tcBorders>
          </w:tcPr>
          <w:p w:rsidR="00D52F1A" w:rsidRPr="00D123EE" w:rsidRDefault="00D52F1A" w:rsidP="006A78B5">
            <w:pPr>
              <w:pStyle w:val="TableText0"/>
              <w:keepNext w:val="0"/>
            </w:pPr>
            <w:r w:rsidRPr="00D123EE">
              <w:t>CAPSS-112</w:t>
            </w:r>
          </w:p>
        </w:tc>
        <w:tc>
          <w:tcPr>
            <w:tcW w:w="2636" w:type="pct"/>
          </w:tcPr>
          <w:p w:rsidR="00D52F1A" w:rsidRPr="00D123EE" w:rsidRDefault="00D52F1A" w:rsidP="006A78B5">
            <w:pPr>
              <w:pStyle w:val="TableText0"/>
              <w:keepNext w:val="0"/>
            </w:pPr>
            <w:r w:rsidRPr="00D123EE">
              <w:t xml:space="preserve">CAPSS-112: A comparison of the analgesic efficacy of Tramadol </w:t>
            </w:r>
            <w:proofErr w:type="spellStart"/>
            <w:r w:rsidRPr="00D123EE">
              <w:t>hcl</w:t>
            </w:r>
            <w:proofErr w:type="spellEnd"/>
            <w:r w:rsidRPr="00D123EE">
              <w:t>/acetaminophen versus placebo for the treatment of chronic lower back pain.</w:t>
            </w:r>
          </w:p>
        </w:tc>
        <w:tc>
          <w:tcPr>
            <w:tcW w:w="1660" w:type="pct"/>
          </w:tcPr>
          <w:p w:rsidR="00D52F1A" w:rsidRPr="00D123EE" w:rsidRDefault="00D52F1A" w:rsidP="006A78B5">
            <w:pPr>
              <w:pStyle w:val="TableText0"/>
              <w:keepNext w:val="0"/>
            </w:pPr>
            <w:r w:rsidRPr="00D123EE">
              <w:t>Ortho-McNeil Pharmaceutical. Internal study report 20 August 2001.</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Pr>
          <w:p w:rsidR="00D52F1A" w:rsidRPr="00D123EE" w:rsidRDefault="00D52F1A" w:rsidP="006A78B5">
            <w:pPr>
              <w:pStyle w:val="TableText0"/>
              <w:keepNext w:val="0"/>
            </w:pPr>
            <w:r w:rsidRPr="00D123EE">
              <w:rPr>
                <w:lang w:val="de-DE"/>
              </w:rPr>
              <w:t xml:space="preserve">Ruoff, G. E., N. Rosenthal, D. Jordan, R. Karim, M. Kamin and C.-S. G. Protocol (2003).  </w:t>
            </w:r>
            <w:r w:rsidRPr="00D123EE">
              <w:t xml:space="preserve">Tramadol/acetaminophen combination tablets for the treatment of chronic lower back pain: a multicenter, randomized, double-blind, placebo-controlled outpatient study. </w:t>
            </w:r>
          </w:p>
        </w:tc>
        <w:tc>
          <w:tcPr>
            <w:tcW w:w="1660" w:type="pct"/>
          </w:tcPr>
          <w:p w:rsidR="00D52F1A" w:rsidRPr="00D123EE" w:rsidRDefault="00D52F1A" w:rsidP="006A78B5">
            <w:pPr>
              <w:pStyle w:val="TableText0"/>
              <w:keepNext w:val="0"/>
            </w:pPr>
            <w:r w:rsidRPr="00D123EE">
              <w:t>Clinical therapeutics. 2003, 25(4): 1123-1141.</w:t>
            </w:r>
          </w:p>
        </w:tc>
      </w:tr>
      <w:tr w:rsidR="00D52F1A" w:rsidRPr="00D123EE" w:rsidTr="000F7055">
        <w:tc>
          <w:tcPr>
            <w:tcW w:w="704" w:type="pct"/>
            <w:tcBorders>
              <w:top w:val="single" w:sz="4" w:space="0" w:color="auto"/>
              <w:bottom w:val="nil"/>
            </w:tcBorders>
          </w:tcPr>
          <w:p w:rsidR="00D52F1A" w:rsidRPr="00D123EE" w:rsidRDefault="00D52F1A" w:rsidP="006A78B5">
            <w:pPr>
              <w:pStyle w:val="TableText0"/>
              <w:keepNext w:val="0"/>
            </w:pPr>
            <w:r w:rsidRPr="00D123EE">
              <w:lastRenderedPageBreak/>
              <w:t>CAPSS-113</w:t>
            </w:r>
          </w:p>
        </w:tc>
        <w:tc>
          <w:tcPr>
            <w:tcW w:w="2636" w:type="pct"/>
          </w:tcPr>
          <w:p w:rsidR="00D52F1A" w:rsidRPr="00D123EE" w:rsidRDefault="00D52F1A" w:rsidP="006A78B5">
            <w:pPr>
              <w:pStyle w:val="TableText0"/>
              <w:keepNext w:val="0"/>
            </w:pPr>
            <w:r w:rsidRPr="00D123EE">
              <w:t xml:space="preserve">CAPSS-113: A comparison of the analgesic efficacy of Tramadol </w:t>
            </w:r>
            <w:proofErr w:type="spellStart"/>
            <w:r w:rsidRPr="00D123EE">
              <w:t>hcl</w:t>
            </w:r>
            <w:proofErr w:type="spellEnd"/>
            <w:r w:rsidRPr="00D123EE">
              <w:t xml:space="preserve">/acetaminophen versus placebo in subjects with the pain of fibromyalgia. </w:t>
            </w:r>
          </w:p>
        </w:tc>
        <w:tc>
          <w:tcPr>
            <w:tcW w:w="1660" w:type="pct"/>
          </w:tcPr>
          <w:p w:rsidR="00D52F1A" w:rsidRPr="00D123EE" w:rsidRDefault="00D52F1A" w:rsidP="006A78B5">
            <w:pPr>
              <w:pStyle w:val="TableText0"/>
              <w:keepNext w:val="0"/>
            </w:pPr>
            <w:r w:rsidRPr="00D123EE">
              <w:t>Ortho-McNeil Pharmaceutical. Internal study report 20 August 2001.</w:t>
            </w:r>
          </w:p>
        </w:tc>
      </w:tr>
      <w:tr w:rsidR="00D52F1A" w:rsidRPr="00D123EE" w:rsidTr="000F7055">
        <w:tc>
          <w:tcPr>
            <w:tcW w:w="704" w:type="pct"/>
            <w:tcBorders>
              <w:top w:val="nil"/>
              <w:bottom w:val="nil"/>
            </w:tcBorders>
          </w:tcPr>
          <w:p w:rsidR="00D52F1A" w:rsidRPr="00D123EE" w:rsidRDefault="00D52F1A" w:rsidP="006A78B5">
            <w:pPr>
              <w:pStyle w:val="TableText0"/>
              <w:keepNext w:val="0"/>
            </w:pPr>
          </w:p>
        </w:tc>
        <w:tc>
          <w:tcPr>
            <w:tcW w:w="2636" w:type="pct"/>
          </w:tcPr>
          <w:p w:rsidR="00D52F1A" w:rsidRPr="00D123EE" w:rsidRDefault="00D52F1A" w:rsidP="006A78B5">
            <w:pPr>
              <w:pStyle w:val="TableText0"/>
              <w:keepNext w:val="0"/>
            </w:pPr>
            <w:r w:rsidRPr="00D123EE">
              <w:rPr>
                <w:lang w:val="de-DE"/>
              </w:rPr>
              <w:t xml:space="preserve">Bennett, R. M., M. Kamin, R. Karim and N. Rosenthal (2003). </w:t>
            </w:r>
            <w:r w:rsidRPr="00D123EE">
              <w:t xml:space="preserve">Tramadol and acetaminophen combination tablets in the treatment of fibromyalgia pain: a double-blind, randomized, placebo-controlled study.  </w:t>
            </w:r>
          </w:p>
        </w:tc>
        <w:tc>
          <w:tcPr>
            <w:tcW w:w="1660" w:type="pct"/>
          </w:tcPr>
          <w:p w:rsidR="00D52F1A" w:rsidRPr="00D123EE" w:rsidRDefault="00D52F1A" w:rsidP="006A78B5">
            <w:pPr>
              <w:pStyle w:val="TableText0"/>
              <w:keepNext w:val="0"/>
            </w:pPr>
            <w:r w:rsidRPr="00D123EE">
              <w:t>The American journal of medicine. 2003, 114(7): 537-545</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Pr>
          <w:p w:rsidR="00D52F1A" w:rsidRPr="00D123EE" w:rsidRDefault="00D52F1A" w:rsidP="006A78B5">
            <w:pPr>
              <w:pStyle w:val="TableText0"/>
              <w:keepNext w:val="0"/>
            </w:pPr>
            <w:r w:rsidRPr="00D123EE">
              <w:rPr>
                <w:lang w:val="de-DE"/>
              </w:rPr>
              <w:t xml:space="preserve">Bennett, R. M., J. Schein, M. R. Kosinski, D. J. Hewitt, D. M. Jordan and N. R. Rosenthal (2005). </w:t>
            </w:r>
            <w:r w:rsidRPr="00D123EE">
              <w:t xml:space="preserve">"Impact of fibromyalgia pain on health-related quality of life before and after treatment with tramadol/acetaminophen." </w:t>
            </w:r>
          </w:p>
        </w:tc>
        <w:tc>
          <w:tcPr>
            <w:tcW w:w="1660" w:type="pct"/>
          </w:tcPr>
          <w:p w:rsidR="00D52F1A" w:rsidRPr="00D123EE" w:rsidRDefault="00D52F1A" w:rsidP="006A78B5">
            <w:pPr>
              <w:pStyle w:val="TableText0"/>
              <w:keepNext w:val="0"/>
            </w:pPr>
            <w:r w:rsidRPr="00D123EE">
              <w:t>Arthritis and rheumatism. 2005, 53(4): 519-527.</w:t>
            </w:r>
          </w:p>
        </w:tc>
      </w:tr>
      <w:tr w:rsidR="00D52F1A" w:rsidRPr="00D123EE" w:rsidTr="000F7055">
        <w:tc>
          <w:tcPr>
            <w:tcW w:w="704" w:type="pct"/>
            <w:tcBorders>
              <w:top w:val="single" w:sz="4" w:space="0" w:color="auto"/>
              <w:bottom w:val="nil"/>
            </w:tcBorders>
          </w:tcPr>
          <w:p w:rsidR="00D52F1A" w:rsidRPr="00D123EE" w:rsidRDefault="00D52F1A" w:rsidP="006A78B5">
            <w:pPr>
              <w:pStyle w:val="TableText0"/>
              <w:keepNext w:val="0"/>
            </w:pPr>
            <w:r w:rsidRPr="00D123EE">
              <w:t>TRP-CAN-1</w:t>
            </w:r>
          </w:p>
        </w:tc>
        <w:tc>
          <w:tcPr>
            <w:tcW w:w="2636" w:type="pct"/>
          </w:tcPr>
          <w:p w:rsidR="00D52F1A" w:rsidRPr="00D123EE" w:rsidRDefault="00D52F1A" w:rsidP="006A78B5">
            <w:pPr>
              <w:pStyle w:val="TableText0"/>
              <w:keepNext w:val="0"/>
            </w:pPr>
            <w:r w:rsidRPr="00D123EE">
              <w:t xml:space="preserve">PRI/TRP-CAN-1: A comparison of the analgesic efficacy of Tramadol </w:t>
            </w:r>
            <w:proofErr w:type="spellStart"/>
            <w:r w:rsidRPr="00D123EE">
              <w:t>hcl</w:t>
            </w:r>
            <w:proofErr w:type="spellEnd"/>
            <w:r w:rsidRPr="00D123EE">
              <w:t>/acetaminophen (tramadol/</w:t>
            </w:r>
            <w:proofErr w:type="spellStart"/>
            <w:r w:rsidRPr="00D123EE">
              <w:t>apap</w:t>
            </w:r>
            <w:proofErr w:type="spellEnd"/>
            <w:r w:rsidRPr="00D123EE">
              <w:t xml:space="preserve">) versus placebo for the treatment of chronic lower back pain. </w:t>
            </w:r>
          </w:p>
        </w:tc>
        <w:tc>
          <w:tcPr>
            <w:tcW w:w="1660" w:type="pct"/>
          </w:tcPr>
          <w:p w:rsidR="00D52F1A" w:rsidRPr="00D123EE" w:rsidRDefault="00D52F1A" w:rsidP="006A78B5">
            <w:pPr>
              <w:pStyle w:val="TableText0"/>
              <w:keepNext w:val="0"/>
            </w:pPr>
            <w:r w:rsidRPr="00D123EE">
              <w:t>Ortho-McNeil Pharmaceutical. Internal study report 01 February 2002.</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Pr>
          <w:p w:rsidR="00D52F1A" w:rsidRPr="00D123EE" w:rsidRDefault="00D52F1A" w:rsidP="006A78B5">
            <w:pPr>
              <w:pStyle w:val="TableText0"/>
              <w:keepNext w:val="0"/>
            </w:pPr>
            <w:proofErr w:type="spellStart"/>
            <w:r w:rsidRPr="00D123EE">
              <w:t>Peloso</w:t>
            </w:r>
            <w:proofErr w:type="spellEnd"/>
            <w:r w:rsidRPr="00D123EE">
              <w:t xml:space="preserve">, P. M., L. Fortin, A. Beaulieu, M. </w:t>
            </w:r>
            <w:proofErr w:type="spellStart"/>
            <w:r w:rsidRPr="00D123EE">
              <w:t>Kamin</w:t>
            </w:r>
            <w:proofErr w:type="spellEnd"/>
            <w:r w:rsidRPr="00D123EE">
              <w:t>, N. Rosenthal and T. R. P. C. A. N. S. G. Protocol (2004). "Analgesic efficacy and safety of tramadol/ acetaminophen combination tablets (</w:t>
            </w:r>
            <w:proofErr w:type="spellStart"/>
            <w:r w:rsidRPr="00D123EE">
              <w:t>Ultracet</w:t>
            </w:r>
            <w:proofErr w:type="spellEnd"/>
            <w:r w:rsidRPr="00D123EE">
              <w:t xml:space="preserve">) in treatment of chronic low back pain: a multicenter, outpatient, randomized, double blind, placebo controlled trial." </w:t>
            </w:r>
          </w:p>
        </w:tc>
        <w:tc>
          <w:tcPr>
            <w:tcW w:w="1660" w:type="pct"/>
          </w:tcPr>
          <w:p w:rsidR="00D52F1A" w:rsidRPr="00D123EE" w:rsidRDefault="00D52F1A" w:rsidP="006A78B5">
            <w:pPr>
              <w:pStyle w:val="TableText0"/>
              <w:keepNext w:val="0"/>
            </w:pPr>
            <w:r w:rsidRPr="00D123EE">
              <w:t xml:space="preserve">The Journal of rheumatology. 2004, 31(12): 2454-2463.  </w:t>
            </w:r>
          </w:p>
        </w:tc>
      </w:tr>
      <w:tr w:rsidR="00D52F1A" w:rsidRPr="00D123EE" w:rsidTr="000F7055">
        <w:tc>
          <w:tcPr>
            <w:tcW w:w="704" w:type="pct"/>
            <w:tcBorders>
              <w:bottom w:val="nil"/>
            </w:tcBorders>
          </w:tcPr>
          <w:p w:rsidR="00D52F1A" w:rsidRPr="00D123EE" w:rsidRDefault="00D52F1A" w:rsidP="006A78B5">
            <w:pPr>
              <w:pStyle w:val="TableText0"/>
              <w:keepNext w:val="0"/>
            </w:pPr>
            <w:r w:rsidRPr="00D123EE">
              <w:t>CAPSS-237</w:t>
            </w:r>
          </w:p>
        </w:tc>
        <w:tc>
          <w:tcPr>
            <w:tcW w:w="2636" w:type="pct"/>
          </w:tcPr>
          <w:p w:rsidR="00D52F1A" w:rsidRPr="00D123EE" w:rsidRDefault="00D52F1A" w:rsidP="006A78B5">
            <w:pPr>
              <w:pStyle w:val="TableText0"/>
              <w:keepNext w:val="0"/>
            </w:pPr>
            <w:r w:rsidRPr="00D123EE">
              <w:t xml:space="preserve">CAPSS-237: A Randomized, Double-Blind, Placebo-Controlled, Parallel Group Study to Evaluate the Efficacy and Safety of Tramadol </w:t>
            </w:r>
            <w:proofErr w:type="spellStart"/>
            <w:r w:rsidRPr="00D123EE">
              <w:t>HCl</w:t>
            </w:r>
            <w:proofErr w:type="spellEnd"/>
            <w:r w:rsidRPr="00D123EE">
              <w:t>/Acetaminophen for the Treatment of Painful Diabetic Neuropathy.</w:t>
            </w:r>
          </w:p>
        </w:tc>
        <w:tc>
          <w:tcPr>
            <w:tcW w:w="1660" w:type="pct"/>
          </w:tcPr>
          <w:p w:rsidR="00D52F1A" w:rsidRPr="00D123EE" w:rsidRDefault="00D52F1A" w:rsidP="006A78B5">
            <w:pPr>
              <w:pStyle w:val="TableText0"/>
              <w:keepNext w:val="0"/>
            </w:pPr>
            <w:proofErr w:type="spellStart"/>
            <w:r w:rsidRPr="00D123EE">
              <w:t>PriCara</w:t>
            </w:r>
            <w:proofErr w:type="spellEnd"/>
            <w:r w:rsidRPr="00D123EE">
              <w:t xml:space="preserve"> (Unit of Ortho-McNeil). Internal study report 19 December 2005.</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Pr>
          <w:p w:rsidR="00D52F1A" w:rsidRPr="00D123EE" w:rsidRDefault="00D52F1A" w:rsidP="006A78B5">
            <w:pPr>
              <w:pStyle w:val="TableText0"/>
              <w:keepNext w:val="0"/>
            </w:pPr>
            <w:r w:rsidRPr="00D123EE">
              <w:t xml:space="preserve">Freeman, R., P. </w:t>
            </w:r>
            <w:proofErr w:type="spellStart"/>
            <w:r w:rsidRPr="00D123EE">
              <w:t>Raskin</w:t>
            </w:r>
            <w:proofErr w:type="spellEnd"/>
            <w:r w:rsidRPr="00D123EE">
              <w:t xml:space="preserve">, D. J. Hewitt, G. J. </w:t>
            </w:r>
            <w:proofErr w:type="spellStart"/>
            <w:r w:rsidRPr="00D123EE">
              <w:t>Vorsanger</w:t>
            </w:r>
            <w:proofErr w:type="spellEnd"/>
            <w:r w:rsidRPr="00D123EE">
              <w:t xml:space="preserve">, D. M. Jordan, J. Xiang and N. R. Rosenthal (2007). "Randomized study of tramadol/acetaminophen versus placebo in painful diabetic peripheral neuropathy." </w:t>
            </w:r>
          </w:p>
        </w:tc>
        <w:tc>
          <w:tcPr>
            <w:tcW w:w="1660" w:type="pct"/>
          </w:tcPr>
          <w:p w:rsidR="00D52F1A" w:rsidRPr="00D123EE" w:rsidRDefault="00D52F1A" w:rsidP="006A78B5">
            <w:pPr>
              <w:pStyle w:val="TableText0"/>
              <w:keepNext w:val="0"/>
            </w:pPr>
            <w:proofErr w:type="spellStart"/>
            <w:r w:rsidRPr="00D123EE">
              <w:t>Curr</w:t>
            </w:r>
            <w:proofErr w:type="spellEnd"/>
            <w:r w:rsidRPr="00D123EE">
              <w:t xml:space="preserve"> Med Res </w:t>
            </w:r>
            <w:proofErr w:type="spellStart"/>
            <w:r w:rsidRPr="00D123EE">
              <w:t>Opin</w:t>
            </w:r>
            <w:proofErr w:type="spellEnd"/>
            <w:r w:rsidRPr="00D123EE">
              <w:t>. 2007, 23(1): 147-161.</w:t>
            </w:r>
          </w:p>
        </w:tc>
      </w:tr>
      <w:tr w:rsidR="00D52F1A" w:rsidRPr="00D123EE" w:rsidTr="000F7055">
        <w:tc>
          <w:tcPr>
            <w:tcW w:w="704" w:type="pct"/>
            <w:tcBorders>
              <w:top w:val="single" w:sz="4" w:space="0" w:color="auto"/>
              <w:bottom w:val="nil"/>
            </w:tcBorders>
          </w:tcPr>
          <w:p w:rsidR="00D52F1A" w:rsidRPr="00D123EE" w:rsidRDefault="00D52F1A" w:rsidP="006A78B5">
            <w:pPr>
              <w:pStyle w:val="TableText0"/>
              <w:keepNext w:val="0"/>
            </w:pPr>
            <w:r w:rsidRPr="00D123EE">
              <w:t>CAPSS-114</w:t>
            </w:r>
          </w:p>
        </w:tc>
        <w:tc>
          <w:tcPr>
            <w:tcW w:w="2636" w:type="pct"/>
          </w:tcPr>
          <w:p w:rsidR="00D52F1A" w:rsidRPr="00D123EE" w:rsidRDefault="00D52F1A" w:rsidP="006A78B5">
            <w:pPr>
              <w:pStyle w:val="TableText0"/>
              <w:keepNext w:val="0"/>
            </w:pPr>
            <w:r w:rsidRPr="00D123EE">
              <w:t xml:space="preserve">CAPSS-114: A comparison of the analgesic efficacy and safety of Tramadol </w:t>
            </w:r>
            <w:proofErr w:type="spellStart"/>
            <w:r w:rsidRPr="00D123EE">
              <w:t>hcl</w:t>
            </w:r>
            <w:proofErr w:type="spellEnd"/>
            <w:r w:rsidRPr="00D123EE">
              <w:t>/acetaminophen versus placebo for the treatment of the signs and symptoms of osteoarthritis in subjects receiving a cox-2 selective inhibitor.</w:t>
            </w:r>
            <w:r w:rsidRPr="00D123EE">
              <w:rPr>
                <w:rFonts w:ascii="Segoe UI" w:hAnsi="Segoe UI" w:cs="Segoe UI"/>
                <w:sz w:val="18"/>
                <w:szCs w:val="18"/>
              </w:rPr>
              <w:t xml:space="preserve"> </w:t>
            </w:r>
          </w:p>
        </w:tc>
        <w:tc>
          <w:tcPr>
            <w:tcW w:w="1660" w:type="pct"/>
          </w:tcPr>
          <w:p w:rsidR="00D52F1A" w:rsidRPr="00D123EE" w:rsidRDefault="00D52F1A" w:rsidP="006A78B5">
            <w:pPr>
              <w:pStyle w:val="TableText0"/>
              <w:keepNext w:val="0"/>
            </w:pPr>
            <w:r w:rsidRPr="00D123EE">
              <w:t>Ortho-McNeil Pharmaceutical. Internal study report. 26 July 2001.</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Pr>
          <w:p w:rsidR="00D52F1A" w:rsidRPr="00D123EE" w:rsidRDefault="00D52F1A" w:rsidP="006A78B5">
            <w:pPr>
              <w:pStyle w:val="TableText0"/>
              <w:keepNext w:val="0"/>
            </w:pPr>
            <w:r w:rsidRPr="00D123EE">
              <w:t xml:space="preserve">Emkey, R., N. Rosenthal, S. C. Wu, D. Jordan and M. </w:t>
            </w:r>
            <w:proofErr w:type="spellStart"/>
            <w:r w:rsidRPr="00D123EE">
              <w:t>Kamin</w:t>
            </w:r>
            <w:proofErr w:type="spellEnd"/>
            <w:r w:rsidRPr="00D123EE">
              <w:t xml:space="preserve"> (2004). "Efficacy and safety of tramadol/acetaminophen tablets (</w:t>
            </w:r>
            <w:proofErr w:type="spellStart"/>
            <w:r w:rsidRPr="00D123EE">
              <w:t>Ultracet</w:t>
            </w:r>
            <w:proofErr w:type="spellEnd"/>
            <w:r w:rsidRPr="00D123EE">
              <w:t xml:space="preserve">) as add-on therapy for osteoarthritis pain in subjects receiving a COX-2 nonsteroidal </w:t>
            </w:r>
            <w:proofErr w:type="spellStart"/>
            <w:r w:rsidRPr="00D123EE">
              <w:t>antiinflammatory</w:t>
            </w:r>
            <w:proofErr w:type="spellEnd"/>
            <w:r w:rsidRPr="00D123EE">
              <w:t xml:space="preserve"> drug: a multicenter, randomized, double-blind, placebo-controlled trial." </w:t>
            </w:r>
          </w:p>
        </w:tc>
        <w:tc>
          <w:tcPr>
            <w:tcW w:w="1660" w:type="pct"/>
          </w:tcPr>
          <w:p w:rsidR="00D52F1A" w:rsidRPr="00D123EE" w:rsidRDefault="00D52F1A" w:rsidP="006A78B5">
            <w:pPr>
              <w:pStyle w:val="TableText0"/>
              <w:keepNext w:val="0"/>
            </w:pPr>
            <w:r w:rsidRPr="00D123EE">
              <w:t xml:space="preserve">J </w:t>
            </w:r>
            <w:proofErr w:type="spellStart"/>
            <w:r w:rsidRPr="00D123EE">
              <w:t>Rheumatol</w:t>
            </w:r>
            <w:proofErr w:type="spellEnd"/>
            <w:r w:rsidRPr="00D123EE">
              <w:t>. 2004, 31(1): 150-156.</w:t>
            </w:r>
          </w:p>
        </w:tc>
      </w:tr>
      <w:tr w:rsidR="00D52F1A" w:rsidRPr="00D123EE" w:rsidTr="000F7055">
        <w:tc>
          <w:tcPr>
            <w:tcW w:w="704" w:type="pct"/>
            <w:tcBorders>
              <w:top w:val="single" w:sz="4" w:space="0" w:color="auto"/>
              <w:bottom w:val="single" w:sz="4" w:space="0" w:color="auto"/>
            </w:tcBorders>
          </w:tcPr>
          <w:p w:rsidR="00D52F1A" w:rsidRPr="00D123EE" w:rsidRDefault="00D52F1A" w:rsidP="006A78B5">
            <w:pPr>
              <w:pStyle w:val="TableText0"/>
              <w:keepNext w:val="0"/>
            </w:pPr>
            <w:r w:rsidRPr="00D123EE">
              <w:t>Chang 2013 </w:t>
            </w:r>
          </w:p>
        </w:tc>
        <w:tc>
          <w:tcPr>
            <w:tcW w:w="2636" w:type="pct"/>
          </w:tcPr>
          <w:p w:rsidR="00D52F1A" w:rsidRPr="00D123EE" w:rsidRDefault="00D52F1A" w:rsidP="006A78B5">
            <w:pPr>
              <w:pStyle w:val="KMC16-Tablecontent"/>
              <w:rPr>
                <w:color w:val="auto"/>
              </w:rPr>
            </w:pPr>
            <w:r w:rsidRPr="00D123EE">
              <w:rPr>
                <w:color w:val="auto"/>
              </w:rPr>
              <w:t xml:space="preserve">Chang, J. K., C. T. Yu, M. Y. Lee, K. </w:t>
            </w:r>
            <w:proofErr w:type="spellStart"/>
            <w:r w:rsidRPr="00D123EE">
              <w:rPr>
                <w:color w:val="auto"/>
              </w:rPr>
              <w:t>Yeo</w:t>
            </w:r>
            <w:proofErr w:type="spellEnd"/>
            <w:r w:rsidRPr="00D123EE">
              <w:rPr>
                <w:color w:val="auto"/>
              </w:rPr>
              <w:t xml:space="preserve">, I. C. Chang, H. K. Tsou and J. C. Wei (2013). "Tramadol/acetaminophen combination as add-on therapy in the treatment of patients with ankylosing spondylitis." </w:t>
            </w:r>
          </w:p>
        </w:tc>
        <w:tc>
          <w:tcPr>
            <w:tcW w:w="1660" w:type="pct"/>
          </w:tcPr>
          <w:p w:rsidR="00D52F1A" w:rsidRPr="00D123EE" w:rsidRDefault="00D52F1A" w:rsidP="006A78B5">
            <w:pPr>
              <w:pStyle w:val="TableText0"/>
              <w:keepNext w:val="0"/>
            </w:pPr>
            <w:proofErr w:type="spellStart"/>
            <w:r w:rsidRPr="00D123EE">
              <w:t>Clin</w:t>
            </w:r>
            <w:proofErr w:type="spellEnd"/>
            <w:r w:rsidRPr="00D123EE">
              <w:t xml:space="preserve"> </w:t>
            </w:r>
            <w:proofErr w:type="spellStart"/>
            <w:r w:rsidRPr="00D123EE">
              <w:t>Rheumatol</w:t>
            </w:r>
            <w:proofErr w:type="spellEnd"/>
            <w:r w:rsidRPr="00D123EE">
              <w:t>. 2013, 32(3): 341-347.</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Pr>
          <w:p w:rsidR="00D52F1A" w:rsidRPr="00D123EE" w:rsidRDefault="00D52F1A" w:rsidP="006A78B5">
            <w:pPr>
              <w:pStyle w:val="KMC16-Tablecontent"/>
              <w:rPr>
                <w:color w:val="auto"/>
              </w:rPr>
            </w:pPr>
            <w:r w:rsidRPr="00D123EE">
              <w:rPr>
                <w:color w:val="auto"/>
              </w:rPr>
              <w:t>Wei, J. C. and J. K. Chang (2010). "Tramadol/acetaminophen (</w:t>
            </w:r>
            <w:proofErr w:type="spellStart"/>
            <w:r w:rsidRPr="00D123EE">
              <w:rPr>
                <w:color w:val="auto"/>
              </w:rPr>
              <w:t>Ultracet</w:t>
            </w:r>
            <w:proofErr w:type="spellEnd"/>
            <w:r w:rsidRPr="00D123EE">
              <w:rPr>
                <w:color w:val="auto"/>
              </w:rPr>
              <w:t xml:space="preserve">) had add-on effect to non-steroidal anti-inflammatory drugs in patients with ankylosing spondylitis." International </w:t>
            </w:r>
          </w:p>
        </w:tc>
        <w:tc>
          <w:tcPr>
            <w:tcW w:w="1660" w:type="pct"/>
          </w:tcPr>
          <w:p w:rsidR="00D52F1A" w:rsidRPr="00D123EE" w:rsidRDefault="00D52F1A" w:rsidP="006A78B5">
            <w:pPr>
              <w:pStyle w:val="TableText0"/>
              <w:keepNext w:val="0"/>
            </w:pPr>
            <w:r w:rsidRPr="00D123EE">
              <w:t>Journal of Rheumatic Diseases, 2010. 13: 152.</w:t>
            </w:r>
          </w:p>
        </w:tc>
      </w:tr>
      <w:tr w:rsidR="00D52F1A" w:rsidRPr="00D123EE" w:rsidTr="000F7055">
        <w:tc>
          <w:tcPr>
            <w:tcW w:w="5000" w:type="pct"/>
            <w:gridSpan w:val="3"/>
            <w:tcBorders>
              <w:bottom w:val="single" w:sz="4" w:space="0" w:color="auto"/>
            </w:tcBorders>
          </w:tcPr>
          <w:p w:rsidR="00D52F1A" w:rsidRPr="00D123EE" w:rsidRDefault="00D52F1A" w:rsidP="006A78B5">
            <w:pPr>
              <w:pStyle w:val="TableText0"/>
              <w:keepNext w:val="0"/>
              <w:rPr>
                <w:b/>
              </w:rPr>
            </w:pPr>
            <w:r w:rsidRPr="00D123EE">
              <w:rPr>
                <w:b/>
              </w:rPr>
              <w:t>Tramadol 50 mg IR vs placebo</w:t>
            </w:r>
          </w:p>
        </w:tc>
      </w:tr>
      <w:tr w:rsidR="00D52F1A" w:rsidRPr="00D123EE" w:rsidTr="000F7055">
        <w:tc>
          <w:tcPr>
            <w:tcW w:w="704" w:type="pct"/>
            <w:tcBorders>
              <w:bottom w:val="nil"/>
            </w:tcBorders>
          </w:tcPr>
          <w:p w:rsidR="00D52F1A" w:rsidRPr="00D123EE" w:rsidRDefault="00D52F1A" w:rsidP="006A78B5">
            <w:pPr>
              <w:pStyle w:val="TableText0"/>
              <w:keepNext w:val="0"/>
            </w:pPr>
            <w:r w:rsidRPr="00D123EE">
              <w:t>CAPSS-051</w:t>
            </w:r>
          </w:p>
        </w:tc>
        <w:tc>
          <w:tcPr>
            <w:tcW w:w="2636" w:type="pct"/>
            <w:tcBorders>
              <w:bottom w:val="single" w:sz="4" w:space="0" w:color="auto"/>
            </w:tcBorders>
          </w:tcPr>
          <w:p w:rsidR="00D52F1A" w:rsidRPr="00D123EE" w:rsidRDefault="00D52F1A" w:rsidP="006A78B5">
            <w:pPr>
              <w:pStyle w:val="TableText0"/>
              <w:keepNext w:val="0"/>
            </w:pPr>
            <w:r w:rsidRPr="00D123EE">
              <w:t xml:space="preserve">CAPSS-051: A comparison of analgesic efficacy and safety of </w:t>
            </w:r>
            <w:proofErr w:type="spellStart"/>
            <w:r w:rsidRPr="00D123EE">
              <w:t>Ultram</w:t>
            </w:r>
            <w:proofErr w:type="spellEnd"/>
            <w:r w:rsidRPr="00D123EE">
              <w:t xml:space="preserve"> (tramadol HCI) versus placebo for the treatment of the pain of osteoarthritis.</w:t>
            </w:r>
          </w:p>
        </w:tc>
        <w:tc>
          <w:tcPr>
            <w:tcW w:w="1660" w:type="pct"/>
            <w:tcBorders>
              <w:bottom w:val="single" w:sz="4" w:space="0" w:color="auto"/>
            </w:tcBorders>
          </w:tcPr>
          <w:p w:rsidR="00D52F1A" w:rsidRPr="00D123EE" w:rsidRDefault="00D52F1A" w:rsidP="006A78B5">
            <w:pPr>
              <w:pStyle w:val="TableText0"/>
              <w:keepNext w:val="0"/>
            </w:pPr>
            <w:r w:rsidRPr="00D123EE">
              <w:t>Ortho-McNeil Pharmaceutical. Internal Study Report. 09 March 1999.</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Borders>
              <w:top w:val="nil"/>
              <w:bottom w:val="single" w:sz="4" w:space="0" w:color="auto"/>
            </w:tcBorders>
          </w:tcPr>
          <w:p w:rsidR="00D52F1A" w:rsidRPr="00D123EE" w:rsidRDefault="00D52F1A" w:rsidP="006A78B5">
            <w:pPr>
              <w:pStyle w:val="TableText0"/>
              <w:keepNext w:val="0"/>
            </w:pPr>
            <w:r w:rsidRPr="00D123EE">
              <w:t xml:space="preserve">Fleischmann, R. M., J. R. Caldwell, S. H. Roth, J. R. P. </w:t>
            </w:r>
            <w:proofErr w:type="spellStart"/>
            <w:r w:rsidRPr="00D123EE">
              <w:t>Tesser</w:t>
            </w:r>
            <w:proofErr w:type="spellEnd"/>
            <w:r w:rsidRPr="00D123EE">
              <w:t xml:space="preserve">, </w:t>
            </w:r>
            <w:r w:rsidRPr="00D123EE">
              <w:lastRenderedPageBreak/>
              <w:t xml:space="preserve">W. Olson and M. </w:t>
            </w:r>
            <w:proofErr w:type="spellStart"/>
            <w:r w:rsidRPr="00D123EE">
              <w:t>Kamin</w:t>
            </w:r>
            <w:proofErr w:type="spellEnd"/>
            <w:r w:rsidRPr="00D123EE">
              <w:t xml:space="preserve"> (2001). "Tramadol for the treatment of joint pain associated with osteoarthritis: a randomized, double-blind, placebo-controlled trial." </w:t>
            </w:r>
          </w:p>
        </w:tc>
        <w:tc>
          <w:tcPr>
            <w:tcW w:w="1660" w:type="pct"/>
            <w:tcBorders>
              <w:top w:val="nil"/>
              <w:bottom w:val="single" w:sz="4" w:space="0" w:color="auto"/>
            </w:tcBorders>
          </w:tcPr>
          <w:p w:rsidR="00D52F1A" w:rsidRPr="00D123EE" w:rsidRDefault="00D52F1A" w:rsidP="006A78B5">
            <w:pPr>
              <w:pStyle w:val="TableText0"/>
              <w:keepNext w:val="0"/>
            </w:pPr>
            <w:r w:rsidRPr="00D123EE">
              <w:lastRenderedPageBreak/>
              <w:t xml:space="preserve">Current Therapeutic Research. 2001, </w:t>
            </w:r>
            <w:r w:rsidRPr="00D123EE">
              <w:lastRenderedPageBreak/>
              <w:t>62(2): 113-128.</w:t>
            </w:r>
          </w:p>
        </w:tc>
      </w:tr>
      <w:tr w:rsidR="00D52F1A" w:rsidRPr="00D123EE" w:rsidTr="000F7055">
        <w:tc>
          <w:tcPr>
            <w:tcW w:w="704" w:type="pct"/>
            <w:tcBorders>
              <w:bottom w:val="nil"/>
            </w:tcBorders>
          </w:tcPr>
          <w:p w:rsidR="00D52F1A" w:rsidRPr="00D123EE" w:rsidRDefault="00D52F1A" w:rsidP="006A78B5">
            <w:pPr>
              <w:pStyle w:val="TableText0"/>
              <w:keepNext w:val="0"/>
            </w:pPr>
            <w:r w:rsidRPr="00D123EE">
              <w:lastRenderedPageBreak/>
              <w:t>CA-R0027</w:t>
            </w:r>
          </w:p>
        </w:tc>
        <w:tc>
          <w:tcPr>
            <w:tcW w:w="2636" w:type="pct"/>
            <w:tcBorders>
              <w:bottom w:val="single" w:sz="4" w:space="0" w:color="auto"/>
            </w:tcBorders>
          </w:tcPr>
          <w:p w:rsidR="00D52F1A" w:rsidRPr="00D123EE" w:rsidRDefault="00D52F1A" w:rsidP="006A78B5">
            <w:pPr>
              <w:pStyle w:val="TableText0"/>
              <w:keepNext w:val="0"/>
            </w:pPr>
            <w:r w:rsidRPr="00D123EE">
              <w:t>CA-R0027: A placeb</w:t>
            </w:r>
            <w:r w:rsidR="00EC33B3" w:rsidRPr="00D123EE">
              <w:t xml:space="preserve">o controlled trial of </w:t>
            </w:r>
            <w:proofErr w:type="spellStart"/>
            <w:r w:rsidR="00EC33B3" w:rsidRPr="00D123EE">
              <w:t>Ultram</w:t>
            </w:r>
            <w:proofErr w:type="spellEnd"/>
            <w:r w:rsidR="00EC33B3" w:rsidRPr="00D123EE">
              <w:t xml:space="preserve"> (Tr</w:t>
            </w:r>
            <w:r w:rsidRPr="00D123EE">
              <w:t>amadol HCL) for Painful Diabetic Neuropathy (Protocol TPS DN).</w:t>
            </w:r>
          </w:p>
        </w:tc>
        <w:tc>
          <w:tcPr>
            <w:tcW w:w="1660" w:type="pct"/>
            <w:tcBorders>
              <w:bottom w:val="single" w:sz="4" w:space="0" w:color="auto"/>
            </w:tcBorders>
          </w:tcPr>
          <w:p w:rsidR="00D52F1A" w:rsidRPr="00D123EE" w:rsidRDefault="00D52F1A" w:rsidP="006A78B5">
            <w:pPr>
              <w:pStyle w:val="TableText0"/>
              <w:keepNext w:val="0"/>
            </w:pPr>
            <w:r w:rsidRPr="00D123EE">
              <w:t>Ortho-McNeil Pharmaceutical. Internal Study Report. 25 November 1997.</w:t>
            </w:r>
          </w:p>
        </w:tc>
      </w:tr>
      <w:tr w:rsidR="00D52F1A" w:rsidRPr="00D123EE" w:rsidTr="000F7055">
        <w:tc>
          <w:tcPr>
            <w:tcW w:w="704" w:type="pct"/>
            <w:tcBorders>
              <w:top w:val="nil"/>
              <w:bottom w:val="single" w:sz="4" w:space="0" w:color="auto"/>
            </w:tcBorders>
          </w:tcPr>
          <w:p w:rsidR="00D52F1A" w:rsidRPr="00D123EE" w:rsidRDefault="00D52F1A" w:rsidP="006A78B5">
            <w:pPr>
              <w:pStyle w:val="TableText0"/>
              <w:keepNext w:val="0"/>
            </w:pPr>
          </w:p>
        </w:tc>
        <w:tc>
          <w:tcPr>
            <w:tcW w:w="2636" w:type="pct"/>
            <w:tcBorders>
              <w:top w:val="single" w:sz="4" w:space="0" w:color="auto"/>
              <w:bottom w:val="single" w:sz="4" w:space="0" w:color="auto"/>
            </w:tcBorders>
          </w:tcPr>
          <w:p w:rsidR="00D52F1A" w:rsidRPr="00D123EE" w:rsidRDefault="00D52F1A" w:rsidP="006A78B5">
            <w:pPr>
              <w:pStyle w:val="TableText0"/>
              <w:keepNext w:val="0"/>
            </w:pPr>
            <w:proofErr w:type="spellStart"/>
            <w:r w:rsidRPr="00D123EE">
              <w:t>Harati</w:t>
            </w:r>
            <w:proofErr w:type="spellEnd"/>
            <w:r w:rsidRPr="00D123EE">
              <w:t xml:space="preserve">, Y., C. Gooch, M. Swenson, S. Edelman, D. Greene, P. </w:t>
            </w:r>
            <w:proofErr w:type="spellStart"/>
            <w:r w:rsidRPr="00D123EE">
              <w:t>Raskin</w:t>
            </w:r>
            <w:proofErr w:type="spellEnd"/>
            <w:r w:rsidRPr="00D123EE">
              <w:t xml:space="preserve">, P. </w:t>
            </w:r>
            <w:proofErr w:type="spellStart"/>
            <w:r w:rsidRPr="00D123EE">
              <w:t>Donofrio</w:t>
            </w:r>
            <w:proofErr w:type="spellEnd"/>
            <w:r w:rsidRPr="00D123EE">
              <w:t xml:space="preserve">, D. </w:t>
            </w:r>
            <w:proofErr w:type="spellStart"/>
            <w:r w:rsidRPr="00D123EE">
              <w:t>Cornblath</w:t>
            </w:r>
            <w:proofErr w:type="spellEnd"/>
            <w:r w:rsidRPr="00D123EE">
              <w:t xml:space="preserve">, R. </w:t>
            </w:r>
            <w:proofErr w:type="spellStart"/>
            <w:r w:rsidRPr="00D123EE">
              <w:t>Sachdeo</w:t>
            </w:r>
            <w:proofErr w:type="spellEnd"/>
            <w:r w:rsidRPr="00D123EE">
              <w:t xml:space="preserve">, C. O. Siu and M. </w:t>
            </w:r>
            <w:proofErr w:type="spellStart"/>
            <w:r w:rsidRPr="00D123EE">
              <w:t>Kamin</w:t>
            </w:r>
            <w:proofErr w:type="spellEnd"/>
            <w:r w:rsidRPr="00D123EE">
              <w:t xml:space="preserve"> (1998). "Double-blind randomized trial of tramadol for the treatment of the pain of diabetic neuropathy." </w:t>
            </w:r>
          </w:p>
        </w:tc>
        <w:tc>
          <w:tcPr>
            <w:tcW w:w="1660" w:type="pct"/>
            <w:tcBorders>
              <w:top w:val="single" w:sz="4" w:space="0" w:color="auto"/>
              <w:bottom w:val="single" w:sz="4" w:space="0" w:color="auto"/>
            </w:tcBorders>
          </w:tcPr>
          <w:p w:rsidR="00D52F1A" w:rsidRPr="00D123EE" w:rsidRDefault="00D52F1A" w:rsidP="006A78B5">
            <w:pPr>
              <w:pStyle w:val="TableText0"/>
              <w:keepNext w:val="0"/>
            </w:pPr>
            <w:r w:rsidRPr="00D123EE">
              <w:t>Neurology. 1998, 50(6): 1842-1846.</w:t>
            </w:r>
          </w:p>
        </w:tc>
      </w:tr>
    </w:tbl>
    <w:p w:rsidR="00D52F1A" w:rsidRPr="00D123EE" w:rsidRDefault="00D52F1A" w:rsidP="00D52F1A">
      <w:pPr>
        <w:pStyle w:val="TableFooter"/>
        <w:rPr>
          <w:rStyle w:val="CommentReference"/>
          <w:b w:val="0"/>
          <w:szCs w:val="22"/>
        </w:rPr>
      </w:pPr>
      <w:r w:rsidRPr="00D123EE">
        <w:rPr>
          <w:sz w:val="20"/>
        </w:rPr>
        <w:t>Source: Table 2-4 pp54-56, of the submission.</w:t>
      </w:r>
      <w:r w:rsidR="00016372" w:rsidRPr="00D123EE">
        <w:rPr>
          <w:sz w:val="20"/>
        </w:rPr>
        <w:t xml:space="preserve"> </w:t>
      </w:r>
      <w:r w:rsidR="00016372" w:rsidRPr="00467244">
        <w:rPr>
          <w:sz w:val="20"/>
        </w:rPr>
        <w:t xml:space="preserve">See Attachment 2 Table 2.2.1 of the Commentary for list of trials comparing FDC </w:t>
      </w:r>
      <w:r w:rsidR="009E34E9" w:rsidRPr="00467244">
        <w:rPr>
          <w:sz w:val="20"/>
        </w:rPr>
        <w:t>the FDC of tramadol 37.5 mg/paracetamol 325 mg</w:t>
      </w:r>
      <w:r w:rsidR="00016372" w:rsidRPr="00467244">
        <w:rPr>
          <w:sz w:val="20"/>
        </w:rPr>
        <w:t xml:space="preserve"> vs tramadol 37.5 mg IR vs paracetamol 325 mg.</w:t>
      </w:r>
      <w:r w:rsidR="00016372" w:rsidRPr="00D123EE">
        <w:rPr>
          <w:sz w:val="20"/>
        </w:rPr>
        <w:t xml:space="preserve"> </w:t>
      </w:r>
    </w:p>
    <w:p w:rsidR="00862502" w:rsidRPr="00D123EE" w:rsidRDefault="00862502" w:rsidP="008F120A">
      <w:pPr>
        <w:widowControl/>
      </w:pPr>
    </w:p>
    <w:p w:rsidR="007F1017" w:rsidRPr="00D123EE" w:rsidRDefault="008F120A" w:rsidP="00E22F6D">
      <w:pPr>
        <w:pStyle w:val="ListParagraph"/>
        <w:widowControl/>
        <w:numPr>
          <w:ilvl w:val="1"/>
          <w:numId w:val="1"/>
        </w:numPr>
        <w:spacing w:after="120"/>
      </w:pPr>
      <w:r w:rsidRPr="00D123EE">
        <w:t>The key features of the direct randomised trials are summarised in the table below.</w:t>
      </w:r>
    </w:p>
    <w:p w:rsidR="007F1017" w:rsidRPr="00D123EE" w:rsidRDefault="007F1017" w:rsidP="0027184A">
      <w:pPr>
        <w:keepNext/>
        <w:widowControl/>
        <w:rPr>
          <w:rStyle w:val="CommentReference"/>
        </w:rPr>
      </w:pPr>
      <w:r w:rsidRPr="00D123EE">
        <w:rPr>
          <w:rStyle w:val="CommentReference"/>
        </w:rPr>
        <w:lastRenderedPageBreak/>
        <w:t xml:space="preserve">Table </w:t>
      </w:r>
      <w:r w:rsidR="009D74F4" w:rsidRPr="00D123EE">
        <w:rPr>
          <w:rStyle w:val="CommentReference"/>
        </w:rPr>
        <w:t>3</w:t>
      </w:r>
      <w:r w:rsidRPr="00D123E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1"/>
        <w:gridCol w:w="714"/>
        <w:gridCol w:w="1428"/>
        <w:gridCol w:w="1284"/>
        <w:gridCol w:w="1571"/>
        <w:gridCol w:w="2805"/>
      </w:tblGrid>
      <w:tr w:rsidR="00273750" w:rsidRPr="00D123EE" w:rsidTr="000F7055">
        <w:trPr>
          <w:tblHeader/>
        </w:trPr>
        <w:tc>
          <w:tcPr>
            <w:tcW w:w="705" w:type="pct"/>
            <w:tcBorders>
              <w:bottom w:val="single" w:sz="4" w:space="0" w:color="auto"/>
            </w:tcBorders>
            <w:shd w:val="clear" w:color="auto" w:fill="auto"/>
            <w:vAlign w:val="center"/>
          </w:tcPr>
          <w:p w:rsidR="006A78B5" w:rsidRPr="00D123EE" w:rsidRDefault="006A78B5" w:rsidP="0027184A">
            <w:pPr>
              <w:pStyle w:val="Tabletext"/>
              <w:keepNext/>
              <w:rPr>
                <w:b/>
                <w:lang w:val="en-US"/>
              </w:rPr>
            </w:pPr>
            <w:r w:rsidRPr="00D123EE">
              <w:rPr>
                <w:b/>
                <w:lang w:val="en-US"/>
              </w:rPr>
              <w:t>Trial</w:t>
            </w:r>
          </w:p>
        </w:tc>
        <w:tc>
          <w:tcPr>
            <w:tcW w:w="393" w:type="pct"/>
            <w:tcBorders>
              <w:bottom w:val="single" w:sz="4" w:space="0" w:color="auto"/>
            </w:tcBorders>
            <w:shd w:val="clear" w:color="auto" w:fill="auto"/>
            <w:vAlign w:val="center"/>
          </w:tcPr>
          <w:p w:rsidR="006A78B5" w:rsidRPr="00D123EE" w:rsidRDefault="006A78B5" w:rsidP="0027184A">
            <w:pPr>
              <w:pStyle w:val="Tabletext"/>
              <w:keepNext/>
              <w:jc w:val="center"/>
              <w:rPr>
                <w:b/>
                <w:lang w:val="en-US"/>
              </w:rPr>
            </w:pPr>
            <w:r w:rsidRPr="00D123EE">
              <w:rPr>
                <w:b/>
                <w:lang w:val="en-US"/>
              </w:rPr>
              <w:t>N</w:t>
            </w:r>
          </w:p>
        </w:tc>
        <w:tc>
          <w:tcPr>
            <w:tcW w:w="786" w:type="pct"/>
            <w:tcBorders>
              <w:bottom w:val="single" w:sz="4" w:space="0" w:color="auto"/>
            </w:tcBorders>
            <w:shd w:val="clear" w:color="auto" w:fill="auto"/>
            <w:vAlign w:val="center"/>
          </w:tcPr>
          <w:p w:rsidR="006A78B5" w:rsidRPr="00D123EE" w:rsidRDefault="006A78B5" w:rsidP="0027184A">
            <w:pPr>
              <w:pStyle w:val="Tabletext"/>
              <w:keepNext/>
              <w:jc w:val="center"/>
              <w:rPr>
                <w:b/>
                <w:lang w:val="en-US"/>
              </w:rPr>
            </w:pPr>
            <w:r w:rsidRPr="00D123EE">
              <w:rPr>
                <w:b/>
                <w:lang w:val="en-US"/>
              </w:rPr>
              <w:t>Design/ duration</w:t>
            </w:r>
          </w:p>
        </w:tc>
        <w:tc>
          <w:tcPr>
            <w:tcW w:w="707" w:type="pct"/>
            <w:tcBorders>
              <w:bottom w:val="single" w:sz="4" w:space="0" w:color="auto"/>
            </w:tcBorders>
            <w:shd w:val="clear" w:color="auto" w:fill="auto"/>
            <w:vAlign w:val="center"/>
          </w:tcPr>
          <w:p w:rsidR="006A78B5" w:rsidRPr="00D123EE" w:rsidRDefault="006A78B5" w:rsidP="0027184A">
            <w:pPr>
              <w:pStyle w:val="Tabletext"/>
              <w:keepNext/>
              <w:jc w:val="center"/>
              <w:rPr>
                <w:b/>
                <w:lang w:val="en-US"/>
              </w:rPr>
            </w:pPr>
            <w:r w:rsidRPr="00D123EE">
              <w:rPr>
                <w:b/>
                <w:lang w:val="en-US"/>
              </w:rPr>
              <w:t>Risk of bias</w:t>
            </w:r>
          </w:p>
        </w:tc>
        <w:tc>
          <w:tcPr>
            <w:tcW w:w="865" w:type="pct"/>
            <w:tcBorders>
              <w:bottom w:val="single" w:sz="4" w:space="0" w:color="auto"/>
            </w:tcBorders>
            <w:shd w:val="clear" w:color="auto" w:fill="auto"/>
            <w:vAlign w:val="center"/>
          </w:tcPr>
          <w:p w:rsidR="006A78B5" w:rsidRPr="00D123EE" w:rsidRDefault="006A78B5" w:rsidP="0027184A">
            <w:pPr>
              <w:pStyle w:val="Tabletext"/>
              <w:keepNext/>
              <w:jc w:val="center"/>
              <w:rPr>
                <w:b/>
                <w:lang w:val="en-US"/>
              </w:rPr>
            </w:pPr>
            <w:r w:rsidRPr="00D123EE">
              <w:rPr>
                <w:b/>
                <w:lang w:val="en-US"/>
              </w:rPr>
              <w:t>Patient population</w:t>
            </w:r>
          </w:p>
        </w:tc>
        <w:tc>
          <w:tcPr>
            <w:tcW w:w="1544" w:type="pct"/>
            <w:tcBorders>
              <w:bottom w:val="single" w:sz="4" w:space="0" w:color="auto"/>
            </w:tcBorders>
            <w:shd w:val="clear" w:color="auto" w:fill="auto"/>
            <w:vAlign w:val="center"/>
          </w:tcPr>
          <w:p w:rsidR="006A78B5" w:rsidRPr="00D123EE" w:rsidRDefault="006A78B5" w:rsidP="0027184A">
            <w:pPr>
              <w:pStyle w:val="Tabletext"/>
              <w:keepNext/>
              <w:jc w:val="center"/>
              <w:rPr>
                <w:b/>
                <w:lang w:val="en-US"/>
              </w:rPr>
            </w:pPr>
            <w:r w:rsidRPr="00D123EE">
              <w:rPr>
                <w:b/>
                <w:lang w:val="en-US"/>
              </w:rPr>
              <w:t>Outcomes</w:t>
            </w:r>
          </w:p>
        </w:tc>
      </w:tr>
      <w:tr w:rsidR="006A78B5" w:rsidRPr="00D123EE" w:rsidTr="000F7055">
        <w:tc>
          <w:tcPr>
            <w:tcW w:w="3456" w:type="pct"/>
            <w:gridSpan w:val="5"/>
            <w:tcBorders>
              <w:right w:val="nil"/>
            </w:tcBorders>
            <w:shd w:val="clear" w:color="auto" w:fill="auto"/>
            <w:vAlign w:val="center"/>
          </w:tcPr>
          <w:p w:rsidR="006A78B5" w:rsidRPr="00D123EE" w:rsidRDefault="008008B9" w:rsidP="0027184A">
            <w:pPr>
              <w:pStyle w:val="Tabletext"/>
              <w:keepNext/>
              <w:rPr>
                <w:b/>
                <w:lang w:val="en-US"/>
              </w:rPr>
            </w:pPr>
            <w:r w:rsidRPr="00D123EE">
              <w:rPr>
                <w:b/>
              </w:rPr>
              <w:t xml:space="preserve">FDC </w:t>
            </w:r>
            <w:r w:rsidR="009E34E9" w:rsidRPr="00D123EE">
              <w:rPr>
                <w:b/>
              </w:rPr>
              <w:t>the FDC of tramadol 37.5 mg/paracetamol 325 mg</w:t>
            </w:r>
            <w:r w:rsidRPr="00D123EE">
              <w:rPr>
                <w:b/>
              </w:rPr>
              <w:t xml:space="preserve"> vs tramadol 50 mg IR</w:t>
            </w:r>
          </w:p>
        </w:tc>
        <w:tc>
          <w:tcPr>
            <w:tcW w:w="1544" w:type="pct"/>
            <w:tcBorders>
              <w:left w:val="nil"/>
            </w:tcBorders>
            <w:shd w:val="clear" w:color="auto" w:fill="auto"/>
            <w:vAlign w:val="center"/>
          </w:tcPr>
          <w:p w:rsidR="006A78B5" w:rsidRPr="00D123EE" w:rsidRDefault="006A78B5" w:rsidP="0027184A">
            <w:pPr>
              <w:pStyle w:val="Tabletext"/>
              <w:keepNext/>
              <w:rPr>
                <w:b/>
                <w:lang w:val="en-US"/>
              </w:rPr>
            </w:pPr>
          </w:p>
        </w:tc>
      </w:tr>
      <w:tr w:rsidR="00273750" w:rsidRPr="00D123EE" w:rsidTr="000F7055">
        <w:tc>
          <w:tcPr>
            <w:tcW w:w="705" w:type="pct"/>
            <w:shd w:val="clear" w:color="auto" w:fill="auto"/>
            <w:vAlign w:val="center"/>
          </w:tcPr>
          <w:p w:rsidR="006A78B5" w:rsidRPr="00D123EE" w:rsidRDefault="008008B9" w:rsidP="0027184A">
            <w:pPr>
              <w:pStyle w:val="Tabletext"/>
              <w:keepNext/>
              <w:rPr>
                <w:lang w:val="en-US"/>
              </w:rPr>
            </w:pPr>
            <w:r w:rsidRPr="00D123EE">
              <w:t>ZAL-06</w:t>
            </w:r>
          </w:p>
        </w:tc>
        <w:tc>
          <w:tcPr>
            <w:tcW w:w="393" w:type="pct"/>
            <w:shd w:val="clear" w:color="auto" w:fill="auto"/>
            <w:vAlign w:val="center"/>
          </w:tcPr>
          <w:p w:rsidR="006A78B5" w:rsidRPr="00D123EE" w:rsidRDefault="00D1520E" w:rsidP="0027184A">
            <w:pPr>
              <w:pStyle w:val="Tabletext"/>
              <w:keepNext/>
              <w:jc w:val="center"/>
              <w:rPr>
                <w:lang w:val="en-US"/>
              </w:rPr>
            </w:pPr>
            <w:r w:rsidRPr="00D123EE">
              <w:rPr>
                <w:lang w:val="en-US"/>
              </w:rPr>
              <w:t>261</w:t>
            </w:r>
          </w:p>
        </w:tc>
        <w:tc>
          <w:tcPr>
            <w:tcW w:w="786" w:type="pct"/>
            <w:shd w:val="clear" w:color="auto" w:fill="auto"/>
            <w:vAlign w:val="center"/>
          </w:tcPr>
          <w:p w:rsidR="006A78B5" w:rsidRPr="00D123EE" w:rsidRDefault="00D1520E" w:rsidP="0027184A">
            <w:pPr>
              <w:pStyle w:val="Tabletext"/>
              <w:keepNext/>
              <w:jc w:val="center"/>
              <w:rPr>
                <w:lang w:val="en-US"/>
              </w:rPr>
            </w:pPr>
            <w:r w:rsidRPr="00D123EE">
              <w:rPr>
                <w:lang w:val="en-US"/>
              </w:rPr>
              <w:t xml:space="preserve">R, DB, MC, PC, PG, </w:t>
            </w:r>
            <w:r w:rsidRPr="00D123EE">
              <w:t>2 days</w:t>
            </w:r>
          </w:p>
        </w:tc>
        <w:tc>
          <w:tcPr>
            <w:tcW w:w="707" w:type="pct"/>
            <w:shd w:val="clear" w:color="auto" w:fill="auto"/>
            <w:vAlign w:val="center"/>
          </w:tcPr>
          <w:p w:rsidR="006A78B5" w:rsidRPr="00D123EE" w:rsidRDefault="00B76911" w:rsidP="0027184A">
            <w:pPr>
              <w:pStyle w:val="Tabletext"/>
              <w:keepNext/>
              <w:jc w:val="center"/>
              <w:rPr>
                <w:lang w:val="en-US"/>
              </w:rPr>
            </w:pPr>
            <w:r w:rsidRPr="00D123EE">
              <w:rPr>
                <w:lang w:val="en-US"/>
              </w:rPr>
              <w:t>U</w:t>
            </w:r>
            <w:r w:rsidR="00791AD5" w:rsidRPr="00D123EE">
              <w:rPr>
                <w:lang w:val="en-US"/>
              </w:rPr>
              <w:t>nclear</w:t>
            </w:r>
            <w:r w:rsidRPr="00D123EE">
              <w:rPr>
                <w:lang w:val="en-US"/>
              </w:rPr>
              <w:t xml:space="preserve"> </w:t>
            </w:r>
            <w:r w:rsidR="00823CEA" w:rsidRPr="00D123EE">
              <w:rPr>
                <w:lang w:val="en-US"/>
              </w:rPr>
              <w:t>-</w:t>
            </w:r>
            <w:r w:rsidRPr="00D123EE">
              <w:rPr>
                <w:lang w:val="en-US"/>
              </w:rPr>
              <w:t xml:space="preserve"> high</w:t>
            </w:r>
          </w:p>
        </w:tc>
        <w:tc>
          <w:tcPr>
            <w:tcW w:w="865" w:type="pct"/>
            <w:shd w:val="clear" w:color="auto" w:fill="auto"/>
            <w:vAlign w:val="center"/>
          </w:tcPr>
          <w:p w:rsidR="006A78B5" w:rsidRPr="00D123EE" w:rsidRDefault="00BA07EF" w:rsidP="0027184A">
            <w:pPr>
              <w:pStyle w:val="Tabletext"/>
              <w:keepNext/>
              <w:jc w:val="center"/>
              <w:rPr>
                <w:lang w:val="en-US"/>
              </w:rPr>
            </w:pPr>
            <w:r w:rsidRPr="00D123EE">
              <w:rPr>
                <w:lang w:val="en-US"/>
              </w:rPr>
              <w:t>Acute pain caused by surgical procedure</w:t>
            </w:r>
          </w:p>
        </w:tc>
        <w:tc>
          <w:tcPr>
            <w:tcW w:w="1544" w:type="pct"/>
            <w:shd w:val="clear" w:color="auto" w:fill="auto"/>
            <w:vAlign w:val="center"/>
          </w:tcPr>
          <w:p w:rsidR="000A6671" w:rsidRPr="00D123EE" w:rsidRDefault="000A6671" w:rsidP="0027184A">
            <w:pPr>
              <w:pStyle w:val="Tabletext"/>
              <w:keepNext/>
            </w:pPr>
            <w:r w:rsidRPr="00D123EE">
              <w:t>Treatment satisfaction</w:t>
            </w:r>
            <w:r w:rsidR="00EB551A" w:rsidRPr="00D123EE">
              <w:t xml:space="preserve"> using a</w:t>
            </w:r>
            <w:r w:rsidRPr="00D123EE">
              <w:t xml:space="preserve"> 4-point verbal rating scale (VRS);</w:t>
            </w:r>
            <w:r w:rsidR="000A41BC" w:rsidRPr="00D123EE">
              <w:t xml:space="preserve"> </w:t>
            </w:r>
            <w:r w:rsidR="00EB551A" w:rsidRPr="00D123EE">
              <w:t>Average pain intensity using an 11-point numerical rating scale (NRS)</w:t>
            </w:r>
            <w:r w:rsidR="00BB4057" w:rsidRPr="00D123EE">
              <w:t>; safet</w:t>
            </w:r>
            <w:r w:rsidR="006C2403" w:rsidRPr="00D123EE">
              <w:t>y; discontinuation</w:t>
            </w:r>
            <w:r w:rsidR="00EB551A" w:rsidRPr="00D123EE">
              <w:t xml:space="preserve"> </w:t>
            </w:r>
          </w:p>
        </w:tc>
      </w:tr>
      <w:tr w:rsidR="00273750" w:rsidRPr="00D123EE" w:rsidTr="000F7055">
        <w:tc>
          <w:tcPr>
            <w:tcW w:w="705" w:type="pct"/>
            <w:shd w:val="clear" w:color="auto" w:fill="auto"/>
            <w:vAlign w:val="center"/>
          </w:tcPr>
          <w:p w:rsidR="00BA07EF" w:rsidRPr="00D123EE" w:rsidRDefault="00BA07EF" w:rsidP="0027184A">
            <w:pPr>
              <w:pStyle w:val="Tabletext"/>
              <w:keepNext/>
              <w:rPr>
                <w:lang w:val="en-US"/>
              </w:rPr>
            </w:pPr>
            <w:r w:rsidRPr="00D123EE">
              <w:t>CAPSS-241</w:t>
            </w:r>
          </w:p>
        </w:tc>
        <w:tc>
          <w:tcPr>
            <w:tcW w:w="393" w:type="pct"/>
            <w:shd w:val="clear" w:color="auto" w:fill="auto"/>
            <w:vAlign w:val="center"/>
          </w:tcPr>
          <w:p w:rsidR="00BA07EF" w:rsidRPr="00D123EE" w:rsidRDefault="00BA07EF" w:rsidP="0027184A">
            <w:pPr>
              <w:pStyle w:val="Tabletext"/>
              <w:keepNext/>
              <w:jc w:val="center"/>
              <w:rPr>
                <w:lang w:val="en-US"/>
              </w:rPr>
            </w:pPr>
            <w:r w:rsidRPr="00D123EE">
              <w:rPr>
                <w:lang w:val="en-US"/>
              </w:rPr>
              <w:t>450</w:t>
            </w:r>
          </w:p>
        </w:tc>
        <w:tc>
          <w:tcPr>
            <w:tcW w:w="786" w:type="pct"/>
            <w:shd w:val="clear" w:color="auto" w:fill="auto"/>
            <w:vAlign w:val="center"/>
          </w:tcPr>
          <w:p w:rsidR="00BA07EF" w:rsidRPr="00D123EE" w:rsidRDefault="00BA07EF" w:rsidP="0027184A">
            <w:pPr>
              <w:pStyle w:val="Tabletext"/>
              <w:keepNext/>
              <w:jc w:val="center"/>
              <w:rPr>
                <w:lang w:val="en-US"/>
              </w:rPr>
            </w:pPr>
            <w:r w:rsidRPr="00D123EE">
              <w:rPr>
                <w:lang w:val="en-US"/>
              </w:rPr>
              <w:t>R, DB, Single-</w:t>
            </w:r>
            <w:proofErr w:type="spellStart"/>
            <w:r w:rsidRPr="00D123EE">
              <w:rPr>
                <w:lang w:val="en-US"/>
              </w:rPr>
              <w:t>centre</w:t>
            </w:r>
            <w:proofErr w:type="spellEnd"/>
            <w:r w:rsidRPr="00D123EE">
              <w:rPr>
                <w:lang w:val="en-US"/>
              </w:rPr>
              <w:t xml:space="preserve">, PG, </w:t>
            </w:r>
            <w:r w:rsidRPr="00D123EE">
              <w:t>6 hours</w:t>
            </w:r>
          </w:p>
        </w:tc>
        <w:tc>
          <w:tcPr>
            <w:tcW w:w="707" w:type="pct"/>
            <w:shd w:val="clear" w:color="auto" w:fill="auto"/>
            <w:vAlign w:val="center"/>
          </w:tcPr>
          <w:p w:rsidR="00BA07EF" w:rsidRPr="00D123EE" w:rsidRDefault="00B76911" w:rsidP="0027184A">
            <w:pPr>
              <w:pStyle w:val="Tabletext"/>
              <w:keepNext/>
              <w:jc w:val="center"/>
              <w:rPr>
                <w:lang w:val="en-US"/>
              </w:rPr>
            </w:pPr>
            <w:r w:rsidRPr="00D123EE">
              <w:rPr>
                <w:lang w:val="en-US"/>
              </w:rPr>
              <w:t xml:space="preserve">Unclear </w:t>
            </w:r>
            <w:r w:rsidR="00823CEA" w:rsidRPr="00D123EE">
              <w:rPr>
                <w:lang w:val="en-US"/>
              </w:rPr>
              <w:t>-</w:t>
            </w:r>
            <w:r w:rsidRPr="00D123EE">
              <w:rPr>
                <w:lang w:val="en-US"/>
              </w:rPr>
              <w:t xml:space="preserve"> h</w:t>
            </w:r>
            <w:r w:rsidR="00727BE8" w:rsidRPr="00D123EE">
              <w:rPr>
                <w:lang w:val="en-US"/>
              </w:rPr>
              <w:t xml:space="preserve">igh </w:t>
            </w:r>
          </w:p>
        </w:tc>
        <w:tc>
          <w:tcPr>
            <w:tcW w:w="865" w:type="pct"/>
            <w:shd w:val="clear" w:color="auto" w:fill="auto"/>
            <w:vAlign w:val="center"/>
          </w:tcPr>
          <w:p w:rsidR="00BA07EF" w:rsidRPr="00D123EE" w:rsidRDefault="00BA07EF" w:rsidP="0027184A">
            <w:pPr>
              <w:pStyle w:val="Tabletext"/>
              <w:keepNext/>
              <w:jc w:val="center"/>
              <w:rPr>
                <w:lang w:val="en-US"/>
              </w:rPr>
            </w:pPr>
            <w:r w:rsidRPr="00D123EE">
              <w:rPr>
                <w:lang w:val="en-US"/>
              </w:rPr>
              <w:t>Acute pain caused by surgical procedure</w:t>
            </w:r>
          </w:p>
        </w:tc>
        <w:tc>
          <w:tcPr>
            <w:tcW w:w="1544" w:type="pct"/>
            <w:shd w:val="clear" w:color="auto" w:fill="auto"/>
            <w:vAlign w:val="center"/>
          </w:tcPr>
          <w:p w:rsidR="00BA07EF" w:rsidRPr="00D123EE" w:rsidRDefault="00402EB9" w:rsidP="0027184A">
            <w:pPr>
              <w:pStyle w:val="Tabletext"/>
              <w:keepNext/>
              <w:rPr>
                <w:lang w:val="en-US"/>
              </w:rPr>
            </w:pPr>
            <w:r w:rsidRPr="00D123EE">
              <w:rPr>
                <w:lang w:val="en-US"/>
              </w:rPr>
              <w:t>Total pain relief (TOTPAR), sum of pain intensity differences (SPID) and sum of pain intensity differences (SPRID)</w:t>
            </w:r>
            <w:r w:rsidR="00BB4057" w:rsidRPr="00D123EE">
              <w:rPr>
                <w:lang w:val="en-US"/>
              </w:rPr>
              <w:t>; safety</w:t>
            </w:r>
            <w:r w:rsidR="006C2403" w:rsidRPr="00D123EE">
              <w:rPr>
                <w:lang w:val="en-US"/>
              </w:rPr>
              <w:t xml:space="preserve">; </w:t>
            </w:r>
            <w:r w:rsidR="006C2403" w:rsidRPr="00D123EE">
              <w:t>discontinuation</w:t>
            </w:r>
          </w:p>
        </w:tc>
      </w:tr>
      <w:tr w:rsidR="00273750" w:rsidRPr="00D123EE" w:rsidTr="000F7055">
        <w:tc>
          <w:tcPr>
            <w:tcW w:w="705" w:type="pct"/>
            <w:shd w:val="clear" w:color="auto" w:fill="auto"/>
            <w:vAlign w:val="center"/>
          </w:tcPr>
          <w:p w:rsidR="00BA07EF" w:rsidRPr="00D123EE" w:rsidRDefault="00BA07EF" w:rsidP="0027184A">
            <w:pPr>
              <w:pStyle w:val="Tabletext"/>
              <w:keepNext/>
              <w:rPr>
                <w:lang w:val="en-US"/>
              </w:rPr>
            </w:pPr>
            <w:r w:rsidRPr="00D123EE">
              <w:t>GRTF-ZAL 1</w:t>
            </w:r>
          </w:p>
        </w:tc>
        <w:tc>
          <w:tcPr>
            <w:tcW w:w="393" w:type="pct"/>
            <w:shd w:val="clear" w:color="auto" w:fill="auto"/>
            <w:vAlign w:val="center"/>
          </w:tcPr>
          <w:p w:rsidR="00BA07EF" w:rsidRPr="00D123EE" w:rsidRDefault="00BA07EF" w:rsidP="0027184A">
            <w:pPr>
              <w:pStyle w:val="Tabletext"/>
              <w:keepNext/>
              <w:jc w:val="center"/>
              <w:rPr>
                <w:lang w:val="en-US"/>
              </w:rPr>
            </w:pPr>
            <w:r w:rsidRPr="00D123EE">
              <w:rPr>
                <w:lang w:val="en-US"/>
              </w:rPr>
              <w:t>119</w:t>
            </w:r>
          </w:p>
        </w:tc>
        <w:tc>
          <w:tcPr>
            <w:tcW w:w="786" w:type="pct"/>
            <w:shd w:val="clear" w:color="auto" w:fill="auto"/>
            <w:vAlign w:val="center"/>
          </w:tcPr>
          <w:p w:rsidR="00BA07EF" w:rsidRPr="00D123EE" w:rsidRDefault="00BA07EF" w:rsidP="0027184A">
            <w:pPr>
              <w:pStyle w:val="Tabletext"/>
              <w:keepNext/>
              <w:jc w:val="center"/>
              <w:rPr>
                <w:lang w:val="en-US"/>
              </w:rPr>
            </w:pPr>
            <w:r w:rsidRPr="00D123EE">
              <w:rPr>
                <w:lang w:val="en-US"/>
              </w:rPr>
              <w:t xml:space="preserve">R, DB, MC, PC, PG, </w:t>
            </w:r>
            <w:r w:rsidRPr="00D123EE">
              <w:t>10 days</w:t>
            </w:r>
          </w:p>
        </w:tc>
        <w:tc>
          <w:tcPr>
            <w:tcW w:w="707" w:type="pct"/>
            <w:shd w:val="clear" w:color="auto" w:fill="auto"/>
            <w:vAlign w:val="center"/>
          </w:tcPr>
          <w:p w:rsidR="00BA07EF" w:rsidRPr="00D123EE" w:rsidRDefault="00BA07EF" w:rsidP="0027184A">
            <w:pPr>
              <w:pStyle w:val="Tabletext"/>
              <w:keepNext/>
              <w:jc w:val="center"/>
              <w:rPr>
                <w:lang w:val="en-US"/>
              </w:rPr>
            </w:pPr>
            <w:r w:rsidRPr="00D123EE">
              <w:rPr>
                <w:lang w:val="en-US"/>
              </w:rPr>
              <w:t>Low – unclear</w:t>
            </w:r>
          </w:p>
        </w:tc>
        <w:tc>
          <w:tcPr>
            <w:tcW w:w="865" w:type="pct"/>
            <w:shd w:val="clear" w:color="auto" w:fill="auto"/>
            <w:vAlign w:val="center"/>
          </w:tcPr>
          <w:p w:rsidR="00BA07EF" w:rsidRPr="00D123EE" w:rsidRDefault="000A6671" w:rsidP="0027184A">
            <w:pPr>
              <w:pStyle w:val="Tabletext"/>
              <w:keepNext/>
              <w:jc w:val="center"/>
              <w:rPr>
                <w:lang w:val="en-US"/>
              </w:rPr>
            </w:pPr>
            <w:r w:rsidRPr="00D123EE">
              <w:t>Subacute low back pain</w:t>
            </w:r>
          </w:p>
        </w:tc>
        <w:tc>
          <w:tcPr>
            <w:tcW w:w="1544" w:type="pct"/>
            <w:shd w:val="clear" w:color="auto" w:fill="auto"/>
            <w:vAlign w:val="center"/>
          </w:tcPr>
          <w:p w:rsidR="00BA07EF" w:rsidRPr="00D123EE" w:rsidRDefault="00026F9C" w:rsidP="0027184A">
            <w:pPr>
              <w:pStyle w:val="Tabletext"/>
              <w:keepNext/>
              <w:rPr>
                <w:lang w:val="en-US"/>
              </w:rPr>
            </w:pPr>
            <w:r w:rsidRPr="00D123EE">
              <w:t>Patient satisfaction</w:t>
            </w:r>
            <w:r w:rsidR="002A095B" w:rsidRPr="00D123EE">
              <w:t xml:space="preserve"> using a</w:t>
            </w:r>
            <w:r w:rsidRPr="00D123EE">
              <w:t xml:space="preserve"> 4-step scale; </w:t>
            </w:r>
            <w:r w:rsidR="00EC715A" w:rsidRPr="00D123EE">
              <w:t>Pain relief on a 5-point Likert scale; Pain intensity</w:t>
            </w:r>
            <w:r w:rsidR="002A095B" w:rsidRPr="00D123EE">
              <w:t xml:space="preserve"> using a </w:t>
            </w:r>
            <w:r w:rsidR="00EC715A" w:rsidRPr="00D123EE">
              <w:t>100 mm visual analogue pain scale (PVA)</w:t>
            </w:r>
            <w:r w:rsidR="00BB4057" w:rsidRPr="00D123EE">
              <w:t>; safety</w:t>
            </w:r>
            <w:r w:rsidR="006C2403" w:rsidRPr="00D123EE">
              <w:t>; discontinuation</w:t>
            </w:r>
          </w:p>
        </w:tc>
      </w:tr>
      <w:tr w:rsidR="00BA07EF" w:rsidRPr="00D123EE" w:rsidTr="000F7055">
        <w:tc>
          <w:tcPr>
            <w:tcW w:w="705" w:type="pct"/>
            <w:shd w:val="clear" w:color="auto" w:fill="auto"/>
            <w:vAlign w:val="center"/>
          </w:tcPr>
          <w:p w:rsidR="00BA07EF" w:rsidRPr="00D123EE" w:rsidRDefault="00BA07EF" w:rsidP="0027184A">
            <w:pPr>
              <w:pStyle w:val="Tabletext"/>
              <w:keepNext/>
              <w:rPr>
                <w:lang w:val="en-US"/>
              </w:rPr>
            </w:pPr>
            <w:r w:rsidRPr="00D123EE">
              <w:rPr>
                <w:lang w:val="en-US"/>
              </w:rPr>
              <w:t>Meta-analysis</w:t>
            </w:r>
          </w:p>
        </w:tc>
        <w:tc>
          <w:tcPr>
            <w:tcW w:w="393" w:type="pct"/>
            <w:shd w:val="clear" w:color="auto" w:fill="auto"/>
            <w:vAlign w:val="center"/>
          </w:tcPr>
          <w:p w:rsidR="00BA07EF" w:rsidRPr="00D123EE" w:rsidRDefault="00BA07EF" w:rsidP="0027184A">
            <w:pPr>
              <w:pStyle w:val="Tabletext"/>
              <w:keepNext/>
              <w:jc w:val="center"/>
              <w:rPr>
                <w:lang w:val="en-US"/>
              </w:rPr>
            </w:pPr>
          </w:p>
        </w:tc>
        <w:tc>
          <w:tcPr>
            <w:tcW w:w="3902" w:type="pct"/>
            <w:gridSpan w:val="4"/>
            <w:shd w:val="clear" w:color="auto" w:fill="auto"/>
            <w:vAlign w:val="center"/>
          </w:tcPr>
          <w:p w:rsidR="00794F4E" w:rsidRPr="00D123EE" w:rsidRDefault="00794F4E" w:rsidP="0027184A">
            <w:pPr>
              <w:pStyle w:val="Tabletext"/>
              <w:keepNext/>
              <w:rPr>
                <w:lang w:val="en-US"/>
              </w:rPr>
            </w:pPr>
            <w:r w:rsidRPr="00D123EE">
              <w:rPr>
                <w:lang w:val="en-US"/>
              </w:rPr>
              <w:t>Efficacy outcomes were not meta-</w:t>
            </w:r>
            <w:proofErr w:type="spellStart"/>
            <w:r w:rsidRPr="00D123EE">
              <w:rPr>
                <w:lang w:val="en-US"/>
              </w:rPr>
              <w:t>analysed</w:t>
            </w:r>
            <w:proofErr w:type="spellEnd"/>
            <w:r w:rsidR="005F4102" w:rsidRPr="00D123EE">
              <w:rPr>
                <w:lang w:val="en-US"/>
              </w:rPr>
              <w:t xml:space="preserve"> due to heterogeneity across trials. </w:t>
            </w:r>
          </w:p>
          <w:p w:rsidR="00567FD4" w:rsidRPr="00D123EE" w:rsidRDefault="00794F4E" w:rsidP="0027184A">
            <w:pPr>
              <w:pStyle w:val="Tabletext"/>
              <w:keepNext/>
              <w:rPr>
                <w:lang w:val="en-US"/>
              </w:rPr>
            </w:pPr>
            <w:r w:rsidRPr="00D123EE">
              <w:rPr>
                <w:lang w:val="en-US"/>
              </w:rPr>
              <w:t xml:space="preserve">Safety outcomes were pooled. </w:t>
            </w:r>
          </w:p>
        </w:tc>
      </w:tr>
      <w:tr w:rsidR="00BA07EF" w:rsidRPr="00D123EE" w:rsidTr="000F7055">
        <w:tc>
          <w:tcPr>
            <w:tcW w:w="5000" w:type="pct"/>
            <w:gridSpan w:val="6"/>
            <w:shd w:val="clear" w:color="auto" w:fill="auto"/>
            <w:vAlign w:val="center"/>
          </w:tcPr>
          <w:p w:rsidR="00BA07EF" w:rsidRPr="00D123EE" w:rsidRDefault="00BA07EF" w:rsidP="0027184A">
            <w:pPr>
              <w:pStyle w:val="Tabletext"/>
              <w:keepNext/>
              <w:rPr>
                <w:lang w:val="en-US"/>
              </w:rPr>
            </w:pPr>
            <w:r w:rsidRPr="00D123EE">
              <w:rPr>
                <w:b/>
              </w:rPr>
              <w:t xml:space="preserve">FDC </w:t>
            </w:r>
            <w:r w:rsidR="009E34E9" w:rsidRPr="00D123EE">
              <w:rPr>
                <w:b/>
              </w:rPr>
              <w:t>the FDC of tramadol 37.5 mg/paracetamol 325 mg</w:t>
            </w:r>
            <w:r w:rsidRPr="00D123EE">
              <w:rPr>
                <w:b/>
              </w:rPr>
              <w:t xml:space="preserve"> vs placebo</w:t>
            </w:r>
          </w:p>
        </w:tc>
      </w:tr>
      <w:tr w:rsidR="00273750" w:rsidRPr="00D123EE" w:rsidTr="000F7055">
        <w:tc>
          <w:tcPr>
            <w:tcW w:w="705" w:type="pct"/>
            <w:shd w:val="clear" w:color="auto" w:fill="auto"/>
            <w:vAlign w:val="center"/>
          </w:tcPr>
          <w:p w:rsidR="00BA07EF" w:rsidRPr="00D123EE" w:rsidRDefault="00BA07EF" w:rsidP="0027184A">
            <w:pPr>
              <w:pStyle w:val="Tabletext"/>
              <w:keepNext/>
              <w:rPr>
                <w:lang w:val="en-US"/>
              </w:rPr>
            </w:pPr>
            <w:r w:rsidRPr="00D123EE">
              <w:t>CAPSS-104</w:t>
            </w:r>
          </w:p>
        </w:tc>
        <w:tc>
          <w:tcPr>
            <w:tcW w:w="393" w:type="pct"/>
            <w:shd w:val="clear" w:color="auto" w:fill="auto"/>
            <w:vAlign w:val="center"/>
          </w:tcPr>
          <w:p w:rsidR="00BA07EF" w:rsidRPr="00D123EE" w:rsidRDefault="00BA07EF" w:rsidP="0027184A">
            <w:pPr>
              <w:pStyle w:val="Tabletext"/>
              <w:keepNext/>
              <w:jc w:val="center"/>
              <w:rPr>
                <w:lang w:val="en-US"/>
              </w:rPr>
            </w:pPr>
            <w:r w:rsidRPr="00D123EE">
              <w:rPr>
                <w:lang w:val="en-US"/>
              </w:rPr>
              <w:t>321</w:t>
            </w:r>
          </w:p>
        </w:tc>
        <w:tc>
          <w:tcPr>
            <w:tcW w:w="786" w:type="pct"/>
            <w:shd w:val="clear" w:color="auto" w:fill="auto"/>
            <w:vAlign w:val="center"/>
          </w:tcPr>
          <w:p w:rsidR="00BA07EF" w:rsidRPr="00D123EE" w:rsidRDefault="00BA07EF" w:rsidP="0027184A">
            <w:pPr>
              <w:pStyle w:val="Tabletext"/>
              <w:keepNext/>
              <w:jc w:val="center"/>
              <w:rPr>
                <w:lang w:val="en-US"/>
              </w:rPr>
            </w:pPr>
            <w:r w:rsidRPr="00D123EE">
              <w:rPr>
                <w:lang w:val="en-US"/>
              </w:rPr>
              <w:t xml:space="preserve">R, DB, MC, PC, PG, </w:t>
            </w:r>
            <w:r w:rsidRPr="00D123EE">
              <w:t>91 days</w:t>
            </w:r>
          </w:p>
        </w:tc>
        <w:tc>
          <w:tcPr>
            <w:tcW w:w="707" w:type="pct"/>
            <w:shd w:val="clear" w:color="auto" w:fill="auto"/>
            <w:vAlign w:val="center"/>
          </w:tcPr>
          <w:p w:rsidR="00BA07EF" w:rsidRPr="00D123EE" w:rsidRDefault="006D246F" w:rsidP="0027184A">
            <w:pPr>
              <w:pStyle w:val="Tabletext"/>
              <w:keepNext/>
              <w:jc w:val="center"/>
              <w:rPr>
                <w:lang w:val="en-US"/>
              </w:rPr>
            </w:pPr>
            <w:r w:rsidRPr="00D123EE">
              <w:t>Unclear</w:t>
            </w:r>
          </w:p>
        </w:tc>
        <w:tc>
          <w:tcPr>
            <w:tcW w:w="865" w:type="pct"/>
            <w:shd w:val="clear" w:color="auto" w:fill="auto"/>
            <w:vAlign w:val="center"/>
          </w:tcPr>
          <w:p w:rsidR="00BA07EF" w:rsidRPr="00D123EE" w:rsidRDefault="00402EB9" w:rsidP="0027184A">
            <w:pPr>
              <w:pStyle w:val="Tabletext"/>
              <w:keepNext/>
              <w:jc w:val="center"/>
              <w:rPr>
                <w:lang w:val="en-US"/>
              </w:rPr>
            </w:pPr>
            <w:r w:rsidRPr="00D123EE">
              <w:t>Osteoarthritis of knee ≥1 year;</w:t>
            </w:r>
            <w:r w:rsidRPr="00D123EE">
              <w:br/>
            </w:r>
            <w:r w:rsidRPr="00D123EE">
              <w:rPr>
                <w:color w:val="000000"/>
                <w:szCs w:val="20"/>
                <w:lang w:val="en-GB"/>
              </w:rPr>
              <w:t>PVA Score ≥40</w:t>
            </w:r>
            <w:r w:rsidR="0068170F" w:rsidRPr="00D123EE">
              <w:rPr>
                <w:color w:val="000000"/>
                <w:szCs w:val="20"/>
                <w:lang w:val="en-GB"/>
              </w:rPr>
              <w:t xml:space="preserve"> </w:t>
            </w:r>
            <w:r w:rsidRPr="00D123EE">
              <w:rPr>
                <w:color w:val="000000"/>
                <w:szCs w:val="20"/>
                <w:lang w:val="en-GB"/>
              </w:rPr>
              <w:t>mm</w:t>
            </w:r>
          </w:p>
        </w:tc>
        <w:tc>
          <w:tcPr>
            <w:tcW w:w="1544" w:type="pct"/>
            <w:shd w:val="clear" w:color="auto" w:fill="auto"/>
            <w:vAlign w:val="center"/>
          </w:tcPr>
          <w:p w:rsidR="00BA07EF" w:rsidRPr="00D123EE" w:rsidRDefault="002A095B" w:rsidP="0027184A">
            <w:pPr>
              <w:pStyle w:val="Tabletext"/>
              <w:keepNext/>
              <w:rPr>
                <w:lang w:val="en-US"/>
              </w:rPr>
            </w:pPr>
            <w:r w:rsidRPr="00D123EE">
              <w:rPr>
                <w:lang w:val="en-US"/>
              </w:rPr>
              <w:t xml:space="preserve">Patient overall assessment of study medication using a </w:t>
            </w:r>
            <w:r w:rsidRPr="00D123EE">
              <w:rPr>
                <w:rFonts w:eastAsia="Calibri"/>
              </w:rPr>
              <w:t xml:space="preserve">5-point rating scale; </w:t>
            </w:r>
            <w:r w:rsidR="00E14B41" w:rsidRPr="00D123EE">
              <w:t xml:space="preserve">Pain intensity using a 100 mm PVA; </w:t>
            </w:r>
            <w:r w:rsidR="008D1731" w:rsidRPr="00D123EE">
              <w:t>Pain relief using a 6-point Likert scale</w:t>
            </w:r>
            <w:r w:rsidR="00BB4057" w:rsidRPr="00D123EE">
              <w:t>; SF-36; WOMAC; safety</w:t>
            </w:r>
            <w:r w:rsidR="006C2403" w:rsidRPr="00D123EE">
              <w:t>; discontinuation</w:t>
            </w:r>
          </w:p>
        </w:tc>
      </w:tr>
      <w:tr w:rsidR="00BA07EF" w:rsidRPr="00D123EE" w:rsidTr="000F7055">
        <w:tc>
          <w:tcPr>
            <w:tcW w:w="705" w:type="pct"/>
            <w:shd w:val="clear" w:color="auto" w:fill="auto"/>
            <w:vAlign w:val="center"/>
          </w:tcPr>
          <w:p w:rsidR="00BA07EF" w:rsidRPr="00D123EE" w:rsidRDefault="00BA07EF" w:rsidP="0027184A">
            <w:pPr>
              <w:pStyle w:val="Tabletext"/>
              <w:keepNext/>
              <w:rPr>
                <w:lang w:val="en-US"/>
              </w:rPr>
            </w:pPr>
            <w:r w:rsidRPr="00D123EE">
              <w:t>CAPSS-112</w:t>
            </w:r>
          </w:p>
        </w:tc>
        <w:tc>
          <w:tcPr>
            <w:tcW w:w="393" w:type="pct"/>
            <w:shd w:val="clear" w:color="auto" w:fill="auto"/>
            <w:vAlign w:val="center"/>
          </w:tcPr>
          <w:p w:rsidR="00BA07EF" w:rsidRPr="00D123EE" w:rsidRDefault="00BA07EF" w:rsidP="0027184A">
            <w:pPr>
              <w:pStyle w:val="Tabletext"/>
              <w:keepNext/>
              <w:jc w:val="center"/>
              <w:rPr>
                <w:lang w:val="en-US"/>
              </w:rPr>
            </w:pPr>
            <w:r w:rsidRPr="00D123EE">
              <w:rPr>
                <w:lang w:val="en-US"/>
              </w:rPr>
              <w:t>322</w:t>
            </w:r>
          </w:p>
        </w:tc>
        <w:tc>
          <w:tcPr>
            <w:tcW w:w="786" w:type="pct"/>
            <w:shd w:val="clear" w:color="auto" w:fill="auto"/>
            <w:vAlign w:val="center"/>
          </w:tcPr>
          <w:p w:rsidR="00BA07EF" w:rsidRPr="00D123EE" w:rsidRDefault="00BA07EF" w:rsidP="0027184A">
            <w:pPr>
              <w:pStyle w:val="Tabletext"/>
              <w:keepNext/>
              <w:jc w:val="center"/>
              <w:rPr>
                <w:lang w:val="en-US"/>
              </w:rPr>
            </w:pPr>
            <w:r w:rsidRPr="00D123EE">
              <w:rPr>
                <w:lang w:val="en-US"/>
              </w:rPr>
              <w:t xml:space="preserve">R, DB, MC, PC, PG, </w:t>
            </w:r>
            <w:r w:rsidRPr="00D123EE">
              <w:t>91 days</w:t>
            </w:r>
          </w:p>
        </w:tc>
        <w:tc>
          <w:tcPr>
            <w:tcW w:w="707" w:type="pct"/>
            <w:shd w:val="clear" w:color="auto" w:fill="auto"/>
            <w:vAlign w:val="center"/>
          </w:tcPr>
          <w:p w:rsidR="00BA07EF" w:rsidRPr="00D123EE" w:rsidRDefault="006D246F" w:rsidP="0027184A">
            <w:pPr>
              <w:pStyle w:val="Tabletext"/>
              <w:keepNext/>
              <w:jc w:val="center"/>
              <w:rPr>
                <w:lang w:val="en-US"/>
              </w:rPr>
            </w:pPr>
            <w:r w:rsidRPr="00D123EE">
              <w:t>Unclear</w:t>
            </w:r>
          </w:p>
        </w:tc>
        <w:tc>
          <w:tcPr>
            <w:tcW w:w="865" w:type="pct"/>
            <w:shd w:val="clear" w:color="auto" w:fill="auto"/>
            <w:vAlign w:val="center"/>
          </w:tcPr>
          <w:p w:rsidR="00BA07EF" w:rsidRPr="00D123EE" w:rsidRDefault="00402EB9" w:rsidP="0027184A">
            <w:pPr>
              <w:pStyle w:val="Tabletext"/>
              <w:keepNext/>
              <w:jc w:val="center"/>
              <w:rPr>
                <w:lang w:val="en-US"/>
              </w:rPr>
            </w:pPr>
            <w:r w:rsidRPr="00D123EE">
              <w:t xml:space="preserve">Chronic lower back pain; </w:t>
            </w:r>
            <w:r w:rsidRPr="00D123EE">
              <w:rPr>
                <w:color w:val="000000"/>
                <w:szCs w:val="20"/>
                <w:lang w:val="en-GB"/>
              </w:rPr>
              <w:t>PVA Score ≥40</w:t>
            </w:r>
            <w:r w:rsidR="0068170F" w:rsidRPr="00D123EE">
              <w:rPr>
                <w:color w:val="000000"/>
                <w:szCs w:val="20"/>
                <w:lang w:val="en-GB"/>
              </w:rPr>
              <w:t xml:space="preserve"> </w:t>
            </w:r>
            <w:r w:rsidRPr="00D123EE">
              <w:rPr>
                <w:color w:val="000000"/>
                <w:szCs w:val="20"/>
                <w:lang w:val="en-GB"/>
              </w:rPr>
              <w:t>mm</w:t>
            </w:r>
          </w:p>
        </w:tc>
        <w:tc>
          <w:tcPr>
            <w:tcW w:w="1544" w:type="pct"/>
            <w:shd w:val="clear" w:color="auto" w:fill="auto"/>
            <w:vAlign w:val="center"/>
          </w:tcPr>
          <w:p w:rsidR="00BA07EF" w:rsidRPr="00D123EE" w:rsidRDefault="002A095B" w:rsidP="0027184A">
            <w:pPr>
              <w:pStyle w:val="Tabletext"/>
              <w:keepNext/>
              <w:rPr>
                <w:lang w:val="en-US"/>
              </w:rPr>
            </w:pPr>
            <w:r w:rsidRPr="00D123EE">
              <w:rPr>
                <w:lang w:val="en-US"/>
              </w:rPr>
              <w:t xml:space="preserve">Patient overall assessment of study medication using a </w:t>
            </w:r>
            <w:r w:rsidRPr="00D123EE">
              <w:rPr>
                <w:rFonts w:eastAsia="Calibri"/>
              </w:rPr>
              <w:t>5-point rating scale;</w:t>
            </w:r>
            <w:r w:rsidR="00E14B41" w:rsidRPr="00D123EE">
              <w:t xml:space="preserve"> Pain intensity using a 100 mm PVA;</w:t>
            </w:r>
            <w:r w:rsidR="008D1731" w:rsidRPr="00D123EE">
              <w:t xml:space="preserve"> Pain relief using a 6-point Likert scale</w:t>
            </w:r>
            <w:r w:rsidR="00BB4057" w:rsidRPr="00D123EE">
              <w:t>; SF-36</w:t>
            </w:r>
            <w:r w:rsidR="006C2403" w:rsidRPr="00D123EE">
              <w:t>; discontinuation</w:t>
            </w:r>
          </w:p>
        </w:tc>
      </w:tr>
      <w:tr w:rsidR="00402EB9" w:rsidRPr="00D123EE" w:rsidTr="000F7055">
        <w:tc>
          <w:tcPr>
            <w:tcW w:w="705" w:type="pct"/>
            <w:shd w:val="clear" w:color="auto" w:fill="auto"/>
            <w:vAlign w:val="center"/>
          </w:tcPr>
          <w:p w:rsidR="00402EB9" w:rsidRPr="00D123EE" w:rsidRDefault="00402EB9" w:rsidP="0027184A">
            <w:pPr>
              <w:pStyle w:val="Tabletext"/>
              <w:keepNext/>
              <w:rPr>
                <w:lang w:val="en-US"/>
              </w:rPr>
            </w:pPr>
            <w:r w:rsidRPr="00D123EE">
              <w:t>CAPSS-113</w:t>
            </w:r>
          </w:p>
        </w:tc>
        <w:tc>
          <w:tcPr>
            <w:tcW w:w="393" w:type="pct"/>
            <w:shd w:val="clear" w:color="auto" w:fill="auto"/>
            <w:vAlign w:val="center"/>
          </w:tcPr>
          <w:p w:rsidR="00402EB9" w:rsidRPr="00D123EE" w:rsidRDefault="00402EB9" w:rsidP="0027184A">
            <w:pPr>
              <w:pStyle w:val="Tabletext"/>
              <w:keepNext/>
              <w:jc w:val="center"/>
              <w:rPr>
                <w:lang w:val="en-US"/>
              </w:rPr>
            </w:pPr>
            <w:r w:rsidRPr="00D123EE">
              <w:rPr>
                <w:lang w:val="en-US"/>
              </w:rPr>
              <w:t>315</w:t>
            </w:r>
          </w:p>
        </w:tc>
        <w:tc>
          <w:tcPr>
            <w:tcW w:w="786" w:type="pct"/>
            <w:shd w:val="clear" w:color="auto" w:fill="auto"/>
            <w:vAlign w:val="center"/>
          </w:tcPr>
          <w:p w:rsidR="00402EB9" w:rsidRPr="00D123EE" w:rsidRDefault="00402EB9" w:rsidP="0027184A">
            <w:pPr>
              <w:pStyle w:val="Tabletext"/>
              <w:keepNext/>
              <w:jc w:val="center"/>
              <w:rPr>
                <w:lang w:val="en-US"/>
              </w:rPr>
            </w:pPr>
            <w:r w:rsidRPr="00D123EE">
              <w:rPr>
                <w:lang w:val="en-US"/>
              </w:rPr>
              <w:t xml:space="preserve">R, DB, MC, PC, PG, </w:t>
            </w:r>
            <w:r w:rsidRPr="00D123EE">
              <w:t>91 days</w:t>
            </w:r>
          </w:p>
        </w:tc>
        <w:tc>
          <w:tcPr>
            <w:tcW w:w="707" w:type="pct"/>
            <w:shd w:val="clear" w:color="auto" w:fill="auto"/>
            <w:vAlign w:val="center"/>
          </w:tcPr>
          <w:p w:rsidR="00402EB9" w:rsidRPr="00D123EE" w:rsidRDefault="00402EB9" w:rsidP="0027184A">
            <w:pPr>
              <w:pStyle w:val="Tabletext"/>
              <w:keepNext/>
              <w:jc w:val="center"/>
              <w:rPr>
                <w:lang w:val="en-US"/>
              </w:rPr>
            </w:pPr>
            <w:r w:rsidRPr="00D123EE">
              <w:t>Unclear</w:t>
            </w:r>
            <w:r w:rsidRPr="00D123EE">
              <w:rPr>
                <w:lang w:val="en-US"/>
              </w:rPr>
              <w:t>r</w:t>
            </w:r>
          </w:p>
        </w:tc>
        <w:tc>
          <w:tcPr>
            <w:tcW w:w="865" w:type="pct"/>
            <w:shd w:val="clear" w:color="auto" w:fill="auto"/>
          </w:tcPr>
          <w:p w:rsidR="00402EB9" w:rsidRPr="00D123EE" w:rsidRDefault="00402EB9" w:rsidP="0027184A">
            <w:pPr>
              <w:pStyle w:val="Tabletext"/>
              <w:keepNext/>
              <w:jc w:val="center"/>
              <w:rPr>
                <w:lang w:val="en-US"/>
              </w:rPr>
            </w:pPr>
            <w:r w:rsidRPr="00D123EE">
              <w:t xml:space="preserve">Fibromyalgia; </w:t>
            </w:r>
            <w:r w:rsidRPr="00D123EE">
              <w:br/>
            </w:r>
            <w:r w:rsidRPr="00D123EE">
              <w:rPr>
                <w:color w:val="000000"/>
                <w:szCs w:val="20"/>
                <w:lang w:val="en-GB"/>
              </w:rPr>
              <w:t>PVA Score ≥40</w:t>
            </w:r>
            <w:r w:rsidR="0068170F" w:rsidRPr="00D123EE">
              <w:rPr>
                <w:color w:val="000000"/>
                <w:szCs w:val="20"/>
                <w:lang w:val="en-GB"/>
              </w:rPr>
              <w:t xml:space="preserve"> </w:t>
            </w:r>
            <w:r w:rsidRPr="00D123EE">
              <w:rPr>
                <w:color w:val="000000"/>
                <w:szCs w:val="20"/>
                <w:lang w:val="en-GB"/>
              </w:rPr>
              <w:t>mm</w:t>
            </w:r>
          </w:p>
        </w:tc>
        <w:tc>
          <w:tcPr>
            <w:tcW w:w="1544" w:type="pct"/>
            <w:shd w:val="clear" w:color="auto" w:fill="auto"/>
            <w:vAlign w:val="center"/>
          </w:tcPr>
          <w:p w:rsidR="00402EB9" w:rsidRPr="00D123EE" w:rsidRDefault="00E14B41" w:rsidP="0027184A">
            <w:pPr>
              <w:pStyle w:val="Tabletext"/>
              <w:keepNext/>
              <w:rPr>
                <w:lang w:val="en-US"/>
              </w:rPr>
            </w:pPr>
            <w:r w:rsidRPr="00D123EE">
              <w:t>Pain intensity using a 100 mm PVA;</w:t>
            </w:r>
            <w:r w:rsidR="00426981" w:rsidRPr="00D123EE">
              <w:t xml:space="preserve"> Pain relief using a 6-point Likert scale</w:t>
            </w:r>
            <w:r w:rsidR="00BB4057" w:rsidRPr="00D123EE">
              <w:t xml:space="preserve"> SF-36</w:t>
            </w:r>
            <w:r w:rsidR="006C2403" w:rsidRPr="00D123EE">
              <w:t>; discontinuation</w:t>
            </w:r>
          </w:p>
        </w:tc>
      </w:tr>
      <w:tr w:rsidR="00402EB9" w:rsidRPr="00D123EE" w:rsidTr="000F7055">
        <w:tc>
          <w:tcPr>
            <w:tcW w:w="705" w:type="pct"/>
            <w:shd w:val="clear" w:color="auto" w:fill="auto"/>
            <w:vAlign w:val="center"/>
          </w:tcPr>
          <w:p w:rsidR="00402EB9" w:rsidRPr="00D123EE" w:rsidRDefault="00402EB9" w:rsidP="0027184A">
            <w:pPr>
              <w:pStyle w:val="Tabletext"/>
              <w:keepNext/>
              <w:rPr>
                <w:lang w:val="en-US"/>
              </w:rPr>
            </w:pPr>
            <w:r w:rsidRPr="00D123EE">
              <w:t>TRP-CAN-1</w:t>
            </w:r>
          </w:p>
        </w:tc>
        <w:tc>
          <w:tcPr>
            <w:tcW w:w="393" w:type="pct"/>
            <w:shd w:val="clear" w:color="auto" w:fill="auto"/>
            <w:vAlign w:val="center"/>
          </w:tcPr>
          <w:p w:rsidR="00402EB9" w:rsidRPr="00D123EE" w:rsidRDefault="00402EB9" w:rsidP="0027184A">
            <w:pPr>
              <w:pStyle w:val="Tabletext"/>
              <w:keepNext/>
              <w:jc w:val="center"/>
              <w:rPr>
                <w:lang w:val="en-US"/>
              </w:rPr>
            </w:pPr>
            <w:r w:rsidRPr="00D123EE">
              <w:rPr>
                <w:lang w:val="en-US"/>
              </w:rPr>
              <w:t>338</w:t>
            </w:r>
          </w:p>
        </w:tc>
        <w:tc>
          <w:tcPr>
            <w:tcW w:w="786" w:type="pct"/>
            <w:shd w:val="clear" w:color="auto" w:fill="auto"/>
            <w:vAlign w:val="center"/>
          </w:tcPr>
          <w:p w:rsidR="00402EB9" w:rsidRPr="00D123EE" w:rsidRDefault="00402EB9" w:rsidP="0027184A">
            <w:pPr>
              <w:pStyle w:val="Tabletext"/>
              <w:keepNext/>
              <w:jc w:val="center"/>
              <w:rPr>
                <w:lang w:val="en-US"/>
              </w:rPr>
            </w:pPr>
            <w:r w:rsidRPr="00D123EE">
              <w:rPr>
                <w:lang w:val="en-US"/>
              </w:rPr>
              <w:t xml:space="preserve">R, DB, MC, PC, PG, </w:t>
            </w:r>
            <w:r w:rsidRPr="00D123EE">
              <w:t>91 days</w:t>
            </w:r>
          </w:p>
        </w:tc>
        <w:tc>
          <w:tcPr>
            <w:tcW w:w="707" w:type="pct"/>
            <w:shd w:val="clear" w:color="auto" w:fill="auto"/>
            <w:vAlign w:val="center"/>
          </w:tcPr>
          <w:p w:rsidR="00402EB9" w:rsidRPr="00D123EE" w:rsidRDefault="00402EB9" w:rsidP="0027184A">
            <w:pPr>
              <w:pStyle w:val="Tabletext"/>
              <w:keepNext/>
              <w:jc w:val="center"/>
              <w:rPr>
                <w:lang w:val="en-US"/>
              </w:rPr>
            </w:pPr>
            <w:r w:rsidRPr="00D123EE">
              <w:t>Unclear</w:t>
            </w:r>
          </w:p>
        </w:tc>
        <w:tc>
          <w:tcPr>
            <w:tcW w:w="865" w:type="pct"/>
            <w:shd w:val="clear" w:color="auto" w:fill="auto"/>
            <w:vAlign w:val="center"/>
          </w:tcPr>
          <w:p w:rsidR="00402EB9" w:rsidRPr="00D123EE" w:rsidRDefault="00402EB9" w:rsidP="0027184A">
            <w:pPr>
              <w:pStyle w:val="Tabletext"/>
              <w:keepNext/>
              <w:jc w:val="center"/>
              <w:rPr>
                <w:lang w:val="en-US"/>
              </w:rPr>
            </w:pPr>
            <w:r w:rsidRPr="00D123EE">
              <w:t xml:space="preserve">Chronic lower back pain; </w:t>
            </w:r>
            <w:r w:rsidRPr="00D123EE">
              <w:rPr>
                <w:color w:val="000000"/>
                <w:szCs w:val="20"/>
                <w:lang w:val="en-GB"/>
              </w:rPr>
              <w:t>PVA Score ≥40</w:t>
            </w:r>
            <w:r w:rsidR="0068170F" w:rsidRPr="00D123EE">
              <w:rPr>
                <w:color w:val="000000"/>
                <w:szCs w:val="20"/>
                <w:lang w:val="en-GB"/>
              </w:rPr>
              <w:t xml:space="preserve"> </w:t>
            </w:r>
            <w:r w:rsidRPr="00D123EE">
              <w:rPr>
                <w:color w:val="000000"/>
                <w:szCs w:val="20"/>
                <w:lang w:val="en-GB"/>
              </w:rPr>
              <w:t>mm</w:t>
            </w:r>
          </w:p>
        </w:tc>
        <w:tc>
          <w:tcPr>
            <w:tcW w:w="1544" w:type="pct"/>
            <w:shd w:val="clear" w:color="auto" w:fill="auto"/>
            <w:vAlign w:val="center"/>
          </w:tcPr>
          <w:p w:rsidR="00402EB9" w:rsidRPr="00D123EE" w:rsidRDefault="002A095B" w:rsidP="0027184A">
            <w:pPr>
              <w:pStyle w:val="Tabletext"/>
              <w:keepNext/>
              <w:rPr>
                <w:lang w:val="en-US"/>
              </w:rPr>
            </w:pPr>
            <w:r w:rsidRPr="00D123EE">
              <w:rPr>
                <w:lang w:val="en-US"/>
              </w:rPr>
              <w:t xml:space="preserve">Patient overall assessment of study medication using a </w:t>
            </w:r>
            <w:r w:rsidRPr="00D123EE">
              <w:rPr>
                <w:rFonts w:eastAsia="Calibri"/>
              </w:rPr>
              <w:t>5-point rating scale;</w:t>
            </w:r>
            <w:r w:rsidR="00E14B41" w:rsidRPr="00D123EE">
              <w:rPr>
                <w:rFonts w:eastAsia="Calibri"/>
              </w:rPr>
              <w:t xml:space="preserve"> </w:t>
            </w:r>
            <w:r w:rsidR="00E14B41" w:rsidRPr="00D123EE">
              <w:t>Pain intensity using a 100 mm PVA;</w:t>
            </w:r>
            <w:r w:rsidR="00426981" w:rsidRPr="00D123EE">
              <w:t xml:space="preserve"> Pain relief using a 6-point Likert scale</w:t>
            </w:r>
            <w:r w:rsidR="00BB4057" w:rsidRPr="00D123EE">
              <w:t>; SF-36</w:t>
            </w:r>
            <w:r w:rsidR="006C2403" w:rsidRPr="00D123EE">
              <w:t>; discontinuation</w:t>
            </w:r>
          </w:p>
        </w:tc>
      </w:tr>
      <w:tr w:rsidR="00402EB9" w:rsidRPr="00D123EE" w:rsidTr="000F7055">
        <w:tc>
          <w:tcPr>
            <w:tcW w:w="705" w:type="pct"/>
            <w:shd w:val="clear" w:color="auto" w:fill="auto"/>
            <w:vAlign w:val="center"/>
          </w:tcPr>
          <w:p w:rsidR="00402EB9" w:rsidRPr="00D123EE" w:rsidRDefault="00402EB9" w:rsidP="0027184A">
            <w:pPr>
              <w:pStyle w:val="Tabletext"/>
              <w:keepNext/>
              <w:rPr>
                <w:lang w:val="en-US"/>
              </w:rPr>
            </w:pPr>
            <w:r w:rsidRPr="00D123EE">
              <w:t>CAPSS-237</w:t>
            </w:r>
          </w:p>
        </w:tc>
        <w:tc>
          <w:tcPr>
            <w:tcW w:w="393" w:type="pct"/>
            <w:shd w:val="clear" w:color="auto" w:fill="auto"/>
            <w:vAlign w:val="center"/>
          </w:tcPr>
          <w:p w:rsidR="00402EB9" w:rsidRPr="00D123EE" w:rsidRDefault="00402EB9" w:rsidP="0027184A">
            <w:pPr>
              <w:pStyle w:val="Tabletext"/>
              <w:keepNext/>
              <w:jc w:val="center"/>
              <w:rPr>
                <w:lang w:val="en-US"/>
              </w:rPr>
            </w:pPr>
            <w:r w:rsidRPr="00D123EE">
              <w:rPr>
                <w:lang w:val="en-US"/>
              </w:rPr>
              <w:t>313</w:t>
            </w:r>
          </w:p>
        </w:tc>
        <w:tc>
          <w:tcPr>
            <w:tcW w:w="786" w:type="pct"/>
            <w:shd w:val="clear" w:color="auto" w:fill="auto"/>
            <w:vAlign w:val="center"/>
          </w:tcPr>
          <w:p w:rsidR="00402EB9" w:rsidRPr="00D123EE" w:rsidRDefault="00402EB9" w:rsidP="0027184A">
            <w:pPr>
              <w:pStyle w:val="Tabletext"/>
              <w:keepNext/>
              <w:jc w:val="center"/>
              <w:rPr>
                <w:lang w:val="en-US"/>
              </w:rPr>
            </w:pPr>
            <w:r w:rsidRPr="00D123EE">
              <w:rPr>
                <w:lang w:val="en-US"/>
              </w:rPr>
              <w:t xml:space="preserve">R, DB, MC, PC, PG, </w:t>
            </w:r>
            <w:r w:rsidRPr="00D123EE">
              <w:t>66 days</w:t>
            </w:r>
          </w:p>
        </w:tc>
        <w:tc>
          <w:tcPr>
            <w:tcW w:w="707" w:type="pct"/>
            <w:shd w:val="clear" w:color="auto" w:fill="auto"/>
            <w:vAlign w:val="center"/>
          </w:tcPr>
          <w:p w:rsidR="00402EB9" w:rsidRPr="00D123EE" w:rsidRDefault="00402EB9" w:rsidP="0027184A">
            <w:pPr>
              <w:pStyle w:val="Tabletext"/>
              <w:keepNext/>
              <w:jc w:val="center"/>
              <w:rPr>
                <w:lang w:val="en-US"/>
              </w:rPr>
            </w:pPr>
            <w:r w:rsidRPr="00D123EE">
              <w:t>Unclear</w:t>
            </w:r>
          </w:p>
        </w:tc>
        <w:tc>
          <w:tcPr>
            <w:tcW w:w="865" w:type="pct"/>
            <w:shd w:val="clear" w:color="auto" w:fill="auto"/>
            <w:vAlign w:val="center"/>
          </w:tcPr>
          <w:p w:rsidR="00402EB9" w:rsidRPr="00D123EE" w:rsidRDefault="00AD7BC0" w:rsidP="0027184A">
            <w:pPr>
              <w:pStyle w:val="Tabletext"/>
              <w:keepNext/>
              <w:jc w:val="center"/>
              <w:rPr>
                <w:lang w:val="en-US"/>
              </w:rPr>
            </w:pPr>
            <w:r w:rsidRPr="00D123EE">
              <w:t xml:space="preserve">Painful diabetic neuropathy in the lower extremities Daily pain for ≥3 </w:t>
            </w:r>
            <w:proofErr w:type="spellStart"/>
            <w:r w:rsidRPr="00D123EE">
              <w:t>mth</w:t>
            </w:r>
            <w:proofErr w:type="spellEnd"/>
          </w:p>
        </w:tc>
        <w:tc>
          <w:tcPr>
            <w:tcW w:w="1544" w:type="pct"/>
            <w:shd w:val="clear" w:color="auto" w:fill="auto"/>
            <w:vAlign w:val="center"/>
          </w:tcPr>
          <w:p w:rsidR="00402EB9" w:rsidRPr="00D123EE" w:rsidRDefault="00E14B41" w:rsidP="0027184A">
            <w:pPr>
              <w:pStyle w:val="Tabletext"/>
              <w:keepNext/>
              <w:rPr>
                <w:lang w:val="en-US"/>
              </w:rPr>
            </w:pPr>
            <w:r w:rsidRPr="00D123EE">
              <w:t>Pain intensity using a 100 mm PVA;</w:t>
            </w:r>
            <w:r w:rsidR="00BB4057" w:rsidRPr="00D123EE">
              <w:t xml:space="preserve"> SF-36</w:t>
            </w:r>
            <w:r w:rsidR="006C2403" w:rsidRPr="00D123EE">
              <w:t>; discontinuation</w:t>
            </w:r>
          </w:p>
        </w:tc>
      </w:tr>
      <w:tr w:rsidR="00402EB9" w:rsidRPr="00D123EE" w:rsidTr="000F7055">
        <w:tc>
          <w:tcPr>
            <w:tcW w:w="705" w:type="pct"/>
            <w:shd w:val="clear" w:color="auto" w:fill="auto"/>
            <w:vAlign w:val="center"/>
          </w:tcPr>
          <w:p w:rsidR="00402EB9" w:rsidRPr="00D123EE" w:rsidRDefault="00402EB9" w:rsidP="0027184A">
            <w:pPr>
              <w:pStyle w:val="Tabletext"/>
              <w:keepNext/>
              <w:rPr>
                <w:lang w:val="en-US"/>
              </w:rPr>
            </w:pPr>
            <w:r w:rsidRPr="00D123EE">
              <w:t>CAPSS-114</w:t>
            </w:r>
          </w:p>
        </w:tc>
        <w:tc>
          <w:tcPr>
            <w:tcW w:w="393" w:type="pct"/>
            <w:shd w:val="clear" w:color="auto" w:fill="auto"/>
            <w:vAlign w:val="center"/>
          </w:tcPr>
          <w:p w:rsidR="00402EB9" w:rsidRPr="00D123EE" w:rsidRDefault="00402EB9" w:rsidP="0027184A">
            <w:pPr>
              <w:pStyle w:val="Tabletext"/>
              <w:keepNext/>
              <w:jc w:val="center"/>
              <w:rPr>
                <w:lang w:val="en-US"/>
              </w:rPr>
            </w:pPr>
            <w:r w:rsidRPr="00D123EE">
              <w:rPr>
                <w:lang w:val="en-US"/>
              </w:rPr>
              <w:t>307</w:t>
            </w:r>
          </w:p>
        </w:tc>
        <w:tc>
          <w:tcPr>
            <w:tcW w:w="786" w:type="pct"/>
            <w:shd w:val="clear" w:color="auto" w:fill="auto"/>
            <w:vAlign w:val="center"/>
          </w:tcPr>
          <w:p w:rsidR="00402EB9" w:rsidRPr="00D123EE" w:rsidRDefault="00402EB9" w:rsidP="0027184A">
            <w:pPr>
              <w:pStyle w:val="Tabletext"/>
              <w:keepNext/>
              <w:jc w:val="center"/>
              <w:rPr>
                <w:lang w:val="en-US"/>
              </w:rPr>
            </w:pPr>
            <w:r w:rsidRPr="00D123EE">
              <w:rPr>
                <w:lang w:val="en-US"/>
              </w:rPr>
              <w:t xml:space="preserve">R, DB, MC, PC, PG, </w:t>
            </w:r>
            <w:r w:rsidRPr="00D123EE">
              <w:t>91 days</w:t>
            </w:r>
          </w:p>
        </w:tc>
        <w:tc>
          <w:tcPr>
            <w:tcW w:w="707" w:type="pct"/>
            <w:shd w:val="clear" w:color="auto" w:fill="auto"/>
            <w:vAlign w:val="center"/>
          </w:tcPr>
          <w:p w:rsidR="00402EB9" w:rsidRPr="00D123EE" w:rsidRDefault="00402EB9" w:rsidP="0027184A">
            <w:pPr>
              <w:pStyle w:val="Tabletext"/>
              <w:keepNext/>
              <w:jc w:val="center"/>
              <w:rPr>
                <w:lang w:val="en-US"/>
              </w:rPr>
            </w:pPr>
            <w:r w:rsidRPr="00D123EE">
              <w:t>Unclear</w:t>
            </w:r>
          </w:p>
        </w:tc>
        <w:tc>
          <w:tcPr>
            <w:tcW w:w="865" w:type="pct"/>
            <w:shd w:val="clear" w:color="auto" w:fill="auto"/>
            <w:vAlign w:val="center"/>
          </w:tcPr>
          <w:p w:rsidR="00402EB9" w:rsidRPr="00D123EE" w:rsidRDefault="00AD7BC0" w:rsidP="0027184A">
            <w:pPr>
              <w:pStyle w:val="Tabletext"/>
              <w:keepNext/>
              <w:jc w:val="center"/>
              <w:rPr>
                <w:lang w:val="en-US"/>
              </w:rPr>
            </w:pPr>
            <w:r w:rsidRPr="00D123EE">
              <w:t>Symptomatic osteoarthritis of the knee or hip ≥1 year: PVA Score &gt;50</w:t>
            </w:r>
            <w:r w:rsidR="0068170F" w:rsidRPr="00D123EE">
              <w:t xml:space="preserve"> </w:t>
            </w:r>
            <w:r w:rsidRPr="00D123EE">
              <w:t>mm</w:t>
            </w:r>
          </w:p>
        </w:tc>
        <w:tc>
          <w:tcPr>
            <w:tcW w:w="1544" w:type="pct"/>
            <w:shd w:val="clear" w:color="auto" w:fill="auto"/>
            <w:vAlign w:val="center"/>
          </w:tcPr>
          <w:p w:rsidR="00402EB9" w:rsidRPr="00D123EE" w:rsidRDefault="002A095B" w:rsidP="0027184A">
            <w:pPr>
              <w:pStyle w:val="Tabletext"/>
              <w:keepNext/>
              <w:rPr>
                <w:lang w:val="en-US"/>
              </w:rPr>
            </w:pPr>
            <w:r w:rsidRPr="00D123EE">
              <w:rPr>
                <w:lang w:val="en-US"/>
              </w:rPr>
              <w:t xml:space="preserve">Patient overall assessment of study medication using a </w:t>
            </w:r>
            <w:r w:rsidRPr="00D123EE">
              <w:rPr>
                <w:rFonts w:eastAsia="Calibri"/>
              </w:rPr>
              <w:t>5-point rating scale;</w:t>
            </w:r>
            <w:r w:rsidR="00E14B41" w:rsidRPr="00D123EE">
              <w:rPr>
                <w:rFonts w:eastAsia="Calibri"/>
              </w:rPr>
              <w:t xml:space="preserve"> </w:t>
            </w:r>
            <w:r w:rsidR="00E14B41" w:rsidRPr="00D123EE">
              <w:t>Pain intensity using a 100 mm PVA;</w:t>
            </w:r>
            <w:r w:rsidR="00426981" w:rsidRPr="00D123EE">
              <w:t xml:space="preserve"> Pain relief using a 6-point Likert scale</w:t>
            </w:r>
            <w:r w:rsidR="00BB4057" w:rsidRPr="00D123EE">
              <w:t xml:space="preserve"> SF-36; WOMAC; safety</w:t>
            </w:r>
            <w:r w:rsidR="006C2403" w:rsidRPr="00D123EE">
              <w:t>; discontinuation</w:t>
            </w:r>
          </w:p>
        </w:tc>
      </w:tr>
      <w:tr w:rsidR="00402EB9" w:rsidRPr="00D123EE" w:rsidTr="000F7055">
        <w:tc>
          <w:tcPr>
            <w:tcW w:w="705" w:type="pct"/>
            <w:shd w:val="clear" w:color="auto" w:fill="auto"/>
            <w:vAlign w:val="center"/>
          </w:tcPr>
          <w:p w:rsidR="00402EB9" w:rsidRPr="00D123EE" w:rsidRDefault="00402EB9" w:rsidP="0027184A">
            <w:pPr>
              <w:pStyle w:val="Tabletext"/>
              <w:keepNext/>
              <w:rPr>
                <w:lang w:val="en-US"/>
              </w:rPr>
            </w:pPr>
            <w:r w:rsidRPr="00D123EE">
              <w:t>Chang 2013</w:t>
            </w:r>
          </w:p>
        </w:tc>
        <w:tc>
          <w:tcPr>
            <w:tcW w:w="393" w:type="pct"/>
            <w:tcBorders>
              <w:bottom w:val="single" w:sz="4" w:space="0" w:color="auto"/>
            </w:tcBorders>
            <w:shd w:val="clear" w:color="auto" w:fill="auto"/>
            <w:vAlign w:val="center"/>
          </w:tcPr>
          <w:p w:rsidR="00402EB9" w:rsidRPr="00D123EE" w:rsidRDefault="00402EB9" w:rsidP="0027184A">
            <w:pPr>
              <w:pStyle w:val="Tabletext"/>
              <w:keepNext/>
              <w:jc w:val="center"/>
              <w:rPr>
                <w:lang w:val="en-US"/>
              </w:rPr>
            </w:pPr>
            <w:r w:rsidRPr="00D123EE">
              <w:rPr>
                <w:lang w:val="en-US"/>
              </w:rPr>
              <w:t>60</w:t>
            </w:r>
          </w:p>
        </w:tc>
        <w:tc>
          <w:tcPr>
            <w:tcW w:w="786" w:type="pct"/>
            <w:shd w:val="clear" w:color="auto" w:fill="auto"/>
            <w:vAlign w:val="center"/>
          </w:tcPr>
          <w:p w:rsidR="00402EB9" w:rsidRPr="00D123EE" w:rsidRDefault="00402EB9" w:rsidP="0027184A">
            <w:pPr>
              <w:pStyle w:val="Tabletext"/>
              <w:keepNext/>
              <w:jc w:val="center"/>
              <w:rPr>
                <w:lang w:val="en-US"/>
              </w:rPr>
            </w:pPr>
            <w:r w:rsidRPr="00D123EE">
              <w:rPr>
                <w:lang w:val="en-US"/>
              </w:rPr>
              <w:t>R, DB, Single-</w:t>
            </w:r>
            <w:proofErr w:type="spellStart"/>
            <w:r w:rsidRPr="00D123EE">
              <w:rPr>
                <w:lang w:val="en-US"/>
              </w:rPr>
              <w:t>centre</w:t>
            </w:r>
            <w:proofErr w:type="spellEnd"/>
            <w:r w:rsidRPr="00D123EE">
              <w:rPr>
                <w:lang w:val="en-US"/>
              </w:rPr>
              <w:t>, PC,</w:t>
            </w:r>
            <w:r w:rsidR="009D74F4" w:rsidRPr="00D123EE">
              <w:rPr>
                <w:lang w:val="en-US"/>
              </w:rPr>
              <w:t xml:space="preserve"> </w:t>
            </w:r>
            <w:r w:rsidRPr="00D123EE">
              <w:t>84 days</w:t>
            </w:r>
          </w:p>
        </w:tc>
        <w:tc>
          <w:tcPr>
            <w:tcW w:w="707" w:type="pct"/>
            <w:shd w:val="clear" w:color="auto" w:fill="auto"/>
            <w:vAlign w:val="center"/>
          </w:tcPr>
          <w:p w:rsidR="00402EB9" w:rsidRPr="00D123EE" w:rsidRDefault="00402EB9" w:rsidP="0027184A">
            <w:pPr>
              <w:pStyle w:val="Tabletext"/>
              <w:keepNext/>
              <w:jc w:val="center"/>
              <w:rPr>
                <w:lang w:val="en-US"/>
              </w:rPr>
            </w:pPr>
            <w:r w:rsidRPr="00D123EE">
              <w:t>Unclear</w:t>
            </w:r>
          </w:p>
        </w:tc>
        <w:tc>
          <w:tcPr>
            <w:tcW w:w="865" w:type="pct"/>
            <w:shd w:val="clear" w:color="auto" w:fill="auto"/>
            <w:vAlign w:val="center"/>
          </w:tcPr>
          <w:p w:rsidR="00402EB9" w:rsidRPr="00D123EE" w:rsidRDefault="00AD7BC0" w:rsidP="0027184A">
            <w:pPr>
              <w:pStyle w:val="Tabletext"/>
              <w:keepNext/>
              <w:jc w:val="center"/>
              <w:rPr>
                <w:lang w:val="en-US"/>
              </w:rPr>
            </w:pPr>
            <w:r w:rsidRPr="00D123EE">
              <w:t xml:space="preserve">Active ankylosing spondylitis; </w:t>
            </w:r>
            <w:r w:rsidR="0095702F" w:rsidRPr="00D123EE">
              <w:br/>
            </w:r>
            <w:r w:rsidRPr="00D123EE">
              <w:t>BASDAI level &gt;3</w:t>
            </w:r>
          </w:p>
        </w:tc>
        <w:tc>
          <w:tcPr>
            <w:tcW w:w="1544" w:type="pct"/>
            <w:shd w:val="clear" w:color="auto" w:fill="auto"/>
            <w:vAlign w:val="center"/>
          </w:tcPr>
          <w:p w:rsidR="00402EB9" w:rsidRPr="00D123EE" w:rsidRDefault="00263B1B" w:rsidP="0027184A">
            <w:pPr>
              <w:pStyle w:val="Tabletext"/>
              <w:keepNext/>
              <w:rPr>
                <w:lang w:val="en-US"/>
              </w:rPr>
            </w:pPr>
            <w:r w:rsidRPr="00D123EE">
              <w:rPr>
                <w:lang w:val="en-US"/>
              </w:rPr>
              <w:t xml:space="preserve">ASAS20; </w:t>
            </w:r>
            <w:r w:rsidR="002A359F" w:rsidRPr="00D123EE">
              <w:rPr>
                <w:lang w:val="en-US"/>
              </w:rPr>
              <w:t xml:space="preserve">Pain VAS; SF-36; </w:t>
            </w:r>
            <w:r w:rsidR="00BB4057" w:rsidRPr="00D123EE">
              <w:rPr>
                <w:lang w:val="en-US"/>
              </w:rPr>
              <w:t>safety</w:t>
            </w:r>
            <w:r w:rsidR="006C2403" w:rsidRPr="00D123EE">
              <w:rPr>
                <w:lang w:val="en-US"/>
              </w:rPr>
              <w:t xml:space="preserve">; </w:t>
            </w:r>
            <w:r w:rsidR="006C2403" w:rsidRPr="00D123EE">
              <w:t>discontinuation</w:t>
            </w:r>
          </w:p>
        </w:tc>
      </w:tr>
      <w:tr w:rsidR="00402EB9" w:rsidRPr="00D123EE" w:rsidTr="000F7055">
        <w:tc>
          <w:tcPr>
            <w:tcW w:w="705" w:type="pct"/>
            <w:tcBorders>
              <w:right w:val="nil"/>
            </w:tcBorders>
            <w:shd w:val="clear" w:color="auto" w:fill="auto"/>
            <w:vAlign w:val="center"/>
          </w:tcPr>
          <w:p w:rsidR="00402EB9" w:rsidRPr="00D123EE" w:rsidRDefault="00402EB9" w:rsidP="0027184A">
            <w:pPr>
              <w:pStyle w:val="Tabletext"/>
              <w:keepNext/>
            </w:pPr>
            <w:r w:rsidRPr="00D123EE">
              <w:rPr>
                <w:lang w:val="en-US"/>
              </w:rPr>
              <w:t>Meta-analysis</w:t>
            </w:r>
          </w:p>
        </w:tc>
        <w:tc>
          <w:tcPr>
            <w:tcW w:w="393" w:type="pct"/>
            <w:tcBorders>
              <w:left w:val="nil"/>
            </w:tcBorders>
            <w:shd w:val="clear" w:color="auto" w:fill="auto"/>
            <w:vAlign w:val="center"/>
          </w:tcPr>
          <w:p w:rsidR="00402EB9" w:rsidRPr="00D123EE" w:rsidRDefault="00402EB9" w:rsidP="0027184A">
            <w:pPr>
              <w:pStyle w:val="Tabletext"/>
              <w:keepNext/>
              <w:jc w:val="center"/>
              <w:rPr>
                <w:lang w:val="en-US"/>
              </w:rPr>
            </w:pPr>
          </w:p>
        </w:tc>
        <w:tc>
          <w:tcPr>
            <w:tcW w:w="3902" w:type="pct"/>
            <w:gridSpan w:val="4"/>
            <w:shd w:val="clear" w:color="auto" w:fill="auto"/>
            <w:vAlign w:val="center"/>
          </w:tcPr>
          <w:p w:rsidR="0036447B" w:rsidRPr="00D123EE" w:rsidRDefault="006A25AA" w:rsidP="0027184A">
            <w:pPr>
              <w:pStyle w:val="Tabletext"/>
              <w:keepNext/>
              <w:numPr>
                <w:ilvl w:val="0"/>
                <w:numId w:val="10"/>
              </w:numPr>
              <w:ind w:left="414"/>
              <w:rPr>
                <w:lang w:val="en-US"/>
              </w:rPr>
            </w:pPr>
            <w:r w:rsidRPr="00D123EE">
              <w:rPr>
                <w:rFonts w:cs="Arial"/>
                <w:bCs/>
                <w:color w:val="000000"/>
                <w:szCs w:val="18"/>
              </w:rPr>
              <w:t xml:space="preserve">Patient overall assessment of study medication using a 5-point rating scale; </w:t>
            </w:r>
            <w:r w:rsidR="0036447B" w:rsidRPr="00D123EE">
              <w:rPr>
                <w:rFonts w:cs="Arial"/>
                <w:bCs/>
                <w:color w:val="000000"/>
                <w:szCs w:val="18"/>
              </w:rPr>
              <w:t xml:space="preserve">CAPSS-104, </w:t>
            </w:r>
            <w:r w:rsidR="0036447B" w:rsidRPr="00D123EE">
              <w:rPr>
                <w:rFonts w:cs="Arial"/>
                <w:bCs/>
                <w:color w:val="000000"/>
                <w:szCs w:val="18"/>
              </w:rPr>
              <w:lastRenderedPageBreak/>
              <w:t xml:space="preserve">CAPSS-112, TRP-CAN-1. </w:t>
            </w:r>
          </w:p>
          <w:p w:rsidR="006A25AA" w:rsidRPr="00D123EE" w:rsidRDefault="006A25AA" w:rsidP="0027184A">
            <w:pPr>
              <w:pStyle w:val="Tabletext"/>
              <w:keepNext/>
              <w:numPr>
                <w:ilvl w:val="0"/>
                <w:numId w:val="10"/>
              </w:numPr>
              <w:ind w:left="414"/>
              <w:rPr>
                <w:lang w:val="en-US"/>
              </w:rPr>
            </w:pPr>
            <w:r w:rsidRPr="00D123EE">
              <w:rPr>
                <w:rFonts w:cs="Arial"/>
                <w:bCs/>
                <w:color w:val="000000"/>
                <w:szCs w:val="18"/>
              </w:rPr>
              <w:t xml:space="preserve">Pain intensity using a 100 mm PVA; </w:t>
            </w:r>
            <w:r w:rsidR="0036447B" w:rsidRPr="00D123EE">
              <w:rPr>
                <w:rFonts w:cs="Arial"/>
                <w:bCs/>
                <w:color w:val="000000"/>
                <w:szCs w:val="18"/>
              </w:rPr>
              <w:t>CAPSS-104, CAPSS-112, CAPSS-113, TRP-CAN-1, CAPSS-237, CAPSS-114</w:t>
            </w:r>
            <w:r w:rsidR="003C1BF5" w:rsidRPr="00D123EE">
              <w:rPr>
                <w:rFonts w:cs="Arial"/>
                <w:bCs/>
                <w:color w:val="000000"/>
                <w:szCs w:val="18"/>
              </w:rPr>
              <w:t>.</w:t>
            </w:r>
          </w:p>
          <w:p w:rsidR="006A25AA" w:rsidRPr="00D123EE" w:rsidRDefault="006A25AA" w:rsidP="0027184A">
            <w:pPr>
              <w:pStyle w:val="Tabletext"/>
              <w:keepNext/>
              <w:numPr>
                <w:ilvl w:val="0"/>
                <w:numId w:val="10"/>
              </w:numPr>
              <w:ind w:left="414"/>
              <w:rPr>
                <w:rFonts w:cs="Arial"/>
                <w:bCs/>
                <w:color w:val="000000"/>
                <w:szCs w:val="18"/>
              </w:rPr>
            </w:pPr>
            <w:r w:rsidRPr="00D123EE">
              <w:rPr>
                <w:rFonts w:cs="Arial"/>
                <w:bCs/>
                <w:color w:val="000000"/>
                <w:szCs w:val="18"/>
              </w:rPr>
              <w:t xml:space="preserve">Pain relief using a 6-point Likert scale; </w:t>
            </w:r>
            <w:r w:rsidR="00CB0718" w:rsidRPr="00D123EE">
              <w:rPr>
                <w:rFonts w:cs="Arial"/>
                <w:bCs/>
                <w:color w:val="000000"/>
                <w:szCs w:val="18"/>
              </w:rPr>
              <w:t>CAPSS-104, CAPSS-112, CAPSS-113, TRP-CAN-1, CAPSS-114</w:t>
            </w:r>
            <w:r w:rsidR="003C1BF5" w:rsidRPr="00D123EE">
              <w:rPr>
                <w:rFonts w:cs="Arial"/>
                <w:bCs/>
                <w:color w:val="000000"/>
                <w:szCs w:val="18"/>
              </w:rPr>
              <w:t>.</w:t>
            </w:r>
          </w:p>
          <w:p w:rsidR="006A25AA" w:rsidRPr="00D123EE" w:rsidRDefault="006A25AA" w:rsidP="0027184A">
            <w:pPr>
              <w:pStyle w:val="Tabletext"/>
              <w:keepNext/>
              <w:numPr>
                <w:ilvl w:val="0"/>
                <w:numId w:val="10"/>
              </w:numPr>
              <w:ind w:left="414"/>
              <w:rPr>
                <w:rFonts w:cs="Arial"/>
                <w:bCs/>
                <w:color w:val="000000"/>
                <w:szCs w:val="18"/>
              </w:rPr>
            </w:pPr>
            <w:r w:rsidRPr="00D123EE">
              <w:rPr>
                <w:rFonts w:cs="Arial"/>
                <w:bCs/>
                <w:color w:val="000000"/>
                <w:szCs w:val="18"/>
              </w:rPr>
              <w:t>SF-36;</w:t>
            </w:r>
            <w:r w:rsidR="003E0F92" w:rsidRPr="00D123EE">
              <w:rPr>
                <w:rFonts w:cs="Arial"/>
                <w:bCs/>
                <w:color w:val="000000"/>
                <w:szCs w:val="18"/>
              </w:rPr>
              <w:t xml:space="preserve"> CAPSS-104, CAPSS-112, CAPSS-113, TRP-CAN-1, CAPSS-237, CAPSS-114, Chang 2013.</w:t>
            </w:r>
          </w:p>
          <w:p w:rsidR="006A25AA" w:rsidRPr="00D123EE" w:rsidRDefault="006A25AA" w:rsidP="0027184A">
            <w:pPr>
              <w:pStyle w:val="Tabletext"/>
              <w:keepNext/>
              <w:numPr>
                <w:ilvl w:val="0"/>
                <w:numId w:val="10"/>
              </w:numPr>
              <w:ind w:left="414"/>
              <w:rPr>
                <w:rFonts w:cs="Arial"/>
                <w:bCs/>
                <w:color w:val="000000"/>
                <w:szCs w:val="18"/>
              </w:rPr>
            </w:pPr>
            <w:r w:rsidRPr="00D123EE">
              <w:rPr>
                <w:rFonts w:cs="Arial"/>
                <w:bCs/>
                <w:color w:val="000000"/>
                <w:szCs w:val="18"/>
              </w:rPr>
              <w:t xml:space="preserve">WOMAC; </w:t>
            </w:r>
            <w:r w:rsidR="00CB0718" w:rsidRPr="00D123EE">
              <w:rPr>
                <w:rFonts w:cs="Arial"/>
                <w:bCs/>
                <w:color w:val="000000"/>
                <w:szCs w:val="18"/>
              </w:rPr>
              <w:t>CAPSS-104 and CAPSS-114</w:t>
            </w:r>
            <w:r w:rsidR="003C1BF5" w:rsidRPr="00D123EE">
              <w:rPr>
                <w:rFonts w:cs="Arial"/>
                <w:bCs/>
                <w:color w:val="000000"/>
                <w:szCs w:val="18"/>
              </w:rPr>
              <w:t>.</w:t>
            </w:r>
          </w:p>
          <w:p w:rsidR="006A25AA" w:rsidRPr="00D123EE" w:rsidRDefault="006A25AA" w:rsidP="0027184A">
            <w:pPr>
              <w:pStyle w:val="Tabletext"/>
              <w:keepNext/>
              <w:numPr>
                <w:ilvl w:val="0"/>
                <w:numId w:val="10"/>
              </w:numPr>
              <w:ind w:left="414"/>
              <w:rPr>
                <w:rFonts w:cs="Arial"/>
                <w:bCs/>
                <w:color w:val="000000"/>
                <w:szCs w:val="18"/>
              </w:rPr>
            </w:pPr>
            <w:r w:rsidRPr="00D123EE">
              <w:rPr>
                <w:rFonts w:cs="Arial"/>
                <w:bCs/>
                <w:color w:val="000000"/>
                <w:szCs w:val="18"/>
              </w:rPr>
              <w:t xml:space="preserve">Safety and AEs; </w:t>
            </w:r>
            <w:r w:rsidR="003E0F92" w:rsidRPr="00D123EE">
              <w:rPr>
                <w:rFonts w:cs="Arial"/>
                <w:bCs/>
                <w:color w:val="000000"/>
                <w:szCs w:val="18"/>
              </w:rPr>
              <w:t xml:space="preserve">CAPSS-104, CAPSS-112, CAPSS-113, TRP-CAN-1, CAPSS-237, CAPSS-114, Chang 2013. </w:t>
            </w:r>
          </w:p>
          <w:p w:rsidR="0036447B" w:rsidRPr="00D123EE" w:rsidRDefault="006A25AA" w:rsidP="0027184A">
            <w:pPr>
              <w:pStyle w:val="Tabletext"/>
              <w:keepNext/>
              <w:numPr>
                <w:ilvl w:val="0"/>
                <w:numId w:val="10"/>
              </w:numPr>
              <w:ind w:left="414"/>
              <w:rPr>
                <w:rFonts w:cs="Arial"/>
                <w:bCs/>
                <w:color w:val="000000"/>
                <w:szCs w:val="18"/>
              </w:rPr>
            </w:pPr>
            <w:r w:rsidRPr="00D123EE">
              <w:rPr>
                <w:rFonts w:cs="Arial"/>
                <w:bCs/>
                <w:color w:val="000000"/>
                <w:szCs w:val="18"/>
              </w:rPr>
              <w:t>Discontinuation (all, due to AE, due to lack of efficacy)</w:t>
            </w:r>
            <w:r w:rsidR="003E0F92" w:rsidRPr="00D123EE">
              <w:rPr>
                <w:rFonts w:cs="Arial"/>
                <w:bCs/>
                <w:color w:val="000000"/>
                <w:szCs w:val="18"/>
              </w:rPr>
              <w:t>; CAPSS-104, CAPSS-112, CAPSS-113, TRP-CAN-1, CAPSS-237, CAPSS-114, Chang 2013.</w:t>
            </w:r>
          </w:p>
        </w:tc>
      </w:tr>
      <w:tr w:rsidR="00402EB9" w:rsidRPr="00D123EE" w:rsidTr="000F7055">
        <w:tc>
          <w:tcPr>
            <w:tcW w:w="5000" w:type="pct"/>
            <w:gridSpan w:val="6"/>
            <w:shd w:val="clear" w:color="auto" w:fill="auto"/>
            <w:vAlign w:val="center"/>
          </w:tcPr>
          <w:p w:rsidR="00402EB9" w:rsidRPr="00D123EE" w:rsidRDefault="00402EB9" w:rsidP="0027184A">
            <w:pPr>
              <w:pStyle w:val="Tabletext"/>
              <w:keepNext/>
              <w:rPr>
                <w:lang w:val="en-US"/>
              </w:rPr>
            </w:pPr>
            <w:r w:rsidRPr="00D123EE">
              <w:rPr>
                <w:b/>
              </w:rPr>
              <w:lastRenderedPageBreak/>
              <w:t>Tramadol 50 mg IR vs placebo</w:t>
            </w:r>
          </w:p>
        </w:tc>
      </w:tr>
      <w:tr w:rsidR="005621E0" w:rsidRPr="00D123EE" w:rsidTr="000F7055">
        <w:tc>
          <w:tcPr>
            <w:tcW w:w="705" w:type="pct"/>
            <w:shd w:val="clear" w:color="auto" w:fill="auto"/>
            <w:vAlign w:val="center"/>
          </w:tcPr>
          <w:p w:rsidR="005621E0" w:rsidRPr="00D123EE" w:rsidRDefault="005621E0" w:rsidP="0027184A">
            <w:pPr>
              <w:pStyle w:val="Tabletext"/>
              <w:keepNext/>
              <w:rPr>
                <w:lang w:val="en-US"/>
              </w:rPr>
            </w:pPr>
            <w:r w:rsidRPr="00D123EE">
              <w:t>CAPSS-051</w:t>
            </w:r>
          </w:p>
        </w:tc>
        <w:tc>
          <w:tcPr>
            <w:tcW w:w="393" w:type="pct"/>
            <w:shd w:val="clear" w:color="auto" w:fill="auto"/>
            <w:vAlign w:val="center"/>
          </w:tcPr>
          <w:p w:rsidR="005621E0" w:rsidRPr="00D123EE" w:rsidRDefault="005621E0" w:rsidP="0027184A">
            <w:pPr>
              <w:pStyle w:val="Tabletext"/>
              <w:keepNext/>
              <w:jc w:val="center"/>
              <w:rPr>
                <w:lang w:val="en-US"/>
              </w:rPr>
            </w:pPr>
            <w:r w:rsidRPr="00D123EE">
              <w:rPr>
                <w:lang w:val="en-US"/>
              </w:rPr>
              <w:t>129</w:t>
            </w:r>
          </w:p>
        </w:tc>
        <w:tc>
          <w:tcPr>
            <w:tcW w:w="786" w:type="pct"/>
            <w:shd w:val="clear" w:color="auto" w:fill="auto"/>
            <w:vAlign w:val="center"/>
          </w:tcPr>
          <w:p w:rsidR="005621E0" w:rsidRPr="00D123EE" w:rsidRDefault="005621E0" w:rsidP="0027184A">
            <w:pPr>
              <w:pStyle w:val="Tabletext"/>
              <w:keepNext/>
              <w:jc w:val="center"/>
              <w:rPr>
                <w:lang w:val="en-US"/>
              </w:rPr>
            </w:pPr>
            <w:r w:rsidRPr="00D123EE">
              <w:rPr>
                <w:lang w:val="en-US"/>
              </w:rPr>
              <w:t xml:space="preserve">R, DB, MC, PC, PG, </w:t>
            </w:r>
            <w:r w:rsidRPr="00D123EE">
              <w:rPr>
                <w:lang w:val="en-US"/>
              </w:rPr>
              <w:br/>
            </w:r>
            <w:r w:rsidRPr="00D123EE">
              <w:t>91 days</w:t>
            </w:r>
          </w:p>
        </w:tc>
        <w:tc>
          <w:tcPr>
            <w:tcW w:w="707" w:type="pct"/>
            <w:shd w:val="clear" w:color="auto" w:fill="auto"/>
            <w:vAlign w:val="center"/>
          </w:tcPr>
          <w:p w:rsidR="005621E0" w:rsidRPr="00D123EE" w:rsidRDefault="005621E0" w:rsidP="0027184A">
            <w:pPr>
              <w:pStyle w:val="Tabletext"/>
              <w:keepNext/>
              <w:jc w:val="center"/>
              <w:rPr>
                <w:lang w:val="en-US"/>
              </w:rPr>
            </w:pPr>
            <w:r w:rsidRPr="00D123EE">
              <w:t>Unclear to high</w:t>
            </w:r>
          </w:p>
        </w:tc>
        <w:tc>
          <w:tcPr>
            <w:tcW w:w="865" w:type="pct"/>
            <w:shd w:val="clear" w:color="auto" w:fill="auto"/>
            <w:vAlign w:val="center"/>
          </w:tcPr>
          <w:p w:rsidR="005621E0" w:rsidRPr="00D123EE" w:rsidRDefault="005621E0" w:rsidP="0027184A">
            <w:pPr>
              <w:pStyle w:val="Tabletext"/>
              <w:keepNext/>
              <w:jc w:val="center"/>
              <w:rPr>
                <w:lang w:val="en-US"/>
              </w:rPr>
            </w:pPr>
            <w:r w:rsidRPr="00D123EE">
              <w:t xml:space="preserve">Symptomatic osteoarthritis of knee ≥ 1 year, at least moderate pain. </w:t>
            </w:r>
          </w:p>
        </w:tc>
        <w:tc>
          <w:tcPr>
            <w:tcW w:w="1544" w:type="pct"/>
            <w:shd w:val="clear" w:color="auto" w:fill="auto"/>
            <w:vAlign w:val="center"/>
          </w:tcPr>
          <w:p w:rsidR="005621E0" w:rsidRPr="00D123EE" w:rsidRDefault="002A095B" w:rsidP="0027184A">
            <w:pPr>
              <w:pStyle w:val="Tabletext"/>
              <w:keepNext/>
              <w:rPr>
                <w:lang w:val="en-US"/>
              </w:rPr>
            </w:pPr>
            <w:r w:rsidRPr="00D123EE">
              <w:rPr>
                <w:lang w:val="en-US"/>
              </w:rPr>
              <w:t xml:space="preserve">Patient overall assessment of study medication using a </w:t>
            </w:r>
            <w:r w:rsidRPr="00D123EE">
              <w:rPr>
                <w:rFonts w:eastAsia="Calibri"/>
              </w:rPr>
              <w:t>5-point rating scale;</w:t>
            </w:r>
            <w:r w:rsidR="00E14B41" w:rsidRPr="00D123EE">
              <w:rPr>
                <w:rFonts w:eastAsia="Calibri"/>
              </w:rPr>
              <w:t xml:space="preserve"> </w:t>
            </w:r>
            <w:r w:rsidR="00E14B41" w:rsidRPr="00D123EE">
              <w:t>Pain intensity 5-point Likert scale</w:t>
            </w:r>
            <w:r w:rsidR="007B4177" w:rsidRPr="00D123EE">
              <w:t xml:space="preserve">; </w:t>
            </w:r>
            <w:r w:rsidR="00426981" w:rsidRPr="00D123EE">
              <w:t>Pain relief using a 7-point Likert scale</w:t>
            </w:r>
            <w:r w:rsidR="00BB4057" w:rsidRPr="00D123EE">
              <w:t>; WOMAC;</w:t>
            </w:r>
            <w:r w:rsidR="006C2403" w:rsidRPr="00D123EE">
              <w:t xml:space="preserve"> safety</w:t>
            </w:r>
            <w:r w:rsidR="00DD5364" w:rsidRPr="00D123EE">
              <w:t>; discontinuation</w:t>
            </w:r>
          </w:p>
        </w:tc>
      </w:tr>
      <w:tr w:rsidR="005621E0" w:rsidRPr="00D123EE" w:rsidTr="000F7055">
        <w:tc>
          <w:tcPr>
            <w:tcW w:w="705" w:type="pct"/>
            <w:shd w:val="clear" w:color="auto" w:fill="auto"/>
            <w:vAlign w:val="center"/>
          </w:tcPr>
          <w:p w:rsidR="005621E0" w:rsidRPr="00D123EE" w:rsidRDefault="005621E0" w:rsidP="0027184A">
            <w:pPr>
              <w:pStyle w:val="Tabletext"/>
              <w:keepNext/>
              <w:rPr>
                <w:lang w:val="en-US"/>
              </w:rPr>
            </w:pPr>
            <w:r w:rsidRPr="00D123EE">
              <w:t>CA-R0027</w:t>
            </w:r>
          </w:p>
        </w:tc>
        <w:tc>
          <w:tcPr>
            <w:tcW w:w="393" w:type="pct"/>
            <w:tcBorders>
              <w:bottom w:val="single" w:sz="4" w:space="0" w:color="auto"/>
            </w:tcBorders>
            <w:shd w:val="clear" w:color="auto" w:fill="auto"/>
            <w:vAlign w:val="center"/>
          </w:tcPr>
          <w:p w:rsidR="005621E0" w:rsidRPr="00D123EE" w:rsidRDefault="005621E0" w:rsidP="0027184A">
            <w:pPr>
              <w:pStyle w:val="Tabletext"/>
              <w:keepNext/>
              <w:jc w:val="center"/>
              <w:rPr>
                <w:lang w:val="en-US"/>
              </w:rPr>
            </w:pPr>
            <w:r w:rsidRPr="00D123EE">
              <w:rPr>
                <w:lang w:val="en-US"/>
              </w:rPr>
              <w:t>131</w:t>
            </w:r>
          </w:p>
        </w:tc>
        <w:tc>
          <w:tcPr>
            <w:tcW w:w="786" w:type="pct"/>
            <w:shd w:val="clear" w:color="auto" w:fill="auto"/>
            <w:vAlign w:val="center"/>
          </w:tcPr>
          <w:p w:rsidR="005621E0" w:rsidRPr="00D123EE" w:rsidRDefault="005621E0" w:rsidP="0027184A">
            <w:pPr>
              <w:pStyle w:val="Tabletext"/>
              <w:keepNext/>
              <w:jc w:val="center"/>
              <w:rPr>
                <w:lang w:val="en-US"/>
              </w:rPr>
            </w:pPr>
            <w:r w:rsidRPr="00D123EE">
              <w:rPr>
                <w:lang w:val="en-US"/>
              </w:rPr>
              <w:t xml:space="preserve">R, DB, MC, PC, PG, </w:t>
            </w:r>
            <w:r w:rsidRPr="00D123EE">
              <w:rPr>
                <w:lang w:val="en-US"/>
              </w:rPr>
              <w:br/>
            </w:r>
            <w:r w:rsidRPr="00D123EE">
              <w:t>42 days</w:t>
            </w:r>
          </w:p>
        </w:tc>
        <w:tc>
          <w:tcPr>
            <w:tcW w:w="707" w:type="pct"/>
            <w:shd w:val="clear" w:color="auto" w:fill="auto"/>
            <w:vAlign w:val="center"/>
          </w:tcPr>
          <w:p w:rsidR="005621E0" w:rsidRPr="00D123EE" w:rsidRDefault="005621E0" w:rsidP="0027184A">
            <w:pPr>
              <w:pStyle w:val="Tabletext"/>
              <w:keepNext/>
              <w:jc w:val="center"/>
              <w:rPr>
                <w:lang w:val="en-US"/>
              </w:rPr>
            </w:pPr>
            <w:r w:rsidRPr="00D123EE">
              <w:t>Unclear to high</w:t>
            </w:r>
          </w:p>
        </w:tc>
        <w:tc>
          <w:tcPr>
            <w:tcW w:w="865" w:type="pct"/>
            <w:shd w:val="clear" w:color="auto" w:fill="auto"/>
            <w:vAlign w:val="center"/>
          </w:tcPr>
          <w:p w:rsidR="005621E0" w:rsidRPr="00D123EE" w:rsidRDefault="005621E0" w:rsidP="0027184A">
            <w:pPr>
              <w:pStyle w:val="Tabletext"/>
              <w:keepNext/>
              <w:jc w:val="center"/>
              <w:rPr>
                <w:lang w:val="en-US"/>
              </w:rPr>
            </w:pPr>
            <w:r w:rsidRPr="00D123EE">
              <w:t xml:space="preserve">Distal symmetric diabetic neuropath; Daily pain in lower extremities for ≥3 </w:t>
            </w:r>
            <w:proofErr w:type="spellStart"/>
            <w:r w:rsidRPr="00D123EE">
              <w:t>mth</w:t>
            </w:r>
            <w:proofErr w:type="spellEnd"/>
          </w:p>
        </w:tc>
        <w:tc>
          <w:tcPr>
            <w:tcW w:w="1544" w:type="pct"/>
            <w:shd w:val="clear" w:color="auto" w:fill="auto"/>
            <w:vAlign w:val="center"/>
          </w:tcPr>
          <w:p w:rsidR="005621E0" w:rsidRPr="00D123EE" w:rsidRDefault="00E14B41" w:rsidP="0027184A">
            <w:pPr>
              <w:pStyle w:val="Tabletext"/>
              <w:keepNext/>
              <w:rPr>
                <w:lang w:val="en-US"/>
              </w:rPr>
            </w:pPr>
            <w:r w:rsidRPr="00D123EE">
              <w:t>Pain intensity 5-point Likert scale</w:t>
            </w:r>
            <w:r w:rsidR="007B4177" w:rsidRPr="00D123EE">
              <w:t>;</w:t>
            </w:r>
            <w:r w:rsidR="00426981" w:rsidRPr="00D123EE">
              <w:t xml:space="preserve"> Pain relief using a 6-point Likert scale</w:t>
            </w:r>
            <w:r w:rsidR="00DD5364" w:rsidRPr="00D123EE">
              <w:t>; safety; discontinuation</w:t>
            </w:r>
          </w:p>
        </w:tc>
      </w:tr>
      <w:tr w:rsidR="005621E0" w:rsidRPr="00D123EE" w:rsidTr="000F7055">
        <w:tc>
          <w:tcPr>
            <w:tcW w:w="705" w:type="pct"/>
            <w:tcBorders>
              <w:right w:val="nil"/>
            </w:tcBorders>
            <w:shd w:val="clear" w:color="auto" w:fill="auto"/>
            <w:vAlign w:val="center"/>
          </w:tcPr>
          <w:p w:rsidR="005621E0" w:rsidRPr="00D123EE" w:rsidRDefault="005621E0" w:rsidP="0027184A">
            <w:pPr>
              <w:pStyle w:val="Tabletext"/>
              <w:keepNext/>
            </w:pPr>
            <w:r w:rsidRPr="00D123EE">
              <w:rPr>
                <w:lang w:val="en-US"/>
              </w:rPr>
              <w:t>Meta-analysis</w:t>
            </w:r>
          </w:p>
        </w:tc>
        <w:tc>
          <w:tcPr>
            <w:tcW w:w="393" w:type="pct"/>
            <w:tcBorders>
              <w:left w:val="nil"/>
            </w:tcBorders>
            <w:shd w:val="clear" w:color="auto" w:fill="auto"/>
            <w:vAlign w:val="center"/>
          </w:tcPr>
          <w:p w:rsidR="005621E0" w:rsidRPr="00D123EE" w:rsidRDefault="005621E0" w:rsidP="0027184A">
            <w:pPr>
              <w:pStyle w:val="Tabletext"/>
              <w:keepNext/>
              <w:jc w:val="center"/>
              <w:rPr>
                <w:lang w:val="en-US"/>
              </w:rPr>
            </w:pPr>
          </w:p>
        </w:tc>
        <w:tc>
          <w:tcPr>
            <w:tcW w:w="3902" w:type="pct"/>
            <w:gridSpan w:val="4"/>
            <w:shd w:val="clear" w:color="auto" w:fill="auto"/>
            <w:vAlign w:val="center"/>
          </w:tcPr>
          <w:p w:rsidR="00C61C50" w:rsidRPr="00D123EE" w:rsidRDefault="00C61C50" w:rsidP="0027184A">
            <w:pPr>
              <w:pStyle w:val="Tabletext"/>
              <w:keepNext/>
              <w:numPr>
                <w:ilvl w:val="0"/>
                <w:numId w:val="10"/>
              </w:numPr>
              <w:ind w:left="414"/>
              <w:rPr>
                <w:lang w:val="en-US"/>
              </w:rPr>
            </w:pPr>
            <w:r w:rsidRPr="00D123EE">
              <w:rPr>
                <w:rFonts w:cs="Arial"/>
                <w:bCs/>
                <w:color w:val="000000"/>
                <w:szCs w:val="18"/>
              </w:rPr>
              <w:t xml:space="preserve">Pain intensity using a </w:t>
            </w:r>
            <w:r w:rsidRPr="00D123EE">
              <w:t>5-point Likert</w:t>
            </w:r>
            <w:r w:rsidRPr="00D123EE">
              <w:rPr>
                <w:rFonts w:cs="Arial"/>
                <w:bCs/>
                <w:color w:val="000000"/>
                <w:szCs w:val="18"/>
              </w:rPr>
              <w:t xml:space="preserve">; </w:t>
            </w:r>
            <w:r w:rsidRPr="00D123EE">
              <w:t>CAPSS-051 and CA-R0027</w:t>
            </w:r>
          </w:p>
          <w:p w:rsidR="00C61C50" w:rsidRPr="00D123EE" w:rsidRDefault="00C61C50" w:rsidP="0027184A">
            <w:pPr>
              <w:pStyle w:val="Tabletext"/>
              <w:keepNext/>
              <w:numPr>
                <w:ilvl w:val="0"/>
                <w:numId w:val="10"/>
              </w:numPr>
              <w:ind w:left="414"/>
              <w:rPr>
                <w:rFonts w:cs="Arial"/>
                <w:bCs/>
                <w:color w:val="000000"/>
                <w:szCs w:val="18"/>
              </w:rPr>
            </w:pPr>
            <w:r w:rsidRPr="00D123EE">
              <w:rPr>
                <w:rFonts w:cs="Arial"/>
                <w:bCs/>
                <w:color w:val="000000"/>
                <w:szCs w:val="18"/>
              </w:rPr>
              <w:t xml:space="preserve">SF-36; </w:t>
            </w:r>
            <w:r w:rsidRPr="00D123EE">
              <w:t>CAPSS-051 and CA-R0027</w:t>
            </w:r>
          </w:p>
          <w:p w:rsidR="00C61C50" w:rsidRPr="00D123EE" w:rsidRDefault="00C61C50" w:rsidP="0027184A">
            <w:pPr>
              <w:pStyle w:val="Tabletext"/>
              <w:keepNext/>
              <w:numPr>
                <w:ilvl w:val="0"/>
                <w:numId w:val="10"/>
              </w:numPr>
              <w:ind w:left="414"/>
              <w:rPr>
                <w:rFonts w:cs="Arial"/>
                <w:bCs/>
                <w:color w:val="000000"/>
                <w:szCs w:val="18"/>
              </w:rPr>
            </w:pPr>
            <w:r w:rsidRPr="00D123EE">
              <w:rPr>
                <w:rFonts w:cs="Arial"/>
                <w:bCs/>
                <w:color w:val="000000"/>
                <w:szCs w:val="18"/>
              </w:rPr>
              <w:t xml:space="preserve">Safety and AEs; </w:t>
            </w:r>
            <w:r w:rsidRPr="00D123EE">
              <w:t>CAPSS-051 and CA-R0027</w:t>
            </w:r>
          </w:p>
          <w:p w:rsidR="005621E0" w:rsidRPr="00D123EE" w:rsidRDefault="00C61C50" w:rsidP="0027184A">
            <w:pPr>
              <w:pStyle w:val="Tabletext"/>
              <w:keepNext/>
              <w:numPr>
                <w:ilvl w:val="0"/>
                <w:numId w:val="10"/>
              </w:numPr>
              <w:ind w:left="414"/>
              <w:rPr>
                <w:rFonts w:cs="Arial"/>
                <w:bCs/>
                <w:color w:val="000000"/>
                <w:szCs w:val="18"/>
              </w:rPr>
            </w:pPr>
            <w:r w:rsidRPr="00D123EE">
              <w:rPr>
                <w:rFonts w:cs="Arial"/>
                <w:bCs/>
                <w:color w:val="000000"/>
                <w:szCs w:val="18"/>
              </w:rPr>
              <w:t xml:space="preserve">Discontinuation (all, due to AE, due to lack of efficacy); </w:t>
            </w:r>
            <w:r w:rsidRPr="00D123EE">
              <w:t>CAPSS-051 and CA-R0027</w:t>
            </w:r>
          </w:p>
        </w:tc>
      </w:tr>
    </w:tbl>
    <w:p w:rsidR="00AD7BC0" w:rsidRPr="00D123EE" w:rsidRDefault="00AD7BC0" w:rsidP="0027184A">
      <w:pPr>
        <w:pStyle w:val="TableFooter"/>
        <w:keepNext/>
        <w:widowControl/>
      </w:pPr>
      <w:r w:rsidRPr="00D123EE">
        <w:t xml:space="preserve">Abbreviations: DB= double blind; CVD= cardiovascular disease; MC=multi-centre; </w:t>
      </w:r>
      <w:proofErr w:type="spellStart"/>
      <w:r w:rsidRPr="00D123EE">
        <w:t>mth</w:t>
      </w:r>
      <w:proofErr w:type="spellEnd"/>
      <w:r w:rsidRPr="00D123EE">
        <w:t xml:space="preserve">= month; n = number of participants with event; N = total participants in group; NSAID= nonsteroidal anti-inflammatory drug; R= randomised; PG= parallel group; PVA= visual analogue pain scale; T37.5+P325, </w:t>
      </w:r>
      <w:r w:rsidR="009E34E9" w:rsidRPr="00D123EE">
        <w:t>the FDC of tramadol 37.5 mg/paracetamol 325 mg</w:t>
      </w:r>
      <w:r w:rsidRPr="00D123EE">
        <w:t xml:space="preserve">; T50, tramadol 50 mg; </w:t>
      </w:r>
      <w:proofErr w:type="spellStart"/>
      <w:r w:rsidRPr="00D123EE">
        <w:t>pbo</w:t>
      </w:r>
      <w:proofErr w:type="spellEnd"/>
      <w:r w:rsidRPr="00D123EE">
        <w:t>, placebo;</w:t>
      </w:r>
    </w:p>
    <w:p w:rsidR="00AD7BC0" w:rsidRPr="00D123EE" w:rsidRDefault="00AD7BC0" w:rsidP="0027184A">
      <w:pPr>
        <w:pStyle w:val="TableFooter"/>
        <w:keepNext/>
        <w:widowControl/>
      </w:pPr>
      <w:r w:rsidRPr="00D123EE">
        <w:t>Source: Table 2-10 p63, Table 2-16 p71, Table 2-23 p96, and Table 2-29 pp108-11</w:t>
      </w:r>
      <w:r w:rsidR="00154866" w:rsidRPr="00D123EE">
        <w:t>2</w:t>
      </w:r>
      <w:r w:rsidR="00F06A08" w:rsidRPr="00D123EE">
        <w:t>,</w:t>
      </w:r>
      <w:r w:rsidR="00B16000" w:rsidRPr="00D123EE">
        <w:t xml:space="preserve"> </w:t>
      </w:r>
      <w:r w:rsidRPr="00D123EE">
        <w:t xml:space="preserve">Table 2-14 p68, Table 2-18 p76, Table 2-19 pp77-88, text p99, Table 2-37 pp135-138 of the submission. </w:t>
      </w:r>
    </w:p>
    <w:p w:rsidR="007F1017" w:rsidRPr="00D123EE" w:rsidRDefault="007F1017" w:rsidP="007F1017"/>
    <w:p w:rsidR="00FC6861" w:rsidRPr="00D123EE" w:rsidRDefault="00B73A17" w:rsidP="00E22F6D">
      <w:pPr>
        <w:pStyle w:val="ListParagraph"/>
        <w:widowControl/>
        <w:numPr>
          <w:ilvl w:val="1"/>
          <w:numId w:val="1"/>
        </w:numPr>
        <w:spacing w:after="120"/>
      </w:pPr>
      <w:r w:rsidRPr="00D123EE">
        <w:t xml:space="preserve">The trials in acute pain </w:t>
      </w:r>
      <w:r w:rsidR="009A41CB" w:rsidRPr="00D123EE">
        <w:t xml:space="preserve">(ZAL-06, CAPSS-241, </w:t>
      </w:r>
      <w:proofErr w:type="gramStart"/>
      <w:r w:rsidR="009A41CB" w:rsidRPr="00D123EE">
        <w:t>GRTF</w:t>
      </w:r>
      <w:proofErr w:type="gramEnd"/>
      <w:r w:rsidR="009A41CB" w:rsidRPr="00D123EE">
        <w:t xml:space="preserve">-ZAL 1) </w:t>
      </w:r>
      <w:r w:rsidRPr="00D123EE">
        <w:t>were subject to detection/other bias</w:t>
      </w:r>
      <w:r w:rsidR="00D92C20" w:rsidRPr="00D123EE">
        <w:t xml:space="preserve"> due to </w:t>
      </w:r>
      <w:r w:rsidR="0068170F" w:rsidRPr="00D123EE">
        <w:t xml:space="preserve">the </w:t>
      </w:r>
      <w:r w:rsidR="00D92C20" w:rsidRPr="00D123EE">
        <w:t>method of pain management and permitted concomitant medications during the trial</w:t>
      </w:r>
      <w:r w:rsidR="0068170F" w:rsidRPr="00D123EE">
        <w:t>s</w:t>
      </w:r>
      <w:r w:rsidRPr="00D123EE">
        <w:t>. The</w:t>
      </w:r>
      <w:r w:rsidR="00AE4FA5" w:rsidRPr="00D123EE">
        <w:t>re was considerable</w:t>
      </w:r>
      <w:r w:rsidRPr="00D123EE">
        <w:t xml:space="preserve"> heterogeneity </w:t>
      </w:r>
      <w:r w:rsidR="00831F83" w:rsidRPr="00D123EE">
        <w:t>o</w:t>
      </w:r>
      <w:r w:rsidRPr="00D123EE">
        <w:t xml:space="preserve">f the trials in </w:t>
      </w:r>
      <w:r w:rsidR="0068170F" w:rsidRPr="00D123EE">
        <w:t xml:space="preserve">terms of </w:t>
      </w:r>
      <w:r w:rsidRPr="00D123EE">
        <w:t>the</w:t>
      </w:r>
      <w:r w:rsidR="0068170F" w:rsidRPr="00D123EE">
        <w:t>ir</w:t>
      </w:r>
      <w:r w:rsidRPr="00D123EE">
        <w:t xml:space="preserve"> presenting condition</w:t>
      </w:r>
      <w:r w:rsidR="0068170F" w:rsidRPr="00D123EE">
        <w:t>s</w:t>
      </w:r>
      <w:r w:rsidRPr="00D123EE">
        <w:t xml:space="preserve">, dosing schedules, duration, and use </w:t>
      </w:r>
      <w:r w:rsidR="0068170F" w:rsidRPr="00D123EE">
        <w:t xml:space="preserve">of tramadol </w:t>
      </w:r>
      <w:r w:rsidRPr="00D123EE">
        <w:t>in titration</w:t>
      </w:r>
      <w:r w:rsidR="00AF585E" w:rsidRPr="00D123EE">
        <w:t>.</w:t>
      </w:r>
      <w:r w:rsidRPr="00D123EE">
        <w:t xml:space="preserve"> For instance, patients in ZAL-06 were administered many other concomitant medications during the 2 days patients were observed, which may have influenced the participants’ perceptions of the efficacy of the study medication administered. CAPSS-241 was a single centre study, only 6-hours in duration, and patients were only administered two tablets. This trial was subject to a high degree of bias. </w:t>
      </w:r>
    </w:p>
    <w:p w:rsidR="00044C61" w:rsidRPr="00D123EE" w:rsidRDefault="00A40B58" w:rsidP="00E22F6D">
      <w:pPr>
        <w:pStyle w:val="ListParagraph"/>
        <w:widowControl/>
        <w:numPr>
          <w:ilvl w:val="1"/>
          <w:numId w:val="1"/>
        </w:numPr>
        <w:spacing w:after="120"/>
      </w:pPr>
      <w:r w:rsidRPr="00D123EE">
        <w:t xml:space="preserve">The differences pertaining to study design characteristics and placebo response rates </w:t>
      </w:r>
      <w:r w:rsidR="00952341" w:rsidRPr="00D123EE">
        <w:t xml:space="preserve">in the trials of chronic pain (CAPSS-104, CAPSS-112, CAPSS-113, TRP-CAN-1, CAPSS-237, CAPSS-114, Chang 2013, CAPSS-051, </w:t>
      </w:r>
      <w:proofErr w:type="gramStart"/>
      <w:r w:rsidR="00952341" w:rsidRPr="00D123EE">
        <w:t>CA</w:t>
      </w:r>
      <w:proofErr w:type="gramEnd"/>
      <w:r w:rsidR="00952341" w:rsidRPr="00D123EE">
        <w:t xml:space="preserve">-R0027) </w:t>
      </w:r>
      <w:r w:rsidRPr="00D123EE">
        <w:t xml:space="preserve">are likely to have impacted </w:t>
      </w:r>
      <w:r w:rsidR="009957A1" w:rsidRPr="00D123EE">
        <w:t xml:space="preserve">on </w:t>
      </w:r>
      <w:r w:rsidRPr="00D123EE">
        <w:t>the transitivity of the trials</w:t>
      </w:r>
      <w:r w:rsidR="00455B9D" w:rsidRPr="00D123EE">
        <w:t xml:space="preserve"> in the indirect comparison</w:t>
      </w:r>
      <w:r w:rsidRPr="00D123EE">
        <w:t xml:space="preserve">. </w:t>
      </w:r>
      <w:r w:rsidR="00A57334" w:rsidRPr="00D123EE">
        <w:t xml:space="preserve">The trials in chronic pain were subject to attrition bias, as the proportion of patients discontinuing the trials was </w:t>
      </w:r>
      <w:r w:rsidR="00A57334" w:rsidRPr="00D123EE">
        <w:lastRenderedPageBreak/>
        <w:t xml:space="preserve">high, and ranged from 25% to 74% in the placebo arms. </w:t>
      </w:r>
      <w:r w:rsidR="00BE30AF" w:rsidRPr="00D123EE">
        <w:t xml:space="preserve">The </w:t>
      </w:r>
      <w:r w:rsidR="00F770EC" w:rsidRPr="00D123EE">
        <w:t xml:space="preserve">differences </w:t>
      </w:r>
      <w:r w:rsidR="00BE30AF" w:rsidRPr="00D123EE">
        <w:t xml:space="preserve">between trials </w:t>
      </w:r>
      <w:r w:rsidR="00F770EC" w:rsidRPr="00D123EE">
        <w:t>pertaining to</w:t>
      </w:r>
      <w:r w:rsidR="00697DE2" w:rsidRPr="00D123EE">
        <w:t xml:space="preserve"> the </w:t>
      </w:r>
      <w:r w:rsidR="00697DE2" w:rsidRPr="00D123EE">
        <w:rPr>
          <w:color w:val="000000" w:themeColor="text1"/>
        </w:rPr>
        <w:t>d</w:t>
      </w:r>
      <w:r w:rsidRPr="00D123EE">
        <w:rPr>
          <w:color w:val="000000" w:themeColor="text1"/>
        </w:rPr>
        <w:t>os</w:t>
      </w:r>
      <w:r w:rsidR="006A0F15" w:rsidRPr="00D123EE">
        <w:rPr>
          <w:color w:val="000000" w:themeColor="text1"/>
        </w:rPr>
        <w:t>ing schedules</w:t>
      </w:r>
      <w:r w:rsidR="008D733C" w:rsidRPr="00D123EE">
        <w:rPr>
          <w:color w:val="000000" w:themeColor="text1"/>
        </w:rPr>
        <w:t xml:space="preserve">, </w:t>
      </w:r>
      <w:r w:rsidRPr="00D123EE">
        <w:t>given that patients are able to self-titrate to achieve an analgesic effect</w:t>
      </w:r>
      <w:r w:rsidR="008D733C" w:rsidRPr="00D123EE">
        <w:t>, and</w:t>
      </w:r>
      <w:r w:rsidR="00697DE2" w:rsidRPr="00D123EE">
        <w:t xml:space="preserve"> </w:t>
      </w:r>
      <w:r w:rsidR="008D733C" w:rsidRPr="00D123EE">
        <w:rPr>
          <w:color w:val="000000" w:themeColor="text1"/>
        </w:rPr>
        <w:t>d</w:t>
      </w:r>
      <w:r w:rsidRPr="00D123EE">
        <w:rPr>
          <w:color w:val="000000" w:themeColor="text1"/>
        </w:rPr>
        <w:t>ifferences in concomitant medications in potentially affecting the performance with respect to pain management</w:t>
      </w:r>
      <w:r w:rsidR="000A4201" w:rsidRPr="00D123EE">
        <w:rPr>
          <w:color w:val="000000" w:themeColor="text1"/>
        </w:rPr>
        <w:t xml:space="preserve"> are likely to have impacted on </w:t>
      </w:r>
      <w:r w:rsidR="00007E58" w:rsidRPr="00D123EE">
        <w:rPr>
          <w:color w:val="000000" w:themeColor="text1"/>
        </w:rPr>
        <w:t xml:space="preserve">their </w:t>
      </w:r>
      <w:r w:rsidR="000A4201" w:rsidRPr="00D123EE">
        <w:rPr>
          <w:color w:val="000000" w:themeColor="text1"/>
        </w:rPr>
        <w:t>transitivity</w:t>
      </w:r>
      <w:r w:rsidR="00BE437E" w:rsidRPr="00D123EE">
        <w:rPr>
          <w:color w:val="000000" w:themeColor="text1"/>
        </w:rPr>
        <w:t>.</w:t>
      </w:r>
      <w:r w:rsidR="00697DE2" w:rsidRPr="00D123EE">
        <w:rPr>
          <w:color w:val="000000" w:themeColor="text1"/>
        </w:rPr>
        <w:t xml:space="preserve"> </w:t>
      </w:r>
      <w:r w:rsidR="00007E58" w:rsidRPr="00D123EE">
        <w:rPr>
          <w:color w:val="000000" w:themeColor="text1"/>
        </w:rPr>
        <w:t>T</w:t>
      </w:r>
      <w:r w:rsidR="000A4201" w:rsidRPr="00D123EE">
        <w:t xml:space="preserve">he degree </w:t>
      </w:r>
      <w:r w:rsidR="00007E58" w:rsidRPr="00D123EE">
        <w:t xml:space="preserve">to </w:t>
      </w:r>
      <w:r w:rsidR="000A4201" w:rsidRPr="00D123EE">
        <w:t xml:space="preserve">which the results </w:t>
      </w:r>
      <w:r w:rsidR="00007E58" w:rsidRPr="00D123EE">
        <w:t xml:space="preserve">of the indirect comparison </w:t>
      </w:r>
      <w:r w:rsidR="000A4201" w:rsidRPr="00D123EE">
        <w:t xml:space="preserve">would have been affected is unclear. </w:t>
      </w:r>
    </w:p>
    <w:p w:rsidR="00B60939" w:rsidRPr="00D123EE" w:rsidRDefault="00B52A40" w:rsidP="005B2734">
      <w:pPr>
        <w:pStyle w:val="ListParagraph"/>
        <w:widowControl/>
        <w:numPr>
          <w:ilvl w:val="1"/>
          <w:numId w:val="1"/>
        </w:numPr>
        <w:spacing w:after="120"/>
      </w:pPr>
      <w:r w:rsidRPr="00D123EE">
        <w:t xml:space="preserve">The tramadol IR formulation was used in the FDC as part of ongoing medication </w:t>
      </w:r>
      <w:r w:rsidR="00D054B7" w:rsidRPr="00D123EE">
        <w:t>i</w:t>
      </w:r>
      <w:r w:rsidRPr="00D123EE">
        <w:t>n t</w:t>
      </w:r>
      <w:r w:rsidR="002234A3" w:rsidRPr="00D123EE">
        <w:t xml:space="preserve">he trials of chronic pain (CAPSS-112, CAPSS-113, TRP-CAN-1, CAPSS-237, CAPSS-114, </w:t>
      </w:r>
      <w:proofErr w:type="gramStart"/>
      <w:r w:rsidR="002234A3" w:rsidRPr="00D123EE">
        <w:t>Chang</w:t>
      </w:r>
      <w:proofErr w:type="gramEnd"/>
      <w:r w:rsidR="002234A3" w:rsidRPr="00D123EE">
        <w:t xml:space="preserve"> 2013)</w:t>
      </w:r>
      <w:r w:rsidRPr="00D123EE">
        <w:t>. However,</w:t>
      </w:r>
      <w:r w:rsidR="002234A3" w:rsidRPr="00D123EE">
        <w:t xml:space="preserve"> in Australia</w:t>
      </w:r>
      <w:r w:rsidRPr="00D123EE">
        <w:t>,</w:t>
      </w:r>
      <w:r w:rsidR="002234A3" w:rsidRPr="00D123EE">
        <w:t xml:space="preserve"> </w:t>
      </w:r>
      <w:r w:rsidR="00007E58" w:rsidRPr="00D123EE">
        <w:t>the tramadol SR formulation</w:t>
      </w:r>
      <w:r w:rsidR="00B96434" w:rsidRPr="00D123EE">
        <w:t>, which</w:t>
      </w:r>
      <w:r w:rsidR="00007E58" w:rsidRPr="00D123EE">
        <w:t xml:space="preserve"> </w:t>
      </w:r>
      <w:r w:rsidR="00B96434" w:rsidRPr="00D123EE">
        <w:t xml:space="preserve">lasts for </w:t>
      </w:r>
      <w:r w:rsidR="00370755" w:rsidRPr="00D123EE">
        <w:t xml:space="preserve">12 </w:t>
      </w:r>
      <w:r w:rsidR="00B96434" w:rsidRPr="00D123EE">
        <w:t xml:space="preserve">hours and is administered less frequently, </w:t>
      </w:r>
      <w:r w:rsidR="00007E58" w:rsidRPr="00D123EE">
        <w:t>is used in chronic pain</w:t>
      </w:r>
      <w:r w:rsidR="00B96434" w:rsidRPr="00D123EE">
        <w:t xml:space="preserve">. </w:t>
      </w:r>
      <w:r w:rsidR="000F41A5" w:rsidRPr="00D123EE">
        <w:t>It has a general indication for the treatment of pain.</w:t>
      </w:r>
      <w:r w:rsidR="002234A3" w:rsidRPr="00D123EE">
        <w:t xml:space="preserve"> </w:t>
      </w:r>
      <w:r w:rsidR="00044C61" w:rsidRPr="00D123EE">
        <w:t xml:space="preserve">The tramadol IR formulation </w:t>
      </w:r>
      <w:r w:rsidR="00D054B7" w:rsidRPr="00D123EE">
        <w:t xml:space="preserve">is </w:t>
      </w:r>
      <w:r w:rsidR="0061440B" w:rsidRPr="00D123EE">
        <w:t>listed on the PBS for use</w:t>
      </w:r>
      <w:r w:rsidR="00044C61" w:rsidRPr="00D123EE">
        <w:t xml:space="preserve"> in acute pain and for dose titration in chronic pain. </w:t>
      </w:r>
      <w:r w:rsidR="00B27E5E" w:rsidRPr="00D123EE">
        <w:t>Therefore</w:t>
      </w:r>
      <w:r w:rsidR="00632FBD" w:rsidRPr="00D123EE">
        <w:t>,</w:t>
      </w:r>
      <w:r w:rsidR="00B27E5E" w:rsidRPr="00D123EE">
        <w:t xml:space="preserve"> in chronic pain, t</w:t>
      </w:r>
      <w:r w:rsidR="00044C61" w:rsidRPr="00D123EE">
        <w:t xml:space="preserve">he proposed listing of the FDC is broader </w:t>
      </w:r>
      <w:r w:rsidR="009A41CB" w:rsidRPr="00D123EE">
        <w:t xml:space="preserve">and therefore inconsistent with </w:t>
      </w:r>
      <w:r w:rsidR="00044C61" w:rsidRPr="00D123EE">
        <w:t xml:space="preserve">that being currently applied to tramadol 50 mg IR, which is </w:t>
      </w:r>
      <w:r w:rsidR="009A41CB" w:rsidRPr="00D123EE">
        <w:t xml:space="preserve">PBS </w:t>
      </w:r>
      <w:r w:rsidR="00044C61" w:rsidRPr="00D123EE">
        <w:t xml:space="preserve">listed for titration in patients with chronic pain. </w:t>
      </w:r>
      <w:r w:rsidR="00A573B2" w:rsidRPr="00B84D95">
        <w:t>The PSCR limited the restriction to acute pain.</w:t>
      </w:r>
      <w:r w:rsidR="00A573B2">
        <w:t xml:space="preserve">  </w:t>
      </w:r>
    </w:p>
    <w:p w:rsidR="00A24CEA" w:rsidRPr="0032125F" w:rsidRDefault="00B60939" w:rsidP="00905D6A">
      <w:pPr>
        <w:pStyle w:val="KMC16-Heading2"/>
      </w:pPr>
      <w:bookmarkStart w:id="7" w:name="_Toc503971848"/>
      <w:r w:rsidRPr="0032125F">
        <w:t>Comparative effectiveness</w:t>
      </w:r>
      <w:bookmarkEnd w:id="7"/>
    </w:p>
    <w:p w:rsidR="006A3415" w:rsidRPr="00D123EE" w:rsidRDefault="00A90B58" w:rsidP="00E22F6D">
      <w:pPr>
        <w:pStyle w:val="ListParagraph"/>
        <w:widowControl/>
        <w:numPr>
          <w:ilvl w:val="1"/>
          <w:numId w:val="1"/>
        </w:numPr>
        <w:spacing w:after="120"/>
      </w:pPr>
      <w:r w:rsidRPr="00D123EE">
        <w:t xml:space="preserve">A summary of the effectiveness of </w:t>
      </w:r>
      <w:r w:rsidR="009E34E9" w:rsidRPr="00D123EE">
        <w:t>the FDC of tramadol 37.5 mg/paracetamol 325 mg</w:t>
      </w:r>
      <w:r w:rsidRPr="00D123EE">
        <w:t xml:space="preserve"> to tramadol 50 mg IR in patients with acute pain </w:t>
      </w:r>
      <w:r w:rsidR="00EF763C" w:rsidRPr="00D123EE">
        <w:t xml:space="preserve">is </w:t>
      </w:r>
      <w:r w:rsidRPr="00D123EE">
        <w:t xml:space="preserve">provided in Table </w:t>
      </w:r>
      <w:r w:rsidR="00E26387" w:rsidRPr="00D123EE">
        <w:t>4</w:t>
      </w:r>
      <w:r w:rsidRPr="00D123EE">
        <w:t xml:space="preserve"> </w:t>
      </w:r>
      <w:r w:rsidR="00256966" w:rsidRPr="00D123EE">
        <w:t xml:space="preserve">to Table </w:t>
      </w:r>
      <w:r w:rsidR="00E26387" w:rsidRPr="00D123EE">
        <w:t>6</w:t>
      </w:r>
      <w:r w:rsidR="00256966" w:rsidRPr="00D123EE">
        <w:t xml:space="preserve">, </w:t>
      </w:r>
      <w:r w:rsidRPr="00D123EE">
        <w:t xml:space="preserve">and </w:t>
      </w:r>
      <w:r w:rsidR="00EF763C" w:rsidRPr="00D123EE">
        <w:t xml:space="preserve">for </w:t>
      </w:r>
      <w:r w:rsidRPr="00D123EE">
        <w:t xml:space="preserve">chronic pain in Table </w:t>
      </w:r>
      <w:r w:rsidR="00F92D49" w:rsidRPr="00D123EE">
        <w:t>8</w:t>
      </w:r>
      <w:r w:rsidR="00256966" w:rsidRPr="00D123EE">
        <w:t xml:space="preserve"> to Table </w:t>
      </w:r>
      <w:r w:rsidR="00F92D49" w:rsidRPr="00D123EE">
        <w:t>10</w:t>
      </w:r>
      <w:r w:rsidRPr="00D123EE">
        <w:t xml:space="preserve">. </w:t>
      </w:r>
    </w:p>
    <w:p w:rsidR="000C2F10" w:rsidRPr="00D123EE" w:rsidRDefault="000C2F10" w:rsidP="005B2734">
      <w:pPr>
        <w:widowControl/>
        <w:spacing w:after="120"/>
      </w:pPr>
      <w:r w:rsidRPr="00D123EE">
        <w:rPr>
          <w:b/>
          <w:u w:val="single"/>
        </w:rPr>
        <w:t>Acute pain</w:t>
      </w:r>
    </w:p>
    <w:p w:rsidR="0053266A" w:rsidRPr="00D123EE" w:rsidRDefault="0053266A" w:rsidP="00E22F6D">
      <w:pPr>
        <w:pStyle w:val="ListParagraph"/>
        <w:widowControl/>
        <w:numPr>
          <w:ilvl w:val="1"/>
          <w:numId w:val="1"/>
        </w:numPr>
        <w:spacing w:after="120"/>
      </w:pPr>
      <w:r w:rsidRPr="00D123EE">
        <w:t>The submission claimed that there were no differences in the outcomes of treatment satisfaction, overall assessment of study medication, and change in pain intensity</w:t>
      </w:r>
      <w:r w:rsidR="00807B34" w:rsidRPr="00D123EE">
        <w:t>, and improved pain relief</w:t>
      </w:r>
      <w:r w:rsidRPr="00D123EE">
        <w:t xml:space="preserve"> </w:t>
      </w:r>
      <w:r w:rsidR="00F65D82" w:rsidRPr="00D123EE">
        <w:t>with</w:t>
      </w:r>
      <w:r w:rsidRPr="00D123EE">
        <w:t xml:space="preserve"> the FDC of tramadol 37.5 mg/paracetamol 325 mg </w:t>
      </w:r>
      <w:r w:rsidR="00F65D82" w:rsidRPr="00D123EE">
        <w:t>compared with</w:t>
      </w:r>
      <w:r w:rsidRPr="00D123EE">
        <w:t xml:space="preserve"> tramadol 50 mg IR groups</w:t>
      </w:r>
      <w:r w:rsidR="0054019D" w:rsidRPr="00D123EE">
        <w:t xml:space="preserve"> in the treatment of acute pain</w:t>
      </w:r>
      <w:r w:rsidRPr="00D123EE">
        <w:t xml:space="preserve">. </w:t>
      </w:r>
    </w:p>
    <w:p w:rsidR="0053266A" w:rsidRPr="00D123EE" w:rsidRDefault="0053266A" w:rsidP="00E22F6D">
      <w:pPr>
        <w:pStyle w:val="ListParagraph"/>
        <w:widowControl/>
        <w:numPr>
          <w:ilvl w:val="1"/>
          <w:numId w:val="1"/>
        </w:numPr>
        <w:spacing w:after="120"/>
      </w:pPr>
      <w:r w:rsidRPr="00D123EE">
        <w:t>The mean difference in responder treatment satisfaction in ZAL-06 was 6.25 (95% CI -4.33, 16.83)</w:t>
      </w:r>
      <w:r w:rsidR="00CE0337" w:rsidRPr="00D123EE">
        <w:t xml:space="preserve"> and in GRTF-ZAL 1 was 5.7% (95%CI: -11.2%, 22.2%)</w:t>
      </w:r>
      <w:r w:rsidRPr="00D123EE">
        <w:t xml:space="preserve">. Based on the non-inferiority margin of 20%, the submission claimed that the FDC of tramadol 37.5 mg/paracetamol 325 mg was non-inferior to tramadol 50 mg IR. The lower confidence interval did not exceed 20% non-inferiority margin proposed by the submission.  </w:t>
      </w:r>
    </w:p>
    <w:p w:rsidR="00666A44" w:rsidRPr="00892A36" w:rsidRDefault="00666A44" w:rsidP="00B66D7E">
      <w:pPr>
        <w:keepNext/>
        <w:keepLines/>
        <w:rPr>
          <w:rStyle w:val="CommentReference"/>
        </w:rPr>
      </w:pPr>
      <w:r w:rsidRPr="00892A36">
        <w:rPr>
          <w:rStyle w:val="CommentReference"/>
        </w:rPr>
        <w:lastRenderedPageBreak/>
        <w:t xml:space="preserve">Table </w:t>
      </w:r>
      <w:r>
        <w:rPr>
          <w:rStyle w:val="CommentReference"/>
        </w:rPr>
        <w:t>4</w:t>
      </w:r>
      <w:r w:rsidRPr="00892A36">
        <w:rPr>
          <w:rStyle w:val="CommentReference"/>
        </w:rPr>
        <w:t xml:space="preserve">: </w:t>
      </w:r>
      <w:r>
        <w:rPr>
          <w:rStyle w:val="CommentReference"/>
        </w:rPr>
        <w:t xml:space="preserve">Overall assessment of study medication </w:t>
      </w:r>
      <w:r w:rsidR="009B61B6">
        <w:rPr>
          <w:rStyle w:val="CommentReference"/>
        </w:rPr>
        <w:t xml:space="preserve">and </w:t>
      </w:r>
      <w:r>
        <w:rPr>
          <w:rStyle w:val="CommentReference"/>
        </w:rPr>
        <w:t>treatment satisfaction</w:t>
      </w:r>
      <w:r w:rsidRPr="00892A36">
        <w:rPr>
          <w:rStyle w:val="CommentReference"/>
        </w:rPr>
        <w:t xml:space="preserve"> across the </w:t>
      </w:r>
      <w:r w:rsidR="009B61B6">
        <w:rPr>
          <w:rStyle w:val="CommentReference"/>
        </w:rPr>
        <w:t xml:space="preserve">acute pain </w:t>
      </w:r>
      <w:r w:rsidRPr="00892A36">
        <w:rPr>
          <w:rStyle w:val="CommentReference"/>
        </w:rPr>
        <w:t>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2226"/>
        <w:gridCol w:w="2226"/>
        <w:gridCol w:w="2263"/>
      </w:tblGrid>
      <w:tr w:rsidR="00666A44" w:rsidRPr="00B84117" w:rsidTr="005B5FE8">
        <w:trPr>
          <w:tblHeader/>
        </w:trPr>
        <w:tc>
          <w:tcPr>
            <w:tcW w:w="1368" w:type="pct"/>
            <w:tcBorders>
              <w:bottom w:val="single" w:sz="4" w:space="0" w:color="auto"/>
            </w:tcBorders>
            <w:vAlign w:val="center"/>
          </w:tcPr>
          <w:p w:rsidR="00666A44" w:rsidRPr="00B84117" w:rsidRDefault="00666A44" w:rsidP="00B66D7E">
            <w:pPr>
              <w:pStyle w:val="Tabletext"/>
              <w:keepNext/>
              <w:keepLines/>
              <w:rPr>
                <w:b/>
              </w:rPr>
            </w:pPr>
            <w:r w:rsidRPr="00B84117">
              <w:rPr>
                <w:b/>
              </w:rPr>
              <w:t>Trial ID</w:t>
            </w:r>
          </w:p>
        </w:tc>
        <w:tc>
          <w:tcPr>
            <w:tcW w:w="1204" w:type="pct"/>
            <w:tcBorders>
              <w:bottom w:val="single" w:sz="4" w:space="0" w:color="auto"/>
            </w:tcBorders>
            <w:vAlign w:val="center"/>
          </w:tcPr>
          <w:p w:rsidR="00666A44" w:rsidRPr="00B84117" w:rsidRDefault="00666A44" w:rsidP="00B66D7E">
            <w:pPr>
              <w:pStyle w:val="Tabletext"/>
              <w:keepNext/>
              <w:keepLines/>
              <w:jc w:val="center"/>
              <w:rPr>
                <w:b/>
              </w:rPr>
            </w:pPr>
            <w:r w:rsidRPr="004727D7">
              <w:rPr>
                <w:rFonts w:cs="Arial"/>
                <w:b/>
                <w:szCs w:val="18"/>
              </w:rPr>
              <w:t>T37.5+P325</w:t>
            </w:r>
          </w:p>
        </w:tc>
        <w:tc>
          <w:tcPr>
            <w:tcW w:w="1204" w:type="pct"/>
            <w:tcBorders>
              <w:bottom w:val="single" w:sz="4" w:space="0" w:color="auto"/>
            </w:tcBorders>
            <w:vAlign w:val="center"/>
          </w:tcPr>
          <w:p w:rsidR="00666A44" w:rsidRPr="00B84117" w:rsidRDefault="00666A44" w:rsidP="00B66D7E">
            <w:pPr>
              <w:pStyle w:val="Tabletext"/>
              <w:keepNext/>
              <w:keepLines/>
              <w:jc w:val="center"/>
              <w:rPr>
                <w:b/>
              </w:rPr>
            </w:pPr>
            <w:r w:rsidRPr="004727D7">
              <w:rPr>
                <w:rFonts w:cs="Arial"/>
                <w:b/>
                <w:szCs w:val="18"/>
              </w:rPr>
              <w:t>T50</w:t>
            </w:r>
          </w:p>
        </w:tc>
        <w:tc>
          <w:tcPr>
            <w:tcW w:w="1224" w:type="pct"/>
            <w:tcBorders>
              <w:bottom w:val="single" w:sz="4" w:space="0" w:color="auto"/>
            </w:tcBorders>
          </w:tcPr>
          <w:p w:rsidR="00666A44" w:rsidRPr="00B84117" w:rsidRDefault="00666A44" w:rsidP="00B66D7E">
            <w:pPr>
              <w:pStyle w:val="Tabletext"/>
              <w:keepNext/>
              <w:keepLines/>
              <w:jc w:val="center"/>
              <w:rPr>
                <w:b/>
              </w:rPr>
            </w:pPr>
            <w:r>
              <w:rPr>
                <w:b/>
              </w:rPr>
              <w:t>Outcome</w:t>
            </w:r>
          </w:p>
        </w:tc>
      </w:tr>
      <w:tr w:rsidR="00666A44" w:rsidRPr="00B1011F" w:rsidTr="005B5FE8">
        <w:tc>
          <w:tcPr>
            <w:tcW w:w="1368" w:type="pct"/>
            <w:tcBorders>
              <w:top w:val="single" w:sz="4" w:space="0" w:color="auto"/>
              <w:bottom w:val="nil"/>
              <w:right w:val="single" w:sz="4" w:space="0" w:color="auto"/>
            </w:tcBorders>
            <w:vAlign w:val="center"/>
          </w:tcPr>
          <w:p w:rsidR="00666A44" w:rsidRPr="00F518D0" w:rsidRDefault="00666A44" w:rsidP="00B66D7E">
            <w:pPr>
              <w:pStyle w:val="Tabletext"/>
              <w:keepNext/>
              <w:keepLines/>
            </w:pPr>
            <w:r w:rsidRPr="00941A32">
              <w:t>ZAL-06</w:t>
            </w:r>
            <w:r>
              <w:t xml:space="preserve"> (Day 2)</w:t>
            </w:r>
            <w:r w:rsidRPr="000E0021">
              <w:rPr>
                <w:vertAlign w:val="superscript"/>
              </w:rPr>
              <w:t>a</w:t>
            </w:r>
          </w:p>
        </w:tc>
        <w:tc>
          <w:tcPr>
            <w:tcW w:w="1204" w:type="pct"/>
            <w:tcBorders>
              <w:top w:val="single" w:sz="4" w:space="0" w:color="auto"/>
              <w:left w:val="single" w:sz="4" w:space="0" w:color="auto"/>
              <w:bottom w:val="nil"/>
              <w:right w:val="single" w:sz="4" w:space="0" w:color="auto"/>
            </w:tcBorders>
            <w:vAlign w:val="center"/>
          </w:tcPr>
          <w:p w:rsidR="00666A44" w:rsidRPr="00CF0B9E" w:rsidRDefault="00666A44" w:rsidP="00B66D7E">
            <w:pPr>
              <w:pStyle w:val="Tabletext"/>
              <w:keepNext/>
              <w:keepLines/>
              <w:jc w:val="center"/>
            </w:pPr>
            <w:r w:rsidRPr="00CF0B9E">
              <w:t>100</w:t>
            </w:r>
            <w:r>
              <w:t>/128</w:t>
            </w:r>
            <w:r w:rsidRPr="00CF0B9E">
              <w:t xml:space="preserve"> (78.1)</w:t>
            </w:r>
          </w:p>
        </w:tc>
        <w:tc>
          <w:tcPr>
            <w:tcW w:w="1204" w:type="pct"/>
            <w:tcBorders>
              <w:top w:val="single" w:sz="4" w:space="0" w:color="auto"/>
              <w:left w:val="single" w:sz="4" w:space="0" w:color="auto"/>
              <w:bottom w:val="nil"/>
              <w:right w:val="single" w:sz="4" w:space="0" w:color="auto"/>
            </w:tcBorders>
            <w:vAlign w:val="center"/>
          </w:tcPr>
          <w:p w:rsidR="00666A44" w:rsidRPr="00CF0B9E" w:rsidRDefault="00666A44" w:rsidP="00B66D7E">
            <w:pPr>
              <w:pStyle w:val="Tabletext"/>
              <w:keepNext/>
              <w:keepLines/>
              <w:jc w:val="center"/>
            </w:pPr>
            <w:r w:rsidRPr="00CF0B9E">
              <w:t>92</w:t>
            </w:r>
            <w:r>
              <w:t>/128</w:t>
            </w:r>
            <w:r w:rsidRPr="00CF0B9E">
              <w:t xml:space="preserve"> </w:t>
            </w:r>
            <w:r>
              <w:t>(</w:t>
            </w:r>
            <w:r w:rsidRPr="00CF0B9E">
              <w:t>71.9)</w:t>
            </w:r>
          </w:p>
        </w:tc>
        <w:tc>
          <w:tcPr>
            <w:tcW w:w="1224" w:type="pct"/>
            <w:vMerge w:val="restart"/>
            <w:tcBorders>
              <w:top w:val="single" w:sz="4" w:space="0" w:color="auto"/>
              <w:left w:val="single" w:sz="4" w:space="0" w:color="auto"/>
            </w:tcBorders>
          </w:tcPr>
          <w:p w:rsidR="00666A44" w:rsidRDefault="00666A44" w:rsidP="00B66D7E">
            <w:pPr>
              <w:pStyle w:val="Tabletext"/>
              <w:keepNext/>
              <w:keepLines/>
              <w:jc w:val="center"/>
            </w:pPr>
            <w:r>
              <w:t>Responders treatment satisfaction</w:t>
            </w:r>
          </w:p>
        </w:tc>
      </w:tr>
      <w:tr w:rsidR="00666A44" w:rsidRPr="00B1011F" w:rsidTr="005B5FE8">
        <w:tc>
          <w:tcPr>
            <w:tcW w:w="1368" w:type="pct"/>
            <w:tcBorders>
              <w:top w:val="single" w:sz="4" w:space="0" w:color="auto"/>
              <w:bottom w:val="nil"/>
              <w:right w:val="single" w:sz="4" w:space="0" w:color="auto"/>
            </w:tcBorders>
            <w:vAlign w:val="center"/>
          </w:tcPr>
          <w:p w:rsidR="00666A44" w:rsidRPr="00941A32" w:rsidRDefault="00666A44" w:rsidP="00B66D7E">
            <w:pPr>
              <w:pStyle w:val="Tabletext"/>
              <w:keepNext/>
              <w:keepLines/>
            </w:pPr>
            <w:r w:rsidRPr="00557F90">
              <w:rPr>
                <w:b/>
              </w:rPr>
              <w:t xml:space="preserve">Diff </w:t>
            </w:r>
            <w:r>
              <w:rPr>
                <w:b/>
              </w:rPr>
              <w:t>(</w:t>
            </w:r>
            <w:r w:rsidRPr="00557F90">
              <w:rPr>
                <w:b/>
              </w:rPr>
              <w:t>95%CI</w:t>
            </w:r>
            <w:r>
              <w:rPr>
                <w:b/>
              </w:rPr>
              <w:t>), p-value</w:t>
            </w:r>
          </w:p>
        </w:tc>
        <w:tc>
          <w:tcPr>
            <w:tcW w:w="2408" w:type="pct"/>
            <w:gridSpan w:val="2"/>
            <w:tcBorders>
              <w:top w:val="single" w:sz="4" w:space="0" w:color="auto"/>
              <w:left w:val="single" w:sz="4" w:space="0" w:color="auto"/>
              <w:bottom w:val="nil"/>
              <w:right w:val="single" w:sz="4" w:space="0" w:color="auto"/>
            </w:tcBorders>
            <w:vAlign w:val="center"/>
          </w:tcPr>
          <w:p w:rsidR="00666A44" w:rsidRPr="00CF0B9E" w:rsidRDefault="00666A44" w:rsidP="00B66D7E">
            <w:pPr>
              <w:pStyle w:val="Tabletext"/>
              <w:keepNext/>
              <w:keepLines/>
              <w:jc w:val="center"/>
            </w:pPr>
            <w:r w:rsidRPr="004465E1">
              <w:t>6.25</w:t>
            </w:r>
            <w:r>
              <w:t xml:space="preserve"> (</w:t>
            </w:r>
            <w:r w:rsidRPr="004465E1">
              <w:t>-4.33, 16.83</w:t>
            </w:r>
            <w:r>
              <w:t>), p = 0.2420</w:t>
            </w:r>
          </w:p>
        </w:tc>
        <w:tc>
          <w:tcPr>
            <w:tcW w:w="1224" w:type="pct"/>
            <w:vMerge/>
            <w:tcBorders>
              <w:left w:val="single" w:sz="4" w:space="0" w:color="auto"/>
            </w:tcBorders>
          </w:tcPr>
          <w:p w:rsidR="00666A44" w:rsidRDefault="00666A44" w:rsidP="00B66D7E">
            <w:pPr>
              <w:pStyle w:val="Tabletext"/>
              <w:keepNext/>
              <w:keepLines/>
              <w:jc w:val="center"/>
            </w:pPr>
          </w:p>
        </w:tc>
      </w:tr>
      <w:tr w:rsidR="00666A44" w:rsidRPr="00B1011F" w:rsidTr="005B5FE8">
        <w:tc>
          <w:tcPr>
            <w:tcW w:w="1368" w:type="pct"/>
            <w:tcBorders>
              <w:top w:val="single" w:sz="4" w:space="0" w:color="auto"/>
              <w:bottom w:val="nil"/>
              <w:right w:val="single" w:sz="4" w:space="0" w:color="auto"/>
            </w:tcBorders>
            <w:vAlign w:val="center"/>
          </w:tcPr>
          <w:p w:rsidR="00666A44" w:rsidRPr="00F518D0" w:rsidRDefault="00666A44" w:rsidP="00B66D7E">
            <w:pPr>
              <w:pStyle w:val="Tabletext"/>
              <w:keepNext/>
              <w:keepLines/>
            </w:pPr>
            <w:r w:rsidRPr="00941A32">
              <w:t>ZAL-06</w:t>
            </w:r>
            <w:r>
              <w:t xml:space="preserve"> (Day 2</w:t>
            </w:r>
            <w:proofErr w:type="gramStart"/>
            <w:r>
              <w:t>)</w:t>
            </w:r>
            <w:r>
              <w:rPr>
                <w:vertAlign w:val="superscript"/>
              </w:rPr>
              <w:t>b</w:t>
            </w:r>
            <w:proofErr w:type="gramEnd"/>
            <w:r>
              <w:t xml:space="preserve">, </w:t>
            </w:r>
            <w:r>
              <w:rPr>
                <w:rFonts w:cs="Arial"/>
                <w:b/>
                <w:szCs w:val="18"/>
              </w:rPr>
              <w:t>n/N (%)</w:t>
            </w:r>
          </w:p>
        </w:tc>
        <w:tc>
          <w:tcPr>
            <w:tcW w:w="1204" w:type="pct"/>
            <w:tcBorders>
              <w:top w:val="single" w:sz="4" w:space="0" w:color="auto"/>
              <w:left w:val="single" w:sz="4" w:space="0" w:color="auto"/>
              <w:bottom w:val="nil"/>
              <w:right w:val="single" w:sz="4" w:space="0" w:color="auto"/>
            </w:tcBorders>
            <w:vAlign w:val="center"/>
          </w:tcPr>
          <w:p w:rsidR="00666A44" w:rsidRPr="006B78D2" w:rsidRDefault="00666A44" w:rsidP="00B66D7E">
            <w:pPr>
              <w:pStyle w:val="Tabletext"/>
              <w:keepNext/>
              <w:keepLines/>
              <w:jc w:val="center"/>
              <w:rPr>
                <w:i/>
              </w:rPr>
            </w:pPr>
            <w:r>
              <w:rPr>
                <w:i/>
              </w:rPr>
              <w:t>103/128 (80.4)</w:t>
            </w:r>
          </w:p>
        </w:tc>
        <w:tc>
          <w:tcPr>
            <w:tcW w:w="1204" w:type="pct"/>
            <w:tcBorders>
              <w:top w:val="single" w:sz="4" w:space="0" w:color="auto"/>
              <w:left w:val="single" w:sz="4" w:space="0" w:color="auto"/>
              <w:bottom w:val="nil"/>
              <w:right w:val="single" w:sz="4" w:space="0" w:color="auto"/>
            </w:tcBorders>
            <w:vAlign w:val="center"/>
          </w:tcPr>
          <w:p w:rsidR="00666A44" w:rsidRPr="006B78D2" w:rsidRDefault="00666A44" w:rsidP="00B66D7E">
            <w:pPr>
              <w:pStyle w:val="Tabletext"/>
              <w:keepNext/>
              <w:keepLines/>
              <w:jc w:val="center"/>
              <w:rPr>
                <w:i/>
              </w:rPr>
            </w:pPr>
            <w:r>
              <w:rPr>
                <w:i/>
              </w:rPr>
              <w:t>98/128 (76.5)</w:t>
            </w:r>
          </w:p>
        </w:tc>
        <w:tc>
          <w:tcPr>
            <w:tcW w:w="1224" w:type="pct"/>
            <w:vMerge w:val="restart"/>
            <w:tcBorders>
              <w:top w:val="single" w:sz="4" w:space="0" w:color="auto"/>
              <w:left w:val="single" w:sz="4" w:space="0" w:color="auto"/>
            </w:tcBorders>
          </w:tcPr>
          <w:p w:rsidR="00666A44" w:rsidRDefault="00666A44" w:rsidP="00B66D7E">
            <w:pPr>
              <w:pStyle w:val="Tabletext"/>
              <w:keepNext/>
              <w:keepLines/>
              <w:jc w:val="center"/>
            </w:pPr>
            <w:r>
              <w:t xml:space="preserve">Treatment </w:t>
            </w:r>
            <w:proofErr w:type="spellStart"/>
            <w:r>
              <w:t>satisfaction</w:t>
            </w:r>
            <w:r w:rsidRPr="00475C78">
              <w:rPr>
                <w:vertAlign w:val="superscript"/>
              </w:rPr>
              <w:t>b</w:t>
            </w:r>
            <w:proofErr w:type="spellEnd"/>
            <w:r>
              <w:t xml:space="preserve"> </w:t>
            </w:r>
          </w:p>
        </w:tc>
      </w:tr>
      <w:tr w:rsidR="00666A44" w:rsidRPr="00B1011F" w:rsidTr="005B5FE8">
        <w:tc>
          <w:tcPr>
            <w:tcW w:w="1368" w:type="pct"/>
            <w:tcBorders>
              <w:top w:val="nil"/>
              <w:bottom w:val="nil"/>
              <w:right w:val="single" w:sz="4" w:space="0" w:color="auto"/>
            </w:tcBorders>
            <w:vAlign w:val="center"/>
          </w:tcPr>
          <w:p w:rsidR="00666A44" w:rsidRPr="00941A32" w:rsidRDefault="00666A44" w:rsidP="00B66D7E">
            <w:pPr>
              <w:pStyle w:val="Tabletext"/>
              <w:keepNext/>
              <w:keepLines/>
            </w:pPr>
            <w:proofErr w:type="spellStart"/>
            <w:r>
              <w:t>Excellent</w:t>
            </w:r>
            <w:r w:rsidRPr="003D2AE8">
              <w:rPr>
                <w:vertAlign w:val="superscript"/>
              </w:rPr>
              <w:t>b</w:t>
            </w:r>
            <w:proofErr w:type="spellEnd"/>
          </w:p>
        </w:tc>
        <w:tc>
          <w:tcPr>
            <w:tcW w:w="1204" w:type="pct"/>
            <w:tcBorders>
              <w:top w:val="nil"/>
              <w:left w:val="single" w:sz="4" w:space="0" w:color="auto"/>
              <w:bottom w:val="nil"/>
              <w:right w:val="single" w:sz="4" w:space="0" w:color="auto"/>
            </w:tcBorders>
          </w:tcPr>
          <w:p w:rsidR="00666A44" w:rsidRPr="00CF0B9E" w:rsidRDefault="00666A44" w:rsidP="00B66D7E">
            <w:pPr>
              <w:pStyle w:val="Tabletext"/>
              <w:keepNext/>
              <w:keepLines/>
              <w:jc w:val="center"/>
            </w:pPr>
            <w:r w:rsidRPr="00E7198F">
              <w:t>46</w:t>
            </w:r>
            <w:r>
              <w:t>/128</w:t>
            </w:r>
            <w:r w:rsidRPr="00CF0B9E">
              <w:t xml:space="preserve"> </w:t>
            </w:r>
            <w:r w:rsidRPr="00E7198F">
              <w:t>(35.9)</w:t>
            </w:r>
          </w:p>
        </w:tc>
        <w:tc>
          <w:tcPr>
            <w:tcW w:w="1204" w:type="pct"/>
            <w:tcBorders>
              <w:top w:val="nil"/>
              <w:left w:val="single" w:sz="4" w:space="0" w:color="auto"/>
              <w:bottom w:val="nil"/>
              <w:right w:val="single" w:sz="4" w:space="0" w:color="auto"/>
            </w:tcBorders>
          </w:tcPr>
          <w:p w:rsidR="00666A44" w:rsidRPr="00CF0B9E" w:rsidRDefault="00666A44" w:rsidP="00B66D7E">
            <w:pPr>
              <w:pStyle w:val="Tabletext"/>
              <w:keepNext/>
              <w:keepLines/>
              <w:jc w:val="center"/>
            </w:pPr>
            <w:r w:rsidRPr="00E7198F">
              <w:t>46</w:t>
            </w:r>
            <w:r>
              <w:t>/128</w:t>
            </w:r>
            <w:r w:rsidRPr="00CF0B9E">
              <w:t xml:space="preserve"> </w:t>
            </w:r>
            <w:r>
              <w:t>(</w:t>
            </w:r>
            <w:r w:rsidRPr="00E7198F">
              <w:t>35.9)</w:t>
            </w:r>
          </w:p>
        </w:tc>
        <w:tc>
          <w:tcPr>
            <w:tcW w:w="1224" w:type="pct"/>
            <w:vMerge/>
            <w:tcBorders>
              <w:left w:val="single" w:sz="4" w:space="0" w:color="auto"/>
            </w:tcBorders>
          </w:tcPr>
          <w:p w:rsidR="00666A44" w:rsidRDefault="00666A44" w:rsidP="00B66D7E">
            <w:pPr>
              <w:pStyle w:val="Tabletext"/>
              <w:keepNext/>
              <w:keepLines/>
              <w:jc w:val="center"/>
            </w:pPr>
          </w:p>
        </w:tc>
      </w:tr>
      <w:tr w:rsidR="00666A44" w:rsidRPr="00B1011F" w:rsidTr="005B5FE8">
        <w:tc>
          <w:tcPr>
            <w:tcW w:w="1368" w:type="pct"/>
            <w:tcBorders>
              <w:top w:val="nil"/>
              <w:bottom w:val="single" w:sz="4" w:space="0" w:color="auto"/>
              <w:right w:val="single" w:sz="4" w:space="0" w:color="auto"/>
            </w:tcBorders>
            <w:vAlign w:val="center"/>
          </w:tcPr>
          <w:p w:rsidR="00666A44" w:rsidRPr="00941A32" w:rsidRDefault="00666A44" w:rsidP="00B66D7E">
            <w:pPr>
              <w:pStyle w:val="Tabletext"/>
              <w:keepNext/>
              <w:keepLines/>
            </w:pPr>
            <w:proofErr w:type="spellStart"/>
            <w:r>
              <w:t>Good</w:t>
            </w:r>
            <w:r w:rsidRPr="003D2AE8">
              <w:rPr>
                <w:vertAlign w:val="superscript"/>
              </w:rPr>
              <w:t>b</w:t>
            </w:r>
            <w:proofErr w:type="spellEnd"/>
          </w:p>
        </w:tc>
        <w:tc>
          <w:tcPr>
            <w:tcW w:w="1204" w:type="pct"/>
            <w:tcBorders>
              <w:top w:val="nil"/>
              <w:left w:val="single" w:sz="4" w:space="0" w:color="auto"/>
              <w:bottom w:val="single" w:sz="4" w:space="0" w:color="auto"/>
              <w:right w:val="single" w:sz="4" w:space="0" w:color="auto"/>
            </w:tcBorders>
          </w:tcPr>
          <w:p w:rsidR="00666A44" w:rsidRPr="00CF0B9E" w:rsidRDefault="00666A44" w:rsidP="00B66D7E">
            <w:pPr>
              <w:pStyle w:val="Tabletext"/>
              <w:keepNext/>
              <w:keepLines/>
              <w:jc w:val="center"/>
            </w:pPr>
            <w:r w:rsidRPr="00E7198F">
              <w:t>57</w:t>
            </w:r>
            <w:r>
              <w:t>/128</w:t>
            </w:r>
            <w:r w:rsidRPr="00CF0B9E">
              <w:t xml:space="preserve"> </w:t>
            </w:r>
            <w:r w:rsidRPr="00E7198F">
              <w:t>(44.5)</w:t>
            </w:r>
          </w:p>
        </w:tc>
        <w:tc>
          <w:tcPr>
            <w:tcW w:w="1204" w:type="pct"/>
            <w:tcBorders>
              <w:top w:val="nil"/>
              <w:left w:val="single" w:sz="4" w:space="0" w:color="auto"/>
              <w:bottom w:val="single" w:sz="4" w:space="0" w:color="auto"/>
              <w:right w:val="single" w:sz="4" w:space="0" w:color="auto"/>
            </w:tcBorders>
          </w:tcPr>
          <w:p w:rsidR="00666A44" w:rsidRPr="00CF0B9E" w:rsidRDefault="00666A44" w:rsidP="00B66D7E">
            <w:pPr>
              <w:pStyle w:val="Tabletext"/>
              <w:keepNext/>
              <w:keepLines/>
              <w:jc w:val="center"/>
            </w:pPr>
            <w:r w:rsidRPr="00E7198F">
              <w:t>52</w:t>
            </w:r>
            <w:r>
              <w:t>/128</w:t>
            </w:r>
            <w:r w:rsidRPr="00CF0B9E">
              <w:t xml:space="preserve"> </w:t>
            </w:r>
            <w:r w:rsidRPr="00E7198F">
              <w:t>(40.6)</w:t>
            </w:r>
          </w:p>
        </w:tc>
        <w:tc>
          <w:tcPr>
            <w:tcW w:w="1224" w:type="pct"/>
            <w:vMerge/>
            <w:tcBorders>
              <w:left w:val="single" w:sz="4" w:space="0" w:color="auto"/>
              <w:bottom w:val="single" w:sz="4" w:space="0" w:color="auto"/>
            </w:tcBorders>
          </w:tcPr>
          <w:p w:rsidR="00666A44" w:rsidRDefault="00666A44" w:rsidP="00B66D7E">
            <w:pPr>
              <w:pStyle w:val="Tabletext"/>
              <w:keepNext/>
              <w:keepLines/>
              <w:jc w:val="center"/>
            </w:pPr>
          </w:p>
        </w:tc>
      </w:tr>
      <w:tr w:rsidR="00666A44" w:rsidRPr="00B1011F" w:rsidTr="005B5FE8">
        <w:tc>
          <w:tcPr>
            <w:tcW w:w="1368" w:type="pct"/>
            <w:tcBorders>
              <w:top w:val="single" w:sz="4" w:space="0" w:color="auto"/>
              <w:left w:val="single" w:sz="4" w:space="0" w:color="auto"/>
              <w:bottom w:val="nil"/>
              <w:right w:val="single" w:sz="4" w:space="0" w:color="auto"/>
            </w:tcBorders>
            <w:vAlign w:val="center"/>
          </w:tcPr>
          <w:p w:rsidR="00666A44" w:rsidRPr="00941A32" w:rsidRDefault="00666A44" w:rsidP="00B66D7E">
            <w:pPr>
              <w:pStyle w:val="Tabletext"/>
              <w:keepNext/>
              <w:keepLines/>
            </w:pPr>
            <w:r w:rsidRPr="00941A32">
              <w:rPr>
                <w:rFonts w:cs="Arial"/>
                <w:szCs w:val="18"/>
              </w:rPr>
              <w:t>CAPSS-241</w:t>
            </w:r>
            <w:r>
              <w:rPr>
                <w:rFonts w:cs="Arial"/>
                <w:szCs w:val="18"/>
              </w:rPr>
              <w:t xml:space="preserve"> (6 hours)</w:t>
            </w:r>
            <w:proofErr w:type="spellStart"/>
            <w:r>
              <w:rPr>
                <w:vertAlign w:val="superscript"/>
              </w:rPr>
              <w:t>c,e</w:t>
            </w:r>
            <w:proofErr w:type="spellEnd"/>
          </w:p>
        </w:tc>
        <w:tc>
          <w:tcPr>
            <w:tcW w:w="1204" w:type="pct"/>
            <w:tcBorders>
              <w:left w:val="single" w:sz="4" w:space="0" w:color="auto"/>
              <w:bottom w:val="nil"/>
            </w:tcBorders>
            <w:vAlign w:val="center"/>
          </w:tcPr>
          <w:p w:rsidR="00666A44" w:rsidRPr="00B1011F" w:rsidRDefault="00666A44" w:rsidP="00B66D7E">
            <w:pPr>
              <w:pStyle w:val="Tabletext"/>
              <w:keepNext/>
              <w:keepLines/>
              <w:jc w:val="center"/>
            </w:pPr>
            <w:r>
              <w:t>45/151 (29.8)</w:t>
            </w:r>
          </w:p>
        </w:tc>
        <w:tc>
          <w:tcPr>
            <w:tcW w:w="1204" w:type="pct"/>
            <w:tcBorders>
              <w:bottom w:val="nil"/>
            </w:tcBorders>
            <w:vAlign w:val="center"/>
          </w:tcPr>
          <w:p w:rsidR="00666A44" w:rsidRPr="00B1011F" w:rsidRDefault="00666A44" w:rsidP="00B66D7E">
            <w:pPr>
              <w:pStyle w:val="Tabletext"/>
              <w:keepNext/>
              <w:keepLines/>
              <w:jc w:val="center"/>
            </w:pPr>
            <w:r>
              <w:t>16/149 (10.7)</w:t>
            </w:r>
          </w:p>
        </w:tc>
        <w:tc>
          <w:tcPr>
            <w:tcW w:w="1224" w:type="pct"/>
            <w:vMerge w:val="restart"/>
          </w:tcPr>
          <w:p w:rsidR="00666A44" w:rsidRPr="00B1011F" w:rsidRDefault="00666A44" w:rsidP="00B66D7E">
            <w:pPr>
              <w:pStyle w:val="Tabletext"/>
              <w:keepNext/>
              <w:keepLines/>
              <w:jc w:val="center"/>
            </w:pPr>
            <w:r w:rsidRPr="000F4C25">
              <w:t>Subjects Overall Medication Assessment</w:t>
            </w:r>
          </w:p>
        </w:tc>
      </w:tr>
      <w:tr w:rsidR="00666A44" w:rsidRPr="00B1011F" w:rsidTr="005B5FE8">
        <w:tc>
          <w:tcPr>
            <w:tcW w:w="1368" w:type="pct"/>
            <w:tcBorders>
              <w:top w:val="nil"/>
              <w:left w:val="single" w:sz="4" w:space="0" w:color="auto"/>
              <w:bottom w:val="nil"/>
              <w:right w:val="single" w:sz="4" w:space="0" w:color="auto"/>
            </w:tcBorders>
            <w:vAlign w:val="center"/>
          </w:tcPr>
          <w:p w:rsidR="00666A44" w:rsidRPr="00941A32" w:rsidRDefault="00666A44" w:rsidP="00B66D7E">
            <w:pPr>
              <w:pStyle w:val="Tabletext"/>
              <w:keepNext/>
              <w:keepLines/>
              <w:rPr>
                <w:rFonts w:cs="Arial"/>
                <w:szCs w:val="18"/>
              </w:rPr>
            </w:pPr>
            <w:r>
              <w:t>Excellent</w:t>
            </w:r>
          </w:p>
        </w:tc>
        <w:tc>
          <w:tcPr>
            <w:tcW w:w="1204" w:type="pct"/>
            <w:tcBorders>
              <w:top w:val="nil"/>
              <w:left w:val="single" w:sz="4" w:space="0" w:color="auto"/>
              <w:bottom w:val="nil"/>
            </w:tcBorders>
            <w:vAlign w:val="center"/>
          </w:tcPr>
          <w:p w:rsidR="00666A44" w:rsidRPr="00B1011F" w:rsidRDefault="00666A44" w:rsidP="00B66D7E">
            <w:pPr>
              <w:pStyle w:val="Tabletext"/>
              <w:keepNext/>
              <w:keepLines/>
              <w:jc w:val="center"/>
            </w:pPr>
            <w:r>
              <w:t>14/151 (9.3)</w:t>
            </w:r>
          </w:p>
        </w:tc>
        <w:tc>
          <w:tcPr>
            <w:tcW w:w="1204" w:type="pct"/>
            <w:tcBorders>
              <w:top w:val="nil"/>
              <w:bottom w:val="nil"/>
            </w:tcBorders>
            <w:vAlign w:val="center"/>
          </w:tcPr>
          <w:p w:rsidR="00666A44" w:rsidRPr="00B1011F" w:rsidRDefault="00666A44" w:rsidP="00B66D7E">
            <w:pPr>
              <w:pStyle w:val="Tabletext"/>
              <w:keepNext/>
              <w:keepLines/>
              <w:jc w:val="center"/>
            </w:pPr>
            <w:r>
              <w:t>2/149 (1.3)</w:t>
            </w:r>
          </w:p>
        </w:tc>
        <w:tc>
          <w:tcPr>
            <w:tcW w:w="1224" w:type="pct"/>
            <w:vMerge/>
          </w:tcPr>
          <w:p w:rsidR="00666A44" w:rsidRPr="00B1011F" w:rsidRDefault="00666A44" w:rsidP="00B66D7E">
            <w:pPr>
              <w:pStyle w:val="Tabletext"/>
              <w:keepNext/>
              <w:keepLines/>
              <w:jc w:val="center"/>
            </w:pPr>
          </w:p>
        </w:tc>
      </w:tr>
      <w:tr w:rsidR="00666A44" w:rsidRPr="00B1011F" w:rsidTr="005B5FE8">
        <w:tc>
          <w:tcPr>
            <w:tcW w:w="1368" w:type="pct"/>
            <w:tcBorders>
              <w:top w:val="nil"/>
              <w:left w:val="single" w:sz="4" w:space="0" w:color="auto"/>
              <w:bottom w:val="single" w:sz="4" w:space="0" w:color="auto"/>
              <w:right w:val="single" w:sz="4" w:space="0" w:color="auto"/>
            </w:tcBorders>
            <w:vAlign w:val="center"/>
          </w:tcPr>
          <w:p w:rsidR="00666A44" w:rsidRPr="00941A32" w:rsidRDefault="00666A44" w:rsidP="00B66D7E">
            <w:pPr>
              <w:pStyle w:val="Tabletext"/>
              <w:keepNext/>
              <w:keepLines/>
              <w:rPr>
                <w:rFonts w:cs="Arial"/>
                <w:szCs w:val="18"/>
              </w:rPr>
            </w:pPr>
            <w:r>
              <w:t>Very good</w:t>
            </w:r>
          </w:p>
        </w:tc>
        <w:tc>
          <w:tcPr>
            <w:tcW w:w="1204" w:type="pct"/>
            <w:tcBorders>
              <w:top w:val="nil"/>
              <w:left w:val="single" w:sz="4" w:space="0" w:color="auto"/>
              <w:bottom w:val="single" w:sz="4" w:space="0" w:color="auto"/>
            </w:tcBorders>
            <w:vAlign w:val="center"/>
          </w:tcPr>
          <w:p w:rsidR="00666A44" w:rsidRPr="00B1011F" w:rsidRDefault="00666A44" w:rsidP="00B66D7E">
            <w:pPr>
              <w:pStyle w:val="Tabletext"/>
              <w:keepNext/>
              <w:keepLines/>
              <w:jc w:val="center"/>
            </w:pPr>
            <w:r>
              <w:t>31/151 (20.5)</w:t>
            </w:r>
          </w:p>
        </w:tc>
        <w:tc>
          <w:tcPr>
            <w:tcW w:w="1204" w:type="pct"/>
            <w:tcBorders>
              <w:top w:val="nil"/>
              <w:bottom w:val="single" w:sz="4" w:space="0" w:color="auto"/>
            </w:tcBorders>
            <w:vAlign w:val="center"/>
          </w:tcPr>
          <w:p w:rsidR="00666A44" w:rsidRPr="00B1011F" w:rsidRDefault="00666A44" w:rsidP="00B66D7E">
            <w:pPr>
              <w:pStyle w:val="Tabletext"/>
              <w:keepNext/>
              <w:keepLines/>
              <w:jc w:val="center"/>
            </w:pPr>
            <w:r>
              <w:t>14/149 (9.2)</w:t>
            </w:r>
          </w:p>
        </w:tc>
        <w:tc>
          <w:tcPr>
            <w:tcW w:w="1224" w:type="pct"/>
            <w:vMerge/>
            <w:tcBorders>
              <w:bottom w:val="single" w:sz="4" w:space="0" w:color="auto"/>
            </w:tcBorders>
          </w:tcPr>
          <w:p w:rsidR="00666A44" w:rsidRPr="00B1011F" w:rsidRDefault="00666A44" w:rsidP="00B66D7E">
            <w:pPr>
              <w:pStyle w:val="Tabletext"/>
              <w:keepNext/>
              <w:keepLines/>
              <w:jc w:val="center"/>
            </w:pPr>
          </w:p>
        </w:tc>
      </w:tr>
      <w:tr w:rsidR="00666A44" w:rsidRPr="00B1011F" w:rsidTr="005B5FE8">
        <w:tc>
          <w:tcPr>
            <w:tcW w:w="1368" w:type="pct"/>
            <w:tcBorders>
              <w:top w:val="single" w:sz="4" w:space="0" w:color="auto"/>
              <w:bottom w:val="nil"/>
              <w:right w:val="single" w:sz="4" w:space="0" w:color="auto"/>
            </w:tcBorders>
            <w:vAlign w:val="center"/>
          </w:tcPr>
          <w:p w:rsidR="00666A44" w:rsidRPr="00F34D7C" w:rsidRDefault="00666A44" w:rsidP="00B66D7E">
            <w:pPr>
              <w:pStyle w:val="Tabletext"/>
              <w:keepNext/>
              <w:keepLines/>
              <w:rPr>
                <w:rFonts w:cs="Arial"/>
                <w:bCs/>
                <w:color w:val="000000"/>
                <w:szCs w:val="18"/>
              </w:rPr>
            </w:pPr>
            <w:r w:rsidRPr="00941A32">
              <w:rPr>
                <w:rFonts w:cs="Arial"/>
                <w:bCs/>
                <w:color w:val="000000"/>
                <w:szCs w:val="18"/>
              </w:rPr>
              <w:t>GRTF-ZAL 1</w:t>
            </w:r>
            <w:r>
              <w:rPr>
                <w:rFonts w:cs="Arial"/>
                <w:bCs/>
                <w:color w:val="000000"/>
                <w:szCs w:val="18"/>
              </w:rPr>
              <w:t xml:space="preserve"> </w:t>
            </w:r>
            <w:r>
              <w:t>(10 days)</w:t>
            </w:r>
            <w:r w:rsidRPr="005A6FE2">
              <w:rPr>
                <w:vertAlign w:val="superscript"/>
              </w:rPr>
              <w:t>d</w:t>
            </w:r>
          </w:p>
        </w:tc>
        <w:tc>
          <w:tcPr>
            <w:tcW w:w="1204" w:type="pct"/>
            <w:tcBorders>
              <w:left w:val="single" w:sz="4" w:space="0" w:color="auto"/>
              <w:bottom w:val="nil"/>
              <w:right w:val="single" w:sz="4" w:space="0" w:color="auto"/>
            </w:tcBorders>
            <w:vAlign w:val="center"/>
          </w:tcPr>
          <w:p w:rsidR="00666A44" w:rsidRPr="00B1011F" w:rsidRDefault="00666A44" w:rsidP="00B66D7E">
            <w:pPr>
              <w:pStyle w:val="Tabletext"/>
              <w:keepNext/>
              <w:keepLines/>
              <w:jc w:val="center"/>
            </w:pPr>
            <w:r>
              <w:t>41/59 (69.5)</w:t>
            </w:r>
          </w:p>
        </w:tc>
        <w:tc>
          <w:tcPr>
            <w:tcW w:w="1204" w:type="pct"/>
            <w:tcBorders>
              <w:left w:val="single" w:sz="4" w:space="0" w:color="auto"/>
              <w:bottom w:val="nil"/>
              <w:right w:val="single" w:sz="4" w:space="0" w:color="auto"/>
            </w:tcBorders>
            <w:vAlign w:val="center"/>
          </w:tcPr>
          <w:p w:rsidR="00666A44" w:rsidRPr="00B1011F" w:rsidRDefault="00666A44" w:rsidP="00B66D7E">
            <w:pPr>
              <w:pStyle w:val="Tabletext"/>
              <w:keepNext/>
              <w:keepLines/>
              <w:jc w:val="center"/>
            </w:pPr>
            <w:r>
              <w:t>37/58 (63.8)</w:t>
            </w:r>
          </w:p>
        </w:tc>
        <w:tc>
          <w:tcPr>
            <w:tcW w:w="1224" w:type="pct"/>
            <w:vMerge w:val="restart"/>
            <w:tcBorders>
              <w:left w:val="single" w:sz="4" w:space="0" w:color="auto"/>
            </w:tcBorders>
          </w:tcPr>
          <w:p w:rsidR="00666A44" w:rsidRPr="00B1011F" w:rsidRDefault="00666A44" w:rsidP="00B66D7E">
            <w:pPr>
              <w:pStyle w:val="Tabletext"/>
              <w:keepNext/>
              <w:keepLines/>
              <w:jc w:val="center"/>
            </w:pPr>
            <w:r>
              <w:t>Last patient satisfaction score</w:t>
            </w:r>
          </w:p>
        </w:tc>
      </w:tr>
      <w:tr w:rsidR="00666A44" w:rsidRPr="00B1011F" w:rsidTr="005B5FE8">
        <w:tc>
          <w:tcPr>
            <w:tcW w:w="1368" w:type="pct"/>
            <w:tcBorders>
              <w:top w:val="nil"/>
              <w:bottom w:val="nil"/>
              <w:right w:val="single" w:sz="4" w:space="0" w:color="auto"/>
            </w:tcBorders>
            <w:vAlign w:val="center"/>
          </w:tcPr>
          <w:p w:rsidR="00666A44" w:rsidRPr="00941A32" w:rsidRDefault="00666A44" w:rsidP="00B66D7E">
            <w:pPr>
              <w:pStyle w:val="Tabletext"/>
              <w:keepNext/>
              <w:keepLines/>
              <w:rPr>
                <w:rFonts w:cs="Arial"/>
                <w:bCs/>
                <w:color w:val="000000"/>
                <w:szCs w:val="18"/>
              </w:rPr>
            </w:pPr>
            <w:r>
              <w:rPr>
                <w:rFonts w:cs="Arial"/>
                <w:bCs/>
                <w:color w:val="000000"/>
                <w:szCs w:val="18"/>
              </w:rPr>
              <w:t>RD (95% CI)</w:t>
            </w:r>
          </w:p>
        </w:tc>
        <w:tc>
          <w:tcPr>
            <w:tcW w:w="2408" w:type="pct"/>
            <w:gridSpan w:val="2"/>
            <w:tcBorders>
              <w:top w:val="nil"/>
              <w:left w:val="single" w:sz="4" w:space="0" w:color="auto"/>
              <w:bottom w:val="nil"/>
              <w:right w:val="single" w:sz="4" w:space="0" w:color="auto"/>
            </w:tcBorders>
            <w:vAlign w:val="center"/>
          </w:tcPr>
          <w:p w:rsidR="00666A44" w:rsidRDefault="00666A44" w:rsidP="00B66D7E">
            <w:pPr>
              <w:pStyle w:val="Tabletext"/>
              <w:keepNext/>
              <w:keepLines/>
              <w:jc w:val="center"/>
            </w:pPr>
            <w:r>
              <w:t>5.7% (-11.2%, 22.2%)</w:t>
            </w:r>
          </w:p>
        </w:tc>
        <w:tc>
          <w:tcPr>
            <w:tcW w:w="1224" w:type="pct"/>
            <w:vMerge/>
            <w:tcBorders>
              <w:left w:val="single" w:sz="4" w:space="0" w:color="auto"/>
            </w:tcBorders>
          </w:tcPr>
          <w:p w:rsidR="00666A44" w:rsidRDefault="00666A44" w:rsidP="00B66D7E">
            <w:pPr>
              <w:pStyle w:val="Tabletext"/>
              <w:keepNext/>
              <w:keepLines/>
              <w:jc w:val="center"/>
            </w:pPr>
          </w:p>
        </w:tc>
      </w:tr>
      <w:tr w:rsidR="00666A44" w:rsidRPr="00B1011F" w:rsidTr="005B5FE8">
        <w:tc>
          <w:tcPr>
            <w:tcW w:w="1368" w:type="pct"/>
            <w:tcBorders>
              <w:top w:val="nil"/>
              <w:bottom w:val="nil"/>
              <w:right w:val="single" w:sz="4" w:space="0" w:color="auto"/>
            </w:tcBorders>
            <w:vAlign w:val="center"/>
          </w:tcPr>
          <w:p w:rsidR="00666A44" w:rsidRPr="00941A32" w:rsidRDefault="00666A44" w:rsidP="00B66D7E">
            <w:pPr>
              <w:pStyle w:val="Tabletext"/>
              <w:keepNext/>
              <w:keepLines/>
              <w:rPr>
                <w:rFonts w:cs="Arial"/>
                <w:bCs/>
                <w:color w:val="000000"/>
                <w:szCs w:val="18"/>
              </w:rPr>
            </w:pPr>
            <w:r>
              <w:rPr>
                <w:rFonts w:cs="Arial"/>
                <w:szCs w:val="18"/>
              </w:rPr>
              <w:t>Very satisfied</w:t>
            </w:r>
          </w:p>
        </w:tc>
        <w:tc>
          <w:tcPr>
            <w:tcW w:w="1204" w:type="pct"/>
            <w:tcBorders>
              <w:top w:val="nil"/>
              <w:left w:val="single" w:sz="4" w:space="0" w:color="auto"/>
              <w:bottom w:val="nil"/>
              <w:right w:val="single" w:sz="4" w:space="0" w:color="auto"/>
            </w:tcBorders>
            <w:vAlign w:val="center"/>
          </w:tcPr>
          <w:p w:rsidR="00666A44" w:rsidRPr="00B1011F" w:rsidRDefault="00666A44" w:rsidP="00B66D7E">
            <w:pPr>
              <w:pStyle w:val="Tabletext"/>
              <w:keepNext/>
              <w:keepLines/>
              <w:jc w:val="center"/>
            </w:pPr>
            <w:r>
              <w:t>15/59 (25.4)</w:t>
            </w:r>
          </w:p>
        </w:tc>
        <w:tc>
          <w:tcPr>
            <w:tcW w:w="1204" w:type="pct"/>
            <w:tcBorders>
              <w:top w:val="nil"/>
              <w:left w:val="single" w:sz="4" w:space="0" w:color="auto"/>
              <w:bottom w:val="nil"/>
              <w:right w:val="single" w:sz="4" w:space="0" w:color="auto"/>
            </w:tcBorders>
            <w:vAlign w:val="center"/>
          </w:tcPr>
          <w:p w:rsidR="00666A44" w:rsidRPr="00B1011F" w:rsidRDefault="00666A44" w:rsidP="00B66D7E">
            <w:pPr>
              <w:pStyle w:val="Tabletext"/>
              <w:keepNext/>
              <w:keepLines/>
              <w:jc w:val="center"/>
            </w:pPr>
            <w:r>
              <w:t>20/58 (34.5)</w:t>
            </w:r>
          </w:p>
        </w:tc>
        <w:tc>
          <w:tcPr>
            <w:tcW w:w="1224" w:type="pct"/>
            <w:vMerge/>
            <w:tcBorders>
              <w:left w:val="single" w:sz="4" w:space="0" w:color="auto"/>
            </w:tcBorders>
          </w:tcPr>
          <w:p w:rsidR="00666A44" w:rsidRPr="00B1011F" w:rsidRDefault="00666A44" w:rsidP="00B66D7E">
            <w:pPr>
              <w:pStyle w:val="Tabletext"/>
              <w:keepNext/>
              <w:keepLines/>
              <w:jc w:val="center"/>
            </w:pPr>
          </w:p>
        </w:tc>
      </w:tr>
      <w:tr w:rsidR="00666A44" w:rsidRPr="00B1011F" w:rsidTr="005B5FE8">
        <w:tc>
          <w:tcPr>
            <w:tcW w:w="1368" w:type="pct"/>
            <w:tcBorders>
              <w:top w:val="nil"/>
              <w:bottom w:val="single" w:sz="4" w:space="0" w:color="auto"/>
              <w:right w:val="single" w:sz="4" w:space="0" w:color="auto"/>
            </w:tcBorders>
            <w:vAlign w:val="center"/>
          </w:tcPr>
          <w:p w:rsidR="00666A44" w:rsidRPr="00941A32" w:rsidRDefault="00666A44" w:rsidP="00B66D7E">
            <w:pPr>
              <w:pStyle w:val="Tabletext"/>
              <w:keepNext/>
              <w:keepLines/>
              <w:rPr>
                <w:rFonts w:cs="Arial"/>
                <w:bCs/>
                <w:color w:val="000000"/>
                <w:szCs w:val="18"/>
              </w:rPr>
            </w:pPr>
            <w:r>
              <w:rPr>
                <w:rFonts w:cs="Arial"/>
                <w:szCs w:val="18"/>
              </w:rPr>
              <w:t>Satisfied</w:t>
            </w:r>
          </w:p>
        </w:tc>
        <w:tc>
          <w:tcPr>
            <w:tcW w:w="1204" w:type="pct"/>
            <w:tcBorders>
              <w:top w:val="nil"/>
              <w:left w:val="single" w:sz="4" w:space="0" w:color="auto"/>
              <w:bottom w:val="single" w:sz="4" w:space="0" w:color="auto"/>
              <w:right w:val="single" w:sz="4" w:space="0" w:color="auto"/>
            </w:tcBorders>
            <w:vAlign w:val="center"/>
          </w:tcPr>
          <w:p w:rsidR="00666A44" w:rsidRPr="00B1011F" w:rsidRDefault="00666A44" w:rsidP="00B66D7E">
            <w:pPr>
              <w:pStyle w:val="Tabletext"/>
              <w:keepNext/>
              <w:keepLines/>
              <w:jc w:val="center"/>
            </w:pPr>
            <w:r>
              <w:t>26/59 (44.1)</w:t>
            </w:r>
          </w:p>
        </w:tc>
        <w:tc>
          <w:tcPr>
            <w:tcW w:w="1204" w:type="pct"/>
            <w:tcBorders>
              <w:top w:val="nil"/>
              <w:left w:val="single" w:sz="4" w:space="0" w:color="auto"/>
              <w:bottom w:val="single" w:sz="4" w:space="0" w:color="auto"/>
              <w:right w:val="single" w:sz="4" w:space="0" w:color="auto"/>
            </w:tcBorders>
            <w:vAlign w:val="center"/>
          </w:tcPr>
          <w:p w:rsidR="00666A44" w:rsidRPr="00B1011F" w:rsidRDefault="00666A44" w:rsidP="00B66D7E">
            <w:pPr>
              <w:pStyle w:val="Tabletext"/>
              <w:keepNext/>
              <w:keepLines/>
              <w:jc w:val="center"/>
            </w:pPr>
            <w:r>
              <w:t>17/58 (29.3)</w:t>
            </w:r>
          </w:p>
        </w:tc>
        <w:tc>
          <w:tcPr>
            <w:tcW w:w="1224" w:type="pct"/>
            <w:vMerge/>
            <w:tcBorders>
              <w:left w:val="single" w:sz="4" w:space="0" w:color="auto"/>
              <w:bottom w:val="single" w:sz="4" w:space="0" w:color="auto"/>
            </w:tcBorders>
          </w:tcPr>
          <w:p w:rsidR="00666A44" w:rsidRPr="00B1011F" w:rsidRDefault="00666A44" w:rsidP="00B66D7E">
            <w:pPr>
              <w:pStyle w:val="Tabletext"/>
              <w:keepNext/>
              <w:keepLines/>
              <w:jc w:val="center"/>
            </w:pPr>
          </w:p>
        </w:tc>
      </w:tr>
    </w:tbl>
    <w:p w:rsidR="00666A44" w:rsidRPr="00D123EE" w:rsidRDefault="00666A44" w:rsidP="00B66D7E">
      <w:pPr>
        <w:pStyle w:val="TableFooter"/>
        <w:keepNext/>
        <w:keepLines/>
      </w:pPr>
      <w:r w:rsidRPr="00D123EE">
        <w:t xml:space="preserve">Source: ZAL-06 Table 2-38 p140, Table 2-39 p141, Table 2-40 p142 of the submission; CAPSS-241 Table 2-50 p153 of the submission; </w:t>
      </w:r>
      <w:r w:rsidRPr="00D123EE">
        <w:rPr>
          <w:bCs/>
          <w:color w:val="000000"/>
          <w:szCs w:val="18"/>
        </w:rPr>
        <w:t xml:space="preserve">GRTF-ZAL 1 Table 2-51 p154 of the submission. </w:t>
      </w:r>
    </w:p>
    <w:p w:rsidR="00666A44" w:rsidRPr="00D123EE" w:rsidRDefault="00666A44" w:rsidP="00B66D7E">
      <w:pPr>
        <w:pStyle w:val="TableFooter"/>
        <w:keepNext/>
        <w:keepLines/>
        <w:rPr>
          <w:rFonts w:eastAsia="Calibri"/>
        </w:rPr>
      </w:pPr>
      <w:r w:rsidRPr="00D123EE">
        <w:rPr>
          <w:rFonts w:eastAsia="Calibri"/>
        </w:rPr>
        <w:t>Abbreviations: CI = confidence interval; n = number of participants with event; N = total participants in group; RD = risk difference</w:t>
      </w:r>
    </w:p>
    <w:p w:rsidR="00666A44" w:rsidRPr="00D123EE" w:rsidRDefault="00666A44" w:rsidP="00B66D7E">
      <w:pPr>
        <w:pStyle w:val="TableFooter"/>
        <w:keepNext/>
        <w:keepLines/>
        <w:rPr>
          <w:rFonts w:eastAsia="Calibri"/>
        </w:rPr>
      </w:pPr>
      <w:r w:rsidRPr="00D123EE">
        <w:rPr>
          <w:rFonts w:eastAsia="Calibri"/>
        </w:rPr>
        <w:t xml:space="preserve">Notes: Data </w:t>
      </w:r>
      <w:r w:rsidR="004F3A7C" w:rsidRPr="00D123EE">
        <w:rPr>
          <w:rFonts w:eastAsia="Calibri"/>
        </w:rPr>
        <w:t>are</w:t>
      </w:r>
      <w:r w:rsidRPr="00D123EE">
        <w:rPr>
          <w:rFonts w:eastAsia="Calibri"/>
        </w:rPr>
        <w:t xml:space="preserve"> reported as </w:t>
      </w:r>
      <w:r w:rsidRPr="00D123EE">
        <w:t xml:space="preserve">n/N (%) unless stated otherwise. </w:t>
      </w:r>
      <w:r w:rsidRPr="00D123EE">
        <w:rPr>
          <w:rFonts w:eastAsia="Calibri"/>
        </w:rPr>
        <w:t xml:space="preserve">a ZAL-06: assessed on a 4-point verbal rating scale (VRS) (3=excellent, 2=good, 1=fair, or 0=poor). </w:t>
      </w:r>
      <w:r w:rsidRPr="00D123EE">
        <w:t xml:space="preserve">Treatment response rate was judged as excellent or good, and no rescue medication of analgesic concomitant medication taken before 24:00 on the first post-operative day. </w:t>
      </w:r>
      <w:proofErr w:type="gramStart"/>
      <w:r w:rsidRPr="00D123EE">
        <w:rPr>
          <w:rFonts w:eastAsia="Calibri"/>
        </w:rPr>
        <w:t>b</w:t>
      </w:r>
      <w:proofErr w:type="gramEnd"/>
      <w:r w:rsidRPr="00D123EE">
        <w:rPr>
          <w:rFonts w:eastAsia="Calibri"/>
        </w:rPr>
        <w:t xml:space="preserve"> ZAL-06: assessed on a 4-point verbal rating scale (VRS) (3=excellent, 2=good, 1=fair, or 0=poor) on Day 2, 1</w:t>
      </w:r>
      <w:r w:rsidRPr="00D123EE">
        <w:rPr>
          <w:rFonts w:eastAsia="Calibri"/>
          <w:vertAlign w:val="superscript"/>
        </w:rPr>
        <w:t>st</w:t>
      </w:r>
      <w:r w:rsidRPr="00D123EE">
        <w:rPr>
          <w:rFonts w:eastAsia="Calibri"/>
        </w:rPr>
        <w:t xml:space="preserve"> post-operative day, </w:t>
      </w:r>
      <w:r w:rsidRPr="00D123EE">
        <w:t>Did not include caveat of rescue medication in the definition which differs from the definition of Responder</w:t>
      </w:r>
      <w:r w:rsidRPr="00D123EE">
        <w:rPr>
          <w:rFonts w:eastAsia="Calibri"/>
        </w:rPr>
        <w:t>.</w:t>
      </w:r>
      <w:r w:rsidR="004F3A7C" w:rsidRPr="00D123EE">
        <w:rPr>
          <w:rFonts w:eastAsia="Calibri"/>
        </w:rPr>
        <w:t xml:space="preserve"> The sum of the Excellent and Good categories for ZAL-06 do not sum to the Day-2 totals for the FDC: figures reported are as shown in the submission. </w:t>
      </w:r>
      <w:proofErr w:type="gramStart"/>
      <w:r w:rsidRPr="00D123EE">
        <w:rPr>
          <w:rFonts w:eastAsia="Calibri"/>
        </w:rPr>
        <w:t>c</w:t>
      </w:r>
      <w:proofErr w:type="gramEnd"/>
      <w:r w:rsidRPr="00D123EE">
        <w:rPr>
          <w:rFonts w:eastAsia="Calibri"/>
        </w:rPr>
        <w:t xml:space="preserve"> CAPSS-241: assessed on a 5-pt rating scale (5=excellent, 4=very good, 3=good, 2=fair, 1=poor). </w:t>
      </w:r>
      <w:proofErr w:type="gramStart"/>
      <w:r w:rsidRPr="00D123EE">
        <w:rPr>
          <w:rFonts w:eastAsia="Calibri"/>
        </w:rPr>
        <w:t>d</w:t>
      </w:r>
      <w:proofErr w:type="gramEnd"/>
      <w:r w:rsidRPr="00D123EE">
        <w:rPr>
          <w:rFonts w:eastAsia="Calibri"/>
        </w:rPr>
        <w:t xml:space="preserve"> </w:t>
      </w:r>
      <w:r w:rsidRPr="00D123EE">
        <w:rPr>
          <w:bCs/>
          <w:color w:val="000000"/>
          <w:szCs w:val="18"/>
        </w:rPr>
        <w:t xml:space="preserve">GRTF-ZAL 1: assessed on a </w:t>
      </w:r>
      <w:r w:rsidRPr="00D123EE">
        <w:rPr>
          <w:rFonts w:eastAsia="Calibri"/>
        </w:rPr>
        <w:t>4-point rating scale</w:t>
      </w:r>
      <w:r w:rsidRPr="00D123EE">
        <w:rPr>
          <w:bCs/>
          <w:color w:val="000000"/>
          <w:szCs w:val="18"/>
        </w:rPr>
        <w:t xml:space="preserve"> (very satisfied, satisfied, dissatisfied, very dissatisfied). </w:t>
      </w:r>
      <w:proofErr w:type="gramStart"/>
      <w:r w:rsidRPr="00D123EE">
        <w:rPr>
          <w:bCs/>
          <w:color w:val="000000"/>
          <w:szCs w:val="18"/>
        </w:rPr>
        <w:t>e</w:t>
      </w:r>
      <w:proofErr w:type="gramEnd"/>
      <w:r w:rsidRPr="00D123EE">
        <w:rPr>
          <w:bCs/>
          <w:color w:val="000000"/>
          <w:szCs w:val="18"/>
        </w:rPr>
        <w:t xml:space="preserve"> T37.5+P325 vs T50, p&lt;0.001, Wilcoxon-Mann-Whitney Test. </w:t>
      </w:r>
    </w:p>
    <w:p w:rsidR="008A5762" w:rsidRPr="00D123EE" w:rsidRDefault="008A5762" w:rsidP="008A5762"/>
    <w:p w:rsidR="000E6A46" w:rsidRPr="00D123EE" w:rsidRDefault="00CF6FCF" w:rsidP="00E22F6D">
      <w:pPr>
        <w:pStyle w:val="ListParagraph"/>
        <w:widowControl/>
        <w:numPr>
          <w:ilvl w:val="1"/>
          <w:numId w:val="1"/>
        </w:numPr>
        <w:spacing w:after="120"/>
      </w:pPr>
      <w:r w:rsidRPr="00D123EE">
        <w:t>The submission claimed there was no treatment difference in pain intensity between the FDC of tramadol 37.5 mg/paracetamol and tramadol 50 mg IR</w:t>
      </w:r>
      <w:r w:rsidR="004F3A7C" w:rsidRPr="00D123EE">
        <w:t>, based on the following:</w:t>
      </w:r>
      <w:r w:rsidRPr="00D123EE">
        <w:t xml:space="preserve"> </w:t>
      </w:r>
    </w:p>
    <w:p w:rsidR="00ED390E" w:rsidRPr="00D123EE" w:rsidRDefault="00101801" w:rsidP="00E22F6D">
      <w:pPr>
        <w:pStyle w:val="ListParagraph"/>
        <w:numPr>
          <w:ilvl w:val="0"/>
          <w:numId w:val="3"/>
        </w:numPr>
        <w:spacing w:after="120"/>
      </w:pPr>
      <w:r w:rsidRPr="00D123EE">
        <w:t>T</w:t>
      </w:r>
      <w:r w:rsidR="00ED390E" w:rsidRPr="00D123EE">
        <w:t xml:space="preserve">here was no difference in the average pain intensity </w:t>
      </w:r>
      <w:r w:rsidRPr="00D123EE">
        <w:t xml:space="preserve">in ZAL-06 as </w:t>
      </w:r>
      <w:r w:rsidR="00ED390E" w:rsidRPr="00D123EE">
        <w:t>measured on the NRS 11-point Likert scale between FDC of the of tramadol 37.5 mg/paracetamol 325</w:t>
      </w:r>
      <w:r w:rsidRPr="00D123EE">
        <w:t> </w:t>
      </w:r>
      <w:r w:rsidR="00ED390E" w:rsidRPr="00D123EE">
        <w:t xml:space="preserve">mg in the evening of Day 1 (-0.2137, 95%CI: -0.7919, 0.3645), and on the evening of Day 2 (-0.1336, 95%CI: -0.6514, 0.3843). Based on the non-inferiority margin of the upper 95%CI being less than 0.4, the submission claimed that the FDC of tramadol 37.5 mg/paracetamol 325 mg was non-inferior to tramadol 50 mg IR. </w:t>
      </w:r>
    </w:p>
    <w:p w:rsidR="00675A48" w:rsidRPr="00D123EE" w:rsidRDefault="00101801" w:rsidP="00E22F6D">
      <w:pPr>
        <w:pStyle w:val="ListParagraph"/>
        <w:numPr>
          <w:ilvl w:val="0"/>
          <w:numId w:val="3"/>
        </w:numPr>
        <w:spacing w:after="120"/>
      </w:pPr>
      <w:r w:rsidRPr="00D123EE">
        <w:t xml:space="preserve">In </w:t>
      </w:r>
      <w:r w:rsidR="00675A48" w:rsidRPr="00D123EE">
        <w:t>CAPSS-241</w:t>
      </w:r>
      <w:r w:rsidRPr="00D123EE">
        <w:t>,</w:t>
      </w:r>
      <w:r w:rsidR="00675A48" w:rsidRPr="00D123EE">
        <w:t xml:space="preserve"> </w:t>
      </w:r>
      <w:r w:rsidR="004E456A" w:rsidRPr="00455949">
        <w:t>after 6 hours</w:t>
      </w:r>
      <w:r w:rsidR="004E456A">
        <w:t xml:space="preserve"> </w:t>
      </w:r>
      <w:r w:rsidR="00675A48" w:rsidRPr="00D123EE">
        <w:t xml:space="preserve">patients treated with the FDC of tramadol 37.5 mg/paracetamol 325 mg obtained more pain relief compared with tramadol 50 mg IR (p&lt;0.001). </w:t>
      </w:r>
    </w:p>
    <w:p w:rsidR="00675A48" w:rsidRPr="00D123EE" w:rsidRDefault="00101801" w:rsidP="00E22F6D">
      <w:pPr>
        <w:pStyle w:val="ListParagraph"/>
        <w:numPr>
          <w:ilvl w:val="0"/>
          <w:numId w:val="3"/>
        </w:numPr>
        <w:spacing w:after="120"/>
      </w:pPr>
      <w:r w:rsidRPr="00D123EE">
        <w:t xml:space="preserve">In </w:t>
      </w:r>
      <w:r w:rsidR="00675A48" w:rsidRPr="00D123EE">
        <w:t>GRTF-ZAL 1</w:t>
      </w:r>
      <w:r w:rsidRPr="00D123EE">
        <w:t>,</w:t>
      </w:r>
      <w:r w:rsidR="00675A48" w:rsidRPr="00D123EE">
        <w:t xml:space="preserve"> </w:t>
      </w:r>
      <w:r w:rsidR="00462146" w:rsidRPr="00D123EE">
        <w:t>t</w:t>
      </w:r>
      <w:r w:rsidR="00675A48" w:rsidRPr="00D123EE">
        <w:t>here were no differences between the treatment groups in reduction of pain intensity after 10 days of treatment with the FDC of tramadol 37.5 mg/paracetamol 325 mg (1.23, 95% CI: -7.41, 9.97). Based on a non-inferiority margin of the upper CI being less than 14-17 mm</w:t>
      </w:r>
      <w:r w:rsidR="00455949">
        <w:t xml:space="preserve"> (</w:t>
      </w:r>
      <w:r w:rsidR="00455949" w:rsidRPr="00D123EE">
        <w:t>visual analogue scale</w:t>
      </w:r>
      <w:r w:rsidR="00455949">
        <w:t>)</w:t>
      </w:r>
      <w:r w:rsidR="00675A48" w:rsidRPr="00D123EE">
        <w:t xml:space="preserve">, the submission claimed that the FDC of tramadol 37.5 mg/paracetamol 325 mg was non-inferior to tramadol 50 mg IR. </w:t>
      </w:r>
    </w:p>
    <w:p w:rsidR="005C55AB" w:rsidRPr="00892A36" w:rsidRDefault="005C55AB" w:rsidP="005B2734">
      <w:pPr>
        <w:keepNext/>
        <w:rPr>
          <w:rStyle w:val="CommentReference"/>
        </w:rPr>
      </w:pPr>
      <w:r w:rsidRPr="002D75A7">
        <w:rPr>
          <w:rStyle w:val="CommentReference"/>
        </w:rPr>
        <w:lastRenderedPageBreak/>
        <w:t>Table 5: Change</w:t>
      </w:r>
      <w:r w:rsidRPr="006A33B8">
        <w:rPr>
          <w:rStyle w:val="CommentReference"/>
        </w:rPr>
        <w:t xml:space="preserve"> in pain intensity across</w:t>
      </w:r>
      <w:r w:rsidRPr="00892A36">
        <w:rPr>
          <w:rStyle w:val="CommentReference"/>
        </w:rPr>
        <w:t xml:space="preserve"> the </w:t>
      </w:r>
      <w:r>
        <w:rPr>
          <w:rStyle w:val="CommentReference"/>
        </w:rPr>
        <w:t xml:space="preserve">acute </w:t>
      </w:r>
      <w:r w:rsidRPr="00892A36">
        <w:rPr>
          <w:rStyle w:val="CommentReference"/>
        </w:rPr>
        <w:t>trials</w:t>
      </w:r>
      <w:r>
        <w:rPr>
          <w:rStyle w:val="CommentReference"/>
        </w:rPr>
        <w:t xml:space="preserve"> (continuous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4"/>
        <w:gridCol w:w="1240"/>
        <w:gridCol w:w="1241"/>
        <w:gridCol w:w="1241"/>
        <w:gridCol w:w="1243"/>
        <w:gridCol w:w="1857"/>
        <w:gridCol w:w="1377"/>
      </w:tblGrid>
      <w:tr w:rsidR="005C55AB" w:rsidRPr="00A1465F" w:rsidTr="000F7055">
        <w:trPr>
          <w:tblHeader/>
        </w:trPr>
        <w:tc>
          <w:tcPr>
            <w:tcW w:w="487" w:type="pct"/>
            <w:vMerge w:val="restart"/>
            <w:vAlign w:val="center"/>
          </w:tcPr>
          <w:p w:rsidR="005C55AB" w:rsidRPr="00A1465F" w:rsidRDefault="005C55AB" w:rsidP="005B2734">
            <w:pPr>
              <w:pStyle w:val="Tabletext"/>
              <w:keepNext/>
              <w:rPr>
                <w:b/>
              </w:rPr>
            </w:pPr>
            <w:r w:rsidRPr="00A1465F">
              <w:rPr>
                <w:b/>
              </w:rPr>
              <w:t>Trial ID</w:t>
            </w:r>
          </w:p>
        </w:tc>
        <w:tc>
          <w:tcPr>
            <w:tcW w:w="1366" w:type="pct"/>
            <w:gridSpan w:val="2"/>
            <w:vAlign w:val="center"/>
          </w:tcPr>
          <w:p w:rsidR="005C55AB" w:rsidRPr="00A1465F" w:rsidRDefault="005C55AB" w:rsidP="005B2734">
            <w:pPr>
              <w:pStyle w:val="Tabletext"/>
              <w:keepNext/>
              <w:ind w:left="-98" w:right="-56"/>
              <w:jc w:val="center"/>
              <w:rPr>
                <w:b/>
                <w:lang w:val="en-US"/>
              </w:rPr>
            </w:pPr>
            <w:r w:rsidRPr="00A1465F">
              <w:rPr>
                <w:rFonts w:cs="Arial"/>
                <w:b/>
                <w:szCs w:val="18"/>
              </w:rPr>
              <w:t>T37.5+P325</w:t>
            </w:r>
          </w:p>
        </w:tc>
        <w:tc>
          <w:tcPr>
            <w:tcW w:w="1367" w:type="pct"/>
            <w:gridSpan w:val="2"/>
            <w:vAlign w:val="center"/>
          </w:tcPr>
          <w:p w:rsidR="005C55AB" w:rsidRPr="00A1465F" w:rsidRDefault="005C55AB" w:rsidP="005B2734">
            <w:pPr>
              <w:pStyle w:val="Tabletext"/>
              <w:keepNext/>
              <w:ind w:left="-98" w:right="-56"/>
              <w:jc w:val="center"/>
              <w:rPr>
                <w:b/>
                <w:lang w:val="en-US"/>
              </w:rPr>
            </w:pPr>
            <w:r w:rsidRPr="00A1465F">
              <w:rPr>
                <w:rFonts w:cs="Arial"/>
                <w:b/>
                <w:szCs w:val="18"/>
              </w:rPr>
              <w:t>T50</w:t>
            </w:r>
          </w:p>
        </w:tc>
        <w:tc>
          <w:tcPr>
            <w:tcW w:w="1022" w:type="pct"/>
            <w:vMerge w:val="restart"/>
            <w:vAlign w:val="center"/>
          </w:tcPr>
          <w:p w:rsidR="005C55AB" w:rsidRPr="00A1465F" w:rsidRDefault="005C55AB" w:rsidP="005B2734">
            <w:pPr>
              <w:pStyle w:val="Tabletext"/>
              <w:keepNext/>
              <w:ind w:left="-98" w:right="-56"/>
              <w:jc w:val="center"/>
              <w:rPr>
                <w:b/>
                <w:lang w:val="en-US"/>
              </w:rPr>
            </w:pPr>
            <w:r w:rsidRPr="00A1465F">
              <w:rPr>
                <w:b/>
                <w:iCs/>
                <w:lang w:val="en-US"/>
              </w:rPr>
              <w:t xml:space="preserve">Mean </w:t>
            </w:r>
            <w:proofErr w:type="spellStart"/>
            <w:r w:rsidRPr="00A1465F">
              <w:rPr>
                <w:b/>
                <w:iCs/>
                <w:lang w:val="en-US"/>
              </w:rPr>
              <w:t>diff.</w:t>
            </w:r>
            <w:r w:rsidRPr="00A1465F">
              <w:rPr>
                <w:b/>
                <w:iCs/>
                <w:vertAlign w:val="superscript"/>
                <w:lang w:val="en-US"/>
              </w:rPr>
              <w:t>g</w:t>
            </w:r>
            <w:proofErr w:type="spellEnd"/>
            <w:r w:rsidRPr="00A1465F">
              <w:rPr>
                <w:b/>
                <w:iCs/>
                <w:lang w:val="en-US"/>
              </w:rPr>
              <w:br/>
              <w:t>(95% CI)</w:t>
            </w:r>
          </w:p>
        </w:tc>
        <w:tc>
          <w:tcPr>
            <w:tcW w:w="758" w:type="pct"/>
            <w:vMerge w:val="restart"/>
            <w:vAlign w:val="center"/>
          </w:tcPr>
          <w:p w:rsidR="005C55AB" w:rsidRPr="00A1465F" w:rsidRDefault="005C55AB" w:rsidP="005B2734">
            <w:pPr>
              <w:pStyle w:val="Tabletext"/>
              <w:keepNext/>
              <w:ind w:left="-98" w:right="-56"/>
              <w:jc w:val="center"/>
              <w:rPr>
                <w:b/>
                <w:lang w:val="en-US"/>
              </w:rPr>
            </w:pPr>
            <w:r w:rsidRPr="00A1465F">
              <w:rPr>
                <w:b/>
                <w:iCs/>
                <w:lang w:val="en-US"/>
              </w:rPr>
              <w:t>Test</w:t>
            </w:r>
          </w:p>
        </w:tc>
      </w:tr>
      <w:tr w:rsidR="005C55AB" w:rsidRPr="00A1465F" w:rsidTr="000F7055">
        <w:tc>
          <w:tcPr>
            <w:tcW w:w="487" w:type="pct"/>
            <w:vMerge/>
            <w:vAlign w:val="center"/>
          </w:tcPr>
          <w:p w:rsidR="005C55AB" w:rsidRPr="00A1465F" w:rsidRDefault="005C55AB" w:rsidP="005B2734">
            <w:pPr>
              <w:pStyle w:val="Tabletext"/>
              <w:keepNext/>
            </w:pPr>
          </w:p>
        </w:tc>
        <w:tc>
          <w:tcPr>
            <w:tcW w:w="683" w:type="pct"/>
            <w:vAlign w:val="center"/>
          </w:tcPr>
          <w:p w:rsidR="005C55AB" w:rsidRPr="00A1465F" w:rsidRDefault="005C55AB" w:rsidP="005B2734">
            <w:pPr>
              <w:pStyle w:val="Tabletext"/>
              <w:keepNext/>
              <w:ind w:left="-98" w:right="-56"/>
              <w:jc w:val="center"/>
              <w:rPr>
                <w:b/>
              </w:rPr>
            </w:pPr>
            <w:r w:rsidRPr="00A1465F">
              <w:rPr>
                <w:b/>
              </w:rPr>
              <w:t xml:space="preserve">Baseline </w:t>
            </w:r>
            <w:r w:rsidRPr="00A1465F">
              <w:rPr>
                <w:b/>
              </w:rPr>
              <w:br/>
              <w:t>mean (SD)</w:t>
            </w:r>
          </w:p>
        </w:tc>
        <w:tc>
          <w:tcPr>
            <w:tcW w:w="683" w:type="pct"/>
            <w:vAlign w:val="center"/>
          </w:tcPr>
          <w:p w:rsidR="005C55AB" w:rsidRPr="00A1465F" w:rsidRDefault="005C55AB" w:rsidP="005B2734">
            <w:pPr>
              <w:pStyle w:val="Tabletext"/>
              <w:keepNext/>
              <w:ind w:left="-98" w:right="-56"/>
              <w:jc w:val="center"/>
              <w:rPr>
                <w:b/>
              </w:rPr>
            </w:pPr>
            <w:r w:rsidRPr="00A1465F">
              <w:rPr>
                <w:b/>
              </w:rPr>
              <w:t>End of study</w:t>
            </w:r>
            <w:r w:rsidRPr="00A1465F">
              <w:rPr>
                <w:b/>
              </w:rPr>
              <w:br/>
              <w:t>mean (SD)</w:t>
            </w:r>
          </w:p>
        </w:tc>
        <w:tc>
          <w:tcPr>
            <w:tcW w:w="683" w:type="pct"/>
            <w:vAlign w:val="center"/>
          </w:tcPr>
          <w:p w:rsidR="005C55AB" w:rsidRPr="00A1465F" w:rsidRDefault="005C55AB" w:rsidP="005B2734">
            <w:pPr>
              <w:pStyle w:val="Tabletext"/>
              <w:keepNext/>
              <w:ind w:left="-98" w:right="-56"/>
              <w:jc w:val="center"/>
              <w:rPr>
                <w:b/>
              </w:rPr>
            </w:pPr>
            <w:r w:rsidRPr="00A1465F">
              <w:rPr>
                <w:b/>
              </w:rPr>
              <w:t xml:space="preserve">Baseline </w:t>
            </w:r>
            <w:r w:rsidRPr="00A1465F">
              <w:rPr>
                <w:b/>
              </w:rPr>
              <w:br/>
              <w:t>mean (SD)</w:t>
            </w:r>
          </w:p>
        </w:tc>
        <w:tc>
          <w:tcPr>
            <w:tcW w:w="684" w:type="pct"/>
            <w:vAlign w:val="center"/>
          </w:tcPr>
          <w:p w:rsidR="005C55AB" w:rsidRPr="00A1465F" w:rsidRDefault="005C55AB" w:rsidP="005B2734">
            <w:pPr>
              <w:pStyle w:val="Tabletext"/>
              <w:keepNext/>
              <w:ind w:left="-98" w:right="-56"/>
              <w:jc w:val="center"/>
              <w:rPr>
                <w:b/>
              </w:rPr>
            </w:pPr>
            <w:r w:rsidRPr="00A1465F">
              <w:rPr>
                <w:b/>
              </w:rPr>
              <w:t>End of study</w:t>
            </w:r>
            <w:r w:rsidRPr="00A1465F">
              <w:rPr>
                <w:b/>
              </w:rPr>
              <w:br/>
              <w:t>mean (SD)</w:t>
            </w:r>
          </w:p>
        </w:tc>
        <w:tc>
          <w:tcPr>
            <w:tcW w:w="1022" w:type="pct"/>
            <w:vMerge/>
            <w:vAlign w:val="center"/>
          </w:tcPr>
          <w:p w:rsidR="005C55AB" w:rsidRPr="00A1465F" w:rsidRDefault="005C55AB" w:rsidP="005B2734">
            <w:pPr>
              <w:pStyle w:val="Tabletext"/>
              <w:keepNext/>
              <w:ind w:left="-98" w:right="-56"/>
              <w:jc w:val="center"/>
            </w:pPr>
          </w:p>
        </w:tc>
        <w:tc>
          <w:tcPr>
            <w:tcW w:w="758" w:type="pct"/>
            <w:vMerge/>
            <w:vAlign w:val="center"/>
          </w:tcPr>
          <w:p w:rsidR="005C55AB" w:rsidRPr="00A1465F" w:rsidRDefault="005C55AB" w:rsidP="005B2734">
            <w:pPr>
              <w:pStyle w:val="Tabletext"/>
              <w:keepNext/>
              <w:ind w:left="-98" w:right="-56"/>
              <w:jc w:val="center"/>
            </w:pPr>
          </w:p>
        </w:tc>
      </w:tr>
      <w:tr w:rsidR="005C55AB" w:rsidRPr="00A1465F" w:rsidTr="000F7055">
        <w:tc>
          <w:tcPr>
            <w:tcW w:w="487" w:type="pct"/>
            <w:tcBorders>
              <w:bottom w:val="single" w:sz="4" w:space="0" w:color="auto"/>
            </w:tcBorders>
            <w:vAlign w:val="center"/>
          </w:tcPr>
          <w:p w:rsidR="005C55AB" w:rsidRPr="00A1465F" w:rsidRDefault="005C55AB" w:rsidP="005B2734">
            <w:pPr>
              <w:pStyle w:val="Tabletext"/>
              <w:keepNext/>
              <w:jc w:val="center"/>
            </w:pPr>
            <w:r w:rsidRPr="00A1465F">
              <w:t>ZAL-06</w:t>
            </w:r>
            <w:r w:rsidRPr="00A1465F">
              <w:rPr>
                <w:vertAlign w:val="superscript"/>
              </w:rPr>
              <w:t>a</w:t>
            </w:r>
          </w:p>
        </w:tc>
        <w:tc>
          <w:tcPr>
            <w:tcW w:w="683" w:type="pct"/>
            <w:tcBorders>
              <w:bottom w:val="single" w:sz="4" w:space="0" w:color="auto"/>
            </w:tcBorders>
            <w:vAlign w:val="center"/>
          </w:tcPr>
          <w:p w:rsidR="005C55AB" w:rsidRPr="00A1465F" w:rsidRDefault="005C55AB" w:rsidP="005B2734">
            <w:pPr>
              <w:pStyle w:val="Tabletext"/>
              <w:keepNext/>
              <w:jc w:val="center"/>
            </w:pPr>
            <w:r w:rsidRPr="00A1465F">
              <w:t>2.7 (2.2)</w:t>
            </w:r>
          </w:p>
        </w:tc>
        <w:tc>
          <w:tcPr>
            <w:tcW w:w="683" w:type="pct"/>
            <w:tcBorders>
              <w:bottom w:val="single" w:sz="4" w:space="0" w:color="auto"/>
            </w:tcBorders>
            <w:vAlign w:val="center"/>
          </w:tcPr>
          <w:p w:rsidR="005C55AB" w:rsidRPr="00A1465F" w:rsidRDefault="005C55AB" w:rsidP="005B2734">
            <w:pPr>
              <w:pStyle w:val="Tabletext"/>
              <w:keepNext/>
              <w:jc w:val="center"/>
            </w:pPr>
            <w:r w:rsidRPr="00A1465F">
              <w:t>1.7 (2.0)</w:t>
            </w:r>
          </w:p>
        </w:tc>
        <w:tc>
          <w:tcPr>
            <w:tcW w:w="683" w:type="pct"/>
            <w:tcBorders>
              <w:bottom w:val="single" w:sz="4" w:space="0" w:color="auto"/>
            </w:tcBorders>
            <w:vAlign w:val="center"/>
          </w:tcPr>
          <w:p w:rsidR="005C55AB" w:rsidRPr="00A1465F" w:rsidRDefault="005C55AB" w:rsidP="005B2734">
            <w:pPr>
              <w:pStyle w:val="Tabletext"/>
              <w:keepNext/>
              <w:jc w:val="center"/>
            </w:pPr>
            <w:r w:rsidRPr="00A1465F">
              <w:t>2.9 (2.6)</w:t>
            </w:r>
          </w:p>
        </w:tc>
        <w:tc>
          <w:tcPr>
            <w:tcW w:w="684" w:type="pct"/>
            <w:tcBorders>
              <w:bottom w:val="single" w:sz="4" w:space="0" w:color="auto"/>
            </w:tcBorders>
            <w:vAlign w:val="center"/>
          </w:tcPr>
          <w:p w:rsidR="005C55AB" w:rsidRPr="00A1465F" w:rsidRDefault="005C55AB" w:rsidP="005B2734">
            <w:pPr>
              <w:pStyle w:val="Tabletext"/>
              <w:keepNext/>
              <w:jc w:val="center"/>
            </w:pPr>
            <w:r w:rsidRPr="00A1465F">
              <w:t>1.7 (2.0)</w:t>
            </w:r>
          </w:p>
        </w:tc>
        <w:tc>
          <w:tcPr>
            <w:tcW w:w="1022" w:type="pct"/>
            <w:tcBorders>
              <w:bottom w:val="single" w:sz="4" w:space="0" w:color="auto"/>
            </w:tcBorders>
            <w:vAlign w:val="center"/>
          </w:tcPr>
          <w:p w:rsidR="005C55AB" w:rsidRPr="00A1465F" w:rsidRDefault="005C55AB" w:rsidP="005B2734">
            <w:pPr>
              <w:pStyle w:val="Tabletext"/>
              <w:keepNext/>
              <w:jc w:val="center"/>
            </w:pPr>
            <w:r w:rsidRPr="00A1465F">
              <w:t>-0.13 (-0.65, 0.38), p=0.6118</w:t>
            </w:r>
          </w:p>
        </w:tc>
        <w:tc>
          <w:tcPr>
            <w:tcW w:w="758" w:type="pct"/>
            <w:tcBorders>
              <w:bottom w:val="single" w:sz="4" w:space="0" w:color="auto"/>
            </w:tcBorders>
            <w:vAlign w:val="center"/>
          </w:tcPr>
          <w:p w:rsidR="005C55AB" w:rsidRPr="00A1465F" w:rsidRDefault="005C55AB" w:rsidP="005B2734">
            <w:pPr>
              <w:pStyle w:val="Tabletext"/>
              <w:keepNext/>
              <w:ind w:left="-170" w:right="-50"/>
              <w:jc w:val="center"/>
            </w:pPr>
            <w:r w:rsidRPr="00A1465F">
              <w:t xml:space="preserve">ANOVA: </w:t>
            </w:r>
            <w:r w:rsidRPr="00A1465F">
              <w:br/>
              <w:t>11 pt. Likert</w:t>
            </w:r>
          </w:p>
        </w:tc>
      </w:tr>
      <w:tr w:rsidR="005C55AB" w:rsidRPr="00A1465F" w:rsidTr="000F7055">
        <w:tc>
          <w:tcPr>
            <w:tcW w:w="487" w:type="pct"/>
            <w:tcBorders>
              <w:bottom w:val="nil"/>
              <w:right w:val="single" w:sz="4" w:space="0" w:color="auto"/>
            </w:tcBorders>
            <w:vAlign w:val="center"/>
          </w:tcPr>
          <w:p w:rsidR="005C55AB" w:rsidRPr="00A1465F" w:rsidRDefault="005C55AB" w:rsidP="005B2734">
            <w:pPr>
              <w:pStyle w:val="Tabletext"/>
              <w:keepNext/>
            </w:pPr>
            <w:r w:rsidRPr="00A1465F">
              <w:rPr>
                <w:rFonts w:cs="Arial"/>
                <w:szCs w:val="18"/>
              </w:rPr>
              <w:t>CAPSS-241</w:t>
            </w:r>
          </w:p>
        </w:tc>
        <w:tc>
          <w:tcPr>
            <w:tcW w:w="683" w:type="pct"/>
            <w:tcBorders>
              <w:left w:val="single" w:sz="4" w:space="0" w:color="auto"/>
              <w:bottom w:val="nil"/>
              <w:right w:val="single" w:sz="4" w:space="0" w:color="auto"/>
            </w:tcBorders>
            <w:vAlign w:val="center"/>
          </w:tcPr>
          <w:p w:rsidR="005C55AB" w:rsidRPr="00A1465F" w:rsidRDefault="005C55AB" w:rsidP="005B2734">
            <w:pPr>
              <w:pStyle w:val="Tabletext"/>
              <w:keepNext/>
              <w:jc w:val="center"/>
            </w:pPr>
          </w:p>
        </w:tc>
        <w:tc>
          <w:tcPr>
            <w:tcW w:w="683" w:type="pct"/>
            <w:tcBorders>
              <w:left w:val="single" w:sz="4" w:space="0" w:color="auto"/>
              <w:bottom w:val="nil"/>
              <w:right w:val="single" w:sz="4" w:space="0" w:color="auto"/>
            </w:tcBorders>
            <w:vAlign w:val="center"/>
          </w:tcPr>
          <w:p w:rsidR="005C55AB" w:rsidRPr="00A1465F" w:rsidRDefault="005C55AB" w:rsidP="005B2734">
            <w:pPr>
              <w:pStyle w:val="Tabletext"/>
              <w:keepNext/>
              <w:jc w:val="center"/>
            </w:pPr>
            <w:r w:rsidRPr="00A1465F">
              <w:t>n=72</w:t>
            </w:r>
          </w:p>
        </w:tc>
        <w:tc>
          <w:tcPr>
            <w:tcW w:w="683" w:type="pct"/>
            <w:tcBorders>
              <w:left w:val="single" w:sz="4" w:space="0" w:color="auto"/>
              <w:bottom w:val="nil"/>
              <w:right w:val="single" w:sz="4" w:space="0" w:color="auto"/>
            </w:tcBorders>
            <w:vAlign w:val="center"/>
          </w:tcPr>
          <w:p w:rsidR="005C55AB" w:rsidRPr="00A1465F" w:rsidRDefault="005C55AB" w:rsidP="005B2734">
            <w:pPr>
              <w:pStyle w:val="Tabletext"/>
              <w:keepNext/>
              <w:jc w:val="center"/>
            </w:pPr>
          </w:p>
        </w:tc>
        <w:tc>
          <w:tcPr>
            <w:tcW w:w="684" w:type="pct"/>
            <w:tcBorders>
              <w:left w:val="single" w:sz="4" w:space="0" w:color="auto"/>
              <w:bottom w:val="nil"/>
              <w:right w:val="single" w:sz="4" w:space="0" w:color="auto"/>
            </w:tcBorders>
            <w:vAlign w:val="center"/>
          </w:tcPr>
          <w:p w:rsidR="005C55AB" w:rsidRPr="00A1465F" w:rsidRDefault="005C55AB" w:rsidP="005B2734">
            <w:pPr>
              <w:pStyle w:val="Tabletext"/>
              <w:keepNext/>
              <w:jc w:val="center"/>
            </w:pPr>
            <w:r w:rsidRPr="00A1465F">
              <w:t>n=25</w:t>
            </w:r>
          </w:p>
        </w:tc>
        <w:tc>
          <w:tcPr>
            <w:tcW w:w="1022" w:type="pct"/>
            <w:tcBorders>
              <w:left w:val="single" w:sz="4" w:space="0" w:color="auto"/>
              <w:bottom w:val="nil"/>
              <w:right w:val="single" w:sz="4" w:space="0" w:color="auto"/>
            </w:tcBorders>
            <w:vAlign w:val="center"/>
          </w:tcPr>
          <w:p w:rsidR="005C55AB" w:rsidRPr="00A1465F" w:rsidRDefault="005C55AB" w:rsidP="005B2734">
            <w:pPr>
              <w:pStyle w:val="Tabletext"/>
              <w:keepNext/>
              <w:jc w:val="center"/>
            </w:pPr>
          </w:p>
        </w:tc>
        <w:tc>
          <w:tcPr>
            <w:tcW w:w="758" w:type="pct"/>
            <w:tcBorders>
              <w:left w:val="single" w:sz="4" w:space="0" w:color="auto"/>
              <w:bottom w:val="nil"/>
            </w:tcBorders>
            <w:vAlign w:val="center"/>
          </w:tcPr>
          <w:p w:rsidR="005C55AB" w:rsidRPr="00A1465F" w:rsidRDefault="005C55AB" w:rsidP="005B2734">
            <w:pPr>
              <w:pStyle w:val="Tabletext"/>
              <w:keepNext/>
              <w:jc w:val="center"/>
            </w:pPr>
          </w:p>
        </w:tc>
      </w:tr>
      <w:tr w:rsidR="005C55AB" w:rsidRPr="00A1465F" w:rsidTr="000F7055">
        <w:tc>
          <w:tcPr>
            <w:tcW w:w="487" w:type="pct"/>
            <w:tcBorders>
              <w:top w:val="nil"/>
              <w:bottom w:val="nil"/>
              <w:right w:val="single" w:sz="4" w:space="0" w:color="auto"/>
            </w:tcBorders>
            <w:vAlign w:val="center"/>
          </w:tcPr>
          <w:p w:rsidR="005C55AB" w:rsidRPr="00A1465F" w:rsidRDefault="005C55AB" w:rsidP="005B2734">
            <w:pPr>
              <w:pStyle w:val="Tabletext"/>
              <w:keepNext/>
              <w:rPr>
                <w:rFonts w:cs="Arial"/>
                <w:szCs w:val="18"/>
              </w:rPr>
            </w:pPr>
            <w:proofErr w:type="spellStart"/>
            <w:r w:rsidRPr="00A1465F">
              <w:rPr>
                <w:rFonts w:cs="Arial"/>
                <w:szCs w:val="18"/>
              </w:rPr>
              <w:t>PID</w:t>
            </w:r>
            <w:r w:rsidRPr="00A1465F">
              <w:rPr>
                <w:rFonts w:cs="Arial"/>
                <w:szCs w:val="18"/>
                <w:vertAlign w:val="superscript"/>
              </w:rPr>
              <w:t>b</w:t>
            </w:r>
            <w:proofErr w:type="spellEnd"/>
          </w:p>
        </w:tc>
        <w:tc>
          <w:tcPr>
            <w:tcW w:w="683" w:type="pct"/>
            <w:tcBorders>
              <w:top w:val="nil"/>
              <w:left w:val="single" w:sz="4" w:space="0" w:color="auto"/>
              <w:bottom w:val="nil"/>
              <w:right w:val="single" w:sz="4" w:space="0" w:color="auto"/>
            </w:tcBorders>
            <w:vAlign w:val="center"/>
          </w:tcPr>
          <w:p w:rsidR="005C55AB" w:rsidRPr="00A1465F" w:rsidRDefault="005C55AB" w:rsidP="005B2734">
            <w:pPr>
              <w:pStyle w:val="Tabletext"/>
              <w:keepNext/>
              <w:jc w:val="center"/>
            </w:pPr>
            <w:proofErr w:type="spellStart"/>
            <w:r w:rsidRPr="00A1465F">
              <w:t>NR</w:t>
            </w:r>
            <w:r w:rsidRPr="00A1465F">
              <w:rPr>
                <w:vertAlign w:val="superscript"/>
              </w:rPr>
              <w:t>c</w:t>
            </w:r>
            <w:proofErr w:type="spellEnd"/>
          </w:p>
        </w:tc>
        <w:tc>
          <w:tcPr>
            <w:tcW w:w="683" w:type="pct"/>
            <w:tcBorders>
              <w:top w:val="nil"/>
              <w:left w:val="single" w:sz="4" w:space="0" w:color="auto"/>
              <w:bottom w:val="nil"/>
              <w:right w:val="single" w:sz="4" w:space="0" w:color="auto"/>
            </w:tcBorders>
            <w:vAlign w:val="center"/>
          </w:tcPr>
          <w:p w:rsidR="005C55AB" w:rsidRPr="00A1465F" w:rsidRDefault="005C55AB" w:rsidP="005B2734">
            <w:pPr>
              <w:pStyle w:val="Tabletext"/>
              <w:keepNext/>
              <w:jc w:val="center"/>
            </w:pPr>
            <w:r w:rsidRPr="00A1465F">
              <w:t>0.5 (0.78)</w:t>
            </w:r>
          </w:p>
        </w:tc>
        <w:tc>
          <w:tcPr>
            <w:tcW w:w="683" w:type="pct"/>
            <w:tcBorders>
              <w:top w:val="nil"/>
              <w:left w:val="single" w:sz="4" w:space="0" w:color="auto"/>
              <w:bottom w:val="nil"/>
              <w:right w:val="single" w:sz="4" w:space="0" w:color="auto"/>
            </w:tcBorders>
            <w:vAlign w:val="center"/>
          </w:tcPr>
          <w:p w:rsidR="005C55AB" w:rsidRPr="00A1465F" w:rsidRDefault="005C55AB" w:rsidP="005B2734">
            <w:pPr>
              <w:pStyle w:val="Tabletext"/>
              <w:keepNext/>
              <w:jc w:val="center"/>
            </w:pPr>
            <w:proofErr w:type="spellStart"/>
            <w:r w:rsidRPr="00A1465F">
              <w:t>NR</w:t>
            </w:r>
            <w:r w:rsidRPr="00A1465F">
              <w:rPr>
                <w:vertAlign w:val="superscript"/>
              </w:rPr>
              <w:t>c</w:t>
            </w:r>
            <w:proofErr w:type="spellEnd"/>
          </w:p>
        </w:tc>
        <w:tc>
          <w:tcPr>
            <w:tcW w:w="684" w:type="pct"/>
            <w:tcBorders>
              <w:top w:val="nil"/>
              <w:left w:val="single" w:sz="4" w:space="0" w:color="auto"/>
              <w:bottom w:val="nil"/>
              <w:right w:val="single" w:sz="4" w:space="0" w:color="auto"/>
            </w:tcBorders>
            <w:vAlign w:val="center"/>
          </w:tcPr>
          <w:p w:rsidR="005C55AB" w:rsidRPr="00A1465F" w:rsidRDefault="005C55AB" w:rsidP="005B2734">
            <w:pPr>
              <w:pStyle w:val="Tabletext"/>
              <w:keepNext/>
              <w:jc w:val="center"/>
            </w:pPr>
            <w:r w:rsidRPr="00A1465F">
              <w:t>0.2 (0.55)</w:t>
            </w:r>
          </w:p>
        </w:tc>
        <w:tc>
          <w:tcPr>
            <w:tcW w:w="1022" w:type="pct"/>
            <w:tcBorders>
              <w:top w:val="nil"/>
              <w:left w:val="single" w:sz="4" w:space="0" w:color="auto"/>
              <w:bottom w:val="nil"/>
              <w:right w:val="single" w:sz="4" w:space="0" w:color="auto"/>
            </w:tcBorders>
            <w:vAlign w:val="center"/>
          </w:tcPr>
          <w:p w:rsidR="005C55AB" w:rsidRPr="00A1465F" w:rsidRDefault="005C55AB" w:rsidP="005B2734">
            <w:pPr>
              <w:pStyle w:val="Tabletext"/>
              <w:keepNext/>
              <w:jc w:val="center"/>
            </w:pPr>
            <w:r w:rsidRPr="00A1465F">
              <w:t>p&lt;0.001</w:t>
            </w:r>
            <w:r w:rsidRPr="00A1465F">
              <w:rPr>
                <w:vertAlign w:val="superscript"/>
              </w:rPr>
              <w:t>e</w:t>
            </w:r>
          </w:p>
        </w:tc>
        <w:tc>
          <w:tcPr>
            <w:tcW w:w="758" w:type="pct"/>
            <w:tcBorders>
              <w:top w:val="nil"/>
              <w:left w:val="single" w:sz="4" w:space="0" w:color="auto"/>
              <w:bottom w:val="nil"/>
            </w:tcBorders>
            <w:vAlign w:val="center"/>
          </w:tcPr>
          <w:p w:rsidR="005C55AB" w:rsidRPr="00A1465F" w:rsidRDefault="005C55AB" w:rsidP="005B2734">
            <w:pPr>
              <w:pStyle w:val="Tabletext"/>
              <w:keepNext/>
              <w:jc w:val="center"/>
            </w:pPr>
            <w:r w:rsidRPr="00A1465F">
              <w:t>4-pt Likert</w:t>
            </w:r>
          </w:p>
        </w:tc>
      </w:tr>
      <w:tr w:rsidR="005C55AB" w:rsidRPr="00A1465F" w:rsidTr="000F7055">
        <w:tc>
          <w:tcPr>
            <w:tcW w:w="487" w:type="pct"/>
            <w:tcBorders>
              <w:top w:val="nil"/>
              <w:right w:val="single" w:sz="4" w:space="0" w:color="auto"/>
            </w:tcBorders>
            <w:vAlign w:val="center"/>
          </w:tcPr>
          <w:p w:rsidR="005C55AB" w:rsidRPr="00A1465F" w:rsidRDefault="005C55AB" w:rsidP="005B2734">
            <w:pPr>
              <w:pStyle w:val="Tabletext"/>
              <w:keepNext/>
              <w:rPr>
                <w:rFonts w:cs="Arial"/>
                <w:szCs w:val="18"/>
              </w:rPr>
            </w:pPr>
            <w:proofErr w:type="spellStart"/>
            <w:r w:rsidRPr="00A1465F">
              <w:rPr>
                <w:rFonts w:cs="Arial"/>
                <w:szCs w:val="18"/>
              </w:rPr>
              <w:t>SPID</w:t>
            </w:r>
            <w:r w:rsidRPr="00A1465F">
              <w:rPr>
                <w:rFonts w:cs="Arial"/>
                <w:szCs w:val="18"/>
                <w:vertAlign w:val="superscript"/>
              </w:rPr>
              <w:t>d</w:t>
            </w:r>
            <w:proofErr w:type="spellEnd"/>
          </w:p>
        </w:tc>
        <w:tc>
          <w:tcPr>
            <w:tcW w:w="683" w:type="pct"/>
            <w:tcBorders>
              <w:top w:val="nil"/>
              <w:left w:val="single" w:sz="4" w:space="0" w:color="auto"/>
              <w:right w:val="single" w:sz="4" w:space="0" w:color="auto"/>
            </w:tcBorders>
            <w:vAlign w:val="center"/>
          </w:tcPr>
          <w:p w:rsidR="005C55AB" w:rsidRPr="00A1465F" w:rsidRDefault="005C55AB" w:rsidP="005B2734">
            <w:pPr>
              <w:pStyle w:val="Tabletext"/>
              <w:keepNext/>
              <w:jc w:val="center"/>
            </w:pPr>
            <w:proofErr w:type="spellStart"/>
            <w:r w:rsidRPr="00A1465F">
              <w:t>NR</w:t>
            </w:r>
            <w:r w:rsidRPr="00A1465F">
              <w:rPr>
                <w:vertAlign w:val="superscript"/>
              </w:rPr>
              <w:t>c</w:t>
            </w:r>
            <w:proofErr w:type="spellEnd"/>
          </w:p>
        </w:tc>
        <w:tc>
          <w:tcPr>
            <w:tcW w:w="683" w:type="pct"/>
            <w:tcBorders>
              <w:top w:val="nil"/>
              <w:left w:val="single" w:sz="4" w:space="0" w:color="auto"/>
              <w:right w:val="single" w:sz="4" w:space="0" w:color="auto"/>
            </w:tcBorders>
            <w:vAlign w:val="center"/>
          </w:tcPr>
          <w:p w:rsidR="005C55AB" w:rsidRPr="00A1465F" w:rsidRDefault="005C55AB" w:rsidP="005B2734">
            <w:pPr>
              <w:pStyle w:val="Tabletext"/>
              <w:keepNext/>
              <w:jc w:val="center"/>
            </w:pPr>
            <w:r w:rsidRPr="00A1465F">
              <w:t>3.1 (3.57)</w:t>
            </w:r>
          </w:p>
        </w:tc>
        <w:tc>
          <w:tcPr>
            <w:tcW w:w="683" w:type="pct"/>
            <w:tcBorders>
              <w:top w:val="nil"/>
              <w:left w:val="single" w:sz="4" w:space="0" w:color="auto"/>
              <w:right w:val="single" w:sz="4" w:space="0" w:color="auto"/>
            </w:tcBorders>
            <w:vAlign w:val="center"/>
          </w:tcPr>
          <w:p w:rsidR="005C55AB" w:rsidRPr="00A1465F" w:rsidRDefault="005C55AB" w:rsidP="005B2734">
            <w:pPr>
              <w:pStyle w:val="Tabletext"/>
              <w:keepNext/>
              <w:jc w:val="center"/>
            </w:pPr>
            <w:proofErr w:type="spellStart"/>
            <w:r w:rsidRPr="00A1465F">
              <w:t>NR</w:t>
            </w:r>
            <w:r w:rsidRPr="00A1465F">
              <w:rPr>
                <w:vertAlign w:val="superscript"/>
              </w:rPr>
              <w:t>c</w:t>
            </w:r>
            <w:proofErr w:type="spellEnd"/>
          </w:p>
        </w:tc>
        <w:tc>
          <w:tcPr>
            <w:tcW w:w="684" w:type="pct"/>
            <w:tcBorders>
              <w:top w:val="nil"/>
              <w:left w:val="single" w:sz="4" w:space="0" w:color="auto"/>
              <w:right w:val="single" w:sz="4" w:space="0" w:color="auto"/>
            </w:tcBorders>
            <w:vAlign w:val="center"/>
          </w:tcPr>
          <w:p w:rsidR="005C55AB" w:rsidRPr="00A1465F" w:rsidRDefault="005C55AB" w:rsidP="005B2734">
            <w:pPr>
              <w:pStyle w:val="Tabletext"/>
              <w:keepNext/>
              <w:jc w:val="center"/>
            </w:pPr>
            <w:r w:rsidRPr="00A1465F">
              <w:t>0.6 (2.65)</w:t>
            </w:r>
          </w:p>
        </w:tc>
        <w:tc>
          <w:tcPr>
            <w:tcW w:w="1022" w:type="pct"/>
            <w:tcBorders>
              <w:top w:val="nil"/>
              <w:left w:val="single" w:sz="4" w:space="0" w:color="auto"/>
              <w:right w:val="single" w:sz="4" w:space="0" w:color="auto"/>
            </w:tcBorders>
            <w:vAlign w:val="center"/>
          </w:tcPr>
          <w:p w:rsidR="005C55AB" w:rsidRPr="00A1465F" w:rsidRDefault="005C55AB" w:rsidP="005B2734">
            <w:pPr>
              <w:pStyle w:val="Tabletext"/>
              <w:keepNext/>
              <w:jc w:val="center"/>
            </w:pPr>
            <w:r w:rsidRPr="00A1465F">
              <w:t>p&lt;0.001</w:t>
            </w:r>
            <w:r w:rsidRPr="00A1465F">
              <w:rPr>
                <w:vertAlign w:val="superscript"/>
              </w:rPr>
              <w:t>e</w:t>
            </w:r>
          </w:p>
        </w:tc>
        <w:tc>
          <w:tcPr>
            <w:tcW w:w="758" w:type="pct"/>
            <w:tcBorders>
              <w:top w:val="nil"/>
              <w:left w:val="single" w:sz="4" w:space="0" w:color="auto"/>
            </w:tcBorders>
            <w:vAlign w:val="center"/>
          </w:tcPr>
          <w:p w:rsidR="005C55AB" w:rsidRPr="00A1465F" w:rsidRDefault="005C55AB" w:rsidP="005B2734">
            <w:pPr>
              <w:pStyle w:val="Tabletext"/>
              <w:keepNext/>
              <w:jc w:val="center"/>
            </w:pPr>
          </w:p>
        </w:tc>
      </w:tr>
      <w:tr w:rsidR="005C55AB" w:rsidRPr="00A1465F" w:rsidTr="000F7055">
        <w:tc>
          <w:tcPr>
            <w:tcW w:w="487" w:type="pct"/>
            <w:vAlign w:val="center"/>
          </w:tcPr>
          <w:p w:rsidR="005C55AB" w:rsidRPr="00A1465F" w:rsidRDefault="005C55AB" w:rsidP="005B2734">
            <w:pPr>
              <w:pStyle w:val="Tabletext"/>
              <w:keepNext/>
            </w:pPr>
            <w:r w:rsidRPr="00A1465F">
              <w:rPr>
                <w:rFonts w:cs="Arial"/>
                <w:bCs/>
                <w:color w:val="000000"/>
                <w:szCs w:val="18"/>
              </w:rPr>
              <w:t>GRTF-ZAL 1</w:t>
            </w:r>
            <w:r w:rsidRPr="00A1465F">
              <w:rPr>
                <w:rFonts w:cs="Arial"/>
                <w:bCs/>
                <w:color w:val="000000"/>
                <w:szCs w:val="18"/>
                <w:vertAlign w:val="superscript"/>
              </w:rPr>
              <w:t>f</w:t>
            </w:r>
          </w:p>
        </w:tc>
        <w:tc>
          <w:tcPr>
            <w:tcW w:w="683" w:type="pct"/>
          </w:tcPr>
          <w:p w:rsidR="005C55AB" w:rsidRPr="00A1465F" w:rsidRDefault="005C55AB" w:rsidP="005B2734">
            <w:pPr>
              <w:pStyle w:val="Tabletext"/>
              <w:keepNext/>
              <w:jc w:val="center"/>
            </w:pPr>
            <w:r w:rsidRPr="00A1465F">
              <w:t>N=59</w:t>
            </w:r>
            <w:r w:rsidRPr="00A1465F">
              <w:br/>
              <w:t>65.6 (13.4)</w:t>
            </w:r>
          </w:p>
        </w:tc>
        <w:tc>
          <w:tcPr>
            <w:tcW w:w="683" w:type="pct"/>
          </w:tcPr>
          <w:p w:rsidR="005C55AB" w:rsidRPr="00A1465F" w:rsidRDefault="005C55AB" w:rsidP="005B2734">
            <w:pPr>
              <w:pStyle w:val="Tabletext"/>
              <w:keepNext/>
              <w:jc w:val="center"/>
            </w:pPr>
            <w:r w:rsidRPr="00A1465F">
              <w:t>N=55</w:t>
            </w:r>
            <w:r w:rsidRPr="00A1465F">
              <w:br/>
              <w:t>29.0 (22.5)</w:t>
            </w:r>
          </w:p>
        </w:tc>
        <w:tc>
          <w:tcPr>
            <w:tcW w:w="683" w:type="pct"/>
          </w:tcPr>
          <w:p w:rsidR="005C55AB" w:rsidRPr="00A1465F" w:rsidRDefault="005C55AB" w:rsidP="005B2734">
            <w:pPr>
              <w:pStyle w:val="Tabletext"/>
              <w:keepNext/>
              <w:jc w:val="center"/>
            </w:pPr>
            <w:r w:rsidRPr="00A1465F">
              <w:t>N=58</w:t>
            </w:r>
            <w:r w:rsidRPr="00A1465F">
              <w:br/>
              <w:t>64.5 (14.0)</w:t>
            </w:r>
          </w:p>
        </w:tc>
        <w:tc>
          <w:tcPr>
            <w:tcW w:w="684" w:type="pct"/>
          </w:tcPr>
          <w:p w:rsidR="005C55AB" w:rsidRPr="00A1465F" w:rsidRDefault="005C55AB" w:rsidP="005B2734">
            <w:pPr>
              <w:pStyle w:val="Tabletext"/>
              <w:keepNext/>
              <w:jc w:val="center"/>
            </w:pPr>
            <w:r w:rsidRPr="00A1465F">
              <w:t>N=55</w:t>
            </w:r>
            <w:r w:rsidRPr="00A1465F">
              <w:br/>
              <w:t>27.8 (23.3)</w:t>
            </w:r>
          </w:p>
        </w:tc>
        <w:tc>
          <w:tcPr>
            <w:tcW w:w="1022" w:type="pct"/>
            <w:vAlign w:val="center"/>
          </w:tcPr>
          <w:p w:rsidR="005C55AB" w:rsidRPr="00A1465F" w:rsidRDefault="005C55AB" w:rsidP="005B2734">
            <w:pPr>
              <w:pStyle w:val="Tabletext"/>
              <w:keepNext/>
              <w:jc w:val="center"/>
            </w:pPr>
            <w:r w:rsidRPr="00A1465F">
              <w:t>1.23 (–7.41 to 9.87) p=0.9634</w:t>
            </w:r>
          </w:p>
        </w:tc>
        <w:tc>
          <w:tcPr>
            <w:tcW w:w="758" w:type="pct"/>
            <w:vAlign w:val="center"/>
          </w:tcPr>
          <w:p w:rsidR="005C55AB" w:rsidRPr="00A1465F" w:rsidRDefault="005C55AB" w:rsidP="005B2734">
            <w:pPr>
              <w:pStyle w:val="Tabletext"/>
              <w:keepNext/>
              <w:jc w:val="center"/>
            </w:pPr>
            <w:r w:rsidRPr="00A1465F">
              <w:t>100 mm VAS</w:t>
            </w:r>
          </w:p>
        </w:tc>
      </w:tr>
    </w:tbl>
    <w:p w:rsidR="005C55AB" w:rsidRPr="00D123EE" w:rsidRDefault="005C55AB" w:rsidP="005B2734">
      <w:pPr>
        <w:pStyle w:val="TableFooter"/>
        <w:keepNext/>
        <w:rPr>
          <w:sz w:val="20"/>
        </w:rPr>
      </w:pPr>
      <w:r w:rsidRPr="00D123EE">
        <w:t xml:space="preserve">Source: ZAL-06 Table 2-42 p143 of the submission; CAPSS-241 CSR Table 8 p50; </w:t>
      </w:r>
      <w:r w:rsidRPr="00D123EE">
        <w:rPr>
          <w:bCs/>
          <w:color w:val="000000"/>
          <w:szCs w:val="18"/>
        </w:rPr>
        <w:t xml:space="preserve">GRTF-ZAL 1 Table 2-52 p155 of the submission; </w:t>
      </w:r>
    </w:p>
    <w:p w:rsidR="005C55AB" w:rsidRPr="00D123EE" w:rsidRDefault="005C55AB" w:rsidP="005B2734">
      <w:pPr>
        <w:pStyle w:val="TableFooter"/>
        <w:keepNext/>
      </w:pPr>
      <w:r w:rsidRPr="00D123EE">
        <w:t>Abbreviations: ANCOVA = analysis of covariance; CI = confidence interval; PID= pain intensity difference; SD = standard deviation; SPID= sum of pain intensity differences</w:t>
      </w:r>
      <w:r w:rsidR="004406F2" w:rsidRPr="00D123EE">
        <w:t>; VAS = visual analogue scale.</w:t>
      </w:r>
      <w:r w:rsidRPr="00D123EE">
        <w:t xml:space="preserve"> </w:t>
      </w:r>
    </w:p>
    <w:p w:rsidR="005C55AB" w:rsidRPr="00D123EE" w:rsidRDefault="005C55AB" w:rsidP="005B2734">
      <w:pPr>
        <w:pStyle w:val="TableFooter"/>
        <w:keepNext/>
      </w:pPr>
      <w:r w:rsidRPr="00D123EE">
        <w:t>Notes:</w:t>
      </w:r>
      <w:r w:rsidRPr="00D123EE">
        <w:rPr>
          <w:vertAlign w:val="superscript"/>
        </w:rPr>
        <w:t xml:space="preserve"> a</w:t>
      </w:r>
      <w:r w:rsidRPr="00D123EE">
        <w:t xml:space="preserve"> ZAL-06: '0' corresponds to 'no pain', '10' corresponds to 'pain as bad as you can imagine'; Results by NRS 11-pt </w:t>
      </w:r>
      <w:proofErr w:type="spellStart"/>
      <w:r w:rsidRPr="00D123EE">
        <w:t>likert</w:t>
      </w:r>
      <w:proofErr w:type="spellEnd"/>
      <w:r w:rsidRPr="00D123EE">
        <w:t xml:space="preserve"> category are provided in the submission in Table 2-43. </w:t>
      </w:r>
      <w:proofErr w:type="gramStart"/>
      <w:r w:rsidRPr="00D123EE">
        <w:rPr>
          <w:vertAlign w:val="superscript"/>
        </w:rPr>
        <w:t>b</w:t>
      </w:r>
      <w:proofErr w:type="gramEnd"/>
      <w:r w:rsidRPr="00D123EE">
        <w:t xml:space="preserve"> </w:t>
      </w:r>
      <w:r w:rsidRPr="00D123EE">
        <w:rPr>
          <w:szCs w:val="18"/>
        </w:rPr>
        <w:t>CAPSS-241:</w:t>
      </w:r>
      <w:r w:rsidRPr="00D123EE">
        <w:t xml:space="preserve"> Pain Intensity Rating Scale: 0=none, 1=mild, 2=moderate, 3=</w:t>
      </w:r>
      <w:proofErr w:type="spellStart"/>
      <w:r w:rsidRPr="00D123EE">
        <w:t>severe.</w:t>
      </w:r>
      <w:r w:rsidRPr="00D123EE">
        <w:rPr>
          <w:vertAlign w:val="superscript"/>
        </w:rPr>
        <w:t>c</w:t>
      </w:r>
      <w:proofErr w:type="spellEnd"/>
      <w:r w:rsidRPr="00D123EE">
        <w:t xml:space="preserve"> </w:t>
      </w:r>
      <w:r w:rsidRPr="00467244">
        <w:t xml:space="preserve">Baseline pain intensity reported categorically, see Table 2.4.3 Attachment 2 of the Commentary.  More patients had severe pain in tram50 group compared with FDC (34.2% vs 28.1%); Study criteria for entry were that patients had moderate pain (PID=2). </w:t>
      </w:r>
      <w:r w:rsidRPr="00467244">
        <w:rPr>
          <w:vertAlign w:val="superscript"/>
        </w:rPr>
        <w:t>d</w:t>
      </w:r>
      <w:r w:rsidRPr="00467244">
        <w:t xml:space="preserve"> </w:t>
      </w:r>
      <w:r w:rsidRPr="00467244">
        <w:rPr>
          <w:szCs w:val="18"/>
        </w:rPr>
        <w:t>CAPSS-241:</w:t>
      </w:r>
      <w:r w:rsidRPr="00467244">
        <w:t xml:space="preserve"> SPID Scale: -6 = pain not better than baseline at every evaluation; 18 = complete relief from severe baseline pain at every evaluation</w:t>
      </w:r>
      <w:r w:rsidRPr="00467244">
        <w:rPr>
          <w:bCs/>
          <w:color w:val="000000"/>
          <w:szCs w:val="18"/>
          <w:vertAlign w:val="superscript"/>
        </w:rPr>
        <w:t xml:space="preserve">. </w:t>
      </w:r>
      <w:proofErr w:type="spellStart"/>
      <w:r w:rsidRPr="00467244">
        <w:rPr>
          <w:bCs/>
          <w:color w:val="000000"/>
          <w:szCs w:val="18"/>
          <w:vertAlign w:val="superscript"/>
        </w:rPr>
        <w:t>e</w:t>
      </w:r>
      <w:proofErr w:type="spellEnd"/>
      <w:r w:rsidRPr="00467244">
        <w:rPr>
          <w:bCs/>
          <w:color w:val="000000"/>
          <w:szCs w:val="18"/>
          <w:vertAlign w:val="superscript"/>
        </w:rPr>
        <w:t xml:space="preserve"> </w:t>
      </w:r>
      <w:r w:rsidRPr="00467244">
        <w:t xml:space="preserve">Mean difference between groups was not reported in the submission, CSR or the publication; only the p-values were reported. </w:t>
      </w:r>
      <w:r w:rsidRPr="00467244">
        <w:rPr>
          <w:bCs/>
          <w:color w:val="000000"/>
          <w:szCs w:val="18"/>
          <w:vertAlign w:val="superscript"/>
        </w:rPr>
        <w:t>f</w:t>
      </w:r>
      <w:r w:rsidRPr="00467244">
        <w:t xml:space="preserve"> </w:t>
      </w:r>
      <w:r w:rsidRPr="00467244">
        <w:rPr>
          <w:bCs/>
          <w:color w:val="000000"/>
          <w:szCs w:val="18"/>
        </w:rPr>
        <w:t xml:space="preserve">GRTF-ZAL 1: </w:t>
      </w:r>
      <w:r w:rsidRPr="00467244">
        <w:t xml:space="preserve">PVA 0-100; 0=no pain to 100=worst possible pain. </w:t>
      </w:r>
      <w:r w:rsidRPr="00467244">
        <w:rPr>
          <w:vertAlign w:val="superscript"/>
        </w:rPr>
        <w:t>g</w:t>
      </w:r>
      <w:r w:rsidRPr="00467244">
        <w:t xml:space="preserve"> Mean difference between groups at the</w:t>
      </w:r>
      <w:r w:rsidRPr="00D123EE">
        <w:t xml:space="preserve"> end of study. </w:t>
      </w:r>
    </w:p>
    <w:p w:rsidR="005C55AB" w:rsidRPr="00D123EE" w:rsidRDefault="005C55AB" w:rsidP="005C55AB"/>
    <w:p w:rsidR="000E6A46" w:rsidRPr="008A5762" w:rsidRDefault="00500B7B" w:rsidP="008A5762">
      <w:pPr>
        <w:pStyle w:val="ListParagraph"/>
        <w:widowControl/>
        <w:numPr>
          <w:ilvl w:val="1"/>
          <w:numId w:val="1"/>
        </w:numPr>
        <w:spacing w:after="120"/>
      </w:pPr>
      <w:r w:rsidRPr="00D123EE">
        <w:t xml:space="preserve">The submission claimed </w:t>
      </w:r>
      <w:r w:rsidR="000038D3" w:rsidRPr="00D123EE">
        <w:t>the FDC provided more pain relief than tramadol 50 mg at all time intervals in CAPSS-241 (p&lt;0.001). It was unclear from CAPSS-241 whether it was the paracetamol component providing relief over the 6-hour period. T</w:t>
      </w:r>
      <w:r w:rsidRPr="00D123EE">
        <w:t>here was no treatment difference in pain</w:t>
      </w:r>
      <w:r w:rsidR="00854C3E" w:rsidRPr="00D123EE">
        <w:t xml:space="preserve"> </w:t>
      </w:r>
      <w:r w:rsidRPr="00D123EE">
        <w:t>relief between the FDC of tramadol 37.5 mg/paracetamol and tramadol 50 mg IR</w:t>
      </w:r>
      <w:r w:rsidR="00F65AFC" w:rsidRPr="00D123EE">
        <w:t xml:space="preserve"> after ten days of treatment </w:t>
      </w:r>
      <w:r w:rsidR="004E31B9" w:rsidRPr="00D123EE">
        <w:t xml:space="preserve">in </w:t>
      </w:r>
      <w:r w:rsidR="00F65AFC" w:rsidRPr="00D123EE">
        <w:t>GRTF-ZAL 1</w:t>
      </w:r>
      <w:r w:rsidRPr="00D123EE">
        <w:t>.</w:t>
      </w:r>
    </w:p>
    <w:p w:rsidR="00351D77" w:rsidRPr="00892A36" w:rsidRDefault="00351D77" w:rsidP="00351D77">
      <w:pPr>
        <w:keepNext/>
        <w:rPr>
          <w:rStyle w:val="CommentReference"/>
        </w:rPr>
      </w:pPr>
      <w:r w:rsidRPr="002D75A7">
        <w:rPr>
          <w:rStyle w:val="CommentReference"/>
        </w:rPr>
        <w:t xml:space="preserve">Table </w:t>
      </w:r>
      <w:r w:rsidR="00E26387" w:rsidRPr="002D75A7">
        <w:rPr>
          <w:rStyle w:val="CommentReference"/>
        </w:rPr>
        <w:t>6</w:t>
      </w:r>
      <w:r w:rsidRPr="002D75A7">
        <w:rPr>
          <w:rStyle w:val="CommentReference"/>
        </w:rPr>
        <w:t>: Change</w:t>
      </w:r>
      <w:r w:rsidRPr="00964756">
        <w:rPr>
          <w:rStyle w:val="CommentReference"/>
        </w:rPr>
        <w:t xml:space="preserve"> in pain relief across</w:t>
      </w:r>
      <w:r w:rsidRPr="00892A36">
        <w:rPr>
          <w:rStyle w:val="CommentReference"/>
        </w:rPr>
        <w:t xml:space="preserve"> the </w:t>
      </w:r>
      <w:r w:rsidR="00231185">
        <w:rPr>
          <w:rStyle w:val="CommentReference"/>
        </w:rPr>
        <w:t xml:space="preserve">acute </w:t>
      </w:r>
      <w:r w:rsidR="00A24CEA">
        <w:rPr>
          <w:rStyle w:val="CommentReference"/>
        </w:rPr>
        <w:t xml:space="preserve">pain </w:t>
      </w:r>
      <w:r w:rsidRPr="00892A36">
        <w:rPr>
          <w:rStyle w:val="CommentReference"/>
        </w:rPr>
        <w:t>trials</w:t>
      </w:r>
      <w:r>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2499"/>
        <w:gridCol w:w="2499"/>
      </w:tblGrid>
      <w:tr w:rsidR="00351D77" w:rsidRPr="00A1465F" w:rsidTr="004F32D6">
        <w:trPr>
          <w:tblHeader/>
        </w:trPr>
        <w:tc>
          <w:tcPr>
            <w:tcW w:w="2296" w:type="pct"/>
            <w:tcBorders>
              <w:bottom w:val="single" w:sz="4" w:space="0" w:color="auto"/>
            </w:tcBorders>
            <w:vAlign w:val="center"/>
          </w:tcPr>
          <w:p w:rsidR="00351D77" w:rsidRPr="00A1465F" w:rsidRDefault="00351D77" w:rsidP="004F32D6">
            <w:pPr>
              <w:pStyle w:val="Tabletext"/>
              <w:rPr>
                <w:b/>
              </w:rPr>
            </w:pPr>
            <w:r w:rsidRPr="00A1465F">
              <w:rPr>
                <w:b/>
              </w:rPr>
              <w:t>Trial ID</w:t>
            </w:r>
          </w:p>
        </w:tc>
        <w:tc>
          <w:tcPr>
            <w:tcW w:w="1352" w:type="pct"/>
            <w:tcBorders>
              <w:bottom w:val="single" w:sz="4" w:space="0" w:color="auto"/>
            </w:tcBorders>
            <w:vAlign w:val="center"/>
          </w:tcPr>
          <w:p w:rsidR="00351D77" w:rsidRPr="00A1465F" w:rsidRDefault="00351D77" w:rsidP="004F32D6">
            <w:pPr>
              <w:pStyle w:val="Tabletext"/>
              <w:jc w:val="center"/>
              <w:rPr>
                <w:b/>
              </w:rPr>
            </w:pPr>
            <w:r w:rsidRPr="00A1465F">
              <w:rPr>
                <w:rFonts w:cs="Arial"/>
                <w:b/>
                <w:szCs w:val="18"/>
              </w:rPr>
              <w:t>T37.5+P325</w:t>
            </w:r>
          </w:p>
        </w:tc>
        <w:tc>
          <w:tcPr>
            <w:tcW w:w="1352" w:type="pct"/>
            <w:tcBorders>
              <w:bottom w:val="single" w:sz="4" w:space="0" w:color="auto"/>
            </w:tcBorders>
            <w:vAlign w:val="center"/>
          </w:tcPr>
          <w:p w:rsidR="00351D77" w:rsidRPr="00A1465F" w:rsidRDefault="00351D77" w:rsidP="004F32D6">
            <w:pPr>
              <w:pStyle w:val="Tabletext"/>
              <w:jc w:val="center"/>
              <w:rPr>
                <w:b/>
              </w:rPr>
            </w:pPr>
            <w:r w:rsidRPr="00A1465F">
              <w:rPr>
                <w:rFonts w:cs="Arial"/>
                <w:b/>
                <w:szCs w:val="18"/>
              </w:rPr>
              <w:t>T50</w:t>
            </w:r>
          </w:p>
        </w:tc>
      </w:tr>
      <w:tr w:rsidR="00351D77" w:rsidRPr="00A1465F" w:rsidTr="004F32D6">
        <w:tc>
          <w:tcPr>
            <w:tcW w:w="2296" w:type="pct"/>
            <w:tcBorders>
              <w:top w:val="single" w:sz="4" w:space="0" w:color="auto"/>
              <w:bottom w:val="single" w:sz="4" w:space="0" w:color="auto"/>
              <w:right w:val="single" w:sz="4" w:space="0" w:color="auto"/>
            </w:tcBorders>
            <w:vAlign w:val="center"/>
          </w:tcPr>
          <w:p w:rsidR="00351D77" w:rsidRPr="00A1465F" w:rsidRDefault="00351D77" w:rsidP="004F32D6">
            <w:pPr>
              <w:pStyle w:val="Tabletext"/>
            </w:pPr>
            <w:r w:rsidRPr="00A1465F">
              <w:t>ZAL-06 (Day 2)</w:t>
            </w:r>
            <w:r w:rsidRPr="00A1465F">
              <w:rPr>
                <w:vertAlign w:val="superscript"/>
              </w:rPr>
              <w:t>a</w:t>
            </w:r>
          </w:p>
        </w:tc>
        <w:tc>
          <w:tcPr>
            <w:tcW w:w="1352" w:type="pct"/>
            <w:tcBorders>
              <w:top w:val="single" w:sz="4" w:space="0" w:color="auto"/>
              <w:left w:val="single" w:sz="4" w:space="0" w:color="auto"/>
              <w:bottom w:val="single" w:sz="4" w:space="0" w:color="auto"/>
              <w:right w:val="single" w:sz="4" w:space="0" w:color="auto"/>
            </w:tcBorders>
            <w:vAlign w:val="center"/>
          </w:tcPr>
          <w:p w:rsidR="00351D77" w:rsidRPr="00A1465F" w:rsidRDefault="00351D77" w:rsidP="004F32D6">
            <w:pPr>
              <w:pStyle w:val="Tabletext"/>
              <w:jc w:val="center"/>
            </w:pPr>
            <w:r w:rsidRPr="00A1465F">
              <w:t>NR</w:t>
            </w:r>
          </w:p>
        </w:tc>
        <w:tc>
          <w:tcPr>
            <w:tcW w:w="1352" w:type="pct"/>
            <w:tcBorders>
              <w:top w:val="single" w:sz="4" w:space="0" w:color="auto"/>
              <w:left w:val="single" w:sz="4" w:space="0" w:color="auto"/>
              <w:bottom w:val="single" w:sz="4" w:space="0" w:color="auto"/>
              <w:right w:val="single" w:sz="4" w:space="0" w:color="auto"/>
            </w:tcBorders>
            <w:vAlign w:val="center"/>
          </w:tcPr>
          <w:p w:rsidR="00351D77" w:rsidRPr="00A1465F" w:rsidRDefault="00351D77" w:rsidP="004F32D6">
            <w:pPr>
              <w:pStyle w:val="Tabletext"/>
              <w:jc w:val="center"/>
            </w:pPr>
            <w:r w:rsidRPr="00A1465F">
              <w:t>NR</w:t>
            </w:r>
          </w:p>
        </w:tc>
      </w:tr>
      <w:tr w:rsidR="00351D77" w:rsidRPr="00A1465F" w:rsidTr="004F32D6">
        <w:tc>
          <w:tcPr>
            <w:tcW w:w="2296" w:type="pct"/>
            <w:tcBorders>
              <w:top w:val="single" w:sz="4" w:space="0" w:color="auto"/>
              <w:left w:val="single" w:sz="4" w:space="0" w:color="auto"/>
              <w:bottom w:val="nil"/>
              <w:right w:val="single" w:sz="4" w:space="0" w:color="auto"/>
            </w:tcBorders>
            <w:vAlign w:val="center"/>
          </w:tcPr>
          <w:p w:rsidR="00351D77" w:rsidRPr="00A1465F" w:rsidRDefault="00351D77" w:rsidP="004F32D6">
            <w:pPr>
              <w:pStyle w:val="Tabletext"/>
            </w:pPr>
            <w:r w:rsidRPr="00A1465F">
              <w:rPr>
                <w:rFonts w:cs="Arial"/>
                <w:szCs w:val="18"/>
              </w:rPr>
              <w:t>CAPSS-241 (6 hours)</w:t>
            </w:r>
          </w:p>
        </w:tc>
        <w:tc>
          <w:tcPr>
            <w:tcW w:w="1352" w:type="pct"/>
            <w:tcBorders>
              <w:left w:val="single" w:sz="4" w:space="0" w:color="auto"/>
              <w:bottom w:val="nil"/>
              <w:right w:val="single" w:sz="4" w:space="0" w:color="auto"/>
            </w:tcBorders>
            <w:vAlign w:val="center"/>
          </w:tcPr>
          <w:p w:rsidR="00351D77" w:rsidRPr="00A1465F" w:rsidRDefault="00351D77" w:rsidP="004F32D6">
            <w:pPr>
              <w:pStyle w:val="Tabletext"/>
              <w:jc w:val="center"/>
            </w:pPr>
            <w:r w:rsidRPr="00A1465F">
              <w:t>mean (SD)</w:t>
            </w:r>
          </w:p>
        </w:tc>
        <w:tc>
          <w:tcPr>
            <w:tcW w:w="1352" w:type="pct"/>
            <w:tcBorders>
              <w:left w:val="single" w:sz="4" w:space="0" w:color="auto"/>
              <w:bottom w:val="nil"/>
              <w:right w:val="single" w:sz="4" w:space="0" w:color="auto"/>
            </w:tcBorders>
            <w:vAlign w:val="center"/>
          </w:tcPr>
          <w:p w:rsidR="00351D77" w:rsidRPr="00A1465F" w:rsidRDefault="00351D77" w:rsidP="004F32D6">
            <w:pPr>
              <w:pStyle w:val="Tabletext"/>
              <w:jc w:val="center"/>
            </w:pPr>
            <w:r w:rsidRPr="00A1465F">
              <w:t>mean (SD)</w:t>
            </w:r>
          </w:p>
        </w:tc>
      </w:tr>
      <w:tr w:rsidR="00351D77" w:rsidRPr="00A1465F" w:rsidTr="004F32D6">
        <w:tc>
          <w:tcPr>
            <w:tcW w:w="2296" w:type="pct"/>
            <w:tcBorders>
              <w:top w:val="nil"/>
              <w:left w:val="single" w:sz="4" w:space="0" w:color="auto"/>
              <w:bottom w:val="nil"/>
              <w:right w:val="single" w:sz="4" w:space="0" w:color="auto"/>
            </w:tcBorders>
          </w:tcPr>
          <w:p w:rsidR="00351D77" w:rsidRPr="00A1465F" w:rsidRDefault="00351D77" w:rsidP="004F32D6">
            <w:pPr>
              <w:pStyle w:val="Tabletext"/>
            </w:pPr>
            <w:r w:rsidRPr="00A1465F">
              <w:rPr>
                <w:rFonts w:cs="Arial"/>
                <w:szCs w:val="18"/>
              </w:rPr>
              <w:t xml:space="preserve">Mean </w:t>
            </w:r>
            <w:proofErr w:type="spellStart"/>
            <w:r w:rsidRPr="00A1465F">
              <w:rPr>
                <w:rFonts w:cs="Arial"/>
                <w:szCs w:val="18"/>
              </w:rPr>
              <w:t>PAR</w:t>
            </w:r>
            <w:r w:rsidRPr="00A1465F">
              <w:rPr>
                <w:rFonts w:cs="Arial"/>
                <w:szCs w:val="18"/>
                <w:vertAlign w:val="superscript"/>
              </w:rPr>
              <w:t>a</w:t>
            </w:r>
            <w:proofErr w:type="spellEnd"/>
            <w:r w:rsidRPr="00A1465F">
              <w:t>, 6 hrs</w:t>
            </w:r>
          </w:p>
        </w:tc>
        <w:tc>
          <w:tcPr>
            <w:tcW w:w="1352" w:type="pct"/>
            <w:tcBorders>
              <w:top w:val="nil"/>
              <w:left w:val="single" w:sz="4" w:space="0" w:color="auto"/>
              <w:bottom w:val="nil"/>
              <w:right w:val="single" w:sz="4" w:space="0" w:color="auto"/>
            </w:tcBorders>
            <w:vAlign w:val="center"/>
          </w:tcPr>
          <w:p w:rsidR="00351D77" w:rsidRPr="00A1465F" w:rsidRDefault="00351D77" w:rsidP="004F32D6">
            <w:pPr>
              <w:pStyle w:val="Tabletext"/>
              <w:jc w:val="center"/>
            </w:pPr>
            <w:r w:rsidRPr="00A1465F">
              <w:t>n=72</w:t>
            </w:r>
            <w:r w:rsidRPr="00A1465F">
              <w:br/>
              <w:t>1.1 (1.38)</w:t>
            </w:r>
          </w:p>
        </w:tc>
        <w:tc>
          <w:tcPr>
            <w:tcW w:w="1352" w:type="pct"/>
            <w:tcBorders>
              <w:top w:val="nil"/>
              <w:left w:val="single" w:sz="4" w:space="0" w:color="auto"/>
              <w:bottom w:val="nil"/>
              <w:right w:val="single" w:sz="4" w:space="0" w:color="auto"/>
            </w:tcBorders>
            <w:vAlign w:val="center"/>
          </w:tcPr>
          <w:p w:rsidR="00351D77" w:rsidRPr="00A1465F" w:rsidRDefault="00351D77" w:rsidP="004F32D6">
            <w:pPr>
              <w:pStyle w:val="Tabletext"/>
              <w:jc w:val="center"/>
            </w:pPr>
            <w:r w:rsidRPr="00A1465F">
              <w:t>n=25</w:t>
            </w:r>
            <w:r w:rsidRPr="00A1465F">
              <w:br/>
              <w:t>0.5 (1.13)</w:t>
            </w:r>
          </w:p>
        </w:tc>
      </w:tr>
      <w:tr w:rsidR="00351D77" w:rsidRPr="00A1465F" w:rsidTr="004F32D6">
        <w:tc>
          <w:tcPr>
            <w:tcW w:w="2296" w:type="pct"/>
            <w:tcBorders>
              <w:top w:val="nil"/>
              <w:left w:val="single" w:sz="4" w:space="0" w:color="auto"/>
              <w:bottom w:val="single" w:sz="4" w:space="0" w:color="auto"/>
              <w:right w:val="single" w:sz="4" w:space="0" w:color="auto"/>
            </w:tcBorders>
            <w:vAlign w:val="center"/>
          </w:tcPr>
          <w:p w:rsidR="00351D77" w:rsidRPr="00A1465F" w:rsidRDefault="00351D77" w:rsidP="004F32D6">
            <w:pPr>
              <w:pStyle w:val="Tabletext"/>
              <w:rPr>
                <w:rFonts w:cs="Arial"/>
                <w:szCs w:val="18"/>
              </w:rPr>
            </w:pPr>
            <w:proofErr w:type="spellStart"/>
            <w:r w:rsidRPr="00A1465F">
              <w:t>TOTPAR</w:t>
            </w:r>
            <w:r w:rsidRPr="00A1465F">
              <w:rPr>
                <w:rFonts w:cs="Arial"/>
                <w:szCs w:val="18"/>
                <w:vertAlign w:val="superscript"/>
              </w:rPr>
              <w:t>b</w:t>
            </w:r>
            <w:proofErr w:type="spellEnd"/>
            <w:r w:rsidRPr="00A1465F">
              <w:rPr>
                <w:rFonts w:cs="Arial"/>
                <w:vertAlign w:val="superscript"/>
              </w:rPr>
              <w:t xml:space="preserve"> </w:t>
            </w:r>
            <w:r w:rsidRPr="00A1465F">
              <w:t>:AUC 6 hrs</w:t>
            </w:r>
          </w:p>
        </w:tc>
        <w:tc>
          <w:tcPr>
            <w:tcW w:w="1352" w:type="pct"/>
            <w:tcBorders>
              <w:top w:val="nil"/>
              <w:left w:val="single" w:sz="4" w:space="0" w:color="auto"/>
              <w:bottom w:val="single" w:sz="4" w:space="0" w:color="auto"/>
              <w:right w:val="single" w:sz="4" w:space="0" w:color="auto"/>
            </w:tcBorders>
            <w:vAlign w:val="center"/>
          </w:tcPr>
          <w:p w:rsidR="00351D77" w:rsidRPr="00A1465F" w:rsidRDefault="00351D77" w:rsidP="004F32D6">
            <w:pPr>
              <w:pStyle w:val="Tabletext"/>
              <w:jc w:val="center"/>
            </w:pPr>
            <w:r w:rsidRPr="00A1465F">
              <w:t>7.4 (6.3)</w:t>
            </w:r>
          </w:p>
        </w:tc>
        <w:tc>
          <w:tcPr>
            <w:tcW w:w="1352" w:type="pct"/>
            <w:tcBorders>
              <w:top w:val="nil"/>
              <w:left w:val="single" w:sz="4" w:space="0" w:color="auto"/>
              <w:bottom w:val="single" w:sz="4" w:space="0" w:color="auto"/>
              <w:right w:val="single" w:sz="4" w:space="0" w:color="auto"/>
            </w:tcBorders>
            <w:vAlign w:val="center"/>
          </w:tcPr>
          <w:p w:rsidR="00351D77" w:rsidRPr="00A1465F" w:rsidRDefault="00351D77" w:rsidP="004F32D6">
            <w:pPr>
              <w:pStyle w:val="Tabletext"/>
              <w:jc w:val="center"/>
            </w:pPr>
            <w:r w:rsidRPr="00A1465F">
              <w:t>2.5 (5.1)</w:t>
            </w:r>
          </w:p>
        </w:tc>
      </w:tr>
      <w:tr w:rsidR="00351D77" w:rsidRPr="00A1465F" w:rsidTr="004F32D6">
        <w:tc>
          <w:tcPr>
            <w:tcW w:w="2296" w:type="pct"/>
            <w:tcBorders>
              <w:top w:val="single" w:sz="4" w:space="0" w:color="auto"/>
              <w:bottom w:val="nil"/>
              <w:right w:val="single" w:sz="4" w:space="0" w:color="auto"/>
            </w:tcBorders>
            <w:vAlign w:val="center"/>
          </w:tcPr>
          <w:p w:rsidR="00351D77" w:rsidRPr="00A1465F" w:rsidRDefault="00351D77" w:rsidP="004F32D6">
            <w:pPr>
              <w:pStyle w:val="Tabletext"/>
              <w:rPr>
                <w:rFonts w:cs="Arial"/>
                <w:bCs/>
                <w:color w:val="000000"/>
                <w:szCs w:val="18"/>
              </w:rPr>
            </w:pPr>
            <w:r w:rsidRPr="00A1465F">
              <w:rPr>
                <w:rFonts w:cs="Arial"/>
                <w:bCs/>
                <w:color w:val="000000"/>
                <w:szCs w:val="18"/>
              </w:rPr>
              <w:t xml:space="preserve">GRTF-ZAL 1 </w:t>
            </w:r>
            <w:r w:rsidRPr="00A1465F">
              <w:t>(10 days)</w:t>
            </w:r>
            <w:r w:rsidRPr="00A1465F">
              <w:rPr>
                <w:vertAlign w:val="superscript"/>
              </w:rPr>
              <w:t>c</w:t>
            </w:r>
          </w:p>
        </w:tc>
        <w:tc>
          <w:tcPr>
            <w:tcW w:w="1352" w:type="pct"/>
            <w:tcBorders>
              <w:left w:val="single" w:sz="4" w:space="0" w:color="auto"/>
              <w:bottom w:val="nil"/>
              <w:right w:val="single" w:sz="4" w:space="0" w:color="auto"/>
            </w:tcBorders>
            <w:vAlign w:val="center"/>
          </w:tcPr>
          <w:p w:rsidR="00351D77" w:rsidRPr="00A1465F" w:rsidRDefault="00351D77" w:rsidP="004F32D6">
            <w:pPr>
              <w:pStyle w:val="Tabletext"/>
              <w:jc w:val="center"/>
            </w:pPr>
            <w:proofErr w:type="gramStart"/>
            <w:r w:rsidRPr="00A1465F">
              <w:t>n/N</w:t>
            </w:r>
            <w:proofErr w:type="gramEnd"/>
            <w:r w:rsidRPr="00A1465F">
              <w:t xml:space="preserve"> (%)</w:t>
            </w:r>
          </w:p>
        </w:tc>
        <w:tc>
          <w:tcPr>
            <w:tcW w:w="1352" w:type="pct"/>
            <w:tcBorders>
              <w:left w:val="single" w:sz="4" w:space="0" w:color="auto"/>
              <w:bottom w:val="nil"/>
              <w:right w:val="single" w:sz="4" w:space="0" w:color="auto"/>
            </w:tcBorders>
            <w:vAlign w:val="center"/>
          </w:tcPr>
          <w:p w:rsidR="00351D77" w:rsidRPr="00A1465F" w:rsidRDefault="00351D77" w:rsidP="004F32D6">
            <w:pPr>
              <w:pStyle w:val="Tabletext"/>
              <w:jc w:val="center"/>
            </w:pPr>
            <w:proofErr w:type="gramStart"/>
            <w:r w:rsidRPr="00A1465F">
              <w:t>n/N</w:t>
            </w:r>
            <w:proofErr w:type="gramEnd"/>
            <w:r w:rsidRPr="00A1465F">
              <w:t xml:space="preserve"> (%)</w:t>
            </w:r>
          </w:p>
        </w:tc>
      </w:tr>
      <w:tr w:rsidR="00351D77" w:rsidRPr="00A1465F" w:rsidTr="004F32D6">
        <w:tc>
          <w:tcPr>
            <w:tcW w:w="2296" w:type="pct"/>
            <w:tcBorders>
              <w:top w:val="nil"/>
              <w:bottom w:val="nil"/>
              <w:right w:val="single" w:sz="4" w:space="0" w:color="auto"/>
            </w:tcBorders>
          </w:tcPr>
          <w:p w:rsidR="00351D77" w:rsidRPr="00A1465F" w:rsidRDefault="00351D77" w:rsidP="004F32D6">
            <w:pPr>
              <w:pStyle w:val="Tabletext"/>
              <w:rPr>
                <w:rFonts w:cs="Arial"/>
                <w:bCs/>
                <w:color w:val="000000"/>
                <w:szCs w:val="18"/>
              </w:rPr>
            </w:pPr>
            <w:r w:rsidRPr="00A1465F">
              <w:t>None</w:t>
            </w:r>
          </w:p>
        </w:tc>
        <w:tc>
          <w:tcPr>
            <w:tcW w:w="1352" w:type="pct"/>
            <w:tcBorders>
              <w:top w:val="nil"/>
              <w:left w:val="single" w:sz="4" w:space="0" w:color="auto"/>
              <w:bottom w:val="nil"/>
              <w:right w:val="single" w:sz="4" w:space="0" w:color="auto"/>
            </w:tcBorders>
            <w:vAlign w:val="bottom"/>
          </w:tcPr>
          <w:p w:rsidR="00351D77" w:rsidRPr="00A1465F" w:rsidRDefault="00351D77" w:rsidP="004F32D6">
            <w:pPr>
              <w:pStyle w:val="Tabletext"/>
              <w:jc w:val="center"/>
            </w:pPr>
            <w:r w:rsidRPr="00A1465F">
              <w:t>4 /59 (6.8)</w:t>
            </w:r>
          </w:p>
        </w:tc>
        <w:tc>
          <w:tcPr>
            <w:tcW w:w="1352" w:type="pct"/>
            <w:tcBorders>
              <w:top w:val="nil"/>
              <w:left w:val="single" w:sz="4" w:space="0" w:color="auto"/>
              <w:bottom w:val="nil"/>
              <w:right w:val="single" w:sz="4" w:space="0" w:color="auto"/>
            </w:tcBorders>
          </w:tcPr>
          <w:p w:rsidR="00351D77" w:rsidRPr="00A1465F" w:rsidRDefault="00351D77" w:rsidP="004F32D6">
            <w:pPr>
              <w:pStyle w:val="Tabletext"/>
              <w:jc w:val="center"/>
            </w:pPr>
            <w:r w:rsidRPr="00A1465F">
              <w:t>4 /58 (6.9)</w:t>
            </w:r>
          </w:p>
        </w:tc>
      </w:tr>
      <w:tr w:rsidR="00351D77" w:rsidRPr="00A1465F" w:rsidTr="004F32D6">
        <w:tc>
          <w:tcPr>
            <w:tcW w:w="2296" w:type="pct"/>
            <w:tcBorders>
              <w:top w:val="nil"/>
              <w:bottom w:val="nil"/>
              <w:right w:val="single" w:sz="4" w:space="0" w:color="auto"/>
            </w:tcBorders>
          </w:tcPr>
          <w:p w:rsidR="00351D77" w:rsidRPr="00A1465F" w:rsidRDefault="00351D77" w:rsidP="004F32D6">
            <w:pPr>
              <w:pStyle w:val="Tabletext"/>
              <w:rPr>
                <w:rFonts w:cs="Arial"/>
                <w:bCs/>
                <w:color w:val="000000"/>
                <w:szCs w:val="18"/>
              </w:rPr>
            </w:pPr>
            <w:r w:rsidRPr="00A1465F">
              <w:t>Slight</w:t>
            </w:r>
          </w:p>
        </w:tc>
        <w:tc>
          <w:tcPr>
            <w:tcW w:w="1352" w:type="pct"/>
            <w:tcBorders>
              <w:top w:val="nil"/>
              <w:left w:val="single" w:sz="4" w:space="0" w:color="auto"/>
              <w:bottom w:val="nil"/>
              <w:right w:val="single" w:sz="4" w:space="0" w:color="auto"/>
            </w:tcBorders>
            <w:vAlign w:val="bottom"/>
          </w:tcPr>
          <w:p w:rsidR="00351D77" w:rsidRPr="00A1465F" w:rsidRDefault="00351D77" w:rsidP="004F32D6">
            <w:pPr>
              <w:pStyle w:val="Tabletext"/>
              <w:jc w:val="center"/>
            </w:pPr>
            <w:r w:rsidRPr="00A1465F">
              <w:t>7/59 (11.9)</w:t>
            </w:r>
          </w:p>
        </w:tc>
        <w:tc>
          <w:tcPr>
            <w:tcW w:w="1352" w:type="pct"/>
            <w:tcBorders>
              <w:top w:val="nil"/>
              <w:left w:val="single" w:sz="4" w:space="0" w:color="auto"/>
              <w:bottom w:val="nil"/>
              <w:right w:val="single" w:sz="4" w:space="0" w:color="auto"/>
            </w:tcBorders>
          </w:tcPr>
          <w:p w:rsidR="00351D77" w:rsidRPr="00A1465F" w:rsidRDefault="00351D77" w:rsidP="004F32D6">
            <w:pPr>
              <w:pStyle w:val="Tabletext"/>
              <w:jc w:val="center"/>
            </w:pPr>
            <w:r w:rsidRPr="00A1465F">
              <w:t>7/58 (12.1)</w:t>
            </w:r>
          </w:p>
        </w:tc>
      </w:tr>
      <w:tr w:rsidR="00351D77" w:rsidRPr="00A1465F" w:rsidTr="004F32D6">
        <w:tc>
          <w:tcPr>
            <w:tcW w:w="2296" w:type="pct"/>
            <w:tcBorders>
              <w:top w:val="nil"/>
              <w:bottom w:val="nil"/>
              <w:right w:val="single" w:sz="4" w:space="0" w:color="auto"/>
            </w:tcBorders>
          </w:tcPr>
          <w:p w:rsidR="00351D77" w:rsidRPr="00A1465F" w:rsidRDefault="00351D77" w:rsidP="004F32D6">
            <w:pPr>
              <w:pStyle w:val="Tabletext"/>
              <w:rPr>
                <w:rFonts w:cs="Arial"/>
                <w:szCs w:val="18"/>
              </w:rPr>
            </w:pPr>
            <w:r w:rsidRPr="00A1465F">
              <w:t>Moderate</w:t>
            </w:r>
          </w:p>
        </w:tc>
        <w:tc>
          <w:tcPr>
            <w:tcW w:w="1352" w:type="pct"/>
            <w:tcBorders>
              <w:top w:val="nil"/>
              <w:left w:val="single" w:sz="4" w:space="0" w:color="auto"/>
              <w:bottom w:val="nil"/>
              <w:right w:val="single" w:sz="4" w:space="0" w:color="auto"/>
            </w:tcBorders>
            <w:vAlign w:val="bottom"/>
          </w:tcPr>
          <w:p w:rsidR="00351D77" w:rsidRPr="00A1465F" w:rsidRDefault="00351D77" w:rsidP="004F32D6">
            <w:pPr>
              <w:pStyle w:val="Tabletext"/>
              <w:jc w:val="center"/>
            </w:pPr>
            <w:r w:rsidRPr="00A1465F">
              <w:t>15/59 (25.4)</w:t>
            </w:r>
          </w:p>
        </w:tc>
        <w:tc>
          <w:tcPr>
            <w:tcW w:w="1352" w:type="pct"/>
            <w:tcBorders>
              <w:top w:val="nil"/>
              <w:left w:val="single" w:sz="4" w:space="0" w:color="auto"/>
              <w:bottom w:val="nil"/>
              <w:right w:val="single" w:sz="4" w:space="0" w:color="auto"/>
            </w:tcBorders>
          </w:tcPr>
          <w:p w:rsidR="00351D77" w:rsidRPr="00A1465F" w:rsidRDefault="00351D77" w:rsidP="004F32D6">
            <w:pPr>
              <w:pStyle w:val="Tabletext"/>
              <w:jc w:val="center"/>
            </w:pPr>
            <w:r w:rsidRPr="00A1465F">
              <w:t>5/58 (8.6)</w:t>
            </w:r>
          </w:p>
        </w:tc>
      </w:tr>
      <w:tr w:rsidR="00351D77" w:rsidRPr="00A1465F" w:rsidTr="004F32D6">
        <w:tc>
          <w:tcPr>
            <w:tcW w:w="2296" w:type="pct"/>
            <w:tcBorders>
              <w:top w:val="nil"/>
              <w:bottom w:val="nil"/>
              <w:right w:val="single" w:sz="4" w:space="0" w:color="auto"/>
            </w:tcBorders>
          </w:tcPr>
          <w:p w:rsidR="00351D77" w:rsidRPr="00A1465F" w:rsidRDefault="00351D77" w:rsidP="004F32D6">
            <w:pPr>
              <w:pStyle w:val="Tabletext"/>
              <w:rPr>
                <w:rFonts w:cs="Arial"/>
                <w:szCs w:val="18"/>
              </w:rPr>
            </w:pPr>
            <w:r w:rsidRPr="00A1465F">
              <w:t>Important</w:t>
            </w:r>
          </w:p>
        </w:tc>
        <w:tc>
          <w:tcPr>
            <w:tcW w:w="1352" w:type="pct"/>
            <w:tcBorders>
              <w:top w:val="nil"/>
              <w:left w:val="single" w:sz="4" w:space="0" w:color="auto"/>
              <w:bottom w:val="nil"/>
              <w:right w:val="single" w:sz="4" w:space="0" w:color="auto"/>
            </w:tcBorders>
            <w:vAlign w:val="bottom"/>
          </w:tcPr>
          <w:p w:rsidR="00351D77" w:rsidRPr="00A1465F" w:rsidRDefault="00351D77" w:rsidP="004F32D6">
            <w:pPr>
              <w:pStyle w:val="Tabletext"/>
              <w:jc w:val="center"/>
            </w:pPr>
            <w:r w:rsidRPr="00A1465F">
              <w:t>17/59 (28.8)</w:t>
            </w:r>
          </w:p>
        </w:tc>
        <w:tc>
          <w:tcPr>
            <w:tcW w:w="1352" w:type="pct"/>
            <w:tcBorders>
              <w:top w:val="nil"/>
              <w:left w:val="single" w:sz="4" w:space="0" w:color="auto"/>
              <w:bottom w:val="nil"/>
              <w:right w:val="single" w:sz="4" w:space="0" w:color="auto"/>
            </w:tcBorders>
          </w:tcPr>
          <w:p w:rsidR="00351D77" w:rsidRPr="00A1465F" w:rsidRDefault="00351D77" w:rsidP="004F32D6">
            <w:pPr>
              <w:pStyle w:val="Tabletext"/>
              <w:jc w:val="center"/>
            </w:pPr>
            <w:r w:rsidRPr="00A1465F">
              <w:t>22/58 (37.9)</w:t>
            </w:r>
          </w:p>
        </w:tc>
      </w:tr>
      <w:tr w:rsidR="00351D77" w:rsidRPr="00A1465F" w:rsidTr="004F32D6">
        <w:tc>
          <w:tcPr>
            <w:tcW w:w="2296" w:type="pct"/>
            <w:tcBorders>
              <w:top w:val="nil"/>
              <w:bottom w:val="nil"/>
              <w:right w:val="single" w:sz="4" w:space="0" w:color="auto"/>
            </w:tcBorders>
          </w:tcPr>
          <w:p w:rsidR="00351D77" w:rsidRPr="00A1465F" w:rsidRDefault="00351D77" w:rsidP="004F32D6">
            <w:pPr>
              <w:pStyle w:val="Tabletext"/>
              <w:rPr>
                <w:rFonts w:cs="Arial"/>
                <w:szCs w:val="18"/>
              </w:rPr>
            </w:pPr>
            <w:r w:rsidRPr="00A1465F">
              <w:t>V. important</w:t>
            </w:r>
          </w:p>
        </w:tc>
        <w:tc>
          <w:tcPr>
            <w:tcW w:w="1352" w:type="pct"/>
            <w:tcBorders>
              <w:top w:val="nil"/>
              <w:left w:val="single" w:sz="4" w:space="0" w:color="auto"/>
              <w:bottom w:val="nil"/>
              <w:right w:val="single" w:sz="4" w:space="0" w:color="auto"/>
            </w:tcBorders>
            <w:vAlign w:val="bottom"/>
          </w:tcPr>
          <w:p w:rsidR="00351D77" w:rsidRPr="00A1465F" w:rsidRDefault="00351D77" w:rsidP="004F32D6">
            <w:pPr>
              <w:pStyle w:val="Tabletext"/>
              <w:jc w:val="center"/>
            </w:pPr>
            <w:r w:rsidRPr="00A1465F">
              <w:t>12/59 (20.3)</w:t>
            </w:r>
          </w:p>
        </w:tc>
        <w:tc>
          <w:tcPr>
            <w:tcW w:w="1352" w:type="pct"/>
            <w:tcBorders>
              <w:top w:val="nil"/>
              <w:left w:val="single" w:sz="4" w:space="0" w:color="auto"/>
              <w:bottom w:val="nil"/>
              <w:right w:val="single" w:sz="4" w:space="0" w:color="auto"/>
            </w:tcBorders>
          </w:tcPr>
          <w:p w:rsidR="00351D77" w:rsidRPr="00A1465F" w:rsidRDefault="00351D77" w:rsidP="004F32D6">
            <w:pPr>
              <w:pStyle w:val="Tabletext"/>
              <w:jc w:val="center"/>
            </w:pPr>
            <w:r w:rsidRPr="00A1465F">
              <w:t>16/58 (27.6)</w:t>
            </w:r>
          </w:p>
        </w:tc>
      </w:tr>
      <w:tr w:rsidR="00351D77" w:rsidRPr="00A1465F" w:rsidTr="004F32D6">
        <w:tc>
          <w:tcPr>
            <w:tcW w:w="2296" w:type="pct"/>
            <w:tcBorders>
              <w:top w:val="nil"/>
              <w:bottom w:val="single" w:sz="4" w:space="0" w:color="auto"/>
              <w:right w:val="single" w:sz="4" w:space="0" w:color="auto"/>
            </w:tcBorders>
          </w:tcPr>
          <w:p w:rsidR="00351D77" w:rsidRPr="00A1465F" w:rsidRDefault="00351D77" w:rsidP="004F32D6">
            <w:pPr>
              <w:pStyle w:val="Tabletext"/>
            </w:pPr>
            <w:r w:rsidRPr="00A1465F">
              <w:t>Not specified</w:t>
            </w:r>
          </w:p>
        </w:tc>
        <w:tc>
          <w:tcPr>
            <w:tcW w:w="1352" w:type="pct"/>
            <w:tcBorders>
              <w:top w:val="nil"/>
              <w:left w:val="single" w:sz="4" w:space="0" w:color="auto"/>
              <w:bottom w:val="single" w:sz="4" w:space="0" w:color="auto"/>
              <w:right w:val="single" w:sz="4" w:space="0" w:color="auto"/>
            </w:tcBorders>
            <w:vAlign w:val="bottom"/>
          </w:tcPr>
          <w:p w:rsidR="00351D77" w:rsidRPr="00A1465F" w:rsidRDefault="00351D77" w:rsidP="004F32D6">
            <w:pPr>
              <w:pStyle w:val="Tabletext"/>
              <w:jc w:val="center"/>
            </w:pPr>
            <w:r w:rsidRPr="00A1465F">
              <w:t>4/59 (6.8)</w:t>
            </w:r>
          </w:p>
        </w:tc>
        <w:tc>
          <w:tcPr>
            <w:tcW w:w="1352" w:type="pct"/>
            <w:tcBorders>
              <w:top w:val="nil"/>
              <w:left w:val="single" w:sz="4" w:space="0" w:color="auto"/>
              <w:bottom w:val="single" w:sz="4" w:space="0" w:color="auto"/>
              <w:right w:val="single" w:sz="4" w:space="0" w:color="auto"/>
            </w:tcBorders>
          </w:tcPr>
          <w:p w:rsidR="00351D77" w:rsidRPr="00A1465F" w:rsidRDefault="00351D77" w:rsidP="004F32D6">
            <w:pPr>
              <w:pStyle w:val="Tabletext"/>
              <w:jc w:val="center"/>
            </w:pPr>
            <w:r w:rsidRPr="00A1465F">
              <w:t>4/58 (6.9)</w:t>
            </w:r>
          </w:p>
        </w:tc>
      </w:tr>
    </w:tbl>
    <w:p w:rsidR="00351D77" w:rsidRPr="00D123EE" w:rsidRDefault="00351D77" w:rsidP="00351D77">
      <w:pPr>
        <w:pStyle w:val="TableFooter"/>
        <w:rPr>
          <w:sz w:val="20"/>
        </w:rPr>
      </w:pPr>
      <w:r w:rsidRPr="00D123EE">
        <w:t xml:space="preserve">Source: </w:t>
      </w:r>
      <w:r w:rsidRPr="00D123EE">
        <w:rPr>
          <w:szCs w:val="18"/>
        </w:rPr>
        <w:t>CAPSS-241</w:t>
      </w:r>
      <w:r w:rsidRPr="00D123EE">
        <w:t xml:space="preserve"> Table 2-46 p148 of the submission, CSR Table 7 p48; </w:t>
      </w:r>
      <w:r w:rsidRPr="00D123EE">
        <w:rPr>
          <w:bCs/>
          <w:color w:val="000000"/>
          <w:szCs w:val="18"/>
        </w:rPr>
        <w:t>GRTF-ZAL 1 Table 2-53 p156 of the submission</w:t>
      </w:r>
    </w:p>
    <w:p w:rsidR="00840CC0" w:rsidRPr="00D123EE" w:rsidRDefault="00351D77" w:rsidP="00840CC0">
      <w:pPr>
        <w:pStyle w:val="TableFooter"/>
        <w:rPr>
          <w:rFonts w:eastAsia="Calibri"/>
        </w:rPr>
      </w:pPr>
      <w:r w:rsidRPr="00D123EE">
        <w:rPr>
          <w:rFonts w:eastAsia="Calibri"/>
        </w:rPr>
        <w:t xml:space="preserve">Abbreviations: AUC= area under the curve; CI = confidence interval; n = number of participants with event; N = total participants in group; NR= not reported; PAR = pain relief; TOTPAR = total pain relief.  </w:t>
      </w:r>
    </w:p>
    <w:p w:rsidR="008A5762" w:rsidRPr="00D123EE" w:rsidRDefault="00351D77" w:rsidP="00840CC0">
      <w:pPr>
        <w:pStyle w:val="TableFooter"/>
        <w:rPr>
          <w:rFonts w:eastAsia="Calibri"/>
        </w:rPr>
      </w:pPr>
      <w:r w:rsidRPr="00D123EE">
        <w:t xml:space="preserve">Notes: a CAPSS-241: 5 </w:t>
      </w:r>
      <w:proofErr w:type="spellStart"/>
      <w:r w:rsidRPr="00D123EE">
        <w:t>pt</w:t>
      </w:r>
      <w:proofErr w:type="spellEnd"/>
      <w:r w:rsidRPr="00D123EE">
        <w:t xml:space="preserve"> </w:t>
      </w:r>
      <w:proofErr w:type="spellStart"/>
      <w:r w:rsidRPr="00D123EE">
        <w:t>likert</w:t>
      </w:r>
      <w:proofErr w:type="spellEnd"/>
      <w:r w:rsidRPr="00D123EE">
        <w:t>: 4=complete, 3=a lot, 2=some</w:t>
      </w:r>
    </w:p>
    <w:p w:rsidR="00995A55" w:rsidRPr="00D123EE" w:rsidRDefault="00995A55" w:rsidP="008A5762"/>
    <w:p w:rsidR="00995A55" w:rsidRPr="00D123EE" w:rsidRDefault="009A31B0" w:rsidP="00E22F6D">
      <w:pPr>
        <w:pStyle w:val="ListParagraph"/>
        <w:widowControl/>
        <w:numPr>
          <w:ilvl w:val="1"/>
          <w:numId w:val="1"/>
        </w:numPr>
        <w:spacing w:after="120"/>
      </w:pPr>
      <w:r w:rsidRPr="00D123EE">
        <w:t>A</w:t>
      </w:r>
      <w:r w:rsidR="004F3A7C" w:rsidRPr="00D123EE">
        <w:t>n overview</w:t>
      </w:r>
      <w:r w:rsidRPr="00D123EE">
        <w:t xml:space="preserve"> of the results presented in the trials in </w:t>
      </w:r>
      <w:r w:rsidR="00161733" w:rsidRPr="00D123EE">
        <w:t xml:space="preserve">acute </w:t>
      </w:r>
      <w:r w:rsidRPr="00D123EE">
        <w:t xml:space="preserve">pain is presented in Table </w:t>
      </w:r>
      <w:r w:rsidR="00907B57" w:rsidRPr="00D123EE">
        <w:t>7</w:t>
      </w:r>
      <w:r w:rsidR="00FA6906" w:rsidRPr="00D123EE">
        <w:t>.</w:t>
      </w:r>
      <w:r w:rsidR="003B141E">
        <w:t xml:space="preserve"> </w:t>
      </w:r>
      <w:r w:rsidR="000C746A" w:rsidRPr="00B84D95">
        <w:t xml:space="preserve">The </w:t>
      </w:r>
      <w:r w:rsidR="00A573B2" w:rsidRPr="00B84D95">
        <w:t>ESC noted that a</w:t>
      </w:r>
      <w:r w:rsidR="003B141E" w:rsidRPr="00B84D95">
        <w:t xml:space="preserve">pplicability of these results to the clinical setting where tramadol 50mg IR is also used in combination with paracetamol </w:t>
      </w:r>
      <w:r w:rsidR="00455949">
        <w:t>wa</w:t>
      </w:r>
      <w:r w:rsidR="00455949" w:rsidRPr="00B84D95">
        <w:t xml:space="preserve">s </w:t>
      </w:r>
      <w:r w:rsidR="003B141E" w:rsidRPr="00B84D95">
        <w:t>not clear.</w:t>
      </w:r>
      <w:r w:rsidR="003B141E">
        <w:t xml:space="preserve"> </w:t>
      </w:r>
    </w:p>
    <w:p w:rsidR="00995A55" w:rsidRPr="00D123EE" w:rsidRDefault="00995A55" w:rsidP="00995A55">
      <w:pPr>
        <w:keepNext/>
        <w:rPr>
          <w:rFonts w:ascii="Arial Narrow" w:hAnsi="Arial Narrow"/>
          <w:b/>
          <w:sz w:val="20"/>
          <w:szCs w:val="16"/>
        </w:rPr>
      </w:pPr>
      <w:r w:rsidRPr="00D123EE">
        <w:rPr>
          <w:rStyle w:val="CommentReference"/>
        </w:rPr>
        <w:lastRenderedPageBreak/>
        <w:t xml:space="preserve">Table </w:t>
      </w:r>
      <w:r w:rsidR="00907B57" w:rsidRPr="00D123EE">
        <w:rPr>
          <w:rStyle w:val="CommentReference"/>
        </w:rPr>
        <w:t>7</w:t>
      </w:r>
      <w:r w:rsidRPr="00D123EE">
        <w:rPr>
          <w:rStyle w:val="CommentReference"/>
        </w:rPr>
        <w:t xml:space="preserve">: Outcomes reported across the acute pain </w:t>
      </w:r>
      <w:r w:rsidR="002B24A2" w:rsidRPr="00D123EE">
        <w:rPr>
          <w:rStyle w:val="CommentReference"/>
        </w:rPr>
        <w:t>trials</w:t>
      </w:r>
    </w:p>
    <w:tbl>
      <w:tblPr>
        <w:tblStyle w:val="TableGrid"/>
        <w:tblW w:w="5000" w:type="pct"/>
        <w:tblLook w:val="04A0" w:firstRow="1" w:lastRow="0" w:firstColumn="1" w:lastColumn="0" w:noHBand="0" w:noVBand="1"/>
        <w:tblCaption w:val="Table 7: Outcomes reported across the acute pain trials"/>
      </w:tblPr>
      <w:tblGrid>
        <w:gridCol w:w="1884"/>
        <w:gridCol w:w="2453"/>
        <w:gridCol w:w="2453"/>
        <w:gridCol w:w="2453"/>
      </w:tblGrid>
      <w:tr w:rsidR="00995A55" w:rsidRPr="00D123EE" w:rsidTr="00AE6A29">
        <w:trPr>
          <w:tblHeader/>
        </w:trPr>
        <w:tc>
          <w:tcPr>
            <w:tcW w:w="1019" w:type="pct"/>
            <w:vMerge w:val="restart"/>
            <w:shd w:val="clear" w:color="auto" w:fill="auto"/>
          </w:tcPr>
          <w:p w:rsidR="00995A55" w:rsidRPr="00D123EE" w:rsidRDefault="00995A55" w:rsidP="00AE6A29">
            <w:pPr>
              <w:pStyle w:val="TableText0"/>
              <w:keepNext w:val="0"/>
              <w:ind w:left="-52" w:right="-110"/>
              <w:rPr>
                <w:rFonts w:cs="Arial"/>
                <w:szCs w:val="18"/>
              </w:rPr>
            </w:pPr>
          </w:p>
        </w:tc>
        <w:tc>
          <w:tcPr>
            <w:tcW w:w="3981" w:type="pct"/>
            <w:gridSpan w:val="3"/>
            <w:shd w:val="clear" w:color="auto" w:fill="auto"/>
            <w:vAlign w:val="center"/>
          </w:tcPr>
          <w:p w:rsidR="00995A55" w:rsidRPr="00D123EE" w:rsidRDefault="00995A55" w:rsidP="00AE6A29">
            <w:pPr>
              <w:pStyle w:val="TableText0"/>
              <w:keepNext w:val="0"/>
              <w:ind w:left="-52" w:right="-110"/>
              <w:rPr>
                <w:rFonts w:cs="Arial"/>
                <w:b/>
                <w:szCs w:val="18"/>
              </w:rPr>
            </w:pPr>
            <w:r w:rsidRPr="00D123EE">
              <w:rPr>
                <w:rFonts w:cs="Arial"/>
                <w:b/>
                <w:szCs w:val="18"/>
              </w:rPr>
              <w:t>Acute pain</w:t>
            </w:r>
          </w:p>
        </w:tc>
      </w:tr>
      <w:tr w:rsidR="00995A55" w:rsidRPr="00D123EE" w:rsidTr="00AE6A29">
        <w:trPr>
          <w:tblHeader/>
        </w:trPr>
        <w:tc>
          <w:tcPr>
            <w:tcW w:w="1019" w:type="pct"/>
            <w:vMerge/>
            <w:shd w:val="clear" w:color="auto" w:fill="auto"/>
          </w:tcPr>
          <w:p w:rsidR="00995A55" w:rsidRPr="00D123EE" w:rsidRDefault="00995A55" w:rsidP="00AE6A29">
            <w:pPr>
              <w:pStyle w:val="TableText0"/>
              <w:keepNext w:val="0"/>
              <w:ind w:left="-52" w:right="-110"/>
              <w:rPr>
                <w:rFonts w:cs="Arial"/>
                <w:szCs w:val="18"/>
              </w:rPr>
            </w:pPr>
          </w:p>
        </w:tc>
        <w:tc>
          <w:tcPr>
            <w:tcW w:w="3981" w:type="pct"/>
            <w:gridSpan w:val="3"/>
            <w:shd w:val="clear" w:color="auto" w:fill="auto"/>
            <w:vAlign w:val="center"/>
          </w:tcPr>
          <w:p w:rsidR="00995A55" w:rsidRPr="00D123EE" w:rsidRDefault="00995A55" w:rsidP="00AE6A29">
            <w:pPr>
              <w:pStyle w:val="TableText0"/>
              <w:keepNext w:val="0"/>
              <w:ind w:left="-52" w:right="-110"/>
              <w:rPr>
                <w:rFonts w:cs="Arial"/>
                <w:b/>
                <w:szCs w:val="18"/>
              </w:rPr>
            </w:pPr>
            <w:r w:rsidRPr="00D123EE">
              <w:rPr>
                <w:rFonts w:cs="Arial"/>
                <w:b/>
                <w:szCs w:val="18"/>
              </w:rPr>
              <w:t>T37.5+P325 vs T50</w:t>
            </w:r>
          </w:p>
        </w:tc>
      </w:tr>
      <w:tr w:rsidR="00995A55" w:rsidRPr="00D123EE" w:rsidTr="00AE6A29">
        <w:trPr>
          <w:tblHeader/>
        </w:trPr>
        <w:tc>
          <w:tcPr>
            <w:tcW w:w="1019" w:type="pct"/>
            <w:vMerge/>
            <w:shd w:val="clear" w:color="auto" w:fill="auto"/>
          </w:tcPr>
          <w:p w:rsidR="00995A55" w:rsidRPr="00D123EE" w:rsidRDefault="00995A55" w:rsidP="00AE6A29">
            <w:pPr>
              <w:pStyle w:val="TableText0"/>
              <w:keepNext w:val="0"/>
              <w:ind w:left="-52" w:right="-110"/>
            </w:pPr>
          </w:p>
        </w:tc>
        <w:tc>
          <w:tcPr>
            <w:tcW w:w="1327" w:type="pct"/>
            <w:shd w:val="clear" w:color="auto" w:fill="auto"/>
            <w:vAlign w:val="center"/>
          </w:tcPr>
          <w:p w:rsidR="00995A55" w:rsidRPr="00D123EE" w:rsidRDefault="00995A55" w:rsidP="00AE6A29">
            <w:pPr>
              <w:pStyle w:val="TableText0"/>
              <w:keepNext w:val="0"/>
              <w:ind w:left="-59" w:right="-69"/>
              <w:rPr>
                <w:b/>
              </w:rPr>
            </w:pPr>
            <w:r w:rsidRPr="00D123EE">
              <w:rPr>
                <w:b/>
              </w:rPr>
              <w:t>ZAL-06 (2 days)</w:t>
            </w:r>
          </w:p>
        </w:tc>
        <w:tc>
          <w:tcPr>
            <w:tcW w:w="1327" w:type="pct"/>
            <w:shd w:val="clear" w:color="auto" w:fill="auto"/>
            <w:vAlign w:val="center"/>
          </w:tcPr>
          <w:p w:rsidR="00995A55" w:rsidRPr="00D123EE" w:rsidRDefault="00995A55" w:rsidP="00AE6A29">
            <w:pPr>
              <w:pStyle w:val="TableText0"/>
              <w:keepNext w:val="0"/>
              <w:ind w:left="-52" w:right="-110"/>
              <w:rPr>
                <w:rFonts w:cs="Arial"/>
                <w:b/>
                <w:szCs w:val="18"/>
              </w:rPr>
            </w:pPr>
            <w:r w:rsidRPr="00D123EE">
              <w:rPr>
                <w:rFonts w:cs="Arial"/>
                <w:b/>
                <w:szCs w:val="18"/>
              </w:rPr>
              <w:t>CAPSS-241 (6 hours)</w:t>
            </w:r>
          </w:p>
        </w:tc>
        <w:tc>
          <w:tcPr>
            <w:tcW w:w="1327" w:type="pct"/>
            <w:shd w:val="clear" w:color="auto" w:fill="auto"/>
            <w:vAlign w:val="center"/>
          </w:tcPr>
          <w:p w:rsidR="00995A55" w:rsidRPr="00D123EE" w:rsidRDefault="00995A55" w:rsidP="00AE6A29">
            <w:pPr>
              <w:pStyle w:val="TableText0"/>
              <w:keepNext w:val="0"/>
              <w:ind w:left="-52" w:right="-110"/>
              <w:rPr>
                <w:rFonts w:cs="Arial"/>
                <w:b/>
                <w:szCs w:val="18"/>
              </w:rPr>
            </w:pPr>
            <w:r w:rsidRPr="00D123EE">
              <w:rPr>
                <w:rFonts w:cs="Arial"/>
                <w:b/>
                <w:szCs w:val="18"/>
              </w:rPr>
              <w:t>GRTF-ZAL 1 (10 days)</w:t>
            </w:r>
          </w:p>
        </w:tc>
      </w:tr>
      <w:tr w:rsidR="00995A55" w:rsidRPr="00D123EE" w:rsidTr="00AE6A29">
        <w:tc>
          <w:tcPr>
            <w:tcW w:w="5000" w:type="pct"/>
            <w:gridSpan w:val="4"/>
            <w:shd w:val="clear" w:color="auto" w:fill="auto"/>
          </w:tcPr>
          <w:p w:rsidR="00995A55" w:rsidRPr="00D123EE" w:rsidRDefault="00995A55" w:rsidP="00AE6A29">
            <w:pPr>
              <w:pStyle w:val="TableText0"/>
              <w:keepNext w:val="0"/>
              <w:ind w:left="-52" w:right="-110"/>
              <w:rPr>
                <w:b/>
              </w:rPr>
            </w:pPr>
            <w:r w:rsidRPr="00D123EE">
              <w:rPr>
                <w:b/>
              </w:rPr>
              <w:t xml:space="preserve">Pain intensity </w:t>
            </w:r>
          </w:p>
          <w:p w:rsidR="00995A55" w:rsidRPr="00D123EE" w:rsidRDefault="00995A55" w:rsidP="00AE6A29">
            <w:pPr>
              <w:pStyle w:val="TableText0"/>
              <w:keepNext w:val="0"/>
              <w:ind w:left="-52" w:right="-110"/>
              <w:rPr>
                <w:b/>
              </w:rPr>
            </w:pPr>
            <w:r w:rsidRPr="00D123EE">
              <w:t>MCID: Likert 11-pt: 1 or 2 pts or 30% for neuropathic pain; Likert 5-pt: -2.0 or -33% change; VAS 10-17mm improvement;</w:t>
            </w:r>
          </w:p>
        </w:tc>
      </w:tr>
      <w:tr w:rsidR="00995A55" w:rsidRPr="00D123EE" w:rsidTr="00AE6A29">
        <w:tc>
          <w:tcPr>
            <w:tcW w:w="1019" w:type="pct"/>
            <w:shd w:val="clear" w:color="auto" w:fill="auto"/>
          </w:tcPr>
          <w:p w:rsidR="00995A55" w:rsidRPr="00D123EE" w:rsidRDefault="00995A55" w:rsidP="00AE6A29">
            <w:pPr>
              <w:pStyle w:val="TableText0"/>
              <w:keepNext w:val="0"/>
              <w:ind w:left="-52" w:right="-110"/>
            </w:pPr>
            <w:r w:rsidRPr="00D123EE">
              <w:t>VAS</w:t>
            </w:r>
          </w:p>
        </w:tc>
        <w:tc>
          <w:tcPr>
            <w:tcW w:w="1327" w:type="pct"/>
            <w:shd w:val="clear" w:color="auto" w:fill="auto"/>
          </w:tcPr>
          <w:p w:rsidR="00995A55" w:rsidRPr="00D123EE" w:rsidRDefault="00995A55" w:rsidP="00AE6A29">
            <w:pPr>
              <w:pStyle w:val="TableText0"/>
              <w:keepNext w:val="0"/>
              <w:ind w:left="-52" w:right="-110"/>
            </w:pPr>
            <w:r w:rsidRPr="00D123EE">
              <w:t>NR</w:t>
            </w:r>
          </w:p>
        </w:tc>
        <w:tc>
          <w:tcPr>
            <w:tcW w:w="1327" w:type="pct"/>
            <w:shd w:val="clear" w:color="auto" w:fill="auto"/>
          </w:tcPr>
          <w:p w:rsidR="00995A55" w:rsidRPr="00D123EE" w:rsidRDefault="00995A55" w:rsidP="00AE6A29">
            <w:pPr>
              <w:pStyle w:val="TableText0"/>
              <w:keepNext w:val="0"/>
              <w:ind w:left="-52" w:right="-110"/>
            </w:pPr>
            <w:r w:rsidRPr="00D123EE">
              <w:t>NR</w:t>
            </w:r>
          </w:p>
        </w:tc>
        <w:tc>
          <w:tcPr>
            <w:tcW w:w="1327" w:type="pct"/>
            <w:shd w:val="clear" w:color="auto" w:fill="auto"/>
          </w:tcPr>
          <w:p w:rsidR="00995A55" w:rsidRPr="00D123EE" w:rsidRDefault="00995A55" w:rsidP="00AE6A29">
            <w:pPr>
              <w:pStyle w:val="TableText0"/>
              <w:keepNext w:val="0"/>
              <w:ind w:right="-110"/>
            </w:pPr>
            <w:r w:rsidRPr="00D123EE">
              <w:sym w:font="Wingdings" w:char="F0FC"/>
            </w:r>
          </w:p>
        </w:tc>
      </w:tr>
      <w:tr w:rsidR="00995A55" w:rsidRPr="00D123EE" w:rsidTr="00AE6A29">
        <w:tc>
          <w:tcPr>
            <w:tcW w:w="1019" w:type="pct"/>
            <w:tcBorders>
              <w:bottom w:val="single" w:sz="4" w:space="0" w:color="auto"/>
            </w:tcBorders>
            <w:shd w:val="clear" w:color="auto" w:fill="auto"/>
          </w:tcPr>
          <w:p w:rsidR="00995A55" w:rsidRPr="00D123EE" w:rsidRDefault="00995A55" w:rsidP="00AE6A29">
            <w:pPr>
              <w:pStyle w:val="TableText0"/>
              <w:keepNext w:val="0"/>
              <w:ind w:left="-52" w:right="-110"/>
            </w:pPr>
            <w:r w:rsidRPr="00D123EE">
              <w:t>Likert scale</w:t>
            </w:r>
          </w:p>
        </w:tc>
        <w:tc>
          <w:tcPr>
            <w:tcW w:w="1327" w:type="pct"/>
            <w:shd w:val="clear" w:color="auto" w:fill="auto"/>
          </w:tcPr>
          <w:p w:rsidR="00995A55" w:rsidRPr="00D123EE" w:rsidRDefault="00995A55" w:rsidP="00AE6A29">
            <w:pPr>
              <w:pStyle w:val="TableText0"/>
              <w:keepNext w:val="0"/>
              <w:ind w:left="-52" w:right="-110"/>
            </w:pPr>
            <w:r w:rsidRPr="00D123EE">
              <w:sym w:font="Wingdings" w:char="F0FC"/>
            </w:r>
            <w:r w:rsidRPr="00D123EE">
              <w:t xml:space="preserve"> 11-pt</w:t>
            </w:r>
          </w:p>
        </w:tc>
        <w:tc>
          <w:tcPr>
            <w:tcW w:w="1327" w:type="pct"/>
            <w:shd w:val="clear" w:color="auto" w:fill="auto"/>
          </w:tcPr>
          <w:p w:rsidR="00995A55" w:rsidRPr="00D123EE" w:rsidRDefault="00995A55" w:rsidP="00AE6A29">
            <w:pPr>
              <w:pStyle w:val="TableText0"/>
              <w:keepNext w:val="0"/>
              <w:ind w:left="-52" w:right="-110"/>
            </w:pPr>
            <w:r w:rsidRPr="00D123EE">
              <w:sym w:font="Wingdings" w:char="F0FC"/>
            </w:r>
            <w:r w:rsidRPr="00D123EE">
              <w:t xml:space="preserve"> 4-pt</w:t>
            </w:r>
          </w:p>
        </w:tc>
        <w:tc>
          <w:tcPr>
            <w:tcW w:w="1327" w:type="pct"/>
            <w:shd w:val="clear" w:color="auto" w:fill="auto"/>
          </w:tcPr>
          <w:p w:rsidR="00995A55" w:rsidRPr="00D123EE" w:rsidRDefault="00995A55" w:rsidP="00AE6A29">
            <w:pPr>
              <w:pStyle w:val="TableText0"/>
              <w:keepNext w:val="0"/>
              <w:ind w:left="-52" w:right="-110"/>
            </w:pPr>
            <w:r w:rsidRPr="00D123EE">
              <w:t>NR</w:t>
            </w:r>
          </w:p>
        </w:tc>
      </w:tr>
      <w:tr w:rsidR="00995A55" w:rsidRPr="00D123EE" w:rsidTr="00AE6A29">
        <w:tc>
          <w:tcPr>
            <w:tcW w:w="1019" w:type="pct"/>
            <w:tcBorders>
              <w:top w:val="single" w:sz="4" w:space="0" w:color="auto"/>
              <w:bottom w:val="single" w:sz="4" w:space="0" w:color="auto"/>
            </w:tcBorders>
            <w:shd w:val="clear" w:color="auto" w:fill="auto"/>
          </w:tcPr>
          <w:p w:rsidR="00995A55" w:rsidRPr="00D123EE" w:rsidRDefault="00995A55" w:rsidP="00AE6A29">
            <w:pPr>
              <w:pStyle w:val="TableText0"/>
              <w:keepNext w:val="0"/>
              <w:ind w:left="-52" w:right="-110"/>
            </w:pPr>
            <w:r w:rsidRPr="00D123EE">
              <w:t xml:space="preserve">Diff bet. </w:t>
            </w:r>
            <w:r w:rsidR="009E5309" w:rsidRPr="00D123EE">
              <w:t>G</w:t>
            </w:r>
            <w:r w:rsidRPr="00D123EE">
              <w:t>roups</w:t>
            </w:r>
          </w:p>
        </w:tc>
        <w:tc>
          <w:tcPr>
            <w:tcW w:w="1327" w:type="pct"/>
            <w:shd w:val="clear" w:color="auto" w:fill="auto"/>
          </w:tcPr>
          <w:p w:rsidR="00995A55" w:rsidRPr="00D123EE" w:rsidRDefault="00995A55" w:rsidP="00AE6A29">
            <w:pPr>
              <w:pStyle w:val="TableText0"/>
              <w:keepNext w:val="0"/>
              <w:ind w:left="-52" w:right="-110"/>
            </w:pPr>
            <w:r w:rsidRPr="00D123EE">
              <w:t>No diff</w:t>
            </w:r>
            <w:r w:rsidR="00A30F70" w:rsidRPr="00D123EE">
              <w:t>erence</w:t>
            </w:r>
          </w:p>
        </w:tc>
        <w:tc>
          <w:tcPr>
            <w:tcW w:w="1327" w:type="pct"/>
            <w:shd w:val="clear" w:color="auto" w:fill="auto"/>
          </w:tcPr>
          <w:p w:rsidR="00995A55" w:rsidRPr="00D123EE" w:rsidRDefault="00A30F70" w:rsidP="00AE6A29">
            <w:pPr>
              <w:pStyle w:val="TableText0"/>
              <w:keepNext w:val="0"/>
              <w:ind w:left="-52" w:right="-110"/>
            </w:pPr>
            <w:r w:rsidRPr="00D123EE">
              <w:t>Difference</w:t>
            </w:r>
            <w:r w:rsidR="00995A55" w:rsidRPr="00D123EE">
              <w:t xml:space="preserve"> </w:t>
            </w:r>
          </w:p>
        </w:tc>
        <w:tc>
          <w:tcPr>
            <w:tcW w:w="1327" w:type="pct"/>
            <w:shd w:val="clear" w:color="auto" w:fill="auto"/>
          </w:tcPr>
          <w:p w:rsidR="00995A55" w:rsidRPr="00D123EE" w:rsidRDefault="00995A55" w:rsidP="00AE6A29">
            <w:pPr>
              <w:pStyle w:val="TableText0"/>
              <w:keepNext w:val="0"/>
              <w:ind w:left="-52" w:right="-110"/>
            </w:pPr>
            <w:r w:rsidRPr="00D123EE">
              <w:t>No diff</w:t>
            </w:r>
            <w:r w:rsidR="00A30F70" w:rsidRPr="00D123EE">
              <w:t>erence</w:t>
            </w:r>
            <w:r w:rsidRPr="00D123EE">
              <w:t xml:space="preserve"> </w:t>
            </w:r>
          </w:p>
        </w:tc>
      </w:tr>
      <w:tr w:rsidR="00995A55" w:rsidRPr="00D123EE" w:rsidTr="00AE6A29">
        <w:tc>
          <w:tcPr>
            <w:tcW w:w="1019" w:type="pct"/>
            <w:tcBorders>
              <w:top w:val="single" w:sz="4" w:space="0" w:color="auto"/>
              <w:bottom w:val="single" w:sz="4" w:space="0" w:color="auto"/>
            </w:tcBorders>
            <w:shd w:val="clear" w:color="auto" w:fill="auto"/>
          </w:tcPr>
          <w:p w:rsidR="00995A55" w:rsidRPr="00D123EE" w:rsidRDefault="00995A55" w:rsidP="00AE6A29">
            <w:pPr>
              <w:pStyle w:val="TableText0"/>
              <w:keepNext w:val="0"/>
              <w:ind w:left="-52" w:right="-110"/>
            </w:pPr>
            <w:r w:rsidRPr="00D123EE">
              <w:t>Claim (trial)</w:t>
            </w:r>
          </w:p>
        </w:tc>
        <w:tc>
          <w:tcPr>
            <w:tcW w:w="1327" w:type="pct"/>
            <w:tcBorders>
              <w:bottom w:val="single" w:sz="4" w:space="0" w:color="auto"/>
            </w:tcBorders>
            <w:shd w:val="clear" w:color="auto" w:fill="auto"/>
          </w:tcPr>
          <w:p w:rsidR="00995A55" w:rsidRPr="00D123EE" w:rsidRDefault="00995A55" w:rsidP="00AE6A29">
            <w:pPr>
              <w:pStyle w:val="TableText0"/>
              <w:keepNext w:val="0"/>
              <w:ind w:left="-52" w:right="-110"/>
            </w:pPr>
            <w:r w:rsidRPr="00D123EE">
              <w:t>Non-inferior</w:t>
            </w:r>
          </w:p>
        </w:tc>
        <w:tc>
          <w:tcPr>
            <w:tcW w:w="1327" w:type="pct"/>
            <w:tcBorders>
              <w:bottom w:val="single" w:sz="4" w:space="0" w:color="auto"/>
            </w:tcBorders>
            <w:shd w:val="clear" w:color="auto" w:fill="auto"/>
          </w:tcPr>
          <w:p w:rsidR="00995A55" w:rsidRPr="00D123EE" w:rsidRDefault="00995A55" w:rsidP="00AE6A29">
            <w:pPr>
              <w:pStyle w:val="TableText0"/>
              <w:keepNext w:val="0"/>
              <w:ind w:left="-63" w:right="-110"/>
            </w:pPr>
            <w:r w:rsidRPr="00D123EE">
              <w:t xml:space="preserve">Superior </w:t>
            </w:r>
          </w:p>
        </w:tc>
        <w:tc>
          <w:tcPr>
            <w:tcW w:w="1327" w:type="pct"/>
            <w:tcBorders>
              <w:bottom w:val="single" w:sz="4" w:space="0" w:color="auto"/>
            </w:tcBorders>
            <w:shd w:val="clear" w:color="auto" w:fill="auto"/>
          </w:tcPr>
          <w:p w:rsidR="00995A55" w:rsidRPr="00D123EE" w:rsidRDefault="00995A55" w:rsidP="00AE6A29">
            <w:pPr>
              <w:pStyle w:val="TableText0"/>
              <w:keepNext w:val="0"/>
              <w:ind w:left="-52" w:right="-110"/>
            </w:pPr>
            <w:r w:rsidRPr="00D123EE">
              <w:t>Non-inferior, post-hoc analysis</w:t>
            </w:r>
          </w:p>
        </w:tc>
      </w:tr>
      <w:tr w:rsidR="00995A55" w:rsidRPr="00D123EE" w:rsidTr="00AE6A29">
        <w:tc>
          <w:tcPr>
            <w:tcW w:w="1019" w:type="pct"/>
            <w:tcBorders>
              <w:top w:val="single" w:sz="4" w:space="0" w:color="auto"/>
              <w:bottom w:val="single" w:sz="4" w:space="0" w:color="auto"/>
            </w:tcBorders>
            <w:shd w:val="clear" w:color="auto" w:fill="auto"/>
          </w:tcPr>
          <w:p w:rsidR="00995A55" w:rsidRPr="00D123EE" w:rsidRDefault="00995A55" w:rsidP="00AE6A29">
            <w:pPr>
              <w:pStyle w:val="TableText0"/>
              <w:keepNext w:val="0"/>
              <w:ind w:left="-52" w:right="-110"/>
            </w:pPr>
            <w:r w:rsidRPr="00D123EE">
              <w:t>Claim (submission)</w:t>
            </w:r>
          </w:p>
        </w:tc>
        <w:tc>
          <w:tcPr>
            <w:tcW w:w="3981" w:type="pct"/>
            <w:gridSpan w:val="3"/>
            <w:tcBorders>
              <w:bottom w:val="single" w:sz="4" w:space="0" w:color="auto"/>
            </w:tcBorders>
            <w:shd w:val="clear" w:color="auto" w:fill="auto"/>
          </w:tcPr>
          <w:p w:rsidR="00995A55" w:rsidRPr="00D123EE" w:rsidRDefault="00995A55" w:rsidP="00AE6A29">
            <w:pPr>
              <w:pStyle w:val="TableText0"/>
              <w:keepNext w:val="0"/>
              <w:ind w:left="-52" w:right="-110"/>
              <w:jc w:val="center"/>
            </w:pPr>
            <w:r w:rsidRPr="00D123EE">
              <w:t>Non-inferior</w:t>
            </w:r>
          </w:p>
        </w:tc>
      </w:tr>
      <w:tr w:rsidR="00995A55" w:rsidRPr="00D123EE" w:rsidTr="00AE6A29">
        <w:tc>
          <w:tcPr>
            <w:tcW w:w="5000" w:type="pct"/>
            <w:gridSpan w:val="4"/>
            <w:shd w:val="clear" w:color="auto" w:fill="auto"/>
          </w:tcPr>
          <w:p w:rsidR="00995A55" w:rsidRPr="00D123EE" w:rsidRDefault="00995A55" w:rsidP="00AE6A29">
            <w:pPr>
              <w:pStyle w:val="TableText0"/>
              <w:keepNext w:val="0"/>
              <w:ind w:left="-52" w:right="-110"/>
            </w:pPr>
            <w:r w:rsidRPr="00D123EE">
              <w:rPr>
                <w:b/>
              </w:rPr>
              <w:t xml:space="preserve">Pain relief:  </w:t>
            </w:r>
            <w:r w:rsidRPr="00D123EE">
              <w:t xml:space="preserve">MCID: VAS or Likert scale: 25-30% improvement is clinically meaningful. </w:t>
            </w:r>
          </w:p>
        </w:tc>
      </w:tr>
      <w:tr w:rsidR="00995A55" w:rsidRPr="00D123EE" w:rsidTr="00AE6A29">
        <w:tc>
          <w:tcPr>
            <w:tcW w:w="1019" w:type="pct"/>
            <w:tcBorders>
              <w:bottom w:val="single" w:sz="4" w:space="0" w:color="auto"/>
            </w:tcBorders>
            <w:shd w:val="clear" w:color="auto" w:fill="auto"/>
          </w:tcPr>
          <w:p w:rsidR="00995A55" w:rsidRPr="00D123EE" w:rsidRDefault="00995A55" w:rsidP="00AE6A29">
            <w:pPr>
              <w:pStyle w:val="TableText0"/>
              <w:keepNext w:val="0"/>
              <w:ind w:left="-52" w:right="-110"/>
            </w:pPr>
            <w:r w:rsidRPr="00D123EE">
              <w:t>Likert scale</w:t>
            </w:r>
          </w:p>
        </w:tc>
        <w:tc>
          <w:tcPr>
            <w:tcW w:w="1327" w:type="pct"/>
            <w:shd w:val="clear" w:color="auto" w:fill="auto"/>
          </w:tcPr>
          <w:p w:rsidR="00995A55" w:rsidRPr="00D123EE" w:rsidRDefault="00995A55" w:rsidP="00AE6A29">
            <w:pPr>
              <w:pStyle w:val="TableText0"/>
              <w:keepNext w:val="0"/>
              <w:ind w:left="-52" w:right="-110"/>
            </w:pPr>
            <w:r w:rsidRPr="00D123EE">
              <w:t>NR</w:t>
            </w:r>
          </w:p>
        </w:tc>
        <w:tc>
          <w:tcPr>
            <w:tcW w:w="1327" w:type="pct"/>
            <w:shd w:val="clear" w:color="auto" w:fill="auto"/>
          </w:tcPr>
          <w:p w:rsidR="00995A55" w:rsidRPr="00D123EE" w:rsidRDefault="00995A55" w:rsidP="00AE6A29">
            <w:pPr>
              <w:pStyle w:val="TableText0"/>
              <w:keepNext w:val="0"/>
              <w:ind w:left="-52" w:right="-110"/>
            </w:pPr>
            <w:r w:rsidRPr="00D123EE">
              <w:sym w:font="Wingdings" w:char="F0FC"/>
            </w:r>
            <w:r w:rsidRPr="00D123EE">
              <w:t xml:space="preserve"> 5-pt</w:t>
            </w:r>
          </w:p>
        </w:tc>
        <w:tc>
          <w:tcPr>
            <w:tcW w:w="1327" w:type="pct"/>
            <w:shd w:val="clear" w:color="auto" w:fill="auto"/>
          </w:tcPr>
          <w:p w:rsidR="00995A55" w:rsidRPr="00D123EE" w:rsidRDefault="00995A55" w:rsidP="00AE6A29">
            <w:pPr>
              <w:pStyle w:val="TableText0"/>
              <w:keepNext w:val="0"/>
              <w:ind w:left="-52" w:right="-110"/>
            </w:pPr>
            <w:r w:rsidRPr="00D123EE">
              <w:sym w:font="Wingdings" w:char="F0FC"/>
            </w:r>
            <w:r w:rsidRPr="00D123EE">
              <w:t xml:space="preserve"> 5-pt</w:t>
            </w:r>
          </w:p>
        </w:tc>
      </w:tr>
      <w:tr w:rsidR="00995A55" w:rsidRPr="00D123EE" w:rsidTr="00AE6A29">
        <w:tc>
          <w:tcPr>
            <w:tcW w:w="1019" w:type="pct"/>
            <w:tcBorders>
              <w:top w:val="single" w:sz="4" w:space="0" w:color="auto"/>
              <w:bottom w:val="single" w:sz="4" w:space="0" w:color="auto"/>
            </w:tcBorders>
            <w:shd w:val="clear" w:color="auto" w:fill="auto"/>
          </w:tcPr>
          <w:p w:rsidR="00995A55" w:rsidRPr="00D123EE" w:rsidRDefault="00995A55" w:rsidP="00AE6A29">
            <w:pPr>
              <w:pStyle w:val="TableText0"/>
              <w:keepNext w:val="0"/>
              <w:ind w:left="-52" w:right="-110"/>
            </w:pPr>
            <w:r w:rsidRPr="00D123EE">
              <w:t xml:space="preserve">Diff bet. </w:t>
            </w:r>
            <w:r w:rsidR="009E5309" w:rsidRPr="00D123EE">
              <w:t>G</w:t>
            </w:r>
            <w:r w:rsidRPr="00D123EE">
              <w:t>roups</w:t>
            </w:r>
          </w:p>
        </w:tc>
        <w:tc>
          <w:tcPr>
            <w:tcW w:w="1327" w:type="pct"/>
            <w:shd w:val="clear" w:color="auto" w:fill="auto"/>
          </w:tcPr>
          <w:p w:rsidR="00995A55" w:rsidRPr="00D123EE" w:rsidRDefault="00995A55" w:rsidP="00AE6A29">
            <w:pPr>
              <w:pStyle w:val="TableText0"/>
              <w:keepNext w:val="0"/>
              <w:ind w:left="-52" w:right="-110"/>
            </w:pPr>
            <w:r w:rsidRPr="00D123EE">
              <w:t>-</w:t>
            </w:r>
          </w:p>
        </w:tc>
        <w:tc>
          <w:tcPr>
            <w:tcW w:w="1327" w:type="pct"/>
            <w:shd w:val="clear" w:color="auto" w:fill="auto"/>
          </w:tcPr>
          <w:p w:rsidR="00995A55" w:rsidRPr="00D123EE" w:rsidRDefault="00995A55" w:rsidP="00AE6A29">
            <w:pPr>
              <w:pStyle w:val="TableText0"/>
              <w:keepNext w:val="0"/>
              <w:ind w:left="-52" w:right="-110"/>
            </w:pPr>
            <w:r w:rsidRPr="00D123EE">
              <w:t>Diff</w:t>
            </w:r>
            <w:r w:rsidR="00FB1E9D" w:rsidRPr="00D123EE">
              <w:t>erence</w:t>
            </w:r>
          </w:p>
        </w:tc>
        <w:tc>
          <w:tcPr>
            <w:tcW w:w="1327" w:type="pct"/>
            <w:shd w:val="clear" w:color="auto" w:fill="auto"/>
          </w:tcPr>
          <w:p w:rsidR="00995A55" w:rsidRPr="00D123EE" w:rsidRDefault="00995A55" w:rsidP="00AE6A29">
            <w:pPr>
              <w:pStyle w:val="TableText0"/>
              <w:keepNext w:val="0"/>
              <w:ind w:left="-52" w:right="-110"/>
            </w:pPr>
            <w:r w:rsidRPr="00D123EE">
              <w:t>No diff</w:t>
            </w:r>
            <w:r w:rsidR="00FB1E9D" w:rsidRPr="00D123EE">
              <w:t>erence</w:t>
            </w:r>
          </w:p>
        </w:tc>
      </w:tr>
      <w:tr w:rsidR="00995A55" w:rsidRPr="00D123EE" w:rsidTr="00AE6A29">
        <w:tc>
          <w:tcPr>
            <w:tcW w:w="1019" w:type="pct"/>
            <w:tcBorders>
              <w:top w:val="single" w:sz="4" w:space="0" w:color="auto"/>
            </w:tcBorders>
            <w:shd w:val="clear" w:color="auto" w:fill="auto"/>
          </w:tcPr>
          <w:p w:rsidR="00995A55" w:rsidRPr="00D123EE" w:rsidRDefault="00995A55" w:rsidP="00AE6A29">
            <w:pPr>
              <w:pStyle w:val="TableText0"/>
              <w:keepNext w:val="0"/>
              <w:ind w:left="-52" w:right="-110"/>
            </w:pPr>
            <w:r w:rsidRPr="00D123EE">
              <w:t>Claim (trial)</w:t>
            </w:r>
          </w:p>
        </w:tc>
        <w:tc>
          <w:tcPr>
            <w:tcW w:w="1327" w:type="pct"/>
            <w:shd w:val="clear" w:color="auto" w:fill="auto"/>
          </w:tcPr>
          <w:p w:rsidR="00995A55" w:rsidRPr="00D123EE" w:rsidRDefault="00995A55" w:rsidP="00AE6A29">
            <w:pPr>
              <w:pStyle w:val="TableText0"/>
              <w:keepNext w:val="0"/>
              <w:ind w:left="-52" w:right="-110"/>
            </w:pPr>
            <w:r w:rsidRPr="00D123EE">
              <w:t>-</w:t>
            </w:r>
          </w:p>
        </w:tc>
        <w:tc>
          <w:tcPr>
            <w:tcW w:w="1327" w:type="pct"/>
            <w:shd w:val="clear" w:color="auto" w:fill="auto"/>
          </w:tcPr>
          <w:p w:rsidR="00995A55" w:rsidRPr="00D123EE" w:rsidRDefault="00995A55" w:rsidP="00AE6A29">
            <w:pPr>
              <w:pStyle w:val="TableText0"/>
              <w:keepNext w:val="0"/>
              <w:ind w:left="-52" w:right="-110"/>
            </w:pPr>
            <w:r w:rsidRPr="00D123EE">
              <w:t>Superior</w:t>
            </w:r>
          </w:p>
        </w:tc>
        <w:tc>
          <w:tcPr>
            <w:tcW w:w="1327" w:type="pct"/>
            <w:shd w:val="clear" w:color="auto" w:fill="auto"/>
          </w:tcPr>
          <w:p w:rsidR="00995A55" w:rsidRPr="00D123EE" w:rsidRDefault="00995A55" w:rsidP="00AE6A29">
            <w:pPr>
              <w:pStyle w:val="TableText0"/>
              <w:keepNext w:val="0"/>
              <w:ind w:left="-52" w:right="-110"/>
            </w:pPr>
            <w:r w:rsidRPr="00D123EE">
              <w:t>Non-inferior</w:t>
            </w:r>
          </w:p>
        </w:tc>
      </w:tr>
      <w:tr w:rsidR="00995A55" w:rsidRPr="00D123EE" w:rsidTr="00AE6A29">
        <w:tc>
          <w:tcPr>
            <w:tcW w:w="1019" w:type="pct"/>
            <w:shd w:val="clear" w:color="auto" w:fill="auto"/>
          </w:tcPr>
          <w:p w:rsidR="00995A55" w:rsidRPr="00D123EE" w:rsidRDefault="00995A55" w:rsidP="00AE6A29">
            <w:pPr>
              <w:pStyle w:val="TableText0"/>
              <w:keepNext w:val="0"/>
              <w:ind w:left="-52" w:right="-110"/>
            </w:pPr>
            <w:r w:rsidRPr="00D123EE">
              <w:t>Claim (submission)</w:t>
            </w:r>
          </w:p>
        </w:tc>
        <w:tc>
          <w:tcPr>
            <w:tcW w:w="3981" w:type="pct"/>
            <w:gridSpan w:val="3"/>
            <w:shd w:val="clear" w:color="auto" w:fill="auto"/>
          </w:tcPr>
          <w:p w:rsidR="00995A55" w:rsidRPr="00D123EE" w:rsidRDefault="00995A55" w:rsidP="00AE6A29">
            <w:pPr>
              <w:pStyle w:val="TableText0"/>
              <w:keepNext w:val="0"/>
              <w:ind w:left="-52" w:right="-110"/>
              <w:jc w:val="center"/>
            </w:pPr>
            <w:r w:rsidRPr="00D123EE">
              <w:t>Non-inferior</w:t>
            </w:r>
          </w:p>
        </w:tc>
      </w:tr>
      <w:tr w:rsidR="00995A55" w:rsidRPr="00D123EE" w:rsidTr="00AE6A29">
        <w:tc>
          <w:tcPr>
            <w:tcW w:w="5000" w:type="pct"/>
            <w:gridSpan w:val="4"/>
            <w:tcBorders>
              <w:bottom w:val="single" w:sz="4" w:space="0" w:color="auto"/>
            </w:tcBorders>
            <w:shd w:val="clear" w:color="auto" w:fill="auto"/>
          </w:tcPr>
          <w:p w:rsidR="00995A55" w:rsidRPr="00D123EE" w:rsidRDefault="00995A55" w:rsidP="00AE6A29">
            <w:pPr>
              <w:pStyle w:val="TableText0"/>
              <w:keepNext w:val="0"/>
              <w:ind w:left="-52" w:right="-110"/>
            </w:pPr>
            <w:r w:rsidRPr="00D123EE">
              <w:rPr>
                <w:b/>
              </w:rPr>
              <w:t xml:space="preserve">Treatment satisfaction and patient overall assessment of study medication:  </w:t>
            </w:r>
            <w:r w:rsidRPr="00D123EE">
              <w:t>NI margin, 4-pt scale: 20% improvement</w:t>
            </w:r>
          </w:p>
        </w:tc>
      </w:tr>
      <w:tr w:rsidR="00995A55" w:rsidRPr="00D123EE" w:rsidTr="00AE6A29">
        <w:tc>
          <w:tcPr>
            <w:tcW w:w="1019" w:type="pct"/>
            <w:tcBorders>
              <w:top w:val="single" w:sz="4" w:space="0" w:color="auto"/>
              <w:bottom w:val="single" w:sz="4" w:space="0" w:color="auto"/>
            </w:tcBorders>
            <w:shd w:val="clear" w:color="auto" w:fill="auto"/>
          </w:tcPr>
          <w:p w:rsidR="00995A55" w:rsidRPr="00D123EE" w:rsidRDefault="00995A55" w:rsidP="00AE6A29">
            <w:pPr>
              <w:pStyle w:val="TableText0"/>
              <w:keepNext w:val="0"/>
              <w:ind w:left="-52" w:right="-110"/>
            </w:pPr>
            <w:r w:rsidRPr="00D123EE">
              <w:t>Likert scale</w:t>
            </w:r>
          </w:p>
        </w:tc>
        <w:tc>
          <w:tcPr>
            <w:tcW w:w="1327" w:type="pct"/>
            <w:tcBorders>
              <w:top w:val="single" w:sz="4" w:space="0" w:color="auto"/>
            </w:tcBorders>
            <w:shd w:val="clear" w:color="auto" w:fill="auto"/>
          </w:tcPr>
          <w:p w:rsidR="00995A55" w:rsidRPr="00D123EE" w:rsidRDefault="00995A55" w:rsidP="00AE6A29">
            <w:pPr>
              <w:pStyle w:val="TableText0"/>
              <w:keepNext w:val="0"/>
              <w:ind w:left="-52" w:right="-110"/>
            </w:pPr>
            <w:r w:rsidRPr="00D123EE">
              <w:sym w:font="Wingdings" w:char="F0FC"/>
            </w:r>
            <w:r w:rsidRPr="00D123EE">
              <w:t xml:space="preserve"> 4-pt </w:t>
            </w:r>
          </w:p>
        </w:tc>
        <w:tc>
          <w:tcPr>
            <w:tcW w:w="1327" w:type="pct"/>
            <w:tcBorders>
              <w:top w:val="single" w:sz="4" w:space="0" w:color="auto"/>
            </w:tcBorders>
            <w:shd w:val="clear" w:color="auto" w:fill="auto"/>
          </w:tcPr>
          <w:p w:rsidR="00995A55" w:rsidRPr="00D123EE" w:rsidRDefault="00995A55" w:rsidP="00AE6A29">
            <w:pPr>
              <w:pStyle w:val="TableText0"/>
              <w:keepNext w:val="0"/>
              <w:ind w:left="-52" w:right="-110"/>
            </w:pPr>
            <w:r w:rsidRPr="00D123EE">
              <w:sym w:font="Wingdings" w:char="F0FC"/>
            </w:r>
            <w:r w:rsidRPr="00D123EE">
              <w:t xml:space="preserve"> 5-pt</w:t>
            </w:r>
          </w:p>
        </w:tc>
        <w:tc>
          <w:tcPr>
            <w:tcW w:w="1327" w:type="pct"/>
            <w:tcBorders>
              <w:top w:val="single" w:sz="4" w:space="0" w:color="auto"/>
            </w:tcBorders>
            <w:shd w:val="clear" w:color="auto" w:fill="auto"/>
          </w:tcPr>
          <w:p w:rsidR="00995A55" w:rsidRPr="00D123EE" w:rsidRDefault="00995A55" w:rsidP="00AE6A29">
            <w:pPr>
              <w:pStyle w:val="TableText0"/>
              <w:keepNext w:val="0"/>
              <w:ind w:left="-52" w:right="-110"/>
            </w:pPr>
            <w:r w:rsidRPr="00D123EE">
              <w:sym w:font="Wingdings" w:char="F0FC"/>
            </w:r>
            <w:r w:rsidRPr="00D123EE">
              <w:t xml:space="preserve"> 4-pt </w:t>
            </w:r>
          </w:p>
        </w:tc>
      </w:tr>
      <w:tr w:rsidR="00995A55" w:rsidRPr="00D123EE" w:rsidTr="00AE6A29">
        <w:tc>
          <w:tcPr>
            <w:tcW w:w="1019" w:type="pct"/>
            <w:tcBorders>
              <w:top w:val="single" w:sz="4" w:space="0" w:color="auto"/>
              <w:bottom w:val="single" w:sz="4" w:space="0" w:color="auto"/>
            </w:tcBorders>
            <w:shd w:val="clear" w:color="auto" w:fill="auto"/>
          </w:tcPr>
          <w:p w:rsidR="00995A55" w:rsidRPr="00D123EE" w:rsidRDefault="00995A55" w:rsidP="00AE6A29">
            <w:pPr>
              <w:pStyle w:val="TableText0"/>
              <w:keepNext w:val="0"/>
              <w:ind w:left="-52" w:right="-110"/>
            </w:pPr>
            <w:r w:rsidRPr="00D123EE">
              <w:t xml:space="preserve">Diff bet. </w:t>
            </w:r>
            <w:r w:rsidR="009E5309" w:rsidRPr="00D123EE">
              <w:t>G</w:t>
            </w:r>
            <w:r w:rsidRPr="00D123EE">
              <w:t>roups</w:t>
            </w:r>
          </w:p>
        </w:tc>
        <w:tc>
          <w:tcPr>
            <w:tcW w:w="1327" w:type="pct"/>
            <w:tcBorders>
              <w:top w:val="single" w:sz="4" w:space="0" w:color="auto"/>
            </w:tcBorders>
            <w:shd w:val="clear" w:color="auto" w:fill="auto"/>
          </w:tcPr>
          <w:p w:rsidR="00995A55" w:rsidRPr="00D123EE" w:rsidRDefault="00995A55" w:rsidP="00AE6A29">
            <w:pPr>
              <w:pStyle w:val="TableText0"/>
              <w:keepNext w:val="0"/>
              <w:ind w:left="-52" w:right="-110"/>
            </w:pPr>
            <w:r w:rsidRPr="00D123EE">
              <w:t>No difference</w:t>
            </w:r>
          </w:p>
        </w:tc>
        <w:tc>
          <w:tcPr>
            <w:tcW w:w="1327" w:type="pct"/>
            <w:tcBorders>
              <w:top w:val="single" w:sz="4" w:space="0" w:color="auto"/>
            </w:tcBorders>
            <w:shd w:val="clear" w:color="auto" w:fill="auto"/>
          </w:tcPr>
          <w:p w:rsidR="00995A55" w:rsidRPr="00D123EE" w:rsidRDefault="00995A55" w:rsidP="00AE6A29">
            <w:pPr>
              <w:pStyle w:val="TableText0"/>
              <w:keepNext w:val="0"/>
              <w:ind w:left="-52" w:right="-110"/>
            </w:pPr>
            <w:r w:rsidRPr="00D123EE">
              <w:t>Difference</w:t>
            </w:r>
          </w:p>
        </w:tc>
        <w:tc>
          <w:tcPr>
            <w:tcW w:w="1327" w:type="pct"/>
            <w:tcBorders>
              <w:top w:val="single" w:sz="4" w:space="0" w:color="auto"/>
            </w:tcBorders>
            <w:shd w:val="clear" w:color="auto" w:fill="auto"/>
          </w:tcPr>
          <w:p w:rsidR="00995A55" w:rsidRPr="00D123EE" w:rsidRDefault="00995A55" w:rsidP="00AE6A29">
            <w:pPr>
              <w:pStyle w:val="TableText0"/>
              <w:keepNext w:val="0"/>
              <w:ind w:left="-52" w:right="-110"/>
            </w:pPr>
            <w:r w:rsidRPr="00D123EE">
              <w:t>No difference</w:t>
            </w:r>
          </w:p>
        </w:tc>
      </w:tr>
      <w:tr w:rsidR="00995A55" w:rsidRPr="00D123EE" w:rsidTr="00AE6A29">
        <w:tc>
          <w:tcPr>
            <w:tcW w:w="1019" w:type="pct"/>
            <w:tcBorders>
              <w:top w:val="single" w:sz="4" w:space="0" w:color="auto"/>
            </w:tcBorders>
            <w:shd w:val="clear" w:color="auto" w:fill="auto"/>
          </w:tcPr>
          <w:p w:rsidR="00995A55" w:rsidRPr="00D123EE" w:rsidRDefault="00995A55" w:rsidP="00AE6A29">
            <w:pPr>
              <w:pStyle w:val="TableText0"/>
              <w:keepNext w:val="0"/>
              <w:ind w:left="-52" w:right="-110"/>
            </w:pPr>
            <w:r w:rsidRPr="00D123EE">
              <w:t>Claim (trial)</w:t>
            </w:r>
          </w:p>
        </w:tc>
        <w:tc>
          <w:tcPr>
            <w:tcW w:w="1327" w:type="pct"/>
            <w:tcBorders>
              <w:top w:val="single" w:sz="4" w:space="0" w:color="auto"/>
              <w:bottom w:val="single" w:sz="4" w:space="0" w:color="auto"/>
            </w:tcBorders>
            <w:shd w:val="clear" w:color="auto" w:fill="auto"/>
          </w:tcPr>
          <w:p w:rsidR="00995A55" w:rsidRPr="00D123EE" w:rsidRDefault="00995A55" w:rsidP="00AE6A29">
            <w:pPr>
              <w:pStyle w:val="TableText0"/>
              <w:keepNext w:val="0"/>
              <w:ind w:left="-52" w:right="-110"/>
            </w:pPr>
            <w:r w:rsidRPr="00D123EE">
              <w:t>Non-inferior</w:t>
            </w:r>
          </w:p>
        </w:tc>
        <w:tc>
          <w:tcPr>
            <w:tcW w:w="1327" w:type="pct"/>
            <w:tcBorders>
              <w:top w:val="single" w:sz="4" w:space="0" w:color="auto"/>
              <w:bottom w:val="single" w:sz="4" w:space="0" w:color="auto"/>
            </w:tcBorders>
            <w:shd w:val="clear" w:color="auto" w:fill="auto"/>
          </w:tcPr>
          <w:p w:rsidR="00995A55" w:rsidRPr="00D123EE" w:rsidRDefault="00995A55" w:rsidP="00AE6A29">
            <w:pPr>
              <w:pStyle w:val="TableText0"/>
              <w:keepNext w:val="0"/>
              <w:ind w:left="-63" w:right="-110"/>
            </w:pPr>
            <w:r w:rsidRPr="00D123EE">
              <w:t>Superior</w:t>
            </w:r>
          </w:p>
        </w:tc>
        <w:tc>
          <w:tcPr>
            <w:tcW w:w="1327" w:type="pct"/>
            <w:tcBorders>
              <w:top w:val="single" w:sz="4" w:space="0" w:color="auto"/>
              <w:bottom w:val="single" w:sz="4" w:space="0" w:color="auto"/>
            </w:tcBorders>
            <w:shd w:val="clear" w:color="auto" w:fill="auto"/>
          </w:tcPr>
          <w:p w:rsidR="00995A55" w:rsidRPr="00D123EE" w:rsidRDefault="00995A55" w:rsidP="00AE6A29">
            <w:pPr>
              <w:pStyle w:val="TableText0"/>
              <w:keepNext w:val="0"/>
              <w:ind w:left="-52" w:right="-110"/>
            </w:pPr>
            <w:r w:rsidRPr="00D123EE">
              <w:t>Non-inferior, post-hoc analysis</w:t>
            </w:r>
          </w:p>
        </w:tc>
      </w:tr>
      <w:tr w:rsidR="00995A55" w:rsidRPr="00D123EE" w:rsidTr="00AE6A29">
        <w:tc>
          <w:tcPr>
            <w:tcW w:w="1019" w:type="pct"/>
            <w:tcBorders>
              <w:top w:val="nil"/>
            </w:tcBorders>
            <w:shd w:val="clear" w:color="auto" w:fill="auto"/>
          </w:tcPr>
          <w:p w:rsidR="00995A55" w:rsidRPr="00D123EE" w:rsidRDefault="00995A55" w:rsidP="00AE6A29">
            <w:pPr>
              <w:pStyle w:val="TableText0"/>
              <w:keepNext w:val="0"/>
              <w:ind w:left="-52" w:right="-110"/>
            </w:pPr>
            <w:r w:rsidRPr="00D123EE">
              <w:t>Claim (submission)</w:t>
            </w:r>
          </w:p>
        </w:tc>
        <w:tc>
          <w:tcPr>
            <w:tcW w:w="3981" w:type="pct"/>
            <w:gridSpan w:val="3"/>
            <w:tcBorders>
              <w:top w:val="single" w:sz="4" w:space="0" w:color="auto"/>
            </w:tcBorders>
            <w:shd w:val="clear" w:color="auto" w:fill="auto"/>
          </w:tcPr>
          <w:p w:rsidR="00995A55" w:rsidRPr="00D123EE" w:rsidRDefault="00995A55" w:rsidP="00AE6A29">
            <w:pPr>
              <w:pStyle w:val="TableText0"/>
              <w:keepNext w:val="0"/>
              <w:ind w:left="-52" w:right="-110"/>
              <w:jc w:val="center"/>
            </w:pPr>
            <w:r w:rsidRPr="00D123EE">
              <w:t>Non-inferior</w:t>
            </w:r>
          </w:p>
        </w:tc>
      </w:tr>
    </w:tbl>
    <w:p w:rsidR="00A30F70" w:rsidRPr="00D123EE" w:rsidRDefault="00A30F70" w:rsidP="00A30F70">
      <w:pPr>
        <w:pStyle w:val="TableFooter"/>
      </w:pPr>
      <w:r w:rsidRPr="00D123EE">
        <w:t xml:space="preserve">Source: Table </w:t>
      </w:r>
      <w:r w:rsidR="00497725" w:rsidRPr="00D123EE">
        <w:t>2.5.1</w:t>
      </w:r>
      <w:r w:rsidRPr="00D123EE">
        <w:t xml:space="preserve">, Table </w:t>
      </w:r>
      <w:r w:rsidR="00497725" w:rsidRPr="00D123EE">
        <w:t>2.5.2</w:t>
      </w:r>
      <w:r w:rsidRPr="00D123EE">
        <w:t xml:space="preserve">, Table </w:t>
      </w:r>
      <w:r w:rsidR="00497725" w:rsidRPr="00D123EE">
        <w:t xml:space="preserve">2.5.4 </w:t>
      </w:r>
      <w:r w:rsidRPr="00D123EE">
        <w:t xml:space="preserve">of the Commentary. </w:t>
      </w:r>
    </w:p>
    <w:p w:rsidR="00797852" w:rsidRPr="00D123EE" w:rsidRDefault="00797852" w:rsidP="00797852">
      <w:pPr>
        <w:pStyle w:val="TableFooter"/>
      </w:pPr>
      <w:r w:rsidRPr="00D123EE">
        <w:t xml:space="preserve">Abbreviations: diff = difference; MCID= minimum clinically important difference; NR = not reported; </w:t>
      </w:r>
      <w:proofErr w:type="spellStart"/>
      <w:r w:rsidRPr="00D123EE">
        <w:t>pt</w:t>
      </w:r>
      <w:proofErr w:type="spellEnd"/>
      <w:r w:rsidRPr="00D123EE">
        <w:t>= point; VAS= visual analogue scale.</w:t>
      </w:r>
    </w:p>
    <w:p w:rsidR="00436680" w:rsidRPr="00D123EE" w:rsidRDefault="00436680" w:rsidP="00247B42"/>
    <w:p w:rsidR="00A24CEA" w:rsidRPr="00D123EE" w:rsidRDefault="00A24CEA" w:rsidP="005B2734">
      <w:pPr>
        <w:spacing w:after="120"/>
      </w:pPr>
      <w:r w:rsidRPr="00D123EE">
        <w:rPr>
          <w:b/>
          <w:u w:val="single"/>
        </w:rPr>
        <w:t>Chronic pain</w:t>
      </w:r>
    </w:p>
    <w:p w:rsidR="00436680" w:rsidRPr="00D123EE" w:rsidRDefault="00E5674B" w:rsidP="00E22F6D">
      <w:pPr>
        <w:pStyle w:val="ListParagraph"/>
        <w:widowControl/>
        <w:numPr>
          <w:ilvl w:val="1"/>
          <w:numId w:val="1"/>
        </w:numPr>
        <w:spacing w:after="120"/>
      </w:pPr>
      <w:r w:rsidRPr="00D123EE">
        <w:t xml:space="preserve">The submission claimed that there were no differences in the outcomes of treatment satisfaction, overall assessment of study medication, and change in pain intensity, and improved pain relief with the FDC of tramadol 37.5 mg/paracetamol 325 mg compared with tramadol 50 mg IR groups in the treatment of </w:t>
      </w:r>
      <w:r w:rsidR="00FC0DD2" w:rsidRPr="00D123EE">
        <w:t>chronic</w:t>
      </w:r>
      <w:r w:rsidRPr="00D123EE">
        <w:t xml:space="preserve"> pain. </w:t>
      </w:r>
      <w:r w:rsidR="00A573B2" w:rsidRPr="00B84D95">
        <w:t xml:space="preserve">The PSCR limited the restriction to acute pain, however ESC considered that there is a high risk of leakage to chronic pain and therefore issues related to chronic pain may still be relevant.  </w:t>
      </w:r>
    </w:p>
    <w:p w:rsidR="00995A55" w:rsidRPr="00D123EE" w:rsidRDefault="00436680" w:rsidP="00E22F6D">
      <w:pPr>
        <w:pStyle w:val="ListParagraph"/>
        <w:widowControl/>
        <w:numPr>
          <w:ilvl w:val="1"/>
          <w:numId w:val="1"/>
        </w:numPr>
        <w:spacing w:after="120"/>
      </w:pPr>
      <w:r w:rsidRPr="00D123EE">
        <w:t>There were no significant differences between the FDC of tramadol 37.5 mg/paracetamol and tramadol 50 mg IR in the indirect comparison in the patients</w:t>
      </w:r>
      <w:r w:rsidR="004F3A7C" w:rsidRPr="00D123EE">
        <w:t>’</w:t>
      </w:r>
      <w:r w:rsidRPr="00D123EE">
        <w:t xml:space="preserve"> overall assessment of study medication, however there were significant levels of heterogeneity seen in the meta-analysis.</w:t>
      </w:r>
    </w:p>
    <w:p w:rsidR="00B7274F" w:rsidRPr="005B2734" w:rsidRDefault="00B7274F" w:rsidP="005B2734">
      <w:pPr>
        <w:pStyle w:val="PBACHeading1"/>
        <w:numPr>
          <w:ilvl w:val="0"/>
          <w:numId w:val="0"/>
        </w:numPr>
        <w:spacing w:after="120"/>
        <w:ind w:left="720" w:hanging="720"/>
        <w:rPr>
          <w:sz w:val="24"/>
          <w:szCs w:val="24"/>
        </w:rPr>
      </w:pPr>
    </w:p>
    <w:p w:rsidR="00E14B6A" w:rsidRPr="00892A36" w:rsidRDefault="00E14B6A" w:rsidP="005B2734">
      <w:pPr>
        <w:keepNext/>
        <w:rPr>
          <w:rStyle w:val="CommentReference"/>
        </w:rPr>
      </w:pPr>
      <w:r w:rsidRPr="00445A40">
        <w:rPr>
          <w:rStyle w:val="CommentReference"/>
        </w:rPr>
        <w:lastRenderedPageBreak/>
        <w:t xml:space="preserve">Table </w:t>
      </w:r>
      <w:r w:rsidR="00907B57" w:rsidRPr="00445A40">
        <w:rPr>
          <w:rStyle w:val="CommentReference"/>
        </w:rPr>
        <w:t>8</w:t>
      </w:r>
      <w:r w:rsidRPr="00445A40">
        <w:rPr>
          <w:rStyle w:val="CommentReference"/>
        </w:rPr>
        <w:t>: Patient overall assessment of study medication across the chronic pain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039"/>
        <w:gridCol w:w="1342"/>
        <w:gridCol w:w="1420"/>
        <w:gridCol w:w="1527"/>
        <w:gridCol w:w="1359"/>
        <w:gridCol w:w="1355"/>
      </w:tblGrid>
      <w:tr w:rsidR="00E14B6A" w:rsidRPr="00B84117" w:rsidTr="000F7055">
        <w:trPr>
          <w:tblHeader/>
        </w:trPr>
        <w:tc>
          <w:tcPr>
            <w:tcW w:w="650" w:type="pct"/>
            <w:tcBorders>
              <w:bottom w:val="single" w:sz="4" w:space="0" w:color="auto"/>
            </w:tcBorders>
          </w:tcPr>
          <w:p w:rsidR="00E14B6A" w:rsidRPr="00B84117" w:rsidRDefault="00E14B6A" w:rsidP="005B2734">
            <w:pPr>
              <w:pStyle w:val="Tabletext"/>
              <w:keepNext/>
              <w:rPr>
                <w:b/>
              </w:rPr>
            </w:pPr>
            <w:r>
              <w:rPr>
                <w:b/>
              </w:rPr>
              <w:t>Comparison</w:t>
            </w:r>
          </w:p>
        </w:tc>
        <w:tc>
          <w:tcPr>
            <w:tcW w:w="562" w:type="pct"/>
            <w:tcBorders>
              <w:bottom w:val="single" w:sz="4" w:space="0" w:color="auto"/>
            </w:tcBorders>
            <w:vAlign w:val="center"/>
          </w:tcPr>
          <w:p w:rsidR="00E14B6A" w:rsidRPr="00B84117" w:rsidRDefault="00E14B6A" w:rsidP="005B2734">
            <w:pPr>
              <w:pStyle w:val="Tabletext"/>
              <w:keepNext/>
              <w:rPr>
                <w:b/>
              </w:rPr>
            </w:pPr>
            <w:r w:rsidRPr="00B84117">
              <w:rPr>
                <w:b/>
              </w:rPr>
              <w:t>Trial ID</w:t>
            </w:r>
          </w:p>
        </w:tc>
        <w:tc>
          <w:tcPr>
            <w:tcW w:w="726" w:type="pct"/>
            <w:tcBorders>
              <w:bottom w:val="single" w:sz="4" w:space="0" w:color="auto"/>
            </w:tcBorders>
            <w:vAlign w:val="center"/>
          </w:tcPr>
          <w:p w:rsidR="00E14B6A" w:rsidRPr="00B84117" w:rsidRDefault="00E14B6A" w:rsidP="005B2734">
            <w:pPr>
              <w:pStyle w:val="Tabletext"/>
              <w:keepNext/>
              <w:jc w:val="center"/>
              <w:rPr>
                <w:b/>
              </w:rPr>
            </w:pPr>
            <w:r w:rsidRPr="004727D7">
              <w:rPr>
                <w:rFonts w:cs="Arial"/>
                <w:b/>
                <w:szCs w:val="18"/>
              </w:rPr>
              <w:t>T37.5+P325</w:t>
            </w:r>
            <w:r>
              <w:rPr>
                <w:rFonts w:cs="Arial"/>
                <w:b/>
                <w:szCs w:val="18"/>
              </w:rPr>
              <w:br/>
              <w:t>or T50</w:t>
            </w:r>
            <w:r>
              <w:rPr>
                <w:rFonts w:cs="Arial"/>
                <w:b/>
                <w:szCs w:val="18"/>
              </w:rPr>
              <w:br/>
              <w:t>n/N (%)</w:t>
            </w:r>
          </w:p>
        </w:tc>
        <w:tc>
          <w:tcPr>
            <w:tcW w:w="768" w:type="pct"/>
            <w:tcBorders>
              <w:bottom w:val="single" w:sz="4" w:space="0" w:color="auto"/>
            </w:tcBorders>
            <w:vAlign w:val="center"/>
          </w:tcPr>
          <w:p w:rsidR="00E14B6A" w:rsidRPr="00B84117" w:rsidRDefault="00E14B6A" w:rsidP="005B2734">
            <w:pPr>
              <w:pStyle w:val="Tabletext"/>
              <w:keepNext/>
              <w:jc w:val="center"/>
              <w:rPr>
                <w:b/>
              </w:rPr>
            </w:pPr>
            <w:r>
              <w:rPr>
                <w:rFonts w:cs="Arial"/>
                <w:b/>
                <w:szCs w:val="18"/>
              </w:rPr>
              <w:t>Comparator: placebo</w:t>
            </w:r>
            <w:r>
              <w:rPr>
                <w:rFonts w:cs="Arial"/>
                <w:b/>
                <w:szCs w:val="18"/>
              </w:rPr>
              <w:br/>
              <w:t>n/N (%)</w:t>
            </w:r>
          </w:p>
        </w:tc>
        <w:tc>
          <w:tcPr>
            <w:tcW w:w="826" w:type="pct"/>
            <w:tcBorders>
              <w:bottom w:val="single" w:sz="4" w:space="0" w:color="auto"/>
            </w:tcBorders>
            <w:vAlign w:val="center"/>
          </w:tcPr>
          <w:p w:rsidR="00E14B6A" w:rsidRPr="00557F90" w:rsidRDefault="00E14B6A" w:rsidP="005B2734">
            <w:pPr>
              <w:pStyle w:val="Tabletext"/>
              <w:keepNext/>
              <w:jc w:val="center"/>
              <w:rPr>
                <w:b/>
              </w:rPr>
            </w:pPr>
            <w:r>
              <w:rPr>
                <w:b/>
              </w:rPr>
              <w:t>RD</w:t>
            </w:r>
            <w:r w:rsidRPr="00557F90">
              <w:rPr>
                <w:b/>
              </w:rPr>
              <w:t xml:space="preserve"> (95% CI)</w:t>
            </w:r>
          </w:p>
        </w:tc>
        <w:tc>
          <w:tcPr>
            <w:tcW w:w="735" w:type="pct"/>
            <w:tcBorders>
              <w:bottom w:val="single" w:sz="4" w:space="0" w:color="auto"/>
            </w:tcBorders>
            <w:vAlign w:val="center"/>
          </w:tcPr>
          <w:p w:rsidR="00E14B6A" w:rsidRPr="00B84117" w:rsidRDefault="00E14B6A" w:rsidP="005B2734">
            <w:pPr>
              <w:pStyle w:val="Tabletext"/>
              <w:keepNext/>
              <w:jc w:val="center"/>
              <w:rPr>
                <w:b/>
              </w:rPr>
            </w:pPr>
            <w:r>
              <w:rPr>
                <w:b/>
              </w:rPr>
              <w:t>RR</w:t>
            </w:r>
            <w:r w:rsidRPr="00557F90">
              <w:rPr>
                <w:b/>
              </w:rPr>
              <w:t xml:space="preserve"> (95% CI)</w:t>
            </w:r>
          </w:p>
        </w:tc>
        <w:tc>
          <w:tcPr>
            <w:tcW w:w="733" w:type="pct"/>
            <w:tcBorders>
              <w:bottom w:val="single" w:sz="4" w:space="0" w:color="auto"/>
            </w:tcBorders>
            <w:vAlign w:val="center"/>
          </w:tcPr>
          <w:p w:rsidR="00E14B6A" w:rsidRDefault="00E14B6A" w:rsidP="005B2734">
            <w:pPr>
              <w:pStyle w:val="Tabletext"/>
              <w:keepNext/>
              <w:jc w:val="center"/>
              <w:rPr>
                <w:b/>
              </w:rPr>
            </w:pPr>
            <w:r>
              <w:rPr>
                <w:b/>
              </w:rPr>
              <w:t>OR (95% CI)</w:t>
            </w:r>
          </w:p>
        </w:tc>
      </w:tr>
      <w:tr w:rsidR="00E14B6A" w:rsidRPr="00C0796E" w:rsidTr="000F7055">
        <w:tc>
          <w:tcPr>
            <w:tcW w:w="650" w:type="pct"/>
            <w:tcBorders>
              <w:bottom w:val="nil"/>
              <w:right w:val="single" w:sz="4" w:space="0" w:color="auto"/>
            </w:tcBorders>
          </w:tcPr>
          <w:p w:rsidR="00E14B6A" w:rsidRPr="00C0796E" w:rsidRDefault="00E14B6A" w:rsidP="005B2734">
            <w:pPr>
              <w:pStyle w:val="Tabletext"/>
              <w:keepNext/>
              <w:rPr>
                <w:rFonts w:cs="Arial"/>
                <w:bCs/>
                <w:color w:val="000000"/>
                <w:szCs w:val="18"/>
              </w:rPr>
            </w:pPr>
            <w:r w:rsidRPr="00C0796E">
              <w:rPr>
                <w:rFonts w:cs="Arial"/>
                <w:b/>
                <w:szCs w:val="18"/>
              </w:rPr>
              <w:t>T37.5+P325 vs PBO</w:t>
            </w:r>
          </w:p>
        </w:tc>
        <w:tc>
          <w:tcPr>
            <w:tcW w:w="562" w:type="pct"/>
            <w:tcBorders>
              <w:bottom w:val="nil"/>
              <w:right w:val="single" w:sz="4" w:space="0" w:color="auto"/>
            </w:tcBorders>
            <w:vAlign w:val="center"/>
          </w:tcPr>
          <w:p w:rsidR="00E14B6A" w:rsidRPr="00C0796E" w:rsidRDefault="00E14B6A" w:rsidP="005B2734">
            <w:pPr>
              <w:pStyle w:val="Tabletext"/>
              <w:keepNext/>
              <w:rPr>
                <w:rFonts w:cs="Arial"/>
                <w:bCs/>
                <w:color w:val="000000"/>
                <w:szCs w:val="18"/>
              </w:rPr>
            </w:pPr>
            <w:r w:rsidRPr="00C0796E">
              <w:rPr>
                <w:rFonts w:cs="Arial"/>
                <w:bCs/>
                <w:color w:val="000000"/>
                <w:szCs w:val="18"/>
              </w:rPr>
              <w:t>CAPSS-104</w:t>
            </w:r>
            <w:r w:rsidRPr="00C0796E">
              <w:rPr>
                <w:rFonts w:cs="Arial"/>
                <w:bCs/>
                <w:color w:val="000000"/>
                <w:szCs w:val="18"/>
                <w:vertAlign w:val="superscript"/>
              </w:rPr>
              <w:t>a</w:t>
            </w:r>
          </w:p>
        </w:tc>
        <w:tc>
          <w:tcPr>
            <w:tcW w:w="726" w:type="pct"/>
            <w:tcBorders>
              <w:left w:val="single" w:sz="4" w:space="0" w:color="auto"/>
              <w:bottom w:val="nil"/>
              <w:right w:val="single" w:sz="4" w:space="0" w:color="auto"/>
            </w:tcBorders>
          </w:tcPr>
          <w:p w:rsidR="00E14B6A" w:rsidRPr="00C0796E" w:rsidRDefault="00E14B6A" w:rsidP="005B2734">
            <w:pPr>
              <w:pStyle w:val="Tabletext"/>
              <w:keepNext/>
              <w:jc w:val="center"/>
            </w:pPr>
            <w:r w:rsidRPr="00C0796E">
              <w:t>74/162 (46)</w:t>
            </w:r>
          </w:p>
        </w:tc>
        <w:tc>
          <w:tcPr>
            <w:tcW w:w="768" w:type="pct"/>
            <w:tcBorders>
              <w:left w:val="single" w:sz="4" w:space="0" w:color="auto"/>
              <w:bottom w:val="nil"/>
              <w:right w:val="single" w:sz="4" w:space="0" w:color="auto"/>
            </w:tcBorders>
          </w:tcPr>
          <w:p w:rsidR="00E14B6A" w:rsidRPr="00C0796E" w:rsidRDefault="00E14B6A" w:rsidP="005B2734">
            <w:pPr>
              <w:pStyle w:val="Tabletext"/>
              <w:keepNext/>
              <w:jc w:val="center"/>
            </w:pPr>
            <w:r w:rsidRPr="00C0796E">
              <w:t>56/159 (35)</w:t>
            </w:r>
          </w:p>
        </w:tc>
        <w:tc>
          <w:tcPr>
            <w:tcW w:w="826" w:type="pct"/>
            <w:tcBorders>
              <w:left w:val="single" w:sz="4" w:space="0" w:color="auto"/>
              <w:bottom w:val="nil"/>
              <w:right w:val="single" w:sz="4" w:space="0" w:color="auto"/>
            </w:tcBorders>
            <w:vAlign w:val="center"/>
          </w:tcPr>
          <w:p w:rsidR="00E14B6A" w:rsidRPr="00C0796E" w:rsidRDefault="00E14B6A" w:rsidP="005B2734">
            <w:pPr>
              <w:pStyle w:val="Tabletext"/>
              <w:keepNext/>
              <w:jc w:val="center"/>
            </w:pPr>
            <w:r w:rsidRPr="00C0796E">
              <w:t>10.5% (-0.2%, 21.1%)</w:t>
            </w:r>
          </w:p>
        </w:tc>
        <w:tc>
          <w:tcPr>
            <w:tcW w:w="735" w:type="pct"/>
            <w:tcBorders>
              <w:left w:val="single" w:sz="4" w:space="0" w:color="auto"/>
              <w:bottom w:val="nil"/>
            </w:tcBorders>
          </w:tcPr>
          <w:p w:rsidR="00E14B6A" w:rsidRPr="00C0796E" w:rsidRDefault="00E14B6A" w:rsidP="005B2734">
            <w:pPr>
              <w:pStyle w:val="Tabletext"/>
              <w:keepNext/>
              <w:jc w:val="center"/>
            </w:pPr>
            <w:r w:rsidRPr="00C0796E">
              <w:t>1.30 (0.99, 1.70)</w:t>
            </w:r>
          </w:p>
        </w:tc>
        <w:tc>
          <w:tcPr>
            <w:tcW w:w="733" w:type="pct"/>
            <w:tcBorders>
              <w:left w:val="single" w:sz="4" w:space="0" w:color="auto"/>
              <w:bottom w:val="nil"/>
            </w:tcBorders>
          </w:tcPr>
          <w:p w:rsidR="00E14B6A" w:rsidRPr="00C0796E" w:rsidRDefault="00E14B6A" w:rsidP="005B2734">
            <w:pPr>
              <w:pStyle w:val="Tabletext"/>
              <w:keepNext/>
              <w:jc w:val="center"/>
            </w:pPr>
            <w:proofErr w:type="spellStart"/>
            <w:r w:rsidRPr="00C0796E">
              <w:t>NR</w:t>
            </w:r>
            <w:r w:rsidRPr="00C0796E">
              <w:rPr>
                <w:vertAlign w:val="superscript"/>
              </w:rPr>
              <w:t>b</w:t>
            </w:r>
            <w:proofErr w:type="spellEnd"/>
          </w:p>
        </w:tc>
      </w:tr>
      <w:tr w:rsidR="00E14B6A" w:rsidRPr="00C0796E" w:rsidTr="000F7055">
        <w:tc>
          <w:tcPr>
            <w:tcW w:w="650" w:type="pct"/>
            <w:tcBorders>
              <w:top w:val="nil"/>
              <w:bottom w:val="nil"/>
              <w:right w:val="single" w:sz="4" w:space="0" w:color="auto"/>
            </w:tcBorders>
          </w:tcPr>
          <w:p w:rsidR="00E14B6A" w:rsidRPr="00C0796E" w:rsidRDefault="00E14B6A" w:rsidP="005B2734">
            <w:pPr>
              <w:pStyle w:val="Tabletext"/>
              <w:keepNext/>
              <w:rPr>
                <w:rFonts w:cs="Arial"/>
                <w:bCs/>
                <w:color w:val="000000"/>
                <w:szCs w:val="18"/>
              </w:rPr>
            </w:pPr>
          </w:p>
        </w:tc>
        <w:tc>
          <w:tcPr>
            <w:tcW w:w="562" w:type="pct"/>
            <w:tcBorders>
              <w:left w:val="single" w:sz="4" w:space="0" w:color="auto"/>
            </w:tcBorders>
            <w:vAlign w:val="center"/>
          </w:tcPr>
          <w:p w:rsidR="00E14B6A" w:rsidRPr="00C0796E" w:rsidRDefault="00E14B6A" w:rsidP="005B2734">
            <w:pPr>
              <w:pStyle w:val="Tabletext"/>
              <w:keepNext/>
            </w:pPr>
            <w:r w:rsidRPr="00C0796E">
              <w:rPr>
                <w:rFonts w:cs="Arial"/>
                <w:bCs/>
                <w:color w:val="000000"/>
                <w:szCs w:val="18"/>
              </w:rPr>
              <w:t>CAPSS-112</w:t>
            </w:r>
            <w:r w:rsidRPr="00C0796E">
              <w:rPr>
                <w:rFonts w:cs="Arial"/>
                <w:bCs/>
                <w:color w:val="000000"/>
                <w:szCs w:val="18"/>
                <w:vertAlign w:val="superscript"/>
              </w:rPr>
              <w:t>a</w:t>
            </w:r>
          </w:p>
        </w:tc>
        <w:tc>
          <w:tcPr>
            <w:tcW w:w="726" w:type="pct"/>
          </w:tcPr>
          <w:p w:rsidR="00E14B6A" w:rsidRPr="00C0796E" w:rsidRDefault="00E14B6A" w:rsidP="005B2734">
            <w:pPr>
              <w:pStyle w:val="Tabletext"/>
              <w:keepNext/>
              <w:jc w:val="center"/>
            </w:pPr>
            <w:r w:rsidRPr="00C0796E">
              <w:t>91/161 (57)</w:t>
            </w:r>
          </w:p>
        </w:tc>
        <w:tc>
          <w:tcPr>
            <w:tcW w:w="768" w:type="pct"/>
          </w:tcPr>
          <w:p w:rsidR="00E14B6A" w:rsidRPr="00C0796E" w:rsidRDefault="00E14B6A" w:rsidP="005B2734">
            <w:pPr>
              <w:pStyle w:val="Tabletext"/>
              <w:keepNext/>
              <w:jc w:val="center"/>
            </w:pPr>
            <w:r w:rsidRPr="00C0796E">
              <w:t>52/157 (33)</w:t>
            </w:r>
          </w:p>
        </w:tc>
        <w:tc>
          <w:tcPr>
            <w:tcW w:w="826" w:type="pct"/>
            <w:vAlign w:val="center"/>
          </w:tcPr>
          <w:p w:rsidR="00E14B6A" w:rsidRPr="00C0796E" w:rsidRDefault="00E14B6A" w:rsidP="005B2734">
            <w:pPr>
              <w:pStyle w:val="Tabletext"/>
              <w:keepNext/>
              <w:jc w:val="center"/>
            </w:pPr>
            <w:r w:rsidRPr="00C0796E">
              <w:t>23.4% (12.8%, 34.0%)</w:t>
            </w:r>
          </w:p>
        </w:tc>
        <w:tc>
          <w:tcPr>
            <w:tcW w:w="735" w:type="pct"/>
          </w:tcPr>
          <w:p w:rsidR="00E14B6A" w:rsidRPr="00C0796E" w:rsidRDefault="00E14B6A" w:rsidP="005B2734">
            <w:pPr>
              <w:pStyle w:val="Tabletext"/>
              <w:keepNext/>
              <w:jc w:val="center"/>
            </w:pPr>
            <w:r w:rsidRPr="00C0796E">
              <w:t>1.71 (1.32, 2.21)</w:t>
            </w:r>
          </w:p>
        </w:tc>
        <w:tc>
          <w:tcPr>
            <w:tcW w:w="733" w:type="pct"/>
          </w:tcPr>
          <w:p w:rsidR="00E14B6A" w:rsidRPr="00C0796E" w:rsidRDefault="00E14B6A" w:rsidP="005B2734">
            <w:pPr>
              <w:pStyle w:val="Tabletext"/>
              <w:keepNext/>
              <w:jc w:val="center"/>
            </w:pPr>
            <w:proofErr w:type="spellStart"/>
            <w:r w:rsidRPr="00C0796E">
              <w:t>NR</w:t>
            </w:r>
            <w:r w:rsidRPr="00C0796E">
              <w:rPr>
                <w:vertAlign w:val="superscript"/>
              </w:rPr>
              <w:t>b</w:t>
            </w:r>
            <w:proofErr w:type="spellEnd"/>
          </w:p>
        </w:tc>
      </w:tr>
      <w:tr w:rsidR="00E14B6A" w:rsidRPr="00C0796E" w:rsidTr="000F7055">
        <w:tc>
          <w:tcPr>
            <w:tcW w:w="650" w:type="pct"/>
            <w:tcBorders>
              <w:top w:val="nil"/>
              <w:bottom w:val="nil"/>
              <w:right w:val="single" w:sz="4" w:space="0" w:color="auto"/>
            </w:tcBorders>
          </w:tcPr>
          <w:p w:rsidR="00E14B6A" w:rsidRPr="00C0796E" w:rsidRDefault="00E14B6A" w:rsidP="005B2734">
            <w:pPr>
              <w:pStyle w:val="Tabletext"/>
              <w:keepNext/>
              <w:rPr>
                <w:rFonts w:cs="Arial"/>
                <w:bCs/>
                <w:color w:val="000000"/>
                <w:szCs w:val="18"/>
              </w:rPr>
            </w:pPr>
          </w:p>
        </w:tc>
        <w:tc>
          <w:tcPr>
            <w:tcW w:w="562" w:type="pct"/>
            <w:tcBorders>
              <w:left w:val="single" w:sz="4" w:space="0" w:color="auto"/>
              <w:bottom w:val="single" w:sz="4" w:space="0" w:color="auto"/>
            </w:tcBorders>
            <w:vAlign w:val="center"/>
          </w:tcPr>
          <w:p w:rsidR="00E14B6A" w:rsidRPr="00C0796E" w:rsidRDefault="00E14B6A" w:rsidP="005B2734">
            <w:pPr>
              <w:pStyle w:val="Tabletext"/>
              <w:keepNext/>
            </w:pPr>
            <w:r w:rsidRPr="00C0796E">
              <w:rPr>
                <w:rFonts w:cs="Arial"/>
                <w:bCs/>
                <w:color w:val="000000"/>
                <w:szCs w:val="18"/>
              </w:rPr>
              <w:t>TRP-CAN-1</w:t>
            </w:r>
            <w:r w:rsidRPr="00C0796E">
              <w:rPr>
                <w:rFonts w:cs="Arial"/>
                <w:bCs/>
                <w:color w:val="000000"/>
                <w:szCs w:val="18"/>
                <w:vertAlign w:val="superscript"/>
              </w:rPr>
              <w:t>a</w:t>
            </w:r>
          </w:p>
        </w:tc>
        <w:tc>
          <w:tcPr>
            <w:tcW w:w="726" w:type="pct"/>
            <w:tcBorders>
              <w:bottom w:val="single" w:sz="4" w:space="0" w:color="auto"/>
            </w:tcBorders>
          </w:tcPr>
          <w:p w:rsidR="00E14B6A" w:rsidRPr="00C0796E" w:rsidRDefault="00E14B6A" w:rsidP="005B2734">
            <w:pPr>
              <w:pStyle w:val="Tabletext"/>
              <w:keepNext/>
              <w:jc w:val="center"/>
            </w:pPr>
            <w:r w:rsidRPr="00C0796E">
              <w:t>105/167 (63)</w:t>
            </w:r>
          </w:p>
        </w:tc>
        <w:tc>
          <w:tcPr>
            <w:tcW w:w="768" w:type="pct"/>
            <w:tcBorders>
              <w:bottom w:val="single" w:sz="4" w:space="0" w:color="auto"/>
            </w:tcBorders>
          </w:tcPr>
          <w:p w:rsidR="00E14B6A" w:rsidRPr="00C0796E" w:rsidRDefault="00E14B6A" w:rsidP="005B2734">
            <w:pPr>
              <w:pStyle w:val="Tabletext"/>
              <w:keepNext/>
              <w:jc w:val="center"/>
            </w:pPr>
            <w:r w:rsidRPr="00C0796E">
              <w:t>41/169 (24)</w:t>
            </w:r>
          </w:p>
        </w:tc>
        <w:tc>
          <w:tcPr>
            <w:tcW w:w="826" w:type="pct"/>
            <w:tcBorders>
              <w:bottom w:val="single" w:sz="4" w:space="0" w:color="auto"/>
            </w:tcBorders>
            <w:vAlign w:val="center"/>
          </w:tcPr>
          <w:p w:rsidR="00E14B6A" w:rsidRPr="00C0796E" w:rsidRDefault="00E14B6A" w:rsidP="005B2734">
            <w:pPr>
              <w:pStyle w:val="Tabletext"/>
              <w:keepNext/>
              <w:jc w:val="center"/>
            </w:pPr>
            <w:r w:rsidRPr="00C0796E">
              <w:t>38.6% (28.8%, 48.4%)</w:t>
            </w:r>
          </w:p>
        </w:tc>
        <w:tc>
          <w:tcPr>
            <w:tcW w:w="735" w:type="pct"/>
            <w:tcBorders>
              <w:bottom w:val="single" w:sz="4" w:space="0" w:color="auto"/>
            </w:tcBorders>
          </w:tcPr>
          <w:p w:rsidR="00E14B6A" w:rsidRPr="00C0796E" w:rsidRDefault="00E14B6A" w:rsidP="005B2734">
            <w:pPr>
              <w:pStyle w:val="Tabletext"/>
              <w:keepNext/>
              <w:jc w:val="center"/>
            </w:pPr>
            <w:r w:rsidRPr="00C0796E">
              <w:t>2.59 (1.94, 3.47)</w:t>
            </w:r>
          </w:p>
        </w:tc>
        <w:tc>
          <w:tcPr>
            <w:tcW w:w="733" w:type="pct"/>
            <w:tcBorders>
              <w:bottom w:val="single" w:sz="4" w:space="0" w:color="auto"/>
            </w:tcBorders>
          </w:tcPr>
          <w:p w:rsidR="00E14B6A" w:rsidRPr="00C0796E" w:rsidRDefault="00E14B6A" w:rsidP="005B2734">
            <w:pPr>
              <w:pStyle w:val="Tabletext"/>
              <w:keepNext/>
              <w:jc w:val="center"/>
            </w:pPr>
            <w:proofErr w:type="spellStart"/>
            <w:r w:rsidRPr="00C0796E">
              <w:t>NR</w:t>
            </w:r>
            <w:r w:rsidRPr="00C0796E">
              <w:rPr>
                <w:vertAlign w:val="superscript"/>
              </w:rPr>
              <w:t>b</w:t>
            </w:r>
            <w:proofErr w:type="spellEnd"/>
          </w:p>
        </w:tc>
      </w:tr>
      <w:tr w:rsidR="00E14B6A" w:rsidRPr="00C0796E" w:rsidTr="000F7055">
        <w:tc>
          <w:tcPr>
            <w:tcW w:w="650" w:type="pct"/>
            <w:tcBorders>
              <w:top w:val="nil"/>
              <w:bottom w:val="nil"/>
              <w:right w:val="single" w:sz="4" w:space="0" w:color="auto"/>
            </w:tcBorders>
          </w:tcPr>
          <w:p w:rsidR="00E14B6A" w:rsidRPr="00C0796E" w:rsidRDefault="00E14B6A" w:rsidP="005B2734">
            <w:pPr>
              <w:pStyle w:val="Tabletext"/>
              <w:keepNext/>
              <w:rPr>
                <w:rFonts w:cs="Arial"/>
                <w:bCs/>
                <w:color w:val="000000"/>
                <w:szCs w:val="18"/>
              </w:rPr>
            </w:pPr>
          </w:p>
        </w:tc>
        <w:tc>
          <w:tcPr>
            <w:tcW w:w="562" w:type="pct"/>
            <w:tcBorders>
              <w:bottom w:val="single" w:sz="4" w:space="0" w:color="auto"/>
              <w:right w:val="single" w:sz="4" w:space="0" w:color="auto"/>
            </w:tcBorders>
            <w:vAlign w:val="center"/>
          </w:tcPr>
          <w:p w:rsidR="00E14B6A" w:rsidRPr="00C0796E" w:rsidRDefault="00E14B6A" w:rsidP="005B2734">
            <w:pPr>
              <w:pStyle w:val="Tabletext"/>
              <w:keepNext/>
              <w:rPr>
                <w:i/>
              </w:rPr>
            </w:pPr>
            <w:r w:rsidRPr="00C0796E">
              <w:rPr>
                <w:rFonts w:cs="Arial"/>
                <w:bCs/>
                <w:i/>
                <w:color w:val="000000"/>
                <w:szCs w:val="18"/>
              </w:rPr>
              <w:t>CAPSS-114</w:t>
            </w:r>
            <w:r w:rsidRPr="00C0796E">
              <w:rPr>
                <w:rFonts w:cs="Arial"/>
                <w:bCs/>
                <w:i/>
                <w:color w:val="000000"/>
                <w:szCs w:val="18"/>
                <w:vertAlign w:val="superscript"/>
              </w:rPr>
              <w:t xml:space="preserve"> a</w:t>
            </w:r>
          </w:p>
        </w:tc>
        <w:tc>
          <w:tcPr>
            <w:tcW w:w="726" w:type="pct"/>
            <w:tcBorders>
              <w:left w:val="single" w:sz="4" w:space="0" w:color="auto"/>
              <w:bottom w:val="single" w:sz="4" w:space="0" w:color="auto"/>
              <w:right w:val="single" w:sz="4" w:space="0" w:color="auto"/>
            </w:tcBorders>
            <w:vAlign w:val="center"/>
          </w:tcPr>
          <w:p w:rsidR="00E14B6A" w:rsidRPr="00C0796E" w:rsidRDefault="00E14B6A" w:rsidP="005B2734">
            <w:pPr>
              <w:pStyle w:val="Tabletext"/>
              <w:keepNext/>
              <w:jc w:val="center"/>
              <w:rPr>
                <w:i/>
              </w:rPr>
            </w:pPr>
            <w:r w:rsidRPr="00C0796E">
              <w:rPr>
                <w:i/>
              </w:rPr>
              <w:t>101/153 (66)</w:t>
            </w:r>
          </w:p>
        </w:tc>
        <w:tc>
          <w:tcPr>
            <w:tcW w:w="768" w:type="pct"/>
            <w:tcBorders>
              <w:left w:val="single" w:sz="4" w:space="0" w:color="auto"/>
              <w:bottom w:val="single" w:sz="4" w:space="0" w:color="auto"/>
              <w:right w:val="single" w:sz="4" w:space="0" w:color="auto"/>
            </w:tcBorders>
            <w:vAlign w:val="center"/>
          </w:tcPr>
          <w:p w:rsidR="00E14B6A" w:rsidRPr="00C0796E" w:rsidRDefault="00E14B6A" w:rsidP="005B2734">
            <w:pPr>
              <w:pStyle w:val="Tabletext"/>
              <w:keepNext/>
              <w:jc w:val="center"/>
              <w:rPr>
                <w:i/>
              </w:rPr>
            </w:pPr>
            <w:r w:rsidRPr="00C0796E">
              <w:rPr>
                <w:i/>
              </w:rPr>
              <w:t>82/153 (54)</w:t>
            </w:r>
          </w:p>
        </w:tc>
        <w:tc>
          <w:tcPr>
            <w:tcW w:w="826" w:type="pct"/>
            <w:tcBorders>
              <w:left w:val="single" w:sz="4" w:space="0" w:color="auto"/>
              <w:bottom w:val="single" w:sz="4" w:space="0" w:color="auto"/>
              <w:right w:val="single" w:sz="4" w:space="0" w:color="auto"/>
            </w:tcBorders>
            <w:vAlign w:val="center"/>
          </w:tcPr>
          <w:p w:rsidR="00E14B6A" w:rsidRPr="00C0796E" w:rsidRDefault="00E14B6A" w:rsidP="005B2734">
            <w:pPr>
              <w:pStyle w:val="Tabletext"/>
              <w:keepNext/>
              <w:jc w:val="center"/>
              <w:rPr>
                <w:i/>
              </w:rPr>
            </w:pPr>
            <w:r w:rsidRPr="00C0796E">
              <w:rPr>
                <w:i/>
              </w:rPr>
              <w:t>12.4% (1.5%, 23.3%)</w:t>
            </w:r>
          </w:p>
        </w:tc>
        <w:tc>
          <w:tcPr>
            <w:tcW w:w="735" w:type="pct"/>
            <w:tcBorders>
              <w:left w:val="single" w:sz="4" w:space="0" w:color="auto"/>
              <w:bottom w:val="single" w:sz="4" w:space="0" w:color="auto"/>
            </w:tcBorders>
          </w:tcPr>
          <w:p w:rsidR="00E14B6A" w:rsidRPr="00C0796E" w:rsidRDefault="00E14B6A" w:rsidP="005B2734">
            <w:pPr>
              <w:pStyle w:val="Tabletext"/>
              <w:keepNext/>
              <w:jc w:val="center"/>
              <w:rPr>
                <w:i/>
              </w:rPr>
            </w:pPr>
            <w:r w:rsidRPr="00C0796E">
              <w:rPr>
                <w:i/>
              </w:rPr>
              <w:t>1.23 (1.02, 1.48)</w:t>
            </w:r>
          </w:p>
        </w:tc>
        <w:tc>
          <w:tcPr>
            <w:tcW w:w="733" w:type="pct"/>
            <w:tcBorders>
              <w:left w:val="single" w:sz="4" w:space="0" w:color="auto"/>
              <w:bottom w:val="single" w:sz="4" w:space="0" w:color="auto"/>
            </w:tcBorders>
          </w:tcPr>
          <w:p w:rsidR="00E14B6A" w:rsidRPr="00C0796E" w:rsidRDefault="00E14B6A" w:rsidP="005B2734">
            <w:pPr>
              <w:pStyle w:val="Tabletext"/>
              <w:keepNext/>
              <w:jc w:val="center"/>
              <w:rPr>
                <w:i/>
              </w:rPr>
            </w:pPr>
            <w:proofErr w:type="spellStart"/>
            <w:r w:rsidRPr="00C0796E">
              <w:t>NR</w:t>
            </w:r>
            <w:r w:rsidRPr="00C0796E">
              <w:rPr>
                <w:vertAlign w:val="superscript"/>
              </w:rPr>
              <w:t>b</w:t>
            </w:r>
            <w:proofErr w:type="spellEnd"/>
          </w:p>
        </w:tc>
      </w:tr>
      <w:tr w:rsidR="00E14B6A" w:rsidRPr="00C0796E" w:rsidTr="000F7055">
        <w:tc>
          <w:tcPr>
            <w:tcW w:w="650" w:type="pct"/>
            <w:tcBorders>
              <w:top w:val="nil"/>
              <w:bottom w:val="nil"/>
              <w:right w:val="single" w:sz="4" w:space="0" w:color="auto"/>
            </w:tcBorders>
          </w:tcPr>
          <w:p w:rsidR="00E14B6A" w:rsidRPr="00C0796E" w:rsidRDefault="00E14B6A" w:rsidP="005B2734">
            <w:pPr>
              <w:pStyle w:val="Tabletext"/>
              <w:keepNext/>
              <w:rPr>
                <w:rFonts w:cs="Arial"/>
                <w:bCs/>
                <w:color w:val="000000"/>
                <w:szCs w:val="18"/>
              </w:rPr>
            </w:pPr>
          </w:p>
        </w:tc>
        <w:tc>
          <w:tcPr>
            <w:tcW w:w="2056" w:type="pct"/>
            <w:gridSpan w:val="3"/>
            <w:tcBorders>
              <w:bottom w:val="nil"/>
              <w:right w:val="single" w:sz="4" w:space="0" w:color="auto"/>
            </w:tcBorders>
            <w:vAlign w:val="center"/>
          </w:tcPr>
          <w:p w:rsidR="00E14B6A" w:rsidRPr="00C0796E" w:rsidRDefault="00E14B6A" w:rsidP="005B2734">
            <w:pPr>
              <w:pStyle w:val="Tabletext"/>
              <w:keepNext/>
              <w:rPr>
                <w:i/>
              </w:rPr>
            </w:pPr>
            <w:r w:rsidRPr="00C0796E">
              <w:rPr>
                <w:rFonts w:cs="Arial"/>
                <w:bCs/>
                <w:color w:val="000000"/>
                <w:szCs w:val="18"/>
              </w:rPr>
              <w:t>Meta-analysis:</w:t>
            </w:r>
            <w:r w:rsidRPr="00C0796E">
              <w:rPr>
                <w:rFonts w:cs="Arial"/>
                <w:bCs/>
                <w:color w:val="000000"/>
                <w:szCs w:val="18"/>
              </w:rPr>
              <w:br/>
              <w:t>CAPSS-104, CAPSS-112, TRP-CAN-1</w:t>
            </w:r>
          </w:p>
        </w:tc>
        <w:tc>
          <w:tcPr>
            <w:tcW w:w="826" w:type="pct"/>
            <w:tcBorders>
              <w:left w:val="single" w:sz="4" w:space="0" w:color="auto"/>
              <w:bottom w:val="nil"/>
              <w:right w:val="single" w:sz="4" w:space="0" w:color="auto"/>
            </w:tcBorders>
            <w:vAlign w:val="center"/>
          </w:tcPr>
          <w:p w:rsidR="00E14B6A" w:rsidRPr="00C0796E" w:rsidRDefault="00E14B6A" w:rsidP="005B2734">
            <w:pPr>
              <w:pStyle w:val="Tabletext"/>
              <w:keepNext/>
              <w:jc w:val="center"/>
            </w:pPr>
            <w:r w:rsidRPr="00C0796E">
              <w:t>24.3% (8.1%, 40.5%)</w:t>
            </w:r>
          </w:p>
          <w:p w:rsidR="00E14B6A" w:rsidRPr="00C0796E" w:rsidRDefault="00E14B6A" w:rsidP="005B2734">
            <w:pPr>
              <w:pStyle w:val="Tabletext"/>
              <w:keepNext/>
              <w:jc w:val="center"/>
            </w:pPr>
            <w:r w:rsidRPr="00C0796E">
              <w:t>p=0.003</w:t>
            </w:r>
          </w:p>
        </w:tc>
        <w:tc>
          <w:tcPr>
            <w:tcW w:w="735" w:type="pct"/>
            <w:tcBorders>
              <w:left w:val="single" w:sz="4" w:space="0" w:color="auto"/>
              <w:bottom w:val="nil"/>
            </w:tcBorders>
          </w:tcPr>
          <w:p w:rsidR="00E14B6A" w:rsidRPr="00C0796E" w:rsidRDefault="00E14B6A" w:rsidP="005B2734">
            <w:pPr>
              <w:pStyle w:val="Tabletext"/>
              <w:keepNext/>
              <w:jc w:val="center"/>
            </w:pPr>
            <w:r w:rsidRPr="00C0796E">
              <w:t>1.78 (1.22, 2.62)</w:t>
            </w:r>
          </w:p>
          <w:p w:rsidR="00E14B6A" w:rsidRPr="00C0796E" w:rsidRDefault="00E14B6A" w:rsidP="005B2734">
            <w:pPr>
              <w:pStyle w:val="Tabletext"/>
              <w:keepNext/>
              <w:jc w:val="center"/>
            </w:pPr>
            <w:r w:rsidRPr="00C0796E">
              <w:t>p=0.003</w:t>
            </w:r>
          </w:p>
        </w:tc>
        <w:tc>
          <w:tcPr>
            <w:tcW w:w="733" w:type="pct"/>
            <w:tcBorders>
              <w:left w:val="single" w:sz="4" w:space="0" w:color="auto"/>
              <w:bottom w:val="nil"/>
            </w:tcBorders>
          </w:tcPr>
          <w:p w:rsidR="00E14B6A" w:rsidRPr="00C0796E" w:rsidRDefault="00E14B6A" w:rsidP="005B2734">
            <w:pPr>
              <w:pStyle w:val="Tabletext"/>
              <w:keepNext/>
              <w:jc w:val="center"/>
            </w:pPr>
            <w:r w:rsidRPr="00C0796E">
              <w:t>2.77 (1.38, 5.55)</w:t>
            </w:r>
          </w:p>
          <w:p w:rsidR="00E14B6A" w:rsidRPr="00C0796E" w:rsidRDefault="00E14B6A" w:rsidP="005B2734">
            <w:pPr>
              <w:pStyle w:val="Tabletext"/>
              <w:keepNext/>
              <w:jc w:val="center"/>
            </w:pPr>
            <w:r w:rsidRPr="00C0796E">
              <w:t>p=0.004</w:t>
            </w:r>
          </w:p>
        </w:tc>
      </w:tr>
      <w:tr w:rsidR="00E14B6A" w:rsidRPr="00C0796E" w:rsidTr="000F7055">
        <w:tc>
          <w:tcPr>
            <w:tcW w:w="650" w:type="pct"/>
            <w:tcBorders>
              <w:top w:val="nil"/>
              <w:bottom w:val="single" w:sz="4" w:space="0" w:color="auto"/>
              <w:right w:val="single" w:sz="4" w:space="0" w:color="auto"/>
            </w:tcBorders>
          </w:tcPr>
          <w:p w:rsidR="00E14B6A" w:rsidRPr="00C0796E" w:rsidRDefault="00E14B6A" w:rsidP="005B2734">
            <w:pPr>
              <w:pStyle w:val="Tabletext"/>
              <w:keepNext/>
              <w:rPr>
                <w:rFonts w:cs="Arial"/>
                <w:bCs/>
                <w:color w:val="000000"/>
                <w:szCs w:val="18"/>
              </w:rPr>
            </w:pPr>
          </w:p>
        </w:tc>
        <w:tc>
          <w:tcPr>
            <w:tcW w:w="2056" w:type="pct"/>
            <w:gridSpan w:val="3"/>
            <w:tcBorders>
              <w:top w:val="nil"/>
              <w:bottom w:val="nil"/>
              <w:right w:val="single" w:sz="4" w:space="0" w:color="auto"/>
            </w:tcBorders>
            <w:vAlign w:val="center"/>
          </w:tcPr>
          <w:p w:rsidR="00E14B6A" w:rsidRPr="00C0796E" w:rsidRDefault="00E14B6A" w:rsidP="005B2734">
            <w:pPr>
              <w:pStyle w:val="Tabletext"/>
              <w:keepNext/>
              <w:rPr>
                <w:lang w:eastAsia="en-AU"/>
              </w:rPr>
            </w:pPr>
            <w:r w:rsidRPr="00C0796E">
              <w:rPr>
                <w:lang w:eastAsia="en-AU"/>
              </w:rPr>
              <w:t>Test of heterogeneity</w:t>
            </w:r>
          </w:p>
        </w:tc>
        <w:tc>
          <w:tcPr>
            <w:tcW w:w="826" w:type="pct"/>
            <w:tcBorders>
              <w:top w:val="nil"/>
              <w:left w:val="single" w:sz="4" w:space="0" w:color="auto"/>
              <w:bottom w:val="nil"/>
              <w:right w:val="single" w:sz="4" w:space="0" w:color="auto"/>
            </w:tcBorders>
            <w:vAlign w:val="center"/>
          </w:tcPr>
          <w:p w:rsidR="00E14B6A" w:rsidRPr="00C0796E" w:rsidRDefault="00E14B6A" w:rsidP="005B2734">
            <w:pPr>
              <w:pStyle w:val="Tabletext"/>
              <w:keepNext/>
              <w:jc w:val="center"/>
            </w:pPr>
            <w:r w:rsidRPr="00C0796E">
              <w:t>Q(</w:t>
            </w:r>
            <w:proofErr w:type="spellStart"/>
            <w:r w:rsidRPr="00C0796E">
              <w:t>df</w:t>
            </w:r>
            <w:proofErr w:type="spellEnd"/>
            <w:r w:rsidRPr="00C0796E">
              <w:t xml:space="preserve">=2) = 14.7, </w:t>
            </w:r>
            <w:r w:rsidRPr="00C0796E">
              <w:br/>
              <w:t>p = 0.001</w:t>
            </w:r>
          </w:p>
          <w:p w:rsidR="00E14B6A" w:rsidRPr="00C0796E" w:rsidRDefault="00E14B6A" w:rsidP="005B2734">
            <w:pPr>
              <w:pStyle w:val="Tabletext"/>
              <w:keepNext/>
              <w:jc w:val="center"/>
            </w:pPr>
            <w:r w:rsidRPr="00C0796E">
              <w:t>I</w:t>
            </w:r>
            <w:r w:rsidRPr="00C0796E">
              <w:rPr>
                <w:vertAlign w:val="superscript"/>
              </w:rPr>
              <w:t>2</w:t>
            </w:r>
            <w:r w:rsidRPr="00C0796E">
              <w:t>=86.4%;</w:t>
            </w:r>
          </w:p>
        </w:tc>
        <w:tc>
          <w:tcPr>
            <w:tcW w:w="735" w:type="pct"/>
            <w:tcBorders>
              <w:top w:val="nil"/>
              <w:left w:val="single" w:sz="4" w:space="0" w:color="auto"/>
              <w:bottom w:val="single" w:sz="4" w:space="0" w:color="auto"/>
            </w:tcBorders>
          </w:tcPr>
          <w:p w:rsidR="00E14B6A" w:rsidRPr="00C0796E" w:rsidRDefault="00E14B6A" w:rsidP="005B2734">
            <w:pPr>
              <w:pStyle w:val="Tabletext"/>
              <w:keepNext/>
              <w:jc w:val="center"/>
            </w:pPr>
            <w:r w:rsidRPr="00C0796E">
              <w:t>Q(</w:t>
            </w:r>
            <w:proofErr w:type="spellStart"/>
            <w:r w:rsidRPr="00C0796E">
              <w:t>df</w:t>
            </w:r>
            <w:proofErr w:type="spellEnd"/>
            <w:r w:rsidRPr="00C0796E">
              <w:t>=2) =11.8, p = 0.003 I</w:t>
            </w:r>
            <w:r w:rsidRPr="00C0796E">
              <w:rPr>
                <w:vertAlign w:val="superscript"/>
              </w:rPr>
              <w:t>2</w:t>
            </w:r>
            <w:r w:rsidRPr="00C0796E">
              <w:t xml:space="preserve">=83%; </w:t>
            </w:r>
          </w:p>
        </w:tc>
        <w:tc>
          <w:tcPr>
            <w:tcW w:w="733" w:type="pct"/>
            <w:tcBorders>
              <w:top w:val="nil"/>
              <w:left w:val="single" w:sz="4" w:space="0" w:color="auto"/>
              <w:bottom w:val="single" w:sz="4" w:space="0" w:color="auto"/>
            </w:tcBorders>
          </w:tcPr>
          <w:p w:rsidR="00E14B6A" w:rsidRPr="00C0796E" w:rsidRDefault="00E14B6A" w:rsidP="005B2734">
            <w:pPr>
              <w:pStyle w:val="Tabletext"/>
              <w:keepNext/>
              <w:jc w:val="center"/>
            </w:pPr>
            <w:r w:rsidRPr="00C0796E">
              <w:t>Q(</w:t>
            </w:r>
            <w:proofErr w:type="spellStart"/>
            <w:r w:rsidRPr="00C0796E">
              <w:t>df</w:t>
            </w:r>
            <w:proofErr w:type="spellEnd"/>
            <w:r w:rsidRPr="00C0796E">
              <w:t>=2) =13.7, p = 0.001 I</w:t>
            </w:r>
            <w:r w:rsidRPr="00C0796E">
              <w:rPr>
                <w:vertAlign w:val="superscript"/>
              </w:rPr>
              <w:t>2</w:t>
            </w:r>
            <w:r w:rsidRPr="00C0796E">
              <w:t>=85.4%</w:t>
            </w:r>
          </w:p>
        </w:tc>
      </w:tr>
      <w:tr w:rsidR="00E14B6A" w:rsidRPr="00C0796E" w:rsidTr="000F7055">
        <w:tc>
          <w:tcPr>
            <w:tcW w:w="650" w:type="pct"/>
            <w:tcBorders>
              <w:top w:val="single" w:sz="4" w:space="0" w:color="auto"/>
              <w:bottom w:val="single" w:sz="4" w:space="0" w:color="auto"/>
            </w:tcBorders>
          </w:tcPr>
          <w:p w:rsidR="00E14B6A" w:rsidRPr="00C0796E" w:rsidRDefault="00E14B6A" w:rsidP="005B2734">
            <w:pPr>
              <w:pStyle w:val="Tabletext"/>
              <w:keepNext/>
              <w:rPr>
                <w:rFonts w:cs="Arial"/>
                <w:bCs/>
                <w:color w:val="000000"/>
                <w:szCs w:val="18"/>
              </w:rPr>
            </w:pPr>
            <w:r w:rsidRPr="00C0796E">
              <w:rPr>
                <w:rFonts w:cs="Arial"/>
                <w:b/>
                <w:szCs w:val="18"/>
              </w:rPr>
              <w:t>T50 vs PBO</w:t>
            </w:r>
          </w:p>
        </w:tc>
        <w:tc>
          <w:tcPr>
            <w:tcW w:w="562" w:type="pct"/>
            <w:tcBorders>
              <w:bottom w:val="single" w:sz="4" w:space="0" w:color="auto"/>
            </w:tcBorders>
            <w:vAlign w:val="center"/>
          </w:tcPr>
          <w:p w:rsidR="00E14B6A" w:rsidRPr="00C0796E" w:rsidRDefault="00E14B6A" w:rsidP="005B2734">
            <w:pPr>
              <w:pStyle w:val="Tabletext"/>
              <w:keepNext/>
            </w:pPr>
            <w:r w:rsidRPr="00C0796E">
              <w:rPr>
                <w:rFonts w:cs="Arial"/>
                <w:bCs/>
                <w:color w:val="000000"/>
                <w:szCs w:val="18"/>
              </w:rPr>
              <w:t>CAPSS-051</w:t>
            </w:r>
            <w:r w:rsidRPr="00C0796E">
              <w:rPr>
                <w:rFonts w:cs="Arial"/>
                <w:bCs/>
                <w:color w:val="000000"/>
                <w:szCs w:val="18"/>
                <w:vertAlign w:val="superscript"/>
              </w:rPr>
              <w:t>a</w:t>
            </w:r>
          </w:p>
        </w:tc>
        <w:tc>
          <w:tcPr>
            <w:tcW w:w="726" w:type="pct"/>
            <w:tcBorders>
              <w:bottom w:val="single" w:sz="4" w:space="0" w:color="auto"/>
            </w:tcBorders>
            <w:vAlign w:val="center"/>
          </w:tcPr>
          <w:p w:rsidR="00E14B6A" w:rsidRPr="00C0796E" w:rsidRDefault="00E14B6A" w:rsidP="005B2734">
            <w:pPr>
              <w:pStyle w:val="Tabletext"/>
              <w:keepNext/>
              <w:jc w:val="center"/>
            </w:pPr>
            <w:r w:rsidRPr="00C0796E">
              <w:t>63/28 (44)</w:t>
            </w:r>
          </w:p>
        </w:tc>
        <w:tc>
          <w:tcPr>
            <w:tcW w:w="768" w:type="pct"/>
            <w:tcBorders>
              <w:bottom w:val="single" w:sz="4" w:space="0" w:color="auto"/>
            </w:tcBorders>
            <w:vAlign w:val="center"/>
          </w:tcPr>
          <w:p w:rsidR="00E14B6A" w:rsidRPr="00C0796E" w:rsidRDefault="00E14B6A" w:rsidP="005B2734">
            <w:pPr>
              <w:pStyle w:val="Tabletext"/>
              <w:keepNext/>
              <w:jc w:val="center"/>
            </w:pPr>
            <w:r w:rsidRPr="00C0796E">
              <w:t>66/18 (27)</w:t>
            </w:r>
          </w:p>
        </w:tc>
        <w:tc>
          <w:tcPr>
            <w:tcW w:w="826" w:type="pct"/>
            <w:tcBorders>
              <w:bottom w:val="single" w:sz="4" w:space="0" w:color="auto"/>
            </w:tcBorders>
            <w:vAlign w:val="center"/>
          </w:tcPr>
          <w:p w:rsidR="00E14B6A" w:rsidRPr="00C0796E" w:rsidRDefault="00E14B6A" w:rsidP="005B2734">
            <w:pPr>
              <w:pStyle w:val="Tabletext"/>
              <w:keepNext/>
              <w:jc w:val="center"/>
            </w:pPr>
            <w:r w:rsidRPr="00C0796E">
              <w:t>17.2% (0.9%, 33.5%)</w:t>
            </w:r>
          </w:p>
        </w:tc>
        <w:tc>
          <w:tcPr>
            <w:tcW w:w="735" w:type="pct"/>
            <w:tcBorders>
              <w:bottom w:val="single" w:sz="4" w:space="0" w:color="auto"/>
            </w:tcBorders>
          </w:tcPr>
          <w:p w:rsidR="00E14B6A" w:rsidRPr="00C0796E" w:rsidRDefault="00E14B6A" w:rsidP="005B2734">
            <w:pPr>
              <w:pStyle w:val="Tabletext"/>
              <w:keepNext/>
              <w:jc w:val="center"/>
            </w:pPr>
            <w:r w:rsidRPr="00C0796E">
              <w:t>1.63 (1.01, 2.64)</w:t>
            </w:r>
          </w:p>
        </w:tc>
        <w:tc>
          <w:tcPr>
            <w:tcW w:w="733" w:type="pct"/>
            <w:tcBorders>
              <w:bottom w:val="single" w:sz="4" w:space="0" w:color="auto"/>
            </w:tcBorders>
          </w:tcPr>
          <w:p w:rsidR="00E14B6A" w:rsidRPr="00C0796E" w:rsidRDefault="00E14B6A" w:rsidP="005B2734">
            <w:pPr>
              <w:pStyle w:val="Tabletext"/>
              <w:keepNext/>
              <w:jc w:val="center"/>
            </w:pPr>
            <w:proofErr w:type="spellStart"/>
            <w:r w:rsidRPr="00C0796E">
              <w:t>NR</w:t>
            </w:r>
            <w:r w:rsidRPr="00C0796E">
              <w:rPr>
                <w:vertAlign w:val="superscript"/>
              </w:rPr>
              <w:t>b</w:t>
            </w:r>
            <w:proofErr w:type="spellEnd"/>
          </w:p>
        </w:tc>
      </w:tr>
      <w:tr w:rsidR="00E14B6A" w:rsidRPr="00C0796E" w:rsidTr="000F7055">
        <w:tc>
          <w:tcPr>
            <w:tcW w:w="650" w:type="pct"/>
            <w:vMerge w:val="restart"/>
          </w:tcPr>
          <w:p w:rsidR="00E14B6A" w:rsidRPr="00C0796E" w:rsidRDefault="00E14B6A" w:rsidP="005B2734">
            <w:pPr>
              <w:pStyle w:val="Tabletext"/>
              <w:keepNext/>
              <w:rPr>
                <w:rFonts w:cs="Arial"/>
                <w:b/>
                <w:szCs w:val="18"/>
              </w:rPr>
            </w:pPr>
            <w:r w:rsidRPr="00C0796E">
              <w:rPr>
                <w:rFonts w:cs="Arial"/>
                <w:b/>
                <w:szCs w:val="18"/>
              </w:rPr>
              <w:t>T37.5+P325 vs T50</w:t>
            </w:r>
          </w:p>
        </w:tc>
        <w:tc>
          <w:tcPr>
            <w:tcW w:w="2056" w:type="pct"/>
            <w:gridSpan w:val="3"/>
            <w:tcBorders>
              <w:bottom w:val="nil"/>
            </w:tcBorders>
            <w:vAlign w:val="center"/>
          </w:tcPr>
          <w:p w:rsidR="00E14B6A" w:rsidRPr="00C0796E" w:rsidRDefault="00E14B6A" w:rsidP="005B2734">
            <w:pPr>
              <w:pStyle w:val="Tabletext"/>
              <w:keepNext/>
            </w:pPr>
            <w:r w:rsidRPr="00C0796E">
              <w:t>Indirect estimate of effect adjusted for the common reference (T37.5+P325 minus T50)</w:t>
            </w:r>
          </w:p>
        </w:tc>
        <w:tc>
          <w:tcPr>
            <w:tcW w:w="826" w:type="pct"/>
            <w:tcBorders>
              <w:bottom w:val="nil"/>
            </w:tcBorders>
            <w:vAlign w:val="center"/>
          </w:tcPr>
          <w:p w:rsidR="00E14B6A" w:rsidRPr="00C0796E" w:rsidRDefault="00E14B6A" w:rsidP="005B2734">
            <w:pPr>
              <w:pStyle w:val="Tabletext"/>
              <w:keepNext/>
              <w:jc w:val="center"/>
            </w:pPr>
            <w:r w:rsidRPr="00C0796E">
              <w:t>7.1% (–27.6%, 41.8%)</w:t>
            </w:r>
          </w:p>
          <w:p w:rsidR="00E14B6A" w:rsidRPr="00C0796E" w:rsidRDefault="00E14B6A" w:rsidP="005B2734">
            <w:pPr>
              <w:pStyle w:val="Tabletext"/>
              <w:keepNext/>
              <w:jc w:val="center"/>
            </w:pPr>
            <w:r w:rsidRPr="00C0796E">
              <w:t>p=0.689</w:t>
            </w:r>
          </w:p>
        </w:tc>
        <w:tc>
          <w:tcPr>
            <w:tcW w:w="735" w:type="pct"/>
            <w:tcBorders>
              <w:bottom w:val="nil"/>
            </w:tcBorders>
          </w:tcPr>
          <w:p w:rsidR="00E14B6A" w:rsidRPr="00C0796E" w:rsidRDefault="00E14B6A" w:rsidP="005B2734">
            <w:pPr>
              <w:pStyle w:val="Tabletext"/>
              <w:keepNext/>
              <w:jc w:val="center"/>
            </w:pPr>
            <w:r w:rsidRPr="00C0796E">
              <w:t>1.09 (0.46, 2.59)</w:t>
            </w:r>
          </w:p>
          <w:p w:rsidR="00E14B6A" w:rsidRPr="00C0796E" w:rsidRDefault="00E14B6A" w:rsidP="005B2734">
            <w:pPr>
              <w:pStyle w:val="Tabletext"/>
              <w:keepNext/>
              <w:jc w:val="center"/>
            </w:pPr>
            <w:r w:rsidRPr="00C0796E">
              <w:t>p=0.837</w:t>
            </w:r>
          </w:p>
        </w:tc>
        <w:tc>
          <w:tcPr>
            <w:tcW w:w="733" w:type="pct"/>
            <w:tcBorders>
              <w:bottom w:val="nil"/>
            </w:tcBorders>
          </w:tcPr>
          <w:p w:rsidR="00E14B6A" w:rsidRPr="00C0796E" w:rsidRDefault="00E14B6A" w:rsidP="005B2734">
            <w:pPr>
              <w:pStyle w:val="Tabletext"/>
              <w:keepNext/>
              <w:jc w:val="center"/>
            </w:pPr>
            <w:r w:rsidRPr="00C0796E">
              <w:t>1.30 (0.29, 5.83)</w:t>
            </w:r>
          </w:p>
          <w:p w:rsidR="00E14B6A" w:rsidRPr="00C0796E" w:rsidRDefault="00E14B6A" w:rsidP="005B2734">
            <w:pPr>
              <w:pStyle w:val="Tabletext"/>
              <w:keepNext/>
              <w:jc w:val="center"/>
            </w:pPr>
            <w:r w:rsidRPr="00C0796E">
              <w:t>p=0.733</w:t>
            </w:r>
          </w:p>
        </w:tc>
      </w:tr>
      <w:tr w:rsidR="00E14B6A" w:rsidRPr="00C0796E" w:rsidTr="000F7055">
        <w:tc>
          <w:tcPr>
            <w:tcW w:w="650" w:type="pct"/>
            <w:vMerge/>
          </w:tcPr>
          <w:p w:rsidR="00E14B6A" w:rsidRPr="00C0796E" w:rsidRDefault="00E14B6A" w:rsidP="005B2734">
            <w:pPr>
              <w:pStyle w:val="Tabletext"/>
              <w:keepNext/>
              <w:rPr>
                <w:rFonts w:cs="Arial"/>
                <w:b/>
                <w:szCs w:val="18"/>
              </w:rPr>
            </w:pPr>
          </w:p>
        </w:tc>
        <w:tc>
          <w:tcPr>
            <w:tcW w:w="2056" w:type="pct"/>
            <w:gridSpan w:val="3"/>
            <w:tcBorders>
              <w:top w:val="nil"/>
            </w:tcBorders>
            <w:vAlign w:val="center"/>
          </w:tcPr>
          <w:p w:rsidR="00E14B6A" w:rsidRPr="00C0796E" w:rsidRDefault="00E14B6A" w:rsidP="005B2734">
            <w:pPr>
              <w:pStyle w:val="Tabletext"/>
              <w:keepNext/>
            </w:pPr>
            <w:r w:rsidRPr="00C0796E">
              <w:rPr>
                <w:lang w:eastAsia="en-AU"/>
              </w:rPr>
              <w:t>Test of heterogeneity</w:t>
            </w:r>
          </w:p>
        </w:tc>
        <w:tc>
          <w:tcPr>
            <w:tcW w:w="826" w:type="pct"/>
            <w:tcBorders>
              <w:top w:val="nil"/>
            </w:tcBorders>
            <w:vAlign w:val="center"/>
          </w:tcPr>
          <w:p w:rsidR="00E14B6A" w:rsidRPr="00C0796E" w:rsidRDefault="00E14B6A" w:rsidP="005B2734">
            <w:pPr>
              <w:pStyle w:val="Tabletext"/>
              <w:keepNext/>
              <w:jc w:val="center"/>
              <w:rPr>
                <w:i/>
              </w:rPr>
            </w:pPr>
            <w:r w:rsidRPr="00C0796E">
              <w:t>Q(</w:t>
            </w:r>
            <w:proofErr w:type="spellStart"/>
            <w:r w:rsidRPr="00C0796E">
              <w:t>df</w:t>
            </w:r>
            <w:proofErr w:type="spellEnd"/>
            <w:r w:rsidRPr="00C0796E">
              <w:t xml:space="preserve">=2) = 14.7, </w:t>
            </w:r>
            <w:r w:rsidRPr="00C0796E">
              <w:br/>
            </w:r>
            <w:r w:rsidRPr="00C0796E">
              <w:rPr>
                <w:i/>
              </w:rPr>
              <w:t xml:space="preserve">p = 0.001 </w:t>
            </w:r>
            <w:r w:rsidRPr="00C0796E">
              <w:t>I</w:t>
            </w:r>
            <w:r w:rsidRPr="00C0796E">
              <w:rPr>
                <w:vertAlign w:val="superscript"/>
              </w:rPr>
              <w:t>2</w:t>
            </w:r>
            <w:r w:rsidRPr="00C0796E">
              <w:t>=86.4%</w:t>
            </w:r>
          </w:p>
        </w:tc>
        <w:tc>
          <w:tcPr>
            <w:tcW w:w="735" w:type="pct"/>
            <w:tcBorders>
              <w:top w:val="nil"/>
            </w:tcBorders>
          </w:tcPr>
          <w:p w:rsidR="00E14B6A" w:rsidRPr="00C0796E" w:rsidRDefault="00E14B6A" w:rsidP="005B2734">
            <w:pPr>
              <w:pStyle w:val="Tabletext"/>
              <w:keepNext/>
              <w:jc w:val="center"/>
            </w:pPr>
            <w:r w:rsidRPr="00C0796E">
              <w:t>Q(</w:t>
            </w:r>
            <w:proofErr w:type="spellStart"/>
            <w:r w:rsidRPr="00C0796E">
              <w:t>df</w:t>
            </w:r>
            <w:proofErr w:type="spellEnd"/>
            <w:r w:rsidRPr="00C0796E">
              <w:t xml:space="preserve">=2) =11.8, </w:t>
            </w:r>
            <w:r w:rsidRPr="00C0796E">
              <w:rPr>
                <w:i/>
              </w:rPr>
              <w:t xml:space="preserve">p = 0.003 </w:t>
            </w:r>
            <w:r w:rsidRPr="00C0796E">
              <w:t>I</w:t>
            </w:r>
            <w:r w:rsidRPr="00C0796E">
              <w:rPr>
                <w:vertAlign w:val="superscript"/>
              </w:rPr>
              <w:t>2</w:t>
            </w:r>
            <w:r w:rsidRPr="00C0796E">
              <w:t>=83%;</w:t>
            </w:r>
          </w:p>
        </w:tc>
        <w:tc>
          <w:tcPr>
            <w:tcW w:w="733" w:type="pct"/>
            <w:tcBorders>
              <w:top w:val="nil"/>
            </w:tcBorders>
          </w:tcPr>
          <w:p w:rsidR="00E14B6A" w:rsidRPr="00C0796E" w:rsidRDefault="00E14B6A" w:rsidP="005B2734">
            <w:pPr>
              <w:pStyle w:val="Tabletext"/>
              <w:keepNext/>
              <w:jc w:val="center"/>
            </w:pPr>
            <w:r w:rsidRPr="00C0796E">
              <w:t>Q(</w:t>
            </w:r>
            <w:proofErr w:type="spellStart"/>
            <w:r w:rsidRPr="00C0796E">
              <w:t>df</w:t>
            </w:r>
            <w:proofErr w:type="spellEnd"/>
            <w:r w:rsidRPr="00C0796E">
              <w:t>=2) =13.7, p = 0.001 I</w:t>
            </w:r>
            <w:r w:rsidRPr="00C0796E">
              <w:rPr>
                <w:vertAlign w:val="superscript"/>
              </w:rPr>
              <w:t>2</w:t>
            </w:r>
            <w:r w:rsidRPr="00C0796E">
              <w:t>=85.4%</w:t>
            </w:r>
          </w:p>
        </w:tc>
      </w:tr>
    </w:tbl>
    <w:p w:rsidR="00E14B6A" w:rsidRPr="00D123EE" w:rsidRDefault="00E14B6A" w:rsidP="005B2734">
      <w:pPr>
        <w:pStyle w:val="TableFooter"/>
        <w:keepNext/>
      </w:pPr>
      <w:r w:rsidRPr="00D123EE">
        <w:t>Source: Table 2-66 p171, Table 2-65 p 170, Table 2-67 p171 of the submission; CAPSS-114 CSR Table 9 p73; Attachment 3 p52 of the submission.</w:t>
      </w:r>
    </w:p>
    <w:p w:rsidR="00E14B6A" w:rsidRPr="00D123EE" w:rsidRDefault="00E14B6A" w:rsidP="005B2734">
      <w:pPr>
        <w:pStyle w:val="TableFooter"/>
        <w:keepNext/>
        <w:rPr>
          <w:rFonts w:eastAsia="Calibri"/>
        </w:rPr>
      </w:pPr>
      <w:r w:rsidRPr="00D123EE">
        <w:rPr>
          <w:rFonts w:eastAsia="Calibri"/>
        </w:rPr>
        <w:t xml:space="preserve">Abbreviations: CI = confidence interval; n = number of participants with event; N = total participants in group; NR= not reported; OR= odds ratio, PBO= placebo; RD= risk difference; RR= risk ratio; </w:t>
      </w:r>
    </w:p>
    <w:p w:rsidR="00E14B6A" w:rsidRPr="00D123EE" w:rsidRDefault="00E14B6A" w:rsidP="005B2734">
      <w:pPr>
        <w:pStyle w:val="TableFooter"/>
        <w:keepNext/>
      </w:pPr>
      <w:r w:rsidRPr="00D123EE">
        <w:rPr>
          <w:rFonts w:eastAsia="Calibri"/>
        </w:rPr>
        <w:t xml:space="preserve">Notes: </w:t>
      </w:r>
      <w:proofErr w:type="spellStart"/>
      <w:proofErr w:type="gramStart"/>
      <w:r w:rsidRPr="00D123EE">
        <w:rPr>
          <w:rFonts w:eastAsia="Calibri"/>
        </w:rPr>
        <w:t>a</w:t>
      </w:r>
      <w:proofErr w:type="spellEnd"/>
      <w:proofErr w:type="gramEnd"/>
      <w:r w:rsidRPr="00D123EE">
        <w:rPr>
          <w:rFonts w:eastAsia="Calibri"/>
        </w:rPr>
        <w:t xml:space="preserve"> Assessed on a 5-point rating scale (very good = 2, good = 1, no change = 0, poor = -1, very poor = -2, with a positive response equivalent to good or very good pain control.); b Not reported in the submission and values were not calculated during the evaluation. </w:t>
      </w:r>
    </w:p>
    <w:p w:rsidR="00653536" w:rsidRPr="00D123EE" w:rsidRDefault="00653536" w:rsidP="00E14B6A">
      <w:pPr>
        <w:tabs>
          <w:tab w:val="left" w:pos="6931"/>
        </w:tabs>
      </w:pPr>
    </w:p>
    <w:p w:rsidR="00653536" w:rsidRPr="00D123EE" w:rsidRDefault="00653536" w:rsidP="00E22F6D">
      <w:pPr>
        <w:pStyle w:val="ListParagraph"/>
        <w:widowControl/>
        <w:numPr>
          <w:ilvl w:val="1"/>
          <w:numId w:val="1"/>
        </w:numPr>
        <w:spacing w:after="120"/>
      </w:pPr>
      <w:r w:rsidRPr="00D123EE">
        <w:t xml:space="preserve">The submission claimed that in comparison to placebo, the FDC of tramadol 37.5 mg/paracetamol significantly reduced pain intensity by 10% based on the 100 mm </w:t>
      </w:r>
      <w:r w:rsidR="009E5309" w:rsidRPr="00D123EE">
        <w:t>visual analogue scale (</w:t>
      </w:r>
      <w:r w:rsidRPr="00D123EE">
        <w:t>VAS</w:t>
      </w:r>
      <w:r w:rsidR="009E5309" w:rsidRPr="00D123EE">
        <w:t>)</w:t>
      </w:r>
      <w:r w:rsidRPr="00D123EE">
        <w:t>, and tramadol 50 mg IR reduced pain intensity by 12% based on the 5-point Likert scale, suggesting similar levels of improvement in pain intensity. The results of the meta-analysis included CAPSS-114, where a Cox-2 inhibitor was given concomitantly</w:t>
      </w:r>
      <w:r w:rsidR="004F3A7C" w:rsidRPr="00D123EE">
        <w:t xml:space="preserve"> in both treatment groups</w:t>
      </w:r>
      <w:r w:rsidRPr="00D123EE">
        <w:t xml:space="preserve">. </w:t>
      </w:r>
    </w:p>
    <w:p w:rsidR="00E14B6A" w:rsidRPr="002D75A7" w:rsidRDefault="00E14B6A" w:rsidP="00E14B6A">
      <w:pPr>
        <w:keepNext/>
      </w:pPr>
      <w:r w:rsidRPr="002D75A7">
        <w:rPr>
          <w:rStyle w:val="CommentReference"/>
        </w:rPr>
        <w:t xml:space="preserve">Table </w:t>
      </w:r>
      <w:r w:rsidR="00907B57" w:rsidRPr="002D75A7">
        <w:rPr>
          <w:rStyle w:val="CommentReference"/>
        </w:rPr>
        <w:t>9</w:t>
      </w:r>
      <w:r w:rsidRPr="002D75A7">
        <w:rPr>
          <w:rStyle w:val="CommentReference"/>
        </w:rPr>
        <w:t xml:space="preserve">:  Results of the meta-analyses for change from baseline in pain intensity </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1911"/>
        <w:gridCol w:w="2973"/>
      </w:tblGrid>
      <w:tr w:rsidR="00E14B6A" w:rsidRPr="002D75A7" w:rsidTr="00AE6A29">
        <w:trPr>
          <w:tblHeader/>
          <w:jc w:val="center"/>
        </w:trPr>
        <w:tc>
          <w:tcPr>
            <w:tcW w:w="4321" w:type="dxa"/>
            <w:shd w:val="clear" w:color="auto" w:fill="auto"/>
            <w:vAlign w:val="center"/>
          </w:tcPr>
          <w:p w:rsidR="00E14B6A" w:rsidRPr="002D75A7" w:rsidRDefault="00E14B6A" w:rsidP="00AE6A29">
            <w:pPr>
              <w:pStyle w:val="Tabletext"/>
              <w:rPr>
                <w:b/>
              </w:rPr>
            </w:pPr>
            <w:r w:rsidRPr="002D75A7">
              <w:rPr>
                <w:b/>
              </w:rPr>
              <w:t>Trials included in meta-analysis</w:t>
            </w:r>
          </w:p>
        </w:tc>
        <w:tc>
          <w:tcPr>
            <w:tcW w:w="4884" w:type="dxa"/>
            <w:gridSpan w:val="2"/>
            <w:shd w:val="clear" w:color="auto" w:fill="auto"/>
            <w:vAlign w:val="center"/>
          </w:tcPr>
          <w:p w:rsidR="00E14B6A" w:rsidRPr="002D75A7" w:rsidRDefault="00E14B6A" w:rsidP="00AE6A29">
            <w:pPr>
              <w:pStyle w:val="Tabletext"/>
              <w:jc w:val="center"/>
            </w:pPr>
            <w:r w:rsidRPr="002D75A7">
              <w:rPr>
                <w:b/>
              </w:rPr>
              <w:t>Mean diff, FDC T37.5/P325 or T50 minus PBO) (95% CI)</w:t>
            </w:r>
          </w:p>
        </w:tc>
      </w:tr>
      <w:tr w:rsidR="00E14B6A" w:rsidRPr="002D75A7" w:rsidTr="00AE6A29">
        <w:trPr>
          <w:jc w:val="center"/>
        </w:trPr>
        <w:tc>
          <w:tcPr>
            <w:tcW w:w="4321" w:type="dxa"/>
            <w:tcBorders>
              <w:right w:val="nil"/>
            </w:tcBorders>
            <w:shd w:val="clear" w:color="auto" w:fill="auto"/>
            <w:vAlign w:val="center"/>
          </w:tcPr>
          <w:p w:rsidR="00E14B6A" w:rsidRPr="002D75A7" w:rsidRDefault="00E14B6A" w:rsidP="00AE6A29">
            <w:pPr>
              <w:pStyle w:val="Tabletext"/>
            </w:pPr>
            <w:r w:rsidRPr="002D75A7">
              <w:rPr>
                <w:rFonts w:cs="Arial"/>
                <w:bCs/>
                <w:color w:val="000000"/>
                <w:szCs w:val="18"/>
              </w:rPr>
              <w:t>Meta-analysis:</w:t>
            </w:r>
            <w:r w:rsidRPr="002D75A7">
              <w:t xml:space="preserve"> pooled FDC T37.5/P325: 100 mm VAS</w:t>
            </w:r>
            <w:r w:rsidRPr="002D75A7">
              <w:rPr>
                <w:rFonts w:cs="Arial"/>
                <w:bCs/>
                <w:color w:val="000000"/>
                <w:szCs w:val="18"/>
              </w:rPr>
              <w:br/>
              <w:t>CAPSS-104, CAPSS-112, CAPSS-113, TRP-CAN-1, CAPSS-237, CAPSS-114</w:t>
            </w:r>
          </w:p>
        </w:tc>
        <w:tc>
          <w:tcPr>
            <w:tcW w:w="1911" w:type="dxa"/>
            <w:tcBorders>
              <w:left w:val="nil"/>
            </w:tcBorders>
            <w:shd w:val="clear" w:color="auto" w:fill="auto"/>
            <w:vAlign w:val="center"/>
          </w:tcPr>
          <w:p w:rsidR="00E14B6A" w:rsidRPr="002D75A7" w:rsidRDefault="00E14B6A" w:rsidP="00AE6A29">
            <w:pPr>
              <w:pStyle w:val="Tabletext"/>
              <w:jc w:val="right"/>
            </w:pPr>
            <w:r w:rsidRPr="002D75A7">
              <w:rPr>
                <w:lang w:eastAsia="en-AU"/>
              </w:rPr>
              <w:t>Q(</w:t>
            </w:r>
            <w:proofErr w:type="spellStart"/>
            <w:r w:rsidRPr="002D75A7">
              <w:rPr>
                <w:lang w:eastAsia="en-AU"/>
              </w:rPr>
              <w:t>df</w:t>
            </w:r>
            <w:proofErr w:type="spellEnd"/>
            <w:r w:rsidRPr="002D75A7">
              <w:rPr>
                <w:lang w:eastAsia="en-AU"/>
              </w:rPr>
              <w:t xml:space="preserve">=5) = 8.1, </w:t>
            </w:r>
            <w:r w:rsidRPr="002D75A7">
              <w:t>I</w:t>
            </w:r>
            <w:r w:rsidRPr="002D75A7">
              <w:rPr>
                <w:vertAlign w:val="superscript"/>
              </w:rPr>
              <w:t>2</w:t>
            </w:r>
            <w:r w:rsidRPr="002D75A7">
              <w:t>=38.3%;</w:t>
            </w:r>
            <w:r w:rsidRPr="002D75A7">
              <w:rPr>
                <w:lang w:eastAsia="en-AU"/>
              </w:rPr>
              <w:t xml:space="preserve"> </w:t>
            </w:r>
            <w:r w:rsidRPr="002D75A7">
              <w:rPr>
                <w:i/>
                <w:lang w:eastAsia="en-AU"/>
              </w:rPr>
              <w:t>p = 0.151</w:t>
            </w:r>
          </w:p>
        </w:tc>
        <w:tc>
          <w:tcPr>
            <w:tcW w:w="2973" w:type="dxa"/>
            <w:shd w:val="clear" w:color="auto" w:fill="auto"/>
            <w:vAlign w:val="center"/>
          </w:tcPr>
          <w:p w:rsidR="00E14B6A" w:rsidRPr="002D75A7" w:rsidRDefault="00E14B6A" w:rsidP="00AE6A29">
            <w:pPr>
              <w:pStyle w:val="Tabletext"/>
              <w:jc w:val="center"/>
              <w:rPr>
                <w:b/>
              </w:rPr>
            </w:pPr>
            <w:r w:rsidRPr="002D75A7">
              <w:rPr>
                <w:b/>
              </w:rPr>
              <w:t>-10.38 (-–13.68, –7.07)</w:t>
            </w:r>
            <w:r w:rsidRPr="002D75A7">
              <w:rPr>
                <w:b/>
              </w:rPr>
              <w:br/>
              <w:t>p&lt;0.0001</w:t>
            </w:r>
          </w:p>
        </w:tc>
      </w:tr>
      <w:tr w:rsidR="00E14B6A" w:rsidRPr="002D75A7" w:rsidTr="00AE6A29">
        <w:trPr>
          <w:jc w:val="center"/>
        </w:trPr>
        <w:tc>
          <w:tcPr>
            <w:tcW w:w="4321" w:type="dxa"/>
            <w:tcBorders>
              <w:right w:val="nil"/>
            </w:tcBorders>
            <w:shd w:val="clear" w:color="auto" w:fill="auto"/>
            <w:vAlign w:val="center"/>
          </w:tcPr>
          <w:p w:rsidR="00E14B6A" w:rsidRPr="002D75A7" w:rsidRDefault="00E14B6A" w:rsidP="00AE6A29">
            <w:pPr>
              <w:pStyle w:val="Tabletext"/>
            </w:pPr>
            <w:r w:rsidRPr="002D75A7">
              <w:rPr>
                <w:rFonts w:cs="Arial"/>
                <w:bCs/>
                <w:color w:val="000000"/>
                <w:szCs w:val="18"/>
              </w:rPr>
              <w:t>Meta-analysis:</w:t>
            </w:r>
            <w:r w:rsidRPr="002D75A7">
              <w:t xml:space="preserve"> Pooled T50: 5-pt Likert</w:t>
            </w:r>
            <w:r w:rsidRPr="002D75A7">
              <w:rPr>
                <w:rFonts w:cs="Arial"/>
                <w:bCs/>
                <w:color w:val="000000"/>
                <w:szCs w:val="18"/>
              </w:rPr>
              <w:br/>
              <w:t>CAPSS-051, CA-R0027s</w:t>
            </w:r>
          </w:p>
        </w:tc>
        <w:tc>
          <w:tcPr>
            <w:tcW w:w="1911" w:type="dxa"/>
            <w:tcBorders>
              <w:left w:val="nil"/>
            </w:tcBorders>
            <w:shd w:val="clear" w:color="auto" w:fill="auto"/>
            <w:vAlign w:val="center"/>
          </w:tcPr>
          <w:p w:rsidR="00E14B6A" w:rsidRPr="002D75A7" w:rsidRDefault="00E14B6A" w:rsidP="00AE6A29">
            <w:pPr>
              <w:pStyle w:val="Tabletext"/>
              <w:jc w:val="right"/>
            </w:pPr>
            <w:r w:rsidRPr="002D75A7">
              <w:t>Q(</w:t>
            </w:r>
            <w:proofErr w:type="spellStart"/>
            <w:r w:rsidRPr="002D75A7">
              <w:t>df</w:t>
            </w:r>
            <w:proofErr w:type="spellEnd"/>
            <w:r w:rsidRPr="002D75A7">
              <w:t>=1) = 3.1, I</w:t>
            </w:r>
            <w:r w:rsidRPr="002D75A7">
              <w:rPr>
                <w:vertAlign w:val="superscript"/>
              </w:rPr>
              <w:t>2</w:t>
            </w:r>
            <w:r w:rsidRPr="002D75A7">
              <w:t>=67.6%; p=0.079</w:t>
            </w:r>
          </w:p>
        </w:tc>
        <w:tc>
          <w:tcPr>
            <w:tcW w:w="2973" w:type="dxa"/>
            <w:shd w:val="clear" w:color="auto" w:fill="auto"/>
            <w:vAlign w:val="center"/>
          </w:tcPr>
          <w:p w:rsidR="00E14B6A" w:rsidRPr="002D75A7" w:rsidRDefault="00E14B6A" w:rsidP="00AE6A29">
            <w:pPr>
              <w:pStyle w:val="Tabletext"/>
              <w:jc w:val="center"/>
              <w:rPr>
                <w:b/>
              </w:rPr>
            </w:pPr>
            <w:r w:rsidRPr="002D75A7">
              <w:rPr>
                <w:b/>
              </w:rPr>
              <w:t>-0.61 (–1.02, –0.20)</w:t>
            </w:r>
            <w:r w:rsidRPr="002D75A7">
              <w:rPr>
                <w:b/>
              </w:rPr>
              <w:br/>
              <w:t>p=0.003</w:t>
            </w:r>
          </w:p>
        </w:tc>
      </w:tr>
    </w:tbl>
    <w:p w:rsidR="00E14B6A" w:rsidRPr="00D123EE" w:rsidRDefault="00E14B6A" w:rsidP="00E14B6A">
      <w:pPr>
        <w:pStyle w:val="TableFooter"/>
      </w:pPr>
      <w:r w:rsidRPr="00D123EE">
        <w:t>Source: Table 2-70 p176 and Table 2-71 p176, Attachment 3 Table 4 p12 and p45 of the submission;</w:t>
      </w:r>
    </w:p>
    <w:p w:rsidR="00E14B6A" w:rsidRPr="00D123EE" w:rsidRDefault="00E14B6A" w:rsidP="00E14B6A">
      <w:pPr>
        <w:pStyle w:val="TableFooter"/>
      </w:pPr>
      <w:r w:rsidRPr="00D123EE">
        <w:t xml:space="preserve">Abbreviations: CI = confidence interval; FDC= fixed dose combination; LSM = least square mean; n = number of participants with event; NR= not reported; SE = standard error; </w:t>
      </w:r>
      <w:r w:rsidRPr="00D123EE">
        <w:rPr>
          <w:b/>
        </w:rPr>
        <w:t xml:space="preserve">bold </w:t>
      </w:r>
      <w:r w:rsidRPr="00D123EE">
        <w:t>= statistically significant; VAS= visual analogue scale</w:t>
      </w:r>
    </w:p>
    <w:p w:rsidR="00E14B6A" w:rsidRPr="00D123EE" w:rsidRDefault="00E14B6A" w:rsidP="00E14B6A">
      <w:pPr>
        <w:pStyle w:val="TableFooter"/>
        <w:rPr>
          <w:sz w:val="20"/>
        </w:rPr>
      </w:pPr>
      <w:r w:rsidRPr="00D123EE">
        <w:t>Notes: a CAPSS-051 and CA-R0027: 5-point Likert pain intensity scale (none=0, mild=1,</w:t>
      </w:r>
      <w:r w:rsidR="00EC33B3" w:rsidRPr="00D123EE">
        <w:t xml:space="preserve"> moderate=2, severe=3</w:t>
      </w:r>
      <w:r w:rsidRPr="00D123EE">
        <w:t xml:space="preserve">, and extreme=4). The mean change in from baseline for each treatment arm was not reported. </w:t>
      </w:r>
      <w:r w:rsidR="00154866" w:rsidRPr="00D123EE">
        <w:t xml:space="preserve">The results for individual studies were presented in the submission in Table 2-72 p178 and Table 2-73 p178 of the submission. </w:t>
      </w:r>
    </w:p>
    <w:p w:rsidR="00653536" w:rsidRPr="00D123EE" w:rsidRDefault="00B239D1" w:rsidP="00E22F6D">
      <w:pPr>
        <w:pStyle w:val="ListParagraph"/>
        <w:widowControl/>
        <w:numPr>
          <w:ilvl w:val="1"/>
          <w:numId w:val="1"/>
        </w:numPr>
        <w:spacing w:after="120"/>
      </w:pPr>
      <w:r w:rsidRPr="00D123EE">
        <w:lastRenderedPageBreak/>
        <w:t xml:space="preserve">The submission claimed that a small, non-statistically significant difference was observed between the FDC of tramadol 37.5 mg/paracetamol and tramadol 50 mg IR in the indirect comparison (-0.50, 95% CI -1.4, 0.41). The submission claimed that based on the non-inferiority margin of 25-30%, the lower 95% CI of -1.4 represented approximately a 23% difference on a 6-point scale. There were significant levels of heterogeneity observed in the meta-analysis. There </w:t>
      </w:r>
      <w:r w:rsidR="009E5309" w:rsidRPr="00D123EE">
        <w:t>wa</w:t>
      </w:r>
      <w:r w:rsidRPr="00D123EE">
        <w:t xml:space="preserve">s a large numerical variation in the results for the individual trials. </w:t>
      </w:r>
    </w:p>
    <w:p w:rsidR="00E14B6A" w:rsidRDefault="00E14B6A" w:rsidP="00E14B6A">
      <w:pPr>
        <w:keepNext/>
      </w:pPr>
      <w:r w:rsidRPr="00445A40">
        <w:rPr>
          <w:rStyle w:val="CommentReference"/>
        </w:rPr>
        <w:t xml:space="preserve">Table </w:t>
      </w:r>
      <w:r w:rsidR="00907B57" w:rsidRPr="00445A40">
        <w:rPr>
          <w:rStyle w:val="CommentReference"/>
        </w:rPr>
        <w:t>10</w:t>
      </w:r>
      <w:r w:rsidRPr="00445A40">
        <w:rPr>
          <w:rStyle w:val="CommentReference"/>
        </w:rPr>
        <w:t>:  Results of the indirect comparison for pain relief</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776"/>
        <w:gridCol w:w="1776"/>
        <w:gridCol w:w="1776"/>
        <w:gridCol w:w="2264"/>
      </w:tblGrid>
      <w:tr w:rsidR="00E14B6A" w:rsidRPr="007D2D5F" w:rsidTr="00AE6A29">
        <w:trPr>
          <w:tblHeader/>
          <w:jc w:val="center"/>
        </w:trPr>
        <w:tc>
          <w:tcPr>
            <w:tcW w:w="1613" w:type="dxa"/>
            <w:vMerge w:val="restart"/>
            <w:shd w:val="clear" w:color="auto" w:fill="auto"/>
            <w:vAlign w:val="center"/>
          </w:tcPr>
          <w:p w:rsidR="00E14B6A" w:rsidRPr="000D51FB" w:rsidRDefault="00E14B6A" w:rsidP="00AE6A29">
            <w:pPr>
              <w:pStyle w:val="Tabletext"/>
              <w:keepNext/>
              <w:rPr>
                <w:b/>
              </w:rPr>
            </w:pPr>
            <w:r w:rsidRPr="000D51FB">
              <w:rPr>
                <w:b/>
              </w:rPr>
              <w:t>Trial</w:t>
            </w:r>
          </w:p>
        </w:tc>
        <w:tc>
          <w:tcPr>
            <w:tcW w:w="5328" w:type="dxa"/>
            <w:gridSpan w:val="3"/>
            <w:shd w:val="clear" w:color="auto" w:fill="auto"/>
            <w:vAlign w:val="center"/>
          </w:tcPr>
          <w:p w:rsidR="00E14B6A" w:rsidRPr="000D51FB" w:rsidRDefault="00E14B6A" w:rsidP="00AE6A29">
            <w:pPr>
              <w:pStyle w:val="Tabletext"/>
              <w:jc w:val="center"/>
              <w:rPr>
                <w:b/>
              </w:rPr>
            </w:pPr>
            <w:r>
              <w:rPr>
                <w:b/>
              </w:rPr>
              <w:t>End of study,</w:t>
            </w:r>
            <w:r w:rsidRPr="000D51FB">
              <w:rPr>
                <w:b/>
              </w:rPr>
              <w:t xml:space="preserve"> in </w:t>
            </w:r>
            <w:r>
              <w:rPr>
                <w:b/>
              </w:rPr>
              <w:t xml:space="preserve">pain relief using </w:t>
            </w:r>
            <w:r w:rsidRPr="00975001">
              <w:rPr>
                <w:b/>
              </w:rPr>
              <w:t>6-point Likert scale</w:t>
            </w:r>
            <w:r w:rsidR="00695119">
              <w:rPr>
                <w:b/>
              </w:rPr>
              <w:t xml:space="preserve">; </w:t>
            </w:r>
            <w:r>
              <w:rPr>
                <w:b/>
              </w:rPr>
              <w:t>Mean (SD)</w:t>
            </w:r>
          </w:p>
        </w:tc>
        <w:tc>
          <w:tcPr>
            <w:tcW w:w="2264" w:type="dxa"/>
            <w:vMerge w:val="restart"/>
            <w:shd w:val="clear" w:color="auto" w:fill="auto"/>
            <w:vAlign w:val="center"/>
          </w:tcPr>
          <w:p w:rsidR="00E14B6A" w:rsidRPr="000D51FB" w:rsidRDefault="00E14B6A" w:rsidP="00AE6A29">
            <w:pPr>
              <w:pStyle w:val="Tabletext"/>
              <w:jc w:val="center"/>
              <w:rPr>
                <w:b/>
              </w:rPr>
            </w:pPr>
            <w:r>
              <w:rPr>
                <w:b/>
              </w:rPr>
              <w:t>Mean difference</w:t>
            </w:r>
            <w:r w:rsidRPr="000D51FB">
              <w:rPr>
                <w:b/>
              </w:rPr>
              <w:t xml:space="preserve"> (95% CI)</w:t>
            </w:r>
          </w:p>
        </w:tc>
      </w:tr>
      <w:tr w:rsidR="00E14B6A" w:rsidRPr="007D2D5F" w:rsidTr="00AE6A29">
        <w:trPr>
          <w:tblHeader/>
          <w:jc w:val="center"/>
        </w:trPr>
        <w:tc>
          <w:tcPr>
            <w:tcW w:w="1613" w:type="dxa"/>
            <w:vMerge/>
            <w:shd w:val="clear" w:color="auto" w:fill="auto"/>
            <w:vAlign w:val="center"/>
          </w:tcPr>
          <w:p w:rsidR="00E14B6A" w:rsidRPr="007D2D5F" w:rsidRDefault="00E14B6A" w:rsidP="00AE6A29">
            <w:pPr>
              <w:pStyle w:val="Tabletext"/>
            </w:pPr>
          </w:p>
        </w:tc>
        <w:tc>
          <w:tcPr>
            <w:tcW w:w="1776" w:type="dxa"/>
            <w:shd w:val="clear" w:color="auto" w:fill="auto"/>
            <w:vAlign w:val="center"/>
          </w:tcPr>
          <w:p w:rsidR="00E14B6A" w:rsidRPr="0012305B" w:rsidRDefault="00E14B6A" w:rsidP="00AE6A29">
            <w:pPr>
              <w:pStyle w:val="Tabletext"/>
              <w:jc w:val="center"/>
              <w:rPr>
                <w:b/>
              </w:rPr>
            </w:pPr>
            <w:r w:rsidRPr="007276A0">
              <w:rPr>
                <w:b/>
              </w:rPr>
              <w:t>FDC T37.5/P325</w:t>
            </w:r>
          </w:p>
        </w:tc>
        <w:tc>
          <w:tcPr>
            <w:tcW w:w="1776" w:type="dxa"/>
            <w:shd w:val="clear" w:color="auto" w:fill="auto"/>
            <w:vAlign w:val="center"/>
          </w:tcPr>
          <w:p w:rsidR="00E14B6A" w:rsidRPr="0012305B" w:rsidRDefault="00E14B6A" w:rsidP="00AE6A29">
            <w:pPr>
              <w:pStyle w:val="Tabletext"/>
              <w:jc w:val="center"/>
              <w:rPr>
                <w:b/>
              </w:rPr>
            </w:pPr>
            <w:r w:rsidRPr="0012305B">
              <w:rPr>
                <w:b/>
              </w:rPr>
              <w:t xml:space="preserve">Common reference </w:t>
            </w:r>
            <w:r>
              <w:rPr>
                <w:b/>
              </w:rPr>
              <w:t>placebo</w:t>
            </w:r>
          </w:p>
        </w:tc>
        <w:tc>
          <w:tcPr>
            <w:tcW w:w="1776" w:type="dxa"/>
            <w:shd w:val="clear" w:color="auto" w:fill="auto"/>
            <w:vAlign w:val="center"/>
          </w:tcPr>
          <w:p w:rsidR="00E14B6A" w:rsidRPr="0012305B" w:rsidRDefault="00E14B6A" w:rsidP="00AE6A29">
            <w:pPr>
              <w:pStyle w:val="Tabletext"/>
              <w:jc w:val="center"/>
              <w:rPr>
                <w:b/>
              </w:rPr>
            </w:pPr>
            <w:r>
              <w:rPr>
                <w:b/>
              </w:rPr>
              <w:t>T50</w:t>
            </w:r>
          </w:p>
        </w:tc>
        <w:tc>
          <w:tcPr>
            <w:tcW w:w="2264" w:type="dxa"/>
            <w:vMerge/>
            <w:shd w:val="clear" w:color="auto" w:fill="auto"/>
            <w:vAlign w:val="center"/>
          </w:tcPr>
          <w:p w:rsidR="00E14B6A" w:rsidRPr="007D2D5F" w:rsidRDefault="00E14B6A" w:rsidP="00AE6A29">
            <w:pPr>
              <w:pStyle w:val="Tabletext"/>
              <w:jc w:val="center"/>
            </w:pPr>
          </w:p>
        </w:tc>
      </w:tr>
      <w:tr w:rsidR="00E14B6A" w:rsidRPr="007D2D5F" w:rsidTr="00AE6A29">
        <w:trPr>
          <w:jc w:val="center"/>
        </w:trPr>
        <w:tc>
          <w:tcPr>
            <w:tcW w:w="1613" w:type="dxa"/>
            <w:shd w:val="clear" w:color="auto" w:fill="auto"/>
            <w:vAlign w:val="center"/>
          </w:tcPr>
          <w:p w:rsidR="00E14B6A" w:rsidRPr="007D2D5F" w:rsidRDefault="00E14B6A" w:rsidP="00AE6A29">
            <w:pPr>
              <w:pStyle w:val="Tabletext"/>
            </w:pPr>
            <w:r w:rsidRPr="00941A32">
              <w:rPr>
                <w:rFonts w:cs="Arial"/>
                <w:bCs/>
                <w:color w:val="000000"/>
                <w:szCs w:val="18"/>
              </w:rPr>
              <w:t>CAPSS-104</w:t>
            </w:r>
          </w:p>
        </w:tc>
        <w:tc>
          <w:tcPr>
            <w:tcW w:w="1776" w:type="dxa"/>
            <w:shd w:val="clear" w:color="auto" w:fill="auto"/>
          </w:tcPr>
          <w:p w:rsidR="00E14B6A" w:rsidRPr="007D2D5F" w:rsidRDefault="00E14B6A" w:rsidP="00AE6A29">
            <w:pPr>
              <w:pStyle w:val="Tabletext"/>
              <w:jc w:val="center"/>
            </w:pPr>
            <w:r w:rsidRPr="00D71A6C">
              <w:t xml:space="preserve">n=155 </w:t>
            </w:r>
            <w:r>
              <w:br/>
            </w:r>
            <w:r w:rsidRPr="00D71A6C">
              <w:t>1.5 (1.36)</w:t>
            </w:r>
          </w:p>
        </w:tc>
        <w:tc>
          <w:tcPr>
            <w:tcW w:w="1776" w:type="dxa"/>
            <w:shd w:val="clear" w:color="auto" w:fill="auto"/>
          </w:tcPr>
          <w:p w:rsidR="00E14B6A" w:rsidRPr="007D2D5F" w:rsidRDefault="00E14B6A" w:rsidP="00AE6A29">
            <w:pPr>
              <w:pStyle w:val="Tabletext"/>
              <w:jc w:val="center"/>
            </w:pPr>
            <w:r w:rsidRPr="00D35318">
              <w:t xml:space="preserve">n=156 </w:t>
            </w:r>
            <w:r>
              <w:br/>
            </w:r>
            <w:r w:rsidRPr="00D35318">
              <w:t>1.2 (1.49)</w:t>
            </w:r>
          </w:p>
        </w:tc>
        <w:tc>
          <w:tcPr>
            <w:tcW w:w="1776" w:type="dxa"/>
            <w:shd w:val="clear" w:color="auto" w:fill="auto"/>
            <w:vAlign w:val="center"/>
          </w:tcPr>
          <w:p w:rsidR="00E14B6A" w:rsidRPr="007D2D5F" w:rsidRDefault="00E14B6A" w:rsidP="00AE6A29">
            <w:pPr>
              <w:pStyle w:val="Tabletext"/>
              <w:jc w:val="center"/>
            </w:pPr>
            <w:r w:rsidRPr="007D2D5F">
              <w:t>-</w:t>
            </w:r>
          </w:p>
        </w:tc>
        <w:tc>
          <w:tcPr>
            <w:tcW w:w="2264" w:type="dxa"/>
            <w:shd w:val="clear" w:color="auto" w:fill="auto"/>
            <w:vAlign w:val="center"/>
          </w:tcPr>
          <w:p w:rsidR="00E14B6A" w:rsidRPr="007D2D5F" w:rsidRDefault="00E14B6A" w:rsidP="00AE6A29">
            <w:pPr>
              <w:pStyle w:val="Tabletext"/>
              <w:jc w:val="center"/>
            </w:pPr>
            <w:r>
              <w:t xml:space="preserve">0.3 </w:t>
            </w:r>
            <w:r>
              <w:br/>
              <w:t>(-0.02, 0.62)</w:t>
            </w:r>
          </w:p>
        </w:tc>
      </w:tr>
      <w:tr w:rsidR="00E14B6A" w:rsidRPr="007D2D5F" w:rsidTr="00AE6A29">
        <w:trPr>
          <w:jc w:val="center"/>
        </w:trPr>
        <w:tc>
          <w:tcPr>
            <w:tcW w:w="1613" w:type="dxa"/>
            <w:shd w:val="clear" w:color="auto" w:fill="auto"/>
            <w:vAlign w:val="center"/>
          </w:tcPr>
          <w:p w:rsidR="00E14B6A" w:rsidRPr="007D2D5F" w:rsidRDefault="00E14B6A" w:rsidP="00AE6A29">
            <w:pPr>
              <w:pStyle w:val="Tabletext"/>
            </w:pPr>
            <w:r w:rsidRPr="00941A32">
              <w:rPr>
                <w:rFonts w:cs="Arial"/>
                <w:bCs/>
                <w:color w:val="000000"/>
                <w:szCs w:val="18"/>
              </w:rPr>
              <w:t>CAPSS-112</w:t>
            </w:r>
          </w:p>
        </w:tc>
        <w:tc>
          <w:tcPr>
            <w:tcW w:w="1776" w:type="dxa"/>
            <w:shd w:val="clear" w:color="auto" w:fill="auto"/>
          </w:tcPr>
          <w:p w:rsidR="00E14B6A" w:rsidRPr="007D2D5F" w:rsidRDefault="00E14B6A" w:rsidP="00AE6A29">
            <w:pPr>
              <w:pStyle w:val="Tabletext"/>
              <w:jc w:val="center"/>
            </w:pPr>
            <w:r w:rsidRPr="00D71A6C">
              <w:t xml:space="preserve">n=161 </w:t>
            </w:r>
            <w:r>
              <w:br/>
            </w:r>
            <w:r w:rsidRPr="00D71A6C">
              <w:t>1.8 (1.34)</w:t>
            </w:r>
          </w:p>
        </w:tc>
        <w:tc>
          <w:tcPr>
            <w:tcW w:w="1776" w:type="dxa"/>
            <w:shd w:val="clear" w:color="auto" w:fill="auto"/>
          </w:tcPr>
          <w:p w:rsidR="00E14B6A" w:rsidRPr="007D2D5F" w:rsidRDefault="00E14B6A" w:rsidP="00AE6A29">
            <w:pPr>
              <w:pStyle w:val="Tabletext"/>
              <w:jc w:val="center"/>
            </w:pPr>
            <w:r w:rsidRPr="00D35318">
              <w:t xml:space="preserve">n=157 </w:t>
            </w:r>
            <w:r>
              <w:br/>
            </w:r>
            <w:r w:rsidRPr="00D35318">
              <w:t>1 (1.28)</w:t>
            </w:r>
          </w:p>
        </w:tc>
        <w:tc>
          <w:tcPr>
            <w:tcW w:w="1776" w:type="dxa"/>
            <w:shd w:val="clear" w:color="auto" w:fill="auto"/>
            <w:vAlign w:val="center"/>
          </w:tcPr>
          <w:p w:rsidR="00E14B6A" w:rsidRPr="007D2D5F" w:rsidRDefault="00E14B6A" w:rsidP="00AE6A29">
            <w:pPr>
              <w:pStyle w:val="Tabletext"/>
              <w:jc w:val="center"/>
            </w:pPr>
            <w:r w:rsidRPr="007D2D5F">
              <w:t>-</w:t>
            </w:r>
          </w:p>
        </w:tc>
        <w:tc>
          <w:tcPr>
            <w:tcW w:w="2264" w:type="dxa"/>
            <w:shd w:val="clear" w:color="auto" w:fill="auto"/>
            <w:vAlign w:val="center"/>
          </w:tcPr>
          <w:p w:rsidR="00E14B6A" w:rsidRPr="007D2D5F" w:rsidRDefault="00E14B6A" w:rsidP="00AE6A29">
            <w:pPr>
              <w:pStyle w:val="Tabletext"/>
              <w:jc w:val="center"/>
            </w:pPr>
            <w:r>
              <w:t xml:space="preserve">0.8 </w:t>
            </w:r>
            <w:r>
              <w:br/>
              <w:t>(0.51, 1.09)</w:t>
            </w:r>
          </w:p>
        </w:tc>
      </w:tr>
      <w:tr w:rsidR="00E14B6A" w:rsidRPr="007D2D5F" w:rsidTr="00AE6A29">
        <w:trPr>
          <w:jc w:val="center"/>
        </w:trPr>
        <w:tc>
          <w:tcPr>
            <w:tcW w:w="1613" w:type="dxa"/>
            <w:shd w:val="clear" w:color="auto" w:fill="auto"/>
            <w:vAlign w:val="center"/>
          </w:tcPr>
          <w:p w:rsidR="00E14B6A" w:rsidRDefault="00E14B6A" w:rsidP="00AE6A29">
            <w:pPr>
              <w:pStyle w:val="Tabletext"/>
            </w:pPr>
            <w:r w:rsidRPr="00941A32">
              <w:rPr>
                <w:rFonts w:cs="Arial"/>
                <w:bCs/>
                <w:color w:val="000000"/>
                <w:szCs w:val="18"/>
              </w:rPr>
              <w:t>CAPSS-113</w:t>
            </w:r>
          </w:p>
        </w:tc>
        <w:tc>
          <w:tcPr>
            <w:tcW w:w="1776" w:type="dxa"/>
            <w:shd w:val="clear" w:color="auto" w:fill="auto"/>
          </w:tcPr>
          <w:p w:rsidR="00E14B6A" w:rsidRPr="007D2D5F" w:rsidRDefault="00E14B6A" w:rsidP="00AE6A29">
            <w:pPr>
              <w:pStyle w:val="Tabletext"/>
              <w:jc w:val="center"/>
            </w:pPr>
            <w:r w:rsidRPr="00D71A6C">
              <w:t xml:space="preserve">n=156 </w:t>
            </w:r>
            <w:r>
              <w:br/>
            </w:r>
            <w:r w:rsidRPr="00D71A6C">
              <w:t>1.6 (1.4)</w:t>
            </w:r>
          </w:p>
        </w:tc>
        <w:tc>
          <w:tcPr>
            <w:tcW w:w="1776" w:type="dxa"/>
            <w:shd w:val="clear" w:color="auto" w:fill="auto"/>
          </w:tcPr>
          <w:p w:rsidR="00E14B6A" w:rsidRPr="007D2D5F" w:rsidRDefault="00E14B6A" w:rsidP="00AE6A29">
            <w:pPr>
              <w:pStyle w:val="Tabletext"/>
              <w:jc w:val="center"/>
            </w:pPr>
            <w:r w:rsidRPr="00D35318">
              <w:t xml:space="preserve">n= </w:t>
            </w:r>
            <w:r>
              <w:t>157</w:t>
            </w:r>
            <w:r>
              <w:br/>
            </w:r>
            <w:r w:rsidRPr="00D35318">
              <w:t>0.8 (1.33)</w:t>
            </w:r>
          </w:p>
        </w:tc>
        <w:tc>
          <w:tcPr>
            <w:tcW w:w="1776" w:type="dxa"/>
            <w:shd w:val="clear" w:color="auto" w:fill="auto"/>
            <w:vAlign w:val="center"/>
          </w:tcPr>
          <w:p w:rsidR="00E14B6A" w:rsidRPr="007D2D5F" w:rsidRDefault="00E14B6A" w:rsidP="00AE6A29">
            <w:pPr>
              <w:pStyle w:val="Tabletext"/>
              <w:jc w:val="center"/>
            </w:pPr>
            <w:r w:rsidRPr="007D2D5F">
              <w:t>-</w:t>
            </w:r>
          </w:p>
        </w:tc>
        <w:tc>
          <w:tcPr>
            <w:tcW w:w="2264" w:type="dxa"/>
            <w:shd w:val="clear" w:color="auto" w:fill="auto"/>
            <w:vAlign w:val="center"/>
          </w:tcPr>
          <w:p w:rsidR="00E14B6A" w:rsidRPr="007D2D5F" w:rsidRDefault="00E14B6A" w:rsidP="00AE6A29">
            <w:pPr>
              <w:pStyle w:val="Tabletext"/>
              <w:jc w:val="center"/>
            </w:pPr>
            <w:r>
              <w:t>0.8</w:t>
            </w:r>
            <w:r>
              <w:br/>
              <w:t>(</w:t>
            </w:r>
            <w:r w:rsidRPr="00DA7CB5">
              <w:t>0.5, 1.1)</w:t>
            </w:r>
          </w:p>
        </w:tc>
      </w:tr>
      <w:tr w:rsidR="00E14B6A" w:rsidRPr="007D2D5F" w:rsidTr="00AE6A29">
        <w:trPr>
          <w:jc w:val="center"/>
        </w:trPr>
        <w:tc>
          <w:tcPr>
            <w:tcW w:w="1613" w:type="dxa"/>
            <w:shd w:val="clear" w:color="auto" w:fill="auto"/>
            <w:vAlign w:val="center"/>
          </w:tcPr>
          <w:p w:rsidR="00E14B6A" w:rsidRDefault="00E14B6A" w:rsidP="00AE6A29">
            <w:pPr>
              <w:pStyle w:val="Tabletext"/>
            </w:pPr>
            <w:r w:rsidRPr="00941A32">
              <w:rPr>
                <w:rFonts w:cs="Arial"/>
                <w:bCs/>
                <w:color w:val="000000"/>
                <w:szCs w:val="18"/>
              </w:rPr>
              <w:t>TRP-CAN-1</w:t>
            </w:r>
          </w:p>
        </w:tc>
        <w:tc>
          <w:tcPr>
            <w:tcW w:w="1776" w:type="dxa"/>
            <w:shd w:val="clear" w:color="auto" w:fill="auto"/>
          </w:tcPr>
          <w:p w:rsidR="00E14B6A" w:rsidRPr="007D2D5F" w:rsidRDefault="00E14B6A" w:rsidP="00AE6A29">
            <w:pPr>
              <w:pStyle w:val="Tabletext"/>
              <w:jc w:val="center"/>
            </w:pPr>
            <w:r w:rsidRPr="00D71A6C">
              <w:t xml:space="preserve">n=167 </w:t>
            </w:r>
            <w:r>
              <w:br/>
            </w:r>
            <w:r w:rsidRPr="00D71A6C">
              <w:t>1.8 (1.41)</w:t>
            </w:r>
          </w:p>
        </w:tc>
        <w:tc>
          <w:tcPr>
            <w:tcW w:w="1776" w:type="dxa"/>
            <w:shd w:val="clear" w:color="auto" w:fill="auto"/>
          </w:tcPr>
          <w:p w:rsidR="00E14B6A" w:rsidRPr="007D2D5F" w:rsidRDefault="00E14B6A" w:rsidP="00AE6A29">
            <w:pPr>
              <w:pStyle w:val="Tabletext"/>
              <w:jc w:val="center"/>
            </w:pPr>
            <w:r w:rsidRPr="00D35318">
              <w:t xml:space="preserve">n=169 </w:t>
            </w:r>
            <w:r>
              <w:br/>
            </w:r>
            <w:r w:rsidRPr="00D35318">
              <w:t>0.6 (1.29)</w:t>
            </w:r>
          </w:p>
        </w:tc>
        <w:tc>
          <w:tcPr>
            <w:tcW w:w="1776" w:type="dxa"/>
            <w:shd w:val="clear" w:color="auto" w:fill="auto"/>
            <w:vAlign w:val="center"/>
          </w:tcPr>
          <w:p w:rsidR="00E14B6A" w:rsidRPr="007D2D5F" w:rsidRDefault="00E14B6A" w:rsidP="00AE6A29">
            <w:pPr>
              <w:pStyle w:val="Tabletext"/>
              <w:jc w:val="center"/>
            </w:pPr>
            <w:r w:rsidRPr="007D2D5F">
              <w:t>-</w:t>
            </w:r>
          </w:p>
        </w:tc>
        <w:tc>
          <w:tcPr>
            <w:tcW w:w="2264" w:type="dxa"/>
            <w:shd w:val="clear" w:color="auto" w:fill="auto"/>
            <w:vAlign w:val="center"/>
          </w:tcPr>
          <w:p w:rsidR="00E14B6A" w:rsidRPr="007D2D5F" w:rsidRDefault="00E14B6A" w:rsidP="00AE6A29">
            <w:pPr>
              <w:pStyle w:val="Tabletext"/>
              <w:jc w:val="center"/>
            </w:pPr>
            <w:r>
              <w:t xml:space="preserve">1.2 </w:t>
            </w:r>
            <w:r>
              <w:br/>
              <w:t>(</w:t>
            </w:r>
            <w:r w:rsidRPr="00DA7CB5">
              <w:t>0.91, 1.49</w:t>
            </w:r>
            <w:r>
              <w:t>)</w:t>
            </w:r>
          </w:p>
        </w:tc>
      </w:tr>
      <w:tr w:rsidR="00E14B6A" w:rsidRPr="007D2D5F" w:rsidTr="00AE6A29">
        <w:trPr>
          <w:jc w:val="center"/>
        </w:trPr>
        <w:tc>
          <w:tcPr>
            <w:tcW w:w="1613" w:type="dxa"/>
            <w:shd w:val="clear" w:color="auto" w:fill="auto"/>
            <w:vAlign w:val="center"/>
          </w:tcPr>
          <w:p w:rsidR="00E14B6A" w:rsidRDefault="00E14B6A" w:rsidP="00AE6A29">
            <w:pPr>
              <w:pStyle w:val="Tabletext"/>
            </w:pPr>
            <w:r w:rsidRPr="00941A32">
              <w:rPr>
                <w:rFonts w:cs="Arial"/>
                <w:bCs/>
                <w:color w:val="000000"/>
                <w:szCs w:val="18"/>
              </w:rPr>
              <w:t>CAPSS-114</w:t>
            </w:r>
          </w:p>
        </w:tc>
        <w:tc>
          <w:tcPr>
            <w:tcW w:w="1776" w:type="dxa"/>
            <w:shd w:val="clear" w:color="auto" w:fill="auto"/>
          </w:tcPr>
          <w:p w:rsidR="00E14B6A" w:rsidRPr="007D2D5F" w:rsidRDefault="00E14B6A" w:rsidP="00AE6A29">
            <w:pPr>
              <w:pStyle w:val="Tabletext"/>
              <w:jc w:val="center"/>
            </w:pPr>
            <w:r w:rsidRPr="00D71A6C">
              <w:t xml:space="preserve">n=151 </w:t>
            </w:r>
            <w:r>
              <w:br/>
            </w:r>
            <w:r w:rsidRPr="00D71A6C">
              <w:t>2 (1.18)</w:t>
            </w:r>
          </w:p>
        </w:tc>
        <w:tc>
          <w:tcPr>
            <w:tcW w:w="1776" w:type="dxa"/>
            <w:shd w:val="clear" w:color="auto" w:fill="auto"/>
          </w:tcPr>
          <w:p w:rsidR="00E14B6A" w:rsidRPr="007D2D5F" w:rsidRDefault="00E14B6A" w:rsidP="00AE6A29">
            <w:pPr>
              <w:pStyle w:val="Tabletext"/>
              <w:jc w:val="center"/>
            </w:pPr>
            <w:r w:rsidRPr="00D35318">
              <w:t xml:space="preserve">n=151 </w:t>
            </w:r>
            <w:r>
              <w:br/>
            </w:r>
            <w:r w:rsidRPr="00D35318">
              <w:t>1.6 (1.21)</w:t>
            </w:r>
          </w:p>
        </w:tc>
        <w:tc>
          <w:tcPr>
            <w:tcW w:w="1776" w:type="dxa"/>
            <w:shd w:val="clear" w:color="auto" w:fill="auto"/>
            <w:vAlign w:val="center"/>
          </w:tcPr>
          <w:p w:rsidR="00E14B6A" w:rsidRPr="007D2D5F" w:rsidRDefault="00E14B6A" w:rsidP="00AE6A29">
            <w:pPr>
              <w:pStyle w:val="Tabletext"/>
              <w:jc w:val="center"/>
            </w:pPr>
            <w:r w:rsidRPr="007D2D5F">
              <w:t>-</w:t>
            </w:r>
          </w:p>
        </w:tc>
        <w:tc>
          <w:tcPr>
            <w:tcW w:w="2264" w:type="dxa"/>
            <w:shd w:val="clear" w:color="auto" w:fill="auto"/>
            <w:vAlign w:val="center"/>
          </w:tcPr>
          <w:p w:rsidR="00E14B6A" w:rsidRPr="00E11479" w:rsidRDefault="00E14B6A" w:rsidP="00AE6A29">
            <w:pPr>
              <w:pStyle w:val="Tabletext"/>
              <w:jc w:val="center"/>
              <w:rPr>
                <w:b/>
              </w:rPr>
            </w:pPr>
            <w:r w:rsidRPr="00E11479">
              <w:rPr>
                <w:b/>
              </w:rPr>
              <w:t xml:space="preserve">0.4 </w:t>
            </w:r>
            <w:r w:rsidRPr="00E11479">
              <w:rPr>
                <w:b/>
              </w:rPr>
              <w:br/>
              <w:t>(0.13, 0.37)</w:t>
            </w:r>
          </w:p>
        </w:tc>
      </w:tr>
      <w:tr w:rsidR="00E14B6A" w:rsidRPr="0012305B" w:rsidTr="00AE6A29">
        <w:trPr>
          <w:jc w:val="center"/>
        </w:trPr>
        <w:tc>
          <w:tcPr>
            <w:tcW w:w="6941" w:type="dxa"/>
            <w:gridSpan w:val="4"/>
            <w:shd w:val="clear" w:color="auto" w:fill="auto"/>
            <w:vAlign w:val="center"/>
          </w:tcPr>
          <w:p w:rsidR="00E14B6A" w:rsidRPr="007D2D5F" w:rsidRDefault="00E14B6A" w:rsidP="00AE6A29">
            <w:pPr>
              <w:pStyle w:val="Tabletext"/>
              <w:jc w:val="right"/>
            </w:pPr>
            <w:r w:rsidRPr="007D2D5F">
              <w:t xml:space="preserve">pooled </w:t>
            </w:r>
            <w:r>
              <w:t>FDC T37.5/P325</w:t>
            </w:r>
          </w:p>
          <w:p w:rsidR="00E14B6A" w:rsidRPr="007D2D5F" w:rsidRDefault="00E14B6A" w:rsidP="00AE6A29">
            <w:pPr>
              <w:pStyle w:val="Tabletext"/>
              <w:jc w:val="right"/>
            </w:pPr>
            <w:r w:rsidRPr="00743569">
              <w:rPr>
                <w:lang w:eastAsia="en-AU"/>
              </w:rPr>
              <w:t>Q(</w:t>
            </w:r>
            <w:proofErr w:type="spellStart"/>
            <w:r w:rsidRPr="00743569">
              <w:rPr>
                <w:lang w:eastAsia="en-AU"/>
              </w:rPr>
              <w:t>df</w:t>
            </w:r>
            <w:proofErr w:type="spellEnd"/>
            <w:r w:rsidRPr="00743569">
              <w:rPr>
                <w:lang w:eastAsia="en-AU"/>
              </w:rPr>
              <w:t>=4) = 23.2</w:t>
            </w:r>
            <w:r w:rsidRPr="00743569">
              <w:t>, I</w:t>
            </w:r>
            <w:r w:rsidRPr="00743569">
              <w:rPr>
                <w:vertAlign w:val="superscript"/>
              </w:rPr>
              <w:t>2</w:t>
            </w:r>
            <w:r w:rsidRPr="00743569">
              <w:t>=</w:t>
            </w:r>
            <w:r>
              <w:t>82.8%</w:t>
            </w:r>
            <w:r w:rsidRPr="007D2D5F">
              <w:t>; p</w:t>
            </w:r>
            <w:r>
              <w:t>&lt;0.001</w:t>
            </w:r>
          </w:p>
        </w:tc>
        <w:tc>
          <w:tcPr>
            <w:tcW w:w="2264" w:type="dxa"/>
            <w:shd w:val="clear" w:color="auto" w:fill="auto"/>
            <w:vAlign w:val="center"/>
          </w:tcPr>
          <w:p w:rsidR="00E14B6A" w:rsidRPr="00AB30B2" w:rsidRDefault="00E14B6A" w:rsidP="00AE6A29">
            <w:pPr>
              <w:pStyle w:val="Tabletext"/>
              <w:jc w:val="center"/>
            </w:pPr>
            <w:r w:rsidRPr="00AB30B2">
              <w:t>0.70 (0.39, 1.02)</w:t>
            </w:r>
          </w:p>
        </w:tc>
      </w:tr>
      <w:tr w:rsidR="00E14B6A" w:rsidRPr="007D2D5F" w:rsidTr="00AE6A29">
        <w:trPr>
          <w:jc w:val="center"/>
        </w:trPr>
        <w:tc>
          <w:tcPr>
            <w:tcW w:w="1613" w:type="dxa"/>
            <w:shd w:val="clear" w:color="auto" w:fill="auto"/>
          </w:tcPr>
          <w:p w:rsidR="00E14B6A" w:rsidRPr="007D2D5F" w:rsidRDefault="00E14B6A" w:rsidP="00AE6A29">
            <w:pPr>
              <w:pStyle w:val="Tabletext"/>
            </w:pPr>
            <w:r w:rsidRPr="00640FF4">
              <w:rPr>
                <w:rFonts w:cs="Arial"/>
                <w:bCs/>
                <w:color w:val="000000"/>
                <w:szCs w:val="18"/>
              </w:rPr>
              <w:t>CAPSS-</w:t>
            </w:r>
            <w:r>
              <w:rPr>
                <w:rFonts w:cs="Arial"/>
                <w:bCs/>
                <w:color w:val="000000"/>
                <w:szCs w:val="18"/>
              </w:rPr>
              <w:t>051</w:t>
            </w:r>
          </w:p>
        </w:tc>
        <w:tc>
          <w:tcPr>
            <w:tcW w:w="1776" w:type="dxa"/>
            <w:shd w:val="clear" w:color="auto" w:fill="auto"/>
            <w:vAlign w:val="center"/>
          </w:tcPr>
          <w:p w:rsidR="00E14B6A" w:rsidRPr="007D2D5F" w:rsidRDefault="00E14B6A" w:rsidP="00AE6A29">
            <w:pPr>
              <w:pStyle w:val="Tabletext"/>
              <w:jc w:val="center"/>
            </w:pPr>
            <w:r w:rsidRPr="007D2D5F">
              <w:t>-</w:t>
            </w:r>
          </w:p>
        </w:tc>
        <w:tc>
          <w:tcPr>
            <w:tcW w:w="1776" w:type="dxa"/>
            <w:shd w:val="clear" w:color="auto" w:fill="auto"/>
            <w:vAlign w:val="center"/>
          </w:tcPr>
          <w:p w:rsidR="00E14B6A" w:rsidRPr="007D2D5F" w:rsidRDefault="00E14B6A" w:rsidP="00AE6A29">
            <w:pPr>
              <w:pStyle w:val="Tabletext"/>
              <w:jc w:val="center"/>
            </w:pPr>
            <w:r>
              <w:t>n=64</w:t>
            </w:r>
            <w:r>
              <w:br/>
              <w:t>0.9 (SE 0.2)</w:t>
            </w:r>
          </w:p>
        </w:tc>
        <w:tc>
          <w:tcPr>
            <w:tcW w:w="1776" w:type="dxa"/>
            <w:shd w:val="clear" w:color="auto" w:fill="auto"/>
            <w:vAlign w:val="center"/>
          </w:tcPr>
          <w:p w:rsidR="00E14B6A" w:rsidRPr="007D2D5F" w:rsidRDefault="00E14B6A" w:rsidP="00AE6A29">
            <w:pPr>
              <w:pStyle w:val="Tabletext"/>
              <w:jc w:val="center"/>
            </w:pPr>
            <w:r>
              <w:t>n=63</w:t>
            </w:r>
            <w:r>
              <w:br/>
              <w:t>2.1 (SE 0.2)</w:t>
            </w:r>
          </w:p>
        </w:tc>
        <w:tc>
          <w:tcPr>
            <w:tcW w:w="2264" w:type="dxa"/>
            <w:shd w:val="clear" w:color="auto" w:fill="auto"/>
            <w:vAlign w:val="center"/>
          </w:tcPr>
          <w:p w:rsidR="00E14B6A" w:rsidRPr="007D2D5F" w:rsidRDefault="00E14B6A" w:rsidP="00AE6A29">
            <w:pPr>
              <w:pStyle w:val="Tabletext"/>
              <w:jc w:val="center"/>
            </w:pPr>
            <w:r>
              <w:t>NR</w:t>
            </w:r>
          </w:p>
        </w:tc>
      </w:tr>
      <w:tr w:rsidR="00E14B6A" w:rsidRPr="007D2D5F" w:rsidTr="00AE6A29">
        <w:trPr>
          <w:jc w:val="center"/>
        </w:trPr>
        <w:tc>
          <w:tcPr>
            <w:tcW w:w="6941" w:type="dxa"/>
            <w:gridSpan w:val="4"/>
            <w:shd w:val="clear" w:color="auto" w:fill="auto"/>
            <w:vAlign w:val="center"/>
          </w:tcPr>
          <w:p w:rsidR="00E14B6A" w:rsidRPr="001F4FB5" w:rsidRDefault="00E14B6A" w:rsidP="00AE6A29">
            <w:pPr>
              <w:pStyle w:val="Tabletext"/>
              <w:jc w:val="right"/>
            </w:pPr>
            <w:r w:rsidRPr="001F4FB5">
              <w:t>Indirect WMD (95% CI)</w:t>
            </w:r>
          </w:p>
          <w:p w:rsidR="00E14B6A" w:rsidRPr="001F4FB5" w:rsidRDefault="00E14B6A" w:rsidP="00AE6A29">
            <w:pPr>
              <w:pStyle w:val="Tabletext"/>
              <w:jc w:val="right"/>
            </w:pPr>
            <w:r w:rsidRPr="001F4FB5">
              <w:t>Q(</w:t>
            </w:r>
            <w:proofErr w:type="spellStart"/>
            <w:r w:rsidRPr="001F4FB5">
              <w:t>df</w:t>
            </w:r>
            <w:proofErr w:type="spellEnd"/>
            <w:r w:rsidRPr="001F4FB5">
              <w:t>=4) = 23.2, I</w:t>
            </w:r>
            <w:r w:rsidRPr="001F4FB5">
              <w:rPr>
                <w:vertAlign w:val="superscript"/>
              </w:rPr>
              <w:t>2</w:t>
            </w:r>
            <w:r w:rsidRPr="001F4FB5">
              <w:t>=82.8%; p &lt; 0.001</w:t>
            </w:r>
            <w:r w:rsidRPr="001F4FB5">
              <w:rPr>
                <w:i/>
              </w:rPr>
              <w:t xml:space="preserve">, </w:t>
            </w:r>
          </w:p>
        </w:tc>
        <w:tc>
          <w:tcPr>
            <w:tcW w:w="2264" w:type="dxa"/>
            <w:shd w:val="clear" w:color="auto" w:fill="auto"/>
            <w:vAlign w:val="center"/>
          </w:tcPr>
          <w:p w:rsidR="00E14B6A" w:rsidRPr="001F4FB5" w:rsidRDefault="00E14B6A" w:rsidP="00AE6A29">
            <w:pPr>
              <w:pStyle w:val="Tabletext"/>
              <w:jc w:val="center"/>
            </w:pPr>
            <w:r w:rsidRPr="001F4FB5">
              <w:t>-0.50 (-1.4, 0.41)</w:t>
            </w:r>
          </w:p>
        </w:tc>
      </w:tr>
    </w:tbl>
    <w:p w:rsidR="00E14B6A" w:rsidRPr="00D123EE" w:rsidRDefault="00E14B6A" w:rsidP="00E14B6A">
      <w:pPr>
        <w:pStyle w:val="TableFooter"/>
      </w:pPr>
      <w:r w:rsidRPr="00D123EE">
        <w:t>Source: Table 2-62 p169, Table 2-63 p169, Table 2-64 p170, and Attachment 3 p45 of the submission.</w:t>
      </w:r>
    </w:p>
    <w:p w:rsidR="00E14B6A" w:rsidRPr="00D123EE" w:rsidRDefault="00E14B6A" w:rsidP="00E14B6A">
      <w:pPr>
        <w:pStyle w:val="TableFooter"/>
      </w:pPr>
      <w:r w:rsidRPr="00D123EE">
        <w:t xml:space="preserve">Abbreviations: Abbreviations: CI = confidence interval; FDC= fixed dose combination; NR= not reported; SD= standard deviation; </w:t>
      </w:r>
      <w:r w:rsidRPr="00D123EE">
        <w:rPr>
          <w:b/>
        </w:rPr>
        <w:t>bold</w:t>
      </w:r>
      <w:r w:rsidRPr="00D123EE">
        <w:t xml:space="preserve"> = statistically significant</w:t>
      </w:r>
    </w:p>
    <w:p w:rsidR="00E14B6A" w:rsidRPr="00D123EE" w:rsidRDefault="00E14B6A" w:rsidP="00695119">
      <w:pPr>
        <w:pStyle w:val="TableFooter"/>
      </w:pPr>
      <w:r w:rsidRPr="00D123EE">
        <w:t>Pain relief measured using a 6-point Likert scale (complete = 4, a lot = 3, moderate = 2, slight = 1, none = 0, worse = -1).</w:t>
      </w:r>
    </w:p>
    <w:p w:rsidR="00BB43D9" w:rsidRPr="00D123EE" w:rsidRDefault="00BB43D9" w:rsidP="00695119">
      <w:pPr>
        <w:pStyle w:val="TableFooter"/>
        <w:rPr>
          <w:sz w:val="20"/>
        </w:rPr>
      </w:pPr>
    </w:p>
    <w:p w:rsidR="0036522F" w:rsidRPr="00D123EE" w:rsidRDefault="00E14B6A" w:rsidP="00E22F6D">
      <w:pPr>
        <w:pStyle w:val="ListParagraph"/>
        <w:widowControl/>
        <w:numPr>
          <w:ilvl w:val="1"/>
          <w:numId w:val="1"/>
        </w:numPr>
        <w:spacing w:after="120"/>
      </w:pPr>
      <w:r w:rsidRPr="00D123EE">
        <w:t>A</w:t>
      </w:r>
      <w:r w:rsidR="004F3A7C" w:rsidRPr="00D123EE">
        <w:t>n overview</w:t>
      </w:r>
      <w:r w:rsidRPr="00D123EE">
        <w:t xml:space="preserve"> of the results presented in the trials in chronic pain is presented in Table </w:t>
      </w:r>
      <w:r w:rsidR="009F2E01" w:rsidRPr="00D123EE">
        <w:t>1</w:t>
      </w:r>
      <w:r w:rsidR="00907B57" w:rsidRPr="00D123EE">
        <w:t>1</w:t>
      </w:r>
      <w:r w:rsidRPr="00D123EE">
        <w:t xml:space="preserve">. </w:t>
      </w:r>
    </w:p>
    <w:p w:rsidR="008A6E90" w:rsidRPr="00D123EE" w:rsidRDefault="008A6E90" w:rsidP="008A6E90">
      <w:pPr>
        <w:keepNext/>
        <w:rPr>
          <w:rFonts w:ascii="Arial Narrow" w:hAnsi="Arial Narrow"/>
          <w:b/>
          <w:sz w:val="20"/>
          <w:szCs w:val="16"/>
        </w:rPr>
      </w:pPr>
      <w:r w:rsidRPr="00D123EE">
        <w:rPr>
          <w:rStyle w:val="CommentReference"/>
        </w:rPr>
        <w:t xml:space="preserve">Table </w:t>
      </w:r>
      <w:r w:rsidR="009F2E01" w:rsidRPr="00D123EE">
        <w:rPr>
          <w:rStyle w:val="CommentReference"/>
        </w:rPr>
        <w:t>1</w:t>
      </w:r>
      <w:r w:rsidR="00907B57" w:rsidRPr="00D123EE">
        <w:rPr>
          <w:rStyle w:val="CommentReference"/>
        </w:rPr>
        <w:t>1</w:t>
      </w:r>
      <w:r w:rsidRPr="00D123EE">
        <w:rPr>
          <w:rStyle w:val="CommentReference"/>
        </w:rPr>
        <w:t xml:space="preserve"> Outcomes reported across the </w:t>
      </w:r>
      <w:r w:rsidR="002B24A2" w:rsidRPr="00D123EE">
        <w:rPr>
          <w:rStyle w:val="CommentReference"/>
        </w:rPr>
        <w:t>chronic pain trials</w:t>
      </w:r>
      <w:r w:rsidRPr="00D123EE">
        <w:rPr>
          <w:rStyle w:val="CommentReference"/>
        </w:rPr>
        <w:t xml:space="preserve"> </w:t>
      </w:r>
    </w:p>
    <w:tbl>
      <w:tblPr>
        <w:tblStyle w:val="TableGrid"/>
        <w:tblW w:w="5000" w:type="pct"/>
        <w:tblLook w:val="04A0" w:firstRow="1" w:lastRow="0" w:firstColumn="1" w:lastColumn="0" w:noHBand="0" w:noVBand="1"/>
        <w:tblCaption w:val="Table 11 Outcomes reported across the chronic pain trials "/>
      </w:tblPr>
      <w:tblGrid>
        <w:gridCol w:w="1788"/>
        <w:gridCol w:w="789"/>
        <w:gridCol w:w="889"/>
        <w:gridCol w:w="821"/>
        <w:gridCol w:w="906"/>
        <w:gridCol w:w="860"/>
        <w:gridCol w:w="823"/>
        <w:gridCol w:w="788"/>
        <w:gridCol w:w="804"/>
        <w:gridCol w:w="775"/>
      </w:tblGrid>
      <w:tr w:rsidR="008A6E90" w:rsidRPr="00D123EE" w:rsidTr="004858E7">
        <w:trPr>
          <w:tblHeader/>
        </w:trPr>
        <w:tc>
          <w:tcPr>
            <w:tcW w:w="968" w:type="pct"/>
            <w:vMerge w:val="restart"/>
            <w:shd w:val="clear" w:color="auto" w:fill="auto"/>
          </w:tcPr>
          <w:p w:rsidR="008A6E90" w:rsidRPr="00D123EE" w:rsidRDefault="008A6E90" w:rsidP="004858E7">
            <w:pPr>
              <w:pStyle w:val="TableText0"/>
              <w:keepNext w:val="0"/>
              <w:ind w:left="-52" w:right="-110"/>
              <w:rPr>
                <w:rFonts w:cs="Arial"/>
                <w:szCs w:val="18"/>
              </w:rPr>
            </w:pPr>
          </w:p>
        </w:tc>
        <w:tc>
          <w:tcPr>
            <w:tcW w:w="4032" w:type="pct"/>
            <w:gridSpan w:val="9"/>
            <w:shd w:val="clear" w:color="auto" w:fill="auto"/>
            <w:vAlign w:val="center"/>
          </w:tcPr>
          <w:p w:rsidR="008A6E90" w:rsidRPr="00D123EE" w:rsidRDefault="008A6E90" w:rsidP="004858E7">
            <w:pPr>
              <w:pStyle w:val="TableText0"/>
              <w:keepNext w:val="0"/>
              <w:ind w:left="-52" w:right="-110"/>
              <w:rPr>
                <w:rFonts w:cs="Arial"/>
                <w:b/>
                <w:szCs w:val="18"/>
              </w:rPr>
            </w:pPr>
            <w:r w:rsidRPr="00D123EE">
              <w:rPr>
                <w:rFonts w:cs="Arial"/>
                <w:b/>
                <w:szCs w:val="18"/>
              </w:rPr>
              <w:t>Chronic Pain</w:t>
            </w:r>
          </w:p>
        </w:tc>
      </w:tr>
      <w:tr w:rsidR="008A6E90" w:rsidRPr="00D123EE" w:rsidTr="004858E7">
        <w:trPr>
          <w:tblHeader/>
        </w:trPr>
        <w:tc>
          <w:tcPr>
            <w:tcW w:w="968" w:type="pct"/>
            <w:vMerge/>
            <w:shd w:val="clear" w:color="auto" w:fill="auto"/>
          </w:tcPr>
          <w:p w:rsidR="008A6E90" w:rsidRPr="00D123EE" w:rsidRDefault="008A6E90" w:rsidP="004858E7">
            <w:pPr>
              <w:pStyle w:val="TableText0"/>
              <w:keepNext w:val="0"/>
              <w:ind w:left="-52" w:right="-110"/>
              <w:rPr>
                <w:rFonts w:cs="Arial"/>
                <w:szCs w:val="18"/>
              </w:rPr>
            </w:pPr>
          </w:p>
        </w:tc>
        <w:tc>
          <w:tcPr>
            <w:tcW w:w="3178" w:type="pct"/>
            <w:gridSpan w:val="7"/>
            <w:shd w:val="clear" w:color="auto" w:fill="auto"/>
            <w:vAlign w:val="center"/>
          </w:tcPr>
          <w:p w:rsidR="008A6E90" w:rsidRPr="00D123EE" w:rsidRDefault="008A6E90" w:rsidP="004858E7">
            <w:pPr>
              <w:pStyle w:val="TableText0"/>
              <w:keepNext w:val="0"/>
              <w:ind w:left="-52" w:right="-110"/>
              <w:rPr>
                <w:rFonts w:cs="Arial"/>
                <w:b/>
                <w:szCs w:val="18"/>
              </w:rPr>
            </w:pPr>
            <w:r w:rsidRPr="00D123EE">
              <w:rPr>
                <w:rFonts w:cs="Arial"/>
                <w:b/>
                <w:szCs w:val="18"/>
              </w:rPr>
              <w:t>T37.5+P325 vs PBO</w:t>
            </w:r>
          </w:p>
        </w:tc>
        <w:tc>
          <w:tcPr>
            <w:tcW w:w="855" w:type="pct"/>
            <w:gridSpan w:val="2"/>
          </w:tcPr>
          <w:p w:rsidR="008A6E90" w:rsidRPr="00D123EE" w:rsidRDefault="008A6E90" w:rsidP="004858E7">
            <w:pPr>
              <w:pStyle w:val="TableText0"/>
              <w:keepNext w:val="0"/>
              <w:ind w:left="-52" w:right="-110"/>
              <w:rPr>
                <w:rFonts w:cs="Arial"/>
                <w:b/>
                <w:szCs w:val="18"/>
              </w:rPr>
            </w:pPr>
            <w:r w:rsidRPr="00D123EE">
              <w:rPr>
                <w:rFonts w:cs="Arial"/>
                <w:b/>
                <w:szCs w:val="18"/>
              </w:rPr>
              <w:t>T50 vs PBO</w:t>
            </w:r>
          </w:p>
        </w:tc>
      </w:tr>
      <w:tr w:rsidR="008A6E90" w:rsidRPr="00D123EE" w:rsidTr="004858E7">
        <w:trPr>
          <w:tblHeader/>
        </w:trPr>
        <w:tc>
          <w:tcPr>
            <w:tcW w:w="968" w:type="pct"/>
            <w:vMerge/>
            <w:shd w:val="clear" w:color="auto" w:fill="auto"/>
          </w:tcPr>
          <w:p w:rsidR="008A6E90" w:rsidRPr="00D123EE" w:rsidRDefault="008A6E90" w:rsidP="004858E7">
            <w:pPr>
              <w:pStyle w:val="TableText0"/>
              <w:keepNext w:val="0"/>
              <w:ind w:left="-52" w:right="-110"/>
            </w:pPr>
          </w:p>
        </w:tc>
        <w:tc>
          <w:tcPr>
            <w:tcW w:w="427" w:type="pct"/>
            <w:tcBorders>
              <w:bottom w:val="single" w:sz="4" w:space="0" w:color="auto"/>
            </w:tcBorders>
            <w:shd w:val="clear" w:color="auto" w:fill="auto"/>
            <w:vAlign w:val="center"/>
          </w:tcPr>
          <w:p w:rsidR="008A6E90" w:rsidRPr="00D123EE" w:rsidRDefault="008A6E90" w:rsidP="004858E7">
            <w:pPr>
              <w:pStyle w:val="TableText0"/>
              <w:keepNext w:val="0"/>
              <w:ind w:left="-52" w:right="-110"/>
              <w:rPr>
                <w:rFonts w:cs="Arial"/>
                <w:b/>
                <w:szCs w:val="18"/>
              </w:rPr>
            </w:pPr>
            <w:r w:rsidRPr="00D123EE">
              <w:rPr>
                <w:rFonts w:cs="Arial"/>
                <w:b/>
                <w:szCs w:val="18"/>
              </w:rPr>
              <w:t>CAPSS-104</w:t>
            </w:r>
          </w:p>
        </w:tc>
        <w:tc>
          <w:tcPr>
            <w:tcW w:w="481" w:type="pct"/>
            <w:tcBorders>
              <w:bottom w:val="single" w:sz="4" w:space="0" w:color="auto"/>
            </w:tcBorders>
            <w:shd w:val="clear" w:color="auto" w:fill="auto"/>
            <w:vAlign w:val="center"/>
          </w:tcPr>
          <w:p w:rsidR="008A6E90" w:rsidRPr="00D123EE" w:rsidRDefault="008A6E90" w:rsidP="004858E7">
            <w:pPr>
              <w:pStyle w:val="TableText0"/>
              <w:keepNext w:val="0"/>
              <w:ind w:left="-52" w:right="-110"/>
              <w:rPr>
                <w:rFonts w:cs="Arial"/>
                <w:b/>
                <w:szCs w:val="18"/>
              </w:rPr>
            </w:pPr>
            <w:r w:rsidRPr="00D123EE">
              <w:rPr>
                <w:rFonts w:cs="Arial"/>
                <w:b/>
                <w:szCs w:val="18"/>
              </w:rPr>
              <w:t>CAPSS-112</w:t>
            </w:r>
          </w:p>
        </w:tc>
        <w:tc>
          <w:tcPr>
            <w:tcW w:w="444" w:type="pct"/>
            <w:tcBorders>
              <w:bottom w:val="single" w:sz="4" w:space="0" w:color="auto"/>
            </w:tcBorders>
            <w:shd w:val="clear" w:color="auto" w:fill="auto"/>
            <w:vAlign w:val="center"/>
          </w:tcPr>
          <w:p w:rsidR="008A6E90" w:rsidRPr="00D123EE" w:rsidRDefault="008A6E90" w:rsidP="004858E7">
            <w:pPr>
              <w:pStyle w:val="TableText0"/>
              <w:keepNext w:val="0"/>
              <w:ind w:left="-52" w:right="-110"/>
              <w:rPr>
                <w:rFonts w:cs="Arial"/>
                <w:b/>
                <w:szCs w:val="18"/>
              </w:rPr>
            </w:pPr>
            <w:r w:rsidRPr="00D123EE">
              <w:rPr>
                <w:rFonts w:cs="Arial"/>
                <w:b/>
                <w:szCs w:val="18"/>
              </w:rPr>
              <w:t>CAPSS-113</w:t>
            </w:r>
          </w:p>
        </w:tc>
        <w:tc>
          <w:tcPr>
            <w:tcW w:w="490" w:type="pct"/>
            <w:tcBorders>
              <w:bottom w:val="single" w:sz="4" w:space="0" w:color="auto"/>
            </w:tcBorders>
            <w:shd w:val="clear" w:color="auto" w:fill="auto"/>
            <w:vAlign w:val="center"/>
          </w:tcPr>
          <w:p w:rsidR="008A6E90" w:rsidRPr="00D123EE" w:rsidRDefault="008A6E90" w:rsidP="004858E7">
            <w:pPr>
              <w:pStyle w:val="TableText0"/>
              <w:keepNext w:val="0"/>
              <w:ind w:left="-52" w:right="-110"/>
              <w:rPr>
                <w:rFonts w:cs="Arial"/>
                <w:b/>
                <w:szCs w:val="18"/>
              </w:rPr>
            </w:pPr>
            <w:r w:rsidRPr="00D123EE">
              <w:rPr>
                <w:rFonts w:cs="Arial"/>
                <w:b/>
                <w:szCs w:val="18"/>
              </w:rPr>
              <w:t>TRP-CAN-1</w:t>
            </w:r>
          </w:p>
        </w:tc>
        <w:tc>
          <w:tcPr>
            <w:tcW w:w="465" w:type="pct"/>
            <w:tcBorders>
              <w:bottom w:val="single" w:sz="4" w:space="0" w:color="auto"/>
            </w:tcBorders>
            <w:shd w:val="clear" w:color="auto" w:fill="auto"/>
            <w:vAlign w:val="center"/>
          </w:tcPr>
          <w:p w:rsidR="008A6E90" w:rsidRPr="00D123EE" w:rsidRDefault="008A6E90" w:rsidP="004858E7">
            <w:pPr>
              <w:pStyle w:val="TableText0"/>
              <w:keepNext w:val="0"/>
              <w:ind w:left="-52" w:right="-110"/>
              <w:rPr>
                <w:rFonts w:cs="Arial"/>
                <w:b/>
                <w:szCs w:val="18"/>
              </w:rPr>
            </w:pPr>
            <w:r w:rsidRPr="00D123EE">
              <w:rPr>
                <w:rFonts w:cs="Arial"/>
                <w:b/>
                <w:szCs w:val="18"/>
              </w:rPr>
              <w:t>CAPSS-237</w:t>
            </w:r>
          </w:p>
        </w:tc>
        <w:tc>
          <w:tcPr>
            <w:tcW w:w="445" w:type="pct"/>
            <w:tcBorders>
              <w:bottom w:val="single" w:sz="4" w:space="0" w:color="auto"/>
            </w:tcBorders>
            <w:shd w:val="clear" w:color="auto" w:fill="auto"/>
            <w:vAlign w:val="center"/>
          </w:tcPr>
          <w:p w:rsidR="008A6E90" w:rsidRPr="00D123EE" w:rsidRDefault="008A6E90" w:rsidP="004858E7">
            <w:pPr>
              <w:pStyle w:val="TableText0"/>
              <w:keepNext w:val="0"/>
              <w:ind w:left="-52" w:right="-110"/>
              <w:rPr>
                <w:rFonts w:cs="Arial"/>
                <w:b/>
                <w:szCs w:val="18"/>
              </w:rPr>
            </w:pPr>
            <w:r w:rsidRPr="00D123EE">
              <w:rPr>
                <w:rFonts w:cs="Arial"/>
                <w:b/>
                <w:szCs w:val="18"/>
              </w:rPr>
              <w:t>CAPSS-114</w:t>
            </w:r>
          </w:p>
        </w:tc>
        <w:tc>
          <w:tcPr>
            <w:tcW w:w="426" w:type="pct"/>
            <w:tcBorders>
              <w:bottom w:val="single" w:sz="4" w:space="0" w:color="auto"/>
            </w:tcBorders>
          </w:tcPr>
          <w:p w:rsidR="008A6E90" w:rsidRPr="00D123EE" w:rsidRDefault="008A6E90" w:rsidP="004858E7">
            <w:pPr>
              <w:pStyle w:val="TableText0"/>
              <w:keepNext w:val="0"/>
              <w:ind w:left="-52" w:right="-110"/>
              <w:rPr>
                <w:rFonts w:cs="Arial"/>
                <w:b/>
                <w:szCs w:val="18"/>
              </w:rPr>
            </w:pPr>
            <w:r w:rsidRPr="00D123EE">
              <w:rPr>
                <w:rFonts w:cs="Arial"/>
                <w:b/>
                <w:szCs w:val="18"/>
              </w:rPr>
              <w:t>Chang 2013 </w:t>
            </w:r>
          </w:p>
        </w:tc>
        <w:tc>
          <w:tcPr>
            <w:tcW w:w="435" w:type="pct"/>
            <w:tcBorders>
              <w:bottom w:val="single" w:sz="4" w:space="0" w:color="auto"/>
            </w:tcBorders>
          </w:tcPr>
          <w:p w:rsidR="008A6E90" w:rsidRPr="00D123EE" w:rsidRDefault="008A6E90" w:rsidP="004858E7">
            <w:pPr>
              <w:pStyle w:val="TableText0"/>
              <w:keepNext w:val="0"/>
              <w:ind w:left="-52" w:right="-110"/>
              <w:rPr>
                <w:rFonts w:cs="Arial"/>
                <w:b/>
                <w:szCs w:val="18"/>
              </w:rPr>
            </w:pPr>
            <w:r w:rsidRPr="00D123EE">
              <w:rPr>
                <w:rFonts w:cs="Arial"/>
                <w:b/>
                <w:szCs w:val="18"/>
              </w:rPr>
              <w:t>CAPSS-051</w:t>
            </w:r>
          </w:p>
        </w:tc>
        <w:tc>
          <w:tcPr>
            <w:tcW w:w="420" w:type="pct"/>
            <w:tcBorders>
              <w:bottom w:val="single" w:sz="4" w:space="0" w:color="auto"/>
            </w:tcBorders>
          </w:tcPr>
          <w:p w:rsidR="008A6E90" w:rsidRPr="00D123EE" w:rsidRDefault="008A6E90" w:rsidP="004858E7">
            <w:pPr>
              <w:pStyle w:val="TableText0"/>
              <w:keepNext w:val="0"/>
              <w:ind w:left="-52" w:right="-110"/>
              <w:rPr>
                <w:rFonts w:cs="Arial"/>
                <w:b/>
                <w:szCs w:val="18"/>
              </w:rPr>
            </w:pPr>
            <w:r w:rsidRPr="00D123EE">
              <w:rPr>
                <w:rFonts w:cs="Arial"/>
                <w:b/>
                <w:szCs w:val="18"/>
              </w:rPr>
              <w:t>CA-R0027</w:t>
            </w:r>
          </w:p>
        </w:tc>
      </w:tr>
      <w:tr w:rsidR="008A6E90" w:rsidRPr="00D123EE" w:rsidTr="004858E7">
        <w:tc>
          <w:tcPr>
            <w:tcW w:w="3719" w:type="pct"/>
            <w:gridSpan w:val="7"/>
            <w:tcBorders>
              <w:right w:val="nil"/>
            </w:tcBorders>
            <w:shd w:val="clear" w:color="auto" w:fill="auto"/>
          </w:tcPr>
          <w:p w:rsidR="008A6E90" w:rsidRPr="00D123EE" w:rsidRDefault="008A6E90" w:rsidP="004858E7">
            <w:pPr>
              <w:pStyle w:val="TableText0"/>
              <w:keepNext w:val="0"/>
              <w:ind w:left="-52" w:right="-110"/>
            </w:pPr>
            <w:r w:rsidRPr="00D123EE">
              <w:rPr>
                <w:b/>
              </w:rPr>
              <w:t xml:space="preserve">Pain intensity </w:t>
            </w:r>
            <w:r w:rsidRPr="00D123EE">
              <w:t>MCID: VAS: 10-17mm improvement; Likert 5-pt: -2.0 or -33% change</w:t>
            </w:r>
          </w:p>
        </w:tc>
        <w:tc>
          <w:tcPr>
            <w:tcW w:w="426" w:type="pct"/>
            <w:tcBorders>
              <w:left w:val="nil"/>
              <w:right w:val="nil"/>
            </w:tcBorders>
          </w:tcPr>
          <w:p w:rsidR="008A6E90" w:rsidRPr="00D123EE" w:rsidRDefault="008A6E90" w:rsidP="004858E7">
            <w:pPr>
              <w:pStyle w:val="TableText0"/>
              <w:keepNext w:val="0"/>
              <w:ind w:left="-52" w:right="-110"/>
            </w:pPr>
          </w:p>
        </w:tc>
        <w:tc>
          <w:tcPr>
            <w:tcW w:w="435" w:type="pct"/>
            <w:tcBorders>
              <w:left w:val="nil"/>
              <w:right w:val="nil"/>
            </w:tcBorders>
          </w:tcPr>
          <w:p w:rsidR="008A6E90" w:rsidRPr="00D123EE" w:rsidRDefault="008A6E90" w:rsidP="004858E7">
            <w:pPr>
              <w:pStyle w:val="TableText0"/>
              <w:keepNext w:val="0"/>
              <w:ind w:left="-52" w:right="-110"/>
            </w:pPr>
          </w:p>
        </w:tc>
        <w:tc>
          <w:tcPr>
            <w:tcW w:w="420" w:type="pct"/>
            <w:tcBorders>
              <w:left w:val="nil"/>
            </w:tcBorders>
          </w:tcPr>
          <w:p w:rsidR="008A6E90" w:rsidRPr="00D123EE" w:rsidRDefault="008A6E90" w:rsidP="004858E7">
            <w:pPr>
              <w:pStyle w:val="TableText0"/>
              <w:keepNext w:val="0"/>
              <w:ind w:left="-52" w:right="-110"/>
            </w:pPr>
          </w:p>
        </w:tc>
      </w:tr>
      <w:tr w:rsidR="008A6E90" w:rsidRPr="00D123EE" w:rsidTr="004858E7">
        <w:tc>
          <w:tcPr>
            <w:tcW w:w="968" w:type="pct"/>
            <w:shd w:val="clear" w:color="auto" w:fill="auto"/>
          </w:tcPr>
          <w:p w:rsidR="008A6E90" w:rsidRPr="00D123EE" w:rsidRDefault="008A6E90" w:rsidP="004858E7">
            <w:pPr>
              <w:pStyle w:val="TableText0"/>
              <w:keepNext w:val="0"/>
              <w:ind w:left="-52" w:right="-110"/>
            </w:pPr>
            <w:r w:rsidRPr="00D123EE">
              <w:t>VAS</w:t>
            </w:r>
          </w:p>
        </w:tc>
        <w:tc>
          <w:tcPr>
            <w:tcW w:w="427" w:type="pct"/>
            <w:shd w:val="clear" w:color="auto" w:fill="auto"/>
          </w:tcPr>
          <w:p w:rsidR="008A6E90" w:rsidRPr="00D123EE" w:rsidRDefault="008A6E90" w:rsidP="004858E7">
            <w:pPr>
              <w:pStyle w:val="TableText0"/>
              <w:keepNext w:val="0"/>
              <w:ind w:left="-52" w:right="-110"/>
            </w:pPr>
            <w:r w:rsidRPr="00D123EE">
              <w:sym w:font="Wingdings" w:char="F0FC"/>
            </w:r>
            <w:r w:rsidRPr="00D123EE">
              <w:t xml:space="preserve"> </w:t>
            </w:r>
          </w:p>
        </w:tc>
        <w:tc>
          <w:tcPr>
            <w:tcW w:w="481" w:type="pct"/>
            <w:shd w:val="clear" w:color="auto" w:fill="auto"/>
          </w:tcPr>
          <w:p w:rsidR="008A6E90" w:rsidRPr="00D123EE" w:rsidRDefault="008A6E90" w:rsidP="004858E7">
            <w:pPr>
              <w:pStyle w:val="TableText0"/>
              <w:keepNext w:val="0"/>
              <w:ind w:right="-110"/>
            </w:pPr>
            <w:r w:rsidRPr="00D123EE">
              <w:sym w:font="Wingdings" w:char="F0FC"/>
            </w:r>
            <w:r w:rsidRPr="00D123EE">
              <w:t xml:space="preserve"> </w:t>
            </w:r>
          </w:p>
        </w:tc>
        <w:tc>
          <w:tcPr>
            <w:tcW w:w="444" w:type="pct"/>
            <w:shd w:val="clear" w:color="auto" w:fill="auto"/>
          </w:tcPr>
          <w:p w:rsidR="008A6E90" w:rsidRPr="00D123EE" w:rsidRDefault="008A6E90" w:rsidP="004858E7">
            <w:pPr>
              <w:pStyle w:val="TableText0"/>
              <w:keepNext w:val="0"/>
              <w:ind w:left="-52" w:right="-110"/>
            </w:pPr>
            <w:r w:rsidRPr="00D123EE">
              <w:sym w:font="Wingdings" w:char="F0FC"/>
            </w:r>
          </w:p>
        </w:tc>
        <w:tc>
          <w:tcPr>
            <w:tcW w:w="490" w:type="pct"/>
            <w:shd w:val="clear" w:color="auto" w:fill="auto"/>
          </w:tcPr>
          <w:p w:rsidR="008A6E90" w:rsidRPr="00D123EE" w:rsidRDefault="008A6E90" w:rsidP="004858E7">
            <w:pPr>
              <w:pStyle w:val="TableText0"/>
              <w:keepNext w:val="0"/>
              <w:ind w:left="-52" w:right="-110"/>
            </w:pPr>
            <w:r w:rsidRPr="00D123EE">
              <w:sym w:font="Wingdings" w:char="F0FC"/>
            </w:r>
            <w:r w:rsidRPr="00D123EE">
              <w:t xml:space="preserve"> </w:t>
            </w:r>
          </w:p>
        </w:tc>
        <w:tc>
          <w:tcPr>
            <w:tcW w:w="465" w:type="pct"/>
            <w:shd w:val="clear" w:color="auto" w:fill="auto"/>
          </w:tcPr>
          <w:p w:rsidR="008A6E90" w:rsidRPr="00D123EE" w:rsidRDefault="008A6E90" w:rsidP="004858E7">
            <w:pPr>
              <w:pStyle w:val="TableText0"/>
              <w:keepNext w:val="0"/>
              <w:ind w:left="-52" w:right="-110"/>
            </w:pPr>
            <w:r w:rsidRPr="00D123EE">
              <w:sym w:font="Wingdings" w:char="F0FC"/>
            </w:r>
          </w:p>
        </w:tc>
        <w:tc>
          <w:tcPr>
            <w:tcW w:w="445" w:type="pct"/>
            <w:shd w:val="clear" w:color="auto" w:fill="auto"/>
          </w:tcPr>
          <w:p w:rsidR="008A6E90" w:rsidRPr="00D123EE" w:rsidRDefault="008A6E90" w:rsidP="004858E7">
            <w:pPr>
              <w:pStyle w:val="TableText0"/>
              <w:keepNext w:val="0"/>
              <w:ind w:left="-52" w:right="-110"/>
            </w:pPr>
            <w:r w:rsidRPr="00D123EE">
              <w:sym w:font="Wingdings" w:char="F0FC"/>
            </w:r>
          </w:p>
        </w:tc>
        <w:tc>
          <w:tcPr>
            <w:tcW w:w="426" w:type="pct"/>
          </w:tcPr>
          <w:p w:rsidR="008A6E90" w:rsidRPr="00D123EE" w:rsidRDefault="008A6E90" w:rsidP="004858E7">
            <w:pPr>
              <w:pStyle w:val="TableText0"/>
              <w:keepNext w:val="0"/>
              <w:ind w:left="-52" w:right="-110"/>
            </w:pPr>
            <w:r w:rsidRPr="00D123EE">
              <w:t>NR</w:t>
            </w:r>
          </w:p>
        </w:tc>
        <w:tc>
          <w:tcPr>
            <w:tcW w:w="435" w:type="pct"/>
          </w:tcPr>
          <w:p w:rsidR="008A6E90" w:rsidRPr="00D123EE" w:rsidRDefault="008A6E90" w:rsidP="004858E7">
            <w:pPr>
              <w:pStyle w:val="TableText0"/>
              <w:keepNext w:val="0"/>
              <w:ind w:left="-52" w:right="-110"/>
            </w:pPr>
            <w:r w:rsidRPr="00D123EE">
              <w:t>NR</w:t>
            </w:r>
          </w:p>
        </w:tc>
        <w:tc>
          <w:tcPr>
            <w:tcW w:w="420" w:type="pct"/>
          </w:tcPr>
          <w:p w:rsidR="008A6E90" w:rsidRPr="00D123EE" w:rsidRDefault="008A6E90" w:rsidP="004858E7">
            <w:pPr>
              <w:pStyle w:val="TableText0"/>
              <w:keepNext w:val="0"/>
              <w:ind w:left="-52" w:right="-110"/>
            </w:pPr>
            <w:r w:rsidRPr="00D123EE">
              <w:t>NR</w:t>
            </w:r>
          </w:p>
        </w:tc>
      </w:tr>
      <w:tr w:rsidR="008A6E90" w:rsidRPr="00D123EE" w:rsidTr="004858E7">
        <w:tc>
          <w:tcPr>
            <w:tcW w:w="968"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Likert scale</w:t>
            </w:r>
          </w:p>
        </w:tc>
        <w:tc>
          <w:tcPr>
            <w:tcW w:w="427" w:type="pct"/>
            <w:shd w:val="clear" w:color="auto" w:fill="auto"/>
          </w:tcPr>
          <w:p w:rsidR="008A6E90" w:rsidRPr="00D123EE" w:rsidRDefault="008A6E90" w:rsidP="004858E7">
            <w:pPr>
              <w:pStyle w:val="TableText0"/>
              <w:keepNext w:val="0"/>
              <w:ind w:left="-52" w:right="-110"/>
            </w:pPr>
            <w:r w:rsidRPr="00D123EE">
              <w:t>NR</w:t>
            </w:r>
          </w:p>
        </w:tc>
        <w:tc>
          <w:tcPr>
            <w:tcW w:w="481" w:type="pct"/>
            <w:shd w:val="clear" w:color="auto" w:fill="auto"/>
          </w:tcPr>
          <w:p w:rsidR="008A6E90" w:rsidRPr="00D123EE" w:rsidRDefault="008A6E90" w:rsidP="004858E7">
            <w:pPr>
              <w:pStyle w:val="TableText0"/>
              <w:keepNext w:val="0"/>
              <w:ind w:left="-52" w:right="-110"/>
            </w:pPr>
            <w:r w:rsidRPr="00D123EE">
              <w:t>NR</w:t>
            </w:r>
          </w:p>
        </w:tc>
        <w:tc>
          <w:tcPr>
            <w:tcW w:w="444" w:type="pct"/>
            <w:shd w:val="clear" w:color="auto" w:fill="auto"/>
          </w:tcPr>
          <w:p w:rsidR="008A6E90" w:rsidRPr="00D123EE" w:rsidRDefault="008A6E90" w:rsidP="004858E7">
            <w:pPr>
              <w:pStyle w:val="TableText0"/>
              <w:keepNext w:val="0"/>
              <w:ind w:left="-52" w:right="-110"/>
            </w:pPr>
            <w:r w:rsidRPr="00D123EE">
              <w:t>NR</w:t>
            </w:r>
          </w:p>
        </w:tc>
        <w:tc>
          <w:tcPr>
            <w:tcW w:w="490" w:type="pct"/>
            <w:shd w:val="clear" w:color="auto" w:fill="auto"/>
          </w:tcPr>
          <w:p w:rsidR="008A6E90" w:rsidRPr="00D123EE" w:rsidRDefault="008A6E90" w:rsidP="004858E7">
            <w:pPr>
              <w:pStyle w:val="TableText0"/>
              <w:keepNext w:val="0"/>
              <w:ind w:left="-52" w:right="-110"/>
            </w:pPr>
            <w:r w:rsidRPr="00D123EE">
              <w:t>NR</w:t>
            </w:r>
          </w:p>
        </w:tc>
        <w:tc>
          <w:tcPr>
            <w:tcW w:w="465" w:type="pct"/>
            <w:shd w:val="clear" w:color="auto" w:fill="auto"/>
          </w:tcPr>
          <w:p w:rsidR="008A6E90" w:rsidRPr="00D123EE" w:rsidRDefault="008A6E90" w:rsidP="004858E7">
            <w:pPr>
              <w:pStyle w:val="TableText0"/>
              <w:keepNext w:val="0"/>
              <w:ind w:left="-71" w:right="-128"/>
              <w:rPr>
                <w:vertAlign w:val="superscript"/>
              </w:rPr>
            </w:pPr>
            <w:proofErr w:type="spellStart"/>
            <w:r w:rsidRPr="00D123EE">
              <w:t>NR</w:t>
            </w:r>
            <w:r w:rsidRPr="00D123EE">
              <w:rPr>
                <w:vertAlign w:val="superscript"/>
              </w:rPr>
              <w:t>a</w:t>
            </w:r>
            <w:proofErr w:type="spellEnd"/>
          </w:p>
        </w:tc>
        <w:tc>
          <w:tcPr>
            <w:tcW w:w="445" w:type="pct"/>
            <w:shd w:val="clear" w:color="auto" w:fill="auto"/>
          </w:tcPr>
          <w:p w:rsidR="008A6E90" w:rsidRPr="00D123EE" w:rsidRDefault="008A6E90" w:rsidP="004858E7">
            <w:pPr>
              <w:pStyle w:val="TableText0"/>
              <w:keepNext w:val="0"/>
              <w:ind w:left="-52" w:right="-110"/>
            </w:pPr>
            <w:r w:rsidRPr="00D123EE">
              <w:t>NR</w:t>
            </w:r>
          </w:p>
        </w:tc>
        <w:tc>
          <w:tcPr>
            <w:tcW w:w="426" w:type="pct"/>
          </w:tcPr>
          <w:p w:rsidR="008A6E90" w:rsidRPr="00D123EE" w:rsidRDefault="008A6E90" w:rsidP="004858E7">
            <w:pPr>
              <w:pStyle w:val="TableText0"/>
              <w:keepNext w:val="0"/>
              <w:ind w:left="-52" w:right="-110"/>
            </w:pPr>
            <w:r w:rsidRPr="00D123EE">
              <w:t>NR</w:t>
            </w:r>
          </w:p>
        </w:tc>
        <w:tc>
          <w:tcPr>
            <w:tcW w:w="435" w:type="pct"/>
          </w:tcPr>
          <w:p w:rsidR="008A6E90" w:rsidRPr="00D123EE" w:rsidRDefault="008A6E90" w:rsidP="004858E7">
            <w:pPr>
              <w:pStyle w:val="TableText0"/>
              <w:keepNext w:val="0"/>
              <w:ind w:left="-52" w:right="-110"/>
            </w:pPr>
            <w:r w:rsidRPr="00D123EE">
              <w:sym w:font="Wingdings" w:char="F0FC"/>
            </w:r>
            <w:r w:rsidRPr="00D123EE">
              <w:t xml:space="preserve"> 5-pt</w:t>
            </w:r>
          </w:p>
        </w:tc>
        <w:tc>
          <w:tcPr>
            <w:tcW w:w="420" w:type="pct"/>
          </w:tcPr>
          <w:p w:rsidR="008A6E90" w:rsidRPr="00D123EE" w:rsidRDefault="008A6E90" w:rsidP="004858E7">
            <w:pPr>
              <w:pStyle w:val="TableText0"/>
              <w:keepNext w:val="0"/>
              <w:ind w:left="-52" w:right="-110"/>
            </w:pPr>
            <w:r w:rsidRPr="00D123EE">
              <w:sym w:font="Wingdings" w:char="F0FC"/>
            </w:r>
            <w:r w:rsidRPr="00D123EE">
              <w:t xml:space="preserve"> 5-pt</w:t>
            </w:r>
          </w:p>
        </w:tc>
      </w:tr>
      <w:tr w:rsidR="008A6E90" w:rsidRPr="00D123EE" w:rsidTr="004858E7">
        <w:tc>
          <w:tcPr>
            <w:tcW w:w="968" w:type="pct"/>
            <w:tcBorders>
              <w:top w:val="nil"/>
              <w:bottom w:val="nil"/>
            </w:tcBorders>
            <w:shd w:val="clear" w:color="auto" w:fill="auto"/>
          </w:tcPr>
          <w:p w:rsidR="008A6E90" w:rsidRPr="00D123EE" w:rsidRDefault="008A6E90" w:rsidP="004858E7">
            <w:pPr>
              <w:pStyle w:val="TableText0"/>
              <w:keepNext w:val="0"/>
              <w:ind w:left="-52" w:right="-110"/>
            </w:pPr>
            <w:r w:rsidRPr="00D123EE">
              <w:t>Diff bet. groups</w:t>
            </w:r>
          </w:p>
        </w:tc>
        <w:tc>
          <w:tcPr>
            <w:tcW w:w="427" w:type="pct"/>
            <w:shd w:val="clear" w:color="auto" w:fill="auto"/>
          </w:tcPr>
          <w:p w:rsidR="008A6E90" w:rsidRPr="00D123EE" w:rsidRDefault="008A6E90" w:rsidP="004858E7">
            <w:pPr>
              <w:pStyle w:val="TableText0"/>
              <w:keepNext w:val="0"/>
              <w:ind w:left="-52" w:right="-110"/>
            </w:pPr>
            <w:r w:rsidRPr="00D123EE">
              <w:t>No diff.</w:t>
            </w:r>
          </w:p>
        </w:tc>
        <w:tc>
          <w:tcPr>
            <w:tcW w:w="481" w:type="pct"/>
            <w:shd w:val="clear" w:color="auto" w:fill="auto"/>
          </w:tcPr>
          <w:p w:rsidR="008A6E90" w:rsidRPr="00D123EE" w:rsidRDefault="008A6E90" w:rsidP="004858E7">
            <w:pPr>
              <w:pStyle w:val="TableText0"/>
              <w:keepNext w:val="0"/>
              <w:ind w:left="-52" w:right="-110"/>
            </w:pPr>
            <w:r w:rsidRPr="00D123EE">
              <w:t>Diff</w:t>
            </w:r>
          </w:p>
        </w:tc>
        <w:tc>
          <w:tcPr>
            <w:tcW w:w="444" w:type="pct"/>
            <w:shd w:val="clear" w:color="auto" w:fill="auto"/>
          </w:tcPr>
          <w:p w:rsidR="008A6E90" w:rsidRPr="00D123EE" w:rsidRDefault="008A6E90" w:rsidP="004858E7">
            <w:pPr>
              <w:pStyle w:val="TableText0"/>
              <w:keepNext w:val="0"/>
              <w:ind w:left="-52" w:right="-110"/>
            </w:pPr>
            <w:r w:rsidRPr="00D123EE">
              <w:t>Diff</w:t>
            </w:r>
          </w:p>
        </w:tc>
        <w:tc>
          <w:tcPr>
            <w:tcW w:w="490" w:type="pct"/>
            <w:shd w:val="clear" w:color="auto" w:fill="auto"/>
          </w:tcPr>
          <w:p w:rsidR="008A6E90" w:rsidRPr="00D123EE" w:rsidRDefault="008A6E90" w:rsidP="004858E7">
            <w:pPr>
              <w:pStyle w:val="TableText0"/>
              <w:keepNext w:val="0"/>
              <w:ind w:left="-52" w:right="-110"/>
            </w:pPr>
            <w:r w:rsidRPr="00D123EE">
              <w:t>Diff</w:t>
            </w:r>
          </w:p>
        </w:tc>
        <w:tc>
          <w:tcPr>
            <w:tcW w:w="465" w:type="pct"/>
            <w:shd w:val="clear" w:color="auto" w:fill="auto"/>
          </w:tcPr>
          <w:p w:rsidR="008A6E90" w:rsidRPr="00D123EE" w:rsidRDefault="008A6E90" w:rsidP="004858E7">
            <w:pPr>
              <w:pStyle w:val="TableText0"/>
              <w:keepNext w:val="0"/>
              <w:ind w:left="-71" w:right="-128"/>
            </w:pPr>
            <w:r w:rsidRPr="00D123EE">
              <w:t>Diff</w:t>
            </w:r>
          </w:p>
        </w:tc>
        <w:tc>
          <w:tcPr>
            <w:tcW w:w="445" w:type="pct"/>
            <w:shd w:val="clear" w:color="auto" w:fill="auto"/>
          </w:tcPr>
          <w:p w:rsidR="008A6E90" w:rsidRPr="00D123EE" w:rsidRDefault="008A6E90" w:rsidP="004858E7">
            <w:pPr>
              <w:pStyle w:val="TableText0"/>
              <w:keepNext w:val="0"/>
              <w:ind w:left="-52" w:right="-110"/>
            </w:pPr>
            <w:r w:rsidRPr="00D123EE">
              <w:t>Diff</w:t>
            </w:r>
          </w:p>
        </w:tc>
        <w:tc>
          <w:tcPr>
            <w:tcW w:w="426" w:type="pct"/>
          </w:tcPr>
          <w:p w:rsidR="008A6E90" w:rsidRPr="00D123EE" w:rsidRDefault="008A6E90" w:rsidP="004858E7">
            <w:pPr>
              <w:pStyle w:val="TableText0"/>
              <w:keepNext w:val="0"/>
              <w:ind w:left="-52" w:right="-110"/>
            </w:pPr>
            <w:r w:rsidRPr="00D123EE">
              <w:t>-</w:t>
            </w:r>
          </w:p>
        </w:tc>
        <w:tc>
          <w:tcPr>
            <w:tcW w:w="435" w:type="pct"/>
          </w:tcPr>
          <w:p w:rsidR="008A6E90" w:rsidRPr="00D123EE" w:rsidRDefault="008A6E90" w:rsidP="004858E7">
            <w:pPr>
              <w:pStyle w:val="TableText0"/>
              <w:keepNext w:val="0"/>
              <w:ind w:left="-52" w:right="-110"/>
            </w:pPr>
            <w:r w:rsidRPr="00D123EE">
              <w:t>No diff.</w:t>
            </w:r>
          </w:p>
        </w:tc>
        <w:tc>
          <w:tcPr>
            <w:tcW w:w="420" w:type="pct"/>
          </w:tcPr>
          <w:p w:rsidR="008A6E90" w:rsidRPr="00D123EE" w:rsidRDefault="008A6E90" w:rsidP="004858E7">
            <w:pPr>
              <w:pStyle w:val="TableText0"/>
              <w:keepNext w:val="0"/>
              <w:ind w:left="-52" w:right="-110"/>
            </w:pPr>
            <w:r w:rsidRPr="00D123EE">
              <w:t>Diff</w:t>
            </w:r>
          </w:p>
        </w:tc>
      </w:tr>
      <w:tr w:rsidR="008A6E90" w:rsidRPr="00D123EE" w:rsidTr="004858E7">
        <w:tc>
          <w:tcPr>
            <w:tcW w:w="968" w:type="pct"/>
            <w:tcBorders>
              <w:top w:val="single" w:sz="4" w:space="0" w:color="auto"/>
              <w:bottom w:val="single" w:sz="4" w:space="0" w:color="auto"/>
            </w:tcBorders>
            <w:shd w:val="clear" w:color="auto" w:fill="auto"/>
          </w:tcPr>
          <w:p w:rsidR="008A6E90" w:rsidRPr="00D123EE" w:rsidRDefault="008A6E90" w:rsidP="004858E7">
            <w:pPr>
              <w:pStyle w:val="TableText0"/>
              <w:keepNext w:val="0"/>
              <w:ind w:left="-52" w:right="-110"/>
            </w:pPr>
            <w:r w:rsidRPr="00D123EE">
              <w:t>Meta-analysis</w:t>
            </w:r>
          </w:p>
        </w:tc>
        <w:tc>
          <w:tcPr>
            <w:tcW w:w="3178" w:type="pct"/>
            <w:gridSpan w:val="7"/>
            <w:tcBorders>
              <w:bottom w:val="single" w:sz="4" w:space="0" w:color="auto"/>
            </w:tcBorders>
            <w:shd w:val="clear" w:color="auto" w:fill="auto"/>
          </w:tcPr>
          <w:p w:rsidR="008A6E90" w:rsidRPr="00D123EE" w:rsidRDefault="008A6E90" w:rsidP="004858E7">
            <w:pPr>
              <w:pStyle w:val="TableText0"/>
              <w:ind w:left="-52" w:right="-110"/>
            </w:pPr>
            <w:r w:rsidRPr="00D123EE">
              <w:t xml:space="preserve">Difference </w:t>
            </w:r>
          </w:p>
        </w:tc>
        <w:tc>
          <w:tcPr>
            <w:tcW w:w="855" w:type="pct"/>
            <w:gridSpan w:val="2"/>
            <w:tcBorders>
              <w:bottom w:val="single" w:sz="4" w:space="0" w:color="auto"/>
            </w:tcBorders>
          </w:tcPr>
          <w:p w:rsidR="008A6E90" w:rsidRPr="00D123EE" w:rsidRDefault="008A6E90" w:rsidP="004858E7">
            <w:pPr>
              <w:pStyle w:val="TableText0"/>
              <w:ind w:left="-52" w:right="-110"/>
            </w:pPr>
            <w:r w:rsidRPr="00D123EE">
              <w:t xml:space="preserve">Difference </w:t>
            </w:r>
          </w:p>
        </w:tc>
      </w:tr>
      <w:tr w:rsidR="008A6E90" w:rsidRPr="00D123EE" w:rsidTr="004858E7">
        <w:tc>
          <w:tcPr>
            <w:tcW w:w="968" w:type="pct"/>
            <w:tcBorders>
              <w:top w:val="single" w:sz="4" w:space="0" w:color="auto"/>
              <w:bottom w:val="single" w:sz="4" w:space="0" w:color="auto"/>
            </w:tcBorders>
            <w:shd w:val="clear" w:color="auto" w:fill="auto"/>
          </w:tcPr>
          <w:p w:rsidR="008A6E90" w:rsidRPr="00D123EE" w:rsidRDefault="008A6E90" w:rsidP="004858E7">
            <w:pPr>
              <w:pStyle w:val="TableText0"/>
              <w:keepNext w:val="0"/>
              <w:ind w:left="-52" w:right="-110"/>
            </w:pPr>
            <w:r w:rsidRPr="00D123EE">
              <w:t>ITC</w:t>
            </w:r>
          </w:p>
        </w:tc>
        <w:tc>
          <w:tcPr>
            <w:tcW w:w="2752" w:type="pct"/>
            <w:gridSpan w:val="6"/>
            <w:tcBorders>
              <w:bottom w:val="single" w:sz="4" w:space="0" w:color="auto"/>
              <w:right w:val="nil"/>
            </w:tcBorders>
            <w:shd w:val="clear" w:color="auto" w:fill="auto"/>
          </w:tcPr>
          <w:p w:rsidR="008A6E90" w:rsidRPr="00D123EE" w:rsidRDefault="008A6E90" w:rsidP="004858E7">
            <w:pPr>
              <w:pStyle w:val="TableText0"/>
              <w:keepNext w:val="0"/>
              <w:ind w:left="-52" w:right="-110"/>
              <w:rPr>
                <w:rFonts w:cs="Arial"/>
                <w:bCs/>
                <w:color w:val="000000"/>
                <w:szCs w:val="18"/>
              </w:rPr>
            </w:pPr>
            <w:r w:rsidRPr="00D123EE">
              <w:rPr>
                <w:rFonts w:cs="Arial"/>
                <w:bCs/>
                <w:color w:val="000000"/>
                <w:szCs w:val="18"/>
              </w:rPr>
              <w:t xml:space="preserve">NR: Outcomes across trials were different. </w:t>
            </w:r>
          </w:p>
        </w:tc>
        <w:tc>
          <w:tcPr>
            <w:tcW w:w="426" w:type="pct"/>
            <w:tcBorders>
              <w:left w:val="nil"/>
              <w:bottom w:val="single" w:sz="4" w:space="0" w:color="auto"/>
              <w:right w:val="nil"/>
            </w:tcBorders>
          </w:tcPr>
          <w:p w:rsidR="008A6E90" w:rsidRPr="00D123EE" w:rsidRDefault="008A6E90" w:rsidP="004858E7">
            <w:pPr>
              <w:pStyle w:val="TableText0"/>
              <w:keepNext w:val="0"/>
              <w:ind w:left="-52" w:right="-110"/>
            </w:pPr>
          </w:p>
        </w:tc>
        <w:tc>
          <w:tcPr>
            <w:tcW w:w="855" w:type="pct"/>
            <w:gridSpan w:val="2"/>
            <w:tcBorders>
              <w:left w:val="nil"/>
              <w:bottom w:val="single" w:sz="4" w:space="0" w:color="auto"/>
            </w:tcBorders>
          </w:tcPr>
          <w:p w:rsidR="008A6E90" w:rsidRPr="00D123EE" w:rsidRDefault="008A6E90" w:rsidP="004858E7">
            <w:pPr>
              <w:pStyle w:val="TableText0"/>
              <w:ind w:left="-52" w:right="-110"/>
            </w:pPr>
          </w:p>
        </w:tc>
      </w:tr>
      <w:tr w:rsidR="008A6E90" w:rsidRPr="00D123EE" w:rsidTr="004858E7">
        <w:tc>
          <w:tcPr>
            <w:tcW w:w="968" w:type="pct"/>
            <w:tcBorders>
              <w:top w:val="single" w:sz="4" w:space="0" w:color="auto"/>
              <w:bottom w:val="single" w:sz="4" w:space="0" w:color="auto"/>
            </w:tcBorders>
            <w:shd w:val="clear" w:color="auto" w:fill="auto"/>
          </w:tcPr>
          <w:p w:rsidR="008A6E90" w:rsidRPr="00D123EE" w:rsidRDefault="008A6E90" w:rsidP="004858E7">
            <w:pPr>
              <w:pStyle w:val="TableText0"/>
              <w:keepNext w:val="0"/>
              <w:ind w:left="-52" w:right="-110"/>
            </w:pPr>
            <w:r w:rsidRPr="00D123EE">
              <w:t>Claim (submission)</w:t>
            </w:r>
          </w:p>
        </w:tc>
        <w:tc>
          <w:tcPr>
            <w:tcW w:w="2752" w:type="pct"/>
            <w:gridSpan w:val="6"/>
            <w:tcBorders>
              <w:bottom w:val="single" w:sz="4" w:space="0" w:color="auto"/>
              <w:right w:val="nil"/>
            </w:tcBorders>
            <w:shd w:val="clear" w:color="auto" w:fill="auto"/>
          </w:tcPr>
          <w:p w:rsidR="008A6E90" w:rsidRPr="00D123EE" w:rsidRDefault="008A6E90" w:rsidP="004858E7">
            <w:pPr>
              <w:pStyle w:val="TableText0"/>
              <w:keepNext w:val="0"/>
              <w:ind w:left="-52" w:right="-110"/>
              <w:rPr>
                <w:rFonts w:cs="Arial"/>
                <w:bCs/>
                <w:color w:val="000000"/>
                <w:szCs w:val="18"/>
              </w:rPr>
            </w:pPr>
            <w:r w:rsidRPr="00D123EE">
              <w:rPr>
                <w:rFonts w:cs="Arial"/>
                <w:bCs/>
                <w:color w:val="000000"/>
                <w:szCs w:val="18"/>
              </w:rPr>
              <w:t>Non-inferior</w:t>
            </w:r>
          </w:p>
        </w:tc>
        <w:tc>
          <w:tcPr>
            <w:tcW w:w="426" w:type="pct"/>
            <w:tcBorders>
              <w:left w:val="nil"/>
              <w:bottom w:val="single" w:sz="4" w:space="0" w:color="auto"/>
              <w:right w:val="nil"/>
            </w:tcBorders>
          </w:tcPr>
          <w:p w:rsidR="008A6E90" w:rsidRPr="00D123EE" w:rsidRDefault="008A6E90" w:rsidP="004858E7">
            <w:pPr>
              <w:pStyle w:val="TableText0"/>
              <w:keepNext w:val="0"/>
              <w:ind w:left="-52" w:right="-110"/>
            </w:pPr>
          </w:p>
        </w:tc>
        <w:tc>
          <w:tcPr>
            <w:tcW w:w="855" w:type="pct"/>
            <w:gridSpan w:val="2"/>
            <w:tcBorders>
              <w:left w:val="nil"/>
              <w:bottom w:val="single" w:sz="4" w:space="0" w:color="auto"/>
            </w:tcBorders>
          </w:tcPr>
          <w:p w:rsidR="008A6E90" w:rsidRPr="00D123EE" w:rsidRDefault="008A6E90" w:rsidP="004858E7">
            <w:pPr>
              <w:pStyle w:val="TableText0"/>
              <w:ind w:left="-52" w:right="-110"/>
            </w:pPr>
          </w:p>
        </w:tc>
      </w:tr>
      <w:tr w:rsidR="008A6E90" w:rsidRPr="00D123EE" w:rsidTr="004858E7">
        <w:tc>
          <w:tcPr>
            <w:tcW w:w="3719" w:type="pct"/>
            <w:gridSpan w:val="7"/>
            <w:tcBorders>
              <w:top w:val="single" w:sz="4" w:space="0" w:color="auto"/>
              <w:bottom w:val="single" w:sz="4" w:space="0" w:color="auto"/>
              <w:right w:val="nil"/>
            </w:tcBorders>
            <w:shd w:val="clear" w:color="auto" w:fill="auto"/>
          </w:tcPr>
          <w:p w:rsidR="008A6E90" w:rsidRPr="00D123EE" w:rsidRDefault="008A6E90" w:rsidP="004858E7">
            <w:pPr>
              <w:pStyle w:val="TableText0"/>
              <w:keepNext w:val="0"/>
              <w:ind w:left="-52" w:right="-110"/>
            </w:pPr>
            <w:r w:rsidRPr="00D123EE">
              <w:rPr>
                <w:b/>
              </w:rPr>
              <w:t xml:space="preserve">Pain relief </w:t>
            </w:r>
            <w:r w:rsidRPr="00D123EE">
              <w:t xml:space="preserve">MCID: VAS or </w:t>
            </w:r>
            <w:proofErr w:type="spellStart"/>
            <w:r w:rsidRPr="00D123EE">
              <w:t>likert</w:t>
            </w:r>
            <w:proofErr w:type="spellEnd"/>
            <w:r w:rsidRPr="00D123EE">
              <w:t xml:space="preserve"> scale: 25-30% improvement is clinically meaningful.</w:t>
            </w:r>
          </w:p>
        </w:tc>
        <w:tc>
          <w:tcPr>
            <w:tcW w:w="426" w:type="pct"/>
            <w:tcBorders>
              <w:left w:val="nil"/>
              <w:bottom w:val="single" w:sz="4" w:space="0" w:color="auto"/>
              <w:right w:val="nil"/>
            </w:tcBorders>
          </w:tcPr>
          <w:p w:rsidR="008A6E90" w:rsidRPr="00D123EE" w:rsidRDefault="008A6E90" w:rsidP="004858E7">
            <w:pPr>
              <w:pStyle w:val="TableText0"/>
              <w:keepNext w:val="0"/>
              <w:ind w:left="-52" w:right="-110"/>
            </w:pPr>
          </w:p>
        </w:tc>
        <w:tc>
          <w:tcPr>
            <w:tcW w:w="855" w:type="pct"/>
            <w:gridSpan w:val="2"/>
            <w:tcBorders>
              <w:left w:val="nil"/>
              <w:bottom w:val="single" w:sz="4" w:space="0" w:color="auto"/>
            </w:tcBorders>
          </w:tcPr>
          <w:p w:rsidR="008A6E90" w:rsidRPr="00D123EE" w:rsidRDefault="008A6E90" w:rsidP="004858E7">
            <w:pPr>
              <w:pStyle w:val="TableText0"/>
              <w:ind w:left="-52" w:right="-110"/>
            </w:pPr>
          </w:p>
        </w:tc>
      </w:tr>
      <w:tr w:rsidR="008A6E90" w:rsidRPr="00D123EE" w:rsidTr="004858E7">
        <w:tc>
          <w:tcPr>
            <w:tcW w:w="968"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lastRenderedPageBreak/>
              <w:t>Likert scale</w:t>
            </w:r>
          </w:p>
        </w:tc>
        <w:tc>
          <w:tcPr>
            <w:tcW w:w="427" w:type="pct"/>
            <w:shd w:val="clear" w:color="auto" w:fill="auto"/>
          </w:tcPr>
          <w:p w:rsidR="008A6E90" w:rsidRPr="00D123EE" w:rsidRDefault="008A6E90" w:rsidP="004858E7">
            <w:pPr>
              <w:pStyle w:val="TableText0"/>
              <w:keepNext w:val="0"/>
              <w:ind w:left="-52" w:right="-110"/>
            </w:pPr>
            <w:r w:rsidRPr="00D123EE">
              <w:sym w:font="Wingdings" w:char="F0FC"/>
            </w:r>
            <w:r w:rsidRPr="00D123EE">
              <w:t>6-pt</w:t>
            </w:r>
          </w:p>
        </w:tc>
        <w:tc>
          <w:tcPr>
            <w:tcW w:w="481" w:type="pct"/>
            <w:shd w:val="clear" w:color="auto" w:fill="auto"/>
          </w:tcPr>
          <w:p w:rsidR="008A6E90" w:rsidRPr="00D123EE" w:rsidRDefault="008A6E90" w:rsidP="004858E7">
            <w:pPr>
              <w:pStyle w:val="TableText0"/>
              <w:keepNext w:val="0"/>
              <w:ind w:left="-52" w:right="-110"/>
            </w:pPr>
            <w:r w:rsidRPr="00D123EE">
              <w:sym w:font="Wingdings" w:char="F0FC"/>
            </w:r>
            <w:r w:rsidRPr="00D123EE">
              <w:t xml:space="preserve"> 6-pt</w:t>
            </w:r>
          </w:p>
        </w:tc>
        <w:tc>
          <w:tcPr>
            <w:tcW w:w="444" w:type="pct"/>
            <w:shd w:val="clear" w:color="auto" w:fill="auto"/>
          </w:tcPr>
          <w:p w:rsidR="008A6E90" w:rsidRPr="00D123EE" w:rsidRDefault="008A6E90" w:rsidP="004858E7">
            <w:pPr>
              <w:pStyle w:val="TableText0"/>
              <w:keepNext w:val="0"/>
              <w:ind w:left="-52" w:right="-110"/>
            </w:pPr>
            <w:r w:rsidRPr="00D123EE">
              <w:sym w:font="Wingdings" w:char="F0FC"/>
            </w:r>
            <w:r w:rsidRPr="00D123EE">
              <w:t xml:space="preserve"> 6-pt</w:t>
            </w:r>
          </w:p>
        </w:tc>
        <w:tc>
          <w:tcPr>
            <w:tcW w:w="490" w:type="pct"/>
            <w:shd w:val="clear" w:color="auto" w:fill="auto"/>
          </w:tcPr>
          <w:p w:rsidR="008A6E90" w:rsidRPr="00D123EE" w:rsidRDefault="008A6E90" w:rsidP="004858E7">
            <w:pPr>
              <w:pStyle w:val="TableText0"/>
              <w:keepNext w:val="0"/>
              <w:ind w:left="-52" w:right="-110"/>
            </w:pPr>
            <w:r w:rsidRPr="00D123EE">
              <w:sym w:font="Wingdings" w:char="F0FC"/>
            </w:r>
            <w:r w:rsidRPr="00D123EE">
              <w:t>6-pt</w:t>
            </w:r>
          </w:p>
        </w:tc>
        <w:tc>
          <w:tcPr>
            <w:tcW w:w="465" w:type="pct"/>
            <w:shd w:val="clear" w:color="auto" w:fill="auto"/>
          </w:tcPr>
          <w:p w:rsidR="008A6E90" w:rsidRPr="00D123EE" w:rsidRDefault="008A6E90" w:rsidP="004858E7">
            <w:pPr>
              <w:pStyle w:val="TableText0"/>
              <w:keepNext w:val="0"/>
              <w:ind w:right="-110"/>
            </w:pPr>
            <w:proofErr w:type="spellStart"/>
            <w:r w:rsidRPr="00D123EE">
              <w:t>NR</w:t>
            </w:r>
            <w:r w:rsidRPr="00D123EE">
              <w:rPr>
                <w:vertAlign w:val="superscript"/>
              </w:rPr>
              <w:t>a</w:t>
            </w:r>
            <w:proofErr w:type="spellEnd"/>
            <w:r w:rsidRPr="00D123EE">
              <w:t xml:space="preserve"> </w:t>
            </w:r>
          </w:p>
        </w:tc>
        <w:tc>
          <w:tcPr>
            <w:tcW w:w="445" w:type="pct"/>
            <w:shd w:val="clear" w:color="auto" w:fill="auto"/>
          </w:tcPr>
          <w:p w:rsidR="008A6E90" w:rsidRPr="00D123EE" w:rsidRDefault="008A6E90" w:rsidP="004858E7">
            <w:pPr>
              <w:pStyle w:val="TableText0"/>
              <w:keepNext w:val="0"/>
              <w:ind w:left="-52" w:right="-110"/>
            </w:pPr>
            <w:r w:rsidRPr="00D123EE">
              <w:sym w:font="Wingdings" w:char="F0FC"/>
            </w:r>
            <w:r w:rsidRPr="00D123EE">
              <w:t>6-pt</w:t>
            </w:r>
          </w:p>
        </w:tc>
        <w:tc>
          <w:tcPr>
            <w:tcW w:w="426" w:type="pct"/>
          </w:tcPr>
          <w:p w:rsidR="008A6E90" w:rsidRPr="00D123EE" w:rsidRDefault="008A6E90" w:rsidP="004858E7">
            <w:pPr>
              <w:pStyle w:val="TableText0"/>
              <w:keepNext w:val="0"/>
              <w:ind w:left="-52" w:right="-110"/>
            </w:pPr>
            <w:r w:rsidRPr="00D123EE">
              <w:t>NR</w:t>
            </w:r>
          </w:p>
        </w:tc>
        <w:tc>
          <w:tcPr>
            <w:tcW w:w="435" w:type="pct"/>
          </w:tcPr>
          <w:p w:rsidR="008A6E90" w:rsidRPr="00D123EE" w:rsidRDefault="008A6E90" w:rsidP="004858E7">
            <w:pPr>
              <w:pStyle w:val="TableText0"/>
              <w:keepNext w:val="0"/>
              <w:ind w:left="-52" w:right="-110"/>
            </w:pPr>
            <w:r w:rsidRPr="00D123EE">
              <w:sym w:font="Wingdings" w:char="F0FC"/>
            </w:r>
            <w:r w:rsidRPr="00D123EE">
              <w:t>7-pt</w:t>
            </w:r>
          </w:p>
        </w:tc>
        <w:tc>
          <w:tcPr>
            <w:tcW w:w="420" w:type="pct"/>
          </w:tcPr>
          <w:p w:rsidR="008A6E90" w:rsidRPr="00D123EE" w:rsidRDefault="008A6E90" w:rsidP="004858E7">
            <w:pPr>
              <w:pStyle w:val="TableText0"/>
              <w:keepNext w:val="0"/>
              <w:ind w:left="-52" w:right="-110"/>
            </w:pPr>
            <w:r w:rsidRPr="00D123EE">
              <w:sym w:font="Wingdings" w:char="F0FC"/>
            </w:r>
            <w:r w:rsidRPr="00D123EE">
              <w:t xml:space="preserve"> 6-pt</w:t>
            </w:r>
          </w:p>
        </w:tc>
      </w:tr>
      <w:tr w:rsidR="008A6E90" w:rsidRPr="00D123EE" w:rsidTr="004858E7">
        <w:tc>
          <w:tcPr>
            <w:tcW w:w="968" w:type="pct"/>
            <w:tcBorders>
              <w:top w:val="nil"/>
              <w:bottom w:val="nil"/>
            </w:tcBorders>
            <w:shd w:val="clear" w:color="auto" w:fill="auto"/>
          </w:tcPr>
          <w:p w:rsidR="008A6E90" w:rsidRPr="00D123EE" w:rsidRDefault="008A6E90" w:rsidP="004858E7">
            <w:pPr>
              <w:pStyle w:val="TableText0"/>
              <w:keepNext w:val="0"/>
              <w:ind w:left="-52" w:right="-110"/>
            </w:pPr>
            <w:r w:rsidRPr="00D123EE">
              <w:t>Diff bet. groups</w:t>
            </w:r>
          </w:p>
        </w:tc>
        <w:tc>
          <w:tcPr>
            <w:tcW w:w="427" w:type="pct"/>
            <w:shd w:val="clear" w:color="auto" w:fill="auto"/>
          </w:tcPr>
          <w:p w:rsidR="008A6E90" w:rsidRPr="00D123EE" w:rsidRDefault="008A6E90" w:rsidP="004858E7">
            <w:pPr>
              <w:pStyle w:val="TableText0"/>
              <w:keepNext w:val="0"/>
              <w:ind w:left="-52" w:right="-110"/>
            </w:pPr>
            <w:r w:rsidRPr="00D123EE">
              <w:t xml:space="preserve">No diff. </w:t>
            </w:r>
          </w:p>
        </w:tc>
        <w:tc>
          <w:tcPr>
            <w:tcW w:w="481" w:type="pct"/>
            <w:shd w:val="clear" w:color="auto" w:fill="auto"/>
          </w:tcPr>
          <w:p w:rsidR="008A6E90" w:rsidRPr="00D123EE" w:rsidRDefault="008A6E90" w:rsidP="004858E7">
            <w:pPr>
              <w:pStyle w:val="TableText0"/>
              <w:keepNext w:val="0"/>
              <w:ind w:left="-52" w:right="-110"/>
            </w:pPr>
            <w:r w:rsidRPr="00D123EE">
              <w:t>Diff.</w:t>
            </w:r>
          </w:p>
        </w:tc>
        <w:tc>
          <w:tcPr>
            <w:tcW w:w="444" w:type="pct"/>
            <w:shd w:val="clear" w:color="auto" w:fill="auto"/>
          </w:tcPr>
          <w:p w:rsidR="008A6E90" w:rsidRPr="00D123EE" w:rsidRDefault="008A6E90" w:rsidP="004858E7">
            <w:pPr>
              <w:pStyle w:val="TableText0"/>
              <w:keepNext w:val="0"/>
              <w:ind w:left="-52" w:right="-110"/>
            </w:pPr>
            <w:r w:rsidRPr="00D123EE">
              <w:t>Diff.</w:t>
            </w:r>
          </w:p>
        </w:tc>
        <w:tc>
          <w:tcPr>
            <w:tcW w:w="490" w:type="pct"/>
            <w:shd w:val="clear" w:color="auto" w:fill="auto"/>
          </w:tcPr>
          <w:p w:rsidR="008A6E90" w:rsidRPr="00D123EE" w:rsidRDefault="008A6E90" w:rsidP="004858E7">
            <w:pPr>
              <w:pStyle w:val="TableText0"/>
              <w:keepNext w:val="0"/>
              <w:ind w:left="-52" w:right="-110"/>
            </w:pPr>
            <w:r w:rsidRPr="00D123EE">
              <w:t>Diff.</w:t>
            </w:r>
          </w:p>
        </w:tc>
        <w:tc>
          <w:tcPr>
            <w:tcW w:w="465" w:type="pct"/>
            <w:shd w:val="clear" w:color="auto" w:fill="auto"/>
          </w:tcPr>
          <w:p w:rsidR="008A6E90" w:rsidRPr="00D123EE" w:rsidRDefault="008A6E90" w:rsidP="004858E7">
            <w:pPr>
              <w:pStyle w:val="TableText0"/>
              <w:keepNext w:val="0"/>
              <w:ind w:left="-52" w:right="-110"/>
            </w:pPr>
            <w:r w:rsidRPr="00D123EE">
              <w:t>-</w:t>
            </w:r>
          </w:p>
        </w:tc>
        <w:tc>
          <w:tcPr>
            <w:tcW w:w="445" w:type="pct"/>
            <w:shd w:val="clear" w:color="auto" w:fill="auto"/>
          </w:tcPr>
          <w:p w:rsidR="008A6E90" w:rsidRPr="00D123EE" w:rsidRDefault="008A6E90" w:rsidP="004858E7">
            <w:pPr>
              <w:pStyle w:val="TableText0"/>
              <w:keepNext w:val="0"/>
              <w:ind w:left="-52" w:right="-110"/>
            </w:pPr>
            <w:r w:rsidRPr="00D123EE">
              <w:t>Diff.</w:t>
            </w:r>
          </w:p>
        </w:tc>
        <w:tc>
          <w:tcPr>
            <w:tcW w:w="426" w:type="pct"/>
          </w:tcPr>
          <w:p w:rsidR="008A6E90" w:rsidRPr="00D123EE" w:rsidRDefault="008A6E90" w:rsidP="004858E7">
            <w:pPr>
              <w:pStyle w:val="TableText0"/>
              <w:keepNext w:val="0"/>
              <w:ind w:left="-52" w:right="-110"/>
            </w:pPr>
          </w:p>
        </w:tc>
        <w:tc>
          <w:tcPr>
            <w:tcW w:w="435" w:type="pct"/>
          </w:tcPr>
          <w:p w:rsidR="008A6E90" w:rsidRPr="00D123EE" w:rsidRDefault="008A6E90" w:rsidP="004858E7">
            <w:pPr>
              <w:pStyle w:val="TableText0"/>
              <w:keepNext w:val="0"/>
              <w:ind w:left="-52" w:right="-110"/>
            </w:pPr>
            <w:r w:rsidRPr="00D123EE">
              <w:t>Diff.</w:t>
            </w:r>
          </w:p>
        </w:tc>
        <w:tc>
          <w:tcPr>
            <w:tcW w:w="420" w:type="pct"/>
          </w:tcPr>
          <w:p w:rsidR="008A6E90" w:rsidRPr="00D123EE" w:rsidRDefault="008A6E90" w:rsidP="004858E7">
            <w:pPr>
              <w:pStyle w:val="TableText0"/>
              <w:keepNext w:val="0"/>
              <w:ind w:left="-52" w:right="-110"/>
            </w:pPr>
            <w:r w:rsidRPr="00D123EE">
              <w:t>Diff.</w:t>
            </w:r>
          </w:p>
        </w:tc>
      </w:tr>
      <w:tr w:rsidR="008A6E90" w:rsidRPr="00D123EE" w:rsidTr="004858E7">
        <w:tc>
          <w:tcPr>
            <w:tcW w:w="968" w:type="pct"/>
            <w:shd w:val="clear" w:color="auto" w:fill="auto"/>
          </w:tcPr>
          <w:p w:rsidR="008A6E90" w:rsidRPr="00D123EE" w:rsidRDefault="008A6E90" w:rsidP="004858E7">
            <w:pPr>
              <w:pStyle w:val="TableText0"/>
              <w:keepNext w:val="0"/>
              <w:ind w:left="-52" w:right="-110"/>
            </w:pPr>
            <w:r w:rsidRPr="00D123EE">
              <w:t>Meta-analysis</w:t>
            </w:r>
          </w:p>
        </w:tc>
        <w:tc>
          <w:tcPr>
            <w:tcW w:w="2752" w:type="pct"/>
            <w:gridSpan w:val="6"/>
            <w:tcBorders>
              <w:bottom w:val="single" w:sz="4" w:space="0" w:color="auto"/>
              <w:right w:val="nil"/>
            </w:tcBorders>
            <w:shd w:val="clear" w:color="auto" w:fill="auto"/>
          </w:tcPr>
          <w:p w:rsidR="008A6E90" w:rsidRPr="00D123EE" w:rsidRDefault="008A6E90" w:rsidP="004858E7">
            <w:pPr>
              <w:pStyle w:val="TableText0"/>
              <w:keepNext w:val="0"/>
              <w:ind w:left="-52" w:right="-110"/>
            </w:pPr>
            <w:r w:rsidRPr="00D123EE">
              <w:t>Difference</w:t>
            </w:r>
          </w:p>
        </w:tc>
        <w:tc>
          <w:tcPr>
            <w:tcW w:w="426" w:type="pct"/>
            <w:tcBorders>
              <w:left w:val="nil"/>
              <w:bottom w:val="single" w:sz="4" w:space="0" w:color="auto"/>
              <w:right w:val="nil"/>
            </w:tcBorders>
          </w:tcPr>
          <w:p w:rsidR="008A6E90" w:rsidRPr="00D123EE" w:rsidRDefault="008A6E90" w:rsidP="004858E7">
            <w:pPr>
              <w:pStyle w:val="TableText0"/>
              <w:keepNext w:val="0"/>
              <w:ind w:left="-52" w:right="-110"/>
            </w:pPr>
          </w:p>
        </w:tc>
        <w:tc>
          <w:tcPr>
            <w:tcW w:w="855" w:type="pct"/>
            <w:gridSpan w:val="2"/>
            <w:tcBorders>
              <w:left w:val="nil"/>
              <w:bottom w:val="single" w:sz="4" w:space="0" w:color="auto"/>
            </w:tcBorders>
          </w:tcPr>
          <w:p w:rsidR="008A6E90" w:rsidRPr="00D123EE" w:rsidRDefault="008A6E90" w:rsidP="004858E7">
            <w:pPr>
              <w:pStyle w:val="TableText0"/>
              <w:keepNext w:val="0"/>
              <w:ind w:left="-52" w:right="-110"/>
            </w:pPr>
            <w:r w:rsidRPr="00D123EE">
              <w:rPr>
                <w:rFonts w:cs="Arial"/>
                <w:bCs/>
                <w:color w:val="000000"/>
                <w:szCs w:val="18"/>
              </w:rPr>
              <w:t>NA [CA-R0027]</w:t>
            </w:r>
          </w:p>
        </w:tc>
      </w:tr>
      <w:tr w:rsidR="008A6E90" w:rsidRPr="00D123EE" w:rsidTr="004858E7">
        <w:tc>
          <w:tcPr>
            <w:tcW w:w="968" w:type="pct"/>
            <w:shd w:val="clear" w:color="auto" w:fill="auto"/>
          </w:tcPr>
          <w:p w:rsidR="008A6E90" w:rsidRPr="00D123EE" w:rsidRDefault="008A6E90" w:rsidP="004858E7">
            <w:pPr>
              <w:pStyle w:val="TableText0"/>
              <w:keepNext w:val="0"/>
              <w:ind w:left="-52" w:right="-110"/>
            </w:pPr>
            <w:r w:rsidRPr="00D123EE">
              <w:t>ITC</w:t>
            </w:r>
          </w:p>
        </w:tc>
        <w:tc>
          <w:tcPr>
            <w:tcW w:w="2752" w:type="pct"/>
            <w:gridSpan w:val="6"/>
            <w:tcBorders>
              <w:bottom w:val="single" w:sz="4" w:space="0" w:color="auto"/>
              <w:right w:val="nil"/>
            </w:tcBorders>
            <w:shd w:val="clear" w:color="auto" w:fill="auto"/>
          </w:tcPr>
          <w:p w:rsidR="008A6E90" w:rsidRPr="00D123EE" w:rsidRDefault="008A6E90" w:rsidP="004858E7">
            <w:pPr>
              <w:pStyle w:val="TableText0"/>
              <w:keepNext w:val="0"/>
              <w:ind w:left="-52" w:right="-110"/>
            </w:pPr>
            <w:r w:rsidRPr="00D123EE">
              <w:t>No difference</w:t>
            </w:r>
          </w:p>
        </w:tc>
        <w:tc>
          <w:tcPr>
            <w:tcW w:w="426" w:type="pct"/>
            <w:tcBorders>
              <w:left w:val="nil"/>
              <w:bottom w:val="single" w:sz="4" w:space="0" w:color="auto"/>
              <w:right w:val="nil"/>
            </w:tcBorders>
          </w:tcPr>
          <w:p w:rsidR="008A6E90" w:rsidRPr="00D123EE" w:rsidRDefault="008A6E90" w:rsidP="004858E7">
            <w:pPr>
              <w:pStyle w:val="TableText0"/>
              <w:keepNext w:val="0"/>
              <w:ind w:left="-52" w:right="-110"/>
            </w:pPr>
          </w:p>
        </w:tc>
        <w:tc>
          <w:tcPr>
            <w:tcW w:w="435" w:type="pct"/>
            <w:tcBorders>
              <w:left w:val="nil"/>
              <w:bottom w:val="single" w:sz="4" w:space="0" w:color="auto"/>
              <w:right w:val="nil"/>
            </w:tcBorders>
          </w:tcPr>
          <w:p w:rsidR="008A6E90" w:rsidRPr="00D123EE" w:rsidRDefault="008A6E90" w:rsidP="004858E7">
            <w:pPr>
              <w:pStyle w:val="TableText0"/>
              <w:keepNext w:val="0"/>
              <w:ind w:left="-52" w:right="-110"/>
            </w:pPr>
          </w:p>
        </w:tc>
        <w:tc>
          <w:tcPr>
            <w:tcW w:w="420" w:type="pct"/>
            <w:tcBorders>
              <w:left w:val="nil"/>
              <w:bottom w:val="single" w:sz="4" w:space="0" w:color="auto"/>
            </w:tcBorders>
          </w:tcPr>
          <w:p w:rsidR="008A6E90" w:rsidRPr="00D123EE" w:rsidRDefault="008A6E90" w:rsidP="004858E7">
            <w:pPr>
              <w:pStyle w:val="TableText0"/>
              <w:keepNext w:val="0"/>
              <w:ind w:left="-52" w:right="-110"/>
            </w:pPr>
          </w:p>
        </w:tc>
      </w:tr>
      <w:tr w:rsidR="008A6E90" w:rsidRPr="00D123EE" w:rsidTr="004858E7">
        <w:tc>
          <w:tcPr>
            <w:tcW w:w="968" w:type="pct"/>
            <w:shd w:val="clear" w:color="auto" w:fill="auto"/>
          </w:tcPr>
          <w:p w:rsidR="008A6E90" w:rsidRPr="00D123EE" w:rsidRDefault="008A6E90" w:rsidP="004858E7">
            <w:pPr>
              <w:pStyle w:val="TableText0"/>
              <w:keepNext w:val="0"/>
              <w:ind w:left="-52" w:right="-110"/>
            </w:pPr>
            <w:r w:rsidRPr="00D123EE">
              <w:t>Claim (submission)</w:t>
            </w:r>
          </w:p>
        </w:tc>
        <w:tc>
          <w:tcPr>
            <w:tcW w:w="2752" w:type="pct"/>
            <w:gridSpan w:val="6"/>
            <w:tcBorders>
              <w:bottom w:val="single" w:sz="4" w:space="0" w:color="auto"/>
              <w:right w:val="nil"/>
            </w:tcBorders>
            <w:shd w:val="clear" w:color="auto" w:fill="auto"/>
          </w:tcPr>
          <w:p w:rsidR="008A6E90" w:rsidRPr="00D123EE" w:rsidRDefault="008A6E90" w:rsidP="004858E7">
            <w:pPr>
              <w:pStyle w:val="TableText0"/>
              <w:keepNext w:val="0"/>
              <w:ind w:left="-52" w:right="-110"/>
            </w:pPr>
            <w:r w:rsidRPr="00D123EE">
              <w:t>Non-inferior</w:t>
            </w:r>
          </w:p>
        </w:tc>
        <w:tc>
          <w:tcPr>
            <w:tcW w:w="426" w:type="pct"/>
            <w:tcBorders>
              <w:left w:val="nil"/>
              <w:bottom w:val="single" w:sz="4" w:space="0" w:color="auto"/>
              <w:right w:val="nil"/>
            </w:tcBorders>
          </w:tcPr>
          <w:p w:rsidR="008A6E90" w:rsidRPr="00D123EE" w:rsidRDefault="008A6E90" w:rsidP="004858E7">
            <w:pPr>
              <w:pStyle w:val="TableText0"/>
              <w:keepNext w:val="0"/>
              <w:ind w:left="-52" w:right="-110"/>
            </w:pPr>
          </w:p>
        </w:tc>
        <w:tc>
          <w:tcPr>
            <w:tcW w:w="435" w:type="pct"/>
            <w:tcBorders>
              <w:left w:val="nil"/>
              <w:bottom w:val="single" w:sz="4" w:space="0" w:color="auto"/>
              <w:right w:val="nil"/>
            </w:tcBorders>
          </w:tcPr>
          <w:p w:rsidR="008A6E90" w:rsidRPr="00D123EE" w:rsidRDefault="008A6E90" w:rsidP="004858E7">
            <w:pPr>
              <w:pStyle w:val="TableText0"/>
              <w:keepNext w:val="0"/>
              <w:ind w:left="-52" w:right="-110"/>
            </w:pPr>
          </w:p>
        </w:tc>
        <w:tc>
          <w:tcPr>
            <w:tcW w:w="420" w:type="pct"/>
            <w:tcBorders>
              <w:left w:val="nil"/>
              <w:bottom w:val="single" w:sz="4" w:space="0" w:color="auto"/>
            </w:tcBorders>
          </w:tcPr>
          <w:p w:rsidR="008A6E90" w:rsidRPr="00D123EE" w:rsidRDefault="008A6E90" w:rsidP="004858E7">
            <w:pPr>
              <w:pStyle w:val="TableText0"/>
              <w:keepNext w:val="0"/>
              <w:ind w:left="-52" w:right="-110"/>
            </w:pPr>
          </w:p>
        </w:tc>
      </w:tr>
      <w:tr w:rsidR="008A6E90" w:rsidRPr="00D123EE" w:rsidTr="004858E7">
        <w:tc>
          <w:tcPr>
            <w:tcW w:w="5000" w:type="pct"/>
            <w:gridSpan w:val="10"/>
            <w:shd w:val="clear" w:color="auto" w:fill="auto"/>
          </w:tcPr>
          <w:p w:rsidR="008A6E90" w:rsidRPr="00D123EE" w:rsidRDefault="008A6E90" w:rsidP="004858E7">
            <w:pPr>
              <w:pStyle w:val="TableText0"/>
              <w:keepNext w:val="0"/>
              <w:ind w:left="-52" w:right="-110"/>
            </w:pPr>
            <w:r w:rsidRPr="00D123EE">
              <w:rPr>
                <w:b/>
              </w:rPr>
              <w:t xml:space="preserve">Patient overall assessment of study medication: </w:t>
            </w:r>
            <w:r w:rsidRPr="00D123EE">
              <w:t>MCID: Global rating of change: &gt;1.35 point; Change of 28-30% is clinically meaningful.</w:t>
            </w:r>
          </w:p>
        </w:tc>
      </w:tr>
      <w:tr w:rsidR="008A6E90" w:rsidRPr="00D123EE" w:rsidTr="004858E7">
        <w:tc>
          <w:tcPr>
            <w:tcW w:w="968" w:type="pct"/>
            <w:tcBorders>
              <w:top w:val="single" w:sz="4" w:space="0" w:color="auto"/>
              <w:bottom w:val="single" w:sz="4" w:space="0" w:color="auto"/>
            </w:tcBorders>
            <w:shd w:val="clear" w:color="auto" w:fill="auto"/>
          </w:tcPr>
          <w:p w:rsidR="008A6E90" w:rsidRPr="00D123EE" w:rsidRDefault="008A6E90" w:rsidP="004858E7">
            <w:pPr>
              <w:pStyle w:val="TableText0"/>
              <w:keepNext w:val="0"/>
              <w:ind w:left="-52" w:right="-110"/>
            </w:pPr>
            <w:r w:rsidRPr="00D123EE">
              <w:t>Likert scale</w:t>
            </w:r>
          </w:p>
        </w:tc>
        <w:tc>
          <w:tcPr>
            <w:tcW w:w="427" w:type="pct"/>
            <w:tcBorders>
              <w:top w:val="single" w:sz="4" w:space="0" w:color="auto"/>
            </w:tcBorders>
            <w:shd w:val="clear" w:color="auto" w:fill="auto"/>
          </w:tcPr>
          <w:p w:rsidR="008A6E90" w:rsidRPr="00D123EE" w:rsidRDefault="008A6E90" w:rsidP="004858E7">
            <w:pPr>
              <w:pStyle w:val="TableText0"/>
              <w:keepNext w:val="0"/>
              <w:ind w:left="-52" w:right="-110"/>
            </w:pPr>
            <w:r w:rsidRPr="00D123EE">
              <w:sym w:font="Wingdings" w:char="F0FC"/>
            </w:r>
            <w:r w:rsidRPr="00D123EE">
              <w:t xml:space="preserve"> 5-pt</w:t>
            </w:r>
          </w:p>
        </w:tc>
        <w:tc>
          <w:tcPr>
            <w:tcW w:w="481" w:type="pct"/>
            <w:tcBorders>
              <w:top w:val="single" w:sz="4" w:space="0" w:color="auto"/>
            </w:tcBorders>
            <w:shd w:val="clear" w:color="auto" w:fill="auto"/>
          </w:tcPr>
          <w:p w:rsidR="008A6E90" w:rsidRPr="00D123EE" w:rsidRDefault="008A6E90" w:rsidP="004858E7">
            <w:pPr>
              <w:pStyle w:val="TableText0"/>
              <w:keepNext w:val="0"/>
              <w:ind w:left="-52" w:right="-110"/>
            </w:pPr>
            <w:r w:rsidRPr="00D123EE">
              <w:sym w:font="Wingdings" w:char="F0FC"/>
            </w:r>
            <w:r w:rsidRPr="00D123EE">
              <w:t xml:space="preserve"> 5-pt</w:t>
            </w:r>
          </w:p>
        </w:tc>
        <w:tc>
          <w:tcPr>
            <w:tcW w:w="444" w:type="pct"/>
            <w:tcBorders>
              <w:top w:val="single" w:sz="4" w:space="0" w:color="auto"/>
            </w:tcBorders>
            <w:shd w:val="clear" w:color="auto" w:fill="auto"/>
          </w:tcPr>
          <w:p w:rsidR="008A6E90" w:rsidRPr="00D123EE" w:rsidRDefault="008A6E90" w:rsidP="004858E7">
            <w:pPr>
              <w:pStyle w:val="TableText0"/>
              <w:keepNext w:val="0"/>
              <w:ind w:left="-52" w:right="-110"/>
            </w:pPr>
            <w:r w:rsidRPr="00D123EE">
              <w:t>NR</w:t>
            </w:r>
          </w:p>
        </w:tc>
        <w:tc>
          <w:tcPr>
            <w:tcW w:w="490" w:type="pct"/>
            <w:tcBorders>
              <w:top w:val="single" w:sz="4" w:space="0" w:color="auto"/>
            </w:tcBorders>
            <w:shd w:val="clear" w:color="auto" w:fill="auto"/>
          </w:tcPr>
          <w:p w:rsidR="008A6E90" w:rsidRPr="00D123EE" w:rsidRDefault="008A6E90" w:rsidP="004858E7">
            <w:pPr>
              <w:pStyle w:val="TableText0"/>
              <w:keepNext w:val="0"/>
              <w:ind w:left="-52" w:right="-110"/>
            </w:pPr>
            <w:r w:rsidRPr="00D123EE">
              <w:sym w:font="Wingdings" w:char="F0FC"/>
            </w:r>
            <w:r w:rsidRPr="00D123EE">
              <w:t>5-pt</w:t>
            </w:r>
          </w:p>
        </w:tc>
        <w:tc>
          <w:tcPr>
            <w:tcW w:w="465" w:type="pct"/>
            <w:tcBorders>
              <w:top w:val="single" w:sz="4" w:space="0" w:color="auto"/>
            </w:tcBorders>
            <w:shd w:val="clear" w:color="auto" w:fill="auto"/>
          </w:tcPr>
          <w:p w:rsidR="008A6E90" w:rsidRPr="00D123EE" w:rsidRDefault="00804F3B" w:rsidP="004858E7">
            <w:pPr>
              <w:pStyle w:val="TableText0"/>
              <w:keepNext w:val="0"/>
              <w:ind w:left="-52" w:right="-110"/>
            </w:pPr>
            <w:proofErr w:type="spellStart"/>
            <w:r w:rsidRPr="00D123EE">
              <w:t>NR</w:t>
            </w:r>
            <w:r w:rsidRPr="00D123EE">
              <w:rPr>
                <w:vertAlign w:val="superscript"/>
              </w:rPr>
              <w:t>b</w:t>
            </w:r>
            <w:proofErr w:type="spellEnd"/>
          </w:p>
        </w:tc>
        <w:tc>
          <w:tcPr>
            <w:tcW w:w="445" w:type="pct"/>
            <w:tcBorders>
              <w:top w:val="single" w:sz="4" w:space="0" w:color="auto"/>
            </w:tcBorders>
            <w:shd w:val="clear" w:color="auto" w:fill="auto"/>
          </w:tcPr>
          <w:p w:rsidR="008A6E90" w:rsidRPr="00D123EE" w:rsidRDefault="008A6E90" w:rsidP="004858E7">
            <w:pPr>
              <w:pStyle w:val="TableText0"/>
              <w:keepNext w:val="0"/>
              <w:ind w:left="-52" w:right="-110"/>
            </w:pPr>
            <w:r w:rsidRPr="00D123EE">
              <w:sym w:font="Wingdings" w:char="F0FC"/>
            </w:r>
            <w:r w:rsidRPr="00D123EE">
              <w:t xml:space="preserve"> 5-pt</w:t>
            </w:r>
          </w:p>
        </w:tc>
        <w:tc>
          <w:tcPr>
            <w:tcW w:w="426" w:type="pct"/>
            <w:tcBorders>
              <w:top w:val="single" w:sz="4" w:space="0" w:color="auto"/>
            </w:tcBorders>
          </w:tcPr>
          <w:p w:rsidR="008A6E90" w:rsidRPr="00D123EE" w:rsidRDefault="008A6E90" w:rsidP="004858E7">
            <w:pPr>
              <w:pStyle w:val="TableText0"/>
              <w:keepNext w:val="0"/>
              <w:ind w:left="-52" w:right="-110"/>
            </w:pPr>
            <w:r w:rsidRPr="00D123EE">
              <w:t>NR</w:t>
            </w:r>
          </w:p>
        </w:tc>
        <w:tc>
          <w:tcPr>
            <w:tcW w:w="435" w:type="pct"/>
            <w:tcBorders>
              <w:top w:val="single" w:sz="4" w:space="0" w:color="auto"/>
            </w:tcBorders>
          </w:tcPr>
          <w:p w:rsidR="008A6E90" w:rsidRPr="00D123EE" w:rsidRDefault="008A6E90" w:rsidP="004858E7">
            <w:pPr>
              <w:pStyle w:val="TableText0"/>
              <w:keepNext w:val="0"/>
              <w:ind w:left="-52" w:right="-110"/>
            </w:pPr>
            <w:r w:rsidRPr="00D123EE">
              <w:sym w:font="Wingdings" w:char="F0FC"/>
            </w:r>
            <w:r w:rsidRPr="00D123EE">
              <w:t xml:space="preserve"> 5-pt</w:t>
            </w:r>
          </w:p>
        </w:tc>
        <w:tc>
          <w:tcPr>
            <w:tcW w:w="420" w:type="pct"/>
            <w:tcBorders>
              <w:top w:val="single" w:sz="4" w:space="0" w:color="auto"/>
            </w:tcBorders>
          </w:tcPr>
          <w:p w:rsidR="008A6E90" w:rsidRPr="00D123EE" w:rsidRDefault="008A6E90" w:rsidP="004858E7">
            <w:pPr>
              <w:pStyle w:val="TableText0"/>
              <w:keepNext w:val="0"/>
              <w:ind w:left="-52" w:right="-110"/>
            </w:pPr>
            <w:r w:rsidRPr="00D123EE">
              <w:t>NR</w:t>
            </w:r>
          </w:p>
        </w:tc>
      </w:tr>
      <w:tr w:rsidR="008A6E90" w:rsidRPr="00D123EE" w:rsidTr="004858E7">
        <w:tc>
          <w:tcPr>
            <w:tcW w:w="968" w:type="pct"/>
            <w:tcBorders>
              <w:top w:val="nil"/>
              <w:bottom w:val="nil"/>
            </w:tcBorders>
            <w:shd w:val="clear" w:color="auto" w:fill="auto"/>
          </w:tcPr>
          <w:p w:rsidR="008A6E90" w:rsidRPr="00D123EE" w:rsidRDefault="008A6E90" w:rsidP="004858E7">
            <w:pPr>
              <w:pStyle w:val="TableText0"/>
              <w:keepNext w:val="0"/>
              <w:ind w:left="-52" w:right="-110"/>
            </w:pPr>
            <w:r w:rsidRPr="00D123EE">
              <w:t>Diff bet. groups</w:t>
            </w:r>
          </w:p>
        </w:tc>
        <w:tc>
          <w:tcPr>
            <w:tcW w:w="427" w:type="pct"/>
            <w:tcBorders>
              <w:top w:val="single" w:sz="4" w:space="0" w:color="auto"/>
            </w:tcBorders>
            <w:shd w:val="clear" w:color="auto" w:fill="auto"/>
          </w:tcPr>
          <w:p w:rsidR="008A6E90" w:rsidRPr="00D123EE" w:rsidRDefault="008A6E90" w:rsidP="004858E7">
            <w:pPr>
              <w:pStyle w:val="TableText0"/>
              <w:keepNext w:val="0"/>
              <w:ind w:left="-52" w:right="-110"/>
            </w:pPr>
            <w:r w:rsidRPr="00D123EE">
              <w:t>Not diff.</w:t>
            </w:r>
          </w:p>
        </w:tc>
        <w:tc>
          <w:tcPr>
            <w:tcW w:w="481" w:type="pct"/>
            <w:tcBorders>
              <w:top w:val="single" w:sz="4" w:space="0" w:color="auto"/>
            </w:tcBorders>
            <w:shd w:val="clear" w:color="auto" w:fill="auto"/>
          </w:tcPr>
          <w:p w:rsidR="008A6E90" w:rsidRPr="00D123EE" w:rsidRDefault="008A6E90" w:rsidP="004858E7">
            <w:pPr>
              <w:pStyle w:val="TableText0"/>
              <w:keepNext w:val="0"/>
              <w:ind w:left="-52" w:right="-110"/>
            </w:pPr>
            <w:r w:rsidRPr="00D123EE">
              <w:t>Diff</w:t>
            </w:r>
          </w:p>
        </w:tc>
        <w:tc>
          <w:tcPr>
            <w:tcW w:w="444" w:type="pct"/>
            <w:tcBorders>
              <w:top w:val="single" w:sz="4" w:space="0" w:color="auto"/>
            </w:tcBorders>
            <w:shd w:val="clear" w:color="auto" w:fill="auto"/>
          </w:tcPr>
          <w:p w:rsidR="008A6E90" w:rsidRPr="00D123EE" w:rsidRDefault="008A6E90" w:rsidP="004858E7">
            <w:pPr>
              <w:pStyle w:val="TableText0"/>
              <w:keepNext w:val="0"/>
              <w:ind w:left="-52" w:right="-110"/>
            </w:pPr>
            <w:r w:rsidRPr="00D123EE">
              <w:t>-</w:t>
            </w:r>
          </w:p>
        </w:tc>
        <w:tc>
          <w:tcPr>
            <w:tcW w:w="490" w:type="pct"/>
            <w:tcBorders>
              <w:top w:val="single" w:sz="4" w:space="0" w:color="auto"/>
            </w:tcBorders>
            <w:shd w:val="clear" w:color="auto" w:fill="auto"/>
          </w:tcPr>
          <w:p w:rsidR="008A6E90" w:rsidRPr="00D123EE" w:rsidRDefault="008A6E90" w:rsidP="004858E7">
            <w:pPr>
              <w:pStyle w:val="TableText0"/>
              <w:keepNext w:val="0"/>
              <w:ind w:left="-52" w:right="-110"/>
            </w:pPr>
            <w:r w:rsidRPr="00D123EE">
              <w:t>Diff</w:t>
            </w:r>
          </w:p>
        </w:tc>
        <w:tc>
          <w:tcPr>
            <w:tcW w:w="465" w:type="pct"/>
            <w:tcBorders>
              <w:top w:val="single" w:sz="4" w:space="0" w:color="auto"/>
            </w:tcBorders>
            <w:shd w:val="clear" w:color="auto" w:fill="auto"/>
          </w:tcPr>
          <w:p w:rsidR="008A6E90" w:rsidRPr="00D123EE" w:rsidRDefault="008A6E90" w:rsidP="004858E7">
            <w:pPr>
              <w:pStyle w:val="TableText0"/>
              <w:keepNext w:val="0"/>
              <w:ind w:left="-52" w:right="-110"/>
            </w:pPr>
            <w:r w:rsidRPr="00D123EE">
              <w:t>-</w:t>
            </w:r>
          </w:p>
        </w:tc>
        <w:tc>
          <w:tcPr>
            <w:tcW w:w="445" w:type="pct"/>
            <w:tcBorders>
              <w:top w:val="single" w:sz="4" w:space="0" w:color="auto"/>
            </w:tcBorders>
            <w:shd w:val="clear" w:color="auto" w:fill="auto"/>
          </w:tcPr>
          <w:p w:rsidR="008A6E90" w:rsidRPr="00D123EE" w:rsidRDefault="008A6E90" w:rsidP="004858E7">
            <w:pPr>
              <w:pStyle w:val="TableText0"/>
              <w:keepNext w:val="0"/>
              <w:ind w:left="-52" w:right="-110"/>
            </w:pPr>
            <w:r w:rsidRPr="00D123EE">
              <w:t>Diff</w:t>
            </w:r>
          </w:p>
        </w:tc>
        <w:tc>
          <w:tcPr>
            <w:tcW w:w="426" w:type="pct"/>
            <w:tcBorders>
              <w:top w:val="single" w:sz="4" w:space="0" w:color="auto"/>
            </w:tcBorders>
          </w:tcPr>
          <w:p w:rsidR="008A6E90" w:rsidRPr="00D123EE" w:rsidRDefault="008A6E90" w:rsidP="004858E7">
            <w:pPr>
              <w:pStyle w:val="TableText0"/>
              <w:keepNext w:val="0"/>
              <w:ind w:left="-52" w:right="-110"/>
            </w:pPr>
            <w:r w:rsidRPr="00D123EE">
              <w:t>-</w:t>
            </w:r>
          </w:p>
        </w:tc>
        <w:tc>
          <w:tcPr>
            <w:tcW w:w="435" w:type="pct"/>
            <w:tcBorders>
              <w:top w:val="single" w:sz="4" w:space="0" w:color="auto"/>
            </w:tcBorders>
          </w:tcPr>
          <w:p w:rsidR="008A6E90" w:rsidRPr="00D123EE" w:rsidRDefault="008A6E90" w:rsidP="004858E7">
            <w:pPr>
              <w:pStyle w:val="TableText0"/>
              <w:keepNext w:val="0"/>
              <w:ind w:left="-52" w:right="-110"/>
            </w:pPr>
            <w:r w:rsidRPr="00D123EE">
              <w:t>Diff</w:t>
            </w:r>
          </w:p>
        </w:tc>
        <w:tc>
          <w:tcPr>
            <w:tcW w:w="420" w:type="pct"/>
            <w:tcBorders>
              <w:top w:val="single" w:sz="4" w:space="0" w:color="auto"/>
            </w:tcBorders>
          </w:tcPr>
          <w:p w:rsidR="008A6E90" w:rsidRPr="00D123EE" w:rsidRDefault="008A6E90" w:rsidP="004858E7">
            <w:pPr>
              <w:pStyle w:val="TableText0"/>
              <w:keepNext w:val="0"/>
              <w:ind w:left="-52" w:right="-110"/>
            </w:pPr>
            <w:r w:rsidRPr="00D123EE">
              <w:t>-</w:t>
            </w:r>
          </w:p>
        </w:tc>
      </w:tr>
      <w:tr w:rsidR="008A6E90" w:rsidRPr="00D123EE" w:rsidTr="004858E7">
        <w:tc>
          <w:tcPr>
            <w:tcW w:w="968" w:type="pct"/>
            <w:tcBorders>
              <w:top w:val="nil"/>
            </w:tcBorders>
            <w:shd w:val="clear" w:color="auto" w:fill="auto"/>
          </w:tcPr>
          <w:p w:rsidR="008A6E90" w:rsidRPr="00D123EE" w:rsidRDefault="008A6E90" w:rsidP="004858E7">
            <w:pPr>
              <w:pStyle w:val="TableText0"/>
              <w:keepNext w:val="0"/>
              <w:ind w:left="-52" w:right="-110"/>
            </w:pPr>
            <w:r w:rsidRPr="00D123EE">
              <w:t>Meta-analysis</w:t>
            </w:r>
          </w:p>
        </w:tc>
        <w:tc>
          <w:tcPr>
            <w:tcW w:w="3178" w:type="pct"/>
            <w:gridSpan w:val="7"/>
            <w:tcBorders>
              <w:top w:val="single" w:sz="4" w:space="0" w:color="auto"/>
              <w:bottom w:val="single" w:sz="4" w:space="0" w:color="auto"/>
            </w:tcBorders>
            <w:shd w:val="clear" w:color="auto" w:fill="auto"/>
          </w:tcPr>
          <w:p w:rsidR="008A6E90" w:rsidRPr="00D123EE" w:rsidRDefault="008A6E90" w:rsidP="004858E7">
            <w:pPr>
              <w:pStyle w:val="TableText0"/>
              <w:ind w:left="-63" w:right="-110"/>
              <w:rPr>
                <w:rFonts w:cs="Arial"/>
                <w:bCs/>
                <w:color w:val="000000"/>
                <w:szCs w:val="18"/>
              </w:rPr>
            </w:pPr>
            <w:r w:rsidRPr="00D123EE">
              <w:rPr>
                <w:rFonts w:cs="Arial"/>
                <w:bCs/>
                <w:color w:val="000000"/>
                <w:szCs w:val="18"/>
              </w:rPr>
              <w:t xml:space="preserve">Difference </w:t>
            </w:r>
          </w:p>
        </w:tc>
        <w:tc>
          <w:tcPr>
            <w:tcW w:w="855" w:type="pct"/>
            <w:gridSpan w:val="2"/>
            <w:tcBorders>
              <w:top w:val="single" w:sz="4" w:space="0" w:color="auto"/>
              <w:bottom w:val="single" w:sz="4" w:space="0" w:color="auto"/>
            </w:tcBorders>
          </w:tcPr>
          <w:p w:rsidR="008A6E90" w:rsidRPr="00D123EE" w:rsidRDefault="008A6E90" w:rsidP="004858E7">
            <w:pPr>
              <w:pStyle w:val="TableText0"/>
              <w:keepNext w:val="0"/>
              <w:ind w:left="-63" w:right="-110"/>
            </w:pPr>
            <w:r w:rsidRPr="00D123EE">
              <w:t>NA</w:t>
            </w:r>
          </w:p>
        </w:tc>
      </w:tr>
      <w:tr w:rsidR="008A6E90" w:rsidRPr="00D123EE" w:rsidTr="004858E7">
        <w:tc>
          <w:tcPr>
            <w:tcW w:w="968" w:type="pct"/>
            <w:tcBorders>
              <w:top w:val="nil"/>
            </w:tcBorders>
            <w:shd w:val="clear" w:color="auto" w:fill="auto"/>
          </w:tcPr>
          <w:p w:rsidR="008A6E90" w:rsidRPr="00D123EE" w:rsidRDefault="008A6E90" w:rsidP="004858E7">
            <w:pPr>
              <w:pStyle w:val="TableText0"/>
              <w:keepNext w:val="0"/>
              <w:ind w:left="-52" w:right="-110"/>
            </w:pPr>
            <w:r w:rsidRPr="00D123EE">
              <w:t>ITC</w:t>
            </w:r>
          </w:p>
        </w:tc>
        <w:tc>
          <w:tcPr>
            <w:tcW w:w="3178" w:type="pct"/>
            <w:gridSpan w:val="7"/>
            <w:tcBorders>
              <w:top w:val="single" w:sz="4" w:space="0" w:color="auto"/>
              <w:bottom w:val="nil"/>
              <w:right w:val="nil"/>
            </w:tcBorders>
            <w:shd w:val="clear" w:color="auto" w:fill="auto"/>
          </w:tcPr>
          <w:p w:rsidR="008A6E90" w:rsidRPr="00D123EE" w:rsidRDefault="008A6E90" w:rsidP="004858E7">
            <w:pPr>
              <w:pStyle w:val="TableText0"/>
              <w:ind w:left="-63" w:right="-110"/>
              <w:rPr>
                <w:rFonts w:cs="Arial"/>
                <w:bCs/>
                <w:color w:val="000000"/>
                <w:szCs w:val="18"/>
              </w:rPr>
            </w:pPr>
            <w:r w:rsidRPr="00D123EE">
              <w:rPr>
                <w:rFonts w:cs="Arial"/>
                <w:bCs/>
                <w:color w:val="000000"/>
                <w:szCs w:val="18"/>
              </w:rPr>
              <w:t>No difference</w:t>
            </w:r>
          </w:p>
        </w:tc>
        <w:tc>
          <w:tcPr>
            <w:tcW w:w="855" w:type="pct"/>
            <w:gridSpan w:val="2"/>
            <w:tcBorders>
              <w:top w:val="single" w:sz="4" w:space="0" w:color="auto"/>
              <w:left w:val="nil"/>
              <w:bottom w:val="nil"/>
            </w:tcBorders>
          </w:tcPr>
          <w:p w:rsidR="008A6E90" w:rsidRPr="00D123EE" w:rsidRDefault="008A6E90" w:rsidP="004858E7">
            <w:pPr>
              <w:pStyle w:val="TableText0"/>
              <w:keepNext w:val="0"/>
              <w:ind w:left="-63" w:right="-110"/>
            </w:pPr>
          </w:p>
        </w:tc>
      </w:tr>
      <w:tr w:rsidR="008A6E90" w:rsidRPr="00D123EE" w:rsidTr="004858E7">
        <w:tc>
          <w:tcPr>
            <w:tcW w:w="968" w:type="pct"/>
            <w:tcBorders>
              <w:top w:val="nil"/>
            </w:tcBorders>
            <w:shd w:val="clear" w:color="auto" w:fill="auto"/>
          </w:tcPr>
          <w:p w:rsidR="008A6E90" w:rsidRPr="00D123EE" w:rsidRDefault="008A6E90" w:rsidP="004858E7">
            <w:pPr>
              <w:pStyle w:val="TableText0"/>
              <w:keepNext w:val="0"/>
              <w:ind w:left="-52" w:right="-110"/>
            </w:pPr>
            <w:r w:rsidRPr="00D123EE">
              <w:t>Claim</w:t>
            </w:r>
          </w:p>
        </w:tc>
        <w:tc>
          <w:tcPr>
            <w:tcW w:w="4032" w:type="pct"/>
            <w:gridSpan w:val="9"/>
            <w:tcBorders>
              <w:top w:val="single" w:sz="4" w:space="0" w:color="auto"/>
            </w:tcBorders>
            <w:shd w:val="clear" w:color="auto" w:fill="auto"/>
          </w:tcPr>
          <w:p w:rsidR="008A6E90" w:rsidRPr="00D123EE" w:rsidRDefault="008A6E90" w:rsidP="004858E7">
            <w:pPr>
              <w:pStyle w:val="TableText0"/>
              <w:ind w:left="-63" w:right="-110"/>
            </w:pPr>
            <w:r w:rsidRPr="00D123EE">
              <w:t>Non-inferior</w:t>
            </w:r>
          </w:p>
        </w:tc>
      </w:tr>
      <w:tr w:rsidR="008A6E90" w:rsidRPr="00D123EE" w:rsidTr="004858E7">
        <w:tc>
          <w:tcPr>
            <w:tcW w:w="5000" w:type="pct"/>
            <w:gridSpan w:val="10"/>
            <w:shd w:val="clear" w:color="auto" w:fill="auto"/>
          </w:tcPr>
          <w:p w:rsidR="008A6E90" w:rsidRPr="00D123EE" w:rsidRDefault="008A6E90" w:rsidP="004858E7">
            <w:pPr>
              <w:pStyle w:val="TableText0"/>
              <w:keepNext w:val="0"/>
              <w:ind w:left="-52" w:right="-110"/>
              <w:rPr>
                <w:b/>
                <w:szCs w:val="20"/>
                <w:lang w:eastAsia="en-AU"/>
              </w:rPr>
            </w:pPr>
            <w:r w:rsidRPr="00D123EE">
              <w:rPr>
                <w:b/>
              </w:rPr>
              <w:t xml:space="preserve">Quality of life and other scores; </w:t>
            </w:r>
            <w:r w:rsidRPr="00D123EE">
              <w:t>SF-36: bodily pain up to 20.35, physical function up to 20.4, physical component scale up to 4.8; WOMAC max values: physical function -2.65 to -2.60, pain -2.99, stiffness -2.59, global measure -1.47</w:t>
            </w:r>
          </w:p>
        </w:tc>
      </w:tr>
      <w:tr w:rsidR="008A6E90" w:rsidRPr="00D123EE" w:rsidTr="004858E7">
        <w:tc>
          <w:tcPr>
            <w:tcW w:w="5000" w:type="pct"/>
            <w:gridSpan w:val="10"/>
            <w:tcBorders>
              <w:bottom w:val="single" w:sz="4" w:space="0" w:color="auto"/>
            </w:tcBorders>
            <w:shd w:val="clear" w:color="auto" w:fill="auto"/>
          </w:tcPr>
          <w:p w:rsidR="008A6E90" w:rsidRPr="00D123EE" w:rsidRDefault="008A6E90" w:rsidP="004858E7">
            <w:pPr>
              <w:pStyle w:val="TableText0"/>
              <w:keepNext w:val="0"/>
              <w:ind w:left="-52" w:right="-110"/>
              <w:rPr>
                <w:b/>
              </w:rPr>
            </w:pPr>
            <w:r w:rsidRPr="00D123EE">
              <w:rPr>
                <w:b/>
              </w:rPr>
              <w:t xml:space="preserve">WOMAC: Index total score, Physical function, Pain, Stiffness </w:t>
            </w:r>
            <w:r w:rsidRPr="00D123EE">
              <w:t>[consistent across all domains]</w:t>
            </w:r>
          </w:p>
        </w:tc>
      </w:tr>
      <w:tr w:rsidR="008A6E90" w:rsidRPr="00D123EE" w:rsidTr="004858E7">
        <w:tc>
          <w:tcPr>
            <w:tcW w:w="968"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WOMAC</w:t>
            </w:r>
          </w:p>
        </w:tc>
        <w:tc>
          <w:tcPr>
            <w:tcW w:w="427"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sym w:font="Wingdings" w:char="F0FC"/>
            </w:r>
          </w:p>
        </w:tc>
        <w:tc>
          <w:tcPr>
            <w:tcW w:w="481"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NR</w:t>
            </w:r>
          </w:p>
        </w:tc>
        <w:tc>
          <w:tcPr>
            <w:tcW w:w="444"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NR</w:t>
            </w:r>
          </w:p>
        </w:tc>
        <w:tc>
          <w:tcPr>
            <w:tcW w:w="490"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NR</w:t>
            </w:r>
          </w:p>
        </w:tc>
        <w:tc>
          <w:tcPr>
            <w:tcW w:w="465"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NR</w:t>
            </w:r>
          </w:p>
        </w:tc>
        <w:tc>
          <w:tcPr>
            <w:tcW w:w="445"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sym w:font="Wingdings" w:char="F0FC"/>
            </w:r>
          </w:p>
        </w:tc>
        <w:tc>
          <w:tcPr>
            <w:tcW w:w="426" w:type="pct"/>
            <w:tcBorders>
              <w:bottom w:val="single" w:sz="4" w:space="0" w:color="auto"/>
            </w:tcBorders>
          </w:tcPr>
          <w:p w:rsidR="008A6E90" w:rsidRPr="00D123EE" w:rsidRDefault="008A6E90" w:rsidP="004858E7">
            <w:pPr>
              <w:pStyle w:val="TableText0"/>
              <w:keepNext w:val="0"/>
              <w:ind w:left="-52" w:right="-110"/>
            </w:pPr>
            <w:r w:rsidRPr="00D123EE">
              <w:t>NR</w:t>
            </w:r>
          </w:p>
        </w:tc>
        <w:tc>
          <w:tcPr>
            <w:tcW w:w="435" w:type="pct"/>
            <w:tcBorders>
              <w:bottom w:val="single" w:sz="4" w:space="0" w:color="auto"/>
            </w:tcBorders>
          </w:tcPr>
          <w:p w:rsidR="008A6E90" w:rsidRPr="00D123EE" w:rsidRDefault="008A6E90" w:rsidP="004858E7">
            <w:pPr>
              <w:pStyle w:val="TableText0"/>
              <w:keepNext w:val="0"/>
              <w:ind w:left="-52" w:right="-110"/>
            </w:pPr>
            <w:r w:rsidRPr="00D123EE">
              <w:sym w:font="Wingdings" w:char="F0FC"/>
            </w:r>
          </w:p>
        </w:tc>
        <w:tc>
          <w:tcPr>
            <w:tcW w:w="420" w:type="pct"/>
            <w:tcBorders>
              <w:bottom w:val="single" w:sz="4" w:space="0" w:color="auto"/>
            </w:tcBorders>
          </w:tcPr>
          <w:p w:rsidR="008A6E90" w:rsidRPr="00D123EE" w:rsidRDefault="008A6E90" w:rsidP="004858E7">
            <w:pPr>
              <w:pStyle w:val="TableText0"/>
              <w:keepNext w:val="0"/>
              <w:ind w:left="-52" w:right="-110"/>
            </w:pPr>
            <w:r w:rsidRPr="00D123EE">
              <w:t>NR</w:t>
            </w:r>
          </w:p>
        </w:tc>
      </w:tr>
      <w:tr w:rsidR="008A6E90" w:rsidRPr="00D123EE" w:rsidTr="004858E7">
        <w:tc>
          <w:tcPr>
            <w:tcW w:w="968"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Diff bet. groups</w:t>
            </w:r>
          </w:p>
        </w:tc>
        <w:tc>
          <w:tcPr>
            <w:tcW w:w="427"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 xml:space="preserve">No diff. </w:t>
            </w:r>
          </w:p>
        </w:tc>
        <w:tc>
          <w:tcPr>
            <w:tcW w:w="481"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w:t>
            </w:r>
          </w:p>
        </w:tc>
        <w:tc>
          <w:tcPr>
            <w:tcW w:w="444"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w:t>
            </w:r>
          </w:p>
        </w:tc>
        <w:tc>
          <w:tcPr>
            <w:tcW w:w="490"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w:t>
            </w:r>
          </w:p>
        </w:tc>
        <w:tc>
          <w:tcPr>
            <w:tcW w:w="465"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w:t>
            </w:r>
          </w:p>
        </w:tc>
        <w:tc>
          <w:tcPr>
            <w:tcW w:w="445"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 xml:space="preserve">No diff. </w:t>
            </w:r>
          </w:p>
        </w:tc>
        <w:tc>
          <w:tcPr>
            <w:tcW w:w="426" w:type="pct"/>
            <w:tcBorders>
              <w:bottom w:val="single" w:sz="4" w:space="0" w:color="auto"/>
            </w:tcBorders>
          </w:tcPr>
          <w:p w:rsidR="008A6E90" w:rsidRPr="00D123EE" w:rsidRDefault="008A6E90" w:rsidP="004858E7">
            <w:pPr>
              <w:pStyle w:val="TableText0"/>
              <w:keepNext w:val="0"/>
              <w:ind w:left="-52" w:right="-110"/>
            </w:pPr>
            <w:r w:rsidRPr="00D123EE">
              <w:t>-</w:t>
            </w:r>
          </w:p>
        </w:tc>
        <w:tc>
          <w:tcPr>
            <w:tcW w:w="435" w:type="pct"/>
            <w:tcBorders>
              <w:bottom w:val="single" w:sz="4" w:space="0" w:color="auto"/>
            </w:tcBorders>
          </w:tcPr>
          <w:p w:rsidR="008A6E90" w:rsidRPr="00D123EE" w:rsidRDefault="008A6E90" w:rsidP="004858E7">
            <w:pPr>
              <w:pStyle w:val="TableText0"/>
              <w:keepNext w:val="0"/>
              <w:ind w:left="-52" w:right="-110"/>
            </w:pPr>
            <w:r w:rsidRPr="00D123EE">
              <w:t>No diff.</w:t>
            </w:r>
          </w:p>
        </w:tc>
        <w:tc>
          <w:tcPr>
            <w:tcW w:w="420" w:type="pct"/>
            <w:tcBorders>
              <w:bottom w:val="single" w:sz="4" w:space="0" w:color="auto"/>
            </w:tcBorders>
          </w:tcPr>
          <w:p w:rsidR="008A6E90" w:rsidRPr="00D123EE" w:rsidRDefault="008A6E90" w:rsidP="004858E7">
            <w:pPr>
              <w:pStyle w:val="TableText0"/>
              <w:keepNext w:val="0"/>
              <w:ind w:left="-52" w:right="-110"/>
            </w:pPr>
            <w:r w:rsidRPr="00D123EE">
              <w:t>-</w:t>
            </w:r>
          </w:p>
        </w:tc>
      </w:tr>
      <w:tr w:rsidR="008A6E90" w:rsidRPr="00D123EE" w:rsidTr="004858E7">
        <w:tc>
          <w:tcPr>
            <w:tcW w:w="968"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Meta-analysis</w:t>
            </w:r>
          </w:p>
        </w:tc>
        <w:tc>
          <w:tcPr>
            <w:tcW w:w="3178" w:type="pct"/>
            <w:gridSpan w:val="7"/>
            <w:tcBorders>
              <w:bottom w:val="single" w:sz="4" w:space="0" w:color="auto"/>
            </w:tcBorders>
            <w:shd w:val="clear" w:color="auto" w:fill="auto"/>
          </w:tcPr>
          <w:p w:rsidR="008A6E90" w:rsidRPr="00D123EE" w:rsidRDefault="008A6E90" w:rsidP="004858E7">
            <w:pPr>
              <w:pStyle w:val="TableText0"/>
              <w:keepNext w:val="0"/>
              <w:ind w:left="-52" w:right="-110"/>
            </w:pPr>
            <w:r w:rsidRPr="00D123EE">
              <w:t>No difference</w:t>
            </w:r>
          </w:p>
        </w:tc>
        <w:tc>
          <w:tcPr>
            <w:tcW w:w="855" w:type="pct"/>
            <w:gridSpan w:val="2"/>
            <w:tcBorders>
              <w:bottom w:val="single" w:sz="4" w:space="0" w:color="auto"/>
            </w:tcBorders>
          </w:tcPr>
          <w:p w:rsidR="008A6E90" w:rsidRPr="00D123EE" w:rsidRDefault="008A6E90" w:rsidP="004858E7">
            <w:pPr>
              <w:pStyle w:val="TableText0"/>
              <w:keepNext w:val="0"/>
              <w:ind w:left="-52" w:right="-110"/>
            </w:pPr>
            <w:r w:rsidRPr="00D123EE">
              <w:t>No difference</w:t>
            </w:r>
          </w:p>
        </w:tc>
      </w:tr>
      <w:tr w:rsidR="008A6E90" w:rsidRPr="00D123EE" w:rsidTr="004858E7">
        <w:tc>
          <w:tcPr>
            <w:tcW w:w="968"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ITC</w:t>
            </w:r>
          </w:p>
        </w:tc>
        <w:tc>
          <w:tcPr>
            <w:tcW w:w="3178" w:type="pct"/>
            <w:gridSpan w:val="7"/>
            <w:tcBorders>
              <w:bottom w:val="single" w:sz="4" w:space="0" w:color="auto"/>
              <w:right w:val="nil"/>
            </w:tcBorders>
            <w:shd w:val="clear" w:color="auto" w:fill="auto"/>
          </w:tcPr>
          <w:p w:rsidR="008A6E90" w:rsidRPr="00D123EE" w:rsidRDefault="008A6E90" w:rsidP="004858E7">
            <w:pPr>
              <w:pStyle w:val="TableText0"/>
              <w:keepNext w:val="0"/>
              <w:ind w:left="-52" w:right="-110"/>
            </w:pPr>
            <w:r w:rsidRPr="00D123EE">
              <w:t xml:space="preserve">No difference </w:t>
            </w:r>
          </w:p>
        </w:tc>
        <w:tc>
          <w:tcPr>
            <w:tcW w:w="855" w:type="pct"/>
            <w:gridSpan w:val="2"/>
            <w:tcBorders>
              <w:left w:val="nil"/>
              <w:bottom w:val="single" w:sz="4" w:space="0" w:color="auto"/>
            </w:tcBorders>
          </w:tcPr>
          <w:p w:rsidR="008A6E90" w:rsidRPr="00D123EE" w:rsidRDefault="008A6E90" w:rsidP="004858E7">
            <w:pPr>
              <w:pStyle w:val="TableText0"/>
              <w:keepNext w:val="0"/>
              <w:ind w:left="-52" w:right="-110"/>
            </w:pPr>
          </w:p>
        </w:tc>
      </w:tr>
      <w:tr w:rsidR="008A6E90" w:rsidRPr="00D123EE" w:rsidTr="004858E7">
        <w:tc>
          <w:tcPr>
            <w:tcW w:w="968" w:type="pct"/>
            <w:tcBorders>
              <w:bottom w:val="single" w:sz="4" w:space="0" w:color="auto"/>
            </w:tcBorders>
            <w:shd w:val="clear" w:color="auto" w:fill="auto"/>
          </w:tcPr>
          <w:p w:rsidR="008A6E90" w:rsidRPr="00D123EE" w:rsidRDefault="008A6E90" w:rsidP="004858E7">
            <w:pPr>
              <w:pStyle w:val="TableText0"/>
              <w:keepNext w:val="0"/>
              <w:ind w:left="-52" w:right="-110"/>
            </w:pPr>
            <w:r w:rsidRPr="00D123EE">
              <w:t>Claim</w:t>
            </w:r>
          </w:p>
        </w:tc>
        <w:tc>
          <w:tcPr>
            <w:tcW w:w="3178" w:type="pct"/>
            <w:gridSpan w:val="7"/>
            <w:tcBorders>
              <w:bottom w:val="single" w:sz="4" w:space="0" w:color="auto"/>
              <w:right w:val="nil"/>
            </w:tcBorders>
            <w:shd w:val="clear" w:color="auto" w:fill="auto"/>
          </w:tcPr>
          <w:p w:rsidR="008A6E90" w:rsidRPr="00D123EE" w:rsidRDefault="008A6E90" w:rsidP="004858E7">
            <w:pPr>
              <w:pStyle w:val="TableText0"/>
              <w:keepNext w:val="0"/>
              <w:ind w:left="-52" w:right="-110"/>
            </w:pPr>
            <w:r w:rsidRPr="00D123EE">
              <w:t xml:space="preserve">Non-inferior </w:t>
            </w:r>
          </w:p>
        </w:tc>
        <w:tc>
          <w:tcPr>
            <w:tcW w:w="855" w:type="pct"/>
            <w:gridSpan w:val="2"/>
            <w:tcBorders>
              <w:left w:val="nil"/>
              <w:bottom w:val="single" w:sz="4" w:space="0" w:color="auto"/>
            </w:tcBorders>
          </w:tcPr>
          <w:p w:rsidR="008A6E90" w:rsidRPr="00D123EE" w:rsidRDefault="008A6E90" w:rsidP="004858E7">
            <w:pPr>
              <w:pStyle w:val="TableText0"/>
              <w:keepNext w:val="0"/>
              <w:ind w:left="-52" w:right="-110"/>
            </w:pPr>
          </w:p>
        </w:tc>
      </w:tr>
      <w:tr w:rsidR="008A6E90" w:rsidRPr="00D123EE" w:rsidTr="004858E7">
        <w:tc>
          <w:tcPr>
            <w:tcW w:w="968" w:type="pct"/>
            <w:shd w:val="clear" w:color="auto" w:fill="auto"/>
          </w:tcPr>
          <w:p w:rsidR="008A6E90" w:rsidRPr="00D123EE" w:rsidRDefault="008A6E90" w:rsidP="004858E7">
            <w:pPr>
              <w:pStyle w:val="TableText0"/>
              <w:keepNext w:val="0"/>
              <w:ind w:left="-52" w:right="-110"/>
              <w:rPr>
                <w:b/>
              </w:rPr>
            </w:pPr>
            <w:r w:rsidRPr="00D123EE">
              <w:rPr>
                <w:b/>
              </w:rPr>
              <w:t>SF-36</w:t>
            </w:r>
          </w:p>
        </w:tc>
        <w:tc>
          <w:tcPr>
            <w:tcW w:w="427" w:type="pct"/>
            <w:shd w:val="clear" w:color="auto" w:fill="auto"/>
          </w:tcPr>
          <w:p w:rsidR="008A6E90" w:rsidRPr="00D123EE" w:rsidRDefault="008A6E90" w:rsidP="004858E7">
            <w:pPr>
              <w:pStyle w:val="TableText0"/>
              <w:keepNext w:val="0"/>
              <w:ind w:left="-52" w:right="-110"/>
            </w:pPr>
            <w:r w:rsidRPr="00D123EE">
              <w:sym w:font="Wingdings" w:char="F0FC"/>
            </w:r>
          </w:p>
        </w:tc>
        <w:tc>
          <w:tcPr>
            <w:tcW w:w="481" w:type="pct"/>
            <w:shd w:val="clear" w:color="auto" w:fill="auto"/>
          </w:tcPr>
          <w:p w:rsidR="008A6E90" w:rsidRPr="00D123EE" w:rsidRDefault="008A6E90" w:rsidP="004858E7">
            <w:pPr>
              <w:pStyle w:val="TableText0"/>
              <w:keepNext w:val="0"/>
              <w:ind w:left="-52" w:right="-110"/>
            </w:pPr>
            <w:r w:rsidRPr="00D123EE">
              <w:sym w:font="Wingdings" w:char="F0FC"/>
            </w:r>
          </w:p>
        </w:tc>
        <w:tc>
          <w:tcPr>
            <w:tcW w:w="444" w:type="pct"/>
            <w:shd w:val="clear" w:color="auto" w:fill="auto"/>
          </w:tcPr>
          <w:p w:rsidR="008A6E90" w:rsidRPr="00D123EE" w:rsidRDefault="008A6E90" w:rsidP="004858E7">
            <w:pPr>
              <w:pStyle w:val="TableText0"/>
              <w:keepNext w:val="0"/>
              <w:ind w:left="-52" w:right="-110"/>
            </w:pPr>
            <w:r w:rsidRPr="00D123EE">
              <w:sym w:font="Wingdings" w:char="F0FC"/>
            </w:r>
          </w:p>
        </w:tc>
        <w:tc>
          <w:tcPr>
            <w:tcW w:w="490" w:type="pct"/>
            <w:shd w:val="clear" w:color="auto" w:fill="auto"/>
          </w:tcPr>
          <w:p w:rsidR="008A6E90" w:rsidRPr="00D123EE" w:rsidRDefault="008A6E90" w:rsidP="004858E7">
            <w:pPr>
              <w:pStyle w:val="TableText0"/>
              <w:keepNext w:val="0"/>
              <w:ind w:left="-52" w:right="-110"/>
            </w:pPr>
            <w:r w:rsidRPr="00D123EE">
              <w:sym w:font="Wingdings" w:char="F0FC"/>
            </w:r>
          </w:p>
        </w:tc>
        <w:tc>
          <w:tcPr>
            <w:tcW w:w="465" w:type="pct"/>
            <w:shd w:val="clear" w:color="auto" w:fill="auto"/>
          </w:tcPr>
          <w:p w:rsidR="008A6E90" w:rsidRPr="00D123EE" w:rsidRDefault="008A6E90" w:rsidP="004858E7">
            <w:pPr>
              <w:pStyle w:val="TableText0"/>
              <w:keepNext w:val="0"/>
              <w:ind w:left="-52" w:right="-110"/>
            </w:pPr>
            <w:r w:rsidRPr="00D123EE">
              <w:sym w:font="Wingdings" w:char="F0FC"/>
            </w:r>
          </w:p>
        </w:tc>
        <w:tc>
          <w:tcPr>
            <w:tcW w:w="445" w:type="pct"/>
            <w:shd w:val="clear" w:color="auto" w:fill="auto"/>
          </w:tcPr>
          <w:p w:rsidR="008A6E90" w:rsidRPr="00D123EE" w:rsidRDefault="008A6E90" w:rsidP="004858E7">
            <w:pPr>
              <w:pStyle w:val="TableText0"/>
              <w:keepNext w:val="0"/>
              <w:ind w:left="-52" w:right="-110"/>
            </w:pPr>
            <w:r w:rsidRPr="00D123EE">
              <w:sym w:font="Wingdings" w:char="F0FC"/>
            </w:r>
          </w:p>
        </w:tc>
        <w:tc>
          <w:tcPr>
            <w:tcW w:w="426" w:type="pct"/>
          </w:tcPr>
          <w:p w:rsidR="008A6E90" w:rsidRPr="00D123EE" w:rsidRDefault="008A6E90" w:rsidP="004858E7">
            <w:pPr>
              <w:pStyle w:val="TableText0"/>
              <w:keepNext w:val="0"/>
              <w:ind w:left="-52" w:right="-110"/>
            </w:pPr>
            <w:r w:rsidRPr="00D123EE">
              <w:sym w:font="Wingdings" w:char="F0FC"/>
            </w:r>
          </w:p>
        </w:tc>
        <w:tc>
          <w:tcPr>
            <w:tcW w:w="435" w:type="pct"/>
          </w:tcPr>
          <w:p w:rsidR="008A6E90" w:rsidRPr="00D123EE" w:rsidRDefault="008A6E90" w:rsidP="004858E7">
            <w:pPr>
              <w:pStyle w:val="TableText0"/>
              <w:keepNext w:val="0"/>
              <w:ind w:left="-52" w:right="-110"/>
            </w:pPr>
            <w:r w:rsidRPr="00D123EE">
              <w:t>NR</w:t>
            </w:r>
          </w:p>
        </w:tc>
        <w:tc>
          <w:tcPr>
            <w:tcW w:w="420" w:type="pct"/>
          </w:tcPr>
          <w:p w:rsidR="008A6E90" w:rsidRPr="00D123EE" w:rsidRDefault="008A6E90" w:rsidP="004858E7">
            <w:pPr>
              <w:pStyle w:val="TableText0"/>
              <w:keepNext w:val="0"/>
              <w:ind w:left="-52" w:right="-110"/>
            </w:pPr>
            <w:r w:rsidRPr="00D123EE">
              <w:t>NR</w:t>
            </w:r>
          </w:p>
        </w:tc>
      </w:tr>
      <w:tr w:rsidR="008A6E90" w:rsidRPr="00D123EE" w:rsidTr="004858E7">
        <w:tc>
          <w:tcPr>
            <w:tcW w:w="968" w:type="pct"/>
            <w:shd w:val="clear" w:color="auto" w:fill="auto"/>
          </w:tcPr>
          <w:p w:rsidR="008A6E90" w:rsidRPr="00D123EE" w:rsidRDefault="008A6E90" w:rsidP="004858E7">
            <w:pPr>
              <w:pStyle w:val="TableText0"/>
              <w:keepNext w:val="0"/>
              <w:ind w:left="-52" w:right="-110"/>
              <w:rPr>
                <w:b/>
              </w:rPr>
            </w:pPr>
            <w:r w:rsidRPr="00D123EE">
              <w:t>Bodily pain</w:t>
            </w:r>
          </w:p>
        </w:tc>
        <w:tc>
          <w:tcPr>
            <w:tcW w:w="427" w:type="pct"/>
            <w:shd w:val="clear" w:color="auto" w:fill="auto"/>
          </w:tcPr>
          <w:p w:rsidR="008A6E90" w:rsidRPr="00D123EE" w:rsidRDefault="008A6E90" w:rsidP="004858E7">
            <w:pPr>
              <w:pStyle w:val="TableText0"/>
              <w:keepNext w:val="0"/>
              <w:ind w:left="-52" w:right="-110"/>
            </w:pPr>
            <w:r w:rsidRPr="00D123EE">
              <w:t>No diff.</w:t>
            </w:r>
          </w:p>
        </w:tc>
        <w:tc>
          <w:tcPr>
            <w:tcW w:w="481" w:type="pct"/>
            <w:shd w:val="clear" w:color="auto" w:fill="auto"/>
          </w:tcPr>
          <w:p w:rsidR="008A6E90" w:rsidRPr="00D123EE" w:rsidRDefault="008A6E90" w:rsidP="004858E7">
            <w:pPr>
              <w:pStyle w:val="TableText0"/>
              <w:keepNext w:val="0"/>
              <w:ind w:left="-52" w:right="-110"/>
            </w:pPr>
            <w:r w:rsidRPr="00D123EE">
              <w:t xml:space="preserve">Diff </w:t>
            </w:r>
          </w:p>
        </w:tc>
        <w:tc>
          <w:tcPr>
            <w:tcW w:w="444" w:type="pct"/>
            <w:shd w:val="clear" w:color="auto" w:fill="auto"/>
          </w:tcPr>
          <w:p w:rsidR="008A6E90" w:rsidRPr="00D123EE" w:rsidRDefault="008A6E90" w:rsidP="004858E7">
            <w:pPr>
              <w:pStyle w:val="TableText0"/>
              <w:keepNext w:val="0"/>
              <w:ind w:left="-52" w:right="-110"/>
            </w:pPr>
            <w:r w:rsidRPr="00D123EE">
              <w:t xml:space="preserve">Diff </w:t>
            </w:r>
          </w:p>
        </w:tc>
        <w:tc>
          <w:tcPr>
            <w:tcW w:w="490" w:type="pct"/>
            <w:shd w:val="clear" w:color="auto" w:fill="auto"/>
          </w:tcPr>
          <w:p w:rsidR="008A6E90" w:rsidRPr="00D123EE" w:rsidRDefault="008A6E90" w:rsidP="004858E7">
            <w:pPr>
              <w:pStyle w:val="TableText0"/>
              <w:keepNext w:val="0"/>
              <w:ind w:left="-52" w:right="-110"/>
            </w:pPr>
            <w:r w:rsidRPr="00D123EE">
              <w:t xml:space="preserve">Diff </w:t>
            </w:r>
          </w:p>
        </w:tc>
        <w:tc>
          <w:tcPr>
            <w:tcW w:w="465" w:type="pct"/>
            <w:shd w:val="clear" w:color="auto" w:fill="auto"/>
          </w:tcPr>
          <w:p w:rsidR="008A6E90" w:rsidRPr="00D123EE" w:rsidRDefault="008A6E90" w:rsidP="004858E7">
            <w:pPr>
              <w:pStyle w:val="TableText0"/>
              <w:keepNext w:val="0"/>
              <w:ind w:left="-52" w:right="-110"/>
            </w:pPr>
            <w:r w:rsidRPr="00D123EE">
              <w:t xml:space="preserve">Diff </w:t>
            </w:r>
          </w:p>
        </w:tc>
        <w:tc>
          <w:tcPr>
            <w:tcW w:w="445" w:type="pct"/>
            <w:shd w:val="clear" w:color="auto" w:fill="auto"/>
          </w:tcPr>
          <w:p w:rsidR="008A6E90" w:rsidRPr="00D123EE" w:rsidRDefault="008A6E90" w:rsidP="004858E7">
            <w:pPr>
              <w:pStyle w:val="TableText0"/>
              <w:keepNext w:val="0"/>
              <w:ind w:left="-52" w:right="-110"/>
            </w:pPr>
            <w:r w:rsidRPr="00D123EE">
              <w:t xml:space="preserve">Not diff. </w:t>
            </w:r>
          </w:p>
        </w:tc>
        <w:tc>
          <w:tcPr>
            <w:tcW w:w="426" w:type="pct"/>
          </w:tcPr>
          <w:p w:rsidR="008A6E90" w:rsidRPr="00D123EE" w:rsidRDefault="008A6E90" w:rsidP="004858E7">
            <w:pPr>
              <w:pStyle w:val="TableText0"/>
              <w:keepNext w:val="0"/>
              <w:ind w:left="-52" w:right="-110"/>
            </w:pPr>
            <w:r w:rsidRPr="00D123EE">
              <w:t>NR</w:t>
            </w:r>
          </w:p>
        </w:tc>
        <w:tc>
          <w:tcPr>
            <w:tcW w:w="435" w:type="pct"/>
          </w:tcPr>
          <w:p w:rsidR="008A6E90" w:rsidRPr="00D123EE" w:rsidRDefault="008A6E90" w:rsidP="004858E7">
            <w:pPr>
              <w:pStyle w:val="TableText0"/>
              <w:keepNext w:val="0"/>
              <w:ind w:left="-52" w:right="-110"/>
            </w:pPr>
            <w:r w:rsidRPr="00D123EE">
              <w:t>-</w:t>
            </w:r>
          </w:p>
        </w:tc>
        <w:tc>
          <w:tcPr>
            <w:tcW w:w="420" w:type="pct"/>
          </w:tcPr>
          <w:p w:rsidR="008A6E90" w:rsidRPr="00D123EE" w:rsidRDefault="008A6E90" w:rsidP="004858E7">
            <w:pPr>
              <w:pStyle w:val="TableText0"/>
              <w:keepNext w:val="0"/>
              <w:ind w:left="-52" w:right="-110"/>
            </w:pPr>
            <w:r w:rsidRPr="00D123EE">
              <w:t>-</w:t>
            </w:r>
          </w:p>
        </w:tc>
      </w:tr>
      <w:tr w:rsidR="008A6E90" w:rsidRPr="00D123EE" w:rsidTr="004858E7">
        <w:tc>
          <w:tcPr>
            <w:tcW w:w="968" w:type="pct"/>
            <w:shd w:val="clear" w:color="auto" w:fill="auto"/>
          </w:tcPr>
          <w:p w:rsidR="008A6E90" w:rsidRPr="00D123EE" w:rsidRDefault="008A6E90" w:rsidP="004858E7">
            <w:pPr>
              <w:pStyle w:val="TableText0"/>
              <w:keepNext w:val="0"/>
              <w:ind w:left="-52" w:right="-110"/>
              <w:rPr>
                <w:b/>
              </w:rPr>
            </w:pPr>
            <w:r w:rsidRPr="00D123EE">
              <w:t>Meta-analysis</w:t>
            </w:r>
          </w:p>
        </w:tc>
        <w:tc>
          <w:tcPr>
            <w:tcW w:w="3178" w:type="pct"/>
            <w:gridSpan w:val="7"/>
            <w:shd w:val="clear" w:color="auto" w:fill="auto"/>
          </w:tcPr>
          <w:p w:rsidR="008A6E90" w:rsidRPr="00D123EE" w:rsidRDefault="008A6E90" w:rsidP="004858E7">
            <w:pPr>
              <w:pStyle w:val="TableText0"/>
              <w:keepNext w:val="0"/>
              <w:ind w:left="-52" w:right="-110"/>
            </w:pPr>
            <w:r w:rsidRPr="00D123EE">
              <w:t xml:space="preserve">Difference </w:t>
            </w:r>
          </w:p>
        </w:tc>
        <w:tc>
          <w:tcPr>
            <w:tcW w:w="855" w:type="pct"/>
            <w:gridSpan w:val="2"/>
          </w:tcPr>
          <w:p w:rsidR="008A6E90" w:rsidRPr="00D123EE" w:rsidRDefault="008A6E90" w:rsidP="004858E7">
            <w:pPr>
              <w:pStyle w:val="TableText0"/>
              <w:keepNext w:val="0"/>
              <w:ind w:left="-52" w:right="-110"/>
            </w:pPr>
            <w:r w:rsidRPr="00D123EE">
              <w:t>NA</w:t>
            </w:r>
          </w:p>
        </w:tc>
      </w:tr>
      <w:tr w:rsidR="008A6E90" w:rsidRPr="00D123EE" w:rsidTr="004858E7">
        <w:tc>
          <w:tcPr>
            <w:tcW w:w="968" w:type="pct"/>
            <w:shd w:val="clear" w:color="auto" w:fill="auto"/>
          </w:tcPr>
          <w:p w:rsidR="008A6E90" w:rsidRPr="00D123EE" w:rsidRDefault="008A6E90" w:rsidP="004858E7">
            <w:pPr>
              <w:pStyle w:val="TableText0"/>
              <w:keepNext w:val="0"/>
              <w:ind w:left="-52" w:right="-110"/>
              <w:rPr>
                <w:b/>
              </w:rPr>
            </w:pPr>
            <w:r w:rsidRPr="00D123EE">
              <w:t>Physical function</w:t>
            </w:r>
          </w:p>
        </w:tc>
        <w:tc>
          <w:tcPr>
            <w:tcW w:w="427" w:type="pct"/>
            <w:shd w:val="clear" w:color="auto" w:fill="auto"/>
          </w:tcPr>
          <w:p w:rsidR="008A6E90" w:rsidRPr="00D123EE" w:rsidRDefault="008A6E90" w:rsidP="004858E7">
            <w:pPr>
              <w:pStyle w:val="TableText0"/>
              <w:keepNext w:val="0"/>
              <w:ind w:left="-52" w:right="-110"/>
            </w:pPr>
            <w:r w:rsidRPr="00D123EE">
              <w:t>No diff.</w:t>
            </w:r>
          </w:p>
        </w:tc>
        <w:tc>
          <w:tcPr>
            <w:tcW w:w="481" w:type="pct"/>
            <w:shd w:val="clear" w:color="auto" w:fill="auto"/>
          </w:tcPr>
          <w:p w:rsidR="008A6E90" w:rsidRPr="00D123EE" w:rsidRDefault="008A6E90" w:rsidP="004858E7">
            <w:pPr>
              <w:pStyle w:val="TableText0"/>
              <w:keepNext w:val="0"/>
              <w:ind w:left="-52" w:right="-110"/>
            </w:pPr>
            <w:r w:rsidRPr="00D123EE">
              <w:t xml:space="preserve">No diff.  </w:t>
            </w:r>
          </w:p>
        </w:tc>
        <w:tc>
          <w:tcPr>
            <w:tcW w:w="444" w:type="pct"/>
            <w:shd w:val="clear" w:color="auto" w:fill="auto"/>
          </w:tcPr>
          <w:p w:rsidR="008A6E90" w:rsidRPr="00D123EE" w:rsidRDefault="008A6E90" w:rsidP="004858E7">
            <w:pPr>
              <w:pStyle w:val="TableText0"/>
              <w:keepNext w:val="0"/>
              <w:ind w:left="-52" w:right="-110"/>
            </w:pPr>
            <w:r w:rsidRPr="00D123EE">
              <w:t xml:space="preserve">Diff </w:t>
            </w:r>
          </w:p>
        </w:tc>
        <w:tc>
          <w:tcPr>
            <w:tcW w:w="490" w:type="pct"/>
            <w:shd w:val="clear" w:color="auto" w:fill="auto"/>
          </w:tcPr>
          <w:p w:rsidR="008A6E90" w:rsidRPr="00D123EE" w:rsidRDefault="008A6E90" w:rsidP="004858E7">
            <w:pPr>
              <w:pStyle w:val="TableText0"/>
              <w:keepNext w:val="0"/>
              <w:ind w:left="-52" w:right="-110"/>
            </w:pPr>
            <w:r w:rsidRPr="00D123EE">
              <w:t xml:space="preserve">Diff </w:t>
            </w:r>
          </w:p>
        </w:tc>
        <w:tc>
          <w:tcPr>
            <w:tcW w:w="465" w:type="pct"/>
            <w:shd w:val="clear" w:color="auto" w:fill="auto"/>
          </w:tcPr>
          <w:p w:rsidR="008A6E90" w:rsidRPr="00D123EE" w:rsidRDefault="008A6E90" w:rsidP="004858E7">
            <w:pPr>
              <w:pStyle w:val="TableText0"/>
              <w:keepNext w:val="0"/>
              <w:ind w:left="-52" w:right="-110"/>
            </w:pPr>
            <w:r w:rsidRPr="00D123EE">
              <w:t>Not diff.</w:t>
            </w:r>
          </w:p>
        </w:tc>
        <w:tc>
          <w:tcPr>
            <w:tcW w:w="445" w:type="pct"/>
            <w:shd w:val="clear" w:color="auto" w:fill="auto"/>
          </w:tcPr>
          <w:p w:rsidR="008A6E90" w:rsidRPr="00D123EE" w:rsidRDefault="008A6E90" w:rsidP="004858E7">
            <w:pPr>
              <w:pStyle w:val="TableText0"/>
              <w:keepNext w:val="0"/>
              <w:ind w:left="-52" w:right="-110"/>
            </w:pPr>
            <w:r w:rsidRPr="00D123EE">
              <w:t xml:space="preserve">Not diff. </w:t>
            </w:r>
          </w:p>
        </w:tc>
        <w:tc>
          <w:tcPr>
            <w:tcW w:w="426" w:type="pct"/>
          </w:tcPr>
          <w:p w:rsidR="008A6E90" w:rsidRPr="00D123EE" w:rsidRDefault="008A6E90" w:rsidP="004858E7">
            <w:pPr>
              <w:pStyle w:val="TableText0"/>
              <w:keepNext w:val="0"/>
              <w:ind w:left="-52" w:right="-110"/>
            </w:pPr>
            <w:r w:rsidRPr="00D123EE">
              <w:t>Not diff.</w:t>
            </w:r>
          </w:p>
        </w:tc>
        <w:tc>
          <w:tcPr>
            <w:tcW w:w="435" w:type="pct"/>
            <w:tcBorders>
              <w:bottom w:val="single" w:sz="4" w:space="0" w:color="auto"/>
            </w:tcBorders>
          </w:tcPr>
          <w:p w:rsidR="008A6E90" w:rsidRPr="00D123EE" w:rsidRDefault="008A6E90" w:rsidP="004858E7">
            <w:pPr>
              <w:pStyle w:val="TableText0"/>
              <w:keepNext w:val="0"/>
              <w:ind w:left="-52" w:right="-110"/>
            </w:pPr>
            <w:r w:rsidRPr="00D123EE">
              <w:t>NR</w:t>
            </w:r>
          </w:p>
        </w:tc>
        <w:tc>
          <w:tcPr>
            <w:tcW w:w="420" w:type="pct"/>
            <w:tcBorders>
              <w:bottom w:val="single" w:sz="4" w:space="0" w:color="auto"/>
            </w:tcBorders>
          </w:tcPr>
          <w:p w:rsidR="008A6E90" w:rsidRPr="00D123EE" w:rsidRDefault="008A6E90" w:rsidP="004858E7">
            <w:pPr>
              <w:pStyle w:val="TableText0"/>
              <w:keepNext w:val="0"/>
              <w:ind w:left="-52" w:right="-110"/>
            </w:pPr>
            <w:r w:rsidRPr="00D123EE">
              <w:t>NR</w:t>
            </w:r>
          </w:p>
        </w:tc>
      </w:tr>
      <w:tr w:rsidR="008A6E90" w:rsidRPr="00D123EE" w:rsidTr="004858E7">
        <w:tc>
          <w:tcPr>
            <w:tcW w:w="968" w:type="pct"/>
            <w:shd w:val="clear" w:color="auto" w:fill="auto"/>
          </w:tcPr>
          <w:p w:rsidR="008A6E90" w:rsidRPr="00D123EE" w:rsidRDefault="008A6E90" w:rsidP="004858E7">
            <w:pPr>
              <w:pStyle w:val="TableText0"/>
              <w:keepNext w:val="0"/>
              <w:ind w:left="-52" w:right="-110"/>
              <w:rPr>
                <w:b/>
              </w:rPr>
            </w:pPr>
            <w:r w:rsidRPr="00D123EE">
              <w:t>Meta-analysis</w:t>
            </w:r>
          </w:p>
        </w:tc>
        <w:tc>
          <w:tcPr>
            <w:tcW w:w="3178" w:type="pct"/>
            <w:gridSpan w:val="7"/>
            <w:shd w:val="clear" w:color="auto" w:fill="auto"/>
          </w:tcPr>
          <w:p w:rsidR="008A6E90" w:rsidRPr="00D123EE" w:rsidRDefault="008A6E90" w:rsidP="004858E7">
            <w:pPr>
              <w:pStyle w:val="TableText0"/>
              <w:keepNext w:val="0"/>
              <w:ind w:left="-52" w:right="-110"/>
            </w:pPr>
            <w:r w:rsidRPr="00D123EE">
              <w:t>Difference</w:t>
            </w:r>
          </w:p>
        </w:tc>
        <w:tc>
          <w:tcPr>
            <w:tcW w:w="435" w:type="pct"/>
            <w:tcBorders>
              <w:right w:val="nil"/>
            </w:tcBorders>
          </w:tcPr>
          <w:p w:rsidR="008A6E90" w:rsidRPr="00D123EE" w:rsidRDefault="008A6E90" w:rsidP="004858E7">
            <w:pPr>
              <w:pStyle w:val="TableText0"/>
              <w:keepNext w:val="0"/>
              <w:ind w:left="-52" w:right="-110"/>
            </w:pPr>
            <w:r w:rsidRPr="00D123EE">
              <w:t>NA</w:t>
            </w:r>
          </w:p>
        </w:tc>
        <w:tc>
          <w:tcPr>
            <w:tcW w:w="420" w:type="pct"/>
            <w:tcBorders>
              <w:left w:val="nil"/>
            </w:tcBorders>
          </w:tcPr>
          <w:p w:rsidR="008A6E90" w:rsidRPr="00D123EE" w:rsidRDefault="008A6E90" w:rsidP="004858E7">
            <w:pPr>
              <w:pStyle w:val="TableText0"/>
              <w:keepNext w:val="0"/>
              <w:ind w:left="-52" w:right="-110"/>
            </w:pPr>
          </w:p>
        </w:tc>
      </w:tr>
      <w:tr w:rsidR="008A6E90" w:rsidRPr="00D123EE" w:rsidTr="004858E7">
        <w:tc>
          <w:tcPr>
            <w:tcW w:w="968" w:type="pct"/>
            <w:shd w:val="clear" w:color="auto" w:fill="auto"/>
          </w:tcPr>
          <w:p w:rsidR="008A6E90" w:rsidRPr="00D123EE" w:rsidRDefault="008A6E90" w:rsidP="004858E7">
            <w:pPr>
              <w:pStyle w:val="TableText0"/>
              <w:keepNext w:val="0"/>
              <w:ind w:left="-52" w:right="-110"/>
              <w:rPr>
                <w:b/>
              </w:rPr>
            </w:pPr>
            <w:r w:rsidRPr="00D123EE">
              <w:t>Physical component</w:t>
            </w:r>
          </w:p>
        </w:tc>
        <w:tc>
          <w:tcPr>
            <w:tcW w:w="427" w:type="pct"/>
            <w:shd w:val="clear" w:color="auto" w:fill="auto"/>
          </w:tcPr>
          <w:p w:rsidR="008A6E90" w:rsidRPr="00D123EE" w:rsidRDefault="008A6E90" w:rsidP="004858E7">
            <w:pPr>
              <w:pStyle w:val="TableText0"/>
              <w:keepNext w:val="0"/>
              <w:ind w:left="-52" w:right="-110"/>
            </w:pPr>
            <w:r w:rsidRPr="00D123EE">
              <w:t>No diff.</w:t>
            </w:r>
          </w:p>
        </w:tc>
        <w:tc>
          <w:tcPr>
            <w:tcW w:w="481" w:type="pct"/>
            <w:shd w:val="clear" w:color="auto" w:fill="auto"/>
          </w:tcPr>
          <w:p w:rsidR="008A6E90" w:rsidRPr="00D123EE" w:rsidRDefault="008A6E90" w:rsidP="004858E7">
            <w:pPr>
              <w:pStyle w:val="TableText0"/>
              <w:keepNext w:val="0"/>
              <w:ind w:left="-52" w:right="-110"/>
            </w:pPr>
            <w:r w:rsidRPr="00D123EE">
              <w:t xml:space="preserve">No diff.  </w:t>
            </w:r>
          </w:p>
        </w:tc>
        <w:tc>
          <w:tcPr>
            <w:tcW w:w="444" w:type="pct"/>
            <w:shd w:val="clear" w:color="auto" w:fill="auto"/>
          </w:tcPr>
          <w:p w:rsidR="008A6E90" w:rsidRPr="00D123EE" w:rsidRDefault="008A6E90" w:rsidP="004858E7">
            <w:pPr>
              <w:pStyle w:val="TableText0"/>
              <w:keepNext w:val="0"/>
              <w:ind w:left="-52" w:right="-110"/>
            </w:pPr>
            <w:r w:rsidRPr="00D123EE">
              <w:t xml:space="preserve">Diff </w:t>
            </w:r>
          </w:p>
        </w:tc>
        <w:tc>
          <w:tcPr>
            <w:tcW w:w="490" w:type="pct"/>
            <w:shd w:val="clear" w:color="auto" w:fill="auto"/>
          </w:tcPr>
          <w:p w:rsidR="008A6E90" w:rsidRPr="00D123EE" w:rsidRDefault="008A6E90" w:rsidP="004858E7">
            <w:pPr>
              <w:pStyle w:val="TableText0"/>
              <w:keepNext w:val="0"/>
              <w:ind w:left="-52" w:right="-110"/>
            </w:pPr>
            <w:r w:rsidRPr="00D123EE">
              <w:t xml:space="preserve">Diff </w:t>
            </w:r>
          </w:p>
        </w:tc>
        <w:tc>
          <w:tcPr>
            <w:tcW w:w="465" w:type="pct"/>
            <w:shd w:val="clear" w:color="auto" w:fill="auto"/>
          </w:tcPr>
          <w:p w:rsidR="008A6E90" w:rsidRPr="00D123EE" w:rsidRDefault="008A6E90" w:rsidP="004858E7">
            <w:pPr>
              <w:pStyle w:val="TableText0"/>
              <w:keepNext w:val="0"/>
              <w:ind w:left="-52" w:right="-110"/>
            </w:pPr>
            <w:r w:rsidRPr="00D123EE">
              <w:t xml:space="preserve">No diff. </w:t>
            </w:r>
          </w:p>
        </w:tc>
        <w:tc>
          <w:tcPr>
            <w:tcW w:w="445" w:type="pct"/>
            <w:shd w:val="clear" w:color="auto" w:fill="auto"/>
          </w:tcPr>
          <w:p w:rsidR="008A6E90" w:rsidRPr="00D123EE" w:rsidRDefault="008A6E90" w:rsidP="004858E7">
            <w:pPr>
              <w:pStyle w:val="TableText0"/>
              <w:keepNext w:val="0"/>
              <w:ind w:left="-52" w:right="-110"/>
            </w:pPr>
            <w:r w:rsidRPr="00D123EE">
              <w:t xml:space="preserve">Not diff. </w:t>
            </w:r>
          </w:p>
        </w:tc>
        <w:tc>
          <w:tcPr>
            <w:tcW w:w="426" w:type="pct"/>
          </w:tcPr>
          <w:p w:rsidR="008A6E90" w:rsidRPr="00D123EE" w:rsidRDefault="008A6E90" w:rsidP="004858E7">
            <w:pPr>
              <w:pStyle w:val="TableText0"/>
              <w:keepNext w:val="0"/>
              <w:ind w:left="-52" w:right="-110"/>
            </w:pPr>
            <w:r w:rsidRPr="00D123EE">
              <w:t>NR</w:t>
            </w:r>
          </w:p>
        </w:tc>
        <w:tc>
          <w:tcPr>
            <w:tcW w:w="435" w:type="pct"/>
            <w:tcBorders>
              <w:bottom w:val="single" w:sz="4" w:space="0" w:color="auto"/>
            </w:tcBorders>
          </w:tcPr>
          <w:p w:rsidR="008A6E90" w:rsidRPr="00D123EE" w:rsidRDefault="008A6E90" w:rsidP="004858E7">
            <w:pPr>
              <w:pStyle w:val="TableText0"/>
              <w:keepNext w:val="0"/>
              <w:ind w:left="-52" w:right="-110"/>
            </w:pPr>
            <w:r w:rsidRPr="00D123EE">
              <w:t>NR</w:t>
            </w:r>
          </w:p>
        </w:tc>
        <w:tc>
          <w:tcPr>
            <w:tcW w:w="420" w:type="pct"/>
            <w:tcBorders>
              <w:bottom w:val="single" w:sz="4" w:space="0" w:color="auto"/>
            </w:tcBorders>
          </w:tcPr>
          <w:p w:rsidR="008A6E90" w:rsidRPr="00D123EE" w:rsidRDefault="008A6E90" w:rsidP="004858E7">
            <w:pPr>
              <w:pStyle w:val="TableText0"/>
              <w:keepNext w:val="0"/>
              <w:ind w:left="-52" w:right="-110"/>
            </w:pPr>
            <w:r w:rsidRPr="00D123EE">
              <w:t>NR</w:t>
            </w:r>
          </w:p>
        </w:tc>
      </w:tr>
      <w:tr w:rsidR="008A6E90" w:rsidRPr="00D123EE" w:rsidTr="004858E7">
        <w:tc>
          <w:tcPr>
            <w:tcW w:w="968" w:type="pct"/>
            <w:shd w:val="clear" w:color="auto" w:fill="auto"/>
          </w:tcPr>
          <w:p w:rsidR="008A6E90" w:rsidRPr="00D123EE" w:rsidRDefault="008A6E90" w:rsidP="004858E7">
            <w:pPr>
              <w:pStyle w:val="TableText0"/>
              <w:keepNext w:val="0"/>
              <w:ind w:left="-52" w:right="-110"/>
            </w:pPr>
            <w:r w:rsidRPr="00D123EE">
              <w:t>Meta-analysis</w:t>
            </w:r>
          </w:p>
        </w:tc>
        <w:tc>
          <w:tcPr>
            <w:tcW w:w="3178" w:type="pct"/>
            <w:gridSpan w:val="7"/>
            <w:shd w:val="clear" w:color="auto" w:fill="auto"/>
          </w:tcPr>
          <w:p w:rsidR="008A6E90" w:rsidRPr="00D123EE" w:rsidRDefault="008A6E90" w:rsidP="004858E7">
            <w:pPr>
              <w:pStyle w:val="TableText0"/>
              <w:keepNext w:val="0"/>
              <w:ind w:left="-52" w:right="-110"/>
            </w:pPr>
            <w:r w:rsidRPr="00D123EE">
              <w:t xml:space="preserve">Difference </w:t>
            </w:r>
          </w:p>
        </w:tc>
        <w:tc>
          <w:tcPr>
            <w:tcW w:w="435" w:type="pct"/>
            <w:tcBorders>
              <w:right w:val="nil"/>
            </w:tcBorders>
          </w:tcPr>
          <w:p w:rsidR="008A6E90" w:rsidRPr="00D123EE" w:rsidRDefault="008A6E90" w:rsidP="004858E7">
            <w:pPr>
              <w:pStyle w:val="TableText0"/>
              <w:keepNext w:val="0"/>
              <w:ind w:left="-52" w:right="-110"/>
            </w:pPr>
            <w:r w:rsidRPr="00D123EE">
              <w:t>NA</w:t>
            </w:r>
          </w:p>
        </w:tc>
        <w:tc>
          <w:tcPr>
            <w:tcW w:w="420" w:type="pct"/>
            <w:tcBorders>
              <w:left w:val="nil"/>
            </w:tcBorders>
          </w:tcPr>
          <w:p w:rsidR="008A6E90" w:rsidRPr="00D123EE" w:rsidRDefault="008A6E90" w:rsidP="004858E7">
            <w:pPr>
              <w:pStyle w:val="TableText0"/>
              <w:keepNext w:val="0"/>
              <w:ind w:left="-52" w:right="-110"/>
            </w:pPr>
          </w:p>
        </w:tc>
      </w:tr>
    </w:tbl>
    <w:p w:rsidR="008A6E90" w:rsidRPr="00D123EE" w:rsidRDefault="008A6E90" w:rsidP="008A6E90">
      <w:pPr>
        <w:pStyle w:val="TableFooter"/>
      </w:pPr>
      <w:r w:rsidRPr="00D123EE">
        <w:t xml:space="preserve">Source: </w:t>
      </w:r>
      <w:r w:rsidR="00804F3B" w:rsidRPr="00D123EE">
        <w:t xml:space="preserve">Table </w:t>
      </w:r>
      <w:r w:rsidR="00454853" w:rsidRPr="00D123EE">
        <w:t>2.5.5</w:t>
      </w:r>
      <w:r w:rsidR="00804F3B" w:rsidRPr="00D123EE">
        <w:t xml:space="preserve">, Table </w:t>
      </w:r>
      <w:r w:rsidR="00454853" w:rsidRPr="00D123EE">
        <w:t>2.5.6</w:t>
      </w:r>
      <w:r w:rsidR="00804F3B" w:rsidRPr="00D123EE">
        <w:t xml:space="preserve">, Table </w:t>
      </w:r>
      <w:r w:rsidR="009A6959" w:rsidRPr="00D123EE">
        <w:t>2.5.7</w:t>
      </w:r>
      <w:r w:rsidR="00804F3B" w:rsidRPr="00D123EE">
        <w:t xml:space="preserve">, Table </w:t>
      </w:r>
      <w:r w:rsidR="009A6959" w:rsidRPr="00D123EE">
        <w:t>2.5.11, Table 2.6.2, Table 2.6.3, Table 2.6.4, Table 2.6.5</w:t>
      </w:r>
      <w:r w:rsidR="00804F3B" w:rsidRPr="00D123EE">
        <w:t xml:space="preserve"> of the Commentary. </w:t>
      </w:r>
    </w:p>
    <w:p w:rsidR="008A6E90" w:rsidRPr="00D123EE" w:rsidRDefault="008A6E90" w:rsidP="008A6E90">
      <w:pPr>
        <w:pStyle w:val="TableFooter"/>
      </w:pPr>
      <w:r w:rsidRPr="00D123EE">
        <w:t xml:space="preserve">Notes: a Part of BPI survey; </w:t>
      </w:r>
      <w:r w:rsidR="00804F3B" w:rsidRPr="00D123EE">
        <w:t xml:space="preserve">b Likert scale 9-point;  </w:t>
      </w:r>
    </w:p>
    <w:p w:rsidR="008A6E90" w:rsidRDefault="008A6E90" w:rsidP="00C11C77">
      <w:pPr>
        <w:pStyle w:val="TableFooter"/>
      </w:pPr>
      <w:r w:rsidRPr="00D123EE">
        <w:t xml:space="preserve">Abbreviations: BPI= brief pain inventory; </w:t>
      </w:r>
      <w:r w:rsidR="00740036" w:rsidRPr="00D123EE">
        <w:t>d</w:t>
      </w:r>
      <w:r w:rsidR="00A43E4D" w:rsidRPr="00D123EE">
        <w:t>iff = difference</w:t>
      </w:r>
      <w:r w:rsidR="004F3A7C" w:rsidRPr="00D123EE">
        <w:t xml:space="preserve"> in favour of the intervention group</w:t>
      </w:r>
      <w:r w:rsidR="00A43E4D" w:rsidRPr="00D123EE">
        <w:t xml:space="preserve">; </w:t>
      </w:r>
      <w:r w:rsidR="00797852" w:rsidRPr="00D123EE">
        <w:t xml:space="preserve">ITC = indirect treatment comparison; </w:t>
      </w:r>
      <w:r w:rsidRPr="00D123EE">
        <w:t xml:space="preserve">MCID= minimum clinically important difference MOS = general health survey; </w:t>
      </w:r>
      <w:r w:rsidR="00797852" w:rsidRPr="00D123EE">
        <w:t xml:space="preserve">NA = not applicable; NR = not reported; </w:t>
      </w:r>
      <w:r w:rsidRPr="00D123EE">
        <w:t xml:space="preserve">PBO= placebo; </w:t>
      </w:r>
      <w:proofErr w:type="spellStart"/>
      <w:r w:rsidRPr="00D123EE">
        <w:t>pt</w:t>
      </w:r>
      <w:proofErr w:type="spellEnd"/>
      <w:r w:rsidRPr="00D123EE">
        <w:t xml:space="preserve">= point; </w:t>
      </w:r>
      <w:r w:rsidR="00797852" w:rsidRPr="00D123EE">
        <w:t xml:space="preserve">SF-36 = short-form 36; </w:t>
      </w:r>
      <w:r w:rsidRPr="00D123EE">
        <w:t>VAS= visual analogue scale; WOMAC= Western Ontario and McMaster Univ</w:t>
      </w:r>
      <w:r w:rsidR="00C11C77">
        <w:t>ersities Osteoarthritis Index.</w:t>
      </w:r>
    </w:p>
    <w:p w:rsidR="00C11C77" w:rsidRPr="00D123EE" w:rsidRDefault="00C11C77" w:rsidP="00C11C77">
      <w:pPr>
        <w:pStyle w:val="TableFooter"/>
      </w:pPr>
    </w:p>
    <w:p w:rsidR="006C5761" w:rsidRPr="00D123EE" w:rsidRDefault="006C5761" w:rsidP="00E22F6D">
      <w:pPr>
        <w:pStyle w:val="ListParagraph"/>
        <w:widowControl/>
        <w:numPr>
          <w:ilvl w:val="1"/>
          <w:numId w:val="1"/>
        </w:numPr>
        <w:spacing w:after="120"/>
      </w:pPr>
      <w:r w:rsidRPr="00D123EE">
        <w:t>The</w:t>
      </w:r>
      <w:r w:rsidR="007816C4" w:rsidRPr="00D123EE">
        <w:t xml:space="preserve"> quality of life </w:t>
      </w:r>
      <w:r w:rsidR="001E3E1C" w:rsidRPr="00D123EE">
        <w:t xml:space="preserve">and other patient questionnaire </w:t>
      </w:r>
      <w:r w:rsidRPr="00D123EE">
        <w:t xml:space="preserve">results </w:t>
      </w:r>
      <w:r w:rsidR="00D83CFE" w:rsidRPr="00D123EE">
        <w:t xml:space="preserve">for the comparisons presented in the chronic pain setting </w:t>
      </w:r>
      <w:r w:rsidR="00EF763C" w:rsidRPr="00D123EE">
        <w:t xml:space="preserve">are </w:t>
      </w:r>
      <w:r w:rsidRPr="00D123EE">
        <w:t xml:space="preserve">summarised as follows:  </w:t>
      </w:r>
    </w:p>
    <w:p w:rsidR="006C5761" w:rsidRPr="00D123EE" w:rsidRDefault="009C30AE" w:rsidP="00E22F6D">
      <w:pPr>
        <w:pStyle w:val="ListParagraph"/>
        <w:widowControl/>
        <w:numPr>
          <w:ilvl w:val="2"/>
          <w:numId w:val="9"/>
        </w:numPr>
        <w:spacing w:after="120"/>
        <w:ind w:left="1414" w:hanging="356"/>
      </w:pPr>
      <w:r w:rsidRPr="00D123EE">
        <w:t>G</w:t>
      </w:r>
      <w:r w:rsidR="006C5761" w:rsidRPr="00D123EE">
        <w:t xml:space="preserve">enerally, statistically significant improvements were observed with the FDC when compared with placebo with most of the SF-36 domains, including the physical functioning, role-physical, bodily pain (except in CAPSS-114), vitality, social functioning, health transition scale and physical component summaries </w:t>
      </w:r>
      <w:r w:rsidR="006C5761" w:rsidRPr="00D123EE">
        <w:lastRenderedPageBreak/>
        <w:t>(all p&lt;0.05). There were no statistically significant changes in the SF-36 in CAPSS-104 or Chang et al 2013</w:t>
      </w:r>
      <w:r w:rsidR="00817D99">
        <w:t>.</w:t>
      </w:r>
    </w:p>
    <w:p w:rsidR="006C5761" w:rsidRPr="00D123EE" w:rsidRDefault="006C5761" w:rsidP="00E22F6D">
      <w:pPr>
        <w:pStyle w:val="ListParagraph"/>
        <w:widowControl/>
        <w:numPr>
          <w:ilvl w:val="2"/>
          <w:numId w:val="9"/>
        </w:numPr>
        <w:spacing w:after="120"/>
        <w:ind w:left="1414" w:hanging="356"/>
      </w:pPr>
      <w:r w:rsidRPr="00D123EE">
        <w:t xml:space="preserve">The MOS 6 item survey was used in CA-R0027 to measure QoL. Physical functioning, pain and social functioning were found to be statistically superior in the tramadol </w:t>
      </w:r>
      <w:r w:rsidR="00E74B41" w:rsidRPr="00D123EE">
        <w:t>50 mg IR</w:t>
      </w:r>
      <w:r w:rsidRPr="00D123EE">
        <w:t xml:space="preserve"> compared with placebo</w:t>
      </w:r>
      <w:r w:rsidR="00A715D7">
        <w:t>.</w:t>
      </w:r>
      <w:r w:rsidRPr="00D123EE">
        <w:t xml:space="preserve"> </w:t>
      </w:r>
    </w:p>
    <w:p w:rsidR="00FE70C3" w:rsidRPr="007A0BA2" w:rsidRDefault="009C30AE" w:rsidP="005B2734">
      <w:pPr>
        <w:pStyle w:val="ListParagraph"/>
        <w:widowControl/>
        <w:numPr>
          <w:ilvl w:val="2"/>
          <w:numId w:val="9"/>
        </w:numPr>
        <w:spacing w:after="120"/>
        <w:ind w:left="1414" w:hanging="356"/>
        <w:rPr>
          <w:rStyle w:val="CommentReference"/>
          <w:rFonts w:ascii="Calibri" w:hAnsi="Calibri"/>
          <w:b w:val="0"/>
          <w:sz w:val="24"/>
          <w:szCs w:val="22"/>
        </w:rPr>
      </w:pPr>
      <w:r w:rsidRPr="00D123EE">
        <w:rPr>
          <w:szCs w:val="20"/>
        </w:rPr>
        <w:t>In the indirect comparison, t</w:t>
      </w:r>
      <w:r w:rsidR="00316EA8" w:rsidRPr="00D123EE">
        <w:rPr>
          <w:szCs w:val="20"/>
        </w:rPr>
        <w:t>he mean differences between treatments in final WOMAC total score, (0.59, 95% CI -0.27 to 1.45), amount of pain (0.53, 95% CI -0.37 to 1.43), or physical function (</w:t>
      </w:r>
      <w:r w:rsidR="00316EA8" w:rsidRPr="00D123EE">
        <w:t>0.4, 95% CI -0.47 to 1.28)</w:t>
      </w:r>
      <w:r w:rsidR="00156833" w:rsidRPr="00D123EE">
        <w:t xml:space="preserve"> </w:t>
      </w:r>
      <w:r w:rsidR="00156833" w:rsidRPr="00D123EE">
        <w:rPr>
          <w:szCs w:val="20"/>
        </w:rPr>
        <w:t>were not statistically significant</w:t>
      </w:r>
      <w:r w:rsidR="00316EA8" w:rsidRPr="00D123EE">
        <w:rPr>
          <w:szCs w:val="20"/>
        </w:rPr>
        <w:t>. Based on the non-inferiority margins proposed; (upper 95% CI) pain 2.99, physical function 2.60, joint stiffness 2.08, and total score 1.47), the submission claimed that the FDC of tramadol 37.5/paracetamol 325 mg was non-inferior to tramadol 50 mg IR</w:t>
      </w:r>
      <w:r w:rsidR="00210E78" w:rsidRPr="00D123EE">
        <w:rPr>
          <w:szCs w:val="20"/>
        </w:rPr>
        <w:t xml:space="preserve">. </w:t>
      </w:r>
    </w:p>
    <w:p w:rsidR="009E5309" w:rsidRPr="0032125F" w:rsidRDefault="00B60939" w:rsidP="00905D6A">
      <w:pPr>
        <w:pStyle w:val="KMC16-Heading2"/>
      </w:pPr>
      <w:bookmarkStart w:id="8" w:name="_Toc503971849"/>
      <w:r w:rsidRPr="0032125F">
        <w:t>Comparative harms</w:t>
      </w:r>
      <w:bookmarkEnd w:id="8"/>
    </w:p>
    <w:p w:rsidR="00DB5DED" w:rsidRPr="00D123EE" w:rsidRDefault="00DB5DED" w:rsidP="005B2734">
      <w:pPr>
        <w:pStyle w:val="ListParagraph"/>
        <w:spacing w:after="120"/>
        <w:ind w:left="0"/>
        <w:rPr>
          <w:b/>
          <w:u w:val="single"/>
        </w:rPr>
      </w:pPr>
      <w:r w:rsidRPr="00D123EE">
        <w:rPr>
          <w:b/>
          <w:u w:val="single"/>
        </w:rPr>
        <w:t>Acute pain</w:t>
      </w:r>
    </w:p>
    <w:p w:rsidR="00E25EAD" w:rsidRPr="00D123EE" w:rsidRDefault="00E25EAD" w:rsidP="00E22F6D">
      <w:pPr>
        <w:pStyle w:val="ListParagraph"/>
        <w:widowControl/>
        <w:numPr>
          <w:ilvl w:val="1"/>
          <w:numId w:val="1"/>
        </w:numPr>
        <w:spacing w:after="120"/>
      </w:pPr>
      <w:r w:rsidRPr="00D123EE">
        <w:t>Based on the pooled incidence of AEs from the trials of acute pain (ZAL-06, CAPSS-241 and GRTF-ZAL 1), the submission claimed that the FDC of tramadol 37.5 mg/paracetamol 325 mg was superior in safety to tramadol 50 mg IR.</w:t>
      </w:r>
      <w:r w:rsidRPr="00D123EE">
        <w:rPr>
          <w:color w:val="3366FF"/>
        </w:rPr>
        <w:t xml:space="preserve"> </w:t>
      </w:r>
      <w:r w:rsidRPr="00D123EE">
        <w:t xml:space="preserve">The claim of superiority was adequately supported over a ten-day time horizon and appeared to be dose-related. This can be observed in the summary of key AEs presented in Table 12. </w:t>
      </w:r>
      <w:r w:rsidR="003B141E" w:rsidRPr="00B84D95">
        <w:t>Applicability of this finding to the clinical context in which tramadol 50mg is also used with paracetamol is not clear, as this is likely to result in less tramadol use and less dose related adverse effects in the tramadol 50 group.</w:t>
      </w:r>
      <w:r w:rsidR="003B141E">
        <w:t xml:space="preserve">  </w:t>
      </w:r>
    </w:p>
    <w:p w:rsidR="001C3591" w:rsidRPr="00045DE2" w:rsidRDefault="001C3591" w:rsidP="007B7066">
      <w:pPr>
        <w:pStyle w:val="Tabletext"/>
        <w:keepNext/>
        <w:rPr>
          <w:b/>
        </w:rPr>
      </w:pPr>
      <w:r w:rsidRPr="007D16B2">
        <w:rPr>
          <w:b/>
        </w:rPr>
        <w:t>Table 1</w:t>
      </w:r>
      <w:r w:rsidR="00907B57" w:rsidRPr="007D16B2">
        <w:rPr>
          <w:b/>
        </w:rPr>
        <w:t>2</w:t>
      </w:r>
      <w:r w:rsidRPr="007D16B2">
        <w:rPr>
          <w:b/>
        </w:rPr>
        <w:t xml:space="preserve">:  Summary of key AEs in the acute pain </w:t>
      </w:r>
      <w:r w:rsidR="00045DE2" w:rsidRPr="007D16B2">
        <w:rPr>
          <w:b/>
        </w:rPr>
        <w:t>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51"/>
        <w:gridCol w:w="1651"/>
        <w:gridCol w:w="1817"/>
        <w:gridCol w:w="1818"/>
      </w:tblGrid>
      <w:tr w:rsidR="001C3591" w:rsidRPr="00045DE2" w:rsidTr="00CE22C7">
        <w:trPr>
          <w:tblHeader/>
        </w:trPr>
        <w:tc>
          <w:tcPr>
            <w:tcW w:w="1980" w:type="dxa"/>
            <w:vAlign w:val="center"/>
          </w:tcPr>
          <w:p w:rsidR="001C3591" w:rsidRPr="00045DE2" w:rsidRDefault="001C3591" w:rsidP="00CE22C7">
            <w:pPr>
              <w:pStyle w:val="Tabletext"/>
              <w:rPr>
                <w:b/>
              </w:rPr>
            </w:pPr>
            <w:r w:rsidRPr="00045DE2">
              <w:rPr>
                <w:b/>
              </w:rPr>
              <w:t>Trial ID</w:t>
            </w:r>
          </w:p>
        </w:tc>
        <w:tc>
          <w:tcPr>
            <w:tcW w:w="1751" w:type="dxa"/>
            <w:vAlign w:val="center"/>
          </w:tcPr>
          <w:p w:rsidR="001C3591" w:rsidRPr="00045DE2" w:rsidRDefault="001C3591" w:rsidP="00CE22C7">
            <w:pPr>
              <w:pStyle w:val="Tabletext"/>
              <w:jc w:val="center"/>
              <w:rPr>
                <w:b/>
              </w:rPr>
            </w:pPr>
            <w:r w:rsidRPr="00045DE2">
              <w:rPr>
                <w:rFonts w:cs="Arial"/>
                <w:b/>
                <w:szCs w:val="18"/>
              </w:rPr>
              <w:t>T37.5+P325</w:t>
            </w:r>
            <w:r w:rsidRPr="00045DE2">
              <w:rPr>
                <w:rFonts w:cs="Arial"/>
                <w:b/>
                <w:szCs w:val="18"/>
              </w:rPr>
              <w:br/>
            </w:r>
            <w:r w:rsidRPr="00045DE2">
              <w:rPr>
                <w:b/>
              </w:rPr>
              <w:t>n with event/N (%)</w:t>
            </w:r>
          </w:p>
        </w:tc>
        <w:tc>
          <w:tcPr>
            <w:tcW w:w="1651" w:type="dxa"/>
            <w:vAlign w:val="center"/>
          </w:tcPr>
          <w:p w:rsidR="001C3591" w:rsidRPr="00045DE2" w:rsidRDefault="001C3591" w:rsidP="00CE22C7">
            <w:pPr>
              <w:pStyle w:val="Tabletext"/>
              <w:jc w:val="center"/>
              <w:rPr>
                <w:b/>
              </w:rPr>
            </w:pPr>
            <w:r w:rsidRPr="00045DE2">
              <w:rPr>
                <w:b/>
              </w:rPr>
              <w:t>T50</w:t>
            </w:r>
          </w:p>
          <w:p w:rsidR="001C3591" w:rsidRPr="00045DE2" w:rsidRDefault="001C3591" w:rsidP="00CE22C7">
            <w:pPr>
              <w:pStyle w:val="Tabletext"/>
              <w:jc w:val="center"/>
              <w:rPr>
                <w:b/>
              </w:rPr>
            </w:pPr>
            <w:proofErr w:type="gramStart"/>
            <w:r w:rsidRPr="00045DE2">
              <w:rPr>
                <w:b/>
              </w:rPr>
              <w:t>n</w:t>
            </w:r>
            <w:proofErr w:type="gramEnd"/>
            <w:r w:rsidRPr="00045DE2">
              <w:rPr>
                <w:b/>
              </w:rPr>
              <w:t xml:space="preserve"> with event/N (%)</w:t>
            </w:r>
          </w:p>
        </w:tc>
        <w:tc>
          <w:tcPr>
            <w:tcW w:w="1817" w:type="dxa"/>
            <w:vAlign w:val="center"/>
          </w:tcPr>
          <w:p w:rsidR="001C3591" w:rsidRPr="00045DE2" w:rsidRDefault="001C3591" w:rsidP="00CE22C7">
            <w:pPr>
              <w:pStyle w:val="Tabletext"/>
              <w:jc w:val="center"/>
              <w:rPr>
                <w:b/>
              </w:rPr>
            </w:pPr>
            <w:r w:rsidRPr="00045DE2">
              <w:rPr>
                <w:b/>
              </w:rPr>
              <w:t>RD (95% CI)</w:t>
            </w:r>
          </w:p>
        </w:tc>
        <w:tc>
          <w:tcPr>
            <w:tcW w:w="1818" w:type="dxa"/>
            <w:vAlign w:val="center"/>
          </w:tcPr>
          <w:p w:rsidR="001C3591" w:rsidRPr="00045DE2" w:rsidRDefault="001C3591" w:rsidP="00CE22C7">
            <w:pPr>
              <w:pStyle w:val="Tabletext"/>
              <w:jc w:val="center"/>
              <w:rPr>
                <w:b/>
              </w:rPr>
            </w:pPr>
            <w:r w:rsidRPr="00045DE2">
              <w:rPr>
                <w:b/>
              </w:rPr>
              <w:t>RR (95% CI)</w:t>
            </w:r>
          </w:p>
        </w:tc>
      </w:tr>
      <w:tr w:rsidR="001C3591" w:rsidRPr="00045DE2" w:rsidTr="00CE22C7">
        <w:tc>
          <w:tcPr>
            <w:tcW w:w="9017" w:type="dxa"/>
            <w:gridSpan w:val="5"/>
            <w:vAlign w:val="center"/>
          </w:tcPr>
          <w:p w:rsidR="001C3591" w:rsidRPr="00045DE2" w:rsidRDefault="001C3591" w:rsidP="00CE22C7">
            <w:pPr>
              <w:pStyle w:val="Tabletext"/>
              <w:rPr>
                <w:b/>
              </w:rPr>
            </w:pPr>
            <w:r w:rsidRPr="00045DE2">
              <w:rPr>
                <w:b/>
              </w:rPr>
              <w:t>All AEs</w:t>
            </w:r>
          </w:p>
        </w:tc>
      </w:tr>
      <w:tr w:rsidR="001C3591" w:rsidRPr="00045DE2" w:rsidTr="00CE22C7">
        <w:tc>
          <w:tcPr>
            <w:tcW w:w="1980" w:type="dxa"/>
            <w:vAlign w:val="center"/>
          </w:tcPr>
          <w:p w:rsidR="001C3591" w:rsidRPr="00045DE2" w:rsidRDefault="001C3591" w:rsidP="00CE22C7">
            <w:pPr>
              <w:pStyle w:val="Tabletext"/>
            </w:pPr>
            <w:r w:rsidRPr="00045DE2">
              <w:t>ZAL-06 (Day 2)</w:t>
            </w:r>
            <w:r w:rsidRPr="00045DE2">
              <w:rPr>
                <w:vertAlign w:val="superscript"/>
              </w:rPr>
              <w:t>a</w:t>
            </w:r>
          </w:p>
        </w:tc>
        <w:tc>
          <w:tcPr>
            <w:tcW w:w="1751" w:type="dxa"/>
            <w:vAlign w:val="center"/>
          </w:tcPr>
          <w:p w:rsidR="001C3591" w:rsidRPr="00045DE2" w:rsidRDefault="001C3591" w:rsidP="00CE22C7">
            <w:pPr>
              <w:pStyle w:val="Tabletext"/>
              <w:jc w:val="center"/>
            </w:pPr>
            <w:r w:rsidRPr="00045DE2">
              <w:t>54 (40.9)</w:t>
            </w:r>
          </w:p>
        </w:tc>
        <w:tc>
          <w:tcPr>
            <w:tcW w:w="1651" w:type="dxa"/>
            <w:vAlign w:val="center"/>
          </w:tcPr>
          <w:p w:rsidR="001C3591" w:rsidRPr="00045DE2" w:rsidRDefault="001C3591" w:rsidP="00CE22C7">
            <w:pPr>
              <w:pStyle w:val="Tabletext"/>
              <w:jc w:val="center"/>
            </w:pPr>
            <w:r w:rsidRPr="00045DE2">
              <w:t>74/129 (57.4)</w:t>
            </w:r>
          </w:p>
        </w:tc>
        <w:tc>
          <w:tcPr>
            <w:tcW w:w="1817" w:type="dxa"/>
          </w:tcPr>
          <w:p w:rsidR="001C3591" w:rsidRPr="00045DE2" w:rsidRDefault="001C3591" w:rsidP="00CE22C7">
            <w:pPr>
              <w:pStyle w:val="Tabletext"/>
              <w:ind w:left="-93" w:right="-68"/>
              <w:jc w:val="center"/>
              <w:rPr>
                <w:b/>
              </w:rPr>
            </w:pPr>
            <w:r w:rsidRPr="00045DE2">
              <w:rPr>
                <w:b/>
              </w:rPr>
              <w:t>-16.5% (-27.9%, -4.3%)</w:t>
            </w:r>
          </w:p>
        </w:tc>
        <w:tc>
          <w:tcPr>
            <w:tcW w:w="1818" w:type="dxa"/>
          </w:tcPr>
          <w:p w:rsidR="001C3591" w:rsidRPr="00045DE2" w:rsidRDefault="001C3591" w:rsidP="00CE22C7">
            <w:pPr>
              <w:pStyle w:val="Tabletext"/>
              <w:jc w:val="center"/>
              <w:rPr>
                <w:b/>
              </w:rPr>
            </w:pPr>
            <w:r w:rsidRPr="00045DE2">
              <w:rPr>
                <w:b/>
              </w:rPr>
              <w:t>0.71 (0.55, 0.92)</w:t>
            </w:r>
          </w:p>
        </w:tc>
      </w:tr>
      <w:tr w:rsidR="001C3591" w:rsidRPr="00045DE2" w:rsidTr="00CE22C7">
        <w:tc>
          <w:tcPr>
            <w:tcW w:w="1980" w:type="dxa"/>
            <w:vAlign w:val="center"/>
          </w:tcPr>
          <w:p w:rsidR="001C3591" w:rsidRPr="00045DE2" w:rsidRDefault="001C3591" w:rsidP="00CE22C7">
            <w:pPr>
              <w:pStyle w:val="Tabletext"/>
            </w:pPr>
            <w:r w:rsidRPr="00045DE2">
              <w:rPr>
                <w:rFonts w:cs="Arial"/>
                <w:szCs w:val="18"/>
              </w:rPr>
              <w:t>CAPSS-241 (6 hours)</w:t>
            </w:r>
          </w:p>
        </w:tc>
        <w:tc>
          <w:tcPr>
            <w:tcW w:w="1751" w:type="dxa"/>
            <w:vAlign w:val="center"/>
          </w:tcPr>
          <w:p w:rsidR="001C3591" w:rsidRPr="00045DE2" w:rsidRDefault="001C3591" w:rsidP="00CE22C7">
            <w:pPr>
              <w:pStyle w:val="Tabletext"/>
              <w:jc w:val="center"/>
            </w:pPr>
            <w:r w:rsidRPr="00045DE2">
              <w:t>82/153 (53.6)</w:t>
            </w:r>
          </w:p>
        </w:tc>
        <w:tc>
          <w:tcPr>
            <w:tcW w:w="1651" w:type="dxa"/>
            <w:vAlign w:val="center"/>
          </w:tcPr>
          <w:p w:rsidR="001C3591" w:rsidRPr="00045DE2" w:rsidRDefault="001C3591" w:rsidP="00CE22C7">
            <w:pPr>
              <w:pStyle w:val="Tabletext"/>
              <w:jc w:val="center"/>
            </w:pPr>
            <w:r w:rsidRPr="00045DE2">
              <w:t>97/152 (63.8)</w:t>
            </w:r>
          </w:p>
        </w:tc>
        <w:tc>
          <w:tcPr>
            <w:tcW w:w="1817" w:type="dxa"/>
          </w:tcPr>
          <w:p w:rsidR="001C3591" w:rsidRPr="00045DE2" w:rsidRDefault="001C3591" w:rsidP="00CE22C7">
            <w:pPr>
              <w:pStyle w:val="Tabletext"/>
              <w:ind w:left="-93" w:right="-68"/>
              <w:jc w:val="center"/>
            </w:pPr>
            <w:r w:rsidRPr="00045DE2">
              <w:t>-10.2% (-20.9%, 0.8%)</w:t>
            </w:r>
          </w:p>
        </w:tc>
        <w:tc>
          <w:tcPr>
            <w:tcW w:w="1818" w:type="dxa"/>
          </w:tcPr>
          <w:p w:rsidR="001C3591" w:rsidRPr="00045DE2" w:rsidRDefault="001C3591" w:rsidP="00CE22C7">
            <w:pPr>
              <w:pStyle w:val="Tabletext"/>
              <w:jc w:val="center"/>
            </w:pPr>
            <w:r w:rsidRPr="00045DE2">
              <w:t>0.84 (0.70, 1.02)</w:t>
            </w:r>
          </w:p>
        </w:tc>
      </w:tr>
      <w:tr w:rsidR="001C3591" w:rsidRPr="00045DE2" w:rsidTr="00CE22C7">
        <w:tc>
          <w:tcPr>
            <w:tcW w:w="1980" w:type="dxa"/>
            <w:vAlign w:val="center"/>
          </w:tcPr>
          <w:p w:rsidR="001C3591" w:rsidRPr="00045DE2" w:rsidRDefault="001C3591" w:rsidP="00CE22C7">
            <w:pPr>
              <w:pStyle w:val="Tabletext"/>
            </w:pPr>
            <w:r w:rsidRPr="00045DE2">
              <w:rPr>
                <w:rFonts w:cs="Arial"/>
                <w:bCs/>
                <w:color w:val="000000"/>
                <w:szCs w:val="18"/>
              </w:rPr>
              <w:t xml:space="preserve">GRTF-ZAL 1 </w:t>
            </w:r>
            <w:r w:rsidRPr="00045DE2">
              <w:t>(10 days)</w:t>
            </w:r>
            <w:r w:rsidRPr="00045DE2">
              <w:rPr>
                <w:vertAlign w:val="superscript"/>
              </w:rPr>
              <w:t>c</w:t>
            </w:r>
          </w:p>
        </w:tc>
        <w:tc>
          <w:tcPr>
            <w:tcW w:w="1751" w:type="dxa"/>
            <w:vAlign w:val="center"/>
          </w:tcPr>
          <w:p w:rsidR="001C3591" w:rsidRPr="00045DE2" w:rsidRDefault="001C3591" w:rsidP="00CE22C7">
            <w:pPr>
              <w:pStyle w:val="Tabletext"/>
              <w:jc w:val="center"/>
            </w:pPr>
            <w:r w:rsidRPr="00045DE2">
              <w:t>30/59 (50.8)</w:t>
            </w:r>
          </w:p>
        </w:tc>
        <w:tc>
          <w:tcPr>
            <w:tcW w:w="1651" w:type="dxa"/>
            <w:vAlign w:val="center"/>
          </w:tcPr>
          <w:p w:rsidR="001C3591" w:rsidRPr="00045DE2" w:rsidRDefault="001C3591" w:rsidP="00CE22C7">
            <w:pPr>
              <w:pStyle w:val="Tabletext"/>
              <w:jc w:val="center"/>
            </w:pPr>
            <w:r w:rsidRPr="00045DE2">
              <w:t>44/60 (73.3)</w:t>
            </w:r>
          </w:p>
        </w:tc>
        <w:tc>
          <w:tcPr>
            <w:tcW w:w="1817" w:type="dxa"/>
          </w:tcPr>
          <w:p w:rsidR="001C3591" w:rsidRPr="00045DE2" w:rsidRDefault="001C3591" w:rsidP="00CE22C7">
            <w:pPr>
              <w:pStyle w:val="Tabletext"/>
              <w:ind w:left="-93" w:right="-68"/>
              <w:jc w:val="center"/>
              <w:rPr>
                <w:b/>
              </w:rPr>
            </w:pPr>
            <w:r w:rsidRPr="00045DE2">
              <w:rPr>
                <w:b/>
              </w:rPr>
              <w:t>-22.5% (-38.1%, -5.1%)</w:t>
            </w:r>
          </w:p>
        </w:tc>
        <w:tc>
          <w:tcPr>
            <w:tcW w:w="1818" w:type="dxa"/>
          </w:tcPr>
          <w:p w:rsidR="001C3591" w:rsidRPr="00045DE2" w:rsidRDefault="001C3591" w:rsidP="00CE22C7">
            <w:pPr>
              <w:pStyle w:val="Tabletext"/>
              <w:jc w:val="center"/>
              <w:rPr>
                <w:b/>
              </w:rPr>
            </w:pPr>
            <w:r w:rsidRPr="00045DE2">
              <w:rPr>
                <w:b/>
              </w:rPr>
              <w:t>0.69 (0.52, 0.93)</w:t>
            </w:r>
          </w:p>
        </w:tc>
      </w:tr>
      <w:tr w:rsidR="001C3591" w:rsidRPr="00045DE2" w:rsidTr="00CE22C7">
        <w:tc>
          <w:tcPr>
            <w:tcW w:w="1980" w:type="dxa"/>
            <w:vAlign w:val="center"/>
          </w:tcPr>
          <w:p w:rsidR="001C3591" w:rsidRPr="00045DE2" w:rsidRDefault="001C3591" w:rsidP="00CE22C7">
            <w:pPr>
              <w:pStyle w:val="Tabletext"/>
              <w:rPr>
                <w:rFonts w:cs="Arial"/>
                <w:bCs/>
                <w:color w:val="000000"/>
                <w:szCs w:val="18"/>
              </w:rPr>
            </w:pPr>
            <w:r w:rsidRPr="00045DE2">
              <w:rPr>
                <w:rFonts w:cs="Arial"/>
                <w:bCs/>
                <w:color w:val="000000"/>
                <w:szCs w:val="18"/>
              </w:rPr>
              <w:t>Pooled</w:t>
            </w:r>
          </w:p>
        </w:tc>
        <w:tc>
          <w:tcPr>
            <w:tcW w:w="1751" w:type="dxa"/>
            <w:vAlign w:val="center"/>
          </w:tcPr>
          <w:p w:rsidR="001C3591" w:rsidRPr="00045DE2" w:rsidRDefault="001C3591" w:rsidP="00CE22C7">
            <w:pPr>
              <w:pStyle w:val="Tabletext"/>
              <w:jc w:val="center"/>
            </w:pPr>
            <w:r w:rsidRPr="00045DE2">
              <w:t>166/344 (48.3)</w:t>
            </w:r>
          </w:p>
        </w:tc>
        <w:tc>
          <w:tcPr>
            <w:tcW w:w="1651" w:type="dxa"/>
            <w:vAlign w:val="center"/>
          </w:tcPr>
          <w:p w:rsidR="001C3591" w:rsidRPr="00045DE2" w:rsidRDefault="001C3591" w:rsidP="00CE22C7">
            <w:pPr>
              <w:pStyle w:val="Tabletext"/>
              <w:jc w:val="center"/>
            </w:pPr>
            <w:r w:rsidRPr="00045DE2">
              <w:t>215/341 (63.0)</w:t>
            </w:r>
          </w:p>
        </w:tc>
        <w:tc>
          <w:tcPr>
            <w:tcW w:w="1817" w:type="dxa"/>
          </w:tcPr>
          <w:p w:rsidR="001C3591" w:rsidRPr="00045DE2" w:rsidRDefault="001C3591" w:rsidP="00CE22C7">
            <w:pPr>
              <w:pStyle w:val="Tabletext"/>
              <w:ind w:left="-93" w:right="-68"/>
              <w:jc w:val="center"/>
              <w:rPr>
                <w:b/>
              </w:rPr>
            </w:pPr>
            <w:r w:rsidRPr="00045DE2">
              <w:rPr>
                <w:b/>
              </w:rPr>
              <w:t>-14.8% (-22%, -7.4%)</w:t>
            </w:r>
          </w:p>
        </w:tc>
        <w:tc>
          <w:tcPr>
            <w:tcW w:w="1818" w:type="dxa"/>
          </w:tcPr>
          <w:p w:rsidR="001C3591" w:rsidRPr="00045DE2" w:rsidRDefault="001C3591" w:rsidP="00CE22C7">
            <w:pPr>
              <w:pStyle w:val="Tabletext"/>
              <w:jc w:val="center"/>
              <w:rPr>
                <w:b/>
              </w:rPr>
            </w:pPr>
            <w:r w:rsidRPr="00045DE2">
              <w:rPr>
                <w:b/>
              </w:rPr>
              <w:t>0.77 (0.69, 0.88)</w:t>
            </w:r>
          </w:p>
        </w:tc>
      </w:tr>
      <w:tr w:rsidR="001C3591" w:rsidRPr="00045DE2" w:rsidTr="00CE22C7">
        <w:tc>
          <w:tcPr>
            <w:tcW w:w="9017" w:type="dxa"/>
            <w:gridSpan w:val="5"/>
            <w:vAlign w:val="center"/>
          </w:tcPr>
          <w:p w:rsidR="001C3591" w:rsidRPr="00045DE2" w:rsidRDefault="001C3591" w:rsidP="00CE22C7">
            <w:pPr>
              <w:pStyle w:val="Tabletext"/>
              <w:rPr>
                <w:b/>
              </w:rPr>
            </w:pPr>
            <w:r w:rsidRPr="00045DE2">
              <w:rPr>
                <w:b/>
              </w:rPr>
              <w:t>Nausea</w:t>
            </w:r>
          </w:p>
        </w:tc>
      </w:tr>
      <w:tr w:rsidR="001C3591" w:rsidRPr="00045DE2" w:rsidTr="00CE22C7">
        <w:tc>
          <w:tcPr>
            <w:tcW w:w="1980" w:type="dxa"/>
            <w:vAlign w:val="center"/>
          </w:tcPr>
          <w:p w:rsidR="001C3591" w:rsidRPr="00045DE2" w:rsidRDefault="001C3591" w:rsidP="00CE22C7">
            <w:pPr>
              <w:pStyle w:val="Tabletext"/>
            </w:pPr>
            <w:r w:rsidRPr="00045DE2">
              <w:t>ZAL-06 (Day 2)</w:t>
            </w:r>
            <w:r w:rsidRPr="00045DE2">
              <w:rPr>
                <w:vertAlign w:val="superscript"/>
              </w:rPr>
              <w:t>a</w:t>
            </w:r>
          </w:p>
        </w:tc>
        <w:tc>
          <w:tcPr>
            <w:tcW w:w="1751" w:type="dxa"/>
            <w:vAlign w:val="center"/>
          </w:tcPr>
          <w:p w:rsidR="001C3591" w:rsidRPr="00045DE2" w:rsidRDefault="001C3591" w:rsidP="00CE22C7">
            <w:pPr>
              <w:pStyle w:val="Tabletext"/>
              <w:jc w:val="center"/>
            </w:pPr>
            <w:r w:rsidRPr="00045DE2">
              <w:t>34/132 (25.8)</w:t>
            </w:r>
          </w:p>
        </w:tc>
        <w:tc>
          <w:tcPr>
            <w:tcW w:w="1651" w:type="dxa"/>
            <w:vAlign w:val="center"/>
          </w:tcPr>
          <w:p w:rsidR="001C3591" w:rsidRPr="00045DE2" w:rsidRDefault="001C3591" w:rsidP="00CE22C7">
            <w:pPr>
              <w:pStyle w:val="Tabletext"/>
              <w:jc w:val="center"/>
            </w:pPr>
            <w:r w:rsidRPr="00045DE2">
              <w:t>47/129 (36.4)</w:t>
            </w:r>
          </w:p>
        </w:tc>
        <w:tc>
          <w:tcPr>
            <w:tcW w:w="1817" w:type="dxa"/>
          </w:tcPr>
          <w:p w:rsidR="001C3591" w:rsidRPr="00045DE2" w:rsidRDefault="001C3591" w:rsidP="00CE22C7">
            <w:pPr>
              <w:pStyle w:val="Tabletext"/>
              <w:ind w:left="-93" w:right="-68"/>
              <w:jc w:val="center"/>
            </w:pPr>
            <w:r w:rsidRPr="00045DE2">
              <w:t>-10.7% (-21.6%, 0.5%)</w:t>
            </w:r>
          </w:p>
        </w:tc>
        <w:tc>
          <w:tcPr>
            <w:tcW w:w="1818" w:type="dxa"/>
          </w:tcPr>
          <w:p w:rsidR="001C3591" w:rsidRPr="00045DE2" w:rsidRDefault="001C3591" w:rsidP="00CE22C7">
            <w:pPr>
              <w:pStyle w:val="Tabletext"/>
              <w:jc w:val="center"/>
            </w:pPr>
            <w:r w:rsidRPr="00045DE2">
              <w:t>0.71 (0.49, 1.02)</w:t>
            </w:r>
          </w:p>
        </w:tc>
      </w:tr>
      <w:tr w:rsidR="001C3591" w:rsidRPr="00045DE2" w:rsidTr="00CE22C7">
        <w:tc>
          <w:tcPr>
            <w:tcW w:w="1980" w:type="dxa"/>
            <w:vAlign w:val="center"/>
          </w:tcPr>
          <w:p w:rsidR="001C3591" w:rsidRPr="00045DE2" w:rsidRDefault="001C3591" w:rsidP="00CE22C7">
            <w:pPr>
              <w:pStyle w:val="Tabletext"/>
            </w:pPr>
            <w:r w:rsidRPr="00045DE2">
              <w:rPr>
                <w:rFonts w:cs="Arial"/>
                <w:szCs w:val="18"/>
              </w:rPr>
              <w:t>CAPSS-241 (6 hours)</w:t>
            </w:r>
          </w:p>
        </w:tc>
        <w:tc>
          <w:tcPr>
            <w:tcW w:w="1751" w:type="dxa"/>
            <w:vAlign w:val="center"/>
          </w:tcPr>
          <w:p w:rsidR="001C3591" w:rsidRPr="00045DE2" w:rsidRDefault="001C3591" w:rsidP="00CE22C7">
            <w:pPr>
              <w:pStyle w:val="Tabletext"/>
              <w:jc w:val="center"/>
            </w:pPr>
            <w:r w:rsidRPr="00045DE2">
              <w:t>22/153 (14.4)</w:t>
            </w:r>
          </w:p>
        </w:tc>
        <w:tc>
          <w:tcPr>
            <w:tcW w:w="1651" w:type="dxa"/>
            <w:vAlign w:val="center"/>
          </w:tcPr>
          <w:p w:rsidR="001C3591" w:rsidRPr="00045DE2" w:rsidRDefault="001C3591" w:rsidP="00CE22C7">
            <w:pPr>
              <w:pStyle w:val="Tabletext"/>
              <w:jc w:val="center"/>
            </w:pPr>
            <w:r w:rsidRPr="00045DE2">
              <w:t>29/152 (19.1)</w:t>
            </w:r>
          </w:p>
        </w:tc>
        <w:tc>
          <w:tcPr>
            <w:tcW w:w="1817" w:type="dxa"/>
          </w:tcPr>
          <w:p w:rsidR="001C3591" w:rsidRPr="00045DE2" w:rsidRDefault="001C3591" w:rsidP="00CE22C7">
            <w:pPr>
              <w:pStyle w:val="Tabletext"/>
              <w:ind w:left="-93" w:right="-68"/>
              <w:jc w:val="center"/>
            </w:pPr>
            <w:r w:rsidRPr="00045DE2">
              <w:t>-4.7% (-13.1%, 3.7%)</w:t>
            </w:r>
          </w:p>
        </w:tc>
        <w:tc>
          <w:tcPr>
            <w:tcW w:w="1818" w:type="dxa"/>
          </w:tcPr>
          <w:p w:rsidR="001C3591" w:rsidRPr="00045DE2" w:rsidRDefault="001C3591" w:rsidP="00CE22C7">
            <w:pPr>
              <w:pStyle w:val="Tabletext"/>
              <w:jc w:val="center"/>
            </w:pPr>
            <w:r w:rsidRPr="00045DE2">
              <w:t>0.75 (0.45, 1.25)</w:t>
            </w:r>
          </w:p>
        </w:tc>
      </w:tr>
      <w:tr w:rsidR="001C3591" w:rsidRPr="00045DE2" w:rsidTr="00CE22C7">
        <w:tc>
          <w:tcPr>
            <w:tcW w:w="1980" w:type="dxa"/>
            <w:vAlign w:val="center"/>
          </w:tcPr>
          <w:p w:rsidR="001C3591" w:rsidRPr="00045DE2" w:rsidRDefault="001C3591" w:rsidP="00CE22C7">
            <w:pPr>
              <w:pStyle w:val="Tabletext"/>
            </w:pPr>
            <w:r w:rsidRPr="00045DE2">
              <w:rPr>
                <w:rFonts w:cs="Arial"/>
                <w:bCs/>
                <w:color w:val="000000"/>
                <w:szCs w:val="18"/>
              </w:rPr>
              <w:t xml:space="preserve">GRTF-ZAL 1 </w:t>
            </w:r>
            <w:r w:rsidRPr="00045DE2">
              <w:t>(10 days)</w:t>
            </w:r>
            <w:r w:rsidRPr="00045DE2">
              <w:rPr>
                <w:vertAlign w:val="superscript"/>
              </w:rPr>
              <w:t>c</w:t>
            </w:r>
          </w:p>
        </w:tc>
        <w:tc>
          <w:tcPr>
            <w:tcW w:w="1751" w:type="dxa"/>
            <w:vAlign w:val="center"/>
          </w:tcPr>
          <w:p w:rsidR="001C3591" w:rsidRPr="00045DE2" w:rsidRDefault="001C3591" w:rsidP="00CE22C7">
            <w:pPr>
              <w:pStyle w:val="Tabletext"/>
              <w:jc w:val="center"/>
            </w:pPr>
            <w:r w:rsidRPr="00045DE2">
              <w:t>8/59 (13.6)</w:t>
            </w:r>
          </w:p>
        </w:tc>
        <w:tc>
          <w:tcPr>
            <w:tcW w:w="1651" w:type="dxa"/>
            <w:vAlign w:val="center"/>
          </w:tcPr>
          <w:p w:rsidR="001C3591" w:rsidRPr="00045DE2" w:rsidRDefault="001C3591" w:rsidP="00CE22C7">
            <w:pPr>
              <w:pStyle w:val="Tabletext"/>
              <w:jc w:val="center"/>
            </w:pPr>
            <w:r w:rsidRPr="00045DE2">
              <w:t>21/60 (35)</w:t>
            </w:r>
          </w:p>
        </w:tc>
        <w:tc>
          <w:tcPr>
            <w:tcW w:w="1817" w:type="dxa"/>
          </w:tcPr>
          <w:p w:rsidR="001C3591" w:rsidRPr="00045DE2" w:rsidRDefault="001C3591" w:rsidP="00CE22C7">
            <w:pPr>
              <w:pStyle w:val="Tabletext"/>
              <w:ind w:left="-93" w:right="-68"/>
              <w:jc w:val="center"/>
              <w:rPr>
                <w:b/>
              </w:rPr>
            </w:pPr>
            <w:r w:rsidRPr="00045DE2">
              <w:rPr>
                <w:b/>
              </w:rPr>
              <w:t>-21.4% (-35.7%, -6.0%)</w:t>
            </w:r>
          </w:p>
        </w:tc>
        <w:tc>
          <w:tcPr>
            <w:tcW w:w="1818" w:type="dxa"/>
          </w:tcPr>
          <w:p w:rsidR="001C3591" w:rsidRPr="00045DE2" w:rsidRDefault="001C3591" w:rsidP="00CE22C7">
            <w:pPr>
              <w:pStyle w:val="Tabletext"/>
              <w:jc w:val="center"/>
              <w:rPr>
                <w:b/>
              </w:rPr>
            </w:pPr>
            <w:r w:rsidRPr="00045DE2">
              <w:rPr>
                <w:b/>
              </w:rPr>
              <w:t>0.39 (0.19, 0.80)</w:t>
            </w:r>
          </w:p>
        </w:tc>
      </w:tr>
      <w:tr w:rsidR="001C3591" w:rsidTr="00CE22C7">
        <w:tc>
          <w:tcPr>
            <w:tcW w:w="1980" w:type="dxa"/>
            <w:vAlign w:val="center"/>
          </w:tcPr>
          <w:p w:rsidR="001C3591" w:rsidRPr="00045DE2" w:rsidRDefault="001C3591" w:rsidP="00CE22C7">
            <w:pPr>
              <w:pStyle w:val="Tabletext"/>
              <w:rPr>
                <w:rFonts w:cs="Arial"/>
                <w:bCs/>
                <w:color w:val="000000"/>
                <w:szCs w:val="18"/>
              </w:rPr>
            </w:pPr>
            <w:r w:rsidRPr="00045DE2">
              <w:rPr>
                <w:rFonts w:cs="Arial"/>
                <w:bCs/>
                <w:color w:val="000000"/>
                <w:szCs w:val="18"/>
              </w:rPr>
              <w:t>Pooled</w:t>
            </w:r>
          </w:p>
        </w:tc>
        <w:tc>
          <w:tcPr>
            <w:tcW w:w="1751" w:type="dxa"/>
            <w:vAlign w:val="center"/>
          </w:tcPr>
          <w:p w:rsidR="001C3591" w:rsidRPr="00045DE2" w:rsidRDefault="001C3591" w:rsidP="00CE22C7">
            <w:pPr>
              <w:pStyle w:val="Tabletext"/>
              <w:jc w:val="center"/>
            </w:pPr>
            <w:r w:rsidRPr="00045DE2">
              <w:t>64/344 (18.6)</w:t>
            </w:r>
          </w:p>
        </w:tc>
        <w:tc>
          <w:tcPr>
            <w:tcW w:w="1651" w:type="dxa"/>
            <w:vAlign w:val="center"/>
          </w:tcPr>
          <w:p w:rsidR="001C3591" w:rsidRPr="00045DE2" w:rsidRDefault="001C3591" w:rsidP="00CE22C7">
            <w:pPr>
              <w:pStyle w:val="Tabletext"/>
              <w:jc w:val="center"/>
            </w:pPr>
            <w:r w:rsidRPr="00045DE2">
              <w:t>97/341 (28.4)</w:t>
            </w:r>
          </w:p>
        </w:tc>
        <w:tc>
          <w:tcPr>
            <w:tcW w:w="1817" w:type="dxa"/>
          </w:tcPr>
          <w:p w:rsidR="001C3591" w:rsidRPr="00045DE2" w:rsidRDefault="001C3591" w:rsidP="00CE22C7">
            <w:pPr>
              <w:pStyle w:val="Tabletext"/>
              <w:ind w:left="-93" w:right="-68"/>
              <w:jc w:val="center"/>
              <w:rPr>
                <w:b/>
              </w:rPr>
            </w:pPr>
            <w:r w:rsidRPr="00045DE2">
              <w:rPr>
                <w:b/>
              </w:rPr>
              <w:t>-9.8% (-16.1%, -3.5%)</w:t>
            </w:r>
          </w:p>
        </w:tc>
        <w:tc>
          <w:tcPr>
            <w:tcW w:w="1818" w:type="dxa"/>
          </w:tcPr>
          <w:p w:rsidR="001C3591" w:rsidRPr="0092772D" w:rsidRDefault="001C3591" w:rsidP="00CE22C7">
            <w:pPr>
              <w:pStyle w:val="Tabletext"/>
              <w:jc w:val="center"/>
              <w:rPr>
                <w:b/>
              </w:rPr>
            </w:pPr>
            <w:r w:rsidRPr="00045DE2">
              <w:rPr>
                <w:b/>
              </w:rPr>
              <w:t>0.65 (0.50, 0.86)</w:t>
            </w:r>
          </w:p>
        </w:tc>
      </w:tr>
    </w:tbl>
    <w:p w:rsidR="001C3591" w:rsidRPr="00D123EE" w:rsidRDefault="001C3591" w:rsidP="001C3591">
      <w:pPr>
        <w:pStyle w:val="TableFooter"/>
        <w:rPr>
          <w:sz w:val="20"/>
        </w:rPr>
      </w:pPr>
      <w:r w:rsidRPr="00D123EE">
        <w:t>Source: Table 2-59 p160 and Table 2-60 p161 of the submission.</w:t>
      </w:r>
    </w:p>
    <w:p w:rsidR="00B958E8" w:rsidRPr="00D123EE" w:rsidRDefault="001C3591" w:rsidP="0026508A">
      <w:pPr>
        <w:pStyle w:val="TableFooter"/>
      </w:pPr>
      <w:r w:rsidRPr="00D123EE">
        <w:rPr>
          <w:rFonts w:eastAsia="Calibri"/>
        </w:rPr>
        <w:t xml:space="preserve">Abbreviations: AE= adverse events; CI = confidence interval; n = number of participants reporting data; N = total participants in group; RD = risk difference; RR = risk ratio. </w:t>
      </w:r>
    </w:p>
    <w:p w:rsidR="00B958E8" w:rsidRPr="00D123EE" w:rsidRDefault="00B958E8" w:rsidP="004151CF">
      <w:pPr>
        <w:pStyle w:val="ListParagraph"/>
        <w:spacing w:after="0"/>
        <w:ind w:left="0"/>
      </w:pPr>
    </w:p>
    <w:p w:rsidR="00B10FBC" w:rsidRPr="00D123EE" w:rsidRDefault="00DB5DED" w:rsidP="005B2734">
      <w:pPr>
        <w:pStyle w:val="ListParagraph"/>
        <w:spacing w:after="120"/>
        <w:ind w:left="0"/>
      </w:pPr>
      <w:r w:rsidRPr="00D123EE">
        <w:rPr>
          <w:b/>
          <w:u w:val="single"/>
        </w:rPr>
        <w:t>Chronic pain</w:t>
      </w:r>
    </w:p>
    <w:p w:rsidR="009F1B15" w:rsidRPr="007A0BA2" w:rsidRDefault="004F3A7C" w:rsidP="007A0BA2">
      <w:pPr>
        <w:pStyle w:val="ListParagraph"/>
        <w:widowControl/>
        <w:numPr>
          <w:ilvl w:val="1"/>
          <w:numId w:val="1"/>
        </w:numPr>
        <w:spacing w:after="120"/>
      </w:pPr>
      <w:r w:rsidRPr="00D123EE">
        <w:t xml:space="preserve">Based on the results of the indirect comparison of the trials in chronic pain (CAPSS-104, CAPSS-112, CAPSS-113, TRP-CAN-1, CAPSS-237, CAPSS-114, Chang 2013, CAPSS-051, CA-R0027) there were no differences in patients discontinuing for any reason, </w:t>
      </w:r>
      <w:r w:rsidRPr="00D123EE">
        <w:lastRenderedPageBreak/>
        <w:t xml:space="preserve">discontinuations due to lack of efficacy, or due to AEs with the FDC of tramadol 37.5 mg/paracetamol 325 mg compared with tramadol 50 mg IR. There was a statistically significantly reduced risk of headache (RD -8.9%; 95% CI -14.8%, -2.9%), nausea (RD -11.7%; 95% CI -19.4%, -4%), constipation (RD -11.6%; 95% CI -18.7%, -4.6%) and pruritus (RD -5.9%; 95% CI -10.7%, -1.0%) with the FDC of tramadol 37.5 mg/paracetamol 325 mg compared with tramadol 50 mg IR. </w:t>
      </w:r>
      <w:r w:rsidR="00695119" w:rsidRPr="00D123EE">
        <w:t>There was a numerical difference in the occurrence of treatment-related AEs, in favour of the FDC, but this did not achieve statistical significance.</w:t>
      </w:r>
    </w:p>
    <w:p w:rsidR="009E5309" w:rsidRPr="0032125F" w:rsidRDefault="00C11CF4" w:rsidP="00905D6A">
      <w:pPr>
        <w:pStyle w:val="KMC16-Heading2"/>
      </w:pPr>
      <w:bookmarkStart w:id="9" w:name="_Toc503971850"/>
      <w:r w:rsidRPr="0032125F">
        <w:t>Benefits/harms</w:t>
      </w:r>
      <w:bookmarkEnd w:id="9"/>
    </w:p>
    <w:p w:rsidR="00EC00C9" w:rsidRPr="00D123EE" w:rsidRDefault="004F3A7C" w:rsidP="00E22F6D">
      <w:pPr>
        <w:pStyle w:val="ListParagraph"/>
        <w:widowControl/>
        <w:numPr>
          <w:ilvl w:val="1"/>
          <w:numId w:val="1"/>
        </w:numPr>
        <w:spacing w:after="120"/>
      </w:pPr>
      <w:r w:rsidRPr="00D123EE">
        <w:rPr>
          <w:rFonts w:cs="Calibri"/>
          <w:snapToGrid/>
          <w:szCs w:val="24"/>
          <w:lang w:val="en-US" w:eastAsia="en-AU"/>
        </w:rPr>
        <w:t xml:space="preserve">As the </w:t>
      </w:r>
      <w:r w:rsidR="00204270" w:rsidRPr="00D123EE">
        <w:rPr>
          <w:rFonts w:cs="Calibri"/>
          <w:snapToGrid/>
          <w:szCs w:val="24"/>
          <w:lang w:val="en-US" w:eastAsia="en-AU"/>
        </w:rPr>
        <w:t xml:space="preserve">submission claimed superior safety </w:t>
      </w:r>
      <w:r w:rsidR="00445A40" w:rsidRPr="00D123EE">
        <w:rPr>
          <w:rFonts w:cs="Calibri"/>
          <w:snapToGrid/>
          <w:szCs w:val="24"/>
          <w:lang w:val="en-US" w:eastAsia="en-AU"/>
        </w:rPr>
        <w:t>over its comparator, a</w:t>
      </w:r>
      <w:r w:rsidR="00204270" w:rsidRPr="00D123EE">
        <w:rPr>
          <w:rFonts w:cs="Calibri"/>
          <w:snapToGrid/>
          <w:szCs w:val="24"/>
          <w:lang w:val="en-US" w:eastAsia="en-AU"/>
        </w:rPr>
        <w:t xml:space="preserve"> summary of the comparative harms for th</w:t>
      </w:r>
      <w:r w:rsidR="00DB1538" w:rsidRPr="00D123EE">
        <w:rPr>
          <w:rFonts w:cs="Calibri"/>
          <w:snapToGrid/>
          <w:szCs w:val="24"/>
          <w:lang w:val="en-US" w:eastAsia="en-AU"/>
        </w:rPr>
        <w:t xml:space="preserve">e FDC of tramadol 37.5 mg/paracetamol 325 mg compared with tramadol 50 mg </w:t>
      </w:r>
      <w:r w:rsidR="00DB1538" w:rsidRPr="00037973">
        <w:rPr>
          <w:rFonts w:cs="Calibri"/>
          <w:snapToGrid/>
          <w:szCs w:val="24"/>
          <w:lang w:val="en-US" w:eastAsia="en-AU"/>
        </w:rPr>
        <w:t xml:space="preserve">IR </w:t>
      </w:r>
      <w:r w:rsidR="00970A71" w:rsidRPr="00037973">
        <w:rPr>
          <w:rFonts w:cs="Calibri"/>
          <w:snapToGrid/>
          <w:szCs w:val="24"/>
          <w:lang w:val="en-US" w:eastAsia="en-AU"/>
        </w:rPr>
        <w:t xml:space="preserve">in acute pain </w:t>
      </w:r>
      <w:r w:rsidR="00DB1538" w:rsidRPr="00037973">
        <w:rPr>
          <w:rFonts w:cs="Calibri"/>
          <w:snapToGrid/>
          <w:szCs w:val="24"/>
          <w:lang w:val="en-US" w:eastAsia="en-AU"/>
        </w:rPr>
        <w:t>is</w:t>
      </w:r>
      <w:r w:rsidR="00DB1538" w:rsidRPr="00D123EE">
        <w:rPr>
          <w:rFonts w:cs="Calibri"/>
          <w:snapToGrid/>
          <w:szCs w:val="24"/>
          <w:lang w:val="en-US" w:eastAsia="en-AU"/>
        </w:rPr>
        <w:t xml:space="preserve"> provided in Table </w:t>
      </w:r>
      <w:r w:rsidR="00970A71" w:rsidRPr="00D123EE">
        <w:rPr>
          <w:rFonts w:cs="Calibri"/>
          <w:snapToGrid/>
          <w:szCs w:val="24"/>
          <w:lang w:val="en-US" w:eastAsia="en-AU"/>
        </w:rPr>
        <w:t>1</w:t>
      </w:r>
      <w:r w:rsidR="00970A71">
        <w:rPr>
          <w:rFonts w:cs="Calibri"/>
          <w:snapToGrid/>
          <w:szCs w:val="24"/>
          <w:lang w:val="en-US" w:eastAsia="en-AU"/>
        </w:rPr>
        <w:t>2</w:t>
      </w:r>
      <w:r w:rsidR="00DB1538" w:rsidRPr="00D123EE">
        <w:rPr>
          <w:rFonts w:cs="Calibri"/>
          <w:snapToGrid/>
          <w:szCs w:val="24"/>
          <w:lang w:val="en-US" w:eastAsia="en-AU"/>
        </w:rPr>
        <w:t xml:space="preserve">. </w:t>
      </w:r>
      <w:r w:rsidR="000073AB" w:rsidRPr="00B84D95">
        <w:rPr>
          <w:rFonts w:cs="Calibri"/>
          <w:snapToGrid/>
          <w:szCs w:val="24"/>
          <w:lang w:val="en-US" w:eastAsia="en-AU"/>
        </w:rPr>
        <w:t>T</w:t>
      </w:r>
      <w:r w:rsidR="00C637C9" w:rsidRPr="00B84D95">
        <w:rPr>
          <w:rFonts w:cs="Calibri"/>
          <w:snapToGrid/>
          <w:szCs w:val="24"/>
          <w:lang w:val="en-US" w:eastAsia="en-AU"/>
        </w:rPr>
        <w:t>he data has limited applicability to practice where tramadol 50 mg IR should also be used in combination with paracetamol, with likely implications for efficacy, overall tramadol utilization and safety due to dose related adverse drug events.</w:t>
      </w:r>
      <w:r w:rsidR="00C637C9" w:rsidRPr="00790DDA">
        <w:rPr>
          <w:rFonts w:cs="Calibri"/>
          <w:i/>
          <w:snapToGrid/>
          <w:szCs w:val="24"/>
          <w:lang w:val="en-US" w:eastAsia="en-AU"/>
        </w:rPr>
        <w:t xml:space="preserve"> </w:t>
      </w:r>
      <w:r w:rsidR="00DB1538" w:rsidRPr="00D123EE">
        <w:rPr>
          <w:rFonts w:cs="Calibri"/>
          <w:snapToGrid/>
          <w:szCs w:val="24"/>
          <w:lang w:val="en-US" w:eastAsia="en-AU"/>
        </w:rPr>
        <w:t xml:space="preserve">The </w:t>
      </w:r>
      <w:r w:rsidR="00620382" w:rsidRPr="00D123EE">
        <w:rPr>
          <w:rFonts w:cs="Calibri"/>
          <w:snapToGrid/>
          <w:szCs w:val="24"/>
          <w:lang w:val="en-US" w:eastAsia="en-AU"/>
        </w:rPr>
        <w:t xml:space="preserve">clinical claim </w:t>
      </w:r>
      <w:r w:rsidR="00DB1538" w:rsidRPr="00D123EE">
        <w:rPr>
          <w:rFonts w:cs="Calibri"/>
          <w:snapToGrid/>
          <w:szCs w:val="24"/>
          <w:lang w:val="en-US" w:eastAsia="en-AU"/>
        </w:rPr>
        <w:t xml:space="preserve">for efficacy </w:t>
      </w:r>
      <w:r w:rsidR="00620382" w:rsidRPr="00D123EE">
        <w:rPr>
          <w:rFonts w:cs="Calibri"/>
          <w:snapToGrid/>
          <w:szCs w:val="24"/>
          <w:lang w:val="en-US" w:eastAsia="en-AU"/>
        </w:rPr>
        <w:t>was one of non-inferiority</w:t>
      </w:r>
      <w:r w:rsidRPr="00D123EE">
        <w:rPr>
          <w:rFonts w:cs="Calibri"/>
          <w:snapToGrid/>
          <w:szCs w:val="24"/>
          <w:lang w:val="en-US" w:eastAsia="en-AU"/>
        </w:rPr>
        <w:t>,</w:t>
      </w:r>
      <w:r w:rsidR="00D65E69" w:rsidRPr="00D123EE">
        <w:rPr>
          <w:rFonts w:cs="Calibri"/>
          <w:snapToGrid/>
          <w:szCs w:val="24"/>
          <w:lang w:val="en-US" w:eastAsia="en-AU"/>
        </w:rPr>
        <w:t xml:space="preserve"> </w:t>
      </w:r>
      <w:r w:rsidR="00445A40" w:rsidRPr="00D123EE">
        <w:rPr>
          <w:rFonts w:cs="Calibri"/>
          <w:snapToGrid/>
          <w:szCs w:val="24"/>
          <w:lang w:val="en-US" w:eastAsia="en-AU"/>
        </w:rPr>
        <w:t xml:space="preserve">thus an assessment of comparative </w:t>
      </w:r>
      <w:r w:rsidR="00D65E69" w:rsidRPr="00D123EE">
        <w:rPr>
          <w:rFonts w:cs="Calibri"/>
          <w:snapToGrid/>
          <w:szCs w:val="24"/>
          <w:lang w:val="en-US" w:eastAsia="en-AU"/>
        </w:rPr>
        <w:t>benefits has not been presented.</w:t>
      </w:r>
    </w:p>
    <w:p w:rsidR="00445A40" w:rsidRPr="00D123EE" w:rsidRDefault="00445A40" w:rsidP="00E22F6D">
      <w:pPr>
        <w:pStyle w:val="ListParagraph"/>
        <w:widowControl/>
        <w:numPr>
          <w:ilvl w:val="1"/>
          <w:numId w:val="1"/>
        </w:numPr>
        <w:spacing w:after="120"/>
      </w:pPr>
      <w:r w:rsidRPr="00D123EE">
        <w:rPr>
          <w:rFonts w:cs="Calibri"/>
          <w:snapToGrid/>
          <w:szCs w:val="24"/>
          <w:lang w:val="en-US" w:eastAsia="en-AU"/>
        </w:rPr>
        <w:t xml:space="preserve">On the basis of </w:t>
      </w:r>
      <w:r w:rsidR="009F1B15" w:rsidRPr="00D123EE">
        <w:rPr>
          <w:rFonts w:cs="Calibri"/>
          <w:snapToGrid/>
          <w:szCs w:val="24"/>
          <w:lang w:val="en-US" w:eastAsia="en-AU"/>
        </w:rPr>
        <w:t>evidence presented in the submission</w:t>
      </w:r>
      <w:r w:rsidRPr="00D123EE">
        <w:rPr>
          <w:rFonts w:cs="Calibri"/>
          <w:snapToGrid/>
          <w:szCs w:val="24"/>
          <w:lang w:val="en-US" w:eastAsia="en-AU"/>
        </w:rPr>
        <w:t xml:space="preserve">, </w:t>
      </w:r>
      <w:r w:rsidR="009F1B15" w:rsidRPr="00D123EE">
        <w:rPr>
          <w:rFonts w:cs="Calibri"/>
          <w:snapToGrid/>
          <w:szCs w:val="24"/>
          <w:lang w:val="en-US" w:eastAsia="en-AU"/>
        </w:rPr>
        <w:t xml:space="preserve">for every 100 patients </w:t>
      </w:r>
      <w:r w:rsidR="000073AB" w:rsidRPr="00B84D95">
        <w:rPr>
          <w:rFonts w:cs="Calibri"/>
          <w:snapToGrid/>
          <w:szCs w:val="24"/>
          <w:lang w:val="en-US" w:eastAsia="en-AU"/>
        </w:rPr>
        <w:t xml:space="preserve">with acute pain </w:t>
      </w:r>
      <w:r w:rsidR="009F1B15" w:rsidRPr="00D123EE">
        <w:rPr>
          <w:rFonts w:cs="Calibri"/>
          <w:snapToGrid/>
          <w:szCs w:val="24"/>
          <w:lang w:val="en-US" w:eastAsia="en-AU"/>
        </w:rPr>
        <w:t>treated with the FDC of tramadol 37.5 mg/paracetamol 325 mg compared with tramadol 50 mg IR</w:t>
      </w:r>
      <w:r w:rsidRPr="00D123EE">
        <w:rPr>
          <w:rFonts w:cs="Calibri"/>
          <w:snapToGrid/>
          <w:szCs w:val="24"/>
          <w:lang w:val="en-US" w:eastAsia="en-AU"/>
        </w:rPr>
        <w:t>:</w:t>
      </w:r>
    </w:p>
    <w:p w:rsidR="00C54CCA" w:rsidRPr="00D123EE" w:rsidRDefault="00445A40" w:rsidP="004B1CB4">
      <w:pPr>
        <w:pStyle w:val="ListParagraph"/>
        <w:widowControl/>
        <w:numPr>
          <w:ilvl w:val="3"/>
          <w:numId w:val="1"/>
        </w:numPr>
        <w:spacing w:after="120"/>
        <w:ind w:left="993"/>
      </w:pPr>
      <w:r w:rsidRPr="00D123EE">
        <w:t xml:space="preserve">Approximately </w:t>
      </w:r>
      <w:r w:rsidR="000073AB">
        <w:t>ten</w:t>
      </w:r>
      <w:r w:rsidR="000073AB" w:rsidRPr="00D123EE">
        <w:t xml:space="preserve"> </w:t>
      </w:r>
      <w:r w:rsidRPr="00D123EE">
        <w:t xml:space="preserve">fewer patients would experience </w:t>
      </w:r>
      <w:r w:rsidR="000073AB">
        <w:t>nausea</w:t>
      </w:r>
      <w:r w:rsidR="000C746A">
        <w:t>.</w:t>
      </w:r>
    </w:p>
    <w:p w:rsidR="00B60939" w:rsidRPr="0032125F" w:rsidRDefault="00C11CF4" w:rsidP="00905D6A">
      <w:pPr>
        <w:pStyle w:val="KMC16-Heading2"/>
      </w:pPr>
      <w:bookmarkStart w:id="10" w:name="_Toc503971851"/>
      <w:r w:rsidRPr="0032125F">
        <w:t>Clinical claim</w:t>
      </w:r>
      <w:bookmarkEnd w:id="10"/>
    </w:p>
    <w:p w:rsidR="00924811" w:rsidRPr="00D123EE" w:rsidRDefault="002737CB" w:rsidP="00E22F6D">
      <w:pPr>
        <w:pStyle w:val="ListParagraph"/>
        <w:widowControl/>
        <w:numPr>
          <w:ilvl w:val="1"/>
          <w:numId w:val="1"/>
        </w:numPr>
        <w:spacing w:after="120"/>
      </w:pPr>
      <w:r w:rsidRPr="00D123EE">
        <w:t xml:space="preserve">The submission described </w:t>
      </w:r>
      <w:r w:rsidR="009E34E9" w:rsidRPr="00D123EE">
        <w:t>the FDC of tramadol 37.5 mg/paracetamol 325 mg</w:t>
      </w:r>
      <w:r w:rsidRPr="00D123EE">
        <w:t xml:space="preserve"> as non-inferior in efficacy</w:t>
      </w:r>
      <w:r w:rsidR="00777B67" w:rsidRPr="00D123EE">
        <w:t xml:space="preserve"> and superior in safety compared with tramadol 50 mg IR in acute and chronic pain. </w:t>
      </w:r>
    </w:p>
    <w:p w:rsidR="00271C80" w:rsidRPr="00D123EE" w:rsidRDefault="00F17CC7" w:rsidP="00E22F6D">
      <w:pPr>
        <w:pStyle w:val="ListParagraph"/>
        <w:widowControl/>
        <w:numPr>
          <w:ilvl w:val="1"/>
          <w:numId w:val="1"/>
        </w:numPr>
        <w:spacing w:after="120"/>
      </w:pPr>
      <w:r w:rsidRPr="00D123EE">
        <w:t xml:space="preserve">The efficacy and safety claims </w:t>
      </w:r>
      <w:r w:rsidR="00632FBD" w:rsidRPr="00D123EE">
        <w:t>were not adequately supported</w:t>
      </w:r>
      <w:r w:rsidRPr="00D123EE">
        <w:t xml:space="preserve"> for the treatment of acute pain when comparing the FDC </w:t>
      </w:r>
      <w:r w:rsidR="009E34E9" w:rsidRPr="00D123EE">
        <w:t>of tramadol 37.5 mg/paracetamol 325 mg</w:t>
      </w:r>
      <w:r w:rsidRPr="00D123EE">
        <w:t xml:space="preserve"> with tramadol 50 mg IR</w:t>
      </w:r>
      <w:r w:rsidR="00632FBD" w:rsidRPr="00D123EE">
        <w:t xml:space="preserve"> due to the heterogeneity of the trials</w:t>
      </w:r>
      <w:r w:rsidR="00B01B1A">
        <w:t xml:space="preserve"> </w:t>
      </w:r>
      <w:r w:rsidR="00B01B1A" w:rsidRPr="00CF676C">
        <w:t>and the limited applicability of the comparator to clinical practice</w:t>
      </w:r>
      <w:r w:rsidR="00B345F4" w:rsidRPr="00CF676C">
        <w:t>.</w:t>
      </w:r>
      <w:r w:rsidRPr="00CF676C">
        <w:t xml:space="preserve"> </w:t>
      </w:r>
      <w:r w:rsidR="00C637C9" w:rsidRPr="00CF676C">
        <w:t>Furthermore, the</w:t>
      </w:r>
      <w:r w:rsidR="00836161" w:rsidRPr="00CF676C">
        <w:t xml:space="preserve"> appropriate</w:t>
      </w:r>
      <w:r w:rsidR="00C637C9" w:rsidRPr="00CF676C">
        <w:t xml:space="preserve"> comparator in clinical practice is tramadol IR 50 mg plus paracetamol 500 mg, which would have implications for efficacy and safety.  </w:t>
      </w:r>
      <w:r w:rsidR="00632FBD" w:rsidRPr="00D123EE">
        <w:t xml:space="preserve">Moreover, </w:t>
      </w:r>
      <w:r w:rsidR="00B01B1A" w:rsidRPr="00CF676C">
        <w:t xml:space="preserve">if </w:t>
      </w:r>
      <w:r w:rsidR="00B345F4" w:rsidRPr="00CF676C">
        <w:t>the FDC</w:t>
      </w:r>
      <w:r w:rsidRPr="00CF676C">
        <w:t xml:space="preserve"> is </w:t>
      </w:r>
      <w:r w:rsidR="00B01B1A" w:rsidRPr="00CF676C">
        <w:t xml:space="preserve">used in practice </w:t>
      </w:r>
      <w:r w:rsidRPr="00CF676C">
        <w:t xml:space="preserve">as a treatment for chronic pain, </w:t>
      </w:r>
      <w:r w:rsidR="00B01B1A" w:rsidRPr="00CF676C">
        <w:t>as originally proposed by the sponsor,</w:t>
      </w:r>
      <w:r w:rsidR="00B01B1A">
        <w:t xml:space="preserve"> </w:t>
      </w:r>
      <w:r w:rsidRPr="00D123EE">
        <w:t xml:space="preserve">the efficacy and safety beyond the titration phase are subject to a higher level of uncertainty. </w:t>
      </w:r>
      <w:r w:rsidR="00F85C50" w:rsidRPr="00D123EE">
        <w:t xml:space="preserve">Differences between the </w:t>
      </w:r>
      <w:r w:rsidR="00271C80" w:rsidRPr="00D123EE">
        <w:t xml:space="preserve">trials, mainly pertaining </w:t>
      </w:r>
      <w:r w:rsidR="00B345F4" w:rsidRPr="00D123EE">
        <w:t xml:space="preserve">to </w:t>
      </w:r>
      <w:r w:rsidR="00271C80" w:rsidRPr="00D123EE">
        <w:t>study design characteristics and placebo response rates</w:t>
      </w:r>
      <w:r w:rsidR="00B345F4" w:rsidRPr="00D123EE">
        <w:t>,</w:t>
      </w:r>
      <w:r w:rsidR="00271C80" w:rsidRPr="00D123EE">
        <w:t xml:space="preserve"> limit</w:t>
      </w:r>
      <w:r w:rsidR="00B345F4" w:rsidRPr="00D123EE">
        <w:t>ed the</w:t>
      </w:r>
      <w:r w:rsidR="00271C80" w:rsidRPr="00D123EE">
        <w:t xml:space="preserve"> transitivity of the trial results.</w:t>
      </w:r>
      <w:r w:rsidR="001B5231" w:rsidRPr="00D123EE">
        <w:t xml:space="preserve"> Further, no evidence comparing the FDC with tramadol SR formulations </w:t>
      </w:r>
      <w:r w:rsidR="00B35DD1">
        <w:t xml:space="preserve">was </w:t>
      </w:r>
      <w:r w:rsidR="001B5231" w:rsidRPr="00D123EE">
        <w:t xml:space="preserve">presented in the submission. </w:t>
      </w:r>
    </w:p>
    <w:p w:rsidR="001B47D5" w:rsidRPr="005C21CA" w:rsidDel="00402B71" w:rsidRDefault="001B47D5" w:rsidP="00E22F6D">
      <w:pPr>
        <w:pStyle w:val="ListParagraph"/>
        <w:widowControl/>
        <w:numPr>
          <w:ilvl w:val="1"/>
          <w:numId w:val="1"/>
        </w:numPr>
        <w:spacing w:after="120"/>
      </w:pPr>
      <w:r w:rsidRPr="00D123EE" w:rsidDel="00402B71">
        <w:t xml:space="preserve">The submission stated that there is an unmet clinical need for an analgesic combination that will deliver a safer and efficacious outcome to patients, and an FDC </w:t>
      </w:r>
      <w:r w:rsidRPr="00D123EE" w:rsidDel="00402B71">
        <w:lastRenderedPageBreak/>
        <w:t xml:space="preserve">that is less likely to be abused. Although the submission presented a general discussion about the abuse potential associated with tramadol compared with other opioids, it was unclear about how substitution of one formulation of tramadol (50 mg IR) with </w:t>
      </w:r>
      <w:r w:rsidRPr="005C21CA" w:rsidDel="00402B71">
        <w:t xml:space="preserve">another (the FDC) would meet the need for an analgesic that is less likely to be abused. </w:t>
      </w:r>
      <w:r w:rsidR="00B01B1A" w:rsidRPr="005C21CA">
        <w:t xml:space="preserve">The ESC </w:t>
      </w:r>
      <w:r w:rsidR="003B53DA">
        <w:t>noted</w:t>
      </w:r>
      <w:r w:rsidR="00B01B1A" w:rsidRPr="005C21CA">
        <w:t xml:space="preserve"> that this has not been addressed and </w:t>
      </w:r>
      <w:r w:rsidR="00836161" w:rsidRPr="005C21CA">
        <w:t>wa</w:t>
      </w:r>
      <w:r w:rsidR="00B01B1A" w:rsidRPr="005C21CA">
        <w:t>s</w:t>
      </w:r>
      <w:r w:rsidR="00836161" w:rsidRPr="005C21CA">
        <w:t xml:space="preserve"> additionally</w:t>
      </w:r>
      <w:r w:rsidR="00B01B1A" w:rsidRPr="005C21CA">
        <w:t xml:space="preserve"> concerned that if this formulation is abused there is an additional risk of paracetamol toxicity.</w:t>
      </w:r>
    </w:p>
    <w:p w:rsidR="00CF676C" w:rsidRPr="0072195F" w:rsidRDefault="00CF676C" w:rsidP="0072195F">
      <w:pPr>
        <w:numPr>
          <w:ilvl w:val="1"/>
          <w:numId w:val="1"/>
        </w:numPr>
        <w:spacing w:after="120"/>
      </w:pPr>
      <w:bookmarkStart w:id="11" w:name="_Toc503971852"/>
      <w:r w:rsidRPr="0072195F">
        <w:t xml:space="preserve">The PBAC considered that the claim of non-inferior comparative effectiveness </w:t>
      </w:r>
      <w:r w:rsidR="00F9602D">
        <w:t xml:space="preserve">in acute pain </w:t>
      </w:r>
      <w:r w:rsidRPr="0072195F">
        <w:t>was not adequately supported by the data</w:t>
      </w:r>
      <w:r w:rsidR="005C21CA" w:rsidRPr="005C21CA">
        <w:t xml:space="preserve"> due to the </w:t>
      </w:r>
      <w:r w:rsidR="00861181">
        <w:t xml:space="preserve">bias and </w:t>
      </w:r>
      <w:r w:rsidR="005C21CA" w:rsidRPr="005C21CA">
        <w:t>heterogeneity of the trials and the limited applicability of the comparator to clinical practice</w:t>
      </w:r>
      <w:r w:rsidR="005C21CA">
        <w:t>.</w:t>
      </w:r>
    </w:p>
    <w:p w:rsidR="0097254E" w:rsidRPr="0072195F" w:rsidRDefault="0097254E" w:rsidP="0097254E">
      <w:pPr>
        <w:numPr>
          <w:ilvl w:val="1"/>
          <w:numId w:val="1"/>
        </w:numPr>
        <w:spacing w:after="120"/>
        <w:rPr>
          <w:rFonts w:asciiTheme="minorHAnsi" w:hAnsiTheme="minorHAnsi"/>
          <w:bCs/>
          <w:lang w:val="en-GB"/>
        </w:rPr>
      </w:pPr>
      <w:r w:rsidRPr="00A6045D">
        <w:rPr>
          <w:rFonts w:asciiTheme="minorHAnsi" w:hAnsiTheme="minorHAnsi"/>
          <w:bCs/>
          <w:lang w:val="en-GB"/>
        </w:rPr>
        <w:t>T</w:t>
      </w:r>
      <w:r w:rsidRPr="00A6045D">
        <w:t>he submission claimed that the FDC of tramadol 37.5 mg/paracetamol 325 mg was superior in safety to tramadol 50 mg IR. The PBAC considered that the</w:t>
      </w:r>
      <w:r>
        <w:t xml:space="preserve"> claim of superior safety</w:t>
      </w:r>
      <w:r w:rsidRPr="00A6045D">
        <w:t xml:space="preserve"> </w:t>
      </w:r>
      <w:r>
        <w:t>may be reasonable</w:t>
      </w:r>
      <w:r w:rsidRPr="00A6045D">
        <w:t xml:space="preserve"> over a ten-day time horizon based on the trial results</w:t>
      </w:r>
      <w:r>
        <w:t xml:space="preserve">, but </w:t>
      </w:r>
      <w:r w:rsidR="009A4108">
        <w:t>wa</w:t>
      </w:r>
      <w:r>
        <w:t>s not adequately supported beyond 10 days</w:t>
      </w:r>
      <w:r w:rsidRPr="00A6045D">
        <w:t xml:space="preserve">. </w:t>
      </w:r>
    </w:p>
    <w:p w:rsidR="005B2734" w:rsidRPr="007A0BA2" w:rsidRDefault="0072195F" w:rsidP="007A0BA2">
      <w:pPr>
        <w:numPr>
          <w:ilvl w:val="1"/>
          <w:numId w:val="1"/>
        </w:numPr>
        <w:spacing w:after="120"/>
        <w:rPr>
          <w:rFonts w:asciiTheme="minorHAnsi" w:hAnsiTheme="minorHAnsi"/>
          <w:bCs/>
          <w:lang w:val="en-GB"/>
        </w:rPr>
      </w:pPr>
      <w:r w:rsidRPr="00B604E1">
        <w:rPr>
          <w:rFonts w:asciiTheme="minorHAnsi" w:hAnsiTheme="minorHAnsi"/>
          <w:bCs/>
          <w:lang w:val="en-GB"/>
        </w:rPr>
        <w:t xml:space="preserve">The PBAC noted </w:t>
      </w:r>
      <w:r>
        <w:rPr>
          <w:rFonts w:asciiTheme="minorHAnsi" w:hAnsiTheme="minorHAnsi"/>
          <w:bCs/>
          <w:lang w:val="en-GB"/>
        </w:rPr>
        <w:t xml:space="preserve">that since </w:t>
      </w:r>
      <w:r w:rsidRPr="00B604E1">
        <w:rPr>
          <w:rFonts w:asciiTheme="minorHAnsi" w:hAnsiTheme="minorHAnsi"/>
          <w:bCs/>
          <w:lang w:val="en-GB"/>
        </w:rPr>
        <w:t>the appropriate comparator (in clinical practice) would be tramadol IR 50 mg plus paracetamol 500 mg, the efficacy and safety comparison</w:t>
      </w:r>
      <w:r>
        <w:rPr>
          <w:rFonts w:asciiTheme="minorHAnsi" w:hAnsiTheme="minorHAnsi"/>
          <w:bCs/>
          <w:lang w:val="en-GB"/>
        </w:rPr>
        <w:t>s</w:t>
      </w:r>
      <w:r w:rsidRPr="00B604E1">
        <w:rPr>
          <w:rFonts w:asciiTheme="minorHAnsi" w:hAnsiTheme="minorHAnsi"/>
          <w:bCs/>
          <w:lang w:val="en-GB"/>
        </w:rPr>
        <w:t xml:space="preserve"> in </w:t>
      </w:r>
      <w:r w:rsidRPr="009C714B">
        <w:rPr>
          <w:rFonts w:asciiTheme="minorHAnsi" w:hAnsiTheme="minorHAnsi"/>
          <w:bCs/>
          <w:lang w:val="en-GB"/>
        </w:rPr>
        <w:t>practice would differ from the comparison</w:t>
      </w:r>
      <w:r>
        <w:rPr>
          <w:rFonts w:asciiTheme="minorHAnsi" w:hAnsiTheme="minorHAnsi"/>
          <w:bCs/>
          <w:lang w:val="en-GB"/>
        </w:rPr>
        <w:t>s</w:t>
      </w:r>
      <w:r w:rsidRPr="009C714B">
        <w:rPr>
          <w:rFonts w:asciiTheme="minorHAnsi" w:hAnsiTheme="minorHAnsi"/>
          <w:bCs/>
          <w:lang w:val="en-GB"/>
        </w:rPr>
        <w:t xml:space="preserve"> presented</w:t>
      </w:r>
      <w:r w:rsidR="009A4108">
        <w:rPr>
          <w:rFonts w:asciiTheme="minorHAnsi" w:hAnsiTheme="minorHAnsi"/>
          <w:bCs/>
          <w:lang w:val="en-GB"/>
        </w:rPr>
        <w:t xml:space="preserve"> in the submission</w:t>
      </w:r>
      <w:r w:rsidRPr="009C714B">
        <w:rPr>
          <w:rFonts w:asciiTheme="minorHAnsi" w:hAnsiTheme="minorHAnsi"/>
          <w:bCs/>
          <w:lang w:val="en-GB"/>
        </w:rPr>
        <w:t>.</w:t>
      </w:r>
    </w:p>
    <w:p w:rsidR="00B876D2" w:rsidRPr="0032125F" w:rsidRDefault="00B60939" w:rsidP="00905D6A">
      <w:pPr>
        <w:pStyle w:val="KMC16-Heading2"/>
      </w:pPr>
      <w:r w:rsidRPr="0032125F">
        <w:t>Economic analysis</w:t>
      </w:r>
      <w:bookmarkEnd w:id="11"/>
      <w:r w:rsidR="00491B3A" w:rsidRPr="0032125F">
        <w:t xml:space="preserve"> </w:t>
      </w:r>
    </w:p>
    <w:p w:rsidR="00692932" w:rsidRPr="00D123EE" w:rsidRDefault="00A86E8B" w:rsidP="00E22F6D">
      <w:pPr>
        <w:pStyle w:val="ListParagraph"/>
        <w:widowControl/>
        <w:numPr>
          <w:ilvl w:val="1"/>
          <w:numId w:val="1"/>
        </w:numPr>
        <w:spacing w:after="120"/>
      </w:pPr>
      <w:r w:rsidRPr="00D123EE">
        <w:t xml:space="preserve">The equi-effective doses </w:t>
      </w:r>
      <w:r w:rsidR="009A4108">
        <w:t>we</w:t>
      </w:r>
      <w:r w:rsidRPr="00D123EE">
        <w:t xml:space="preserve">re estimated </w:t>
      </w:r>
      <w:r w:rsidR="009A4108">
        <w:t xml:space="preserve">in the submission </w:t>
      </w:r>
      <w:r w:rsidRPr="00D123EE">
        <w:t xml:space="preserve">as </w:t>
      </w:r>
      <w:r w:rsidR="0086146C" w:rsidRPr="00D123EE">
        <w:t>on</w:t>
      </w:r>
      <w:r w:rsidR="007B2B00" w:rsidRPr="00D123EE">
        <w:t>e</w:t>
      </w:r>
      <w:r w:rsidR="0086146C" w:rsidRPr="00D123EE">
        <w:t xml:space="preserve"> tablet of </w:t>
      </w:r>
      <w:r w:rsidR="009E34E9" w:rsidRPr="00D123EE">
        <w:t>the FDC of tramadol 37.5 mg/paracetamol 325 mg</w:t>
      </w:r>
      <w:r w:rsidR="0086146C" w:rsidRPr="00D123EE">
        <w:t xml:space="preserve"> </w:t>
      </w:r>
      <w:r w:rsidRPr="00D123EE">
        <w:t xml:space="preserve">for </w:t>
      </w:r>
      <w:r w:rsidR="0086146C" w:rsidRPr="00D123EE">
        <w:t xml:space="preserve">one tablet of tramadol 50 mg IR. </w:t>
      </w:r>
      <w:r w:rsidR="00A45C7F" w:rsidRPr="00D123EE">
        <w:t xml:space="preserve">This estimation was based on the three direct randomised trials in acute pain: ZAL-06 (2 days); CAPSS-241 (6-hour); GRTF-ZAL 1 (10 days). </w:t>
      </w:r>
      <w:r w:rsidR="005868E9" w:rsidRPr="00D123EE">
        <w:t xml:space="preserve">The submission did not estimate an equi-effective dose of the FDC compared with any of the paracetamol/codeine formulations available on the PBS. </w:t>
      </w:r>
      <w:r w:rsidR="00B93CF6" w:rsidRPr="00CF676C">
        <w:t xml:space="preserve">The submission did not estimate an equi-effective dose of FDC compared to tramadol plus paracetamol </w:t>
      </w:r>
      <w:r w:rsidR="00836161" w:rsidRPr="00CF676C">
        <w:t xml:space="preserve">given concomitantly </w:t>
      </w:r>
      <w:r w:rsidR="00B93CF6" w:rsidRPr="00CF676C">
        <w:t xml:space="preserve">which </w:t>
      </w:r>
      <w:r w:rsidR="00836161" w:rsidRPr="00CF676C">
        <w:t xml:space="preserve">the </w:t>
      </w:r>
      <w:r w:rsidR="00C23472" w:rsidRPr="00CF676C">
        <w:t xml:space="preserve">ESC </w:t>
      </w:r>
      <w:r w:rsidR="009A4108">
        <w:t>advised</w:t>
      </w:r>
      <w:r w:rsidR="009A4108" w:rsidRPr="00CF676C">
        <w:t xml:space="preserve"> </w:t>
      </w:r>
      <w:r w:rsidR="00C23472" w:rsidRPr="00CF676C">
        <w:t>is</w:t>
      </w:r>
      <w:r w:rsidR="00B93CF6" w:rsidRPr="00CF676C">
        <w:t xml:space="preserve"> the </w:t>
      </w:r>
      <w:r w:rsidR="00836161" w:rsidRPr="00CF676C">
        <w:t>appropriate</w:t>
      </w:r>
      <w:r w:rsidR="00B93CF6" w:rsidRPr="00CF676C">
        <w:t xml:space="preserve"> comparator in clinical practice.</w:t>
      </w:r>
      <w:r w:rsidR="00B93CF6">
        <w:t xml:space="preserve"> </w:t>
      </w:r>
    </w:p>
    <w:p w:rsidR="0086146C" w:rsidRPr="00D123EE" w:rsidRDefault="00D63D12" w:rsidP="00E22F6D">
      <w:pPr>
        <w:pStyle w:val="ListParagraph"/>
        <w:numPr>
          <w:ilvl w:val="1"/>
          <w:numId w:val="1"/>
        </w:numPr>
        <w:spacing w:after="120"/>
      </w:pPr>
      <w:r w:rsidRPr="00D123EE">
        <w:t>T</w:t>
      </w:r>
      <w:r w:rsidR="00692932" w:rsidRPr="00D123EE">
        <w:t xml:space="preserve">he submission did not use the trials in chronic pain presented in </w:t>
      </w:r>
      <w:r w:rsidR="00692932" w:rsidRPr="00A715D7">
        <w:t>Section 2</w:t>
      </w:r>
      <w:r w:rsidR="00A715D7">
        <w:t xml:space="preserve"> of the submission</w:t>
      </w:r>
      <w:r w:rsidRPr="00D123EE">
        <w:t xml:space="preserve"> (CAPSS-112, CAPSS-113, TRP-CAN-1, CAPSS-237, CAPSS-114, Chang 2013, CAPSS-051, </w:t>
      </w:r>
      <w:proofErr w:type="gramStart"/>
      <w:r w:rsidRPr="00D123EE">
        <w:t>CA</w:t>
      </w:r>
      <w:proofErr w:type="gramEnd"/>
      <w:r w:rsidRPr="00D123EE">
        <w:t>-R0027)</w:t>
      </w:r>
      <w:r w:rsidR="007B2B00" w:rsidRPr="00D123EE">
        <w:t xml:space="preserve"> to inform its economic analysis</w:t>
      </w:r>
      <w:r w:rsidRPr="00D123EE">
        <w:t>.</w:t>
      </w:r>
      <w:r w:rsidR="007B2B00" w:rsidRPr="00D123EE">
        <w:t xml:space="preserve"> This </w:t>
      </w:r>
      <w:r w:rsidR="00632B0D" w:rsidRPr="00D123EE">
        <w:t xml:space="preserve">was </w:t>
      </w:r>
      <w:r w:rsidR="007B2B00" w:rsidRPr="00D123EE">
        <w:t xml:space="preserve">inappropriate since </w:t>
      </w:r>
      <w:r w:rsidR="00EA6DC6" w:rsidRPr="00D123EE">
        <w:t xml:space="preserve">the submission anticipated that </w:t>
      </w:r>
      <w:r w:rsidR="007B2B00" w:rsidRPr="00D123EE">
        <w:t xml:space="preserve">the bulk of use of the FDC </w:t>
      </w:r>
      <w:r w:rsidR="00EA6DC6" w:rsidRPr="00D123EE">
        <w:t xml:space="preserve">would be </w:t>
      </w:r>
      <w:r w:rsidR="007B2B00" w:rsidRPr="00D123EE">
        <w:t>in the chronic pain setting.</w:t>
      </w:r>
      <w:r w:rsidR="00692932" w:rsidRPr="00D123EE">
        <w:t xml:space="preserve"> </w:t>
      </w:r>
      <w:r w:rsidRPr="00D123EE">
        <w:t>E</w:t>
      </w:r>
      <w:r w:rsidR="00692932" w:rsidRPr="00D123EE">
        <w:t>stimates of drug dose and duration in chronic pain were based on additional studies from the literature</w:t>
      </w:r>
      <w:r w:rsidR="00254D87" w:rsidRPr="00D123EE">
        <w:t xml:space="preserve"> (</w:t>
      </w:r>
      <w:proofErr w:type="spellStart"/>
      <w:r w:rsidR="00254D87" w:rsidRPr="00D123EE">
        <w:t>Meijjad</w:t>
      </w:r>
      <w:proofErr w:type="spellEnd"/>
      <w:r w:rsidR="00254D87" w:rsidRPr="00D123EE">
        <w:t xml:space="preserve"> et al. 2011 and </w:t>
      </w:r>
      <w:proofErr w:type="spellStart"/>
      <w:r w:rsidR="00254D87" w:rsidRPr="00D123EE">
        <w:t>Serrie</w:t>
      </w:r>
      <w:proofErr w:type="spellEnd"/>
      <w:r w:rsidR="00254D87" w:rsidRPr="00D123EE">
        <w:t xml:space="preserve"> et al</w:t>
      </w:r>
      <w:r w:rsidR="00C920B0" w:rsidRPr="00D123EE">
        <w:t>.</w:t>
      </w:r>
      <w:r w:rsidR="00254D87" w:rsidRPr="00D123EE">
        <w:t xml:space="preserve"> 2009)</w:t>
      </w:r>
      <w:r w:rsidR="00CC2211" w:rsidRPr="00D123EE">
        <w:t xml:space="preserve"> where the duration of treatment was one month</w:t>
      </w:r>
      <w:r w:rsidR="00692932" w:rsidRPr="00D123EE">
        <w:t xml:space="preserve">. </w:t>
      </w:r>
      <w:r w:rsidR="007B2B00" w:rsidRPr="00D123EE">
        <w:t>These provided</w:t>
      </w:r>
      <w:r w:rsidR="00DF0B98" w:rsidRPr="00D123EE">
        <w:t xml:space="preserve"> </w:t>
      </w:r>
      <w:r w:rsidR="00692932" w:rsidRPr="00D123EE">
        <w:t xml:space="preserve">limited </w:t>
      </w:r>
      <w:r w:rsidR="007B2B00" w:rsidRPr="00D123EE">
        <w:t xml:space="preserve">data with which </w:t>
      </w:r>
      <w:r w:rsidR="00692932" w:rsidRPr="00D123EE">
        <w:t xml:space="preserve">to conduct a robust comparison of treatment with </w:t>
      </w:r>
      <w:r w:rsidR="009E34E9" w:rsidRPr="00D123EE">
        <w:t>the FDC of tramadol 37.5 mg/paracetamol 325 mg</w:t>
      </w:r>
      <w:r w:rsidR="00692932" w:rsidRPr="00D123EE">
        <w:t xml:space="preserve"> and tramadol 50 mg IR in chronic pain.</w:t>
      </w:r>
      <w:r w:rsidR="00825652" w:rsidRPr="00825652">
        <w:rPr>
          <w:i/>
        </w:rPr>
        <w:t xml:space="preserve"> </w:t>
      </w:r>
      <w:r w:rsidR="00825652" w:rsidRPr="00CF676C">
        <w:t xml:space="preserve">The PSCR limited the restriction to acute pain, however </w:t>
      </w:r>
      <w:r w:rsidR="009A4108">
        <w:t xml:space="preserve">the </w:t>
      </w:r>
      <w:r w:rsidR="00825652" w:rsidRPr="00CF676C">
        <w:t xml:space="preserve">ESC considered that there is a high risk of leakage to chronic pain and therefore this issue may still be relevant.  </w:t>
      </w:r>
    </w:p>
    <w:p w:rsidR="00B70363" w:rsidRPr="00D123EE" w:rsidRDefault="006E31A9" w:rsidP="00E22F6D">
      <w:pPr>
        <w:pStyle w:val="ListParagraph"/>
        <w:widowControl/>
        <w:numPr>
          <w:ilvl w:val="1"/>
          <w:numId w:val="1"/>
        </w:numPr>
        <w:spacing w:after="120"/>
      </w:pPr>
      <w:r w:rsidRPr="00D123EE">
        <w:t xml:space="preserve">The submission </w:t>
      </w:r>
      <w:r w:rsidR="005154FC" w:rsidRPr="00D123EE">
        <w:t xml:space="preserve">considered </w:t>
      </w:r>
      <w:r w:rsidRPr="00D123EE">
        <w:t xml:space="preserve">that cost offsets </w:t>
      </w:r>
      <w:r w:rsidR="004969D5" w:rsidRPr="00D123EE">
        <w:t xml:space="preserve">from reduced use </w:t>
      </w:r>
      <w:r w:rsidR="00342A58" w:rsidRPr="00D123EE">
        <w:t>of</w:t>
      </w:r>
      <w:r w:rsidRPr="00D123EE">
        <w:t xml:space="preserve"> tramadol 50 mg IR would </w:t>
      </w:r>
      <w:r w:rsidR="0000106C" w:rsidRPr="00D123EE">
        <w:t>arise</w:t>
      </w:r>
      <w:r w:rsidR="004969D5" w:rsidRPr="00D123EE">
        <w:t xml:space="preserve"> due to a lower incidence of</w:t>
      </w:r>
      <w:r w:rsidRPr="00D123EE">
        <w:t xml:space="preserve"> constipation</w:t>
      </w:r>
      <w:r w:rsidR="00342A58" w:rsidRPr="00D123EE">
        <w:t>, which is</w:t>
      </w:r>
      <w:r w:rsidR="005154FC" w:rsidRPr="00D123EE">
        <w:t xml:space="preserve"> </w:t>
      </w:r>
      <w:r w:rsidR="00BB2FF6" w:rsidRPr="00D123EE">
        <w:t xml:space="preserve">based on results from </w:t>
      </w:r>
      <w:r w:rsidR="00BB2FF6" w:rsidRPr="00D123EE">
        <w:lastRenderedPageBreak/>
        <w:t xml:space="preserve">the indirect treatment comparison. The submission </w:t>
      </w:r>
      <w:r w:rsidR="00EA6DC6" w:rsidRPr="00D123EE">
        <w:t xml:space="preserve">claimed </w:t>
      </w:r>
      <w:r w:rsidR="00BB2FF6" w:rsidRPr="00D123EE">
        <w:t>that the incidence of constipation as an AE would be substantially reduced with the availability of the FDC.</w:t>
      </w:r>
      <w:r w:rsidR="00B5427D" w:rsidRPr="00D123EE">
        <w:t xml:space="preserve"> </w:t>
      </w:r>
      <w:r w:rsidR="006B7604" w:rsidRPr="00D123EE">
        <w:t xml:space="preserve">The </w:t>
      </w:r>
      <w:r w:rsidR="00182754" w:rsidRPr="00D123EE">
        <w:t xml:space="preserve">submission estimated that </w:t>
      </w:r>
      <w:r w:rsidR="006B7604" w:rsidRPr="00D123EE">
        <w:t xml:space="preserve">the number of GP visits and pharmaceutical treatments </w:t>
      </w:r>
      <w:r w:rsidR="00182754" w:rsidRPr="00D123EE">
        <w:t xml:space="preserve">to treat a patient with constipation </w:t>
      </w:r>
      <w:r w:rsidR="006B7604" w:rsidRPr="00D123EE">
        <w:t>would reduce</w:t>
      </w:r>
      <w:r w:rsidR="00182754" w:rsidRPr="00D123EE">
        <w:t xml:space="preserve"> </w:t>
      </w:r>
      <w:r w:rsidR="006B7604" w:rsidRPr="00D123EE">
        <w:t xml:space="preserve">by $3.26 per patient in acute pain and $23.44 in chronic pain. </w:t>
      </w:r>
      <w:r w:rsidR="00825652" w:rsidRPr="00CF676C">
        <w:t>The ESC questioned the assumption that patients with constipation would require a GP visit.</w:t>
      </w:r>
      <w:r w:rsidR="00861181">
        <w:t xml:space="preserve"> The PBAC considered that these cost offsets are unlikely to be realised, particularly in the acute pain setting.</w:t>
      </w:r>
    </w:p>
    <w:p w:rsidR="00EA6DC6" w:rsidRPr="007E540C" w:rsidRDefault="005154FC" w:rsidP="00E22F6D">
      <w:pPr>
        <w:pStyle w:val="ListParagraph"/>
        <w:widowControl/>
        <w:numPr>
          <w:ilvl w:val="1"/>
          <w:numId w:val="1"/>
        </w:numPr>
        <w:spacing w:after="120"/>
        <w:rPr>
          <w:i/>
        </w:rPr>
      </w:pPr>
      <w:r w:rsidRPr="00D123EE">
        <w:t>The submission considered th</w:t>
      </w:r>
      <w:r w:rsidR="004969D5" w:rsidRPr="00D123EE">
        <w:t>e potential for</w:t>
      </w:r>
      <w:r w:rsidRPr="00D123EE">
        <w:t xml:space="preserve"> cost-offsets associated with the requirement for rescue medication with the use of paracetamol/codeine. </w:t>
      </w:r>
      <w:r w:rsidR="00886927" w:rsidRPr="00D123EE">
        <w:t>The submission estimated cost-</w:t>
      </w:r>
      <w:r w:rsidR="004969D5" w:rsidRPr="00D123EE">
        <w:t xml:space="preserve">reductions of $5.72 in acute pain and $4.45 in chronic pain </w:t>
      </w:r>
      <w:r w:rsidR="00886927" w:rsidRPr="00D123EE">
        <w:t xml:space="preserve">associated with </w:t>
      </w:r>
      <w:r w:rsidR="004969D5" w:rsidRPr="00D123EE">
        <w:t xml:space="preserve">a reduced need for rescue medications due to the use of </w:t>
      </w:r>
      <w:r w:rsidR="009E34E9" w:rsidRPr="00D123EE">
        <w:t>the FDC of tramadol 37.5 mg/paracetamol 325 mg</w:t>
      </w:r>
      <w:r w:rsidR="00EA6DC6" w:rsidRPr="00D123EE">
        <w:t xml:space="preserve">. </w:t>
      </w:r>
      <w:r w:rsidR="00E83DAD" w:rsidRPr="00CF676C">
        <w:t>The ESC questioned the assumption that patients requiring rescue medication would require a GP visit.</w:t>
      </w:r>
      <w:r w:rsidR="00E83DAD">
        <w:rPr>
          <w:i/>
        </w:rPr>
        <w:t xml:space="preserve"> </w:t>
      </w:r>
      <w:r w:rsidR="00EA6DC6" w:rsidRPr="00D123EE">
        <w:t xml:space="preserve">The submission has not provided a clinical evaluation comparing the FDC of tramadol 37.5 mg/paracetamol </w:t>
      </w:r>
      <w:r w:rsidR="0034188C">
        <w:t>325</w:t>
      </w:r>
      <w:r w:rsidR="00EA6DC6" w:rsidRPr="00D123EE">
        <w:t xml:space="preserve"> mg with paracetamol 500 mg/codeine 30 mg that allows validation of the claim with respect to the need for less rescue medication</w:t>
      </w:r>
      <w:r w:rsidR="00B66D7E">
        <w:t>.</w:t>
      </w:r>
    </w:p>
    <w:p w:rsidR="005154FC" w:rsidRPr="00D123EE" w:rsidRDefault="001B52E7" w:rsidP="00E22F6D">
      <w:pPr>
        <w:pStyle w:val="ListParagraph"/>
        <w:widowControl/>
        <w:numPr>
          <w:ilvl w:val="1"/>
          <w:numId w:val="1"/>
        </w:numPr>
        <w:spacing w:after="120"/>
      </w:pPr>
      <w:r w:rsidRPr="00D123EE">
        <w:t>T</w:t>
      </w:r>
      <w:r w:rsidR="00EA6DC6" w:rsidRPr="00D123EE">
        <w:t xml:space="preserve">he </w:t>
      </w:r>
      <w:r w:rsidR="006D26BF" w:rsidRPr="00D123EE">
        <w:t>submission’s assumption of requiring additional rescue medication was based on a RCT of patients undergoing different day surgeries in Italy</w:t>
      </w:r>
      <w:r w:rsidR="005951EB" w:rsidRPr="00D123EE">
        <w:t xml:space="preserve"> over</w:t>
      </w:r>
      <w:r w:rsidR="006D26BF" w:rsidRPr="00D123EE">
        <w:t xml:space="preserve"> two days. </w:t>
      </w:r>
      <w:r w:rsidR="00886927" w:rsidRPr="00D123EE">
        <w:t>As</w:t>
      </w:r>
      <w:r w:rsidR="006D26BF" w:rsidRPr="00D123EE">
        <w:t xml:space="preserve"> it is proposed that </w:t>
      </w:r>
      <w:r w:rsidR="00886927" w:rsidRPr="00D123EE">
        <w:t>treatments</w:t>
      </w:r>
      <w:r w:rsidR="006D26BF" w:rsidRPr="00D123EE">
        <w:t xml:space="preserve"> are used over a longer time horizon for chronic pain, extrapolation of the costs of additional rescue medication from a two-day study </w:t>
      </w:r>
      <w:r w:rsidR="004969D5" w:rsidRPr="00D123EE">
        <w:t xml:space="preserve">to use in chronic pain </w:t>
      </w:r>
      <w:r w:rsidR="006D26BF" w:rsidRPr="00D123EE">
        <w:t xml:space="preserve">biased the cost-consequence analysis in favour of </w:t>
      </w:r>
      <w:r w:rsidR="009E34E9" w:rsidRPr="00D123EE">
        <w:t>the FDC of tramadol 37.5</w:t>
      </w:r>
      <w:r w:rsidR="00524A4E" w:rsidRPr="00D123EE">
        <w:t> </w:t>
      </w:r>
      <w:r w:rsidR="009E34E9" w:rsidRPr="00D123EE">
        <w:t>mg/paracetamol 325</w:t>
      </w:r>
      <w:r w:rsidR="00524A4E" w:rsidRPr="00D123EE">
        <w:t> </w:t>
      </w:r>
      <w:r w:rsidR="009E34E9" w:rsidRPr="00D123EE">
        <w:t>mg</w:t>
      </w:r>
      <w:r w:rsidR="006D26BF" w:rsidRPr="00D123EE">
        <w:t>.</w:t>
      </w:r>
    </w:p>
    <w:p w:rsidR="00EB0BCC" w:rsidRPr="00D123EE" w:rsidRDefault="00EB0BCC" w:rsidP="00E22F6D">
      <w:pPr>
        <w:pStyle w:val="ListParagraph"/>
        <w:widowControl/>
        <w:numPr>
          <w:ilvl w:val="1"/>
          <w:numId w:val="1"/>
        </w:numPr>
        <w:spacing w:after="120"/>
      </w:pPr>
      <w:r w:rsidRPr="00D123EE">
        <w:t>A summary of dosage</w:t>
      </w:r>
      <w:r w:rsidR="00E86211" w:rsidRPr="00D123EE">
        <w:t>s</w:t>
      </w:r>
      <w:r w:rsidRPr="00D123EE">
        <w:t xml:space="preserve"> based on the PIs </w:t>
      </w:r>
      <w:r w:rsidR="00E86211" w:rsidRPr="00D123EE">
        <w:t xml:space="preserve">and costs </w:t>
      </w:r>
      <w:r w:rsidRPr="00D123EE">
        <w:t xml:space="preserve">of each treatment is presented in Table </w:t>
      </w:r>
      <w:r w:rsidR="00405A7F" w:rsidRPr="00D123EE">
        <w:t>1</w:t>
      </w:r>
      <w:r w:rsidR="00FA3F9F">
        <w:t>3</w:t>
      </w:r>
      <w:r w:rsidR="00FD7BA7" w:rsidRPr="00D123EE">
        <w:t xml:space="preserve">. </w:t>
      </w:r>
      <w:r w:rsidRPr="00D123EE">
        <w:t xml:space="preserve">The costs of </w:t>
      </w:r>
      <w:r w:rsidR="009E34E9" w:rsidRPr="00D123EE">
        <w:t>the FDC of tramadol 37.5 mg/paracetamol 325 mg</w:t>
      </w:r>
      <w:r w:rsidRPr="00D123EE">
        <w:t xml:space="preserve"> are higher than the costs of the higher strengths (above 50 mg) of the extended release formulation of tramadol; the </w:t>
      </w:r>
      <w:r w:rsidR="008322B5" w:rsidRPr="00D123EE">
        <w:t xml:space="preserve">SR </w:t>
      </w:r>
      <w:r w:rsidRPr="00D123EE">
        <w:t>formulation of tramadol is the only formulation PBS listed for ongoing use in chronic pain and therefor</w:t>
      </w:r>
      <w:r w:rsidR="007829BA">
        <w:t>e</w:t>
      </w:r>
      <w:r w:rsidRPr="00D123EE">
        <w:t xml:space="preserve"> is more likely to be used for chronic pain than the IR</w:t>
      </w:r>
      <w:r w:rsidR="0034188C">
        <w:t xml:space="preserve"> form</w:t>
      </w:r>
      <w:r w:rsidRPr="00D123EE">
        <w:t>.</w:t>
      </w:r>
    </w:p>
    <w:p w:rsidR="00B7274F" w:rsidRDefault="00B7274F" w:rsidP="00EB0BCC"/>
    <w:p w:rsidR="00EB0BCC" w:rsidRDefault="00EB0BCC" w:rsidP="00390580">
      <w:pPr>
        <w:keepNext/>
        <w:keepLines/>
        <w:rPr>
          <w:rStyle w:val="CommentReference"/>
        </w:rPr>
      </w:pPr>
      <w:r w:rsidRPr="00C8060C">
        <w:rPr>
          <w:rStyle w:val="CommentReference"/>
        </w:rPr>
        <w:lastRenderedPageBreak/>
        <w:t xml:space="preserve">Table </w:t>
      </w:r>
      <w:r w:rsidR="00405A7F" w:rsidRPr="00C8060C">
        <w:rPr>
          <w:rStyle w:val="CommentReference"/>
        </w:rPr>
        <w:t>1</w:t>
      </w:r>
      <w:r w:rsidR="00FA3F9F">
        <w:rPr>
          <w:rStyle w:val="CommentReference"/>
        </w:rPr>
        <w:t>3</w:t>
      </w:r>
      <w:r w:rsidRPr="00C8060C">
        <w:rPr>
          <w:rStyle w:val="CommentReference"/>
        </w:rPr>
        <w:t>:  Results of the cost-minimisation analysis</w:t>
      </w:r>
    </w:p>
    <w:tbl>
      <w:tblPr>
        <w:tblStyle w:val="TableGrid"/>
        <w:tblW w:w="0" w:type="auto"/>
        <w:tblBorders>
          <w:bottom w:val="none" w:sz="0" w:space="0" w:color="auto"/>
        </w:tblBorders>
        <w:tblLayout w:type="fixed"/>
        <w:tblLook w:val="04A0" w:firstRow="1" w:lastRow="0" w:firstColumn="1" w:lastColumn="0" w:noHBand="0" w:noVBand="1"/>
        <w:tblCaption w:val="Table 13:  Results of the cost-minimisation analysis"/>
      </w:tblPr>
      <w:tblGrid>
        <w:gridCol w:w="1116"/>
        <w:gridCol w:w="822"/>
        <w:gridCol w:w="1176"/>
        <w:gridCol w:w="709"/>
        <w:gridCol w:w="1134"/>
        <w:gridCol w:w="850"/>
        <w:gridCol w:w="795"/>
        <w:gridCol w:w="770"/>
        <w:gridCol w:w="798"/>
        <w:gridCol w:w="847"/>
      </w:tblGrid>
      <w:tr w:rsidR="00EB0BCC" w:rsidRPr="00A1465F" w:rsidTr="00695119">
        <w:trPr>
          <w:tblHeader/>
        </w:trPr>
        <w:tc>
          <w:tcPr>
            <w:tcW w:w="1116" w:type="dxa"/>
            <w:vMerge w:val="restart"/>
          </w:tcPr>
          <w:p w:rsidR="00EB0BCC" w:rsidRPr="00A1465F" w:rsidRDefault="00EB0BCC" w:rsidP="00390580">
            <w:pPr>
              <w:pStyle w:val="Tabletext"/>
              <w:keepNext/>
              <w:keepLines/>
              <w:ind w:right="-68"/>
              <w:rPr>
                <w:b/>
              </w:rPr>
            </w:pPr>
            <w:r w:rsidRPr="00A1465F">
              <w:rPr>
                <w:b/>
              </w:rPr>
              <w:t>Formulation</w:t>
            </w:r>
          </w:p>
        </w:tc>
        <w:tc>
          <w:tcPr>
            <w:tcW w:w="822" w:type="dxa"/>
            <w:vMerge w:val="restart"/>
          </w:tcPr>
          <w:p w:rsidR="00EB0BCC" w:rsidRPr="00A1465F" w:rsidRDefault="00EB0BCC" w:rsidP="00390580">
            <w:pPr>
              <w:pStyle w:val="Tabletext"/>
              <w:keepNext/>
              <w:keepLines/>
              <w:ind w:left="-48"/>
              <w:rPr>
                <w:b/>
              </w:rPr>
            </w:pPr>
            <w:r w:rsidRPr="00A1465F">
              <w:rPr>
                <w:b/>
              </w:rPr>
              <w:t>Pack size (tablets)</w:t>
            </w:r>
          </w:p>
        </w:tc>
        <w:tc>
          <w:tcPr>
            <w:tcW w:w="3019" w:type="dxa"/>
            <w:gridSpan w:val="3"/>
          </w:tcPr>
          <w:p w:rsidR="00EB0BCC" w:rsidRPr="00A1465F" w:rsidRDefault="00EB0BCC" w:rsidP="00390580">
            <w:pPr>
              <w:pStyle w:val="Tabletext"/>
              <w:keepNext/>
              <w:keepLines/>
              <w:rPr>
                <w:b/>
              </w:rPr>
            </w:pPr>
            <w:r w:rsidRPr="00A1465F">
              <w:rPr>
                <w:b/>
              </w:rPr>
              <w:t>Dosage for adult</w:t>
            </w:r>
          </w:p>
        </w:tc>
        <w:tc>
          <w:tcPr>
            <w:tcW w:w="1645" w:type="dxa"/>
            <w:gridSpan w:val="2"/>
          </w:tcPr>
          <w:p w:rsidR="00EB0BCC" w:rsidRPr="00A1465F" w:rsidRDefault="00EB0BCC" w:rsidP="00390580">
            <w:pPr>
              <w:pStyle w:val="Tabletext"/>
              <w:keepNext/>
              <w:keepLines/>
              <w:rPr>
                <w:b/>
              </w:rPr>
            </w:pPr>
            <w:r w:rsidRPr="00A1465F">
              <w:rPr>
                <w:b/>
              </w:rPr>
              <w:t>AEMP</w:t>
            </w:r>
          </w:p>
        </w:tc>
        <w:tc>
          <w:tcPr>
            <w:tcW w:w="2415" w:type="dxa"/>
            <w:gridSpan w:val="3"/>
          </w:tcPr>
          <w:p w:rsidR="00EB0BCC" w:rsidRPr="00A1465F" w:rsidRDefault="00EB0BCC" w:rsidP="00390580">
            <w:pPr>
              <w:pStyle w:val="Tabletext"/>
              <w:keepNext/>
              <w:keepLines/>
              <w:rPr>
                <w:b/>
              </w:rPr>
            </w:pPr>
            <w:r w:rsidRPr="00A1465F">
              <w:rPr>
                <w:b/>
              </w:rPr>
              <w:t>AEMP per day</w:t>
            </w:r>
          </w:p>
        </w:tc>
      </w:tr>
      <w:tr w:rsidR="00EB0BCC" w:rsidRPr="00A1465F" w:rsidTr="00695119">
        <w:trPr>
          <w:tblHeader/>
        </w:trPr>
        <w:tc>
          <w:tcPr>
            <w:tcW w:w="1116" w:type="dxa"/>
            <w:vMerge/>
            <w:tcBorders>
              <w:bottom w:val="single" w:sz="4" w:space="0" w:color="auto"/>
            </w:tcBorders>
          </w:tcPr>
          <w:p w:rsidR="00EB0BCC" w:rsidRPr="00A1465F" w:rsidRDefault="00EB0BCC" w:rsidP="00390580">
            <w:pPr>
              <w:pStyle w:val="Tabletext"/>
              <w:keepNext/>
              <w:keepLines/>
              <w:rPr>
                <w:b/>
              </w:rPr>
            </w:pPr>
          </w:p>
        </w:tc>
        <w:tc>
          <w:tcPr>
            <w:tcW w:w="822" w:type="dxa"/>
            <w:vMerge/>
            <w:tcBorders>
              <w:bottom w:val="single" w:sz="4" w:space="0" w:color="auto"/>
            </w:tcBorders>
          </w:tcPr>
          <w:p w:rsidR="00EB0BCC" w:rsidRPr="00A1465F" w:rsidRDefault="00EB0BCC" w:rsidP="00390580">
            <w:pPr>
              <w:pStyle w:val="Tabletext"/>
              <w:keepNext/>
              <w:keepLines/>
              <w:rPr>
                <w:b/>
              </w:rPr>
            </w:pPr>
          </w:p>
        </w:tc>
        <w:tc>
          <w:tcPr>
            <w:tcW w:w="1176" w:type="dxa"/>
            <w:tcBorders>
              <w:bottom w:val="single" w:sz="4" w:space="0" w:color="auto"/>
            </w:tcBorders>
          </w:tcPr>
          <w:p w:rsidR="00EB0BCC" w:rsidRPr="00A1465F" w:rsidRDefault="00EB0BCC" w:rsidP="00390580">
            <w:pPr>
              <w:pStyle w:val="Tabletext"/>
              <w:keepNext/>
              <w:keepLines/>
              <w:rPr>
                <w:b/>
              </w:rPr>
            </w:pPr>
            <w:r w:rsidRPr="00A1465F">
              <w:rPr>
                <w:b/>
              </w:rPr>
              <w:t>Max daily</w:t>
            </w:r>
          </w:p>
        </w:tc>
        <w:tc>
          <w:tcPr>
            <w:tcW w:w="709" w:type="dxa"/>
            <w:tcBorders>
              <w:bottom w:val="single" w:sz="4" w:space="0" w:color="auto"/>
            </w:tcBorders>
          </w:tcPr>
          <w:p w:rsidR="00EB0BCC" w:rsidRPr="00A1465F" w:rsidRDefault="00EB0BCC" w:rsidP="00390580">
            <w:pPr>
              <w:pStyle w:val="Tabletext"/>
              <w:keepNext/>
              <w:keepLines/>
              <w:rPr>
                <w:b/>
              </w:rPr>
            </w:pPr>
            <w:r w:rsidRPr="00A1465F">
              <w:rPr>
                <w:b/>
              </w:rPr>
              <w:t>Initial</w:t>
            </w:r>
          </w:p>
        </w:tc>
        <w:tc>
          <w:tcPr>
            <w:tcW w:w="1134" w:type="dxa"/>
            <w:tcBorders>
              <w:bottom w:val="single" w:sz="4" w:space="0" w:color="auto"/>
            </w:tcBorders>
          </w:tcPr>
          <w:p w:rsidR="00EB0BCC" w:rsidRPr="00A1465F" w:rsidRDefault="00EB0BCC" w:rsidP="00390580">
            <w:pPr>
              <w:pStyle w:val="Tabletext"/>
              <w:keepNext/>
              <w:keepLines/>
              <w:rPr>
                <w:b/>
              </w:rPr>
            </w:pPr>
            <w:r w:rsidRPr="00A1465F">
              <w:rPr>
                <w:b/>
              </w:rPr>
              <w:t>Dose interval</w:t>
            </w:r>
          </w:p>
        </w:tc>
        <w:tc>
          <w:tcPr>
            <w:tcW w:w="850" w:type="dxa"/>
            <w:tcBorders>
              <w:bottom w:val="single" w:sz="4" w:space="0" w:color="auto"/>
            </w:tcBorders>
          </w:tcPr>
          <w:p w:rsidR="00EB0BCC" w:rsidRPr="00A1465F" w:rsidRDefault="00EB0BCC" w:rsidP="00390580">
            <w:pPr>
              <w:pStyle w:val="Tabletext"/>
              <w:keepNext/>
              <w:keepLines/>
              <w:rPr>
                <w:b/>
              </w:rPr>
            </w:pPr>
            <w:r w:rsidRPr="00A1465F">
              <w:rPr>
                <w:b/>
              </w:rPr>
              <w:t>per tablet</w:t>
            </w:r>
          </w:p>
        </w:tc>
        <w:tc>
          <w:tcPr>
            <w:tcW w:w="795" w:type="dxa"/>
            <w:tcBorders>
              <w:bottom w:val="single" w:sz="4" w:space="0" w:color="auto"/>
            </w:tcBorders>
          </w:tcPr>
          <w:p w:rsidR="00EB0BCC" w:rsidRPr="00A1465F" w:rsidRDefault="00EB0BCC" w:rsidP="00390580">
            <w:pPr>
              <w:pStyle w:val="Tabletext"/>
              <w:keepNext/>
              <w:keepLines/>
              <w:rPr>
                <w:b/>
              </w:rPr>
            </w:pPr>
            <w:r w:rsidRPr="00A1465F">
              <w:rPr>
                <w:b/>
              </w:rPr>
              <w:t>per pack</w:t>
            </w:r>
          </w:p>
        </w:tc>
        <w:tc>
          <w:tcPr>
            <w:tcW w:w="770" w:type="dxa"/>
            <w:tcBorders>
              <w:bottom w:val="single" w:sz="4" w:space="0" w:color="auto"/>
            </w:tcBorders>
          </w:tcPr>
          <w:p w:rsidR="00EB0BCC" w:rsidRPr="00A1465F" w:rsidRDefault="00EB0BCC" w:rsidP="00390580">
            <w:pPr>
              <w:pStyle w:val="Tabletext"/>
              <w:keepNext/>
              <w:keepLines/>
              <w:rPr>
                <w:b/>
              </w:rPr>
            </w:pPr>
            <w:r w:rsidRPr="00A1465F">
              <w:rPr>
                <w:b/>
              </w:rPr>
              <w:t>Min</w:t>
            </w:r>
          </w:p>
        </w:tc>
        <w:tc>
          <w:tcPr>
            <w:tcW w:w="798" w:type="dxa"/>
            <w:tcBorders>
              <w:bottom w:val="single" w:sz="4" w:space="0" w:color="auto"/>
            </w:tcBorders>
          </w:tcPr>
          <w:p w:rsidR="00EB0BCC" w:rsidRPr="00A1465F" w:rsidRDefault="00EB0BCC" w:rsidP="00390580">
            <w:pPr>
              <w:pStyle w:val="Tabletext"/>
              <w:keepNext/>
              <w:keepLines/>
              <w:rPr>
                <w:b/>
              </w:rPr>
            </w:pPr>
            <w:r w:rsidRPr="00A1465F">
              <w:rPr>
                <w:b/>
              </w:rPr>
              <w:t>Max</w:t>
            </w:r>
          </w:p>
        </w:tc>
        <w:tc>
          <w:tcPr>
            <w:tcW w:w="847" w:type="dxa"/>
            <w:tcBorders>
              <w:bottom w:val="single" w:sz="4" w:space="0" w:color="auto"/>
            </w:tcBorders>
          </w:tcPr>
          <w:p w:rsidR="00EB0BCC" w:rsidRPr="00A1465F" w:rsidRDefault="00EB0BCC" w:rsidP="00390580">
            <w:pPr>
              <w:pStyle w:val="Tabletext"/>
              <w:keepNext/>
              <w:keepLines/>
              <w:rPr>
                <w:b/>
              </w:rPr>
            </w:pPr>
            <w:r w:rsidRPr="00A1465F">
              <w:rPr>
                <w:b/>
              </w:rPr>
              <w:t>Usual dose</w:t>
            </w:r>
          </w:p>
        </w:tc>
      </w:tr>
      <w:tr w:rsidR="00EB0BCC" w:rsidRPr="00A1465F" w:rsidTr="004F32D6">
        <w:tc>
          <w:tcPr>
            <w:tcW w:w="1116" w:type="dxa"/>
            <w:tcBorders>
              <w:bottom w:val="single" w:sz="4" w:space="0" w:color="auto"/>
              <w:right w:val="nil"/>
            </w:tcBorders>
          </w:tcPr>
          <w:p w:rsidR="00EB0BCC" w:rsidRPr="00A1465F" w:rsidRDefault="00EB0BCC" w:rsidP="00390580">
            <w:pPr>
              <w:pStyle w:val="Tabletext"/>
              <w:keepNext/>
              <w:keepLines/>
              <w:rPr>
                <w:b/>
              </w:rPr>
            </w:pPr>
            <w:r w:rsidRPr="00A1465F">
              <w:rPr>
                <w:b/>
              </w:rPr>
              <w:t>Tramadol</w:t>
            </w:r>
          </w:p>
        </w:tc>
        <w:tc>
          <w:tcPr>
            <w:tcW w:w="822" w:type="dxa"/>
            <w:tcBorders>
              <w:left w:val="nil"/>
              <w:bottom w:val="single" w:sz="4" w:space="0" w:color="auto"/>
              <w:right w:val="nil"/>
            </w:tcBorders>
          </w:tcPr>
          <w:p w:rsidR="00EB0BCC" w:rsidRPr="00A1465F" w:rsidRDefault="00EB0BCC" w:rsidP="00390580">
            <w:pPr>
              <w:pStyle w:val="Tabletext"/>
              <w:keepNext/>
              <w:keepLines/>
              <w:rPr>
                <w:b/>
              </w:rPr>
            </w:pPr>
          </w:p>
        </w:tc>
        <w:tc>
          <w:tcPr>
            <w:tcW w:w="1176" w:type="dxa"/>
            <w:tcBorders>
              <w:left w:val="nil"/>
              <w:bottom w:val="single" w:sz="4" w:space="0" w:color="auto"/>
              <w:right w:val="nil"/>
            </w:tcBorders>
          </w:tcPr>
          <w:p w:rsidR="00EB0BCC" w:rsidRPr="00A1465F" w:rsidRDefault="00EB0BCC" w:rsidP="00390580">
            <w:pPr>
              <w:pStyle w:val="Tabletext"/>
              <w:keepNext/>
              <w:keepLines/>
              <w:rPr>
                <w:b/>
              </w:rPr>
            </w:pPr>
          </w:p>
        </w:tc>
        <w:tc>
          <w:tcPr>
            <w:tcW w:w="709" w:type="dxa"/>
            <w:tcBorders>
              <w:left w:val="nil"/>
              <w:bottom w:val="single" w:sz="4" w:space="0" w:color="auto"/>
              <w:right w:val="nil"/>
            </w:tcBorders>
          </w:tcPr>
          <w:p w:rsidR="00EB0BCC" w:rsidRPr="00A1465F" w:rsidRDefault="00EB0BCC" w:rsidP="00390580">
            <w:pPr>
              <w:pStyle w:val="Tabletext"/>
              <w:keepNext/>
              <w:keepLines/>
              <w:rPr>
                <w:b/>
              </w:rPr>
            </w:pPr>
          </w:p>
        </w:tc>
        <w:tc>
          <w:tcPr>
            <w:tcW w:w="1134" w:type="dxa"/>
            <w:tcBorders>
              <w:left w:val="nil"/>
              <w:bottom w:val="single" w:sz="4" w:space="0" w:color="auto"/>
              <w:right w:val="nil"/>
            </w:tcBorders>
          </w:tcPr>
          <w:p w:rsidR="00EB0BCC" w:rsidRPr="00A1465F" w:rsidRDefault="00EB0BCC" w:rsidP="00390580">
            <w:pPr>
              <w:pStyle w:val="Tabletext"/>
              <w:keepNext/>
              <w:keepLines/>
              <w:rPr>
                <w:b/>
              </w:rPr>
            </w:pPr>
          </w:p>
        </w:tc>
        <w:tc>
          <w:tcPr>
            <w:tcW w:w="850" w:type="dxa"/>
            <w:tcBorders>
              <w:left w:val="nil"/>
              <w:bottom w:val="single" w:sz="4" w:space="0" w:color="auto"/>
              <w:right w:val="nil"/>
            </w:tcBorders>
          </w:tcPr>
          <w:p w:rsidR="00EB0BCC" w:rsidRPr="00A1465F" w:rsidRDefault="00EB0BCC" w:rsidP="00390580">
            <w:pPr>
              <w:pStyle w:val="Tabletext"/>
              <w:keepNext/>
              <w:keepLines/>
              <w:rPr>
                <w:b/>
              </w:rPr>
            </w:pPr>
          </w:p>
        </w:tc>
        <w:tc>
          <w:tcPr>
            <w:tcW w:w="795" w:type="dxa"/>
            <w:tcBorders>
              <w:left w:val="nil"/>
              <w:bottom w:val="single" w:sz="4" w:space="0" w:color="auto"/>
              <w:right w:val="nil"/>
            </w:tcBorders>
          </w:tcPr>
          <w:p w:rsidR="00EB0BCC" w:rsidRPr="00A1465F" w:rsidRDefault="00EB0BCC" w:rsidP="00390580">
            <w:pPr>
              <w:pStyle w:val="Tabletext"/>
              <w:keepNext/>
              <w:keepLines/>
              <w:rPr>
                <w:b/>
              </w:rPr>
            </w:pPr>
          </w:p>
        </w:tc>
        <w:tc>
          <w:tcPr>
            <w:tcW w:w="770" w:type="dxa"/>
            <w:tcBorders>
              <w:left w:val="nil"/>
              <w:bottom w:val="single" w:sz="4" w:space="0" w:color="auto"/>
              <w:right w:val="nil"/>
            </w:tcBorders>
          </w:tcPr>
          <w:p w:rsidR="00EB0BCC" w:rsidRPr="00A1465F" w:rsidRDefault="00EB0BCC" w:rsidP="00390580">
            <w:pPr>
              <w:pStyle w:val="Tabletext"/>
              <w:keepNext/>
              <w:keepLines/>
              <w:rPr>
                <w:b/>
              </w:rPr>
            </w:pPr>
          </w:p>
        </w:tc>
        <w:tc>
          <w:tcPr>
            <w:tcW w:w="798" w:type="dxa"/>
            <w:tcBorders>
              <w:left w:val="nil"/>
              <w:bottom w:val="single" w:sz="4" w:space="0" w:color="auto"/>
              <w:right w:val="nil"/>
            </w:tcBorders>
          </w:tcPr>
          <w:p w:rsidR="00EB0BCC" w:rsidRPr="00A1465F" w:rsidRDefault="00EB0BCC" w:rsidP="00390580">
            <w:pPr>
              <w:pStyle w:val="Tabletext"/>
              <w:keepNext/>
              <w:keepLines/>
              <w:rPr>
                <w:b/>
              </w:rPr>
            </w:pPr>
          </w:p>
        </w:tc>
        <w:tc>
          <w:tcPr>
            <w:tcW w:w="847" w:type="dxa"/>
            <w:tcBorders>
              <w:left w:val="nil"/>
              <w:bottom w:val="single" w:sz="4" w:space="0" w:color="auto"/>
            </w:tcBorders>
          </w:tcPr>
          <w:p w:rsidR="00EB0BCC" w:rsidRPr="00A1465F" w:rsidRDefault="00EB0BCC" w:rsidP="00390580">
            <w:pPr>
              <w:pStyle w:val="Tabletext"/>
              <w:keepNext/>
              <w:keepLines/>
              <w:rPr>
                <w:b/>
              </w:rPr>
            </w:pPr>
          </w:p>
        </w:tc>
      </w:tr>
      <w:tr w:rsidR="00EB0BCC" w:rsidRPr="00A1465F" w:rsidTr="004F32D6">
        <w:tc>
          <w:tcPr>
            <w:tcW w:w="1116" w:type="dxa"/>
            <w:vMerge w:val="restart"/>
          </w:tcPr>
          <w:p w:rsidR="00EB0BCC" w:rsidRPr="00A1465F" w:rsidRDefault="00EB0BCC" w:rsidP="00390580">
            <w:pPr>
              <w:pStyle w:val="Tabletext"/>
              <w:keepNext/>
              <w:keepLines/>
              <w:ind w:left="-67"/>
            </w:pPr>
            <w:r w:rsidRPr="00A1465F">
              <w:t>T 37.5 mg+ P 325 mg</w:t>
            </w:r>
          </w:p>
        </w:tc>
        <w:tc>
          <w:tcPr>
            <w:tcW w:w="822" w:type="dxa"/>
          </w:tcPr>
          <w:p w:rsidR="00EB0BCC" w:rsidRPr="00A1465F" w:rsidRDefault="00EB0BCC" w:rsidP="00390580">
            <w:pPr>
              <w:pStyle w:val="Tabletext"/>
              <w:keepNext/>
              <w:keepLines/>
            </w:pPr>
            <w:r w:rsidRPr="00A1465F">
              <w:t xml:space="preserve">20 </w:t>
            </w:r>
          </w:p>
        </w:tc>
        <w:tc>
          <w:tcPr>
            <w:tcW w:w="1176" w:type="dxa"/>
          </w:tcPr>
          <w:p w:rsidR="00EB0BCC" w:rsidRPr="00A1465F" w:rsidRDefault="00EB0BCC" w:rsidP="00390580">
            <w:pPr>
              <w:pStyle w:val="Tabletext"/>
              <w:keepNext/>
              <w:keepLines/>
            </w:pPr>
            <w:r w:rsidRPr="00A1465F">
              <w:t>8 tablets</w:t>
            </w:r>
          </w:p>
        </w:tc>
        <w:tc>
          <w:tcPr>
            <w:tcW w:w="709" w:type="dxa"/>
          </w:tcPr>
          <w:p w:rsidR="00EB0BCC" w:rsidRPr="00A1465F" w:rsidRDefault="00EB0BCC" w:rsidP="00390580">
            <w:pPr>
              <w:pStyle w:val="Tabletext"/>
              <w:keepNext/>
              <w:keepLines/>
            </w:pPr>
            <w:r w:rsidRPr="00A1465F">
              <w:t>2 tablets</w:t>
            </w:r>
          </w:p>
        </w:tc>
        <w:tc>
          <w:tcPr>
            <w:tcW w:w="1134" w:type="dxa"/>
            <w:vMerge w:val="restart"/>
          </w:tcPr>
          <w:p w:rsidR="00EB0BCC" w:rsidRPr="00A1465F" w:rsidRDefault="00EB0BCC" w:rsidP="00390580">
            <w:pPr>
              <w:pStyle w:val="Tabletext"/>
              <w:keepNext/>
              <w:keepLines/>
            </w:pPr>
            <w:r w:rsidRPr="00A1465F">
              <w:t>Not less than 6 h PRN</w:t>
            </w:r>
          </w:p>
        </w:tc>
        <w:tc>
          <w:tcPr>
            <w:tcW w:w="850" w:type="dxa"/>
          </w:tcPr>
          <w:p w:rsidR="00EB0BCC" w:rsidRPr="00A1465F" w:rsidRDefault="00EB0BCC" w:rsidP="00390580">
            <w:pPr>
              <w:pStyle w:val="Tabletext"/>
              <w:keepNext/>
              <w:keepLines/>
            </w:pPr>
            <w:r w:rsidRPr="00A1465F">
              <w:t>$0.093</w:t>
            </w:r>
          </w:p>
        </w:tc>
        <w:tc>
          <w:tcPr>
            <w:tcW w:w="795" w:type="dxa"/>
          </w:tcPr>
          <w:p w:rsidR="00EB0BCC" w:rsidRPr="00A1465F" w:rsidRDefault="00EB0BCC" w:rsidP="00390580">
            <w:pPr>
              <w:pStyle w:val="Tabletext"/>
              <w:keepNext/>
              <w:keepLines/>
            </w:pPr>
            <w:r w:rsidRPr="00A1465F">
              <w:t>$1.86</w:t>
            </w:r>
          </w:p>
        </w:tc>
        <w:tc>
          <w:tcPr>
            <w:tcW w:w="770" w:type="dxa"/>
          </w:tcPr>
          <w:p w:rsidR="00EB0BCC" w:rsidRPr="00A1465F" w:rsidRDefault="00EB0BCC" w:rsidP="00390580">
            <w:pPr>
              <w:pStyle w:val="Tabletext"/>
              <w:keepNext/>
              <w:keepLines/>
            </w:pPr>
            <w:r w:rsidRPr="00A1465F">
              <w:t>$0.093</w:t>
            </w:r>
          </w:p>
        </w:tc>
        <w:tc>
          <w:tcPr>
            <w:tcW w:w="798" w:type="dxa"/>
          </w:tcPr>
          <w:p w:rsidR="00EB0BCC" w:rsidRPr="00A1465F" w:rsidRDefault="00EB0BCC" w:rsidP="00390580">
            <w:pPr>
              <w:pStyle w:val="Tabletext"/>
              <w:keepNext/>
              <w:keepLines/>
            </w:pPr>
            <w:r w:rsidRPr="00A1465F">
              <w:t>$0.744</w:t>
            </w:r>
          </w:p>
        </w:tc>
        <w:tc>
          <w:tcPr>
            <w:tcW w:w="847" w:type="dxa"/>
            <w:vMerge w:val="restart"/>
          </w:tcPr>
          <w:p w:rsidR="00EB0BCC" w:rsidRPr="00A1465F" w:rsidRDefault="00EB0BCC" w:rsidP="00390580">
            <w:pPr>
              <w:pStyle w:val="Tabletext"/>
              <w:keepNext/>
              <w:keepLines/>
              <w:ind w:left="-33"/>
            </w:pPr>
            <w:r w:rsidRPr="00A1465F">
              <w:t xml:space="preserve">$0.372 to $0.465 </w:t>
            </w:r>
            <w:r w:rsidRPr="00A1465F">
              <w:br/>
              <w:t>(4-5 tabs)</w:t>
            </w:r>
          </w:p>
        </w:tc>
      </w:tr>
      <w:tr w:rsidR="00EB0BCC" w:rsidRPr="00A1465F" w:rsidTr="004F32D6">
        <w:tc>
          <w:tcPr>
            <w:tcW w:w="1116" w:type="dxa"/>
            <w:vMerge/>
          </w:tcPr>
          <w:p w:rsidR="00EB0BCC" w:rsidRPr="00A1465F" w:rsidRDefault="00EB0BCC" w:rsidP="00390580">
            <w:pPr>
              <w:pStyle w:val="Tabletext"/>
              <w:keepNext/>
              <w:keepLines/>
              <w:ind w:left="-67"/>
            </w:pPr>
          </w:p>
        </w:tc>
        <w:tc>
          <w:tcPr>
            <w:tcW w:w="822" w:type="dxa"/>
          </w:tcPr>
          <w:p w:rsidR="00EB0BCC" w:rsidRPr="00A1465F" w:rsidRDefault="00EB0BCC" w:rsidP="00390580">
            <w:pPr>
              <w:pStyle w:val="Tabletext"/>
              <w:keepNext/>
              <w:keepLines/>
            </w:pPr>
            <w:r w:rsidRPr="00A1465F">
              <w:t>50</w:t>
            </w:r>
          </w:p>
        </w:tc>
        <w:tc>
          <w:tcPr>
            <w:tcW w:w="1176" w:type="dxa"/>
          </w:tcPr>
          <w:p w:rsidR="00EB0BCC" w:rsidRPr="00A1465F" w:rsidRDefault="00EB0BCC" w:rsidP="00390580">
            <w:pPr>
              <w:pStyle w:val="Tabletext"/>
              <w:keepNext/>
              <w:keepLines/>
            </w:pPr>
            <w:r w:rsidRPr="00A1465F">
              <w:t>8 tablets</w:t>
            </w:r>
          </w:p>
        </w:tc>
        <w:tc>
          <w:tcPr>
            <w:tcW w:w="709" w:type="dxa"/>
          </w:tcPr>
          <w:p w:rsidR="00EB0BCC" w:rsidRPr="00A1465F" w:rsidRDefault="00EB0BCC" w:rsidP="00390580">
            <w:pPr>
              <w:pStyle w:val="Tabletext"/>
              <w:keepNext/>
              <w:keepLines/>
            </w:pPr>
            <w:r w:rsidRPr="00A1465F">
              <w:t>2 tablets</w:t>
            </w:r>
          </w:p>
        </w:tc>
        <w:tc>
          <w:tcPr>
            <w:tcW w:w="1134" w:type="dxa"/>
            <w:vMerge/>
          </w:tcPr>
          <w:p w:rsidR="00EB0BCC" w:rsidRPr="00A1465F" w:rsidRDefault="00EB0BCC" w:rsidP="00390580">
            <w:pPr>
              <w:pStyle w:val="Tabletext"/>
              <w:keepNext/>
              <w:keepLines/>
            </w:pPr>
          </w:p>
        </w:tc>
        <w:tc>
          <w:tcPr>
            <w:tcW w:w="850" w:type="dxa"/>
          </w:tcPr>
          <w:p w:rsidR="00EB0BCC" w:rsidRPr="00A1465F" w:rsidRDefault="00EB0BCC" w:rsidP="00390580">
            <w:pPr>
              <w:pStyle w:val="Tabletext"/>
              <w:keepNext/>
              <w:keepLines/>
            </w:pPr>
            <w:r w:rsidRPr="00A1465F">
              <w:t>$0.093</w:t>
            </w:r>
          </w:p>
        </w:tc>
        <w:tc>
          <w:tcPr>
            <w:tcW w:w="795" w:type="dxa"/>
          </w:tcPr>
          <w:p w:rsidR="00EB0BCC" w:rsidRPr="00A1465F" w:rsidRDefault="00EB0BCC" w:rsidP="00390580">
            <w:pPr>
              <w:pStyle w:val="Tabletext"/>
              <w:keepNext/>
              <w:keepLines/>
            </w:pPr>
            <w:r w:rsidRPr="00A1465F">
              <w:t>$4.65</w:t>
            </w:r>
          </w:p>
        </w:tc>
        <w:tc>
          <w:tcPr>
            <w:tcW w:w="770" w:type="dxa"/>
          </w:tcPr>
          <w:p w:rsidR="00EB0BCC" w:rsidRPr="00A1465F" w:rsidRDefault="00EB0BCC" w:rsidP="00390580">
            <w:pPr>
              <w:pStyle w:val="Tabletext"/>
              <w:keepNext/>
              <w:keepLines/>
            </w:pPr>
            <w:r w:rsidRPr="00A1465F">
              <w:t>$0.093</w:t>
            </w:r>
          </w:p>
        </w:tc>
        <w:tc>
          <w:tcPr>
            <w:tcW w:w="798" w:type="dxa"/>
          </w:tcPr>
          <w:p w:rsidR="00EB0BCC" w:rsidRPr="00A1465F" w:rsidRDefault="00EB0BCC" w:rsidP="00390580">
            <w:pPr>
              <w:pStyle w:val="Tabletext"/>
              <w:keepNext/>
              <w:keepLines/>
            </w:pPr>
            <w:r w:rsidRPr="00A1465F">
              <w:t>$0.744</w:t>
            </w:r>
          </w:p>
        </w:tc>
        <w:tc>
          <w:tcPr>
            <w:tcW w:w="847" w:type="dxa"/>
            <w:vMerge/>
          </w:tcPr>
          <w:p w:rsidR="00EB0BCC" w:rsidRPr="00A1465F" w:rsidRDefault="00EB0BCC" w:rsidP="00390580">
            <w:pPr>
              <w:pStyle w:val="Tabletext"/>
              <w:keepNext/>
              <w:keepLines/>
              <w:ind w:left="-33"/>
            </w:pPr>
          </w:p>
        </w:tc>
      </w:tr>
      <w:tr w:rsidR="00EB0BCC" w:rsidRPr="00A1465F" w:rsidTr="004F32D6">
        <w:tc>
          <w:tcPr>
            <w:tcW w:w="1116" w:type="dxa"/>
          </w:tcPr>
          <w:p w:rsidR="00EB0BCC" w:rsidRPr="00A1465F" w:rsidRDefault="00EB0BCC" w:rsidP="00390580">
            <w:pPr>
              <w:pStyle w:val="Tabletext"/>
              <w:keepNext/>
              <w:keepLines/>
              <w:ind w:left="-67"/>
            </w:pPr>
            <w:r w:rsidRPr="00A1465F">
              <w:t>T 50 mg IR</w:t>
            </w:r>
          </w:p>
        </w:tc>
        <w:tc>
          <w:tcPr>
            <w:tcW w:w="822" w:type="dxa"/>
          </w:tcPr>
          <w:p w:rsidR="00EB0BCC" w:rsidRPr="00A1465F" w:rsidRDefault="00EB0BCC" w:rsidP="00390580">
            <w:pPr>
              <w:pStyle w:val="Tabletext"/>
              <w:keepNext/>
              <w:keepLines/>
            </w:pPr>
            <w:r w:rsidRPr="00A1465F">
              <w:rPr>
                <w:color w:val="000000"/>
                <w:szCs w:val="20"/>
              </w:rPr>
              <w:t>20</w:t>
            </w:r>
          </w:p>
        </w:tc>
        <w:tc>
          <w:tcPr>
            <w:tcW w:w="1176" w:type="dxa"/>
          </w:tcPr>
          <w:p w:rsidR="00EB0BCC" w:rsidRPr="00A1465F" w:rsidRDefault="00EB0BCC" w:rsidP="00390580">
            <w:pPr>
              <w:pStyle w:val="Tabletext"/>
              <w:keepNext/>
              <w:keepLines/>
            </w:pPr>
            <w:r w:rsidRPr="00A1465F">
              <w:t>8 tablets</w:t>
            </w:r>
          </w:p>
        </w:tc>
        <w:tc>
          <w:tcPr>
            <w:tcW w:w="709" w:type="dxa"/>
          </w:tcPr>
          <w:p w:rsidR="00EB0BCC" w:rsidRPr="00A1465F" w:rsidRDefault="00EB0BCC" w:rsidP="00390580">
            <w:pPr>
              <w:pStyle w:val="Tabletext"/>
              <w:keepNext/>
              <w:keepLines/>
            </w:pPr>
            <w:r w:rsidRPr="00A1465F">
              <w:t>1 to 2 tablets</w:t>
            </w:r>
          </w:p>
        </w:tc>
        <w:tc>
          <w:tcPr>
            <w:tcW w:w="1134" w:type="dxa"/>
          </w:tcPr>
          <w:p w:rsidR="00EB0BCC" w:rsidRPr="00A1465F" w:rsidRDefault="00EB0BCC" w:rsidP="00390580">
            <w:pPr>
              <w:pStyle w:val="Tabletext"/>
              <w:keepNext/>
              <w:keepLines/>
            </w:pPr>
            <w:r w:rsidRPr="00A1465F">
              <w:t>Every 4 to 6 hours PRN</w:t>
            </w:r>
          </w:p>
        </w:tc>
        <w:tc>
          <w:tcPr>
            <w:tcW w:w="850" w:type="dxa"/>
          </w:tcPr>
          <w:p w:rsidR="00EB0BCC" w:rsidRPr="00A1465F" w:rsidRDefault="00EB0BCC" w:rsidP="00390580">
            <w:pPr>
              <w:pStyle w:val="Tabletext"/>
              <w:keepNext/>
              <w:keepLines/>
            </w:pPr>
            <w:r w:rsidRPr="00A1465F">
              <w:t>$0.093</w:t>
            </w:r>
          </w:p>
        </w:tc>
        <w:tc>
          <w:tcPr>
            <w:tcW w:w="795" w:type="dxa"/>
          </w:tcPr>
          <w:p w:rsidR="00EB0BCC" w:rsidRPr="00A1465F" w:rsidRDefault="00EB0BCC" w:rsidP="00390580">
            <w:pPr>
              <w:pStyle w:val="Tabletext"/>
              <w:keepNext/>
              <w:keepLines/>
            </w:pPr>
            <w:r w:rsidRPr="00A1465F">
              <w:t>$1.86</w:t>
            </w:r>
          </w:p>
        </w:tc>
        <w:tc>
          <w:tcPr>
            <w:tcW w:w="770" w:type="dxa"/>
          </w:tcPr>
          <w:p w:rsidR="00EB0BCC" w:rsidRPr="00A1465F" w:rsidRDefault="00EB0BCC" w:rsidP="00390580">
            <w:pPr>
              <w:pStyle w:val="Tabletext"/>
              <w:keepNext/>
              <w:keepLines/>
            </w:pPr>
            <w:r w:rsidRPr="00A1465F">
              <w:t>$0.093</w:t>
            </w:r>
          </w:p>
        </w:tc>
        <w:tc>
          <w:tcPr>
            <w:tcW w:w="798" w:type="dxa"/>
          </w:tcPr>
          <w:p w:rsidR="00EB0BCC" w:rsidRPr="00A1465F" w:rsidRDefault="00EB0BCC" w:rsidP="00390580">
            <w:pPr>
              <w:pStyle w:val="Tabletext"/>
              <w:keepNext/>
              <w:keepLines/>
            </w:pPr>
            <w:r w:rsidRPr="00A1465F">
              <w:t>$0.744</w:t>
            </w:r>
          </w:p>
        </w:tc>
        <w:tc>
          <w:tcPr>
            <w:tcW w:w="847" w:type="dxa"/>
          </w:tcPr>
          <w:p w:rsidR="00EB0BCC" w:rsidRPr="00A1465F" w:rsidRDefault="00EB0BCC" w:rsidP="00390580">
            <w:pPr>
              <w:pStyle w:val="Tabletext"/>
              <w:keepNext/>
              <w:keepLines/>
              <w:ind w:left="-33"/>
            </w:pPr>
            <w:r w:rsidRPr="00A1465F">
              <w:t xml:space="preserve">$0.372 to $0.465 </w:t>
            </w:r>
            <w:r w:rsidRPr="00A1465F">
              <w:br/>
              <w:t>(4-5 tabs)</w:t>
            </w:r>
          </w:p>
        </w:tc>
      </w:tr>
      <w:tr w:rsidR="00EB0BCC" w:rsidRPr="00A1465F" w:rsidTr="004F32D6">
        <w:tc>
          <w:tcPr>
            <w:tcW w:w="1116" w:type="dxa"/>
          </w:tcPr>
          <w:p w:rsidR="00EB0BCC" w:rsidRPr="00A1465F" w:rsidRDefault="00EB0BCC" w:rsidP="00390580">
            <w:pPr>
              <w:pStyle w:val="Tabletext"/>
              <w:keepNext/>
              <w:keepLines/>
              <w:ind w:left="-67"/>
            </w:pPr>
            <w:r w:rsidRPr="00A1465F">
              <w:t>T 50 mg SR</w:t>
            </w:r>
          </w:p>
        </w:tc>
        <w:tc>
          <w:tcPr>
            <w:tcW w:w="822" w:type="dxa"/>
          </w:tcPr>
          <w:p w:rsidR="00EB0BCC" w:rsidRPr="00A1465F" w:rsidRDefault="00EB0BCC" w:rsidP="00390580">
            <w:pPr>
              <w:pStyle w:val="Tabletext"/>
              <w:keepNext/>
              <w:keepLines/>
              <w:rPr>
                <w:color w:val="000000"/>
                <w:szCs w:val="20"/>
              </w:rPr>
            </w:pPr>
            <w:r w:rsidRPr="00A1465F">
              <w:rPr>
                <w:color w:val="000000"/>
                <w:szCs w:val="20"/>
              </w:rPr>
              <w:t>20</w:t>
            </w:r>
          </w:p>
        </w:tc>
        <w:tc>
          <w:tcPr>
            <w:tcW w:w="1176" w:type="dxa"/>
          </w:tcPr>
          <w:p w:rsidR="00EB0BCC" w:rsidRPr="00A1465F" w:rsidRDefault="00EB0BCC" w:rsidP="00390580">
            <w:pPr>
              <w:pStyle w:val="Tabletext"/>
              <w:keepNext/>
              <w:keepLines/>
            </w:pPr>
            <w:r w:rsidRPr="00A1465F">
              <w:t>8 tablets</w:t>
            </w:r>
          </w:p>
        </w:tc>
        <w:tc>
          <w:tcPr>
            <w:tcW w:w="709" w:type="dxa"/>
            <w:vMerge w:val="restart"/>
          </w:tcPr>
          <w:p w:rsidR="00EB0BCC" w:rsidRPr="00A1465F" w:rsidRDefault="00EB0BCC" w:rsidP="00390580">
            <w:pPr>
              <w:pStyle w:val="Tabletext"/>
              <w:keepNext/>
              <w:keepLines/>
            </w:pPr>
            <w:r w:rsidRPr="00A1465F">
              <w:t>100mg QD</w:t>
            </w:r>
          </w:p>
        </w:tc>
        <w:tc>
          <w:tcPr>
            <w:tcW w:w="1134" w:type="dxa"/>
            <w:vMerge w:val="restart"/>
          </w:tcPr>
          <w:p w:rsidR="00EB0BCC" w:rsidRPr="00A1465F" w:rsidRDefault="00EB0BCC" w:rsidP="00390580">
            <w:pPr>
              <w:pStyle w:val="Tabletext"/>
              <w:keepNext/>
              <w:keepLines/>
            </w:pPr>
            <w:r w:rsidRPr="00A1465F">
              <w:t>Usual dose: 200 mg QD, nocte</w:t>
            </w:r>
          </w:p>
        </w:tc>
        <w:tc>
          <w:tcPr>
            <w:tcW w:w="850" w:type="dxa"/>
          </w:tcPr>
          <w:p w:rsidR="00EB0BCC" w:rsidRPr="00A1465F" w:rsidRDefault="00EB0BCC" w:rsidP="00390580">
            <w:pPr>
              <w:pStyle w:val="Tabletext"/>
              <w:keepNext/>
              <w:keepLines/>
            </w:pPr>
            <w:r w:rsidRPr="00A1465F">
              <w:t>$0.1465</w:t>
            </w:r>
          </w:p>
        </w:tc>
        <w:tc>
          <w:tcPr>
            <w:tcW w:w="795" w:type="dxa"/>
          </w:tcPr>
          <w:p w:rsidR="00EB0BCC" w:rsidRPr="00A1465F" w:rsidRDefault="00EB0BCC" w:rsidP="00390580">
            <w:pPr>
              <w:pStyle w:val="Tabletext"/>
              <w:keepNext/>
              <w:keepLines/>
            </w:pPr>
            <w:r w:rsidRPr="00A1465F">
              <w:t>$2.93</w:t>
            </w:r>
          </w:p>
        </w:tc>
        <w:tc>
          <w:tcPr>
            <w:tcW w:w="770" w:type="dxa"/>
          </w:tcPr>
          <w:p w:rsidR="00EB0BCC" w:rsidRPr="00A1465F" w:rsidRDefault="00EB0BCC" w:rsidP="00390580">
            <w:pPr>
              <w:pStyle w:val="Tabletext"/>
              <w:keepNext/>
              <w:keepLines/>
            </w:pPr>
            <w:r w:rsidRPr="00A1465F">
              <w:t>$0.293</w:t>
            </w:r>
          </w:p>
        </w:tc>
        <w:tc>
          <w:tcPr>
            <w:tcW w:w="798" w:type="dxa"/>
          </w:tcPr>
          <w:p w:rsidR="00EB0BCC" w:rsidRPr="00A1465F" w:rsidRDefault="00EB0BCC" w:rsidP="00390580">
            <w:pPr>
              <w:pStyle w:val="Tabletext"/>
              <w:keepNext/>
              <w:keepLines/>
            </w:pPr>
            <w:r w:rsidRPr="00A1465F">
              <w:t>$1.172</w:t>
            </w:r>
          </w:p>
        </w:tc>
        <w:tc>
          <w:tcPr>
            <w:tcW w:w="847" w:type="dxa"/>
          </w:tcPr>
          <w:p w:rsidR="00EB0BCC" w:rsidRPr="00A1465F" w:rsidRDefault="00EB0BCC" w:rsidP="00390580">
            <w:pPr>
              <w:pStyle w:val="Tabletext"/>
              <w:keepNext/>
              <w:keepLines/>
              <w:ind w:left="-33"/>
            </w:pPr>
            <w:r w:rsidRPr="00A1465F">
              <w:t xml:space="preserve">$0.586 </w:t>
            </w:r>
            <w:r w:rsidRPr="00A1465F">
              <w:br/>
              <w:t>(4 tabs)</w:t>
            </w:r>
          </w:p>
        </w:tc>
      </w:tr>
      <w:tr w:rsidR="00EB0BCC" w:rsidRPr="00A1465F" w:rsidTr="004F32D6">
        <w:tc>
          <w:tcPr>
            <w:tcW w:w="1116" w:type="dxa"/>
          </w:tcPr>
          <w:p w:rsidR="00EB0BCC" w:rsidRPr="00A1465F" w:rsidRDefault="00EB0BCC" w:rsidP="00390580">
            <w:pPr>
              <w:pStyle w:val="Tabletext"/>
              <w:keepNext/>
              <w:keepLines/>
              <w:ind w:left="-67"/>
            </w:pPr>
            <w:r w:rsidRPr="00A1465F">
              <w:t>T 100 mg SR</w:t>
            </w:r>
          </w:p>
        </w:tc>
        <w:tc>
          <w:tcPr>
            <w:tcW w:w="822" w:type="dxa"/>
          </w:tcPr>
          <w:p w:rsidR="00EB0BCC" w:rsidRPr="00A1465F" w:rsidRDefault="00EB0BCC" w:rsidP="00390580">
            <w:pPr>
              <w:keepNext/>
              <w:keepLines/>
              <w:widowControl/>
              <w:jc w:val="left"/>
              <w:rPr>
                <w:rFonts w:ascii="Arial Narrow" w:hAnsi="Arial Narrow" w:cs="Times New Roman"/>
                <w:snapToGrid/>
                <w:color w:val="000000"/>
                <w:sz w:val="20"/>
                <w:szCs w:val="20"/>
                <w:lang w:eastAsia="en-AU"/>
              </w:rPr>
            </w:pPr>
            <w:r w:rsidRPr="00A1465F">
              <w:rPr>
                <w:rFonts w:ascii="Arial Narrow" w:hAnsi="Arial Narrow" w:cs="Times New Roman"/>
                <w:snapToGrid/>
                <w:color w:val="000000"/>
                <w:sz w:val="20"/>
                <w:szCs w:val="20"/>
                <w:lang w:eastAsia="en-AU"/>
              </w:rPr>
              <w:t>20</w:t>
            </w:r>
          </w:p>
        </w:tc>
        <w:tc>
          <w:tcPr>
            <w:tcW w:w="1176" w:type="dxa"/>
          </w:tcPr>
          <w:p w:rsidR="00EB0BCC" w:rsidRPr="00A1465F" w:rsidRDefault="00EB0BCC" w:rsidP="00390580">
            <w:pPr>
              <w:pStyle w:val="Tabletext"/>
              <w:keepNext/>
              <w:keepLines/>
            </w:pPr>
            <w:r w:rsidRPr="00A1465F">
              <w:t>4 tablets</w:t>
            </w:r>
          </w:p>
        </w:tc>
        <w:tc>
          <w:tcPr>
            <w:tcW w:w="709" w:type="dxa"/>
            <w:vMerge/>
          </w:tcPr>
          <w:p w:rsidR="00EB0BCC" w:rsidRPr="00A1465F" w:rsidRDefault="00EB0BCC" w:rsidP="00390580">
            <w:pPr>
              <w:pStyle w:val="Tabletext"/>
              <w:keepNext/>
              <w:keepLines/>
            </w:pPr>
          </w:p>
        </w:tc>
        <w:tc>
          <w:tcPr>
            <w:tcW w:w="1134" w:type="dxa"/>
            <w:vMerge/>
          </w:tcPr>
          <w:p w:rsidR="00EB0BCC" w:rsidRPr="00A1465F" w:rsidRDefault="00EB0BCC" w:rsidP="00390580">
            <w:pPr>
              <w:pStyle w:val="Tabletext"/>
              <w:keepNext/>
              <w:keepLines/>
            </w:pPr>
          </w:p>
        </w:tc>
        <w:tc>
          <w:tcPr>
            <w:tcW w:w="850" w:type="dxa"/>
          </w:tcPr>
          <w:p w:rsidR="00EB0BCC" w:rsidRPr="00A1465F" w:rsidRDefault="00EB0BCC" w:rsidP="00390580">
            <w:pPr>
              <w:pStyle w:val="Tabletext"/>
              <w:keepNext/>
              <w:keepLines/>
            </w:pPr>
            <w:r w:rsidRPr="00A1465F">
              <w:t>$0.112</w:t>
            </w:r>
          </w:p>
        </w:tc>
        <w:tc>
          <w:tcPr>
            <w:tcW w:w="795" w:type="dxa"/>
          </w:tcPr>
          <w:p w:rsidR="00EB0BCC" w:rsidRPr="00A1465F" w:rsidRDefault="00EB0BCC" w:rsidP="00390580">
            <w:pPr>
              <w:pStyle w:val="Tabletext"/>
              <w:keepNext/>
              <w:keepLines/>
            </w:pPr>
            <w:r w:rsidRPr="00A1465F">
              <w:t>$2.24</w:t>
            </w:r>
          </w:p>
        </w:tc>
        <w:tc>
          <w:tcPr>
            <w:tcW w:w="770" w:type="dxa"/>
          </w:tcPr>
          <w:p w:rsidR="00EB0BCC" w:rsidRPr="00A1465F" w:rsidRDefault="00EB0BCC" w:rsidP="00390580">
            <w:pPr>
              <w:pStyle w:val="Tabletext"/>
              <w:keepNext/>
              <w:keepLines/>
            </w:pPr>
            <w:r w:rsidRPr="00A1465F">
              <w:t>$0.112</w:t>
            </w:r>
          </w:p>
        </w:tc>
        <w:tc>
          <w:tcPr>
            <w:tcW w:w="798" w:type="dxa"/>
          </w:tcPr>
          <w:p w:rsidR="00EB0BCC" w:rsidRPr="00A1465F" w:rsidRDefault="00EB0BCC" w:rsidP="00390580">
            <w:pPr>
              <w:pStyle w:val="Tabletext"/>
              <w:keepNext/>
              <w:keepLines/>
            </w:pPr>
            <w:r w:rsidRPr="00A1465F">
              <w:t>$0.448</w:t>
            </w:r>
          </w:p>
        </w:tc>
        <w:tc>
          <w:tcPr>
            <w:tcW w:w="847" w:type="dxa"/>
          </w:tcPr>
          <w:p w:rsidR="00EB0BCC" w:rsidRPr="00A1465F" w:rsidRDefault="00EB0BCC" w:rsidP="00390580">
            <w:pPr>
              <w:pStyle w:val="Tabletext"/>
              <w:keepNext/>
              <w:keepLines/>
              <w:ind w:left="-33"/>
            </w:pPr>
            <w:r w:rsidRPr="00A1465F">
              <w:t xml:space="preserve">$0.224 </w:t>
            </w:r>
            <w:r w:rsidRPr="00A1465F">
              <w:br/>
              <w:t>(2 tabs)</w:t>
            </w:r>
          </w:p>
        </w:tc>
      </w:tr>
      <w:tr w:rsidR="00EB0BCC" w:rsidRPr="00A1465F" w:rsidTr="004F32D6">
        <w:tc>
          <w:tcPr>
            <w:tcW w:w="1116" w:type="dxa"/>
          </w:tcPr>
          <w:p w:rsidR="00EB0BCC" w:rsidRPr="00A1465F" w:rsidRDefault="00EB0BCC" w:rsidP="00390580">
            <w:pPr>
              <w:pStyle w:val="Tabletext"/>
              <w:keepNext/>
              <w:keepLines/>
              <w:ind w:left="-67"/>
            </w:pPr>
            <w:r w:rsidRPr="00A1465F">
              <w:t>T 150 mg SR</w:t>
            </w:r>
          </w:p>
        </w:tc>
        <w:tc>
          <w:tcPr>
            <w:tcW w:w="822" w:type="dxa"/>
          </w:tcPr>
          <w:p w:rsidR="00EB0BCC" w:rsidRPr="00A1465F" w:rsidRDefault="00EB0BCC" w:rsidP="00390580">
            <w:pPr>
              <w:keepNext/>
              <w:keepLines/>
              <w:widowControl/>
              <w:jc w:val="left"/>
              <w:rPr>
                <w:rFonts w:ascii="Arial Narrow" w:hAnsi="Arial Narrow" w:cs="Times New Roman"/>
                <w:snapToGrid/>
                <w:color w:val="000000"/>
                <w:sz w:val="20"/>
                <w:szCs w:val="20"/>
                <w:lang w:eastAsia="en-AU"/>
              </w:rPr>
            </w:pPr>
            <w:r w:rsidRPr="00A1465F">
              <w:rPr>
                <w:rFonts w:ascii="Arial Narrow" w:hAnsi="Arial Narrow" w:cs="Times New Roman"/>
                <w:snapToGrid/>
                <w:color w:val="000000"/>
                <w:sz w:val="20"/>
                <w:szCs w:val="20"/>
                <w:lang w:eastAsia="en-AU"/>
              </w:rPr>
              <w:t>20</w:t>
            </w:r>
          </w:p>
        </w:tc>
        <w:tc>
          <w:tcPr>
            <w:tcW w:w="1176" w:type="dxa"/>
          </w:tcPr>
          <w:p w:rsidR="00EB0BCC" w:rsidRPr="00A1465F" w:rsidRDefault="00EB0BCC" w:rsidP="00390580">
            <w:pPr>
              <w:pStyle w:val="Tabletext"/>
              <w:keepNext/>
              <w:keepLines/>
            </w:pPr>
            <w:r w:rsidRPr="00A1465F">
              <w:t>400 </w:t>
            </w:r>
            <w:proofErr w:type="spellStart"/>
            <w:r w:rsidRPr="00A1465F">
              <w:t>mg</w:t>
            </w:r>
            <w:r w:rsidRPr="00A1465F">
              <w:rPr>
                <w:vertAlign w:val="superscript"/>
              </w:rPr>
              <w:t>a</w:t>
            </w:r>
            <w:proofErr w:type="spellEnd"/>
          </w:p>
        </w:tc>
        <w:tc>
          <w:tcPr>
            <w:tcW w:w="709" w:type="dxa"/>
            <w:vMerge/>
          </w:tcPr>
          <w:p w:rsidR="00EB0BCC" w:rsidRPr="00A1465F" w:rsidRDefault="00EB0BCC" w:rsidP="00390580">
            <w:pPr>
              <w:pStyle w:val="Tabletext"/>
              <w:keepNext/>
              <w:keepLines/>
            </w:pPr>
          </w:p>
        </w:tc>
        <w:tc>
          <w:tcPr>
            <w:tcW w:w="1134" w:type="dxa"/>
            <w:vMerge/>
          </w:tcPr>
          <w:p w:rsidR="00EB0BCC" w:rsidRPr="00A1465F" w:rsidRDefault="00EB0BCC" w:rsidP="00390580">
            <w:pPr>
              <w:pStyle w:val="Tabletext"/>
              <w:keepNext/>
              <w:keepLines/>
            </w:pPr>
          </w:p>
        </w:tc>
        <w:tc>
          <w:tcPr>
            <w:tcW w:w="850" w:type="dxa"/>
          </w:tcPr>
          <w:p w:rsidR="00EB0BCC" w:rsidRPr="00A1465F" w:rsidRDefault="00EB0BCC" w:rsidP="00390580">
            <w:pPr>
              <w:pStyle w:val="Tabletext"/>
              <w:keepNext/>
              <w:keepLines/>
            </w:pPr>
            <w:r w:rsidRPr="00A1465F">
              <w:t>$0.15</w:t>
            </w:r>
          </w:p>
        </w:tc>
        <w:tc>
          <w:tcPr>
            <w:tcW w:w="795" w:type="dxa"/>
          </w:tcPr>
          <w:p w:rsidR="00EB0BCC" w:rsidRPr="00A1465F" w:rsidRDefault="00EB0BCC" w:rsidP="00390580">
            <w:pPr>
              <w:pStyle w:val="Tabletext"/>
              <w:keepNext/>
              <w:keepLines/>
            </w:pPr>
            <w:r w:rsidRPr="00A1465F">
              <w:t>$3.00</w:t>
            </w:r>
          </w:p>
        </w:tc>
        <w:tc>
          <w:tcPr>
            <w:tcW w:w="770" w:type="dxa"/>
          </w:tcPr>
          <w:p w:rsidR="00EB0BCC" w:rsidRPr="00A1465F" w:rsidRDefault="00EB0BCC" w:rsidP="00390580">
            <w:pPr>
              <w:pStyle w:val="Tabletext"/>
              <w:keepNext/>
              <w:keepLines/>
            </w:pPr>
            <w:r w:rsidRPr="00A1465F">
              <w:t>$0.15</w:t>
            </w:r>
          </w:p>
        </w:tc>
        <w:tc>
          <w:tcPr>
            <w:tcW w:w="798" w:type="dxa"/>
          </w:tcPr>
          <w:p w:rsidR="00EB0BCC" w:rsidRPr="00A1465F" w:rsidRDefault="00EB0BCC" w:rsidP="00390580">
            <w:pPr>
              <w:pStyle w:val="Tabletext"/>
              <w:keepNext/>
              <w:keepLines/>
            </w:pPr>
            <w:r w:rsidRPr="00A1465F">
              <w:t>$0.30</w:t>
            </w:r>
          </w:p>
        </w:tc>
        <w:tc>
          <w:tcPr>
            <w:tcW w:w="847" w:type="dxa"/>
          </w:tcPr>
          <w:p w:rsidR="00EB0BCC" w:rsidRPr="00A1465F" w:rsidRDefault="00EB0BCC" w:rsidP="00390580">
            <w:pPr>
              <w:pStyle w:val="Tabletext"/>
              <w:keepNext/>
              <w:keepLines/>
              <w:ind w:left="-33"/>
            </w:pPr>
            <w:r w:rsidRPr="00A1465F">
              <w:t xml:space="preserve">$0.30 </w:t>
            </w:r>
            <w:r w:rsidRPr="00A1465F">
              <w:br/>
              <w:t>(2 tabs)</w:t>
            </w:r>
          </w:p>
        </w:tc>
      </w:tr>
      <w:tr w:rsidR="00EB0BCC" w:rsidRPr="00A1465F" w:rsidTr="004F32D6">
        <w:tc>
          <w:tcPr>
            <w:tcW w:w="1116" w:type="dxa"/>
            <w:tcBorders>
              <w:bottom w:val="single" w:sz="4" w:space="0" w:color="auto"/>
            </w:tcBorders>
          </w:tcPr>
          <w:p w:rsidR="00EB0BCC" w:rsidRPr="00A1465F" w:rsidRDefault="00EB0BCC" w:rsidP="00390580">
            <w:pPr>
              <w:pStyle w:val="Tabletext"/>
              <w:keepNext/>
              <w:keepLines/>
              <w:ind w:left="-67"/>
            </w:pPr>
            <w:r w:rsidRPr="00A1465F">
              <w:t>T 200 mg SR</w:t>
            </w:r>
          </w:p>
        </w:tc>
        <w:tc>
          <w:tcPr>
            <w:tcW w:w="822" w:type="dxa"/>
            <w:tcBorders>
              <w:bottom w:val="single" w:sz="4" w:space="0" w:color="auto"/>
            </w:tcBorders>
          </w:tcPr>
          <w:p w:rsidR="00EB0BCC" w:rsidRPr="00A1465F" w:rsidRDefault="00EB0BCC" w:rsidP="00390580">
            <w:pPr>
              <w:keepNext/>
              <w:keepLines/>
              <w:widowControl/>
              <w:jc w:val="left"/>
              <w:rPr>
                <w:rFonts w:ascii="Arial Narrow" w:hAnsi="Arial Narrow" w:cs="Times New Roman"/>
                <w:snapToGrid/>
                <w:color w:val="000000"/>
                <w:sz w:val="20"/>
                <w:szCs w:val="20"/>
                <w:lang w:eastAsia="en-AU"/>
              </w:rPr>
            </w:pPr>
            <w:r w:rsidRPr="00A1465F">
              <w:rPr>
                <w:rFonts w:ascii="Arial Narrow" w:hAnsi="Arial Narrow" w:cs="Times New Roman"/>
                <w:snapToGrid/>
                <w:color w:val="000000"/>
                <w:sz w:val="20"/>
                <w:szCs w:val="20"/>
                <w:lang w:eastAsia="en-AU"/>
              </w:rPr>
              <w:t>20</w:t>
            </w:r>
          </w:p>
        </w:tc>
        <w:tc>
          <w:tcPr>
            <w:tcW w:w="1176" w:type="dxa"/>
            <w:tcBorders>
              <w:bottom w:val="single" w:sz="4" w:space="0" w:color="auto"/>
            </w:tcBorders>
          </w:tcPr>
          <w:p w:rsidR="00EB0BCC" w:rsidRPr="00A1465F" w:rsidRDefault="00EB0BCC" w:rsidP="00390580">
            <w:pPr>
              <w:pStyle w:val="Tabletext"/>
              <w:keepNext/>
              <w:keepLines/>
            </w:pPr>
            <w:r w:rsidRPr="00A1465F">
              <w:t>2 tablets</w:t>
            </w:r>
          </w:p>
        </w:tc>
        <w:tc>
          <w:tcPr>
            <w:tcW w:w="709" w:type="dxa"/>
            <w:vMerge/>
            <w:tcBorders>
              <w:bottom w:val="single" w:sz="4" w:space="0" w:color="auto"/>
            </w:tcBorders>
          </w:tcPr>
          <w:p w:rsidR="00EB0BCC" w:rsidRPr="00A1465F" w:rsidRDefault="00EB0BCC" w:rsidP="00390580">
            <w:pPr>
              <w:pStyle w:val="Tabletext"/>
              <w:keepNext/>
              <w:keepLines/>
            </w:pPr>
          </w:p>
        </w:tc>
        <w:tc>
          <w:tcPr>
            <w:tcW w:w="1134" w:type="dxa"/>
            <w:vMerge/>
            <w:tcBorders>
              <w:bottom w:val="single" w:sz="4" w:space="0" w:color="auto"/>
            </w:tcBorders>
          </w:tcPr>
          <w:p w:rsidR="00EB0BCC" w:rsidRPr="00A1465F" w:rsidRDefault="00EB0BCC" w:rsidP="00390580">
            <w:pPr>
              <w:pStyle w:val="Tabletext"/>
              <w:keepNext/>
              <w:keepLines/>
            </w:pPr>
          </w:p>
        </w:tc>
        <w:tc>
          <w:tcPr>
            <w:tcW w:w="850" w:type="dxa"/>
            <w:tcBorders>
              <w:bottom w:val="single" w:sz="4" w:space="0" w:color="auto"/>
            </w:tcBorders>
          </w:tcPr>
          <w:p w:rsidR="00EB0BCC" w:rsidRPr="00A1465F" w:rsidRDefault="00EB0BCC" w:rsidP="00390580">
            <w:pPr>
              <w:pStyle w:val="Tabletext"/>
              <w:keepNext/>
              <w:keepLines/>
            </w:pPr>
            <w:r w:rsidRPr="00A1465F">
              <w:t>$0.183</w:t>
            </w:r>
          </w:p>
        </w:tc>
        <w:tc>
          <w:tcPr>
            <w:tcW w:w="795" w:type="dxa"/>
            <w:tcBorders>
              <w:bottom w:val="single" w:sz="4" w:space="0" w:color="auto"/>
            </w:tcBorders>
          </w:tcPr>
          <w:p w:rsidR="00EB0BCC" w:rsidRPr="00A1465F" w:rsidRDefault="00EB0BCC" w:rsidP="00390580">
            <w:pPr>
              <w:pStyle w:val="Tabletext"/>
              <w:keepNext/>
              <w:keepLines/>
            </w:pPr>
            <w:r w:rsidRPr="00A1465F">
              <w:t>$3.66</w:t>
            </w:r>
          </w:p>
        </w:tc>
        <w:tc>
          <w:tcPr>
            <w:tcW w:w="770" w:type="dxa"/>
            <w:tcBorders>
              <w:bottom w:val="single" w:sz="4" w:space="0" w:color="auto"/>
            </w:tcBorders>
          </w:tcPr>
          <w:p w:rsidR="00EB0BCC" w:rsidRPr="00A1465F" w:rsidRDefault="00EB0BCC" w:rsidP="00390580">
            <w:pPr>
              <w:pStyle w:val="Tabletext"/>
              <w:keepNext/>
              <w:keepLines/>
            </w:pPr>
            <w:r w:rsidRPr="00A1465F">
              <w:t>$0.183</w:t>
            </w:r>
          </w:p>
        </w:tc>
        <w:tc>
          <w:tcPr>
            <w:tcW w:w="798" w:type="dxa"/>
            <w:tcBorders>
              <w:bottom w:val="single" w:sz="4" w:space="0" w:color="auto"/>
            </w:tcBorders>
          </w:tcPr>
          <w:p w:rsidR="00EB0BCC" w:rsidRPr="00A1465F" w:rsidRDefault="00EB0BCC" w:rsidP="00390580">
            <w:pPr>
              <w:pStyle w:val="Tabletext"/>
              <w:keepNext/>
              <w:keepLines/>
            </w:pPr>
            <w:r w:rsidRPr="00A1465F">
              <w:t>$0.366</w:t>
            </w:r>
          </w:p>
        </w:tc>
        <w:tc>
          <w:tcPr>
            <w:tcW w:w="847" w:type="dxa"/>
            <w:tcBorders>
              <w:bottom w:val="single" w:sz="4" w:space="0" w:color="auto"/>
            </w:tcBorders>
          </w:tcPr>
          <w:p w:rsidR="00EB0BCC" w:rsidRPr="00A1465F" w:rsidRDefault="00EB0BCC" w:rsidP="00390580">
            <w:pPr>
              <w:pStyle w:val="Tabletext"/>
              <w:keepNext/>
              <w:keepLines/>
              <w:ind w:left="-33"/>
            </w:pPr>
            <w:r w:rsidRPr="00A1465F">
              <w:t xml:space="preserve">$0.183 </w:t>
            </w:r>
            <w:r w:rsidRPr="00A1465F">
              <w:br/>
              <w:t>(1 tab)</w:t>
            </w:r>
          </w:p>
        </w:tc>
      </w:tr>
      <w:tr w:rsidR="00AB3C8D" w:rsidRPr="00A1465F" w:rsidTr="008B3ABE">
        <w:tc>
          <w:tcPr>
            <w:tcW w:w="9017" w:type="dxa"/>
            <w:gridSpan w:val="10"/>
            <w:tcBorders>
              <w:bottom w:val="single" w:sz="4" w:space="0" w:color="auto"/>
            </w:tcBorders>
          </w:tcPr>
          <w:p w:rsidR="00AB3C8D" w:rsidRPr="00A1465F" w:rsidRDefault="00AB3C8D" w:rsidP="00390580">
            <w:pPr>
              <w:pStyle w:val="Tabletext"/>
              <w:keepNext/>
              <w:keepLines/>
              <w:ind w:left="-33"/>
            </w:pPr>
            <w:r w:rsidRPr="00A1465F">
              <w:rPr>
                <w:b/>
              </w:rPr>
              <w:t>Paracetamol and codeine</w:t>
            </w:r>
          </w:p>
        </w:tc>
      </w:tr>
      <w:tr w:rsidR="00EB0BCC" w:rsidRPr="00A1465F" w:rsidTr="008B3ABE">
        <w:tc>
          <w:tcPr>
            <w:tcW w:w="1116" w:type="dxa"/>
            <w:tcBorders>
              <w:top w:val="single" w:sz="4" w:space="0" w:color="auto"/>
              <w:bottom w:val="single" w:sz="4" w:space="0" w:color="auto"/>
            </w:tcBorders>
            <w:vAlign w:val="center"/>
          </w:tcPr>
          <w:p w:rsidR="00EB0BCC" w:rsidRPr="00A1465F" w:rsidRDefault="00EB0BCC" w:rsidP="00390580">
            <w:pPr>
              <w:pStyle w:val="Tabletext"/>
              <w:keepNext/>
              <w:keepLines/>
              <w:ind w:left="-67"/>
            </w:pPr>
            <w:r w:rsidRPr="00A1465F">
              <w:t>P 500 mg C 30 mg</w:t>
            </w:r>
          </w:p>
        </w:tc>
        <w:tc>
          <w:tcPr>
            <w:tcW w:w="822" w:type="dxa"/>
            <w:tcBorders>
              <w:top w:val="single" w:sz="4" w:space="0" w:color="auto"/>
              <w:bottom w:val="single" w:sz="4" w:space="0" w:color="auto"/>
            </w:tcBorders>
          </w:tcPr>
          <w:p w:rsidR="00EB0BCC" w:rsidRPr="00A1465F" w:rsidRDefault="00EB0BCC" w:rsidP="00390580">
            <w:pPr>
              <w:pStyle w:val="Tabletext"/>
              <w:keepNext/>
              <w:keepLines/>
            </w:pPr>
            <w:r w:rsidRPr="00A1465F">
              <w:t>20</w:t>
            </w:r>
          </w:p>
        </w:tc>
        <w:tc>
          <w:tcPr>
            <w:tcW w:w="1176" w:type="dxa"/>
            <w:tcBorders>
              <w:top w:val="single" w:sz="4" w:space="0" w:color="auto"/>
              <w:bottom w:val="single" w:sz="4" w:space="0" w:color="auto"/>
            </w:tcBorders>
          </w:tcPr>
          <w:p w:rsidR="00EB0BCC" w:rsidRPr="00A1465F" w:rsidRDefault="00EB0BCC" w:rsidP="00390580">
            <w:pPr>
              <w:pStyle w:val="Tabletext"/>
              <w:keepNext/>
              <w:keepLines/>
            </w:pPr>
            <w:r w:rsidRPr="00A1465F">
              <w:t>8 tablets</w:t>
            </w:r>
          </w:p>
        </w:tc>
        <w:tc>
          <w:tcPr>
            <w:tcW w:w="709" w:type="dxa"/>
            <w:tcBorders>
              <w:top w:val="single" w:sz="4" w:space="0" w:color="auto"/>
              <w:bottom w:val="single" w:sz="4" w:space="0" w:color="auto"/>
            </w:tcBorders>
          </w:tcPr>
          <w:p w:rsidR="00EB0BCC" w:rsidRPr="00A1465F" w:rsidRDefault="00EB0BCC" w:rsidP="00390580">
            <w:pPr>
              <w:pStyle w:val="Tabletext"/>
              <w:keepNext/>
              <w:keepLines/>
            </w:pPr>
            <w:r w:rsidRPr="00A1465F">
              <w:t>1 to 2</w:t>
            </w:r>
          </w:p>
        </w:tc>
        <w:tc>
          <w:tcPr>
            <w:tcW w:w="1134" w:type="dxa"/>
            <w:tcBorders>
              <w:top w:val="single" w:sz="4" w:space="0" w:color="auto"/>
              <w:bottom w:val="single" w:sz="4" w:space="0" w:color="auto"/>
            </w:tcBorders>
          </w:tcPr>
          <w:p w:rsidR="00EB0BCC" w:rsidRPr="00A1465F" w:rsidRDefault="00EB0BCC" w:rsidP="00390580">
            <w:pPr>
              <w:pStyle w:val="Tabletext"/>
              <w:keepNext/>
              <w:keepLines/>
            </w:pPr>
            <w:r w:rsidRPr="00A1465F">
              <w:t>Every 4 hours PRN</w:t>
            </w:r>
          </w:p>
        </w:tc>
        <w:tc>
          <w:tcPr>
            <w:tcW w:w="850" w:type="dxa"/>
            <w:tcBorders>
              <w:top w:val="single" w:sz="4" w:space="0" w:color="auto"/>
              <w:bottom w:val="single" w:sz="4" w:space="0" w:color="auto"/>
            </w:tcBorders>
          </w:tcPr>
          <w:p w:rsidR="00EB0BCC" w:rsidRPr="00A1465F" w:rsidRDefault="00EB0BCC" w:rsidP="00390580">
            <w:pPr>
              <w:pStyle w:val="Tabletext"/>
              <w:keepNext/>
              <w:keepLines/>
            </w:pPr>
            <w:r w:rsidRPr="00A1465F">
              <w:t>$0.063</w:t>
            </w:r>
          </w:p>
        </w:tc>
        <w:tc>
          <w:tcPr>
            <w:tcW w:w="795" w:type="dxa"/>
            <w:tcBorders>
              <w:top w:val="single" w:sz="4" w:space="0" w:color="auto"/>
              <w:bottom w:val="single" w:sz="4" w:space="0" w:color="auto"/>
            </w:tcBorders>
          </w:tcPr>
          <w:p w:rsidR="00EB0BCC" w:rsidRPr="00A1465F" w:rsidRDefault="00EB0BCC" w:rsidP="00390580">
            <w:pPr>
              <w:pStyle w:val="Tabletext"/>
              <w:keepNext/>
              <w:keepLines/>
            </w:pPr>
            <w:r w:rsidRPr="00A1465F">
              <w:t>$1.26</w:t>
            </w:r>
          </w:p>
        </w:tc>
        <w:tc>
          <w:tcPr>
            <w:tcW w:w="770" w:type="dxa"/>
            <w:tcBorders>
              <w:top w:val="single" w:sz="4" w:space="0" w:color="auto"/>
              <w:bottom w:val="single" w:sz="4" w:space="0" w:color="auto"/>
            </w:tcBorders>
          </w:tcPr>
          <w:p w:rsidR="00EB0BCC" w:rsidRPr="00A1465F" w:rsidRDefault="00EB0BCC" w:rsidP="00390580">
            <w:pPr>
              <w:pStyle w:val="Tabletext"/>
              <w:keepNext/>
              <w:keepLines/>
            </w:pPr>
            <w:r w:rsidRPr="00A1465F">
              <w:t>$0.063</w:t>
            </w:r>
          </w:p>
        </w:tc>
        <w:tc>
          <w:tcPr>
            <w:tcW w:w="798" w:type="dxa"/>
            <w:tcBorders>
              <w:top w:val="single" w:sz="4" w:space="0" w:color="auto"/>
              <w:bottom w:val="single" w:sz="4" w:space="0" w:color="auto"/>
            </w:tcBorders>
          </w:tcPr>
          <w:p w:rsidR="00EB0BCC" w:rsidRPr="00A1465F" w:rsidRDefault="00EB0BCC" w:rsidP="00390580">
            <w:pPr>
              <w:pStyle w:val="Tabletext"/>
              <w:keepNext/>
              <w:keepLines/>
            </w:pPr>
            <w:r w:rsidRPr="00A1465F">
              <w:t>$0.504</w:t>
            </w:r>
          </w:p>
        </w:tc>
        <w:tc>
          <w:tcPr>
            <w:tcW w:w="847" w:type="dxa"/>
            <w:tcBorders>
              <w:top w:val="single" w:sz="4" w:space="0" w:color="auto"/>
              <w:bottom w:val="single" w:sz="4" w:space="0" w:color="auto"/>
            </w:tcBorders>
          </w:tcPr>
          <w:p w:rsidR="00EB0BCC" w:rsidRPr="00A1465F" w:rsidRDefault="00EB0BCC" w:rsidP="00390580">
            <w:pPr>
              <w:pStyle w:val="Tabletext"/>
              <w:keepNext/>
              <w:keepLines/>
              <w:ind w:left="-33"/>
            </w:pPr>
            <w:r w:rsidRPr="00A1465F">
              <w:t>NA</w:t>
            </w:r>
          </w:p>
        </w:tc>
      </w:tr>
    </w:tbl>
    <w:p w:rsidR="00EB0BCC" w:rsidRPr="00D123EE" w:rsidRDefault="00EB0BCC" w:rsidP="00390580">
      <w:pPr>
        <w:pStyle w:val="TableFooter"/>
        <w:keepNext/>
        <w:keepLines/>
      </w:pPr>
      <w:r w:rsidRPr="00D123EE">
        <w:t xml:space="preserve">Source: URL: </w:t>
      </w:r>
      <w:r w:rsidRPr="00060B8C">
        <w:t>http://www.pbs.gov.au/info/industry/pricing/ex-manufacturer-</w:t>
      </w:r>
      <w:proofErr w:type="gramStart"/>
      <w:r w:rsidRPr="00060B8C">
        <w:t>price</w:t>
      </w:r>
      <w:r w:rsidRPr="00D123EE">
        <w:t xml:space="preserve"> :</w:t>
      </w:r>
      <w:proofErr w:type="gramEnd"/>
      <w:r w:rsidRPr="00D123EE">
        <w:t xml:space="preserve"> Ex-manufacturer prices-non-efc-2017-12-01.xls. </w:t>
      </w:r>
    </w:p>
    <w:p w:rsidR="00EB0BCC" w:rsidRPr="00D123EE" w:rsidRDefault="00EB0BCC" w:rsidP="00390580">
      <w:pPr>
        <w:pStyle w:val="TableFooter"/>
        <w:keepNext/>
        <w:keepLines/>
      </w:pPr>
      <w:r w:rsidRPr="00D123EE">
        <w:t xml:space="preserve">TGA approved PI for each treatment. </w:t>
      </w:r>
    </w:p>
    <w:p w:rsidR="00EB0BCC" w:rsidRPr="00D123EE" w:rsidRDefault="00EB0BCC" w:rsidP="00390580">
      <w:pPr>
        <w:pStyle w:val="TableFooter"/>
        <w:keepNext/>
        <w:keepLines/>
      </w:pPr>
      <w:r w:rsidRPr="00D123EE">
        <w:t xml:space="preserve">Note: </w:t>
      </w:r>
      <w:proofErr w:type="gramStart"/>
      <w:r w:rsidRPr="00D123EE">
        <w:t>a the</w:t>
      </w:r>
      <w:proofErr w:type="gramEnd"/>
      <w:r w:rsidRPr="00D123EE">
        <w:t xml:space="preserve"> TGA approved PI for all strengths denoted 400 mg is the maximum daily dose of tramadol SR. </w:t>
      </w:r>
    </w:p>
    <w:p w:rsidR="007643F3" w:rsidRDefault="00EB0BCC" w:rsidP="007A0BA2">
      <w:pPr>
        <w:pStyle w:val="TableFooter"/>
        <w:keepNext/>
        <w:keepLines/>
      </w:pPr>
      <w:r w:rsidRPr="00D123EE">
        <w:t xml:space="preserve">Abbreviations: AEMP = approved ex-manufacturer price; BID= twice daily; PRN= when necessary; QD= once daily; SR = sustained release. </w:t>
      </w:r>
    </w:p>
    <w:p w:rsidR="00B876D2" w:rsidRPr="00817D99" w:rsidRDefault="00C25D9C" w:rsidP="00905D6A">
      <w:pPr>
        <w:pStyle w:val="KMC16-Heading2"/>
      </w:pPr>
      <w:bookmarkStart w:id="12" w:name="_Toc503971853"/>
      <w:r w:rsidRPr="00817D99">
        <w:t>Drug cost/patient/course</w:t>
      </w:r>
      <w:bookmarkEnd w:id="12"/>
    </w:p>
    <w:p w:rsidR="008C1291" w:rsidRPr="007A0BA2" w:rsidRDefault="00C22C5D" w:rsidP="007A0BA2">
      <w:pPr>
        <w:pStyle w:val="ListParagraph"/>
        <w:widowControl/>
        <w:numPr>
          <w:ilvl w:val="1"/>
          <w:numId w:val="1"/>
        </w:numPr>
        <w:spacing w:after="120"/>
      </w:pPr>
      <w:r w:rsidRPr="00D123EE">
        <w:t xml:space="preserve">Using the published price requested in the submission, the cost per pack of a </w:t>
      </w:r>
      <w:r w:rsidR="004969D5" w:rsidRPr="00D123EE">
        <w:t>20-</w:t>
      </w:r>
      <w:r w:rsidRPr="00D123EE">
        <w:t xml:space="preserve">tablet pack of </w:t>
      </w:r>
      <w:r w:rsidR="009E34E9" w:rsidRPr="00D123EE">
        <w:t>the FDC of tramadol 37.5 mg/paracetamol 325 mg</w:t>
      </w:r>
      <w:r w:rsidRPr="00D123EE">
        <w:t xml:space="preserve"> is $13.09, and a </w:t>
      </w:r>
      <w:r w:rsidR="008322B5" w:rsidRPr="00D123EE">
        <w:t>50-</w:t>
      </w:r>
      <w:r w:rsidRPr="00D123EE">
        <w:t xml:space="preserve">tablet pack is $16.09. </w:t>
      </w:r>
      <w:r w:rsidR="0005691F" w:rsidRPr="00D123EE">
        <w:t xml:space="preserve">The drug cost for a course of treatment is </w:t>
      </w:r>
      <w:r w:rsidR="003D2EAE" w:rsidRPr="00D123EE">
        <w:t xml:space="preserve">estimated to be </w:t>
      </w:r>
      <w:r w:rsidR="0005691F" w:rsidRPr="00D123EE">
        <w:t>$13.09 for acute pain a</w:t>
      </w:r>
      <w:r w:rsidR="00FC1B1A" w:rsidRPr="00D123EE">
        <w:t xml:space="preserve">ssuming one pack of 20 tablets per patient </w:t>
      </w:r>
      <w:r w:rsidR="0005691F" w:rsidRPr="00D123EE">
        <w:t>is taken and</w:t>
      </w:r>
      <w:r w:rsidR="00FC1B1A" w:rsidRPr="00D123EE">
        <w:t xml:space="preserve">, </w:t>
      </w:r>
      <w:r w:rsidR="0005691F" w:rsidRPr="00D123EE">
        <w:t xml:space="preserve">is $32.18 for the treatment of chronic pain assuming </w:t>
      </w:r>
      <w:r w:rsidR="00FC1B1A" w:rsidRPr="00D123EE">
        <w:t xml:space="preserve">two packs of 50 tablets per patient. </w:t>
      </w:r>
      <w:r w:rsidR="001B5231" w:rsidRPr="00D123EE">
        <w:t>The cost of treating chronic pain may be underestimated.  At the maximum daily dose of 8 tablets, 100 tablets would provide sufficient drug for 12.5 days of treatment.</w:t>
      </w:r>
      <w:bookmarkStart w:id="13" w:name="_Toc503971854"/>
    </w:p>
    <w:p w:rsidR="00B60939" w:rsidRPr="0032125F" w:rsidRDefault="00B60939" w:rsidP="00905D6A">
      <w:pPr>
        <w:pStyle w:val="KMC16-Heading2"/>
      </w:pPr>
      <w:r w:rsidRPr="0032125F">
        <w:t>Estimated PBS usage &amp; financial implications</w:t>
      </w:r>
      <w:bookmarkEnd w:id="13"/>
    </w:p>
    <w:p w:rsidR="00E22F6D" w:rsidRPr="00342A58" w:rsidRDefault="00E22F6D" w:rsidP="00E22F6D">
      <w:pPr>
        <w:pStyle w:val="ListParagraph"/>
        <w:widowControl/>
        <w:numPr>
          <w:ilvl w:val="1"/>
          <w:numId w:val="1"/>
        </w:numPr>
      </w:pPr>
      <w:r w:rsidRPr="00342A58">
        <w:t xml:space="preserve">This submission </w:t>
      </w:r>
      <w:r w:rsidR="00252000">
        <w:t>was</w:t>
      </w:r>
      <w:r w:rsidRPr="00342A58">
        <w:t xml:space="preserve"> considered by DUSC.</w:t>
      </w:r>
    </w:p>
    <w:p w:rsidR="00E22F6D" w:rsidRPr="00E22F6D" w:rsidRDefault="00E22F6D" w:rsidP="00E22F6D">
      <w:pPr>
        <w:pStyle w:val="ListParagraph"/>
        <w:widowControl/>
        <w:numPr>
          <w:ilvl w:val="1"/>
          <w:numId w:val="1"/>
        </w:numPr>
      </w:pPr>
      <w:r w:rsidRPr="00143790">
        <w:t>The submission adopted a market share approach in estimating the potential utilisation</w:t>
      </w:r>
      <w:r>
        <w:t xml:space="preserve"> of the FDC of tramadol 37.5 mg/paracetamol 325 mg on the PBS, assuming substitution from tramadol 50 mg IR and paracetamol 500 mg/codeine 30 mg . A</w:t>
      </w:r>
      <w:r w:rsidRPr="00143790">
        <w:t xml:space="preserve"> summary of the estimated use and financial implications for listing</w:t>
      </w:r>
      <w:r>
        <w:t xml:space="preserve"> the FDC of tramadol 37.5 mg/paracetamol 325 mg for the treatment of acute and chronic </w:t>
      </w:r>
      <w:r w:rsidRPr="00E22F6D">
        <w:lastRenderedPageBreak/>
        <w:t xml:space="preserve">pain to the PBS is presented in Table 15. The proposed listing for use in chronic pain is broader than the current PBS listing for tramadol 50 mg IR, which is only listed for titration. </w:t>
      </w:r>
    </w:p>
    <w:p w:rsidR="00E22F6D" w:rsidRPr="00E22F6D" w:rsidRDefault="00E22F6D" w:rsidP="00E22F6D">
      <w:pPr>
        <w:pStyle w:val="ListParagraph"/>
        <w:numPr>
          <w:ilvl w:val="1"/>
          <w:numId w:val="1"/>
        </w:numPr>
      </w:pPr>
      <w:r w:rsidRPr="00E22F6D">
        <w:t>The estimated financial implications presented assumed that the FDC of tramadol 37.5 mg/paracetamol 325 mg would only substitute for current use of the 50 mg IR presentation of tramadol (restricted to acute pain and titration in chronic pain). This is not consistent with the proposed listing which would allow for use beyond titration in chronic pain and therefore would result in substitution of the FDC for other products in that setting, including higher dose strengths of the SR formulations of tramadol. Substitution of the FDC for higher strengths of SR formulations of tramadol would be likely to negate any cost savings estimated by the submission given that tramadol SR is administered less frequently, and the AEMP per dose is lower for tramadol SR ≥ 100 mg than for the tramadol</w:t>
      </w:r>
      <w:r w:rsidR="00BA1F6B">
        <w:t xml:space="preserve"> FDC.</w:t>
      </w:r>
    </w:p>
    <w:p w:rsidR="00E22F6D" w:rsidRDefault="00E22F6D" w:rsidP="00E22F6D">
      <w:pPr>
        <w:pStyle w:val="ListParagraph"/>
        <w:widowControl/>
        <w:numPr>
          <w:ilvl w:val="1"/>
          <w:numId w:val="1"/>
        </w:numPr>
      </w:pPr>
      <w:r w:rsidRPr="00E22F6D">
        <w:t xml:space="preserve">As the financial estimates presented did not consider this difference in the circumstances of use, and other treatments listed on the PBS for chronic pain, such as substitution with the tramadol SR formulations, it is possible that the costs to the PBS may be higher than estimated in the submission. </w:t>
      </w:r>
    </w:p>
    <w:p w:rsidR="00B30887" w:rsidRPr="00E22F6D" w:rsidRDefault="00B30887" w:rsidP="00B30887">
      <w:pPr>
        <w:widowControl/>
      </w:pPr>
    </w:p>
    <w:p w:rsidR="00E22F6D" w:rsidRPr="00C25D9C" w:rsidRDefault="00E22F6D" w:rsidP="00E22F6D">
      <w:r w:rsidRPr="00F718D3">
        <w:rPr>
          <w:rStyle w:val="CommentReference"/>
        </w:rPr>
        <w:t>Table 1</w:t>
      </w:r>
      <w:r w:rsidR="007A0BA2">
        <w:rPr>
          <w:rStyle w:val="CommentReference"/>
        </w:rPr>
        <w:t>4</w:t>
      </w:r>
      <w:r w:rsidRPr="00F718D3">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6"/>
        <w:gridCol w:w="1166"/>
        <w:gridCol w:w="1165"/>
        <w:gridCol w:w="1165"/>
        <w:gridCol w:w="1165"/>
        <w:gridCol w:w="1165"/>
        <w:gridCol w:w="1163"/>
      </w:tblGrid>
      <w:tr w:rsidR="00E22F6D" w:rsidRPr="00D1078F" w:rsidTr="009D567E">
        <w:trPr>
          <w:tblHeader/>
        </w:trPr>
        <w:tc>
          <w:tcPr>
            <w:tcW w:w="1119" w:type="pct"/>
            <w:shd w:val="clear" w:color="auto" w:fill="auto"/>
            <w:vAlign w:val="center"/>
          </w:tcPr>
          <w:p w:rsidR="00E22F6D" w:rsidRPr="003639A6" w:rsidRDefault="00E22F6D" w:rsidP="009D567E">
            <w:pPr>
              <w:pStyle w:val="Tabletext"/>
            </w:pPr>
          </w:p>
        </w:tc>
        <w:tc>
          <w:tcPr>
            <w:tcW w:w="647" w:type="pct"/>
            <w:shd w:val="clear" w:color="auto" w:fill="auto"/>
            <w:vAlign w:val="center"/>
          </w:tcPr>
          <w:p w:rsidR="00E22F6D" w:rsidRPr="00D1078F" w:rsidRDefault="00E22F6D" w:rsidP="009D567E">
            <w:pPr>
              <w:pStyle w:val="Tabletext"/>
              <w:jc w:val="center"/>
              <w:rPr>
                <w:b/>
              </w:rPr>
            </w:pPr>
            <w:r w:rsidRPr="00D1078F">
              <w:rPr>
                <w:b/>
              </w:rPr>
              <w:t>Year 1</w:t>
            </w:r>
          </w:p>
        </w:tc>
        <w:tc>
          <w:tcPr>
            <w:tcW w:w="647" w:type="pct"/>
            <w:shd w:val="clear" w:color="auto" w:fill="auto"/>
            <w:vAlign w:val="center"/>
          </w:tcPr>
          <w:p w:rsidR="00E22F6D" w:rsidRPr="00D1078F" w:rsidRDefault="00E22F6D" w:rsidP="009D567E">
            <w:pPr>
              <w:pStyle w:val="Tabletext"/>
              <w:jc w:val="center"/>
              <w:rPr>
                <w:b/>
              </w:rPr>
            </w:pPr>
            <w:r w:rsidRPr="00D1078F">
              <w:rPr>
                <w:b/>
              </w:rPr>
              <w:t>Year 2</w:t>
            </w:r>
          </w:p>
        </w:tc>
        <w:tc>
          <w:tcPr>
            <w:tcW w:w="647" w:type="pct"/>
            <w:shd w:val="clear" w:color="auto" w:fill="auto"/>
            <w:vAlign w:val="center"/>
          </w:tcPr>
          <w:p w:rsidR="00E22F6D" w:rsidRPr="00D1078F" w:rsidRDefault="00E22F6D" w:rsidP="009D567E">
            <w:pPr>
              <w:pStyle w:val="Tabletext"/>
              <w:jc w:val="center"/>
              <w:rPr>
                <w:b/>
              </w:rPr>
            </w:pPr>
            <w:r w:rsidRPr="00D1078F">
              <w:rPr>
                <w:b/>
              </w:rPr>
              <w:t>Year 3</w:t>
            </w:r>
          </w:p>
        </w:tc>
        <w:tc>
          <w:tcPr>
            <w:tcW w:w="647" w:type="pct"/>
            <w:shd w:val="clear" w:color="auto" w:fill="auto"/>
            <w:vAlign w:val="center"/>
          </w:tcPr>
          <w:p w:rsidR="00E22F6D" w:rsidRPr="00D1078F" w:rsidRDefault="00E22F6D" w:rsidP="009D567E">
            <w:pPr>
              <w:pStyle w:val="Tabletext"/>
              <w:jc w:val="center"/>
              <w:rPr>
                <w:b/>
              </w:rPr>
            </w:pPr>
            <w:r w:rsidRPr="00D1078F">
              <w:rPr>
                <w:b/>
              </w:rPr>
              <w:t>Year 4</w:t>
            </w:r>
          </w:p>
        </w:tc>
        <w:tc>
          <w:tcPr>
            <w:tcW w:w="647" w:type="pct"/>
            <w:shd w:val="clear" w:color="auto" w:fill="auto"/>
            <w:vAlign w:val="center"/>
          </w:tcPr>
          <w:p w:rsidR="00E22F6D" w:rsidRPr="00D1078F" w:rsidRDefault="00E22F6D" w:rsidP="009D567E">
            <w:pPr>
              <w:pStyle w:val="Tabletext"/>
              <w:jc w:val="center"/>
              <w:rPr>
                <w:b/>
              </w:rPr>
            </w:pPr>
            <w:r w:rsidRPr="00D1078F">
              <w:rPr>
                <w:b/>
              </w:rPr>
              <w:t>Year 5</w:t>
            </w:r>
          </w:p>
        </w:tc>
        <w:tc>
          <w:tcPr>
            <w:tcW w:w="646" w:type="pct"/>
          </w:tcPr>
          <w:p w:rsidR="00E22F6D" w:rsidRPr="00D1078F" w:rsidRDefault="00E22F6D" w:rsidP="009D567E">
            <w:pPr>
              <w:pStyle w:val="Tabletext"/>
              <w:jc w:val="center"/>
              <w:rPr>
                <w:b/>
              </w:rPr>
            </w:pPr>
            <w:r w:rsidRPr="00D1078F">
              <w:rPr>
                <w:b/>
              </w:rPr>
              <w:t>Year 6</w:t>
            </w:r>
          </w:p>
        </w:tc>
      </w:tr>
      <w:tr w:rsidR="00E22F6D" w:rsidRPr="00D1078F" w:rsidTr="009D567E">
        <w:tc>
          <w:tcPr>
            <w:tcW w:w="5000" w:type="pct"/>
            <w:gridSpan w:val="7"/>
            <w:shd w:val="clear" w:color="auto" w:fill="auto"/>
            <w:vAlign w:val="center"/>
          </w:tcPr>
          <w:p w:rsidR="00E22F6D" w:rsidRPr="00D1078F" w:rsidRDefault="00E22F6D" w:rsidP="009D567E">
            <w:pPr>
              <w:pStyle w:val="Tabletext"/>
              <w:rPr>
                <w:b/>
                <w:bCs/>
                <w:color w:val="000000"/>
              </w:rPr>
            </w:pPr>
            <w:r w:rsidRPr="00D1078F">
              <w:rPr>
                <w:b/>
                <w:bCs/>
                <w:color w:val="000000"/>
              </w:rPr>
              <w:t>Estimated extent of use</w:t>
            </w:r>
          </w:p>
        </w:tc>
      </w:tr>
      <w:tr w:rsidR="00E22F6D" w:rsidRPr="003639A6" w:rsidTr="009D567E">
        <w:tc>
          <w:tcPr>
            <w:tcW w:w="1119" w:type="pct"/>
            <w:shd w:val="clear" w:color="auto" w:fill="auto"/>
            <w:vAlign w:val="center"/>
          </w:tcPr>
          <w:p w:rsidR="00E22F6D" w:rsidRPr="003639A6" w:rsidRDefault="00E22F6D" w:rsidP="009D567E">
            <w:pPr>
              <w:pStyle w:val="Tabletext"/>
              <w:rPr>
                <w:rFonts w:ascii="Times" w:hAnsi="Times"/>
              </w:rPr>
            </w:pPr>
            <w:r w:rsidRPr="003639A6">
              <w:t xml:space="preserve">Number of </w:t>
            </w:r>
            <w:r>
              <w:t>scripts</w:t>
            </w:r>
            <w:r w:rsidRPr="003639A6">
              <w:t xml:space="preserve"> </w:t>
            </w:r>
            <w:proofErr w:type="spellStart"/>
            <w:r w:rsidRPr="003639A6">
              <w:t>dispensed</w:t>
            </w:r>
            <w:r w:rsidRPr="003639A6">
              <w:rPr>
                <w:vertAlign w:val="superscript"/>
              </w:rPr>
              <w:t>a</w:t>
            </w:r>
            <w:proofErr w:type="spellEnd"/>
          </w:p>
        </w:tc>
        <w:tc>
          <w:tcPr>
            <w:tcW w:w="647" w:type="pct"/>
            <w:shd w:val="clear" w:color="auto" w:fill="auto"/>
          </w:tcPr>
          <w:p w:rsidR="00E22F6D" w:rsidRPr="00060B8C" w:rsidRDefault="00060B8C" w:rsidP="009D567E">
            <w:pPr>
              <w:pStyle w:val="Tabletext"/>
              <w:jc w:val="center"/>
              <w:rPr>
                <w:bCs/>
                <w:color w:val="000000"/>
                <w:highlight w:val="black"/>
              </w:rPr>
            </w:pPr>
            <w:r>
              <w:rPr>
                <w:i/>
                <w:noProof/>
                <w:color w:val="000000"/>
                <w:highlight w:val="black"/>
              </w:rPr>
              <w:t>'''''''''''''''</w:t>
            </w:r>
          </w:p>
        </w:tc>
        <w:tc>
          <w:tcPr>
            <w:tcW w:w="647" w:type="pct"/>
            <w:shd w:val="clear" w:color="auto" w:fill="auto"/>
          </w:tcPr>
          <w:p w:rsidR="00E22F6D" w:rsidRPr="00060B8C" w:rsidRDefault="00060B8C" w:rsidP="009D567E">
            <w:pPr>
              <w:pStyle w:val="Tabletext"/>
              <w:jc w:val="center"/>
              <w:rPr>
                <w:bCs/>
                <w:color w:val="000000"/>
                <w:highlight w:val="black"/>
              </w:rPr>
            </w:pPr>
            <w:r>
              <w:rPr>
                <w:i/>
                <w:noProof/>
                <w:color w:val="000000"/>
                <w:highlight w:val="black"/>
              </w:rPr>
              <w:t>''''''''''''''''</w:t>
            </w:r>
          </w:p>
        </w:tc>
        <w:tc>
          <w:tcPr>
            <w:tcW w:w="647" w:type="pct"/>
            <w:shd w:val="clear" w:color="auto" w:fill="auto"/>
          </w:tcPr>
          <w:p w:rsidR="00E22F6D" w:rsidRPr="00060B8C" w:rsidRDefault="00060B8C" w:rsidP="009D567E">
            <w:pPr>
              <w:pStyle w:val="Tabletext"/>
              <w:jc w:val="center"/>
              <w:rPr>
                <w:bCs/>
                <w:color w:val="000000"/>
                <w:highlight w:val="black"/>
              </w:rPr>
            </w:pPr>
            <w:r>
              <w:rPr>
                <w:i/>
                <w:noProof/>
                <w:color w:val="000000"/>
                <w:highlight w:val="black"/>
              </w:rPr>
              <w:t>''''''''''''''''''''</w:t>
            </w:r>
          </w:p>
        </w:tc>
        <w:tc>
          <w:tcPr>
            <w:tcW w:w="647" w:type="pct"/>
            <w:shd w:val="clear" w:color="auto" w:fill="auto"/>
          </w:tcPr>
          <w:p w:rsidR="00E22F6D" w:rsidRPr="00060B8C" w:rsidRDefault="00060B8C" w:rsidP="009D567E">
            <w:pPr>
              <w:pStyle w:val="Tabletext"/>
              <w:jc w:val="center"/>
              <w:rPr>
                <w:bCs/>
                <w:color w:val="000000"/>
                <w:highlight w:val="black"/>
              </w:rPr>
            </w:pPr>
            <w:r>
              <w:rPr>
                <w:i/>
                <w:noProof/>
                <w:color w:val="000000"/>
                <w:highlight w:val="black"/>
              </w:rPr>
              <w:t>''''''''''''''''''</w:t>
            </w:r>
          </w:p>
        </w:tc>
        <w:tc>
          <w:tcPr>
            <w:tcW w:w="647" w:type="pct"/>
            <w:shd w:val="clear" w:color="auto" w:fill="auto"/>
          </w:tcPr>
          <w:p w:rsidR="00E22F6D" w:rsidRPr="00060B8C" w:rsidRDefault="00060B8C" w:rsidP="009D567E">
            <w:pPr>
              <w:pStyle w:val="Tabletext"/>
              <w:jc w:val="center"/>
              <w:rPr>
                <w:bCs/>
                <w:color w:val="000000"/>
                <w:highlight w:val="black"/>
              </w:rPr>
            </w:pPr>
            <w:r>
              <w:rPr>
                <w:i/>
                <w:noProof/>
                <w:color w:val="000000"/>
                <w:highlight w:val="black"/>
              </w:rPr>
              <w:t>'''''''''''''''''</w:t>
            </w:r>
          </w:p>
        </w:tc>
        <w:tc>
          <w:tcPr>
            <w:tcW w:w="646" w:type="pct"/>
          </w:tcPr>
          <w:p w:rsidR="00E22F6D" w:rsidRPr="00060B8C" w:rsidRDefault="00060B8C" w:rsidP="009D567E">
            <w:pPr>
              <w:pStyle w:val="Tabletext"/>
              <w:jc w:val="center"/>
              <w:rPr>
                <w:bCs/>
                <w:color w:val="000000"/>
                <w:highlight w:val="black"/>
              </w:rPr>
            </w:pPr>
            <w:r>
              <w:rPr>
                <w:i/>
                <w:noProof/>
                <w:color w:val="000000"/>
                <w:highlight w:val="black"/>
              </w:rPr>
              <w:t>''''''''''''''''''''</w:t>
            </w:r>
          </w:p>
        </w:tc>
      </w:tr>
      <w:tr w:rsidR="00E22F6D" w:rsidRPr="00D1078F" w:rsidTr="009D567E">
        <w:tc>
          <w:tcPr>
            <w:tcW w:w="5000" w:type="pct"/>
            <w:gridSpan w:val="7"/>
            <w:shd w:val="clear" w:color="auto" w:fill="auto"/>
            <w:vAlign w:val="center"/>
          </w:tcPr>
          <w:p w:rsidR="00E22F6D" w:rsidRPr="00D1078F" w:rsidRDefault="00E22F6D" w:rsidP="009D567E">
            <w:pPr>
              <w:pStyle w:val="Tabletext"/>
              <w:rPr>
                <w:b/>
                <w:bCs/>
                <w:color w:val="000000"/>
              </w:rPr>
            </w:pPr>
            <w:r w:rsidRPr="00D1078F">
              <w:rPr>
                <w:b/>
                <w:bCs/>
                <w:color w:val="000000"/>
              </w:rPr>
              <w:t xml:space="preserve">Estimated </w:t>
            </w:r>
            <w:r>
              <w:rPr>
                <w:b/>
                <w:bCs/>
                <w:color w:val="000000"/>
              </w:rPr>
              <w:t>financial implications of the FDC of tramadol 37.5 mg/paracetamol 325 mg</w:t>
            </w:r>
          </w:p>
        </w:tc>
      </w:tr>
      <w:tr w:rsidR="00E22F6D" w:rsidRPr="003639A6" w:rsidTr="009D567E">
        <w:tc>
          <w:tcPr>
            <w:tcW w:w="1119" w:type="pct"/>
            <w:shd w:val="clear" w:color="auto" w:fill="auto"/>
            <w:vAlign w:val="center"/>
          </w:tcPr>
          <w:p w:rsidR="00E22F6D" w:rsidRPr="003639A6" w:rsidRDefault="00E22F6D" w:rsidP="009D567E">
            <w:pPr>
              <w:pStyle w:val="Tabletext"/>
              <w:rPr>
                <w:rFonts w:ascii="Times" w:hAnsi="Times"/>
              </w:rPr>
            </w:pPr>
            <w:r>
              <w:rPr>
                <w:sz w:val="19"/>
                <w:szCs w:val="19"/>
              </w:rPr>
              <w:t>C</w:t>
            </w:r>
            <w:r w:rsidRPr="003639A6">
              <w:rPr>
                <w:sz w:val="19"/>
                <w:szCs w:val="19"/>
              </w:rPr>
              <w:t>ost to PBS/RPBS</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6" w:type="pct"/>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r>
      <w:tr w:rsidR="00E22F6D" w:rsidRPr="003639A6" w:rsidTr="009D567E">
        <w:tc>
          <w:tcPr>
            <w:tcW w:w="1119" w:type="pct"/>
            <w:shd w:val="clear" w:color="auto" w:fill="auto"/>
            <w:vAlign w:val="center"/>
          </w:tcPr>
          <w:p w:rsidR="00E22F6D" w:rsidRDefault="00E22F6D" w:rsidP="009D567E">
            <w:pPr>
              <w:pStyle w:val="Tabletext"/>
              <w:rPr>
                <w:sz w:val="19"/>
                <w:szCs w:val="19"/>
              </w:rPr>
            </w:pPr>
            <w:proofErr w:type="spellStart"/>
            <w:r>
              <w:rPr>
                <w:sz w:val="19"/>
                <w:szCs w:val="19"/>
              </w:rPr>
              <w:t>Copayments</w:t>
            </w:r>
            <w:proofErr w:type="spellEnd"/>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6" w:type="pct"/>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r>
      <w:tr w:rsidR="00E22F6D" w:rsidRPr="003639A6" w:rsidTr="009D567E">
        <w:tc>
          <w:tcPr>
            <w:tcW w:w="1119" w:type="pct"/>
            <w:shd w:val="clear" w:color="auto" w:fill="auto"/>
            <w:vAlign w:val="center"/>
          </w:tcPr>
          <w:p w:rsidR="00E22F6D" w:rsidRDefault="00E22F6D" w:rsidP="009D567E">
            <w:pPr>
              <w:pStyle w:val="Tabletext"/>
              <w:rPr>
                <w:sz w:val="19"/>
                <w:szCs w:val="19"/>
              </w:rPr>
            </w:pPr>
            <w:r>
              <w:rPr>
                <w:sz w:val="19"/>
                <w:szCs w:val="19"/>
              </w:rPr>
              <w:t xml:space="preserve">Cost to PBS/RPBS less </w:t>
            </w:r>
            <w:proofErr w:type="spellStart"/>
            <w:r>
              <w:rPr>
                <w:sz w:val="19"/>
                <w:szCs w:val="19"/>
              </w:rPr>
              <w:t>copayments</w:t>
            </w:r>
            <w:proofErr w:type="spellEnd"/>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c>
          <w:tcPr>
            <w:tcW w:w="646" w:type="pct"/>
          </w:tcPr>
          <w:p w:rsidR="00E22F6D" w:rsidRPr="003639A6" w:rsidRDefault="00E22F6D" w:rsidP="009D567E">
            <w:pPr>
              <w:pStyle w:val="Tabletext"/>
              <w:jc w:val="center"/>
              <w:rPr>
                <w:bCs/>
                <w:color w:val="000000"/>
              </w:rPr>
            </w:pPr>
            <w:r w:rsidRPr="008E7BD7">
              <w:rPr>
                <w:i/>
              </w:rPr>
              <w:t>$</w:t>
            </w:r>
            <w:r w:rsidR="00060B8C">
              <w:rPr>
                <w:i/>
                <w:noProof/>
                <w:color w:val="000000"/>
                <w:highlight w:val="black"/>
              </w:rPr>
              <w:t>''''''''''''''''''''''''</w:t>
            </w:r>
          </w:p>
        </w:tc>
      </w:tr>
      <w:tr w:rsidR="00E22F6D" w:rsidRPr="003639A6" w:rsidTr="009D567E">
        <w:tc>
          <w:tcPr>
            <w:tcW w:w="5000" w:type="pct"/>
            <w:gridSpan w:val="7"/>
            <w:shd w:val="clear" w:color="auto" w:fill="auto"/>
            <w:vAlign w:val="center"/>
          </w:tcPr>
          <w:p w:rsidR="00E22F6D" w:rsidRPr="003639A6" w:rsidRDefault="00E22F6D" w:rsidP="009D567E">
            <w:pPr>
              <w:pStyle w:val="Tabletext"/>
              <w:rPr>
                <w:bCs/>
                <w:color w:val="000000"/>
              </w:rPr>
            </w:pPr>
            <w:r w:rsidRPr="00D1078F">
              <w:rPr>
                <w:b/>
                <w:bCs/>
                <w:color w:val="000000"/>
              </w:rPr>
              <w:t xml:space="preserve">Estimated </w:t>
            </w:r>
            <w:r>
              <w:rPr>
                <w:b/>
                <w:bCs/>
                <w:color w:val="000000"/>
              </w:rPr>
              <w:t xml:space="preserve">financial implications for </w:t>
            </w:r>
            <w:r w:rsidRPr="006B5B04">
              <w:rPr>
                <w:b/>
                <w:bCs/>
                <w:color w:val="000000"/>
              </w:rPr>
              <w:t>Tramadol 50 mg IR, FDC paracetamol/codeine</w:t>
            </w:r>
          </w:p>
        </w:tc>
      </w:tr>
      <w:tr w:rsidR="00E22F6D" w:rsidRPr="003639A6" w:rsidTr="009D567E">
        <w:tc>
          <w:tcPr>
            <w:tcW w:w="1119" w:type="pct"/>
            <w:shd w:val="clear" w:color="auto" w:fill="auto"/>
            <w:vAlign w:val="center"/>
          </w:tcPr>
          <w:p w:rsidR="00E22F6D" w:rsidRDefault="00E22F6D" w:rsidP="009D567E">
            <w:pPr>
              <w:pStyle w:val="Tabletext"/>
              <w:rPr>
                <w:sz w:val="19"/>
                <w:szCs w:val="19"/>
              </w:rPr>
            </w:pPr>
            <w:r>
              <w:rPr>
                <w:sz w:val="19"/>
                <w:szCs w:val="19"/>
              </w:rPr>
              <w:t>C</w:t>
            </w:r>
            <w:r w:rsidRPr="003639A6">
              <w:rPr>
                <w:sz w:val="19"/>
                <w:szCs w:val="19"/>
              </w:rPr>
              <w:t>ost to PBS/RPBS</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6" w:type="pct"/>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r>
      <w:tr w:rsidR="00E22F6D" w:rsidRPr="003639A6" w:rsidTr="009D567E">
        <w:tc>
          <w:tcPr>
            <w:tcW w:w="1119" w:type="pct"/>
            <w:shd w:val="clear" w:color="auto" w:fill="auto"/>
            <w:vAlign w:val="center"/>
          </w:tcPr>
          <w:p w:rsidR="00E22F6D" w:rsidRDefault="00E22F6D" w:rsidP="009D567E">
            <w:pPr>
              <w:pStyle w:val="Tabletext"/>
              <w:rPr>
                <w:sz w:val="19"/>
                <w:szCs w:val="19"/>
              </w:rPr>
            </w:pPr>
            <w:proofErr w:type="spellStart"/>
            <w:r>
              <w:rPr>
                <w:sz w:val="19"/>
                <w:szCs w:val="19"/>
              </w:rPr>
              <w:t>Copayments</w:t>
            </w:r>
            <w:proofErr w:type="spellEnd"/>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6" w:type="pct"/>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r>
      <w:tr w:rsidR="00E22F6D" w:rsidRPr="003639A6" w:rsidTr="009D567E">
        <w:tc>
          <w:tcPr>
            <w:tcW w:w="1119" w:type="pct"/>
            <w:shd w:val="clear" w:color="auto" w:fill="auto"/>
            <w:vAlign w:val="center"/>
          </w:tcPr>
          <w:p w:rsidR="00E22F6D" w:rsidRDefault="00E22F6D" w:rsidP="009D567E">
            <w:pPr>
              <w:pStyle w:val="Tabletext"/>
              <w:rPr>
                <w:sz w:val="19"/>
                <w:szCs w:val="19"/>
              </w:rPr>
            </w:pPr>
            <w:r>
              <w:rPr>
                <w:sz w:val="19"/>
                <w:szCs w:val="19"/>
              </w:rPr>
              <w:t xml:space="preserve">Cost to PBS/RPBS less </w:t>
            </w:r>
            <w:proofErr w:type="spellStart"/>
            <w:r>
              <w:rPr>
                <w:sz w:val="19"/>
                <w:szCs w:val="19"/>
              </w:rPr>
              <w:t>copayments</w:t>
            </w:r>
            <w:proofErr w:type="spellEnd"/>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6" w:type="pct"/>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r>
      <w:tr w:rsidR="00E22F6D" w:rsidRPr="00FC22AB" w:rsidTr="009D567E">
        <w:tc>
          <w:tcPr>
            <w:tcW w:w="5000" w:type="pct"/>
            <w:gridSpan w:val="7"/>
            <w:shd w:val="clear" w:color="auto" w:fill="auto"/>
            <w:vAlign w:val="center"/>
          </w:tcPr>
          <w:p w:rsidR="00E22F6D" w:rsidRPr="00FC22AB" w:rsidRDefault="00E22F6D" w:rsidP="009D567E">
            <w:pPr>
              <w:pStyle w:val="Tabletext"/>
              <w:rPr>
                <w:b/>
                <w:bCs/>
                <w:color w:val="000000"/>
              </w:rPr>
            </w:pPr>
            <w:r w:rsidRPr="00FC22AB">
              <w:rPr>
                <w:b/>
                <w:bCs/>
                <w:color w:val="000000"/>
              </w:rPr>
              <w:t>Net financial implications</w:t>
            </w:r>
          </w:p>
        </w:tc>
      </w:tr>
      <w:tr w:rsidR="00E22F6D" w:rsidRPr="003639A6" w:rsidTr="009D567E">
        <w:tc>
          <w:tcPr>
            <w:tcW w:w="1119" w:type="pct"/>
            <w:shd w:val="clear" w:color="auto" w:fill="auto"/>
            <w:vAlign w:val="center"/>
          </w:tcPr>
          <w:p w:rsidR="00E22F6D" w:rsidRDefault="00E22F6D" w:rsidP="009D567E">
            <w:pPr>
              <w:pStyle w:val="Tabletext"/>
              <w:rPr>
                <w:sz w:val="19"/>
                <w:szCs w:val="19"/>
              </w:rPr>
            </w:pPr>
            <w:r>
              <w:rPr>
                <w:sz w:val="19"/>
                <w:szCs w:val="19"/>
              </w:rPr>
              <w:t>Net cost to PBS/RPBS</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c>
          <w:tcPr>
            <w:tcW w:w="646" w:type="pct"/>
          </w:tcPr>
          <w:p w:rsidR="00E22F6D" w:rsidRPr="003639A6" w:rsidRDefault="00E22F6D" w:rsidP="009D567E">
            <w:pPr>
              <w:pStyle w:val="Tabletext"/>
              <w:jc w:val="center"/>
              <w:rPr>
                <w:bCs/>
                <w:color w:val="000000"/>
              </w:rPr>
            </w:pPr>
            <w:r w:rsidRPr="004E78CB">
              <w:rPr>
                <w:i/>
              </w:rPr>
              <w:t>-$</w:t>
            </w:r>
            <w:r w:rsidR="00060B8C">
              <w:rPr>
                <w:i/>
                <w:noProof/>
                <w:color w:val="000000"/>
                <w:highlight w:val="black"/>
              </w:rPr>
              <w:t>'''''''''''''''''''</w:t>
            </w:r>
          </w:p>
        </w:tc>
      </w:tr>
      <w:tr w:rsidR="00E22F6D" w:rsidRPr="003639A6" w:rsidTr="009D567E">
        <w:tc>
          <w:tcPr>
            <w:tcW w:w="1119" w:type="pct"/>
            <w:shd w:val="clear" w:color="auto" w:fill="auto"/>
            <w:vAlign w:val="center"/>
          </w:tcPr>
          <w:p w:rsidR="00E22F6D" w:rsidRPr="003639A6" w:rsidRDefault="00E22F6D" w:rsidP="009D567E">
            <w:pPr>
              <w:pStyle w:val="Tabletext"/>
              <w:rPr>
                <w:rFonts w:ascii="Times" w:hAnsi="Times"/>
              </w:rPr>
            </w:pPr>
            <w:r>
              <w:rPr>
                <w:sz w:val="19"/>
                <w:szCs w:val="19"/>
              </w:rPr>
              <w:t>Net cost to</w:t>
            </w:r>
            <w:r w:rsidRPr="003639A6">
              <w:rPr>
                <w:sz w:val="19"/>
                <w:szCs w:val="19"/>
              </w:rPr>
              <w:t xml:space="preserve"> MBS</w:t>
            </w:r>
          </w:p>
        </w:tc>
        <w:tc>
          <w:tcPr>
            <w:tcW w:w="647" w:type="pct"/>
            <w:shd w:val="clear" w:color="auto" w:fill="auto"/>
          </w:tcPr>
          <w:p w:rsidR="00E22F6D" w:rsidRPr="003639A6" w:rsidRDefault="00E22F6D" w:rsidP="009D567E">
            <w:pPr>
              <w:pStyle w:val="Tabletext"/>
              <w:jc w:val="center"/>
              <w:rPr>
                <w:bCs/>
                <w:color w:val="000000"/>
              </w:rPr>
            </w:pPr>
            <w:r w:rsidRPr="00AD4E8F">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AD4E8F">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AD4E8F">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AD4E8F">
              <w:rPr>
                <w:i/>
              </w:rPr>
              <w:t>-$</w:t>
            </w:r>
            <w:r w:rsidR="00060B8C">
              <w:rPr>
                <w:i/>
                <w:noProof/>
                <w:color w:val="000000"/>
                <w:highlight w:val="black"/>
              </w:rPr>
              <w:t>'''''''''''''''''''</w:t>
            </w:r>
          </w:p>
        </w:tc>
        <w:tc>
          <w:tcPr>
            <w:tcW w:w="647" w:type="pct"/>
            <w:shd w:val="clear" w:color="auto" w:fill="auto"/>
          </w:tcPr>
          <w:p w:rsidR="00E22F6D" w:rsidRPr="003639A6" w:rsidRDefault="00E22F6D" w:rsidP="009D567E">
            <w:pPr>
              <w:pStyle w:val="Tabletext"/>
              <w:jc w:val="center"/>
              <w:rPr>
                <w:bCs/>
                <w:color w:val="000000"/>
              </w:rPr>
            </w:pPr>
            <w:r w:rsidRPr="00AD4E8F">
              <w:rPr>
                <w:i/>
              </w:rPr>
              <w:t>-$</w:t>
            </w:r>
            <w:r w:rsidR="00060B8C">
              <w:rPr>
                <w:i/>
                <w:noProof/>
                <w:color w:val="000000"/>
                <w:highlight w:val="black"/>
              </w:rPr>
              <w:t>''''''''''''''''''''</w:t>
            </w:r>
          </w:p>
        </w:tc>
        <w:tc>
          <w:tcPr>
            <w:tcW w:w="646" w:type="pct"/>
          </w:tcPr>
          <w:p w:rsidR="00E22F6D" w:rsidRPr="003639A6" w:rsidRDefault="00E22F6D" w:rsidP="009D567E">
            <w:pPr>
              <w:pStyle w:val="Tabletext"/>
              <w:jc w:val="center"/>
              <w:rPr>
                <w:bCs/>
                <w:color w:val="000000"/>
              </w:rPr>
            </w:pPr>
            <w:r w:rsidRPr="00AD4E8F">
              <w:rPr>
                <w:i/>
              </w:rPr>
              <w:t>-$</w:t>
            </w:r>
            <w:r w:rsidR="00060B8C">
              <w:rPr>
                <w:i/>
                <w:noProof/>
                <w:color w:val="000000"/>
                <w:highlight w:val="black"/>
              </w:rPr>
              <w:t>'''''''''''''''''''''</w:t>
            </w:r>
          </w:p>
        </w:tc>
      </w:tr>
      <w:tr w:rsidR="00E22F6D" w:rsidRPr="003639A6" w:rsidTr="009D567E">
        <w:tc>
          <w:tcPr>
            <w:tcW w:w="1119" w:type="pct"/>
            <w:shd w:val="clear" w:color="auto" w:fill="auto"/>
            <w:vAlign w:val="center"/>
          </w:tcPr>
          <w:p w:rsidR="00E22F6D" w:rsidRPr="003639A6" w:rsidRDefault="00E22F6D" w:rsidP="009D567E">
            <w:pPr>
              <w:pStyle w:val="Tabletext"/>
              <w:rPr>
                <w:sz w:val="19"/>
                <w:szCs w:val="19"/>
              </w:rPr>
            </w:pPr>
            <w:r>
              <w:rPr>
                <w:sz w:val="19"/>
                <w:szCs w:val="19"/>
              </w:rPr>
              <w:t>Net cost to Government (PBS/RPBS/MBS)</w:t>
            </w:r>
          </w:p>
        </w:tc>
        <w:tc>
          <w:tcPr>
            <w:tcW w:w="647" w:type="pct"/>
            <w:shd w:val="clear" w:color="auto" w:fill="auto"/>
          </w:tcPr>
          <w:p w:rsidR="00E22F6D" w:rsidRPr="001F12CD" w:rsidRDefault="00E22F6D" w:rsidP="009D567E">
            <w:pPr>
              <w:pStyle w:val="Tabletext"/>
              <w:jc w:val="center"/>
              <w:rPr>
                <w:bCs/>
                <w:i/>
                <w:color w:val="000000"/>
              </w:rPr>
            </w:pPr>
            <w:r w:rsidRPr="001F12CD">
              <w:rPr>
                <w:i/>
              </w:rPr>
              <w:t>-$</w:t>
            </w:r>
            <w:r w:rsidR="00060B8C">
              <w:rPr>
                <w:i/>
                <w:noProof/>
                <w:color w:val="000000"/>
                <w:highlight w:val="black"/>
              </w:rPr>
              <w:t>''''''''''''''''''''</w:t>
            </w:r>
          </w:p>
        </w:tc>
        <w:tc>
          <w:tcPr>
            <w:tcW w:w="647" w:type="pct"/>
            <w:shd w:val="clear" w:color="auto" w:fill="auto"/>
          </w:tcPr>
          <w:p w:rsidR="00E22F6D" w:rsidRPr="001F12CD" w:rsidRDefault="00E22F6D" w:rsidP="009D567E">
            <w:pPr>
              <w:pStyle w:val="Tabletext"/>
              <w:jc w:val="center"/>
              <w:rPr>
                <w:bCs/>
                <w:i/>
                <w:color w:val="000000"/>
              </w:rPr>
            </w:pPr>
            <w:r w:rsidRPr="001F12CD">
              <w:rPr>
                <w:i/>
              </w:rPr>
              <w:t>-$</w:t>
            </w:r>
            <w:r w:rsidR="00060B8C">
              <w:rPr>
                <w:i/>
                <w:noProof/>
                <w:color w:val="000000"/>
                <w:highlight w:val="black"/>
              </w:rPr>
              <w:t>'''''''''''''''''''''</w:t>
            </w:r>
          </w:p>
        </w:tc>
        <w:tc>
          <w:tcPr>
            <w:tcW w:w="647" w:type="pct"/>
            <w:shd w:val="clear" w:color="auto" w:fill="auto"/>
          </w:tcPr>
          <w:p w:rsidR="00E22F6D" w:rsidRPr="001F12CD" w:rsidRDefault="00E22F6D" w:rsidP="009D567E">
            <w:pPr>
              <w:pStyle w:val="Tabletext"/>
              <w:jc w:val="center"/>
              <w:rPr>
                <w:bCs/>
                <w:i/>
                <w:color w:val="000000"/>
              </w:rPr>
            </w:pPr>
            <w:r w:rsidRPr="001F12CD">
              <w:rPr>
                <w:i/>
              </w:rPr>
              <w:t>-$</w:t>
            </w:r>
            <w:r w:rsidR="00060B8C">
              <w:rPr>
                <w:i/>
                <w:noProof/>
                <w:color w:val="000000"/>
                <w:highlight w:val="black"/>
              </w:rPr>
              <w:t>''''''''''''''''''</w:t>
            </w:r>
          </w:p>
        </w:tc>
        <w:tc>
          <w:tcPr>
            <w:tcW w:w="647" w:type="pct"/>
            <w:shd w:val="clear" w:color="auto" w:fill="auto"/>
          </w:tcPr>
          <w:p w:rsidR="00E22F6D" w:rsidRPr="001F12CD" w:rsidRDefault="00E22F6D" w:rsidP="009D567E">
            <w:pPr>
              <w:pStyle w:val="Tabletext"/>
              <w:jc w:val="center"/>
              <w:rPr>
                <w:bCs/>
                <w:i/>
                <w:color w:val="000000"/>
              </w:rPr>
            </w:pPr>
            <w:r w:rsidRPr="001F12CD">
              <w:rPr>
                <w:i/>
              </w:rPr>
              <w:t>-$</w:t>
            </w:r>
            <w:r w:rsidR="00060B8C">
              <w:rPr>
                <w:i/>
                <w:noProof/>
                <w:color w:val="000000"/>
                <w:highlight w:val="black"/>
              </w:rPr>
              <w:t>'''''''''''''''''''''''</w:t>
            </w:r>
          </w:p>
        </w:tc>
        <w:tc>
          <w:tcPr>
            <w:tcW w:w="647" w:type="pct"/>
            <w:shd w:val="clear" w:color="auto" w:fill="auto"/>
          </w:tcPr>
          <w:p w:rsidR="00E22F6D" w:rsidRPr="001F12CD" w:rsidRDefault="00E22F6D" w:rsidP="009D567E">
            <w:pPr>
              <w:pStyle w:val="Tabletext"/>
              <w:jc w:val="center"/>
              <w:rPr>
                <w:bCs/>
                <w:i/>
                <w:color w:val="000000"/>
              </w:rPr>
            </w:pPr>
            <w:r w:rsidRPr="001F12CD">
              <w:rPr>
                <w:i/>
              </w:rPr>
              <w:t>-$</w:t>
            </w:r>
            <w:r w:rsidR="00060B8C">
              <w:rPr>
                <w:i/>
                <w:noProof/>
                <w:color w:val="000000"/>
                <w:highlight w:val="black"/>
              </w:rPr>
              <w:t>''''''''''''''''''''''</w:t>
            </w:r>
          </w:p>
        </w:tc>
        <w:tc>
          <w:tcPr>
            <w:tcW w:w="646" w:type="pct"/>
          </w:tcPr>
          <w:p w:rsidR="00E22F6D" w:rsidRPr="001F12CD" w:rsidRDefault="00E22F6D" w:rsidP="009D567E">
            <w:pPr>
              <w:pStyle w:val="Tabletext"/>
              <w:jc w:val="center"/>
              <w:rPr>
                <w:bCs/>
                <w:i/>
                <w:color w:val="000000"/>
              </w:rPr>
            </w:pPr>
            <w:r w:rsidRPr="001F12CD">
              <w:rPr>
                <w:i/>
              </w:rPr>
              <w:t>-$</w:t>
            </w:r>
            <w:r w:rsidR="00060B8C">
              <w:rPr>
                <w:i/>
                <w:noProof/>
                <w:color w:val="000000"/>
                <w:highlight w:val="black"/>
              </w:rPr>
              <w:t>'''''''''''''''''''''''''</w:t>
            </w:r>
          </w:p>
        </w:tc>
      </w:tr>
    </w:tbl>
    <w:p w:rsidR="00E22F6D" w:rsidRDefault="00E22F6D" w:rsidP="00E22F6D">
      <w:pPr>
        <w:pStyle w:val="TableFooter"/>
        <w:tabs>
          <w:tab w:val="left" w:pos="142"/>
        </w:tabs>
      </w:pPr>
      <w:proofErr w:type="spellStart"/>
      <w:proofErr w:type="gramStart"/>
      <w:r w:rsidRPr="003639A6">
        <w:rPr>
          <w:vertAlign w:val="superscript"/>
        </w:rPr>
        <w:t>a</w:t>
      </w:r>
      <w:proofErr w:type="spellEnd"/>
      <w:proofErr w:type="gramEnd"/>
      <w:r>
        <w:tab/>
      </w:r>
      <w:r w:rsidRPr="003639A6">
        <w:t xml:space="preserve">Assuming number of </w:t>
      </w:r>
      <w:r>
        <w:t>scripts</w:t>
      </w:r>
      <w:r w:rsidRPr="003639A6">
        <w:t xml:space="preserve"> </w:t>
      </w:r>
      <w:r>
        <w:t>dispensed</w:t>
      </w:r>
      <w:r w:rsidRPr="003639A6">
        <w:t xml:space="preserve"> as estimated by the submission.</w:t>
      </w:r>
    </w:p>
    <w:p w:rsidR="00E22F6D" w:rsidRDefault="00E22F6D" w:rsidP="00E22F6D">
      <w:pPr>
        <w:pStyle w:val="TableFooter"/>
      </w:pPr>
      <w:r>
        <w:t xml:space="preserve">Source: </w:t>
      </w:r>
      <w:r w:rsidRPr="005C66D1">
        <w:t>Table 4-9 p253</w:t>
      </w:r>
      <w:r>
        <w:t>,</w:t>
      </w:r>
      <w:r w:rsidRPr="005C66D1">
        <w:t xml:space="preserve"> </w:t>
      </w:r>
      <w:r w:rsidRPr="00AD4E8F">
        <w:t>Table 4-10 p255</w:t>
      </w:r>
      <w:r>
        <w:t>,</w:t>
      </w:r>
      <w:r w:rsidRPr="00AD4E8F">
        <w:t xml:space="preserve"> </w:t>
      </w:r>
      <w:r>
        <w:t xml:space="preserve">Table 4-12 p257, </w:t>
      </w:r>
      <w:r w:rsidRPr="00AD6403">
        <w:t xml:space="preserve">Table </w:t>
      </w:r>
      <w:r>
        <w:t xml:space="preserve">4-13 p260 of the submission; </w:t>
      </w:r>
    </w:p>
    <w:p w:rsidR="00E22F6D" w:rsidRDefault="00E22F6D" w:rsidP="00E22F6D">
      <w:pPr>
        <w:pStyle w:val="TableFooter"/>
        <w:rPr>
          <w:i/>
        </w:rPr>
      </w:pPr>
      <w:r>
        <w:t>Note:</w:t>
      </w:r>
      <w:r w:rsidRPr="00256FF3">
        <w:rPr>
          <w:vertAlign w:val="superscript"/>
        </w:rPr>
        <w:t xml:space="preserve"> </w:t>
      </w:r>
      <w:proofErr w:type="gramStart"/>
      <w:r w:rsidRPr="00256FF3">
        <w:rPr>
          <w:vertAlign w:val="superscript"/>
        </w:rPr>
        <w:t>a</w:t>
      </w:r>
      <w:r>
        <w:t xml:space="preserve"> </w:t>
      </w:r>
      <w:r w:rsidRPr="0071788F">
        <w:rPr>
          <w:i/>
        </w:rPr>
        <w:t>Figures</w:t>
      </w:r>
      <w:proofErr w:type="gramEnd"/>
      <w:r w:rsidRPr="0071788F">
        <w:rPr>
          <w:i/>
        </w:rPr>
        <w:t xml:space="preserve"> in </w:t>
      </w:r>
      <w:r>
        <w:rPr>
          <w:i/>
        </w:rPr>
        <w:t>base case</w:t>
      </w:r>
      <w:r w:rsidRPr="0071788F">
        <w:rPr>
          <w:i/>
        </w:rPr>
        <w:t xml:space="preserve"> have been updated with changes to cells specified in Table 4.1.1</w:t>
      </w:r>
      <w:r>
        <w:rPr>
          <w:i/>
        </w:rPr>
        <w:t xml:space="preserve"> of the Commentary. </w:t>
      </w:r>
    </w:p>
    <w:p w:rsidR="003A6228" w:rsidRDefault="003A6228" w:rsidP="00E22F6D">
      <w:pPr>
        <w:pStyle w:val="TableFooter"/>
        <w:rPr>
          <w:i/>
        </w:rPr>
      </w:pPr>
    </w:p>
    <w:p w:rsidR="003A6228" w:rsidRDefault="000233B4" w:rsidP="00E22F6D">
      <w:pPr>
        <w:pStyle w:val="TableFooter"/>
        <w:rPr>
          <w:rStyle w:val="CommentReference"/>
        </w:rPr>
      </w:pPr>
      <w:r w:rsidRPr="000233B4">
        <w:rPr>
          <w:rFonts w:asciiTheme="minorHAnsi" w:hAnsiTheme="minorHAnsi"/>
          <w:sz w:val="24"/>
          <w:szCs w:val="24"/>
        </w:rPr>
        <w:t>The red</w:t>
      </w:r>
      <w:r>
        <w:rPr>
          <w:rFonts w:asciiTheme="minorHAnsi" w:hAnsiTheme="minorHAnsi"/>
          <w:sz w:val="24"/>
          <w:szCs w:val="24"/>
        </w:rPr>
        <w:t>acted table shows that at year 6</w:t>
      </w:r>
      <w:r w:rsidRPr="000233B4">
        <w:rPr>
          <w:rFonts w:asciiTheme="minorHAnsi" w:hAnsiTheme="minorHAnsi"/>
          <w:sz w:val="24"/>
          <w:szCs w:val="24"/>
        </w:rPr>
        <w:t xml:space="preserve">, the estimated number of </w:t>
      </w:r>
      <w:r>
        <w:rPr>
          <w:rFonts w:asciiTheme="minorHAnsi" w:hAnsiTheme="minorHAnsi"/>
          <w:sz w:val="24"/>
          <w:szCs w:val="24"/>
        </w:rPr>
        <w:t>scripts</w:t>
      </w:r>
      <w:r w:rsidRPr="000233B4">
        <w:rPr>
          <w:rFonts w:asciiTheme="minorHAnsi" w:hAnsiTheme="minorHAnsi"/>
          <w:sz w:val="24"/>
          <w:szCs w:val="24"/>
        </w:rPr>
        <w:t xml:space="preserve"> was </w:t>
      </w:r>
      <w:r>
        <w:rPr>
          <w:rFonts w:asciiTheme="minorHAnsi" w:hAnsiTheme="minorHAnsi"/>
          <w:sz w:val="24"/>
          <w:szCs w:val="24"/>
        </w:rPr>
        <w:t>100,000 -200,000</w:t>
      </w:r>
      <w:r w:rsidRPr="000233B4">
        <w:rPr>
          <w:rFonts w:asciiTheme="minorHAnsi" w:hAnsiTheme="minorHAnsi"/>
          <w:sz w:val="24"/>
          <w:szCs w:val="24"/>
        </w:rPr>
        <w:t xml:space="preserve"> and the net </w:t>
      </w:r>
      <w:r>
        <w:rPr>
          <w:rFonts w:asciiTheme="minorHAnsi" w:hAnsiTheme="minorHAnsi"/>
          <w:sz w:val="24"/>
          <w:szCs w:val="24"/>
        </w:rPr>
        <w:t>saving</w:t>
      </w:r>
      <w:r w:rsidRPr="000233B4">
        <w:rPr>
          <w:rFonts w:asciiTheme="minorHAnsi" w:hAnsiTheme="minorHAnsi"/>
          <w:sz w:val="24"/>
          <w:szCs w:val="24"/>
        </w:rPr>
        <w:t xml:space="preserve"> to the PBS would be </w:t>
      </w:r>
      <w:r>
        <w:rPr>
          <w:rFonts w:asciiTheme="minorHAnsi" w:hAnsiTheme="minorHAnsi"/>
          <w:sz w:val="24"/>
          <w:szCs w:val="24"/>
        </w:rPr>
        <w:t>less than $10 million</w:t>
      </w:r>
      <w:r w:rsidRPr="000233B4">
        <w:rPr>
          <w:rFonts w:asciiTheme="minorHAnsi" w:hAnsiTheme="minorHAnsi"/>
          <w:sz w:val="24"/>
          <w:szCs w:val="24"/>
        </w:rPr>
        <w:t>.</w:t>
      </w:r>
    </w:p>
    <w:p w:rsidR="00E22F6D" w:rsidRDefault="00E22F6D" w:rsidP="00E22F6D">
      <w:pPr>
        <w:widowControl/>
      </w:pPr>
    </w:p>
    <w:p w:rsidR="00E22F6D" w:rsidRDefault="00E22F6D" w:rsidP="00E22F6D">
      <w:pPr>
        <w:pStyle w:val="ListParagraph"/>
        <w:numPr>
          <w:ilvl w:val="1"/>
          <w:numId w:val="1"/>
        </w:numPr>
      </w:pPr>
      <w:r w:rsidRPr="00E22F6D">
        <w:t xml:space="preserve">The submission assumed that there was substitution of one pack of the FDC for every two of the nominated comparator. This was the key driver of the estimated </w:t>
      </w:r>
      <w:r w:rsidRPr="00E22F6D">
        <w:lastRenderedPageBreak/>
        <w:t>cost-savings to the PBS. When script substitution is assumed to be one to one, the cost to the PBS increased from $</w:t>
      </w:r>
      <w:r w:rsidR="00060B8C">
        <w:rPr>
          <w:noProof/>
          <w:color w:val="000000"/>
          <w:highlight w:val="black"/>
        </w:rPr>
        <w:t>''''''''''''''</w:t>
      </w:r>
      <w:r w:rsidRPr="00E22F6D">
        <w:t xml:space="preserve"> in Year 1 to $</w:t>
      </w:r>
      <w:r w:rsidR="00060B8C">
        <w:rPr>
          <w:noProof/>
          <w:color w:val="000000"/>
          <w:highlight w:val="black"/>
        </w:rPr>
        <w:t>'''''''''''''''</w:t>
      </w:r>
      <w:r w:rsidRPr="00E22F6D">
        <w:t xml:space="preserve"> in Year 6. Similarly, when the extent of substitution for the FDC of paracetamol/codeine was increased (assumed to be </w:t>
      </w:r>
      <w:r w:rsidR="00060B8C">
        <w:rPr>
          <w:noProof/>
          <w:color w:val="000000"/>
          <w:highlight w:val="black"/>
        </w:rPr>
        <w:t>'''''</w:t>
      </w:r>
      <w:r w:rsidRPr="00E22F6D">
        <w:t>% in the base case), the savings to the PBS/RPBS were reduced.</w:t>
      </w:r>
    </w:p>
    <w:p w:rsidR="00807758" w:rsidRDefault="00807758" w:rsidP="00807758">
      <w:pPr>
        <w:pStyle w:val="ListParagraph"/>
        <w:numPr>
          <w:ilvl w:val="1"/>
          <w:numId w:val="1"/>
        </w:numPr>
      </w:pPr>
      <w:r>
        <w:t>The DUSC considered the estimates presented in the submission to be uncertain. The main issues were:</w:t>
      </w:r>
    </w:p>
    <w:p w:rsidR="00807758" w:rsidRDefault="00807758" w:rsidP="00807758">
      <w:pPr>
        <w:pStyle w:val="ListParagraph"/>
        <w:numPr>
          <w:ilvl w:val="0"/>
          <w:numId w:val="19"/>
        </w:numPr>
        <w:ind w:left="1134" w:hanging="357"/>
        <w:contextualSpacing/>
      </w:pPr>
      <w:r>
        <w:t>There is a high risk of use beyond the restriction in chronic pain.</w:t>
      </w:r>
    </w:p>
    <w:p w:rsidR="00807758" w:rsidRDefault="00807758" w:rsidP="00807758">
      <w:pPr>
        <w:pStyle w:val="ListParagraph"/>
        <w:numPr>
          <w:ilvl w:val="0"/>
          <w:numId w:val="19"/>
        </w:numPr>
        <w:ind w:left="1134" w:hanging="357"/>
        <w:contextualSpacing/>
      </w:pPr>
      <w:r>
        <w:t xml:space="preserve">Given the unknown impact that up-scheduling of codeine will have on the prescription analgesic </w:t>
      </w:r>
      <w:proofErr w:type="gramStart"/>
      <w:r>
        <w:t>market,</w:t>
      </w:r>
      <w:proofErr w:type="gramEnd"/>
      <w:r>
        <w:t xml:space="preserve"> the DUSC considered that a market share approach has inherent uncertainty.</w:t>
      </w:r>
    </w:p>
    <w:p w:rsidR="00807758" w:rsidRDefault="00807758" w:rsidP="00807758">
      <w:pPr>
        <w:pStyle w:val="ListParagraph"/>
        <w:numPr>
          <w:ilvl w:val="0"/>
          <w:numId w:val="19"/>
        </w:numPr>
        <w:ind w:left="1134" w:hanging="357"/>
        <w:contextualSpacing/>
      </w:pPr>
      <w:r>
        <w:t>The submission assumed that there was substitution of one pack of the FDC for every two of the nominated comparator in chronic pain. As this substitution ratio is not applicable in the acute pain situation, the estimates changed from a net save to a net cost.</w:t>
      </w:r>
    </w:p>
    <w:p w:rsidR="00E22F6D" w:rsidRPr="00F9602D" w:rsidRDefault="00807758" w:rsidP="00F9602D">
      <w:pPr>
        <w:pStyle w:val="ListParagraph"/>
        <w:numPr>
          <w:ilvl w:val="0"/>
          <w:numId w:val="19"/>
        </w:numPr>
        <w:ind w:left="1134" w:hanging="357"/>
        <w:contextualSpacing/>
      </w:pPr>
      <w:r>
        <w:t>The offsets claimed from a lower incidence of constipation and need for rescue medication, are not likely to be realised in acute pain.</w:t>
      </w:r>
    </w:p>
    <w:p w:rsidR="00576972" w:rsidRPr="0032125F" w:rsidRDefault="00576972" w:rsidP="00905D6A">
      <w:pPr>
        <w:pStyle w:val="KMC16-Heading2"/>
      </w:pPr>
      <w:bookmarkStart w:id="14" w:name="_Toc503971855"/>
      <w:r w:rsidRPr="0032125F">
        <w:t>Quality Use of Medicines</w:t>
      </w:r>
      <w:bookmarkEnd w:id="14"/>
    </w:p>
    <w:p w:rsidR="004969D5" w:rsidRPr="00A1465F" w:rsidRDefault="00C25C0F" w:rsidP="00E22F6D">
      <w:pPr>
        <w:pStyle w:val="ListParagraph"/>
        <w:numPr>
          <w:ilvl w:val="1"/>
          <w:numId w:val="1"/>
        </w:numPr>
        <w:spacing w:after="120"/>
      </w:pPr>
      <w:r w:rsidRPr="00A1465F">
        <w:t xml:space="preserve">No quality use of medicines information was provided in the submission. </w:t>
      </w:r>
      <w:r w:rsidR="00B42E69" w:rsidRPr="00A1465F">
        <w:t xml:space="preserve">The submission did not </w:t>
      </w:r>
      <w:r w:rsidR="001352DF">
        <w:t>assess</w:t>
      </w:r>
      <w:r w:rsidR="001352DF" w:rsidRPr="00A1465F">
        <w:t xml:space="preserve"> </w:t>
      </w:r>
      <w:r w:rsidR="00B42E69" w:rsidRPr="00A1465F">
        <w:t>the potential for abuse of the FDC compared with other formulations of tramadol available on the PBS</w:t>
      </w:r>
      <w:r w:rsidR="004969D5" w:rsidRPr="00A1465F">
        <w:t>, other than to state that there was less abuse potential associated with the FDC</w:t>
      </w:r>
      <w:r w:rsidR="00B42E69" w:rsidRPr="000C746A">
        <w:rPr>
          <w:szCs w:val="24"/>
        </w:rPr>
        <w:t>.</w:t>
      </w:r>
      <w:r w:rsidR="00805CD4" w:rsidRPr="00CF676C">
        <w:rPr>
          <w:szCs w:val="24"/>
        </w:rPr>
        <w:t xml:space="preserve"> </w:t>
      </w:r>
      <w:r w:rsidR="007E540C" w:rsidRPr="00CF676C">
        <w:rPr>
          <w:szCs w:val="24"/>
        </w:rPr>
        <w:t>The PSCR contended that due to the lower dosage of each component being dispensed in the FDC, additional QUM issues would not arise. The PSCR further stated that overuse of paracetamol would potentially decrease. The possible changes, such as reduced or increased opioid abuse if the FDC is listed on the PBS are unknown and not well described in the PSCR.</w:t>
      </w:r>
      <w:r w:rsidR="007E540C" w:rsidRPr="00CF676C">
        <w:rPr>
          <w:b/>
          <w:szCs w:val="24"/>
        </w:rPr>
        <w:t xml:space="preserve"> </w:t>
      </w:r>
      <w:r w:rsidR="00805CD4" w:rsidRPr="00CF676C">
        <w:rPr>
          <w:szCs w:val="24"/>
        </w:rPr>
        <w:t>The ESC w</w:t>
      </w:r>
      <w:r w:rsidR="00790E47" w:rsidRPr="00CF676C">
        <w:rPr>
          <w:szCs w:val="24"/>
        </w:rPr>
        <w:t>as</w:t>
      </w:r>
      <w:r w:rsidR="00805CD4" w:rsidRPr="00CF676C">
        <w:rPr>
          <w:szCs w:val="24"/>
        </w:rPr>
        <w:t xml:space="preserve"> concerned of the risk of additional paracetamol toxicity if the FDC was abused.</w:t>
      </w:r>
      <w:r w:rsidR="00687BA0">
        <w:rPr>
          <w:szCs w:val="24"/>
        </w:rPr>
        <w:t xml:space="preserve"> The PBAC agreed with ESC</w:t>
      </w:r>
      <w:r w:rsidR="00CF5AF8">
        <w:rPr>
          <w:szCs w:val="24"/>
        </w:rPr>
        <w:t xml:space="preserve"> advice</w:t>
      </w:r>
      <w:r w:rsidR="00687BA0">
        <w:rPr>
          <w:szCs w:val="24"/>
        </w:rPr>
        <w:t xml:space="preserve"> that the claim that there is less abuse potential associated with the FDC was not well-supported.</w:t>
      </w:r>
    </w:p>
    <w:p w:rsidR="00CB6A89" w:rsidRPr="00A1465F" w:rsidRDefault="00B42E69" w:rsidP="00E22F6D">
      <w:pPr>
        <w:pStyle w:val="ListParagraph"/>
        <w:numPr>
          <w:ilvl w:val="1"/>
          <w:numId w:val="1"/>
        </w:numPr>
        <w:spacing w:after="120"/>
      </w:pPr>
      <w:r w:rsidRPr="00A1465F">
        <w:t xml:space="preserve">The submission </w:t>
      </w:r>
      <w:r w:rsidR="00EA6DC6" w:rsidRPr="00A1465F">
        <w:t>did not</w:t>
      </w:r>
      <w:r w:rsidRPr="00A1465F">
        <w:t xml:space="preserve"> </w:t>
      </w:r>
      <w:r w:rsidR="00EA6DC6" w:rsidRPr="00A1465F">
        <w:t>present a QUM management plan on</w:t>
      </w:r>
      <w:r w:rsidRPr="00A1465F">
        <w:t xml:space="preserve"> educat</w:t>
      </w:r>
      <w:r w:rsidR="00EA6DC6" w:rsidRPr="00A1465F">
        <w:t>ing</w:t>
      </w:r>
      <w:r w:rsidRPr="00A1465F">
        <w:t xml:space="preserve"> patients and providers on appropriate treatment of acute and chronic pain</w:t>
      </w:r>
      <w:r w:rsidR="00C95039" w:rsidRPr="00A1465F">
        <w:t xml:space="preserve">. </w:t>
      </w:r>
      <w:r w:rsidR="00DA2070" w:rsidRPr="00A1465F">
        <w:t>The dosages administered to patients for the treatment of pain</w:t>
      </w:r>
      <w:r w:rsidR="00C95039" w:rsidRPr="00A1465F">
        <w:t xml:space="preserve"> are variable, as the PIs recommend drug administration to be taken as needed.</w:t>
      </w:r>
      <w:r w:rsidR="00892A9E">
        <w:t xml:space="preserve"> The ESC advised that </w:t>
      </w:r>
      <w:r w:rsidR="00CF5AF8">
        <w:t xml:space="preserve">a </w:t>
      </w:r>
      <w:r w:rsidR="00892A9E">
        <w:t xml:space="preserve">QUM management plan </w:t>
      </w:r>
      <w:r w:rsidR="00CF5AF8">
        <w:t xml:space="preserve">would be required and that it </w:t>
      </w:r>
      <w:r w:rsidR="00892A9E">
        <w:t>should also</w:t>
      </w:r>
      <w:r w:rsidR="002B2291">
        <w:t xml:space="preserve"> address the challenges of using multiple paracetamol containing formulations. </w:t>
      </w:r>
      <w:r w:rsidR="00FA0516">
        <w:t>The Pre-PBAC response noted that a number of activities will be undertaken by the sponsor to promote appropriate use and reduced misuse of the proposed FDC.</w:t>
      </w:r>
      <w:r w:rsidR="002B2291">
        <w:t xml:space="preserve"> </w:t>
      </w:r>
    </w:p>
    <w:p w:rsidR="00576972" w:rsidRDefault="00C95039" w:rsidP="00E22F6D">
      <w:pPr>
        <w:pStyle w:val="ListParagraph"/>
        <w:numPr>
          <w:ilvl w:val="1"/>
          <w:numId w:val="1"/>
        </w:numPr>
        <w:spacing w:after="120"/>
      </w:pPr>
      <w:r w:rsidRPr="00A1465F">
        <w:t xml:space="preserve">The submission has not </w:t>
      </w:r>
      <w:r w:rsidR="00CB6A89" w:rsidRPr="00A1465F">
        <w:t xml:space="preserve">discussed the </w:t>
      </w:r>
      <w:r w:rsidRPr="00A1465F">
        <w:t>QUM issues that arise from unused packs retained by patients following a course of treatment.</w:t>
      </w:r>
    </w:p>
    <w:p w:rsidR="007829BA" w:rsidRPr="00CF676C" w:rsidRDefault="000C746A" w:rsidP="00E22F6D">
      <w:pPr>
        <w:pStyle w:val="ListParagraph"/>
        <w:numPr>
          <w:ilvl w:val="1"/>
          <w:numId w:val="1"/>
        </w:numPr>
        <w:spacing w:after="120"/>
      </w:pPr>
      <w:r w:rsidRPr="00CF676C">
        <w:t xml:space="preserve">The </w:t>
      </w:r>
      <w:r w:rsidR="007E540C" w:rsidRPr="00CF676C">
        <w:t>ESC advised that t</w:t>
      </w:r>
      <w:r w:rsidR="007829BA" w:rsidRPr="00CF676C">
        <w:t xml:space="preserve">he risk of accidental paracetamol overdose from use of </w:t>
      </w:r>
      <w:r w:rsidR="007829BA" w:rsidRPr="00CF676C">
        <w:lastRenderedPageBreak/>
        <w:t xml:space="preserve">multiple paracetamol-containing formulations, including </w:t>
      </w:r>
      <w:r w:rsidR="00805CD4" w:rsidRPr="00CF676C">
        <w:t>‘</w:t>
      </w:r>
      <w:proofErr w:type="spellStart"/>
      <w:r w:rsidR="007829BA" w:rsidRPr="00CF676C">
        <w:t>Zaldiar</w:t>
      </w:r>
      <w:proofErr w:type="spellEnd"/>
      <w:r w:rsidR="00805CD4" w:rsidRPr="00CF676C">
        <w:t>’</w:t>
      </w:r>
      <w:r w:rsidR="007829BA" w:rsidRPr="00CF676C">
        <w:t>, an unfamiliar FDC containing an atypical dose of paracetamol for the Australian market, need</w:t>
      </w:r>
      <w:r w:rsidR="00CF5AF8">
        <w:t>ed</w:t>
      </w:r>
      <w:r w:rsidR="007829BA" w:rsidRPr="00CF676C">
        <w:t xml:space="preserve"> to be considered. </w:t>
      </w:r>
      <w:r w:rsidR="00520E2D">
        <w:t>The pre-PBAC response noted that all products containing paracetamol have labelling and dispensing software alerts to raise awareness of the risk of taking additional paracetamol.</w:t>
      </w:r>
    </w:p>
    <w:p w:rsidR="00F803C0" w:rsidRDefault="00F803C0" w:rsidP="00E22F6D">
      <w:pPr>
        <w:pStyle w:val="ListParagraph"/>
        <w:numPr>
          <w:ilvl w:val="1"/>
          <w:numId w:val="1"/>
        </w:numPr>
        <w:spacing w:after="120"/>
      </w:pPr>
      <w:r w:rsidRPr="00CF676C">
        <w:t xml:space="preserve">The ESC advised that there is significant risk of underutilisation of paracetamol </w:t>
      </w:r>
      <w:r w:rsidR="000021DF" w:rsidRPr="00CF676C">
        <w:t xml:space="preserve">through the FDC with low dose paracetamol, impacting on analgesia and </w:t>
      </w:r>
      <w:r w:rsidR="00F0533D" w:rsidRPr="00CF676C">
        <w:t xml:space="preserve">on requirements for tramadol. </w:t>
      </w:r>
      <w:r w:rsidR="00823ED5">
        <w:t xml:space="preserve">The </w:t>
      </w:r>
      <w:r w:rsidR="0093054D">
        <w:t>p</w:t>
      </w:r>
      <w:r w:rsidR="00823ED5">
        <w:t>re-PBAC response</w:t>
      </w:r>
      <w:r w:rsidR="0093054D">
        <w:t xml:space="preserve"> </w:t>
      </w:r>
      <w:r w:rsidR="00823ED5">
        <w:t>disagreed that paracetamol may be underutilised with the low dose of paracetamol in the FDC and argued that it is a clinically appropriate amount.</w:t>
      </w:r>
      <w:r w:rsidR="00F0533D" w:rsidRPr="00CF676C">
        <w:t xml:space="preserve"> </w:t>
      </w:r>
    </w:p>
    <w:p w:rsidR="00807758" w:rsidRPr="00CF676C" w:rsidRDefault="00807758" w:rsidP="00E22F6D">
      <w:pPr>
        <w:pStyle w:val="ListParagraph"/>
        <w:numPr>
          <w:ilvl w:val="1"/>
          <w:numId w:val="1"/>
        </w:numPr>
        <w:spacing w:after="120"/>
      </w:pPr>
      <w:r w:rsidRPr="00807758">
        <w:t>The DUSC considered there to be a risk of misuse given current patterns and evidence of codeine and tramadol abuse. The DUSC also considered there to be a risk of adverse drug-related events that weren’t addressed in the submission, including overdosing on FDC components and drug-drug interactions</w:t>
      </w:r>
    </w:p>
    <w:p w:rsidR="005E3EB6" w:rsidRDefault="00FD6D8C" w:rsidP="005E3EB6">
      <w:pPr>
        <w:pStyle w:val="ListParagraph"/>
        <w:numPr>
          <w:ilvl w:val="1"/>
          <w:numId w:val="1"/>
        </w:numPr>
        <w:spacing w:after="120"/>
      </w:pPr>
      <w:r w:rsidRPr="00CF676C">
        <w:t>There is a significant risk of leakage from the acute to the chronic pain setting.</w:t>
      </w:r>
    </w:p>
    <w:p w:rsidR="00321E9A" w:rsidRPr="007A0BA2" w:rsidRDefault="00CF676C" w:rsidP="007A0BA2">
      <w:pPr>
        <w:pStyle w:val="ListParagraph"/>
        <w:ind w:left="709"/>
        <w:jc w:val="left"/>
        <w:rPr>
          <w:rFonts w:asciiTheme="minorHAnsi" w:hAnsiTheme="minorHAnsi"/>
          <w:i/>
        </w:rPr>
      </w:pPr>
      <w:r w:rsidRPr="00687BA0">
        <w:rPr>
          <w:rFonts w:asciiTheme="minorHAnsi" w:hAnsiTheme="minorHAnsi"/>
          <w:i/>
        </w:rPr>
        <w:t>For more detail on PBAC’s view, see section 7 PBAC outcome.</w:t>
      </w:r>
    </w:p>
    <w:p w:rsidR="00E22F6D" w:rsidRPr="00905D6A" w:rsidRDefault="00E22F6D" w:rsidP="00905D6A">
      <w:pPr>
        <w:pStyle w:val="Heading1"/>
      </w:pPr>
      <w:r w:rsidRPr="00905D6A">
        <w:t>PBAC Outcome</w:t>
      </w:r>
    </w:p>
    <w:p w:rsidR="0008707F" w:rsidRPr="0008707F" w:rsidRDefault="0008707F" w:rsidP="0008707F">
      <w:pPr>
        <w:pStyle w:val="ListParagraph"/>
        <w:widowControl/>
        <w:numPr>
          <w:ilvl w:val="1"/>
          <w:numId w:val="1"/>
        </w:numPr>
        <w:spacing w:after="120"/>
      </w:pPr>
      <w:r w:rsidRPr="0008707F">
        <w:t xml:space="preserve">The PBAC did not recommend the fixed dose combination (FDC) of tramadol </w:t>
      </w:r>
      <w:r w:rsidRPr="003D66E2">
        <w:t xml:space="preserve">hydrochloride 37.5 mg with paracetamol 325 mg for patients with acute pain on the basis of </w:t>
      </w:r>
      <w:r w:rsidR="000D2117" w:rsidRPr="003D66E2">
        <w:t xml:space="preserve">extensive </w:t>
      </w:r>
      <w:r w:rsidRPr="003D66E2">
        <w:t>quality use of medicines problems, questionable clinical place for the FDC, an inappropriate</w:t>
      </w:r>
      <w:r w:rsidR="0093054D" w:rsidRPr="003D66E2">
        <w:t xml:space="preserve"> nominated</w:t>
      </w:r>
      <w:r w:rsidRPr="003D66E2">
        <w:t xml:space="preserve"> comparator, and inadequately supported efficacy and safety compared with the relevant comparator. The PBAC considered </w:t>
      </w:r>
      <w:r w:rsidR="0093054D" w:rsidRPr="003D66E2">
        <w:t xml:space="preserve">that </w:t>
      </w:r>
      <w:r w:rsidRPr="003D66E2">
        <w:t>there were significant quality use of medicines issues associated with dosing with the FDC and the potential for abuse. The PBAC considered that the nominated comparator (treatment likely to be replaced in practice) was not appropriate, and that comparative efficacy and safety against the appropriate comparator had therefore not been established. The PBAC considered that the</w:t>
      </w:r>
      <w:r w:rsidRPr="0008707F">
        <w:t xml:space="preserve"> savings claimed due to reduced adverse effects and GP visits were not well supported and are unlikely to be realised</w:t>
      </w:r>
      <w:r w:rsidR="0093054D">
        <w:t xml:space="preserve"> in practi</w:t>
      </w:r>
      <w:r w:rsidR="000D2117">
        <w:t>c</w:t>
      </w:r>
      <w:r w:rsidR="0093054D">
        <w:t>e</w:t>
      </w:r>
      <w:r w:rsidRPr="0008707F">
        <w:t xml:space="preserve">. </w:t>
      </w:r>
    </w:p>
    <w:p w:rsidR="00431FED" w:rsidRPr="00D227A0" w:rsidRDefault="00431FED" w:rsidP="00431FED">
      <w:pPr>
        <w:pStyle w:val="ListParagraph"/>
        <w:widowControl/>
        <w:numPr>
          <w:ilvl w:val="1"/>
          <w:numId w:val="1"/>
        </w:numPr>
        <w:spacing w:after="120"/>
        <w:rPr>
          <w:rFonts w:asciiTheme="minorHAnsi" w:hAnsiTheme="minorHAnsi"/>
          <w:bCs/>
          <w:lang w:val="en-GB"/>
        </w:rPr>
      </w:pPr>
      <w:r w:rsidRPr="008326F0">
        <w:t xml:space="preserve">The PBAC noted that the proposed restriction was </w:t>
      </w:r>
      <w:r w:rsidR="0093054D">
        <w:t xml:space="preserve">changed by the sponsor during the evaluation process to be </w:t>
      </w:r>
      <w:r w:rsidRPr="008326F0">
        <w:t xml:space="preserve">limited to acute pain and the Committee agreed with </w:t>
      </w:r>
      <w:r w:rsidR="0093054D">
        <w:t xml:space="preserve">the </w:t>
      </w:r>
      <w:r w:rsidRPr="008326F0">
        <w:t>ESC that there</w:t>
      </w:r>
      <w:r w:rsidRPr="00B84D95">
        <w:t xml:space="preserve"> is </w:t>
      </w:r>
      <w:r w:rsidR="0093054D">
        <w:t xml:space="preserve">high </w:t>
      </w:r>
      <w:r w:rsidRPr="00B84D95">
        <w:t>potential for leakage to chronic pain, where the doses in the proposed FDC are unlikely to be appropriate.</w:t>
      </w:r>
      <w:r>
        <w:t xml:space="preserve"> The PBAC </w:t>
      </w:r>
      <w:r w:rsidR="0093054D">
        <w:t xml:space="preserve">also </w:t>
      </w:r>
      <w:r>
        <w:t xml:space="preserve">noted that </w:t>
      </w:r>
      <w:r w:rsidR="0093054D">
        <w:t xml:space="preserve">the </w:t>
      </w:r>
      <w:r w:rsidRPr="00431FED">
        <w:t xml:space="preserve">DUSC considered that there is some variability in the definition of acute pain and </w:t>
      </w:r>
      <w:r w:rsidR="00687BA0">
        <w:t xml:space="preserve">the PBAC agreed with the DUSC </w:t>
      </w:r>
      <w:r w:rsidR="000719B9" w:rsidRPr="00D227A0">
        <w:t>that there is</w:t>
      </w:r>
      <w:r w:rsidRPr="00D227A0">
        <w:t xml:space="preserve"> uncertainty surrounding the appropriate quantity and number of rep</w:t>
      </w:r>
      <w:r w:rsidRPr="00D227A0">
        <w:rPr>
          <w:rFonts w:asciiTheme="minorHAnsi" w:hAnsiTheme="minorHAnsi"/>
          <w:bCs/>
          <w:lang w:val="en-GB"/>
        </w:rPr>
        <w:t>eats for the proposed restriction</w:t>
      </w:r>
      <w:r w:rsidR="000719B9" w:rsidRPr="00D227A0">
        <w:rPr>
          <w:rFonts w:asciiTheme="minorHAnsi" w:hAnsiTheme="minorHAnsi"/>
          <w:bCs/>
          <w:lang w:val="en-GB"/>
        </w:rPr>
        <w:t>.</w:t>
      </w:r>
    </w:p>
    <w:p w:rsidR="00E22F6D" w:rsidRPr="00D227A0" w:rsidRDefault="000719B9" w:rsidP="00E22F6D">
      <w:pPr>
        <w:numPr>
          <w:ilvl w:val="1"/>
          <w:numId w:val="1"/>
        </w:numPr>
        <w:spacing w:after="120"/>
        <w:rPr>
          <w:rFonts w:asciiTheme="minorHAnsi" w:hAnsiTheme="minorHAnsi"/>
          <w:bCs/>
          <w:lang w:val="en-GB"/>
        </w:rPr>
      </w:pPr>
      <w:r w:rsidRPr="00D227A0">
        <w:rPr>
          <w:rFonts w:asciiTheme="minorHAnsi" w:hAnsiTheme="minorHAnsi"/>
          <w:bCs/>
          <w:lang w:val="en-GB"/>
        </w:rPr>
        <w:t xml:space="preserve">The PBAC </w:t>
      </w:r>
      <w:r w:rsidR="00793827">
        <w:rPr>
          <w:rFonts w:asciiTheme="minorHAnsi" w:hAnsiTheme="minorHAnsi"/>
          <w:bCs/>
          <w:lang w:val="en-GB"/>
        </w:rPr>
        <w:t>considered that the</w:t>
      </w:r>
      <w:r w:rsidRPr="00D227A0">
        <w:rPr>
          <w:rFonts w:asciiTheme="minorHAnsi" w:hAnsiTheme="minorHAnsi"/>
          <w:bCs/>
          <w:lang w:val="en-GB"/>
        </w:rPr>
        <w:t xml:space="preserve"> clinical place for the FDC of tramadol 37.5 mg/paracetamol 325 mg </w:t>
      </w:r>
      <w:r w:rsidR="00793827">
        <w:rPr>
          <w:rFonts w:asciiTheme="minorHAnsi" w:hAnsiTheme="minorHAnsi"/>
          <w:bCs/>
          <w:lang w:val="en-GB"/>
        </w:rPr>
        <w:t xml:space="preserve">was questionable </w:t>
      </w:r>
      <w:r w:rsidR="00D227A0" w:rsidRPr="00D227A0">
        <w:rPr>
          <w:rFonts w:asciiTheme="minorHAnsi" w:hAnsiTheme="minorHAnsi"/>
          <w:bCs/>
          <w:lang w:val="en-GB"/>
        </w:rPr>
        <w:t xml:space="preserve">given the QUM issues identified, specifically; the lack of flexibility in FDC doses which makes moving on and off the </w:t>
      </w:r>
      <w:r w:rsidR="00D227A0" w:rsidRPr="00D227A0">
        <w:rPr>
          <w:rFonts w:asciiTheme="minorHAnsi" w:hAnsiTheme="minorHAnsi"/>
          <w:bCs/>
          <w:lang w:val="en-GB"/>
        </w:rPr>
        <w:lastRenderedPageBreak/>
        <w:t xml:space="preserve">FDC difficult, the uncertain </w:t>
      </w:r>
      <w:r w:rsidR="005C53A4">
        <w:rPr>
          <w:rFonts w:asciiTheme="minorHAnsi" w:hAnsiTheme="minorHAnsi"/>
          <w:bCs/>
          <w:lang w:val="en-GB"/>
        </w:rPr>
        <w:t xml:space="preserve">clinical </w:t>
      </w:r>
      <w:r w:rsidR="00D227A0" w:rsidRPr="00D227A0">
        <w:rPr>
          <w:rFonts w:asciiTheme="minorHAnsi" w:hAnsiTheme="minorHAnsi"/>
          <w:bCs/>
          <w:lang w:val="en-GB"/>
        </w:rPr>
        <w:t xml:space="preserve">appropriateness of the component doses and </w:t>
      </w:r>
      <w:r w:rsidR="005C53A4">
        <w:rPr>
          <w:rFonts w:asciiTheme="minorHAnsi" w:hAnsiTheme="minorHAnsi"/>
          <w:bCs/>
          <w:lang w:val="en-GB"/>
        </w:rPr>
        <w:t xml:space="preserve">immediate release (IR) </w:t>
      </w:r>
      <w:r w:rsidR="00D227A0" w:rsidRPr="00D227A0">
        <w:rPr>
          <w:rFonts w:asciiTheme="minorHAnsi" w:hAnsiTheme="minorHAnsi"/>
          <w:bCs/>
          <w:lang w:val="en-GB"/>
        </w:rPr>
        <w:t>form of tramadol, and the potential</w:t>
      </w:r>
      <w:r w:rsidR="00793827">
        <w:rPr>
          <w:rFonts w:asciiTheme="minorHAnsi" w:hAnsiTheme="minorHAnsi"/>
          <w:bCs/>
          <w:lang w:val="en-GB"/>
        </w:rPr>
        <w:t xml:space="preserve"> for abuse or dosing errors</w:t>
      </w:r>
      <w:r w:rsidR="00D227A0" w:rsidRPr="00D227A0">
        <w:rPr>
          <w:rFonts w:asciiTheme="minorHAnsi" w:hAnsiTheme="minorHAnsi"/>
          <w:bCs/>
          <w:lang w:val="en-GB"/>
        </w:rPr>
        <w:t>.</w:t>
      </w:r>
    </w:p>
    <w:p w:rsidR="00E22F6D" w:rsidRPr="00A6045D" w:rsidRDefault="001B0E2F" w:rsidP="00086D40">
      <w:pPr>
        <w:numPr>
          <w:ilvl w:val="1"/>
          <w:numId w:val="1"/>
        </w:numPr>
        <w:spacing w:after="120"/>
      </w:pPr>
      <w:r w:rsidRPr="00D227A0">
        <w:rPr>
          <w:rFonts w:asciiTheme="minorHAnsi" w:hAnsiTheme="minorHAnsi"/>
          <w:bCs/>
          <w:lang w:val="en-GB"/>
        </w:rPr>
        <w:t xml:space="preserve">The PBAC considered that the nominated comparator of 50 mg tramadol IR was not appropriate and does not represent best practice. The PBAC agreed with the ESC that the </w:t>
      </w:r>
      <w:r w:rsidRPr="00D227A0">
        <w:t>concomitant use of the components is the most appropriate comparator, particularly as use of tramadol 50 mg IR is recommended by national and international guidelines together with a step 1 analgesic such as paracetamol.</w:t>
      </w:r>
      <w:r w:rsidRPr="00D227A0">
        <w:rPr>
          <w:rFonts w:asciiTheme="minorHAnsi" w:hAnsiTheme="minorHAnsi"/>
          <w:bCs/>
          <w:lang w:val="en-GB"/>
        </w:rPr>
        <w:t xml:space="preserve"> The PBAC agreed with </w:t>
      </w:r>
      <w:r w:rsidR="005C53A4">
        <w:rPr>
          <w:rFonts w:asciiTheme="minorHAnsi" w:hAnsiTheme="minorHAnsi"/>
          <w:bCs/>
          <w:lang w:val="en-GB"/>
        </w:rPr>
        <w:t xml:space="preserve">the </w:t>
      </w:r>
      <w:r w:rsidRPr="00D227A0">
        <w:rPr>
          <w:rFonts w:asciiTheme="minorHAnsi" w:hAnsiTheme="minorHAnsi"/>
          <w:bCs/>
          <w:lang w:val="en-GB"/>
        </w:rPr>
        <w:t>ESC that the secondary comparator of the FDC of paracetamol 500 mg and codeine phosphate 30 mg was appropriate as it has a similar place in therapy.</w:t>
      </w:r>
      <w:r w:rsidR="00431FED" w:rsidRPr="00D227A0">
        <w:rPr>
          <w:rFonts w:asciiTheme="minorHAnsi" w:hAnsiTheme="minorHAnsi"/>
          <w:bCs/>
          <w:lang w:val="en-GB"/>
        </w:rPr>
        <w:t xml:space="preserve"> The PBAC also noted that </w:t>
      </w:r>
      <w:r w:rsidR="000719B9" w:rsidRPr="00D227A0">
        <w:rPr>
          <w:rFonts w:asciiTheme="minorHAnsi" w:hAnsiTheme="minorHAnsi"/>
          <w:bCs/>
          <w:lang w:val="en-GB"/>
        </w:rPr>
        <w:t xml:space="preserve">no comparisons with </w:t>
      </w:r>
      <w:r w:rsidR="00431FED" w:rsidRPr="00D227A0">
        <w:rPr>
          <w:rFonts w:asciiTheme="minorHAnsi" w:hAnsiTheme="minorHAnsi"/>
          <w:bCs/>
          <w:lang w:val="en-GB"/>
        </w:rPr>
        <w:t>higher doses</w:t>
      </w:r>
      <w:r w:rsidR="000719B9" w:rsidRPr="00D227A0">
        <w:rPr>
          <w:rFonts w:asciiTheme="minorHAnsi" w:hAnsiTheme="minorHAnsi"/>
          <w:bCs/>
          <w:lang w:val="en-GB"/>
        </w:rPr>
        <w:t xml:space="preserve"> </w:t>
      </w:r>
      <w:r w:rsidR="000719B9" w:rsidRPr="00A6045D">
        <w:rPr>
          <w:rFonts w:asciiTheme="minorHAnsi" w:hAnsiTheme="minorHAnsi"/>
          <w:bCs/>
          <w:lang w:val="en-GB"/>
        </w:rPr>
        <w:t>or</w:t>
      </w:r>
      <w:r w:rsidR="00431FED" w:rsidRPr="00A6045D">
        <w:rPr>
          <w:rFonts w:asciiTheme="minorHAnsi" w:hAnsiTheme="minorHAnsi"/>
          <w:bCs/>
          <w:lang w:val="en-GB"/>
        </w:rPr>
        <w:t xml:space="preserve"> </w:t>
      </w:r>
      <w:r w:rsidR="000719B9" w:rsidRPr="00A6045D">
        <w:rPr>
          <w:rFonts w:asciiTheme="minorHAnsi" w:hAnsiTheme="minorHAnsi"/>
          <w:bCs/>
          <w:lang w:val="en-GB"/>
        </w:rPr>
        <w:t xml:space="preserve">alternative formulations </w:t>
      </w:r>
      <w:r w:rsidR="00431FED" w:rsidRPr="00A6045D">
        <w:rPr>
          <w:rFonts w:asciiTheme="minorHAnsi" w:hAnsiTheme="minorHAnsi"/>
          <w:bCs/>
          <w:lang w:val="en-GB"/>
        </w:rPr>
        <w:t xml:space="preserve">of tramadol were </w:t>
      </w:r>
      <w:r w:rsidR="000719B9" w:rsidRPr="00A6045D">
        <w:rPr>
          <w:rFonts w:asciiTheme="minorHAnsi" w:hAnsiTheme="minorHAnsi"/>
          <w:bCs/>
          <w:lang w:val="en-GB"/>
        </w:rPr>
        <w:t>presented and considered that these could also be considered as relevant comparators.</w:t>
      </w:r>
    </w:p>
    <w:p w:rsidR="00472F45" w:rsidRPr="00A6045D" w:rsidRDefault="00793827" w:rsidP="00B604E1">
      <w:pPr>
        <w:numPr>
          <w:ilvl w:val="1"/>
          <w:numId w:val="1"/>
        </w:numPr>
        <w:spacing w:after="120"/>
        <w:rPr>
          <w:rFonts w:asciiTheme="minorHAnsi" w:hAnsiTheme="minorHAnsi"/>
          <w:bCs/>
          <w:lang w:val="en-GB"/>
        </w:rPr>
      </w:pPr>
      <w:r w:rsidRPr="00A6045D">
        <w:rPr>
          <w:rFonts w:asciiTheme="minorHAnsi" w:hAnsiTheme="minorHAnsi"/>
          <w:bCs/>
          <w:lang w:val="en-GB"/>
        </w:rPr>
        <w:t xml:space="preserve">The PBAC noted that the evidence for the comparison with tramadol 50 mg IR was based on </w:t>
      </w:r>
      <w:r w:rsidR="009D28F4" w:rsidRPr="00A6045D">
        <w:rPr>
          <w:rFonts w:cs="Calibri"/>
          <w:snapToGrid/>
          <w:szCs w:val="24"/>
          <w:lang w:val="en-US" w:eastAsia="en-AU"/>
        </w:rPr>
        <w:t xml:space="preserve">three head-to-head trials comparing the FDC of tramadol 37.5 mg/paracetamol 325 mg to tramadol 50 mg IR for treatment of acute pain (ZAL-06, CAPSS-241, and GRTF-ZAL-1). The PBAC </w:t>
      </w:r>
      <w:r w:rsidR="005C53A4">
        <w:rPr>
          <w:rFonts w:cs="Calibri"/>
          <w:snapToGrid/>
          <w:szCs w:val="24"/>
          <w:lang w:val="en-US" w:eastAsia="en-AU"/>
        </w:rPr>
        <w:t>considered</w:t>
      </w:r>
      <w:r w:rsidR="005C53A4" w:rsidRPr="00A6045D">
        <w:rPr>
          <w:rFonts w:cs="Calibri"/>
          <w:snapToGrid/>
          <w:szCs w:val="24"/>
          <w:lang w:val="en-US" w:eastAsia="en-AU"/>
        </w:rPr>
        <w:t xml:space="preserve"> </w:t>
      </w:r>
      <w:r w:rsidR="009D28F4" w:rsidRPr="00A6045D">
        <w:rPr>
          <w:rFonts w:cs="Calibri"/>
          <w:snapToGrid/>
          <w:szCs w:val="24"/>
          <w:lang w:val="en-US" w:eastAsia="en-AU"/>
        </w:rPr>
        <w:t>that there was</w:t>
      </w:r>
      <w:r w:rsidR="005C21CA" w:rsidRPr="00A6045D">
        <w:rPr>
          <w:rFonts w:cs="Calibri"/>
          <w:snapToGrid/>
          <w:szCs w:val="24"/>
          <w:lang w:val="en-US" w:eastAsia="en-AU"/>
        </w:rPr>
        <w:t xml:space="preserve"> risk of bias in the trials presented and</w:t>
      </w:r>
      <w:r w:rsidR="009D28F4" w:rsidRPr="00A6045D">
        <w:rPr>
          <w:rFonts w:cs="Calibri"/>
          <w:snapToGrid/>
          <w:szCs w:val="24"/>
          <w:lang w:val="en-US" w:eastAsia="en-AU"/>
        </w:rPr>
        <w:t xml:space="preserve"> heterogeneity among the trials, pertaining to the source of pain, the methods of pain management, differences in the non-inferiority margins applied and the concomitant medications used during the trials. </w:t>
      </w:r>
      <w:r w:rsidR="005C21CA" w:rsidRPr="00A6045D">
        <w:t xml:space="preserve">The submission claimed that the </w:t>
      </w:r>
      <w:r w:rsidR="005C21CA" w:rsidRPr="00A6045D">
        <w:rPr>
          <w:rFonts w:asciiTheme="minorHAnsi" w:hAnsiTheme="minorHAnsi"/>
          <w:bCs/>
          <w:lang w:val="en-GB"/>
        </w:rPr>
        <w:t>FDC of tramadol 37.5 mg/paracetamol 325 mg was non-inferior to tramadol 50 mg IR</w:t>
      </w:r>
      <w:r w:rsidR="00472F45" w:rsidRPr="00A6045D">
        <w:rPr>
          <w:rFonts w:asciiTheme="minorHAnsi" w:hAnsiTheme="minorHAnsi"/>
          <w:bCs/>
          <w:lang w:val="en-GB"/>
        </w:rPr>
        <w:t xml:space="preserve">. </w:t>
      </w:r>
      <w:r w:rsidR="005C53A4">
        <w:rPr>
          <w:rFonts w:asciiTheme="minorHAnsi" w:hAnsiTheme="minorHAnsi"/>
          <w:bCs/>
          <w:lang w:val="en-GB"/>
        </w:rPr>
        <w:t>However, t</w:t>
      </w:r>
      <w:r w:rsidR="009D28F4" w:rsidRPr="00A6045D">
        <w:rPr>
          <w:rFonts w:asciiTheme="minorHAnsi" w:hAnsiTheme="minorHAnsi"/>
          <w:bCs/>
          <w:lang w:val="en-GB"/>
        </w:rPr>
        <w:t xml:space="preserve">he PBAC considered that the submission’s claim of non-inferior efficacy </w:t>
      </w:r>
      <w:r w:rsidR="005C21CA" w:rsidRPr="00A6045D">
        <w:rPr>
          <w:rFonts w:asciiTheme="minorHAnsi" w:hAnsiTheme="minorHAnsi"/>
          <w:bCs/>
          <w:lang w:val="en-GB"/>
        </w:rPr>
        <w:t xml:space="preserve">was </w:t>
      </w:r>
      <w:r w:rsidR="009D28F4" w:rsidRPr="00A6045D">
        <w:rPr>
          <w:rFonts w:asciiTheme="minorHAnsi" w:hAnsiTheme="minorHAnsi"/>
          <w:bCs/>
          <w:lang w:val="en-GB"/>
        </w:rPr>
        <w:t>not adequately supported</w:t>
      </w:r>
      <w:r w:rsidR="005C21CA" w:rsidRPr="00A6045D">
        <w:rPr>
          <w:rFonts w:asciiTheme="minorHAnsi" w:hAnsiTheme="minorHAnsi"/>
          <w:bCs/>
          <w:lang w:val="en-GB"/>
        </w:rPr>
        <w:t xml:space="preserve"> due to the heterogeneity in the trials and the limited applicability to clinical practice</w:t>
      </w:r>
      <w:r w:rsidR="00AD509B">
        <w:rPr>
          <w:rFonts w:asciiTheme="minorHAnsi" w:hAnsiTheme="minorHAnsi"/>
          <w:bCs/>
          <w:lang w:val="en-GB"/>
        </w:rPr>
        <w:t xml:space="preserve"> where tramadol 50 mg IR would be used in combination with paracetamol</w:t>
      </w:r>
      <w:r w:rsidR="005C21CA" w:rsidRPr="00A6045D">
        <w:rPr>
          <w:rFonts w:asciiTheme="minorHAnsi" w:hAnsiTheme="minorHAnsi"/>
          <w:bCs/>
          <w:lang w:val="en-GB"/>
        </w:rPr>
        <w:t xml:space="preserve">. </w:t>
      </w:r>
    </w:p>
    <w:p w:rsidR="00472F45" w:rsidRPr="009C714B" w:rsidRDefault="008326F0" w:rsidP="00A6045D">
      <w:pPr>
        <w:numPr>
          <w:ilvl w:val="1"/>
          <w:numId w:val="1"/>
        </w:numPr>
        <w:spacing w:after="120"/>
        <w:rPr>
          <w:rFonts w:asciiTheme="minorHAnsi" w:hAnsiTheme="minorHAnsi"/>
          <w:bCs/>
          <w:lang w:val="en-GB"/>
        </w:rPr>
      </w:pPr>
      <w:r w:rsidRPr="00A6045D">
        <w:rPr>
          <w:rFonts w:asciiTheme="minorHAnsi" w:hAnsiTheme="minorHAnsi"/>
          <w:bCs/>
          <w:lang w:val="en-GB"/>
        </w:rPr>
        <w:t>T</w:t>
      </w:r>
      <w:r w:rsidRPr="00A6045D">
        <w:t xml:space="preserve">he submission claimed that the FDC of tramadol 37.5 mg/paracetamol 325 mg was superior in safety to tramadol 50 mg IR. </w:t>
      </w:r>
      <w:r w:rsidR="00A6045D" w:rsidRPr="00A6045D">
        <w:t>The PBAC considered that the</w:t>
      </w:r>
      <w:r w:rsidR="005756C6">
        <w:t xml:space="preserve"> claim of superior safety</w:t>
      </w:r>
      <w:r w:rsidRPr="00A6045D">
        <w:t xml:space="preserve"> </w:t>
      </w:r>
      <w:r w:rsidR="003B53DA">
        <w:t>may be reasonable</w:t>
      </w:r>
      <w:r w:rsidRPr="00A6045D">
        <w:t xml:space="preserve"> over a ten-day time horizon </w:t>
      </w:r>
      <w:r w:rsidR="00A6045D" w:rsidRPr="00A6045D">
        <w:t>based on the trial results</w:t>
      </w:r>
      <w:r w:rsidR="003B53DA">
        <w:t xml:space="preserve">, but </w:t>
      </w:r>
      <w:r w:rsidR="005C53A4">
        <w:t>wa</w:t>
      </w:r>
      <w:r w:rsidR="003B53DA">
        <w:t>s not adequately supported beyond 10 days</w:t>
      </w:r>
      <w:r w:rsidRPr="00A6045D">
        <w:t xml:space="preserve">. </w:t>
      </w:r>
    </w:p>
    <w:p w:rsidR="005756C6" w:rsidRPr="009C714B" w:rsidRDefault="005756C6" w:rsidP="005756C6">
      <w:pPr>
        <w:numPr>
          <w:ilvl w:val="1"/>
          <w:numId w:val="1"/>
        </w:numPr>
        <w:spacing w:after="120"/>
        <w:rPr>
          <w:rFonts w:asciiTheme="minorHAnsi" w:hAnsiTheme="minorHAnsi"/>
          <w:bCs/>
          <w:lang w:val="en-GB"/>
        </w:rPr>
      </w:pPr>
      <w:r w:rsidRPr="00B604E1">
        <w:rPr>
          <w:rFonts w:asciiTheme="minorHAnsi" w:hAnsiTheme="minorHAnsi"/>
          <w:bCs/>
          <w:lang w:val="en-GB"/>
        </w:rPr>
        <w:t xml:space="preserve">The PBAC noted </w:t>
      </w:r>
      <w:r>
        <w:rPr>
          <w:rFonts w:asciiTheme="minorHAnsi" w:hAnsiTheme="minorHAnsi"/>
          <w:bCs/>
          <w:lang w:val="en-GB"/>
        </w:rPr>
        <w:t xml:space="preserve">that since </w:t>
      </w:r>
      <w:r w:rsidRPr="00B604E1">
        <w:rPr>
          <w:rFonts w:asciiTheme="minorHAnsi" w:hAnsiTheme="minorHAnsi"/>
          <w:bCs/>
          <w:lang w:val="en-GB"/>
        </w:rPr>
        <w:t>the appropriate comparator (in clinical practice) would be tramadol IR 50 mg plus paracetamol 500 mg, the efficacy and safety comparison</w:t>
      </w:r>
      <w:r>
        <w:rPr>
          <w:rFonts w:asciiTheme="minorHAnsi" w:hAnsiTheme="minorHAnsi"/>
          <w:bCs/>
          <w:lang w:val="en-GB"/>
        </w:rPr>
        <w:t>s</w:t>
      </w:r>
      <w:r w:rsidRPr="00B604E1">
        <w:rPr>
          <w:rFonts w:asciiTheme="minorHAnsi" w:hAnsiTheme="minorHAnsi"/>
          <w:bCs/>
          <w:lang w:val="en-GB"/>
        </w:rPr>
        <w:t xml:space="preserve"> in </w:t>
      </w:r>
      <w:r w:rsidRPr="009C714B">
        <w:rPr>
          <w:rFonts w:asciiTheme="minorHAnsi" w:hAnsiTheme="minorHAnsi"/>
          <w:bCs/>
          <w:lang w:val="en-GB"/>
        </w:rPr>
        <w:t>practice would differ from the comparison</w:t>
      </w:r>
      <w:r>
        <w:rPr>
          <w:rFonts w:asciiTheme="minorHAnsi" w:hAnsiTheme="minorHAnsi"/>
          <w:bCs/>
          <w:lang w:val="en-GB"/>
        </w:rPr>
        <w:t>s</w:t>
      </w:r>
      <w:r w:rsidRPr="009C714B">
        <w:rPr>
          <w:rFonts w:asciiTheme="minorHAnsi" w:hAnsiTheme="minorHAnsi"/>
          <w:bCs/>
          <w:lang w:val="en-GB"/>
        </w:rPr>
        <w:t xml:space="preserve"> presented</w:t>
      </w:r>
      <w:r w:rsidR="00100ADF">
        <w:rPr>
          <w:rFonts w:asciiTheme="minorHAnsi" w:hAnsiTheme="minorHAnsi"/>
          <w:bCs/>
          <w:lang w:val="en-GB"/>
        </w:rPr>
        <w:t xml:space="preserve"> in the submission</w:t>
      </w:r>
      <w:r w:rsidRPr="009C714B">
        <w:rPr>
          <w:rFonts w:asciiTheme="minorHAnsi" w:hAnsiTheme="minorHAnsi"/>
          <w:bCs/>
          <w:lang w:val="en-GB"/>
        </w:rPr>
        <w:t>.</w:t>
      </w:r>
    </w:p>
    <w:p w:rsidR="008326F0" w:rsidRDefault="008326F0" w:rsidP="008326F0">
      <w:pPr>
        <w:numPr>
          <w:ilvl w:val="1"/>
          <w:numId w:val="1"/>
        </w:numPr>
        <w:spacing w:after="120"/>
        <w:rPr>
          <w:rFonts w:asciiTheme="minorHAnsi" w:hAnsiTheme="minorHAnsi"/>
          <w:bCs/>
          <w:lang w:val="en-GB"/>
        </w:rPr>
      </w:pPr>
      <w:r w:rsidRPr="00A6045D">
        <w:rPr>
          <w:rFonts w:asciiTheme="minorHAnsi" w:hAnsiTheme="minorHAnsi"/>
          <w:bCs/>
          <w:lang w:val="en-GB"/>
        </w:rPr>
        <w:t>The PBAC noted that if used for chronic pain there is additional uncertainty in the</w:t>
      </w:r>
      <w:r w:rsidRPr="00B604E1">
        <w:rPr>
          <w:rFonts w:asciiTheme="minorHAnsi" w:hAnsiTheme="minorHAnsi"/>
          <w:bCs/>
          <w:lang w:val="en-GB"/>
        </w:rPr>
        <w:t xml:space="preserve"> comparative efficacy and safety of the FDC of tramadol 37.5 mg/paracetamol 325 mg.</w:t>
      </w:r>
    </w:p>
    <w:p w:rsidR="0072195F" w:rsidRPr="0072195F" w:rsidRDefault="0072195F" w:rsidP="0072195F">
      <w:pPr>
        <w:numPr>
          <w:ilvl w:val="1"/>
          <w:numId w:val="1"/>
        </w:numPr>
        <w:spacing w:after="120"/>
        <w:rPr>
          <w:rFonts w:asciiTheme="minorHAnsi" w:hAnsiTheme="minorHAnsi"/>
          <w:bCs/>
          <w:lang w:val="en-GB"/>
        </w:rPr>
      </w:pPr>
      <w:r>
        <w:rPr>
          <w:rFonts w:asciiTheme="minorHAnsi" w:hAnsiTheme="minorHAnsi"/>
          <w:bCs/>
          <w:lang w:val="en-GB"/>
        </w:rPr>
        <w:t xml:space="preserve">The PBAC noted that the submission </w:t>
      </w:r>
      <w:r w:rsidRPr="009C714B">
        <w:rPr>
          <w:rFonts w:asciiTheme="minorHAnsi" w:hAnsiTheme="minorHAnsi"/>
          <w:bCs/>
          <w:lang w:val="en-GB"/>
        </w:rPr>
        <w:t xml:space="preserve">did not formally establish superiority of the FDC of tramadol 37.5 mg/paracetamol 325 mg over </w:t>
      </w:r>
      <w:r>
        <w:rPr>
          <w:rFonts w:asciiTheme="minorHAnsi" w:hAnsiTheme="minorHAnsi"/>
          <w:bCs/>
          <w:lang w:val="en-GB"/>
        </w:rPr>
        <w:t xml:space="preserve">the secondary comparator </w:t>
      </w:r>
      <w:r w:rsidRPr="009C714B">
        <w:rPr>
          <w:rFonts w:asciiTheme="minorHAnsi" w:hAnsiTheme="minorHAnsi"/>
          <w:bCs/>
          <w:lang w:val="en-GB"/>
        </w:rPr>
        <w:t>paracetamol 500 mg/codeine 30 mg, relying instead on the existing therapeutic relativity sheets and the superiority of tramadol 50 mg IR over paracetamol 500 mg/codeine 30 mg.</w:t>
      </w:r>
      <w:r w:rsidRPr="009C714B" w:rsidDel="00A2298D">
        <w:rPr>
          <w:rFonts w:asciiTheme="minorHAnsi" w:hAnsiTheme="minorHAnsi"/>
          <w:bCs/>
          <w:lang w:val="en-GB"/>
        </w:rPr>
        <w:t xml:space="preserve"> </w:t>
      </w:r>
      <w:r>
        <w:rPr>
          <w:rFonts w:asciiTheme="minorHAnsi" w:hAnsiTheme="minorHAnsi"/>
          <w:bCs/>
          <w:lang w:val="en-GB"/>
        </w:rPr>
        <w:t>The PBAC considered that the superiority over the FDC paracetamol/codeine was not adequately supported.</w:t>
      </w:r>
    </w:p>
    <w:p w:rsidR="005756C6" w:rsidRPr="005756C6" w:rsidRDefault="005756C6" w:rsidP="005756C6">
      <w:pPr>
        <w:numPr>
          <w:ilvl w:val="1"/>
          <w:numId w:val="1"/>
        </w:numPr>
        <w:spacing w:after="120"/>
        <w:rPr>
          <w:rFonts w:asciiTheme="minorHAnsi" w:hAnsiTheme="minorHAnsi"/>
          <w:bCs/>
          <w:lang w:val="en-GB"/>
        </w:rPr>
      </w:pPr>
      <w:r w:rsidRPr="005756C6">
        <w:lastRenderedPageBreak/>
        <w:t xml:space="preserve">The PBAC noted </w:t>
      </w:r>
      <w:r w:rsidRPr="005756C6" w:rsidDel="00402B71">
        <w:t xml:space="preserve">the submission presented a general discussion about the abuse potential associated with tramadol compared with other opioids, </w:t>
      </w:r>
      <w:r w:rsidRPr="005756C6">
        <w:t xml:space="preserve">however the PBAC noted that no data was provided to support the assumption that </w:t>
      </w:r>
      <w:r w:rsidRPr="005756C6" w:rsidDel="00402B71">
        <w:t>substitution of one formulation of tramadol (50 mg IR) with another (the FDC) would meet the need for an analgesic that is less likely to be abused.</w:t>
      </w:r>
      <w:r w:rsidRPr="005756C6">
        <w:t xml:space="preserve"> </w:t>
      </w:r>
    </w:p>
    <w:p w:rsidR="009C714B" w:rsidRPr="005756C6" w:rsidRDefault="009C714B" w:rsidP="00E22F6D">
      <w:pPr>
        <w:numPr>
          <w:ilvl w:val="1"/>
          <w:numId w:val="1"/>
        </w:numPr>
        <w:spacing w:after="120"/>
        <w:rPr>
          <w:rFonts w:asciiTheme="minorHAnsi" w:hAnsiTheme="minorHAnsi"/>
          <w:bCs/>
          <w:lang w:val="en-GB"/>
        </w:rPr>
      </w:pPr>
      <w:r w:rsidRPr="005756C6">
        <w:rPr>
          <w:rFonts w:asciiTheme="minorHAnsi" w:hAnsiTheme="minorHAnsi"/>
          <w:bCs/>
          <w:lang w:val="en-GB"/>
        </w:rPr>
        <w:t xml:space="preserve">The PBAC noted that the proposed equi-effective doses were estimated as one tablet </w:t>
      </w:r>
      <w:r w:rsidRPr="005756C6">
        <w:t>of the FDC of tramadol 37.5 mg/paracetamol 325 mg for one tablet of tramadol 50 mg IR</w:t>
      </w:r>
      <w:r w:rsidRPr="005756C6">
        <w:rPr>
          <w:rFonts w:cs="Times New Roman"/>
        </w:rPr>
        <w:t xml:space="preserve">, based on the trials presented in acute pain. However, the PBAC considered that this </w:t>
      </w:r>
      <w:r w:rsidR="008611D2">
        <w:rPr>
          <w:rFonts w:cs="Times New Roman"/>
        </w:rPr>
        <w:t>wa</w:t>
      </w:r>
      <w:r w:rsidRPr="005756C6">
        <w:rPr>
          <w:rFonts w:cs="Times New Roman"/>
        </w:rPr>
        <w:t xml:space="preserve">s not </w:t>
      </w:r>
      <w:r w:rsidR="008611D2">
        <w:rPr>
          <w:rFonts w:cs="Times New Roman"/>
        </w:rPr>
        <w:t>the appropriate</w:t>
      </w:r>
      <w:r w:rsidRPr="005756C6">
        <w:rPr>
          <w:rFonts w:cs="Times New Roman"/>
        </w:rPr>
        <w:t xml:space="preserve"> comparator</w:t>
      </w:r>
      <w:r w:rsidR="00127DF9">
        <w:rPr>
          <w:rFonts w:cs="Times New Roman"/>
        </w:rPr>
        <w:t xml:space="preserve">. The PBAC noted that the submission did not estimate an equi-effective dose of the FDC compared with any of the paracetamol/codeine formulations available on the PBS or for tramadol and paracetamol given concomitantly. </w:t>
      </w:r>
    </w:p>
    <w:p w:rsidR="00127DF9" w:rsidRPr="00DC663E" w:rsidRDefault="00127DF9" w:rsidP="0072195F">
      <w:pPr>
        <w:numPr>
          <w:ilvl w:val="1"/>
          <w:numId w:val="1"/>
        </w:numPr>
        <w:spacing w:after="120"/>
        <w:rPr>
          <w:rFonts w:asciiTheme="minorHAnsi" w:hAnsiTheme="minorHAnsi"/>
          <w:bCs/>
          <w:lang w:val="en-GB"/>
        </w:rPr>
      </w:pPr>
      <w:r>
        <w:rPr>
          <w:rFonts w:asciiTheme="minorHAnsi" w:hAnsiTheme="minorHAnsi"/>
          <w:bCs/>
          <w:lang w:val="en-GB"/>
        </w:rPr>
        <w:t>The PBAC noted that the costs for the FDC of tramadol/paraceta</w:t>
      </w:r>
      <w:r w:rsidR="0038628E">
        <w:rPr>
          <w:rFonts w:asciiTheme="minorHAnsi" w:hAnsiTheme="minorHAnsi"/>
          <w:bCs/>
          <w:lang w:val="en-GB"/>
        </w:rPr>
        <w:t>mol were higher than the cost for</w:t>
      </w:r>
      <w:r>
        <w:rPr>
          <w:rFonts w:asciiTheme="minorHAnsi" w:hAnsiTheme="minorHAnsi"/>
          <w:bCs/>
          <w:lang w:val="en-GB"/>
        </w:rPr>
        <w:t xml:space="preserve"> higher strengths of tramadol</w:t>
      </w:r>
      <w:r w:rsidR="0038628E">
        <w:rPr>
          <w:rFonts w:asciiTheme="minorHAnsi" w:hAnsiTheme="minorHAnsi"/>
          <w:bCs/>
          <w:lang w:val="en-GB"/>
        </w:rPr>
        <w:t xml:space="preserve"> and higher than the cost for the</w:t>
      </w:r>
      <w:r>
        <w:rPr>
          <w:rFonts w:asciiTheme="minorHAnsi" w:hAnsiTheme="minorHAnsi"/>
          <w:bCs/>
          <w:lang w:val="en-GB"/>
        </w:rPr>
        <w:t xml:space="preserve"> FDC </w:t>
      </w:r>
      <w:r w:rsidRPr="009C714B">
        <w:rPr>
          <w:rFonts w:asciiTheme="minorHAnsi" w:hAnsiTheme="minorHAnsi"/>
          <w:bCs/>
          <w:lang w:val="en-GB"/>
        </w:rPr>
        <w:t>paracetamol 500 mg/codeine 30 mg</w:t>
      </w:r>
      <w:r w:rsidR="0072195F">
        <w:rPr>
          <w:rFonts w:asciiTheme="minorHAnsi" w:hAnsiTheme="minorHAnsi"/>
          <w:bCs/>
          <w:lang w:val="en-GB"/>
        </w:rPr>
        <w:t>. The PBA</w:t>
      </w:r>
      <w:r>
        <w:rPr>
          <w:rFonts w:asciiTheme="minorHAnsi" w:hAnsiTheme="minorHAnsi"/>
          <w:bCs/>
          <w:lang w:val="en-GB"/>
        </w:rPr>
        <w:t xml:space="preserve">C noted </w:t>
      </w:r>
      <w:r w:rsidR="00547C2B">
        <w:rPr>
          <w:rFonts w:asciiTheme="minorHAnsi" w:hAnsiTheme="minorHAnsi"/>
          <w:bCs/>
          <w:lang w:val="en-GB"/>
        </w:rPr>
        <w:t xml:space="preserve">that </w:t>
      </w:r>
      <w:r>
        <w:rPr>
          <w:rFonts w:asciiTheme="minorHAnsi" w:hAnsiTheme="minorHAnsi"/>
          <w:bCs/>
          <w:lang w:val="en-GB"/>
        </w:rPr>
        <w:t xml:space="preserve">the economic evaluation presented relied on cost offsets from a lower incidence of constipation and less need for rescue medication resulting in fewer GP visits and pharmaceutical treatments.  </w:t>
      </w:r>
      <w:r w:rsidR="0038628E">
        <w:rPr>
          <w:rFonts w:asciiTheme="minorHAnsi" w:hAnsiTheme="minorHAnsi"/>
          <w:bCs/>
          <w:lang w:val="en-GB"/>
        </w:rPr>
        <w:t>The PBAC considered that these costs-offsets are unlikely to be relevant in the acute pain setting and would be</w:t>
      </w:r>
      <w:r w:rsidR="007B745A">
        <w:rPr>
          <w:rFonts w:asciiTheme="minorHAnsi" w:hAnsiTheme="minorHAnsi"/>
          <w:bCs/>
          <w:lang w:val="en-GB"/>
        </w:rPr>
        <w:t xml:space="preserve"> unlikely to be realised because FDC paracetamol/codeine or concurrent tramadol and paracetamol are more likely to be substituted than tramadol 50 mg alone</w:t>
      </w:r>
      <w:r w:rsidR="000B4C95">
        <w:rPr>
          <w:rFonts w:asciiTheme="minorHAnsi" w:hAnsiTheme="minorHAnsi"/>
          <w:bCs/>
          <w:lang w:val="en-GB"/>
        </w:rPr>
        <w:t xml:space="preserve">. The </w:t>
      </w:r>
      <w:r w:rsidR="000B4C95" w:rsidRPr="00DC663E">
        <w:rPr>
          <w:rFonts w:asciiTheme="minorHAnsi" w:hAnsiTheme="minorHAnsi"/>
          <w:bCs/>
          <w:lang w:val="en-GB"/>
        </w:rPr>
        <w:t xml:space="preserve">PBAC considered that for these comparators the equi-effective doses, reduction in AEs and requirements for rescue medication </w:t>
      </w:r>
      <w:r w:rsidR="0038628E">
        <w:rPr>
          <w:rFonts w:asciiTheme="minorHAnsi" w:hAnsiTheme="minorHAnsi"/>
          <w:bCs/>
          <w:lang w:val="en-GB"/>
        </w:rPr>
        <w:t>have not been established</w:t>
      </w:r>
      <w:r w:rsidR="000B4C95" w:rsidRPr="00DC663E">
        <w:rPr>
          <w:rFonts w:asciiTheme="minorHAnsi" w:hAnsiTheme="minorHAnsi"/>
          <w:bCs/>
          <w:lang w:val="en-GB"/>
        </w:rPr>
        <w:t>.</w:t>
      </w:r>
      <w:r w:rsidR="0038628E" w:rsidRPr="0038628E">
        <w:rPr>
          <w:rFonts w:asciiTheme="minorHAnsi" w:hAnsiTheme="minorHAnsi"/>
          <w:bCs/>
          <w:lang w:val="en-GB"/>
        </w:rPr>
        <w:t xml:space="preserve"> </w:t>
      </w:r>
    </w:p>
    <w:p w:rsidR="00E22F6D" w:rsidRPr="000414BB" w:rsidRDefault="000B4C95" w:rsidP="00E22F6D">
      <w:pPr>
        <w:numPr>
          <w:ilvl w:val="1"/>
          <w:numId w:val="1"/>
        </w:numPr>
        <w:spacing w:after="120"/>
      </w:pPr>
      <w:r w:rsidRPr="00DC663E">
        <w:rPr>
          <w:rFonts w:asciiTheme="minorHAnsi" w:hAnsiTheme="minorHAnsi"/>
          <w:bCs/>
          <w:lang w:val="en-GB"/>
        </w:rPr>
        <w:t xml:space="preserve">The </w:t>
      </w:r>
      <w:r w:rsidR="00DC663E" w:rsidRPr="00DC663E">
        <w:rPr>
          <w:rFonts w:asciiTheme="minorHAnsi" w:hAnsiTheme="minorHAnsi"/>
          <w:bCs/>
          <w:lang w:val="en-GB"/>
        </w:rPr>
        <w:t xml:space="preserve">PBAC agreed with </w:t>
      </w:r>
      <w:r w:rsidR="00547C2B">
        <w:rPr>
          <w:rFonts w:asciiTheme="minorHAnsi" w:hAnsiTheme="minorHAnsi"/>
          <w:bCs/>
          <w:lang w:val="en-GB"/>
        </w:rPr>
        <w:t xml:space="preserve">the </w:t>
      </w:r>
      <w:r w:rsidR="00DC663E" w:rsidRPr="00DC663E">
        <w:rPr>
          <w:rFonts w:asciiTheme="minorHAnsi" w:hAnsiTheme="minorHAnsi"/>
          <w:bCs/>
          <w:lang w:val="en-GB"/>
        </w:rPr>
        <w:t>DUSC</w:t>
      </w:r>
      <w:r w:rsidR="00547C2B">
        <w:rPr>
          <w:rFonts w:asciiTheme="minorHAnsi" w:hAnsiTheme="minorHAnsi"/>
          <w:bCs/>
          <w:lang w:val="en-GB"/>
        </w:rPr>
        <w:t xml:space="preserve"> advice</w:t>
      </w:r>
      <w:r w:rsidR="00DC663E" w:rsidRPr="00DC663E">
        <w:rPr>
          <w:rFonts w:asciiTheme="minorHAnsi" w:hAnsiTheme="minorHAnsi"/>
          <w:bCs/>
          <w:lang w:val="en-GB"/>
        </w:rPr>
        <w:t xml:space="preserve"> that</w:t>
      </w:r>
      <w:r w:rsidRPr="00DC663E">
        <w:rPr>
          <w:rFonts w:asciiTheme="minorHAnsi" w:hAnsiTheme="minorHAnsi"/>
          <w:bCs/>
          <w:lang w:val="en-GB"/>
        </w:rPr>
        <w:t xml:space="preserve"> the</w:t>
      </w:r>
      <w:r w:rsidR="00DC663E" w:rsidRPr="00DC663E">
        <w:rPr>
          <w:rFonts w:asciiTheme="minorHAnsi" w:hAnsiTheme="minorHAnsi"/>
          <w:bCs/>
          <w:lang w:val="en-GB"/>
        </w:rPr>
        <w:t xml:space="preserve"> financial</w:t>
      </w:r>
      <w:r w:rsidRPr="00DC663E">
        <w:rPr>
          <w:rFonts w:asciiTheme="minorHAnsi" w:hAnsiTheme="minorHAnsi"/>
          <w:bCs/>
          <w:lang w:val="en-GB"/>
        </w:rPr>
        <w:t xml:space="preserve"> estimates presented </w:t>
      </w:r>
      <w:r w:rsidR="00547C2B">
        <w:rPr>
          <w:rFonts w:asciiTheme="minorHAnsi" w:hAnsiTheme="minorHAnsi"/>
          <w:bCs/>
          <w:lang w:val="en-GB"/>
        </w:rPr>
        <w:t>we</w:t>
      </w:r>
      <w:r w:rsidR="00547C2B" w:rsidRPr="00DC663E">
        <w:rPr>
          <w:rFonts w:asciiTheme="minorHAnsi" w:hAnsiTheme="minorHAnsi"/>
          <w:bCs/>
          <w:lang w:val="en-GB"/>
        </w:rPr>
        <w:t xml:space="preserve">re </w:t>
      </w:r>
      <w:r w:rsidRPr="00DC663E">
        <w:rPr>
          <w:rFonts w:asciiTheme="minorHAnsi" w:hAnsiTheme="minorHAnsi"/>
          <w:bCs/>
          <w:lang w:val="en-GB"/>
        </w:rPr>
        <w:t>highly uncertain due to the high risk of use beyond t</w:t>
      </w:r>
      <w:r w:rsidR="00DC663E" w:rsidRPr="00DC663E">
        <w:rPr>
          <w:rFonts w:asciiTheme="minorHAnsi" w:hAnsiTheme="minorHAnsi"/>
          <w:bCs/>
          <w:lang w:val="en-GB"/>
        </w:rPr>
        <w:t>he restriction in chronic pain and uncertainty in the market share approach</w:t>
      </w:r>
      <w:r w:rsidR="00547C2B">
        <w:rPr>
          <w:rFonts w:asciiTheme="minorHAnsi" w:hAnsiTheme="minorHAnsi"/>
          <w:bCs/>
          <w:lang w:val="en-GB"/>
        </w:rPr>
        <w:t>,</w:t>
      </w:r>
      <w:r w:rsidR="00DC663E" w:rsidRPr="00DC663E">
        <w:rPr>
          <w:rFonts w:asciiTheme="minorHAnsi" w:hAnsiTheme="minorHAnsi"/>
          <w:bCs/>
          <w:lang w:val="en-GB"/>
        </w:rPr>
        <w:t xml:space="preserve"> as it is </w:t>
      </w:r>
      <w:r w:rsidRPr="00DC663E">
        <w:rPr>
          <w:rFonts w:asciiTheme="minorHAnsi" w:hAnsiTheme="minorHAnsi"/>
          <w:bCs/>
          <w:lang w:val="en-GB"/>
        </w:rPr>
        <w:t xml:space="preserve">unknown </w:t>
      </w:r>
      <w:r w:rsidR="00DC663E" w:rsidRPr="00DC663E">
        <w:rPr>
          <w:rFonts w:asciiTheme="minorHAnsi" w:hAnsiTheme="minorHAnsi"/>
          <w:bCs/>
          <w:lang w:val="en-GB"/>
        </w:rPr>
        <w:t xml:space="preserve">what </w:t>
      </w:r>
      <w:r w:rsidRPr="00DC663E">
        <w:rPr>
          <w:rFonts w:asciiTheme="minorHAnsi" w:hAnsiTheme="minorHAnsi"/>
          <w:bCs/>
          <w:lang w:val="en-GB"/>
        </w:rPr>
        <w:t>impact</w:t>
      </w:r>
      <w:r w:rsidR="00DC663E" w:rsidRPr="00DC663E">
        <w:rPr>
          <w:rFonts w:asciiTheme="minorHAnsi" w:hAnsiTheme="minorHAnsi"/>
          <w:bCs/>
          <w:lang w:val="en-GB"/>
        </w:rPr>
        <w:t xml:space="preserve"> the</w:t>
      </w:r>
      <w:r w:rsidRPr="00DC663E">
        <w:rPr>
          <w:rFonts w:asciiTheme="minorHAnsi" w:hAnsiTheme="minorHAnsi"/>
          <w:bCs/>
          <w:lang w:val="en-GB"/>
        </w:rPr>
        <w:t xml:space="preserve"> up-scheduling of codeine will have on the prescription analgesic market</w:t>
      </w:r>
      <w:r w:rsidR="00DC663E" w:rsidRPr="00DC663E">
        <w:rPr>
          <w:rFonts w:asciiTheme="minorHAnsi" w:hAnsiTheme="minorHAnsi"/>
          <w:bCs/>
          <w:lang w:val="en-GB"/>
        </w:rPr>
        <w:t xml:space="preserve">. In addition, the PBAC noted that the submission assumed there would be substitution of one pack of the FDC for every two of the nominated comparator. The PBAC agreed with the DUSC that this substitution ratio is not applicable in the acute pain setting, so it is likely there would be a net cost to the PBS associated with the proposed listing, rather than the net saving presented as the base case. </w:t>
      </w:r>
      <w:r w:rsidR="00000508">
        <w:rPr>
          <w:rFonts w:asciiTheme="minorHAnsi" w:hAnsiTheme="minorHAnsi"/>
          <w:bCs/>
          <w:lang w:val="en-GB"/>
        </w:rPr>
        <w:t xml:space="preserve">The PBAC also considered that </w:t>
      </w:r>
      <w:r w:rsidR="00000508" w:rsidRPr="000414BB">
        <w:t xml:space="preserve">cost offsets in the financial estimates from reduced AEs and GP visits were not well supported in the </w:t>
      </w:r>
      <w:r w:rsidR="008E16B7" w:rsidRPr="000414BB">
        <w:t xml:space="preserve">clinical data presented and </w:t>
      </w:r>
      <w:r w:rsidR="00000508" w:rsidRPr="000414BB">
        <w:t xml:space="preserve">are unlikely to be realised in </w:t>
      </w:r>
      <w:r w:rsidR="00547C2B">
        <w:t>practi</w:t>
      </w:r>
      <w:r w:rsidR="00AD509B">
        <w:t>c</w:t>
      </w:r>
      <w:r w:rsidR="00547C2B">
        <w:t xml:space="preserve">e in </w:t>
      </w:r>
      <w:r w:rsidR="00000508" w:rsidRPr="000414BB">
        <w:t>the acute pain setting</w:t>
      </w:r>
      <w:r w:rsidR="008E16B7" w:rsidRPr="000414BB">
        <w:t>.</w:t>
      </w:r>
      <w:r w:rsidR="00067734" w:rsidRPr="000414BB">
        <w:t xml:space="preserve"> </w:t>
      </w:r>
    </w:p>
    <w:p w:rsidR="00E22F6D" w:rsidRPr="000414BB" w:rsidRDefault="00067734" w:rsidP="00E22F6D">
      <w:pPr>
        <w:numPr>
          <w:ilvl w:val="1"/>
          <w:numId w:val="1"/>
        </w:numPr>
        <w:spacing w:after="120"/>
        <w:rPr>
          <w:rFonts w:asciiTheme="minorHAnsi" w:hAnsiTheme="minorHAnsi"/>
          <w:bCs/>
          <w:lang w:val="en-GB"/>
        </w:rPr>
      </w:pPr>
      <w:r w:rsidRPr="000414BB">
        <w:t xml:space="preserve">The PBAC noted that a number of </w:t>
      </w:r>
      <w:r w:rsidR="00AD509B">
        <w:t xml:space="preserve">substantial </w:t>
      </w:r>
      <w:r w:rsidRPr="000414BB">
        <w:t xml:space="preserve">QUM issues were raised </w:t>
      </w:r>
      <w:r w:rsidR="000414BB" w:rsidRPr="000414BB">
        <w:t>including the questionable clinical place for</w:t>
      </w:r>
      <w:r w:rsidRPr="000414BB">
        <w:t xml:space="preserve"> the FDC of tramadol 37.5 mg/paracetamol 325 mg</w:t>
      </w:r>
      <w:r w:rsidR="000414BB" w:rsidRPr="000414BB">
        <w:t>, the</w:t>
      </w:r>
      <w:r w:rsidRPr="000414BB">
        <w:t xml:space="preserve"> potential for abuse, the risk of overdose or underutilisation of paracetamol, inappropriate conversion to chronic use, </w:t>
      </w:r>
      <w:r w:rsidR="000414BB" w:rsidRPr="000414BB">
        <w:t xml:space="preserve">AEs and drug-drug interactions that were not addressed in the submission. Overall the PBAC did not accept that there is a clinical place for proposed drug on the PBS, and considered that the clinical claim, costs and offsets were not supported because the comparator presented was </w:t>
      </w:r>
      <w:r w:rsidR="000414BB" w:rsidRPr="000414BB">
        <w:lastRenderedPageBreak/>
        <w:t xml:space="preserve">inappropriate. </w:t>
      </w:r>
      <w:r w:rsidR="000414BB">
        <w:t xml:space="preserve">The PBAC considered that it is unlikely that these issues could be adequately addressed in a resubmission. </w:t>
      </w:r>
    </w:p>
    <w:p w:rsidR="006337DE" w:rsidRPr="006337DE" w:rsidRDefault="00E22F6D" w:rsidP="006337DE">
      <w:pPr>
        <w:numPr>
          <w:ilvl w:val="1"/>
          <w:numId w:val="1"/>
        </w:numPr>
        <w:spacing w:after="120"/>
        <w:rPr>
          <w:rFonts w:asciiTheme="minorHAnsi" w:hAnsiTheme="minorHAnsi"/>
          <w:bCs/>
          <w:i/>
          <w:lang w:val="en-GB"/>
        </w:rPr>
      </w:pPr>
      <w:r w:rsidRPr="000414BB">
        <w:rPr>
          <w:rFonts w:asciiTheme="minorHAnsi" w:hAnsiTheme="minorHAnsi"/>
          <w:bCs/>
          <w:lang w:val="en-GB"/>
        </w:rPr>
        <w:t>The PBAC noted</w:t>
      </w:r>
      <w:r w:rsidR="006337DE" w:rsidRPr="000414BB">
        <w:rPr>
          <w:rFonts w:asciiTheme="minorHAnsi" w:hAnsiTheme="minorHAnsi"/>
          <w:bCs/>
          <w:lang w:val="en-GB"/>
        </w:rPr>
        <w:t xml:space="preserve"> that</w:t>
      </w:r>
      <w:r w:rsidR="006337DE" w:rsidRPr="006337DE">
        <w:rPr>
          <w:rFonts w:asciiTheme="minorHAnsi" w:hAnsiTheme="minorHAnsi"/>
          <w:bCs/>
          <w:lang w:val="en-GB"/>
        </w:rPr>
        <w:t xml:space="preserve"> this submission is </w:t>
      </w:r>
      <w:r w:rsidRPr="006337DE">
        <w:rPr>
          <w:rFonts w:asciiTheme="minorHAnsi" w:hAnsiTheme="minorHAnsi"/>
          <w:bCs/>
          <w:lang w:val="en-GB"/>
        </w:rPr>
        <w:t>elig</w:t>
      </w:r>
      <w:r w:rsidR="0008707F">
        <w:rPr>
          <w:rFonts w:asciiTheme="minorHAnsi" w:hAnsiTheme="minorHAnsi"/>
          <w:bCs/>
          <w:lang w:val="en-GB"/>
        </w:rPr>
        <w:t>ible for an Independent Review.</w:t>
      </w:r>
    </w:p>
    <w:p w:rsidR="00E22F6D" w:rsidRPr="000414BB" w:rsidRDefault="00E22F6D" w:rsidP="00E22F6D">
      <w:pPr>
        <w:spacing w:before="240"/>
        <w:rPr>
          <w:rFonts w:asciiTheme="minorHAnsi" w:hAnsiTheme="minorHAnsi"/>
          <w:b/>
          <w:bCs/>
          <w:lang w:val="en-GB"/>
        </w:rPr>
      </w:pPr>
      <w:r w:rsidRPr="000414BB">
        <w:rPr>
          <w:rFonts w:asciiTheme="minorHAnsi" w:hAnsiTheme="minorHAnsi"/>
          <w:b/>
          <w:bCs/>
          <w:lang w:val="en-GB"/>
        </w:rPr>
        <w:t>Outcome:</w:t>
      </w:r>
    </w:p>
    <w:p w:rsidR="00E22F6D" w:rsidRPr="000414BB" w:rsidRDefault="006337DE" w:rsidP="00E22F6D">
      <w:pPr>
        <w:rPr>
          <w:rFonts w:asciiTheme="minorHAnsi" w:hAnsiTheme="minorHAnsi"/>
          <w:bCs/>
          <w:lang w:val="en-GB"/>
        </w:rPr>
      </w:pPr>
      <w:r w:rsidRPr="000414BB">
        <w:rPr>
          <w:rFonts w:asciiTheme="minorHAnsi" w:hAnsiTheme="minorHAnsi"/>
          <w:bCs/>
          <w:lang w:val="en-GB"/>
        </w:rPr>
        <w:t>Rejected</w:t>
      </w:r>
    </w:p>
    <w:p w:rsidR="00E22F6D" w:rsidRPr="000414BB" w:rsidRDefault="00E22F6D" w:rsidP="00E22F6D">
      <w:pPr>
        <w:rPr>
          <w:rFonts w:asciiTheme="minorHAnsi" w:hAnsiTheme="minorHAnsi"/>
          <w:b/>
          <w:bCs/>
        </w:rPr>
      </w:pPr>
    </w:p>
    <w:p w:rsidR="003529F7" w:rsidRPr="003529F7" w:rsidRDefault="003529F7" w:rsidP="002417B9">
      <w:pPr>
        <w:pStyle w:val="Heading1"/>
        <w:rPr>
          <w:rFonts w:eastAsiaTheme="minorHAnsi"/>
          <w:snapToGrid/>
        </w:rPr>
      </w:pPr>
      <w:r w:rsidRPr="003529F7">
        <w:rPr>
          <w:rFonts w:eastAsiaTheme="minorHAnsi"/>
          <w:snapToGrid/>
        </w:rPr>
        <w:t>Context for Decision</w:t>
      </w:r>
    </w:p>
    <w:p w:rsidR="003529F7" w:rsidRDefault="003529F7" w:rsidP="002417B9">
      <w:pPr>
        <w:widowControl/>
        <w:rPr>
          <w:rFonts w:asciiTheme="minorHAnsi" w:eastAsiaTheme="minorHAnsi" w:hAnsiTheme="minorHAnsi"/>
          <w:snapToGrid/>
        </w:rPr>
      </w:pPr>
      <w:r w:rsidRPr="003529F7">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05D6A" w:rsidRPr="003529F7" w:rsidRDefault="00905D6A" w:rsidP="003529F7">
      <w:pPr>
        <w:widowControl/>
        <w:spacing w:line="276" w:lineRule="auto"/>
        <w:ind w:left="426"/>
        <w:rPr>
          <w:rFonts w:asciiTheme="minorHAnsi" w:eastAsiaTheme="minorHAnsi" w:hAnsiTheme="minorHAnsi"/>
          <w:snapToGrid/>
        </w:rPr>
      </w:pPr>
    </w:p>
    <w:p w:rsidR="003529F7" w:rsidRPr="003529F7" w:rsidRDefault="003529F7" w:rsidP="002417B9">
      <w:pPr>
        <w:pStyle w:val="Heading1"/>
        <w:rPr>
          <w:rFonts w:eastAsiaTheme="minorHAnsi"/>
          <w:snapToGrid/>
        </w:rPr>
      </w:pPr>
      <w:r w:rsidRPr="003529F7">
        <w:rPr>
          <w:rFonts w:eastAsiaTheme="minorHAnsi"/>
          <w:snapToGrid/>
        </w:rPr>
        <w:t xml:space="preserve"> Sponsor’s Comment</w:t>
      </w:r>
    </w:p>
    <w:p w:rsidR="00E22F6D" w:rsidRPr="00C11C77" w:rsidRDefault="001516AE" w:rsidP="002417B9">
      <w:pPr>
        <w:widowControl/>
        <w:spacing w:after="120"/>
        <w:rPr>
          <w:rFonts w:asciiTheme="minorHAnsi" w:eastAsiaTheme="minorHAnsi" w:hAnsiTheme="minorHAnsi"/>
          <w:bCs/>
          <w:snapToGrid/>
        </w:rPr>
      </w:pPr>
      <w:r w:rsidRPr="001516AE">
        <w:rPr>
          <w:rFonts w:asciiTheme="minorHAnsi" w:eastAsiaTheme="minorHAnsi" w:hAnsiTheme="minorHAnsi"/>
          <w:bCs/>
          <w:snapToGrid/>
          <w:lang w:val="en-GB"/>
        </w:rPr>
        <w:t xml:space="preserve">Aspen continues to believe there is a clinical place for fixed dose combination analgesics for acute pain management, in particular </w:t>
      </w:r>
      <w:proofErr w:type="spellStart"/>
      <w:r w:rsidRPr="001516AE">
        <w:rPr>
          <w:rFonts w:asciiTheme="minorHAnsi" w:eastAsiaTheme="minorHAnsi" w:hAnsiTheme="minorHAnsi"/>
          <w:bCs/>
          <w:snapToGrid/>
          <w:lang w:val="en-GB"/>
        </w:rPr>
        <w:t>Zaldiar</w:t>
      </w:r>
      <w:proofErr w:type="spellEnd"/>
      <w:r w:rsidRPr="001516AE">
        <w:rPr>
          <w:rFonts w:asciiTheme="minorHAnsi" w:eastAsiaTheme="minorHAnsi" w:hAnsiTheme="minorHAnsi"/>
          <w:bCs/>
          <w:snapToGrid/>
          <w:lang w:val="en-GB"/>
        </w:rPr>
        <w:t xml:space="preserve">. </w:t>
      </w:r>
      <w:proofErr w:type="spellStart"/>
      <w:r w:rsidRPr="001516AE">
        <w:rPr>
          <w:rFonts w:asciiTheme="minorHAnsi" w:eastAsiaTheme="minorHAnsi" w:hAnsiTheme="minorHAnsi"/>
          <w:bCs/>
          <w:snapToGrid/>
          <w:lang w:val="en-GB"/>
        </w:rPr>
        <w:t>Zaldiar</w:t>
      </w:r>
      <w:proofErr w:type="spellEnd"/>
      <w:r w:rsidRPr="001516AE">
        <w:rPr>
          <w:rFonts w:asciiTheme="minorHAnsi" w:eastAsiaTheme="minorHAnsi" w:hAnsiTheme="minorHAnsi"/>
          <w:bCs/>
          <w:snapToGrid/>
          <w:lang w:val="en-GB"/>
        </w:rPr>
        <w:t xml:space="preserve"> has proven efficacy and superior ADRs/AEs profile compared to tramadol 50mg IR capsules, which provides doctors with an opt</w:t>
      </w:r>
      <w:r w:rsidR="00C11C77">
        <w:rPr>
          <w:rFonts w:asciiTheme="minorHAnsi" w:eastAsiaTheme="minorHAnsi" w:hAnsiTheme="minorHAnsi"/>
          <w:bCs/>
          <w:snapToGrid/>
          <w:lang w:val="en-GB"/>
        </w:rPr>
        <w:t>ion for acute pain management.</w:t>
      </w:r>
      <w:bookmarkStart w:id="15" w:name="_GoBack"/>
      <w:bookmarkEnd w:id="15"/>
    </w:p>
    <w:sectPr w:rsidR="00E22F6D" w:rsidRPr="00C11C77"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B8C" w:rsidRDefault="00060B8C" w:rsidP="00124A51">
      <w:r>
        <w:separator/>
      </w:r>
    </w:p>
    <w:p w:rsidR="00060B8C" w:rsidRDefault="00060B8C"/>
  </w:endnote>
  <w:endnote w:type="continuationSeparator" w:id="0">
    <w:p w:rsidR="00060B8C" w:rsidRDefault="00060B8C" w:rsidP="00124A51">
      <w:r>
        <w:continuationSeparator/>
      </w:r>
    </w:p>
    <w:p w:rsidR="00060B8C" w:rsidRDefault="00060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77" w:rsidRDefault="00C11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228201"/>
      <w:docPartObj>
        <w:docPartGallery w:val="Page Numbers (Bottom of Page)"/>
        <w:docPartUnique/>
      </w:docPartObj>
    </w:sdtPr>
    <w:sdtEndPr>
      <w:rPr>
        <w:noProof/>
      </w:rPr>
    </w:sdtEndPr>
    <w:sdtContent>
      <w:p w:rsidR="003A6228" w:rsidRDefault="003A6228">
        <w:pPr>
          <w:pStyle w:val="Footer"/>
          <w:jc w:val="center"/>
        </w:pPr>
        <w:r>
          <w:fldChar w:fldCharType="begin"/>
        </w:r>
        <w:r>
          <w:instrText xml:space="preserve"> PAGE   \* MERGEFORMAT </w:instrText>
        </w:r>
        <w:r>
          <w:fldChar w:fldCharType="separate"/>
        </w:r>
        <w:r w:rsidR="002417B9">
          <w:rPr>
            <w:noProof/>
          </w:rPr>
          <w:t>28</w:t>
        </w:r>
        <w:r>
          <w:rPr>
            <w:noProof/>
          </w:rPr>
          <w:fldChar w:fldCharType="end"/>
        </w:r>
      </w:p>
    </w:sdtContent>
  </w:sdt>
  <w:p w:rsidR="003A6228" w:rsidRPr="007C1CD9" w:rsidRDefault="003A6228" w:rsidP="00015886">
    <w:pPr>
      <w:ind w:right="360"/>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77" w:rsidRDefault="00C11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B8C" w:rsidRDefault="00060B8C" w:rsidP="00124A51">
      <w:r>
        <w:separator/>
      </w:r>
    </w:p>
    <w:p w:rsidR="00060B8C" w:rsidRDefault="00060B8C"/>
  </w:footnote>
  <w:footnote w:type="continuationSeparator" w:id="0">
    <w:p w:rsidR="00060B8C" w:rsidRDefault="00060B8C" w:rsidP="00124A51">
      <w:r>
        <w:continuationSeparator/>
      </w:r>
    </w:p>
    <w:p w:rsidR="00060B8C" w:rsidRDefault="00060B8C"/>
  </w:footnote>
  <w:footnote w:id="1">
    <w:p w:rsidR="003A6228" w:rsidRDefault="003A6228">
      <w:pPr>
        <w:pStyle w:val="FootnoteText"/>
      </w:pPr>
      <w:r>
        <w:rPr>
          <w:rStyle w:val="FootnoteReference"/>
        </w:rPr>
        <w:footnoteRef/>
      </w:r>
      <w:r>
        <w:t xml:space="preserve"> </w:t>
      </w:r>
      <w:r w:rsidRPr="00781D97">
        <w:t>Other matters, 2016-03, March 2016 PBAC Meeting, URL: www.pbs.gov.au/industry/listing/elements/pbac-meetings/pbac-outcomes/2016-03/other-matters-2016-03.docx</w:t>
      </w:r>
    </w:p>
  </w:footnote>
  <w:footnote w:id="2">
    <w:p w:rsidR="003A6228" w:rsidRPr="00FA0516" w:rsidRDefault="003A6228" w:rsidP="00FA0516">
      <w:pPr>
        <w:pStyle w:val="EndnoteText"/>
        <w:ind w:left="-284"/>
        <w:rPr>
          <w:sz w:val="18"/>
          <w:szCs w:val="18"/>
        </w:rPr>
      </w:pPr>
      <w:r w:rsidRPr="00FA0516">
        <w:rPr>
          <w:rStyle w:val="FootnoteReference"/>
          <w:sz w:val="18"/>
          <w:szCs w:val="18"/>
        </w:rPr>
        <w:footnoteRef/>
      </w:r>
      <w:r w:rsidRPr="00FA0516">
        <w:rPr>
          <w:sz w:val="18"/>
          <w:szCs w:val="18"/>
        </w:rPr>
        <w:t xml:space="preserve"> </w:t>
      </w:r>
      <w:proofErr w:type="spellStart"/>
      <w:r w:rsidRPr="00FA0516">
        <w:rPr>
          <w:sz w:val="18"/>
          <w:szCs w:val="18"/>
        </w:rPr>
        <w:t>Sawaddiruk</w:t>
      </w:r>
      <w:proofErr w:type="spellEnd"/>
      <w:r w:rsidRPr="00FA0516">
        <w:rPr>
          <w:sz w:val="18"/>
          <w:szCs w:val="18"/>
        </w:rPr>
        <w:t xml:space="preserve">, </w:t>
      </w:r>
      <w:proofErr w:type="spellStart"/>
      <w:r w:rsidRPr="00FA0516">
        <w:rPr>
          <w:sz w:val="18"/>
          <w:szCs w:val="18"/>
        </w:rPr>
        <w:t>Paibonworachat</w:t>
      </w:r>
      <w:proofErr w:type="spellEnd"/>
      <w:r w:rsidRPr="00FA0516">
        <w:rPr>
          <w:sz w:val="18"/>
          <w:szCs w:val="18"/>
        </w:rPr>
        <w:t xml:space="preserve"> et al. (2010). </w:t>
      </w:r>
      <w:proofErr w:type="gramStart"/>
      <w:r w:rsidRPr="00FA0516">
        <w:rPr>
          <w:sz w:val="18"/>
          <w:szCs w:val="18"/>
        </w:rPr>
        <w:t>Comparison of Efficacy and Effectiveness between ULTRACET</w:t>
      </w:r>
      <w:r w:rsidRPr="00FA0516">
        <w:rPr>
          <w:sz w:val="18"/>
          <w:szCs w:val="18"/>
          <w:vertAlign w:val="superscript"/>
        </w:rPr>
        <w:t xml:space="preserve"> TM</w:t>
      </w:r>
      <w:r w:rsidRPr="00FA0516">
        <w:rPr>
          <w:sz w:val="18"/>
          <w:szCs w:val="18"/>
        </w:rPr>
        <w:t xml:space="preserve"> and Tramadol/Acetaminophen in Acute Postoperative Pain after Upper Extremity Surgery.</w:t>
      </w:r>
      <w:proofErr w:type="gramEnd"/>
      <w:r w:rsidRPr="00FA0516">
        <w:rPr>
          <w:sz w:val="18"/>
          <w:szCs w:val="18"/>
        </w:rPr>
        <w:t xml:space="preserve"> J Med </w:t>
      </w:r>
      <w:proofErr w:type="spellStart"/>
      <w:r w:rsidRPr="00FA0516">
        <w:rPr>
          <w:sz w:val="18"/>
          <w:szCs w:val="18"/>
        </w:rPr>
        <w:t>Assoc</w:t>
      </w:r>
      <w:proofErr w:type="spellEnd"/>
      <w:r w:rsidRPr="00FA0516">
        <w:rPr>
          <w:sz w:val="18"/>
          <w:szCs w:val="18"/>
        </w:rPr>
        <w:t xml:space="preserve"> Thai; 93(7): 821-7.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77" w:rsidRDefault="00C11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28" w:rsidRPr="00B84D95" w:rsidRDefault="003A6228" w:rsidP="00B84D95">
    <w:pPr>
      <w:pStyle w:val="Header"/>
      <w:jc w:val="center"/>
      <w:rPr>
        <w:i/>
        <w:color w:val="808080" w:themeColor="background1" w:themeShade="80"/>
      </w:rPr>
    </w:pPr>
    <w:r>
      <w:rPr>
        <w:i/>
        <w:color w:val="808080" w:themeColor="background1" w:themeShade="80"/>
      </w:rPr>
      <w:t>Public Summary Document</w:t>
    </w:r>
    <w:r w:rsidRPr="00B84D95">
      <w:rPr>
        <w:i/>
        <w:color w:val="808080" w:themeColor="background1" w:themeShade="80"/>
      </w:rPr>
      <w:t xml:space="preserve"> </w:t>
    </w:r>
    <w:r>
      <w:rPr>
        <w:i/>
        <w:color w:val="808080" w:themeColor="background1" w:themeShade="80"/>
      </w:rPr>
      <w:t>-</w:t>
    </w:r>
    <w:r w:rsidRPr="00B84D95">
      <w:rPr>
        <w:i/>
        <w:color w:val="808080" w:themeColor="background1" w:themeShade="80"/>
      </w:rPr>
      <w:t xml:space="preserve"> March 2018 PBAC Meeting</w:t>
    </w:r>
  </w:p>
  <w:p w:rsidR="003A6228" w:rsidRPr="008C7ECB" w:rsidRDefault="003A62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77" w:rsidRDefault="00C11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B6CF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3E2B7F"/>
    <w:multiLevelType w:val="hybridMultilevel"/>
    <w:tmpl w:val="E41479B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9836CA6"/>
    <w:multiLevelType w:val="hybridMultilevel"/>
    <w:tmpl w:val="E71CC296"/>
    <w:lvl w:ilvl="0" w:tplc="7278E98E">
      <w:start w:val="1"/>
      <w:numFmt w:val="bullet"/>
      <w:pStyle w:val="Tablebp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8719E2"/>
    <w:multiLevelType w:val="hybridMultilevel"/>
    <w:tmpl w:val="3E7C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5041AE"/>
    <w:multiLevelType w:val="hybridMultilevel"/>
    <w:tmpl w:val="C6183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8">
    <w:nsid w:val="2B230945"/>
    <w:multiLevelType w:val="hybridMultilevel"/>
    <w:tmpl w:val="9CF62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193648"/>
    <w:multiLevelType w:val="hybridMultilevel"/>
    <w:tmpl w:val="4FAE1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D25535"/>
    <w:multiLevelType w:val="multilevel"/>
    <w:tmpl w:val="741CF492"/>
    <w:styleLink w:val="BulletLORENZaB"/>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6A33C1"/>
    <w:multiLevelType w:val="hybridMultilevel"/>
    <w:tmpl w:val="4C388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AA1899"/>
    <w:multiLevelType w:val="hybridMultilevel"/>
    <w:tmpl w:val="78D85CB4"/>
    <w:lvl w:ilvl="0" w:tplc="DB4EC788">
      <w:start w:val="1"/>
      <w:numFmt w:val="bullet"/>
      <w:pStyle w:val="KMC16-BulletLis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391912"/>
    <w:multiLevelType w:val="hybridMultilevel"/>
    <w:tmpl w:val="ED14D584"/>
    <w:lvl w:ilvl="0" w:tplc="DEBEAB3A">
      <w:start w:val="1"/>
      <w:numFmt w:val="bullet"/>
      <w:lvlText w:val="•"/>
      <w:lvlJc w:val="left"/>
      <w:pPr>
        <w:tabs>
          <w:tab w:val="num" w:pos="720"/>
        </w:tabs>
        <w:ind w:left="720" w:hanging="360"/>
      </w:pPr>
      <w:rPr>
        <w:rFonts w:ascii="Arial" w:hAnsi="Arial" w:hint="default"/>
      </w:rPr>
    </w:lvl>
    <w:lvl w:ilvl="1" w:tplc="79E49E10" w:tentative="1">
      <w:start w:val="1"/>
      <w:numFmt w:val="bullet"/>
      <w:lvlText w:val="•"/>
      <w:lvlJc w:val="left"/>
      <w:pPr>
        <w:tabs>
          <w:tab w:val="num" w:pos="1440"/>
        </w:tabs>
        <w:ind w:left="1440" w:hanging="360"/>
      </w:pPr>
      <w:rPr>
        <w:rFonts w:ascii="Arial" w:hAnsi="Arial" w:hint="default"/>
      </w:rPr>
    </w:lvl>
    <w:lvl w:ilvl="2" w:tplc="3F18FE48">
      <w:start w:val="1"/>
      <w:numFmt w:val="bullet"/>
      <w:lvlText w:val="•"/>
      <w:lvlJc w:val="left"/>
      <w:pPr>
        <w:tabs>
          <w:tab w:val="num" w:pos="2160"/>
        </w:tabs>
        <w:ind w:left="2160" w:hanging="360"/>
      </w:pPr>
      <w:rPr>
        <w:rFonts w:ascii="Arial" w:hAnsi="Arial" w:hint="default"/>
      </w:rPr>
    </w:lvl>
    <w:lvl w:ilvl="3" w:tplc="C2CC9822" w:tentative="1">
      <w:start w:val="1"/>
      <w:numFmt w:val="bullet"/>
      <w:lvlText w:val="•"/>
      <w:lvlJc w:val="left"/>
      <w:pPr>
        <w:tabs>
          <w:tab w:val="num" w:pos="2880"/>
        </w:tabs>
        <w:ind w:left="2880" w:hanging="360"/>
      </w:pPr>
      <w:rPr>
        <w:rFonts w:ascii="Arial" w:hAnsi="Arial" w:hint="default"/>
      </w:rPr>
    </w:lvl>
    <w:lvl w:ilvl="4" w:tplc="ED2AEB5A" w:tentative="1">
      <w:start w:val="1"/>
      <w:numFmt w:val="bullet"/>
      <w:lvlText w:val="•"/>
      <w:lvlJc w:val="left"/>
      <w:pPr>
        <w:tabs>
          <w:tab w:val="num" w:pos="3600"/>
        </w:tabs>
        <w:ind w:left="3600" w:hanging="360"/>
      </w:pPr>
      <w:rPr>
        <w:rFonts w:ascii="Arial" w:hAnsi="Arial" w:hint="default"/>
      </w:rPr>
    </w:lvl>
    <w:lvl w:ilvl="5" w:tplc="5EEE2BBC" w:tentative="1">
      <w:start w:val="1"/>
      <w:numFmt w:val="bullet"/>
      <w:lvlText w:val="•"/>
      <w:lvlJc w:val="left"/>
      <w:pPr>
        <w:tabs>
          <w:tab w:val="num" w:pos="4320"/>
        </w:tabs>
        <w:ind w:left="4320" w:hanging="360"/>
      </w:pPr>
      <w:rPr>
        <w:rFonts w:ascii="Arial" w:hAnsi="Arial" w:hint="default"/>
      </w:rPr>
    </w:lvl>
    <w:lvl w:ilvl="6" w:tplc="29B09B50" w:tentative="1">
      <w:start w:val="1"/>
      <w:numFmt w:val="bullet"/>
      <w:lvlText w:val="•"/>
      <w:lvlJc w:val="left"/>
      <w:pPr>
        <w:tabs>
          <w:tab w:val="num" w:pos="5040"/>
        </w:tabs>
        <w:ind w:left="5040" w:hanging="360"/>
      </w:pPr>
      <w:rPr>
        <w:rFonts w:ascii="Arial" w:hAnsi="Arial" w:hint="default"/>
      </w:rPr>
    </w:lvl>
    <w:lvl w:ilvl="7" w:tplc="F95E3B94" w:tentative="1">
      <w:start w:val="1"/>
      <w:numFmt w:val="bullet"/>
      <w:lvlText w:val="•"/>
      <w:lvlJc w:val="left"/>
      <w:pPr>
        <w:tabs>
          <w:tab w:val="num" w:pos="5760"/>
        </w:tabs>
        <w:ind w:left="5760" w:hanging="360"/>
      </w:pPr>
      <w:rPr>
        <w:rFonts w:ascii="Arial" w:hAnsi="Arial" w:hint="default"/>
      </w:rPr>
    </w:lvl>
    <w:lvl w:ilvl="8" w:tplc="1F8A610E" w:tentative="1">
      <w:start w:val="1"/>
      <w:numFmt w:val="bullet"/>
      <w:lvlText w:val="•"/>
      <w:lvlJc w:val="left"/>
      <w:pPr>
        <w:tabs>
          <w:tab w:val="num" w:pos="6480"/>
        </w:tabs>
        <w:ind w:left="6480" w:hanging="360"/>
      </w:pPr>
      <w:rPr>
        <w:rFonts w:ascii="Arial" w:hAnsi="Arial" w:hint="default"/>
      </w:rPr>
    </w:lvl>
  </w:abstractNum>
  <w:abstractNum w:abstractNumId="16">
    <w:nsid w:val="65AF3F52"/>
    <w:multiLevelType w:val="hybridMultilevel"/>
    <w:tmpl w:val="CDE41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4E64F2"/>
    <w:multiLevelType w:val="hybridMultilevel"/>
    <w:tmpl w:val="80AA711E"/>
    <w:lvl w:ilvl="0" w:tplc="53A0BB6A">
      <w:start w:val="1"/>
      <w:numFmt w:val="decimal"/>
      <w:pStyle w:val="KMC16-NumLists"/>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8">
    <w:nsid w:val="764C112B"/>
    <w:multiLevelType w:val="multilevel"/>
    <w:tmpl w:val="9E50F49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84D033C"/>
    <w:multiLevelType w:val="multilevel"/>
    <w:tmpl w:val="3AE24E2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9"/>
  </w:num>
  <w:num w:numId="3">
    <w:abstractNumId w:val="8"/>
  </w:num>
  <w:num w:numId="4">
    <w:abstractNumId w:val="17"/>
  </w:num>
  <w:num w:numId="5">
    <w:abstractNumId w:val="11"/>
  </w:num>
  <w:num w:numId="6">
    <w:abstractNumId w:val="0"/>
  </w:num>
  <w:num w:numId="7">
    <w:abstractNumId w:val="4"/>
  </w:num>
  <w:num w:numId="8">
    <w:abstractNumId w:val="14"/>
  </w:num>
  <w:num w:numId="9">
    <w:abstractNumId w:val="18"/>
  </w:num>
  <w:num w:numId="10">
    <w:abstractNumId w:val="2"/>
  </w:num>
  <w:num w:numId="11">
    <w:abstractNumId w:val="7"/>
  </w:num>
  <w:num w:numId="12">
    <w:abstractNumId w:val="10"/>
  </w:num>
  <w:num w:numId="13">
    <w:abstractNumId w:val="16"/>
  </w:num>
  <w:num w:numId="14">
    <w:abstractNumId w:val="12"/>
  </w:num>
  <w:num w:numId="15">
    <w:abstractNumId w:val="3"/>
  </w:num>
  <w:num w:numId="16">
    <w:abstractNumId w:val="1"/>
  </w:num>
  <w:num w:numId="17">
    <w:abstractNumId w:val="6"/>
  </w:num>
  <w:num w:numId="18">
    <w:abstractNumId w:val="15"/>
  </w:num>
  <w:num w:numId="19">
    <w:abstractNumId w:val="13"/>
  </w:num>
  <w:num w:numId="20">
    <w:abstractNumId w:val="5"/>
  </w:num>
  <w:num w:numId="21">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Burke">
    <w15:presenceInfo w15:providerId="Windows Live" w15:userId="5cbc78d6711c4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1MTY1MzS2MLIEMpR0lIJTi4sz8/NACgxrAWfwkY0sAAAA"/>
  </w:docVars>
  <w:rsids>
    <w:rsidRoot w:val="00E65E79"/>
    <w:rsid w:val="00000508"/>
    <w:rsid w:val="00000694"/>
    <w:rsid w:val="00000790"/>
    <w:rsid w:val="0000081F"/>
    <w:rsid w:val="0000089E"/>
    <w:rsid w:val="000009B3"/>
    <w:rsid w:val="00000EB6"/>
    <w:rsid w:val="0000106C"/>
    <w:rsid w:val="0000110B"/>
    <w:rsid w:val="000013B6"/>
    <w:rsid w:val="00001545"/>
    <w:rsid w:val="000016F8"/>
    <w:rsid w:val="0000178F"/>
    <w:rsid w:val="00001BB0"/>
    <w:rsid w:val="00001DFD"/>
    <w:rsid w:val="0000202E"/>
    <w:rsid w:val="000021DF"/>
    <w:rsid w:val="00002365"/>
    <w:rsid w:val="000023A5"/>
    <w:rsid w:val="00002928"/>
    <w:rsid w:val="00003499"/>
    <w:rsid w:val="00003641"/>
    <w:rsid w:val="000037AD"/>
    <w:rsid w:val="000038D3"/>
    <w:rsid w:val="000039B7"/>
    <w:rsid w:val="00003FA4"/>
    <w:rsid w:val="00004165"/>
    <w:rsid w:val="00004276"/>
    <w:rsid w:val="00004342"/>
    <w:rsid w:val="0000460E"/>
    <w:rsid w:val="0000487E"/>
    <w:rsid w:val="00004A66"/>
    <w:rsid w:val="000053A7"/>
    <w:rsid w:val="000053B1"/>
    <w:rsid w:val="00005434"/>
    <w:rsid w:val="000058EC"/>
    <w:rsid w:val="00005A18"/>
    <w:rsid w:val="00005C28"/>
    <w:rsid w:val="00005FD0"/>
    <w:rsid w:val="0000613E"/>
    <w:rsid w:val="00006224"/>
    <w:rsid w:val="0000660A"/>
    <w:rsid w:val="0000686D"/>
    <w:rsid w:val="00006AF9"/>
    <w:rsid w:val="00006D67"/>
    <w:rsid w:val="00007022"/>
    <w:rsid w:val="00007055"/>
    <w:rsid w:val="000070FF"/>
    <w:rsid w:val="000073AB"/>
    <w:rsid w:val="0000749A"/>
    <w:rsid w:val="000075B6"/>
    <w:rsid w:val="000075C0"/>
    <w:rsid w:val="000075C9"/>
    <w:rsid w:val="0000778A"/>
    <w:rsid w:val="00007E53"/>
    <w:rsid w:val="00007E58"/>
    <w:rsid w:val="000106C7"/>
    <w:rsid w:val="00010B6D"/>
    <w:rsid w:val="00010BB7"/>
    <w:rsid w:val="00010DFE"/>
    <w:rsid w:val="00010EDA"/>
    <w:rsid w:val="000121D2"/>
    <w:rsid w:val="00012B49"/>
    <w:rsid w:val="00013184"/>
    <w:rsid w:val="00013247"/>
    <w:rsid w:val="000133FF"/>
    <w:rsid w:val="000134E6"/>
    <w:rsid w:val="00013817"/>
    <w:rsid w:val="00013B56"/>
    <w:rsid w:val="00014020"/>
    <w:rsid w:val="00014362"/>
    <w:rsid w:val="000143B2"/>
    <w:rsid w:val="0001461F"/>
    <w:rsid w:val="00014A28"/>
    <w:rsid w:val="00014B58"/>
    <w:rsid w:val="00014BB6"/>
    <w:rsid w:val="00014D46"/>
    <w:rsid w:val="000150A8"/>
    <w:rsid w:val="0001514F"/>
    <w:rsid w:val="0001568E"/>
    <w:rsid w:val="000156D2"/>
    <w:rsid w:val="00015886"/>
    <w:rsid w:val="00015E51"/>
    <w:rsid w:val="00015EF7"/>
    <w:rsid w:val="000162EF"/>
    <w:rsid w:val="00016372"/>
    <w:rsid w:val="000164F1"/>
    <w:rsid w:val="00016938"/>
    <w:rsid w:val="00016A62"/>
    <w:rsid w:val="00016AC9"/>
    <w:rsid w:val="00016AF9"/>
    <w:rsid w:val="00016B26"/>
    <w:rsid w:val="00016B81"/>
    <w:rsid w:val="00016C6A"/>
    <w:rsid w:val="000171F1"/>
    <w:rsid w:val="0001725D"/>
    <w:rsid w:val="0001733B"/>
    <w:rsid w:val="00017515"/>
    <w:rsid w:val="00017EF6"/>
    <w:rsid w:val="000200E1"/>
    <w:rsid w:val="0002024F"/>
    <w:rsid w:val="00020676"/>
    <w:rsid w:val="00020ABF"/>
    <w:rsid w:val="0002113B"/>
    <w:rsid w:val="00021213"/>
    <w:rsid w:val="000212DE"/>
    <w:rsid w:val="00021556"/>
    <w:rsid w:val="0002157B"/>
    <w:rsid w:val="0002160B"/>
    <w:rsid w:val="00021645"/>
    <w:rsid w:val="0002173B"/>
    <w:rsid w:val="000217D3"/>
    <w:rsid w:val="00021AE1"/>
    <w:rsid w:val="00021C06"/>
    <w:rsid w:val="00022169"/>
    <w:rsid w:val="0002225F"/>
    <w:rsid w:val="0002282E"/>
    <w:rsid w:val="00022C3D"/>
    <w:rsid w:val="00022F42"/>
    <w:rsid w:val="00023360"/>
    <w:rsid w:val="000233B4"/>
    <w:rsid w:val="00023763"/>
    <w:rsid w:val="00023B25"/>
    <w:rsid w:val="00024467"/>
    <w:rsid w:val="00024B3A"/>
    <w:rsid w:val="00024EA6"/>
    <w:rsid w:val="0002513C"/>
    <w:rsid w:val="00025309"/>
    <w:rsid w:val="000253A7"/>
    <w:rsid w:val="000253DB"/>
    <w:rsid w:val="000254D6"/>
    <w:rsid w:val="00025528"/>
    <w:rsid w:val="000256ED"/>
    <w:rsid w:val="00025BE8"/>
    <w:rsid w:val="00025F13"/>
    <w:rsid w:val="00026103"/>
    <w:rsid w:val="0002616F"/>
    <w:rsid w:val="00026391"/>
    <w:rsid w:val="000263DE"/>
    <w:rsid w:val="00026AA2"/>
    <w:rsid w:val="00026E2C"/>
    <w:rsid w:val="00026F9C"/>
    <w:rsid w:val="00027A9A"/>
    <w:rsid w:val="00027D05"/>
    <w:rsid w:val="00027D32"/>
    <w:rsid w:val="00027FC0"/>
    <w:rsid w:val="000306EA"/>
    <w:rsid w:val="00030803"/>
    <w:rsid w:val="00030D4B"/>
    <w:rsid w:val="00030E5A"/>
    <w:rsid w:val="00030EE1"/>
    <w:rsid w:val="00030FE4"/>
    <w:rsid w:val="000310D2"/>
    <w:rsid w:val="000310FA"/>
    <w:rsid w:val="0003176B"/>
    <w:rsid w:val="00031A9B"/>
    <w:rsid w:val="00031F62"/>
    <w:rsid w:val="0003200D"/>
    <w:rsid w:val="00032377"/>
    <w:rsid w:val="00032443"/>
    <w:rsid w:val="0003255F"/>
    <w:rsid w:val="000327E9"/>
    <w:rsid w:val="000332C9"/>
    <w:rsid w:val="00033863"/>
    <w:rsid w:val="00033929"/>
    <w:rsid w:val="00033A0E"/>
    <w:rsid w:val="00033D9B"/>
    <w:rsid w:val="000341B8"/>
    <w:rsid w:val="00034491"/>
    <w:rsid w:val="0003463E"/>
    <w:rsid w:val="00034733"/>
    <w:rsid w:val="000347E1"/>
    <w:rsid w:val="00034A7A"/>
    <w:rsid w:val="0003524E"/>
    <w:rsid w:val="00035319"/>
    <w:rsid w:val="0003581D"/>
    <w:rsid w:val="0003592F"/>
    <w:rsid w:val="00035A6D"/>
    <w:rsid w:val="00035B12"/>
    <w:rsid w:val="00035C56"/>
    <w:rsid w:val="00035D7C"/>
    <w:rsid w:val="00035DC0"/>
    <w:rsid w:val="00036180"/>
    <w:rsid w:val="000361E9"/>
    <w:rsid w:val="0003642F"/>
    <w:rsid w:val="0003653B"/>
    <w:rsid w:val="000367BF"/>
    <w:rsid w:val="00036829"/>
    <w:rsid w:val="0003691C"/>
    <w:rsid w:val="00036E13"/>
    <w:rsid w:val="00036F37"/>
    <w:rsid w:val="00037005"/>
    <w:rsid w:val="000371D5"/>
    <w:rsid w:val="0003727F"/>
    <w:rsid w:val="00037748"/>
    <w:rsid w:val="00037822"/>
    <w:rsid w:val="00037973"/>
    <w:rsid w:val="00037ECE"/>
    <w:rsid w:val="000407D5"/>
    <w:rsid w:val="00040895"/>
    <w:rsid w:val="000408D5"/>
    <w:rsid w:val="0004093B"/>
    <w:rsid w:val="00040D1E"/>
    <w:rsid w:val="00041004"/>
    <w:rsid w:val="00041013"/>
    <w:rsid w:val="0004105E"/>
    <w:rsid w:val="00041367"/>
    <w:rsid w:val="00041416"/>
    <w:rsid w:val="000414BB"/>
    <w:rsid w:val="00041FEF"/>
    <w:rsid w:val="00041FF3"/>
    <w:rsid w:val="000421F6"/>
    <w:rsid w:val="00042D14"/>
    <w:rsid w:val="00042D30"/>
    <w:rsid w:val="00042F8D"/>
    <w:rsid w:val="0004302C"/>
    <w:rsid w:val="000432D5"/>
    <w:rsid w:val="000438AC"/>
    <w:rsid w:val="00043C37"/>
    <w:rsid w:val="00043DB6"/>
    <w:rsid w:val="0004419A"/>
    <w:rsid w:val="000442F5"/>
    <w:rsid w:val="000444A2"/>
    <w:rsid w:val="00044633"/>
    <w:rsid w:val="00044794"/>
    <w:rsid w:val="00044965"/>
    <w:rsid w:val="00044C61"/>
    <w:rsid w:val="00044CB3"/>
    <w:rsid w:val="00044D5E"/>
    <w:rsid w:val="00045017"/>
    <w:rsid w:val="0004503F"/>
    <w:rsid w:val="00045088"/>
    <w:rsid w:val="00045A2B"/>
    <w:rsid w:val="00045BEA"/>
    <w:rsid w:val="00045DE2"/>
    <w:rsid w:val="00045EFF"/>
    <w:rsid w:val="000461B0"/>
    <w:rsid w:val="00046560"/>
    <w:rsid w:val="000467BA"/>
    <w:rsid w:val="00046821"/>
    <w:rsid w:val="0004698F"/>
    <w:rsid w:val="00046FDB"/>
    <w:rsid w:val="0004706F"/>
    <w:rsid w:val="00047415"/>
    <w:rsid w:val="000474E0"/>
    <w:rsid w:val="00047B58"/>
    <w:rsid w:val="00047BCE"/>
    <w:rsid w:val="00047FE0"/>
    <w:rsid w:val="00050156"/>
    <w:rsid w:val="00050232"/>
    <w:rsid w:val="0005044D"/>
    <w:rsid w:val="00050893"/>
    <w:rsid w:val="00050BCF"/>
    <w:rsid w:val="00050DEA"/>
    <w:rsid w:val="00050DFC"/>
    <w:rsid w:val="00050E59"/>
    <w:rsid w:val="00050FBD"/>
    <w:rsid w:val="000510E5"/>
    <w:rsid w:val="000519CA"/>
    <w:rsid w:val="00051A9C"/>
    <w:rsid w:val="00051AF1"/>
    <w:rsid w:val="00051C2E"/>
    <w:rsid w:val="00051C8C"/>
    <w:rsid w:val="00051D7B"/>
    <w:rsid w:val="00051FF4"/>
    <w:rsid w:val="000521D9"/>
    <w:rsid w:val="000523F3"/>
    <w:rsid w:val="000527C8"/>
    <w:rsid w:val="00052F8E"/>
    <w:rsid w:val="00053737"/>
    <w:rsid w:val="000539D0"/>
    <w:rsid w:val="00053B4B"/>
    <w:rsid w:val="00053C5A"/>
    <w:rsid w:val="00054621"/>
    <w:rsid w:val="000546D7"/>
    <w:rsid w:val="00054D09"/>
    <w:rsid w:val="00054EE3"/>
    <w:rsid w:val="0005571F"/>
    <w:rsid w:val="00055754"/>
    <w:rsid w:val="0005584F"/>
    <w:rsid w:val="00055863"/>
    <w:rsid w:val="00055890"/>
    <w:rsid w:val="0005592A"/>
    <w:rsid w:val="00055B48"/>
    <w:rsid w:val="00055B57"/>
    <w:rsid w:val="00055C1B"/>
    <w:rsid w:val="00055E11"/>
    <w:rsid w:val="00055ED2"/>
    <w:rsid w:val="000565C9"/>
    <w:rsid w:val="00056604"/>
    <w:rsid w:val="0005691F"/>
    <w:rsid w:val="000575A6"/>
    <w:rsid w:val="000579B6"/>
    <w:rsid w:val="00060133"/>
    <w:rsid w:val="000601CB"/>
    <w:rsid w:val="00060399"/>
    <w:rsid w:val="00060499"/>
    <w:rsid w:val="0006076D"/>
    <w:rsid w:val="00060921"/>
    <w:rsid w:val="00060976"/>
    <w:rsid w:val="00060B8C"/>
    <w:rsid w:val="000614CD"/>
    <w:rsid w:val="00061D6C"/>
    <w:rsid w:val="00061D96"/>
    <w:rsid w:val="0006219A"/>
    <w:rsid w:val="00062666"/>
    <w:rsid w:val="000626A6"/>
    <w:rsid w:val="000627E0"/>
    <w:rsid w:val="00062B18"/>
    <w:rsid w:val="00063470"/>
    <w:rsid w:val="000635F6"/>
    <w:rsid w:val="000638A0"/>
    <w:rsid w:val="000638E5"/>
    <w:rsid w:val="00063CD9"/>
    <w:rsid w:val="00063FAE"/>
    <w:rsid w:val="00064015"/>
    <w:rsid w:val="00064128"/>
    <w:rsid w:val="0006418C"/>
    <w:rsid w:val="000641D1"/>
    <w:rsid w:val="0006433E"/>
    <w:rsid w:val="0006436B"/>
    <w:rsid w:val="00064371"/>
    <w:rsid w:val="00064462"/>
    <w:rsid w:val="0006446A"/>
    <w:rsid w:val="000645F8"/>
    <w:rsid w:val="000646AA"/>
    <w:rsid w:val="0006475B"/>
    <w:rsid w:val="000647D9"/>
    <w:rsid w:val="00064926"/>
    <w:rsid w:val="00064CB5"/>
    <w:rsid w:val="00064DA4"/>
    <w:rsid w:val="00065045"/>
    <w:rsid w:val="00065727"/>
    <w:rsid w:val="000662F1"/>
    <w:rsid w:val="00066360"/>
    <w:rsid w:val="000663CF"/>
    <w:rsid w:val="0006641E"/>
    <w:rsid w:val="00066999"/>
    <w:rsid w:val="00066B20"/>
    <w:rsid w:val="00066E2E"/>
    <w:rsid w:val="000671D4"/>
    <w:rsid w:val="000672C2"/>
    <w:rsid w:val="000674D6"/>
    <w:rsid w:val="00067734"/>
    <w:rsid w:val="00070673"/>
    <w:rsid w:val="000707C9"/>
    <w:rsid w:val="0007099C"/>
    <w:rsid w:val="00070E73"/>
    <w:rsid w:val="00070EB6"/>
    <w:rsid w:val="00071193"/>
    <w:rsid w:val="000711E3"/>
    <w:rsid w:val="00071248"/>
    <w:rsid w:val="000714FA"/>
    <w:rsid w:val="000715B1"/>
    <w:rsid w:val="00071673"/>
    <w:rsid w:val="000719B9"/>
    <w:rsid w:val="00071A38"/>
    <w:rsid w:val="00071B2A"/>
    <w:rsid w:val="00071C82"/>
    <w:rsid w:val="000720B9"/>
    <w:rsid w:val="00072513"/>
    <w:rsid w:val="0007256C"/>
    <w:rsid w:val="00072884"/>
    <w:rsid w:val="000729C6"/>
    <w:rsid w:val="00072B7D"/>
    <w:rsid w:val="00072C19"/>
    <w:rsid w:val="0007331D"/>
    <w:rsid w:val="0007354B"/>
    <w:rsid w:val="000737F7"/>
    <w:rsid w:val="0007384F"/>
    <w:rsid w:val="00073D31"/>
    <w:rsid w:val="00073D44"/>
    <w:rsid w:val="00073E0D"/>
    <w:rsid w:val="00074227"/>
    <w:rsid w:val="000748C3"/>
    <w:rsid w:val="000748F0"/>
    <w:rsid w:val="00074951"/>
    <w:rsid w:val="00074FC0"/>
    <w:rsid w:val="00075090"/>
    <w:rsid w:val="0007547A"/>
    <w:rsid w:val="00075503"/>
    <w:rsid w:val="00076107"/>
    <w:rsid w:val="000763EA"/>
    <w:rsid w:val="000764C1"/>
    <w:rsid w:val="000765C3"/>
    <w:rsid w:val="0007672F"/>
    <w:rsid w:val="00076C36"/>
    <w:rsid w:val="00076E96"/>
    <w:rsid w:val="000772C8"/>
    <w:rsid w:val="00077424"/>
    <w:rsid w:val="000774F0"/>
    <w:rsid w:val="00077A6F"/>
    <w:rsid w:val="00077C11"/>
    <w:rsid w:val="000801A8"/>
    <w:rsid w:val="000804CE"/>
    <w:rsid w:val="00080516"/>
    <w:rsid w:val="00080909"/>
    <w:rsid w:val="00080A43"/>
    <w:rsid w:val="00080A9D"/>
    <w:rsid w:val="00080E66"/>
    <w:rsid w:val="000812CA"/>
    <w:rsid w:val="0008139F"/>
    <w:rsid w:val="000813B7"/>
    <w:rsid w:val="00081409"/>
    <w:rsid w:val="000815F5"/>
    <w:rsid w:val="00081B4D"/>
    <w:rsid w:val="00081DBD"/>
    <w:rsid w:val="00081F9C"/>
    <w:rsid w:val="00082016"/>
    <w:rsid w:val="000820CD"/>
    <w:rsid w:val="00082224"/>
    <w:rsid w:val="0008250E"/>
    <w:rsid w:val="0008258D"/>
    <w:rsid w:val="000826BB"/>
    <w:rsid w:val="00082D8D"/>
    <w:rsid w:val="00082ED3"/>
    <w:rsid w:val="000832CC"/>
    <w:rsid w:val="000834A1"/>
    <w:rsid w:val="0008355B"/>
    <w:rsid w:val="000837DD"/>
    <w:rsid w:val="00083B42"/>
    <w:rsid w:val="00083E99"/>
    <w:rsid w:val="00083FFE"/>
    <w:rsid w:val="00084263"/>
    <w:rsid w:val="000844D1"/>
    <w:rsid w:val="000847B9"/>
    <w:rsid w:val="000847DE"/>
    <w:rsid w:val="00084CE9"/>
    <w:rsid w:val="00084D36"/>
    <w:rsid w:val="00084D93"/>
    <w:rsid w:val="00084F02"/>
    <w:rsid w:val="00085044"/>
    <w:rsid w:val="00085097"/>
    <w:rsid w:val="000850BF"/>
    <w:rsid w:val="000854C2"/>
    <w:rsid w:val="000856C5"/>
    <w:rsid w:val="000859B7"/>
    <w:rsid w:val="000859C2"/>
    <w:rsid w:val="00085C78"/>
    <w:rsid w:val="000862A9"/>
    <w:rsid w:val="000865CF"/>
    <w:rsid w:val="000869BD"/>
    <w:rsid w:val="00086D40"/>
    <w:rsid w:val="00086DD9"/>
    <w:rsid w:val="00086E38"/>
    <w:rsid w:val="0008707F"/>
    <w:rsid w:val="0008729B"/>
    <w:rsid w:val="000872E1"/>
    <w:rsid w:val="00087517"/>
    <w:rsid w:val="00087B68"/>
    <w:rsid w:val="00090595"/>
    <w:rsid w:val="00090631"/>
    <w:rsid w:val="000907D7"/>
    <w:rsid w:val="0009088C"/>
    <w:rsid w:val="0009089F"/>
    <w:rsid w:val="00090909"/>
    <w:rsid w:val="00090A06"/>
    <w:rsid w:val="00090C7E"/>
    <w:rsid w:val="00090E50"/>
    <w:rsid w:val="00090E8D"/>
    <w:rsid w:val="00090F12"/>
    <w:rsid w:val="00090FB0"/>
    <w:rsid w:val="00091206"/>
    <w:rsid w:val="000917FF"/>
    <w:rsid w:val="00091843"/>
    <w:rsid w:val="000918B1"/>
    <w:rsid w:val="000919BB"/>
    <w:rsid w:val="00091D71"/>
    <w:rsid w:val="00092600"/>
    <w:rsid w:val="0009262B"/>
    <w:rsid w:val="00092B85"/>
    <w:rsid w:val="00092DA1"/>
    <w:rsid w:val="00092DA7"/>
    <w:rsid w:val="00092E65"/>
    <w:rsid w:val="00092F7F"/>
    <w:rsid w:val="00093310"/>
    <w:rsid w:val="000935EF"/>
    <w:rsid w:val="00093B38"/>
    <w:rsid w:val="000943F9"/>
    <w:rsid w:val="0009445C"/>
    <w:rsid w:val="000949AF"/>
    <w:rsid w:val="00094B61"/>
    <w:rsid w:val="00094E24"/>
    <w:rsid w:val="00095382"/>
    <w:rsid w:val="00095ADB"/>
    <w:rsid w:val="00095B40"/>
    <w:rsid w:val="00095DCE"/>
    <w:rsid w:val="00095F81"/>
    <w:rsid w:val="00095FE5"/>
    <w:rsid w:val="00096284"/>
    <w:rsid w:val="00096762"/>
    <w:rsid w:val="00096C09"/>
    <w:rsid w:val="00096D32"/>
    <w:rsid w:val="000971BF"/>
    <w:rsid w:val="0009722A"/>
    <w:rsid w:val="0009728E"/>
    <w:rsid w:val="00097308"/>
    <w:rsid w:val="000974D0"/>
    <w:rsid w:val="0009771C"/>
    <w:rsid w:val="000978DC"/>
    <w:rsid w:val="00097CFA"/>
    <w:rsid w:val="000A0851"/>
    <w:rsid w:val="000A092E"/>
    <w:rsid w:val="000A0CB3"/>
    <w:rsid w:val="000A0D59"/>
    <w:rsid w:val="000A1101"/>
    <w:rsid w:val="000A1398"/>
    <w:rsid w:val="000A1836"/>
    <w:rsid w:val="000A1C85"/>
    <w:rsid w:val="000A1CD8"/>
    <w:rsid w:val="000A200C"/>
    <w:rsid w:val="000A21EC"/>
    <w:rsid w:val="000A239F"/>
    <w:rsid w:val="000A23FC"/>
    <w:rsid w:val="000A2977"/>
    <w:rsid w:val="000A301D"/>
    <w:rsid w:val="000A3395"/>
    <w:rsid w:val="000A34FD"/>
    <w:rsid w:val="000A35FE"/>
    <w:rsid w:val="000A37DB"/>
    <w:rsid w:val="000A3AD1"/>
    <w:rsid w:val="000A3D75"/>
    <w:rsid w:val="000A3DB0"/>
    <w:rsid w:val="000A41BC"/>
    <w:rsid w:val="000A4201"/>
    <w:rsid w:val="000A4700"/>
    <w:rsid w:val="000A4B6F"/>
    <w:rsid w:val="000A4CEF"/>
    <w:rsid w:val="000A4F3A"/>
    <w:rsid w:val="000A5664"/>
    <w:rsid w:val="000A56AC"/>
    <w:rsid w:val="000A56E6"/>
    <w:rsid w:val="000A5F19"/>
    <w:rsid w:val="000A6551"/>
    <w:rsid w:val="000A6671"/>
    <w:rsid w:val="000A6A2A"/>
    <w:rsid w:val="000A6A44"/>
    <w:rsid w:val="000A7297"/>
    <w:rsid w:val="000A7553"/>
    <w:rsid w:val="000A797E"/>
    <w:rsid w:val="000A7B12"/>
    <w:rsid w:val="000A7D08"/>
    <w:rsid w:val="000B0670"/>
    <w:rsid w:val="000B06BA"/>
    <w:rsid w:val="000B0D89"/>
    <w:rsid w:val="000B0E47"/>
    <w:rsid w:val="000B0E75"/>
    <w:rsid w:val="000B11A7"/>
    <w:rsid w:val="000B16B8"/>
    <w:rsid w:val="000B17B4"/>
    <w:rsid w:val="000B1B17"/>
    <w:rsid w:val="000B1CC7"/>
    <w:rsid w:val="000B1E8C"/>
    <w:rsid w:val="000B2264"/>
    <w:rsid w:val="000B235C"/>
    <w:rsid w:val="000B254C"/>
    <w:rsid w:val="000B259D"/>
    <w:rsid w:val="000B2D2D"/>
    <w:rsid w:val="000B3048"/>
    <w:rsid w:val="000B3371"/>
    <w:rsid w:val="000B3799"/>
    <w:rsid w:val="000B37AD"/>
    <w:rsid w:val="000B3C1B"/>
    <w:rsid w:val="000B3C5D"/>
    <w:rsid w:val="000B4059"/>
    <w:rsid w:val="000B4106"/>
    <w:rsid w:val="000B417E"/>
    <w:rsid w:val="000B442C"/>
    <w:rsid w:val="000B4441"/>
    <w:rsid w:val="000B4493"/>
    <w:rsid w:val="000B4531"/>
    <w:rsid w:val="000B4682"/>
    <w:rsid w:val="000B4709"/>
    <w:rsid w:val="000B475C"/>
    <w:rsid w:val="000B49CD"/>
    <w:rsid w:val="000B4A9C"/>
    <w:rsid w:val="000B4C95"/>
    <w:rsid w:val="000B4DFC"/>
    <w:rsid w:val="000B4FEF"/>
    <w:rsid w:val="000B53CF"/>
    <w:rsid w:val="000B555F"/>
    <w:rsid w:val="000B58D3"/>
    <w:rsid w:val="000B5DDC"/>
    <w:rsid w:val="000B6112"/>
    <w:rsid w:val="000B627F"/>
    <w:rsid w:val="000B6703"/>
    <w:rsid w:val="000B6A3F"/>
    <w:rsid w:val="000B6CAC"/>
    <w:rsid w:val="000B6D09"/>
    <w:rsid w:val="000B71F0"/>
    <w:rsid w:val="000B73CA"/>
    <w:rsid w:val="000B7585"/>
    <w:rsid w:val="000B7612"/>
    <w:rsid w:val="000B7D7A"/>
    <w:rsid w:val="000B7F1D"/>
    <w:rsid w:val="000C046C"/>
    <w:rsid w:val="000C0AB2"/>
    <w:rsid w:val="000C11F7"/>
    <w:rsid w:val="000C15F4"/>
    <w:rsid w:val="000C16B0"/>
    <w:rsid w:val="000C16C3"/>
    <w:rsid w:val="000C1868"/>
    <w:rsid w:val="000C188B"/>
    <w:rsid w:val="000C196A"/>
    <w:rsid w:val="000C1AC2"/>
    <w:rsid w:val="000C20E4"/>
    <w:rsid w:val="000C22D7"/>
    <w:rsid w:val="000C2328"/>
    <w:rsid w:val="000C23CA"/>
    <w:rsid w:val="000C2578"/>
    <w:rsid w:val="000C2EDB"/>
    <w:rsid w:val="000C2F10"/>
    <w:rsid w:val="000C2FD1"/>
    <w:rsid w:val="000C316A"/>
    <w:rsid w:val="000C31F8"/>
    <w:rsid w:val="000C3ACD"/>
    <w:rsid w:val="000C3D83"/>
    <w:rsid w:val="000C3DF9"/>
    <w:rsid w:val="000C3E06"/>
    <w:rsid w:val="000C411E"/>
    <w:rsid w:val="000C43AA"/>
    <w:rsid w:val="000C43CA"/>
    <w:rsid w:val="000C46D6"/>
    <w:rsid w:val="000C4829"/>
    <w:rsid w:val="000C4874"/>
    <w:rsid w:val="000C4A87"/>
    <w:rsid w:val="000C4A93"/>
    <w:rsid w:val="000C4C8E"/>
    <w:rsid w:val="000C50CC"/>
    <w:rsid w:val="000C5464"/>
    <w:rsid w:val="000C54AE"/>
    <w:rsid w:val="000C5539"/>
    <w:rsid w:val="000C56AE"/>
    <w:rsid w:val="000C58DA"/>
    <w:rsid w:val="000C5F8E"/>
    <w:rsid w:val="000C6677"/>
    <w:rsid w:val="000C6713"/>
    <w:rsid w:val="000C6C3D"/>
    <w:rsid w:val="000C6C62"/>
    <w:rsid w:val="000C6E65"/>
    <w:rsid w:val="000C72E4"/>
    <w:rsid w:val="000C73DE"/>
    <w:rsid w:val="000C746A"/>
    <w:rsid w:val="000C7711"/>
    <w:rsid w:val="000C797E"/>
    <w:rsid w:val="000C7AE6"/>
    <w:rsid w:val="000C7B5E"/>
    <w:rsid w:val="000C7C46"/>
    <w:rsid w:val="000C7DAC"/>
    <w:rsid w:val="000C7E4C"/>
    <w:rsid w:val="000C7F17"/>
    <w:rsid w:val="000D0212"/>
    <w:rsid w:val="000D033B"/>
    <w:rsid w:val="000D0748"/>
    <w:rsid w:val="000D0963"/>
    <w:rsid w:val="000D0D1F"/>
    <w:rsid w:val="000D1135"/>
    <w:rsid w:val="000D126E"/>
    <w:rsid w:val="000D1BFC"/>
    <w:rsid w:val="000D1D33"/>
    <w:rsid w:val="000D2117"/>
    <w:rsid w:val="000D2466"/>
    <w:rsid w:val="000D281A"/>
    <w:rsid w:val="000D282C"/>
    <w:rsid w:val="000D3084"/>
    <w:rsid w:val="000D326A"/>
    <w:rsid w:val="000D343D"/>
    <w:rsid w:val="000D367D"/>
    <w:rsid w:val="000D389F"/>
    <w:rsid w:val="000D4315"/>
    <w:rsid w:val="000D48D2"/>
    <w:rsid w:val="000D4A90"/>
    <w:rsid w:val="000D4D92"/>
    <w:rsid w:val="000D4E59"/>
    <w:rsid w:val="000D4F78"/>
    <w:rsid w:val="000D51FB"/>
    <w:rsid w:val="000D530A"/>
    <w:rsid w:val="000D5A31"/>
    <w:rsid w:val="000D5DFE"/>
    <w:rsid w:val="000D62CA"/>
    <w:rsid w:val="000D65B1"/>
    <w:rsid w:val="000D6DAE"/>
    <w:rsid w:val="000D6E34"/>
    <w:rsid w:val="000D6F5B"/>
    <w:rsid w:val="000D7095"/>
    <w:rsid w:val="000D7176"/>
    <w:rsid w:val="000D73C2"/>
    <w:rsid w:val="000D74E0"/>
    <w:rsid w:val="000D791F"/>
    <w:rsid w:val="000D7A4E"/>
    <w:rsid w:val="000D7A73"/>
    <w:rsid w:val="000D7C9A"/>
    <w:rsid w:val="000D7E40"/>
    <w:rsid w:val="000E0021"/>
    <w:rsid w:val="000E0190"/>
    <w:rsid w:val="000E035E"/>
    <w:rsid w:val="000E0469"/>
    <w:rsid w:val="000E049A"/>
    <w:rsid w:val="000E0564"/>
    <w:rsid w:val="000E075B"/>
    <w:rsid w:val="000E0860"/>
    <w:rsid w:val="000E0C48"/>
    <w:rsid w:val="000E0CC1"/>
    <w:rsid w:val="000E0EEB"/>
    <w:rsid w:val="000E0F0F"/>
    <w:rsid w:val="000E132C"/>
    <w:rsid w:val="000E135D"/>
    <w:rsid w:val="000E17D2"/>
    <w:rsid w:val="000E272B"/>
    <w:rsid w:val="000E2BD8"/>
    <w:rsid w:val="000E2D00"/>
    <w:rsid w:val="000E2E80"/>
    <w:rsid w:val="000E3299"/>
    <w:rsid w:val="000E361E"/>
    <w:rsid w:val="000E39EE"/>
    <w:rsid w:val="000E3A17"/>
    <w:rsid w:val="000E3A1D"/>
    <w:rsid w:val="000E3C0C"/>
    <w:rsid w:val="000E3C31"/>
    <w:rsid w:val="000E3D46"/>
    <w:rsid w:val="000E3EC3"/>
    <w:rsid w:val="000E4629"/>
    <w:rsid w:val="000E4AF5"/>
    <w:rsid w:val="000E4B24"/>
    <w:rsid w:val="000E4B55"/>
    <w:rsid w:val="000E4E96"/>
    <w:rsid w:val="000E5131"/>
    <w:rsid w:val="000E5484"/>
    <w:rsid w:val="000E59A2"/>
    <w:rsid w:val="000E5CC5"/>
    <w:rsid w:val="000E5F1A"/>
    <w:rsid w:val="000E65A0"/>
    <w:rsid w:val="000E67DD"/>
    <w:rsid w:val="000E6A46"/>
    <w:rsid w:val="000E6AE4"/>
    <w:rsid w:val="000E6D79"/>
    <w:rsid w:val="000E73B3"/>
    <w:rsid w:val="000E76A3"/>
    <w:rsid w:val="000E7952"/>
    <w:rsid w:val="000E79EE"/>
    <w:rsid w:val="000E7D22"/>
    <w:rsid w:val="000F00BA"/>
    <w:rsid w:val="000F0556"/>
    <w:rsid w:val="000F0569"/>
    <w:rsid w:val="000F0D15"/>
    <w:rsid w:val="000F108C"/>
    <w:rsid w:val="000F10A8"/>
    <w:rsid w:val="000F16ED"/>
    <w:rsid w:val="000F1A42"/>
    <w:rsid w:val="000F1E9E"/>
    <w:rsid w:val="000F2632"/>
    <w:rsid w:val="000F26AA"/>
    <w:rsid w:val="000F2E06"/>
    <w:rsid w:val="000F2E8A"/>
    <w:rsid w:val="000F316A"/>
    <w:rsid w:val="000F3427"/>
    <w:rsid w:val="000F3A34"/>
    <w:rsid w:val="000F3C74"/>
    <w:rsid w:val="000F41A5"/>
    <w:rsid w:val="000F432C"/>
    <w:rsid w:val="000F43F9"/>
    <w:rsid w:val="000F4745"/>
    <w:rsid w:val="000F4BB8"/>
    <w:rsid w:val="000F4C25"/>
    <w:rsid w:val="000F5A3D"/>
    <w:rsid w:val="000F5B3B"/>
    <w:rsid w:val="000F5E91"/>
    <w:rsid w:val="000F6338"/>
    <w:rsid w:val="000F658A"/>
    <w:rsid w:val="000F6590"/>
    <w:rsid w:val="000F6A04"/>
    <w:rsid w:val="000F6A8D"/>
    <w:rsid w:val="000F6B5F"/>
    <w:rsid w:val="000F6E77"/>
    <w:rsid w:val="000F6FCE"/>
    <w:rsid w:val="000F6FDF"/>
    <w:rsid w:val="000F7055"/>
    <w:rsid w:val="000F7127"/>
    <w:rsid w:val="000F71B3"/>
    <w:rsid w:val="000F780C"/>
    <w:rsid w:val="000F7B36"/>
    <w:rsid w:val="000F7E00"/>
    <w:rsid w:val="0010054D"/>
    <w:rsid w:val="00100595"/>
    <w:rsid w:val="001007A6"/>
    <w:rsid w:val="00100ADF"/>
    <w:rsid w:val="00100F62"/>
    <w:rsid w:val="00100F8A"/>
    <w:rsid w:val="001012B1"/>
    <w:rsid w:val="00101801"/>
    <w:rsid w:val="00101978"/>
    <w:rsid w:val="00101CB7"/>
    <w:rsid w:val="00102023"/>
    <w:rsid w:val="001020AA"/>
    <w:rsid w:val="00102E05"/>
    <w:rsid w:val="00102F48"/>
    <w:rsid w:val="00103241"/>
    <w:rsid w:val="00103387"/>
    <w:rsid w:val="00103418"/>
    <w:rsid w:val="001035FC"/>
    <w:rsid w:val="001036E8"/>
    <w:rsid w:val="0010381A"/>
    <w:rsid w:val="0010385D"/>
    <w:rsid w:val="00103916"/>
    <w:rsid w:val="001039BE"/>
    <w:rsid w:val="00103C29"/>
    <w:rsid w:val="00103ED8"/>
    <w:rsid w:val="0010482B"/>
    <w:rsid w:val="00104CC8"/>
    <w:rsid w:val="00104DF6"/>
    <w:rsid w:val="0010552B"/>
    <w:rsid w:val="001056EE"/>
    <w:rsid w:val="001059D1"/>
    <w:rsid w:val="00105AE2"/>
    <w:rsid w:val="00105EE7"/>
    <w:rsid w:val="00106860"/>
    <w:rsid w:val="00106A7B"/>
    <w:rsid w:val="00106B80"/>
    <w:rsid w:val="00106BDB"/>
    <w:rsid w:val="00106C3F"/>
    <w:rsid w:val="00107741"/>
    <w:rsid w:val="00107AF4"/>
    <w:rsid w:val="001102C8"/>
    <w:rsid w:val="0011032E"/>
    <w:rsid w:val="0011036E"/>
    <w:rsid w:val="001105F1"/>
    <w:rsid w:val="0011189D"/>
    <w:rsid w:val="00111ADE"/>
    <w:rsid w:val="00111DEC"/>
    <w:rsid w:val="00111EFF"/>
    <w:rsid w:val="00111FBE"/>
    <w:rsid w:val="00112095"/>
    <w:rsid w:val="001120D7"/>
    <w:rsid w:val="0011253E"/>
    <w:rsid w:val="00112AC1"/>
    <w:rsid w:val="00112BD1"/>
    <w:rsid w:val="00112C52"/>
    <w:rsid w:val="00112DA9"/>
    <w:rsid w:val="00112DE9"/>
    <w:rsid w:val="00112E43"/>
    <w:rsid w:val="00112EAB"/>
    <w:rsid w:val="001130C2"/>
    <w:rsid w:val="0011348B"/>
    <w:rsid w:val="001134B0"/>
    <w:rsid w:val="00113912"/>
    <w:rsid w:val="00113AB3"/>
    <w:rsid w:val="00113B07"/>
    <w:rsid w:val="00113BD6"/>
    <w:rsid w:val="00113E10"/>
    <w:rsid w:val="001140EB"/>
    <w:rsid w:val="00114169"/>
    <w:rsid w:val="00114251"/>
    <w:rsid w:val="001142B2"/>
    <w:rsid w:val="001145AD"/>
    <w:rsid w:val="0011466B"/>
    <w:rsid w:val="00114B77"/>
    <w:rsid w:val="00115566"/>
    <w:rsid w:val="00115628"/>
    <w:rsid w:val="001156F0"/>
    <w:rsid w:val="0011588D"/>
    <w:rsid w:val="00115982"/>
    <w:rsid w:val="00115AFB"/>
    <w:rsid w:val="00115E42"/>
    <w:rsid w:val="001164CD"/>
    <w:rsid w:val="001166BA"/>
    <w:rsid w:val="001166CB"/>
    <w:rsid w:val="00116C26"/>
    <w:rsid w:val="00116C53"/>
    <w:rsid w:val="00116E38"/>
    <w:rsid w:val="00117333"/>
    <w:rsid w:val="0011744F"/>
    <w:rsid w:val="00117927"/>
    <w:rsid w:val="00117BF7"/>
    <w:rsid w:val="00120486"/>
    <w:rsid w:val="0012061B"/>
    <w:rsid w:val="001206FF"/>
    <w:rsid w:val="001207FF"/>
    <w:rsid w:val="00121116"/>
    <w:rsid w:val="001215BC"/>
    <w:rsid w:val="00121740"/>
    <w:rsid w:val="00121799"/>
    <w:rsid w:val="00121AB0"/>
    <w:rsid w:val="00121EF5"/>
    <w:rsid w:val="001222FC"/>
    <w:rsid w:val="00122551"/>
    <w:rsid w:val="001226D3"/>
    <w:rsid w:val="001227FA"/>
    <w:rsid w:val="00123003"/>
    <w:rsid w:val="0012302C"/>
    <w:rsid w:val="0012316B"/>
    <w:rsid w:val="00123200"/>
    <w:rsid w:val="00123217"/>
    <w:rsid w:val="00123415"/>
    <w:rsid w:val="00123984"/>
    <w:rsid w:val="00123A2D"/>
    <w:rsid w:val="00123AE8"/>
    <w:rsid w:val="00123CAC"/>
    <w:rsid w:val="00123D37"/>
    <w:rsid w:val="00123DED"/>
    <w:rsid w:val="00124088"/>
    <w:rsid w:val="00124563"/>
    <w:rsid w:val="00124684"/>
    <w:rsid w:val="00124A51"/>
    <w:rsid w:val="00124B3B"/>
    <w:rsid w:val="00124C87"/>
    <w:rsid w:val="00124CE3"/>
    <w:rsid w:val="00124E2A"/>
    <w:rsid w:val="00124EF4"/>
    <w:rsid w:val="0012510C"/>
    <w:rsid w:val="00125B89"/>
    <w:rsid w:val="00125C29"/>
    <w:rsid w:val="0012628D"/>
    <w:rsid w:val="00126455"/>
    <w:rsid w:val="00126621"/>
    <w:rsid w:val="00126A73"/>
    <w:rsid w:val="00126CEA"/>
    <w:rsid w:val="00127084"/>
    <w:rsid w:val="00127179"/>
    <w:rsid w:val="001274E3"/>
    <w:rsid w:val="00127DF9"/>
    <w:rsid w:val="00127F37"/>
    <w:rsid w:val="001301E9"/>
    <w:rsid w:val="00130266"/>
    <w:rsid w:val="00130532"/>
    <w:rsid w:val="0013076D"/>
    <w:rsid w:val="001309EF"/>
    <w:rsid w:val="00130A21"/>
    <w:rsid w:val="00130C4D"/>
    <w:rsid w:val="00130F3F"/>
    <w:rsid w:val="001310E3"/>
    <w:rsid w:val="0013121A"/>
    <w:rsid w:val="00131640"/>
    <w:rsid w:val="00131B9D"/>
    <w:rsid w:val="00131D82"/>
    <w:rsid w:val="00131F54"/>
    <w:rsid w:val="00131FAB"/>
    <w:rsid w:val="0013202A"/>
    <w:rsid w:val="00132165"/>
    <w:rsid w:val="001325A9"/>
    <w:rsid w:val="001325CF"/>
    <w:rsid w:val="001325F6"/>
    <w:rsid w:val="00132B16"/>
    <w:rsid w:val="00132C07"/>
    <w:rsid w:val="00132C3B"/>
    <w:rsid w:val="00132CBD"/>
    <w:rsid w:val="00132E00"/>
    <w:rsid w:val="00133573"/>
    <w:rsid w:val="00133BB4"/>
    <w:rsid w:val="00133D36"/>
    <w:rsid w:val="00133E1E"/>
    <w:rsid w:val="0013431F"/>
    <w:rsid w:val="001343AF"/>
    <w:rsid w:val="001346A9"/>
    <w:rsid w:val="0013473D"/>
    <w:rsid w:val="00134761"/>
    <w:rsid w:val="001348CD"/>
    <w:rsid w:val="00134920"/>
    <w:rsid w:val="001349BF"/>
    <w:rsid w:val="00134A88"/>
    <w:rsid w:val="00135021"/>
    <w:rsid w:val="001351A3"/>
    <w:rsid w:val="001352DF"/>
    <w:rsid w:val="001354C6"/>
    <w:rsid w:val="00135540"/>
    <w:rsid w:val="00135955"/>
    <w:rsid w:val="001359C9"/>
    <w:rsid w:val="00135A6D"/>
    <w:rsid w:val="00135C4B"/>
    <w:rsid w:val="00135C51"/>
    <w:rsid w:val="001361D4"/>
    <w:rsid w:val="00136323"/>
    <w:rsid w:val="00136580"/>
    <w:rsid w:val="00136B53"/>
    <w:rsid w:val="0013717F"/>
    <w:rsid w:val="001371B8"/>
    <w:rsid w:val="00137645"/>
    <w:rsid w:val="001376D2"/>
    <w:rsid w:val="00137D90"/>
    <w:rsid w:val="0014015A"/>
    <w:rsid w:val="00140409"/>
    <w:rsid w:val="0014046E"/>
    <w:rsid w:val="0014078E"/>
    <w:rsid w:val="001409AD"/>
    <w:rsid w:val="00140B51"/>
    <w:rsid w:val="00140B95"/>
    <w:rsid w:val="00140E99"/>
    <w:rsid w:val="001416EF"/>
    <w:rsid w:val="001418BC"/>
    <w:rsid w:val="00141C57"/>
    <w:rsid w:val="00141E23"/>
    <w:rsid w:val="00141F26"/>
    <w:rsid w:val="00142203"/>
    <w:rsid w:val="00142A10"/>
    <w:rsid w:val="00142AEB"/>
    <w:rsid w:val="00142C31"/>
    <w:rsid w:val="00142DEE"/>
    <w:rsid w:val="00142FDB"/>
    <w:rsid w:val="0014316C"/>
    <w:rsid w:val="001432E0"/>
    <w:rsid w:val="00143342"/>
    <w:rsid w:val="00143476"/>
    <w:rsid w:val="00143789"/>
    <w:rsid w:val="00143790"/>
    <w:rsid w:val="00143D4C"/>
    <w:rsid w:val="00143DA1"/>
    <w:rsid w:val="00144FE8"/>
    <w:rsid w:val="0014512E"/>
    <w:rsid w:val="00145516"/>
    <w:rsid w:val="00145540"/>
    <w:rsid w:val="001456B0"/>
    <w:rsid w:val="00145748"/>
    <w:rsid w:val="00145DC0"/>
    <w:rsid w:val="00146044"/>
    <w:rsid w:val="0014628A"/>
    <w:rsid w:val="0014667F"/>
    <w:rsid w:val="0014686B"/>
    <w:rsid w:val="001469FF"/>
    <w:rsid w:val="00146AE5"/>
    <w:rsid w:val="00146BF2"/>
    <w:rsid w:val="00146E01"/>
    <w:rsid w:val="00147130"/>
    <w:rsid w:val="0014740A"/>
    <w:rsid w:val="0014768B"/>
    <w:rsid w:val="00147910"/>
    <w:rsid w:val="00147936"/>
    <w:rsid w:val="00147B96"/>
    <w:rsid w:val="00147FF0"/>
    <w:rsid w:val="0015014A"/>
    <w:rsid w:val="0015040F"/>
    <w:rsid w:val="00150657"/>
    <w:rsid w:val="0015072C"/>
    <w:rsid w:val="001515C8"/>
    <w:rsid w:val="001516AE"/>
    <w:rsid w:val="00151869"/>
    <w:rsid w:val="00151B37"/>
    <w:rsid w:val="00151BE2"/>
    <w:rsid w:val="00151D3D"/>
    <w:rsid w:val="00152193"/>
    <w:rsid w:val="0015242E"/>
    <w:rsid w:val="001524A8"/>
    <w:rsid w:val="001537A5"/>
    <w:rsid w:val="00153A55"/>
    <w:rsid w:val="00153C80"/>
    <w:rsid w:val="00153DD5"/>
    <w:rsid w:val="00153E32"/>
    <w:rsid w:val="00154866"/>
    <w:rsid w:val="00154AC7"/>
    <w:rsid w:val="00154F7F"/>
    <w:rsid w:val="0015526C"/>
    <w:rsid w:val="001556AA"/>
    <w:rsid w:val="00155AAF"/>
    <w:rsid w:val="001562FF"/>
    <w:rsid w:val="00156414"/>
    <w:rsid w:val="00156692"/>
    <w:rsid w:val="0015681E"/>
    <w:rsid w:val="00156833"/>
    <w:rsid w:val="00156BD7"/>
    <w:rsid w:val="00156D99"/>
    <w:rsid w:val="00156E37"/>
    <w:rsid w:val="00156ED8"/>
    <w:rsid w:val="00157130"/>
    <w:rsid w:val="0015744E"/>
    <w:rsid w:val="00157472"/>
    <w:rsid w:val="001576B1"/>
    <w:rsid w:val="001577B9"/>
    <w:rsid w:val="00157C15"/>
    <w:rsid w:val="00157D54"/>
    <w:rsid w:val="001603FA"/>
    <w:rsid w:val="00160752"/>
    <w:rsid w:val="00160A4C"/>
    <w:rsid w:val="00160C63"/>
    <w:rsid w:val="00160D4D"/>
    <w:rsid w:val="00160DA0"/>
    <w:rsid w:val="00161515"/>
    <w:rsid w:val="00161537"/>
    <w:rsid w:val="00161733"/>
    <w:rsid w:val="00161C17"/>
    <w:rsid w:val="00161D56"/>
    <w:rsid w:val="0016200D"/>
    <w:rsid w:val="00162171"/>
    <w:rsid w:val="00162232"/>
    <w:rsid w:val="001626FB"/>
    <w:rsid w:val="00162913"/>
    <w:rsid w:val="00163361"/>
    <w:rsid w:val="00163752"/>
    <w:rsid w:val="00163A8F"/>
    <w:rsid w:val="00163EFF"/>
    <w:rsid w:val="00163FD0"/>
    <w:rsid w:val="00164B3D"/>
    <w:rsid w:val="00164D65"/>
    <w:rsid w:val="00165222"/>
    <w:rsid w:val="00165724"/>
    <w:rsid w:val="00165C65"/>
    <w:rsid w:val="00165C8F"/>
    <w:rsid w:val="00165D92"/>
    <w:rsid w:val="00165FB0"/>
    <w:rsid w:val="00165FB7"/>
    <w:rsid w:val="00166122"/>
    <w:rsid w:val="001661FB"/>
    <w:rsid w:val="0016633C"/>
    <w:rsid w:val="001665DE"/>
    <w:rsid w:val="00166C2E"/>
    <w:rsid w:val="001670A8"/>
    <w:rsid w:val="00167120"/>
    <w:rsid w:val="001671F8"/>
    <w:rsid w:val="001674E5"/>
    <w:rsid w:val="00170A06"/>
    <w:rsid w:val="00170DA6"/>
    <w:rsid w:val="00170DBE"/>
    <w:rsid w:val="0017112B"/>
    <w:rsid w:val="001711BA"/>
    <w:rsid w:val="00171283"/>
    <w:rsid w:val="001716BC"/>
    <w:rsid w:val="00171BA4"/>
    <w:rsid w:val="00171D05"/>
    <w:rsid w:val="00171DF5"/>
    <w:rsid w:val="001724FD"/>
    <w:rsid w:val="0017279F"/>
    <w:rsid w:val="001727F1"/>
    <w:rsid w:val="0017291B"/>
    <w:rsid w:val="00172960"/>
    <w:rsid w:val="00172B6E"/>
    <w:rsid w:val="00172CC7"/>
    <w:rsid w:val="001730BC"/>
    <w:rsid w:val="0017330E"/>
    <w:rsid w:val="00173565"/>
    <w:rsid w:val="0017386B"/>
    <w:rsid w:val="00173978"/>
    <w:rsid w:val="001739AD"/>
    <w:rsid w:val="00173B07"/>
    <w:rsid w:val="00173CB8"/>
    <w:rsid w:val="00173E11"/>
    <w:rsid w:val="00173FC6"/>
    <w:rsid w:val="001740D0"/>
    <w:rsid w:val="00174953"/>
    <w:rsid w:val="00174994"/>
    <w:rsid w:val="0017569C"/>
    <w:rsid w:val="001757D7"/>
    <w:rsid w:val="00175A30"/>
    <w:rsid w:val="00175CAA"/>
    <w:rsid w:val="00175E58"/>
    <w:rsid w:val="0017637C"/>
    <w:rsid w:val="0017646C"/>
    <w:rsid w:val="001764FA"/>
    <w:rsid w:val="00176BF5"/>
    <w:rsid w:val="00176CBC"/>
    <w:rsid w:val="00176E30"/>
    <w:rsid w:val="0017728B"/>
    <w:rsid w:val="0017754E"/>
    <w:rsid w:val="00177B20"/>
    <w:rsid w:val="00177B62"/>
    <w:rsid w:val="00177D38"/>
    <w:rsid w:val="00180248"/>
    <w:rsid w:val="0018039A"/>
    <w:rsid w:val="001803D5"/>
    <w:rsid w:val="00180DEA"/>
    <w:rsid w:val="001813A9"/>
    <w:rsid w:val="00181842"/>
    <w:rsid w:val="001819EF"/>
    <w:rsid w:val="00181D9C"/>
    <w:rsid w:val="00181EAB"/>
    <w:rsid w:val="00182052"/>
    <w:rsid w:val="001822B4"/>
    <w:rsid w:val="00182754"/>
    <w:rsid w:val="00182E05"/>
    <w:rsid w:val="0018359A"/>
    <w:rsid w:val="001838B4"/>
    <w:rsid w:val="00184169"/>
    <w:rsid w:val="0018421C"/>
    <w:rsid w:val="00184641"/>
    <w:rsid w:val="00184643"/>
    <w:rsid w:val="00184820"/>
    <w:rsid w:val="00184CFB"/>
    <w:rsid w:val="00184F5D"/>
    <w:rsid w:val="00185071"/>
    <w:rsid w:val="0018552A"/>
    <w:rsid w:val="001855E5"/>
    <w:rsid w:val="001856E1"/>
    <w:rsid w:val="001857F0"/>
    <w:rsid w:val="00185DB1"/>
    <w:rsid w:val="0018607E"/>
    <w:rsid w:val="001861EB"/>
    <w:rsid w:val="0018644D"/>
    <w:rsid w:val="00186886"/>
    <w:rsid w:val="00186C56"/>
    <w:rsid w:val="0018752F"/>
    <w:rsid w:val="001878D2"/>
    <w:rsid w:val="00187BD2"/>
    <w:rsid w:val="001905EC"/>
    <w:rsid w:val="0019070A"/>
    <w:rsid w:val="00191B6B"/>
    <w:rsid w:val="001921CF"/>
    <w:rsid w:val="00192544"/>
    <w:rsid w:val="00192791"/>
    <w:rsid w:val="00192979"/>
    <w:rsid w:val="00192CB4"/>
    <w:rsid w:val="00192E07"/>
    <w:rsid w:val="0019317D"/>
    <w:rsid w:val="001931E2"/>
    <w:rsid w:val="001934E2"/>
    <w:rsid w:val="001934F5"/>
    <w:rsid w:val="001937CC"/>
    <w:rsid w:val="001938A7"/>
    <w:rsid w:val="00193BF3"/>
    <w:rsid w:val="00193EB0"/>
    <w:rsid w:val="00193F12"/>
    <w:rsid w:val="001940C1"/>
    <w:rsid w:val="00194128"/>
    <w:rsid w:val="00194954"/>
    <w:rsid w:val="00194B1C"/>
    <w:rsid w:val="00194C07"/>
    <w:rsid w:val="00194C12"/>
    <w:rsid w:val="00194EC3"/>
    <w:rsid w:val="00195091"/>
    <w:rsid w:val="001950AD"/>
    <w:rsid w:val="00195222"/>
    <w:rsid w:val="00195828"/>
    <w:rsid w:val="001959B3"/>
    <w:rsid w:val="00195A3A"/>
    <w:rsid w:val="00195AE2"/>
    <w:rsid w:val="00195B5F"/>
    <w:rsid w:val="00195DEE"/>
    <w:rsid w:val="0019600B"/>
    <w:rsid w:val="001961FB"/>
    <w:rsid w:val="00196380"/>
    <w:rsid w:val="001966C7"/>
    <w:rsid w:val="00196954"/>
    <w:rsid w:val="0019713E"/>
    <w:rsid w:val="0019748D"/>
    <w:rsid w:val="001974B1"/>
    <w:rsid w:val="001975D8"/>
    <w:rsid w:val="00197721"/>
    <w:rsid w:val="00197A61"/>
    <w:rsid w:val="00197A6A"/>
    <w:rsid w:val="00197B7E"/>
    <w:rsid w:val="00197C23"/>
    <w:rsid w:val="00197FAB"/>
    <w:rsid w:val="001A0071"/>
    <w:rsid w:val="001A007E"/>
    <w:rsid w:val="001A0DB5"/>
    <w:rsid w:val="001A0DCB"/>
    <w:rsid w:val="001A0ECC"/>
    <w:rsid w:val="001A0F78"/>
    <w:rsid w:val="001A1D9F"/>
    <w:rsid w:val="001A2701"/>
    <w:rsid w:val="001A2A2B"/>
    <w:rsid w:val="001A2A3C"/>
    <w:rsid w:val="001A2B97"/>
    <w:rsid w:val="001A2E01"/>
    <w:rsid w:val="001A300D"/>
    <w:rsid w:val="001A329E"/>
    <w:rsid w:val="001A35A2"/>
    <w:rsid w:val="001A383B"/>
    <w:rsid w:val="001A3938"/>
    <w:rsid w:val="001A3A63"/>
    <w:rsid w:val="001A3AF7"/>
    <w:rsid w:val="001A3B48"/>
    <w:rsid w:val="001A3FAA"/>
    <w:rsid w:val="001A43FA"/>
    <w:rsid w:val="001A45B1"/>
    <w:rsid w:val="001A46FA"/>
    <w:rsid w:val="001A4874"/>
    <w:rsid w:val="001A4A57"/>
    <w:rsid w:val="001A51D4"/>
    <w:rsid w:val="001A52C6"/>
    <w:rsid w:val="001A536C"/>
    <w:rsid w:val="001A5431"/>
    <w:rsid w:val="001A5549"/>
    <w:rsid w:val="001A59FB"/>
    <w:rsid w:val="001A5A5E"/>
    <w:rsid w:val="001A5B07"/>
    <w:rsid w:val="001A5F81"/>
    <w:rsid w:val="001A6354"/>
    <w:rsid w:val="001A64BC"/>
    <w:rsid w:val="001A65F4"/>
    <w:rsid w:val="001A68B8"/>
    <w:rsid w:val="001A6A82"/>
    <w:rsid w:val="001A6B59"/>
    <w:rsid w:val="001A6BFE"/>
    <w:rsid w:val="001A6C42"/>
    <w:rsid w:val="001A6CE4"/>
    <w:rsid w:val="001A7103"/>
    <w:rsid w:val="001A7191"/>
    <w:rsid w:val="001A7217"/>
    <w:rsid w:val="001A73CF"/>
    <w:rsid w:val="001A7841"/>
    <w:rsid w:val="001A7A2F"/>
    <w:rsid w:val="001A7AE8"/>
    <w:rsid w:val="001B000F"/>
    <w:rsid w:val="001B030B"/>
    <w:rsid w:val="001B033B"/>
    <w:rsid w:val="001B08AE"/>
    <w:rsid w:val="001B0A47"/>
    <w:rsid w:val="001B0D4D"/>
    <w:rsid w:val="001B0E2F"/>
    <w:rsid w:val="001B0E4A"/>
    <w:rsid w:val="001B0F15"/>
    <w:rsid w:val="001B0F92"/>
    <w:rsid w:val="001B17C1"/>
    <w:rsid w:val="001B1BF0"/>
    <w:rsid w:val="001B1BF2"/>
    <w:rsid w:val="001B204E"/>
    <w:rsid w:val="001B24BC"/>
    <w:rsid w:val="001B2A71"/>
    <w:rsid w:val="001B2BE7"/>
    <w:rsid w:val="001B30E2"/>
    <w:rsid w:val="001B332A"/>
    <w:rsid w:val="001B3443"/>
    <w:rsid w:val="001B366A"/>
    <w:rsid w:val="001B36E1"/>
    <w:rsid w:val="001B3A29"/>
    <w:rsid w:val="001B423F"/>
    <w:rsid w:val="001B427C"/>
    <w:rsid w:val="001B4590"/>
    <w:rsid w:val="001B463B"/>
    <w:rsid w:val="001B475E"/>
    <w:rsid w:val="001B47D5"/>
    <w:rsid w:val="001B4893"/>
    <w:rsid w:val="001B4C09"/>
    <w:rsid w:val="001B4D20"/>
    <w:rsid w:val="001B4F8C"/>
    <w:rsid w:val="001B50A8"/>
    <w:rsid w:val="001B5106"/>
    <w:rsid w:val="001B512A"/>
    <w:rsid w:val="001B51CB"/>
    <w:rsid w:val="001B5231"/>
    <w:rsid w:val="001B52E7"/>
    <w:rsid w:val="001B52F7"/>
    <w:rsid w:val="001B5306"/>
    <w:rsid w:val="001B56F6"/>
    <w:rsid w:val="001B5901"/>
    <w:rsid w:val="001B59FD"/>
    <w:rsid w:val="001B60A7"/>
    <w:rsid w:val="001B63EF"/>
    <w:rsid w:val="001B65CF"/>
    <w:rsid w:val="001B6661"/>
    <w:rsid w:val="001B6930"/>
    <w:rsid w:val="001B6B01"/>
    <w:rsid w:val="001B72E2"/>
    <w:rsid w:val="001B72F9"/>
    <w:rsid w:val="001B7388"/>
    <w:rsid w:val="001B7707"/>
    <w:rsid w:val="001B79D1"/>
    <w:rsid w:val="001B7BC9"/>
    <w:rsid w:val="001C0332"/>
    <w:rsid w:val="001C0603"/>
    <w:rsid w:val="001C0B5F"/>
    <w:rsid w:val="001C0C1F"/>
    <w:rsid w:val="001C0CF8"/>
    <w:rsid w:val="001C0EA3"/>
    <w:rsid w:val="001C0F00"/>
    <w:rsid w:val="001C13F2"/>
    <w:rsid w:val="001C13F3"/>
    <w:rsid w:val="001C19EB"/>
    <w:rsid w:val="001C1A4E"/>
    <w:rsid w:val="001C1C8E"/>
    <w:rsid w:val="001C2065"/>
    <w:rsid w:val="001C265A"/>
    <w:rsid w:val="001C2788"/>
    <w:rsid w:val="001C2A9B"/>
    <w:rsid w:val="001C2BB1"/>
    <w:rsid w:val="001C2C68"/>
    <w:rsid w:val="001C2DE5"/>
    <w:rsid w:val="001C3031"/>
    <w:rsid w:val="001C31B3"/>
    <w:rsid w:val="001C3591"/>
    <w:rsid w:val="001C3AD6"/>
    <w:rsid w:val="001C3C49"/>
    <w:rsid w:val="001C3DF4"/>
    <w:rsid w:val="001C4299"/>
    <w:rsid w:val="001C498D"/>
    <w:rsid w:val="001C4B61"/>
    <w:rsid w:val="001C4CD4"/>
    <w:rsid w:val="001C50C9"/>
    <w:rsid w:val="001C5AA6"/>
    <w:rsid w:val="001C5C43"/>
    <w:rsid w:val="001C5F94"/>
    <w:rsid w:val="001C605E"/>
    <w:rsid w:val="001C6979"/>
    <w:rsid w:val="001C6BC2"/>
    <w:rsid w:val="001C6E66"/>
    <w:rsid w:val="001C7249"/>
    <w:rsid w:val="001C743C"/>
    <w:rsid w:val="001C78AE"/>
    <w:rsid w:val="001C7F12"/>
    <w:rsid w:val="001C7FCE"/>
    <w:rsid w:val="001D083D"/>
    <w:rsid w:val="001D102F"/>
    <w:rsid w:val="001D121B"/>
    <w:rsid w:val="001D13A5"/>
    <w:rsid w:val="001D1BE8"/>
    <w:rsid w:val="001D1C19"/>
    <w:rsid w:val="001D1CFB"/>
    <w:rsid w:val="001D1DE4"/>
    <w:rsid w:val="001D1FF5"/>
    <w:rsid w:val="001D23DD"/>
    <w:rsid w:val="001D2F7A"/>
    <w:rsid w:val="001D32A3"/>
    <w:rsid w:val="001D34DB"/>
    <w:rsid w:val="001D382A"/>
    <w:rsid w:val="001D406A"/>
    <w:rsid w:val="001D40EE"/>
    <w:rsid w:val="001D4854"/>
    <w:rsid w:val="001D497F"/>
    <w:rsid w:val="001D4CDB"/>
    <w:rsid w:val="001D4DDB"/>
    <w:rsid w:val="001D50D0"/>
    <w:rsid w:val="001D53B2"/>
    <w:rsid w:val="001D5A69"/>
    <w:rsid w:val="001D5D4E"/>
    <w:rsid w:val="001D6014"/>
    <w:rsid w:val="001D639F"/>
    <w:rsid w:val="001D65F5"/>
    <w:rsid w:val="001D6906"/>
    <w:rsid w:val="001D6B31"/>
    <w:rsid w:val="001D6C94"/>
    <w:rsid w:val="001D6D7D"/>
    <w:rsid w:val="001D7301"/>
    <w:rsid w:val="001D7412"/>
    <w:rsid w:val="001D7B20"/>
    <w:rsid w:val="001D7EF0"/>
    <w:rsid w:val="001E019C"/>
    <w:rsid w:val="001E01FD"/>
    <w:rsid w:val="001E036E"/>
    <w:rsid w:val="001E09FB"/>
    <w:rsid w:val="001E0BD5"/>
    <w:rsid w:val="001E0C8E"/>
    <w:rsid w:val="001E0FD9"/>
    <w:rsid w:val="001E11A4"/>
    <w:rsid w:val="001E1368"/>
    <w:rsid w:val="001E1394"/>
    <w:rsid w:val="001E13A4"/>
    <w:rsid w:val="001E155C"/>
    <w:rsid w:val="001E15A0"/>
    <w:rsid w:val="001E161F"/>
    <w:rsid w:val="001E1AED"/>
    <w:rsid w:val="001E238E"/>
    <w:rsid w:val="001E241C"/>
    <w:rsid w:val="001E2483"/>
    <w:rsid w:val="001E2A36"/>
    <w:rsid w:val="001E2B1E"/>
    <w:rsid w:val="001E2E31"/>
    <w:rsid w:val="001E30D4"/>
    <w:rsid w:val="001E3E1C"/>
    <w:rsid w:val="001E41F4"/>
    <w:rsid w:val="001E438A"/>
    <w:rsid w:val="001E4647"/>
    <w:rsid w:val="001E51A2"/>
    <w:rsid w:val="001E52B8"/>
    <w:rsid w:val="001E52EB"/>
    <w:rsid w:val="001E5462"/>
    <w:rsid w:val="001E54EC"/>
    <w:rsid w:val="001E563A"/>
    <w:rsid w:val="001E58D5"/>
    <w:rsid w:val="001E5AD9"/>
    <w:rsid w:val="001E5EB8"/>
    <w:rsid w:val="001E5FD7"/>
    <w:rsid w:val="001E604B"/>
    <w:rsid w:val="001E61D2"/>
    <w:rsid w:val="001E651B"/>
    <w:rsid w:val="001E6748"/>
    <w:rsid w:val="001E678B"/>
    <w:rsid w:val="001E6B17"/>
    <w:rsid w:val="001E6E43"/>
    <w:rsid w:val="001E6FB4"/>
    <w:rsid w:val="001E7150"/>
    <w:rsid w:val="001E740C"/>
    <w:rsid w:val="001E76E5"/>
    <w:rsid w:val="001E7853"/>
    <w:rsid w:val="001E7D3C"/>
    <w:rsid w:val="001F01F4"/>
    <w:rsid w:val="001F027E"/>
    <w:rsid w:val="001F0C62"/>
    <w:rsid w:val="001F0FFB"/>
    <w:rsid w:val="001F11EA"/>
    <w:rsid w:val="001F1201"/>
    <w:rsid w:val="001F1235"/>
    <w:rsid w:val="001F125E"/>
    <w:rsid w:val="001F12CD"/>
    <w:rsid w:val="001F1AB4"/>
    <w:rsid w:val="001F1CB3"/>
    <w:rsid w:val="001F23E9"/>
    <w:rsid w:val="001F2423"/>
    <w:rsid w:val="001F268E"/>
    <w:rsid w:val="001F274E"/>
    <w:rsid w:val="001F2A8F"/>
    <w:rsid w:val="001F2D8C"/>
    <w:rsid w:val="001F319B"/>
    <w:rsid w:val="001F355D"/>
    <w:rsid w:val="001F3853"/>
    <w:rsid w:val="001F38B5"/>
    <w:rsid w:val="001F38E9"/>
    <w:rsid w:val="001F3E38"/>
    <w:rsid w:val="001F4648"/>
    <w:rsid w:val="001F468C"/>
    <w:rsid w:val="001F46EA"/>
    <w:rsid w:val="001F4844"/>
    <w:rsid w:val="001F4880"/>
    <w:rsid w:val="001F49DA"/>
    <w:rsid w:val="001F4A87"/>
    <w:rsid w:val="001F4CE9"/>
    <w:rsid w:val="001F4D14"/>
    <w:rsid w:val="001F4D73"/>
    <w:rsid w:val="001F4EE8"/>
    <w:rsid w:val="001F4FB5"/>
    <w:rsid w:val="001F52AD"/>
    <w:rsid w:val="001F576A"/>
    <w:rsid w:val="001F579C"/>
    <w:rsid w:val="001F5EAE"/>
    <w:rsid w:val="001F5FAC"/>
    <w:rsid w:val="001F60D5"/>
    <w:rsid w:val="001F6321"/>
    <w:rsid w:val="001F67D0"/>
    <w:rsid w:val="001F67DB"/>
    <w:rsid w:val="001F67FE"/>
    <w:rsid w:val="001F6D4E"/>
    <w:rsid w:val="001F706F"/>
    <w:rsid w:val="001F7073"/>
    <w:rsid w:val="001F7361"/>
    <w:rsid w:val="001F755A"/>
    <w:rsid w:val="001F7C92"/>
    <w:rsid w:val="001F7CC6"/>
    <w:rsid w:val="001F7F8A"/>
    <w:rsid w:val="0020025A"/>
    <w:rsid w:val="00200261"/>
    <w:rsid w:val="00200542"/>
    <w:rsid w:val="00200578"/>
    <w:rsid w:val="002006A1"/>
    <w:rsid w:val="002007C3"/>
    <w:rsid w:val="00200B59"/>
    <w:rsid w:val="00200F8F"/>
    <w:rsid w:val="0020119B"/>
    <w:rsid w:val="002011B0"/>
    <w:rsid w:val="0020136B"/>
    <w:rsid w:val="00201441"/>
    <w:rsid w:val="00201BB6"/>
    <w:rsid w:val="0020226F"/>
    <w:rsid w:val="00202A25"/>
    <w:rsid w:val="00203002"/>
    <w:rsid w:val="00203014"/>
    <w:rsid w:val="0020317D"/>
    <w:rsid w:val="00203181"/>
    <w:rsid w:val="00203574"/>
    <w:rsid w:val="00203783"/>
    <w:rsid w:val="0020385F"/>
    <w:rsid w:val="00203989"/>
    <w:rsid w:val="00203B07"/>
    <w:rsid w:val="00203B31"/>
    <w:rsid w:val="00203E35"/>
    <w:rsid w:val="002040AC"/>
    <w:rsid w:val="002040B0"/>
    <w:rsid w:val="002040FB"/>
    <w:rsid w:val="00204270"/>
    <w:rsid w:val="00204399"/>
    <w:rsid w:val="002044F6"/>
    <w:rsid w:val="002045A5"/>
    <w:rsid w:val="00204663"/>
    <w:rsid w:val="00204706"/>
    <w:rsid w:val="00204940"/>
    <w:rsid w:val="00204BA5"/>
    <w:rsid w:val="00204C81"/>
    <w:rsid w:val="00204EA7"/>
    <w:rsid w:val="00204F2B"/>
    <w:rsid w:val="0020525A"/>
    <w:rsid w:val="0020558C"/>
    <w:rsid w:val="00206142"/>
    <w:rsid w:val="0020667A"/>
    <w:rsid w:val="0020672B"/>
    <w:rsid w:val="00206884"/>
    <w:rsid w:val="00206AA8"/>
    <w:rsid w:val="00206B0D"/>
    <w:rsid w:val="00206BAE"/>
    <w:rsid w:val="00206CF8"/>
    <w:rsid w:val="00206E1B"/>
    <w:rsid w:val="00207021"/>
    <w:rsid w:val="0020714F"/>
    <w:rsid w:val="0020728B"/>
    <w:rsid w:val="0020732F"/>
    <w:rsid w:val="00207493"/>
    <w:rsid w:val="002075B8"/>
    <w:rsid w:val="00207939"/>
    <w:rsid w:val="00207A32"/>
    <w:rsid w:val="00207A3B"/>
    <w:rsid w:val="00207D00"/>
    <w:rsid w:val="00207D40"/>
    <w:rsid w:val="002100E8"/>
    <w:rsid w:val="002101E8"/>
    <w:rsid w:val="0021024A"/>
    <w:rsid w:val="002104AA"/>
    <w:rsid w:val="002105C1"/>
    <w:rsid w:val="0021097D"/>
    <w:rsid w:val="00210A77"/>
    <w:rsid w:val="00210B1F"/>
    <w:rsid w:val="00210B7E"/>
    <w:rsid w:val="00210E78"/>
    <w:rsid w:val="0021152C"/>
    <w:rsid w:val="00211DCC"/>
    <w:rsid w:val="002121E1"/>
    <w:rsid w:val="0021245C"/>
    <w:rsid w:val="00212DCE"/>
    <w:rsid w:val="00212E0D"/>
    <w:rsid w:val="00213283"/>
    <w:rsid w:val="0021351C"/>
    <w:rsid w:val="00213735"/>
    <w:rsid w:val="0021380F"/>
    <w:rsid w:val="0021417A"/>
    <w:rsid w:val="0021427E"/>
    <w:rsid w:val="002142EC"/>
    <w:rsid w:val="00214468"/>
    <w:rsid w:val="002148E0"/>
    <w:rsid w:val="00214AF7"/>
    <w:rsid w:val="00214C96"/>
    <w:rsid w:val="00214F50"/>
    <w:rsid w:val="0021502B"/>
    <w:rsid w:val="002152B3"/>
    <w:rsid w:val="00215EE1"/>
    <w:rsid w:val="002161CE"/>
    <w:rsid w:val="00216534"/>
    <w:rsid w:val="002166C5"/>
    <w:rsid w:val="00216AE7"/>
    <w:rsid w:val="00217073"/>
    <w:rsid w:val="00217240"/>
    <w:rsid w:val="002175D6"/>
    <w:rsid w:val="00217842"/>
    <w:rsid w:val="00217B8A"/>
    <w:rsid w:val="00217C43"/>
    <w:rsid w:val="002202C8"/>
    <w:rsid w:val="0022050F"/>
    <w:rsid w:val="00220B1F"/>
    <w:rsid w:val="00221837"/>
    <w:rsid w:val="00221871"/>
    <w:rsid w:val="00221E53"/>
    <w:rsid w:val="00221E74"/>
    <w:rsid w:val="00222765"/>
    <w:rsid w:val="00222AC4"/>
    <w:rsid w:val="002230C4"/>
    <w:rsid w:val="002231F4"/>
    <w:rsid w:val="00223374"/>
    <w:rsid w:val="002234A3"/>
    <w:rsid w:val="002235F2"/>
    <w:rsid w:val="0022360D"/>
    <w:rsid w:val="00223686"/>
    <w:rsid w:val="0022382C"/>
    <w:rsid w:val="00223B3D"/>
    <w:rsid w:val="00223B49"/>
    <w:rsid w:val="002243F1"/>
    <w:rsid w:val="00224CAB"/>
    <w:rsid w:val="00224D64"/>
    <w:rsid w:val="00224DD4"/>
    <w:rsid w:val="00225136"/>
    <w:rsid w:val="00225514"/>
    <w:rsid w:val="00225C00"/>
    <w:rsid w:val="00225DCD"/>
    <w:rsid w:val="00225E36"/>
    <w:rsid w:val="00225E84"/>
    <w:rsid w:val="002260BF"/>
    <w:rsid w:val="00226417"/>
    <w:rsid w:val="00226914"/>
    <w:rsid w:val="00226DAE"/>
    <w:rsid w:val="00226DB9"/>
    <w:rsid w:val="00226E66"/>
    <w:rsid w:val="00227040"/>
    <w:rsid w:val="0022708B"/>
    <w:rsid w:val="00227155"/>
    <w:rsid w:val="00227303"/>
    <w:rsid w:val="0022756D"/>
    <w:rsid w:val="00227619"/>
    <w:rsid w:val="0022795B"/>
    <w:rsid w:val="00230771"/>
    <w:rsid w:val="00230988"/>
    <w:rsid w:val="002309CC"/>
    <w:rsid w:val="00230A5A"/>
    <w:rsid w:val="00230B44"/>
    <w:rsid w:val="00230CDA"/>
    <w:rsid w:val="00231185"/>
    <w:rsid w:val="002313C3"/>
    <w:rsid w:val="002317AC"/>
    <w:rsid w:val="002319EE"/>
    <w:rsid w:val="00231F0F"/>
    <w:rsid w:val="00232034"/>
    <w:rsid w:val="0023209F"/>
    <w:rsid w:val="002320F9"/>
    <w:rsid w:val="00232104"/>
    <w:rsid w:val="00232123"/>
    <w:rsid w:val="002322AC"/>
    <w:rsid w:val="00232836"/>
    <w:rsid w:val="0023295B"/>
    <w:rsid w:val="00232A4C"/>
    <w:rsid w:val="00232BF4"/>
    <w:rsid w:val="00232DB2"/>
    <w:rsid w:val="00232E05"/>
    <w:rsid w:val="00233124"/>
    <w:rsid w:val="002333B0"/>
    <w:rsid w:val="0023354E"/>
    <w:rsid w:val="0023372D"/>
    <w:rsid w:val="00233A63"/>
    <w:rsid w:val="00233B84"/>
    <w:rsid w:val="0023478E"/>
    <w:rsid w:val="002349F7"/>
    <w:rsid w:val="00234A6E"/>
    <w:rsid w:val="002353BB"/>
    <w:rsid w:val="00235AA7"/>
    <w:rsid w:val="00235AC6"/>
    <w:rsid w:val="0023629D"/>
    <w:rsid w:val="0023631D"/>
    <w:rsid w:val="002363E1"/>
    <w:rsid w:val="00236570"/>
    <w:rsid w:val="002365B3"/>
    <w:rsid w:val="00236634"/>
    <w:rsid w:val="00237255"/>
    <w:rsid w:val="002372F8"/>
    <w:rsid w:val="002375C5"/>
    <w:rsid w:val="002377DD"/>
    <w:rsid w:val="00237D47"/>
    <w:rsid w:val="00237F2D"/>
    <w:rsid w:val="00240332"/>
    <w:rsid w:val="00240E8D"/>
    <w:rsid w:val="002414B9"/>
    <w:rsid w:val="00241707"/>
    <w:rsid w:val="002417B9"/>
    <w:rsid w:val="002418EB"/>
    <w:rsid w:val="00241A66"/>
    <w:rsid w:val="002424AF"/>
    <w:rsid w:val="00242662"/>
    <w:rsid w:val="00242708"/>
    <w:rsid w:val="00242C4D"/>
    <w:rsid w:val="00242CD1"/>
    <w:rsid w:val="00242DCC"/>
    <w:rsid w:val="00243206"/>
    <w:rsid w:val="00243262"/>
    <w:rsid w:val="00243291"/>
    <w:rsid w:val="002432D3"/>
    <w:rsid w:val="002432F0"/>
    <w:rsid w:val="00243303"/>
    <w:rsid w:val="002435FA"/>
    <w:rsid w:val="002437C9"/>
    <w:rsid w:val="002439DC"/>
    <w:rsid w:val="00243A5F"/>
    <w:rsid w:val="00243AC0"/>
    <w:rsid w:val="00243B56"/>
    <w:rsid w:val="00243DB0"/>
    <w:rsid w:val="00243F3D"/>
    <w:rsid w:val="00243FDD"/>
    <w:rsid w:val="002442F6"/>
    <w:rsid w:val="002446E0"/>
    <w:rsid w:val="00244DC8"/>
    <w:rsid w:val="00245143"/>
    <w:rsid w:val="00245790"/>
    <w:rsid w:val="00245806"/>
    <w:rsid w:val="002458BA"/>
    <w:rsid w:val="00245C0A"/>
    <w:rsid w:val="0024605F"/>
    <w:rsid w:val="0024606F"/>
    <w:rsid w:val="0024636C"/>
    <w:rsid w:val="00246470"/>
    <w:rsid w:val="002466C1"/>
    <w:rsid w:val="00246ADA"/>
    <w:rsid w:val="00246C26"/>
    <w:rsid w:val="0024729F"/>
    <w:rsid w:val="00247925"/>
    <w:rsid w:val="002479A0"/>
    <w:rsid w:val="00247B42"/>
    <w:rsid w:val="00250117"/>
    <w:rsid w:val="00250483"/>
    <w:rsid w:val="002508F9"/>
    <w:rsid w:val="00250B6E"/>
    <w:rsid w:val="00250D59"/>
    <w:rsid w:val="00250D92"/>
    <w:rsid w:val="00250DF8"/>
    <w:rsid w:val="00251248"/>
    <w:rsid w:val="00251446"/>
    <w:rsid w:val="002516A5"/>
    <w:rsid w:val="002516CD"/>
    <w:rsid w:val="002517A2"/>
    <w:rsid w:val="00251A94"/>
    <w:rsid w:val="00251B76"/>
    <w:rsid w:val="00251B83"/>
    <w:rsid w:val="00251C2A"/>
    <w:rsid w:val="00252000"/>
    <w:rsid w:val="00252526"/>
    <w:rsid w:val="00252581"/>
    <w:rsid w:val="002526D0"/>
    <w:rsid w:val="002528A4"/>
    <w:rsid w:val="00252A2F"/>
    <w:rsid w:val="00252FD8"/>
    <w:rsid w:val="00253308"/>
    <w:rsid w:val="0025332C"/>
    <w:rsid w:val="0025365C"/>
    <w:rsid w:val="00253661"/>
    <w:rsid w:val="002537A2"/>
    <w:rsid w:val="002538FC"/>
    <w:rsid w:val="00253EF4"/>
    <w:rsid w:val="002544AB"/>
    <w:rsid w:val="00254667"/>
    <w:rsid w:val="0025475E"/>
    <w:rsid w:val="002548EB"/>
    <w:rsid w:val="00254C44"/>
    <w:rsid w:val="00254D87"/>
    <w:rsid w:val="00254DCF"/>
    <w:rsid w:val="00254EEF"/>
    <w:rsid w:val="00254F1B"/>
    <w:rsid w:val="0025534B"/>
    <w:rsid w:val="002553BD"/>
    <w:rsid w:val="00255BB7"/>
    <w:rsid w:val="00255CB0"/>
    <w:rsid w:val="00255CFD"/>
    <w:rsid w:val="002561CE"/>
    <w:rsid w:val="00256232"/>
    <w:rsid w:val="002564C6"/>
    <w:rsid w:val="0025684B"/>
    <w:rsid w:val="00256912"/>
    <w:rsid w:val="00256964"/>
    <w:rsid w:val="00256966"/>
    <w:rsid w:val="00256C33"/>
    <w:rsid w:val="00256FE5"/>
    <w:rsid w:val="00256FF3"/>
    <w:rsid w:val="002570AB"/>
    <w:rsid w:val="00257541"/>
    <w:rsid w:val="00257A6E"/>
    <w:rsid w:val="00257BC1"/>
    <w:rsid w:val="00257C84"/>
    <w:rsid w:val="00257E2A"/>
    <w:rsid w:val="00260105"/>
    <w:rsid w:val="002607A2"/>
    <w:rsid w:val="00260CF9"/>
    <w:rsid w:val="00260D1C"/>
    <w:rsid w:val="0026170E"/>
    <w:rsid w:val="00262538"/>
    <w:rsid w:val="002625EA"/>
    <w:rsid w:val="00262604"/>
    <w:rsid w:val="0026260A"/>
    <w:rsid w:val="00262A1A"/>
    <w:rsid w:val="00262A87"/>
    <w:rsid w:val="00262C00"/>
    <w:rsid w:val="00262E71"/>
    <w:rsid w:val="0026335B"/>
    <w:rsid w:val="00263518"/>
    <w:rsid w:val="002635F5"/>
    <w:rsid w:val="002637DE"/>
    <w:rsid w:val="00263B1B"/>
    <w:rsid w:val="00263B7F"/>
    <w:rsid w:val="0026490B"/>
    <w:rsid w:val="00264AF6"/>
    <w:rsid w:val="00264D26"/>
    <w:rsid w:val="00264D28"/>
    <w:rsid w:val="00264E3B"/>
    <w:rsid w:val="00264F3F"/>
    <w:rsid w:val="0026508A"/>
    <w:rsid w:val="0026521B"/>
    <w:rsid w:val="00265D20"/>
    <w:rsid w:val="00265FA4"/>
    <w:rsid w:val="00266084"/>
    <w:rsid w:val="002666D2"/>
    <w:rsid w:val="00267240"/>
    <w:rsid w:val="00267307"/>
    <w:rsid w:val="0026737A"/>
    <w:rsid w:val="00267642"/>
    <w:rsid w:val="00267871"/>
    <w:rsid w:val="00267A3C"/>
    <w:rsid w:val="00267ABC"/>
    <w:rsid w:val="00267AEA"/>
    <w:rsid w:val="002700E6"/>
    <w:rsid w:val="002700EB"/>
    <w:rsid w:val="00270603"/>
    <w:rsid w:val="002707B7"/>
    <w:rsid w:val="00270A65"/>
    <w:rsid w:val="00270D08"/>
    <w:rsid w:val="00270D2B"/>
    <w:rsid w:val="00270FB2"/>
    <w:rsid w:val="00270FEE"/>
    <w:rsid w:val="0027128F"/>
    <w:rsid w:val="002716C7"/>
    <w:rsid w:val="0027184A"/>
    <w:rsid w:val="00271C80"/>
    <w:rsid w:val="00271EA3"/>
    <w:rsid w:val="00272187"/>
    <w:rsid w:val="00272573"/>
    <w:rsid w:val="002726AD"/>
    <w:rsid w:val="002727EC"/>
    <w:rsid w:val="00272893"/>
    <w:rsid w:val="0027294B"/>
    <w:rsid w:val="00272BB5"/>
    <w:rsid w:val="00272DAD"/>
    <w:rsid w:val="00272F27"/>
    <w:rsid w:val="002730DF"/>
    <w:rsid w:val="0027359F"/>
    <w:rsid w:val="00273750"/>
    <w:rsid w:val="002737CB"/>
    <w:rsid w:val="002738C9"/>
    <w:rsid w:val="00273DAD"/>
    <w:rsid w:val="0027411B"/>
    <w:rsid w:val="0027454A"/>
    <w:rsid w:val="002745AD"/>
    <w:rsid w:val="00274944"/>
    <w:rsid w:val="00274BDC"/>
    <w:rsid w:val="002751E3"/>
    <w:rsid w:val="00275335"/>
    <w:rsid w:val="00275C5A"/>
    <w:rsid w:val="00275E3A"/>
    <w:rsid w:val="002761D2"/>
    <w:rsid w:val="002762D1"/>
    <w:rsid w:val="002763A8"/>
    <w:rsid w:val="002765E6"/>
    <w:rsid w:val="00276827"/>
    <w:rsid w:val="00276882"/>
    <w:rsid w:val="00276DCB"/>
    <w:rsid w:val="00276EC2"/>
    <w:rsid w:val="0027725A"/>
    <w:rsid w:val="00277260"/>
    <w:rsid w:val="002773A6"/>
    <w:rsid w:val="00277523"/>
    <w:rsid w:val="0027763D"/>
    <w:rsid w:val="00277A74"/>
    <w:rsid w:val="00277A96"/>
    <w:rsid w:val="00277EA8"/>
    <w:rsid w:val="00277EAA"/>
    <w:rsid w:val="0028082D"/>
    <w:rsid w:val="00280A3B"/>
    <w:rsid w:val="00280EC3"/>
    <w:rsid w:val="00280FF7"/>
    <w:rsid w:val="00281005"/>
    <w:rsid w:val="00281014"/>
    <w:rsid w:val="0028140B"/>
    <w:rsid w:val="002814B3"/>
    <w:rsid w:val="0028153C"/>
    <w:rsid w:val="00281688"/>
    <w:rsid w:val="0028175B"/>
    <w:rsid w:val="0028188E"/>
    <w:rsid w:val="00281DFF"/>
    <w:rsid w:val="00281F9A"/>
    <w:rsid w:val="002824B2"/>
    <w:rsid w:val="0028284F"/>
    <w:rsid w:val="002828F0"/>
    <w:rsid w:val="00282900"/>
    <w:rsid w:val="00282E2F"/>
    <w:rsid w:val="002834AE"/>
    <w:rsid w:val="002836EE"/>
    <w:rsid w:val="002838DA"/>
    <w:rsid w:val="00283C85"/>
    <w:rsid w:val="00284203"/>
    <w:rsid w:val="00284526"/>
    <w:rsid w:val="0028489F"/>
    <w:rsid w:val="002849BC"/>
    <w:rsid w:val="00284DF8"/>
    <w:rsid w:val="00284E49"/>
    <w:rsid w:val="002850BA"/>
    <w:rsid w:val="0028511A"/>
    <w:rsid w:val="00285897"/>
    <w:rsid w:val="002859C5"/>
    <w:rsid w:val="00285BBC"/>
    <w:rsid w:val="00285BD8"/>
    <w:rsid w:val="00285BF1"/>
    <w:rsid w:val="002861D6"/>
    <w:rsid w:val="00286364"/>
    <w:rsid w:val="0028654A"/>
    <w:rsid w:val="0028680C"/>
    <w:rsid w:val="00286A4D"/>
    <w:rsid w:val="00286BBF"/>
    <w:rsid w:val="00286D81"/>
    <w:rsid w:val="00287322"/>
    <w:rsid w:val="00287431"/>
    <w:rsid w:val="0028761C"/>
    <w:rsid w:val="002879D4"/>
    <w:rsid w:val="00287B47"/>
    <w:rsid w:val="00287FE8"/>
    <w:rsid w:val="00290161"/>
    <w:rsid w:val="0029048E"/>
    <w:rsid w:val="002904BA"/>
    <w:rsid w:val="0029138D"/>
    <w:rsid w:val="002917D6"/>
    <w:rsid w:val="00291C71"/>
    <w:rsid w:val="00292138"/>
    <w:rsid w:val="00292165"/>
    <w:rsid w:val="002921A7"/>
    <w:rsid w:val="0029231A"/>
    <w:rsid w:val="00292639"/>
    <w:rsid w:val="00292918"/>
    <w:rsid w:val="002929E3"/>
    <w:rsid w:val="00293175"/>
    <w:rsid w:val="002932CF"/>
    <w:rsid w:val="00293382"/>
    <w:rsid w:val="00293D55"/>
    <w:rsid w:val="002940DC"/>
    <w:rsid w:val="0029435D"/>
    <w:rsid w:val="00294596"/>
    <w:rsid w:val="00294D2B"/>
    <w:rsid w:val="00294E45"/>
    <w:rsid w:val="00294FBF"/>
    <w:rsid w:val="002955DF"/>
    <w:rsid w:val="0029565A"/>
    <w:rsid w:val="002957DC"/>
    <w:rsid w:val="00295C43"/>
    <w:rsid w:val="00295E3F"/>
    <w:rsid w:val="00295F52"/>
    <w:rsid w:val="002962FB"/>
    <w:rsid w:val="0029652C"/>
    <w:rsid w:val="00296736"/>
    <w:rsid w:val="0029673F"/>
    <w:rsid w:val="0029678A"/>
    <w:rsid w:val="002968E6"/>
    <w:rsid w:val="00296928"/>
    <w:rsid w:val="00296A68"/>
    <w:rsid w:val="00296B06"/>
    <w:rsid w:val="00297098"/>
    <w:rsid w:val="00297550"/>
    <w:rsid w:val="00297577"/>
    <w:rsid w:val="00297722"/>
    <w:rsid w:val="002977B2"/>
    <w:rsid w:val="00297974"/>
    <w:rsid w:val="002A019B"/>
    <w:rsid w:val="002A0373"/>
    <w:rsid w:val="002A03F9"/>
    <w:rsid w:val="002A0710"/>
    <w:rsid w:val="002A08A1"/>
    <w:rsid w:val="002A08C0"/>
    <w:rsid w:val="002A08D3"/>
    <w:rsid w:val="002A095B"/>
    <w:rsid w:val="002A0ACE"/>
    <w:rsid w:val="002A0B50"/>
    <w:rsid w:val="002A124A"/>
    <w:rsid w:val="002A14AB"/>
    <w:rsid w:val="002A1760"/>
    <w:rsid w:val="002A17DE"/>
    <w:rsid w:val="002A1E26"/>
    <w:rsid w:val="002A2F50"/>
    <w:rsid w:val="002A32AB"/>
    <w:rsid w:val="002A355D"/>
    <w:rsid w:val="002A359F"/>
    <w:rsid w:val="002A3659"/>
    <w:rsid w:val="002A42BA"/>
    <w:rsid w:val="002A4482"/>
    <w:rsid w:val="002A44D2"/>
    <w:rsid w:val="002A4637"/>
    <w:rsid w:val="002A504C"/>
    <w:rsid w:val="002A5098"/>
    <w:rsid w:val="002A52BD"/>
    <w:rsid w:val="002A558A"/>
    <w:rsid w:val="002A5DD5"/>
    <w:rsid w:val="002A5FA6"/>
    <w:rsid w:val="002A5FA9"/>
    <w:rsid w:val="002A6537"/>
    <w:rsid w:val="002A6B60"/>
    <w:rsid w:val="002A6BFD"/>
    <w:rsid w:val="002A6C8C"/>
    <w:rsid w:val="002A6DB5"/>
    <w:rsid w:val="002A7108"/>
    <w:rsid w:val="002A72AC"/>
    <w:rsid w:val="002A7795"/>
    <w:rsid w:val="002A7DC6"/>
    <w:rsid w:val="002B0139"/>
    <w:rsid w:val="002B02A6"/>
    <w:rsid w:val="002B068F"/>
    <w:rsid w:val="002B0774"/>
    <w:rsid w:val="002B08FB"/>
    <w:rsid w:val="002B09A4"/>
    <w:rsid w:val="002B1144"/>
    <w:rsid w:val="002B11BA"/>
    <w:rsid w:val="002B1411"/>
    <w:rsid w:val="002B1684"/>
    <w:rsid w:val="002B1C1F"/>
    <w:rsid w:val="002B1C97"/>
    <w:rsid w:val="002B1EEE"/>
    <w:rsid w:val="002B2291"/>
    <w:rsid w:val="002B249B"/>
    <w:rsid w:val="002B24A2"/>
    <w:rsid w:val="002B259D"/>
    <w:rsid w:val="002B25FC"/>
    <w:rsid w:val="002B269F"/>
    <w:rsid w:val="002B27E0"/>
    <w:rsid w:val="002B2C2C"/>
    <w:rsid w:val="002B2DE7"/>
    <w:rsid w:val="002B3197"/>
    <w:rsid w:val="002B3507"/>
    <w:rsid w:val="002B3883"/>
    <w:rsid w:val="002B3900"/>
    <w:rsid w:val="002B3BCB"/>
    <w:rsid w:val="002B3C4C"/>
    <w:rsid w:val="002B432F"/>
    <w:rsid w:val="002B46C4"/>
    <w:rsid w:val="002B4975"/>
    <w:rsid w:val="002B4D63"/>
    <w:rsid w:val="002B5830"/>
    <w:rsid w:val="002B5B7A"/>
    <w:rsid w:val="002B5CE1"/>
    <w:rsid w:val="002B5EA1"/>
    <w:rsid w:val="002B6013"/>
    <w:rsid w:val="002B62B3"/>
    <w:rsid w:val="002B62CE"/>
    <w:rsid w:val="002B64B5"/>
    <w:rsid w:val="002B6754"/>
    <w:rsid w:val="002B6B43"/>
    <w:rsid w:val="002B6CCE"/>
    <w:rsid w:val="002B73AE"/>
    <w:rsid w:val="002B74FC"/>
    <w:rsid w:val="002B7721"/>
    <w:rsid w:val="002B7756"/>
    <w:rsid w:val="002B782F"/>
    <w:rsid w:val="002B7DF8"/>
    <w:rsid w:val="002B7E8C"/>
    <w:rsid w:val="002C01C9"/>
    <w:rsid w:val="002C01FD"/>
    <w:rsid w:val="002C0473"/>
    <w:rsid w:val="002C0812"/>
    <w:rsid w:val="002C0A0B"/>
    <w:rsid w:val="002C0F4F"/>
    <w:rsid w:val="002C19AC"/>
    <w:rsid w:val="002C1B57"/>
    <w:rsid w:val="002C2048"/>
    <w:rsid w:val="002C2448"/>
    <w:rsid w:val="002C2510"/>
    <w:rsid w:val="002C2775"/>
    <w:rsid w:val="002C27C1"/>
    <w:rsid w:val="002C292C"/>
    <w:rsid w:val="002C296E"/>
    <w:rsid w:val="002C2BA5"/>
    <w:rsid w:val="002C2FF5"/>
    <w:rsid w:val="002C30E1"/>
    <w:rsid w:val="002C35E1"/>
    <w:rsid w:val="002C3637"/>
    <w:rsid w:val="002C3A88"/>
    <w:rsid w:val="002C3C65"/>
    <w:rsid w:val="002C3CA8"/>
    <w:rsid w:val="002C3D86"/>
    <w:rsid w:val="002C4300"/>
    <w:rsid w:val="002C495B"/>
    <w:rsid w:val="002C4990"/>
    <w:rsid w:val="002C4B78"/>
    <w:rsid w:val="002C4F15"/>
    <w:rsid w:val="002C5099"/>
    <w:rsid w:val="002C5208"/>
    <w:rsid w:val="002C543C"/>
    <w:rsid w:val="002C545B"/>
    <w:rsid w:val="002C5585"/>
    <w:rsid w:val="002C566C"/>
    <w:rsid w:val="002C56C1"/>
    <w:rsid w:val="002C5706"/>
    <w:rsid w:val="002C57B0"/>
    <w:rsid w:val="002C5843"/>
    <w:rsid w:val="002C5889"/>
    <w:rsid w:val="002C605E"/>
    <w:rsid w:val="002C6261"/>
    <w:rsid w:val="002C6A01"/>
    <w:rsid w:val="002C6D90"/>
    <w:rsid w:val="002C6FE6"/>
    <w:rsid w:val="002C71CE"/>
    <w:rsid w:val="002C79BF"/>
    <w:rsid w:val="002C79F9"/>
    <w:rsid w:val="002C7AAF"/>
    <w:rsid w:val="002C7B14"/>
    <w:rsid w:val="002C7D5B"/>
    <w:rsid w:val="002C7D8D"/>
    <w:rsid w:val="002D0475"/>
    <w:rsid w:val="002D04D5"/>
    <w:rsid w:val="002D058B"/>
    <w:rsid w:val="002D0759"/>
    <w:rsid w:val="002D0CB5"/>
    <w:rsid w:val="002D0D3B"/>
    <w:rsid w:val="002D105A"/>
    <w:rsid w:val="002D105D"/>
    <w:rsid w:val="002D129A"/>
    <w:rsid w:val="002D1D15"/>
    <w:rsid w:val="002D22CA"/>
    <w:rsid w:val="002D2377"/>
    <w:rsid w:val="002D2382"/>
    <w:rsid w:val="002D260F"/>
    <w:rsid w:val="002D2967"/>
    <w:rsid w:val="002D29D0"/>
    <w:rsid w:val="002D2D12"/>
    <w:rsid w:val="002D3411"/>
    <w:rsid w:val="002D37B4"/>
    <w:rsid w:val="002D3C6D"/>
    <w:rsid w:val="002D3C79"/>
    <w:rsid w:val="002D3D55"/>
    <w:rsid w:val="002D4051"/>
    <w:rsid w:val="002D42A0"/>
    <w:rsid w:val="002D46AD"/>
    <w:rsid w:val="002D48A2"/>
    <w:rsid w:val="002D4A6E"/>
    <w:rsid w:val="002D4BB7"/>
    <w:rsid w:val="002D4BEE"/>
    <w:rsid w:val="002D4C84"/>
    <w:rsid w:val="002D50F3"/>
    <w:rsid w:val="002D5163"/>
    <w:rsid w:val="002D53ED"/>
    <w:rsid w:val="002D54D2"/>
    <w:rsid w:val="002D577C"/>
    <w:rsid w:val="002D57B2"/>
    <w:rsid w:val="002D5FF9"/>
    <w:rsid w:val="002D618C"/>
    <w:rsid w:val="002D6751"/>
    <w:rsid w:val="002D6ACA"/>
    <w:rsid w:val="002D6C0F"/>
    <w:rsid w:val="002D711A"/>
    <w:rsid w:val="002D71C6"/>
    <w:rsid w:val="002D7223"/>
    <w:rsid w:val="002D74FA"/>
    <w:rsid w:val="002D75A7"/>
    <w:rsid w:val="002D7CD6"/>
    <w:rsid w:val="002D7DF5"/>
    <w:rsid w:val="002D7E04"/>
    <w:rsid w:val="002D7F84"/>
    <w:rsid w:val="002E01DE"/>
    <w:rsid w:val="002E032F"/>
    <w:rsid w:val="002E04C7"/>
    <w:rsid w:val="002E0A39"/>
    <w:rsid w:val="002E0C6D"/>
    <w:rsid w:val="002E0DD6"/>
    <w:rsid w:val="002E0F84"/>
    <w:rsid w:val="002E10E1"/>
    <w:rsid w:val="002E15B9"/>
    <w:rsid w:val="002E162A"/>
    <w:rsid w:val="002E16AE"/>
    <w:rsid w:val="002E18F6"/>
    <w:rsid w:val="002E1988"/>
    <w:rsid w:val="002E2158"/>
    <w:rsid w:val="002E248F"/>
    <w:rsid w:val="002E27B0"/>
    <w:rsid w:val="002E28B5"/>
    <w:rsid w:val="002E2916"/>
    <w:rsid w:val="002E2BA5"/>
    <w:rsid w:val="002E2C1D"/>
    <w:rsid w:val="002E2F70"/>
    <w:rsid w:val="002E3752"/>
    <w:rsid w:val="002E3798"/>
    <w:rsid w:val="002E38AC"/>
    <w:rsid w:val="002E39AC"/>
    <w:rsid w:val="002E3CA9"/>
    <w:rsid w:val="002E3E3F"/>
    <w:rsid w:val="002E402B"/>
    <w:rsid w:val="002E40C3"/>
    <w:rsid w:val="002E4848"/>
    <w:rsid w:val="002E485A"/>
    <w:rsid w:val="002E4AEB"/>
    <w:rsid w:val="002E5006"/>
    <w:rsid w:val="002E50C6"/>
    <w:rsid w:val="002E51E9"/>
    <w:rsid w:val="002E5898"/>
    <w:rsid w:val="002E5978"/>
    <w:rsid w:val="002E5A73"/>
    <w:rsid w:val="002E5BD7"/>
    <w:rsid w:val="002E6167"/>
    <w:rsid w:val="002E643B"/>
    <w:rsid w:val="002E66DD"/>
    <w:rsid w:val="002E67BD"/>
    <w:rsid w:val="002E6ABD"/>
    <w:rsid w:val="002E7099"/>
    <w:rsid w:val="002E70F5"/>
    <w:rsid w:val="002E713D"/>
    <w:rsid w:val="002E7532"/>
    <w:rsid w:val="002E7697"/>
    <w:rsid w:val="002E7722"/>
    <w:rsid w:val="002E79C9"/>
    <w:rsid w:val="002E7A3C"/>
    <w:rsid w:val="002E7B1F"/>
    <w:rsid w:val="002E7B3B"/>
    <w:rsid w:val="002E7D3A"/>
    <w:rsid w:val="002E7EE3"/>
    <w:rsid w:val="002F0247"/>
    <w:rsid w:val="002F03E0"/>
    <w:rsid w:val="002F07BA"/>
    <w:rsid w:val="002F09FE"/>
    <w:rsid w:val="002F0C55"/>
    <w:rsid w:val="002F0CB2"/>
    <w:rsid w:val="002F0DA9"/>
    <w:rsid w:val="002F0E18"/>
    <w:rsid w:val="002F0E9E"/>
    <w:rsid w:val="002F11E0"/>
    <w:rsid w:val="002F138B"/>
    <w:rsid w:val="002F151E"/>
    <w:rsid w:val="002F15D8"/>
    <w:rsid w:val="002F1942"/>
    <w:rsid w:val="002F1A6A"/>
    <w:rsid w:val="002F1C72"/>
    <w:rsid w:val="002F20C6"/>
    <w:rsid w:val="002F2B57"/>
    <w:rsid w:val="002F4969"/>
    <w:rsid w:val="002F4AAF"/>
    <w:rsid w:val="002F4E5D"/>
    <w:rsid w:val="002F5146"/>
    <w:rsid w:val="002F51F5"/>
    <w:rsid w:val="002F5A5C"/>
    <w:rsid w:val="002F6072"/>
    <w:rsid w:val="002F62B0"/>
    <w:rsid w:val="002F643C"/>
    <w:rsid w:val="002F676D"/>
    <w:rsid w:val="002F68F6"/>
    <w:rsid w:val="002F6B09"/>
    <w:rsid w:val="002F6BED"/>
    <w:rsid w:val="002F7067"/>
    <w:rsid w:val="002F71C0"/>
    <w:rsid w:val="002F7233"/>
    <w:rsid w:val="002F73A7"/>
    <w:rsid w:val="002F7408"/>
    <w:rsid w:val="002F75C7"/>
    <w:rsid w:val="002F7864"/>
    <w:rsid w:val="002F7AEE"/>
    <w:rsid w:val="002F7E81"/>
    <w:rsid w:val="003009D9"/>
    <w:rsid w:val="00300A61"/>
    <w:rsid w:val="00301017"/>
    <w:rsid w:val="00301200"/>
    <w:rsid w:val="0030155F"/>
    <w:rsid w:val="00301733"/>
    <w:rsid w:val="00302F1E"/>
    <w:rsid w:val="0030303C"/>
    <w:rsid w:val="0030316D"/>
    <w:rsid w:val="0030316F"/>
    <w:rsid w:val="003035AA"/>
    <w:rsid w:val="003038E9"/>
    <w:rsid w:val="00304113"/>
    <w:rsid w:val="003041ED"/>
    <w:rsid w:val="00304881"/>
    <w:rsid w:val="00304970"/>
    <w:rsid w:val="003050E7"/>
    <w:rsid w:val="0030587B"/>
    <w:rsid w:val="00305DFE"/>
    <w:rsid w:val="00305EE9"/>
    <w:rsid w:val="003060B4"/>
    <w:rsid w:val="00306679"/>
    <w:rsid w:val="00306706"/>
    <w:rsid w:val="00306815"/>
    <w:rsid w:val="00306BAF"/>
    <w:rsid w:val="00306C79"/>
    <w:rsid w:val="00306D98"/>
    <w:rsid w:val="00307278"/>
    <w:rsid w:val="003072CA"/>
    <w:rsid w:val="00307378"/>
    <w:rsid w:val="003073CD"/>
    <w:rsid w:val="0030784E"/>
    <w:rsid w:val="0030786C"/>
    <w:rsid w:val="00307D30"/>
    <w:rsid w:val="003101DF"/>
    <w:rsid w:val="0031031A"/>
    <w:rsid w:val="003103E0"/>
    <w:rsid w:val="00310981"/>
    <w:rsid w:val="00310AD7"/>
    <w:rsid w:val="00310D5E"/>
    <w:rsid w:val="00310E28"/>
    <w:rsid w:val="00310EA3"/>
    <w:rsid w:val="00310FBD"/>
    <w:rsid w:val="0031106B"/>
    <w:rsid w:val="0031120E"/>
    <w:rsid w:val="00311A8B"/>
    <w:rsid w:val="00311BB6"/>
    <w:rsid w:val="0031271B"/>
    <w:rsid w:val="00312AAF"/>
    <w:rsid w:val="00312D35"/>
    <w:rsid w:val="00312E55"/>
    <w:rsid w:val="00313636"/>
    <w:rsid w:val="00313934"/>
    <w:rsid w:val="00313A52"/>
    <w:rsid w:val="00313C85"/>
    <w:rsid w:val="00313CE4"/>
    <w:rsid w:val="0031461A"/>
    <w:rsid w:val="00314865"/>
    <w:rsid w:val="003148B4"/>
    <w:rsid w:val="00314D76"/>
    <w:rsid w:val="00314D8A"/>
    <w:rsid w:val="00314F29"/>
    <w:rsid w:val="00314F5E"/>
    <w:rsid w:val="00315494"/>
    <w:rsid w:val="00315498"/>
    <w:rsid w:val="00315A99"/>
    <w:rsid w:val="00315ACB"/>
    <w:rsid w:val="00315B23"/>
    <w:rsid w:val="00315DC6"/>
    <w:rsid w:val="00316205"/>
    <w:rsid w:val="0031620C"/>
    <w:rsid w:val="0031627A"/>
    <w:rsid w:val="003168D8"/>
    <w:rsid w:val="00316918"/>
    <w:rsid w:val="0031695F"/>
    <w:rsid w:val="00316BDA"/>
    <w:rsid w:val="00316CB3"/>
    <w:rsid w:val="00316E8B"/>
    <w:rsid w:val="00316EA8"/>
    <w:rsid w:val="00317635"/>
    <w:rsid w:val="0031776F"/>
    <w:rsid w:val="00317AEE"/>
    <w:rsid w:val="00317C6D"/>
    <w:rsid w:val="0032016E"/>
    <w:rsid w:val="003202BB"/>
    <w:rsid w:val="0032054D"/>
    <w:rsid w:val="00320AD4"/>
    <w:rsid w:val="0032125F"/>
    <w:rsid w:val="00321357"/>
    <w:rsid w:val="003216F1"/>
    <w:rsid w:val="003219E5"/>
    <w:rsid w:val="00321CFD"/>
    <w:rsid w:val="00321E9A"/>
    <w:rsid w:val="00321EFA"/>
    <w:rsid w:val="0032207F"/>
    <w:rsid w:val="00322107"/>
    <w:rsid w:val="003222BE"/>
    <w:rsid w:val="00322386"/>
    <w:rsid w:val="0032241D"/>
    <w:rsid w:val="00322476"/>
    <w:rsid w:val="00322846"/>
    <w:rsid w:val="00322B22"/>
    <w:rsid w:val="0032326F"/>
    <w:rsid w:val="00323483"/>
    <w:rsid w:val="0032348C"/>
    <w:rsid w:val="00323571"/>
    <w:rsid w:val="00323575"/>
    <w:rsid w:val="0032359D"/>
    <w:rsid w:val="00323645"/>
    <w:rsid w:val="00323C44"/>
    <w:rsid w:val="00323C98"/>
    <w:rsid w:val="00324519"/>
    <w:rsid w:val="00324EAB"/>
    <w:rsid w:val="003251E4"/>
    <w:rsid w:val="003255DC"/>
    <w:rsid w:val="00325644"/>
    <w:rsid w:val="003258EF"/>
    <w:rsid w:val="00325B9C"/>
    <w:rsid w:val="00325C2E"/>
    <w:rsid w:val="00325D5C"/>
    <w:rsid w:val="00325E0D"/>
    <w:rsid w:val="0032647A"/>
    <w:rsid w:val="0032665C"/>
    <w:rsid w:val="00326C0D"/>
    <w:rsid w:val="00326DA7"/>
    <w:rsid w:val="00326F09"/>
    <w:rsid w:val="003270E4"/>
    <w:rsid w:val="0032712F"/>
    <w:rsid w:val="0032751C"/>
    <w:rsid w:val="003275F9"/>
    <w:rsid w:val="00327769"/>
    <w:rsid w:val="00327B67"/>
    <w:rsid w:val="00330109"/>
    <w:rsid w:val="0033014B"/>
    <w:rsid w:val="003302F0"/>
    <w:rsid w:val="003304E2"/>
    <w:rsid w:val="0033050C"/>
    <w:rsid w:val="0033059E"/>
    <w:rsid w:val="00330A0D"/>
    <w:rsid w:val="00330DB8"/>
    <w:rsid w:val="00330F5C"/>
    <w:rsid w:val="00331323"/>
    <w:rsid w:val="003315CE"/>
    <w:rsid w:val="00331D64"/>
    <w:rsid w:val="00331F24"/>
    <w:rsid w:val="00331F35"/>
    <w:rsid w:val="00331F3C"/>
    <w:rsid w:val="00331F6C"/>
    <w:rsid w:val="00331F96"/>
    <w:rsid w:val="00332100"/>
    <w:rsid w:val="0033395F"/>
    <w:rsid w:val="00333CEA"/>
    <w:rsid w:val="003341B2"/>
    <w:rsid w:val="003341DE"/>
    <w:rsid w:val="003342E4"/>
    <w:rsid w:val="003348BB"/>
    <w:rsid w:val="0033494C"/>
    <w:rsid w:val="00334A68"/>
    <w:rsid w:val="00334D02"/>
    <w:rsid w:val="00334DD1"/>
    <w:rsid w:val="00334F20"/>
    <w:rsid w:val="003351B0"/>
    <w:rsid w:val="00335467"/>
    <w:rsid w:val="003359C7"/>
    <w:rsid w:val="00335A94"/>
    <w:rsid w:val="00336092"/>
    <w:rsid w:val="003363D8"/>
    <w:rsid w:val="003366C9"/>
    <w:rsid w:val="00336F24"/>
    <w:rsid w:val="003371B0"/>
    <w:rsid w:val="00337279"/>
    <w:rsid w:val="0033751A"/>
    <w:rsid w:val="003375A6"/>
    <w:rsid w:val="00337B6E"/>
    <w:rsid w:val="003405F0"/>
    <w:rsid w:val="00340C47"/>
    <w:rsid w:val="00340DF1"/>
    <w:rsid w:val="00340E00"/>
    <w:rsid w:val="0034109C"/>
    <w:rsid w:val="0034172D"/>
    <w:rsid w:val="00341791"/>
    <w:rsid w:val="0034188C"/>
    <w:rsid w:val="0034194E"/>
    <w:rsid w:val="00341AC5"/>
    <w:rsid w:val="00342051"/>
    <w:rsid w:val="00342357"/>
    <w:rsid w:val="00342576"/>
    <w:rsid w:val="00342A58"/>
    <w:rsid w:val="00342A7B"/>
    <w:rsid w:val="00342CC0"/>
    <w:rsid w:val="00342D78"/>
    <w:rsid w:val="0034357E"/>
    <w:rsid w:val="00343A40"/>
    <w:rsid w:val="00343B81"/>
    <w:rsid w:val="00344177"/>
    <w:rsid w:val="0034424D"/>
    <w:rsid w:val="00344E8D"/>
    <w:rsid w:val="003458CD"/>
    <w:rsid w:val="00345903"/>
    <w:rsid w:val="0034610C"/>
    <w:rsid w:val="003465DD"/>
    <w:rsid w:val="00346650"/>
    <w:rsid w:val="00346706"/>
    <w:rsid w:val="003471B0"/>
    <w:rsid w:val="00347604"/>
    <w:rsid w:val="00347A0E"/>
    <w:rsid w:val="00347AF8"/>
    <w:rsid w:val="00347CEC"/>
    <w:rsid w:val="00350014"/>
    <w:rsid w:val="0035046B"/>
    <w:rsid w:val="00350640"/>
    <w:rsid w:val="00350A2B"/>
    <w:rsid w:val="00350DF1"/>
    <w:rsid w:val="00350EAB"/>
    <w:rsid w:val="00350F44"/>
    <w:rsid w:val="00350F68"/>
    <w:rsid w:val="0035103A"/>
    <w:rsid w:val="00351486"/>
    <w:rsid w:val="003517F9"/>
    <w:rsid w:val="003518ED"/>
    <w:rsid w:val="00351A50"/>
    <w:rsid w:val="00351D77"/>
    <w:rsid w:val="00351EE5"/>
    <w:rsid w:val="0035260C"/>
    <w:rsid w:val="00352644"/>
    <w:rsid w:val="00352823"/>
    <w:rsid w:val="003528D8"/>
    <w:rsid w:val="003529F7"/>
    <w:rsid w:val="00352A8A"/>
    <w:rsid w:val="00352B0C"/>
    <w:rsid w:val="00352D08"/>
    <w:rsid w:val="003531A8"/>
    <w:rsid w:val="003531E2"/>
    <w:rsid w:val="00353514"/>
    <w:rsid w:val="00353754"/>
    <w:rsid w:val="00353C13"/>
    <w:rsid w:val="00353EFA"/>
    <w:rsid w:val="00354599"/>
    <w:rsid w:val="003547A6"/>
    <w:rsid w:val="003548C8"/>
    <w:rsid w:val="00354CB2"/>
    <w:rsid w:val="00354F22"/>
    <w:rsid w:val="00354FCC"/>
    <w:rsid w:val="00355003"/>
    <w:rsid w:val="003551B3"/>
    <w:rsid w:val="003558BF"/>
    <w:rsid w:val="00355AC9"/>
    <w:rsid w:val="00356074"/>
    <w:rsid w:val="003561A7"/>
    <w:rsid w:val="0035620E"/>
    <w:rsid w:val="0035636F"/>
    <w:rsid w:val="00356582"/>
    <w:rsid w:val="003569C4"/>
    <w:rsid w:val="00356AA3"/>
    <w:rsid w:val="003570E5"/>
    <w:rsid w:val="003573BE"/>
    <w:rsid w:val="00357857"/>
    <w:rsid w:val="00357DE8"/>
    <w:rsid w:val="00357F99"/>
    <w:rsid w:val="003600B6"/>
    <w:rsid w:val="00360350"/>
    <w:rsid w:val="003603A0"/>
    <w:rsid w:val="003604C3"/>
    <w:rsid w:val="003608C0"/>
    <w:rsid w:val="00360CA2"/>
    <w:rsid w:val="00360D1F"/>
    <w:rsid w:val="00360D58"/>
    <w:rsid w:val="00360E40"/>
    <w:rsid w:val="003614D7"/>
    <w:rsid w:val="0036225C"/>
    <w:rsid w:val="0036229C"/>
    <w:rsid w:val="0036237D"/>
    <w:rsid w:val="0036238A"/>
    <w:rsid w:val="003623B0"/>
    <w:rsid w:val="003624C4"/>
    <w:rsid w:val="00362593"/>
    <w:rsid w:val="003628A5"/>
    <w:rsid w:val="0036297A"/>
    <w:rsid w:val="003629E2"/>
    <w:rsid w:val="00362B7B"/>
    <w:rsid w:val="00362BE3"/>
    <w:rsid w:val="00362D9A"/>
    <w:rsid w:val="00362E13"/>
    <w:rsid w:val="00362E81"/>
    <w:rsid w:val="003630EE"/>
    <w:rsid w:val="00363436"/>
    <w:rsid w:val="00363573"/>
    <w:rsid w:val="00363617"/>
    <w:rsid w:val="003638AF"/>
    <w:rsid w:val="00363A6C"/>
    <w:rsid w:val="00363DAE"/>
    <w:rsid w:val="0036447B"/>
    <w:rsid w:val="00365136"/>
    <w:rsid w:val="0036522F"/>
    <w:rsid w:val="00365239"/>
    <w:rsid w:val="003654AC"/>
    <w:rsid w:val="003655B2"/>
    <w:rsid w:val="0036572D"/>
    <w:rsid w:val="003657BF"/>
    <w:rsid w:val="00365B99"/>
    <w:rsid w:val="00365EEC"/>
    <w:rsid w:val="00365F73"/>
    <w:rsid w:val="00366C18"/>
    <w:rsid w:val="00366CB8"/>
    <w:rsid w:val="00367152"/>
    <w:rsid w:val="00367348"/>
    <w:rsid w:val="003673C8"/>
    <w:rsid w:val="0036758C"/>
    <w:rsid w:val="00367974"/>
    <w:rsid w:val="00367A1F"/>
    <w:rsid w:val="00367BBD"/>
    <w:rsid w:val="00367EB2"/>
    <w:rsid w:val="0037007C"/>
    <w:rsid w:val="0037039A"/>
    <w:rsid w:val="003704A7"/>
    <w:rsid w:val="00370755"/>
    <w:rsid w:val="0037088F"/>
    <w:rsid w:val="003710CF"/>
    <w:rsid w:val="0037124A"/>
    <w:rsid w:val="00371304"/>
    <w:rsid w:val="0037135A"/>
    <w:rsid w:val="0037155D"/>
    <w:rsid w:val="003717AE"/>
    <w:rsid w:val="00371892"/>
    <w:rsid w:val="0037189C"/>
    <w:rsid w:val="00371932"/>
    <w:rsid w:val="00371ECA"/>
    <w:rsid w:val="00372159"/>
    <w:rsid w:val="0037230D"/>
    <w:rsid w:val="00372325"/>
    <w:rsid w:val="00372399"/>
    <w:rsid w:val="00372993"/>
    <w:rsid w:val="0037301C"/>
    <w:rsid w:val="00373167"/>
    <w:rsid w:val="0037358A"/>
    <w:rsid w:val="00373633"/>
    <w:rsid w:val="0037367C"/>
    <w:rsid w:val="00373A82"/>
    <w:rsid w:val="00373D51"/>
    <w:rsid w:val="00373FAD"/>
    <w:rsid w:val="00374015"/>
    <w:rsid w:val="00374339"/>
    <w:rsid w:val="003750F6"/>
    <w:rsid w:val="003751B1"/>
    <w:rsid w:val="003753FE"/>
    <w:rsid w:val="00375650"/>
    <w:rsid w:val="003756A8"/>
    <w:rsid w:val="0037586D"/>
    <w:rsid w:val="00375ED7"/>
    <w:rsid w:val="00375EDE"/>
    <w:rsid w:val="00375EF6"/>
    <w:rsid w:val="00375FBA"/>
    <w:rsid w:val="003760FC"/>
    <w:rsid w:val="00376182"/>
    <w:rsid w:val="00376C6E"/>
    <w:rsid w:val="00376ED1"/>
    <w:rsid w:val="00377165"/>
    <w:rsid w:val="003772B6"/>
    <w:rsid w:val="003773E0"/>
    <w:rsid w:val="003776B4"/>
    <w:rsid w:val="00377862"/>
    <w:rsid w:val="00377C80"/>
    <w:rsid w:val="00380027"/>
    <w:rsid w:val="00380216"/>
    <w:rsid w:val="0038046D"/>
    <w:rsid w:val="00380529"/>
    <w:rsid w:val="00380569"/>
    <w:rsid w:val="00380704"/>
    <w:rsid w:val="00380F7D"/>
    <w:rsid w:val="00380FC9"/>
    <w:rsid w:val="003811C0"/>
    <w:rsid w:val="00381242"/>
    <w:rsid w:val="00381435"/>
    <w:rsid w:val="00381436"/>
    <w:rsid w:val="0038151E"/>
    <w:rsid w:val="00381BB5"/>
    <w:rsid w:val="00381CC9"/>
    <w:rsid w:val="00381FF0"/>
    <w:rsid w:val="00382161"/>
    <w:rsid w:val="00382183"/>
    <w:rsid w:val="003825C0"/>
    <w:rsid w:val="003825D0"/>
    <w:rsid w:val="003826D7"/>
    <w:rsid w:val="003827C5"/>
    <w:rsid w:val="00382AA3"/>
    <w:rsid w:val="00382AF5"/>
    <w:rsid w:val="00382D46"/>
    <w:rsid w:val="00382DCF"/>
    <w:rsid w:val="0038317C"/>
    <w:rsid w:val="00383384"/>
    <w:rsid w:val="0038365C"/>
    <w:rsid w:val="0038369B"/>
    <w:rsid w:val="003836B1"/>
    <w:rsid w:val="00383A5D"/>
    <w:rsid w:val="00383B78"/>
    <w:rsid w:val="00383CC1"/>
    <w:rsid w:val="00383D81"/>
    <w:rsid w:val="00383F62"/>
    <w:rsid w:val="00384108"/>
    <w:rsid w:val="003842B2"/>
    <w:rsid w:val="00384308"/>
    <w:rsid w:val="0038471B"/>
    <w:rsid w:val="003847F6"/>
    <w:rsid w:val="003857BF"/>
    <w:rsid w:val="00385831"/>
    <w:rsid w:val="0038583E"/>
    <w:rsid w:val="00385A9D"/>
    <w:rsid w:val="00385C04"/>
    <w:rsid w:val="00385D3A"/>
    <w:rsid w:val="00385F16"/>
    <w:rsid w:val="00386077"/>
    <w:rsid w:val="0038628E"/>
    <w:rsid w:val="003863D5"/>
    <w:rsid w:val="00386615"/>
    <w:rsid w:val="00386EC3"/>
    <w:rsid w:val="00387A35"/>
    <w:rsid w:val="00387DB0"/>
    <w:rsid w:val="003902B1"/>
    <w:rsid w:val="00390510"/>
    <w:rsid w:val="00390580"/>
    <w:rsid w:val="003905BB"/>
    <w:rsid w:val="003907C1"/>
    <w:rsid w:val="00390FA6"/>
    <w:rsid w:val="00392124"/>
    <w:rsid w:val="00392584"/>
    <w:rsid w:val="00392D3F"/>
    <w:rsid w:val="003932C1"/>
    <w:rsid w:val="00393390"/>
    <w:rsid w:val="00393612"/>
    <w:rsid w:val="00393BC8"/>
    <w:rsid w:val="00393C0B"/>
    <w:rsid w:val="00393C12"/>
    <w:rsid w:val="00393C73"/>
    <w:rsid w:val="00393D56"/>
    <w:rsid w:val="00394098"/>
    <w:rsid w:val="00394209"/>
    <w:rsid w:val="00394275"/>
    <w:rsid w:val="00394398"/>
    <w:rsid w:val="00394A3B"/>
    <w:rsid w:val="00394ABB"/>
    <w:rsid w:val="00395200"/>
    <w:rsid w:val="003952B8"/>
    <w:rsid w:val="00395428"/>
    <w:rsid w:val="003958B7"/>
    <w:rsid w:val="00395A82"/>
    <w:rsid w:val="00395AAF"/>
    <w:rsid w:val="00395C60"/>
    <w:rsid w:val="00395C96"/>
    <w:rsid w:val="00395D54"/>
    <w:rsid w:val="003962CA"/>
    <w:rsid w:val="00396896"/>
    <w:rsid w:val="003968AA"/>
    <w:rsid w:val="00396EFD"/>
    <w:rsid w:val="00396FD0"/>
    <w:rsid w:val="00397227"/>
    <w:rsid w:val="00397AAE"/>
    <w:rsid w:val="00397E4D"/>
    <w:rsid w:val="00397E96"/>
    <w:rsid w:val="00397FC6"/>
    <w:rsid w:val="003A0819"/>
    <w:rsid w:val="003A0BCC"/>
    <w:rsid w:val="003A0ECB"/>
    <w:rsid w:val="003A1189"/>
    <w:rsid w:val="003A1209"/>
    <w:rsid w:val="003A1238"/>
    <w:rsid w:val="003A1842"/>
    <w:rsid w:val="003A1A2E"/>
    <w:rsid w:val="003A1A7A"/>
    <w:rsid w:val="003A1A96"/>
    <w:rsid w:val="003A1B3C"/>
    <w:rsid w:val="003A1DF5"/>
    <w:rsid w:val="003A1F97"/>
    <w:rsid w:val="003A220F"/>
    <w:rsid w:val="003A2392"/>
    <w:rsid w:val="003A2795"/>
    <w:rsid w:val="003A27E9"/>
    <w:rsid w:val="003A2831"/>
    <w:rsid w:val="003A34B3"/>
    <w:rsid w:val="003A34C2"/>
    <w:rsid w:val="003A3ED1"/>
    <w:rsid w:val="003A40A5"/>
    <w:rsid w:val="003A4364"/>
    <w:rsid w:val="003A474D"/>
    <w:rsid w:val="003A4846"/>
    <w:rsid w:val="003A4C22"/>
    <w:rsid w:val="003A4D60"/>
    <w:rsid w:val="003A5779"/>
    <w:rsid w:val="003A6170"/>
    <w:rsid w:val="003A6228"/>
    <w:rsid w:val="003A623F"/>
    <w:rsid w:val="003A64F9"/>
    <w:rsid w:val="003A658E"/>
    <w:rsid w:val="003A66E0"/>
    <w:rsid w:val="003A67CE"/>
    <w:rsid w:val="003A6C37"/>
    <w:rsid w:val="003A6C99"/>
    <w:rsid w:val="003A6EBA"/>
    <w:rsid w:val="003A7256"/>
    <w:rsid w:val="003A725E"/>
    <w:rsid w:val="003A74FD"/>
    <w:rsid w:val="003A7913"/>
    <w:rsid w:val="003A79D2"/>
    <w:rsid w:val="003A7C8F"/>
    <w:rsid w:val="003A7DEC"/>
    <w:rsid w:val="003A7E91"/>
    <w:rsid w:val="003A7F9D"/>
    <w:rsid w:val="003B00FC"/>
    <w:rsid w:val="003B010D"/>
    <w:rsid w:val="003B0311"/>
    <w:rsid w:val="003B04B7"/>
    <w:rsid w:val="003B057B"/>
    <w:rsid w:val="003B0719"/>
    <w:rsid w:val="003B085E"/>
    <w:rsid w:val="003B09AD"/>
    <w:rsid w:val="003B0BF6"/>
    <w:rsid w:val="003B0C64"/>
    <w:rsid w:val="003B0D7D"/>
    <w:rsid w:val="003B141E"/>
    <w:rsid w:val="003B14ED"/>
    <w:rsid w:val="003B1758"/>
    <w:rsid w:val="003B1A28"/>
    <w:rsid w:val="003B1F78"/>
    <w:rsid w:val="003B2151"/>
    <w:rsid w:val="003B22F3"/>
    <w:rsid w:val="003B2467"/>
    <w:rsid w:val="003B28CC"/>
    <w:rsid w:val="003B2CAC"/>
    <w:rsid w:val="003B31E4"/>
    <w:rsid w:val="003B32EB"/>
    <w:rsid w:val="003B32F0"/>
    <w:rsid w:val="003B3AD6"/>
    <w:rsid w:val="003B42AD"/>
    <w:rsid w:val="003B47FC"/>
    <w:rsid w:val="003B488D"/>
    <w:rsid w:val="003B4CB5"/>
    <w:rsid w:val="003B4E4B"/>
    <w:rsid w:val="003B513E"/>
    <w:rsid w:val="003B53CD"/>
    <w:rsid w:val="003B53DA"/>
    <w:rsid w:val="003B5892"/>
    <w:rsid w:val="003B5B61"/>
    <w:rsid w:val="003B5BB8"/>
    <w:rsid w:val="003B5E49"/>
    <w:rsid w:val="003B5F77"/>
    <w:rsid w:val="003B5FCE"/>
    <w:rsid w:val="003B64FB"/>
    <w:rsid w:val="003B6923"/>
    <w:rsid w:val="003B6AAC"/>
    <w:rsid w:val="003B6CB5"/>
    <w:rsid w:val="003B6D77"/>
    <w:rsid w:val="003B74AD"/>
    <w:rsid w:val="003B755D"/>
    <w:rsid w:val="003B7655"/>
    <w:rsid w:val="003B78A9"/>
    <w:rsid w:val="003B7E8B"/>
    <w:rsid w:val="003C01F2"/>
    <w:rsid w:val="003C037F"/>
    <w:rsid w:val="003C042B"/>
    <w:rsid w:val="003C04B4"/>
    <w:rsid w:val="003C0566"/>
    <w:rsid w:val="003C0738"/>
    <w:rsid w:val="003C07A9"/>
    <w:rsid w:val="003C0ABE"/>
    <w:rsid w:val="003C0E60"/>
    <w:rsid w:val="003C1021"/>
    <w:rsid w:val="003C10D8"/>
    <w:rsid w:val="003C14D2"/>
    <w:rsid w:val="003C1654"/>
    <w:rsid w:val="003C172E"/>
    <w:rsid w:val="003C1969"/>
    <w:rsid w:val="003C1BF5"/>
    <w:rsid w:val="003C25C4"/>
    <w:rsid w:val="003C29CF"/>
    <w:rsid w:val="003C307A"/>
    <w:rsid w:val="003C30BC"/>
    <w:rsid w:val="003C323F"/>
    <w:rsid w:val="003C36DB"/>
    <w:rsid w:val="003C3B66"/>
    <w:rsid w:val="003C3EB3"/>
    <w:rsid w:val="003C3EC5"/>
    <w:rsid w:val="003C3FD4"/>
    <w:rsid w:val="003C4058"/>
    <w:rsid w:val="003C4782"/>
    <w:rsid w:val="003C4E36"/>
    <w:rsid w:val="003C4F65"/>
    <w:rsid w:val="003C51A4"/>
    <w:rsid w:val="003C52C0"/>
    <w:rsid w:val="003C5482"/>
    <w:rsid w:val="003C5951"/>
    <w:rsid w:val="003C597E"/>
    <w:rsid w:val="003C59B6"/>
    <w:rsid w:val="003C651F"/>
    <w:rsid w:val="003C6746"/>
    <w:rsid w:val="003C6C39"/>
    <w:rsid w:val="003C6C40"/>
    <w:rsid w:val="003C7318"/>
    <w:rsid w:val="003C742D"/>
    <w:rsid w:val="003C789F"/>
    <w:rsid w:val="003C7C37"/>
    <w:rsid w:val="003C7C7D"/>
    <w:rsid w:val="003C7D19"/>
    <w:rsid w:val="003C7DDD"/>
    <w:rsid w:val="003C7FC9"/>
    <w:rsid w:val="003C7FE7"/>
    <w:rsid w:val="003D0164"/>
    <w:rsid w:val="003D01B4"/>
    <w:rsid w:val="003D0C8D"/>
    <w:rsid w:val="003D13B4"/>
    <w:rsid w:val="003D1828"/>
    <w:rsid w:val="003D1A93"/>
    <w:rsid w:val="003D1D7F"/>
    <w:rsid w:val="003D1DE4"/>
    <w:rsid w:val="003D2422"/>
    <w:rsid w:val="003D2904"/>
    <w:rsid w:val="003D29EA"/>
    <w:rsid w:val="003D2AE8"/>
    <w:rsid w:val="003D2CCF"/>
    <w:rsid w:val="003D2EAE"/>
    <w:rsid w:val="003D32F0"/>
    <w:rsid w:val="003D33FF"/>
    <w:rsid w:val="003D3791"/>
    <w:rsid w:val="003D39A1"/>
    <w:rsid w:val="003D3D53"/>
    <w:rsid w:val="003D3FBF"/>
    <w:rsid w:val="003D420E"/>
    <w:rsid w:val="003D460E"/>
    <w:rsid w:val="003D463C"/>
    <w:rsid w:val="003D4948"/>
    <w:rsid w:val="003D4A30"/>
    <w:rsid w:val="003D4CF3"/>
    <w:rsid w:val="003D4D44"/>
    <w:rsid w:val="003D4DC9"/>
    <w:rsid w:val="003D5054"/>
    <w:rsid w:val="003D560B"/>
    <w:rsid w:val="003D561D"/>
    <w:rsid w:val="003D567B"/>
    <w:rsid w:val="003D5959"/>
    <w:rsid w:val="003D5F83"/>
    <w:rsid w:val="003D6148"/>
    <w:rsid w:val="003D622F"/>
    <w:rsid w:val="003D64E1"/>
    <w:rsid w:val="003D66DD"/>
    <w:rsid w:val="003D66E2"/>
    <w:rsid w:val="003D6F92"/>
    <w:rsid w:val="003D719D"/>
    <w:rsid w:val="003D7368"/>
    <w:rsid w:val="003D7807"/>
    <w:rsid w:val="003D7944"/>
    <w:rsid w:val="003D798E"/>
    <w:rsid w:val="003D79AF"/>
    <w:rsid w:val="003D79BB"/>
    <w:rsid w:val="003D7A44"/>
    <w:rsid w:val="003D7AB7"/>
    <w:rsid w:val="003D7ACE"/>
    <w:rsid w:val="003D7BBB"/>
    <w:rsid w:val="003D7C98"/>
    <w:rsid w:val="003D7D85"/>
    <w:rsid w:val="003D7E37"/>
    <w:rsid w:val="003D7F63"/>
    <w:rsid w:val="003E0543"/>
    <w:rsid w:val="003E073F"/>
    <w:rsid w:val="003E0754"/>
    <w:rsid w:val="003E0F07"/>
    <w:rsid w:val="003E0F92"/>
    <w:rsid w:val="003E10AD"/>
    <w:rsid w:val="003E10F4"/>
    <w:rsid w:val="003E153A"/>
    <w:rsid w:val="003E1650"/>
    <w:rsid w:val="003E18F1"/>
    <w:rsid w:val="003E196F"/>
    <w:rsid w:val="003E19E0"/>
    <w:rsid w:val="003E1F30"/>
    <w:rsid w:val="003E25DF"/>
    <w:rsid w:val="003E273E"/>
    <w:rsid w:val="003E2782"/>
    <w:rsid w:val="003E2A09"/>
    <w:rsid w:val="003E333B"/>
    <w:rsid w:val="003E36AF"/>
    <w:rsid w:val="003E3A2C"/>
    <w:rsid w:val="003E3B9A"/>
    <w:rsid w:val="003E3D07"/>
    <w:rsid w:val="003E41C0"/>
    <w:rsid w:val="003E4329"/>
    <w:rsid w:val="003E45FB"/>
    <w:rsid w:val="003E4658"/>
    <w:rsid w:val="003E47DF"/>
    <w:rsid w:val="003E4924"/>
    <w:rsid w:val="003E551B"/>
    <w:rsid w:val="003E5AA1"/>
    <w:rsid w:val="003E5E2E"/>
    <w:rsid w:val="003E5E5B"/>
    <w:rsid w:val="003E6437"/>
    <w:rsid w:val="003E650B"/>
    <w:rsid w:val="003E6652"/>
    <w:rsid w:val="003E6782"/>
    <w:rsid w:val="003E6B53"/>
    <w:rsid w:val="003E6CCA"/>
    <w:rsid w:val="003E7078"/>
    <w:rsid w:val="003E7621"/>
    <w:rsid w:val="003E7655"/>
    <w:rsid w:val="003E7AB4"/>
    <w:rsid w:val="003E7C91"/>
    <w:rsid w:val="003E7EC6"/>
    <w:rsid w:val="003F0386"/>
    <w:rsid w:val="003F03B2"/>
    <w:rsid w:val="003F03CE"/>
    <w:rsid w:val="003F0BB5"/>
    <w:rsid w:val="003F0C75"/>
    <w:rsid w:val="003F0D05"/>
    <w:rsid w:val="003F0D30"/>
    <w:rsid w:val="003F0FF2"/>
    <w:rsid w:val="003F18A0"/>
    <w:rsid w:val="003F1CD7"/>
    <w:rsid w:val="003F1DFC"/>
    <w:rsid w:val="003F21D1"/>
    <w:rsid w:val="003F287E"/>
    <w:rsid w:val="003F28EB"/>
    <w:rsid w:val="003F2ADF"/>
    <w:rsid w:val="003F3012"/>
    <w:rsid w:val="003F322D"/>
    <w:rsid w:val="003F37A2"/>
    <w:rsid w:val="003F39C2"/>
    <w:rsid w:val="003F3C94"/>
    <w:rsid w:val="003F4156"/>
    <w:rsid w:val="003F41DD"/>
    <w:rsid w:val="003F43AC"/>
    <w:rsid w:val="003F4572"/>
    <w:rsid w:val="003F4A0B"/>
    <w:rsid w:val="003F4A5C"/>
    <w:rsid w:val="003F4C98"/>
    <w:rsid w:val="003F4CE5"/>
    <w:rsid w:val="003F4E0B"/>
    <w:rsid w:val="003F4E74"/>
    <w:rsid w:val="003F53F2"/>
    <w:rsid w:val="003F5AEB"/>
    <w:rsid w:val="003F5C52"/>
    <w:rsid w:val="003F5CFF"/>
    <w:rsid w:val="003F5D10"/>
    <w:rsid w:val="003F6451"/>
    <w:rsid w:val="003F665F"/>
    <w:rsid w:val="003F66CB"/>
    <w:rsid w:val="003F6723"/>
    <w:rsid w:val="003F68FD"/>
    <w:rsid w:val="003F7252"/>
    <w:rsid w:val="003F7612"/>
    <w:rsid w:val="003F775B"/>
    <w:rsid w:val="003F7D92"/>
    <w:rsid w:val="00400520"/>
    <w:rsid w:val="0040056F"/>
    <w:rsid w:val="00400B29"/>
    <w:rsid w:val="00400F0D"/>
    <w:rsid w:val="004010CF"/>
    <w:rsid w:val="0040111A"/>
    <w:rsid w:val="00401273"/>
    <w:rsid w:val="00401282"/>
    <w:rsid w:val="004014CC"/>
    <w:rsid w:val="004015EE"/>
    <w:rsid w:val="004018A8"/>
    <w:rsid w:val="00401ECA"/>
    <w:rsid w:val="00401F89"/>
    <w:rsid w:val="00402009"/>
    <w:rsid w:val="00402B71"/>
    <w:rsid w:val="00402BB0"/>
    <w:rsid w:val="00402E0F"/>
    <w:rsid w:val="00402EB9"/>
    <w:rsid w:val="00403066"/>
    <w:rsid w:val="00403363"/>
    <w:rsid w:val="00403413"/>
    <w:rsid w:val="0040393D"/>
    <w:rsid w:val="00403BEC"/>
    <w:rsid w:val="00403D83"/>
    <w:rsid w:val="004043AE"/>
    <w:rsid w:val="004043C3"/>
    <w:rsid w:val="004047F5"/>
    <w:rsid w:val="00404E9F"/>
    <w:rsid w:val="0040504B"/>
    <w:rsid w:val="004050FF"/>
    <w:rsid w:val="004056FD"/>
    <w:rsid w:val="004058A1"/>
    <w:rsid w:val="00405A7F"/>
    <w:rsid w:val="00405C2C"/>
    <w:rsid w:val="00405E71"/>
    <w:rsid w:val="00406370"/>
    <w:rsid w:val="0040654B"/>
    <w:rsid w:val="0040656E"/>
    <w:rsid w:val="004067ED"/>
    <w:rsid w:val="00406858"/>
    <w:rsid w:val="00406A6E"/>
    <w:rsid w:val="00406EDA"/>
    <w:rsid w:val="00406FA5"/>
    <w:rsid w:val="00406FEE"/>
    <w:rsid w:val="00407513"/>
    <w:rsid w:val="004104F3"/>
    <w:rsid w:val="004105BE"/>
    <w:rsid w:val="00410682"/>
    <w:rsid w:val="00410708"/>
    <w:rsid w:val="0041083C"/>
    <w:rsid w:val="00410E7D"/>
    <w:rsid w:val="00410EC7"/>
    <w:rsid w:val="004110FE"/>
    <w:rsid w:val="0041154D"/>
    <w:rsid w:val="004118F5"/>
    <w:rsid w:val="004119BD"/>
    <w:rsid w:val="00411A0B"/>
    <w:rsid w:val="00411A62"/>
    <w:rsid w:val="00411B39"/>
    <w:rsid w:val="00411ED6"/>
    <w:rsid w:val="00412081"/>
    <w:rsid w:val="004120A5"/>
    <w:rsid w:val="00412195"/>
    <w:rsid w:val="004123F2"/>
    <w:rsid w:val="00412446"/>
    <w:rsid w:val="004125D8"/>
    <w:rsid w:val="004127B3"/>
    <w:rsid w:val="004127D3"/>
    <w:rsid w:val="00412867"/>
    <w:rsid w:val="00412E56"/>
    <w:rsid w:val="00413074"/>
    <w:rsid w:val="0041369F"/>
    <w:rsid w:val="00413A1E"/>
    <w:rsid w:val="00413E61"/>
    <w:rsid w:val="0041446C"/>
    <w:rsid w:val="00414476"/>
    <w:rsid w:val="004146C6"/>
    <w:rsid w:val="00414869"/>
    <w:rsid w:val="00414BF0"/>
    <w:rsid w:val="00414C02"/>
    <w:rsid w:val="00414C2E"/>
    <w:rsid w:val="004151CF"/>
    <w:rsid w:val="004152B6"/>
    <w:rsid w:val="00415427"/>
    <w:rsid w:val="00415765"/>
    <w:rsid w:val="00415E60"/>
    <w:rsid w:val="0041605A"/>
    <w:rsid w:val="00416364"/>
    <w:rsid w:val="00416A30"/>
    <w:rsid w:val="00416A45"/>
    <w:rsid w:val="00416EE0"/>
    <w:rsid w:val="00416FB8"/>
    <w:rsid w:val="00417217"/>
    <w:rsid w:val="00417383"/>
    <w:rsid w:val="0041752A"/>
    <w:rsid w:val="00417654"/>
    <w:rsid w:val="004176D6"/>
    <w:rsid w:val="00417968"/>
    <w:rsid w:val="00417A6F"/>
    <w:rsid w:val="00417F05"/>
    <w:rsid w:val="00417F67"/>
    <w:rsid w:val="004202E0"/>
    <w:rsid w:val="004207BA"/>
    <w:rsid w:val="00420A58"/>
    <w:rsid w:val="00420AA6"/>
    <w:rsid w:val="00420B9F"/>
    <w:rsid w:val="00420C9B"/>
    <w:rsid w:val="00420E02"/>
    <w:rsid w:val="00421025"/>
    <w:rsid w:val="004213C3"/>
    <w:rsid w:val="0042151F"/>
    <w:rsid w:val="004217ED"/>
    <w:rsid w:val="00421911"/>
    <w:rsid w:val="00421FF2"/>
    <w:rsid w:val="00422260"/>
    <w:rsid w:val="004224DA"/>
    <w:rsid w:val="0042263D"/>
    <w:rsid w:val="0042281A"/>
    <w:rsid w:val="00422EF1"/>
    <w:rsid w:val="0042349B"/>
    <w:rsid w:val="004234F1"/>
    <w:rsid w:val="004237C2"/>
    <w:rsid w:val="004239E5"/>
    <w:rsid w:val="004239ED"/>
    <w:rsid w:val="00423FFD"/>
    <w:rsid w:val="004240BE"/>
    <w:rsid w:val="0042413F"/>
    <w:rsid w:val="00424260"/>
    <w:rsid w:val="00424664"/>
    <w:rsid w:val="00424727"/>
    <w:rsid w:val="00424AE5"/>
    <w:rsid w:val="004254F0"/>
    <w:rsid w:val="00425523"/>
    <w:rsid w:val="00425FA3"/>
    <w:rsid w:val="00426116"/>
    <w:rsid w:val="004261EB"/>
    <w:rsid w:val="00426392"/>
    <w:rsid w:val="004265A8"/>
    <w:rsid w:val="00426673"/>
    <w:rsid w:val="00426981"/>
    <w:rsid w:val="00427A67"/>
    <w:rsid w:val="00430347"/>
    <w:rsid w:val="00430434"/>
    <w:rsid w:val="004306B0"/>
    <w:rsid w:val="0043074E"/>
    <w:rsid w:val="004307CC"/>
    <w:rsid w:val="00430AD7"/>
    <w:rsid w:val="00430B36"/>
    <w:rsid w:val="00430C0C"/>
    <w:rsid w:val="004310D7"/>
    <w:rsid w:val="004319F8"/>
    <w:rsid w:val="00431BD3"/>
    <w:rsid w:val="00431E55"/>
    <w:rsid w:val="00431FED"/>
    <w:rsid w:val="004321F6"/>
    <w:rsid w:val="00432AFC"/>
    <w:rsid w:val="00432CCD"/>
    <w:rsid w:val="00432D21"/>
    <w:rsid w:val="00433044"/>
    <w:rsid w:val="00433098"/>
    <w:rsid w:val="004337AD"/>
    <w:rsid w:val="004344B7"/>
    <w:rsid w:val="0043455B"/>
    <w:rsid w:val="00434A6A"/>
    <w:rsid w:val="004355CA"/>
    <w:rsid w:val="00435649"/>
    <w:rsid w:val="0043566D"/>
    <w:rsid w:val="004356D5"/>
    <w:rsid w:val="00435772"/>
    <w:rsid w:val="00435D89"/>
    <w:rsid w:val="00435EBD"/>
    <w:rsid w:val="00435F36"/>
    <w:rsid w:val="004361E5"/>
    <w:rsid w:val="0043638E"/>
    <w:rsid w:val="00436680"/>
    <w:rsid w:val="00436B2C"/>
    <w:rsid w:val="00436C24"/>
    <w:rsid w:val="00436C87"/>
    <w:rsid w:val="00436F96"/>
    <w:rsid w:val="00436FF8"/>
    <w:rsid w:val="00437234"/>
    <w:rsid w:val="00437537"/>
    <w:rsid w:val="004375B9"/>
    <w:rsid w:val="004376A0"/>
    <w:rsid w:val="00437750"/>
    <w:rsid w:val="00437A7C"/>
    <w:rsid w:val="00437C6F"/>
    <w:rsid w:val="00437CB8"/>
    <w:rsid w:val="00437E13"/>
    <w:rsid w:val="00437FAD"/>
    <w:rsid w:val="0044017D"/>
    <w:rsid w:val="004406F2"/>
    <w:rsid w:val="00440796"/>
    <w:rsid w:val="004413E4"/>
    <w:rsid w:val="0044151E"/>
    <w:rsid w:val="00441976"/>
    <w:rsid w:val="00441C31"/>
    <w:rsid w:val="0044260A"/>
    <w:rsid w:val="004428D0"/>
    <w:rsid w:val="00442C3E"/>
    <w:rsid w:val="00443149"/>
    <w:rsid w:val="00443300"/>
    <w:rsid w:val="00443928"/>
    <w:rsid w:val="00443C17"/>
    <w:rsid w:val="00443DD4"/>
    <w:rsid w:val="0044405B"/>
    <w:rsid w:val="0044407F"/>
    <w:rsid w:val="004443A7"/>
    <w:rsid w:val="0044442C"/>
    <w:rsid w:val="0044476E"/>
    <w:rsid w:val="004448B8"/>
    <w:rsid w:val="00444B3E"/>
    <w:rsid w:val="00444D00"/>
    <w:rsid w:val="00444DAD"/>
    <w:rsid w:val="00444DFE"/>
    <w:rsid w:val="00444E97"/>
    <w:rsid w:val="00444F36"/>
    <w:rsid w:val="004456AF"/>
    <w:rsid w:val="00445941"/>
    <w:rsid w:val="00445A40"/>
    <w:rsid w:val="00445BC9"/>
    <w:rsid w:val="0044613E"/>
    <w:rsid w:val="00446283"/>
    <w:rsid w:val="004464EB"/>
    <w:rsid w:val="004466E6"/>
    <w:rsid w:val="004467E6"/>
    <w:rsid w:val="00446F2A"/>
    <w:rsid w:val="00446F3B"/>
    <w:rsid w:val="0044765B"/>
    <w:rsid w:val="00447873"/>
    <w:rsid w:val="00447BD7"/>
    <w:rsid w:val="00447D26"/>
    <w:rsid w:val="004502AE"/>
    <w:rsid w:val="0045049F"/>
    <w:rsid w:val="00450A50"/>
    <w:rsid w:val="00450A7E"/>
    <w:rsid w:val="0045124A"/>
    <w:rsid w:val="00451341"/>
    <w:rsid w:val="00451608"/>
    <w:rsid w:val="004518DA"/>
    <w:rsid w:val="004519F4"/>
    <w:rsid w:val="00452052"/>
    <w:rsid w:val="004522D6"/>
    <w:rsid w:val="004524D4"/>
    <w:rsid w:val="004524FC"/>
    <w:rsid w:val="00452BBF"/>
    <w:rsid w:val="00452CF0"/>
    <w:rsid w:val="00453597"/>
    <w:rsid w:val="00453660"/>
    <w:rsid w:val="004540DD"/>
    <w:rsid w:val="004540E4"/>
    <w:rsid w:val="00454853"/>
    <w:rsid w:val="00454899"/>
    <w:rsid w:val="00454A53"/>
    <w:rsid w:val="00454CCE"/>
    <w:rsid w:val="0045508E"/>
    <w:rsid w:val="00455707"/>
    <w:rsid w:val="00455949"/>
    <w:rsid w:val="00455952"/>
    <w:rsid w:val="00455B9D"/>
    <w:rsid w:val="00455BE6"/>
    <w:rsid w:val="00455D45"/>
    <w:rsid w:val="0045658D"/>
    <w:rsid w:val="004565BD"/>
    <w:rsid w:val="004566C3"/>
    <w:rsid w:val="004567F6"/>
    <w:rsid w:val="00456E41"/>
    <w:rsid w:val="00456EBB"/>
    <w:rsid w:val="00457008"/>
    <w:rsid w:val="004571E7"/>
    <w:rsid w:val="0045779D"/>
    <w:rsid w:val="00457B5A"/>
    <w:rsid w:val="0046023A"/>
    <w:rsid w:val="00460502"/>
    <w:rsid w:val="00460670"/>
    <w:rsid w:val="00460BE8"/>
    <w:rsid w:val="00460D3A"/>
    <w:rsid w:val="00460FD3"/>
    <w:rsid w:val="00461218"/>
    <w:rsid w:val="004612E7"/>
    <w:rsid w:val="00461489"/>
    <w:rsid w:val="00461A85"/>
    <w:rsid w:val="00462146"/>
    <w:rsid w:val="004624B9"/>
    <w:rsid w:val="0046284E"/>
    <w:rsid w:val="00462857"/>
    <w:rsid w:val="00462DCF"/>
    <w:rsid w:val="00462F87"/>
    <w:rsid w:val="00463053"/>
    <w:rsid w:val="00463388"/>
    <w:rsid w:val="00463590"/>
    <w:rsid w:val="004635DD"/>
    <w:rsid w:val="00463AF2"/>
    <w:rsid w:val="00463D75"/>
    <w:rsid w:val="00464282"/>
    <w:rsid w:val="004642E8"/>
    <w:rsid w:val="00464595"/>
    <w:rsid w:val="0046459E"/>
    <w:rsid w:val="004648BA"/>
    <w:rsid w:val="004649C9"/>
    <w:rsid w:val="00464A1B"/>
    <w:rsid w:val="00464E9F"/>
    <w:rsid w:val="00465186"/>
    <w:rsid w:val="0046536A"/>
    <w:rsid w:val="0046595F"/>
    <w:rsid w:val="004659F8"/>
    <w:rsid w:val="0046617E"/>
    <w:rsid w:val="004661ED"/>
    <w:rsid w:val="00466742"/>
    <w:rsid w:val="00466E5A"/>
    <w:rsid w:val="00466F46"/>
    <w:rsid w:val="00466FAA"/>
    <w:rsid w:val="00467244"/>
    <w:rsid w:val="004677F9"/>
    <w:rsid w:val="0046798A"/>
    <w:rsid w:val="00470052"/>
    <w:rsid w:val="004700C7"/>
    <w:rsid w:val="00470402"/>
    <w:rsid w:val="0047066B"/>
    <w:rsid w:val="00470990"/>
    <w:rsid w:val="00470A6B"/>
    <w:rsid w:val="00470B6A"/>
    <w:rsid w:val="00470BC2"/>
    <w:rsid w:val="00470C72"/>
    <w:rsid w:val="00471114"/>
    <w:rsid w:val="00471293"/>
    <w:rsid w:val="00471767"/>
    <w:rsid w:val="00471788"/>
    <w:rsid w:val="00471791"/>
    <w:rsid w:val="004717B6"/>
    <w:rsid w:val="00471B94"/>
    <w:rsid w:val="0047216F"/>
    <w:rsid w:val="004727D7"/>
    <w:rsid w:val="00472A79"/>
    <w:rsid w:val="00472A93"/>
    <w:rsid w:val="00472D98"/>
    <w:rsid w:val="00472F45"/>
    <w:rsid w:val="00472F6E"/>
    <w:rsid w:val="00473237"/>
    <w:rsid w:val="004732AB"/>
    <w:rsid w:val="0047363E"/>
    <w:rsid w:val="00473876"/>
    <w:rsid w:val="004739D3"/>
    <w:rsid w:val="00473C89"/>
    <w:rsid w:val="00473CD3"/>
    <w:rsid w:val="00473D3C"/>
    <w:rsid w:val="00473DC3"/>
    <w:rsid w:val="00473E27"/>
    <w:rsid w:val="00473F19"/>
    <w:rsid w:val="00473F90"/>
    <w:rsid w:val="00474373"/>
    <w:rsid w:val="00474746"/>
    <w:rsid w:val="0047476B"/>
    <w:rsid w:val="00474B39"/>
    <w:rsid w:val="00474C3D"/>
    <w:rsid w:val="00474D9B"/>
    <w:rsid w:val="00475158"/>
    <w:rsid w:val="004753BB"/>
    <w:rsid w:val="00475C78"/>
    <w:rsid w:val="00475CAD"/>
    <w:rsid w:val="00475E22"/>
    <w:rsid w:val="00475F2F"/>
    <w:rsid w:val="00476439"/>
    <w:rsid w:val="00476CDA"/>
    <w:rsid w:val="004770CD"/>
    <w:rsid w:val="00477753"/>
    <w:rsid w:val="00477876"/>
    <w:rsid w:val="00477BB7"/>
    <w:rsid w:val="00477CAB"/>
    <w:rsid w:val="00477DD5"/>
    <w:rsid w:val="004801DF"/>
    <w:rsid w:val="00480289"/>
    <w:rsid w:val="004806F1"/>
    <w:rsid w:val="00480880"/>
    <w:rsid w:val="0048088E"/>
    <w:rsid w:val="00480C16"/>
    <w:rsid w:val="00481404"/>
    <w:rsid w:val="0048151D"/>
    <w:rsid w:val="0048175B"/>
    <w:rsid w:val="00481908"/>
    <w:rsid w:val="00481EFE"/>
    <w:rsid w:val="00482720"/>
    <w:rsid w:val="00482A5A"/>
    <w:rsid w:val="00482A9D"/>
    <w:rsid w:val="00482B02"/>
    <w:rsid w:val="00482B2C"/>
    <w:rsid w:val="00482C8A"/>
    <w:rsid w:val="00482D29"/>
    <w:rsid w:val="00482E00"/>
    <w:rsid w:val="00482EA9"/>
    <w:rsid w:val="004835E7"/>
    <w:rsid w:val="004835F7"/>
    <w:rsid w:val="00483689"/>
    <w:rsid w:val="00483694"/>
    <w:rsid w:val="00483828"/>
    <w:rsid w:val="00483A18"/>
    <w:rsid w:val="00483B15"/>
    <w:rsid w:val="00483B52"/>
    <w:rsid w:val="004842C2"/>
    <w:rsid w:val="00484329"/>
    <w:rsid w:val="0048461D"/>
    <w:rsid w:val="0048484E"/>
    <w:rsid w:val="004848F5"/>
    <w:rsid w:val="00484A85"/>
    <w:rsid w:val="00484DCB"/>
    <w:rsid w:val="00485005"/>
    <w:rsid w:val="00485016"/>
    <w:rsid w:val="00485026"/>
    <w:rsid w:val="00485127"/>
    <w:rsid w:val="0048549C"/>
    <w:rsid w:val="004854FC"/>
    <w:rsid w:val="00485503"/>
    <w:rsid w:val="004855FE"/>
    <w:rsid w:val="004858A7"/>
    <w:rsid w:val="004858E7"/>
    <w:rsid w:val="00485EBE"/>
    <w:rsid w:val="004862B7"/>
    <w:rsid w:val="004867E2"/>
    <w:rsid w:val="00486AA8"/>
    <w:rsid w:val="00486ABD"/>
    <w:rsid w:val="00486C6B"/>
    <w:rsid w:val="00486D1B"/>
    <w:rsid w:val="00486D77"/>
    <w:rsid w:val="00486DE5"/>
    <w:rsid w:val="00486F3D"/>
    <w:rsid w:val="0048781D"/>
    <w:rsid w:val="0048781E"/>
    <w:rsid w:val="00487AEA"/>
    <w:rsid w:val="00487E07"/>
    <w:rsid w:val="00487F04"/>
    <w:rsid w:val="004906D3"/>
    <w:rsid w:val="004907B9"/>
    <w:rsid w:val="00490953"/>
    <w:rsid w:val="0049099C"/>
    <w:rsid w:val="00490BB4"/>
    <w:rsid w:val="00490DFF"/>
    <w:rsid w:val="00490E4C"/>
    <w:rsid w:val="00490E51"/>
    <w:rsid w:val="00490F18"/>
    <w:rsid w:val="0049107A"/>
    <w:rsid w:val="00491453"/>
    <w:rsid w:val="0049162B"/>
    <w:rsid w:val="00491B3A"/>
    <w:rsid w:val="00492751"/>
    <w:rsid w:val="004928B3"/>
    <w:rsid w:val="00492CFD"/>
    <w:rsid w:val="00492EEF"/>
    <w:rsid w:val="004934D9"/>
    <w:rsid w:val="0049369E"/>
    <w:rsid w:val="004936D5"/>
    <w:rsid w:val="0049383B"/>
    <w:rsid w:val="004938FA"/>
    <w:rsid w:val="0049399E"/>
    <w:rsid w:val="00494090"/>
    <w:rsid w:val="004943BF"/>
    <w:rsid w:val="00494657"/>
    <w:rsid w:val="0049466C"/>
    <w:rsid w:val="00494841"/>
    <w:rsid w:val="00494864"/>
    <w:rsid w:val="00494981"/>
    <w:rsid w:val="00494D28"/>
    <w:rsid w:val="00494DD5"/>
    <w:rsid w:val="00494E87"/>
    <w:rsid w:val="00494F89"/>
    <w:rsid w:val="00495055"/>
    <w:rsid w:val="00495091"/>
    <w:rsid w:val="0049534F"/>
    <w:rsid w:val="004954D6"/>
    <w:rsid w:val="004957B3"/>
    <w:rsid w:val="00495C3C"/>
    <w:rsid w:val="00495D48"/>
    <w:rsid w:val="00496209"/>
    <w:rsid w:val="0049629D"/>
    <w:rsid w:val="004962D2"/>
    <w:rsid w:val="004964BB"/>
    <w:rsid w:val="004964E7"/>
    <w:rsid w:val="00496591"/>
    <w:rsid w:val="004966F6"/>
    <w:rsid w:val="004968E4"/>
    <w:rsid w:val="004969C5"/>
    <w:rsid w:val="004969D5"/>
    <w:rsid w:val="004969F1"/>
    <w:rsid w:val="00497022"/>
    <w:rsid w:val="00497059"/>
    <w:rsid w:val="00497725"/>
    <w:rsid w:val="00497CBE"/>
    <w:rsid w:val="004A02D0"/>
    <w:rsid w:val="004A02FC"/>
    <w:rsid w:val="004A0641"/>
    <w:rsid w:val="004A0D86"/>
    <w:rsid w:val="004A0DA1"/>
    <w:rsid w:val="004A11D9"/>
    <w:rsid w:val="004A1543"/>
    <w:rsid w:val="004A189F"/>
    <w:rsid w:val="004A1974"/>
    <w:rsid w:val="004A1C1A"/>
    <w:rsid w:val="004A1C2E"/>
    <w:rsid w:val="004A1DF0"/>
    <w:rsid w:val="004A1F8E"/>
    <w:rsid w:val="004A211B"/>
    <w:rsid w:val="004A2416"/>
    <w:rsid w:val="004A26D7"/>
    <w:rsid w:val="004A2793"/>
    <w:rsid w:val="004A27A4"/>
    <w:rsid w:val="004A2D9F"/>
    <w:rsid w:val="004A2E79"/>
    <w:rsid w:val="004A304B"/>
    <w:rsid w:val="004A3060"/>
    <w:rsid w:val="004A3166"/>
    <w:rsid w:val="004A327E"/>
    <w:rsid w:val="004A3644"/>
    <w:rsid w:val="004A3A68"/>
    <w:rsid w:val="004A3DCD"/>
    <w:rsid w:val="004A3F6C"/>
    <w:rsid w:val="004A4070"/>
    <w:rsid w:val="004A4367"/>
    <w:rsid w:val="004A444D"/>
    <w:rsid w:val="004A4E37"/>
    <w:rsid w:val="004A4F68"/>
    <w:rsid w:val="004A517F"/>
    <w:rsid w:val="004A52E9"/>
    <w:rsid w:val="004A5787"/>
    <w:rsid w:val="004A5B9E"/>
    <w:rsid w:val="004A61CD"/>
    <w:rsid w:val="004A6477"/>
    <w:rsid w:val="004A6597"/>
    <w:rsid w:val="004A6675"/>
    <w:rsid w:val="004A67B0"/>
    <w:rsid w:val="004A6AA1"/>
    <w:rsid w:val="004A71C4"/>
    <w:rsid w:val="004A7398"/>
    <w:rsid w:val="004A756F"/>
    <w:rsid w:val="004A7577"/>
    <w:rsid w:val="004A7848"/>
    <w:rsid w:val="004B0179"/>
    <w:rsid w:val="004B050D"/>
    <w:rsid w:val="004B0A8D"/>
    <w:rsid w:val="004B0CFB"/>
    <w:rsid w:val="004B113E"/>
    <w:rsid w:val="004B142B"/>
    <w:rsid w:val="004B1A27"/>
    <w:rsid w:val="004B1C0D"/>
    <w:rsid w:val="004B1CB4"/>
    <w:rsid w:val="004B1D4F"/>
    <w:rsid w:val="004B1F2E"/>
    <w:rsid w:val="004B25C9"/>
    <w:rsid w:val="004B2768"/>
    <w:rsid w:val="004B2782"/>
    <w:rsid w:val="004B2AC3"/>
    <w:rsid w:val="004B2B1D"/>
    <w:rsid w:val="004B2B41"/>
    <w:rsid w:val="004B2B9A"/>
    <w:rsid w:val="004B2D20"/>
    <w:rsid w:val="004B2F18"/>
    <w:rsid w:val="004B32B1"/>
    <w:rsid w:val="004B3865"/>
    <w:rsid w:val="004B3A4A"/>
    <w:rsid w:val="004B3AAE"/>
    <w:rsid w:val="004B3C02"/>
    <w:rsid w:val="004B3DDB"/>
    <w:rsid w:val="004B43D5"/>
    <w:rsid w:val="004B44FD"/>
    <w:rsid w:val="004B4535"/>
    <w:rsid w:val="004B4662"/>
    <w:rsid w:val="004B46F2"/>
    <w:rsid w:val="004B4A72"/>
    <w:rsid w:val="004B4FB6"/>
    <w:rsid w:val="004B5178"/>
    <w:rsid w:val="004B5852"/>
    <w:rsid w:val="004B5A0E"/>
    <w:rsid w:val="004B5A8C"/>
    <w:rsid w:val="004B5CFC"/>
    <w:rsid w:val="004B5ED7"/>
    <w:rsid w:val="004B6C79"/>
    <w:rsid w:val="004B6FE9"/>
    <w:rsid w:val="004B7086"/>
    <w:rsid w:val="004B7104"/>
    <w:rsid w:val="004B7205"/>
    <w:rsid w:val="004B7349"/>
    <w:rsid w:val="004B7480"/>
    <w:rsid w:val="004B75B1"/>
    <w:rsid w:val="004B75C5"/>
    <w:rsid w:val="004B774D"/>
    <w:rsid w:val="004B7C0E"/>
    <w:rsid w:val="004B7C3C"/>
    <w:rsid w:val="004B7D11"/>
    <w:rsid w:val="004B7D31"/>
    <w:rsid w:val="004B7E49"/>
    <w:rsid w:val="004C03B0"/>
    <w:rsid w:val="004C0581"/>
    <w:rsid w:val="004C0AC7"/>
    <w:rsid w:val="004C0D72"/>
    <w:rsid w:val="004C10E4"/>
    <w:rsid w:val="004C1262"/>
    <w:rsid w:val="004C1399"/>
    <w:rsid w:val="004C1A05"/>
    <w:rsid w:val="004C1D77"/>
    <w:rsid w:val="004C1F16"/>
    <w:rsid w:val="004C20ED"/>
    <w:rsid w:val="004C213F"/>
    <w:rsid w:val="004C214E"/>
    <w:rsid w:val="004C28C5"/>
    <w:rsid w:val="004C2940"/>
    <w:rsid w:val="004C2F3D"/>
    <w:rsid w:val="004C33BD"/>
    <w:rsid w:val="004C3443"/>
    <w:rsid w:val="004C39F8"/>
    <w:rsid w:val="004C41E0"/>
    <w:rsid w:val="004C4539"/>
    <w:rsid w:val="004C45F3"/>
    <w:rsid w:val="004C48F8"/>
    <w:rsid w:val="004C4AED"/>
    <w:rsid w:val="004C4DDB"/>
    <w:rsid w:val="004C5523"/>
    <w:rsid w:val="004C631F"/>
    <w:rsid w:val="004C64D0"/>
    <w:rsid w:val="004C6DE4"/>
    <w:rsid w:val="004C7400"/>
    <w:rsid w:val="004C7553"/>
    <w:rsid w:val="004C75A2"/>
    <w:rsid w:val="004C793E"/>
    <w:rsid w:val="004C7C40"/>
    <w:rsid w:val="004C7C5D"/>
    <w:rsid w:val="004C7DA9"/>
    <w:rsid w:val="004D0073"/>
    <w:rsid w:val="004D0173"/>
    <w:rsid w:val="004D0F49"/>
    <w:rsid w:val="004D1163"/>
    <w:rsid w:val="004D135D"/>
    <w:rsid w:val="004D1C7B"/>
    <w:rsid w:val="004D251D"/>
    <w:rsid w:val="004D2C2D"/>
    <w:rsid w:val="004D2D85"/>
    <w:rsid w:val="004D2DFB"/>
    <w:rsid w:val="004D2EA8"/>
    <w:rsid w:val="004D2F73"/>
    <w:rsid w:val="004D2FC5"/>
    <w:rsid w:val="004D3072"/>
    <w:rsid w:val="004D3852"/>
    <w:rsid w:val="004D3940"/>
    <w:rsid w:val="004D3A0F"/>
    <w:rsid w:val="004D3D5A"/>
    <w:rsid w:val="004D3D7B"/>
    <w:rsid w:val="004D3E9E"/>
    <w:rsid w:val="004D422C"/>
    <w:rsid w:val="004D4352"/>
    <w:rsid w:val="004D4372"/>
    <w:rsid w:val="004D4484"/>
    <w:rsid w:val="004D4CDC"/>
    <w:rsid w:val="004D4D52"/>
    <w:rsid w:val="004D4E82"/>
    <w:rsid w:val="004D4F8C"/>
    <w:rsid w:val="004D51E5"/>
    <w:rsid w:val="004D5752"/>
    <w:rsid w:val="004D57F6"/>
    <w:rsid w:val="004D594C"/>
    <w:rsid w:val="004D5A24"/>
    <w:rsid w:val="004D5BF2"/>
    <w:rsid w:val="004D5D50"/>
    <w:rsid w:val="004D5DBE"/>
    <w:rsid w:val="004D6000"/>
    <w:rsid w:val="004D64F7"/>
    <w:rsid w:val="004D6A6C"/>
    <w:rsid w:val="004D6B4B"/>
    <w:rsid w:val="004D6CCC"/>
    <w:rsid w:val="004D7227"/>
    <w:rsid w:val="004D736A"/>
    <w:rsid w:val="004D7493"/>
    <w:rsid w:val="004D7ACC"/>
    <w:rsid w:val="004D7B45"/>
    <w:rsid w:val="004E0023"/>
    <w:rsid w:val="004E0058"/>
    <w:rsid w:val="004E0A2F"/>
    <w:rsid w:val="004E0D1D"/>
    <w:rsid w:val="004E0DD4"/>
    <w:rsid w:val="004E0E7F"/>
    <w:rsid w:val="004E0EB8"/>
    <w:rsid w:val="004E1097"/>
    <w:rsid w:val="004E1C07"/>
    <w:rsid w:val="004E1C46"/>
    <w:rsid w:val="004E1F1E"/>
    <w:rsid w:val="004E22F4"/>
    <w:rsid w:val="004E2ADC"/>
    <w:rsid w:val="004E2E80"/>
    <w:rsid w:val="004E2FC6"/>
    <w:rsid w:val="004E31B9"/>
    <w:rsid w:val="004E33E8"/>
    <w:rsid w:val="004E342A"/>
    <w:rsid w:val="004E34F2"/>
    <w:rsid w:val="004E3535"/>
    <w:rsid w:val="004E3725"/>
    <w:rsid w:val="004E3760"/>
    <w:rsid w:val="004E3808"/>
    <w:rsid w:val="004E38E8"/>
    <w:rsid w:val="004E39E2"/>
    <w:rsid w:val="004E3AB0"/>
    <w:rsid w:val="004E3EB5"/>
    <w:rsid w:val="004E3FD2"/>
    <w:rsid w:val="004E43B2"/>
    <w:rsid w:val="004E446A"/>
    <w:rsid w:val="004E4508"/>
    <w:rsid w:val="004E456A"/>
    <w:rsid w:val="004E46EF"/>
    <w:rsid w:val="004E4726"/>
    <w:rsid w:val="004E47B0"/>
    <w:rsid w:val="004E5123"/>
    <w:rsid w:val="004E5616"/>
    <w:rsid w:val="004E5685"/>
    <w:rsid w:val="004E5848"/>
    <w:rsid w:val="004E5EDB"/>
    <w:rsid w:val="004E626D"/>
    <w:rsid w:val="004E64C2"/>
    <w:rsid w:val="004E658E"/>
    <w:rsid w:val="004E6632"/>
    <w:rsid w:val="004E6AB9"/>
    <w:rsid w:val="004E6C19"/>
    <w:rsid w:val="004E7482"/>
    <w:rsid w:val="004E76BB"/>
    <w:rsid w:val="004E7888"/>
    <w:rsid w:val="004E78C0"/>
    <w:rsid w:val="004E78CB"/>
    <w:rsid w:val="004E7DA3"/>
    <w:rsid w:val="004E7DC1"/>
    <w:rsid w:val="004F013E"/>
    <w:rsid w:val="004F061E"/>
    <w:rsid w:val="004F08DC"/>
    <w:rsid w:val="004F0CFB"/>
    <w:rsid w:val="004F0D4F"/>
    <w:rsid w:val="004F1283"/>
    <w:rsid w:val="004F1320"/>
    <w:rsid w:val="004F14CF"/>
    <w:rsid w:val="004F1AEB"/>
    <w:rsid w:val="004F1D02"/>
    <w:rsid w:val="004F2213"/>
    <w:rsid w:val="004F2290"/>
    <w:rsid w:val="004F23EF"/>
    <w:rsid w:val="004F2679"/>
    <w:rsid w:val="004F2925"/>
    <w:rsid w:val="004F2D6E"/>
    <w:rsid w:val="004F2E17"/>
    <w:rsid w:val="004F2E56"/>
    <w:rsid w:val="004F2F21"/>
    <w:rsid w:val="004F2F75"/>
    <w:rsid w:val="004F2FA3"/>
    <w:rsid w:val="004F32BD"/>
    <w:rsid w:val="004F32D6"/>
    <w:rsid w:val="004F3351"/>
    <w:rsid w:val="004F37CC"/>
    <w:rsid w:val="004F37F1"/>
    <w:rsid w:val="004F3A11"/>
    <w:rsid w:val="004F3A7C"/>
    <w:rsid w:val="004F3CAD"/>
    <w:rsid w:val="004F4059"/>
    <w:rsid w:val="004F4A43"/>
    <w:rsid w:val="004F4C60"/>
    <w:rsid w:val="004F4E74"/>
    <w:rsid w:val="004F50B2"/>
    <w:rsid w:val="004F50D9"/>
    <w:rsid w:val="004F531C"/>
    <w:rsid w:val="004F5375"/>
    <w:rsid w:val="004F5BF6"/>
    <w:rsid w:val="004F5CE4"/>
    <w:rsid w:val="004F5F2A"/>
    <w:rsid w:val="004F5F64"/>
    <w:rsid w:val="004F5FB3"/>
    <w:rsid w:val="004F618D"/>
    <w:rsid w:val="004F62A5"/>
    <w:rsid w:val="004F631C"/>
    <w:rsid w:val="004F6631"/>
    <w:rsid w:val="004F6799"/>
    <w:rsid w:val="004F6913"/>
    <w:rsid w:val="004F6A51"/>
    <w:rsid w:val="004F6A8C"/>
    <w:rsid w:val="004F6A9B"/>
    <w:rsid w:val="004F6AF0"/>
    <w:rsid w:val="004F6B07"/>
    <w:rsid w:val="004F6BB0"/>
    <w:rsid w:val="004F7005"/>
    <w:rsid w:val="004F73B3"/>
    <w:rsid w:val="004F7865"/>
    <w:rsid w:val="004F7AD1"/>
    <w:rsid w:val="004F7AEC"/>
    <w:rsid w:val="004F7B06"/>
    <w:rsid w:val="00500034"/>
    <w:rsid w:val="005002EE"/>
    <w:rsid w:val="0050058C"/>
    <w:rsid w:val="00500860"/>
    <w:rsid w:val="00500B7B"/>
    <w:rsid w:val="00500CFE"/>
    <w:rsid w:val="00500F5E"/>
    <w:rsid w:val="005014A2"/>
    <w:rsid w:val="0050151E"/>
    <w:rsid w:val="00501A3E"/>
    <w:rsid w:val="005020AE"/>
    <w:rsid w:val="0050213F"/>
    <w:rsid w:val="0050219B"/>
    <w:rsid w:val="005023A8"/>
    <w:rsid w:val="00502416"/>
    <w:rsid w:val="0050259A"/>
    <w:rsid w:val="005029C1"/>
    <w:rsid w:val="00502B9E"/>
    <w:rsid w:val="00503169"/>
    <w:rsid w:val="00503402"/>
    <w:rsid w:val="005036FC"/>
    <w:rsid w:val="0050376E"/>
    <w:rsid w:val="00503A14"/>
    <w:rsid w:val="00503E82"/>
    <w:rsid w:val="00503F17"/>
    <w:rsid w:val="0050421B"/>
    <w:rsid w:val="00504433"/>
    <w:rsid w:val="00504594"/>
    <w:rsid w:val="0050460E"/>
    <w:rsid w:val="00504E30"/>
    <w:rsid w:val="005050F4"/>
    <w:rsid w:val="005050F7"/>
    <w:rsid w:val="0050580D"/>
    <w:rsid w:val="00505905"/>
    <w:rsid w:val="00505AD9"/>
    <w:rsid w:val="005060C6"/>
    <w:rsid w:val="0050649C"/>
    <w:rsid w:val="00506759"/>
    <w:rsid w:val="00506928"/>
    <w:rsid w:val="00507438"/>
    <w:rsid w:val="0050757D"/>
    <w:rsid w:val="005077AB"/>
    <w:rsid w:val="00507A35"/>
    <w:rsid w:val="00507CF4"/>
    <w:rsid w:val="00507D99"/>
    <w:rsid w:val="005104CA"/>
    <w:rsid w:val="0051077C"/>
    <w:rsid w:val="0051088F"/>
    <w:rsid w:val="005121C7"/>
    <w:rsid w:val="00512340"/>
    <w:rsid w:val="005127E5"/>
    <w:rsid w:val="005127E9"/>
    <w:rsid w:val="00512847"/>
    <w:rsid w:val="00512BD5"/>
    <w:rsid w:val="00513091"/>
    <w:rsid w:val="00513451"/>
    <w:rsid w:val="00513CC9"/>
    <w:rsid w:val="005149DE"/>
    <w:rsid w:val="00514BDD"/>
    <w:rsid w:val="00514D42"/>
    <w:rsid w:val="005152B5"/>
    <w:rsid w:val="005153E0"/>
    <w:rsid w:val="005154FC"/>
    <w:rsid w:val="00515521"/>
    <w:rsid w:val="005155F1"/>
    <w:rsid w:val="005159F8"/>
    <w:rsid w:val="00516409"/>
    <w:rsid w:val="00516B67"/>
    <w:rsid w:val="00516BC2"/>
    <w:rsid w:val="00516DBA"/>
    <w:rsid w:val="00516E59"/>
    <w:rsid w:val="00517500"/>
    <w:rsid w:val="00517694"/>
    <w:rsid w:val="00517A5B"/>
    <w:rsid w:val="00517BE6"/>
    <w:rsid w:val="00517FAD"/>
    <w:rsid w:val="00520332"/>
    <w:rsid w:val="0052067F"/>
    <w:rsid w:val="005208E4"/>
    <w:rsid w:val="00520BA3"/>
    <w:rsid w:val="00520E2D"/>
    <w:rsid w:val="00520EA0"/>
    <w:rsid w:val="00521319"/>
    <w:rsid w:val="0052143E"/>
    <w:rsid w:val="005216D0"/>
    <w:rsid w:val="0052221C"/>
    <w:rsid w:val="005222C2"/>
    <w:rsid w:val="0052251F"/>
    <w:rsid w:val="00522984"/>
    <w:rsid w:val="00522B3C"/>
    <w:rsid w:val="00522BC8"/>
    <w:rsid w:val="00522ECA"/>
    <w:rsid w:val="00523103"/>
    <w:rsid w:val="00523526"/>
    <w:rsid w:val="005235DE"/>
    <w:rsid w:val="005238DD"/>
    <w:rsid w:val="00523921"/>
    <w:rsid w:val="00523C28"/>
    <w:rsid w:val="00523DF1"/>
    <w:rsid w:val="00523F27"/>
    <w:rsid w:val="00524A4E"/>
    <w:rsid w:val="00524FA4"/>
    <w:rsid w:val="00524FA5"/>
    <w:rsid w:val="005250AD"/>
    <w:rsid w:val="00525522"/>
    <w:rsid w:val="005257EC"/>
    <w:rsid w:val="00525A55"/>
    <w:rsid w:val="00526170"/>
    <w:rsid w:val="0052618A"/>
    <w:rsid w:val="0052689F"/>
    <w:rsid w:val="00526B03"/>
    <w:rsid w:val="00527559"/>
    <w:rsid w:val="005276CB"/>
    <w:rsid w:val="005277A6"/>
    <w:rsid w:val="00527D3A"/>
    <w:rsid w:val="00530A53"/>
    <w:rsid w:val="00531053"/>
    <w:rsid w:val="005314D0"/>
    <w:rsid w:val="00531D62"/>
    <w:rsid w:val="00531F9B"/>
    <w:rsid w:val="005320B8"/>
    <w:rsid w:val="0053266A"/>
    <w:rsid w:val="00532900"/>
    <w:rsid w:val="00533129"/>
    <w:rsid w:val="00533C81"/>
    <w:rsid w:val="005347CA"/>
    <w:rsid w:val="00534A8A"/>
    <w:rsid w:val="00535A38"/>
    <w:rsid w:val="00536019"/>
    <w:rsid w:val="00536136"/>
    <w:rsid w:val="00536377"/>
    <w:rsid w:val="005365D0"/>
    <w:rsid w:val="00536688"/>
    <w:rsid w:val="005367AD"/>
    <w:rsid w:val="00536835"/>
    <w:rsid w:val="00536AA4"/>
    <w:rsid w:val="00536AE0"/>
    <w:rsid w:val="00536F42"/>
    <w:rsid w:val="0053709C"/>
    <w:rsid w:val="00537182"/>
    <w:rsid w:val="005375AC"/>
    <w:rsid w:val="0053776B"/>
    <w:rsid w:val="00537BF2"/>
    <w:rsid w:val="00537CFB"/>
    <w:rsid w:val="00537D2D"/>
    <w:rsid w:val="00537F07"/>
    <w:rsid w:val="00540001"/>
    <w:rsid w:val="00540036"/>
    <w:rsid w:val="0054019D"/>
    <w:rsid w:val="005403B7"/>
    <w:rsid w:val="00540643"/>
    <w:rsid w:val="00540815"/>
    <w:rsid w:val="00541187"/>
    <w:rsid w:val="0054130D"/>
    <w:rsid w:val="0054142A"/>
    <w:rsid w:val="00541A17"/>
    <w:rsid w:val="00541E25"/>
    <w:rsid w:val="005421D3"/>
    <w:rsid w:val="00542304"/>
    <w:rsid w:val="00542743"/>
    <w:rsid w:val="00542A52"/>
    <w:rsid w:val="00542AA3"/>
    <w:rsid w:val="00542C2D"/>
    <w:rsid w:val="00543165"/>
    <w:rsid w:val="0054354C"/>
    <w:rsid w:val="0054368D"/>
    <w:rsid w:val="0054386C"/>
    <w:rsid w:val="00543A1A"/>
    <w:rsid w:val="00543D17"/>
    <w:rsid w:val="0054411E"/>
    <w:rsid w:val="005442B1"/>
    <w:rsid w:val="00544552"/>
    <w:rsid w:val="00544CF9"/>
    <w:rsid w:val="00544D45"/>
    <w:rsid w:val="00544DF4"/>
    <w:rsid w:val="0054542F"/>
    <w:rsid w:val="0054573A"/>
    <w:rsid w:val="00546649"/>
    <w:rsid w:val="00546F19"/>
    <w:rsid w:val="005471CB"/>
    <w:rsid w:val="0054734D"/>
    <w:rsid w:val="00547AF0"/>
    <w:rsid w:val="00547B9D"/>
    <w:rsid w:val="00547C2B"/>
    <w:rsid w:val="00547DA6"/>
    <w:rsid w:val="00547E2B"/>
    <w:rsid w:val="0055022D"/>
    <w:rsid w:val="00550365"/>
    <w:rsid w:val="005504F5"/>
    <w:rsid w:val="00550824"/>
    <w:rsid w:val="00550AB2"/>
    <w:rsid w:val="00551287"/>
    <w:rsid w:val="00551985"/>
    <w:rsid w:val="00551CAB"/>
    <w:rsid w:val="00551DF5"/>
    <w:rsid w:val="00551FAE"/>
    <w:rsid w:val="00552072"/>
    <w:rsid w:val="0055229A"/>
    <w:rsid w:val="005524CC"/>
    <w:rsid w:val="005526B9"/>
    <w:rsid w:val="00552B39"/>
    <w:rsid w:val="00552BD3"/>
    <w:rsid w:val="00552C99"/>
    <w:rsid w:val="00552EE9"/>
    <w:rsid w:val="005539CF"/>
    <w:rsid w:val="005539F2"/>
    <w:rsid w:val="00553E38"/>
    <w:rsid w:val="00554105"/>
    <w:rsid w:val="00554381"/>
    <w:rsid w:val="005549CF"/>
    <w:rsid w:val="00555081"/>
    <w:rsid w:val="005550E6"/>
    <w:rsid w:val="00555109"/>
    <w:rsid w:val="00555474"/>
    <w:rsid w:val="005554CD"/>
    <w:rsid w:val="00555743"/>
    <w:rsid w:val="00555A50"/>
    <w:rsid w:val="00556151"/>
    <w:rsid w:val="00556463"/>
    <w:rsid w:val="0055654E"/>
    <w:rsid w:val="005571AA"/>
    <w:rsid w:val="00557318"/>
    <w:rsid w:val="00557507"/>
    <w:rsid w:val="005576DD"/>
    <w:rsid w:val="0055795E"/>
    <w:rsid w:val="00557B4D"/>
    <w:rsid w:val="00557BD9"/>
    <w:rsid w:val="00557CF1"/>
    <w:rsid w:val="00557F90"/>
    <w:rsid w:val="0056025F"/>
    <w:rsid w:val="005602A3"/>
    <w:rsid w:val="0056074B"/>
    <w:rsid w:val="005609BD"/>
    <w:rsid w:val="00560E9B"/>
    <w:rsid w:val="005611A9"/>
    <w:rsid w:val="00561281"/>
    <w:rsid w:val="005618F1"/>
    <w:rsid w:val="00561A85"/>
    <w:rsid w:val="00561B79"/>
    <w:rsid w:val="00561C55"/>
    <w:rsid w:val="00561C60"/>
    <w:rsid w:val="005621E0"/>
    <w:rsid w:val="00562207"/>
    <w:rsid w:val="00562482"/>
    <w:rsid w:val="005627CC"/>
    <w:rsid w:val="00562B6B"/>
    <w:rsid w:val="00563643"/>
    <w:rsid w:val="00563894"/>
    <w:rsid w:val="00563DFC"/>
    <w:rsid w:val="00564C4F"/>
    <w:rsid w:val="005651C8"/>
    <w:rsid w:val="005652B2"/>
    <w:rsid w:val="005656CB"/>
    <w:rsid w:val="00565812"/>
    <w:rsid w:val="00565A83"/>
    <w:rsid w:val="00565A89"/>
    <w:rsid w:val="00565C46"/>
    <w:rsid w:val="00566212"/>
    <w:rsid w:val="00566523"/>
    <w:rsid w:val="0056696F"/>
    <w:rsid w:val="0056697D"/>
    <w:rsid w:val="00566C92"/>
    <w:rsid w:val="00566FD8"/>
    <w:rsid w:val="0056705C"/>
    <w:rsid w:val="005670AA"/>
    <w:rsid w:val="005675AA"/>
    <w:rsid w:val="005679DB"/>
    <w:rsid w:val="00567CD8"/>
    <w:rsid w:val="00567FD4"/>
    <w:rsid w:val="0057010D"/>
    <w:rsid w:val="0057042C"/>
    <w:rsid w:val="00570489"/>
    <w:rsid w:val="005706B9"/>
    <w:rsid w:val="005706BE"/>
    <w:rsid w:val="0057088B"/>
    <w:rsid w:val="005708A8"/>
    <w:rsid w:val="00570A37"/>
    <w:rsid w:val="00570BD5"/>
    <w:rsid w:val="005716B0"/>
    <w:rsid w:val="00572097"/>
    <w:rsid w:val="00572226"/>
    <w:rsid w:val="00572269"/>
    <w:rsid w:val="0057244A"/>
    <w:rsid w:val="00572475"/>
    <w:rsid w:val="00572AED"/>
    <w:rsid w:val="00572DF6"/>
    <w:rsid w:val="00572E8B"/>
    <w:rsid w:val="00572F90"/>
    <w:rsid w:val="005736E5"/>
    <w:rsid w:val="00573867"/>
    <w:rsid w:val="00573A2C"/>
    <w:rsid w:val="00573CE7"/>
    <w:rsid w:val="00573DAB"/>
    <w:rsid w:val="0057401F"/>
    <w:rsid w:val="005740D2"/>
    <w:rsid w:val="0057436B"/>
    <w:rsid w:val="005743B9"/>
    <w:rsid w:val="005744AD"/>
    <w:rsid w:val="00574803"/>
    <w:rsid w:val="005748B8"/>
    <w:rsid w:val="00574A35"/>
    <w:rsid w:val="00574B29"/>
    <w:rsid w:val="00574EB9"/>
    <w:rsid w:val="005752DE"/>
    <w:rsid w:val="00575490"/>
    <w:rsid w:val="00575612"/>
    <w:rsid w:val="005756C6"/>
    <w:rsid w:val="00575772"/>
    <w:rsid w:val="00575872"/>
    <w:rsid w:val="00575C89"/>
    <w:rsid w:val="00575D8D"/>
    <w:rsid w:val="00575DC0"/>
    <w:rsid w:val="00576466"/>
    <w:rsid w:val="00576745"/>
    <w:rsid w:val="00576756"/>
    <w:rsid w:val="00576819"/>
    <w:rsid w:val="00576972"/>
    <w:rsid w:val="00576B09"/>
    <w:rsid w:val="00576E1B"/>
    <w:rsid w:val="005771EC"/>
    <w:rsid w:val="00577366"/>
    <w:rsid w:val="005774ED"/>
    <w:rsid w:val="00577680"/>
    <w:rsid w:val="0057773B"/>
    <w:rsid w:val="00577794"/>
    <w:rsid w:val="00577B0C"/>
    <w:rsid w:val="00577B12"/>
    <w:rsid w:val="005800A7"/>
    <w:rsid w:val="005802B2"/>
    <w:rsid w:val="0058050E"/>
    <w:rsid w:val="005806FD"/>
    <w:rsid w:val="0058097B"/>
    <w:rsid w:val="005809D6"/>
    <w:rsid w:val="00580AC6"/>
    <w:rsid w:val="005814B8"/>
    <w:rsid w:val="00581C04"/>
    <w:rsid w:val="00581FCB"/>
    <w:rsid w:val="0058298A"/>
    <w:rsid w:val="00582B04"/>
    <w:rsid w:val="00582ECB"/>
    <w:rsid w:val="005833F3"/>
    <w:rsid w:val="005834FA"/>
    <w:rsid w:val="00583699"/>
    <w:rsid w:val="0058377B"/>
    <w:rsid w:val="00583AF1"/>
    <w:rsid w:val="00583C3C"/>
    <w:rsid w:val="0058407D"/>
    <w:rsid w:val="005843FB"/>
    <w:rsid w:val="00584453"/>
    <w:rsid w:val="00584567"/>
    <w:rsid w:val="005851EE"/>
    <w:rsid w:val="00585736"/>
    <w:rsid w:val="0058586D"/>
    <w:rsid w:val="0058592B"/>
    <w:rsid w:val="00585AB9"/>
    <w:rsid w:val="00585CDD"/>
    <w:rsid w:val="00585E44"/>
    <w:rsid w:val="00586466"/>
    <w:rsid w:val="00586604"/>
    <w:rsid w:val="005867FA"/>
    <w:rsid w:val="005868E9"/>
    <w:rsid w:val="00586B1F"/>
    <w:rsid w:val="00586E72"/>
    <w:rsid w:val="00587058"/>
    <w:rsid w:val="00587309"/>
    <w:rsid w:val="005878D3"/>
    <w:rsid w:val="00587959"/>
    <w:rsid w:val="005879B3"/>
    <w:rsid w:val="00587F7D"/>
    <w:rsid w:val="00590297"/>
    <w:rsid w:val="005903B7"/>
    <w:rsid w:val="00590CD4"/>
    <w:rsid w:val="00590D1D"/>
    <w:rsid w:val="00590D28"/>
    <w:rsid w:val="00590E6C"/>
    <w:rsid w:val="00590EDF"/>
    <w:rsid w:val="00590F96"/>
    <w:rsid w:val="005915EA"/>
    <w:rsid w:val="005918E7"/>
    <w:rsid w:val="00591957"/>
    <w:rsid w:val="00591A1F"/>
    <w:rsid w:val="00591A69"/>
    <w:rsid w:val="00591C06"/>
    <w:rsid w:val="00591C2F"/>
    <w:rsid w:val="00591E08"/>
    <w:rsid w:val="0059210B"/>
    <w:rsid w:val="005923D2"/>
    <w:rsid w:val="00592546"/>
    <w:rsid w:val="005928F3"/>
    <w:rsid w:val="00592A95"/>
    <w:rsid w:val="00592CAD"/>
    <w:rsid w:val="00592D0C"/>
    <w:rsid w:val="00592EC7"/>
    <w:rsid w:val="0059300F"/>
    <w:rsid w:val="0059303E"/>
    <w:rsid w:val="00593B85"/>
    <w:rsid w:val="00593D70"/>
    <w:rsid w:val="00593E3B"/>
    <w:rsid w:val="00594759"/>
    <w:rsid w:val="00594B36"/>
    <w:rsid w:val="00594CEB"/>
    <w:rsid w:val="00594E63"/>
    <w:rsid w:val="005951EB"/>
    <w:rsid w:val="005952D9"/>
    <w:rsid w:val="005956AD"/>
    <w:rsid w:val="00595993"/>
    <w:rsid w:val="00595A95"/>
    <w:rsid w:val="00595DC2"/>
    <w:rsid w:val="00596762"/>
    <w:rsid w:val="0059693A"/>
    <w:rsid w:val="00596ECF"/>
    <w:rsid w:val="00597111"/>
    <w:rsid w:val="005976C1"/>
    <w:rsid w:val="005977FB"/>
    <w:rsid w:val="00597938"/>
    <w:rsid w:val="00597BF9"/>
    <w:rsid w:val="005A01D3"/>
    <w:rsid w:val="005A01D7"/>
    <w:rsid w:val="005A029F"/>
    <w:rsid w:val="005A06BB"/>
    <w:rsid w:val="005A0835"/>
    <w:rsid w:val="005A09BA"/>
    <w:rsid w:val="005A1070"/>
    <w:rsid w:val="005A1D7A"/>
    <w:rsid w:val="005A1E5C"/>
    <w:rsid w:val="005A210B"/>
    <w:rsid w:val="005A2483"/>
    <w:rsid w:val="005A2646"/>
    <w:rsid w:val="005A2BEF"/>
    <w:rsid w:val="005A2DE1"/>
    <w:rsid w:val="005A2F1A"/>
    <w:rsid w:val="005A33D5"/>
    <w:rsid w:val="005A35BF"/>
    <w:rsid w:val="005A373D"/>
    <w:rsid w:val="005A397B"/>
    <w:rsid w:val="005A3CCB"/>
    <w:rsid w:val="005A4377"/>
    <w:rsid w:val="005A47D9"/>
    <w:rsid w:val="005A4B66"/>
    <w:rsid w:val="005A4BAD"/>
    <w:rsid w:val="005A5360"/>
    <w:rsid w:val="005A5A0F"/>
    <w:rsid w:val="005A5D25"/>
    <w:rsid w:val="005A60B7"/>
    <w:rsid w:val="005A630A"/>
    <w:rsid w:val="005A663E"/>
    <w:rsid w:val="005A6BAA"/>
    <w:rsid w:val="005A6D86"/>
    <w:rsid w:val="005A6FE2"/>
    <w:rsid w:val="005A70CA"/>
    <w:rsid w:val="005A73C1"/>
    <w:rsid w:val="005A7516"/>
    <w:rsid w:val="005A7D52"/>
    <w:rsid w:val="005B0851"/>
    <w:rsid w:val="005B0965"/>
    <w:rsid w:val="005B0AB0"/>
    <w:rsid w:val="005B0AF5"/>
    <w:rsid w:val="005B0B5B"/>
    <w:rsid w:val="005B0C37"/>
    <w:rsid w:val="005B1CBB"/>
    <w:rsid w:val="005B22C9"/>
    <w:rsid w:val="005B2455"/>
    <w:rsid w:val="005B25ED"/>
    <w:rsid w:val="005B2734"/>
    <w:rsid w:val="005B2976"/>
    <w:rsid w:val="005B2A26"/>
    <w:rsid w:val="005B2AC8"/>
    <w:rsid w:val="005B33F1"/>
    <w:rsid w:val="005B349F"/>
    <w:rsid w:val="005B3612"/>
    <w:rsid w:val="005B3731"/>
    <w:rsid w:val="005B3BFE"/>
    <w:rsid w:val="005B3CA9"/>
    <w:rsid w:val="005B3E04"/>
    <w:rsid w:val="005B3E8C"/>
    <w:rsid w:val="005B41EF"/>
    <w:rsid w:val="005B4857"/>
    <w:rsid w:val="005B4BA0"/>
    <w:rsid w:val="005B5012"/>
    <w:rsid w:val="005B533F"/>
    <w:rsid w:val="005B53C9"/>
    <w:rsid w:val="005B5857"/>
    <w:rsid w:val="005B5D5B"/>
    <w:rsid w:val="005B5FE8"/>
    <w:rsid w:val="005B6776"/>
    <w:rsid w:val="005B6A45"/>
    <w:rsid w:val="005B6B08"/>
    <w:rsid w:val="005B6B81"/>
    <w:rsid w:val="005B6BEE"/>
    <w:rsid w:val="005B6C25"/>
    <w:rsid w:val="005B6DB9"/>
    <w:rsid w:val="005B7483"/>
    <w:rsid w:val="005B7512"/>
    <w:rsid w:val="005B7567"/>
    <w:rsid w:val="005B7D1E"/>
    <w:rsid w:val="005C0B12"/>
    <w:rsid w:val="005C1830"/>
    <w:rsid w:val="005C1B83"/>
    <w:rsid w:val="005C1F46"/>
    <w:rsid w:val="005C21CA"/>
    <w:rsid w:val="005C21E8"/>
    <w:rsid w:val="005C2441"/>
    <w:rsid w:val="005C24E9"/>
    <w:rsid w:val="005C274B"/>
    <w:rsid w:val="005C27D5"/>
    <w:rsid w:val="005C2D55"/>
    <w:rsid w:val="005C346B"/>
    <w:rsid w:val="005C3746"/>
    <w:rsid w:val="005C3914"/>
    <w:rsid w:val="005C3A3F"/>
    <w:rsid w:val="005C3BF3"/>
    <w:rsid w:val="005C3C40"/>
    <w:rsid w:val="005C3D82"/>
    <w:rsid w:val="005C428A"/>
    <w:rsid w:val="005C4653"/>
    <w:rsid w:val="005C4669"/>
    <w:rsid w:val="005C4845"/>
    <w:rsid w:val="005C4F1E"/>
    <w:rsid w:val="005C5038"/>
    <w:rsid w:val="005C53A4"/>
    <w:rsid w:val="005C55AB"/>
    <w:rsid w:val="005C66D1"/>
    <w:rsid w:val="005C6A6B"/>
    <w:rsid w:val="005C6DBE"/>
    <w:rsid w:val="005C6EFD"/>
    <w:rsid w:val="005C6FC2"/>
    <w:rsid w:val="005C7175"/>
    <w:rsid w:val="005C71EE"/>
    <w:rsid w:val="005C71F8"/>
    <w:rsid w:val="005C7766"/>
    <w:rsid w:val="005C7EB2"/>
    <w:rsid w:val="005D0072"/>
    <w:rsid w:val="005D0076"/>
    <w:rsid w:val="005D044D"/>
    <w:rsid w:val="005D077C"/>
    <w:rsid w:val="005D0ABD"/>
    <w:rsid w:val="005D0B9A"/>
    <w:rsid w:val="005D0CBD"/>
    <w:rsid w:val="005D0CBE"/>
    <w:rsid w:val="005D14A7"/>
    <w:rsid w:val="005D1537"/>
    <w:rsid w:val="005D18AD"/>
    <w:rsid w:val="005D1972"/>
    <w:rsid w:val="005D1977"/>
    <w:rsid w:val="005D1C24"/>
    <w:rsid w:val="005D1EDF"/>
    <w:rsid w:val="005D1EF9"/>
    <w:rsid w:val="005D212F"/>
    <w:rsid w:val="005D230E"/>
    <w:rsid w:val="005D26B4"/>
    <w:rsid w:val="005D278D"/>
    <w:rsid w:val="005D2ABD"/>
    <w:rsid w:val="005D2C13"/>
    <w:rsid w:val="005D2C97"/>
    <w:rsid w:val="005D2F86"/>
    <w:rsid w:val="005D3371"/>
    <w:rsid w:val="005D3436"/>
    <w:rsid w:val="005D3668"/>
    <w:rsid w:val="005D3960"/>
    <w:rsid w:val="005D3A36"/>
    <w:rsid w:val="005D45CA"/>
    <w:rsid w:val="005D4720"/>
    <w:rsid w:val="005D48DC"/>
    <w:rsid w:val="005D4D68"/>
    <w:rsid w:val="005D4D6C"/>
    <w:rsid w:val="005D4D89"/>
    <w:rsid w:val="005D514A"/>
    <w:rsid w:val="005D51B5"/>
    <w:rsid w:val="005D5297"/>
    <w:rsid w:val="005D549F"/>
    <w:rsid w:val="005D5740"/>
    <w:rsid w:val="005D5A8F"/>
    <w:rsid w:val="005D5B07"/>
    <w:rsid w:val="005D5E5E"/>
    <w:rsid w:val="005D5F02"/>
    <w:rsid w:val="005D62FA"/>
    <w:rsid w:val="005D6ACD"/>
    <w:rsid w:val="005D6B6B"/>
    <w:rsid w:val="005D7456"/>
    <w:rsid w:val="005D7609"/>
    <w:rsid w:val="005D781F"/>
    <w:rsid w:val="005D7841"/>
    <w:rsid w:val="005D798A"/>
    <w:rsid w:val="005D7CDA"/>
    <w:rsid w:val="005E02F2"/>
    <w:rsid w:val="005E0755"/>
    <w:rsid w:val="005E07D3"/>
    <w:rsid w:val="005E081B"/>
    <w:rsid w:val="005E0941"/>
    <w:rsid w:val="005E0FF2"/>
    <w:rsid w:val="005E1041"/>
    <w:rsid w:val="005E1B24"/>
    <w:rsid w:val="005E1E06"/>
    <w:rsid w:val="005E1F94"/>
    <w:rsid w:val="005E29A4"/>
    <w:rsid w:val="005E2A6A"/>
    <w:rsid w:val="005E2B4A"/>
    <w:rsid w:val="005E2E10"/>
    <w:rsid w:val="005E324E"/>
    <w:rsid w:val="005E3351"/>
    <w:rsid w:val="005E39A7"/>
    <w:rsid w:val="005E39C1"/>
    <w:rsid w:val="005E3EB6"/>
    <w:rsid w:val="005E405E"/>
    <w:rsid w:val="005E4132"/>
    <w:rsid w:val="005E445D"/>
    <w:rsid w:val="005E454F"/>
    <w:rsid w:val="005E4903"/>
    <w:rsid w:val="005E49F2"/>
    <w:rsid w:val="005E4C11"/>
    <w:rsid w:val="005E4C86"/>
    <w:rsid w:val="005E4DA2"/>
    <w:rsid w:val="005E51B6"/>
    <w:rsid w:val="005E52CB"/>
    <w:rsid w:val="005E59D5"/>
    <w:rsid w:val="005E5D57"/>
    <w:rsid w:val="005E606F"/>
    <w:rsid w:val="005E62C6"/>
    <w:rsid w:val="005E6AC2"/>
    <w:rsid w:val="005E6CBC"/>
    <w:rsid w:val="005E7026"/>
    <w:rsid w:val="005E71F2"/>
    <w:rsid w:val="005E7277"/>
    <w:rsid w:val="005E73C0"/>
    <w:rsid w:val="005E7883"/>
    <w:rsid w:val="005E7896"/>
    <w:rsid w:val="005E7C4A"/>
    <w:rsid w:val="005E7DC3"/>
    <w:rsid w:val="005E7EBF"/>
    <w:rsid w:val="005F0372"/>
    <w:rsid w:val="005F0834"/>
    <w:rsid w:val="005F0864"/>
    <w:rsid w:val="005F09D9"/>
    <w:rsid w:val="005F0A3F"/>
    <w:rsid w:val="005F0CC2"/>
    <w:rsid w:val="005F0FD5"/>
    <w:rsid w:val="005F105C"/>
    <w:rsid w:val="005F12F9"/>
    <w:rsid w:val="005F137D"/>
    <w:rsid w:val="005F155D"/>
    <w:rsid w:val="005F17E9"/>
    <w:rsid w:val="005F1DB3"/>
    <w:rsid w:val="005F1F58"/>
    <w:rsid w:val="005F1FE9"/>
    <w:rsid w:val="005F2706"/>
    <w:rsid w:val="005F2A3F"/>
    <w:rsid w:val="005F2BD4"/>
    <w:rsid w:val="005F2BD6"/>
    <w:rsid w:val="005F2CB8"/>
    <w:rsid w:val="005F2E63"/>
    <w:rsid w:val="005F2E9B"/>
    <w:rsid w:val="005F2F69"/>
    <w:rsid w:val="005F315F"/>
    <w:rsid w:val="005F33D8"/>
    <w:rsid w:val="005F3604"/>
    <w:rsid w:val="005F39FF"/>
    <w:rsid w:val="005F3AF5"/>
    <w:rsid w:val="005F3F41"/>
    <w:rsid w:val="005F4008"/>
    <w:rsid w:val="005F4102"/>
    <w:rsid w:val="005F4AAF"/>
    <w:rsid w:val="005F4CA1"/>
    <w:rsid w:val="005F4D90"/>
    <w:rsid w:val="005F51B4"/>
    <w:rsid w:val="005F530C"/>
    <w:rsid w:val="005F5402"/>
    <w:rsid w:val="005F543F"/>
    <w:rsid w:val="005F59B9"/>
    <w:rsid w:val="005F6549"/>
    <w:rsid w:val="005F65B3"/>
    <w:rsid w:val="005F6A8F"/>
    <w:rsid w:val="005F6B8B"/>
    <w:rsid w:val="005F6FF4"/>
    <w:rsid w:val="005F705E"/>
    <w:rsid w:val="005F73EE"/>
    <w:rsid w:val="005F79C9"/>
    <w:rsid w:val="005F7BF4"/>
    <w:rsid w:val="005F7E37"/>
    <w:rsid w:val="00600681"/>
    <w:rsid w:val="00600B3A"/>
    <w:rsid w:val="00600C0A"/>
    <w:rsid w:val="00600D74"/>
    <w:rsid w:val="00600DD6"/>
    <w:rsid w:val="00600F55"/>
    <w:rsid w:val="00600FB9"/>
    <w:rsid w:val="006010B9"/>
    <w:rsid w:val="006011CE"/>
    <w:rsid w:val="0060144D"/>
    <w:rsid w:val="006015B2"/>
    <w:rsid w:val="00601666"/>
    <w:rsid w:val="00601CCB"/>
    <w:rsid w:val="00601DBC"/>
    <w:rsid w:val="00601E98"/>
    <w:rsid w:val="00602687"/>
    <w:rsid w:val="00602709"/>
    <w:rsid w:val="00602F07"/>
    <w:rsid w:val="0060315C"/>
    <w:rsid w:val="006031B9"/>
    <w:rsid w:val="006035D6"/>
    <w:rsid w:val="00603947"/>
    <w:rsid w:val="00603DB9"/>
    <w:rsid w:val="00603E0E"/>
    <w:rsid w:val="0060450B"/>
    <w:rsid w:val="00604678"/>
    <w:rsid w:val="00604DCE"/>
    <w:rsid w:val="00604EAD"/>
    <w:rsid w:val="0060505E"/>
    <w:rsid w:val="006050FD"/>
    <w:rsid w:val="00605247"/>
    <w:rsid w:val="0060556C"/>
    <w:rsid w:val="00605621"/>
    <w:rsid w:val="00605706"/>
    <w:rsid w:val="00606025"/>
    <w:rsid w:val="006062B7"/>
    <w:rsid w:val="00606942"/>
    <w:rsid w:val="00606C16"/>
    <w:rsid w:val="00606F37"/>
    <w:rsid w:val="006071DA"/>
    <w:rsid w:val="00607669"/>
    <w:rsid w:val="00607778"/>
    <w:rsid w:val="006079C4"/>
    <w:rsid w:val="00607AFD"/>
    <w:rsid w:val="0061012E"/>
    <w:rsid w:val="006101E2"/>
    <w:rsid w:val="006107E8"/>
    <w:rsid w:val="0061095F"/>
    <w:rsid w:val="00610A4B"/>
    <w:rsid w:val="00610D0E"/>
    <w:rsid w:val="00610D27"/>
    <w:rsid w:val="0061109D"/>
    <w:rsid w:val="00611D5C"/>
    <w:rsid w:val="00611FFA"/>
    <w:rsid w:val="00612033"/>
    <w:rsid w:val="006122B8"/>
    <w:rsid w:val="006127CD"/>
    <w:rsid w:val="00612CE5"/>
    <w:rsid w:val="00612E13"/>
    <w:rsid w:val="00612E95"/>
    <w:rsid w:val="00612F97"/>
    <w:rsid w:val="00612FE7"/>
    <w:rsid w:val="0061345D"/>
    <w:rsid w:val="006134A3"/>
    <w:rsid w:val="006135B2"/>
    <w:rsid w:val="0061377C"/>
    <w:rsid w:val="006138D2"/>
    <w:rsid w:val="00613B0F"/>
    <w:rsid w:val="006140D2"/>
    <w:rsid w:val="0061440B"/>
    <w:rsid w:val="006151A4"/>
    <w:rsid w:val="00615215"/>
    <w:rsid w:val="00615248"/>
    <w:rsid w:val="00615262"/>
    <w:rsid w:val="00615278"/>
    <w:rsid w:val="006167D4"/>
    <w:rsid w:val="00616802"/>
    <w:rsid w:val="00616ACB"/>
    <w:rsid w:val="0061793C"/>
    <w:rsid w:val="00617B4A"/>
    <w:rsid w:val="00617E12"/>
    <w:rsid w:val="00617E98"/>
    <w:rsid w:val="00620382"/>
    <w:rsid w:val="00620EAC"/>
    <w:rsid w:val="00621477"/>
    <w:rsid w:val="0062158D"/>
    <w:rsid w:val="00621718"/>
    <w:rsid w:val="006218C4"/>
    <w:rsid w:val="00621965"/>
    <w:rsid w:val="0062206A"/>
    <w:rsid w:val="006221F4"/>
    <w:rsid w:val="006229D6"/>
    <w:rsid w:val="006231E2"/>
    <w:rsid w:val="0062323A"/>
    <w:rsid w:val="006233A4"/>
    <w:rsid w:val="006233CB"/>
    <w:rsid w:val="0062345C"/>
    <w:rsid w:val="006234A6"/>
    <w:rsid w:val="006238D3"/>
    <w:rsid w:val="00623BB3"/>
    <w:rsid w:val="00623CCB"/>
    <w:rsid w:val="00623DC9"/>
    <w:rsid w:val="00623ED6"/>
    <w:rsid w:val="006245DF"/>
    <w:rsid w:val="00624CBC"/>
    <w:rsid w:val="00624E54"/>
    <w:rsid w:val="0062514A"/>
    <w:rsid w:val="006252F9"/>
    <w:rsid w:val="00625528"/>
    <w:rsid w:val="0062569C"/>
    <w:rsid w:val="0062582E"/>
    <w:rsid w:val="006260F0"/>
    <w:rsid w:val="00626128"/>
    <w:rsid w:val="006262FE"/>
    <w:rsid w:val="006263A9"/>
    <w:rsid w:val="00626820"/>
    <w:rsid w:val="00626A7E"/>
    <w:rsid w:val="00626C6C"/>
    <w:rsid w:val="0062705D"/>
    <w:rsid w:val="0062718C"/>
    <w:rsid w:val="006272B0"/>
    <w:rsid w:val="0062749E"/>
    <w:rsid w:val="00627516"/>
    <w:rsid w:val="006277DE"/>
    <w:rsid w:val="00627E6B"/>
    <w:rsid w:val="00630219"/>
    <w:rsid w:val="00630342"/>
    <w:rsid w:val="00630AA6"/>
    <w:rsid w:val="00630E70"/>
    <w:rsid w:val="00630E9A"/>
    <w:rsid w:val="00631143"/>
    <w:rsid w:val="00631341"/>
    <w:rsid w:val="0063158F"/>
    <w:rsid w:val="0063178D"/>
    <w:rsid w:val="006318A8"/>
    <w:rsid w:val="006318DB"/>
    <w:rsid w:val="00631A6E"/>
    <w:rsid w:val="00631D6B"/>
    <w:rsid w:val="00632439"/>
    <w:rsid w:val="006325F3"/>
    <w:rsid w:val="00632AE0"/>
    <w:rsid w:val="00632B0D"/>
    <w:rsid w:val="00632E13"/>
    <w:rsid w:val="00632FBD"/>
    <w:rsid w:val="006330A1"/>
    <w:rsid w:val="00633183"/>
    <w:rsid w:val="0063334A"/>
    <w:rsid w:val="0063342D"/>
    <w:rsid w:val="006337DE"/>
    <w:rsid w:val="0063387B"/>
    <w:rsid w:val="00633B4E"/>
    <w:rsid w:val="00633DE8"/>
    <w:rsid w:val="0063428F"/>
    <w:rsid w:val="0063479F"/>
    <w:rsid w:val="006349E4"/>
    <w:rsid w:val="00635099"/>
    <w:rsid w:val="006350A1"/>
    <w:rsid w:val="006350C8"/>
    <w:rsid w:val="006351CA"/>
    <w:rsid w:val="00635203"/>
    <w:rsid w:val="006353F0"/>
    <w:rsid w:val="00635434"/>
    <w:rsid w:val="006359BB"/>
    <w:rsid w:val="00635E9C"/>
    <w:rsid w:val="006362DA"/>
    <w:rsid w:val="006363D6"/>
    <w:rsid w:val="006364A1"/>
    <w:rsid w:val="00636B28"/>
    <w:rsid w:val="00636FF9"/>
    <w:rsid w:val="0063755C"/>
    <w:rsid w:val="00637A4E"/>
    <w:rsid w:val="00637A62"/>
    <w:rsid w:val="00637BFD"/>
    <w:rsid w:val="00637C4F"/>
    <w:rsid w:val="00637CF7"/>
    <w:rsid w:val="00637E55"/>
    <w:rsid w:val="0064003B"/>
    <w:rsid w:val="00640136"/>
    <w:rsid w:val="006401F1"/>
    <w:rsid w:val="00640303"/>
    <w:rsid w:val="00640526"/>
    <w:rsid w:val="006405C5"/>
    <w:rsid w:val="00640A1B"/>
    <w:rsid w:val="00640C94"/>
    <w:rsid w:val="00640D2F"/>
    <w:rsid w:val="00640EEB"/>
    <w:rsid w:val="00641321"/>
    <w:rsid w:val="006415D5"/>
    <w:rsid w:val="0064179F"/>
    <w:rsid w:val="00641A3B"/>
    <w:rsid w:val="00641C4E"/>
    <w:rsid w:val="00641D08"/>
    <w:rsid w:val="006422F2"/>
    <w:rsid w:val="00642858"/>
    <w:rsid w:val="0064286A"/>
    <w:rsid w:val="00642B3A"/>
    <w:rsid w:val="00642F79"/>
    <w:rsid w:val="006434DB"/>
    <w:rsid w:val="006435BC"/>
    <w:rsid w:val="00643960"/>
    <w:rsid w:val="00643F3C"/>
    <w:rsid w:val="00644735"/>
    <w:rsid w:val="0064478F"/>
    <w:rsid w:val="0064492B"/>
    <w:rsid w:val="006449CD"/>
    <w:rsid w:val="00644CB9"/>
    <w:rsid w:val="0064519E"/>
    <w:rsid w:val="00645278"/>
    <w:rsid w:val="006452D3"/>
    <w:rsid w:val="00645445"/>
    <w:rsid w:val="006455A7"/>
    <w:rsid w:val="0064568B"/>
    <w:rsid w:val="00645939"/>
    <w:rsid w:val="00645B68"/>
    <w:rsid w:val="00645D06"/>
    <w:rsid w:val="00645D14"/>
    <w:rsid w:val="00645FC8"/>
    <w:rsid w:val="006461BF"/>
    <w:rsid w:val="00646235"/>
    <w:rsid w:val="00646337"/>
    <w:rsid w:val="006465B8"/>
    <w:rsid w:val="006467E3"/>
    <w:rsid w:val="00646A5E"/>
    <w:rsid w:val="00646AAA"/>
    <w:rsid w:val="00646DA6"/>
    <w:rsid w:val="00646E3D"/>
    <w:rsid w:val="006471CC"/>
    <w:rsid w:val="0064733E"/>
    <w:rsid w:val="006473F8"/>
    <w:rsid w:val="00647573"/>
    <w:rsid w:val="00647ADC"/>
    <w:rsid w:val="00647D1D"/>
    <w:rsid w:val="00650485"/>
    <w:rsid w:val="0065079F"/>
    <w:rsid w:val="00650B96"/>
    <w:rsid w:val="00650D16"/>
    <w:rsid w:val="00650FBA"/>
    <w:rsid w:val="006512DB"/>
    <w:rsid w:val="00651340"/>
    <w:rsid w:val="006513AF"/>
    <w:rsid w:val="006513F8"/>
    <w:rsid w:val="006514AC"/>
    <w:rsid w:val="0065208A"/>
    <w:rsid w:val="00652294"/>
    <w:rsid w:val="006523B7"/>
    <w:rsid w:val="00652847"/>
    <w:rsid w:val="00652DD6"/>
    <w:rsid w:val="00652FC7"/>
    <w:rsid w:val="00653536"/>
    <w:rsid w:val="0065379F"/>
    <w:rsid w:val="00653BDC"/>
    <w:rsid w:val="00653CA4"/>
    <w:rsid w:val="0065405B"/>
    <w:rsid w:val="006542FE"/>
    <w:rsid w:val="006544F3"/>
    <w:rsid w:val="006545D3"/>
    <w:rsid w:val="0065480D"/>
    <w:rsid w:val="00654FDC"/>
    <w:rsid w:val="00656104"/>
    <w:rsid w:val="00656128"/>
    <w:rsid w:val="00656A49"/>
    <w:rsid w:val="00656F2D"/>
    <w:rsid w:val="0065775B"/>
    <w:rsid w:val="0065787C"/>
    <w:rsid w:val="00657DAE"/>
    <w:rsid w:val="006602CF"/>
    <w:rsid w:val="00660D75"/>
    <w:rsid w:val="00660DE6"/>
    <w:rsid w:val="006612FC"/>
    <w:rsid w:val="00661637"/>
    <w:rsid w:val="00661638"/>
    <w:rsid w:val="0066167A"/>
    <w:rsid w:val="00661796"/>
    <w:rsid w:val="00661C6B"/>
    <w:rsid w:val="00661C83"/>
    <w:rsid w:val="00661F60"/>
    <w:rsid w:val="0066205F"/>
    <w:rsid w:val="00662083"/>
    <w:rsid w:val="006623F4"/>
    <w:rsid w:val="006624C1"/>
    <w:rsid w:val="00662A78"/>
    <w:rsid w:val="00662D5B"/>
    <w:rsid w:val="00662DE4"/>
    <w:rsid w:val="006634C7"/>
    <w:rsid w:val="00663557"/>
    <w:rsid w:val="0066355F"/>
    <w:rsid w:val="00663879"/>
    <w:rsid w:val="00663A73"/>
    <w:rsid w:val="00663EE6"/>
    <w:rsid w:val="006649DC"/>
    <w:rsid w:val="00664E6F"/>
    <w:rsid w:val="006650C1"/>
    <w:rsid w:val="006650D0"/>
    <w:rsid w:val="0066510E"/>
    <w:rsid w:val="00665458"/>
    <w:rsid w:val="00665730"/>
    <w:rsid w:val="0066615D"/>
    <w:rsid w:val="006664CB"/>
    <w:rsid w:val="006665BF"/>
    <w:rsid w:val="0066661C"/>
    <w:rsid w:val="006669A4"/>
    <w:rsid w:val="00666A44"/>
    <w:rsid w:val="006671EA"/>
    <w:rsid w:val="00667CA7"/>
    <w:rsid w:val="00667CE4"/>
    <w:rsid w:val="00670179"/>
    <w:rsid w:val="00670214"/>
    <w:rsid w:val="006707F0"/>
    <w:rsid w:val="006708BF"/>
    <w:rsid w:val="00670980"/>
    <w:rsid w:val="00670B27"/>
    <w:rsid w:val="00670D6C"/>
    <w:rsid w:val="00670EF9"/>
    <w:rsid w:val="00671201"/>
    <w:rsid w:val="006712C8"/>
    <w:rsid w:val="006717E1"/>
    <w:rsid w:val="006718A0"/>
    <w:rsid w:val="00671CA2"/>
    <w:rsid w:val="00671E63"/>
    <w:rsid w:val="00671EAC"/>
    <w:rsid w:val="00671FE0"/>
    <w:rsid w:val="00672133"/>
    <w:rsid w:val="00672822"/>
    <w:rsid w:val="0067286B"/>
    <w:rsid w:val="006732B0"/>
    <w:rsid w:val="00673311"/>
    <w:rsid w:val="00673383"/>
    <w:rsid w:val="00673537"/>
    <w:rsid w:val="0067374E"/>
    <w:rsid w:val="006737AA"/>
    <w:rsid w:val="00673BB6"/>
    <w:rsid w:val="00673BE4"/>
    <w:rsid w:val="00673C52"/>
    <w:rsid w:val="00673FCB"/>
    <w:rsid w:val="00674132"/>
    <w:rsid w:val="006741BD"/>
    <w:rsid w:val="006748EE"/>
    <w:rsid w:val="006749CB"/>
    <w:rsid w:val="00674E42"/>
    <w:rsid w:val="00674FA6"/>
    <w:rsid w:val="006750FA"/>
    <w:rsid w:val="006752AF"/>
    <w:rsid w:val="006752DD"/>
    <w:rsid w:val="0067560F"/>
    <w:rsid w:val="00675A48"/>
    <w:rsid w:val="00675A4F"/>
    <w:rsid w:val="00675B73"/>
    <w:rsid w:val="00675BDF"/>
    <w:rsid w:val="00675C6C"/>
    <w:rsid w:val="00675D8D"/>
    <w:rsid w:val="00675E20"/>
    <w:rsid w:val="00675EAB"/>
    <w:rsid w:val="006760CA"/>
    <w:rsid w:val="006762EC"/>
    <w:rsid w:val="006763BB"/>
    <w:rsid w:val="00676526"/>
    <w:rsid w:val="006765D4"/>
    <w:rsid w:val="00676613"/>
    <w:rsid w:val="0067671B"/>
    <w:rsid w:val="0067688C"/>
    <w:rsid w:val="00676B4F"/>
    <w:rsid w:val="00677ED7"/>
    <w:rsid w:val="00677EE7"/>
    <w:rsid w:val="00677F19"/>
    <w:rsid w:val="00677FE3"/>
    <w:rsid w:val="006801D0"/>
    <w:rsid w:val="00680347"/>
    <w:rsid w:val="00680992"/>
    <w:rsid w:val="00680A7F"/>
    <w:rsid w:val="006810D9"/>
    <w:rsid w:val="006811A6"/>
    <w:rsid w:val="006816A6"/>
    <w:rsid w:val="0068170F"/>
    <w:rsid w:val="006818BC"/>
    <w:rsid w:val="00681C4D"/>
    <w:rsid w:val="00682046"/>
    <w:rsid w:val="00682112"/>
    <w:rsid w:val="006823EA"/>
    <w:rsid w:val="006826D4"/>
    <w:rsid w:val="00682E16"/>
    <w:rsid w:val="006830B6"/>
    <w:rsid w:val="00683246"/>
    <w:rsid w:val="0068328A"/>
    <w:rsid w:val="00683957"/>
    <w:rsid w:val="00683A1A"/>
    <w:rsid w:val="00683BFB"/>
    <w:rsid w:val="00683CFE"/>
    <w:rsid w:val="006842E3"/>
    <w:rsid w:val="0068444E"/>
    <w:rsid w:val="00684460"/>
    <w:rsid w:val="006844B4"/>
    <w:rsid w:val="00684A93"/>
    <w:rsid w:val="00684AB9"/>
    <w:rsid w:val="00685069"/>
    <w:rsid w:val="00685559"/>
    <w:rsid w:val="00685AC8"/>
    <w:rsid w:val="00686863"/>
    <w:rsid w:val="00686957"/>
    <w:rsid w:val="00686C52"/>
    <w:rsid w:val="00686FDD"/>
    <w:rsid w:val="006871D3"/>
    <w:rsid w:val="006872BA"/>
    <w:rsid w:val="00687854"/>
    <w:rsid w:val="00687BA0"/>
    <w:rsid w:val="00687C72"/>
    <w:rsid w:val="006900CD"/>
    <w:rsid w:val="006901B1"/>
    <w:rsid w:val="00690706"/>
    <w:rsid w:val="0069080F"/>
    <w:rsid w:val="006909A9"/>
    <w:rsid w:val="00690C16"/>
    <w:rsid w:val="0069112B"/>
    <w:rsid w:val="00691648"/>
    <w:rsid w:val="006917D7"/>
    <w:rsid w:val="00691B25"/>
    <w:rsid w:val="00691C7F"/>
    <w:rsid w:val="00691DAB"/>
    <w:rsid w:val="00691FA8"/>
    <w:rsid w:val="00692243"/>
    <w:rsid w:val="00692440"/>
    <w:rsid w:val="00692587"/>
    <w:rsid w:val="00692591"/>
    <w:rsid w:val="0069272F"/>
    <w:rsid w:val="00692932"/>
    <w:rsid w:val="00693376"/>
    <w:rsid w:val="006933F0"/>
    <w:rsid w:val="0069351E"/>
    <w:rsid w:val="00693891"/>
    <w:rsid w:val="00693DE1"/>
    <w:rsid w:val="00693E2C"/>
    <w:rsid w:val="00693F2A"/>
    <w:rsid w:val="00693F31"/>
    <w:rsid w:val="00694041"/>
    <w:rsid w:val="00694293"/>
    <w:rsid w:val="006945C3"/>
    <w:rsid w:val="006945DA"/>
    <w:rsid w:val="0069462D"/>
    <w:rsid w:val="00694B13"/>
    <w:rsid w:val="00694F44"/>
    <w:rsid w:val="00695119"/>
    <w:rsid w:val="00695332"/>
    <w:rsid w:val="00695423"/>
    <w:rsid w:val="006955D7"/>
    <w:rsid w:val="00695A01"/>
    <w:rsid w:val="00695C13"/>
    <w:rsid w:val="00695E86"/>
    <w:rsid w:val="00695E8C"/>
    <w:rsid w:val="006960E4"/>
    <w:rsid w:val="00696CB7"/>
    <w:rsid w:val="0069728C"/>
    <w:rsid w:val="00697502"/>
    <w:rsid w:val="00697704"/>
    <w:rsid w:val="0069796D"/>
    <w:rsid w:val="00697AA3"/>
    <w:rsid w:val="00697D65"/>
    <w:rsid w:val="00697DE2"/>
    <w:rsid w:val="006A0749"/>
    <w:rsid w:val="006A09A3"/>
    <w:rsid w:val="006A0E85"/>
    <w:rsid w:val="006A0F15"/>
    <w:rsid w:val="006A0FAE"/>
    <w:rsid w:val="006A10BD"/>
    <w:rsid w:val="006A120C"/>
    <w:rsid w:val="006A1453"/>
    <w:rsid w:val="006A2234"/>
    <w:rsid w:val="006A25AA"/>
    <w:rsid w:val="006A29DC"/>
    <w:rsid w:val="006A2A44"/>
    <w:rsid w:val="006A2E6D"/>
    <w:rsid w:val="006A33B8"/>
    <w:rsid w:val="006A3415"/>
    <w:rsid w:val="006A3922"/>
    <w:rsid w:val="006A3A46"/>
    <w:rsid w:val="006A430F"/>
    <w:rsid w:val="006A4784"/>
    <w:rsid w:val="006A50CA"/>
    <w:rsid w:val="006A5287"/>
    <w:rsid w:val="006A53BA"/>
    <w:rsid w:val="006A55FD"/>
    <w:rsid w:val="006A59CD"/>
    <w:rsid w:val="006A5AED"/>
    <w:rsid w:val="006A5B68"/>
    <w:rsid w:val="006A5E6F"/>
    <w:rsid w:val="006A606A"/>
    <w:rsid w:val="006A63FC"/>
    <w:rsid w:val="006A672A"/>
    <w:rsid w:val="006A69B3"/>
    <w:rsid w:val="006A6A2D"/>
    <w:rsid w:val="006A6E03"/>
    <w:rsid w:val="006A74CE"/>
    <w:rsid w:val="006A74F8"/>
    <w:rsid w:val="006A770B"/>
    <w:rsid w:val="006A78B5"/>
    <w:rsid w:val="006A7E5F"/>
    <w:rsid w:val="006A7F79"/>
    <w:rsid w:val="006B015F"/>
    <w:rsid w:val="006B09A6"/>
    <w:rsid w:val="006B0A2F"/>
    <w:rsid w:val="006B0A5C"/>
    <w:rsid w:val="006B0C2E"/>
    <w:rsid w:val="006B1304"/>
    <w:rsid w:val="006B1494"/>
    <w:rsid w:val="006B1A9A"/>
    <w:rsid w:val="006B1CB8"/>
    <w:rsid w:val="006B1F6F"/>
    <w:rsid w:val="006B2363"/>
    <w:rsid w:val="006B24A6"/>
    <w:rsid w:val="006B261B"/>
    <w:rsid w:val="006B2686"/>
    <w:rsid w:val="006B27C9"/>
    <w:rsid w:val="006B2C90"/>
    <w:rsid w:val="006B2EA1"/>
    <w:rsid w:val="006B31D5"/>
    <w:rsid w:val="006B34AE"/>
    <w:rsid w:val="006B381B"/>
    <w:rsid w:val="006B3833"/>
    <w:rsid w:val="006B3937"/>
    <w:rsid w:val="006B3A6F"/>
    <w:rsid w:val="006B4264"/>
    <w:rsid w:val="006B44A8"/>
    <w:rsid w:val="006B48D3"/>
    <w:rsid w:val="006B4A80"/>
    <w:rsid w:val="006B4C4E"/>
    <w:rsid w:val="006B4FC2"/>
    <w:rsid w:val="006B50B8"/>
    <w:rsid w:val="006B50D4"/>
    <w:rsid w:val="006B55B8"/>
    <w:rsid w:val="006B5B04"/>
    <w:rsid w:val="006B5B66"/>
    <w:rsid w:val="006B5D36"/>
    <w:rsid w:val="006B5D71"/>
    <w:rsid w:val="006B61F5"/>
    <w:rsid w:val="006B69DE"/>
    <w:rsid w:val="006B6C9D"/>
    <w:rsid w:val="006B6DB3"/>
    <w:rsid w:val="006B6DD0"/>
    <w:rsid w:val="006B6EFF"/>
    <w:rsid w:val="006B71D2"/>
    <w:rsid w:val="006B7604"/>
    <w:rsid w:val="006B78D2"/>
    <w:rsid w:val="006C01D5"/>
    <w:rsid w:val="006C0315"/>
    <w:rsid w:val="006C08F0"/>
    <w:rsid w:val="006C093F"/>
    <w:rsid w:val="006C0949"/>
    <w:rsid w:val="006C0B42"/>
    <w:rsid w:val="006C0B79"/>
    <w:rsid w:val="006C0BAC"/>
    <w:rsid w:val="006C1831"/>
    <w:rsid w:val="006C1E54"/>
    <w:rsid w:val="006C2128"/>
    <w:rsid w:val="006C21F7"/>
    <w:rsid w:val="006C21FD"/>
    <w:rsid w:val="006C23E2"/>
    <w:rsid w:val="006C2403"/>
    <w:rsid w:val="006C24D7"/>
    <w:rsid w:val="006C2A8E"/>
    <w:rsid w:val="006C320E"/>
    <w:rsid w:val="006C33A8"/>
    <w:rsid w:val="006C34C2"/>
    <w:rsid w:val="006C3DF8"/>
    <w:rsid w:val="006C3F1C"/>
    <w:rsid w:val="006C40D7"/>
    <w:rsid w:val="006C4278"/>
    <w:rsid w:val="006C4480"/>
    <w:rsid w:val="006C489E"/>
    <w:rsid w:val="006C538D"/>
    <w:rsid w:val="006C53A2"/>
    <w:rsid w:val="006C543E"/>
    <w:rsid w:val="006C5761"/>
    <w:rsid w:val="006C5A2F"/>
    <w:rsid w:val="006C5C00"/>
    <w:rsid w:val="006C5D97"/>
    <w:rsid w:val="006C5DD2"/>
    <w:rsid w:val="006C5FCD"/>
    <w:rsid w:val="006C6030"/>
    <w:rsid w:val="006C6782"/>
    <w:rsid w:val="006C67EE"/>
    <w:rsid w:val="006C6A0D"/>
    <w:rsid w:val="006C7667"/>
    <w:rsid w:val="006C78F0"/>
    <w:rsid w:val="006C79C5"/>
    <w:rsid w:val="006C7E08"/>
    <w:rsid w:val="006C7F94"/>
    <w:rsid w:val="006C7FAD"/>
    <w:rsid w:val="006D00AE"/>
    <w:rsid w:val="006D0100"/>
    <w:rsid w:val="006D0487"/>
    <w:rsid w:val="006D0617"/>
    <w:rsid w:val="006D065F"/>
    <w:rsid w:val="006D066A"/>
    <w:rsid w:val="006D0C64"/>
    <w:rsid w:val="006D15AD"/>
    <w:rsid w:val="006D1737"/>
    <w:rsid w:val="006D1B72"/>
    <w:rsid w:val="006D1FA6"/>
    <w:rsid w:val="006D2023"/>
    <w:rsid w:val="006D20A6"/>
    <w:rsid w:val="006D20F5"/>
    <w:rsid w:val="006D21E9"/>
    <w:rsid w:val="006D2294"/>
    <w:rsid w:val="006D246F"/>
    <w:rsid w:val="006D26BF"/>
    <w:rsid w:val="006D26E3"/>
    <w:rsid w:val="006D2CBF"/>
    <w:rsid w:val="006D2E41"/>
    <w:rsid w:val="006D3034"/>
    <w:rsid w:val="006D32F4"/>
    <w:rsid w:val="006D39DC"/>
    <w:rsid w:val="006D3C7D"/>
    <w:rsid w:val="006D4501"/>
    <w:rsid w:val="006D494C"/>
    <w:rsid w:val="006D49F9"/>
    <w:rsid w:val="006D56DA"/>
    <w:rsid w:val="006D58D4"/>
    <w:rsid w:val="006D58FB"/>
    <w:rsid w:val="006D5D5F"/>
    <w:rsid w:val="006D65A4"/>
    <w:rsid w:val="006D661D"/>
    <w:rsid w:val="006D68DA"/>
    <w:rsid w:val="006D68FF"/>
    <w:rsid w:val="006D6A12"/>
    <w:rsid w:val="006D7848"/>
    <w:rsid w:val="006D7B19"/>
    <w:rsid w:val="006D7C68"/>
    <w:rsid w:val="006D7CCF"/>
    <w:rsid w:val="006D7FBC"/>
    <w:rsid w:val="006E00E1"/>
    <w:rsid w:val="006E0244"/>
    <w:rsid w:val="006E035F"/>
    <w:rsid w:val="006E0835"/>
    <w:rsid w:val="006E0854"/>
    <w:rsid w:val="006E0E34"/>
    <w:rsid w:val="006E1556"/>
    <w:rsid w:val="006E15CB"/>
    <w:rsid w:val="006E1A21"/>
    <w:rsid w:val="006E1AB7"/>
    <w:rsid w:val="006E1D44"/>
    <w:rsid w:val="006E2385"/>
    <w:rsid w:val="006E26E5"/>
    <w:rsid w:val="006E2971"/>
    <w:rsid w:val="006E2D22"/>
    <w:rsid w:val="006E3016"/>
    <w:rsid w:val="006E3087"/>
    <w:rsid w:val="006E31A9"/>
    <w:rsid w:val="006E3234"/>
    <w:rsid w:val="006E35FD"/>
    <w:rsid w:val="006E371E"/>
    <w:rsid w:val="006E374C"/>
    <w:rsid w:val="006E3B91"/>
    <w:rsid w:val="006E3FA1"/>
    <w:rsid w:val="006E41D0"/>
    <w:rsid w:val="006E42B7"/>
    <w:rsid w:val="006E46B7"/>
    <w:rsid w:val="006E47C9"/>
    <w:rsid w:val="006E4864"/>
    <w:rsid w:val="006E4927"/>
    <w:rsid w:val="006E49A7"/>
    <w:rsid w:val="006E4A41"/>
    <w:rsid w:val="006E4ABF"/>
    <w:rsid w:val="006E4CDA"/>
    <w:rsid w:val="006E509D"/>
    <w:rsid w:val="006E51A3"/>
    <w:rsid w:val="006E5A1C"/>
    <w:rsid w:val="006E6179"/>
    <w:rsid w:val="006E64F6"/>
    <w:rsid w:val="006E666E"/>
    <w:rsid w:val="006E686F"/>
    <w:rsid w:val="006E68B3"/>
    <w:rsid w:val="006E6A36"/>
    <w:rsid w:val="006E6DBD"/>
    <w:rsid w:val="006E6FD7"/>
    <w:rsid w:val="006E71C9"/>
    <w:rsid w:val="006E77C3"/>
    <w:rsid w:val="006E7853"/>
    <w:rsid w:val="006E7CF3"/>
    <w:rsid w:val="006F05A1"/>
    <w:rsid w:val="006F0BB1"/>
    <w:rsid w:val="006F0BD7"/>
    <w:rsid w:val="006F0C25"/>
    <w:rsid w:val="006F0CC8"/>
    <w:rsid w:val="006F130A"/>
    <w:rsid w:val="006F1529"/>
    <w:rsid w:val="006F1535"/>
    <w:rsid w:val="006F1640"/>
    <w:rsid w:val="006F1A76"/>
    <w:rsid w:val="006F1B24"/>
    <w:rsid w:val="006F1F14"/>
    <w:rsid w:val="006F2BA3"/>
    <w:rsid w:val="006F2C43"/>
    <w:rsid w:val="006F306C"/>
    <w:rsid w:val="006F36A8"/>
    <w:rsid w:val="006F36D4"/>
    <w:rsid w:val="006F3B64"/>
    <w:rsid w:val="006F3C08"/>
    <w:rsid w:val="006F44DC"/>
    <w:rsid w:val="006F4C90"/>
    <w:rsid w:val="006F4F54"/>
    <w:rsid w:val="006F55E7"/>
    <w:rsid w:val="006F57D9"/>
    <w:rsid w:val="006F5A3E"/>
    <w:rsid w:val="006F5D53"/>
    <w:rsid w:val="006F5D54"/>
    <w:rsid w:val="006F63A5"/>
    <w:rsid w:val="006F6B62"/>
    <w:rsid w:val="006F6D31"/>
    <w:rsid w:val="006F73C0"/>
    <w:rsid w:val="006F740C"/>
    <w:rsid w:val="006F7548"/>
    <w:rsid w:val="006F78AE"/>
    <w:rsid w:val="006F7A62"/>
    <w:rsid w:val="006F7E85"/>
    <w:rsid w:val="0070001C"/>
    <w:rsid w:val="00700275"/>
    <w:rsid w:val="00700315"/>
    <w:rsid w:val="00700C1E"/>
    <w:rsid w:val="00700D0F"/>
    <w:rsid w:val="00701256"/>
    <w:rsid w:val="007013F5"/>
    <w:rsid w:val="0070142B"/>
    <w:rsid w:val="0070171A"/>
    <w:rsid w:val="00701FE7"/>
    <w:rsid w:val="0070241D"/>
    <w:rsid w:val="0070245B"/>
    <w:rsid w:val="00702603"/>
    <w:rsid w:val="00702650"/>
    <w:rsid w:val="0070276E"/>
    <w:rsid w:val="007027F8"/>
    <w:rsid w:val="007028FA"/>
    <w:rsid w:val="00702AB8"/>
    <w:rsid w:val="00702F8F"/>
    <w:rsid w:val="00702F90"/>
    <w:rsid w:val="00703366"/>
    <w:rsid w:val="00703451"/>
    <w:rsid w:val="00703601"/>
    <w:rsid w:val="00703634"/>
    <w:rsid w:val="0070371A"/>
    <w:rsid w:val="0070398F"/>
    <w:rsid w:val="00703A7A"/>
    <w:rsid w:val="00703FB2"/>
    <w:rsid w:val="00704054"/>
    <w:rsid w:val="0070415C"/>
    <w:rsid w:val="00704255"/>
    <w:rsid w:val="007046C7"/>
    <w:rsid w:val="00704AFC"/>
    <w:rsid w:val="00705461"/>
    <w:rsid w:val="00705D8E"/>
    <w:rsid w:val="00706017"/>
    <w:rsid w:val="0070614A"/>
    <w:rsid w:val="0070616E"/>
    <w:rsid w:val="00706570"/>
    <w:rsid w:val="0070662E"/>
    <w:rsid w:val="00706663"/>
    <w:rsid w:val="007066BD"/>
    <w:rsid w:val="0070673F"/>
    <w:rsid w:val="00706B33"/>
    <w:rsid w:val="00706D10"/>
    <w:rsid w:val="00706E2C"/>
    <w:rsid w:val="0070732C"/>
    <w:rsid w:val="00707748"/>
    <w:rsid w:val="00707870"/>
    <w:rsid w:val="007079B8"/>
    <w:rsid w:val="00707D3D"/>
    <w:rsid w:val="00707DE1"/>
    <w:rsid w:val="00707FAF"/>
    <w:rsid w:val="00707FD2"/>
    <w:rsid w:val="00710202"/>
    <w:rsid w:val="00710254"/>
    <w:rsid w:val="00710368"/>
    <w:rsid w:val="0071063F"/>
    <w:rsid w:val="007107FE"/>
    <w:rsid w:val="00710BDA"/>
    <w:rsid w:val="00710FBA"/>
    <w:rsid w:val="00711047"/>
    <w:rsid w:val="00711756"/>
    <w:rsid w:val="00711812"/>
    <w:rsid w:val="00711A36"/>
    <w:rsid w:val="00711F8C"/>
    <w:rsid w:val="0071201A"/>
    <w:rsid w:val="0071219B"/>
    <w:rsid w:val="0071264C"/>
    <w:rsid w:val="00712DE1"/>
    <w:rsid w:val="00713208"/>
    <w:rsid w:val="0071320A"/>
    <w:rsid w:val="00713382"/>
    <w:rsid w:val="00713569"/>
    <w:rsid w:val="00713B75"/>
    <w:rsid w:val="00714228"/>
    <w:rsid w:val="0071435F"/>
    <w:rsid w:val="007143B1"/>
    <w:rsid w:val="00714411"/>
    <w:rsid w:val="00714AA4"/>
    <w:rsid w:val="00714AFB"/>
    <w:rsid w:val="00714D75"/>
    <w:rsid w:val="00714DB2"/>
    <w:rsid w:val="00714FB2"/>
    <w:rsid w:val="0071529C"/>
    <w:rsid w:val="0071535A"/>
    <w:rsid w:val="00715EB2"/>
    <w:rsid w:val="00716985"/>
    <w:rsid w:val="00716988"/>
    <w:rsid w:val="00716D12"/>
    <w:rsid w:val="00716E05"/>
    <w:rsid w:val="00716EA4"/>
    <w:rsid w:val="00716FC8"/>
    <w:rsid w:val="007172AD"/>
    <w:rsid w:val="007173D9"/>
    <w:rsid w:val="007173E0"/>
    <w:rsid w:val="00717510"/>
    <w:rsid w:val="00717555"/>
    <w:rsid w:val="0071788F"/>
    <w:rsid w:val="007179E7"/>
    <w:rsid w:val="00717D49"/>
    <w:rsid w:val="00717E6C"/>
    <w:rsid w:val="0072026F"/>
    <w:rsid w:val="0072057F"/>
    <w:rsid w:val="00720699"/>
    <w:rsid w:val="0072085A"/>
    <w:rsid w:val="007208A5"/>
    <w:rsid w:val="00720E36"/>
    <w:rsid w:val="00720F9F"/>
    <w:rsid w:val="00720FCD"/>
    <w:rsid w:val="00721134"/>
    <w:rsid w:val="007211CF"/>
    <w:rsid w:val="0072195F"/>
    <w:rsid w:val="00721CC2"/>
    <w:rsid w:val="00722154"/>
    <w:rsid w:val="007224F6"/>
    <w:rsid w:val="00722875"/>
    <w:rsid w:val="007229A0"/>
    <w:rsid w:val="007229FD"/>
    <w:rsid w:val="00722A6D"/>
    <w:rsid w:val="00722B1B"/>
    <w:rsid w:val="00722D4C"/>
    <w:rsid w:val="00722E55"/>
    <w:rsid w:val="00722F03"/>
    <w:rsid w:val="007235A0"/>
    <w:rsid w:val="00723758"/>
    <w:rsid w:val="00723DEC"/>
    <w:rsid w:val="007240D6"/>
    <w:rsid w:val="0072416F"/>
    <w:rsid w:val="0072453F"/>
    <w:rsid w:val="007247A2"/>
    <w:rsid w:val="00724B05"/>
    <w:rsid w:val="00724CE1"/>
    <w:rsid w:val="00724D45"/>
    <w:rsid w:val="00724FC4"/>
    <w:rsid w:val="0072520A"/>
    <w:rsid w:val="007261E9"/>
    <w:rsid w:val="0072642A"/>
    <w:rsid w:val="00726527"/>
    <w:rsid w:val="00726A31"/>
    <w:rsid w:val="00726D2D"/>
    <w:rsid w:val="00726EB3"/>
    <w:rsid w:val="00726F5F"/>
    <w:rsid w:val="0072721D"/>
    <w:rsid w:val="00727393"/>
    <w:rsid w:val="00727673"/>
    <w:rsid w:val="007276A0"/>
    <w:rsid w:val="00727903"/>
    <w:rsid w:val="00727B9B"/>
    <w:rsid w:val="00727BE8"/>
    <w:rsid w:val="00727C94"/>
    <w:rsid w:val="00727CA0"/>
    <w:rsid w:val="007302BA"/>
    <w:rsid w:val="00730A83"/>
    <w:rsid w:val="00730C4F"/>
    <w:rsid w:val="00730DE6"/>
    <w:rsid w:val="00730F5E"/>
    <w:rsid w:val="007310BD"/>
    <w:rsid w:val="0073180B"/>
    <w:rsid w:val="00731AF3"/>
    <w:rsid w:val="00731EAE"/>
    <w:rsid w:val="007322EF"/>
    <w:rsid w:val="00732353"/>
    <w:rsid w:val="007326AB"/>
    <w:rsid w:val="007329B0"/>
    <w:rsid w:val="00732C80"/>
    <w:rsid w:val="00732DF1"/>
    <w:rsid w:val="00733122"/>
    <w:rsid w:val="007334D4"/>
    <w:rsid w:val="00733B5A"/>
    <w:rsid w:val="00733E2F"/>
    <w:rsid w:val="00733FFD"/>
    <w:rsid w:val="007340A5"/>
    <w:rsid w:val="00734521"/>
    <w:rsid w:val="00734782"/>
    <w:rsid w:val="00734BDB"/>
    <w:rsid w:val="00734FB5"/>
    <w:rsid w:val="00735033"/>
    <w:rsid w:val="00735250"/>
    <w:rsid w:val="00735328"/>
    <w:rsid w:val="007354BF"/>
    <w:rsid w:val="007356C5"/>
    <w:rsid w:val="00735893"/>
    <w:rsid w:val="007358BB"/>
    <w:rsid w:val="00735BF0"/>
    <w:rsid w:val="00735C47"/>
    <w:rsid w:val="00735FFA"/>
    <w:rsid w:val="007362FF"/>
    <w:rsid w:val="0073685B"/>
    <w:rsid w:val="00736AFD"/>
    <w:rsid w:val="00736B3D"/>
    <w:rsid w:val="00737159"/>
    <w:rsid w:val="0073720D"/>
    <w:rsid w:val="00737C5D"/>
    <w:rsid w:val="00740036"/>
    <w:rsid w:val="0074025B"/>
    <w:rsid w:val="0074066C"/>
    <w:rsid w:val="007406DC"/>
    <w:rsid w:val="007408EB"/>
    <w:rsid w:val="0074094B"/>
    <w:rsid w:val="00740A8D"/>
    <w:rsid w:val="00740BB0"/>
    <w:rsid w:val="0074109B"/>
    <w:rsid w:val="0074112B"/>
    <w:rsid w:val="0074168A"/>
    <w:rsid w:val="00742083"/>
    <w:rsid w:val="007421ED"/>
    <w:rsid w:val="0074273D"/>
    <w:rsid w:val="00742A0A"/>
    <w:rsid w:val="00742D39"/>
    <w:rsid w:val="00743569"/>
    <w:rsid w:val="00743AA2"/>
    <w:rsid w:val="00743C86"/>
    <w:rsid w:val="00743E65"/>
    <w:rsid w:val="00743EDA"/>
    <w:rsid w:val="00743EF0"/>
    <w:rsid w:val="00743F72"/>
    <w:rsid w:val="00744119"/>
    <w:rsid w:val="007442E2"/>
    <w:rsid w:val="007444B7"/>
    <w:rsid w:val="007444F2"/>
    <w:rsid w:val="00745038"/>
    <w:rsid w:val="00745256"/>
    <w:rsid w:val="00745376"/>
    <w:rsid w:val="00745432"/>
    <w:rsid w:val="00745D6A"/>
    <w:rsid w:val="00745E4A"/>
    <w:rsid w:val="00745E85"/>
    <w:rsid w:val="00746246"/>
    <w:rsid w:val="00746276"/>
    <w:rsid w:val="0074631A"/>
    <w:rsid w:val="00746559"/>
    <w:rsid w:val="00746C47"/>
    <w:rsid w:val="00746CAC"/>
    <w:rsid w:val="00746D18"/>
    <w:rsid w:val="00746DB6"/>
    <w:rsid w:val="00746E34"/>
    <w:rsid w:val="00746E72"/>
    <w:rsid w:val="007471ED"/>
    <w:rsid w:val="00747353"/>
    <w:rsid w:val="007473F6"/>
    <w:rsid w:val="007474AB"/>
    <w:rsid w:val="0074755F"/>
    <w:rsid w:val="0075030F"/>
    <w:rsid w:val="0075035B"/>
    <w:rsid w:val="007503D4"/>
    <w:rsid w:val="00751066"/>
    <w:rsid w:val="00751138"/>
    <w:rsid w:val="00751DAA"/>
    <w:rsid w:val="00751F02"/>
    <w:rsid w:val="00751F4F"/>
    <w:rsid w:val="00752142"/>
    <w:rsid w:val="007523F9"/>
    <w:rsid w:val="007524F8"/>
    <w:rsid w:val="0075293A"/>
    <w:rsid w:val="00752C84"/>
    <w:rsid w:val="00753090"/>
    <w:rsid w:val="00753631"/>
    <w:rsid w:val="00754570"/>
    <w:rsid w:val="00754A84"/>
    <w:rsid w:val="007551FF"/>
    <w:rsid w:val="007552E2"/>
    <w:rsid w:val="007557AA"/>
    <w:rsid w:val="00755E66"/>
    <w:rsid w:val="00755F56"/>
    <w:rsid w:val="007565D6"/>
    <w:rsid w:val="007565F1"/>
    <w:rsid w:val="00756625"/>
    <w:rsid w:val="00756AB5"/>
    <w:rsid w:val="00756B93"/>
    <w:rsid w:val="00756D4D"/>
    <w:rsid w:val="007573E8"/>
    <w:rsid w:val="007574DA"/>
    <w:rsid w:val="00757641"/>
    <w:rsid w:val="00757A4E"/>
    <w:rsid w:val="00757A8A"/>
    <w:rsid w:val="00757B2C"/>
    <w:rsid w:val="00757D36"/>
    <w:rsid w:val="00760051"/>
    <w:rsid w:val="007600DC"/>
    <w:rsid w:val="0076027E"/>
    <w:rsid w:val="0076037C"/>
    <w:rsid w:val="00760542"/>
    <w:rsid w:val="007606E9"/>
    <w:rsid w:val="00760947"/>
    <w:rsid w:val="00760C4E"/>
    <w:rsid w:val="007614DE"/>
    <w:rsid w:val="0076170C"/>
    <w:rsid w:val="007619BE"/>
    <w:rsid w:val="00761B77"/>
    <w:rsid w:val="00761D40"/>
    <w:rsid w:val="00762912"/>
    <w:rsid w:val="00762917"/>
    <w:rsid w:val="0076346C"/>
    <w:rsid w:val="0076375C"/>
    <w:rsid w:val="00763AE4"/>
    <w:rsid w:val="00763B35"/>
    <w:rsid w:val="00763B71"/>
    <w:rsid w:val="00763C74"/>
    <w:rsid w:val="00763CF3"/>
    <w:rsid w:val="00763EF6"/>
    <w:rsid w:val="0076411B"/>
    <w:rsid w:val="007642C8"/>
    <w:rsid w:val="007643F3"/>
    <w:rsid w:val="00764CCC"/>
    <w:rsid w:val="00764E20"/>
    <w:rsid w:val="00764EF7"/>
    <w:rsid w:val="00765105"/>
    <w:rsid w:val="007655ED"/>
    <w:rsid w:val="00765877"/>
    <w:rsid w:val="00765B1A"/>
    <w:rsid w:val="00765B78"/>
    <w:rsid w:val="00765BDF"/>
    <w:rsid w:val="00765C48"/>
    <w:rsid w:val="00765D77"/>
    <w:rsid w:val="00766404"/>
    <w:rsid w:val="00766583"/>
    <w:rsid w:val="00766865"/>
    <w:rsid w:val="0076687A"/>
    <w:rsid w:val="007668BE"/>
    <w:rsid w:val="00766A83"/>
    <w:rsid w:val="00767380"/>
    <w:rsid w:val="007673C0"/>
    <w:rsid w:val="007675CA"/>
    <w:rsid w:val="0076776F"/>
    <w:rsid w:val="0076788A"/>
    <w:rsid w:val="007679F3"/>
    <w:rsid w:val="00767FEF"/>
    <w:rsid w:val="00770141"/>
    <w:rsid w:val="007702F9"/>
    <w:rsid w:val="0077042F"/>
    <w:rsid w:val="00770973"/>
    <w:rsid w:val="007709A6"/>
    <w:rsid w:val="00770B64"/>
    <w:rsid w:val="00770F06"/>
    <w:rsid w:val="007710F8"/>
    <w:rsid w:val="0077111C"/>
    <w:rsid w:val="0077146B"/>
    <w:rsid w:val="0077189F"/>
    <w:rsid w:val="007719D8"/>
    <w:rsid w:val="00771E42"/>
    <w:rsid w:val="00772103"/>
    <w:rsid w:val="00772417"/>
    <w:rsid w:val="007729CB"/>
    <w:rsid w:val="00773260"/>
    <w:rsid w:val="00773416"/>
    <w:rsid w:val="007737D3"/>
    <w:rsid w:val="00773BEA"/>
    <w:rsid w:val="00773DAB"/>
    <w:rsid w:val="00773E46"/>
    <w:rsid w:val="007746B1"/>
    <w:rsid w:val="00774733"/>
    <w:rsid w:val="00774D36"/>
    <w:rsid w:val="0077546B"/>
    <w:rsid w:val="00775710"/>
    <w:rsid w:val="00776049"/>
    <w:rsid w:val="007760C3"/>
    <w:rsid w:val="007762C4"/>
    <w:rsid w:val="0077661B"/>
    <w:rsid w:val="0077674C"/>
    <w:rsid w:val="0077677C"/>
    <w:rsid w:val="00777196"/>
    <w:rsid w:val="00777265"/>
    <w:rsid w:val="0077743B"/>
    <w:rsid w:val="0077749B"/>
    <w:rsid w:val="00777625"/>
    <w:rsid w:val="0077780A"/>
    <w:rsid w:val="007778B7"/>
    <w:rsid w:val="00777B67"/>
    <w:rsid w:val="00777E1E"/>
    <w:rsid w:val="0078008D"/>
    <w:rsid w:val="007801A7"/>
    <w:rsid w:val="007801CD"/>
    <w:rsid w:val="00780756"/>
    <w:rsid w:val="00780780"/>
    <w:rsid w:val="0078089B"/>
    <w:rsid w:val="007808E6"/>
    <w:rsid w:val="00780F0E"/>
    <w:rsid w:val="0078136A"/>
    <w:rsid w:val="007816C4"/>
    <w:rsid w:val="00781895"/>
    <w:rsid w:val="0078193E"/>
    <w:rsid w:val="00781C44"/>
    <w:rsid w:val="00781C71"/>
    <w:rsid w:val="00781D97"/>
    <w:rsid w:val="00781E6D"/>
    <w:rsid w:val="007820F1"/>
    <w:rsid w:val="00782388"/>
    <w:rsid w:val="0078248A"/>
    <w:rsid w:val="00782535"/>
    <w:rsid w:val="007829BA"/>
    <w:rsid w:val="00782B14"/>
    <w:rsid w:val="007830BC"/>
    <w:rsid w:val="007839E8"/>
    <w:rsid w:val="00783BD5"/>
    <w:rsid w:val="00783FCB"/>
    <w:rsid w:val="007842C0"/>
    <w:rsid w:val="007843F2"/>
    <w:rsid w:val="00784755"/>
    <w:rsid w:val="00784762"/>
    <w:rsid w:val="0078477A"/>
    <w:rsid w:val="00784924"/>
    <w:rsid w:val="00784A32"/>
    <w:rsid w:val="00784F85"/>
    <w:rsid w:val="00785236"/>
    <w:rsid w:val="007852BF"/>
    <w:rsid w:val="007853C9"/>
    <w:rsid w:val="007853D8"/>
    <w:rsid w:val="007855A2"/>
    <w:rsid w:val="00785725"/>
    <w:rsid w:val="00785A5A"/>
    <w:rsid w:val="00785B43"/>
    <w:rsid w:val="00785D91"/>
    <w:rsid w:val="00785EF8"/>
    <w:rsid w:val="00786024"/>
    <w:rsid w:val="007860D4"/>
    <w:rsid w:val="00786556"/>
    <w:rsid w:val="007866FB"/>
    <w:rsid w:val="00786A15"/>
    <w:rsid w:val="00786CD3"/>
    <w:rsid w:val="007871B7"/>
    <w:rsid w:val="007872EC"/>
    <w:rsid w:val="00787720"/>
    <w:rsid w:val="00787F65"/>
    <w:rsid w:val="00787FD5"/>
    <w:rsid w:val="00790270"/>
    <w:rsid w:val="0079078F"/>
    <w:rsid w:val="0079096B"/>
    <w:rsid w:val="00790993"/>
    <w:rsid w:val="00790CA5"/>
    <w:rsid w:val="00790D54"/>
    <w:rsid w:val="00790D76"/>
    <w:rsid w:val="00790DDA"/>
    <w:rsid w:val="00790E47"/>
    <w:rsid w:val="00791053"/>
    <w:rsid w:val="00791379"/>
    <w:rsid w:val="00791520"/>
    <w:rsid w:val="007917C4"/>
    <w:rsid w:val="00791AD5"/>
    <w:rsid w:val="00791BBE"/>
    <w:rsid w:val="00791CD0"/>
    <w:rsid w:val="00791D17"/>
    <w:rsid w:val="00791E6E"/>
    <w:rsid w:val="007922E3"/>
    <w:rsid w:val="00792578"/>
    <w:rsid w:val="0079260C"/>
    <w:rsid w:val="00792C6A"/>
    <w:rsid w:val="00792DB4"/>
    <w:rsid w:val="00792E38"/>
    <w:rsid w:val="00792F4A"/>
    <w:rsid w:val="00793052"/>
    <w:rsid w:val="007930C0"/>
    <w:rsid w:val="007931D8"/>
    <w:rsid w:val="007933BD"/>
    <w:rsid w:val="00793737"/>
    <w:rsid w:val="00793827"/>
    <w:rsid w:val="00793E60"/>
    <w:rsid w:val="00793E87"/>
    <w:rsid w:val="00794118"/>
    <w:rsid w:val="0079413B"/>
    <w:rsid w:val="007943E4"/>
    <w:rsid w:val="00794580"/>
    <w:rsid w:val="0079491D"/>
    <w:rsid w:val="00794F3B"/>
    <w:rsid w:val="00794F3D"/>
    <w:rsid w:val="00794F4E"/>
    <w:rsid w:val="0079503C"/>
    <w:rsid w:val="007954BC"/>
    <w:rsid w:val="007963C4"/>
    <w:rsid w:val="007966E7"/>
    <w:rsid w:val="00796C94"/>
    <w:rsid w:val="00796F2C"/>
    <w:rsid w:val="00797072"/>
    <w:rsid w:val="007970A9"/>
    <w:rsid w:val="007972C4"/>
    <w:rsid w:val="0079758B"/>
    <w:rsid w:val="00797852"/>
    <w:rsid w:val="007978E1"/>
    <w:rsid w:val="00797D4D"/>
    <w:rsid w:val="007A007B"/>
    <w:rsid w:val="007A01C3"/>
    <w:rsid w:val="007A01CF"/>
    <w:rsid w:val="007A01FA"/>
    <w:rsid w:val="007A0A12"/>
    <w:rsid w:val="007A0BA2"/>
    <w:rsid w:val="007A0DA4"/>
    <w:rsid w:val="007A132D"/>
    <w:rsid w:val="007A1475"/>
    <w:rsid w:val="007A1540"/>
    <w:rsid w:val="007A1661"/>
    <w:rsid w:val="007A1675"/>
    <w:rsid w:val="007A18E9"/>
    <w:rsid w:val="007A18F4"/>
    <w:rsid w:val="007A19B0"/>
    <w:rsid w:val="007A2213"/>
    <w:rsid w:val="007A28B0"/>
    <w:rsid w:val="007A2EF6"/>
    <w:rsid w:val="007A44D0"/>
    <w:rsid w:val="007A4A40"/>
    <w:rsid w:val="007A4E74"/>
    <w:rsid w:val="007A51E6"/>
    <w:rsid w:val="007A5304"/>
    <w:rsid w:val="007A55F3"/>
    <w:rsid w:val="007A5731"/>
    <w:rsid w:val="007A5923"/>
    <w:rsid w:val="007A59D0"/>
    <w:rsid w:val="007A5AB9"/>
    <w:rsid w:val="007A5DFC"/>
    <w:rsid w:val="007A6549"/>
    <w:rsid w:val="007A6597"/>
    <w:rsid w:val="007A66C9"/>
    <w:rsid w:val="007A6F06"/>
    <w:rsid w:val="007A6F5A"/>
    <w:rsid w:val="007A7076"/>
    <w:rsid w:val="007A76CF"/>
    <w:rsid w:val="007A78A1"/>
    <w:rsid w:val="007A7D4B"/>
    <w:rsid w:val="007B0115"/>
    <w:rsid w:val="007B057F"/>
    <w:rsid w:val="007B0598"/>
    <w:rsid w:val="007B0B27"/>
    <w:rsid w:val="007B0B85"/>
    <w:rsid w:val="007B0BDB"/>
    <w:rsid w:val="007B0D68"/>
    <w:rsid w:val="007B0F24"/>
    <w:rsid w:val="007B14BC"/>
    <w:rsid w:val="007B251D"/>
    <w:rsid w:val="007B2828"/>
    <w:rsid w:val="007B2A1B"/>
    <w:rsid w:val="007B2A5C"/>
    <w:rsid w:val="007B2B00"/>
    <w:rsid w:val="007B2B5F"/>
    <w:rsid w:val="007B2D3B"/>
    <w:rsid w:val="007B30FB"/>
    <w:rsid w:val="007B3CDC"/>
    <w:rsid w:val="007B3DFD"/>
    <w:rsid w:val="007B406F"/>
    <w:rsid w:val="007B4076"/>
    <w:rsid w:val="007B4177"/>
    <w:rsid w:val="007B45CF"/>
    <w:rsid w:val="007B4877"/>
    <w:rsid w:val="007B4BB0"/>
    <w:rsid w:val="007B4F58"/>
    <w:rsid w:val="007B528D"/>
    <w:rsid w:val="007B52A0"/>
    <w:rsid w:val="007B631A"/>
    <w:rsid w:val="007B639B"/>
    <w:rsid w:val="007B7066"/>
    <w:rsid w:val="007B737D"/>
    <w:rsid w:val="007B745A"/>
    <w:rsid w:val="007B74BB"/>
    <w:rsid w:val="007B74E4"/>
    <w:rsid w:val="007B77D1"/>
    <w:rsid w:val="007B7A18"/>
    <w:rsid w:val="007B7AFB"/>
    <w:rsid w:val="007C02A6"/>
    <w:rsid w:val="007C02F7"/>
    <w:rsid w:val="007C0807"/>
    <w:rsid w:val="007C0BB2"/>
    <w:rsid w:val="007C0F9B"/>
    <w:rsid w:val="007C10F2"/>
    <w:rsid w:val="007C1363"/>
    <w:rsid w:val="007C1417"/>
    <w:rsid w:val="007C143B"/>
    <w:rsid w:val="007C1473"/>
    <w:rsid w:val="007C152D"/>
    <w:rsid w:val="007C15B6"/>
    <w:rsid w:val="007C17E8"/>
    <w:rsid w:val="007C1906"/>
    <w:rsid w:val="007C1A6C"/>
    <w:rsid w:val="007C1B8A"/>
    <w:rsid w:val="007C1CD9"/>
    <w:rsid w:val="007C1DFF"/>
    <w:rsid w:val="007C1EF2"/>
    <w:rsid w:val="007C2BC4"/>
    <w:rsid w:val="007C2F5A"/>
    <w:rsid w:val="007C3096"/>
    <w:rsid w:val="007C35D5"/>
    <w:rsid w:val="007C361D"/>
    <w:rsid w:val="007C4659"/>
    <w:rsid w:val="007C48DB"/>
    <w:rsid w:val="007C4B84"/>
    <w:rsid w:val="007C4BB8"/>
    <w:rsid w:val="007C5238"/>
    <w:rsid w:val="007C526A"/>
    <w:rsid w:val="007C543C"/>
    <w:rsid w:val="007C58F5"/>
    <w:rsid w:val="007C5B12"/>
    <w:rsid w:val="007C5D5A"/>
    <w:rsid w:val="007C61EE"/>
    <w:rsid w:val="007C6A9B"/>
    <w:rsid w:val="007C6F60"/>
    <w:rsid w:val="007C7809"/>
    <w:rsid w:val="007C7C3C"/>
    <w:rsid w:val="007C7E32"/>
    <w:rsid w:val="007C7EB6"/>
    <w:rsid w:val="007D000A"/>
    <w:rsid w:val="007D004F"/>
    <w:rsid w:val="007D03C1"/>
    <w:rsid w:val="007D0471"/>
    <w:rsid w:val="007D082F"/>
    <w:rsid w:val="007D0861"/>
    <w:rsid w:val="007D0A5F"/>
    <w:rsid w:val="007D0AAE"/>
    <w:rsid w:val="007D0B38"/>
    <w:rsid w:val="007D0CA3"/>
    <w:rsid w:val="007D0D35"/>
    <w:rsid w:val="007D14C0"/>
    <w:rsid w:val="007D16B2"/>
    <w:rsid w:val="007D1BA7"/>
    <w:rsid w:val="007D1F2F"/>
    <w:rsid w:val="007D2295"/>
    <w:rsid w:val="007D25F8"/>
    <w:rsid w:val="007D27A6"/>
    <w:rsid w:val="007D28FC"/>
    <w:rsid w:val="007D2919"/>
    <w:rsid w:val="007D2AB9"/>
    <w:rsid w:val="007D3189"/>
    <w:rsid w:val="007D3264"/>
    <w:rsid w:val="007D3782"/>
    <w:rsid w:val="007D3DA5"/>
    <w:rsid w:val="007D3E56"/>
    <w:rsid w:val="007D3FCC"/>
    <w:rsid w:val="007D45EF"/>
    <w:rsid w:val="007D45F3"/>
    <w:rsid w:val="007D4A97"/>
    <w:rsid w:val="007D4E32"/>
    <w:rsid w:val="007D5440"/>
    <w:rsid w:val="007D5D54"/>
    <w:rsid w:val="007D6154"/>
    <w:rsid w:val="007D6293"/>
    <w:rsid w:val="007D6334"/>
    <w:rsid w:val="007D6346"/>
    <w:rsid w:val="007D6418"/>
    <w:rsid w:val="007D6A5A"/>
    <w:rsid w:val="007D6C6D"/>
    <w:rsid w:val="007D7004"/>
    <w:rsid w:val="007D7164"/>
    <w:rsid w:val="007D7A76"/>
    <w:rsid w:val="007E0267"/>
    <w:rsid w:val="007E06B4"/>
    <w:rsid w:val="007E0935"/>
    <w:rsid w:val="007E0C70"/>
    <w:rsid w:val="007E17F5"/>
    <w:rsid w:val="007E18E9"/>
    <w:rsid w:val="007E1A35"/>
    <w:rsid w:val="007E22A9"/>
    <w:rsid w:val="007E2318"/>
    <w:rsid w:val="007E27BD"/>
    <w:rsid w:val="007E2B6D"/>
    <w:rsid w:val="007E2BBF"/>
    <w:rsid w:val="007E30D1"/>
    <w:rsid w:val="007E3386"/>
    <w:rsid w:val="007E3655"/>
    <w:rsid w:val="007E36CF"/>
    <w:rsid w:val="007E3853"/>
    <w:rsid w:val="007E39F1"/>
    <w:rsid w:val="007E3A88"/>
    <w:rsid w:val="007E4255"/>
    <w:rsid w:val="007E43D9"/>
    <w:rsid w:val="007E4B76"/>
    <w:rsid w:val="007E4BAB"/>
    <w:rsid w:val="007E4FBF"/>
    <w:rsid w:val="007E5088"/>
    <w:rsid w:val="007E53CF"/>
    <w:rsid w:val="007E540C"/>
    <w:rsid w:val="007E5C97"/>
    <w:rsid w:val="007E5FA7"/>
    <w:rsid w:val="007E6222"/>
    <w:rsid w:val="007E658E"/>
    <w:rsid w:val="007E6678"/>
    <w:rsid w:val="007E71AB"/>
    <w:rsid w:val="007E7393"/>
    <w:rsid w:val="007E75DE"/>
    <w:rsid w:val="007E7707"/>
    <w:rsid w:val="007E797A"/>
    <w:rsid w:val="007E79E1"/>
    <w:rsid w:val="007E7CB6"/>
    <w:rsid w:val="007E7D7D"/>
    <w:rsid w:val="007F1017"/>
    <w:rsid w:val="007F1097"/>
    <w:rsid w:val="007F1148"/>
    <w:rsid w:val="007F1164"/>
    <w:rsid w:val="007F152C"/>
    <w:rsid w:val="007F1654"/>
    <w:rsid w:val="007F1A8F"/>
    <w:rsid w:val="007F1B31"/>
    <w:rsid w:val="007F1D9F"/>
    <w:rsid w:val="007F23C6"/>
    <w:rsid w:val="007F27B2"/>
    <w:rsid w:val="007F2D23"/>
    <w:rsid w:val="007F3214"/>
    <w:rsid w:val="007F3339"/>
    <w:rsid w:val="007F3421"/>
    <w:rsid w:val="007F3A65"/>
    <w:rsid w:val="007F3B5C"/>
    <w:rsid w:val="007F3FF2"/>
    <w:rsid w:val="007F4135"/>
    <w:rsid w:val="007F4280"/>
    <w:rsid w:val="007F467F"/>
    <w:rsid w:val="007F46EE"/>
    <w:rsid w:val="007F4742"/>
    <w:rsid w:val="007F474B"/>
    <w:rsid w:val="007F4A0D"/>
    <w:rsid w:val="007F4A3F"/>
    <w:rsid w:val="007F4A42"/>
    <w:rsid w:val="007F4A61"/>
    <w:rsid w:val="007F5500"/>
    <w:rsid w:val="007F5747"/>
    <w:rsid w:val="007F575E"/>
    <w:rsid w:val="007F59DE"/>
    <w:rsid w:val="007F5D1C"/>
    <w:rsid w:val="007F6130"/>
    <w:rsid w:val="007F61C2"/>
    <w:rsid w:val="007F66AD"/>
    <w:rsid w:val="007F67E2"/>
    <w:rsid w:val="007F6B22"/>
    <w:rsid w:val="007F6BFA"/>
    <w:rsid w:val="007F76FB"/>
    <w:rsid w:val="007F78EF"/>
    <w:rsid w:val="007F7B1B"/>
    <w:rsid w:val="007F7B42"/>
    <w:rsid w:val="007F7EF7"/>
    <w:rsid w:val="008008B9"/>
    <w:rsid w:val="0080090F"/>
    <w:rsid w:val="00800ACB"/>
    <w:rsid w:val="00800D14"/>
    <w:rsid w:val="00801C20"/>
    <w:rsid w:val="00801C78"/>
    <w:rsid w:val="0080250A"/>
    <w:rsid w:val="0080253F"/>
    <w:rsid w:val="00802BB0"/>
    <w:rsid w:val="00802C1E"/>
    <w:rsid w:val="00802CCE"/>
    <w:rsid w:val="00803516"/>
    <w:rsid w:val="00803EC7"/>
    <w:rsid w:val="0080419F"/>
    <w:rsid w:val="00804822"/>
    <w:rsid w:val="00804B42"/>
    <w:rsid w:val="00804CB5"/>
    <w:rsid w:val="00804F3B"/>
    <w:rsid w:val="00805142"/>
    <w:rsid w:val="008051FF"/>
    <w:rsid w:val="008055F8"/>
    <w:rsid w:val="00805791"/>
    <w:rsid w:val="00805830"/>
    <w:rsid w:val="00805CD4"/>
    <w:rsid w:val="00805DD4"/>
    <w:rsid w:val="008061A5"/>
    <w:rsid w:val="008062ED"/>
    <w:rsid w:val="008063E0"/>
    <w:rsid w:val="0080651B"/>
    <w:rsid w:val="008065AA"/>
    <w:rsid w:val="008066C2"/>
    <w:rsid w:val="008066CC"/>
    <w:rsid w:val="00806AEB"/>
    <w:rsid w:val="00806B84"/>
    <w:rsid w:val="00807209"/>
    <w:rsid w:val="00807305"/>
    <w:rsid w:val="008073C1"/>
    <w:rsid w:val="00807758"/>
    <w:rsid w:val="00807A8B"/>
    <w:rsid w:val="00807B34"/>
    <w:rsid w:val="0081093B"/>
    <w:rsid w:val="00810B4E"/>
    <w:rsid w:val="00810C04"/>
    <w:rsid w:val="00810C1C"/>
    <w:rsid w:val="00810D1C"/>
    <w:rsid w:val="00810D89"/>
    <w:rsid w:val="00810DD7"/>
    <w:rsid w:val="00810F71"/>
    <w:rsid w:val="008110C3"/>
    <w:rsid w:val="00811383"/>
    <w:rsid w:val="00811462"/>
    <w:rsid w:val="00811828"/>
    <w:rsid w:val="00811F3E"/>
    <w:rsid w:val="00811F4C"/>
    <w:rsid w:val="00812149"/>
    <w:rsid w:val="008123D9"/>
    <w:rsid w:val="00812A99"/>
    <w:rsid w:val="00812C42"/>
    <w:rsid w:val="00812CAC"/>
    <w:rsid w:val="00812E94"/>
    <w:rsid w:val="00812EE3"/>
    <w:rsid w:val="00813535"/>
    <w:rsid w:val="00813715"/>
    <w:rsid w:val="00813A99"/>
    <w:rsid w:val="00813CA3"/>
    <w:rsid w:val="0081457E"/>
    <w:rsid w:val="008147C8"/>
    <w:rsid w:val="00814AAD"/>
    <w:rsid w:val="00814C4A"/>
    <w:rsid w:val="00814CE0"/>
    <w:rsid w:val="00814EB5"/>
    <w:rsid w:val="00815248"/>
    <w:rsid w:val="008152D1"/>
    <w:rsid w:val="0081574D"/>
    <w:rsid w:val="00815BD1"/>
    <w:rsid w:val="00815CC2"/>
    <w:rsid w:val="00815E24"/>
    <w:rsid w:val="00815FB6"/>
    <w:rsid w:val="0081638E"/>
    <w:rsid w:val="008166B1"/>
    <w:rsid w:val="008166EF"/>
    <w:rsid w:val="00816BAF"/>
    <w:rsid w:val="00816D6F"/>
    <w:rsid w:val="00816D86"/>
    <w:rsid w:val="00816E86"/>
    <w:rsid w:val="00817104"/>
    <w:rsid w:val="00817222"/>
    <w:rsid w:val="008177D4"/>
    <w:rsid w:val="00817D99"/>
    <w:rsid w:val="00817E0D"/>
    <w:rsid w:val="008201D1"/>
    <w:rsid w:val="00820365"/>
    <w:rsid w:val="008205B2"/>
    <w:rsid w:val="00820CF5"/>
    <w:rsid w:val="00821DF7"/>
    <w:rsid w:val="00822337"/>
    <w:rsid w:val="0082237C"/>
    <w:rsid w:val="008226F2"/>
    <w:rsid w:val="008229DF"/>
    <w:rsid w:val="00822AC3"/>
    <w:rsid w:val="00822B70"/>
    <w:rsid w:val="00822E52"/>
    <w:rsid w:val="00822F53"/>
    <w:rsid w:val="008231FF"/>
    <w:rsid w:val="00823389"/>
    <w:rsid w:val="0082372D"/>
    <w:rsid w:val="00823A5F"/>
    <w:rsid w:val="00823B8B"/>
    <w:rsid w:val="00823CEA"/>
    <w:rsid w:val="00823ED5"/>
    <w:rsid w:val="00823FEC"/>
    <w:rsid w:val="008241AB"/>
    <w:rsid w:val="008246E9"/>
    <w:rsid w:val="008247D1"/>
    <w:rsid w:val="00824AED"/>
    <w:rsid w:val="00824D31"/>
    <w:rsid w:val="008250D5"/>
    <w:rsid w:val="0082527D"/>
    <w:rsid w:val="0082533F"/>
    <w:rsid w:val="00825652"/>
    <w:rsid w:val="00825751"/>
    <w:rsid w:val="0082594D"/>
    <w:rsid w:val="00825DB4"/>
    <w:rsid w:val="00825ED6"/>
    <w:rsid w:val="0082611E"/>
    <w:rsid w:val="00826133"/>
    <w:rsid w:val="00826272"/>
    <w:rsid w:val="0082629E"/>
    <w:rsid w:val="008262C6"/>
    <w:rsid w:val="008264E2"/>
    <w:rsid w:val="008264EB"/>
    <w:rsid w:val="00826674"/>
    <w:rsid w:val="008267F5"/>
    <w:rsid w:val="008268D6"/>
    <w:rsid w:val="00826A3C"/>
    <w:rsid w:val="00826A9F"/>
    <w:rsid w:val="00826CDB"/>
    <w:rsid w:val="00826DAC"/>
    <w:rsid w:val="00826F70"/>
    <w:rsid w:val="00827387"/>
    <w:rsid w:val="0082782E"/>
    <w:rsid w:val="00827A6D"/>
    <w:rsid w:val="0083015F"/>
    <w:rsid w:val="00830664"/>
    <w:rsid w:val="008306CA"/>
    <w:rsid w:val="008308EF"/>
    <w:rsid w:val="00830BA9"/>
    <w:rsid w:val="00830CB5"/>
    <w:rsid w:val="00830DDB"/>
    <w:rsid w:val="00830F07"/>
    <w:rsid w:val="00830F0C"/>
    <w:rsid w:val="008312DC"/>
    <w:rsid w:val="008313AE"/>
    <w:rsid w:val="00831405"/>
    <w:rsid w:val="008314FA"/>
    <w:rsid w:val="008316E6"/>
    <w:rsid w:val="00831717"/>
    <w:rsid w:val="00831827"/>
    <w:rsid w:val="008319AB"/>
    <w:rsid w:val="00831F83"/>
    <w:rsid w:val="00832211"/>
    <w:rsid w:val="0083229B"/>
    <w:rsid w:val="008322B5"/>
    <w:rsid w:val="00832628"/>
    <w:rsid w:val="008326F0"/>
    <w:rsid w:val="008329F5"/>
    <w:rsid w:val="00832C22"/>
    <w:rsid w:val="00832D72"/>
    <w:rsid w:val="00833031"/>
    <w:rsid w:val="0083307B"/>
    <w:rsid w:val="00833B05"/>
    <w:rsid w:val="00833D08"/>
    <w:rsid w:val="00833D25"/>
    <w:rsid w:val="008341A1"/>
    <w:rsid w:val="008342FC"/>
    <w:rsid w:val="0083445F"/>
    <w:rsid w:val="0083479E"/>
    <w:rsid w:val="00834846"/>
    <w:rsid w:val="008349AD"/>
    <w:rsid w:val="00834E0B"/>
    <w:rsid w:val="008356B6"/>
    <w:rsid w:val="00835827"/>
    <w:rsid w:val="00835E29"/>
    <w:rsid w:val="00835EE0"/>
    <w:rsid w:val="008360D3"/>
    <w:rsid w:val="00836161"/>
    <w:rsid w:val="008361CF"/>
    <w:rsid w:val="00836242"/>
    <w:rsid w:val="008362B4"/>
    <w:rsid w:val="008363C8"/>
    <w:rsid w:val="0083667E"/>
    <w:rsid w:val="00836A01"/>
    <w:rsid w:val="00836C91"/>
    <w:rsid w:val="00837185"/>
    <w:rsid w:val="008372B5"/>
    <w:rsid w:val="008374A7"/>
    <w:rsid w:val="0083778B"/>
    <w:rsid w:val="00837D32"/>
    <w:rsid w:val="00837D89"/>
    <w:rsid w:val="00837FD8"/>
    <w:rsid w:val="00840397"/>
    <w:rsid w:val="00840713"/>
    <w:rsid w:val="0084071C"/>
    <w:rsid w:val="00840AA1"/>
    <w:rsid w:val="00840B0A"/>
    <w:rsid w:val="00840CA2"/>
    <w:rsid w:val="00840CC0"/>
    <w:rsid w:val="00840D38"/>
    <w:rsid w:val="0084124C"/>
    <w:rsid w:val="008413E5"/>
    <w:rsid w:val="00841A08"/>
    <w:rsid w:val="00842359"/>
    <w:rsid w:val="0084250C"/>
    <w:rsid w:val="00842694"/>
    <w:rsid w:val="0084279B"/>
    <w:rsid w:val="00842EFB"/>
    <w:rsid w:val="00842F7E"/>
    <w:rsid w:val="0084374F"/>
    <w:rsid w:val="00843C33"/>
    <w:rsid w:val="00843C5B"/>
    <w:rsid w:val="00843D15"/>
    <w:rsid w:val="00843EBE"/>
    <w:rsid w:val="00844542"/>
    <w:rsid w:val="00844659"/>
    <w:rsid w:val="00844B2E"/>
    <w:rsid w:val="00844E9B"/>
    <w:rsid w:val="00844FA1"/>
    <w:rsid w:val="0084505F"/>
    <w:rsid w:val="00845209"/>
    <w:rsid w:val="008453DF"/>
    <w:rsid w:val="00845F2D"/>
    <w:rsid w:val="0084632B"/>
    <w:rsid w:val="0084649F"/>
    <w:rsid w:val="0084653E"/>
    <w:rsid w:val="00846768"/>
    <w:rsid w:val="00846830"/>
    <w:rsid w:val="0084684E"/>
    <w:rsid w:val="0084696F"/>
    <w:rsid w:val="00847284"/>
    <w:rsid w:val="00847568"/>
    <w:rsid w:val="008475F5"/>
    <w:rsid w:val="008478D8"/>
    <w:rsid w:val="00847AFE"/>
    <w:rsid w:val="00847D36"/>
    <w:rsid w:val="00847DCB"/>
    <w:rsid w:val="00847DF5"/>
    <w:rsid w:val="008501FB"/>
    <w:rsid w:val="0085030B"/>
    <w:rsid w:val="00850715"/>
    <w:rsid w:val="00850C2C"/>
    <w:rsid w:val="00851014"/>
    <w:rsid w:val="0085106A"/>
    <w:rsid w:val="008517C4"/>
    <w:rsid w:val="00851C03"/>
    <w:rsid w:val="00851C74"/>
    <w:rsid w:val="00851C8B"/>
    <w:rsid w:val="00851F77"/>
    <w:rsid w:val="008521A8"/>
    <w:rsid w:val="008524FD"/>
    <w:rsid w:val="008527C1"/>
    <w:rsid w:val="00852992"/>
    <w:rsid w:val="00852B16"/>
    <w:rsid w:val="00852D01"/>
    <w:rsid w:val="00852E98"/>
    <w:rsid w:val="00852F1F"/>
    <w:rsid w:val="00852FA2"/>
    <w:rsid w:val="0085309D"/>
    <w:rsid w:val="008536EB"/>
    <w:rsid w:val="00853B26"/>
    <w:rsid w:val="00853B29"/>
    <w:rsid w:val="008540F4"/>
    <w:rsid w:val="008541C2"/>
    <w:rsid w:val="008545F4"/>
    <w:rsid w:val="00854AB4"/>
    <w:rsid w:val="00854C3E"/>
    <w:rsid w:val="00854CB0"/>
    <w:rsid w:val="00855286"/>
    <w:rsid w:val="00855528"/>
    <w:rsid w:val="00855F41"/>
    <w:rsid w:val="0085603B"/>
    <w:rsid w:val="00856164"/>
    <w:rsid w:val="0085667C"/>
    <w:rsid w:val="008566CF"/>
    <w:rsid w:val="00856897"/>
    <w:rsid w:val="008568AB"/>
    <w:rsid w:val="00856966"/>
    <w:rsid w:val="00856E9A"/>
    <w:rsid w:val="00857689"/>
    <w:rsid w:val="00857E72"/>
    <w:rsid w:val="00860048"/>
    <w:rsid w:val="008601E7"/>
    <w:rsid w:val="0086046F"/>
    <w:rsid w:val="008605EF"/>
    <w:rsid w:val="0086075D"/>
    <w:rsid w:val="008608AF"/>
    <w:rsid w:val="008608D2"/>
    <w:rsid w:val="00860B24"/>
    <w:rsid w:val="00861181"/>
    <w:rsid w:val="0086118C"/>
    <w:rsid w:val="008611D2"/>
    <w:rsid w:val="0086138F"/>
    <w:rsid w:val="0086146C"/>
    <w:rsid w:val="008617F4"/>
    <w:rsid w:val="00861903"/>
    <w:rsid w:val="00861A39"/>
    <w:rsid w:val="00861CE8"/>
    <w:rsid w:val="00861DD3"/>
    <w:rsid w:val="00861E58"/>
    <w:rsid w:val="00861E90"/>
    <w:rsid w:val="008620C7"/>
    <w:rsid w:val="008621DA"/>
    <w:rsid w:val="00862422"/>
    <w:rsid w:val="00862502"/>
    <w:rsid w:val="00862510"/>
    <w:rsid w:val="008625CE"/>
    <w:rsid w:val="0086270C"/>
    <w:rsid w:val="008635AC"/>
    <w:rsid w:val="00863B27"/>
    <w:rsid w:val="00863D45"/>
    <w:rsid w:val="0086417B"/>
    <w:rsid w:val="00864508"/>
    <w:rsid w:val="008649A3"/>
    <w:rsid w:val="008649AF"/>
    <w:rsid w:val="008649C5"/>
    <w:rsid w:val="00864D8E"/>
    <w:rsid w:val="00864EAC"/>
    <w:rsid w:val="00865287"/>
    <w:rsid w:val="008657AC"/>
    <w:rsid w:val="008658B3"/>
    <w:rsid w:val="00865AEB"/>
    <w:rsid w:val="008660D4"/>
    <w:rsid w:val="008660DF"/>
    <w:rsid w:val="008662D9"/>
    <w:rsid w:val="0086644F"/>
    <w:rsid w:val="00866964"/>
    <w:rsid w:val="0086697D"/>
    <w:rsid w:val="00866D40"/>
    <w:rsid w:val="008673DA"/>
    <w:rsid w:val="00867428"/>
    <w:rsid w:val="008676F2"/>
    <w:rsid w:val="00867873"/>
    <w:rsid w:val="00867C13"/>
    <w:rsid w:val="00867FE2"/>
    <w:rsid w:val="008705E9"/>
    <w:rsid w:val="00870704"/>
    <w:rsid w:val="0087091B"/>
    <w:rsid w:val="00870B67"/>
    <w:rsid w:val="00870BCE"/>
    <w:rsid w:val="00871175"/>
    <w:rsid w:val="00871246"/>
    <w:rsid w:val="008712A1"/>
    <w:rsid w:val="00871359"/>
    <w:rsid w:val="00871C26"/>
    <w:rsid w:val="00871F50"/>
    <w:rsid w:val="00871FA9"/>
    <w:rsid w:val="008728E3"/>
    <w:rsid w:val="008728E9"/>
    <w:rsid w:val="008729FF"/>
    <w:rsid w:val="00872D65"/>
    <w:rsid w:val="008732E2"/>
    <w:rsid w:val="00873A96"/>
    <w:rsid w:val="00873ABE"/>
    <w:rsid w:val="00873C5F"/>
    <w:rsid w:val="00873C88"/>
    <w:rsid w:val="008741BE"/>
    <w:rsid w:val="008746ED"/>
    <w:rsid w:val="00874C10"/>
    <w:rsid w:val="0087504C"/>
    <w:rsid w:val="00875144"/>
    <w:rsid w:val="0087525C"/>
    <w:rsid w:val="0087544F"/>
    <w:rsid w:val="00875525"/>
    <w:rsid w:val="0087579F"/>
    <w:rsid w:val="00875CEC"/>
    <w:rsid w:val="00875D62"/>
    <w:rsid w:val="0087610B"/>
    <w:rsid w:val="0087643E"/>
    <w:rsid w:val="00876996"/>
    <w:rsid w:val="00876BE5"/>
    <w:rsid w:val="00876C7C"/>
    <w:rsid w:val="00877054"/>
    <w:rsid w:val="00877204"/>
    <w:rsid w:val="008774AF"/>
    <w:rsid w:val="0087758E"/>
    <w:rsid w:val="008775B4"/>
    <w:rsid w:val="00877F41"/>
    <w:rsid w:val="008802B8"/>
    <w:rsid w:val="008805B9"/>
    <w:rsid w:val="00880F34"/>
    <w:rsid w:val="00880FE6"/>
    <w:rsid w:val="0088102C"/>
    <w:rsid w:val="00881A4F"/>
    <w:rsid w:val="00881A97"/>
    <w:rsid w:val="00881D1D"/>
    <w:rsid w:val="008823EC"/>
    <w:rsid w:val="00882635"/>
    <w:rsid w:val="008826AF"/>
    <w:rsid w:val="00882874"/>
    <w:rsid w:val="00882B1F"/>
    <w:rsid w:val="00882C21"/>
    <w:rsid w:val="00882E05"/>
    <w:rsid w:val="00882F59"/>
    <w:rsid w:val="0088306C"/>
    <w:rsid w:val="0088319E"/>
    <w:rsid w:val="008832A0"/>
    <w:rsid w:val="008834A1"/>
    <w:rsid w:val="00883601"/>
    <w:rsid w:val="00883787"/>
    <w:rsid w:val="00883A3F"/>
    <w:rsid w:val="00883F72"/>
    <w:rsid w:val="0088430F"/>
    <w:rsid w:val="00884498"/>
    <w:rsid w:val="00884CFC"/>
    <w:rsid w:val="008851B0"/>
    <w:rsid w:val="008854A6"/>
    <w:rsid w:val="008859A7"/>
    <w:rsid w:val="00885CEF"/>
    <w:rsid w:val="00885E63"/>
    <w:rsid w:val="0088607C"/>
    <w:rsid w:val="008864F2"/>
    <w:rsid w:val="00886927"/>
    <w:rsid w:val="00886ACD"/>
    <w:rsid w:val="00886CD2"/>
    <w:rsid w:val="00887F57"/>
    <w:rsid w:val="00890021"/>
    <w:rsid w:val="0089014C"/>
    <w:rsid w:val="008912CD"/>
    <w:rsid w:val="008919E4"/>
    <w:rsid w:val="00891E9E"/>
    <w:rsid w:val="00892485"/>
    <w:rsid w:val="008924FA"/>
    <w:rsid w:val="008925D5"/>
    <w:rsid w:val="00892A36"/>
    <w:rsid w:val="00892A9E"/>
    <w:rsid w:val="00892B3D"/>
    <w:rsid w:val="00892B9A"/>
    <w:rsid w:val="00892C76"/>
    <w:rsid w:val="00893239"/>
    <w:rsid w:val="008933C0"/>
    <w:rsid w:val="0089340F"/>
    <w:rsid w:val="008936CC"/>
    <w:rsid w:val="008939AF"/>
    <w:rsid w:val="00893BE3"/>
    <w:rsid w:val="00893DEB"/>
    <w:rsid w:val="00894489"/>
    <w:rsid w:val="00894939"/>
    <w:rsid w:val="008949DF"/>
    <w:rsid w:val="00894E49"/>
    <w:rsid w:val="00895165"/>
    <w:rsid w:val="0089525A"/>
    <w:rsid w:val="00895353"/>
    <w:rsid w:val="0089587B"/>
    <w:rsid w:val="00895A26"/>
    <w:rsid w:val="0089608C"/>
    <w:rsid w:val="00896101"/>
    <w:rsid w:val="00896333"/>
    <w:rsid w:val="008963A5"/>
    <w:rsid w:val="0089678B"/>
    <w:rsid w:val="008969D2"/>
    <w:rsid w:val="00896B95"/>
    <w:rsid w:val="00896C0A"/>
    <w:rsid w:val="00896C7D"/>
    <w:rsid w:val="00896EB7"/>
    <w:rsid w:val="00896F42"/>
    <w:rsid w:val="0089730C"/>
    <w:rsid w:val="00897536"/>
    <w:rsid w:val="0089759D"/>
    <w:rsid w:val="0089797D"/>
    <w:rsid w:val="008A04A6"/>
    <w:rsid w:val="008A04ED"/>
    <w:rsid w:val="008A08DE"/>
    <w:rsid w:val="008A0F3A"/>
    <w:rsid w:val="008A1376"/>
    <w:rsid w:val="008A17BD"/>
    <w:rsid w:val="008A18F7"/>
    <w:rsid w:val="008A1CA3"/>
    <w:rsid w:val="008A1F54"/>
    <w:rsid w:val="008A1FEA"/>
    <w:rsid w:val="008A2387"/>
    <w:rsid w:val="008A25FD"/>
    <w:rsid w:val="008A2818"/>
    <w:rsid w:val="008A2C21"/>
    <w:rsid w:val="008A2F83"/>
    <w:rsid w:val="008A31CA"/>
    <w:rsid w:val="008A31ED"/>
    <w:rsid w:val="008A3363"/>
    <w:rsid w:val="008A3371"/>
    <w:rsid w:val="008A36A7"/>
    <w:rsid w:val="008A3C3E"/>
    <w:rsid w:val="008A45BB"/>
    <w:rsid w:val="008A496C"/>
    <w:rsid w:val="008A4FF6"/>
    <w:rsid w:val="008A5047"/>
    <w:rsid w:val="008A508E"/>
    <w:rsid w:val="008A5762"/>
    <w:rsid w:val="008A5C2E"/>
    <w:rsid w:val="008A5D4B"/>
    <w:rsid w:val="008A5F49"/>
    <w:rsid w:val="008A5F4C"/>
    <w:rsid w:val="008A5FA8"/>
    <w:rsid w:val="008A5FDD"/>
    <w:rsid w:val="008A601A"/>
    <w:rsid w:val="008A60FC"/>
    <w:rsid w:val="008A6566"/>
    <w:rsid w:val="008A6830"/>
    <w:rsid w:val="008A6CFE"/>
    <w:rsid w:val="008A6E90"/>
    <w:rsid w:val="008A703F"/>
    <w:rsid w:val="008A7452"/>
    <w:rsid w:val="008A79DE"/>
    <w:rsid w:val="008A7CC6"/>
    <w:rsid w:val="008A7CDF"/>
    <w:rsid w:val="008A7DAB"/>
    <w:rsid w:val="008A7EC0"/>
    <w:rsid w:val="008B004B"/>
    <w:rsid w:val="008B036B"/>
    <w:rsid w:val="008B037D"/>
    <w:rsid w:val="008B0442"/>
    <w:rsid w:val="008B0CB4"/>
    <w:rsid w:val="008B1160"/>
    <w:rsid w:val="008B1704"/>
    <w:rsid w:val="008B1757"/>
    <w:rsid w:val="008B186C"/>
    <w:rsid w:val="008B2143"/>
    <w:rsid w:val="008B2BC3"/>
    <w:rsid w:val="008B2F1A"/>
    <w:rsid w:val="008B2F22"/>
    <w:rsid w:val="008B2F42"/>
    <w:rsid w:val="008B302D"/>
    <w:rsid w:val="008B379B"/>
    <w:rsid w:val="008B3A53"/>
    <w:rsid w:val="008B3ABE"/>
    <w:rsid w:val="008B3BFA"/>
    <w:rsid w:val="008B3F78"/>
    <w:rsid w:val="008B3F83"/>
    <w:rsid w:val="008B4517"/>
    <w:rsid w:val="008B47D3"/>
    <w:rsid w:val="008B4B5B"/>
    <w:rsid w:val="008B4FDE"/>
    <w:rsid w:val="008B50C5"/>
    <w:rsid w:val="008B5108"/>
    <w:rsid w:val="008B5258"/>
    <w:rsid w:val="008B5699"/>
    <w:rsid w:val="008B57FF"/>
    <w:rsid w:val="008B5DFE"/>
    <w:rsid w:val="008B643E"/>
    <w:rsid w:val="008B6EDD"/>
    <w:rsid w:val="008B7170"/>
    <w:rsid w:val="008B7317"/>
    <w:rsid w:val="008B74BF"/>
    <w:rsid w:val="008B7597"/>
    <w:rsid w:val="008B7C0D"/>
    <w:rsid w:val="008B7D7E"/>
    <w:rsid w:val="008C025B"/>
    <w:rsid w:val="008C0734"/>
    <w:rsid w:val="008C0C6D"/>
    <w:rsid w:val="008C0C86"/>
    <w:rsid w:val="008C101F"/>
    <w:rsid w:val="008C1291"/>
    <w:rsid w:val="008C16CC"/>
    <w:rsid w:val="008C192F"/>
    <w:rsid w:val="008C1ADC"/>
    <w:rsid w:val="008C1B21"/>
    <w:rsid w:val="008C261D"/>
    <w:rsid w:val="008C2A41"/>
    <w:rsid w:val="008C2CAB"/>
    <w:rsid w:val="008C2EAF"/>
    <w:rsid w:val="008C2FB9"/>
    <w:rsid w:val="008C33EB"/>
    <w:rsid w:val="008C33ED"/>
    <w:rsid w:val="008C39CD"/>
    <w:rsid w:val="008C3B85"/>
    <w:rsid w:val="008C3BE3"/>
    <w:rsid w:val="008C3CC9"/>
    <w:rsid w:val="008C4026"/>
    <w:rsid w:val="008C428A"/>
    <w:rsid w:val="008C434C"/>
    <w:rsid w:val="008C43A8"/>
    <w:rsid w:val="008C46D7"/>
    <w:rsid w:val="008C4775"/>
    <w:rsid w:val="008C49EB"/>
    <w:rsid w:val="008C4AB8"/>
    <w:rsid w:val="008C4FBF"/>
    <w:rsid w:val="008C4FC8"/>
    <w:rsid w:val="008C4FD6"/>
    <w:rsid w:val="008C5340"/>
    <w:rsid w:val="008C5805"/>
    <w:rsid w:val="008C626E"/>
    <w:rsid w:val="008C62F6"/>
    <w:rsid w:val="008C63C0"/>
    <w:rsid w:val="008C6780"/>
    <w:rsid w:val="008C67D4"/>
    <w:rsid w:val="008C6915"/>
    <w:rsid w:val="008C720C"/>
    <w:rsid w:val="008C7445"/>
    <w:rsid w:val="008C7689"/>
    <w:rsid w:val="008C7C6A"/>
    <w:rsid w:val="008C7ECB"/>
    <w:rsid w:val="008D000C"/>
    <w:rsid w:val="008D0552"/>
    <w:rsid w:val="008D067F"/>
    <w:rsid w:val="008D099D"/>
    <w:rsid w:val="008D0B95"/>
    <w:rsid w:val="008D0C61"/>
    <w:rsid w:val="008D0E71"/>
    <w:rsid w:val="008D0FCD"/>
    <w:rsid w:val="008D1077"/>
    <w:rsid w:val="008D1698"/>
    <w:rsid w:val="008D1731"/>
    <w:rsid w:val="008D1F08"/>
    <w:rsid w:val="008D1F80"/>
    <w:rsid w:val="008D231C"/>
    <w:rsid w:val="008D2A55"/>
    <w:rsid w:val="008D2A92"/>
    <w:rsid w:val="008D3072"/>
    <w:rsid w:val="008D318E"/>
    <w:rsid w:val="008D339C"/>
    <w:rsid w:val="008D3572"/>
    <w:rsid w:val="008D3726"/>
    <w:rsid w:val="008D3CFC"/>
    <w:rsid w:val="008D4386"/>
    <w:rsid w:val="008D44DD"/>
    <w:rsid w:val="008D45B4"/>
    <w:rsid w:val="008D4755"/>
    <w:rsid w:val="008D4919"/>
    <w:rsid w:val="008D4B3B"/>
    <w:rsid w:val="008D4C3D"/>
    <w:rsid w:val="008D4F23"/>
    <w:rsid w:val="008D54A8"/>
    <w:rsid w:val="008D5525"/>
    <w:rsid w:val="008D566E"/>
    <w:rsid w:val="008D5DF5"/>
    <w:rsid w:val="008D5E50"/>
    <w:rsid w:val="008D6197"/>
    <w:rsid w:val="008D6220"/>
    <w:rsid w:val="008D6261"/>
    <w:rsid w:val="008D636C"/>
    <w:rsid w:val="008D67DC"/>
    <w:rsid w:val="008D6A29"/>
    <w:rsid w:val="008D6CBE"/>
    <w:rsid w:val="008D733C"/>
    <w:rsid w:val="008D747E"/>
    <w:rsid w:val="008E00AB"/>
    <w:rsid w:val="008E053D"/>
    <w:rsid w:val="008E0A70"/>
    <w:rsid w:val="008E0C4C"/>
    <w:rsid w:val="008E0D3C"/>
    <w:rsid w:val="008E0E15"/>
    <w:rsid w:val="008E1053"/>
    <w:rsid w:val="008E16B7"/>
    <w:rsid w:val="008E1B9E"/>
    <w:rsid w:val="008E1BF0"/>
    <w:rsid w:val="008E2322"/>
    <w:rsid w:val="008E241D"/>
    <w:rsid w:val="008E2463"/>
    <w:rsid w:val="008E26C2"/>
    <w:rsid w:val="008E293C"/>
    <w:rsid w:val="008E2AF5"/>
    <w:rsid w:val="008E303E"/>
    <w:rsid w:val="008E3139"/>
    <w:rsid w:val="008E33A8"/>
    <w:rsid w:val="008E346C"/>
    <w:rsid w:val="008E37AA"/>
    <w:rsid w:val="008E3DA6"/>
    <w:rsid w:val="008E3E45"/>
    <w:rsid w:val="008E3FD2"/>
    <w:rsid w:val="008E4191"/>
    <w:rsid w:val="008E43F1"/>
    <w:rsid w:val="008E466C"/>
    <w:rsid w:val="008E4B1B"/>
    <w:rsid w:val="008E4F0A"/>
    <w:rsid w:val="008E510C"/>
    <w:rsid w:val="008E5257"/>
    <w:rsid w:val="008E55AB"/>
    <w:rsid w:val="008E56E1"/>
    <w:rsid w:val="008E57BC"/>
    <w:rsid w:val="008E5D2F"/>
    <w:rsid w:val="008E6018"/>
    <w:rsid w:val="008E6085"/>
    <w:rsid w:val="008E62E9"/>
    <w:rsid w:val="008E6472"/>
    <w:rsid w:val="008E6629"/>
    <w:rsid w:val="008E6794"/>
    <w:rsid w:val="008E68F1"/>
    <w:rsid w:val="008E6B92"/>
    <w:rsid w:val="008E73F3"/>
    <w:rsid w:val="008E77AF"/>
    <w:rsid w:val="008E782C"/>
    <w:rsid w:val="008E7BD7"/>
    <w:rsid w:val="008E7FD9"/>
    <w:rsid w:val="008F0193"/>
    <w:rsid w:val="008F0609"/>
    <w:rsid w:val="008F0C2E"/>
    <w:rsid w:val="008F0E30"/>
    <w:rsid w:val="008F0EEC"/>
    <w:rsid w:val="008F103B"/>
    <w:rsid w:val="008F109A"/>
    <w:rsid w:val="008F1129"/>
    <w:rsid w:val="008F120A"/>
    <w:rsid w:val="008F1741"/>
    <w:rsid w:val="008F2140"/>
    <w:rsid w:val="008F216E"/>
    <w:rsid w:val="008F2330"/>
    <w:rsid w:val="008F27E0"/>
    <w:rsid w:val="008F284D"/>
    <w:rsid w:val="008F290A"/>
    <w:rsid w:val="008F2C84"/>
    <w:rsid w:val="008F2DC2"/>
    <w:rsid w:val="008F2E9A"/>
    <w:rsid w:val="008F2FA5"/>
    <w:rsid w:val="008F32B0"/>
    <w:rsid w:val="008F357F"/>
    <w:rsid w:val="008F3743"/>
    <w:rsid w:val="008F3C68"/>
    <w:rsid w:val="008F3C8D"/>
    <w:rsid w:val="008F3EA0"/>
    <w:rsid w:val="008F4016"/>
    <w:rsid w:val="008F4047"/>
    <w:rsid w:val="008F4182"/>
    <w:rsid w:val="008F48EB"/>
    <w:rsid w:val="008F4D41"/>
    <w:rsid w:val="008F4ECD"/>
    <w:rsid w:val="008F4F0B"/>
    <w:rsid w:val="008F4F7F"/>
    <w:rsid w:val="008F5232"/>
    <w:rsid w:val="008F5546"/>
    <w:rsid w:val="008F56B5"/>
    <w:rsid w:val="008F56F2"/>
    <w:rsid w:val="008F57A0"/>
    <w:rsid w:val="008F5DFB"/>
    <w:rsid w:val="008F628D"/>
    <w:rsid w:val="008F6361"/>
    <w:rsid w:val="008F6A77"/>
    <w:rsid w:val="008F6AEA"/>
    <w:rsid w:val="008F6BCF"/>
    <w:rsid w:val="008F6E9B"/>
    <w:rsid w:val="008F6FF8"/>
    <w:rsid w:val="008F7287"/>
    <w:rsid w:val="008F72BD"/>
    <w:rsid w:val="008F79CA"/>
    <w:rsid w:val="00900035"/>
    <w:rsid w:val="00900163"/>
    <w:rsid w:val="00900255"/>
    <w:rsid w:val="0090026F"/>
    <w:rsid w:val="0090034C"/>
    <w:rsid w:val="00900E46"/>
    <w:rsid w:val="00900E76"/>
    <w:rsid w:val="0090105A"/>
    <w:rsid w:val="009012D2"/>
    <w:rsid w:val="00901532"/>
    <w:rsid w:val="0090184F"/>
    <w:rsid w:val="00901E8B"/>
    <w:rsid w:val="00901FBB"/>
    <w:rsid w:val="00902298"/>
    <w:rsid w:val="00902423"/>
    <w:rsid w:val="0090253C"/>
    <w:rsid w:val="00902777"/>
    <w:rsid w:val="009028FF"/>
    <w:rsid w:val="00902CBD"/>
    <w:rsid w:val="009031B8"/>
    <w:rsid w:val="0090321D"/>
    <w:rsid w:val="0090369D"/>
    <w:rsid w:val="00903B16"/>
    <w:rsid w:val="00903B86"/>
    <w:rsid w:val="00903E14"/>
    <w:rsid w:val="00904058"/>
    <w:rsid w:val="00904082"/>
    <w:rsid w:val="009040BA"/>
    <w:rsid w:val="00904208"/>
    <w:rsid w:val="009043EB"/>
    <w:rsid w:val="009045BC"/>
    <w:rsid w:val="009046A2"/>
    <w:rsid w:val="009046C4"/>
    <w:rsid w:val="00904D9D"/>
    <w:rsid w:val="00905272"/>
    <w:rsid w:val="009054CE"/>
    <w:rsid w:val="00905655"/>
    <w:rsid w:val="00905C49"/>
    <w:rsid w:val="00905D6A"/>
    <w:rsid w:val="00905DE3"/>
    <w:rsid w:val="009062A5"/>
    <w:rsid w:val="00906AD3"/>
    <w:rsid w:val="0090750A"/>
    <w:rsid w:val="00907888"/>
    <w:rsid w:val="00907B57"/>
    <w:rsid w:val="00907E2B"/>
    <w:rsid w:val="00910265"/>
    <w:rsid w:val="0091033B"/>
    <w:rsid w:val="00910650"/>
    <w:rsid w:val="00910937"/>
    <w:rsid w:val="00911246"/>
    <w:rsid w:val="00911272"/>
    <w:rsid w:val="0091136E"/>
    <w:rsid w:val="009115FB"/>
    <w:rsid w:val="00911ACD"/>
    <w:rsid w:val="00911D7B"/>
    <w:rsid w:val="00912041"/>
    <w:rsid w:val="00912308"/>
    <w:rsid w:val="009126D2"/>
    <w:rsid w:val="009128D8"/>
    <w:rsid w:val="0091305D"/>
    <w:rsid w:val="00913114"/>
    <w:rsid w:val="009132C2"/>
    <w:rsid w:val="009135D6"/>
    <w:rsid w:val="0091399C"/>
    <w:rsid w:val="009139DC"/>
    <w:rsid w:val="00913AD7"/>
    <w:rsid w:val="0091403D"/>
    <w:rsid w:val="009140E7"/>
    <w:rsid w:val="0091447C"/>
    <w:rsid w:val="0091485E"/>
    <w:rsid w:val="00914C77"/>
    <w:rsid w:val="00914C9E"/>
    <w:rsid w:val="00914D81"/>
    <w:rsid w:val="00915213"/>
    <w:rsid w:val="009157B6"/>
    <w:rsid w:val="00915826"/>
    <w:rsid w:val="00915BC4"/>
    <w:rsid w:val="00916BC4"/>
    <w:rsid w:val="00917166"/>
    <w:rsid w:val="009172AC"/>
    <w:rsid w:val="009179AE"/>
    <w:rsid w:val="00917D17"/>
    <w:rsid w:val="00917FB3"/>
    <w:rsid w:val="00920424"/>
    <w:rsid w:val="009205EE"/>
    <w:rsid w:val="0092069C"/>
    <w:rsid w:val="00920AF3"/>
    <w:rsid w:val="00920D74"/>
    <w:rsid w:val="00920EB8"/>
    <w:rsid w:val="00920F05"/>
    <w:rsid w:val="00921226"/>
    <w:rsid w:val="0092181F"/>
    <w:rsid w:val="00921D5D"/>
    <w:rsid w:val="00922134"/>
    <w:rsid w:val="009225B3"/>
    <w:rsid w:val="00922AD6"/>
    <w:rsid w:val="00922C49"/>
    <w:rsid w:val="00922E3E"/>
    <w:rsid w:val="00923157"/>
    <w:rsid w:val="0092369B"/>
    <w:rsid w:val="00923B0D"/>
    <w:rsid w:val="00923CA7"/>
    <w:rsid w:val="00923D65"/>
    <w:rsid w:val="00923F13"/>
    <w:rsid w:val="00923F19"/>
    <w:rsid w:val="00923F9B"/>
    <w:rsid w:val="009245E9"/>
    <w:rsid w:val="00924811"/>
    <w:rsid w:val="00924A03"/>
    <w:rsid w:val="00925345"/>
    <w:rsid w:val="00925378"/>
    <w:rsid w:val="009258C7"/>
    <w:rsid w:val="00925A69"/>
    <w:rsid w:val="00925E66"/>
    <w:rsid w:val="009263AA"/>
    <w:rsid w:val="0092675A"/>
    <w:rsid w:val="00926881"/>
    <w:rsid w:val="00926A9A"/>
    <w:rsid w:val="00926B06"/>
    <w:rsid w:val="00926DD6"/>
    <w:rsid w:val="0092752D"/>
    <w:rsid w:val="0092756F"/>
    <w:rsid w:val="00927685"/>
    <w:rsid w:val="0092772D"/>
    <w:rsid w:val="00927C34"/>
    <w:rsid w:val="00930281"/>
    <w:rsid w:val="0093029D"/>
    <w:rsid w:val="00930530"/>
    <w:rsid w:val="0093054D"/>
    <w:rsid w:val="009305D0"/>
    <w:rsid w:val="0093085C"/>
    <w:rsid w:val="00930E00"/>
    <w:rsid w:val="00930F7A"/>
    <w:rsid w:val="00931687"/>
    <w:rsid w:val="00931A01"/>
    <w:rsid w:val="00931E78"/>
    <w:rsid w:val="00932256"/>
    <w:rsid w:val="0093240D"/>
    <w:rsid w:val="009325FF"/>
    <w:rsid w:val="00932607"/>
    <w:rsid w:val="009328FE"/>
    <w:rsid w:val="00932B00"/>
    <w:rsid w:val="00932E97"/>
    <w:rsid w:val="00932F7E"/>
    <w:rsid w:val="00933A48"/>
    <w:rsid w:val="00933A74"/>
    <w:rsid w:val="00933D54"/>
    <w:rsid w:val="00933DA3"/>
    <w:rsid w:val="0093437F"/>
    <w:rsid w:val="0093441F"/>
    <w:rsid w:val="00934912"/>
    <w:rsid w:val="00934B9F"/>
    <w:rsid w:val="00934BDD"/>
    <w:rsid w:val="00934D49"/>
    <w:rsid w:val="009353EC"/>
    <w:rsid w:val="00935787"/>
    <w:rsid w:val="009357DA"/>
    <w:rsid w:val="0093583D"/>
    <w:rsid w:val="00935EE5"/>
    <w:rsid w:val="00936771"/>
    <w:rsid w:val="00936CA8"/>
    <w:rsid w:val="00936F56"/>
    <w:rsid w:val="00937653"/>
    <w:rsid w:val="00937ABF"/>
    <w:rsid w:val="00937CF8"/>
    <w:rsid w:val="00937EB2"/>
    <w:rsid w:val="00937F4D"/>
    <w:rsid w:val="009402C1"/>
    <w:rsid w:val="009406EC"/>
    <w:rsid w:val="0094085F"/>
    <w:rsid w:val="00940A96"/>
    <w:rsid w:val="00940BCE"/>
    <w:rsid w:val="00940D71"/>
    <w:rsid w:val="0094106D"/>
    <w:rsid w:val="0094110D"/>
    <w:rsid w:val="0094114C"/>
    <w:rsid w:val="0094191A"/>
    <w:rsid w:val="009419FC"/>
    <w:rsid w:val="00941A32"/>
    <w:rsid w:val="00941AAE"/>
    <w:rsid w:val="00941C43"/>
    <w:rsid w:val="00941E11"/>
    <w:rsid w:val="00942177"/>
    <w:rsid w:val="00942A2A"/>
    <w:rsid w:val="00942A54"/>
    <w:rsid w:val="00942CE0"/>
    <w:rsid w:val="00943432"/>
    <w:rsid w:val="009436C3"/>
    <w:rsid w:val="00943811"/>
    <w:rsid w:val="00943A6C"/>
    <w:rsid w:val="00943BD1"/>
    <w:rsid w:val="00943C91"/>
    <w:rsid w:val="00943D93"/>
    <w:rsid w:val="00944B5D"/>
    <w:rsid w:val="00944CE6"/>
    <w:rsid w:val="009450B5"/>
    <w:rsid w:val="0094513C"/>
    <w:rsid w:val="0094518B"/>
    <w:rsid w:val="0094519E"/>
    <w:rsid w:val="0094537E"/>
    <w:rsid w:val="009457CE"/>
    <w:rsid w:val="00945932"/>
    <w:rsid w:val="00945A60"/>
    <w:rsid w:val="00946560"/>
    <w:rsid w:val="009465CE"/>
    <w:rsid w:val="009468ED"/>
    <w:rsid w:val="009468F9"/>
    <w:rsid w:val="00946C0E"/>
    <w:rsid w:val="00947147"/>
    <w:rsid w:val="00947630"/>
    <w:rsid w:val="009476A6"/>
    <w:rsid w:val="009478FD"/>
    <w:rsid w:val="0095046D"/>
    <w:rsid w:val="00950B23"/>
    <w:rsid w:val="00950CB4"/>
    <w:rsid w:val="009510A2"/>
    <w:rsid w:val="00951151"/>
    <w:rsid w:val="0095130E"/>
    <w:rsid w:val="0095172C"/>
    <w:rsid w:val="00951B0F"/>
    <w:rsid w:val="00951E35"/>
    <w:rsid w:val="00952005"/>
    <w:rsid w:val="0095229F"/>
    <w:rsid w:val="00952341"/>
    <w:rsid w:val="009524E6"/>
    <w:rsid w:val="00952886"/>
    <w:rsid w:val="00952CEE"/>
    <w:rsid w:val="00952DF4"/>
    <w:rsid w:val="009531BE"/>
    <w:rsid w:val="00953257"/>
    <w:rsid w:val="0095363F"/>
    <w:rsid w:val="009537A3"/>
    <w:rsid w:val="009537DE"/>
    <w:rsid w:val="009539E6"/>
    <w:rsid w:val="00953DB7"/>
    <w:rsid w:val="00953E38"/>
    <w:rsid w:val="00953E6B"/>
    <w:rsid w:val="0095418D"/>
    <w:rsid w:val="009541BD"/>
    <w:rsid w:val="0095428C"/>
    <w:rsid w:val="0095459F"/>
    <w:rsid w:val="00954736"/>
    <w:rsid w:val="009547B9"/>
    <w:rsid w:val="009547C0"/>
    <w:rsid w:val="00954929"/>
    <w:rsid w:val="009549A0"/>
    <w:rsid w:val="00954A78"/>
    <w:rsid w:val="00955421"/>
    <w:rsid w:val="009555C2"/>
    <w:rsid w:val="00955FBF"/>
    <w:rsid w:val="0095677D"/>
    <w:rsid w:val="009569E3"/>
    <w:rsid w:val="00956C87"/>
    <w:rsid w:val="00956E66"/>
    <w:rsid w:val="00956EA3"/>
    <w:rsid w:val="00956F1D"/>
    <w:rsid w:val="0095702F"/>
    <w:rsid w:val="009573F2"/>
    <w:rsid w:val="00957466"/>
    <w:rsid w:val="009575FC"/>
    <w:rsid w:val="00957657"/>
    <w:rsid w:val="00957745"/>
    <w:rsid w:val="00957C2A"/>
    <w:rsid w:val="00957CB4"/>
    <w:rsid w:val="00957D42"/>
    <w:rsid w:val="00957DE4"/>
    <w:rsid w:val="00960420"/>
    <w:rsid w:val="00961AE5"/>
    <w:rsid w:val="00961B94"/>
    <w:rsid w:val="00961C8C"/>
    <w:rsid w:val="00961D2A"/>
    <w:rsid w:val="00961EFE"/>
    <w:rsid w:val="009620C0"/>
    <w:rsid w:val="0096246F"/>
    <w:rsid w:val="0096277F"/>
    <w:rsid w:val="00962858"/>
    <w:rsid w:val="00962C0A"/>
    <w:rsid w:val="00962CB9"/>
    <w:rsid w:val="00962DDF"/>
    <w:rsid w:val="009630F4"/>
    <w:rsid w:val="0096311E"/>
    <w:rsid w:val="009631DA"/>
    <w:rsid w:val="00963243"/>
    <w:rsid w:val="009634DD"/>
    <w:rsid w:val="00963F4A"/>
    <w:rsid w:val="00963FB5"/>
    <w:rsid w:val="00964312"/>
    <w:rsid w:val="00964342"/>
    <w:rsid w:val="00964577"/>
    <w:rsid w:val="00964756"/>
    <w:rsid w:val="0096488F"/>
    <w:rsid w:val="009648C9"/>
    <w:rsid w:val="00964A00"/>
    <w:rsid w:val="00964EB2"/>
    <w:rsid w:val="00965567"/>
    <w:rsid w:val="00965B8A"/>
    <w:rsid w:val="00965C22"/>
    <w:rsid w:val="00966293"/>
    <w:rsid w:val="00966356"/>
    <w:rsid w:val="0096637C"/>
    <w:rsid w:val="00966486"/>
    <w:rsid w:val="009665C8"/>
    <w:rsid w:val="00966728"/>
    <w:rsid w:val="00966E35"/>
    <w:rsid w:val="009675AD"/>
    <w:rsid w:val="00967742"/>
    <w:rsid w:val="00967981"/>
    <w:rsid w:val="00967A12"/>
    <w:rsid w:val="00967B25"/>
    <w:rsid w:val="00967B6E"/>
    <w:rsid w:val="00967B9D"/>
    <w:rsid w:val="00967D9A"/>
    <w:rsid w:val="00970162"/>
    <w:rsid w:val="00970235"/>
    <w:rsid w:val="00970294"/>
    <w:rsid w:val="00970310"/>
    <w:rsid w:val="0097043E"/>
    <w:rsid w:val="00970A71"/>
    <w:rsid w:val="00970B44"/>
    <w:rsid w:val="009717AC"/>
    <w:rsid w:val="00971913"/>
    <w:rsid w:val="009719B6"/>
    <w:rsid w:val="00971A22"/>
    <w:rsid w:val="00971E55"/>
    <w:rsid w:val="0097211B"/>
    <w:rsid w:val="0097254E"/>
    <w:rsid w:val="00972A0C"/>
    <w:rsid w:val="00972AA1"/>
    <w:rsid w:val="00972C71"/>
    <w:rsid w:val="00972E86"/>
    <w:rsid w:val="00972F43"/>
    <w:rsid w:val="009736AA"/>
    <w:rsid w:val="0097378F"/>
    <w:rsid w:val="0097399C"/>
    <w:rsid w:val="00973C8C"/>
    <w:rsid w:val="00973E98"/>
    <w:rsid w:val="00973FD7"/>
    <w:rsid w:val="00974053"/>
    <w:rsid w:val="009740AF"/>
    <w:rsid w:val="0097420B"/>
    <w:rsid w:val="00974761"/>
    <w:rsid w:val="00974C8F"/>
    <w:rsid w:val="00974ED8"/>
    <w:rsid w:val="00975001"/>
    <w:rsid w:val="00975219"/>
    <w:rsid w:val="00975487"/>
    <w:rsid w:val="009754F8"/>
    <w:rsid w:val="009755ED"/>
    <w:rsid w:val="0097565F"/>
    <w:rsid w:val="00975749"/>
    <w:rsid w:val="00975E55"/>
    <w:rsid w:val="00975F6C"/>
    <w:rsid w:val="009763E3"/>
    <w:rsid w:val="009765BC"/>
    <w:rsid w:val="00976AE5"/>
    <w:rsid w:val="00976ED4"/>
    <w:rsid w:val="00977319"/>
    <w:rsid w:val="0097799E"/>
    <w:rsid w:val="00977C5A"/>
    <w:rsid w:val="00977CC1"/>
    <w:rsid w:val="0098050E"/>
    <w:rsid w:val="00980711"/>
    <w:rsid w:val="0098102A"/>
    <w:rsid w:val="00981676"/>
    <w:rsid w:val="009816DB"/>
    <w:rsid w:val="009822F5"/>
    <w:rsid w:val="009823E3"/>
    <w:rsid w:val="00982B9B"/>
    <w:rsid w:val="0098345F"/>
    <w:rsid w:val="00983A6F"/>
    <w:rsid w:val="00983B44"/>
    <w:rsid w:val="00983D45"/>
    <w:rsid w:val="00983DAD"/>
    <w:rsid w:val="00983E57"/>
    <w:rsid w:val="00984126"/>
    <w:rsid w:val="0098460C"/>
    <w:rsid w:val="00984BA6"/>
    <w:rsid w:val="00984E78"/>
    <w:rsid w:val="00985087"/>
    <w:rsid w:val="009853F5"/>
    <w:rsid w:val="009855DE"/>
    <w:rsid w:val="00985C24"/>
    <w:rsid w:val="00985D39"/>
    <w:rsid w:val="009862CB"/>
    <w:rsid w:val="00986342"/>
    <w:rsid w:val="009863FA"/>
    <w:rsid w:val="00986544"/>
    <w:rsid w:val="009865BB"/>
    <w:rsid w:val="0098666A"/>
    <w:rsid w:val="0098675D"/>
    <w:rsid w:val="0098681F"/>
    <w:rsid w:val="009869E3"/>
    <w:rsid w:val="00986B13"/>
    <w:rsid w:val="0098705D"/>
    <w:rsid w:val="00987330"/>
    <w:rsid w:val="009904DE"/>
    <w:rsid w:val="00990678"/>
    <w:rsid w:val="00990702"/>
    <w:rsid w:val="00990C74"/>
    <w:rsid w:val="00990F10"/>
    <w:rsid w:val="0099109D"/>
    <w:rsid w:val="009916C6"/>
    <w:rsid w:val="009917E8"/>
    <w:rsid w:val="00991AF6"/>
    <w:rsid w:val="00991B43"/>
    <w:rsid w:val="00991D1F"/>
    <w:rsid w:val="00992895"/>
    <w:rsid w:val="00992B6E"/>
    <w:rsid w:val="00992BE9"/>
    <w:rsid w:val="00992CCB"/>
    <w:rsid w:val="00992D25"/>
    <w:rsid w:val="0099346B"/>
    <w:rsid w:val="0099425C"/>
    <w:rsid w:val="00994706"/>
    <w:rsid w:val="00994A21"/>
    <w:rsid w:val="00995013"/>
    <w:rsid w:val="009955B2"/>
    <w:rsid w:val="009957A1"/>
    <w:rsid w:val="009959D9"/>
    <w:rsid w:val="009959F8"/>
    <w:rsid w:val="00995A55"/>
    <w:rsid w:val="00995D66"/>
    <w:rsid w:val="00996455"/>
    <w:rsid w:val="00996A87"/>
    <w:rsid w:val="00996B1A"/>
    <w:rsid w:val="00996D18"/>
    <w:rsid w:val="009971A3"/>
    <w:rsid w:val="0099758A"/>
    <w:rsid w:val="00997624"/>
    <w:rsid w:val="00997A44"/>
    <w:rsid w:val="00997D35"/>
    <w:rsid w:val="009A0106"/>
    <w:rsid w:val="009A0154"/>
    <w:rsid w:val="009A0257"/>
    <w:rsid w:val="009A031F"/>
    <w:rsid w:val="009A081F"/>
    <w:rsid w:val="009A08B0"/>
    <w:rsid w:val="009A0952"/>
    <w:rsid w:val="009A0B23"/>
    <w:rsid w:val="009A0C31"/>
    <w:rsid w:val="009A0FD2"/>
    <w:rsid w:val="009A116A"/>
    <w:rsid w:val="009A13B3"/>
    <w:rsid w:val="009A1511"/>
    <w:rsid w:val="009A158E"/>
    <w:rsid w:val="009A1682"/>
    <w:rsid w:val="009A1B6A"/>
    <w:rsid w:val="009A1D1D"/>
    <w:rsid w:val="009A1FCD"/>
    <w:rsid w:val="009A25FC"/>
    <w:rsid w:val="009A27BE"/>
    <w:rsid w:val="009A2AE3"/>
    <w:rsid w:val="009A31B0"/>
    <w:rsid w:val="009A336B"/>
    <w:rsid w:val="009A33A2"/>
    <w:rsid w:val="009A3402"/>
    <w:rsid w:val="009A3623"/>
    <w:rsid w:val="009A371A"/>
    <w:rsid w:val="009A3BD0"/>
    <w:rsid w:val="009A3ED2"/>
    <w:rsid w:val="009A4108"/>
    <w:rsid w:val="009A416C"/>
    <w:rsid w:val="009A41CB"/>
    <w:rsid w:val="009A462B"/>
    <w:rsid w:val="009A468C"/>
    <w:rsid w:val="009A46D0"/>
    <w:rsid w:val="009A4A69"/>
    <w:rsid w:val="009A4B2E"/>
    <w:rsid w:val="009A5079"/>
    <w:rsid w:val="009A589C"/>
    <w:rsid w:val="009A5938"/>
    <w:rsid w:val="009A5DD3"/>
    <w:rsid w:val="009A5EED"/>
    <w:rsid w:val="009A6281"/>
    <w:rsid w:val="009A6959"/>
    <w:rsid w:val="009A6AAB"/>
    <w:rsid w:val="009A6DCD"/>
    <w:rsid w:val="009A7140"/>
    <w:rsid w:val="009A7232"/>
    <w:rsid w:val="009A7F10"/>
    <w:rsid w:val="009B0140"/>
    <w:rsid w:val="009B032C"/>
    <w:rsid w:val="009B0868"/>
    <w:rsid w:val="009B0D37"/>
    <w:rsid w:val="009B0E56"/>
    <w:rsid w:val="009B0E75"/>
    <w:rsid w:val="009B0E86"/>
    <w:rsid w:val="009B1195"/>
    <w:rsid w:val="009B1201"/>
    <w:rsid w:val="009B1308"/>
    <w:rsid w:val="009B1A98"/>
    <w:rsid w:val="009B1CB0"/>
    <w:rsid w:val="009B212A"/>
    <w:rsid w:val="009B227F"/>
    <w:rsid w:val="009B2295"/>
    <w:rsid w:val="009B24A9"/>
    <w:rsid w:val="009B27FF"/>
    <w:rsid w:val="009B2926"/>
    <w:rsid w:val="009B2BD7"/>
    <w:rsid w:val="009B2C89"/>
    <w:rsid w:val="009B2E15"/>
    <w:rsid w:val="009B2E48"/>
    <w:rsid w:val="009B2FE3"/>
    <w:rsid w:val="009B302E"/>
    <w:rsid w:val="009B305B"/>
    <w:rsid w:val="009B308B"/>
    <w:rsid w:val="009B3557"/>
    <w:rsid w:val="009B3570"/>
    <w:rsid w:val="009B3644"/>
    <w:rsid w:val="009B3AD9"/>
    <w:rsid w:val="009B3B71"/>
    <w:rsid w:val="009B3E26"/>
    <w:rsid w:val="009B3F7F"/>
    <w:rsid w:val="009B4AC7"/>
    <w:rsid w:val="009B4D7E"/>
    <w:rsid w:val="009B4EDE"/>
    <w:rsid w:val="009B5145"/>
    <w:rsid w:val="009B523B"/>
    <w:rsid w:val="009B53E9"/>
    <w:rsid w:val="009B5758"/>
    <w:rsid w:val="009B57E6"/>
    <w:rsid w:val="009B5A4F"/>
    <w:rsid w:val="009B5B1C"/>
    <w:rsid w:val="009B5D10"/>
    <w:rsid w:val="009B5E28"/>
    <w:rsid w:val="009B5EB3"/>
    <w:rsid w:val="009B5FC8"/>
    <w:rsid w:val="009B60C7"/>
    <w:rsid w:val="009B61B5"/>
    <w:rsid w:val="009B61B6"/>
    <w:rsid w:val="009B65CF"/>
    <w:rsid w:val="009B6C2E"/>
    <w:rsid w:val="009B6C85"/>
    <w:rsid w:val="009B6D3F"/>
    <w:rsid w:val="009B6D4F"/>
    <w:rsid w:val="009B6D87"/>
    <w:rsid w:val="009B6FBE"/>
    <w:rsid w:val="009B7079"/>
    <w:rsid w:val="009B7E42"/>
    <w:rsid w:val="009C0206"/>
    <w:rsid w:val="009C023A"/>
    <w:rsid w:val="009C02C6"/>
    <w:rsid w:val="009C07B0"/>
    <w:rsid w:val="009C0EFD"/>
    <w:rsid w:val="009C0F3D"/>
    <w:rsid w:val="009C11AF"/>
    <w:rsid w:val="009C1326"/>
    <w:rsid w:val="009C1768"/>
    <w:rsid w:val="009C1C0A"/>
    <w:rsid w:val="009C2035"/>
    <w:rsid w:val="009C2335"/>
    <w:rsid w:val="009C236A"/>
    <w:rsid w:val="009C2E0E"/>
    <w:rsid w:val="009C2F37"/>
    <w:rsid w:val="009C2FE9"/>
    <w:rsid w:val="009C30AE"/>
    <w:rsid w:val="009C3598"/>
    <w:rsid w:val="009C374D"/>
    <w:rsid w:val="009C3830"/>
    <w:rsid w:val="009C38F3"/>
    <w:rsid w:val="009C4004"/>
    <w:rsid w:val="009C4287"/>
    <w:rsid w:val="009C448B"/>
    <w:rsid w:val="009C4661"/>
    <w:rsid w:val="009C466F"/>
    <w:rsid w:val="009C476B"/>
    <w:rsid w:val="009C4B84"/>
    <w:rsid w:val="009C4CFE"/>
    <w:rsid w:val="009C4D4C"/>
    <w:rsid w:val="009C4E67"/>
    <w:rsid w:val="009C4F53"/>
    <w:rsid w:val="009C5174"/>
    <w:rsid w:val="009C53DB"/>
    <w:rsid w:val="009C6071"/>
    <w:rsid w:val="009C60A5"/>
    <w:rsid w:val="009C6247"/>
    <w:rsid w:val="009C6314"/>
    <w:rsid w:val="009C6631"/>
    <w:rsid w:val="009C6CEA"/>
    <w:rsid w:val="009C6F11"/>
    <w:rsid w:val="009C714B"/>
    <w:rsid w:val="009C72C2"/>
    <w:rsid w:val="009C7384"/>
    <w:rsid w:val="009C798D"/>
    <w:rsid w:val="009C7B85"/>
    <w:rsid w:val="009C7CB9"/>
    <w:rsid w:val="009C7E4D"/>
    <w:rsid w:val="009D0146"/>
    <w:rsid w:val="009D0188"/>
    <w:rsid w:val="009D02EC"/>
    <w:rsid w:val="009D08AB"/>
    <w:rsid w:val="009D093C"/>
    <w:rsid w:val="009D0C51"/>
    <w:rsid w:val="009D0D34"/>
    <w:rsid w:val="009D0F7C"/>
    <w:rsid w:val="009D10FF"/>
    <w:rsid w:val="009D118C"/>
    <w:rsid w:val="009D12DA"/>
    <w:rsid w:val="009D145B"/>
    <w:rsid w:val="009D15DF"/>
    <w:rsid w:val="009D161E"/>
    <w:rsid w:val="009D1639"/>
    <w:rsid w:val="009D16BD"/>
    <w:rsid w:val="009D1DB2"/>
    <w:rsid w:val="009D1F91"/>
    <w:rsid w:val="009D241B"/>
    <w:rsid w:val="009D270C"/>
    <w:rsid w:val="009D276A"/>
    <w:rsid w:val="009D286A"/>
    <w:rsid w:val="009D28F4"/>
    <w:rsid w:val="009D2A72"/>
    <w:rsid w:val="009D2E51"/>
    <w:rsid w:val="009D2F14"/>
    <w:rsid w:val="009D3176"/>
    <w:rsid w:val="009D398D"/>
    <w:rsid w:val="009D39AF"/>
    <w:rsid w:val="009D3A73"/>
    <w:rsid w:val="009D3AC0"/>
    <w:rsid w:val="009D3B9C"/>
    <w:rsid w:val="009D3EF8"/>
    <w:rsid w:val="009D430A"/>
    <w:rsid w:val="009D45E8"/>
    <w:rsid w:val="009D47CC"/>
    <w:rsid w:val="009D5123"/>
    <w:rsid w:val="009D567E"/>
    <w:rsid w:val="009D5915"/>
    <w:rsid w:val="009D5B91"/>
    <w:rsid w:val="009D5E8C"/>
    <w:rsid w:val="009D5F1E"/>
    <w:rsid w:val="009D5FB5"/>
    <w:rsid w:val="009D6313"/>
    <w:rsid w:val="009D650E"/>
    <w:rsid w:val="009D65C1"/>
    <w:rsid w:val="009D66F4"/>
    <w:rsid w:val="009D6835"/>
    <w:rsid w:val="009D6A36"/>
    <w:rsid w:val="009D6AF5"/>
    <w:rsid w:val="009D6CDF"/>
    <w:rsid w:val="009D6DE1"/>
    <w:rsid w:val="009D72A5"/>
    <w:rsid w:val="009D731F"/>
    <w:rsid w:val="009D74F4"/>
    <w:rsid w:val="009D76F8"/>
    <w:rsid w:val="009D792E"/>
    <w:rsid w:val="009D7BC9"/>
    <w:rsid w:val="009E0198"/>
    <w:rsid w:val="009E05FD"/>
    <w:rsid w:val="009E0A20"/>
    <w:rsid w:val="009E0ACA"/>
    <w:rsid w:val="009E0BE3"/>
    <w:rsid w:val="009E0C41"/>
    <w:rsid w:val="009E0DFE"/>
    <w:rsid w:val="009E11DA"/>
    <w:rsid w:val="009E11EC"/>
    <w:rsid w:val="009E194B"/>
    <w:rsid w:val="009E1964"/>
    <w:rsid w:val="009E1C78"/>
    <w:rsid w:val="009E1E08"/>
    <w:rsid w:val="009E1E18"/>
    <w:rsid w:val="009E217A"/>
    <w:rsid w:val="009E2326"/>
    <w:rsid w:val="009E23EA"/>
    <w:rsid w:val="009E2B6C"/>
    <w:rsid w:val="009E2CF5"/>
    <w:rsid w:val="009E2E5E"/>
    <w:rsid w:val="009E313C"/>
    <w:rsid w:val="009E3355"/>
    <w:rsid w:val="009E3383"/>
    <w:rsid w:val="009E342F"/>
    <w:rsid w:val="009E34E9"/>
    <w:rsid w:val="009E3830"/>
    <w:rsid w:val="009E392A"/>
    <w:rsid w:val="009E3C9A"/>
    <w:rsid w:val="009E3F0B"/>
    <w:rsid w:val="009E3F3A"/>
    <w:rsid w:val="009E413A"/>
    <w:rsid w:val="009E4C07"/>
    <w:rsid w:val="009E4D36"/>
    <w:rsid w:val="009E4F8D"/>
    <w:rsid w:val="009E50C5"/>
    <w:rsid w:val="009E5309"/>
    <w:rsid w:val="009E5AD5"/>
    <w:rsid w:val="009E5D38"/>
    <w:rsid w:val="009E607F"/>
    <w:rsid w:val="009E61D3"/>
    <w:rsid w:val="009E654A"/>
    <w:rsid w:val="009E68FF"/>
    <w:rsid w:val="009E6AE0"/>
    <w:rsid w:val="009E746F"/>
    <w:rsid w:val="009E7540"/>
    <w:rsid w:val="009E75E8"/>
    <w:rsid w:val="009E75F5"/>
    <w:rsid w:val="009E7B88"/>
    <w:rsid w:val="009F0310"/>
    <w:rsid w:val="009F034B"/>
    <w:rsid w:val="009F0A3F"/>
    <w:rsid w:val="009F0C9C"/>
    <w:rsid w:val="009F130B"/>
    <w:rsid w:val="009F13B0"/>
    <w:rsid w:val="009F1B15"/>
    <w:rsid w:val="009F20AA"/>
    <w:rsid w:val="009F2696"/>
    <w:rsid w:val="009F2A2A"/>
    <w:rsid w:val="009F2D23"/>
    <w:rsid w:val="009F2E01"/>
    <w:rsid w:val="009F37E0"/>
    <w:rsid w:val="009F3850"/>
    <w:rsid w:val="009F3B92"/>
    <w:rsid w:val="009F3E93"/>
    <w:rsid w:val="009F3FA2"/>
    <w:rsid w:val="009F3FEB"/>
    <w:rsid w:val="009F4159"/>
    <w:rsid w:val="009F4161"/>
    <w:rsid w:val="009F4311"/>
    <w:rsid w:val="009F4949"/>
    <w:rsid w:val="009F4AEC"/>
    <w:rsid w:val="009F4B02"/>
    <w:rsid w:val="009F4DEA"/>
    <w:rsid w:val="009F53E5"/>
    <w:rsid w:val="009F550E"/>
    <w:rsid w:val="009F5633"/>
    <w:rsid w:val="009F5751"/>
    <w:rsid w:val="009F5879"/>
    <w:rsid w:val="009F5CC8"/>
    <w:rsid w:val="009F5D14"/>
    <w:rsid w:val="009F5D21"/>
    <w:rsid w:val="009F5D96"/>
    <w:rsid w:val="009F6B10"/>
    <w:rsid w:val="009F70FA"/>
    <w:rsid w:val="009F7744"/>
    <w:rsid w:val="009F7BF6"/>
    <w:rsid w:val="00A0044A"/>
    <w:rsid w:val="00A005EB"/>
    <w:rsid w:val="00A0107A"/>
    <w:rsid w:val="00A01184"/>
    <w:rsid w:val="00A011AE"/>
    <w:rsid w:val="00A01212"/>
    <w:rsid w:val="00A0124C"/>
    <w:rsid w:val="00A014A3"/>
    <w:rsid w:val="00A01B16"/>
    <w:rsid w:val="00A02CBA"/>
    <w:rsid w:val="00A02D62"/>
    <w:rsid w:val="00A02FCE"/>
    <w:rsid w:val="00A03135"/>
    <w:rsid w:val="00A031E1"/>
    <w:rsid w:val="00A03465"/>
    <w:rsid w:val="00A03514"/>
    <w:rsid w:val="00A0381B"/>
    <w:rsid w:val="00A03973"/>
    <w:rsid w:val="00A03D43"/>
    <w:rsid w:val="00A04380"/>
    <w:rsid w:val="00A04615"/>
    <w:rsid w:val="00A04CBF"/>
    <w:rsid w:val="00A04D2E"/>
    <w:rsid w:val="00A04EE6"/>
    <w:rsid w:val="00A04F1F"/>
    <w:rsid w:val="00A051E8"/>
    <w:rsid w:val="00A05411"/>
    <w:rsid w:val="00A05831"/>
    <w:rsid w:val="00A0583D"/>
    <w:rsid w:val="00A05ABD"/>
    <w:rsid w:val="00A05B48"/>
    <w:rsid w:val="00A06248"/>
    <w:rsid w:val="00A06554"/>
    <w:rsid w:val="00A06C27"/>
    <w:rsid w:val="00A073F7"/>
    <w:rsid w:val="00A074F3"/>
    <w:rsid w:val="00A07856"/>
    <w:rsid w:val="00A07A97"/>
    <w:rsid w:val="00A1055D"/>
    <w:rsid w:val="00A1093E"/>
    <w:rsid w:val="00A10A73"/>
    <w:rsid w:val="00A10BE1"/>
    <w:rsid w:val="00A10CFE"/>
    <w:rsid w:val="00A112F4"/>
    <w:rsid w:val="00A113BD"/>
    <w:rsid w:val="00A11671"/>
    <w:rsid w:val="00A11817"/>
    <w:rsid w:val="00A11A87"/>
    <w:rsid w:val="00A11CD0"/>
    <w:rsid w:val="00A12246"/>
    <w:rsid w:val="00A12279"/>
    <w:rsid w:val="00A12EF9"/>
    <w:rsid w:val="00A13053"/>
    <w:rsid w:val="00A13948"/>
    <w:rsid w:val="00A13EE5"/>
    <w:rsid w:val="00A14013"/>
    <w:rsid w:val="00A1415F"/>
    <w:rsid w:val="00A1465F"/>
    <w:rsid w:val="00A14A0A"/>
    <w:rsid w:val="00A14C19"/>
    <w:rsid w:val="00A14D08"/>
    <w:rsid w:val="00A14D3E"/>
    <w:rsid w:val="00A14F86"/>
    <w:rsid w:val="00A1534D"/>
    <w:rsid w:val="00A1555B"/>
    <w:rsid w:val="00A155C5"/>
    <w:rsid w:val="00A156F2"/>
    <w:rsid w:val="00A1596C"/>
    <w:rsid w:val="00A15A40"/>
    <w:rsid w:val="00A15CA5"/>
    <w:rsid w:val="00A15D38"/>
    <w:rsid w:val="00A15FEC"/>
    <w:rsid w:val="00A160A9"/>
    <w:rsid w:val="00A16257"/>
    <w:rsid w:val="00A1696D"/>
    <w:rsid w:val="00A16AD8"/>
    <w:rsid w:val="00A172CF"/>
    <w:rsid w:val="00A174B8"/>
    <w:rsid w:val="00A1758A"/>
    <w:rsid w:val="00A1783E"/>
    <w:rsid w:val="00A17C58"/>
    <w:rsid w:val="00A20E0F"/>
    <w:rsid w:val="00A21C2B"/>
    <w:rsid w:val="00A21CF3"/>
    <w:rsid w:val="00A21D08"/>
    <w:rsid w:val="00A21E4D"/>
    <w:rsid w:val="00A21E5D"/>
    <w:rsid w:val="00A2298D"/>
    <w:rsid w:val="00A229C9"/>
    <w:rsid w:val="00A22C6B"/>
    <w:rsid w:val="00A22D22"/>
    <w:rsid w:val="00A22EA0"/>
    <w:rsid w:val="00A22F8D"/>
    <w:rsid w:val="00A231D9"/>
    <w:rsid w:val="00A232BA"/>
    <w:rsid w:val="00A235B1"/>
    <w:rsid w:val="00A239F3"/>
    <w:rsid w:val="00A23A35"/>
    <w:rsid w:val="00A24079"/>
    <w:rsid w:val="00A24325"/>
    <w:rsid w:val="00A2454A"/>
    <w:rsid w:val="00A246CF"/>
    <w:rsid w:val="00A24956"/>
    <w:rsid w:val="00A24AB9"/>
    <w:rsid w:val="00A24BB3"/>
    <w:rsid w:val="00A24BC6"/>
    <w:rsid w:val="00A24CEA"/>
    <w:rsid w:val="00A24F9C"/>
    <w:rsid w:val="00A258C7"/>
    <w:rsid w:val="00A259D4"/>
    <w:rsid w:val="00A25B2C"/>
    <w:rsid w:val="00A25E5B"/>
    <w:rsid w:val="00A25F50"/>
    <w:rsid w:val="00A26086"/>
    <w:rsid w:val="00A26346"/>
    <w:rsid w:val="00A2653D"/>
    <w:rsid w:val="00A26568"/>
    <w:rsid w:val="00A26A94"/>
    <w:rsid w:val="00A26AB1"/>
    <w:rsid w:val="00A271A2"/>
    <w:rsid w:val="00A271E3"/>
    <w:rsid w:val="00A27A63"/>
    <w:rsid w:val="00A27AEC"/>
    <w:rsid w:val="00A27CDC"/>
    <w:rsid w:val="00A27F8D"/>
    <w:rsid w:val="00A27F93"/>
    <w:rsid w:val="00A3039B"/>
    <w:rsid w:val="00A30416"/>
    <w:rsid w:val="00A307A6"/>
    <w:rsid w:val="00A30AAE"/>
    <w:rsid w:val="00A30F70"/>
    <w:rsid w:val="00A30FA1"/>
    <w:rsid w:val="00A31233"/>
    <w:rsid w:val="00A316C2"/>
    <w:rsid w:val="00A318AF"/>
    <w:rsid w:val="00A31A77"/>
    <w:rsid w:val="00A31A9D"/>
    <w:rsid w:val="00A31E18"/>
    <w:rsid w:val="00A31F65"/>
    <w:rsid w:val="00A32060"/>
    <w:rsid w:val="00A320CC"/>
    <w:rsid w:val="00A320DB"/>
    <w:rsid w:val="00A321C9"/>
    <w:rsid w:val="00A321EC"/>
    <w:rsid w:val="00A32407"/>
    <w:rsid w:val="00A3261F"/>
    <w:rsid w:val="00A32CE2"/>
    <w:rsid w:val="00A32D84"/>
    <w:rsid w:val="00A32F14"/>
    <w:rsid w:val="00A33648"/>
    <w:rsid w:val="00A33776"/>
    <w:rsid w:val="00A33AE1"/>
    <w:rsid w:val="00A33B5C"/>
    <w:rsid w:val="00A33BBA"/>
    <w:rsid w:val="00A3464B"/>
    <w:rsid w:val="00A34859"/>
    <w:rsid w:val="00A34AEE"/>
    <w:rsid w:val="00A34DBE"/>
    <w:rsid w:val="00A34F9F"/>
    <w:rsid w:val="00A3504E"/>
    <w:rsid w:val="00A35390"/>
    <w:rsid w:val="00A35B32"/>
    <w:rsid w:val="00A35B51"/>
    <w:rsid w:val="00A35CDE"/>
    <w:rsid w:val="00A35D16"/>
    <w:rsid w:val="00A35E47"/>
    <w:rsid w:val="00A35F2A"/>
    <w:rsid w:val="00A360E1"/>
    <w:rsid w:val="00A364F2"/>
    <w:rsid w:val="00A366BC"/>
    <w:rsid w:val="00A36A19"/>
    <w:rsid w:val="00A36A99"/>
    <w:rsid w:val="00A377AB"/>
    <w:rsid w:val="00A37BCD"/>
    <w:rsid w:val="00A4000B"/>
    <w:rsid w:val="00A40194"/>
    <w:rsid w:val="00A4030D"/>
    <w:rsid w:val="00A40605"/>
    <w:rsid w:val="00A40922"/>
    <w:rsid w:val="00A40B58"/>
    <w:rsid w:val="00A40C40"/>
    <w:rsid w:val="00A40E08"/>
    <w:rsid w:val="00A4101C"/>
    <w:rsid w:val="00A41615"/>
    <w:rsid w:val="00A41797"/>
    <w:rsid w:val="00A41852"/>
    <w:rsid w:val="00A4195D"/>
    <w:rsid w:val="00A41C87"/>
    <w:rsid w:val="00A423C6"/>
    <w:rsid w:val="00A42619"/>
    <w:rsid w:val="00A4274B"/>
    <w:rsid w:val="00A42ACC"/>
    <w:rsid w:val="00A42C3B"/>
    <w:rsid w:val="00A4300F"/>
    <w:rsid w:val="00A432BC"/>
    <w:rsid w:val="00A432D4"/>
    <w:rsid w:val="00A437E5"/>
    <w:rsid w:val="00A439DB"/>
    <w:rsid w:val="00A43C59"/>
    <w:rsid w:val="00A43E04"/>
    <w:rsid w:val="00A43E4D"/>
    <w:rsid w:val="00A43E82"/>
    <w:rsid w:val="00A43E90"/>
    <w:rsid w:val="00A44035"/>
    <w:rsid w:val="00A440C5"/>
    <w:rsid w:val="00A440CE"/>
    <w:rsid w:val="00A44595"/>
    <w:rsid w:val="00A44705"/>
    <w:rsid w:val="00A448E9"/>
    <w:rsid w:val="00A45401"/>
    <w:rsid w:val="00A454A0"/>
    <w:rsid w:val="00A455A0"/>
    <w:rsid w:val="00A4566C"/>
    <w:rsid w:val="00A4567A"/>
    <w:rsid w:val="00A45C7F"/>
    <w:rsid w:val="00A45E04"/>
    <w:rsid w:val="00A46147"/>
    <w:rsid w:val="00A46621"/>
    <w:rsid w:val="00A46D1F"/>
    <w:rsid w:val="00A46F31"/>
    <w:rsid w:val="00A46FE6"/>
    <w:rsid w:val="00A47313"/>
    <w:rsid w:val="00A4743A"/>
    <w:rsid w:val="00A476A5"/>
    <w:rsid w:val="00A4786B"/>
    <w:rsid w:val="00A50103"/>
    <w:rsid w:val="00A50A52"/>
    <w:rsid w:val="00A50DFF"/>
    <w:rsid w:val="00A50ECD"/>
    <w:rsid w:val="00A51731"/>
    <w:rsid w:val="00A517B7"/>
    <w:rsid w:val="00A518F3"/>
    <w:rsid w:val="00A519CC"/>
    <w:rsid w:val="00A51BD4"/>
    <w:rsid w:val="00A51DE8"/>
    <w:rsid w:val="00A51E77"/>
    <w:rsid w:val="00A52155"/>
    <w:rsid w:val="00A523E5"/>
    <w:rsid w:val="00A5251B"/>
    <w:rsid w:val="00A52533"/>
    <w:rsid w:val="00A526D2"/>
    <w:rsid w:val="00A52729"/>
    <w:rsid w:val="00A52DC4"/>
    <w:rsid w:val="00A52EDE"/>
    <w:rsid w:val="00A53675"/>
    <w:rsid w:val="00A53759"/>
    <w:rsid w:val="00A537F4"/>
    <w:rsid w:val="00A53906"/>
    <w:rsid w:val="00A541D9"/>
    <w:rsid w:val="00A544F6"/>
    <w:rsid w:val="00A548F9"/>
    <w:rsid w:val="00A54BA5"/>
    <w:rsid w:val="00A54C66"/>
    <w:rsid w:val="00A55480"/>
    <w:rsid w:val="00A55926"/>
    <w:rsid w:val="00A559D4"/>
    <w:rsid w:val="00A56082"/>
    <w:rsid w:val="00A564D7"/>
    <w:rsid w:val="00A56B6A"/>
    <w:rsid w:val="00A56B8A"/>
    <w:rsid w:val="00A56C28"/>
    <w:rsid w:val="00A57334"/>
    <w:rsid w:val="00A573B2"/>
    <w:rsid w:val="00A57875"/>
    <w:rsid w:val="00A578DC"/>
    <w:rsid w:val="00A57FD3"/>
    <w:rsid w:val="00A60117"/>
    <w:rsid w:val="00A6044C"/>
    <w:rsid w:val="00A6045D"/>
    <w:rsid w:val="00A60751"/>
    <w:rsid w:val="00A607D7"/>
    <w:rsid w:val="00A608A0"/>
    <w:rsid w:val="00A609E0"/>
    <w:rsid w:val="00A60B9A"/>
    <w:rsid w:val="00A60E91"/>
    <w:rsid w:val="00A60EA9"/>
    <w:rsid w:val="00A614B8"/>
    <w:rsid w:val="00A61A79"/>
    <w:rsid w:val="00A61D13"/>
    <w:rsid w:val="00A61FD5"/>
    <w:rsid w:val="00A6264F"/>
    <w:rsid w:val="00A62A8C"/>
    <w:rsid w:val="00A62AD9"/>
    <w:rsid w:val="00A62F4E"/>
    <w:rsid w:val="00A63094"/>
    <w:rsid w:val="00A632B0"/>
    <w:rsid w:val="00A63A47"/>
    <w:rsid w:val="00A63BB5"/>
    <w:rsid w:val="00A640CC"/>
    <w:rsid w:val="00A64887"/>
    <w:rsid w:val="00A64A5D"/>
    <w:rsid w:val="00A64B38"/>
    <w:rsid w:val="00A64E48"/>
    <w:rsid w:val="00A6508B"/>
    <w:rsid w:val="00A65192"/>
    <w:rsid w:val="00A654B5"/>
    <w:rsid w:val="00A65C83"/>
    <w:rsid w:val="00A65C8A"/>
    <w:rsid w:val="00A65D40"/>
    <w:rsid w:val="00A65ED0"/>
    <w:rsid w:val="00A660D8"/>
    <w:rsid w:val="00A66123"/>
    <w:rsid w:val="00A6623E"/>
    <w:rsid w:val="00A66642"/>
    <w:rsid w:val="00A66D49"/>
    <w:rsid w:val="00A66EE4"/>
    <w:rsid w:val="00A6708B"/>
    <w:rsid w:val="00A6725B"/>
    <w:rsid w:val="00A67271"/>
    <w:rsid w:val="00A6770B"/>
    <w:rsid w:val="00A677C2"/>
    <w:rsid w:val="00A67834"/>
    <w:rsid w:val="00A678A7"/>
    <w:rsid w:val="00A67C06"/>
    <w:rsid w:val="00A67E34"/>
    <w:rsid w:val="00A7001D"/>
    <w:rsid w:val="00A70489"/>
    <w:rsid w:val="00A70605"/>
    <w:rsid w:val="00A706D0"/>
    <w:rsid w:val="00A70CC3"/>
    <w:rsid w:val="00A70DED"/>
    <w:rsid w:val="00A70E08"/>
    <w:rsid w:val="00A70EF2"/>
    <w:rsid w:val="00A7105A"/>
    <w:rsid w:val="00A712C1"/>
    <w:rsid w:val="00A7144D"/>
    <w:rsid w:val="00A715D7"/>
    <w:rsid w:val="00A71C9D"/>
    <w:rsid w:val="00A7202B"/>
    <w:rsid w:val="00A723E4"/>
    <w:rsid w:val="00A72712"/>
    <w:rsid w:val="00A72CEF"/>
    <w:rsid w:val="00A72E52"/>
    <w:rsid w:val="00A73134"/>
    <w:rsid w:val="00A7314C"/>
    <w:rsid w:val="00A73704"/>
    <w:rsid w:val="00A73A9F"/>
    <w:rsid w:val="00A73B7D"/>
    <w:rsid w:val="00A73CB8"/>
    <w:rsid w:val="00A73D32"/>
    <w:rsid w:val="00A7409B"/>
    <w:rsid w:val="00A74514"/>
    <w:rsid w:val="00A74644"/>
    <w:rsid w:val="00A74E88"/>
    <w:rsid w:val="00A757C3"/>
    <w:rsid w:val="00A75AAD"/>
    <w:rsid w:val="00A76246"/>
    <w:rsid w:val="00A7632D"/>
    <w:rsid w:val="00A763BA"/>
    <w:rsid w:val="00A765A2"/>
    <w:rsid w:val="00A765E2"/>
    <w:rsid w:val="00A76A6A"/>
    <w:rsid w:val="00A76AD7"/>
    <w:rsid w:val="00A76AF5"/>
    <w:rsid w:val="00A7720D"/>
    <w:rsid w:val="00A77256"/>
    <w:rsid w:val="00A7734B"/>
    <w:rsid w:val="00A77423"/>
    <w:rsid w:val="00A774F1"/>
    <w:rsid w:val="00A77763"/>
    <w:rsid w:val="00A777B2"/>
    <w:rsid w:val="00A77C1D"/>
    <w:rsid w:val="00A77CC6"/>
    <w:rsid w:val="00A800F7"/>
    <w:rsid w:val="00A8020D"/>
    <w:rsid w:val="00A80237"/>
    <w:rsid w:val="00A80A9D"/>
    <w:rsid w:val="00A80B14"/>
    <w:rsid w:val="00A80EFE"/>
    <w:rsid w:val="00A8195D"/>
    <w:rsid w:val="00A81B0E"/>
    <w:rsid w:val="00A81C15"/>
    <w:rsid w:val="00A81FE1"/>
    <w:rsid w:val="00A821DC"/>
    <w:rsid w:val="00A822F4"/>
    <w:rsid w:val="00A82590"/>
    <w:rsid w:val="00A82691"/>
    <w:rsid w:val="00A82D1C"/>
    <w:rsid w:val="00A830E0"/>
    <w:rsid w:val="00A836B2"/>
    <w:rsid w:val="00A8392C"/>
    <w:rsid w:val="00A83CA6"/>
    <w:rsid w:val="00A83FF8"/>
    <w:rsid w:val="00A84029"/>
    <w:rsid w:val="00A84249"/>
    <w:rsid w:val="00A84587"/>
    <w:rsid w:val="00A84A7C"/>
    <w:rsid w:val="00A84EB7"/>
    <w:rsid w:val="00A84F71"/>
    <w:rsid w:val="00A851B1"/>
    <w:rsid w:val="00A854F1"/>
    <w:rsid w:val="00A857F4"/>
    <w:rsid w:val="00A85968"/>
    <w:rsid w:val="00A8623A"/>
    <w:rsid w:val="00A862F4"/>
    <w:rsid w:val="00A864A9"/>
    <w:rsid w:val="00A86545"/>
    <w:rsid w:val="00A86E8B"/>
    <w:rsid w:val="00A87164"/>
    <w:rsid w:val="00A87295"/>
    <w:rsid w:val="00A875A2"/>
    <w:rsid w:val="00A875BB"/>
    <w:rsid w:val="00A87666"/>
    <w:rsid w:val="00A879B5"/>
    <w:rsid w:val="00A87ABA"/>
    <w:rsid w:val="00A87C5A"/>
    <w:rsid w:val="00A87CFD"/>
    <w:rsid w:val="00A87EA9"/>
    <w:rsid w:val="00A87FD4"/>
    <w:rsid w:val="00A90103"/>
    <w:rsid w:val="00A90610"/>
    <w:rsid w:val="00A9090A"/>
    <w:rsid w:val="00A90B58"/>
    <w:rsid w:val="00A90BEC"/>
    <w:rsid w:val="00A90C19"/>
    <w:rsid w:val="00A90C5A"/>
    <w:rsid w:val="00A90D16"/>
    <w:rsid w:val="00A90F12"/>
    <w:rsid w:val="00A9102F"/>
    <w:rsid w:val="00A9107D"/>
    <w:rsid w:val="00A9119B"/>
    <w:rsid w:val="00A911B7"/>
    <w:rsid w:val="00A91263"/>
    <w:rsid w:val="00A91293"/>
    <w:rsid w:val="00A912B9"/>
    <w:rsid w:val="00A912EB"/>
    <w:rsid w:val="00A913A4"/>
    <w:rsid w:val="00A9144C"/>
    <w:rsid w:val="00A91548"/>
    <w:rsid w:val="00A92628"/>
    <w:rsid w:val="00A92878"/>
    <w:rsid w:val="00A92919"/>
    <w:rsid w:val="00A92A01"/>
    <w:rsid w:val="00A92AC8"/>
    <w:rsid w:val="00A92B9F"/>
    <w:rsid w:val="00A92EFB"/>
    <w:rsid w:val="00A93072"/>
    <w:rsid w:val="00A93528"/>
    <w:rsid w:val="00A93953"/>
    <w:rsid w:val="00A93957"/>
    <w:rsid w:val="00A94285"/>
    <w:rsid w:val="00A94467"/>
    <w:rsid w:val="00A944DE"/>
    <w:rsid w:val="00A9460E"/>
    <w:rsid w:val="00A94962"/>
    <w:rsid w:val="00A94E82"/>
    <w:rsid w:val="00A959D8"/>
    <w:rsid w:val="00A95BB8"/>
    <w:rsid w:val="00A95E23"/>
    <w:rsid w:val="00A966F8"/>
    <w:rsid w:val="00A972D5"/>
    <w:rsid w:val="00A973D5"/>
    <w:rsid w:val="00A97845"/>
    <w:rsid w:val="00A97B36"/>
    <w:rsid w:val="00AA0037"/>
    <w:rsid w:val="00AA02EF"/>
    <w:rsid w:val="00AA03AA"/>
    <w:rsid w:val="00AA05DB"/>
    <w:rsid w:val="00AA0FC5"/>
    <w:rsid w:val="00AA1096"/>
    <w:rsid w:val="00AA113D"/>
    <w:rsid w:val="00AA12F7"/>
    <w:rsid w:val="00AA1A70"/>
    <w:rsid w:val="00AA22B6"/>
    <w:rsid w:val="00AA25BB"/>
    <w:rsid w:val="00AA279B"/>
    <w:rsid w:val="00AA28CC"/>
    <w:rsid w:val="00AA28D4"/>
    <w:rsid w:val="00AA2F98"/>
    <w:rsid w:val="00AA322E"/>
    <w:rsid w:val="00AA35D9"/>
    <w:rsid w:val="00AA398F"/>
    <w:rsid w:val="00AA3A95"/>
    <w:rsid w:val="00AA3D5E"/>
    <w:rsid w:val="00AA401A"/>
    <w:rsid w:val="00AA401F"/>
    <w:rsid w:val="00AA41F8"/>
    <w:rsid w:val="00AA4482"/>
    <w:rsid w:val="00AA47A3"/>
    <w:rsid w:val="00AA47C2"/>
    <w:rsid w:val="00AA48BF"/>
    <w:rsid w:val="00AA4C54"/>
    <w:rsid w:val="00AA4CA6"/>
    <w:rsid w:val="00AA5407"/>
    <w:rsid w:val="00AA5717"/>
    <w:rsid w:val="00AA5823"/>
    <w:rsid w:val="00AA5CDE"/>
    <w:rsid w:val="00AA5D03"/>
    <w:rsid w:val="00AA5DE6"/>
    <w:rsid w:val="00AA5F7E"/>
    <w:rsid w:val="00AA5F9B"/>
    <w:rsid w:val="00AA604A"/>
    <w:rsid w:val="00AA637A"/>
    <w:rsid w:val="00AA6414"/>
    <w:rsid w:val="00AA65BF"/>
    <w:rsid w:val="00AA6656"/>
    <w:rsid w:val="00AA68ED"/>
    <w:rsid w:val="00AA6C1C"/>
    <w:rsid w:val="00AA6C7D"/>
    <w:rsid w:val="00AA6F71"/>
    <w:rsid w:val="00AA7456"/>
    <w:rsid w:val="00AA75BC"/>
    <w:rsid w:val="00AA7798"/>
    <w:rsid w:val="00AA7E6B"/>
    <w:rsid w:val="00AA7F32"/>
    <w:rsid w:val="00AA7FD6"/>
    <w:rsid w:val="00AB042A"/>
    <w:rsid w:val="00AB0827"/>
    <w:rsid w:val="00AB1310"/>
    <w:rsid w:val="00AB13E3"/>
    <w:rsid w:val="00AB1A83"/>
    <w:rsid w:val="00AB1B20"/>
    <w:rsid w:val="00AB1ED0"/>
    <w:rsid w:val="00AB221F"/>
    <w:rsid w:val="00AB26D9"/>
    <w:rsid w:val="00AB2B4B"/>
    <w:rsid w:val="00AB2D34"/>
    <w:rsid w:val="00AB2D60"/>
    <w:rsid w:val="00AB2DFC"/>
    <w:rsid w:val="00AB30B2"/>
    <w:rsid w:val="00AB3430"/>
    <w:rsid w:val="00AB38C1"/>
    <w:rsid w:val="00AB3A4A"/>
    <w:rsid w:val="00AB3B24"/>
    <w:rsid w:val="00AB3C8D"/>
    <w:rsid w:val="00AB3CD3"/>
    <w:rsid w:val="00AB3F1E"/>
    <w:rsid w:val="00AB4046"/>
    <w:rsid w:val="00AB4323"/>
    <w:rsid w:val="00AB4A77"/>
    <w:rsid w:val="00AB4AD1"/>
    <w:rsid w:val="00AB4ECA"/>
    <w:rsid w:val="00AB5049"/>
    <w:rsid w:val="00AB50AD"/>
    <w:rsid w:val="00AB5127"/>
    <w:rsid w:val="00AB5146"/>
    <w:rsid w:val="00AB53B6"/>
    <w:rsid w:val="00AB5619"/>
    <w:rsid w:val="00AB57E1"/>
    <w:rsid w:val="00AB5A48"/>
    <w:rsid w:val="00AB5EEA"/>
    <w:rsid w:val="00AB61E4"/>
    <w:rsid w:val="00AB660F"/>
    <w:rsid w:val="00AB68F1"/>
    <w:rsid w:val="00AB6A95"/>
    <w:rsid w:val="00AB6C6C"/>
    <w:rsid w:val="00AB6D96"/>
    <w:rsid w:val="00AB72F2"/>
    <w:rsid w:val="00AB7374"/>
    <w:rsid w:val="00AB7BA5"/>
    <w:rsid w:val="00AB7CFA"/>
    <w:rsid w:val="00AB7E0E"/>
    <w:rsid w:val="00AC075C"/>
    <w:rsid w:val="00AC0A37"/>
    <w:rsid w:val="00AC1380"/>
    <w:rsid w:val="00AC1581"/>
    <w:rsid w:val="00AC16DC"/>
    <w:rsid w:val="00AC1FA4"/>
    <w:rsid w:val="00AC2438"/>
    <w:rsid w:val="00AC25DC"/>
    <w:rsid w:val="00AC290C"/>
    <w:rsid w:val="00AC2D69"/>
    <w:rsid w:val="00AC2EA1"/>
    <w:rsid w:val="00AC3167"/>
    <w:rsid w:val="00AC3510"/>
    <w:rsid w:val="00AC37B6"/>
    <w:rsid w:val="00AC37B7"/>
    <w:rsid w:val="00AC38EB"/>
    <w:rsid w:val="00AC3972"/>
    <w:rsid w:val="00AC3AD7"/>
    <w:rsid w:val="00AC3BD4"/>
    <w:rsid w:val="00AC3C0B"/>
    <w:rsid w:val="00AC3D1B"/>
    <w:rsid w:val="00AC43F9"/>
    <w:rsid w:val="00AC44DE"/>
    <w:rsid w:val="00AC4773"/>
    <w:rsid w:val="00AC478C"/>
    <w:rsid w:val="00AC47A9"/>
    <w:rsid w:val="00AC4880"/>
    <w:rsid w:val="00AC4A32"/>
    <w:rsid w:val="00AC4C1B"/>
    <w:rsid w:val="00AC529E"/>
    <w:rsid w:val="00AC5511"/>
    <w:rsid w:val="00AC57FE"/>
    <w:rsid w:val="00AC587E"/>
    <w:rsid w:val="00AC5B48"/>
    <w:rsid w:val="00AC5E85"/>
    <w:rsid w:val="00AC5F17"/>
    <w:rsid w:val="00AC5F99"/>
    <w:rsid w:val="00AC6366"/>
    <w:rsid w:val="00AC6655"/>
    <w:rsid w:val="00AC6779"/>
    <w:rsid w:val="00AC699C"/>
    <w:rsid w:val="00AC6D29"/>
    <w:rsid w:val="00AC72E2"/>
    <w:rsid w:val="00AC745C"/>
    <w:rsid w:val="00AC776C"/>
    <w:rsid w:val="00AC7847"/>
    <w:rsid w:val="00AD0557"/>
    <w:rsid w:val="00AD07C9"/>
    <w:rsid w:val="00AD0978"/>
    <w:rsid w:val="00AD0AD3"/>
    <w:rsid w:val="00AD0B08"/>
    <w:rsid w:val="00AD0DF2"/>
    <w:rsid w:val="00AD1779"/>
    <w:rsid w:val="00AD1A6F"/>
    <w:rsid w:val="00AD1C3A"/>
    <w:rsid w:val="00AD1D2E"/>
    <w:rsid w:val="00AD1DE3"/>
    <w:rsid w:val="00AD20B7"/>
    <w:rsid w:val="00AD218D"/>
    <w:rsid w:val="00AD2727"/>
    <w:rsid w:val="00AD286F"/>
    <w:rsid w:val="00AD2A6E"/>
    <w:rsid w:val="00AD2B37"/>
    <w:rsid w:val="00AD2E0A"/>
    <w:rsid w:val="00AD2F69"/>
    <w:rsid w:val="00AD2FA5"/>
    <w:rsid w:val="00AD2FD0"/>
    <w:rsid w:val="00AD3026"/>
    <w:rsid w:val="00AD31BC"/>
    <w:rsid w:val="00AD3791"/>
    <w:rsid w:val="00AD3887"/>
    <w:rsid w:val="00AD3DF7"/>
    <w:rsid w:val="00AD3F4B"/>
    <w:rsid w:val="00AD4024"/>
    <w:rsid w:val="00AD410B"/>
    <w:rsid w:val="00AD4687"/>
    <w:rsid w:val="00AD4E65"/>
    <w:rsid w:val="00AD4E8F"/>
    <w:rsid w:val="00AD4EF3"/>
    <w:rsid w:val="00AD509B"/>
    <w:rsid w:val="00AD586D"/>
    <w:rsid w:val="00AD5AA9"/>
    <w:rsid w:val="00AD6502"/>
    <w:rsid w:val="00AD655A"/>
    <w:rsid w:val="00AD6A2D"/>
    <w:rsid w:val="00AD6AC3"/>
    <w:rsid w:val="00AD734D"/>
    <w:rsid w:val="00AD793E"/>
    <w:rsid w:val="00AD7986"/>
    <w:rsid w:val="00AD7987"/>
    <w:rsid w:val="00AD7BC0"/>
    <w:rsid w:val="00AD7D07"/>
    <w:rsid w:val="00AE00A1"/>
    <w:rsid w:val="00AE034D"/>
    <w:rsid w:val="00AE06A8"/>
    <w:rsid w:val="00AE06D3"/>
    <w:rsid w:val="00AE07DC"/>
    <w:rsid w:val="00AE096A"/>
    <w:rsid w:val="00AE0C29"/>
    <w:rsid w:val="00AE1171"/>
    <w:rsid w:val="00AE1653"/>
    <w:rsid w:val="00AE1839"/>
    <w:rsid w:val="00AE197B"/>
    <w:rsid w:val="00AE19B2"/>
    <w:rsid w:val="00AE19BF"/>
    <w:rsid w:val="00AE21CE"/>
    <w:rsid w:val="00AE2319"/>
    <w:rsid w:val="00AE24BB"/>
    <w:rsid w:val="00AE28A1"/>
    <w:rsid w:val="00AE2AC6"/>
    <w:rsid w:val="00AE2DAF"/>
    <w:rsid w:val="00AE304D"/>
    <w:rsid w:val="00AE3141"/>
    <w:rsid w:val="00AE3360"/>
    <w:rsid w:val="00AE3876"/>
    <w:rsid w:val="00AE40CD"/>
    <w:rsid w:val="00AE438C"/>
    <w:rsid w:val="00AE45FA"/>
    <w:rsid w:val="00AE461F"/>
    <w:rsid w:val="00AE4FA5"/>
    <w:rsid w:val="00AE5682"/>
    <w:rsid w:val="00AE58F2"/>
    <w:rsid w:val="00AE5A1E"/>
    <w:rsid w:val="00AE5B7C"/>
    <w:rsid w:val="00AE5BBA"/>
    <w:rsid w:val="00AE5C47"/>
    <w:rsid w:val="00AE5E1D"/>
    <w:rsid w:val="00AE5F71"/>
    <w:rsid w:val="00AE626C"/>
    <w:rsid w:val="00AE6315"/>
    <w:rsid w:val="00AE66F3"/>
    <w:rsid w:val="00AE6715"/>
    <w:rsid w:val="00AE67E9"/>
    <w:rsid w:val="00AE69EC"/>
    <w:rsid w:val="00AE6A23"/>
    <w:rsid w:val="00AE6A29"/>
    <w:rsid w:val="00AE6A8E"/>
    <w:rsid w:val="00AE6BD5"/>
    <w:rsid w:val="00AE6C52"/>
    <w:rsid w:val="00AE711A"/>
    <w:rsid w:val="00AE732D"/>
    <w:rsid w:val="00AE759D"/>
    <w:rsid w:val="00AE7ABD"/>
    <w:rsid w:val="00AE7AE3"/>
    <w:rsid w:val="00AE7B54"/>
    <w:rsid w:val="00AE7E6B"/>
    <w:rsid w:val="00AF00FB"/>
    <w:rsid w:val="00AF02F7"/>
    <w:rsid w:val="00AF0322"/>
    <w:rsid w:val="00AF0737"/>
    <w:rsid w:val="00AF09E2"/>
    <w:rsid w:val="00AF0BF7"/>
    <w:rsid w:val="00AF0C2D"/>
    <w:rsid w:val="00AF1315"/>
    <w:rsid w:val="00AF193D"/>
    <w:rsid w:val="00AF19BF"/>
    <w:rsid w:val="00AF1C6B"/>
    <w:rsid w:val="00AF1CE4"/>
    <w:rsid w:val="00AF1DFF"/>
    <w:rsid w:val="00AF2370"/>
    <w:rsid w:val="00AF2426"/>
    <w:rsid w:val="00AF24FF"/>
    <w:rsid w:val="00AF2547"/>
    <w:rsid w:val="00AF29E9"/>
    <w:rsid w:val="00AF2B30"/>
    <w:rsid w:val="00AF2DC3"/>
    <w:rsid w:val="00AF3312"/>
    <w:rsid w:val="00AF346F"/>
    <w:rsid w:val="00AF3AB8"/>
    <w:rsid w:val="00AF3B57"/>
    <w:rsid w:val="00AF3DFA"/>
    <w:rsid w:val="00AF431C"/>
    <w:rsid w:val="00AF4557"/>
    <w:rsid w:val="00AF464D"/>
    <w:rsid w:val="00AF473C"/>
    <w:rsid w:val="00AF47B5"/>
    <w:rsid w:val="00AF51AC"/>
    <w:rsid w:val="00AF585E"/>
    <w:rsid w:val="00AF5914"/>
    <w:rsid w:val="00AF5A71"/>
    <w:rsid w:val="00AF5B07"/>
    <w:rsid w:val="00AF612D"/>
    <w:rsid w:val="00AF622B"/>
    <w:rsid w:val="00AF6CFC"/>
    <w:rsid w:val="00AF75F7"/>
    <w:rsid w:val="00AF7E1E"/>
    <w:rsid w:val="00AF7ECB"/>
    <w:rsid w:val="00B00194"/>
    <w:rsid w:val="00B003CF"/>
    <w:rsid w:val="00B006CE"/>
    <w:rsid w:val="00B008B8"/>
    <w:rsid w:val="00B00A1E"/>
    <w:rsid w:val="00B00BA9"/>
    <w:rsid w:val="00B01485"/>
    <w:rsid w:val="00B01741"/>
    <w:rsid w:val="00B019B6"/>
    <w:rsid w:val="00B01B1A"/>
    <w:rsid w:val="00B01C15"/>
    <w:rsid w:val="00B01DFB"/>
    <w:rsid w:val="00B02165"/>
    <w:rsid w:val="00B028A9"/>
    <w:rsid w:val="00B02B12"/>
    <w:rsid w:val="00B02C9F"/>
    <w:rsid w:val="00B033E5"/>
    <w:rsid w:val="00B0343A"/>
    <w:rsid w:val="00B03626"/>
    <w:rsid w:val="00B037C2"/>
    <w:rsid w:val="00B03834"/>
    <w:rsid w:val="00B03861"/>
    <w:rsid w:val="00B03A63"/>
    <w:rsid w:val="00B0422F"/>
    <w:rsid w:val="00B04390"/>
    <w:rsid w:val="00B04D31"/>
    <w:rsid w:val="00B04E6B"/>
    <w:rsid w:val="00B04F56"/>
    <w:rsid w:val="00B05377"/>
    <w:rsid w:val="00B05513"/>
    <w:rsid w:val="00B05A1E"/>
    <w:rsid w:val="00B05AAB"/>
    <w:rsid w:val="00B05BC1"/>
    <w:rsid w:val="00B05D41"/>
    <w:rsid w:val="00B06411"/>
    <w:rsid w:val="00B065EA"/>
    <w:rsid w:val="00B06661"/>
    <w:rsid w:val="00B067B1"/>
    <w:rsid w:val="00B06A75"/>
    <w:rsid w:val="00B07005"/>
    <w:rsid w:val="00B072F4"/>
    <w:rsid w:val="00B0794C"/>
    <w:rsid w:val="00B07CD7"/>
    <w:rsid w:val="00B10175"/>
    <w:rsid w:val="00B10181"/>
    <w:rsid w:val="00B10747"/>
    <w:rsid w:val="00B107DA"/>
    <w:rsid w:val="00B1084C"/>
    <w:rsid w:val="00B10A20"/>
    <w:rsid w:val="00B10AEB"/>
    <w:rsid w:val="00B10B09"/>
    <w:rsid w:val="00B10FBC"/>
    <w:rsid w:val="00B11282"/>
    <w:rsid w:val="00B11774"/>
    <w:rsid w:val="00B120A5"/>
    <w:rsid w:val="00B120C3"/>
    <w:rsid w:val="00B1212D"/>
    <w:rsid w:val="00B121B6"/>
    <w:rsid w:val="00B1296F"/>
    <w:rsid w:val="00B12BF7"/>
    <w:rsid w:val="00B12FDF"/>
    <w:rsid w:val="00B134DC"/>
    <w:rsid w:val="00B1350A"/>
    <w:rsid w:val="00B138C2"/>
    <w:rsid w:val="00B13C6F"/>
    <w:rsid w:val="00B13D11"/>
    <w:rsid w:val="00B13D9B"/>
    <w:rsid w:val="00B148B7"/>
    <w:rsid w:val="00B14E28"/>
    <w:rsid w:val="00B1546E"/>
    <w:rsid w:val="00B154F0"/>
    <w:rsid w:val="00B15A61"/>
    <w:rsid w:val="00B15CA8"/>
    <w:rsid w:val="00B16000"/>
    <w:rsid w:val="00B16720"/>
    <w:rsid w:val="00B167E8"/>
    <w:rsid w:val="00B1691B"/>
    <w:rsid w:val="00B169D0"/>
    <w:rsid w:val="00B16A02"/>
    <w:rsid w:val="00B16D11"/>
    <w:rsid w:val="00B16E06"/>
    <w:rsid w:val="00B17039"/>
    <w:rsid w:val="00B20068"/>
    <w:rsid w:val="00B201A4"/>
    <w:rsid w:val="00B20620"/>
    <w:rsid w:val="00B20A9F"/>
    <w:rsid w:val="00B21204"/>
    <w:rsid w:val="00B213A6"/>
    <w:rsid w:val="00B214F0"/>
    <w:rsid w:val="00B21624"/>
    <w:rsid w:val="00B2182F"/>
    <w:rsid w:val="00B2189E"/>
    <w:rsid w:val="00B2231A"/>
    <w:rsid w:val="00B22466"/>
    <w:rsid w:val="00B224E4"/>
    <w:rsid w:val="00B2307D"/>
    <w:rsid w:val="00B23597"/>
    <w:rsid w:val="00B235B2"/>
    <w:rsid w:val="00B23631"/>
    <w:rsid w:val="00B23677"/>
    <w:rsid w:val="00B239D1"/>
    <w:rsid w:val="00B23A78"/>
    <w:rsid w:val="00B23BF1"/>
    <w:rsid w:val="00B23F12"/>
    <w:rsid w:val="00B24511"/>
    <w:rsid w:val="00B24C25"/>
    <w:rsid w:val="00B24DF6"/>
    <w:rsid w:val="00B24E78"/>
    <w:rsid w:val="00B24EA8"/>
    <w:rsid w:val="00B2510F"/>
    <w:rsid w:val="00B25C42"/>
    <w:rsid w:val="00B25CC7"/>
    <w:rsid w:val="00B2602C"/>
    <w:rsid w:val="00B265CF"/>
    <w:rsid w:val="00B2683D"/>
    <w:rsid w:val="00B274F1"/>
    <w:rsid w:val="00B279C2"/>
    <w:rsid w:val="00B279DD"/>
    <w:rsid w:val="00B27CA9"/>
    <w:rsid w:val="00B27E5E"/>
    <w:rsid w:val="00B300D9"/>
    <w:rsid w:val="00B3015A"/>
    <w:rsid w:val="00B305E5"/>
    <w:rsid w:val="00B30798"/>
    <w:rsid w:val="00B30887"/>
    <w:rsid w:val="00B3095B"/>
    <w:rsid w:val="00B30B73"/>
    <w:rsid w:val="00B30C58"/>
    <w:rsid w:val="00B30E51"/>
    <w:rsid w:val="00B31910"/>
    <w:rsid w:val="00B31BEE"/>
    <w:rsid w:val="00B31E9B"/>
    <w:rsid w:val="00B31F6D"/>
    <w:rsid w:val="00B32094"/>
    <w:rsid w:val="00B32214"/>
    <w:rsid w:val="00B325FE"/>
    <w:rsid w:val="00B32AB1"/>
    <w:rsid w:val="00B32D88"/>
    <w:rsid w:val="00B33111"/>
    <w:rsid w:val="00B33250"/>
    <w:rsid w:val="00B3332E"/>
    <w:rsid w:val="00B334A2"/>
    <w:rsid w:val="00B3395C"/>
    <w:rsid w:val="00B33AD7"/>
    <w:rsid w:val="00B3402A"/>
    <w:rsid w:val="00B340BE"/>
    <w:rsid w:val="00B341A7"/>
    <w:rsid w:val="00B345F4"/>
    <w:rsid w:val="00B34878"/>
    <w:rsid w:val="00B34B68"/>
    <w:rsid w:val="00B34BDA"/>
    <w:rsid w:val="00B34FE2"/>
    <w:rsid w:val="00B34FFE"/>
    <w:rsid w:val="00B35053"/>
    <w:rsid w:val="00B350E1"/>
    <w:rsid w:val="00B356E4"/>
    <w:rsid w:val="00B357D8"/>
    <w:rsid w:val="00B3590C"/>
    <w:rsid w:val="00B35CB6"/>
    <w:rsid w:val="00B35DB2"/>
    <w:rsid w:val="00B35DD1"/>
    <w:rsid w:val="00B36126"/>
    <w:rsid w:val="00B36BDC"/>
    <w:rsid w:val="00B36FA0"/>
    <w:rsid w:val="00B3715A"/>
    <w:rsid w:val="00B371E9"/>
    <w:rsid w:val="00B3748E"/>
    <w:rsid w:val="00B3766F"/>
    <w:rsid w:val="00B379A5"/>
    <w:rsid w:val="00B37BFC"/>
    <w:rsid w:val="00B37DB1"/>
    <w:rsid w:val="00B37DD1"/>
    <w:rsid w:val="00B4029B"/>
    <w:rsid w:val="00B402A1"/>
    <w:rsid w:val="00B40358"/>
    <w:rsid w:val="00B404B0"/>
    <w:rsid w:val="00B40A4F"/>
    <w:rsid w:val="00B40CF8"/>
    <w:rsid w:val="00B40D8D"/>
    <w:rsid w:val="00B40DFC"/>
    <w:rsid w:val="00B40FD7"/>
    <w:rsid w:val="00B412DE"/>
    <w:rsid w:val="00B41614"/>
    <w:rsid w:val="00B41741"/>
    <w:rsid w:val="00B417A6"/>
    <w:rsid w:val="00B41C46"/>
    <w:rsid w:val="00B41EA9"/>
    <w:rsid w:val="00B4239C"/>
    <w:rsid w:val="00B42511"/>
    <w:rsid w:val="00B426B7"/>
    <w:rsid w:val="00B4284E"/>
    <w:rsid w:val="00B42851"/>
    <w:rsid w:val="00B42E69"/>
    <w:rsid w:val="00B42EB0"/>
    <w:rsid w:val="00B42F80"/>
    <w:rsid w:val="00B43483"/>
    <w:rsid w:val="00B43565"/>
    <w:rsid w:val="00B435CB"/>
    <w:rsid w:val="00B43CD8"/>
    <w:rsid w:val="00B43F08"/>
    <w:rsid w:val="00B44296"/>
    <w:rsid w:val="00B44353"/>
    <w:rsid w:val="00B447A0"/>
    <w:rsid w:val="00B44BAE"/>
    <w:rsid w:val="00B44C3E"/>
    <w:rsid w:val="00B45226"/>
    <w:rsid w:val="00B454FC"/>
    <w:rsid w:val="00B45A74"/>
    <w:rsid w:val="00B45F4F"/>
    <w:rsid w:val="00B4648B"/>
    <w:rsid w:val="00B46D62"/>
    <w:rsid w:val="00B46D8D"/>
    <w:rsid w:val="00B46F10"/>
    <w:rsid w:val="00B47108"/>
    <w:rsid w:val="00B471F7"/>
    <w:rsid w:val="00B47723"/>
    <w:rsid w:val="00B47B9B"/>
    <w:rsid w:val="00B47D36"/>
    <w:rsid w:val="00B47D88"/>
    <w:rsid w:val="00B5030E"/>
    <w:rsid w:val="00B50473"/>
    <w:rsid w:val="00B504CF"/>
    <w:rsid w:val="00B50A3E"/>
    <w:rsid w:val="00B50DB8"/>
    <w:rsid w:val="00B511AF"/>
    <w:rsid w:val="00B514F3"/>
    <w:rsid w:val="00B5152D"/>
    <w:rsid w:val="00B51B4F"/>
    <w:rsid w:val="00B51C29"/>
    <w:rsid w:val="00B52244"/>
    <w:rsid w:val="00B5241B"/>
    <w:rsid w:val="00B529B3"/>
    <w:rsid w:val="00B52A0E"/>
    <w:rsid w:val="00B52A40"/>
    <w:rsid w:val="00B52A83"/>
    <w:rsid w:val="00B52CCC"/>
    <w:rsid w:val="00B52CEF"/>
    <w:rsid w:val="00B53088"/>
    <w:rsid w:val="00B53151"/>
    <w:rsid w:val="00B531D9"/>
    <w:rsid w:val="00B53242"/>
    <w:rsid w:val="00B53519"/>
    <w:rsid w:val="00B53654"/>
    <w:rsid w:val="00B5378D"/>
    <w:rsid w:val="00B538FF"/>
    <w:rsid w:val="00B53905"/>
    <w:rsid w:val="00B54140"/>
    <w:rsid w:val="00B5417E"/>
    <w:rsid w:val="00B5427D"/>
    <w:rsid w:val="00B543F4"/>
    <w:rsid w:val="00B54B5B"/>
    <w:rsid w:val="00B54E23"/>
    <w:rsid w:val="00B5562E"/>
    <w:rsid w:val="00B55751"/>
    <w:rsid w:val="00B55962"/>
    <w:rsid w:val="00B55FA7"/>
    <w:rsid w:val="00B5602B"/>
    <w:rsid w:val="00B56775"/>
    <w:rsid w:val="00B57000"/>
    <w:rsid w:val="00B575EB"/>
    <w:rsid w:val="00B57D35"/>
    <w:rsid w:val="00B57EE9"/>
    <w:rsid w:val="00B604E1"/>
    <w:rsid w:val="00B6081B"/>
    <w:rsid w:val="00B60939"/>
    <w:rsid w:val="00B60AFD"/>
    <w:rsid w:val="00B60C01"/>
    <w:rsid w:val="00B60D24"/>
    <w:rsid w:val="00B613B5"/>
    <w:rsid w:val="00B61ADA"/>
    <w:rsid w:val="00B61B79"/>
    <w:rsid w:val="00B6209A"/>
    <w:rsid w:val="00B62315"/>
    <w:rsid w:val="00B62715"/>
    <w:rsid w:val="00B62ABA"/>
    <w:rsid w:val="00B62CBD"/>
    <w:rsid w:val="00B63504"/>
    <w:rsid w:val="00B63691"/>
    <w:rsid w:val="00B63A4A"/>
    <w:rsid w:val="00B63AC5"/>
    <w:rsid w:val="00B63B38"/>
    <w:rsid w:val="00B63F0B"/>
    <w:rsid w:val="00B6435E"/>
    <w:rsid w:val="00B6472E"/>
    <w:rsid w:val="00B64831"/>
    <w:rsid w:val="00B64ACD"/>
    <w:rsid w:val="00B64F00"/>
    <w:rsid w:val="00B65126"/>
    <w:rsid w:val="00B6571C"/>
    <w:rsid w:val="00B65823"/>
    <w:rsid w:val="00B65925"/>
    <w:rsid w:val="00B65BF1"/>
    <w:rsid w:val="00B65CE9"/>
    <w:rsid w:val="00B65F29"/>
    <w:rsid w:val="00B66073"/>
    <w:rsid w:val="00B66297"/>
    <w:rsid w:val="00B66783"/>
    <w:rsid w:val="00B66D7E"/>
    <w:rsid w:val="00B66E34"/>
    <w:rsid w:val="00B66ED0"/>
    <w:rsid w:val="00B66F0C"/>
    <w:rsid w:val="00B66F80"/>
    <w:rsid w:val="00B66F9A"/>
    <w:rsid w:val="00B67043"/>
    <w:rsid w:val="00B6721E"/>
    <w:rsid w:val="00B672C3"/>
    <w:rsid w:val="00B6732F"/>
    <w:rsid w:val="00B678B9"/>
    <w:rsid w:val="00B67934"/>
    <w:rsid w:val="00B67A98"/>
    <w:rsid w:val="00B67BAA"/>
    <w:rsid w:val="00B702E6"/>
    <w:rsid w:val="00B70363"/>
    <w:rsid w:val="00B705FC"/>
    <w:rsid w:val="00B71162"/>
    <w:rsid w:val="00B71204"/>
    <w:rsid w:val="00B71499"/>
    <w:rsid w:val="00B71719"/>
    <w:rsid w:val="00B717BF"/>
    <w:rsid w:val="00B71DBC"/>
    <w:rsid w:val="00B71F0A"/>
    <w:rsid w:val="00B71F44"/>
    <w:rsid w:val="00B71FF6"/>
    <w:rsid w:val="00B7263F"/>
    <w:rsid w:val="00B7274F"/>
    <w:rsid w:val="00B7290C"/>
    <w:rsid w:val="00B729DD"/>
    <w:rsid w:val="00B72DD9"/>
    <w:rsid w:val="00B731A8"/>
    <w:rsid w:val="00B73549"/>
    <w:rsid w:val="00B73800"/>
    <w:rsid w:val="00B738B3"/>
    <w:rsid w:val="00B73A17"/>
    <w:rsid w:val="00B73F10"/>
    <w:rsid w:val="00B740E2"/>
    <w:rsid w:val="00B742FF"/>
    <w:rsid w:val="00B74398"/>
    <w:rsid w:val="00B7453B"/>
    <w:rsid w:val="00B747F9"/>
    <w:rsid w:val="00B749FC"/>
    <w:rsid w:val="00B74AAA"/>
    <w:rsid w:val="00B75226"/>
    <w:rsid w:val="00B75596"/>
    <w:rsid w:val="00B7575B"/>
    <w:rsid w:val="00B76276"/>
    <w:rsid w:val="00B76398"/>
    <w:rsid w:val="00B763B9"/>
    <w:rsid w:val="00B767F9"/>
    <w:rsid w:val="00B76911"/>
    <w:rsid w:val="00B76B8C"/>
    <w:rsid w:val="00B770D1"/>
    <w:rsid w:val="00B779C3"/>
    <w:rsid w:val="00B779F0"/>
    <w:rsid w:val="00B77C0E"/>
    <w:rsid w:val="00B77C55"/>
    <w:rsid w:val="00B77CF6"/>
    <w:rsid w:val="00B77E34"/>
    <w:rsid w:val="00B800D6"/>
    <w:rsid w:val="00B80470"/>
    <w:rsid w:val="00B80490"/>
    <w:rsid w:val="00B80644"/>
    <w:rsid w:val="00B8080D"/>
    <w:rsid w:val="00B80B0A"/>
    <w:rsid w:val="00B81641"/>
    <w:rsid w:val="00B818A4"/>
    <w:rsid w:val="00B81AB0"/>
    <w:rsid w:val="00B81EE8"/>
    <w:rsid w:val="00B8201C"/>
    <w:rsid w:val="00B82058"/>
    <w:rsid w:val="00B8231E"/>
    <w:rsid w:val="00B828F3"/>
    <w:rsid w:val="00B82EFE"/>
    <w:rsid w:val="00B83041"/>
    <w:rsid w:val="00B8310F"/>
    <w:rsid w:val="00B833AA"/>
    <w:rsid w:val="00B835F5"/>
    <w:rsid w:val="00B8366A"/>
    <w:rsid w:val="00B836DB"/>
    <w:rsid w:val="00B83C2E"/>
    <w:rsid w:val="00B83EC9"/>
    <w:rsid w:val="00B83ED0"/>
    <w:rsid w:val="00B84117"/>
    <w:rsid w:val="00B841B0"/>
    <w:rsid w:val="00B84AB5"/>
    <w:rsid w:val="00B84C26"/>
    <w:rsid w:val="00B84D95"/>
    <w:rsid w:val="00B85115"/>
    <w:rsid w:val="00B8560D"/>
    <w:rsid w:val="00B85640"/>
    <w:rsid w:val="00B85666"/>
    <w:rsid w:val="00B856CE"/>
    <w:rsid w:val="00B859B9"/>
    <w:rsid w:val="00B85AA2"/>
    <w:rsid w:val="00B85B1D"/>
    <w:rsid w:val="00B85C07"/>
    <w:rsid w:val="00B85EAD"/>
    <w:rsid w:val="00B861AB"/>
    <w:rsid w:val="00B863D1"/>
    <w:rsid w:val="00B8649C"/>
    <w:rsid w:val="00B86501"/>
    <w:rsid w:val="00B86B7F"/>
    <w:rsid w:val="00B86F20"/>
    <w:rsid w:val="00B875F4"/>
    <w:rsid w:val="00B876D2"/>
    <w:rsid w:val="00B87932"/>
    <w:rsid w:val="00B8799C"/>
    <w:rsid w:val="00B87A5E"/>
    <w:rsid w:val="00B87B2B"/>
    <w:rsid w:val="00B87B9F"/>
    <w:rsid w:val="00B87DEC"/>
    <w:rsid w:val="00B87F0A"/>
    <w:rsid w:val="00B90504"/>
    <w:rsid w:val="00B9073B"/>
    <w:rsid w:val="00B90D06"/>
    <w:rsid w:val="00B90E3E"/>
    <w:rsid w:val="00B90F05"/>
    <w:rsid w:val="00B9134A"/>
    <w:rsid w:val="00B91352"/>
    <w:rsid w:val="00B9136A"/>
    <w:rsid w:val="00B913E0"/>
    <w:rsid w:val="00B919CE"/>
    <w:rsid w:val="00B91D2F"/>
    <w:rsid w:val="00B91D66"/>
    <w:rsid w:val="00B91F03"/>
    <w:rsid w:val="00B924C1"/>
    <w:rsid w:val="00B927D9"/>
    <w:rsid w:val="00B9283F"/>
    <w:rsid w:val="00B92B43"/>
    <w:rsid w:val="00B92CC7"/>
    <w:rsid w:val="00B92D0B"/>
    <w:rsid w:val="00B92E31"/>
    <w:rsid w:val="00B92ECC"/>
    <w:rsid w:val="00B93089"/>
    <w:rsid w:val="00B930B2"/>
    <w:rsid w:val="00B93171"/>
    <w:rsid w:val="00B932B7"/>
    <w:rsid w:val="00B939DB"/>
    <w:rsid w:val="00B93C30"/>
    <w:rsid w:val="00B93C6B"/>
    <w:rsid w:val="00B93CF6"/>
    <w:rsid w:val="00B93EB9"/>
    <w:rsid w:val="00B94040"/>
    <w:rsid w:val="00B941A7"/>
    <w:rsid w:val="00B94945"/>
    <w:rsid w:val="00B94F1B"/>
    <w:rsid w:val="00B94F91"/>
    <w:rsid w:val="00B9518D"/>
    <w:rsid w:val="00B951F0"/>
    <w:rsid w:val="00B95412"/>
    <w:rsid w:val="00B958E8"/>
    <w:rsid w:val="00B95915"/>
    <w:rsid w:val="00B95A3A"/>
    <w:rsid w:val="00B95B28"/>
    <w:rsid w:val="00B95CE1"/>
    <w:rsid w:val="00B96180"/>
    <w:rsid w:val="00B962CA"/>
    <w:rsid w:val="00B96434"/>
    <w:rsid w:val="00B96B62"/>
    <w:rsid w:val="00B96C21"/>
    <w:rsid w:val="00B970CC"/>
    <w:rsid w:val="00B97118"/>
    <w:rsid w:val="00B9766B"/>
    <w:rsid w:val="00B978DF"/>
    <w:rsid w:val="00B979FB"/>
    <w:rsid w:val="00B97CE7"/>
    <w:rsid w:val="00B97F64"/>
    <w:rsid w:val="00B97FD3"/>
    <w:rsid w:val="00BA031A"/>
    <w:rsid w:val="00BA0763"/>
    <w:rsid w:val="00BA07EF"/>
    <w:rsid w:val="00BA0B43"/>
    <w:rsid w:val="00BA1040"/>
    <w:rsid w:val="00BA1423"/>
    <w:rsid w:val="00BA1435"/>
    <w:rsid w:val="00BA1677"/>
    <w:rsid w:val="00BA18DF"/>
    <w:rsid w:val="00BA1F6B"/>
    <w:rsid w:val="00BA1F82"/>
    <w:rsid w:val="00BA213D"/>
    <w:rsid w:val="00BA21B7"/>
    <w:rsid w:val="00BA2286"/>
    <w:rsid w:val="00BA2856"/>
    <w:rsid w:val="00BA2CE0"/>
    <w:rsid w:val="00BA3076"/>
    <w:rsid w:val="00BA30B0"/>
    <w:rsid w:val="00BA30DA"/>
    <w:rsid w:val="00BA322D"/>
    <w:rsid w:val="00BA34F1"/>
    <w:rsid w:val="00BA3506"/>
    <w:rsid w:val="00BA3A0C"/>
    <w:rsid w:val="00BA3A41"/>
    <w:rsid w:val="00BA3ED9"/>
    <w:rsid w:val="00BA4013"/>
    <w:rsid w:val="00BA41FE"/>
    <w:rsid w:val="00BA4291"/>
    <w:rsid w:val="00BA4858"/>
    <w:rsid w:val="00BA4CD6"/>
    <w:rsid w:val="00BA588A"/>
    <w:rsid w:val="00BA5986"/>
    <w:rsid w:val="00BA5B59"/>
    <w:rsid w:val="00BA5EFD"/>
    <w:rsid w:val="00BA5FB4"/>
    <w:rsid w:val="00BA657A"/>
    <w:rsid w:val="00BA6613"/>
    <w:rsid w:val="00BA6628"/>
    <w:rsid w:val="00BA6844"/>
    <w:rsid w:val="00BA6E19"/>
    <w:rsid w:val="00BA6E46"/>
    <w:rsid w:val="00BA6E6D"/>
    <w:rsid w:val="00BA6F18"/>
    <w:rsid w:val="00BA70EF"/>
    <w:rsid w:val="00BA7177"/>
    <w:rsid w:val="00BA721E"/>
    <w:rsid w:val="00BA72E0"/>
    <w:rsid w:val="00BA730A"/>
    <w:rsid w:val="00BA769E"/>
    <w:rsid w:val="00BB0A88"/>
    <w:rsid w:val="00BB0BDD"/>
    <w:rsid w:val="00BB0CFE"/>
    <w:rsid w:val="00BB0D4D"/>
    <w:rsid w:val="00BB0ED7"/>
    <w:rsid w:val="00BB0FD7"/>
    <w:rsid w:val="00BB1409"/>
    <w:rsid w:val="00BB1A59"/>
    <w:rsid w:val="00BB1C86"/>
    <w:rsid w:val="00BB1E48"/>
    <w:rsid w:val="00BB22B5"/>
    <w:rsid w:val="00BB2378"/>
    <w:rsid w:val="00BB23D3"/>
    <w:rsid w:val="00BB24AB"/>
    <w:rsid w:val="00BB27D4"/>
    <w:rsid w:val="00BB2A73"/>
    <w:rsid w:val="00BB2BB5"/>
    <w:rsid w:val="00BB2E76"/>
    <w:rsid w:val="00BB2EA3"/>
    <w:rsid w:val="00BB2FF6"/>
    <w:rsid w:val="00BB3AA3"/>
    <w:rsid w:val="00BB402A"/>
    <w:rsid w:val="00BB4057"/>
    <w:rsid w:val="00BB4140"/>
    <w:rsid w:val="00BB43D9"/>
    <w:rsid w:val="00BB49B9"/>
    <w:rsid w:val="00BB4A2C"/>
    <w:rsid w:val="00BB4ACC"/>
    <w:rsid w:val="00BB5C1D"/>
    <w:rsid w:val="00BB5C54"/>
    <w:rsid w:val="00BB5F95"/>
    <w:rsid w:val="00BB6315"/>
    <w:rsid w:val="00BB64C1"/>
    <w:rsid w:val="00BB657E"/>
    <w:rsid w:val="00BB6642"/>
    <w:rsid w:val="00BB6783"/>
    <w:rsid w:val="00BB68A2"/>
    <w:rsid w:val="00BB692F"/>
    <w:rsid w:val="00BB6995"/>
    <w:rsid w:val="00BB6B87"/>
    <w:rsid w:val="00BB6E2E"/>
    <w:rsid w:val="00BB703E"/>
    <w:rsid w:val="00BB7405"/>
    <w:rsid w:val="00BB77FD"/>
    <w:rsid w:val="00BB7B94"/>
    <w:rsid w:val="00BC01E2"/>
    <w:rsid w:val="00BC024B"/>
    <w:rsid w:val="00BC0820"/>
    <w:rsid w:val="00BC0901"/>
    <w:rsid w:val="00BC09C1"/>
    <w:rsid w:val="00BC0A87"/>
    <w:rsid w:val="00BC0B1A"/>
    <w:rsid w:val="00BC0BBF"/>
    <w:rsid w:val="00BC0BE1"/>
    <w:rsid w:val="00BC12FA"/>
    <w:rsid w:val="00BC135F"/>
    <w:rsid w:val="00BC19C7"/>
    <w:rsid w:val="00BC1AC2"/>
    <w:rsid w:val="00BC1C8B"/>
    <w:rsid w:val="00BC2108"/>
    <w:rsid w:val="00BC2593"/>
    <w:rsid w:val="00BC2A22"/>
    <w:rsid w:val="00BC3304"/>
    <w:rsid w:val="00BC3631"/>
    <w:rsid w:val="00BC38DD"/>
    <w:rsid w:val="00BC39CA"/>
    <w:rsid w:val="00BC4297"/>
    <w:rsid w:val="00BC4342"/>
    <w:rsid w:val="00BC4AE5"/>
    <w:rsid w:val="00BC4DBF"/>
    <w:rsid w:val="00BC4F71"/>
    <w:rsid w:val="00BC507F"/>
    <w:rsid w:val="00BC51A4"/>
    <w:rsid w:val="00BC549A"/>
    <w:rsid w:val="00BC54E9"/>
    <w:rsid w:val="00BC5603"/>
    <w:rsid w:val="00BC5ACA"/>
    <w:rsid w:val="00BC5BF5"/>
    <w:rsid w:val="00BC5D24"/>
    <w:rsid w:val="00BC5E92"/>
    <w:rsid w:val="00BC5FC0"/>
    <w:rsid w:val="00BC64C0"/>
    <w:rsid w:val="00BC65B1"/>
    <w:rsid w:val="00BC692D"/>
    <w:rsid w:val="00BC6B7E"/>
    <w:rsid w:val="00BC6C44"/>
    <w:rsid w:val="00BC755F"/>
    <w:rsid w:val="00BC7BA4"/>
    <w:rsid w:val="00BD0122"/>
    <w:rsid w:val="00BD03CE"/>
    <w:rsid w:val="00BD04AC"/>
    <w:rsid w:val="00BD0D07"/>
    <w:rsid w:val="00BD0D4A"/>
    <w:rsid w:val="00BD0E5C"/>
    <w:rsid w:val="00BD13FD"/>
    <w:rsid w:val="00BD1B99"/>
    <w:rsid w:val="00BD2103"/>
    <w:rsid w:val="00BD2701"/>
    <w:rsid w:val="00BD274E"/>
    <w:rsid w:val="00BD27E7"/>
    <w:rsid w:val="00BD2876"/>
    <w:rsid w:val="00BD2EDC"/>
    <w:rsid w:val="00BD3180"/>
    <w:rsid w:val="00BD374C"/>
    <w:rsid w:val="00BD39A0"/>
    <w:rsid w:val="00BD3BD5"/>
    <w:rsid w:val="00BD3BEB"/>
    <w:rsid w:val="00BD3DF8"/>
    <w:rsid w:val="00BD45BE"/>
    <w:rsid w:val="00BD46FB"/>
    <w:rsid w:val="00BD4747"/>
    <w:rsid w:val="00BD4812"/>
    <w:rsid w:val="00BD4B9C"/>
    <w:rsid w:val="00BD4C08"/>
    <w:rsid w:val="00BD4C37"/>
    <w:rsid w:val="00BD4D10"/>
    <w:rsid w:val="00BD4FB0"/>
    <w:rsid w:val="00BD5337"/>
    <w:rsid w:val="00BD613F"/>
    <w:rsid w:val="00BD6582"/>
    <w:rsid w:val="00BD672C"/>
    <w:rsid w:val="00BD68A3"/>
    <w:rsid w:val="00BD6938"/>
    <w:rsid w:val="00BD6CF3"/>
    <w:rsid w:val="00BD6CFB"/>
    <w:rsid w:val="00BD6F60"/>
    <w:rsid w:val="00BD72B0"/>
    <w:rsid w:val="00BD73CE"/>
    <w:rsid w:val="00BD7450"/>
    <w:rsid w:val="00BD7B82"/>
    <w:rsid w:val="00BD7CA3"/>
    <w:rsid w:val="00BD7DDD"/>
    <w:rsid w:val="00BD7EF1"/>
    <w:rsid w:val="00BE0071"/>
    <w:rsid w:val="00BE0117"/>
    <w:rsid w:val="00BE0705"/>
    <w:rsid w:val="00BE07DD"/>
    <w:rsid w:val="00BE086F"/>
    <w:rsid w:val="00BE08A0"/>
    <w:rsid w:val="00BE0981"/>
    <w:rsid w:val="00BE0A22"/>
    <w:rsid w:val="00BE0A8F"/>
    <w:rsid w:val="00BE0CB9"/>
    <w:rsid w:val="00BE1546"/>
    <w:rsid w:val="00BE1567"/>
    <w:rsid w:val="00BE1867"/>
    <w:rsid w:val="00BE18E0"/>
    <w:rsid w:val="00BE1981"/>
    <w:rsid w:val="00BE19B9"/>
    <w:rsid w:val="00BE1C07"/>
    <w:rsid w:val="00BE1DC5"/>
    <w:rsid w:val="00BE1EFE"/>
    <w:rsid w:val="00BE2180"/>
    <w:rsid w:val="00BE21F2"/>
    <w:rsid w:val="00BE2419"/>
    <w:rsid w:val="00BE2588"/>
    <w:rsid w:val="00BE2B8B"/>
    <w:rsid w:val="00BE300D"/>
    <w:rsid w:val="00BE30AF"/>
    <w:rsid w:val="00BE30F2"/>
    <w:rsid w:val="00BE34D1"/>
    <w:rsid w:val="00BE3CC3"/>
    <w:rsid w:val="00BE4074"/>
    <w:rsid w:val="00BE4275"/>
    <w:rsid w:val="00BE42A4"/>
    <w:rsid w:val="00BE437E"/>
    <w:rsid w:val="00BE4AA2"/>
    <w:rsid w:val="00BE4AEC"/>
    <w:rsid w:val="00BE4E4D"/>
    <w:rsid w:val="00BE5479"/>
    <w:rsid w:val="00BE57EF"/>
    <w:rsid w:val="00BE582B"/>
    <w:rsid w:val="00BE5A6A"/>
    <w:rsid w:val="00BE5BB6"/>
    <w:rsid w:val="00BE5CCE"/>
    <w:rsid w:val="00BE60FB"/>
    <w:rsid w:val="00BE645E"/>
    <w:rsid w:val="00BE6899"/>
    <w:rsid w:val="00BE68E5"/>
    <w:rsid w:val="00BE6978"/>
    <w:rsid w:val="00BE6CB6"/>
    <w:rsid w:val="00BE6D5B"/>
    <w:rsid w:val="00BE6E84"/>
    <w:rsid w:val="00BE71B9"/>
    <w:rsid w:val="00BE7242"/>
    <w:rsid w:val="00BE7362"/>
    <w:rsid w:val="00BE74DD"/>
    <w:rsid w:val="00BE74F1"/>
    <w:rsid w:val="00BE7570"/>
    <w:rsid w:val="00BE7709"/>
    <w:rsid w:val="00BE7B30"/>
    <w:rsid w:val="00BE7C8C"/>
    <w:rsid w:val="00BE7DE8"/>
    <w:rsid w:val="00BF051F"/>
    <w:rsid w:val="00BF07D2"/>
    <w:rsid w:val="00BF0F95"/>
    <w:rsid w:val="00BF10B9"/>
    <w:rsid w:val="00BF114E"/>
    <w:rsid w:val="00BF1262"/>
    <w:rsid w:val="00BF12BC"/>
    <w:rsid w:val="00BF14E7"/>
    <w:rsid w:val="00BF1557"/>
    <w:rsid w:val="00BF17D1"/>
    <w:rsid w:val="00BF197C"/>
    <w:rsid w:val="00BF1AE1"/>
    <w:rsid w:val="00BF2081"/>
    <w:rsid w:val="00BF22AC"/>
    <w:rsid w:val="00BF23B7"/>
    <w:rsid w:val="00BF2433"/>
    <w:rsid w:val="00BF2561"/>
    <w:rsid w:val="00BF2731"/>
    <w:rsid w:val="00BF278D"/>
    <w:rsid w:val="00BF2797"/>
    <w:rsid w:val="00BF3046"/>
    <w:rsid w:val="00BF3082"/>
    <w:rsid w:val="00BF3C4E"/>
    <w:rsid w:val="00BF3F6A"/>
    <w:rsid w:val="00BF4472"/>
    <w:rsid w:val="00BF4707"/>
    <w:rsid w:val="00BF4A2A"/>
    <w:rsid w:val="00BF51D8"/>
    <w:rsid w:val="00BF5531"/>
    <w:rsid w:val="00BF55AE"/>
    <w:rsid w:val="00BF584A"/>
    <w:rsid w:val="00BF5865"/>
    <w:rsid w:val="00BF5B26"/>
    <w:rsid w:val="00BF5DC4"/>
    <w:rsid w:val="00BF618B"/>
    <w:rsid w:val="00BF61C9"/>
    <w:rsid w:val="00BF6269"/>
    <w:rsid w:val="00BF6419"/>
    <w:rsid w:val="00BF672E"/>
    <w:rsid w:val="00BF6839"/>
    <w:rsid w:val="00BF6C46"/>
    <w:rsid w:val="00BF6C94"/>
    <w:rsid w:val="00BF6CBD"/>
    <w:rsid w:val="00BF6DBB"/>
    <w:rsid w:val="00BF6E93"/>
    <w:rsid w:val="00BF708B"/>
    <w:rsid w:val="00BF7694"/>
    <w:rsid w:val="00BF7749"/>
    <w:rsid w:val="00BF77F7"/>
    <w:rsid w:val="00BF79C2"/>
    <w:rsid w:val="00BF7B89"/>
    <w:rsid w:val="00BF7C69"/>
    <w:rsid w:val="00C0025A"/>
    <w:rsid w:val="00C0035D"/>
    <w:rsid w:val="00C00424"/>
    <w:rsid w:val="00C00544"/>
    <w:rsid w:val="00C00674"/>
    <w:rsid w:val="00C00698"/>
    <w:rsid w:val="00C00760"/>
    <w:rsid w:val="00C00826"/>
    <w:rsid w:val="00C0095A"/>
    <w:rsid w:val="00C00C37"/>
    <w:rsid w:val="00C00F98"/>
    <w:rsid w:val="00C011CD"/>
    <w:rsid w:val="00C0120E"/>
    <w:rsid w:val="00C01300"/>
    <w:rsid w:val="00C013BD"/>
    <w:rsid w:val="00C013E8"/>
    <w:rsid w:val="00C01757"/>
    <w:rsid w:val="00C01D59"/>
    <w:rsid w:val="00C02063"/>
    <w:rsid w:val="00C021B6"/>
    <w:rsid w:val="00C022EE"/>
    <w:rsid w:val="00C02549"/>
    <w:rsid w:val="00C0262A"/>
    <w:rsid w:val="00C02962"/>
    <w:rsid w:val="00C02B9B"/>
    <w:rsid w:val="00C038E1"/>
    <w:rsid w:val="00C04379"/>
    <w:rsid w:val="00C04788"/>
    <w:rsid w:val="00C04EE8"/>
    <w:rsid w:val="00C04FDC"/>
    <w:rsid w:val="00C050D0"/>
    <w:rsid w:val="00C0542D"/>
    <w:rsid w:val="00C0560C"/>
    <w:rsid w:val="00C06375"/>
    <w:rsid w:val="00C06413"/>
    <w:rsid w:val="00C0642D"/>
    <w:rsid w:val="00C0645F"/>
    <w:rsid w:val="00C06F15"/>
    <w:rsid w:val="00C0796E"/>
    <w:rsid w:val="00C07D68"/>
    <w:rsid w:val="00C07DB6"/>
    <w:rsid w:val="00C10015"/>
    <w:rsid w:val="00C10446"/>
    <w:rsid w:val="00C10488"/>
    <w:rsid w:val="00C10A49"/>
    <w:rsid w:val="00C10CAD"/>
    <w:rsid w:val="00C10EE6"/>
    <w:rsid w:val="00C11088"/>
    <w:rsid w:val="00C1148D"/>
    <w:rsid w:val="00C11532"/>
    <w:rsid w:val="00C11616"/>
    <w:rsid w:val="00C119C1"/>
    <w:rsid w:val="00C11A81"/>
    <w:rsid w:val="00C11C77"/>
    <w:rsid w:val="00C11CD1"/>
    <w:rsid w:val="00C11CF4"/>
    <w:rsid w:val="00C11F79"/>
    <w:rsid w:val="00C11FEE"/>
    <w:rsid w:val="00C12110"/>
    <w:rsid w:val="00C12282"/>
    <w:rsid w:val="00C1283C"/>
    <w:rsid w:val="00C12A75"/>
    <w:rsid w:val="00C12C14"/>
    <w:rsid w:val="00C12C8E"/>
    <w:rsid w:val="00C12DC4"/>
    <w:rsid w:val="00C12E6C"/>
    <w:rsid w:val="00C1314F"/>
    <w:rsid w:val="00C136A1"/>
    <w:rsid w:val="00C140D3"/>
    <w:rsid w:val="00C142E4"/>
    <w:rsid w:val="00C1438A"/>
    <w:rsid w:val="00C14403"/>
    <w:rsid w:val="00C146AE"/>
    <w:rsid w:val="00C14A90"/>
    <w:rsid w:val="00C15192"/>
    <w:rsid w:val="00C162FB"/>
    <w:rsid w:val="00C16395"/>
    <w:rsid w:val="00C167C3"/>
    <w:rsid w:val="00C16B3D"/>
    <w:rsid w:val="00C16C73"/>
    <w:rsid w:val="00C16CBA"/>
    <w:rsid w:val="00C16CF2"/>
    <w:rsid w:val="00C1708F"/>
    <w:rsid w:val="00C17765"/>
    <w:rsid w:val="00C17A42"/>
    <w:rsid w:val="00C17B6F"/>
    <w:rsid w:val="00C17E84"/>
    <w:rsid w:val="00C200AA"/>
    <w:rsid w:val="00C20A03"/>
    <w:rsid w:val="00C20A80"/>
    <w:rsid w:val="00C212B3"/>
    <w:rsid w:val="00C21361"/>
    <w:rsid w:val="00C219FF"/>
    <w:rsid w:val="00C21A7B"/>
    <w:rsid w:val="00C22B6B"/>
    <w:rsid w:val="00C22C5D"/>
    <w:rsid w:val="00C2304E"/>
    <w:rsid w:val="00C233DF"/>
    <w:rsid w:val="00C23472"/>
    <w:rsid w:val="00C23668"/>
    <w:rsid w:val="00C236CA"/>
    <w:rsid w:val="00C236E0"/>
    <w:rsid w:val="00C237ED"/>
    <w:rsid w:val="00C239D9"/>
    <w:rsid w:val="00C23BA0"/>
    <w:rsid w:val="00C23E86"/>
    <w:rsid w:val="00C2444E"/>
    <w:rsid w:val="00C24632"/>
    <w:rsid w:val="00C2468B"/>
    <w:rsid w:val="00C247B7"/>
    <w:rsid w:val="00C24AB8"/>
    <w:rsid w:val="00C24B68"/>
    <w:rsid w:val="00C24E1A"/>
    <w:rsid w:val="00C25198"/>
    <w:rsid w:val="00C25418"/>
    <w:rsid w:val="00C255F1"/>
    <w:rsid w:val="00C25712"/>
    <w:rsid w:val="00C25BE8"/>
    <w:rsid w:val="00C25C0F"/>
    <w:rsid w:val="00C25D9C"/>
    <w:rsid w:val="00C26047"/>
    <w:rsid w:val="00C2605D"/>
    <w:rsid w:val="00C26582"/>
    <w:rsid w:val="00C26C51"/>
    <w:rsid w:val="00C26E75"/>
    <w:rsid w:val="00C26FD6"/>
    <w:rsid w:val="00C27226"/>
    <w:rsid w:val="00C27267"/>
    <w:rsid w:val="00C275F9"/>
    <w:rsid w:val="00C2778B"/>
    <w:rsid w:val="00C278AE"/>
    <w:rsid w:val="00C27C7C"/>
    <w:rsid w:val="00C27E3C"/>
    <w:rsid w:val="00C27F27"/>
    <w:rsid w:val="00C308D7"/>
    <w:rsid w:val="00C3099D"/>
    <w:rsid w:val="00C30A6A"/>
    <w:rsid w:val="00C30C2B"/>
    <w:rsid w:val="00C312F0"/>
    <w:rsid w:val="00C31482"/>
    <w:rsid w:val="00C31649"/>
    <w:rsid w:val="00C316B8"/>
    <w:rsid w:val="00C317CA"/>
    <w:rsid w:val="00C3188D"/>
    <w:rsid w:val="00C31EE0"/>
    <w:rsid w:val="00C323E6"/>
    <w:rsid w:val="00C32960"/>
    <w:rsid w:val="00C32A7A"/>
    <w:rsid w:val="00C32AB3"/>
    <w:rsid w:val="00C332D3"/>
    <w:rsid w:val="00C33599"/>
    <w:rsid w:val="00C33761"/>
    <w:rsid w:val="00C342A2"/>
    <w:rsid w:val="00C345AE"/>
    <w:rsid w:val="00C347DD"/>
    <w:rsid w:val="00C34899"/>
    <w:rsid w:val="00C34DC1"/>
    <w:rsid w:val="00C34F8E"/>
    <w:rsid w:val="00C357A0"/>
    <w:rsid w:val="00C358AD"/>
    <w:rsid w:val="00C359B0"/>
    <w:rsid w:val="00C362E2"/>
    <w:rsid w:val="00C36493"/>
    <w:rsid w:val="00C36520"/>
    <w:rsid w:val="00C36727"/>
    <w:rsid w:val="00C36876"/>
    <w:rsid w:val="00C3688A"/>
    <w:rsid w:val="00C373CB"/>
    <w:rsid w:val="00C377FB"/>
    <w:rsid w:val="00C3789F"/>
    <w:rsid w:val="00C4016E"/>
    <w:rsid w:val="00C40385"/>
    <w:rsid w:val="00C40729"/>
    <w:rsid w:val="00C40797"/>
    <w:rsid w:val="00C408AD"/>
    <w:rsid w:val="00C4092E"/>
    <w:rsid w:val="00C40A13"/>
    <w:rsid w:val="00C40ADA"/>
    <w:rsid w:val="00C40ED4"/>
    <w:rsid w:val="00C41045"/>
    <w:rsid w:val="00C412BA"/>
    <w:rsid w:val="00C41852"/>
    <w:rsid w:val="00C41A98"/>
    <w:rsid w:val="00C41CFB"/>
    <w:rsid w:val="00C4207D"/>
    <w:rsid w:val="00C42470"/>
    <w:rsid w:val="00C425EA"/>
    <w:rsid w:val="00C4290F"/>
    <w:rsid w:val="00C4293E"/>
    <w:rsid w:val="00C42D6D"/>
    <w:rsid w:val="00C42EE6"/>
    <w:rsid w:val="00C42F8B"/>
    <w:rsid w:val="00C43016"/>
    <w:rsid w:val="00C434E9"/>
    <w:rsid w:val="00C43EA3"/>
    <w:rsid w:val="00C4428F"/>
    <w:rsid w:val="00C4434B"/>
    <w:rsid w:val="00C44738"/>
    <w:rsid w:val="00C447BD"/>
    <w:rsid w:val="00C448C5"/>
    <w:rsid w:val="00C44928"/>
    <w:rsid w:val="00C44A31"/>
    <w:rsid w:val="00C44E2B"/>
    <w:rsid w:val="00C44FD9"/>
    <w:rsid w:val="00C45005"/>
    <w:rsid w:val="00C4515D"/>
    <w:rsid w:val="00C4526D"/>
    <w:rsid w:val="00C452F7"/>
    <w:rsid w:val="00C4534E"/>
    <w:rsid w:val="00C4551D"/>
    <w:rsid w:val="00C45545"/>
    <w:rsid w:val="00C455E8"/>
    <w:rsid w:val="00C45941"/>
    <w:rsid w:val="00C45DE5"/>
    <w:rsid w:val="00C46474"/>
    <w:rsid w:val="00C465BD"/>
    <w:rsid w:val="00C467C7"/>
    <w:rsid w:val="00C46C02"/>
    <w:rsid w:val="00C46D33"/>
    <w:rsid w:val="00C470C1"/>
    <w:rsid w:val="00C475AA"/>
    <w:rsid w:val="00C47C3B"/>
    <w:rsid w:val="00C47CDF"/>
    <w:rsid w:val="00C50083"/>
    <w:rsid w:val="00C503A4"/>
    <w:rsid w:val="00C5050C"/>
    <w:rsid w:val="00C508F5"/>
    <w:rsid w:val="00C50A27"/>
    <w:rsid w:val="00C50EEA"/>
    <w:rsid w:val="00C5140D"/>
    <w:rsid w:val="00C517B9"/>
    <w:rsid w:val="00C51947"/>
    <w:rsid w:val="00C51A15"/>
    <w:rsid w:val="00C51A18"/>
    <w:rsid w:val="00C51B82"/>
    <w:rsid w:val="00C52212"/>
    <w:rsid w:val="00C52507"/>
    <w:rsid w:val="00C52613"/>
    <w:rsid w:val="00C528E4"/>
    <w:rsid w:val="00C528ED"/>
    <w:rsid w:val="00C5315B"/>
    <w:rsid w:val="00C53554"/>
    <w:rsid w:val="00C5396D"/>
    <w:rsid w:val="00C53B03"/>
    <w:rsid w:val="00C53B69"/>
    <w:rsid w:val="00C53BAA"/>
    <w:rsid w:val="00C53D43"/>
    <w:rsid w:val="00C53D7C"/>
    <w:rsid w:val="00C53D8D"/>
    <w:rsid w:val="00C53DC0"/>
    <w:rsid w:val="00C543F8"/>
    <w:rsid w:val="00C54CCA"/>
    <w:rsid w:val="00C552C2"/>
    <w:rsid w:val="00C55319"/>
    <w:rsid w:val="00C55644"/>
    <w:rsid w:val="00C556DA"/>
    <w:rsid w:val="00C557C8"/>
    <w:rsid w:val="00C55B6F"/>
    <w:rsid w:val="00C55C0F"/>
    <w:rsid w:val="00C560EB"/>
    <w:rsid w:val="00C561AC"/>
    <w:rsid w:val="00C564C3"/>
    <w:rsid w:val="00C5668D"/>
    <w:rsid w:val="00C5686A"/>
    <w:rsid w:val="00C56D16"/>
    <w:rsid w:val="00C56E68"/>
    <w:rsid w:val="00C56EE0"/>
    <w:rsid w:val="00C57267"/>
    <w:rsid w:val="00C5738E"/>
    <w:rsid w:val="00C57663"/>
    <w:rsid w:val="00C578C8"/>
    <w:rsid w:val="00C5797F"/>
    <w:rsid w:val="00C57B48"/>
    <w:rsid w:val="00C57D96"/>
    <w:rsid w:val="00C605E8"/>
    <w:rsid w:val="00C60A63"/>
    <w:rsid w:val="00C60E3F"/>
    <w:rsid w:val="00C61118"/>
    <w:rsid w:val="00C6123F"/>
    <w:rsid w:val="00C61C50"/>
    <w:rsid w:val="00C62B03"/>
    <w:rsid w:val="00C62B8F"/>
    <w:rsid w:val="00C633C5"/>
    <w:rsid w:val="00C637C9"/>
    <w:rsid w:val="00C63891"/>
    <w:rsid w:val="00C638C8"/>
    <w:rsid w:val="00C63C2C"/>
    <w:rsid w:val="00C63F1C"/>
    <w:rsid w:val="00C64324"/>
    <w:rsid w:val="00C64B8E"/>
    <w:rsid w:val="00C65152"/>
    <w:rsid w:val="00C65307"/>
    <w:rsid w:val="00C653AE"/>
    <w:rsid w:val="00C65576"/>
    <w:rsid w:val="00C656F8"/>
    <w:rsid w:val="00C66118"/>
    <w:rsid w:val="00C66165"/>
    <w:rsid w:val="00C66297"/>
    <w:rsid w:val="00C664B9"/>
    <w:rsid w:val="00C66547"/>
    <w:rsid w:val="00C665E2"/>
    <w:rsid w:val="00C66867"/>
    <w:rsid w:val="00C66B5B"/>
    <w:rsid w:val="00C66E7F"/>
    <w:rsid w:val="00C67431"/>
    <w:rsid w:val="00C6751F"/>
    <w:rsid w:val="00C67774"/>
    <w:rsid w:val="00C67A1A"/>
    <w:rsid w:val="00C67AD5"/>
    <w:rsid w:val="00C67BBA"/>
    <w:rsid w:val="00C67F73"/>
    <w:rsid w:val="00C702B8"/>
    <w:rsid w:val="00C70381"/>
    <w:rsid w:val="00C70439"/>
    <w:rsid w:val="00C704CE"/>
    <w:rsid w:val="00C7058E"/>
    <w:rsid w:val="00C70730"/>
    <w:rsid w:val="00C707A2"/>
    <w:rsid w:val="00C708E5"/>
    <w:rsid w:val="00C70983"/>
    <w:rsid w:val="00C709D9"/>
    <w:rsid w:val="00C70A23"/>
    <w:rsid w:val="00C70F89"/>
    <w:rsid w:val="00C71123"/>
    <w:rsid w:val="00C7151A"/>
    <w:rsid w:val="00C715DE"/>
    <w:rsid w:val="00C71B17"/>
    <w:rsid w:val="00C71D3C"/>
    <w:rsid w:val="00C71F60"/>
    <w:rsid w:val="00C721CA"/>
    <w:rsid w:val="00C72241"/>
    <w:rsid w:val="00C72654"/>
    <w:rsid w:val="00C72728"/>
    <w:rsid w:val="00C72BAD"/>
    <w:rsid w:val="00C72FEB"/>
    <w:rsid w:val="00C731A7"/>
    <w:rsid w:val="00C73201"/>
    <w:rsid w:val="00C733A3"/>
    <w:rsid w:val="00C73809"/>
    <w:rsid w:val="00C7384D"/>
    <w:rsid w:val="00C7387D"/>
    <w:rsid w:val="00C73CD5"/>
    <w:rsid w:val="00C73FE8"/>
    <w:rsid w:val="00C74557"/>
    <w:rsid w:val="00C749C5"/>
    <w:rsid w:val="00C749CE"/>
    <w:rsid w:val="00C750C8"/>
    <w:rsid w:val="00C75355"/>
    <w:rsid w:val="00C753D1"/>
    <w:rsid w:val="00C75532"/>
    <w:rsid w:val="00C7557B"/>
    <w:rsid w:val="00C755BF"/>
    <w:rsid w:val="00C7560F"/>
    <w:rsid w:val="00C75F0A"/>
    <w:rsid w:val="00C75F4F"/>
    <w:rsid w:val="00C76096"/>
    <w:rsid w:val="00C76212"/>
    <w:rsid w:val="00C763EA"/>
    <w:rsid w:val="00C769F5"/>
    <w:rsid w:val="00C76B6D"/>
    <w:rsid w:val="00C76D03"/>
    <w:rsid w:val="00C77044"/>
    <w:rsid w:val="00C770A2"/>
    <w:rsid w:val="00C774FD"/>
    <w:rsid w:val="00C77C6A"/>
    <w:rsid w:val="00C77D42"/>
    <w:rsid w:val="00C77E10"/>
    <w:rsid w:val="00C801B2"/>
    <w:rsid w:val="00C80414"/>
    <w:rsid w:val="00C80561"/>
    <w:rsid w:val="00C8060C"/>
    <w:rsid w:val="00C80796"/>
    <w:rsid w:val="00C80982"/>
    <w:rsid w:val="00C80A0E"/>
    <w:rsid w:val="00C80B30"/>
    <w:rsid w:val="00C80C9A"/>
    <w:rsid w:val="00C81534"/>
    <w:rsid w:val="00C81580"/>
    <w:rsid w:val="00C81C1B"/>
    <w:rsid w:val="00C81E96"/>
    <w:rsid w:val="00C8213F"/>
    <w:rsid w:val="00C82725"/>
    <w:rsid w:val="00C82B27"/>
    <w:rsid w:val="00C83116"/>
    <w:rsid w:val="00C83597"/>
    <w:rsid w:val="00C83AB9"/>
    <w:rsid w:val="00C83BA8"/>
    <w:rsid w:val="00C83C6D"/>
    <w:rsid w:val="00C83D94"/>
    <w:rsid w:val="00C8402D"/>
    <w:rsid w:val="00C840A4"/>
    <w:rsid w:val="00C84DBA"/>
    <w:rsid w:val="00C8509E"/>
    <w:rsid w:val="00C857BE"/>
    <w:rsid w:val="00C857F9"/>
    <w:rsid w:val="00C85BA0"/>
    <w:rsid w:val="00C85BB3"/>
    <w:rsid w:val="00C85C33"/>
    <w:rsid w:val="00C85F46"/>
    <w:rsid w:val="00C85FF7"/>
    <w:rsid w:val="00C8638B"/>
    <w:rsid w:val="00C8716B"/>
    <w:rsid w:val="00C87350"/>
    <w:rsid w:val="00C8757D"/>
    <w:rsid w:val="00C876B7"/>
    <w:rsid w:val="00C8797A"/>
    <w:rsid w:val="00C8797B"/>
    <w:rsid w:val="00C879BA"/>
    <w:rsid w:val="00C87C59"/>
    <w:rsid w:val="00C87D44"/>
    <w:rsid w:val="00C87DDA"/>
    <w:rsid w:val="00C900B8"/>
    <w:rsid w:val="00C9041C"/>
    <w:rsid w:val="00C90540"/>
    <w:rsid w:val="00C90639"/>
    <w:rsid w:val="00C9093D"/>
    <w:rsid w:val="00C90B71"/>
    <w:rsid w:val="00C90BC7"/>
    <w:rsid w:val="00C90C71"/>
    <w:rsid w:val="00C90CB6"/>
    <w:rsid w:val="00C90DDD"/>
    <w:rsid w:val="00C90EBC"/>
    <w:rsid w:val="00C90EBE"/>
    <w:rsid w:val="00C90FA2"/>
    <w:rsid w:val="00C91194"/>
    <w:rsid w:val="00C9171F"/>
    <w:rsid w:val="00C91D30"/>
    <w:rsid w:val="00C91D8F"/>
    <w:rsid w:val="00C91DA9"/>
    <w:rsid w:val="00C91EBA"/>
    <w:rsid w:val="00C91F7F"/>
    <w:rsid w:val="00C920B0"/>
    <w:rsid w:val="00C920ED"/>
    <w:rsid w:val="00C9213E"/>
    <w:rsid w:val="00C92736"/>
    <w:rsid w:val="00C931CD"/>
    <w:rsid w:val="00C931CF"/>
    <w:rsid w:val="00C935CF"/>
    <w:rsid w:val="00C93737"/>
    <w:rsid w:val="00C93763"/>
    <w:rsid w:val="00C93821"/>
    <w:rsid w:val="00C938CF"/>
    <w:rsid w:val="00C93BD9"/>
    <w:rsid w:val="00C947EA"/>
    <w:rsid w:val="00C94AAD"/>
    <w:rsid w:val="00C94ED7"/>
    <w:rsid w:val="00C94F87"/>
    <w:rsid w:val="00C95039"/>
    <w:rsid w:val="00C95777"/>
    <w:rsid w:val="00C9578C"/>
    <w:rsid w:val="00C9624D"/>
    <w:rsid w:val="00C969DA"/>
    <w:rsid w:val="00C96C28"/>
    <w:rsid w:val="00C9784F"/>
    <w:rsid w:val="00C97B83"/>
    <w:rsid w:val="00C97C3F"/>
    <w:rsid w:val="00C97F50"/>
    <w:rsid w:val="00C97FB4"/>
    <w:rsid w:val="00C97FE6"/>
    <w:rsid w:val="00CA00C5"/>
    <w:rsid w:val="00CA0733"/>
    <w:rsid w:val="00CA0D94"/>
    <w:rsid w:val="00CA0D95"/>
    <w:rsid w:val="00CA0E1C"/>
    <w:rsid w:val="00CA18ED"/>
    <w:rsid w:val="00CA1B5B"/>
    <w:rsid w:val="00CA1BC0"/>
    <w:rsid w:val="00CA1C33"/>
    <w:rsid w:val="00CA24C2"/>
    <w:rsid w:val="00CA267A"/>
    <w:rsid w:val="00CA26EA"/>
    <w:rsid w:val="00CA2A6E"/>
    <w:rsid w:val="00CA2A7A"/>
    <w:rsid w:val="00CA2B15"/>
    <w:rsid w:val="00CA2B77"/>
    <w:rsid w:val="00CA2C77"/>
    <w:rsid w:val="00CA2CBA"/>
    <w:rsid w:val="00CA2CE0"/>
    <w:rsid w:val="00CA2D3E"/>
    <w:rsid w:val="00CA310B"/>
    <w:rsid w:val="00CA318F"/>
    <w:rsid w:val="00CA34D5"/>
    <w:rsid w:val="00CA350C"/>
    <w:rsid w:val="00CA3511"/>
    <w:rsid w:val="00CA4312"/>
    <w:rsid w:val="00CA444F"/>
    <w:rsid w:val="00CA4E64"/>
    <w:rsid w:val="00CA4F8F"/>
    <w:rsid w:val="00CA50D2"/>
    <w:rsid w:val="00CA5245"/>
    <w:rsid w:val="00CA53EB"/>
    <w:rsid w:val="00CA56B8"/>
    <w:rsid w:val="00CA63A9"/>
    <w:rsid w:val="00CA6616"/>
    <w:rsid w:val="00CA6D41"/>
    <w:rsid w:val="00CA6DA9"/>
    <w:rsid w:val="00CA707A"/>
    <w:rsid w:val="00CA7133"/>
    <w:rsid w:val="00CA71F4"/>
    <w:rsid w:val="00CA7517"/>
    <w:rsid w:val="00CA7574"/>
    <w:rsid w:val="00CA766E"/>
    <w:rsid w:val="00CA77F3"/>
    <w:rsid w:val="00CA7B09"/>
    <w:rsid w:val="00CA7E1B"/>
    <w:rsid w:val="00CB013E"/>
    <w:rsid w:val="00CB0676"/>
    <w:rsid w:val="00CB0718"/>
    <w:rsid w:val="00CB0CFD"/>
    <w:rsid w:val="00CB0ED6"/>
    <w:rsid w:val="00CB1429"/>
    <w:rsid w:val="00CB1836"/>
    <w:rsid w:val="00CB18B4"/>
    <w:rsid w:val="00CB1F6E"/>
    <w:rsid w:val="00CB2397"/>
    <w:rsid w:val="00CB275A"/>
    <w:rsid w:val="00CB2C92"/>
    <w:rsid w:val="00CB2D19"/>
    <w:rsid w:val="00CB2D84"/>
    <w:rsid w:val="00CB2F2A"/>
    <w:rsid w:val="00CB2FEA"/>
    <w:rsid w:val="00CB3289"/>
    <w:rsid w:val="00CB3D91"/>
    <w:rsid w:val="00CB3FA7"/>
    <w:rsid w:val="00CB4296"/>
    <w:rsid w:val="00CB494F"/>
    <w:rsid w:val="00CB49EA"/>
    <w:rsid w:val="00CB4E2A"/>
    <w:rsid w:val="00CB4F1D"/>
    <w:rsid w:val="00CB5000"/>
    <w:rsid w:val="00CB55EA"/>
    <w:rsid w:val="00CB5B1A"/>
    <w:rsid w:val="00CB5E48"/>
    <w:rsid w:val="00CB61C6"/>
    <w:rsid w:val="00CB638B"/>
    <w:rsid w:val="00CB66CB"/>
    <w:rsid w:val="00CB6734"/>
    <w:rsid w:val="00CB6817"/>
    <w:rsid w:val="00CB684E"/>
    <w:rsid w:val="00CB6A89"/>
    <w:rsid w:val="00CB6B16"/>
    <w:rsid w:val="00CB6B22"/>
    <w:rsid w:val="00CB6D78"/>
    <w:rsid w:val="00CB7657"/>
    <w:rsid w:val="00CB773A"/>
    <w:rsid w:val="00CB7795"/>
    <w:rsid w:val="00CB7D90"/>
    <w:rsid w:val="00CB7DF1"/>
    <w:rsid w:val="00CB7F5F"/>
    <w:rsid w:val="00CC0390"/>
    <w:rsid w:val="00CC05A9"/>
    <w:rsid w:val="00CC078C"/>
    <w:rsid w:val="00CC0DE5"/>
    <w:rsid w:val="00CC1136"/>
    <w:rsid w:val="00CC1198"/>
    <w:rsid w:val="00CC15CC"/>
    <w:rsid w:val="00CC162F"/>
    <w:rsid w:val="00CC1772"/>
    <w:rsid w:val="00CC185C"/>
    <w:rsid w:val="00CC1AFB"/>
    <w:rsid w:val="00CC1B39"/>
    <w:rsid w:val="00CC1BF5"/>
    <w:rsid w:val="00CC2211"/>
    <w:rsid w:val="00CC22DC"/>
    <w:rsid w:val="00CC22F0"/>
    <w:rsid w:val="00CC2B3D"/>
    <w:rsid w:val="00CC2DD6"/>
    <w:rsid w:val="00CC2FB2"/>
    <w:rsid w:val="00CC3478"/>
    <w:rsid w:val="00CC3511"/>
    <w:rsid w:val="00CC3726"/>
    <w:rsid w:val="00CC3917"/>
    <w:rsid w:val="00CC3A29"/>
    <w:rsid w:val="00CC3BB6"/>
    <w:rsid w:val="00CC3E5B"/>
    <w:rsid w:val="00CC44EA"/>
    <w:rsid w:val="00CC4898"/>
    <w:rsid w:val="00CC4C55"/>
    <w:rsid w:val="00CC51E1"/>
    <w:rsid w:val="00CC5471"/>
    <w:rsid w:val="00CC5734"/>
    <w:rsid w:val="00CC5833"/>
    <w:rsid w:val="00CC5945"/>
    <w:rsid w:val="00CC5AEB"/>
    <w:rsid w:val="00CC5CE3"/>
    <w:rsid w:val="00CC5E1E"/>
    <w:rsid w:val="00CC5FE6"/>
    <w:rsid w:val="00CC602E"/>
    <w:rsid w:val="00CC6062"/>
    <w:rsid w:val="00CC621F"/>
    <w:rsid w:val="00CC6490"/>
    <w:rsid w:val="00CC6706"/>
    <w:rsid w:val="00CC6B4E"/>
    <w:rsid w:val="00CC700D"/>
    <w:rsid w:val="00CC7129"/>
    <w:rsid w:val="00CC719B"/>
    <w:rsid w:val="00CC793E"/>
    <w:rsid w:val="00CC7BBC"/>
    <w:rsid w:val="00CC7BF8"/>
    <w:rsid w:val="00CC7EFE"/>
    <w:rsid w:val="00CD0391"/>
    <w:rsid w:val="00CD0523"/>
    <w:rsid w:val="00CD06E9"/>
    <w:rsid w:val="00CD0F62"/>
    <w:rsid w:val="00CD1067"/>
    <w:rsid w:val="00CD13F3"/>
    <w:rsid w:val="00CD15DF"/>
    <w:rsid w:val="00CD1637"/>
    <w:rsid w:val="00CD1763"/>
    <w:rsid w:val="00CD191A"/>
    <w:rsid w:val="00CD1A3A"/>
    <w:rsid w:val="00CD1FDE"/>
    <w:rsid w:val="00CD212C"/>
    <w:rsid w:val="00CD2C00"/>
    <w:rsid w:val="00CD2CB0"/>
    <w:rsid w:val="00CD3377"/>
    <w:rsid w:val="00CD3411"/>
    <w:rsid w:val="00CD3920"/>
    <w:rsid w:val="00CD3B7E"/>
    <w:rsid w:val="00CD4272"/>
    <w:rsid w:val="00CD42FF"/>
    <w:rsid w:val="00CD43F6"/>
    <w:rsid w:val="00CD4750"/>
    <w:rsid w:val="00CD49A5"/>
    <w:rsid w:val="00CD49E7"/>
    <w:rsid w:val="00CD57BF"/>
    <w:rsid w:val="00CD5AB1"/>
    <w:rsid w:val="00CD5B00"/>
    <w:rsid w:val="00CD5DCF"/>
    <w:rsid w:val="00CD5F87"/>
    <w:rsid w:val="00CD6299"/>
    <w:rsid w:val="00CD636F"/>
    <w:rsid w:val="00CD6383"/>
    <w:rsid w:val="00CD67EE"/>
    <w:rsid w:val="00CD6A3C"/>
    <w:rsid w:val="00CD6ADC"/>
    <w:rsid w:val="00CD6B8C"/>
    <w:rsid w:val="00CD70D8"/>
    <w:rsid w:val="00CD72A6"/>
    <w:rsid w:val="00CD7428"/>
    <w:rsid w:val="00CD7941"/>
    <w:rsid w:val="00CD7AB2"/>
    <w:rsid w:val="00CD7DE9"/>
    <w:rsid w:val="00CE0337"/>
    <w:rsid w:val="00CE0753"/>
    <w:rsid w:val="00CE08A8"/>
    <w:rsid w:val="00CE08E0"/>
    <w:rsid w:val="00CE0CA0"/>
    <w:rsid w:val="00CE1461"/>
    <w:rsid w:val="00CE1562"/>
    <w:rsid w:val="00CE15B1"/>
    <w:rsid w:val="00CE169E"/>
    <w:rsid w:val="00CE180E"/>
    <w:rsid w:val="00CE183D"/>
    <w:rsid w:val="00CE1C85"/>
    <w:rsid w:val="00CE22C7"/>
    <w:rsid w:val="00CE278B"/>
    <w:rsid w:val="00CE2897"/>
    <w:rsid w:val="00CE38C2"/>
    <w:rsid w:val="00CE3A83"/>
    <w:rsid w:val="00CE3F7D"/>
    <w:rsid w:val="00CE41FF"/>
    <w:rsid w:val="00CE488E"/>
    <w:rsid w:val="00CE4DF5"/>
    <w:rsid w:val="00CE5273"/>
    <w:rsid w:val="00CE57D7"/>
    <w:rsid w:val="00CE5833"/>
    <w:rsid w:val="00CE5EBC"/>
    <w:rsid w:val="00CE618D"/>
    <w:rsid w:val="00CE6248"/>
    <w:rsid w:val="00CE6274"/>
    <w:rsid w:val="00CE703C"/>
    <w:rsid w:val="00CE731A"/>
    <w:rsid w:val="00CE7404"/>
    <w:rsid w:val="00CE7627"/>
    <w:rsid w:val="00CE78F6"/>
    <w:rsid w:val="00CE7AC6"/>
    <w:rsid w:val="00CE7BC8"/>
    <w:rsid w:val="00CE7C6E"/>
    <w:rsid w:val="00CE7DA6"/>
    <w:rsid w:val="00CF04C5"/>
    <w:rsid w:val="00CF0ADA"/>
    <w:rsid w:val="00CF0EC1"/>
    <w:rsid w:val="00CF104F"/>
    <w:rsid w:val="00CF1DDD"/>
    <w:rsid w:val="00CF22B1"/>
    <w:rsid w:val="00CF23E3"/>
    <w:rsid w:val="00CF28F7"/>
    <w:rsid w:val="00CF2B8D"/>
    <w:rsid w:val="00CF2CC5"/>
    <w:rsid w:val="00CF2FD5"/>
    <w:rsid w:val="00CF3397"/>
    <w:rsid w:val="00CF3516"/>
    <w:rsid w:val="00CF39BC"/>
    <w:rsid w:val="00CF3F4F"/>
    <w:rsid w:val="00CF4274"/>
    <w:rsid w:val="00CF456B"/>
    <w:rsid w:val="00CF485F"/>
    <w:rsid w:val="00CF4BCC"/>
    <w:rsid w:val="00CF4C7C"/>
    <w:rsid w:val="00CF4CE9"/>
    <w:rsid w:val="00CF588C"/>
    <w:rsid w:val="00CF59A5"/>
    <w:rsid w:val="00CF5A22"/>
    <w:rsid w:val="00CF5AF8"/>
    <w:rsid w:val="00CF5E17"/>
    <w:rsid w:val="00CF5EEC"/>
    <w:rsid w:val="00CF62B3"/>
    <w:rsid w:val="00CF6736"/>
    <w:rsid w:val="00CF676C"/>
    <w:rsid w:val="00CF68A9"/>
    <w:rsid w:val="00CF6FCF"/>
    <w:rsid w:val="00CF7091"/>
    <w:rsid w:val="00CF73AC"/>
    <w:rsid w:val="00CF73B7"/>
    <w:rsid w:val="00CF7445"/>
    <w:rsid w:val="00CF75B3"/>
    <w:rsid w:val="00CF76AD"/>
    <w:rsid w:val="00CF7C98"/>
    <w:rsid w:val="00D000A9"/>
    <w:rsid w:val="00D000E5"/>
    <w:rsid w:val="00D0010A"/>
    <w:rsid w:val="00D0062A"/>
    <w:rsid w:val="00D00813"/>
    <w:rsid w:val="00D0099E"/>
    <w:rsid w:val="00D00AEA"/>
    <w:rsid w:val="00D00B79"/>
    <w:rsid w:val="00D01060"/>
    <w:rsid w:val="00D011FF"/>
    <w:rsid w:val="00D018F9"/>
    <w:rsid w:val="00D019C0"/>
    <w:rsid w:val="00D019D9"/>
    <w:rsid w:val="00D01B03"/>
    <w:rsid w:val="00D01D21"/>
    <w:rsid w:val="00D01DC0"/>
    <w:rsid w:val="00D01E4C"/>
    <w:rsid w:val="00D020C6"/>
    <w:rsid w:val="00D021AB"/>
    <w:rsid w:val="00D0234C"/>
    <w:rsid w:val="00D023EF"/>
    <w:rsid w:val="00D0262E"/>
    <w:rsid w:val="00D02649"/>
    <w:rsid w:val="00D026F5"/>
    <w:rsid w:val="00D02A27"/>
    <w:rsid w:val="00D02D7F"/>
    <w:rsid w:val="00D02E6B"/>
    <w:rsid w:val="00D02E8F"/>
    <w:rsid w:val="00D0328B"/>
    <w:rsid w:val="00D032D3"/>
    <w:rsid w:val="00D038B6"/>
    <w:rsid w:val="00D0399B"/>
    <w:rsid w:val="00D03A0E"/>
    <w:rsid w:val="00D03A39"/>
    <w:rsid w:val="00D03DF1"/>
    <w:rsid w:val="00D03E05"/>
    <w:rsid w:val="00D03F80"/>
    <w:rsid w:val="00D046E1"/>
    <w:rsid w:val="00D0470A"/>
    <w:rsid w:val="00D04766"/>
    <w:rsid w:val="00D04856"/>
    <w:rsid w:val="00D04D2A"/>
    <w:rsid w:val="00D05442"/>
    <w:rsid w:val="00D054B7"/>
    <w:rsid w:val="00D05D83"/>
    <w:rsid w:val="00D05ECA"/>
    <w:rsid w:val="00D06450"/>
    <w:rsid w:val="00D06548"/>
    <w:rsid w:val="00D06596"/>
    <w:rsid w:val="00D066D7"/>
    <w:rsid w:val="00D068B4"/>
    <w:rsid w:val="00D06A03"/>
    <w:rsid w:val="00D06B08"/>
    <w:rsid w:val="00D06BC1"/>
    <w:rsid w:val="00D06F6C"/>
    <w:rsid w:val="00D072D1"/>
    <w:rsid w:val="00D075A5"/>
    <w:rsid w:val="00D075EB"/>
    <w:rsid w:val="00D077DE"/>
    <w:rsid w:val="00D07997"/>
    <w:rsid w:val="00D07A0A"/>
    <w:rsid w:val="00D07BF2"/>
    <w:rsid w:val="00D07D15"/>
    <w:rsid w:val="00D07D72"/>
    <w:rsid w:val="00D1084E"/>
    <w:rsid w:val="00D10912"/>
    <w:rsid w:val="00D10AE6"/>
    <w:rsid w:val="00D10BD2"/>
    <w:rsid w:val="00D10CE8"/>
    <w:rsid w:val="00D110BD"/>
    <w:rsid w:val="00D11386"/>
    <w:rsid w:val="00D11418"/>
    <w:rsid w:val="00D114CD"/>
    <w:rsid w:val="00D1179A"/>
    <w:rsid w:val="00D119CC"/>
    <w:rsid w:val="00D11B16"/>
    <w:rsid w:val="00D1201C"/>
    <w:rsid w:val="00D123EE"/>
    <w:rsid w:val="00D126E0"/>
    <w:rsid w:val="00D127EE"/>
    <w:rsid w:val="00D12832"/>
    <w:rsid w:val="00D128AB"/>
    <w:rsid w:val="00D12CAE"/>
    <w:rsid w:val="00D12E85"/>
    <w:rsid w:val="00D13571"/>
    <w:rsid w:val="00D13675"/>
    <w:rsid w:val="00D13AE6"/>
    <w:rsid w:val="00D13B7A"/>
    <w:rsid w:val="00D13D54"/>
    <w:rsid w:val="00D14077"/>
    <w:rsid w:val="00D141E1"/>
    <w:rsid w:val="00D14471"/>
    <w:rsid w:val="00D14611"/>
    <w:rsid w:val="00D14755"/>
    <w:rsid w:val="00D14BCB"/>
    <w:rsid w:val="00D1520E"/>
    <w:rsid w:val="00D15295"/>
    <w:rsid w:val="00D153B7"/>
    <w:rsid w:val="00D159C4"/>
    <w:rsid w:val="00D15A1A"/>
    <w:rsid w:val="00D15D3F"/>
    <w:rsid w:val="00D16588"/>
    <w:rsid w:val="00D16AFC"/>
    <w:rsid w:val="00D16DB7"/>
    <w:rsid w:val="00D16E61"/>
    <w:rsid w:val="00D17382"/>
    <w:rsid w:val="00D177B0"/>
    <w:rsid w:val="00D17BA9"/>
    <w:rsid w:val="00D17C64"/>
    <w:rsid w:val="00D17D6C"/>
    <w:rsid w:val="00D17D8D"/>
    <w:rsid w:val="00D17DED"/>
    <w:rsid w:val="00D17F14"/>
    <w:rsid w:val="00D17F53"/>
    <w:rsid w:val="00D20076"/>
    <w:rsid w:val="00D20685"/>
    <w:rsid w:val="00D206A8"/>
    <w:rsid w:val="00D20702"/>
    <w:rsid w:val="00D20AF1"/>
    <w:rsid w:val="00D20F1E"/>
    <w:rsid w:val="00D210A4"/>
    <w:rsid w:val="00D21822"/>
    <w:rsid w:val="00D21AFF"/>
    <w:rsid w:val="00D220DA"/>
    <w:rsid w:val="00D2219E"/>
    <w:rsid w:val="00D2258D"/>
    <w:rsid w:val="00D225C7"/>
    <w:rsid w:val="00D226AC"/>
    <w:rsid w:val="00D227A0"/>
    <w:rsid w:val="00D22C49"/>
    <w:rsid w:val="00D235FF"/>
    <w:rsid w:val="00D2367D"/>
    <w:rsid w:val="00D23E7D"/>
    <w:rsid w:val="00D24158"/>
    <w:rsid w:val="00D241E0"/>
    <w:rsid w:val="00D243F9"/>
    <w:rsid w:val="00D24746"/>
    <w:rsid w:val="00D247B9"/>
    <w:rsid w:val="00D248A1"/>
    <w:rsid w:val="00D24982"/>
    <w:rsid w:val="00D249B3"/>
    <w:rsid w:val="00D24EC4"/>
    <w:rsid w:val="00D251E9"/>
    <w:rsid w:val="00D25200"/>
    <w:rsid w:val="00D254C1"/>
    <w:rsid w:val="00D25A5F"/>
    <w:rsid w:val="00D2616A"/>
    <w:rsid w:val="00D26D3C"/>
    <w:rsid w:val="00D26E1A"/>
    <w:rsid w:val="00D2744B"/>
    <w:rsid w:val="00D2754D"/>
    <w:rsid w:val="00D278EA"/>
    <w:rsid w:val="00D279DE"/>
    <w:rsid w:val="00D27B1A"/>
    <w:rsid w:val="00D27B27"/>
    <w:rsid w:val="00D27BA0"/>
    <w:rsid w:val="00D3060E"/>
    <w:rsid w:val="00D30D79"/>
    <w:rsid w:val="00D3101C"/>
    <w:rsid w:val="00D31257"/>
    <w:rsid w:val="00D312BB"/>
    <w:rsid w:val="00D31916"/>
    <w:rsid w:val="00D31CE4"/>
    <w:rsid w:val="00D320F2"/>
    <w:rsid w:val="00D320FA"/>
    <w:rsid w:val="00D32119"/>
    <w:rsid w:val="00D32272"/>
    <w:rsid w:val="00D326AB"/>
    <w:rsid w:val="00D32C8B"/>
    <w:rsid w:val="00D32D52"/>
    <w:rsid w:val="00D33AA1"/>
    <w:rsid w:val="00D33BD5"/>
    <w:rsid w:val="00D33BE9"/>
    <w:rsid w:val="00D340FF"/>
    <w:rsid w:val="00D34651"/>
    <w:rsid w:val="00D34819"/>
    <w:rsid w:val="00D34A78"/>
    <w:rsid w:val="00D34F11"/>
    <w:rsid w:val="00D353C8"/>
    <w:rsid w:val="00D357FF"/>
    <w:rsid w:val="00D36B8F"/>
    <w:rsid w:val="00D36C82"/>
    <w:rsid w:val="00D36E3C"/>
    <w:rsid w:val="00D36F4D"/>
    <w:rsid w:val="00D373A4"/>
    <w:rsid w:val="00D37467"/>
    <w:rsid w:val="00D375AD"/>
    <w:rsid w:val="00D37961"/>
    <w:rsid w:val="00D37A47"/>
    <w:rsid w:val="00D37AFB"/>
    <w:rsid w:val="00D37CDB"/>
    <w:rsid w:val="00D37E4D"/>
    <w:rsid w:val="00D37F19"/>
    <w:rsid w:val="00D40159"/>
    <w:rsid w:val="00D407E0"/>
    <w:rsid w:val="00D4108A"/>
    <w:rsid w:val="00D41430"/>
    <w:rsid w:val="00D415A2"/>
    <w:rsid w:val="00D417A0"/>
    <w:rsid w:val="00D417AC"/>
    <w:rsid w:val="00D419BB"/>
    <w:rsid w:val="00D419F8"/>
    <w:rsid w:val="00D41A51"/>
    <w:rsid w:val="00D41BE2"/>
    <w:rsid w:val="00D41E8F"/>
    <w:rsid w:val="00D4212E"/>
    <w:rsid w:val="00D423D5"/>
    <w:rsid w:val="00D42419"/>
    <w:rsid w:val="00D424C7"/>
    <w:rsid w:val="00D42697"/>
    <w:rsid w:val="00D438DF"/>
    <w:rsid w:val="00D43B2A"/>
    <w:rsid w:val="00D43C2B"/>
    <w:rsid w:val="00D43CA7"/>
    <w:rsid w:val="00D43F57"/>
    <w:rsid w:val="00D44087"/>
    <w:rsid w:val="00D446BA"/>
    <w:rsid w:val="00D44F89"/>
    <w:rsid w:val="00D45459"/>
    <w:rsid w:val="00D454E8"/>
    <w:rsid w:val="00D455CE"/>
    <w:rsid w:val="00D457D6"/>
    <w:rsid w:val="00D458CA"/>
    <w:rsid w:val="00D45AD9"/>
    <w:rsid w:val="00D45E88"/>
    <w:rsid w:val="00D46327"/>
    <w:rsid w:val="00D464F3"/>
    <w:rsid w:val="00D46629"/>
    <w:rsid w:val="00D4688D"/>
    <w:rsid w:val="00D46A14"/>
    <w:rsid w:val="00D46A80"/>
    <w:rsid w:val="00D46D4F"/>
    <w:rsid w:val="00D46FD9"/>
    <w:rsid w:val="00D47096"/>
    <w:rsid w:val="00D4716D"/>
    <w:rsid w:val="00D473E1"/>
    <w:rsid w:val="00D47575"/>
    <w:rsid w:val="00D47B5E"/>
    <w:rsid w:val="00D47E4F"/>
    <w:rsid w:val="00D47FD5"/>
    <w:rsid w:val="00D50187"/>
    <w:rsid w:val="00D509B8"/>
    <w:rsid w:val="00D50C98"/>
    <w:rsid w:val="00D50D32"/>
    <w:rsid w:val="00D50FE5"/>
    <w:rsid w:val="00D51171"/>
    <w:rsid w:val="00D5146B"/>
    <w:rsid w:val="00D516E5"/>
    <w:rsid w:val="00D51F95"/>
    <w:rsid w:val="00D52845"/>
    <w:rsid w:val="00D52982"/>
    <w:rsid w:val="00D52BED"/>
    <w:rsid w:val="00D52E93"/>
    <w:rsid w:val="00D52EBE"/>
    <w:rsid w:val="00D52F1A"/>
    <w:rsid w:val="00D53022"/>
    <w:rsid w:val="00D53047"/>
    <w:rsid w:val="00D5321F"/>
    <w:rsid w:val="00D535B2"/>
    <w:rsid w:val="00D53A98"/>
    <w:rsid w:val="00D53C72"/>
    <w:rsid w:val="00D53CE8"/>
    <w:rsid w:val="00D53DAF"/>
    <w:rsid w:val="00D54228"/>
    <w:rsid w:val="00D544E2"/>
    <w:rsid w:val="00D54881"/>
    <w:rsid w:val="00D54C04"/>
    <w:rsid w:val="00D54EA5"/>
    <w:rsid w:val="00D54EFC"/>
    <w:rsid w:val="00D5598F"/>
    <w:rsid w:val="00D55B8C"/>
    <w:rsid w:val="00D55C15"/>
    <w:rsid w:val="00D55CDA"/>
    <w:rsid w:val="00D55E10"/>
    <w:rsid w:val="00D561FE"/>
    <w:rsid w:val="00D57416"/>
    <w:rsid w:val="00D57419"/>
    <w:rsid w:val="00D57427"/>
    <w:rsid w:val="00D578C6"/>
    <w:rsid w:val="00D6007D"/>
    <w:rsid w:val="00D60113"/>
    <w:rsid w:val="00D605D7"/>
    <w:rsid w:val="00D608D3"/>
    <w:rsid w:val="00D60A29"/>
    <w:rsid w:val="00D60A88"/>
    <w:rsid w:val="00D60C5D"/>
    <w:rsid w:val="00D60FED"/>
    <w:rsid w:val="00D610F7"/>
    <w:rsid w:val="00D618A2"/>
    <w:rsid w:val="00D61924"/>
    <w:rsid w:val="00D6233C"/>
    <w:rsid w:val="00D62416"/>
    <w:rsid w:val="00D62447"/>
    <w:rsid w:val="00D62636"/>
    <w:rsid w:val="00D62743"/>
    <w:rsid w:val="00D6293C"/>
    <w:rsid w:val="00D63536"/>
    <w:rsid w:val="00D6367A"/>
    <w:rsid w:val="00D636C2"/>
    <w:rsid w:val="00D63C50"/>
    <w:rsid w:val="00D63D12"/>
    <w:rsid w:val="00D64334"/>
    <w:rsid w:val="00D64BAA"/>
    <w:rsid w:val="00D64F3C"/>
    <w:rsid w:val="00D65031"/>
    <w:rsid w:val="00D6550F"/>
    <w:rsid w:val="00D6556E"/>
    <w:rsid w:val="00D65B46"/>
    <w:rsid w:val="00D65E69"/>
    <w:rsid w:val="00D65EC3"/>
    <w:rsid w:val="00D66AE2"/>
    <w:rsid w:val="00D674AD"/>
    <w:rsid w:val="00D6762A"/>
    <w:rsid w:val="00D6769C"/>
    <w:rsid w:val="00D67879"/>
    <w:rsid w:val="00D679B1"/>
    <w:rsid w:val="00D67BFC"/>
    <w:rsid w:val="00D67E15"/>
    <w:rsid w:val="00D70F16"/>
    <w:rsid w:val="00D713EB"/>
    <w:rsid w:val="00D71891"/>
    <w:rsid w:val="00D72055"/>
    <w:rsid w:val="00D7205D"/>
    <w:rsid w:val="00D72609"/>
    <w:rsid w:val="00D72DC2"/>
    <w:rsid w:val="00D737C8"/>
    <w:rsid w:val="00D7398F"/>
    <w:rsid w:val="00D74019"/>
    <w:rsid w:val="00D74907"/>
    <w:rsid w:val="00D74AAB"/>
    <w:rsid w:val="00D74BAD"/>
    <w:rsid w:val="00D74EB1"/>
    <w:rsid w:val="00D74FA9"/>
    <w:rsid w:val="00D750E5"/>
    <w:rsid w:val="00D755FA"/>
    <w:rsid w:val="00D75ADF"/>
    <w:rsid w:val="00D75D96"/>
    <w:rsid w:val="00D75E96"/>
    <w:rsid w:val="00D76425"/>
    <w:rsid w:val="00D76A44"/>
    <w:rsid w:val="00D76E73"/>
    <w:rsid w:val="00D77CD9"/>
    <w:rsid w:val="00D77CE8"/>
    <w:rsid w:val="00D77E8F"/>
    <w:rsid w:val="00D801E3"/>
    <w:rsid w:val="00D80292"/>
    <w:rsid w:val="00D8061D"/>
    <w:rsid w:val="00D809B7"/>
    <w:rsid w:val="00D80C1C"/>
    <w:rsid w:val="00D81088"/>
    <w:rsid w:val="00D81263"/>
    <w:rsid w:val="00D813C0"/>
    <w:rsid w:val="00D8153F"/>
    <w:rsid w:val="00D815AE"/>
    <w:rsid w:val="00D815EF"/>
    <w:rsid w:val="00D8171E"/>
    <w:rsid w:val="00D81A2D"/>
    <w:rsid w:val="00D81C3F"/>
    <w:rsid w:val="00D81F71"/>
    <w:rsid w:val="00D82511"/>
    <w:rsid w:val="00D8251C"/>
    <w:rsid w:val="00D827DB"/>
    <w:rsid w:val="00D8283B"/>
    <w:rsid w:val="00D829E6"/>
    <w:rsid w:val="00D82D0A"/>
    <w:rsid w:val="00D8313D"/>
    <w:rsid w:val="00D833F5"/>
    <w:rsid w:val="00D8346B"/>
    <w:rsid w:val="00D838A1"/>
    <w:rsid w:val="00D83CFE"/>
    <w:rsid w:val="00D83D02"/>
    <w:rsid w:val="00D83EA2"/>
    <w:rsid w:val="00D84024"/>
    <w:rsid w:val="00D846BE"/>
    <w:rsid w:val="00D84884"/>
    <w:rsid w:val="00D8543C"/>
    <w:rsid w:val="00D855D5"/>
    <w:rsid w:val="00D856C7"/>
    <w:rsid w:val="00D859BB"/>
    <w:rsid w:val="00D85AF9"/>
    <w:rsid w:val="00D85FA0"/>
    <w:rsid w:val="00D85FBE"/>
    <w:rsid w:val="00D86210"/>
    <w:rsid w:val="00D86375"/>
    <w:rsid w:val="00D86448"/>
    <w:rsid w:val="00D864B6"/>
    <w:rsid w:val="00D8668C"/>
    <w:rsid w:val="00D86D99"/>
    <w:rsid w:val="00D873F1"/>
    <w:rsid w:val="00D8757F"/>
    <w:rsid w:val="00D87DFF"/>
    <w:rsid w:val="00D87EC5"/>
    <w:rsid w:val="00D90153"/>
    <w:rsid w:val="00D902B1"/>
    <w:rsid w:val="00D90387"/>
    <w:rsid w:val="00D90701"/>
    <w:rsid w:val="00D90DAB"/>
    <w:rsid w:val="00D91335"/>
    <w:rsid w:val="00D914B9"/>
    <w:rsid w:val="00D91923"/>
    <w:rsid w:val="00D91DA8"/>
    <w:rsid w:val="00D91F5A"/>
    <w:rsid w:val="00D92280"/>
    <w:rsid w:val="00D92382"/>
    <w:rsid w:val="00D92C20"/>
    <w:rsid w:val="00D92C7F"/>
    <w:rsid w:val="00D93753"/>
    <w:rsid w:val="00D9399A"/>
    <w:rsid w:val="00D93F07"/>
    <w:rsid w:val="00D94096"/>
    <w:rsid w:val="00D940D7"/>
    <w:rsid w:val="00D9415F"/>
    <w:rsid w:val="00D94C10"/>
    <w:rsid w:val="00D94C5F"/>
    <w:rsid w:val="00D950A9"/>
    <w:rsid w:val="00D95307"/>
    <w:rsid w:val="00D953D5"/>
    <w:rsid w:val="00D95646"/>
    <w:rsid w:val="00D95924"/>
    <w:rsid w:val="00D9599C"/>
    <w:rsid w:val="00D95BA0"/>
    <w:rsid w:val="00D95E11"/>
    <w:rsid w:val="00D96087"/>
    <w:rsid w:val="00D9620E"/>
    <w:rsid w:val="00D96256"/>
    <w:rsid w:val="00D96739"/>
    <w:rsid w:val="00D96814"/>
    <w:rsid w:val="00D96BFB"/>
    <w:rsid w:val="00D96CDF"/>
    <w:rsid w:val="00D96E6B"/>
    <w:rsid w:val="00D96FE2"/>
    <w:rsid w:val="00D97C68"/>
    <w:rsid w:val="00D97C74"/>
    <w:rsid w:val="00D97F82"/>
    <w:rsid w:val="00DA07F2"/>
    <w:rsid w:val="00DA0B03"/>
    <w:rsid w:val="00DA0FA6"/>
    <w:rsid w:val="00DA159D"/>
    <w:rsid w:val="00DA1A7B"/>
    <w:rsid w:val="00DA1E1E"/>
    <w:rsid w:val="00DA2070"/>
    <w:rsid w:val="00DA22B6"/>
    <w:rsid w:val="00DA298B"/>
    <w:rsid w:val="00DA2995"/>
    <w:rsid w:val="00DA2F8A"/>
    <w:rsid w:val="00DA3050"/>
    <w:rsid w:val="00DA3167"/>
    <w:rsid w:val="00DA3565"/>
    <w:rsid w:val="00DA3B77"/>
    <w:rsid w:val="00DA40BF"/>
    <w:rsid w:val="00DA40EF"/>
    <w:rsid w:val="00DA412E"/>
    <w:rsid w:val="00DA4223"/>
    <w:rsid w:val="00DA4AB5"/>
    <w:rsid w:val="00DA4BE6"/>
    <w:rsid w:val="00DA4DC3"/>
    <w:rsid w:val="00DA4FBF"/>
    <w:rsid w:val="00DA50CC"/>
    <w:rsid w:val="00DA54D8"/>
    <w:rsid w:val="00DA5554"/>
    <w:rsid w:val="00DA558F"/>
    <w:rsid w:val="00DA5657"/>
    <w:rsid w:val="00DA58A0"/>
    <w:rsid w:val="00DA59EA"/>
    <w:rsid w:val="00DA5E1B"/>
    <w:rsid w:val="00DA682A"/>
    <w:rsid w:val="00DA6C61"/>
    <w:rsid w:val="00DA71BD"/>
    <w:rsid w:val="00DA735E"/>
    <w:rsid w:val="00DA766B"/>
    <w:rsid w:val="00DA77A5"/>
    <w:rsid w:val="00DA77AE"/>
    <w:rsid w:val="00DA7CB5"/>
    <w:rsid w:val="00DA7DDF"/>
    <w:rsid w:val="00DB05C9"/>
    <w:rsid w:val="00DB060E"/>
    <w:rsid w:val="00DB06BF"/>
    <w:rsid w:val="00DB0771"/>
    <w:rsid w:val="00DB0B17"/>
    <w:rsid w:val="00DB0B44"/>
    <w:rsid w:val="00DB0C24"/>
    <w:rsid w:val="00DB1316"/>
    <w:rsid w:val="00DB1532"/>
    <w:rsid w:val="00DB1538"/>
    <w:rsid w:val="00DB1BF9"/>
    <w:rsid w:val="00DB1E80"/>
    <w:rsid w:val="00DB2189"/>
    <w:rsid w:val="00DB224C"/>
    <w:rsid w:val="00DB2DE7"/>
    <w:rsid w:val="00DB4099"/>
    <w:rsid w:val="00DB425A"/>
    <w:rsid w:val="00DB47CC"/>
    <w:rsid w:val="00DB484F"/>
    <w:rsid w:val="00DB50E2"/>
    <w:rsid w:val="00DB51F4"/>
    <w:rsid w:val="00DB5364"/>
    <w:rsid w:val="00DB5417"/>
    <w:rsid w:val="00DB5535"/>
    <w:rsid w:val="00DB5B15"/>
    <w:rsid w:val="00DB5B78"/>
    <w:rsid w:val="00DB5DED"/>
    <w:rsid w:val="00DB5F9A"/>
    <w:rsid w:val="00DB6593"/>
    <w:rsid w:val="00DB69CF"/>
    <w:rsid w:val="00DB70AC"/>
    <w:rsid w:val="00DB760C"/>
    <w:rsid w:val="00DB782B"/>
    <w:rsid w:val="00DB79B7"/>
    <w:rsid w:val="00DB7A8B"/>
    <w:rsid w:val="00DB7BCE"/>
    <w:rsid w:val="00DB7D2F"/>
    <w:rsid w:val="00DB7DAF"/>
    <w:rsid w:val="00DC0134"/>
    <w:rsid w:val="00DC04A8"/>
    <w:rsid w:val="00DC04F6"/>
    <w:rsid w:val="00DC0609"/>
    <w:rsid w:val="00DC082F"/>
    <w:rsid w:val="00DC0DD7"/>
    <w:rsid w:val="00DC0DF5"/>
    <w:rsid w:val="00DC1249"/>
    <w:rsid w:val="00DC12FC"/>
    <w:rsid w:val="00DC17BC"/>
    <w:rsid w:val="00DC19AE"/>
    <w:rsid w:val="00DC19D3"/>
    <w:rsid w:val="00DC25C2"/>
    <w:rsid w:val="00DC2668"/>
    <w:rsid w:val="00DC26C7"/>
    <w:rsid w:val="00DC2BFC"/>
    <w:rsid w:val="00DC2CBB"/>
    <w:rsid w:val="00DC2F36"/>
    <w:rsid w:val="00DC2FF4"/>
    <w:rsid w:val="00DC3437"/>
    <w:rsid w:val="00DC3812"/>
    <w:rsid w:val="00DC3B6D"/>
    <w:rsid w:val="00DC3C57"/>
    <w:rsid w:val="00DC3C91"/>
    <w:rsid w:val="00DC3F06"/>
    <w:rsid w:val="00DC43D3"/>
    <w:rsid w:val="00DC474A"/>
    <w:rsid w:val="00DC4A0A"/>
    <w:rsid w:val="00DC4B71"/>
    <w:rsid w:val="00DC5136"/>
    <w:rsid w:val="00DC525D"/>
    <w:rsid w:val="00DC52F6"/>
    <w:rsid w:val="00DC5501"/>
    <w:rsid w:val="00DC55BF"/>
    <w:rsid w:val="00DC575F"/>
    <w:rsid w:val="00DC5823"/>
    <w:rsid w:val="00DC5949"/>
    <w:rsid w:val="00DC5C97"/>
    <w:rsid w:val="00DC5FB6"/>
    <w:rsid w:val="00DC6263"/>
    <w:rsid w:val="00DC64BC"/>
    <w:rsid w:val="00DC663E"/>
    <w:rsid w:val="00DC6D33"/>
    <w:rsid w:val="00DD019B"/>
    <w:rsid w:val="00DD01E9"/>
    <w:rsid w:val="00DD05FB"/>
    <w:rsid w:val="00DD0948"/>
    <w:rsid w:val="00DD09C2"/>
    <w:rsid w:val="00DD0A29"/>
    <w:rsid w:val="00DD0B31"/>
    <w:rsid w:val="00DD0BEA"/>
    <w:rsid w:val="00DD0C43"/>
    <w:rsid w:val="00DD0DD8"/>
    <w:rsid w:val="00DD104C"/>
    <w:rsid w:val="00DD128F"/>
    <w:rsid w:val="00DD1CF4"/>
    <w:rsid w:val="00DD2144"/>
    <w:rsid w:val="00DD224A"/>
    <w:rsid w:val="00DD225E"/>
    <w:rsid w:val="00DD23BA"/>
    <w:rsid w:val="00DD273C"/>
    <w:rsid w:val="00DD32B1"/>
    <w:rsid w:val="00DD3398"/>
    <w:rsid w:val="00DD33DF"/>
    <w:rsid w:val="00DD3578"/>
    <w:rsid w:val="00DD3759"/>
    <w:rsid w:val="00DD397E"/>
    <w:rsid w:val="00DD3AC9"/>
    <w:rsid w:val="00DD3D38"/>
    <w:rsid w:val="00DD3F28"/>
    <w:rsid w:val="00DD3FF5"/>
    <w:rsid w:val="00DD40C3"/>
    <w:rsid w:val="00DD4537"/>
    <w:rsid w:val="00DD47D0"/>
    <w:rsid w:val="00DD4970"/>
    <w:rsid w:val="00DD497F"/>
    <w:rsid w:val="00DD4B02"/>
    <w:rsid w:val="00DD4BD9"/>
    <w:rsid w:val="00DD4E15"/>
    <w:rsid w:val="00DD50C6"/>
    <w:rsid w:val="00DD5126"/>
    <w:rsid w:val="00DD52B8"/>
    <w:rsid w:val="00DD5364"/>
    <w:rsid w:val="00DD5561"/>
    <w:rsid w:val="00DD5904"/>
    <w:rsid w:val="00DD5971"/>
    <w:rsid w:val="00DD5CB4"/>
    <w:rsid w:val="00DD5D1E"/>
    <w:rsid w:val="00DD60D4"/>
    <w:rsid w:val="00DD6500"/>
    <w:rsid w:val="00DD670F"/>
    <w:rsid w:val="00DD6BC9"/>
    <w:rsid w:val="00DD6F03"/>
    <w:rsid w:val="00DD6F98"/>
    <w:rsid w:val="00DD774A"/>
    <w:rsid w:val="00DD78ED"/>
    <w:rsid w:val="00DD7B31"/>
    <w:rsid w:val="00DD7B3B"/>
    <w:rsid w:val="00DD7DE1"/>
    <w:rsid w:val="00DE01A3"/>
    <w:rsid w:val="00DE01CB"/>
    <w:rsid w:val="00DE0689"/>
    <w:rsid w:val="00DE07CA"/>
    <w:rsid w:val="00DE0A2C"/>
    <w:rsid w:val="00DE0EB3"/>
    <w:rsid w:val="00DE1159"/>
    <w:rsid w:val="00DE1689"/>
    <w:rsid w:val="00DE1709"/>
    <w:rsid w:val="00DE170A"/>
    <w:rsid w:val="00DE1B11"/>
    <w:rsid w:val="00DE1CFE"/>
    <w:rsid w:val="00DE1DA0"/>
    <w:rsid w:val="00DE226D"/>
    <w:rsid w:val="00DE2B2B"/>
    <w:rsid w:val="00DE2C19"/>
    <w:rsid w:val="00DE2D3A"/>
    <w:rsid w:val="00DE310D"/>
    <w:rsid w:val="00DE3138"/>
    <w:rsid w:val="00DE37E5"/>
    <w:rsid w:val="00DE37F8"/>
    <w:rsid w:val="00DE3974"/>
    <w:rsid w:val="00DE3BD2"/>
    <w:rsid w:val="00DE3D35"/>
    <w:rsid w:val="00DE3FB7"/>
    <w:rsid w:val="00DE4012"/>
    <w:rsid w:val="00DE416A"/>
    <w:rsid w:val="00DE41F1"/>
    <w:rsid w:val="00DE43D2"/>
    <w:rsid w:val="00DE44EC"/>
    <w:rsid w:val="00DE453E"/>
    <w:rsid w:val="00DE4ACD"/>
    <w:rsid w:val="00DE4BD7"/>
    <w:rsid w:val="00DE4C23"/>
    <w:rsid w:val="00DE4CAD"/>
    <w:rsid w:val="00DE4E28"/>
    <w:rsid w:val="00DE4FCB"/>
    <w:rsid w:val="00DE5E10"/>
    <w:rsid w:val="00DE5F94"/>
    <w:rsid w:val="00DE60F4"/>
    <w:rsid w:val="00DE66EF"/>
    <w:rsid w:val="00DE683A"/>
    <w:rsid w:val="00DE6857"/>
    <w:rsid w:val="00DE6AA5"/>
    <w:rsid w:val="00DE6AFE"/>
    <w:rsid w:val="00DE733D"/>
    <w:rsid w:val="00DE7797"/>
    <w:rsid w:val="00DE7832"/>
    <w:rsid w:val="00DE7F8B"/>
    <w:rsid w:val="00DE7F8D"/>
    <w:rsid w:val="00DF0352"/>
    <w:rsid w:val="00DF0B98"/>
    <w:rsid w:val="00DF0BAE"/>
    <w:rsid w:val="00DF0CBA"/>
    <w:rsid w:val="00DF12F5"/>
    <w:rsid w:val="00DF1566"/>
    <w:rsid w:val="00DF18FC"/>
    <w:rsid w:val="00DF1C18"/>
    <w:rsid w:val="00DF20AA"/>
    <w:rsid w:val="00DF21D5"/>
    <w:rsid w:val="00DF22C2"/>
    <w:rsid w:val="00DF2315"/>
    <w:rsid w:val="00DF26F1"/>
    <w:rsid w:val="00DF2C7B"/>
    <w:rsid w:val="00DF324D"/>
    <w:rsid w:val="00DF3279"/>
    <w:rsid w:val="00DF35DB"/>
    <w:rsid w:val="00DF3E30"/>
    <w:rsid w:val="00DF40BA"/>
    <w:rsid w:val="00DF41FD"/>
    <w:rsid w:val="00DF4B81"/>
    <w:rsid w:val="00DF4E1E"/>
    <w:rsid w:val="00DF4FF3"/>
    <w:rsid w:val="00DF4FFA"/>
    <w:rsid w:val="00DF50D4"/>
    <w:rsid w:val="00DF52E3"/>
    <w:rsid w:val="00DF53F5"/>
    <w:rsid w:val="00DF5A3B"/>
    <w:rsid w:val="00DF5B8C"/>
    <w:rsid w:val="00DF5C7A"/>
    <w:rsid w:val="00DF5D2B"/>
    <w:rsid w:val="00DF5D85"/>
    <w:rsid w:val="00DF5DF2"/>
    <w:rsid w:val="00DF61F7"/>
    <w:rsid w:val="00DF63B4"/>
    <w:rsid w:val="00DF665F"/>
    <w:rsid w:val="00DF694F"/>
    <w:rsid w:val="00DF69F6"/>
    <w:rsid w:val="00DF6BAB"/>
    <w:rsid w:val="00DF78F3"/>
    <w:rsid w:val="00DF792B"/>
    <w:rsid w:val="00DF7CB7"/>
    <w:rsid w:val="00E00292"/>
    <w:rsid w:val="00E003EE"/>
    <w:rsid w:val="00E00842"/>
    <w:rsid w:val="00E00C2A"/>
    <w:rsid w:val="00E00E8E"/>
    <w:rsid w:val="00E010E3"/>
    <w:rsid w:val="00E011C1"/>
    <w:rsid w:val="00E01287"/>
    <w:rsid w:val="00E01719"/>
    <w:rsid w:val="00E0173B"/>
    <w:rsid w:val="00E01A96"/>
    <w:rsid w:val="00E01C2E"/>
    <w:rsid w:val="00E020A1"/>
    <w:rsid w:val="00E02152"/>
    <w:rsid w:val="00E0218A"/>
    <w:rsid w:val="00E0229A"/>
    <w:rsid w:val="00E0231F"/>
    <w:rsid w:val="00E02584"/>
    <w:rsid w:val="00E027C5"/>
    <w:rsid w:val="00E0281C"/>
    <w:rsid w:val="00E02D65"/>
    <w:rsid w:val="00E02F89"/>
    <w:rsid w:val="00E035D9"/>
    <w:rsid w:val="00E03786"/>
    <w:rsid w:val="00E03794"/>
    <w:rsid w:val="00E03E91"/>
    <w:rsid w:val="00E04005"/>
    <w:rsid w:val="00E040A6"/>
    <w:rsid w:val="00E045FD"/>
    <w:rsid w:val="00E04615"/>
    <w:rsid w:val="00E0525D"/>
    <w:rsid w:val="00E05630"/>
    <w:rsid w:val="00E05AD3"/>
    <w:rsid w:val="00E05BB6"/>
    <w:rsid w:val="00E05CEA"/>
    <w:rsid w:val="00E06107"/>
    <w:rsid w:val="00E06249"/>
    <w:rsid w:val="00E06424"/>
    <w:rsid w:val="00E06643"/>
    <w:rsid w:val="00E06739"/>
    <w:rsid w:val="00E06762"/>
    <w:rsid w:val="00E06DBB"/>
    <w:rsid w:val="00E072BD"/>
    <w:rsid w:val="00E07951"/>
    <w:rsid w:val="00E07A74"/>
    <w:rsid w:val="00E07A7F"/>
    <w:rsid w:val="00E07B77"/>
    <w:rsid w:val="00E07BCF"/>
    <w:rsid w:val="00E07DCD"/>
    <w:rsid w:val="00E07E2F"/>
    <w:rsid w:val="00E07EA0"/>
    <w:rsid w:val="00E07F7C"/>
    <w:rsid w:val="00E07FB4"/>
    <w:rsid w:val="00E10149"/>
    <w:rsid w:val="00E10651"/>
    <w:rsid w:val="00E10718"/>
    <w:rsid w:val="00E107EB"/>
    <w:rsid w:val="00E10962"/>
    <w:rsid w:val="00E10A0D"/>
    <w:rsid w:val="00E10F20"/>
    <w:rsid w:val="00E11032"/>
    <w:rsid w:val="00E110C7"/>
    <w:rsid w:val="00E11479"/>
    <w:rsid w:val="00E1155A"/>
    <w:rsid w:val="00E11B6B"/>
    <w:rsid w:val="00E11BDF"/>
    <w:rsid w:val="00E1216C"/>
    <w:rsid w:val="00E124DC"/>
    <w:rsid w:val="00E126EA"/>
    <w:rsid w:val="00E12831"/>
    <w:rsid w:val="00E12C66"/>
    <w:rsid w:val="00E12D4B"/>
    <w:rsid w:val="00E12E1F"/>
    <w:rsid w:val="00E12EBC"/>
    <w:rsid w:val="00E13223"/>
    <w:rsid w:val="00E1338C"/>
    <w:rsid w:val="00E13661"/>
    <w:rsid w:val="00E13E95"/>
    <w:rsid w:val="00E13F14"/>
    <w:rsid w:val="00E1400E"/>
    <w:rsid w:val="00E14600"/>
    <w:rsid w:val="00E1461D"/>
    <w:rsid w:val="00E14B41"/>
    <w:rsid w:val="00E14B6A"/>
    <w:rsid w:val="00E14B77"/>
    <w:rsid w:val="00E14F7D"/>
    <w:rsid w:val="00E15152"/>
    <w:rsid w:val="00E154F9"/>
    <w:rsid w:val="00E15995"/>
    <w:rsid w:val="00E15EF1"/>
    <w:rsid w:val="00E15FFB"/>
    <w:rsid w:val="00E162E6"/>
    <w:rsid w:val="00E16372"/>
    <w:rsid w:val="00E16621"/>
    <w:rsid w:val="00E167A0"/>
    <w:rsid w:val="00E167C6"/>
    <w:rsid w:val="00E16B86"/>
    <w:rsid w:val="00E16BB3"/>
    <w:rsid w:val="00E16D5F"/>
    <w:rsid w:val="00E16D88"/>
    <w:rsid w:val="00E17551"/>
    <w:rsid w:val="00E17627"/>
    <w:rsid w:val="00E17751"/>
    <w:rsid w:val="00E17908"/>
    <w:rsid w:val="00E17FAD"/>
    <w:rsid w:val="00E202BF"/>
    <w:rsid w:val="00E20508"/>
    <w:rsid w:val="00E20687"/>
    <w:rsid w:val="00E20E4D"/>
    <w:rsid w:val="00E20ED6"/>
    <w:rsid w:val="00E211D3"/>
    <w:rsid w:val="00E21358"/>
    <w:rsid w:val="00E213B6"/>
    <w:rsid w:val="00E21504"/>
    <w:rsid w:val="00E21B8B"/>
    <w:rsid w:val="00E21C73"/>
    <w:rsid w:val="00E21E04"/>
    <w:rsid w:val="00E22329"/>
    <w:rsid w:val="00E223D1"/>
    <w:rsid w:val="00E2249B"/>
    <w:rsid w:val="00E22A0D"/>
    <w:rsid w:val="00E22F6D"/>
    <w:rsid w:val="00E22FCE"/>
    <w:rsid w:val="00E23215"/>
    <w:rsid w:val="00E236B0"/>
    <w:rsid w:val="00E239CE"/>
    <w:rsid w:val="00E23C58"/>
    <w:rsid w:val="00E24068"/>
    <w:rsid w:val="00E24111"/>
    <w:rsid w:val="00E24347"/>
    <w:rsid w:val="00E24447"/>
    <w:rsid w:val="00E24492"/>
    <w:rsid w:val="00E24657"/>
    <w:rsid w:val="00E24C23"/>
    <w:rsid w:val="00E24DBD"/>
    <w:rsid w:val="00E24EAE"/>
    <w:rsid w:val="00E24FA5"/>
    <w:rsid w:val="00E25224"/>
    <w:rsid w:val="00E25562"/>
    <w:rsid w:val="00E256C7"/>
    <w:rsid w:val="00E25C9D"/>
    <w:rsid w:val="00E25CA3"/>
    <w:rsid w:val="00E25EAD"/>
    <w:rsid w:val="00E25F76"/>
    <w:rsid w:val="00E262CC"/>
    <w:rsid w:val="00E26387"/>
    <w:rsid w:val="00E268A5"/>
    <w:rsid w:val="00E26914"/>
    <w:rsid w:val="00E26D0F"/>
    <w:rsid w:val="00E26FE8"/>
    <w:rsid w:val="00E270BF"/>
    <w:rsid w:val="00E271D4"/>
    <w:rsid w:val="00E27644"/>
    <w:rsid w:val="00E2771E"/>
    <w:rsid w:val="00E27FE3"/>
    <w:rsid w:val="00E3002F"/>
    <w:rsid w:val="00E3032F"/>
    <w:rsid w:val="00E3060F"/>
    <w:rsid w:val="00E30AD1"/>
    <w:rsid w:val="00E30BF6"/>
    <w:rsid w:val="00E3143C"/>
    <w:rsid w:val="00E31C2B"/>
    <w:rsid w:val="00E31DFE"/>
    <w:rsid w:val="00E326DB"/>
    <w:rsid w:val="00E32810"/>
    <w:rsid w:val="00E32A32"/>
    <w:rsid w:val="00E32CE0"/>
    <w:rsid w:val="00E32E5D"/>
    <w:rsid w:val="00E33315"/>
    <w:rsid w:val="00E33752"/>
    <w:rsid w:val="00E338A3"/>
    <w:rsid w:val="00E33A61"/>
    <w:rsid w:val="00E33F83"/>
    <w:rsid w:val="00E34494"/>
    <w:rsid w:val="00E3481F"/>
    <w:rsid w:val="00E34948"/>
    <w:rsid w:val="00E34D1C"/>
    <w:rsid w:val="00E34EA0"/>
    <w:rsid w:val="00E34F27"/>
    <w:rsid w:val="00E34F28"/>
    <w:rsid w:val="00E35113"/>
    <w:rsid w:val="00E35491"/>
    <w:rsid w:val="00E35624"/>
    <w:rsid w:val="00E357C3"/>
    <w:rsid w:val="00E359C9"/>
    <w:rsid w:val="00E35AFD"/>
    <w:rsid w:val="00E35B5F"/>
    <w:rsid w:val="00E35ED8"/>
    <w:rsid w:val="00E36087"/>
    <w:rsid w:val="00E368D8"/>
    <w:rsid w:val="00E36EF1"/>
    <w:rsid w:val="00E37341"/>
    <w:rsid w:val="00E37455"/>
    <w:rsid w:val="00E37569"/>
    <w:rsid w:val="00E37AB6"/>
    <w:rsid w:val="00E37BA9"/>
    <w:rsid w:val="00E37BD6"/>
    <w:rsid w:val="00E37DA0"/>
    <w:rsid w:val="00E402D2"/>
    <w:rsid w:val="00E402D7"/>
    <w:rsid w:val="00E40566"/>
    <w:rsid w:val="00E40615"/>
    <w:rsid w:val="00E40920"/>
    <w:rsid w:val="00E40C93"/>
    <w:rsid w:val="00E40DD3"/>
    <w:rsid w:val="00E416AF"/>
    <w:rsid w:val="00E41710"/>
    <w:rsid w:val="00E41E30"/>
    <w:rsid w:val="00E41EB3"/>
    <w:rsid w:val="00E41EFE"/>
    <w:rsid w:val="00E4225D"/>
    <w:rsid w:val="00E425C6"/>
    <w:rsid w:val="00E426F7"/>
    <w:rsid w:val="00E42903"/>
    <w:rsid w:val="00E429A7"/>
    <w:rsid w:val="00E42CE0"/>
    <w:rsid w:val="00E42E3D"/>
    <w:rsid w:val="00E430F6"/>
    <w:rsid w:val="00E43349"/>
    <w:rsid w:val="00E43B76"/>
    <w:rsid w:val="00E43D70"/>
    <w:rsid w:val="00E43DB7"/>
    <w:rsid w:val="00E43EA7"/>
    <w:rsid w:val="00E44249"/>
    <w:rsid w:val="00E44340"/>
    <w:rsid w:val="00E44414"/>
    <w:rsid w:val="00E44675"/>
    <w:rsid w:val="00E44839"/>
    <w:rsid w:val="00E448F1"/>
    <w:rsid w:val="00E449B2"/>
    <w:rsid w:val="00E44B5A"/>
    <w:rsid w:val="00E44E2F"/>
    <w:rsid w:val="00E44EA1"/>
    <w:rsid w:val="00E452A2"/>
    <w:rsid w:val="00E45329"/>
    <w:rsid w:val="00E45A4E"/>
    <w:rsid w:val="00E45B57"/>
    <w:rsid w:val="00E45FA4"/>
    <w:rsid w:val="00E4609A"/>
    <w:rsid w:val="00E46454"/>
    <w:rsid w:val="00E466F3"/>
    <w:rsid w:val="00E46CC2"/>
    <w:rsid w:val="00E46FB0"/>
    <w:rsid w:val="00E47014"/>
    <w:rsid w:val="00E471C7"/>
    <w:rsid w:val="00E47B2C"/>
    <w:rsid w:val="00E5057D"/>
    <w:rsid w:val="00E506DB"/>
    <w:rsid w:val="00E50C89"/>
    <w:rsid w:val="00E50D04"/>
    <w:rsid w:val="00E5109D"/>
    <w:rsid w:val="00E5134D"/>
    <w:rsid w:val="00E51560"/>
    <w:rsid w:val="00E5158C"/>
    <w:rsid w:val="00E51921"/>
    <w:rsid w:val="00E5199E"/>
    <w:rsid w:val="00E51A16"/>
    <w:rsid w:val="00E51D97"/>
    <w:rsid w:val="00E52956"/>
    <w:rsid w:val="00E52CF4"/>
    <w:rsid w:val="00E5333D"/>
    <w:rsid w:val="00E538CF"/>
    <w:rsid w:val="00E53BF4"/>
    <w:rsid w:val="00E53DBA"/>
    <w:rsid w:val="00E53DFD"/>
    <w:rsid w:val="00E5414C"/>
    <w:rsid w:val="00E54316"/>
    <w:rsid w:val="00E54347"/>
    <w:rsid w:val="00E544D0"/>
    <w:rsid w:val="00E5493F"/>
    <w:rsid w:val="00E54DA3"/>
    <w:rsid w:val="00E552A7"/>
    <w:rsid w:val="00E55424"/>
    <w:rsid w:val="00E55653"/>
    <w:rsid w:val="00E556EC"/>
    <w:rsid w:val="00E557D8"/>
    <w:rsid w:val="00E55892"/>
    <w:rsid w:val="00E55A0A"/>
    <w:rsid w:val="00E55BB5"/>
    <w:rsid w:val="00E5620F"/>
    <w:rsid w:val="00E5674B"/>
    <w:rsid w:val="00E568B8"/>
    <w:rsid w:val="00E568D1"/>
    <w:rsid w:val="00E56948"/>
    <w:rsid w:val="00E56AF0"/>
    <w:rsid w:val="00E56D26"/>
    <w:rsid w:val="00E56DB0"/>
    <w:rsid w:val="00E56EAB"/>
    <w:rsid w:val="00E57032"/>
    <w:rsid w:val="00E57308"/>
    <w:rsid w:val="00E57A98"/>
    <w:rsid w:val="00E57FDF"/>
    <w:rsid w:val="00E605D6"/>
    <w:rsid w:val="00E60692"/>
    <w:rsid w:val="00E60B2A"/>
    <w:rsid w:val="00E60C06"/>
    <w:rsid w:val="00E60F8B"/>
    <w:rsid w:val="00E6102B"/>
    <w:rsid w:val="00E611B9"/>
    <w:rsid w:val="00E61337"/>
    <w:rsid w:val="00E61583"/>
    <w:rsid w:val="00E61A47"/>
    <w:rsid w:val="00E61B02"/>
    <w:rsid w:val="00E61FCB"/>
    <w:rsid w:val="00E62464"/>
    <w:rsid w:val="00E627DF"/>
    <w:rsid w:val="00E62B79"/>
    <w:rsid w:val="00E62C65"/>
    <w:rsid w:val="00E62D3C"/>
    <w:rsid w:val="00E63303"/>
    <w:rsid w:val="00E633C0"/>
    <w:rsid w:val="00E635DD"/>
    <w:rsid w:val="00E63622"/>
    <w:rsid w:val="00E63726"/>
    <w:rsid w:val="00E63C7A"/>
    <w:rsid w:val="00E64233"/>
    <w:rsid w:val="00E64946"/>
    <w:rsid w:val="00E64F15"/>
    <w:rsid w:val="00E64FD7"/>
    <w:rsid w:val="00E65173"/>
    <w:rsid w:val="00E6542D"/>
    <w:rsid w:val="00E658B1"/>
    <w:rsid w:val="00E65990"/>
    <w:rsid w:val="00E65DBF"/>
    <w:rsid w:val="00E65E79"/>
    <w:rsid w:val="00E66313"/>
    <w:rsid w:val="00E6673A"/>
    <w:rsid w:val="00E669CE"/>
    <w:rsid w:val="00E66BA2"/>
    <w:rsid w:val="00E66C3A"/>
    <w:rsid w:val="00E66F6C"/>
    <w:rsid w:val="00E67338"/>
    <w:rsid w:val="00E67416"/>
    <w:rsid w:val="00E67546"/>
    <w:rsid w:val="00E6758B"/>
    <w:rsid w:val="00E67B6A"/>
    <w:rsid w:val="00E67EA6"/>
    <w:rsid w:val="00E70782"/>
    <w:rsid w:val="00E70BC5"/>
    <w:rsid w:val="00E70D94"/>
    <w:rsid w:val="00E70E84"/>
    <w:rsid w:val="00E71192"/>
    <w:rsid w:val="00E71242"/>
    <w:rsid w:val="00E718B6"/>
    <w:rsid w:val="00E7192F"/>
    <w:rsid w:val="00E71B5C"/>
    <w:rsid w:val="00E71C4B"/>
    <w:rsid w:val="00E71EF6"/>
    <w:rsid w:val="00E7212E"/>
    <w:rsid w:val="00E7218A"/>
    <w:rsid w:val="00E723BA"/>
    <w:rsid w:val="00E724BB"/>
    <w:rsid w:val="00E728F5"/>
    <w:rsid w:val="00E72DC6"/>
    <w:rsid w:val="00E73055"/>
    <w:rsid w:val="00E730CE"/>
    <w:rsid w:val="00E73141"/>
    <w:rsid w:val="00E732F8"/>
    <w:rsid w:val="00E73461"/>
    <w:rsid w:val="00E73581"/>
    <w:rsid w:val="00E735B4"/>
    <w:rsid w:val="00E735D4"/>
    <w:rsid w:val="00E739D5"/>
    <w:rsid w:val="00E73A65"/>
    <w:rsid w:val="00E73FF6"/>
    <w:rsid w:val="00E74334"/>
    <w:rsid w:val="00E74B41"/>
    <w:rsid w:val="00E7547D"/>
    <w:rsid w:val="00E75B0F"/>
    <w:rsid w:val="00E75C28"/>
    <w:rsid w:val="00E75E97"/>
    <w:rsid w:val="00E76430"/>
    <w:rsid w:val="00E7698E"/>
    <w:rsid w:val="00E769DB"/>
    <w:rsid w:val="00E7723D"/>
    <w:rsid w:val="00E77850"/>
    <w:rsid w:val="00E77C7D"/>
    <w:rsid w:val="00E801CD"/>
    <w:rsid w:val="00E805FA"/>
    <w:rsid w:val="00E80839"/>
    <w:rsid w:val="00E80910"/>
    <w:rsid w:val="00E80C9B"/>
    <w:rsid w:val="00E80CCE"/>
    <w:rsid w:val="00E80FFF"/>
    <w:rsid w:val="00E818C3"/>
    <w:rsid w:val="00E82166"/>
    <w:rsid w:val="00E823E6"/>
    <w:rsid w:val="00E8256C"/>
    <w:rsid w:val="00E82619"/>
    <w:rsid w:val="00E82EF4"/>
    <w:rsid w:val="00E82FC4"/>
    <w:rsid w:val="00E832E1"/>
    <w:rsid w:val="00E832FE"/>
    <w:rsid w:val="00E83398"/>
    <w:rsid w:val="00E833F7"/>
    <w:rsid w:val="00E835E7"/>
    <w:rsid w:val="00E83626"/>
    <w:rsid w:val="00E83797"/>
    <w:rsid w:val="00E83894"/>
    <w:rsid w:val="00E83BDF"/>
    <w:rsid w:val="00E83D16"/>
    <w:rsid w:val="00E83DAD"/>
    <w:rsid w:val="00E84591"/>
    <w:rsid w:val="00E84626"/>
    <w:rsid w:val="00E84B7A"/>
    <w:rsid w:val="00E84C6B"/>
    <w:rsid w:val="00E84F4E"/>
    <w:rsid w:val="00E850A7"/>
    <w:rsid w:val="00E850BD"/>
    <w:rsid w:val="00E8548B"/>
    <w:rsid w:val="00E856CE"/>
    <w:rsid w:val="00E85738"/>
    <w:rsid w:val="00E8593A"/>
    <w:rsid w:val="00E85A0C"/>
    <w:rsid w:val="00E85A61"/>
    <w:rsid w:val="00E85ACD"/>
    <w:rsid w:val="00E85F5D"/>
    <w:rsid w:val="00E8609F"/>
    <w:rsid w:val="00E86211"/>
    <w:rsid w:val="00E8642F"/>
    <w:rsid w:val="00E8725A"/>
    <w:rsid w:val="00E878B7"/>
    <w:rsid w:val="00E87963"/>
    <w:rsid w:val="00E87A1D"/>
    <w:rsid w:val="00E87AAD"/>
    <w:rsid w:val="00E87BDC"/>
    <w:rsid w:val="00E87C19"/>
    <w:rsid w:val="00E87FCC"/>
    <w:rsid w:val="00E90427"/>
    <w:rsid w:val="00E906DA"/>
    <w:rsid w:val="00E90792"/>
    <w:rsid w:val="00E90886"/>
    <w:rsid w:val="00E90BA3"/>
    <w:rsid w:val="00E90DC7"/>
    <w:rsid w:val="00E90ED3"/>
    <w:rsid w:val="00E90F4E"/>
    <w:rsid w:val="00E91743"/>
    <w:rsid w:val="00E918A6"/>
    <w:rsid w:val="00E91BB6"/>
    <w:rsid w:val="00E91DC0"/>
    <w:rsid w:val="00E91E39"/>
    <w:rsid w:val="00E91F1D"/>
    <w:rsid w:val="00E92536"/>
    <w:rsid w:val="00E926A5"/>
    <w:rsid w:val="00E928A5"/>
    <w:rsid w:val="00E9298C"/>
    <w:rsid w:val="00E92994"/>
    <w:rsid w:val="00E92B75"/>
    <w:rsid w:val="00E93004"/>
    <w:rsid w:val="00E93013"/>
    <w:rsid w:val="00E93164"/>
    <w:rsid w:val="00E93352"/>
    <w:rsid w:val="00E936F9"/>
    <w:rsid w:val="00E937BF"/>
    <w:rsid w:val="00E93BB3"/>
    <w:rsid w:val="00E93F32"/>
    <w:rsid w:val="00E94037"/>
    <w:rsid w:val="00E9422A"/>
    <w:rsid w:val="00E9442A"/>
    <w:rsid w:val="00E944B9"/>
    <w:rsid w:val="00E94620"/>
    <w:rsid w:val="00E94820"/>
    <w:rsid w:val="00E9483A"/>
    <w:rsid w:val="00E949FB"/>
    <w:rsid w:val="00E95226"/>
    <w:rsid w:val="00E95275"/>
    <w:rsid w:val="00E957B4"/>
    <w:rsid w:val="00E959B7"/>
    <w:rsid w:val="00E95DF5"/>
    <w:rsid w:val="00E960F7"/>
    <w:rsid w:val="00E963A6"/>
    <w:rsid w:val="00E964A3"/>
    <w:rsid w:val="00E96E05"/>
    <w:rsid w:val="00E96E35"/>
    <w:rsid w:val="00E96E7F"/>
    <w:rsid w:val="00E96FF5"/>
    <w:rsid w:val="00E97484"/>
    <w:rsid w:val="00E975BB"/>
    <w:rsid w:val="00E97B09"/>
    <w:rsid w:val="00E97C5B"/>
    <w:rsid w:val="00E97DC8"/>
    <w:rsid w:val="00E97DD0"/>
    <w:rsid w:val="00EA041B"/>
    <w:rsid w:val="00EA07F9"/>
    <w:rsid w:val="00EA08F6"/>
    <w:rsid w:val="00EA09F0"/>
    <w:rsid w:val="00EA0B55"/>
    <w:rsid w:val="00EA1094"/>
    <w:rsid w:val="00EA11E6"/>
    <w:rsid w:val="00EA1239"/>
    <w:rsid w:val="00EA1581"/>
    <w:rsid w:val="00EA168C"/>
    <w:rsid w:val="00EA17C3"/>
    <w:rsid w:val="00EA1952"/>
    <w:rsid w:val="00EA1B78"/>
    <w:rsid w:val="00EA1C6F"/>
    <w:rsid w:val="00EA23BA"/>
    <w:rsid w:val="00EA2541"/>
    <w:rsid w:val="00EA291D"/>
    <w:rsid w:val="00EA2A98"/>
    <w:rsid w:val="00EA2AE2"/>
    <w:rsid w:val="00EA2B4F"/>
    <w:rsid w:val="00EA2CAA"/>
    <w:rsid w:val="00EA2F12"/>
    <w:rsid w:val="00EA33B3"/>
    <w:rsid w:val="00EA3864"/>
    <w:rsid w:val="00EA38DD"/>
    <w:rsid w:val="00EA38E0"/>
    <w:rsid w:val="00EA397F"/>
    <w:rsid w:val="00EA3F67"/>
    <w:rsid w:val="00EA414C"/>
    <w:rsid w:val="00EA4200"/>
    <w:rsid w:val="00EA420D"/>
    <w:rsid w:val="00EA44E2"/>
    <w:rsid w:val="00EA46FB"/>
    <w:rsid w:val="00EA4783"/>
    <w:rsid w:val="00EA55BE"/>
    <w:rsid w:val="00EA5E61"/>
    <w:rsid w:val="00EA5F42"/>
    <w:rsid w:val="00EA6129"/>
    <w:rsid w:val="00EA6382"/>
    <w:rsid w:val="00EA6690"/>
    <w:rsid w:val="00EA6730"/>
    <w:rsid w:val="00EA6DC6"/>
    <w:rsid w:val="00EA7034"/>
    <w:rsid w:val="00EA710C"/>
    <w:rsid w:val="00EA7286"/>
    <w:rsid w:val="00EA7385"/>
    <w:rsid w:val="00EA7CEA"/>
    <w:rsid w:val="00EB0113"/>
    <w:rsid w:val="00EB04E3"/>
    <w:rsid w:val="00EB0788"/>
    <w:rsid w:val="00EB0836"/>
    <w:rsid w:val="00EB0BCC"/>
    <w:rsid w:val="00EB0FC4"/>
    <w:rsid w:val="00EB11AE"/>
    <w:rsid w:val="00EB15B6"/>
    <w:rsid w:val="00EB199E"/>
    <w:rsid w:val="00EB288F"/>
    <w:rsid w:val="00EB2CFB"/>
    <w:rsid w:val="00EB2E97"/>
    <w:rsid w:val="00EB31CE"/>
    <w:rsid w:val="00EB3941"/>
    <w:rsid w:val="00EB3BE5"/>
    <w:rsid w:val="00EB3C0A"/>
    <w:rsid w:val="00EB4179"/>
    <w:rsid w:val="00EB4916"/>
    <w:rsid w:val="00EB4B2E"/>
    <w:rsid w:val="00EB4C1B"/>
    <w:rsid w:val="00EB4D4C"/>
    <w:rsid w:val="00EB551A"/>
    <w:rsid w:val="00EB5C9C"/>
    <w:rsid w:val="00EB5DD4"/>
    <w:rsid w:val="00EB5F69"/>
    <w:rsid w:val="00EB622E"/>
    <w:rsid w:val="00EB6895"/>
    <w:rsid w:val="00EB68A3"/>
    <w:rsid w:val="00EB7314"/>
    <w:rsid w:val="00EB75CD"/>
    <w:rsid w:val="00EB780B"/>
    <w:rsid w:val="00EB79B9"/>
    <w:rsid w:val="00EC00C9"/>
    <w:rsid w:val="00EC037C"/>
    <w:rsid w:val="00EC0641"/>
    <w:rsid w:val="00EC064B"/>
    <w:rsid w:val="00EC0B72"/>
    <w:rsid w:val="00EC0D9D"/>
    <w:rsid w:val="00EC111D"/>
    <w:rsid w:val="00EC14F8"/>
    <w:rsid w:val="00EC1515"/>
    <w:rsid w:val="00EC16BA"/>
    <w:rsid w:val="00EC1BA0"/>
    <w:rsid w:val="00EC2017"/>
    <w:rsid w:val="00EC22AD"/>
    <w:rsid w:val="00EC2649"/>
    <w:rsid w:val="00EC28F1"/>
    <w:rsid w:val="00EC2BC3"/>
    <w:rsid w:val="00EC2EE4"/>
    <w:rsid w:val="00EC32B2"/>
    <w:rsid w:val="00EC33B3"/>
    <w:rsid w:val="00EC3697"/>
    <w:rsid w:val="00EC3784"/>
    <w:rsid w:val="00EC381F"/>
    <w:rsid w:val="00EC3A69"/>
    <w:rsid w:val="00EC4200"/>
    <w:rsid w:val="00EC445D"/>
    <w:rsid w:val="00EC4522"/>
    <w:rsid w:val="00EC4739"/>
    <w:rsid w:val="00EC4A8C"/>
    <w:rsid w:val="00EC4B27"/>
    <w:rsid w:val="00EC51B3"/>
    <w:rsid w:val="00EC5220"/>
    <w:rsid w:val="00EC5710"/>
    <w:rsid w:val="00EC598E"/>
    <w:rsid w:val="00EC6634"/>
    <w:rsid w:val="00EC66F9"/>
    <w:rsid w:val="00EC684B"/>
    <w:rsid w:val="00EC6B91"/>
    <w:rsid w:val="00EC6D6F"/>
    <w:rsid w:val="00EC715A"/>
    <w:rsid w:val="00EC7396"/>
    <w:rsid w:val="00EC73A3"/>
    <w:rsid w:val="00EC7436"/>
    <w:rsid w:val="00EC744B"/>
    <w:rsid w:val="00EC74A2"/>
    <w:rsid w:val="00EC767E"/>
    <w:rsid w:val="00EC7BB2"/>
    <w:rsid w:val="00EC7D0C"/>
    <w:rsid w:val="00ED021D"/>
    <w:rsid w:val="00ED0561"/>
    <w:rsid w:val="00ED0A0C"/>
    <w:rsid w:val="00ED0B3A"/>
    <w:rsid w:val="00ED0C1D"/>
    <w:rsid w:val="00ED1303"/>
    <w:rsid w:val="00ED13A4"/>
    <w:rsid w:val="00ED1605"/>
    <w:rsid w:val="00ED1724"/>
    <w:rsid w:val="00ED182C"/>
    <w:rsid w:val="00ED1DF4"/>
    <w:rsid w:val="00ED1F19"/>
    <w:rsid w:val="00ED22DF"/>
    <w:rsid w:val="00ED275A"/>
    <w:rsid w:val="00ED27A1"/>
    <w:rsid w:val="00ED296C"/>
    <w:rsid w:val="00ED2EB4"/>
    <w:rsid w:val="00ED35C1"/>
    <w:rsid w:val="00ED37AB"/>
    <w:rsid w:val="00ED390E"/>
    <w:rsid w:val="00ED3B57"/>
    <w:rsid w:val="00ED3C60"/>
    <w:rsid w:val="00ED3EF5"/>
    <w:rsid w:val="00ED41A7"/>
    <w:rsid w:val="00ED4876"/>
    <w:rsid w:val="00ED4AF3"/>
    <w:rsid w:val="00ED4F03"/>
    <w:rsid w:val="00ED52AF"/>
    <w:rsid w:val="00ED5439"/>
    <w:rsid w:val="00ED56B5"/>
    <w:rsid w:val="00ED56DC"/>
    <w:rsid w:val="00ED57EA"/>
    <w:rsid w:val="00ED5A9C"/>
    <w:rsid w:val="00ED6B56"/>
    <w:rsid w:val="00ED6BD3"/>
    <w:rsid w:val="00ED7BC0"/>
    <w:rsid w:val="00EE0015"/>
    <w:rsid w:val="00EE02EC"/>
    <w:rsid w:val="00EE05AD"/>
    <w:rsid w:val="00EE0676"/>
    <w:rsid w:val="00EE07D3"/>
    <w:rsid w:val="00EE0996"/>
    <w:rsid w:val="00EE1864"/>
    <w:rsid w:val="00EE1BBC"/>
    <w:rsid w:val="00EE1CE5"/>
    <w:rsid w:val="00EE1D96"/>
    <w:rsid w:val="00EE1DA6"/>
    <w:rsid w:val="00EE1F48"/>
    <w:rsid w:val="00EE1F63"/>
    <w:rsid w:val="00EE219C"/>
    <w:rsid w:val="00EE22AF"/>
    <w:rsid w:val="00EE23CD"/>
    <w:rsid w:val="00EE256D"/>
    <w:rsid w:val="00EE263D"/>
    <w:rsid w:val="00EE2946"/>
    <w:rsid w:val="00EE2EC0"/>
    <w:rsid w:val="00EE31FB"/>
    <w:rsid w:val="00EE3305"/>
    <w:rsid w:val="00EE342A"/>
    <w:rsid w:val="00EE38B9"/>
    <w:rsid w:val="00EE4082"/>
    <w:rsid w:val="00EE4230"/>
    <w:rsid w:val="00EE4938"/>
    <w:rsid w:val="00EE4C2F"/>
    <w:rsid w:val="00EE5222"/>
    <w:rsid w:val="00EE52CD"/>
    <w:rsid w:val="00EE54C7"/>
    <w:rsid w:val="00EE57C6"/>
    <w:rsid w:val="00EE6185"/>
    <w:rsid w:val="00EE64DB"/>
    <w:rsid w:val="00EE65A4"/>
    <w:rsid w:val="00EE67CF"/>
    <w:rsid w:val="00EE68B9"/>
    <w:rsid w:val="00EE6A3F"/>
    <w:rsid w:val="00EE6D63"/>
    <w:rsid w:val="00EE6E56"/>
    <w:rsid w:val="00EE7015"/>
    <w:rsid w:val="00EE7428"/>
    <w:rsid w:val="00EE74EC"/>
    <w:rsid w:val="00EE7779"/>
    <w:rsid w:val="00EE7E72"/>
    <w:rsid w:val="00EE7FDD"/>
    <w:rsid w:val="00EF0171"/>
    <w:rsid w:val="00EF01AC"/>
    <w:rsid w:val="00EF0A97"/>
    <w:rsid w:val="00EF0BC0"/>
    <w:rsid w:val="00EF110E"/>
    <w:rsid w:val="00EF1910"/>
    <w:rsid w:val="00EF1B25"/>
    <w:rsid w:val="00EF2775"/>
    <w:rsid w:val="00EF2C9C"/>
    <w:rsid w:val="00EF2D99"/>
    <w:rsid w:val="00EF2DB6"/>
    <w:rsid w:val="00EF31CE"/>
    <w:rsid w:val="00EF3313"/>
    <w:rsid w:val="00EF346C"/>
    <w:rsid w:val="00EF3662"/>
    <w:rsid w:val="00EF392E"/>
    <w:rsid w:val="00EF3DD5"/>
    <w:rsid w:val="00EF41D4"/>
    <w:rsid w:val="00EF41ED"/>
    <w:rsid w:val="00EF4747"/>
    <w:rsid w:val="00EF4A0F"/>
    <w:rsid w:val="00EF4BF8"/>
    <w:rsid w:val="00EF4C1C"/>
    <w:rsid w:val="00EF4FCB"/>
    <w:rsid w:val="00EF52E5"/>
    <w:rsid w:val="00EF554B"/>
    <w:rsid w:val="00EF55DB"/>
    <w:rsid w:val="00EF6033"/>
    <w:rsid w:val="00EF6190"/>
    <w:rsid w:val="00EF68B9"/>
    <w:rsid w:val="00EF6F79"/>
    <w:rsid w:val="00EF6F99"/>
    <w:rsid w:val="00EF719E"/>
    <w:rsid w:val="00EF749E"/>
    <w:rsid w:val="00EF763C"/>
    <w:rsid w:val="00EF772A"/>
    <w:rsid w:val="00F00E44"/>
    <w:rsid w:val="00F00E4C"/>
    <w:rsid w:val="00F01578"/>
    <w:rsid w:val="00F016FF"/>
    <w:rsid w:val="00F01863"/>
    <w:rsid w:val="00F018F4"/>
    <w:rsid w:val="00F01BE5"/>
    <w:rsid w:val="00F01C83"/>
    <w:rsid w:val="00F02253"/>
    <w:rsid w:val="00F02299"/>
    <w:rsid w:val="00F02480"/>
    <w:rsid w:val="00F0294E"/>
    <w:rsid w:val="00F02B93"/>
    <w:rsid w:val="00F0331C"/>
    <w:rsid w:val="00F034B8"/>
    <w:rsid w:val="00F03A6B"/>
    <w:rsid w:val="00F03B1B"/>
    <w:rsid w:val="00F03C2E"/>
    <w:rsid w:val="00F03D61"/>
    <w:rsid w:val="00F03F8A"/>
    <w:rsid w:val="00F04019"/>
    <w:rsid w:val="00F0422C"/>
    <w:rsid w:val="00F043FD"/>
    <w:rsid w:val="00F0458A"/>
    <w:rsid w:val="00F04660"/>
    <w:rsid w:val="00F0497A"/>
    <w:rsid w:val="00F04A66"/>
    <w:rsid w:val="00F04ED7"/>
    <w:rsid w:val="00F0516C"/>
    <w:rsid w:val="00F051D8"/>
    <w:rsid w:val="00F052D2"/>
    <w:rsid w:val="00F0533D"/>
    <w:rsid w:val="00F053F1"/>
    <w:rsid w:val="00F05510"/>
    <w:rsid w:val="00F059A0"/>
    <w:rsid w:val="00F060CC"/>
    <w:rsid w:val="00F0647A"/>
    <w:rsid w:val="00F067A2"/>
    <w:rsid w:val="00F067F7"/>
    <w:rsid w:val="00F06A08"/>
    <w:rsid w:val="00F06CE7"/>
    <w:rsid w:val="00F06EED"/>
    <w:rsid w:val="00F0727D"/>
    <w:rsid w:val="00F0728C"/>
    <w:rsid w:val="00F07424"/>
    <w:rsid w:val="00F07493"/>
    <w:rsid w:val="00F0790A"/>
    <w:rsid w:val="00F079D7"/>
    <w:rsid w:val="00F07DD2"/>
    <w:rsid w:val="00F10067"/>
    <w:rsid w:val="00F10576"/>
    <w:rsid w:val="00F10724"/>
    <w:rsid w:val="00F1094D"/>
    <w:rsid w:val="00F10D33"/>
    <w:rsid w:val="00F11003"/>
    <w:rsid w:val="00F11203"/>
    <w:rsid w:val="00F11337"/>
    <w:rsid w:val="00F11629"/>
    <w:rsid w:val="00F116A9"/>
    <w:rsid w:val="00F11847"/>
    <w:rsid w:val="00F119A5"/>
    <w:rsid w:val="00F11DB2"/>
    <w:rsid w:val="00F11F04"/>
    <w:rsid w:val="00F120B8"/>
    <w:rsid w:val="00F120DC"/>
    <w:rsid w:val="00F12435"/>
    <w:rsid w:val="00F1263A"/>
    <w:rsid w:val="00F1267D"/>
    <w:rsid w:val="00F1289A"/>
    <w:rsid w:val="00F12A17"/>
    <w:rsid w:val="00F12A59"/>
    <w:rsid w:val="00F12DAA"/>
    <w:rsid w:val="00F136AD"/>
    <w:rsid w:val="00F13763"/>
    <w:rsid w:val="00F139DE"/>
    <w:rsid w:val="00F13C2C"/>
    <w:rsid w:val="00F13DE6"/>
    <w:rsid w:val="00F13DE8"/>
    <w:rsid w:val="00F13F69"/>
    <w:rsid w:val="00F14090"/>
    <w:rsid w:val="00F140C4"/>
    <w:rsid w:val="00F14111"/>
    <w:rsid w:val="00F14203"/>
    <w:rsid w:val="00F14439"/>
    <w:rsid w:val="00F14784"/>
    <w:rsid w:val="00F14C38"/>
    <w:rsid w:val="00F14DE5"/>
    <w:rsid w:val="00F15930"/>
    <w:rsid w:val="00F15D41"/>
    <w:rsid w:val="00F15FD3"/>
    <w:rsid w:val="00F1626D"/>
    <w:rsid w:val="00F16726"/>
    <w:rsid w:val="00F16821"/>
    <w:rsid w:val="00F16881"/>
    <w:rsid w:val="00F16C23"/>
    <w:rsid w:val="00F16E55"/>
    <w:rsid w:val="00F1704B"/>
    <w:rsid w:val="00F1736D"/>
    <w:rsid w:val="00F175AF"/>
    <w:rsid w:val="00F1782C"/>
    <w:rsid w:val="00F179A6"/>
    <w:rsid w:val="00F17CC7"/>
    <w:rsid w:val="00F20185"/>
    <w:rsid w:val="00F204F9"/>
    <w:rsid w:val="00F20B5D"/>
    <w:rsid w:val="00F21B61"/>
    <w:rsid w:val="00F21F5C"/>
    <w:rsid w:val="00F21F60"/>
    <w:rsid w:val="00F2219A"/>
    <w:rsid w:val="00F221ED"/>
    <w:rsid w:val="00F223FB"/>
    <w:rsid w:val="00F225A3"/>
    <w:rsid w:val="00F227C9"/>
    <w:rsid w:val="00F22869"/>
    <w:rsid w:val="00F22883"/>
    <w:rsid w:val="00F22B34"/>
    <w:rsid w:val="00F22B8F"/>
    <w:rsid w:val="00F2336F"/>
    <w:rsid w:val="00F233D4"/>
    <w:rsid w:val="00F234CD"/>
    <w:rsid w:val="00F23C2E"/>
    <w:rsid w:val="00F241CF"/>
    <w:rsid w:val="00F24837"/>
    <w:rsid w:val="00F24A32"/>
    <w:rsid w:val="00F24D87"/>
    <w:rsid w:val="00F24EEA"/>
    <w:rsid w:val="00F24EEC"/>
    <w:rsid w:val="00F24F84"/>
    <w:rsid w:val="00F256EC"/>
    <w:rsid w:val="00F2575F"/>
    <w:rsid w:val="00F259D2"/>
    <w:rsid w:val="00F25A2E"/>
    <w:rsid w:val="00F25AAE"/>
    <w:rsid w:val="00F25EC2"/>
    <w:rsid w:val="00F26468"/>
    <w:rsid w:val="00F2660A"/>
    <w:rsid w:val="00F26730"/>
    <w:rsid w:val="00F26A03"/>
    <w:rsid w:val="00F26A52"/>
    <w:rsid w:val="00F26B28"/>
    <w:rsid w:val="00F27189"/>
    <w:rsid w:val="00F2754D"/>
    <w:rsid w:val="00F27565"/>
    <w:rsid w:val="00F27871"/>
    <w:rsid w:val="00F27950"/>
    <w:rsid w:val="00F27AD7"/>
    <w:rsid w:val="00F27B6E"/>
    <w:rsid w:val="00F27D18"/>
    <w:rsid w:val="00F30320"/>
    <w:rsid w:val="00F30DF9"/>
    <w:rsid w:val="00F310D4"/>
    <w:rsid w:val="00F31499"/>
    <w:rsid w:val="00F3156F"/>
    <w:rsid w:val="00F3168A"/>
    <w:rsid w:val="00F31773"/>
    <w:rsid w:val="00F31D5A"/>
    <w:rsid w:val="00F31EF5"/>
    <w:rsid w:val="00F322FC"/>
    <w:rsid w:val="00F32522"/>
    <w:rsid w:val="00F326E3"/>
    <w:rsid w:val="00F32C5C"/>
    <w:rsid w:val="00F32CE5"/>
    <w:rsid w:val="00F32DC9"/>
    <w:rsid w:val="00F3376D"/>
    <w:rsid w:val="00F3385E"/>
    <w:rsid w:val="00F33B2C"/>
    <w:rsid w:val="00F33B99"/>
    <w:rsid w:val="00F33BA1"/>
    <w:rsid w:val="00F33C43"/>
    <w:rsid w:val="00F33DE9"/>
    <w:rsid w:val="00F33EA1"/>
    <w:rsid w:val="00F33F9F"/>
    <w:rsid w:val="00F34100"/>
    <w:rsid w:val="00F34504"/>
    <w:rsid w:val="00F34535"/>
    <w:rsid w:val="00F34A78"/>
    <w:rsid w:val="00F34B95"/>
    <w:rsid w:val="00F34C43"/>
    <w:rsid w:val="00F34D7C"/>
    <w:rsid w:val="00F34F20"/>
    <w:rsid w:val="00F350A6"/>
    <w:rsid w:val="00F35152"/>
    <w:rsid w:val="00F35183"/>
    <w:rsid w:val="00F35324"/>
    <w:rsid w:val="00F35464"/>
    <w:rsid w:val="00F35997"/>
    <w:rsid w:val="00F35B57"/>
    <w:rsid w:val="00F35B8B"/>
    <w:rsid w:val="00F35C42"/>
    <w:rsid w:val="00F35F6B"/>
    <w:rsid w:val="00F3605D"/>
    <w:rsid w:val="00F360B5"/>
    <w:rsid w:val="00F3619A"/>
    <w:rsid w:val="00F36465"/>
    <w:rsid w:val="00F36B71"/>
    <w:rsid w:val="00F36C83"/>
    <w:rsid w:val="00F3717D"/>
    <w:rsid w:val="00F37C99"/>
    <w:rsid w:val="00F37D78"/>
    <w:rsid w:val="00F40591"/>
    <w:rsid w:val="00F40AAA"/>
    <w:rsid w:val="00F40BA7"/>
    <w:rsid w:val="00F40C79"/>
    <w:rsid w:val="00F40E08"/>
    <w:rsid w:val="00F41488"/>
    <w:rsid w:val="00F4168D"/>
    <w:rsid w:val="00F418D4"/>
    <w:rsid w:val="00F418F8"/>
    <w:rsid w:val="00F41914"/>
    <w:rsid w:val="00F41953"/>
    <w:rsid w:val="00F41B86"/>
    <w:rsid w:val="00F42066"/>
    <w:rsid w:val="00F42071"/>
    <w:rsid w:val="00F42172"/>
    <w:rsid w:val="00F422DA"/>
    <w:rsid w:val="00F42569"/>
    <w:rsid w:val="00F428D1"/>
    <w:rsid w:val="00F42B13"/>
    <w:rsid w:val="00F42BE8"/>
    <w:rsid w:val="00F42CCD"/>
    <w:rsid w:val="00F43058"/>
    <w:rsid w:val="00F43370"/>
    <w:rsid w:val="00F43382"/>
    <w:rsid w:val="00F433DD"/>
    <w:rsid w:val="00F437BB"/>
    <w:rsid w:val="00F43910"/>
    <w:rsid w:val="00F43AA7"/>
    <w:rsid w:val="00F43AB5"/>
    <w:rsid w:val="00F43C31"/>
    <w:rsid w:val="00F44057"/>
    <w:rsid w:val="00F44388"/>
    <w:rsid w:val="00F444BD"/>
    <w:rsid w:val="00F4494A"/>
    <w:rsid w:val="00F449EE"/>
    <w:rsid w:val="00F45135"/>
    <w:rsid w:val="00F45427"/>
    <w:rsid w:val="00F4560F"/>
    <w:rsid w:val="00F45801"/>
    <w:rsid w:val="00F4592C"/>
    <w:rsid w:val="00F45D5B"/>
    <w:rsid w:val="00F46A3A"/>
    <w:rsid w:val="00F46AA5"/>
    <w:rsid w:val="00F46B61"/>
    <w:rsid w:val="00F46CB6"/>
    <w:rsid w:val="00F46D01"/>
    <w:rsid w:val="00F46FD4"/>
    <w:rsid w:val="00F47520"/>
    <w:rsid w:val="00F47690"/>
    <w:rsid w:val="00F47B02"/>
    <w:rsid w:val="00F47BF4"/>
    <w:rsid w:val="00F47DB5"/>
    <w:rsid w:val="00F47DE8"/>
    <w:rsid w:val="00F47FAE"/>
    <w:rsid w:val="00F50E89"/>
    <w:rsid w:val="00F50EBC"/>
    <w:rsid w:val="00F517CC"/>
    <w:rsid w:val="00F518D0"/>
    <w:rsid w:val="00F5194D"/>
    <w:rsid w:val="00F51B5B"/>
    <w:rsid w:val="00F526DE"/>
    <w:rsid w:val="00F5276F"/>
    <w:rsid w:val="00F529EC"/>
    <w:rsid w:val="00F52E19"/>
    <w:rsid w:val="00F52E35"/>
    <w:rsid w:val="00F5321F"/>
    <w:rsid w:val="00F533FC"/>
    <w:rsid w:val="00F53465"/>
    <w:rsid w:val="00F53499"/>
    <w:rsid w:val="00F535B3"/>
    <w:rsid w:val="00F537EB"/>
    <w:rsid w:val="00F5399B"/>
    <w:rsid w:val="00F542C1"/>
    <w:rsid w:val="00F544EB"/>
    <w:rsid w:val="00F545A5"/>
    <w:rsid w:val="00F54702"/>
    <w:rsid w:val="00F54A86"/>
    <w:rsid w:val="00F54E98"/>
    <w:rsid w:val="00F5501B"/>
    <w:rsid w:val="00F55288"/>
    <w:rsid w:val="00F55306"/>
    <w:rsid w:val="00F554C3"/>
    <w:rsid w:val="00F556FB"/>
    <w:rsid w:val="00F55E73"/>
    <w:rsid w:val="00F55EDA"/>
    <w:rsid w:val="00F5602D"/>
    <w:rsid w:val="00F56178"/>
    <w:rsid w:val="00F56932"/>
    <w:rsid w:val="00F56A24"/>
    <w:rsid w:val="00F57053"/>
    <w:rsid w:val="00F57122"/>
    <w:rsid w:val="00F57261"/>
    <w:rsid w:val="00F5761D"/>
    <w:rsid w:val="00F5767B"/>
    <w:rsid w:val="00F5768D"/>
    <w:rsid w:val="00F57842"/>
    <w:rsid w:val="00F578D2"/>
    <w:rsid w:val="00F57C4B"/>
    <w:rsid w:val="00F57CD9"/>
    <w:rsid w:val="00F57D09"/>
    <w:rsid w:val="00F57DA7"/>
    <w:rsid w:val="00F57DB8"/>
    <w:rsid w:val="00F57DC1"/>
    <w:rsid w:val="00F57FA1"/>
    <w:rsid w:val="00F60092"/>
    <w:rsid w:val="00F600BF"/>
    <w:rsid w:val="00F60710"/>
    <w:rsid w:val="00F6096C"/>
    <w:rsid w:val="00F60A80"/>
    <w:rsid w:val="00F60D7A"/>
    <w:rsid w:val="00F60E97"/>
    <w:rsid w:val="00F61785"/>
    <w:rsid w:val="00F617CE"/>
    <w:rsid w:val="00F61AD1"/>
    <w:rsid w:val="00F61FE5"/>
    <w:rsid w:val="00F6200B"/>
    <w:rsid w:val="00F620E4"/>
    <w:rsid w:val="00F629CC"/>
    <w:rsid w:val="00F632B5"/>
    <w:rsid w:val="00F6348C"/>
    <w:rsid w:val="00F636B0"/>
    <w:rsid w:val="00F63DE4"/>
    <w:rsid w:val="00F64302"/>
    <w:rsid w:val="00F644AF"/>
    <w:rsid w:val="00F64618"/>
    <w:rsid w:val="00F647FC"/>
    <w:rsid w:val="00F64890"/>
    <w:rsid w:val="00F64B0F"/>
    <w:rsid w:val="00F64D36"/>
    <w:rsid w:val="00F64EBA"/>
    <w:rsid w:val="00F64ED4"/>
    <w:rsid w:val="00F64F3D"/>
    <w:rsid w:val="00F64F81"/>
    <w:rsid w:val="00F65444"/>
    <w:rsid w:val="00F655E9"/>
    <w:rsid w:val="00F659F7"/>
    <w:rsid w:val="00F65AFC"/>
    <w:rsid w:val="00F65D82"/>
    <w:rsid w:val="00F65E57"/>
    <w:rsid w:val="00F65E6B"/>
    <w:rsid w:val="00F65F2B"/>
    <w:rsid w:val="00F65F4B"/>
    <w:rsid w:val="00F66370"/>
    <w:rsid w:val="00F66763"/>
    <w:rsid w:val="00F66BC1"/>
    <w:rsid w:val="00F67080"/>
    <w:rsid w:val="00F670FC"/>
    <w:rsid w:val="00F678A8"/>
    <w:rsid w:val="00F67904"/>
    <w:rsid w:val="00F67E16"/>
    <w:rsid w:val="00F700C0"/>
    <w:rsid w:val="00F70212"/>
    <w:rsid w:val="00F7044D"/>
    <w:rsid w:val="00F70A32"/>
    <w:rsid w:val="00F70C9D"/>
    <w:rsid w:val="00F70F4E"/>
    <w:rsid w:val="00F7164A"/>
    <w:rsid w:val="00F716A2"/>
    <w:rsid w:val="00F717E2"/>
    <w:rsid w:val="00F718D3"/>
    <w:rsid w:val="00F71980"/>
    <w:rsid w:val="00F71A7B"/>
    <w:rsid w:val="00F71C42"/>
    <w:rsid w:val="00F71F50"/>
    <w:rsid w:val="00F71F88"/>
    <w:rsid w:val="00F72133"/>
    <w:rsid w:val="00F72611"/>
    <w:rsid w:val="00F72816"/>
    <w:rsid w:val="00F72D15"/>
    <w:rsid w:val="00F72E49"/>
    <w:rsid w:val="00F72EFB"/>
    <w:rsid w:val="00F73024"/>
    <w:rsid w:val="00F7358D"/>
    <w:rsid w:val="00F7363D"/>
    <w:rsid w:val="00F7388D"/>
    <w:rsid w:val="00F7389F"/>
    <w:rsid w:val="00F73B47"/>
    <w:rsid w:val="00F74621"/>
    <w:rsid w:val="00F74648"/>
    <w:rsid w:val="00F74676"/>
    <w:rsid w:val="00F7469B"/>
    <w:rsid w:val="00F74B13"/>
    <w:rsid w:val="00F74CD9"/>
    <w:rsid w:val="00F75540"/>
    <w:rsid w:val="00F756D3"/>
    <w:rsid w:val="00F7578B"/>
    <w:rsid w:val="00F7588E"/>
    <w:rsid w:val="00F759D7"/>
    <w:rsid w:val="00F76677"/>
    <w:rsid w:val="00F767D7"/>
    <w:rsid w:val="00F76933"/>
    <w:rsid w:val="00F7696E"/>
    <w:rsid w:val="00F76C08"/>
    <w:rsid w:val="00F76DC5"/>
    <w:rsid w:val="00F76FD1"/>
    <w:rsid w:val="00F7702F"/>
    <w:rsid w:val="00F770EC"/>
    <w:rsid w:val="00F772EE"/>
    <w:rsid w:val="00F7744A"/>
    <w:rsid w:val="00F774B3"/>
    <w:rsid w:val="00F777EB"/>
    <w:rsid w:val="00F77948"/>
    <w:rsid w:val="00F77BA2"/>
    <w:rsid w:val="00F77EC5"/>
    <w:rsid w:val="00F77F0C"/>
    <w:rsid w:val="00F80156"/>
    <w:rsid w:val="00F803C0"/>
    <w:rsid w:val="00F8051C"/>
    <w:rsid w:val="00F805FE"/>
    <w:rsid w:val="00F8065F"/>
    <w:rsid w:val="00F8070F"/>
    <w:rsid w:val="00F80862"/>
    <w:rsid w:val="00F80A7B"/>
    <w:rsid w:val="00F80E22"/>
    <w:rsid w:val="00F80E5D"/>
    <w:rsid w:val="00F81387"/>
    <w:rsid w:val="00F81827"/>
    <w:rsid w:val="00F819CF"/>
    <w:rsid w:val="00F819ED"/>
    <w:rsid w:val="00F81CFB"/>
    <w:rsid w:val="00F82142"/>
    <w:rsid w:val="00F823DC"/>
    <w:rsid w:val="00F82921"/>
    <w:rsid w:val="00F82AB8"/>
    <w:rsid w:val="00F82E28"/>
    <w:rsid w:val="00F83071"/>
    <w:rsid w:val="00F8386A"/>
    <w:rsid w:val="00F83B97"/>
    <w:rsid w:val="00F83C37"/>
    <w:rsid w:val="00F83C9C"/>
    <w:rsid w:val="00F83CC4"/>
    <w:rsid w:val="00F83EDF"/>
    <w:rsid w:val="00F84012"/>
    <w:rsid w:val="00F8423C"/>
    <w:rsid w:val="00F8435F"/>
    <w:rsid w:val="00F84725"/>
    <w:rsid w:val="00F84932"/>
    <w:rsid w:val="00F8495A"/>
    <w:rsid w:val="00F84CF7"/>
    <w:rsid w:val="00F851CE"/>
    <w:rsid w:val="00F8528B"/>
    <w:rsid w:val="00F854D7"/>
    <w:rsid w:val="00F854FA"/>
    <w:rsid w:val="00F85B00"/>
    <w:rsid w:val="00F85C50"/>
    <w:rsid w:val="00F85D2F"/>
    <w:rsid w:val="00F86213"/>
    <w:rsid w:val="00F86746"/>
    <w:rsid w:val="00F86943"/>
    <w:rsid w:val="00F8694A"/>
    <w:rsid w:val="00F86CC1"/>
    <w:rsid w:val="00F86DF6"/>
    <w:rsid w:val="00F873AA"/>
    <w:rsid w:val="00F877C0"/>
    <w:rsid w:val="00F878E8"/>
    <w:rsid w:val="00F87E8D"/>
    <w:rsid w:val="00F904A2"/>
    <w:rsid w:val="00F905A3"/>
    <w:rsid w:val="00F90CEF"/>
    <w:rsid w:val="00F90E72"/>
    <w:rsid w:val="00F90F52"/>
    <w:rsid w:val="00F91219"/>
    <w:rsid w:val="00F9175D"/>
    <w:rsid w:val="00F9181C"/>
    <w:rsid w:val="00F91983"/>
    <w:rsid w:val="00F9199D"/>
    <w:rsid w:val="00F91D82"/>
    <w:rsid w:val="00F91ED5"/>
    <w:rsid w:val="00F920E2"/>
    <w:rsid w:val="00F92125"/>
    <w:rsid w:val="00F92D49"/>
    <w:rsid w:val="00F93018"/>
    <w:rsid w:val="00F9308F"/>
    <w:rsid w:val="00F933D5"/>
    <w:rsid w:val="00F935C2"/>
    <w:rsid w:val="00F93E02"/>
    <w:rsid w:val="00F93EF5"/>
    <w:rsid w:val="00F940BF"/>
    <w:rsid w:val="00F942BD"/>
    <w:rsid w:val="00F943D2"/>
    <w:rsid w:val="00F9443B"/>
    <w:rsid w:val="00F94CC2"/>
    <w:rsid w:val="00F95024"/>
    <w:rsid w:val="00F95194"/>
    <w:rsid w:val="00F95A20"/>
    <w:rsid w:val="00F95DC9"/>
    <w:rsid w:val="00F9602D"/>
    <w:rsid w:val="00F9654D"/>
    <w:rsid w:val="00F9655D"/>
    <w:rsid w:val="00F96B77"/>
    <w:rsid w:val="00F96EE2"/>
    <w:rsid w:val="00F97303"/>
    <w:rsid w:val="00F97893"/>
    <w:rsid w:val="00F97A78"/>
    <w:rsid w:val="00F97B91"/>
    <w:rsid w:val="00F97C90"/>
    <w:rsid w:val="00F97F5E"/>
    <w:rsid w:val="00FA0221"/>
    <w:rsid w:val="00FA03AE"/>
    <w:rsid w:val="00FA0516"/>
    <w:rsid w:val="00FA0665"/>
    <w:rsid w:val="00FA0AA5"/>
    <w:rsid w:val="00FA0B20"/>
    <w:rsid w:val="00FA0C97"/>
    <w:rsid w:val="00FA207C"/>
    <w:rsid w:val="00FA239D"/>
    <w:rsid w:val="00FA24E7"/>
    <w:rsid w:val="00FA2863"/>
    <w:rsid w:val="00FA29FC"/>
    <w:rsid w:val="00FA2ACE"/>
    <w:rsid w:val="00FA2FFF"/>
    <w:rsid w:val="00FA30FD"/>
    <w:rsid w:val="00FA3447"/>
    <w:rsid w:val="00FA344F"/>
    <w:rsid w:val="00FA3496"/>
    <w:rsid w:val="00FA35DB"/>
    <w:rsid w:val="00FA38FB"/>
    <w:rsid w:val="00FA3981"/>
    <w:rsid w:val="00FA3B93"/>
    <w:rsid w:val="00FA3F20"/>
    <w:rsid w:val="00FA3F9F"/>
    <w:rsid w:val="00FA4118"/>
    <w:rsid w:val="00FA4126"/>
    <w:rsid w:val="00FA416A"/>
    <w:rsid w:val="00FA42AB"/>
    <w:rsid w:val="00FA449D"/>
    <w:rsid w:val="00FA4689"/>
    <w:rsid w:val="00FA4933"/>
    <w:rsid w:val="00FA4A14"/>
    <w:rsid w:val="00FA4A3F"/>
    <w:rsid w:val="00FA4E70"/>
    <w:rsid w:val="00FA5239"/>
    <w:rsid w:val="00FA5389"/>
    <w:rsid w:val="00FA55B3"/>
    <w:rsid w:val="00FA5B26"/>
    <w:rsid w:val="00FA5C1C"/>
    <w:rsid w:val="00FA5D04"/>
    <w:rsid w:val="00FA5D17"/>
    <w:rsid w:val="00FA609F"/>
    <w:rsid w:val="00FA6738"/>
    <w:rsid w:val="00FA68AF"/>
    <w:rsid w:val="00FA6906"/>
    <w:rsid w:val="00FA696B"/>
    <w:rsid w:val="00FA6FA7"/>
    <w:rsid w:val="00FA70F9"/>
    <w:rsid w:val="00FA75E9"/>
    <w:rsid w:val="00FA7764"/>
    <w:rsid w:val="00FB01AD"/>
    <w:rsid w:val="00FB034E"/>
    <w:rsid w:val="00FB047C"/>
    <w:rsid w:val="00FB050D"/>
    <w:rsid w:val="00FB05EA"/>
    <w:rsid w:val="00FB06EF"/>
    <w:rsid w:val="00FB08C2"/>
    <w:rsid w:val="00FB099B"/>
    <w:rsid w:val="00FB0CA4"/>
    <w:rsid w:val="00FB11EE"/>
    <w:rsid w:val="00FB135E"/>
    <w:rsid w:val="00FB13DB"/>
    <w:rsid w:val="00FB1BDC"/>
    <w:rsid w:val="00FB1E47"/>
    <w:rsid w:val="00FB1E61"/>
    <w:rsid w:val="00FB1E9D"/>
    <w:rsid w:val="00FB2158"/>
    <w:rsid w:val="00FB2436"/>
    <w:rsid w:val="00FB2636"/>
    <w:rsid w:val="00FB29CA"/>
    <w:rsid w:val="00FB2B9E"/>
    <w:rsid w:val="00FB2BE2"/>
    <w:rsid w:val="00FB2ECD"/>
    <w:rsid w:val="00FB2EE6"/>
    <w:rsid w:val="00FB2FCB"/>
    <w:rsid w:val="00FB3308"/>
    <w:rsid w:val="00FB3905"/>
    <w:rsid w:val="00FB3BF2"/>
    <w:rsid w:val="00FB3C6A"/>
    <w:rsid w:val="00FB3E06"/>
    <w:rsid w:val="00FB3F65"/>
    <w:rsid w:val="00FB40CC"/>
    <w:rsid w:val="00FB49E2"/>
    <w:rsid w:val="00FB5032"/>
    <w:rsid w:val="00FB50DE"/>
    <w:rsid w:val="00FB5221"/>
    <w:rsid w:val="00FB53A6"/>
    <w:rsid w:val="00FB54A2"/>
    <w:rsid w:val="00FB564F"/>
    <w:rsid w:val="00FB5694"/>
    <w:rsid w:val="00FB5A13"/>
    <w:rsid w:val="00FB5AED"/>
    <w:rsid w:val="00FB5E16"/>
    <w:rsid w:val="00FB6289"/>
    <w:rsid w:val="00FB6567"/>
    <w:rsid w:val="00FB68C2"/>
    <w:rsid w:val="00FB6986"/>
    <w:rsid w:val="00FB69C5"/>
    <w:rsid w:val="00FB730C"/>
    <w:rsid w:val="00FB7676"/>
    <w:rsid w:val="00FC0BF6"/>
    <w:rsid w:val="00FC0C1A"/>
    <w:rsid w:val="00FC0DD2"/>
    <w:rsid w:val="00FC0F88"/>
    <w:rsid w:val="00FC1074"/>
    <w:rsid w:val="00FC11E3"/>
    <w:rsid w:val="00FC1528"/>
    <w:rsid w:val="00FC17E7"/>
    <w:rsid w:val="00FC1884"/>
    <w:rsid w:val="00FC1B1A"/>
    <w:rsid w:val="00FC1B6A"/>
    <w:rsid w:val="00FC1F29"/>
    <w:rsid w:val="00FC1FF7"/>
    <w:rsid w:val="00FC24A4"/>
    <w:rsid w:val="00FC258D"/>
    <w:rsid w:val="00FC25A0"/>
    <w:rsid w:val="00FC271F"/>
    <w:rsid w:val="00FC2E6D"/>
    <w:rsid w:val="00FC2F15"/>
    <w:rsid w:val="00FC3242"/>
    <w:rsid w:val="00FC3267"/>
    <w:rsid w:val="00FC33B3"/>
    <w:rsid w:val="00FC33D2"/>
    <w:rsid w:val="00FC341A"/>
    <w:rsid w:val="00FC35E9"/>
    <w:rsid w:val="00FC371D"/>
    <w:rsid w:val="00FC4949"/>
    <w:rsid w:val="00FC4BF4"/>
    <w:rsid w:val="00FC5302"/>
    <w:rsid w:val="00FC5337"/>
    <w:rsid w:val="00FC5768"/>
    <w:rsid w:val="00FC5DAF"/>
    <w:rsid w:val="00FC5F0B"/>
    <w:rsid w:val="00FC60A4"/>
    <w:rsid w:val="00FC63B1"/>
    <w:rsid w:val="00FC6861"/>
    <w:rsid w:val="00FC6955"/>
    <w:rsid w:val="00FC69E8"/>
    <w:rsid w:val="00FC6A8A"/>
    <w:rsid w:val="00FC6D28"/>
    <w:rsid w:val="00FC6D5D"/>
    <w:rsid w:val="00FC756F"/>
    <w:rsid w:val="00FC76D9"/>
    <w:rsid w:val="00FC7B65"/>
    <w:rsid w:val="00FC7D90"/>
    <w:rsid w:val="00FD032A"/>
    <w:rsid w:val="00FD08AB"/>
    <w:rsid w:val="00FD0C27"/>
    <w:rsid w:val="00FD119B"/>
    <w:rsid w:val="00FD139D"/>
    <w:rsid w:val="00FD1450"/>
    <w:rsid w:val="00FD1A17"/>
    <w:rsid w:val="00FD1AD2"/>
    <w:rsid w:val="00FD1E2E"/>
    <w:rsid w:val="00FD2044"/>
    <w:rsid w:val="00FD20CF"/>
    <w:rsid w:val="00FD2100"/>
    <w:rsid w:val="00FD23B9"/>
    <w:rsid w:val="00FD28D0"/>
    <w:rsid w:val="00FD2E2F"/>
    <w:rsid w:val="00FD3044"/>
    <w:rsid w:val="00FD326F"/>
    <w:rsid w:val="00FD3329"/>
    <w:rsid w:val="00FD3639"/>
    <w:rsid w:val="00FD36AF"/>
    <w:rsid w:val="00FD3765"/>
    <w:rsid w:val="00FD3FD5"/>
    <w:rsid w:val="00FD4189"/>
    <w:rsid w:val="00FD436C"/>
    <w:rsid w:val="00FD43A1"/>
    <w:rsid w:val="00FD443B"/>
    <w:rsid w:val="00FD446D"/>
    <w:rsid w:val="00FD4596"/>
    <w:rsid w:val="00FD4659"/>
    <w:rsid w:val="00FD46A1"/>
    <w:rsid w:val="00FD46A7"/>
    <w:rsid w:val="00FD46CA"/>
    <w:rsid w:val="00FD4852"/>
    <w:rsid w:val="00FD4D4D"/>
    <w:rsid w:val="00FD4D87"/>
    <w:rsid w:val="00FD4EBD"/>
    <w:rsid w:val="00FD52B7"/>
    <w:rsid w:val="00FD5352"/>
    <w:rsid w:val="00FD58F7"/>
    <w:rsid w:val="00FD58F8"/>
    <w:rsid w:val="00FD5B03"/>
    <w:rsid w:val="00FD5B71"/>
    <w:rsid w:val="00FD5E1C"/>
    <w:rsid w:val="00FD5E69"/>
    <w:rsid w:val="00FD5F48"/>
    <w:rsid w:val="00FD5F5B"/>
    <w:rsid w:val="00FD6394"/>
    <w:rsid w:val="00FD64F5"/>
    <w:rsid w:val="00FD66D5"/>
    <w:rsid w:val="00FD6AC5"/>
    <w:rsid w:val="00FD6D8C"/>
    <w:rsid w:val="00FD6FE7"/>
    <w:rsid w:val="00FD71F1"/>
    <w:rsid w:val="00FD7315"/>
    <w:rsid w:val="00FD7385"/>
    <w:rsid w:val="00FD740D"/>
    <w:rsid w:val="00FD7BA7"/>
    <w:rsid w:val="00FD7CA8"/>
    <w:rsid w:val="00FD7CB9"/>
    <w:rsid w:val="00FE01F5"/>
    <w:rsid w:val="00FE02F8"/>
    <w:rsid w:val="00FE06F7"/>
    <w:rsid w:val="00FE0920"/>
    <w:rsid w:val="00FE0B65"/>
    <w:rsid w:val="00FE0BCC"/>
    <w:rsid w:val="00FE0E6C"/>
    <w:rsid w:val="00FE0F8B"/>
    <w:rsid w:val="00FE1735"/>
    <w:rsid w:val="00FE17F9"/>
    <w:rsid w:val="00FE1CE8"/>
    <w:rsid w:val="00FE1EF9"/>
    <w:rsid w:val="00FE1F5A"/>
    <w:rsid w:val="00FE23E0"/>
    <w:rsid w:val="00FE244A"/>
    <w:rsid w:val="00FE2725"/>
    <w:rsid w:val="00FE2A55"/>
    <w:rsid w:val="00FE2D56"/>
    <w:rsid w:val="00FE3391"/>
    <w:rsid w:val="00FE3A03"/>
    <w:rsid w:val="00FE3AFB"/>
    <w:rsid w:val="00FE3E6A"/>
    <w:rsid w:val="00FE3FA8"/>
    <w:rsid w:val="00FE43C8"/>
    <w:rsid w:val="00FE4481"/>
    <w:rsid w:val="00FE45DA"/>
    <w:rsid w:val="00FE4658"/>
    <w:rsid w:val="00FE47CC"/>
    <w:rsid w:val="00FE5148"/>
    <w:rsid w:val="00FE52F8"/>
    <w:rsid w:val="00FE556A"/>
    <w:rsid w:val="00FE5602"/>
    <w:rsid w:val="00FE56FC"/>
    <w:rsid w:val="00FE5C88"/>
    <w:rsid w:val="00FE5D3A"/>
    <w:rsid w:val="00FE5DDF"/>
    <w:rsid w:val="00FE64CD"/>
    <w:rsid w:val="00FE6EA5"/>
    <w:rsid w:val="00FE6FC4"/>
    <w:rsid w:val="00FE70AA"/>
    <w:rsid w:val="00FE70BF"/>
    <w:rsid w:val="00FE70C3"/>
    <w:rsid w:val="00FE7259"/>
    <w:rsid w:val="00FE7527"/>
    <w:rsid w:val="00FE7C26"/>
    <w:rsid w:val="00FF0199"/>
    <w:rsid w:val="00FF02C3"/>
    <w:rsid w:val="00FF0486"/>
    <w:rsid w:val="00FF0A66"/>
    <w:rsid w:val="00FF0AA6"/>
    <w:rsid w:val="00FF0BC1"/>
    <w:rsid w:val="00FF0C08"/>
    <w:rsid w:val="00FF0CE4"/>
    <w:rsid w:val="00FF10FB"/>
    <w:rsid w:val="00FF1275"/>
    <w:rsid w:val="00FF129B"/>
    <w:rsid w:val="00FF139B"/>
    <w:rsid w:val="00FF141B"/>
    <w:rsid w:val="00FF162F"/>
    <w:rsid w:val="00FF1BEB"/>
    <w:rsid w:val="00FF1D2F"/>
    <w:rsid w:val="00FF1F32"/>
    <w:rsid w:val="00FF225D"/>
    <w:rsid w:val="00FF2377"/>
    <w:rsid w:val="00FF2491"/>
    <w:rsid w:val="00FF27CE"/>
    <w:rsid w:val="00FF2BBC"/>
    <w:rsid w:val="00FF2CF9"/>
    <w:rsid w:val="00FF3053"/>
    <w:rsid w:val="00FF3CAC"/>
    <w:rsid w:val="00FF3DCF"/>
    <w:rsid w:val="00FF417C"/>
    <w:rsid w:val="00FF44A2"/>
    <w:rsid w:val="00FF451B"/>
    <w:rsid w:val="00FF4742"/>
    <w:rsid w:val="00FF48A4"/>
    <w:rsid w:val="00FF492C"/>
    <w:rsid w:val="00FF49A6"/>
    <w:rsid w:val="00FF4A21"/>
    <w:rsid w:val="00FF4C59"/>
    <w:rsid w:val="00FF5124"/>
    <w:rsid w:val="00FF5129"/>
    <w:rsid w:val="00FF53DF"/>
    <w:rsid w:val="00FF57DA"/>
    <w:rsid w:val="00FF59E6"/>
    <w:rsid w:val="00FF5A5C"/>
    <w:rsid w:val="00FF5AA3"/>
    <w:rsid w:val="00FF5AD8"/>
    <w:rsid w:val="00FF5E47"/>
    <w:rsid w:val="00FF6615"/>
    <w:rsid w:val="00FF6837"/>
    <w:rsid w:val="00FF68BD"/>
    <w:rsid w:val="00FF69BC"/>
    <w:rsid w:val="00FF6B45"/>
    <w:rsid w:val="00FF6F8B"/>
    <w:rsid w:val="00FF70D5"/>
    <w:rsid w:val="00FF72DD"/>
    <w:rsid w:val="00FF73D1"/>
    <w:rsid w:val="00FF76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9" w:unhideWhenUsed="0"/>
    <w:lsdException w:name="heading 4" w:semiHidden="0" w:unhideWhenUsed="0" w:qFormat="1"/>
    <w:lsdException w:name="heading 5" w:semiHidden="0" w:uiPriority="9" w:unhideWhenUsed="0"/>
    <w:lsdException w:name="heading 6" w:semiHidden="0"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Document Map" w:uiPriority="99"/>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aliases w:val="Heading 1.KMC16 - Heading 1,KMC-Heading 1,Outline1,p1,H1,Titre 1 Car Car,Titre 1 Car"/>
    <w:basedOn w:val="PBACHeading1"/>
    <w:next w:val="Normal"/>
    <w:link w:val="Heading1Char"/>
    <w:qFormat/>
    <w:rsid w:val="00905D6A"/>
    <w:pPr>
      <w:spacing w:after="120"/>
      <w:outlineLvl w:val="0"/>
    </w:pPr>
  </w:style>
  <w:style w:type="paragraph" w:styleId="Heading2">
    <w:name w:val="heading 2"/>
    <w:aliases w:val="KMC-Heading 2,H2,Heading 2x,p2 Char,Heading h2,h2,Follow Up Question"/>
    <w:basedOn w:val="Heading1"/>
    <w:next w:val="Normal"/>
    <w:link w:val="Heading2Char"/>
    <w:uiPriority w:val="9"/>
    <w:qFormat/>
    <w:rsid w:val="00315B23"/>
    <w:pPr>
      <w:outlineLvl w:val="1"/>
    </w:pPr>
    <w:rPr>
      <w:i/>
      <w:caps/>
      <w:sz w:val="28"/>
    </w:rPr>
  </w:style>
  <w:style w:type="paragraph" w:styleId="Heading3">
    <w:name w:val="heading 3"/>
    <w:aliases w:val="KMC - Heading 3"/>
    <w:basedOn w:val="Normal"/>
    <w:next w:val="Normal"/>
    <w:link w:val="Heading3Char"/>
    <w:uiPriority w:val="99"/>
    <w:rsid w:val="001F7361"/>
    <w:pPr>
      <w:outlineLvl w:val="2"/>
    </w:pPr>
    <w:rPr>
      <w:u w:val="single"/>
    </w:rPr>
  </w:style>
  <w:style w:type="paragraph" w:styleId="Heading4">
    <w:name w:val="heading 4"/>
    <w:aliases w:val="KMC -Heading 4,KMC-Heading 4,p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rsid w:val="00124A51"/>
    <w:pPr>
      <w:spacing w:before="240" w:after="60"/>
      <w:outlineLvl w:val="4"/>
    </w:pPr>
    <w:rPr>
      <w:b/>
      <w:bCs/>
      <w:iCs/>
      <w:sz w:val="26"/>
      <w:szCs w:val="26"/>
    </w:rPr>
  </w:style>
  <w:style w:type="paragraph" w:styleId="Heading6">
    <w:name w:val="heading 6"/>
    <w:basedOn w:val="Normal"/>
    <w:next w:val="Normal"/>
    <w:link w:val="Heading6Char"/>
    <w:uiPriority w:val="9"/>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MC-Heading 2 Char,H2 Char,Heading 2x Char,p2 Char Char,Heading h2 Char,h2 Char,Follow Up Question Char"/>
    <w:link w:val="Heading2"/>
    <w:uiPriority w:val="9"/>
    <w:rsid w:val="00315B23"/>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Styl moj,Akapit z listą11"/>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Styl moj Char,Akapit z listą11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aliases w:val="KMC16 - TOC 1"/>
    <w:basedOn w:val="Normal"/>
    <w:next w:val="Normal"/>
    <w:link w:val="TOC1Char"/>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iPriority w:val="99"/>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KMC16-Footer">
    <w:name w:val="KMC16 - Footer"/>
    <w:basedOn w:val="Normal"/>
    <w:qFormat/>
    <w:rsid w:val="008605EF"/>
    <w:pPr>
      <w:widowControl/>
      <w:pBdr>
        <w:top w:val="single" w:sz="4" w:space="1" w:color="auto"/>
      </w:pBdr>
      <w:tabs>
        <w:tab w:val="center" w:pos="4147"/>
        <w:tab w:val="right" w:pos="9000"/>
      </w:tabs>
    </w:pPr>
    <w:rPr>
      <w:rFonts w:eastAsiaTheme="minorHAnsi" w:cstheme="minorBidi"/>
      <w:b/>
      <w:snapToGrid/>
      <w:color w:val="000000" w:themeColor="text1"/>
      <w:sz w:val="18"/>
    </w:rPr>
  </w:style>
  <w:style w:type="paragraph" w:customStyle="1" w:styleId="KMC16-TableHeading">
    <w:name w:val="KMC16 - Table Heading"/>
    <w:basedOn w:val="Normal"/>
    <w:qFormat/>
    <w:rsid w:val="008605EF"/>
    <w:pPr>
      <w:widowControl/>
      <w:spacing w:before="40" w:after="40"/>
      <w:jc w:val="left"/>
    </w:pPr>
    <w:rPr>
      <w:rFonts w:ascii="Arial Narrow" w:hAnsi="Arial Narrow"/>
      <w:b/>
      <w:snapToGrid/>
      <w:color w:val="000000"/>
      <w:sz w:val="20"/>
    </w:rPr>
  </w:style>
  <w:style w:type="paragraph" w:customStyle="1" w:styleId="KMC16-Footnotes">
    <w:name w:val="KMC16 - Footnotes"/>
    <w:basedOn w:val="Normal"/>
    <w:qFormat/>
    <w:rsid w:val="006C7E08"/>
    <w:pPr>
      <w:widowControl/>
      <w:spacing w:before="40" w:after="40"/>
      <w:jc w:val="left"/>
    </w:pPr>
    <w:rPr>
      <w:rFonts w:ascii="Arial" w:eastAsiaTheme="minorHAnsi" w:hAnsi="Arial" w:cstheme="minorBidi"/>
      <w:snapToGrid/>
      <w:sz w:val="18"/>
    </w:rPr>
  </w:style>
  <w:style w:type="paragraph" w:customStyle="1" w:styleId="KMC16-Tablecontent">
    <w:name w:val="KMC16 - Table content"/>
    <w:basedOn w:val="Normal"/>
    <w:link w:val="KMC16-TablecontentChar"/>
    <w:qFormat/>
    <w:rsid w:val="00697704"/>
    <w:pPr>
      <w:widowControl/>
      <w:spacing w:before="40" w:after="40"/>
      <w:jc w:val="left"/>
    </w:pPr>
    <w:rPr>
      <w:rFonts w:ascii="Arial Narrow" w:hAnsi="Arial Narrow"/>
      <w:snapToGrid/>
      <w:color w:val="000000"/>
      <w:sz w:val="20"/>
      <w:lang w:val="en-GB"/>
    </w:rPr>
  </w:style>
  <w:style w:type="character" w:customStyle="1" w:styleId="KMC16-TablecontentChar">
    <w:name w:val="KMC16 - Table content Char"/>
    <w:basedOn w:val="DefaultParagraphFont"/>
    <w:link w:val="KMC16-Tablecontent"/>
    <w:rsid w:val="00697704"/>
    <w:rPr>
      <w:rFonts w:ascii="Arial Narrow" w:hAnsi="Arial Narrow" w:cs="Arial"/>
      <w:color w:val="000000"/>
      <w:szCs w:val="22"/>
      <w:lang w:val="en-GB" w:eastAsia="en-US"/>
    </w:rPr>
  </w:style>
  <w:style w:type="character" w:customStyle="1" w:styleId="UnresolvedMention1">
    <w:name w:val="Unresolved Mention1"/>
    <w:basedOn w:val="DefaultParagraphFont"/>
    <w:uiPriority w:val="99"/>
    <w:semiHidden/>
    <w:unhideWhenUsed/>
    <w:rsid w:val="00D8283B"/>
    <w:rPr>
      <w:color w:val="808080"/>
      <w:shd w:val="clear" w:color="auto" w:fill="E6E6E6"/>
    </w:rPr>
  </w:style>
  <w:style w:type="paragraph" w:customStyle="1" w:styleId="V50Instructions">
    <w:name w:val="V5.0 Instructions"/>
    <w:basedOn w:val="Normal"/>
    <w:link w:val="V50InstructionsChar"/>
    <w:qFormat/>
    <w:rsid w:val="00017515"/>
    <w:pPr>
      <w:widowControl/>
      <w:spacing w:before="120" w:after="160"/>
      <w:jc w:val="left"/>
    </w:pPr>
    <w:rPr>
      <w:rFonts w:asciiTheme="minorHAnsi" w:eastAsiaTheme="minorHAnsi" w:hAnsiTheme="minorHAnsi" w:cstheme="minorBidi"/>
      <w:snapToGrid/>
      <w:color w:val="4BACC6" w:themeColor="accent5"/>
    </w:rPr>
  </w:style>
  <w:style w:type="paragraph" w:customStyle="1" w:styleId="TableHeading0">
    <w:name w:val="Table Heading"/>
    <w:basedOn w:val="Normal"/>
    <w:qFormat/>
    <w:rsid w:val="00017515"/>
    <w:pPr>
      <w:keepNext/>
      <w:widowControl/>
      <w:spacing w:after="60"/>
      <w:jc w:val="left"/>
    </w:pPr>
    <w:rPr>
      <w:rFonts w:ascii="Arial Narrow" w:eastAsiaTheme="minorHAnsi" w:hAnsi="Arial Narrow" w:cstheme="minorBidi"/>
      <w:b/>
      <w:snapToGrid/>
      <w:sz w:val="20"/>
    </w:rPr>
  </w:style>
  <w:style w:type="character" w:customStyle="1" w:styleId="V50InstructionsChar">
    <w:name w:val="V5.0 Instructions Char"/>
    <w:basedOn w:val="DefaultParagraphFont"/>
    <w:link w:val="V50Instructions"/>
    <w:rsid w:val="00017515"/>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qFormat/>
    <w:rsid w:val="00780780"/>
    <w:pPr>
      <w:keepNext/>
      <w:widowControl/>
      <w:spacing w:before="40" w:after="40"/>
      <w:jc w:val="left"/>
    </w:pPr>
    <w:rPr>
      <w:rFonts w:ascii="Arial Narrow" w:eastAsiaTheme="minorHAnsi" w:hAnsi="Arial Narrow" w:cstheme="minorBidi"/>
      <w:snapToGrid/>
      <w:sz w:val="20"/>
    </w:rPr>
  </w:style>
  <w:style w:type="paragraph" w:customStyle="1" w:styleId="TableSource">
    <w:name w:val="Table Source"/>
    <w:basedOn w:val="Normal"/>
    <w:next w:val="Normal"/>
    <w:link w:val="TableSourceChar"/>
    <w:autoRedefine/>
    <w:qFormat/>
    <w:rsid w:val="00513CC9"/>
    <w:pPr>
      <w:widowControl/>
      <w:tabs>
        <w:tab w:val="left" w:pos="709"/>
      </w:tabs>
      <w:jc w:val="left"/>
    </w:pPr>
    <w:rPr>
      <w:rFonts w:ascii="Arial" w:hAnsi="Arial"/>
      <w:iCs/>
      <w:snapToGrid/>
      <w:color w:val="000000" w:themeColor="text1"/>
      <w:sz w:val="16"/>
      <w:szCs w:val="24"/>
      <w:lang w:val="en-US"/>
    </w:rPr>
  </w:style>
  <w:style w:type="character" w:customStyle="1" w:styleId="TableSourceChar">
    <w:name w:val="Table Source Char"/>
    <w:link w:val="TableSource"/>
    <w:rsid w:val="00513CC9"/>
    <w:rPr>
      <w:rFonts w:ascii="Arial" w:hAnsi="Arial" w:cs="Arial"/>
      <w:iCs/>
      <w:color w:val="000000" w:themeColor="text1"/>
      <w:sz w:val="16"/>
      <w:szCs w:val="24"/>
      <w:lang w:val="en-US" w:eastAsia="en-US"/>
    </w:rPr>
  </w:style>
  <w:style w:type="paragraph" w:customStyle="1" w:styleId="Default">
    <w:name w:val="Default"/>
    <w:rsid w:val="00115E42"/>
    <w:pPr>
      <w:autoSpaceDE w:val="0"/>
      <w:autoSpaceDN w:val="0"/>
      <w:adjustRightInd w:val="0"/>
    </w:pPr>
    <w:rPr>
      <w:color w:val="000000"/>
      <w:sz w:val="24"/>
      <w:szCs w:val="24"/>
      <w:lang w:val="en-US" w:eastAsia="en-US"/>
    </w:rPr>
  </w:style>
  <w:style w:type="table" w:customStyle="1" w:styleId="TableGrid0">
    <w:name w:val="TableGrid"/>
    <w:rsid w:val="00171DF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KMC16-Caption">
    <w:name w:val="KMC16 - Caption"/>
    <w:basedOn w:val="Normal"/>
    <w:qFormat/>
    <w:rsid w:val="0014512E"/>
    <w:pPr>
      <w:keepNext/>
      <w:widowControl/>
      <w:tabs>
        <w:tab w:val="left" w:pos="567"/>
      </w:tabs>
      <w:spacing w:before="240" w:after="40"/>
      <w:ind w:left="1588" w:hanging="1588"/>
      <w:contextualSpacing/>
      <w:jc w:val="left"/>
    </w:pPr>
    <w:rPr>
      <w:rFonts w:ascii="Arial" w:hAnsi="Arial" w:cs="Times New Roman"/>
      <w:b/>
      <w:snapToGrid/>
      <w:color w:val="000000"/>
      <w:sz w:val="20"/>
      <w:szCs w:val="20"/>
      <w:lang w:eastAsia="en-AU"/>
    </w:rPr>
  </w:style>
  <w:style w:type="paragraph" w:customStyle="1" w:styleId="KMC16-Text">
    <w:name w:val="KMC16 - Text"/>
    <w:basedOn w:val="Normal"/>
    <w:link w:val="KMC16-TextChar"/>
    <w:qFormat/>
    <w:rsid w:val="0014512E"/>
    <w:pPr>
      <w:widowControl/>
      <w:spacing w:before="120" w:after="240" w:line="360" w:lineRule="auto"/>
    </w:pPr>
    <w:rPr>
      <w:rFonts w:ascii="Arial" w:eastAsiaTheme="minorHAnsi" w:hAnsi="Arial" w:cstheme="minorBidi"/>
      <w:snapToGrid/>
      <w:color w:val="000000" w:themeColor="text1"/>
      <w:sz w:val="22"/>
    </w:rPr>
  </w:style>
  <w:style w:type="paragraph" w:customStyle="1" w:styleId="KMC16-TFNotes">
    <w:name w:val="KMC16 - TF Notes"/>
    <w:basedOn w:val="Normal"/>
    <w:qFormat/>
    <w:rsid w:val="0014512E"/>
    <w:pPr>
      <w:keepNext/>
      <w:widowControl/>
      <w:spacing w:before="45" w:after="240"/>
      <w:contextualSpacing/>
    </w:pPr>
    <w:rPr>
      <w:rFonts w:eastAsiaTheme="minorHAnsi" w:cstheme="minorBidi"/>
      <w:snapToGrid/>
      <w:color w:val="000000" w:themeColor="text1"/>
      <w:sz w:val="16"/>
    </w:rPr>
  </w:style>
  <w:style w:type="character" w:customStyle="1" w:styleId="KMC16-TextChar">
    <w:name w:val="KMC16 - Text Char"/>
    <w:basedOn w:val="DefaultParagraphFont"/>
    <w:link w:val="KMC16-Text"/>
    <w:rsid w:val="0014512E"/>
    <w:rPr>
      <w:rFonts w:ascii="Arial" w:eastAsiaTheme="minorHAnsi" w:hAnsi="Arial" w:cstheme="minorBidi"/>
      <w:color w:val="000000" w:themeColor="text1"/>
      <w:sz w:val="22"/>
      <w:szCs w:val="22"/>
      <w:lang w:eastAsia="en-US"/>
    </w:rPr>
  </w:style>
  <w:style w:type="paragraph" w:customStyle="1" w:styleId="KMC-TFNotes">
    <w:name w:val="KMC - TF Notes"/>
    <w:basedOn w:val="Normal"/>
    <w:link w:val="KMC-TFNotesChar"/>
    <w:qFormat/>
    <w:locked/>
    <w:rsid w:val="003E36AF"/>
    <w:pPr>
      <w:keepNext/>
      <w:widowControl/>
      <w:spacing w:before="45" w:after="240"/>
      <w:contextualSpacing/>
    </w:pPr>
    <w:rPr>
      <w:rFonts w:eastAsiaTheme="minorHAnsi" w:cstheme="minorBidi"/>
      <w:snapToGrid/>
      <w:color w:val="000000" w:themeColor="text1"/>
      <w:sz w:val="16"/>
    </w:rPr>
  </w:style>
  <w:style w:type="character" w:customStyle="1" w:styleId="KMC-TFNotesChar">
    <w:name w:val="KMC - TF Notes Char"/>
    <w:basedOn w:val="DefaultParagraphFont"/>
    <w:link w:val="KMC-TFNotes"/>
    <w:rsid w:val="003E36AF"/>
    <w:rPr>
      <w:rFonts w:ascii="Calibri" w:eastAsiaTheme="minorHAnsi" w:hAnsi="Calibri" w:cstheme="minorBidi"/>
      <w:color w:val="000000" w:themeColor="text1"/>
      <w:sz w:val="16"/>
      <w:szCs w:val="22"/>
      <w:lang w:eastAsia="en-US"/>
    </w:rPr>
  </w:style>
  <w:style w:type="character" w:customStyle="1" w:styleId="Heading1Char">
    <w:name w:val="Heading 1 Char"/>
    <w:aliases w:val="Heading 1.KMC16 - Heading 1 Char,KMC-Heading 1 Char,Outline1 Char,p1 Char,H1 Char,Titre 1 Car Car Char,Titre 1 Car Char"/>
    <w:basedOn w:val="DefaultParagraphFont"/>
    <w:link w:val="Heading1"/>
    <w:rsid w:val="00905D6A"/>
    <w:rPr>
      <w:rFonts w:ascii="Calibri" w:hAnsi="Calibri" w:cs="Arial"/>
      <w:b/>
      <w:snapToGrid w:val="0"/>
      <w:sz w:val="32"/>
      <w:szCs w:val="22"/>
      <w:lang w:eastAsia="en-US"/>
    </w:rPr>
  </w:style>
  <w:style w:type="character" w:customStyle="1" w:styleId="Heading3Char">
    <w:name w:val="Heading 3 Char"/>
    <w:aliases w:val="KMC - Heading 3 Char"/>
    <w:basedOn w:val="DefaultParagraphFont"/>
    <w:link w:val="Heading3"/>
    <w:uiPriority w:val="99"/>
    <w:rsid w:val="00BB68A2"/>
    <w:rPr>
      <w:rFonts w:ascii="Calibri" w:hAnsi="Calibri" w:cs="Arial"/>
      <w:snapToGrid w:val="0"/>
      <w:sz w:val="24"/>
      <w:szCs w:val="22"/>
      <w:u w:val="single"/>
      <w:lang w:eastAsia="en-US"/>
    </w:rPr>
  </w:style>
  <w:style w:type="character" w:customStyle="1" w:styleId="Heading4Char">
    <w:name w:val="Heading 4 Char"/>
    <w:aliases w:val="KMC -Heading 4 Char,KMC-Heading 4 Char,p4 Char"/>
    <w:basedOn w:val="DefaultParagraphFont"/>
    <w:link w:val="Heading4"/>
    <w:rsid w:val="00BB68A2"/>
    <w:rPr>
      <w:rFonts w:ascii="Calibri" w:hAnsi="Calibri" w:cs="Arial"/>
      <w:b/>
      <w:bCs/>
      <w:i/>
      <w:snapToGrid w:val="0"/>
      <w:sz w:val="26"/>
      <w:szCs w:val="28"/>
      <w:lang w:eastAsia="en-US"/>
    </w:rPr>
  </w:style>
  <w:style w:type="character" w:customStyle="1" w:styleId="Heading5Char">
    <w:name w:val="Heading 5 Char"/>
    <w:basedOn w:val="DefaultParagraphFont"/>
    <w:link w:val="Heading5"/>
    <w:uiPriority w:val="9"/>
    <w:rsid w:val="00BB68A2"/>
    <w:rPr>
      <w:rFonts w:ascii="Calibri" w:hAnsi="Calibri" w:cs="Arial"/>
      <w:b/>
      <w:bCs/>
      <w:iCs/>
      <w:snapToGrid w:val="0"/>
      <w:sz w:val="26"/>
      <w:szCs w:val="26"/>
      <w:lang w:eastAsia="en-US"/>
    </w:rPr>
  </w:style>
  <w:style w:type="character" w:customStyle="1" w:styleId="Heading6Char">
    <w:name w:val="Heading 6 Char"/>
    <w:basedOn w:val="DefaultParagraphFont"/>
    <w:link w:val="Heading6"/>
    <w:uiPriority w:val="9"/>
    <w:rsid w:val="00BB68A2"/>
    <w:rPr>
      <w:rFonts w:ascii="Calibri" w:hAnsi="Calibri" w:cs="Arial"/>
      <w:b/>
      <w:bCs/>
      <w:i/>
      <w:snapToGrid w:val="0"/>
      <w:sz w:val="24"/>
      <w:szCs w:val="22"/>
      <w:lang w:eastAsia="en-US"/>
    </w:rPr>
  </w:style>
  <w:style w:type="paragraph" w:customStyle="1" w:styleId="EndNoteBibliographyTitle">
    <w:name w:val="EndNote Bibliography Title"/>
    <w:basedOn w:val="Normal"/>
    <w:link w:val="EndNoteBibliographyTitleChar"/>
    <w:semiHidden/>
    <w:locked/>
    <w:rsid w:val="00BB68A2"/>
    <w:pPr>
      <w:widowControl/>
      <w:spacing w:line="259" w:lineRule="auto"/>
      <w:jc w:val="center"/>
    </w:pPr>
    <w:rPr>
      <w:rFonts w:ascii="Arial" w:eastAsiaTheme="minorHAnsi" w:hAnsi="Arial"/>
      <w:noProof/>
      <w:snapToGrid/>
      <w:sz w:val="22"/>
      <w:lang w:val="en-US"/>
    </w:rPr>
  </w:style>
  <w:style w:type="character" w:customStyle="1" w:styleId="EndNoteBibliographyTitleChar">
    <w:name w:val="EndNote Bibliography Title Char"/>
    <w:basedOn w:val="DefaultParagraphFont"/>
    <w:link w:val="EndNoteBibliographyTitle"/>
    <w:semiHidden/>
    <w:rsid w:val="00BB68A2"/>
    <w:rPr>
      <w:rFonts w:ascii="Arial" w:eastAsiaTheme="minorHAnsi" w:hAnsi="Arial" w:cs="Arial"/>
      <w:noProof/>
      <w:sz w:val="22"/>
      <w:szCs w:val="22"/>
      <w:lang w:val="en-US" w:eastAsia="en-US"/>
    </w:rPr>
  </w:style>
  <w:style w:type="paragraph" w:customStyle="1" w:styleId="EndNoteBibliography">
    <w:name w:val="EndNote Bibliography"/>
    <w:basedOn w:val="Normal"/>
    <w:link w:val="EndNoteBibliographyChar"/>
    <w:locked/>
    <w:rsid w:val="00BB68A2"/>
    <w:pPr>
      <w:widowControl/>
      <w:spacing w:after="160"/>
      <w:jc w:val="left"/>
    </w:pPr>
    <w:rPr>
      <w:rFonts w:ascii="Arial" w:eastAsiaTheme="minorHAnsi" w:hAnsi="Arial"/>
      <w:noProof/>
      <w:snapToGrid/>
      <w:sz w:val="22"/>
      <w:lang w:val="en-US"/>
    </w:rPr>
  </w:style>
  <w:style w:type="character" w:customStyle="1" w:styleId="EndNoteBibliographyChar">
    <w:name w:val="EndNote Bibliography Char"/>
    <w:basedOn w:val="DefaultParagraphFont"/>
    <w:link w:val="EndNoteBibliography"/>
    <w:rsid w:val="00BB68A2"/>
    <w:rPr>
      <w:rFonts w:ascii="Arial" w:eastAsiaTheme="minorHAnsi" w:hAnsi="Arial" w:cs="Arial"/>
      <w:noProof/>
      <w:sz w:val="22"/>
      <w:szCs w:val="22"/>
      <w:lang w:val="en-US" w:eastAsia="en-US"/>
    </w:rPr>
  </w:style>
  <w:style w:type="paragraph" w:styleId="TableofFigures">
    <w:name w:val="table of figures"/>
    <w:basedOn w:val="Normal"/>
    <w:next w:val="Normal"/>
    <w:uiPriority w:val="99"/>
    <w:unhideWhenUsed/>
    <w:rsid w:val="00BB68A2"/>
    <w:pPr>
      <w:widowControl/>
      <w:spacing w:line="259" w:lineRule="auto"/>
      <w:ind w:left="1021" w:hanging="1021"/>
      <w:jc w:val="left"/>
    </w:pPr>
    <w:rPr>
      <w:rFonts w:asciiTheme="minorHAnsi" w:eastAsiaTheme="minorHAnsi" w:hAnsiTheme="minorHAnsi" w:cstheme="minorBidi"/>
      <w:snapToGrid/>
      <w:sz w:val="22"/>
    </w:rPr>
  </w:style>
  <w:style w:type="paragraph" w:customStyle="1" w:styleId="KMC16-BulletLists">
    <w:name w:val="KMC16 - Bullet Lists"/>
    <w:basedOn w:val="Normal"/>
    <w:qFormat/>
    <w:rsid w:val="00BB68A2"/>
    <w:pPr>
      <w:widowControl/>
      <w:numPr>
        <w:numId w:val="8"/>
      </w:numPr>
      <w:spacing w:before="120" w:after="240" w:line="360" w:lineRule="auto"/>
      <w:contextualSpacing/>
    </w:pPr>
    <w:rPr>
      <w:rFonts w:ascii="Arial" w:eastAsiaTheme="minorHAnsi" w:hAnsi="Arial" w:cstheme="minorBidi"/>
      <w:snapToGrid/>
      <w:sz w:val="22"/>
    </w:rPr>
  </w:style>
  <w:style w:type="paragraph" w:customStyle="1" w:styleId="KMC16-Header">
    <w:name w:val="KMC16 - Header"/>
    <w:basedOn w:val="Normal"/>
    <w:qFormat/>
    <w:rsid w:val="00BB68A2"/>
    <w:pPr>
      <w:widowControl/>
      <w:pBdr>
        <w:bottom w:val="single" w:sz="4" w:space="1" w:color="auto"/>
      </w:pBdr>
      <w:tabs>
        <w:tab w:val="center" w:pos="4147"/>
        <w:tab w:val="right" w:pos="9000"/>
      </w:tabs>
      <w:jc w:val="left"/>
    </w:pPr>
    <w:rPr>
      <w:rFonts w:eastAsiaTheme="minorHAnsi" w:cstheme="minorBidi"/>
      <w:b/>
      <w:snapToGrid/>
      <w:color w:val="000000" w:themeColor="text1"/>
      <w:sz w:val="18"/>
    </w:rPr>
  </w:style>
  <w:style w:type="paragraph" w:customStyle="1" w:styleId="KMC16-Heading1">
    <w:name w:val="KMC16 - Heading 1"/>
    <w:basedOn w:val="Heading1"/>
    <w:rsid w:val="00BB68A2"/>
    <w:pPr>
      <w:keepNext/>
      <w:pageBreakBefore/>
      <w:spacing w:before="480" w:after="240"/>
      <w:ind w:left="432" w:hanging="432"/>
    </w:pPr>
    <w:rPr>
      <w:rFonts w:ascii="Arial Bold" w:eastAsiaTheme="majorEastAsia" w:hAnsi="Arial Bold" w:cstheme="majorBidi"/>
      <w:snapToGrid/>
      <w:color w:val="365F91" w:themeColor="accent1" w:themeShade="BF"/>
      <w:sz w:val="28"/>
      <w:szCs w:val="32"/>
    </w:rPr>
  </w:style>
  <w:style w:type="paragraph" w:customStyle="1" w:styleId="KMC16-Heading2">
    <w:name w:val="KMC16 - Heading 2"/>
    <w:basedOn w:val="Normal"/>
    <w:qFormat/>
    <w:rsid w:val="00905D6A"/>
    <w:pPr>
      <w:spacing w:before="240" w:line="276" w:lineRule="auto"/>
      <w:outlineLvl w:val="1"/>
    </w:pPr>
    <w:rPr>
      <w:rFonts w:asciiTheme="minorHAnsi" w:hAnsiTheme="minorHAnsi"/>
      <w:b/>
      <w:bCs/>
      <w:i/>
      <w:sz w:val="28"/>
      <w:szCs w:val="28"/>
    </w:rPr>
  </w:style>
  <w:style w:type="paragraph" w:customStyle="1" w:styleId="KMC16-Heading3">
    <w:name w:val="KMC16 - Heading 3"/>
    <w:basedOn w:val="Heading3"/>
    <w:qFormat/>
    <w:rsid w:val="00BB68A2"/>
    <w:pPr>
      <w:keepNext/>
      <w:widowControl/>
      <w:numPr>
        <w:ilvl w:val="2"/>
      </w:numPr>
      <w:spacing w:before="480" w:after="240"/>
      <w:ind w:left="720" w:hanging="720"/>
      <w:jc w:val="left"/>
    </w:pPr>
    <w:rPr>
      <w:rFonts w:ascii="Arial Bold" w:eastAsiaTheme="minorHAnsi" w:hAnsi="Arial Bold"/>
      <w:b/>
      <w:snapToGrid/>
      <w:color w:val="365F91" w:themeColor="accent1" w:themeShade="BF"/>
      <w:kern w:val="24"/>
      <w:sz w:val="20"/>
      <w:u w:val="none"/>
      <w:lang w:val="en-GB"/>
    </w:rPr>
  </w:style>
  <w:style w:type="paragraph" w:customStyle="1" w:styleId="KMC16-Heading4">
    <w:name w:val="KMC16 - Heading 4"/>
    <w:basedOn w:val="Heading4"/>
    <w:qFormat/>
    <w:rsid w:val="00BB68A2"/>
    <w:pPr>
      <w:keepLines/>
      <w:widowControl/>
      <w:numPr>
        <w:ilvl w:val="3"/>
      </w:numPr>
      <w:spacing w:before="120" w:after="120" w:line="276" w:lineRule="auto"/>
      <w:ind w:left="864" w:hanging="864"/>
      <w:jc w:val="left"/>
    </w:pPr>
    <w:rPr>
      <w:rFonts w:ascii="Arial" w:eastAsiaTheme="majorEastAsia" w:hAnsi="Arial"/>
      <w:i w:val="0"/>
      <w:iCs/>
      <w:snapToGrid/>
      <w:color w:val="4F81BD" w:themeColor="accent1"/>
      <w:kern w:val="24"/>
      <w:sz w:val="20"/>
      <w:szCs w:val="20"/>
      <w:lang w:val="en-GB"/>
    </w:rPr>
  </w:style>
  <w:style w:type="paragraph" w:customStyle="1" w:styleId="KMC16-Heading5">
    <w:name w:val="KMC16 - Heading 5"/>
    <w:basedOn w:val="Heading5"/>
    <w:qFormat/>
    <w:rsid w:val="00BB68A2"/>
    <w:pPr>
      <w:keepNext/>
      <w:keepLines/>
      <w:widowControl/>
      <w:numPr>
        <w:ilvl w:val="4"/>
      </w:numPr>
      <w:spacing w:before="200" w:after="0" w:line="360" w:lineRule="auto"/>
      <w:ind w:left="1009" w:hanging="1009"/>
      <w:jc w:val="left"/>
    </w:pPr>
    <w:rPr>
      <w:rFonts w:asciiTheme="majorHAnsi" w:eastAsiaTheme="majorEastAsia" w:hAnsiTheme="majorHAnsi" w:cstheme="majorBidi"/>
      <w:bCs w:val="0"/>
      <w:i/>
      <w:iCs w:val="0"/>
      <w:snapToGrid/>
      <w:color w:val="365F91" w:themeColor="accent1" w:themeShade="BF"/>
      <w:kern w:val="24"/>
      <w:sz w:val="24"/>
      <w:szCs w:val="24"/>
      <w:lang w:val="en-GB"/>
    </w:rPr>
  </w:style>
  <w:style w:type="paragraph" w:customStyle="1" w:styleId="KMC16-TFTitle">
    <w:name w:val="KMC16 - TF Title"/>
    <w:basedOn w:val="KMC16-Text"/>
    <w:qFormat/>
    <w:rsid w:val="00BB68A2"/>
    <w:pPr>
      <w:keepNext/>
      <w:spacing w:before="240" w:after="120" w:line="276" w:lineRule="auto"/>
      <w:ind w:left="1191" w:hanging="1191"/>
      <w:contextualSpacing/>
      <w:jc w:val="left"/>
    </w:pPr>
    <w:rPr>
      <w:b/>
      <w:sz w:val="20"/>
    </w:rPr>
  </w:style>
  <w:style w:type="paragraph" w:customStyle="1" w:styleId="KMC16-NumLists">
    <w:name w:val="KMC16 - Num Lists"/>
    <w:basedOn w:val="KMC16-TFNotes"/>
    <w:qFormat/>
    <w:rsid w:val="00BB68A2"/>
    <w:pPr>
      <w:keepNext w:val="0"/>
      <w:numPr>
        <w:numId w:val="4"/>
      </w:numPr>
      <w:spacing w:before="120" w:after="120" w:line="276" w:lineRule="auto"/>
    </w:pPr>
    <w:rPr>
      <w:rFonts w:ascii="Arial" w:hAnsi="Arial"/>
      <w:sz w:val="22"/>
    </w:rPr>
  </w:style>
  <w:style w:type="paragraph" w:customStyle="1" w:styleId="KMC16-Textunderline">
    <w:name w:val="KMC16 - Text underline"/>
    <w:basedOn w:val="KMC16-Text"/>
    <w:qFormat/>
    <w:rsid w:val="00BB68A2"/>
    <w:rPr>
      <w:u w:val="single"/>
    </w:rPr>
  </w:style>
  <w:style w:type="paragraph" w:customStyle="1" w:styleId="KMC16-TextItalics">
    <w:name w:val="KMC16 - Text Italics"/>
    <w:basedOn w:val="KMC16-Text"/>
    <w:qFormat/>
    <w:rsid w:val="00BB68A2"/>
    <w:rPr>
      <w:i/>
    </w:rPr>
  </w:style>
  <w:style w:type="paragraph" w:customStyle="1" w:styleId="KMC16-Textbold">
    <w:name w:val="KMC16 - Text bold"/>
    <w:basedOn w:val="KMC16-Text"/>
    <w:qFormat/>
    <w:rsid w:val="00BB68A2"/>
    <w:rPr>
      <w:b/>
    </w:rPr>
  </w:style>
  <w:style w:type="paragraph" w:customStyle="1" w:styleId="KMC16-CoverSheetTitle">
    <w:name w:val="KMC16 - Cover Sheet Title"/>
    <w:basedOn w:val="Title"/>
    <w:qFormat/>
    <w:rsid w:val="00BB68A2"/>
    <w:pPr>
      <w:widowControl/>
      <w:pBdr>
        <w:bottom w:val="single" w:sz="8" w:space="0" w:color="4F81BD" w:themeColor="accent1"/>
      </w:pBdr>
      <w:spacing w:before="0" w:after="300"/>
      <w:contextualSpacing/>
      <w:jc w:val="both"/>
      <w:outlineLvl w:val="9"/>
    </w:pPr>
    <w:rPr>
      <w:rFonts w:ascii="Arial Bold" w:eastAsiaTheme="majorEastAsia" w:hAnsi="Arial Bold"/>
      <w:bCs w:val="0"/>
      <w:snapToGrid/>
      <w:color w:val="17365D" w:themeColor="text2" w:themeShade="BF"/>
      <w:spacing w:val="5"/>
      <w:sz w:val="22"/>
      <w:szCs w:val="22"/>
      <w:lang w:eastAsia="en-AU"/>
    </w:rPr>
  </w:style>
  <w:style w:type="paragraph" w:customStyle="1" w:styleId="KMC16-Heading6">
    <w:name w:val="KMC16 - Heading 6"/>
    <w:basedOn w:val="Heading6"/>
    <w:qFormat/>
    <w:rsid w:val="00BB68A2"/>
    <w:pPr>
      <w:keepNext/>
      <w:keepLines/>
      <w:widowControl/>
      <w:numPr>
        <w:ilvl w:val="5"/>
      </w:numPr>
      <w:spacing w:before="200" w:after="0" w:line="360" w:lineRule="auto"/>
      <w:ind w:left="1152" w:hanging="1152"/>
      <w:jc w:val="left"/>
    </w:pPr>
    <w:rPr>
      <w:rFonts w:asciiTheme="majorHAnsi" w:eastAsiaTheme="majorEastAsia" w:hAnsiTheme="majorHAnsi" w:cstheme="majorBidi"/>
      <w:bCs w:val="0"/>
      <w:iCs/>
      <w:snapToGrid/>
      <w:color w:val="243F60" w:themeColor="accent1" w:themeShade="7F"/>
      <w:kern w:val="24"/>
      <w:sz w:val="20"/>
      <w:szCs w:val="20"/>
      <w:lang w:val="en-GB"/>
    </w:rPr>
  </w:style>
  <w:style w:type="paragraph" w:customStyle="1" w:styleId="KMC-BulletLists">
    <w:name w:val="KMC - Bullet Lists"/>
    <w:basedOn w:val="Normal"/>
    <w:semiHidden/>
    <w:qFormat/>
    <w:rsid w:val="00BB68A2"/>
    <w:pPr>
      <w:keepNext/>
      <w:widowControl/>
      <w:spacing w:before="120" w:after="120" w:line="276" w:lineRule="auto"/>
      <w:ind w:left="1077" w:hanging="360"/>
      <w:contextualSpacing/>
    </w:pPr>
    <w:rPr>
      <w:rFonts w:ascii="Arial" w:eastAsiaTheme="minorHAnsi" w:hAnsi="Arial" w:cstheme="minorBidi"/>
      <w:snapToGrid/>
      <w:color w:val="000000" w:themeColor="text1"/>
      <w:sz w:val="22"/>
    </w:rPr>
  </w:style>
  <w:style w:type="character" w:customStyle="1" w:styleId="Mention1">
    <w:name w:val="Mention1"/>
    <w:basedOn w:val="DefaultParagraphFont"/>
    <w:uiPriority w:val="99"/>
    <w:semiHidden/>
    <w:unhideWhenUsed/>
    <w:rsid w:val="00BB68A2"/>
    <w:rPr>
      <w:color w:val="2B579A"/>
      <w:shd w:val="clear" w:color="auto" w:fill="E6E6E6"/>
    </w:rPr>
  </w:style>
  <w:style w:type="paragraph" w:customStyle="1" w:styleId="footnote">
    <w:name w:val="footnote"/>
    <w:basedOn w:val="Normal"/>
    <w:link w:val="footnoteChar"/>
    <w:qFormat/>
    <w:rsid w:val="00BB68A2"/>
    <w:pPr>
      <w:widowControl/>
    </w:pPr>
    <w:rPr>
      <w:rFonts w:ascii="Arial Narrow" w:hAnsi="Arial Narrow" w:cs="Times New Roman"/>
      <w:snapToGrid/>
      <w:sz w:val="18"/>
      <w:szCs w:val="18"/>
      <w:lang w:eastAsia="en-AU"/>
    </w:rPr>
  </w:style>
  <w:style w:type="character" w:customStyle="1" w:styleId="footnoteChar">
    <w:name w:val="footnote Char"/>
    <w:basedOn w:val="DefaultParagraphFont"/>
    <w:link w:val="footnote"/>
    <w:rsid w:val="00BB68A2"/>
    <w:rPr>
      <w:rFonts w:ascii="Arial Narrow" w:hAnsi="Arial Narrow"/>
      <w:sz w:val="18"/>
      <w:szCs w:val="18"/>
    </w:rPr>
  </w:style>
  <w:style w:type="numbering" w:customStyle="1" w:styleId="BulletLORENZaB">
    <w:name w:val="Bullet LORENZ aB"/>
    <w:basedOn w:val="NoList"/>
    <w:rsid w:val="00BB68A2"/>
    <w:pPr>
      <w:numPr>
        <w:numId w:val="5"/>
      </w:numPr>
    </w:pPr>
  </w:style>
  <w:style w:type="character" w:customStyle="1" w:styleId="UnresolvedMention10">
    <w:name w:val="Unresolved Mention1"/>
    <w:basedOn w:val="DefaultParagraphFont"/>
    <w:uiPriority w:val="99"/>
    <w:semiHidden/>
    <w:unhideWhenUsed/>
    <w:rsid w:val="00BB68A2"/>
    <w:rPr>
      <w:color w:val="808080"/>
      <w:shd w:val="clear" w:color="auto" w:fill="E6E6E6"/>
    </w:rPr>
  </w:style>
  <w:style w:type="character" w:customStyle="1" w:styleId="UnresolvedMention2">
    <w:name w:val="Unresolved Mention2"/>
    <w:basedOn w:val="DefaultParagraphFont"/>
    <w:uiPriority w:val="99"/>
    <w:semiHidden/>
    <w:unhideWhenUsed/>
    <w:rsid w:val="00BB68A2"/>
    <w:rPr>
      <w:color w:val="808080"/>
      <w:shd w:val="clear" w:color="auto" w:fill="E6E6E6"/>
    </w:rPr>
  </w:style>
  <w:style w:type="character" w:customStyle="1" w:styleId="UnresolvedMention3">
    <w:name w:val="Unresolved Mention3"/>
    <w:basedOn w:val="DefaultParagraphFont"/>
    <w:uiPriority w:val="99"/>
    <w:semiHidden/>
    <w:unhideWhenUsed/>
    <w:rsid w:val="00BB68A2"/>
    <w:rPr>
      <w:color w:val="808080"/>
      <w:shd w:val="clear" w:color="auto" w:fill="E6E6E6"/>
    </w:rPr>
  </w:style>
  <w:style w:type="character" w:customStyle="1" w:styleId="UnresolvedMention4">
    <w:name w:val="Unresolved Mention4"/>
    <w:basedOn w:val="DefaultParagraphFont"/>
    <w:uiPriority w:val="99"/>
    <w:semiHidden/>
    <w:unhideWhenUsed/>
    <w:rsid w:val="00BB68A2"/>
    <w:rPr>
      <w:color w:val="808080"/>
      <w:shd w:val="clear" w:color="auto" w:fill="E6E6E6"/>
    </w:rPr>
  </w:style>
  <w:style w:type="paragraph" w:customStyle="1" w:styleId="Execsummnormal">
    <w:name w:val="Exec summ normal"/>
    <w:basedOn w:val="Normal"/>
    <w:link w:val="ExecsummnormalChar"/>
    <w:qFormat/>
    <w:rsid w:val="00BB68A2"/>
    <w:pPr>
      <w:widowControl/>
      <w:spacing w:after="40"/>
    </w:pPr>
    <w:rPr>
      <w:rFonts w:ascii="Arial Narrow" w:eastAsiaTheme="minorHAnsi" w:hAnsi="Arial Narrow" w:cstheme="minorBidi"/>
      <w:snapToGrid/>
      <w:sz w:val="22"/>
    </w:rPr>
  </w:style>
  <w:style w:type="character" w:customStyle="1" w:styleId="ExecsummnormalChar">
    <w:name w:val="Exec summ normal Char"/>
    <w:basedOn w:val="DefaultParagraphFont"/>
    <w:link w:val="Execsummnormal"/>
    <w:rsid w:val="00BB68A2"/>
    <w:rPr>
      <w:rFonts w:ascii="Arial Narrow" w:eastAsiaTheme="minorHAnsi" w:hAnsi="Arial Narrow" w:cstheme="minorBidi"/>
      <w:sz w:val="22"/>
      <w:szCs w:val="22"/>
      <w:lang w:eastAsia="en-US"/>
    </w:rPr>
  </w:style>
  <w:style w:type="paragraph" w:customStyle="1" w:styleId="KMC-Footer">
    <w:name w:val="KMC - Footer"/>
    <w:basedOn w:val="Normal"/>
    <w:semiHidden/>
    <w:qFormat/>
    <w:locked/>
    <w:rsid w:val="00BB68A2"/>
    <w:pPr>
      <w:widowControl/>
      <w:spacing w:before="120" w:after="120" w:line="276" w:lineRule="auto"/>
    </w:pPr>
    <w:rPr>
      <w:rFonts w:eastAsiaTheme="minorHAnsi" w:cstheme="minorBidi"/>
      <w:b/>
      <w:snapToGrid/>
      <w:color w:val="000000" w:themeColor="text1"/>
      <w:sz w:val="18"/>
    </w:rPr>
  </w:style>
  <w:style w:type="paragraph" w:customStyle="1" w:styleId="KMC-Footnotes">
    <w:name w:val="KMC - Footnotes"/>
    <w:basedOn w:val="KMC-BulletLists"/>
    <w:semiHidden/>
    <w:qFormat/>
    <w:locked/>
    <w:rsid w:val="00BB68A2"/>
  </w:style>
  <w:style w:type="paragraph" w:customStyle="1" w:styleId="KMC-Header">
    <w:name w:val="KMC - Header"/>
    <w:basedOn w:val="Normal"/>
    <w:semiHidden/>
    <w:qFormat/>
    <w:locked/>
    <w:rsid w:val="00BB68A2"/>
    <w:pPr>
      <w:widowControl/>
      <w:spacing w:before="120" w:after="120" w:line="276" w:lineRule="auto"/>
      <w:jc w:val="left"/>
    </w:pPr>
    <w:rPr>
      <w:rFonts w:eastAsiaTheme="minorHAnsi" w:cstheme="minorBidi"/>
      <w:b/>
      <w:snapToGrid/>
      <w:color w:val="000000" w:themeColor="text1"/>
      <w:sz w:val="18"/>
    </w:rPr>
  </w:style>
  <w:style w:type="paragraph" w:customStyle="1" w:styleId="KMC-NumLists">
    <w:name w:val="KMC - Num Lists"/>
    <w:basedOn w:val="Normal"/>
    <w:semiHidden/>
    <w:qFormat/>
    <w:locked/>
    <w:rsid w:val="00BB68A2"/>
    <w:pPr>
      <w:widowControl/>
      <w:spacing w:before="120" w:after="120" w:line="276" w:lineRule="auto"/>
      <w:ind w:left="777" w:hanging="357"/>
      <w:contextualSpacing/>
    </w:pPr>
    <w:rPr>
      <w:rFonts w:ascii="Arial" w:eastAsiaTheme="minorHAnsi" w:hAnsi="Arial" w:cstheme="minorBidi"/>
      <w:snapToGrid/>
      <w:color w:val="000000" w:themeColor="text1"/>
      <w:sz w:val="22"/>
    </w:rPr>
  </w:style>
  <w:style w:type="paragraph" w:customStyle="1" w:styleId="KMC-Text">
    <w:name w:val="KMC - Text"/>
    <w:basedOn w:val="Normal"/>
    <w:link w:val="KMC-TextChar"/>
    <w:semiHidden/>
    <w:qFormat/>
    <w:locked/>
    <w:rsid w:val="00BB68A2"/>
    <w:pPr>
      <w:widowControl/>
      <w:spacing w:before="120" w:after="240" w:line="360" w:lineRule="auto"/>
    </w:pPr>
    <w:rPr>
      <w:rFonts w:ascii="Arial" w:eastAsiaTheme="minorHAnsi" w:hAnsi="Arial" w:cstheme="minorBidi"/>
      <w:snapToGrid/>
      <w:color w:val="000000" w:themeColor="text1"/>
      <w:sz w:val="22"/>
    </w:rPr>
  </w:style>
  <w:style w:type="character" w:customStyle="1" w:styleId="KMC-TextChar">
    <w:name w:val="KMC - Text Char"/>
    <w:basedOn w:val="DefaultParagraphFont"/>
    <w:link w:val="KMC-Text"/>
    <w:semiHidden/>
    <w:rsid w:val="00BB68A2"/>
    <w:rPr>
      <w:rFonts w:ascii="Arial" w:eastAsiaTheme="minorHAnsi" w:hAnsi="Arial" w:cstheme="minorBidi"/>
      <w:color w:val="000000" w:themeColor="text1"/>
      <w:sz w:val="22"/>
      <w:szCs w:val="22"/>
      <w:lang w:eastAsia="en-US"/>
    </w:rPr>
  </w:style>
  <w:style w:type="paragraph" w:customStyle="1" w:styleId="KMC-TFTitle">
    <w:name w:val="KMC - TF Title"/>
    <w:basedOn w:val="KMC-Text"/>
    <w:semiHidden/>
    <w:qFormat/>
    <w:locked/>
    <w:rsid w:val="00BB68A2"/>
    <w:pPr>
      <w:keepNext/>
      <w:spacing w:before="240" w:after="120" w:line="276" w:lineRule="auto"/>
      <w:ind w:left="1191" w:hanging="1191"/>
      <w:contextualSpacing/>
      <w:jc w:val="left"/>
    </w:pPr>
    <w:rPr>
      <w:b/>
      <w:sz w:val="20"/>
    </w:rPr>
  </w:style>
  <w:style w:type="paragraph" w:customStyle="1" w:styleId="Bullet1">
    <w:name w:val="Bullet 1"/>
    <w:basedOn w:val="Normal"/>
    <w:link w:val="Bullet1Char"/>
    <w:semiHidden/>
    <w:qFormat/>
    <w:locked/>
    <w:rsid w:val="00BB68A2"/>
    <w:pPr>
      <w:widowControl/>
      <w:spacing w:after="120" w:line="360" w:lineRule="auto"/>
      <w:contextualSpacing/>
      <w:jc w:val="left"/>
    </w:pPr>
    <w:rPr>
      <w:rFonts w:ascii="Arial" w:eastAsiaTheme="minorEastAsia" w:hAnsi="Arial"/>
      <w:snapToGrid/>
      <w:sz w:val="22"/>
      <w:szCs w:val="24"/>
      <w:lang w:val="en-GB" w:eastAsia="en-GB"/>
    </w:rPr>
  </w:style>
  <w:style w:type="character" w:customStyle="1" w:styleId="Bullet1Char">
    <w:name w:val="Bullet 1 Char"/>
    <w:basedOn w:val="ListParagraphChar"/>
    <w:link w:val="Bullet1"/>
    <w:semiHidden/>
    <w:rsid w:val="00BB68A2"/>
    <w:rPr>
      <w:rFonts w:ascii="Arial" w:eastAsiaTheme="minorEastAsia" w:hAnsi="Arial" w:cs="Arial"/>
      <w:snapToGrid/>
      <w:sz w:val="22"/>
      <w:szCs w:val="24"/>
      <w:lang w:val="en-GB" w:eastAsia="en-GB"/>
    </w:rPr>
  </w:style>
  <w:style w:type="paragraph" w:customStyle="1" w:styleId="Keymessage">
    <w:name w:val="Key message"/>
    <w:basedOn w:val="Subtitle"/>
    <w:link w:val="KeymessageChar"/>
    <w:semiHidden/>
    <w:qFormat/>
    <w:locked/>
    <w:rsid w:val="00BB68A2"/>
    <w:pPr>
      <w:spacing w:before="120" w:after="120" w:line="360" w:lineRule="auto"/>
      <w:jc w:val="left"/>
    </w:pPr>
    <w:rPr>
      <w:rFonts w:ascii="Arial" w:eastAsiaTheme="minorEastAsia" w:hAnsi="Arial" w:cs="Arial"/>
      <w:b/>
      <w:i/>
      <w:color w:val="4F81BD" w:themeColor="accent1"/>
      <w:spacing w:val="15"/>
      <w:kern w:val="24"/>
      <w:lang w:val="en-GB"/>
    </w:rPr>
  </w:style>
  <w:style w:type="character" w:customStyle="1" w:styleId="KeymessageChar">
    <w:name w:val="Key message Char"/>
    <w:basedOn w:val="SubtitleChar"/>
    <w:link w:val="Keymessage"/>
    <w:semiHidden/>
    <w:rsid w:val="00BB68A2"/>
    <w:rPr>
      <w:rFonts w:ascii="Arial" w:eastAsiaTheme="minorEastAsia" w:hAnsi="Arial" w:cs="Arial"/>
      <w:b/>
      <w:i/>
      <w:color w:val="4F81BD" w:themeColor="accent1"/>
      <w:spacing w:val="15"/>
      <w:kern w:val="24"/>
      <w:szCs w:val="22"/>
      <w:lang w:val="en-GB" w:eastAsia="en-US"/>
    </w:rPr>
  </w:style>
  <w:style w:type="table" w:customStyle="1" w:styleId="KeyMDIevidence">
    <w:name w:val="Key MDI evidence"/>
    <w:basedOn w:val="TableNormal"/>
    <w:uiPriority w:val="99"/>
    <w:locked/>
    <w:rsid w:val="00BB68A2"/>
    <w:pPr>
      <w:numPr>
        <w:ilvl w:val="4"/>
        <w:numId w:val="18"/>
      </w:numPr>
      <w:tabs>
        <w:tab w:val="num" w:pos="1008"/>
      </w:tabs>
      <w:ind w:left="1008" w:hanging="1008"/>
    </w:pPr>
    <w:rPr>
      <w:rFonts w:asciiTheme="minorHAnsi" w:eastAsiaTheme="minorHAnsi" w:hAnsiTheme="minorHAnsi" w:cstheme="minorBidi"/>
      <w:sz w:val="22"/>
      <w:szCs w:val="22"/>
      <w:lang w:val="en-US"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cPr>
      <w:shd w:val="clear" w:color="auto" w:fill="DAEEF3" w:themeFill="accent5" w:themeFillTint="33"/>
      <w:tcMar>
        <w:top w:w="113" w:type="dxa"/>
        <w:bottom w:w="0" w:type="dxa"/>
      </w:tcMar>
    </w:tcPr>
  </w:style>
  <w:style w:type="paragraph" w:customStyle="1" w:styleId="Bullet2">
    <w:name w:val="Bullet 2"/>
    <w:basedOn w:val="ListParagraph"/>
    <w:link w:val="Bullet2Char"/>
    <w:locked/>
    <w:rsid w:val="00BB68A2"/>
    <w:pPr>
      <w:widowControl/>
      <w:spacing w:after="0" w:line="360" w:lineRule="auto"/>
      <w:ind w:left="0"/>
      <w:contextualSpacing/>
      <w:jc w:val="left"/>
    </w:pPr>
    <w:rPr>
      <w:rFonts w:ascii="Arial" w:eastAsiaTheme="minorEastAsia" w:hAnsi="Arial"/>
      <w:snapToGrid/>
      <w:sz w:val="22"/>
      <w:szCs w:val="24"/>
      <w:lang w:val="en-GB" w:eastAsia="en-GB"/>
    </w:rPr>
  </w:style>
  <w:style w:type="character" w:customStyle="1" w:styleId="Bullet2Char">
    <w:name w:val="Bullet 2 Char"/>
    <w:basedOn w:val="ListParagraphChar"/>
    <w:link w:val="Bullet2"/>
    <w:rsid w:val="00BB68A2"/>
    <w:rPr>
      <w:rFonts w:ascii="Arial" w:eastAsiaTheme="minorEastAsia" w:hAnsi="Arial" w:cs="Arial"/>
      <w:snapToGrid/>
      <w:sz w:val="22"/>
      <w:szCs w:val="24"/>
      <w:lang w:val="en-GB" w:eastAsia="en-GB"/>
    </w:rPr>
  </w:style>
  <w:style w:type="table" w:customStyle="1" w:styleId="T2DMinsulin">
    <w:name w:val="T2DM insulin"/>
    <w:basedOn w:val="TableNormal"/>
    <w:uiPriority w:val="99"/>
    <w:locked/>
    <w:rsid w:val="00BB68A2"/>
    <w:rPr>
      <w:rFonts w:asciiTheme="minorHAnsi" w:eastAsiaTheme="minorHAnsi" w:hAnsiTheme="minorHAnsi" w:cstheme="minorBidi"/>
      <w:sz w:val="22"/>
      <w:szCs w:val="22"/>
      <w:lang w:val="en-US"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cPr>
      <w:tcMar>
        <w:top w:w="113" w:type="dxa"/>
      </w:tcMar>
    </w:tcPr>
  </w:style>
  <w:style w:type="paragraph" w:customStyle="1" w:styleId="Footnote0">
    <w:name w:val="Footnote"/>
    <w:basedOn w:val="Normal"/>
    <w:link w:val="FootnoteChar0"/>
    <w:semiHidden/>
    <w:qFormat/>
    <w:locked/>
    <w:rsid w:val="00BB68A2"/>
    <w:pPr>
      <w:widowControl/>
      <w:jc w:val="left"/>
    </w:pPr>
    <w:rPr>
      <w:rFonts w:ascii="Arial" w:eastAsiaTheme="minorHAnsi" w:hAnsi="Arial"/>
      <w:snapToGrid/>
      <w:color w:val="000000" w:themeColor="text1"/>
      <w:kern w:val="24"/>
      <w:sz w:val="18"/>
      <w:szCs w:val="20"/>
      <w:lang w:val="en-GB"/>
    </w:rPr>
  </w:style>
  <w:style w:type="character" w:customStyle="1" w:styleId="FootnoteChar0">
    <w:name w:val="Footnote Char"/>
    <w:basedOn w:val="DefaultParagraphFont"/>
    <w:link w:val="Footnote0"/>
    <w:semiHidden/>
    <w:rsid w:val="00BB68A2"/>
    <w:rPr>
      <w:rFonts w:ascii="Arial" w:eastAsiaTheme="minorHAnsi" w:hAnsi="Arial" w:cs="Arial"/>
      <w:color w:val="000000" w:themeColor="text1"/>
      <w:kern w:val="24"/>
      <w:sz w:val="18"/>
      <w:lang w:val="en-GB" w:eastAsia="en-US"/>
    </w:rPr>
  </w:style>
  <w:style w:type="table" w:styleId="LightList-Accent6">
    <w:name w:val="Light List Accent 6"/>
    <w:basedOn w:val="TableNormal"/>
    <w:uiPriority w:val="61"/>
    <w:rsid w:val="00BB68A2"/>
    <w:rPr>
      <w:rFonts w:ascii="Arial" w:eastAsiaTheme="minorHAnsi" w:hAnsi="Arial"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rFonts w:ascii="Arial" w:hAnsi="Arial"/>
        <w:b/>
        <w:bCs/>
        <w:color w:val="FFFFFF" w:themeColor="background1"/>
        <w:sz w:val="22"/>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ascii="Arial" w:hAnsi="Arial"/>
        <w:b w:val="0"/>
        <w:bCs/>
        <w:sz w:val="22"/>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ableGridLight1">
    <w:name w:val="Table Grid Light1"/>
    <w:basedOn w:val="TableNormal"/>
    <w:uiPriority w:val="40"/>
    <w:locked/>
    <w:rsid w:val="00BB68A2"/>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List-Accent64">
    <w:name w:val="Light List - Accent 64"/>
    <w:basedOn w:val="TableNormal"/>
    <w:next w:val="LightList-Accent6"/>
    <w:uiPriority w:val="61"/>
    <w:locked/>
    <w:rsid w:val="00BB68A2"/>
    <w:rPr>
      <w:rFonts w:ascii="Arial" w:eastAsiaTheme="minorHAnsi" w:hAnsi="Arial" w:cstheme="minorBidi"/>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rFonts w:ascii="Arial" w:hAnsi="Arial"/>
        <w:b/>
        <w:bCs/>
        <w:color w:val="FFFFFF"/>
        <w:sz w:val="22"/>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ascii="Arial" w:hAnsi="Arial"/>
        <w:b w:val="0"/>
        <w:bCs/>
        <w:sz w:val="22"/>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Keyvaluemessage">
    <w:name w:val="Key value message"/>
    <w:basedOn w:val="Normal"/>
    <w:link w:val="KeyvaluemessageChar"/>
    <w:semiHidden/>
    <w:locked/>
    <w:rsid w:val="00BB68A2"/>
    <w:pPr>
      <w:keepNext/>
      <w:widowControl/>
      <w:spacing w:line="360" w:lineRule="auto"/>
      <w:jc w:val="left"/>
    </w:pPr>
    <w:rPr>
      <w:rFonts w:ascii="Arial" w:hAnsi="Arial" w:cs="Times New Roman"/>
      <w:b/>
      <w:i/>
      <w:snapToGrid/>
      <w:color w:val="4F81BD" w:themeColor="accent1"/>
      <w:sz w:val="20"/>
      <w:szCs w:val="20"/>
      <w:lang w:val="en-GB"/>
    </w:rPr>
  </w:style>
  <w:style w:type="character" w:customStyle="1" w:styleId="KeyvaluemessageChar">
    <w:name w:val="Key value message Char"/>
    <w:basedOn w:val="DefaultParagraphFont"/>
    <w:link w:val="Keyvaluemessage"/>
    <w:semiHidden/>
    <w:rsid w:val="00BB68A2"/>
    <w:rPr>
      <w:rFonts w:ascii="Arial" w:hAnsi="Arial"/>
      <w:b/>
      <w:i/>
      <w:color w:val="4F81BD" w:themeColor="accent1"/>
      <w:lang w:val="en-GB" w:eastAsia="en-US"/>
    </w:rPr>
  </w:style>
  <w:style w:type="table" w:customStyle="1" w:styleId="TableGrid1">
    <w:name w:val="Table Grid1"/>
    <w:basedOn w:val="TableNormal"/>
    <w:next w:val="TableGrid"/>
    <w:uiPriority w:val="39"/>
    <w:locked/>
    <w:rsid w:val="00BB68A2"/>
    <w:pPr>
      <w:keepNex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customStyle="1" w:styleId="KMC-caption">
    <w:name w:val="KMC-caption"/>
    <w:basedOn w:val="Normal"/>
    <w:semiHidden/>
    <w:locked/>
    <w:rsid w:val="00BB68A2"/>
    <w:pPr>
      <w:keepNext/>
      <w:widowControl/>
      <w:spacing w:before="240" w:after="120" w:line="276" w:lineRule="auto"/>
      <w:ind w:left="1191" w:hanging="1191"/>
      <w:contextualSpacing/>
      <w:jc w:val="left"/>
    </w:pPr>
    <w:rPr>
      <w:rFonts w:ascii="Arial" w:hAnsi="Arial" w:cs="Times New Roman"/>
      <w:b/>
      <w:snapToGrid/>
      <w:color w:val="000000"/>
      <w:sz w:val="20"/>
      <w:szCs w:val="20"/>
      <w:lang w:eastAsia="en-AU"/>
    </w:rPr>
  </w:style>
  <w:style w:type="paragraph" w:customStyle="1" w:styleId="KMC-H4">
    <w:name w:val="KMC - H4"/>
    <w:basedOn w:val="Heading3"/>
    <w:semiHidden/>
    <w:qFormat/>
    <w:locked/>
    <w:rsid w:val="00BB68A2"/>
    <w:pPr>
      <w:widowControl/>
      <w:numPr>
        <w:ilvl w:val="2"/>
      </w:numPr>
      <w:spacing w:before="480" w:after="240"/>
      <w:ind w:left="720" w:hanging="720"/>
      <w:jc w:val="left"/>
    </w:pPr>
    <w:rPr>
      <w:rFonts w:ascii="Arial Bold" w:eastAsiaTheme="minorHAnsi" w:hAnsi="Arial Bold"/>
      <w:b/>
      <w:caps/>
      <w:snapToGrid/>
      <w:kern w:val="24"/>
      <w:sz w:val="22"/>
      <w:u w:val="none"/>
      <w:lang w:val="en-GB"/>
    </w:rPr>
  </w:style>
  <w:style w:type="paragraph" w:customStyle="1" w:styleId="KMC-H5">
    <w:name w:val="KMC - H5"/>
    <w:basedOn w:val="KMC-H4"/>
    <w:semiHidden/>
    <w:qFormat/>
    <w:locked/>
    <w:rsid w:val="00BB68A2"/>
    <w:pPr>
      <w:numPr>
        <w:ilvl w:val="0"/>
      </w:numPr>
      <w:ind w:left="864" w:hanging="864"/>
    </w:pPr>
    <w:rPr>
      <w:i/>
      <w:sz w:val="20"/>
    </w:rPr>
  </w:style>
  <w:style w:type="paragraph" w:styleId="ListBullet">
    <w:name w:val="List Bullet"/>
    <w:basedOn w:val="Normal"/>
    <w:semiHidden/>
    <w:rsid w:val="00BB68A2"/>
    <w:pPr>
      <w:widowControl/>
      <w:numPr>
        <w:numId w:val="6"/>
      </w:numPr>
      <w:spacing w:before="120" w:after="240" w:line="360" w:lineRule="auto"/>
      <w:contextualSpacing/>
    </w:pPr>
    <w:rPr>
      <w:rFonts w:ascii="Arial" w:hAnsi="Arial" w:cs="Times New Roman"/>
      <w:snapToGrid/>
      <w:color w:val="000000"/>
      <w:sz w:val="22"/>
      <w:szCs w:val="20"/>
      <w:lang w:eastAsia="en-AU"/>
    </w:rPr>
  </w:style>
  <w:style w:type="paragraph" w:customStyle="1" w:styleId="KMC-Caption0">
    <w:name w:val="KMC - Caption"/>
    <w:basedOn w:val="Normal"/>
    <w:semiHidden/>
    <w:qFormat/>
    <w:locked/>
    <w:rsid w:val="00BB68A2"/>
    <w:pPr>
      <w:keepNext/>
      <w:widowControl/>
      <w:tabs>
        <w:tab w:val="left" w:pos="284"/>
      </w:tabs>
      <w:spacing w:before="240" w:after="80"/>
      <w:ind w:left="1134" w:hanging="1134"/>
      <w:contextualSpacing/>
      <w:jc w:val="left"/>
    </w:pPr>
    <w:rPr>
      <w:rFonts w:ascii="Arial" w:hAnsi="Arial" w:cs="Times New Roman"/>
      <w:b/>
      <w:snapToGrid/>
      <w:color w:val="000000"/>
      <w:sz w:val="20"/>
      <w:szCs w:val="20"/>
      <w:lang w:eastAsia="en-AU"/>
    </w:rPr>
  </w:style>
  <w:style w:type="paragraph" w:customStyle="1" w:styleId="KMC-text0">
    <w:name w:val="KMC- text"/>
    <w:basedOn w:val="Normal"/>
    <w:link w:val="KMC-textChar0"/>
    <w:semiHidden/>
    <w:qFormat/>
    <w:locked/>
    <w:rsid w:val="00BB68A2"/>
    <w:pPr>
      <w:spacing w:before="120" w:after="240" w:line="360" w:lineRule="auto"/>
    </w:pPr>
    <w:rPr>
      <w:rFonts w:ascii="Arial" w:hAnsi="Arial" w:cs="Times New Roman"/>
      <w:snapToGrid/>
      <w:color w:val="000000"/>
      <w:sz w:val="22"/>
      <w:szCs w:val="24"/>
      <w:lang w:val="en-GB"/>
    </w:rPr>
  </w:style>
  <w:style w:type="character" w:customStyle="1" w:styleId="KMC-textChar0">
    <w:name w:val="KMC- text Char"/>
    <w:basedOn w:val="DefaultParagraphFont"/>
    <w:link w:val="KMC-text0"/>
    <w:semiHidden/>
    <w:rsid w:val="00BB68A2"/>
    <w:rPr>
      <w:rFonts w:ascii="Arial" w:hAnsi="Arial"/>
      <w:color w:val="000000"/>
      <w:sz w:val="22"/>
      <w:szCs w:val="24"/>
      <w:lang w:val="en-GB" w:eastAsia="en-US"/>
    </w:rPr>
  </w:style>
  <w:style w:type="paragraph" w:customStyle="1" w:styleId="Tablebps">
    <w:name w:val="Table bps"/>
    <w:basedOn w:val="Bullet1"/>
    <w:semiHidden/>
    <w:locked/>
    <w:rsid w:val="00BB68A2"/>
    <w:pPr>
      <w:numPr>
        <w:numId w:val="7"/>
      </w:numPr>
      <w:spacing w:after="0" w:line="276" w:lineRule="auto"/>
      <w:ind w:left="1077"/>
    </w:pPr>
    <w:rPr>
      <w:color w:val="000000"/>
      <w:sz w:val="18"/>
      <w:szCs w:val="19"/>
    </w:rPr>
  </w:style>
  <w:style w:type="paragraph" w:customStyle="1" w:styleId="TableNotes">
    <w:name w:val="Table Notes"/>
    <w:basedOn w:val="Normal"/>
    <w:link w:val="TableNotesChar"/>
    <w:semiHidden/>
    <w:locked/>
    <w:rsid w:val="00BB68A2"/>
    <w:pPr>
      <w:widowControl/>
      <w:spacing w:before="120" w:after="120" w:line="360" w:lineRule="auto"/>
    </w:pPr>
    <w:rPr>
      <w:rFonts w:ascii="Arial" w:hAnsi="Arial" w:cs="Times New Roman"/>
      <w:i/>
      <w:snapToGrid/>
      <w:color w:val="000000"/>
      <w:sz w:val="18"/>
      <w:szCs w:val="20"/>
      <w:lang w:eastAsia="en-AU"/>
    </w:rPr>
  </w:style>
  <w:style w:type="character" w:customStyle="1" w:styleId="TableNotesChar">
    <w:name w:val="Table Notes Char"/>
    <w:basedOn w:val="DefaultParagraphFont"/>
    <w:link w:val="TableNotes"/>
    <w:semiHidden/>
    <w:rsid w:val="00BB68A2"/>
    <w:rPr>
      <w:rFonts w:ascii="Arial" w:hAnsi="Arial"/>
      <w:i/>
      <w:color w:val="000000"/>
      <w:sz w:val="18"/>
    </w:rPr>
  </w:style>
  <w:style w:type="paragraph" w:customStyle="1" w:styleId="KMC-Tabletext">
    <w:name w:val="KMC-Table text"/>
    <w:basedOn w:val="Normal"/>
    <w:semiHidden/>
    <w:qFormat/>
    <w:locked/>
    <w:rsid w:val="00BB68A2"/>
    <w:pPr>
      <w:widowControl/>
      <w:spacing w:before="40" w:after="40"/>
      <w:jc w:val="left"/>
    </w:pPr>
    <w:rPr>
      <w:rFonts w:ascii="Arial Narrow" w:hAnsi="Arial Narrow"/>
      <w:bCs/>
      <w:snapToGrid/>
      <w:sz w:val="22"/>
      <w:szCs w:val="20"/>
      <w:lang w:eastAsia="en-AU"/>
    </w:rPr>
  </w:style>
  <w:style w:type="table" w:customStyle="1" w:styleId="LightList-Accent67">
    <w:name w:val="Light List - Accent 67"/>
    <w:basedOn w:val="TableNormal"/>
    <w:next w:val="LightList-Accent6"/>
    <w:uiPriority w:val="61"/>
    <w:locked/>
    <w:rsid w:val="00BB68A2"/>
    <w:rPr>
      <w:rFonts w:ascii="Arial" w:eastAsiaTheme="minorHAnsi" w:hAnsi="Arial" w:cstheme="minorBidi"/>
      <w:sz w:val="22"/>
      <w:szCs w:val="22"/>
      <w:lang w:val="en-US" w:eastAsia="en-US"/>
    </w:rPr>
    <w:tblPr>
      <w:tblStyleRowBandSize w:val="1"/>
      <w:tblStyleColBandSize w:val="1"/>
      <w:tblBorders>
        <w:top w:val="single" w:sz="8" w:space="0" w:color="F5842E"/>
        <w:left w:val="single" w:sz="8" w:space="0" w:color="F5842E"/>
        <w:bottom w:val="single" w:sz="8" w:space="0" w:color="F5842E"/>
        <w:right w:val="single" w:sz="8" w:space="0" w:color="F5842E"/>
      </w:tblBorders>
    </w:tblPr>
    <w:tblStylePr w:type="firstRow">
      <w:pPr>
        <w:spacing w:before="0" w:after="0" w:line="240" w:lineRule="auto"/>
      </w:pPr>
      <w:rPr>
        <w:rFonts w:ascii="Arial" w:hAnsi="Arial"/>
        <w:b/>
        <w:bCs/>
        <w:color w:val="FFFFFF"/>
        <w:sz w:val="22"/>
      </w:rPr>
      <w:tblPr/>
      <w:tcPr>
        <w:shd w:val="clear" w:color="auto" w:fill="F5842E"/>
      </w:tcPr>
    </w:tblStylePr>
    <w:tblStylePr w:type="lastRow">
      <w:pPr>
        <w:spacing w:before="0" w:after="0" w:line="240" w:lineRule="auto"/>
      </w:pPr>
      <w:rPr>
        <w:b/>
        <w:bCs/>
      </w:rPr>
      <w:tblPr/>
      <w:tcPr>
        <w:tcBorders>
          <w:top w:val="double" w:sz="6" w:space="0" w:color="F5842E"/>
          <w:left w:val="single" w:sz="8" w:space="0" w:color="F5842E"/>
          <w:bottom w:val="single" w:sz="8" w:space="0" w:color="F5842E"/>
          <w:right w:val="single" w:sz="8" w:space="0" w:color="F5842E"/>
        </w:tcBorders>
      </w:tcPr>
    </w:tblStylePr>
    <w:tblStylePr w:type="firstCol">
      <w:rPr>
        <w:rFonts w:ascii="Arial" w:hAnsi="Arial"/>
        <w:b w:val="0"/>
        <w:bCs/>
        <w:sz w:val="22"/>
      </w:rPr>
    </w:tblStylePr>
    <w:tblStylePr w:type="lastCol">
      <w:rPr>
        <w:b/>
        <w:bCs/>
      </w:rPr>
    </w:tblStylePr>
    <w:tblStylePr w:type="band1Vert">
      <w:tblPr/>
      <w:tcPr>
        <w:tcBorders>
          <w:top w:val="single" w:sz="8" w:space="0" w:color="F5842E"/>
          <w:left w:val="single" w:sz="8" w:space="0" w:color="F5842E"/>
          <w:bottom w:val="single" w:sz="8" w:space="0" w:color="F5842E"/>
          <w:right w:val="single" w:sz="8" w:space="0" w:color="F5842E"/>
        </w:tcBorders>
      </w:tcPr>
    </w:tblStylePr>
    <w:tblStylePr w:type="band1Horz">
      <w:tblPr/>
      <w:tcPr>
        <w:tcBorders>
          <w:top w:val="single" w:sz="8" w:space="0" w:color="F5842E"/>
          <w:left w:val="single" w:sz="8" w:space="0" w:color="F5842E"/>
          <w:bottom w:val="single" w:sz="8" w:space="0" w:color="F5842E"/>
          <w:right w:val="single" w:sz="8" w:space="0" w:color="F5842E"/>
        </w:tcBorders>
      </w:tcPr>
    </w:tblStylePr>
  </w:style>
  <w:style w:type="character" w:customStyle="1" w:styleId="cit-reflinks-abstract">
    <w:name w:val="cit-reflinks-abstract"/>
    <w:basedOn w:val="DefaultParagraphFont"/>
    <w:semiHidden/>
    <w:locked/>
    <w:rsid w:val="00BB68A2"/>
  </w:style>
  <w:style w:type="paragraph" w:styleId="ListBullet2">
    <w:name w:val="List Bullet 2"/>
    <w:basedOn w:val="Normal"/>
    <w:uiPriority w:val="99"/>
    <w:semiHidden/>
    <w:unhideWhenUsed/>
    <w:rsid w:val="00BB68A2"/>
    <w:pPr>
      <w:widowControl/>
      <w:tabs>
        <w:tab w:val="num" w:pos="360"/>
      </w:tabs>
      <w:spacing w:after="160" w:line="259" w:lineRule="auto"/>
      <w:ind w:left="360" w:hanging="360"/>
      <w:contextualSpacing/>
      <w:jc w:val="left"/>
    </w:pPr>
    <w:rPr>
      <w:rFonts w:asciiTheme="minorHAnsi" w:eastAsiaTheme="minorHAnsi" w:hAnsiTheme="minorHAnsi" w:cstheme="minorBidi"/>
      <w:snapToGrid/>
      <w:sz w:val="22"/>
    </w:rPr>
  </w:style>
  <w:style w:type="character" w:styleId="PlaceholderText">
    <w:name w:val="Placeholder Text"/>
    <w:basedOn w:val="DefaultParagraphFont"/>
    <w:uiPriority w:val="99"/>
    <w:semiHidden/>
    <w:rsid w:val="00BB68A2"/>
    <w:rPr>
      <w:color w:val="808080"/>
    </w:rPr>
  </w:style>
  <w:style w:type="table" w:customStyle="1" w:styleId="LightShading1">
    <w:name w:val="Light Shading1"/>
    <w:basedOn w:val="TableNormal"/>
    <w:uiPriority w:val="60"/>
    <w:rsid w:val="00BB68A2"/>
    <w:rPr>
      <w:rFonts w:ascii="Arial" w:eastAsiaTheme="minorHAnsi" w:hAnsi="Arial" w:cs="Arial"/>
      <w:color w:val="000000" w:themeColor="text1" w:themeShade="BF"/>
      <w:sz w:val="16"/>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OC1Char">
    <w:name w:val="TOC 1 Char"/>
    <w:aliases w:val="KMC16 - TOC 1 Char"/>
    <w:basedOn w:val="DefaultParagraphFont"/>
    <w:link w:val="TOC1"/>
    <w:uiPriority w:val="39"/>
    <w:rsid w:val="00BB68A2"/>
    <w:rPr>
      <w:rFonts w:ascii="Calibri" w:hAnsi="Calibri" w:cs="Arial"/>
      <w:bCs/>
      <w:snapToGrid w:val="0"/>
      <w:szCs w:val="22"/>
      <w:lang w:eastAsia="en-US"/>
    </w:rPr>
  </w:style>
  <w:style w:type="paragraph" w:customStyle="1" w:styleId="KMC16-TOC">
    <w:name w:val="KMC16 - TOC"/>
    <w:basedOn w:val="TOC1"/>
    <w:link w:val="KMC16-TOCChar"/>
    <w:rsid w:val="00BB68A2"/>
    <w:pPr>
      <w:widowControl/>
      <w:tabs>
        <w:tab w:val="left" w:pos="440"/>
        <w:tab w:val="right" w:leader="dot" w:pos="9016"/>
        <w:tab w:val="right" w:leader="dot" w:pos="10338"/>
      </w:tabs>
      <w:spacing w:before="0" w:after="100" w:line="259" w:lineRule="auto"/>
    </w:pPr>
    <w:rPr>
      <w:rFonts w:asciiTheme="minorHAnsi" w:eastAsiaTheme="minorHAnsi" w:hAnsiTheme="minorHAnsi" w:cstheme="minorBidi"/>
      <w:bCs w:val="0"/>
      <w:noProof/>
      <w:snapToGrid/>
      <w:sz w:val="22"/>
    </w:rPr>
  </w:style>
  <w:style w:type="character" w:customStyle="1" w:styleId="KMC16-TOCChar">
    <w:name w:val="KMC16 - TOC Char"/>
    <w:basedOn w:val="TOC1Char"/>
    <w:link w:val="KMC16-TOC"/>
    <w:rsid w:val="00BB68A2"/>
    <w:rPr>
      <w:rFonts w:asciiTheme="minorHAnsi" w:eastAsiaTheme="minorHAnsi" w:hAnsiTheme="minorHAnsi" w:cstheme="minorBidi"/>
      <w:bCs w:val="0"/>
      <w:noProof/>
      <w:snapToGrid/>
      <w:sz w:val="22"/>
      <w:szCs w:val="22"/>
      <w:lang w:eastAsia="en-US"/>
    </w:rPr>
  </w:style>
  <w:style w:type="paragraph" w:styleId="DocumentMap">
    <w:name w:val="Document Map"/>
    <w:basedOn w:val="Normal"/>
    <w:link w:val="DocumentMapChar"/>
    <w:uiPriority w:val="99"/>
    <w:semiHidden/>
    <w:unhideWhenUsed/>
    <w:rsid w:val="00BB68A2"/>
    <w:pPr>
      <w:widowControl/>
      <w:jc w:val="left"/>
    </w:pPr>
    <w:rPr>
      <w:rFonts w:ascii="Times New Roman" w:eastAsiaTheme="minorHAnsi" w:hAnsi="Times New Roman" w:cs="Times New Roman"/>
      <w:snapToGrid/>
      <w:szCs w:val="24"/>
    </w:rPr>
  </w:style>
  <w:style w:type="character" w:customStyle="1" w:styleId="DocumentMapChar">
    <w:name w:val="Document Map Char"/>
    <w:basedOn w:val="DefaultParagraphFont"/>
    <w:link w:val="DocumentMap"/>
    <w:uiPriority w:val="99"/>
    <w:semiHidden/>
    <w:rsid w:val="00BB68A2"/>
    <w:rPr>
      <w:rFonts w:eastAsiaTheme="minorHAnsi"/>
      <w:sz w:val="24"/>
      <w:szCs w:val="24"/>
      <w:lang w:eastAsia="en-US"/>
    </w:rPr>
  </w:style>
  <w:style w:type="character" w:customStyle="1" w:styleId="UnresolvedMention5">
    <w:name w:val="Unresolved Mention5"/>
    <w:basedOn w:val="DefaultParagraphFont"/>
    <w:uiPriority w:val="99"/>
    <w:unhideWhenUsed/>
    <w:locked/>
    <w:rsid w:val="00BB68A2"/>
    <w:rPr>
      <w:color w:val="808080"/>
      <w:shd w:val="clear" w:color="auto" w:fill="E6E6E6"/>
    </w:rPr>
  </w:style>
  <w:style w:type="paragraph" w:customStyle="1" w:styleId="Text">
    <w:name w:val="Text"/>
    <w:aliases w:val="Graphic,Italic"/>
    <w:basedOn w:val="Normal"/>
    <w:link w:val="TextChar"/>
    <w:qFormat/>
    <w:rsid w:val="00BB68A2"/>
    <w:pPr>
      <w:widowControl/>
      <w:suppressAutoHyphens/>
      <w:spacing w:before="60" w:after="60"/>
      <w:ind w:left="936"/>
    </w:pPr>
    <w:rPr>
      <w:rFonts w:ascii="Times New Roman" w:hAnsi="Times New Roman" w:cs="Times New Roman"/>
      <w:snapToGrid/>
      <w:szCs w:val="20"/>
      <w:lang w:val="en-GB" w:eastAsia="fr-FR"/>
    </w:rPr>
  </w:style>
  <w:style w:type="character" w:customStyle="1" w:styleId="TextChar">
    <w:name w:val="Text Char"/>
    <w:aliases w:val="Body Text Char Char Char Char Char Char3"/>
    <w:link w:val="Text"/>
    <w:rsid w:val="00BB68A2"/>
    <w:rPr>
      <w:sz w:val="24"/>
      <w:lang w:val="en-GB" w:eastAsia="fr-FR"/>
    </w:rPr>
  </w:style>
  <w:style w:type="paragraph" w:styleId="FootnoteText">
    <w:name w:val="footnote text"/>
    <w:basedOn w:val="Normal"/>
    <w:link w:val="FootnoteTextChar"/>
    <w:uiPriority w:val="99"/>
    <w:semiHidden/>
    <w:unhideWhenUsed/>
    <w:rsid w:val="00BB68A2"/>
    <w:pPr>
      <w:widowControl/>
      <w:jc w:val="left"/>
    </w:pPr>
    <w:rPr>
      <w:rFonts w:asciiTheme="minorHAnsi" w:eastAsiaTheme="minorHAnsi" w:hAnsiTheme="minorHAnsi" w:cstheme="minorBidi"/>
      <w:snapToGrid/>
      <w:sz w:val="20"/>
      <w:szCs w:val="20"/>
    </w:rPr>
  </w:style>
  <w:style w:type="character" w:customStyle="1" w:styleId="FootnoteTextChar">
    <w:name w:val="Footnote Text Char"/>
    <w:basedOn w:val="DefaultParagraphFont"/>
    <w:link w:val="FootnoteText"/>
    <w:uiPriority w:val="99"/>
    <w:semiHidden/>
    <w:rsid w:val="00BB68A2"/>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8A2"/>
    <w:rPr>
      <w:vertAlign w:val="superscript"/>
    </w:rPr>
  </w:style>
  <w:style w:type="character" w:customStyle="1" w:styleId="NoSpacingChar">
    <w:name w:val="No Spacing Char"/>
    <w:basedOn w:val="DefaultParagraphFont"/>
    <w:link w:val="NoSpacing"/>
    <w:uiPriority w:val="1"/>
    <w:rsid w:val="00BB68A2"/>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06EDA"/>
    <w:pPr>
      <w:widowControl/>
      <w:spacing w:after="160" w:line="240" w:lineRule="exact"/>
      <w:jc w:val="left"/>
    </w:pPr>
    <w:rPr>
      <w:rFonts w:ascii="Verdana" w:eastAsia="MS Mincho" w:hAnsi="Verdana" w:cs="Verdana"/>
      <w:snapToGrid/>
      <w:sz w:val="20"/>
      <w:szCs w:val="20"/>
      <w:lang w:val="en-US"/>
    </w:rPr>
  </w:style>
  <w:style w:type="paragraph" w:styleId="EndnoteText">
    <w:name w:val="endnote text"/>
    <w:basedOn w:val="Normal"/>
    <w:link w:val="EndnoteTextChar"/>
    <w:uiPriority w:val="99"/>
    <w:unhideWhenUsed/>
    <w:rsid w:val="00FA0516"/>
    <w:pPr>
      <w:widowControl/>
      <w:ind w:left="-450" w:right="-154"/>
    </w:pPr>
    <w:rPr>
      <w:rFonts w:ascii="Arial Narrow" w:eastAsiaTheme="minorHAnsi" w:hAnsi="Arial Narrow" w:cstheme="minorBidi"/>
      <w:snapToGrid/>
      <w:sz w:val="20"/>
      <w:szCs w:val="20"/>
    </w:rPr>
  </w:style>
  <w:style w:type="character" w:customStyle="1" w:styleId="EndnoteTextChar">
    <w:name w:val="Endnote Text Char"/>
    <w:basedOn w:val="DefaultParagraphFont"/>
    <w:link w:val="EndnoteText"/>
    <w:uiPriority w:val="99"/>
    <w:rsid w:val="00FA0516"/>
    <w:rPr>
      <w:rFonts w:ascii="Arial Narrow" w:eastAsiaTheme="minorHAnsi" w:hAnsi="Arial Narrow"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9" w:unhideWhenUsed="0"/>
    <w:lsdException w:name="heading 4" w:semiHidden="0" w:unhideWhenUsed="0" w:qFormat="1"/>
    <w:lsdException w:name="heading 5" w:semiHidden="0" w:uiPriority="9" w:unhideWhenUsed="0"/>
    <w:lsdException w:name="heading 6" w:semiHidden="0"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Document Map" w:uiPriority="99"/>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aliases w:val="Heading 1.KMC16 - Heading 1,KMC-Heading 1,Outline1,p1,H1,Titre 1 Car Car,Titre 1 Car"/>
    <w:basedOn w:val="PBACHeading1"/>
    <w:next w:val="Normal"/>
    <w:link w:val="Heading1Char"/>
    <w:qFormat/>
    <w:rsid w:val="00905D6A"/>
    <w:pPr>
      <w:spacing w:after="120"/>
      <w:outlineLvl w:val="0"/>
    </w:pPr>
  </w:style>
  <w:style w:type="paragraph" w:styleId="Heading2">
    <w:name w:val="heading 2"/>
    <w:aliases w:val="KMC-Heading 2,H2,Heading 2x,p2 Char,Heading h2,h2,Follow Up Question"/>
    <w:basedOn w:val="Heading1"/>
    <w:next w:val="Normal"/>
    <w:link w:val="Heading2Char"/>
    <w:uiPriority w:val="9"/>
    <w:qFormat/>
    <w:rsid w:val="00315B23"/>
    <w:pPr>
      <w:outlineLvl w:val="1"/>
    </w:pPr>
    <w:rPr>
      <w:i/>
      <w:caps/>
      <w:sz w:val="28"/>
    </w:rPr>
  </w:style>
  <w:style w:type="paragraph" w:styleId="Heading3">
    <w:name w:val="heading 3"/>
    <w:aliases w:val="KMC - Heading 3"/>
    <w:basedOn w:val="Normal"/>
    <w:next w:val="Normal"/>
    <w:link w:val="Heading3Char"/>
    <w:uiPriority w:val="99"/>
    <w:rsid w:val="001F7361"/>
    <w:pPr>
      <w:outlineLvl w:val="2"/>
    </w:pPr>
    <w:rPr>
      <w:u w:val="single"/>
    </w:rPr>
  </w:style>
  <w:style w:type="paragraph" w:styleId="Heading4">
    <w:name w:val="heading 4"/>
    <w:aliases w:val="KMC -Heading 4,KMC-Heading 4,p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rsid w:val="00124A51"/>
    <w:pPr>
      <w:spacing w:before="240" w:after="60"/>
      <w:outlineLvl w:val="4"/>
    </w:pPr>
    <w:rPr>
      <w:b/>
      <w:bCs/>
      <w:iCs/>
      <w:sz w:val="26"/>
      <w:szCs w:val="26"/>
    </w:rPr>
  </w:style>
  <w:style w:type="paragraph" w:styleId="Heading6">
    <w:name w:val="heading 6"/>
    <w:basedOn w:val="Normal"/>
    <w:next w:val="Normal"/>
    <w:link w:val="Heading6Char"/>
    <w:uiPriority w:val="9"/>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MC-Heading 2 Char,H2 Char,Heading 2x Char,p2 Char Char,Heading h2 Char,h2 Char,Follow Up Question Char"/>
    <w:link w:val="Heading2"/>
    <w:uiPriority w:val="9"/>
    <w:rsid w:val="00315B23"/>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Styl moj,Akapit z listą11"/>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Styl moj Char,Akapit z listą11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aliases w:val="KMC16 - TOC 1"/>
    <w:basedOn w:val="Normal"/>
    <w:next w:val="Normal"/>
    <w:link w:val="TOC1Char"/>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iPriority w:val="99"/>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KMC16-Footer">
    <w:name w:val="KMC16 - Footer"/>
    <w:basedOn w:val="Normal"/>
    <w:qFormat/>
    <w:rsid w:val="008605EF"/>
    <w:pPr>
      <w:widowControl/>
      <w:pBdr>
        <w:top w:val="single" w:sz="4" w:space="1" w:color="auto"/>
      </w:pBdr>
      <w:tabs>
        <w:tab w:val="center" w:pos="4147"/>
        <w:tab w:val="right" w:pos="9000"/>
      </w:tabs>
    </w:pPr>
    <w:rPr>
      <w:rFonts w:eastAsiaTheme="minorHAnsi" w:cstheme="minorBidi"/>
      <w:b/>
      <w:snapToGrid/>
      <w:color w:val="000000" w:themeColor="text1"/>
      <w:sz w:val="18"/>
    </w:rPr>
  </w:style>
  <w:style w:type="paragraph" w:customStyle="1" w:styleId="KMC16-TableHeading">
    <w:name w:val="KMC16 - Table Heading"/>
    <w:basedOn w:val="Normal"/>
    <w:qFormat/>
    <w:rsid w:val="008605EF"/>
    <w:pPr>
      <w:widowControl/>
      <w:spacing w:before="40" w:after="40"/>
      <w:jc w:val="left"/>
    </w:pPr>
    <w:rPr>
      <w:rFonts w:ascii="Arial Narrow" w:hAnsi="Arial Narrow"/>
      <w:b/>
      <w:snapToGrid/>
      <w:color w:val="000000"/>
      <w:sz w:val="20"/>
    </w:rPr>
  </w:style>
  <w:style w:type="paragraph" w:customStyle="1" w:styleId="KMC16-Footnotes">
    <w:name w:val="KMC16 - Footnotes"/>
    <w:basedOn w:val="Normal"/>
    <w:qFormat/>
    <w:rsid w:val="006C7E08"/>
    <w:pPr>
      <w:widowControl/>
      <w:spacing w:before="40" w:after="40"/>
      <w:jc w:val="left"/>
    </w:pPr>
    <w:rPr>
      <w:rFonts w:ascii="Arial" w:eastAsiaTheme="minorHAnsi" w:hAnsi="Arial" w:cstheme="minorBidi"/>
      <w:snapToGrid/>
      <w:sz w:val="18"/>
    </w:rPr>
  </w:style>
  <w:style w:type="paragraph" w:customStyle="1" w:styleId="KMC16-Tablecontent">
    <w:name w:val="KMC16 - Table content"/>
    <w:basedOn w:val="Normal"/>
    <w:link w:val="KMC16-TablecontentChar"/>
    <w:qFormat/>
    <w:rsid w:val="00697704"/>
    <w:pPr>
      <w:widowControl/>
      <w:spacing w:before="40" w:after="40"/>
      <w:jc w:val="left"/>
    </w:pPr>
    <w:rPr>
      <w:rFonts w:ascii="Arial Narrow" w:hAnsi="Arial Narrow"/>
      <w:snapToGrid/>
      <w:color w:val="000000"/>
      <w:sz w:val="20"/>
      <w:lang w:val="en-GB"/>
    </w:rPr>
  </w:style>
  <w:style w:type="character" w:customStyle="1" w:styleId="KMC16-TablecontentChar">
    <w:name w:val="KMC16 - Table content Char"/>
    <w:basedOn w:val="DefaultParagraphFont"/>
    <w:link w:val="KMC16-Tablecontent"/>
    <w:rsid w:val="00697704"/>
    <w:rPr>
      <w:rFonts w:ascii="Arial Narrow" w:hAnsi="Arial Narrow" w:cs="Arial"/>
      <w:color w:val="000000"/>
      <w:szCs w:val="22"/>
      <w:lang w:val="en-GB" w:eastAsia="en-US"/>
    </w:rPr>
  </w:style>
  <w:style w:type="character" w:customStyle="1" w:styleId="UnresolvedMention1">
    <w:name w:val="Unresolved Mention1"/>
    <w:basedOn w:val="DefaultParagraphFont"/>
    <w:uiPriority w:val="99"/>
    <w:semiHidden/>
    <w:unhideWhenUsed/>
    <w:rsid w:val="00D8283B"/>
    <w:rPr>
      <w:color w:val="808080"/>
      <w:shd w:val="clear" w:color="auto" w:fill="E6E6E6"/>
    </w:rPr>
  </w:style>
  <w:style w:type="paragraph" w:customStyle="1" w:styleId="V50Instructions">
    <w:name w:val="V5.0 Instructions"/>
    <w:basedOn w:val="Normal"/>
    <w:link w:val="V50InstructionsChar"/>
    <w:qFormat/>
    <w:rsid w:val="00017515"/>
    <w:pPr>
      <w:widowControl/>
      <w:spacing w:before="120" w:after="160"/>
      <w:jc w:val="left"/>
    </w:pPr>
    <w:rPr>
      <w:rFonts w:asciiTheme="minorHAnsi" w:eastAsiaTheme="minorHAnsi" w:hAnsiTheme="minorHAnsi" w:cstheme="minorBidi"/>
      <w:snapToGrid/>
      <w:color w:val="4BACC6" w:themeColor="accent5"/>
    </w:rPr>
  </w:style>
  <w:style w:type="paragraph" w:customStyle="1" w:styleId="TableHeading0">
    <w:name w:val="Table Heading"/>
    <w:basedOn w:val="Normal"/>
    <w:qFormat/>
    <w:rsid w:val="00017515"/>
    <w:pPr>
      <w:keepNext/>
      <w:widowControl/>
      <w:spacing w:after="60"/>
      <w:jc w:val="left"/>
    </w:pPr>
    <w:rPr>
      <w:rFonts w:ascii="Arial Narrow" w:eastAsiaTheme="minorHAnsi" w:hAnsi="Arial Narrow" w:cstheme="minorBidi"/>
      <w:b/>
      <w:snapToGrid/>
      <w:sz w:val="20"/>
    </w:rPr>
  </w:style>
  <w:style w:type="character" w:customStyle="1" w:styleId="V50InstructionsChar">
    <w:name w:val="V5.0 Instructions Char"/>
    <w:basedOn w:val="DefaultParagraphFont"/>
    <w:link w:val="V50Instructions"/>
    <w:rsid w:val="00017515"/>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qFormat/>
    <w:rsid w:val="00780780"/>
    <w:pPr>
      <w:keepNext/>
      <w:widowControl/>
      <w:spacing w:before="40" w:after="40"/>
      <w:jc w:val="left"/>
    </w:pPr>
    <w:rPr>
      <w:rFonts w:ascii="Arial Narrow" w:eastAsiaTheme="minorHAnsi" w:hAnsi="Arial Narrow" w:cstheme="minorBidi"/>
      <w:snapToGrid/>
      <w:sz w:val="20"/>
    </w:rPr>
  </w:style>
  <w:style w:type="paragraph" w:customStyle="1" w:styleId="TableSource">
    <w:name w:val="Table Source"/>
    <w:basedOn w:val="Normal"/>
    <w:next w:val="Normal"/>
    <w:link w:val="TableSourceChar"/>
    <w:autoRedefine/>
    <w:qFormat/>
    <w:rsid w:val="00513CC9"/>
    <w:pPr>
      <w:widowControl/>
      <w:tabs>
        <w:tab w:val="left" w:pos="709"/>
      </w:tabs>
      <w:jc w:val="left"/>
    </w:pPr>
    <w:rPr>
      <w:rFonts w:ascii="Arial" w:hAnsi="Arial"/>
      <w:iCs/>
      <w:snapToGrid/>
      <w:color w:val="000000" w:themeColor="text1"/>
      <w:sz w:val="16"/>
      <w:szCs w:val="24"/>
      <w:lang w:val="en-US"/>
    </w:rPr>
  </w:style>
  <w:style w:type="character" w:customStyle="1" w:styleId="TableSourceChar">
    <w:name w:val="Table Source Char"/>
    <w:link w:val="TableSource"/>
    <w:rsid w:val="00513CC9"/>
    <w:rPr>
      <w:rFonts w:ascii="Arial" w:hAnsi="Arial" w:cs="Arial"/>
      <w:iCs/>
      <w:color w:val="000000" w:themeColor="text1"/>
      <w:sz w:val="16"/>
      <w:szCs w:val="24"/>
      <w:lang w:val="en-US" w:eastAsia="en-US"/>
    </w:rPr>
  </w:style>
  <w:style w:type="paragraph" w:customStyle="1" w:styleId="Default">
    <w:name w:val="Default"/>
    <w:rsid w:val="00115E42"/>
    <w:pPr>
      <w:autoSpaceDE w:val="0"/>
      <w:autoSpaceDN w:val="0"/>
      <w:adjustRightInd w:val="0"/>
    </w:pPr>
    <w:rPr>
      <w:color w:val="000000"/>
      <w:sz w:val="24"/>
      <w:szCs w:val="24"/>
      <w:lang w:val="en-US" w:eastAsia="en-US"/>
    </w:rPr>
  </w:style>
  <w:style w:type="table" w:customStyle="1" w:styleId="TableGrid0">
    <w:name w:val="TableGrid"/>
    <w:rsid w:val="00171DF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KMC16-Caption">
    <w:name w:val="KMC16 - Caption"/>
    <w:basedOn w:val="Normal"/>
    <w:qFormat/>
    <w:rsid w:val="0014512E"/>
    <w:pPr>
      <w:keepNext/>
      <w:widowControl/>
      <w:tabs>
        <w:tab w:val="left" w:pos="567"/>
      </w:tabs>
      <w:spacing w:before="240" w:after="40"/>
      <w:ind w:left="1588" w:hanging="1588"/>
      <w:contextualSpacing/>
      <w:jc w:val="left"/>
    </w:pPr>
    <w:rPr>
      <w:rFonts w:ascii="Arial" w:hAnsi="Arial" w:cs="Times New Roman"/>
      <w:b/>
      <w:snapToGrid/>
      <w:color w:val="000000"/>
      <w:sz w:val="20"/>
      <w:szCs w:val="20"/>
      <w:lang w:eastAsia="en-AU"/>
    </w:rPr>
  </w:style>
  <w:style w:type="paragraph" w:customStyle="1" w:styleId="KMC16-Text">
    <w:name w:val="KMC16 - Text"/>
    <w:basedOn w:val="Normal"/>
    <w:link w:val="KMC16-TextChar"/>
    <w:qFormat/>
    <w:rsid w:val="0014512E"/>
    <w:pPr>
      <w:widowControl/>
      <w:spacing w:before="120" w:after="240" w:line="360" w:lineRule="auto"/>
    </w:pPr>
    <w:rPr>
      <w:rFonts w:ascii="Arial" w:eastAsiaTheme="minorHAnsi" w:hAnsi="Arial" w:cstheme="minorBidi"/>
      <w:snapToGrid/>
      <w:color w:val="000000" w:themeColor="text1"/>
      <w:sz w:val="22"/>
    </w:rPr>
  </w:style>
  <w:style w:type="paragraph" w:customStyle="1" w:styleId="KMC16-TFNotes">
    <w:name w:val="KMC16 - TF Notes"/>
    <w:basedOn w:val="Normal"/>
    <w:qFormat/>
    <w:rsid w:val="0014512E"/>
    <w:pPr>
      <w:keepNext/>
      <w:widowControl/>
      <w:spacing w:before="45" w:after="240"/>
      <w:contextualSpacing/>
    </w:pPr>
    <w:rPr>
      <w:rFonts w:eastAsiaTheme="minorHAnsi" w:cstheme="minorBidi"/>
      <w:snapToGrid/>
      <w:color w:val="000000" w:themeColor="text1"/>
      <w:sz w:val="16"/>
    </w:rPr>
  </w:style>
  <w:style w:type="character" w:customStyle="1" w:styleId="KMC16-TextChar">
    <w:name w:val="KMC16 - Text Char"/>
    <w:basedOn w:val="DefaultParagraphFont"/>
    <w:link w:val="KMC16-Text"/>
    <w:rsid w:val="0014512E"/>
    <w:rPr>
      <w:rFonts w:ascii="Arial" w:eastAsiaTheme="minorHAnsi" w:hAnsi="Arial" w:cstheme="minorBidi"/>
      <w:color w:val="000000" w:themeColor="text1"/>
      <w:sz w:val="22"/>
      <w:szCs w:val="22"/>
      <w:lang w:eastAsia="en-US"/>
    </w:rPr>
  </w:style>
  <w:style w:type="paragraph" w:customStyle="1" w:styleId="KMC-TFNotes">
    <w:name w:val="KMC - TF Notes"/>
    <w:basedOn w:val="Normal"/>
    <w:link w:val="KMC-TFNotesChar"/>
    <w:qFormat/>
    <w:locked/>
    <w:rsid w:val="003E36AF"/>
    <w:pPr>
      <w:keepNext/>
      <w:widowControl/>
      <w:spacing w:before="45" w:after="240"/>
      <w:contextualSpacing/>
    </w:pPr>
    <w:rPr>
      <w:rFonts w:eastAsiaTheme="minorHAnsi" w:cstheme="minorBidi"/>
      <w:snapToGrid/>
      <w:color w:val="000000" w:themeColor="text1"/>
      <w:sz w:val="16"/>
    </w:rPr>
  </w:style>
  <w:style w:type="character" w:customStyle="1" w:styleId="KMC-TFNotesChar">
    <w:name w:val="KMC - TF Notes Char"/>
    <w:basedOn w:val="DefaultParagraphFont"/>
    <w:link w:val="KMC-TFNotes"/>
    <w:rsid w:val="003E36AF"/>
    <w:rPr>
      <w:rFonts w:ascii="Calibri" w:eastAsiaTheme="minorHAnsi" w:hAnsi="Calibri" w:cstheme="minorBidi"/>
      <w:color w:val="000000" w:themeColor="text1"/>
      <w:sz w:val="16"/>
      <w:szCs w:val="22"/>
      <w:lang w:eastAsia="en-US"/>
    </w:rPr>
  </w:style>
  <w:style w:type="character" w:customStyle="1" w:styleId="Heading1Char">
    <w:name w:val="Heading 1 Char"/>
    <w:aliases w:val="Heading 1.KMC16 - Heading 1 Char,KMC-Heading 1 Char,Outline1 Char,p1 Char,H1 Char,Titre 1 Car Car Char,Titre 1 Car Char"/>
    <w:basedOn w:val="DefaultParagraphFont"/>
    <w:link w:val="Heading1"/>
    <w:rsid w:val="00905D6A"/>
    <w:rPr>
      <w:rFonts w:ascii="Calibri" w:hAnsi="Calibri" w:cs="Arial"/>
      <w:b/>
      <w:snapToGrid w:val="0"/>
      <w:sz w:val="32"/>
      <w:szCs w:val="22"/>
      <w:lang w:eastAsia="en-US"/>
    </w:rPr>
  </w:style>
  <w:style w:type="character" w:customStyle="1" w:styleId="Heading3Char">
    <w:name w:val="Heading 3 Char"/>
    <w:aliases w:val="KMC - Heading 3 Char"/>
    <w:basedOn w:val="DefaultParagraphFont"/>
    <w:link w:val="Heading3"/>
    <w:uiPriority w:val="99"/>
    <w:rsid w:val="00BB68A2"/>
    <w:rPr>
      <w:rFonts w:ascii="Calibri" w:hAnsi="Calibri" w:cs="Arial"/>
      <w:snapToGrid w:val="0"/>
      <w:sz w:val="24"/>
      <w:szCs w:val="22"/>
      <w:u w:val="single"/>
      <w:lang w:eastAsia="en-US"/>
    </w:rPr>
  </w:style>
  <w:style w:type="character" w:customStyle="1" w:styleId="Heading4Char">
    <w:name w:val="Heading 4 Char"/>
    <w:aliases w:val="KMC -Heading 4 Char,KMC-Heading 4 Char,p4 Char"/>
    <w:basedOn w:val="DefaultParagraphFont"/>
    <w:link w:val="Heading4"/>
    <w:rsid w:val="00BB68A2"/>
    <w:rPr>
      <w:rFonts w:ascii="Calibri" w:hAnsi="Calibri" w:cs="Arial"/>
      <w:b/>
      <w:bCs/>
      <w:i/>
      <w:snapToGrid w:val="0"/>
      <w:sz w:val="26"/>
      <w:szCs w:val="28"/>
      <w:lang w:eastAsia="en-US"/>
    </w:rPr>
  </w:style>
  <w:style w:type="character" w:customStyle="1" w:styleId="Heading5Char">
    <w:name w:val="Heading 5 Char"/>
    <w:basedOn w:val="DefaultParagraphFont"/>
    <w:link w:val="Heading5"/>
    <w:uiPriority w:val="9"/>
    <w:rsid w:val="00BB68A2"/>
    <w:rPr>
      <w:rFonts w:ascii="Calibri" w:hAnsi="Calibri" w:cs="Arial"/>
      <w:b/>
      <w:bCs/>
      <w:iCs/>
      <w:snapToGrid w:val="0"/>
      <w:sz w:val="26"/>
      <w:szCs w:val="26"/>
      <w:lang w:eastAsia="en-US"/>
    </w:rPr>
  </w:style>
  <w:style w:type="character" w:customStyle="1" w:styleId="Heading6Char">
    <w:name w:val="Heading 6 Char"/>
    <w:basedOn w:val="DefaultParagraphFont"/>
    <w:link w:val="Heading6"/>
    <w:uiPriority w:val="9"/>
    <w:rsid w:val="00BB68A2"/>
    <w:rPr>
      <w:rFonts w:ascii="Calibri" w:hAnsi="Calibri" w:cs="Arial"/>
      <w:b/>
      <w:bCs/>
      <w:i/>
      <w:snapToGrid w:val="0"/>
      <w:sz w:val="24"/>
      <w:szCs w:val="22"/>
      <w:lang w:eastAsia="en-US"/>
    </w:rPr>
  </w:style>
  <w:style w:type="paragraph" w:customStyle="1" w:styleId="EndNoteBibliographyTitle">
    <w:name w:val="EndNote Bibliography Title"/>
    <w:basedOn w:val="Normal"/>
    <w:link w:val="EndNoteBibliographyTitleChar"/>
    <w:semiHidden/>
    <w:locked/>
    <w:rsid w:val="00BB68A2"/>
    <w:pPr>
      <w:widowControl/>
      <w:spacing w:line="259" w:lineRule="auto"/>
      <w:jc w:val="center"/>
    </w:pPr>
    <w:rPr>
      <w:rFonts w:ascii="Arial" w:eastAsiaTheme="minorHAnsi" w:hAnsi="Arial"/>
      <w:noProof/>
      <w:snapToGrid/>
      <w:sz w:val="22"/>
      <w:lang w:val="en-US"/>
    </w:rPr>
  </w:style>
  <w:style w:type="character" w:customStyle="1" w:styleId="EndNoteBibliographyTitleChar">
    <w:name w:val="EndNote Bibliography Title Char"/>
    <w:basedOn w:val="DefaultParagraphFont"/>
    <w:link w:val="EndNoteBibliographyTitle"/>
    <w:semiHidden/>
    <w:rsid w:val="00BB68A2"/>
    <w:rPr>
      <w:rFonts w:ascii="Arial" w:eastAsiaTheme="minorHAnsi" w:hAnsi="Arial" w:cs="Arial"/>
      <w:noProof/>
      <w:sz w:val="22"/>
      <w:szCs w:val="22"/>
      <w:lang w:val="en-US" w:eastAsia="en-US"/>
    </w:rPr>
  </w:style>
  <w:style w:type="paragraph" w:customStyle="1" w:styleId="EndNoteBibliography">
    <w:name w:val="EndNote Bibliography"/>
    <w:basedOn w:val="Normal"/>
    <w:link w:val="EndNoteBibliographyChar"/>
    <w:locked/>
    <w:rsid w:val="00BB68A2"/>
    <w:pPr>
      <w:widowControl/>
      <w:spacing w:after="160"/>
      <w:jc w:val="left"/>
    </w:pPr>
    <w:rPr>
      <w:rFonts w:ascii="Arial" w:eastAsiaTheme="minorHAnsi" w:hAnsi="Arial"/>
      <w:noProof/>
      <w:snapToGrid/>
      <w:sz w:val="22"/>
      <w:lang w:val="en-US"/>
    </w:rPr>
  </w:style>
  <w:style w:type="character" w:customStyle="1" w:styleId="EndNoteBibliographyChar">
    <w:name w:val="EndNote Bibliography Char"/>
    <w:basedOn w:val="DefaultParagraphFont"/>
    <w:link w:val="EndNoteBibliography"/>
    <w:rsid w:val="00BB68A2"/>
    <w:rPr>
      <w:rFonts w:ascii="Arial" w:eastAsiaTheme="minorHAnsi" w:hAnsi="Arial" w:cs="Arial"/>
      <w:noProof/>
      <w:sz w:val="22"/>
      <w:szCs w:val="22"/>
      <w:lang w:val="en-US" w:eastAsia="en-US"/>
    </w:rPr>
  </w:style>
  <w:style w:type="paragraph" w:styleId="TableofFigures">
    <w:name w:val="table of figures"/>
    <w:basedOn w:val="Normal"/>
    <w:next w:val="Normal"/>
    <w:uiPriority w:val="99"/>
    <w:unhideWhenUsed/>
    <w:rsid w:val="00BB68A2"/>
    <w:pPr>
      <w:widowControl/>
      <w:spacing w:line="259" w:lineRule="auto"/>
      <w:ind w:left="1021" w:hanging="1021"/>
      <w:jc w:val="left"/>
    </w:pPr>
    <w:rPr>
      <w:rFonts w:asciiTheme="minorHAnsi" w:eastAsiaTheme="minorHAnsi" w:hAnsiTheme="minorHAnsi" w:cstheme="minorBidi"/>
      <w:snapToGrid/>
      <w:sz w:val="22"/>
    </w:rPr>
  </w:style>
  <w:style w:type="paragraph" w:customStyle="1" w:styleId="KMC16-BulletLists">
    <w:name w:val="KMC16 - Bullet Lists"/>
    <w:basedOn w:val="Normal"/>
    <w:qFormat/>
    <w:rsid w:val="00BB68A2"/>
    <w:pPr>
      <w:widowControl/>
      <w:numPr>
        <w:numId w:val="8"/>
      </w:numPr>
      <w:spacing w:before="120" w:after="240" w:line="360" w:lineRule="auto"/>
      <w:contextualSpacing/>
    </w:pPr>
    <w:rPr>
      <w:rFonts w:ascii="Arial" w:eastAsiaTheme="minorHAnsi" w:hAnsi="Arial" w:cstheme="minorBidi"/>
      <w:snapToGrid/>
      <w:sz w:val="22"/>
    </w:rPr>
  </w:style>
  <w:style w:type="paragraph" w:customStyle="1" w:styleId="KMC16-Header">
    <w:name w:val="KMC16 - Header"/>
    <w:basedOn w:val="Normal"/>
    <w:qFormat/>
    <w:rsid w:val="00BB68A2"/>
    <w:pPr>
      <w:widowControl/>
      <w:pBdr>
        <w:bottom w:val="single" w:sz="4" w:space="1" w:color="auto"/>
      </w:pBdr>
      <w:tabs>
        <w:tab w:val="center" w:pos="4147"/>
        <w:tab w:val="right" w:pos="9000"/>
      </w:tabs>
      <w:jc w:val="left"/>
    </w:pPr>
    <w:rPr>
      <w:rFonts w:eastAsiaTheme="minorHAnsi" w:cstheme="minorBidi"/>
      <w:b/>
      <w:snapToGrid/>
      <w:color w:val="000000" w:themeColor="text1"/>
      <w:sz w:val="18"/>
    </w:rPr>
  </w:style>
  <w:style w:type="paragraph" w:customStyle="1" w:styleId="KMC16-Heading1">
    <w:name w:val="KMC16 - Heading 1"/>
    <w:basedOn w:val="Heading1"/>
    <w:rsid w:val="00BB68A2"/>
    <w:pPr>
      <w:keepNext/>
      <w:pageBreakBefore/>
      <w:spacing w:before="480" w:after="240"/>
      <w:ind w:left="432" w:hanging="432"/>
    </w:pPr>
    <w:rPr>
      <w:rFonts w:ascii="Arial Bold" w:eastAsiaTheme="majorEastAsia" w:hAnsi="Arial Bold" w:cstheme="majorBidi"/>
      <w:snapToGrid/>
      <w:color w:val="365F91" w:themeColor="accent1" w:themeShade="BF"/>
      <w:sz w:val="28"/>
      <w:szCs w:val="32"/>
    </w:rPr>
  </w:style>
  <w:style w:type="paragraph" w:customStyle="1" w:styleId="KMC16-Heading2">
    <w:name w:val="KMC16 - Heading 2"/>
    <w:basedOn w:val="Normal"/>
    <w:qFormat/>
    <w:rsid w:val="00905D6A"/>
    <w:pPr>
      <w:spacing w:before="240" w:line="276" w:lineRule="auto"/>
      <w:outlineLvl w:val="1"/>
    </w:pPr>
    <w:rPr>
      <w:rFonts w:asciiTheme="minorHAnsi" w:hAnsiTheme="minorHAnsi"/>
      <w:b/>
      <w:bCs/>
      <w:i/>
      <w:sz w:val="28"/>
      <w:szCs w:val="28"/>
    </w:rPr>
  </w:style>
  <w:style w:type="paragraph" w:customStyle="1" w:styleId="KMC16-Heading3">
    <w:name w:val="KMC16 - Heading 3"/>
    <w:basedOn w:val="Heading3"/>
    <w:qFormat/>
    <w:rsid w:val="00BB68A2"/>
    <w:pPr>
      <w:keepNext/>
      <w:widowControl/>
      <w:numPr>
        <w:ilvl w:val="2"/>
      </w:numPr>
      <w:spacing w:before="480" w:after="240"/>
      <w:ind w:left="720" w:hanging="720"/>
      <w:jc w:val="left"/>
    </w:pPr>
    <w:rPr>
      <w:rFonts w:ascii="Arial Bold" w:eastAsiaTheme="minorHAnsi" w:hAnsi="Arial Bold"/>
      <w:b/>
      <w:snapToGrid/>
      <w:color w:val="365F91" w:themeColor="accent1" w:themeShade="BF"/>
      <w:kern w:val="24"/>
      <w:sz w:val="20"/>
      <w:u w:val="none"/>
      <w:lang w:val="en-GB"/>
    </w:rPr>
  </w:style>
  <w:style w:type="paragraph" w:customStyle="1" w:styleId="KMC16-Heading4">
    <w:name w:val="KMC16 - Heading 4"/>
    <w:basedOn w:val="Heading4"/>
    <w:qFormat/>
    <w:rsid w:val="00BB68A2"/>
    <w:pPr>
      <w:keepLines/>
      <w:widowControl/>
      <w:numPr>
        <w:ilvl w:val="3"/>
      </w:numPr>
      <w:spacing w:before="120" w:after="120" w:line="276" w:lineRule="auto"/>
      <w:ind w:left="864" w:hanging="864"/>
      <w:jc w:val="left"/>
    </w:pPr>
    <w:rPr>
      <w:rFonts w:ascii="Arial" w:eastAsiaTheme="majorEastAsia" w:hAnsi="Arial"/>
      <w:i w:val="0"/>
      <w:iCs/>
      <w:snapToGrid/>
      <w:color w:val="4F81BD" w:themeColor="accent1"/>
      <w:kern w:val="24"/>
      <w:sz w:val="20"/>
      <w:szCs w:val="20"/>
      <w:lang w:val="en-GB"/>
    </w:rPr>
  </w:style>
  <w:style w:type="paragraph" w:customStyle="1" w:styleId="KMC16-Heading5">
    <w:name w:val="KMC16 - Heading 5"/>
    <w:basedOn w:val="Heading5"/>
    <w:qFormat/>
    <w:rsid w:val="00BB68A2"/>
    <w:pPr>
      <w:keepNext/>
      <w:keepLines/>
      <w:widowControl/>
      <w:numPr>
        <w:ilvl w:val="4"/>
      </w:numPr>
      <w:spacing w:before="200" w:after="0" w:line="360" w:lineRule="auto"/>
      <w:ind w:left="1009" w:hanging="1009"/>
      <w:jc w:val="left"/>
    </w:pPr>
    <w:rPr>
      <w:rFonts w:asciiTheme="majorHAnsi" w:eastAsiaTheme="majorEastAsia" w:hAnsiTheme="majorHAnsi" w:cstheme="majorBidi"/>
      <w:bCs w:val="0"/>
      <w:i/>
      <w:iCs w:val="0"/>
      <w:snapToGrid/>
      <w:color w:val="365F91" w:themeColor="accent1" w:themeShade="BF"/>
      <w:kern w:val="24"/>
      <w:sz w:val="24"/>
      <w:szCs w:val="24"/>
      <w:lang w:val="en-GB"/>
    </w:rPr>
  </w:style>
  <w:style w:type="paragraph" w:customStyle="1" w:styleId="KMC16-TFTitle">
    <w:name w:val="KMC16 - TF Title"/>
    <w:basedOn w:val="KMC16-Text"/>
    <w:qFormat/>
    <w:rsid w:val="00BB68A2"/>
    <w:pPr>
      <w:keepNext/>
      <w:spacing w:before="240" w:after="120" w:line="276" w:lineRule="auto"/>
      <w:ind w:left="1191" w:hanging="1191"/>
      <w:contextualSpacing/>
      <w:jc w:val="left"/>
    </w:pPr>
    <w:rPr>
      <w:b/>
      <w:sz w:val="20"/>
    </w:rPr>
  </w:style>
  <w:style w:type="paragraph" w:customStyle="1" w:styleId="KMC16-NumLists">
    <w:name w:val="KMC16 - Num Lists"/>
    <w:basedOn w:val="KMC16-TFNotes"/>
    <w:qFormat/>
    <w:rsid w:val="00BB68A2"/>
    <w:pPr>
      <w:keepNext w:val="0"/>
      <w:numPr>
        <w:numId w:val="4"/>
      </w:numPr>
      <w:spacing w:before="120" w:after="120" w:line="276" w:lineRule="auto"/>
    </w:pPr>
    <w:rPr>
      <w:rFonts w:ascii="Arial" w:hAnsi="Arial"/>
      <w:sz w:val="22"/>
    </w:rPr>
  </w:style>
  <w:style w:type="paragraph" w:customStyle="1" w:styleId="KMC16-Textunderline">
    <w:name w:val="KMC16 - Text underline"/>
    <w:basedOn w:val="KMC16-Text"/>
    <w:qFormat/>
    <w:rsid w:val="00BB68A2"/>
    <w:rPr>
      <w:u w:val="single"/>
    </w:rPr>
  </w:style>
  <w:style w:type="paragraph" w:customStyle="1" w:styleId="KMC16-TextItalics">
    <w:name w:val="KMC16 - Text Italics"/>
    <w:basedOn w:val="KMC16-Text"/>
    <w:qFormat/>
    <w:rsid w:val="00BB68A2"/>
    <w:rPr>
      <w:i/>
    </w:rPr>
  </w:style>
  <w:style w:type="paragraph" w:customStyle="1" w:styleId="KMC16-Textbold">
    <w:name w:val="KMC16 - Text bold"/>
    <w:basedOn w:val="KMC16-Text"/>
    <w:qFormat/>
    <w:rsid w:val="00BB68A2"/>
    <w:rPr>
      <w:b/>
    </w:rPr>
  </w:style>
  <w:style w:type="paragraph" w:customStyle="1" w:styleId="KMC16-CoverSheetTitle">
    <w:name w:val="KMC16 - Cover Sheet Title"/>
    <w:basedOn w:val="Title"/>
    <w:qFormat/>
    <w:rsid w:val="00BB68A2"/>
    <w:pPr>
      <w:widowControl/>
      <w:pBdr>
        <w:bottom w:val="single" w:sz="8" w:space="0" w:color="4F81BD" w:themeColor="accent1"/>
      </w:pBdr>
      <w:spacing w:before="0" w:after="300"/>
      <w:contextualSpacing/>
      <w:jc w:val="both"/>
      <w:outlineLvl w:val="9"/>
    </w:pPr>
    <w:rPr>
      <w:rFonts w:ascii="Arial Bold" w:eastAsiaTheme="majorEastAsia" w:hAnsi="Arial Bold"/>
      <w:bCs w:val="0"/>
      <w:snapToGrid/>
      <w:color w:val="17365D" w:themeColor="text2" w:themeShade="BF"/>
      <w:spacing w:val="5"/>
      <w:sz w:val="22"/>
      <w:szCs w:val="22"/>
      <w:lang w:eastAsia="en-AU"/>
    </w:rPr>
  </w:style>
  <w:style w:type="paragraph" w:customStyle="1" w:styleId="KMC16-Heading6">
    <w:name w:val="KMC16 - Heading 6"/>
    <w:basedOn w:val="Heading6"/>
    <w:qFormat/>
    <w:rsid w:val="00BB68A2"/>
    <w:pPr>
      <w:keepNext/>
      <w:keepLines/>
      <w:widowControl/>
      <w:numPr>
        <w:ilvl w:val="5"/>
      </w:numPr>
      <w:spacing w:before="200" w:after="0" w:line="360" w:lineRule="auto"/>
      <w:ind w:left="1152" w:hanging="1152"/>
      <w:jc w:val="left"/>
    </w:pPr>
    <w:rPr>
      <w:rFonts w:asciiTheme="majorHAnsi" w:eastAsiaTheme="majorEastAsia" w:hAnsiTheme="majorHAnsi" w:cstheme="majorBidi"/>
      <w:bCs w:val="0"/>
      <w:iCs/>
      <w:snapToGrid/>
      <w:color w:val="243F60" w:themeColor="accent1" w:themeShade="7F"/>
      <w:kern w:val="24"/>
      <w:sz w:val="20"/>
      <w:szCs w:val="20"/>
      <w:lang w:val="en-GB"/>
    </w:rPr>
  </w:style>
  <w:style w:type="paragraph" w:customStyle="1" w:styleId="KMC-BulletLists">
    <w:name w:val="KMC - Bullet Lists"/>
    <w:basedOn w:val="Normal"/>
    <w:semiHidden/>
    <w:qFormat/>
    <w:rsid w:val="00BB68A2"/>
    <w:pPr>
      <w:keepNext/>
      <w:widowControl/>
      <w:spacing w:before="120" w:after="120" w:line="276" w:lineRule="auto"/>
      <w:ind w:left="1077" w:hanging="360"/>
      <w:contextualSpacing/>
    </w:pPr>
    <w:rPr>
      <w:rFonts w:ascii="Arial" w:eastAsiaTheme="minorHAnsi" w:hAnsi="Arial" w:cstheme="minorBidi"/>
      <w:snapToGrid/>
      <w:color w:val="000000" w:themeColor="text1"/>
      <w:sz w:val="22"/>
    </w:rPr>
  </w:style>
  <w:style w:type="character" w:customStyle="1" w:styleId="Mention1">
    <w:name w:val="Mention1"/>
    <w:basedOn w:val="DefaultParagraphFont"/>
    <w:uiPriority w:val="99"/>
    <w:semiHidden/>
    <w:unhideWhenUsed/>
    <w:rsid w:val="00BB68A2"/>
    <w:rPr>
      <w:color w:val="2B579A"/>
      <w:shd w:val="clear" w:color="auto" w:fill="E6E6E6"/>
    </w:rPr>
  </w:style>
  <w:style w:type="paragraph" w:customStyle="1" w:styleId="footnote">
    <w:name w:val="footnote"/>
    <w:basedOn w:val="Normal"/>
    <w:link w:val="footnoteChar"/>
    <w:qFormat/>
    <w:rsid w:val="00BB68A2"/>
    <w:pPr>
      <w:widowControl/>
    </w:pPr>
    <w:rPr>
      <w:rFonts w:ascii="Arial Narrow" w:hAnsi="Arial Narrow" w:cs="Times New Roman"/>
      <w:snapToGrid/>
      <w:sz w:val="18"/>
      <w:szCs w:val="18"/>
      <w:lang w:eastAsia="en-AU"/>
    </w:rPr>
  </w:style>
  <w:style w:type="character" w:customStyle="1" w:styleId="footnoteChar">
    <w:name w:val="footnote Char"/>
    <w:basedOn w:val="DefaultParagraphFont"/>
    <w:link w:val="footnote"/>
    <w:rsid w:val="00BB68A2"/>
    <w:rPr>
      <w:rFonts w:ascii="Arial Narrow" w:hAnsi="Arial Narrow"/>
      <w:sz w:val="18"/>
      <w:szCs w:val="18"/>
    </w:rPr>
  </w:style>
  <w:style w:type="numbering" w:customStyle="1" w:styleId="BulletLORENZaB">
    <w:name w:val="Bullet LORENZ aB"/>
    <w:basedOn w:val="NoList"/>
    <w:rsid w:val="00BB68A2"/>
    <w:pPr>
      <w:numPr>
        <w:numId w:val="5"/>
      </w:numPr>
    </w:pPr>
  </w:style>
  <w:style w:type="character" w:customStyle="1" w:styleId="UnresolvedMention10">
    <w:name w:val="Unresolved Mention1"/>
    <w:basedOn w:val="DefaultParagraphFont"/>
    <w:uiPriority w:val="99"/>
    <w:semiHidden/>
    <w:unhideWhenUsed/>
    <w:rsid w:val="00BB68A2"/>
    <w:rPr>
      <w:color w:val="808080"/>
      <w:shd w:val="clear" w:color="auto" w:fill="E6E6E6"/>
    </w:rPr>
  </w:style>
  <w:style w:type="character" w:customStyle="1" w:styleId="UnresolvedMention2">
    <w:name w:val="Unresolved Mention2"/>
    <w:basedOn w:val="DefaultParagraphFont"/>
    <w:uiPriority w:val="99"/>
    <w:semiHidden/>
    <w:unhideWhenUsed/>
    <w:rsid w:val="00BB68A2"/>
    <w:rPr>
      <w:color w:val="808080"/>
      <w:shd w:val="clear" w:color="auto" w:fill="E6E6E6"/>
    </w:rPr>
  </w:style>
  <w:style w:type="character" w:customStyle="1" w:styleId="UnresolvedMention3">
    <w:name w:val="Unresolved Mention3"/>
    <w:basedOn w:val="DefaultParagraphFont"/>
    <w:uiPriority w:val="99"/>
    <w:semiHidden/>
    <w:unhideWhenUsed/>
    <w:rsid w:val="00BB68A2"/>
    <w:rPr>
      <w:color w:val="808080"/>
      <w:shd w:val="clear" w:color="auto" w:fill="E6E6E6"/>
    </w:rPr>
  </w:style>
  <w:style w:type="character" w:customStyle="1" w:styleId="UnresolvedMention4">
    <w:name w:val="Unresolved Mention4"/>
    <w:basedOn w:val="DefaultParagraphFont"/>
    <w:uiPriority w:val="99"/>
    <w:semiHidden/>
    <w:unhideWhenUsed/>
    <w:rsid w:val="00BB68A2"/>
    <w:rPr>
      <w:color w:val="808080"/>
      <w:shd w:val="clear" w:color="auto" w:fill="E6E6E6"/>
    </w:rPr>
  </w:style>
  <w:style w:type="paragraph" w:customStyle="1" w:styleId="Execsummnormal">
    <w:name w:val="Exec summ normal"/>
    <w:basedOn w:val="Normal"/>
    <w:link w:val="ExecsummnormalChar"/>
    <w:qFormat/>
    <w:rsid w:val="00BB68A2"/>
    <w:pPr>
      <w:widowControl/>
      <w:spacing w:after="40"/>
    </w:pPr>
    <w:rPr>
      <w:rFonts w:ascii="Arial Narrow" w:eastAsiaTheme="minorHAnsi" w:hAnsi="Arial Narrow" w:cstheme="minorBidi"/>
      <w:snapToGrid/>
      <w:sz w:val="22"/>
    </w:rPr>
  </w:style>
  <w:style w:type="character" w:customStyle="1" w:styleId="ExecsummnormalChar">
    <w:name w:val="Exec summ normal Char"/>
    <w:basedOn w:val="DefaultParagraphFont"/>
    <w:link w:val="Execsummnormal"/>
    <w:rsid w:val="00BB68A2"/>
    <w:rPr>
      <w:rFonts w:ascii="Arial Narrow" w:eastAsiaTheme="minorHAnsi" w:hAnsi="Arial Narrow" w:cstheme="minorBidi"/>
      <w:sz w:val="22"/>
      <w:szCs w:val="22"/>
      <w:lang w:eastAsia="en-US"/>
    </w:rPr>
  </w:style>
  <w:style w:type="paragraph" w:customStyle="1" w:styleId="KMC-Footer">
    <w:name w:val="KMC - Footer"/>
    <w:basedOn w:val="Normal"/>
    <w:semiHidden/>
    <w:qFormat/>
    <w:locked/>
    <w:rsid w:val="00BB68A2"/>
    <w:pPr>
      <w:widowControl/>
      <w:spacing w:before="120" w:after="120" w:line="276" w:lineRule="auto"/>
    </w:pPr>
    <w:rPr>
      <w:rFonts w:eastAsiaTheme="minorHAnsi" w:cstheme="minorBidi"/>
      <w:b/>
      <w:snapToGrid/>
      <w:color w:val="000000" w:themeColor="text1"/>
      <w:sz w:val="18"/>
    </w:rPr>
  </w:style>
  <w:style w:type="paragraph" w:customStyle="1" w:styleId="KMC-Footnotes">
    <w:name w:val="KMC - Footnotes"/>
    <w:basedOn w:val="KMC-BulletLists"/>
    <w:semiHidden/>
    <w:qFormat/>
    <w:locked/>
    <w:rsid w:val="00BB68A2"/>
  </w:style>
  <w:style w:type="paragraph" w:customStyle="1" w:styleId="KMC-Header">
    <w:name w:val="KMC - Header"/>
    <w:basedOn w:val="Normal"/>
    <w:semiHidden/>
    <w:qFormat/>
    <w:locked/>
    <w:rsid w:val="00BB68A2"/>
    <w:pPr>
      <w:widowControl/>
      <w:spacing w:before="120" w:after="120" w:line="276" w:lineRule="auto"/>
      <w:jc w:val="left"/>
    </w:pPr>
    <w:rPr>
      <w:rFonts w:eastAsiaTheme="minorHAnsi" w:cstheme="minorBidi"/>
      <w:b/>
      <w:snapToGrid/>
      <w:color w:val="000000" w:themeColor="text1"/>
      <w:sz w:val="18"/>
    </w:rPr>
  </w:style>
  <w:style w:type="paragraph" w:customStyle="1" w:styleId="KMC-NumLists">
    <w:name w:val="KMC - Num Lists"/>
    <w:basedOn w:val="Normal"/>
    <w:semiHidden/>
    <w:qFormat/>
    <w:locked/>
    <w:rsid w:val="00BB68A2"/>
    <w:pPr>
      <w:widowControl/>
      <w:spacing w:before="120" w:after="120" w:line="276" w:lineRule="auto"/>
      <w:ind w:left="777" w:hanging="357"/>
      <w:contextualSpacing/>
    </w:pPr>
    <w:rPr>
      <w:rFonts w:ascii="Arial" w:eastAsiaTheme="minorHAnsi" w:hAnsi="Arial" w:cstheme="minorBidi"/>
      <w:snapToGrid/>
      <w:color w:val="000000" w:themeColor="text1"/>
      <w:sz w:val="22"/>
    </w:rPr>
  </w:style>
  <w:style w:type="paragraph" w:customStyle="1" w:styleId="KMC-Text">
    <w:name w:val="KMC - Text"/>
    <w:basedOn w:val="Normal"/>
    <w:link w:val="KMC-TextChar"/>
    <w:semiHidden/>
    <w:qFormat/>
    <w:locked/>
    <w:rsid w:val="00BB68A2"/>
    <w:pPr>
      <w:widowControl/>
      <w:spacing w:before="120" w:after="240" w:line="360" w:lineRule="auto"/>
    </w:pPr>
    <w:rPr>
      <w:rFonts w:ascii="Arial" w:eastAsiaTheme="minorHAnsi" w:hAnsi="Arial" w:cstheme="minorBidi"/>
      <w:snapToGrid/>
      <w:color w:val="000000" w:themeColor="text1"/>
      <w:sz w:val="22"/>
    </w:rPr>
  </w:style>
  <w:style w:type="character" w:customStyle="1" w:styleId="KMC-TextChar">
    <w:name w:val="KMC - Text Char"/>
    <w:basedOn w:val="DefaultParagraphFont"/>
    <w:link w:val="KMC-Text"/>
    <w:semiHidden/>
    <w:rsid w:val="00BB68A2"/>
    <w:rPr>
      <w:rFonts w:ascii="Arial" w:eastAsiaTheme="minorHAnsi" w:hAnsi="Arial" w:cstheme="minorBidi"/>
      <w:color w:val="000000" w:themeColor="text1"/>
      <w:sz w:val="22"/>
      <w:szCs w:val="22"/>
      <w:lang w:eastAsia="en-US"/>
    </w:rPr>
  </w:style>
  <w:style w:type="paragraph" w:customStyle="1" w:styleId="KMC-TFTitle">
    <w:name w:val="KMC - TF Title"/>
    <w:basedOn w:val="KMC-Text"/>
    <w:semiHidden/>
    <w:qFormat/>
    <w:locked/>
    <w:rsid w:val="00BB68A2"/>
    <w:pPr>
      <w:keepNext/>
      <w:spacing w:before="240" w:after="120" w:line="276" w:lineRule="auto"/>
      <w:ind w:left="1191" w:hanging="1191"/>
      <w:contextualSpacing/>
      <w:jc w:val="left"/>
    </w:pPr>
    <w:rPr>
      <w:b/>
      <w:sz w:val="20"/>
    </w:rPr>
  </w:style>
  <w:style w:type="paragraph" w:customStyle="1" w:styleId="Bullet1">
    <w:name w:val="Bullet 1"/>
    <w:basedOn w:val="Normal"/>
    <w:link w:val="Bullet1Char"/>
    <w:semiHidden/>
    <w:qFormat/>
    <w:locked/>
    <w:rsid w:val="00BB68A2"/>
    <w:pPr>
      <w:widowControl/>
      <w:spacing w:after="120" w:line="360" w:lineRule="auto"/>
      <w:contextualSpacing/>
      <w:jc w:val="left"/>
    </w:pPr>
    <w:rPr>
      <w:rFonts w:ascii="Arial" w:eastAsiaTheme="minorEastAsia" w:hAnsi="Arial"/>
      <w:snapToGrid/>
      <w:sz w:val="22"/>
      <w:szCs w:val="24"/>
      <w:lang w:val="en-GB" w:eastAsia="en-GB"/>
    </w:rPr>
  </w:style>
  <w:style w:type="character" w:customStyle="1" w:styleId="Bullet1Char">
    <w:name w:val="Bullet 1 Char"/>
    <w:basedOn w:val="ListParagraphChar"/>
    <w:link w:val="Bullet1"/>
    <w:semiHidden/>
    <w:rsid w:val="00BB68A2"/>
    <w:rPr>
      <w:rFonts w:ascii="Arial" w:eastAsiaTheme="minorEastAsia" w:hAnsi="Arial" w:cs="Arial"/>
      <w:snapToGrid/>
      <w:sz w:val="22"/>
      <w:szCs w:val="24"/>
      <w:lang w:val="en-GB" w:eastAsia="en-GB"/>
    </w:rPr>
  </w:style>
  <w:style w:type="paragraph" w:customStyle="1" w:styleId="Keymessage">
    <w:name w:val="Key message"/>
    <w:basedOn w:val="Subtitle"/>
    <w:link w:val="KeymessageChar"/>
    <w:semiHidden/>
    <w:qFormat/>
    <w:locked/>
    <w:rsid w:val="00BB68A2"/>
    <w:pPr>
      <w:spacing w:before="120" w:after="120" w:line="360" w:lineRule="auto"/>
      <w:jc w:val="left"/>
    </w:pPr>
    <w:rPr>
      <w:rFonts w:ascii="Arial" w:eastAsiaTheme="minorEastAsia" w:hAnsi="Arial" w:cs="Arial"/>
      <w:b/>
      <w:i/>
      <w:color w:val="4F81BD" w:themeColor="accent1"/>
      <w:spacing w:val="15"/>
      <w:kern w:val="24"/>
      <w:lang w:val="en-GB"/>
    </w:rPr>
  </w:style>
  <w:style w:type="character" w:customStyle="1" w:styleId="KeymessageChar">
    <w:name w:val="Key message Char"/>
    <w:basedOn w:val="SubtitleChar"/>
    <w:link w:val="Keymessage"/>
    <w:semiHidden/>
    <w:rsid w:val="00BB68A2"/>
    <w:rPr>
      <w:rFonts w:ascii="Arial" w:eastAsiaTheme="minorEastAsia" w:hAnsi="Arial" w:cs="Arial"/>
      <w:b/>
      <w:i/>
      <w:color w:val="4F81BD" w:themeColor="accent1"/>
      <w:spacing w:val="15"/>
      <w:kern w:val="24"/>
      <w:szCs w:val="22"/>
      <w:lang w:val="en-GB" w:eastAsia="en-US"/>
    </w:rPr>
  </w:style>
  <w:style w:type="table" w:customStyle="1" w:styleId="KeyMDIevidence">
    <w:name w:val="Key MDI evidence"/>
    <w:basedOn w:val="TableNormal"/>
    <w:uiPriority w:val="99"/>
    <w:locked/>
    <w:rsid w:val="00BB68A2"/>
    <w:pPr>
      <w:numPr>
        <w:ilvl w:val="4"/>
        <w:numId w:val="18"/>
      </w:numPr>
      <w:tabs>
        <w:tab w:val="num" w:pos="1008"/>
      </w:tabs>
      <w:ind w:left="1008" w:hanging="1008"/>
    </w:pPr>
    <w:rPr>
      <w:rFonts w:asciiTheme="minorHAnsi" w:eastAsiaTheme="minorHAnsi" w:hAnsiTheme="minorHAnsi" w:cstheme="minorBidi"/>
      <w:sz w:val="22"/>
      <w:szCs w:val="22"/>
      <w:lang w:val="en-US"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cPr>
      <w:shd w:val="clear" w:color="auto" w:fill="DAEEF3" w:themeFill="accent5" w:themeFillTint="33"/>
      <w:tcMar>
        <w:top w:w="113" w:type="dxa"/>
        <w:bottom w:w="0" w:type="dxa"/>
      </w:tcMar>
    </w:tcPr>
  </w:style>
  <w:style w:type="paragraph" w:customStyle="1" w:styleId="Bullet2">
    <w:name w:val="Bullet 2"/>
    <w:basedOn w:val="ListParagraph"/>
    <w:link w:val="Bullet2Char"/>
    <w:locked/>
    <w:rsid w:val="00BB68A2"/>
    <w:pPr>
      <w:widowControl/>
      <w:spacing w:after="0" w:line="360" w:lineRule="auto"/>
      <w:ind w:left="0"/>
      <w:contextualSpacing/>
      <w:jc w:val="left"/>
    </w:pPr>
    <w:rPr>
      <w:rFonts w:ascii="Arial" w:eastAsiaTheme="minorEastAsia" w:hAnsi="Arial"/>
      <w:snapToGrid/>
      <w:sz w:val="22"/>
      <w:szCs w:val="24"/>
      <w:lang w:val="en-GB" w:eastAsia="en-GB"/>
    </w:rPr>
  </w:style>
  <w:style w:type="character" w:customStyle="1" w:styleId="Bullet2Char">
    <w:name w:val="Bullet 2 Char"/>
    <w:basedOn w:val="ListParagraphChar"/>
    <w:link w:val="Bullet2"/>
    <w:rsid w:val="00BB68A2"/>
    <w:rPr>
      <w:rFonts w:ascii="Arial" w:eastAsiaTheme="minorEastAsia" w:hAnsi="Arial" w:cs="Arial"/>
      <w:snapToGrid/>
      <w:sz w:val="22"/>
      <w:szCs w:val="24"/>
      <w:lang w:val="en-GB" w:eastAsia="en-GB"/>
    </w:rPr>
  </w:style>
  <w:style w:type="table" w:customStyle="1" w:styleId="T2DMinsulin">
    <w:name w:val="T2DM insulin"/>
    <w:basedOn w:val="TableNormal"/>
    <w:uiPriority w:val="99"/>
    <w:locked/>
    <w:rsid w:val="00BB68A2"/>
    <w:rPr>
      <w:rFonts w:asciiTheme="minorHAnsi" w:eastAsiaTheme="minorHAnsi" w:hAnsiTheme="minorHAnsi" w:cstheme="minorBidi"/>
      <w:sz w:val="22"/>
      <w:szCs w:val="22"/>
      <w:lang w:val="en-US"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cPr>
      <w:tcMar>
        <w:top w:w="113" w:type="dxa"/>
      </w:tcMar>
    </w:tcPr>
  </w:style>
  <w:style w:type="paragraph" w:customStyle="1" w:styleId="Footnote0">
    <w:name w:val="Footnote"/>
    <w:basedOn w:val="Normal"/>
    <w:link w:val="FootnoteChar0"/>
    <w:semiHidden/>
    <w:qFormat/>
    <w:locked/>
    <w:rsid w:val="00BB68A2"/>
    <w:pPr>
      <w:widowControl/>
      <w:jc w:val="left"/>
    </w:pPr>
    <w:rPr>
      <w:rFonts w:ascii="Arial" w:eastAsiaTheme="minorHAnsi" w:hAnsi="Arial"/>
      <w:snapToGrid/>
      <w:color w:val="000000" w:themeColor="text1"/>
      <w:kern w:val="24"/>
      <w:sz w:val="18"/>
      <w:szCs w:val="20"/>
      <w:lang w:val="en-GB"/>
    </w:rPr>
  </w:style>
  <w:style w:type="character" w:customStyle="1" w:styleId="FootnoteChar0">
    <w:name w:val="Footnote Char"/>
    <w:basedOn w:val="DefaultParagraphFont"/>
    <w:link w:val="Footnote0"/>
    <w:semiHidden/>
    <w:rsid w:val="00BB68A2"/>
    <w:rPr>
      <w:rFonts w:ascii="Arial" w:eastAsiaTheme="minorHAnsi" w:hAnsi="Arial" w:cs="Arial"/>
      <w:color w:val="000000" w:themeColor="text1"/>
      <w:kern w:val="24"/>
      <w:sz w:val="18"/>
      <w:lang w:val="en-GB" w:eastAsia="en-US"/>
    </w:rPr>
  </w:style>
  <w:style w:type="table" w:styleId="LightList-Accent6">
    <w:name w:val="Light List Accent 6"/>
    <w:basedOn w:val="TableNormal"/>
    <w:uiPriority w:val="61"/>
    <w:rsid w:val="00BB68A2"/>
    <w:rPr>
      <w:rFonts w:ascii="Arial" w:eastAsiaTheme="minorHAnsi" w:hAnsi="Arial"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rFonts w:ascii="Arial" w:hAnsi="Arial"/>
        <w:b/>
        <w:bCs/>
        <w:color w:val="FFFFFF" w:themeColor="background1"/>
        <w:sz w:val="22"/>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ascii="Arial" w:hAnsi="Arial"/>
        <w:b w:val="0"/>
        <w:bCs/>
        <w:sz w:val="22"/>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ableGridLight1">
    <w:name w:val="Table Grid Light1"/>
    <w:basedOn w:val="TableNormal"/>
    <w:uiPriority w:val="40"/>
    <w:locked/>
    <w:rsid w:val="00BB68A2"/>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List-Accent64">
    <w:name w:val="Light List - Accent 64"/>
    <w:basedOn w:val="TableNormal"/>
    <w:next w:val="LightList-Accent6"/>
    <w:uiPriority w:val="61"/>
    <w:locked/>
    <w:rsid w:val="00BB68A2"/>
    <w:rPr>
      <w:rFonts w:ascii="Arial" w:eastAsiaTheme="minorHAnsi" w:hAnsi="Arial" w:cstheme="minorBidi"/>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rFonts w:ascii="Arial" w:hAnsi="Arial"/>
        <w:b/>
        <w:bCs/>
        <w:color w:val="FFFFFF"/>
        <w:sz w:val="22"/>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ascii="Arial" w:hAnsi="Arial"/>
        <w:b w:val="0"/>
        <w:bCs/>
        <w:sz w:val="22"/>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Keyvaluemessage">
    <w:name w:val="Key value message"/>
    <w:basedOn w:val="Normal"/>
    <w:link w:val="KeyvaluemessageChar"/>
    <w:semiHidden/>
    <w:locked/>
    <w:rsid w:val="00BB68A2"/>
    <w:pPr>
      <w:keepNext/>
      <w:widowControl/>
      <w:spacing w:line="360" w:lineRule="auto"/>
      <w:jc w:val="left"/>
    </w:pPr>
    <w:rPr>
      <w:rFonts w:ascii="Arial" w:hAnsi="Arial" w:cs="Times New Roman"/>
      <w:b/>
      <w:i/>
      <w:snapToGrid/>
      <w:color w:val="4F81BD" w:themeColor="accent1"/>
      <w:sz w:val="20"/>
      <w:szCs w:val="20"/>
      <w:lang w:val="en-GB"/>
    </w:rPr>
  </w:style>
  <w:style w:type="character" w:customStyle="1" w:styleId="KeyvaluemessageChar">
    <w:name w:val="Key value message Char"/>
    <w:basedOn w:val="DefaultParagraphFont"/>
    <w:link w:val="Keyvaluemessage"/>
    <w:semiHidden/>
    <w:rsid w:val="00BB68A2"/>
    <w:rPr>
      <w:rFonts w:ascii="Arial" w:hAnsi="Arial"/>
      <w:b/>
      <w:i/>
      <w:color w:val="4F81BD" w:themeColor="accent1"/>
      <w:lang w:val="en-GB" w:eastAsia="en-US"/>
    </w:rPr>
  </w:style>
  <w:style w:type="table" w:customStyle="1" w:styleId="TableGrid1">
    <w:name w:val="Table Grid1"/>
    <w:basedOn w:val="TableNormal"/>
    <w:next w:val="TableGrid"/>
    <w:uiPriority w:val="39"/>
    <w:locked/>
    <w:rsid w:val="00BB68A2"/>
    <w:pPr>
      <w:keepNex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customStyle="1" w:styleId="KMC-caption">
    <w:name w:val="KMC-caption"/>
    <w:basedOn w:val="Normal"/>
    <w:semiHidden/>
    <w:locked/>
    <w:rsid w:val="00BB68A2"/>
    <w:pPr>
      <w:keepNext/>
      <w:widowControl/>
      <w:spacing w:before="240" w:after="120" w:line="276" w:lineRule="auto"/>
      <w:ind w:left="1191" w:hanging="1191"/>
      <w:contextualSpacing/>
      <w:jc w:val="left"/>
    </w:pPr>
    <w:rPr>
      <w:rFonts w:ascii="Arial" w:hAnsi="Arial" w:cs="Times New Roman"/>
      <w:b/>
      <w:snapToGrid/>
      <w:color w:val="000000"/>
      <w:sz w:val="20"/>
      <w:szCs w:val="20"/>
      <w:lang w:eastAsia="en-AU"/>
    </w:rPr>
  </w:style>
  <w:style w:type="paragraph" w:customStyle="1" w:styleId="KMC-H4">
    <w:name w:val="KMC - H4"/>
    <w:basedOn w:val="Heading3"/>
    <w:semiHidden/>
    <w:qFormat/>
    <w:locked/>
    <w:rsid w:val="00BB68A2"/>
    <w:pPr>
      <w:widowControl/>
      <w:numPr>
        <w:ilvl w:val="2"/>
      </w:numPr>
      <w:spacing w:before="480" w:after="240"/>
      <w:ind w:left="720" w:hanging="720"/>
      <w:jc w:val="left"/>
    </w:pPr>
    <w:rPr>
      <w:rFonts w:ascii="Arial Bold" w:eastAsiaTheme="minorHAnsi" w:hAnsi="Arial Bold"/>
      <w:b/>
      <w:caps/>
      <w:snapToGrid/>
      <w:kern w:val="24"/>
      <w:sz w:val="22"/>
      <w:u w:val="none"/>
      <w:lang w:val="en-GB"/>
    </w:rPr>
  </w:style>
  <w:style w:type="paragraph" w:customStyle="1" w:styleId="KMC-H5">
    <w:name w:val="KMC - H5"/>
    <w:basedOn w:val="KMC-H4"/>
    <w:semiHidden/>
    <w:qFormat/>
    <w:locked/>
    <w:rsid w:val="00BB68A2"/>
    <w:pPr>
      <w:numPr>
        <w:ilvl w:val="0"/>
      </w:numPr>
      <w:ind w:left="864" w:hanging="864"/>
    </w:pPr>
    <w:rPr>
      <w:i/>
      <w:sz w:val="20"/>
    </w:rPr>
  </w:style>
  <w:style w:type="paragraph" w:styleId="ListBullet">
    <w:name w:val="List Bullet"/>
    <w:basedOn w:val="Normal"/>
    <w:semiHidden/>
    <w:rsid w:val="00BB68A2"/>
    <w:pPr>
      <w:widowControl/>
      <w:numPr>
        <w:numId w:val="6"/>
      </w:numPr>
      <w:spacing w:before="120" w:after="240" w:line="360" w:lineRule="auto"/>
      <w:contextualSpacing/>
    </w:pPr>
    <w:rPr>
      <w:rFonts w:ascii="Arial" w:hAnsi="Arial" w:cs="Times New Roman"/>
      <w:snapToGrid/>
      <w:color w:val="000000"/>
      <w:sz w:val="22"/>
      <w:szCs w:val="20"/>
      <w:lang w:eastAsia="en-AU"/>
    </w:rPr>
  </w:style>
  <w:style w:type="paragraph" w:customStyle="1" w:styleId="KMC-Caption0">
    <w:name w:val="KMC - Caption"/>
    <w:basedOn w:val="Normal"/>
    <w:semiHidden/>
    <w:qFormat/>
    <w:locked/>
    <w:rsid w:val="00BB68A2"/>
    <w:pPr>
      <w:keepNext/>
      <w:widowControl/>
      <w:tabs>
        <w:tab w:val="left" w:pos="284"/>
      </w:tabs>
      <w:spacing w:before="240" w:after="80"/>
      <w:ind w:left="1134" w:hanging="1134"/>
      <w:contextualSpacing/>
      <w:jc w:val="left"/>
    </w:pPr>
    <w:rPr>
      <w:rFonts w:ascii="Arial" w:hAnsi="Arial" w:cs="Times New Roman"/>
      <w:b/>
      <w:snapToGrid/>
      <w:color w:val="000000"/>
      <w:sz w:val="20"/>
      <w:szCs w:val="20"/>
      <w:lang w:eastAsia="en-AU"/>
    </w:rPr>
  </w:style>
  <w:style w:type="paragraph" w:customStyle="1" w:styleId="KMC-text0">
    <w:name w:val="KMC- text"/>
    <w:basedOn w:val="Normal"/>
    <w:link w:val="KMC-textChar0"/>
    <w:semiHidden/>
    <w:qFormat/>
    <w:locked/>
    <w:rsid w:val="00BB68A2"/>
    <w:pPr>
      <w:spacing w:before="120" w:after="240" w:line="360" w:lineRule="auto"/>
    </w:pPr>
    <w:rPr>
      <w:rFonts w:ascii="Arial" w:hAnsi="Arial" w:cs="Times New Roman"/>
      <w:snapToGrid/>
      <w:color w:val="000000"/>
      <w:sz w:val="22"/>
      <w:szCs w:val="24"/>
      <w:lang w:val="en-GB"/>
    </w:rPr>
  </w:style>
  <w:style w:type="character" w:customStyle="1" w:styleId="KMC-textChar0">
    <w:name w:val="KMC- text Char"/>
    <w:basedOn w:val="DefaultParagraphFont"/>
    <w:link w:val="KMC-text0"/>
    <w:semiHidden/>
    <w:rsid w:val="00BB68A2"/>
    <w:rPr>
      <w:rFonts w:ascii="Arial" w:hAnsi="Arial"/>
      <w:color w:val="000000"/>
      <w:sz w:val="22"/>
      <w:szCs w:val="24"/>
      <w:lang w:val="en-GB" w:eastAsia="en-US"/>
    </w:rPr>
  </w:style>
  <w:style w:type="paragraph" w:customStyle="1" w:styleId="Tablebps">
    <w:name w:val="Table bps"/>
    <w:basedOn w:val="Bullet1"/>
    <w:semiHidden/>
    <w:locked/>
    <w:rsid w:val="00BB68A2"/>
    <w:pPr>
      <w:numPr>
        <w:numId w:val="7"/>
      </w:numPr>
      <w:spacing w:after="0" w:line="276" w:lineRule="auto"/>
      <w:ind w:left="1077"/>
    </w:pPr>
    <w:rPr>
      <w:color w:val="000000"/>
      <w:sz w:val="18"/>
      <w:szCs w:val="19"/>
    </w:rPr>
  </w:style>
  <w:style w:type="paragraph" w:customStyle="1" w:styleId="TableNotes">
    <w:name w:val="Table Notes"/>
    <w:basedOn w:val="Normal"/>
    <w:link w:val="TableNotesChar"/>
    <w:semiHidden/>
    <w:locked/>
    <w:rsid w:val="00BB68A2"/>
    <w:pPr>
      <w:widowControl/>
      <w:spacing w:before="120" w:after="120" w:line="360" w:lineRule="auto"/>
    </w:pPr>
    <w:rPr>
      <w:rFonts w:ascii="Arial" w:hAnsi="Arial" w:cs="Times New Roman"/>
      <w:i/>
      <w:snapToGrid/>
      <w:color w:val="000000"/>
      <w:sz w:val="18"/>
      <w:szCs w:val="20"/>
      <w:lang w:eastAsia="en-AU"/>
    </w:rPr>
  </w:style>
  <w:style w:type="character" w:customStyle="1" w:styleId="TableNotesChar">
    <w:name w:val="Table Notes Char"/>
    <w:basedOn w:val="DefaultParagraphFont"/>
    <w:link w:val="TableNotes"/>
    <w:semiHidden/>
    <w:rsid w:val="00BB68A2"/>
    <w:rPr>
      <w:rFonts w:ascii="Arial" w:hAnsi="Arial"/>
      <w:i/>
      <w:color w:val="000000"/>
      <w:sz w:val="18"/>
    </w:rPr>
  </w:style>
  <w:style w:type="paragraph" w:customStyle="1" w:styleId="KMC-Tabletext">
    <w:name w:val="KMC-Table text"/>
    <w:basedOn w:val="Normal"/>
    <w:semiHidden/>
    <w:qFormat/>
    <w:locked/>
    <w:rsid w:val="00BB68A2"/>
    <w:pPr>
      <w:widowControl/>
      <w:spacing w:before="40" w:after="40"/>
      <w:jc w:val="left"/>
    </w:pPr>
    <w:rPr>
      <w:rFonts w:ascii="Arial Narrow" w:hAnsi="Arial Narrow"/>
      <w:bCs/>
      <w:snapToGrid/>
      <w:sz w:val="22"/>
      <w:szCs w:val="20"/>
      <w:lang w:eastAsia="en-AU"/>
    </w:rPr>
  </w:style>
  <w:style w:type="table" w:customStyle="1" w:styleId="LightList-Accent67">
    <w:name w:val="Light List - Accent 67"/>
    <w:basedOn w:val="TableNormal"/>
    <w:next w:val="LightList-Accent6"/>
    <w:uiPriority w:val="61"/>
    <w:locked/>
    <w:rsid w:val="00BB68A2"/>
    <w:rPr>
      <w:rFonts w:ascii="Arial" w:eastAsiaTheme="minorHAnsi" w:hAnsi="Arial" w:cstheme="minorBidi"/>
      <w:sz w:val="22"/>
      <w:szCs w:val="22"/>
      <w:lang w:val="en-US" w:eastAsia="en-US"/>
    </w:rPr>
    <w:tblPr>
      <w:tblStyleRowBandSize w:val="1"/>
      <w:tblStyleColBandSize w:val="1"/>
      <w:tblBorders>
        <w:top w:val="single" w:sz="8" w:space="0" w:color="F5842E"/>
        <w:left w:val="single" w:sz="8" w:space="0" w:color="F5842E"/>
        <w:bottom w:val="single" w:sz="8" w:space="0" w:color="F5842E"/>
        <w:right w:val="single" w:sz="8" w:space="0" w:color="F5842E"/>
      </w:tblBorders>
    </w:tblPr>
    <w:tblStylePr w:type="firstRow">
      <w:pPr>
        <w:spacing w:before="0" w:after="0" w:line="240" w:lineRule="auto"/>
      </w:pPr>
      <w:rPr>
        <w:rFonts w:ascii="Arial" w:hAnsi="Arial"/>
        <w:b/>
        <w:bCs/>
        <w:color w:val="FFFFFF"/>
        <w:sz w:val="22"/>
      </w:rPr>
      <w:tblPr/>
      <w:tcPr>
        <w:shd w:val="clear" w:color="auto" w:fill="F5842E"/>
      </w:tcPr>
    </w:tblStylePr>
    <w:tblStylePr w:type="lastRow">
      <w:pPr>
        <w:spacing w:before="0" w:after="0" w:line="240" w:lineRule="auto"/>
      </w:pPr>
      <w:rPr>
        <w:b/>
        <w:bCs/>
      </w:rPr>
      <w:tblPr/>
      <w:tcPr>
        <w:tcBorders>
          <w:top w:val="double" w:sz="6" w:space="0" w:color="F5842E"/>
          <w:left w:val="single" w:sz="8" w:space="0" w:color="F5842E"/>
          <w:bottom w:val="single" w:sz="8" w:space="0" w:color="F5842E"/>
          <w:right w:val="single" w:sz="8" w:space="0" w:color="F5842E"/>
        </w:tcBorders>
      </w:tcPr>
    </w:tblStylePr>
    <w:tblStylePr w:type="firstCol">
      <w:rPr>
        <w:rFonts w:ascii="Arial" w:hAnsi="Arial"/>
        <w:b w:val="0"/>
        <w:bCs/>
        <w:sz w:val="22"/>
      </w:rPr>
    </w:tblStylePr>
    <w:tblStylePr w:type="lastCol">
      <w:rPr>
        <w:b/>
        <w:bCs/>
      </w:rPr>
    </w:tblStylePr>
    <w:tblStylePr w:type="band1Vert">
      <w:tblPr/>
      <w:tcPr>
        <w:tcBorders>
          <w:top w:val="single" w:sz="8" w:space="0" w:color="F5842E"/>
          <w:left w:val="single" w:sz="8" w:space="0" w:color="F5842E"/>
          <w:bottom w:val="single" w:sz="8" w:space="0" w:color="F5842E"/>
          <w:right w:val="single" w:sz="8" w:space="0" w:color="F5842E"/>
        </w:tcBorders>
      </w:tcPr>
    </w:tblStylePr>
    <w:tblStylePr w:type="band1Horz">
      <w:tblPr/>
      <w:tcPr>
        <w:tcBorders>
          <w:top w:val="single" w:sz="8" w:space="0" w:color="F5842E"/>
          <w:left w:val="single" w:sz="8" w:space="0" w:color="F5842E"/>
          <w:bottom w:val="single" w:sz="8" w:space="0" w:color="F5842E"/>
          <w:right w:val="single" w:sz="8" w:space="0" w:color="F5842E"/>
        </w:tcBorders>
      </w:tcPr>
    </w:tblStylePr>
  </w:style>
  <w:style w:type="character" w:customStyle="1" w:styleId="cit-reflinks-abstract">
    <w:name w:val="cit-reflinks-abstract"/>
    <w:basedOn w:val="DefaultParagraphFont"/>
    <w:semiHidden/>
    <w:locked/>
    <w:rsid w:val="00BB68A2"/>
  </w:style>
  <w:style w:type="paragraph" w:styleId="ListBullet2">
    <w:name w:val="List Bullet 2"/>
    <w:basedOn w:val="Normal"/>
    <w:uiPriority w:val="99"/>
    <w:semiHidden/>
    <w:unhideWhenUsed/>
    <w:rsid w:val="00BB68A2"/>
    <w:pPr>
      <w:widowControl/>
      <w:tabs>
        <w:tab w:val="num" w:pos="360"/>
      </w:tabs>
      <w:spacing w:after="160" w:line="259" w:lineRule="auto"/>
      <w:ind w:left="360" w:hanging="360"/>
      <w:contextualSpacing/>
      <w:jc w:val="left"/>
    </w:pPr>
    <w:rPr>
      <w:rFonts w:asciiTheme="minorHAnsi" w:eastAsiaTheme="minorHAnsi" w:hAnsiTheme="minorHAnsi" w:cstheme="minorBidi"/>
      <w:snapToGrid/>
      <w:sz w:val="22"/>
    </w:rPr>
  </w:style>
  <w:style w:type="character" w:styleId="PlaceholderText">
    <w:name w:val="Placeholder Text"/>
    <w:basedOn w:val="DefaultParagraphFont"/>
    <w:uiPriority w:val="99"/>
    <w:semiHidden/>
    <w:rsid w:val="00BB68A2"/>
    <w:rPr>
      <w:color w:val="808080"/>
    </w:rPr>
  </w:style>
  <w:style w:type="table" w:customStyle="1" w:styleId="LightShading1">
    <w:name w:val="Light Shading1"/>
    <w:basedOn w:val="TableNormal"/>
    <w:uiPriority w:val="60"/>
    <w:rsid w:val="00BB68A2"/>
    <w:rPr>
      <w:rFonts w:ascii="Arial" w:eastAsiaTheme="minorHAnsi" w:hAnsi="Arial" w:cs="Arial"/>
      <w:color w:val="000000" w:themeColor="text1" w:themeShade="BF"/>
      <w:sz w:val="16"/>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OC1Char">
    <w:name w:val="TOC 1 Char"/>
    <w:aliases w:val="KMC16 - TOC 1 Char"/>
    <w:basedOn w:val="DefaultParagraphFont"/>
    <w:link w:val="TOC1"/>
    <w:uiPriority w:val="39"/>
    <w:rsid w:val="00BB68A2"/>
    <w:rPr>
      <w:rFonts w:ascii="Calibri" w:hAnsi="Calibri" w:cs="Arial"/>
      <w:bCs/>
      <w:snapToGrid w:val="0"/>
      <w:szCs w:val="22"/>
      <w:lang w:eastAsia="en-US"/>
    </w:rPr>
  </w:style>
  <w:style w:type="paragraph" w:customStyle="1" w:styleId="KMC16-TOC">
    <w:name w:val="KMC16 - TOC"/>
    <w:basedOn w:val="TOC1"/>
    <w:link w:val="KMC16-TOCChar"/>
    <w:rsid w:val="00BB68A2"/>
    <w:pPr>
      <w:widowControl/>
      <w:tabs>
        <w:tab w:val="left" w:pos="440"/>
        <w:tab w:val="right" w:leader="dot" w:pos="9016"/>
        <w:tab w:val="right" w:leader="dot" w:pos="10338"/>
      </w:tabs>
      <w:spacing w:before="0" w:after="100" w:line="259" w:lineRule="auto"/>
    </w:pPr>
    <w:rPr>
      <w:rFonts w:asciiTheme="minorHAnsi" w:eastAsiaTheme="minorHAnsi" w:hAnsiTheme="minorHAnsi" w:cstheme="minorBidi"/>
      <w:bCs w:val="0"/>
      <w:noProof/>
      <w:snapToGrid/>
      <w:sz w:val="22"/>
    </w:rPr>
  </w:style>
  <w:style w:type="character" w:customStyle="1" w:styleId="KMC16-TOCChar">
    <w:name w:val="KMC16 - TOC Char"/>
    <w:basedOn w:val="TOC1Char"/>
    <w:link w:val="KMC16-TOC"/>
    <w:rsid w:val="00BB68A2"/>
    <w:rPr>
      <w:rFonts w:asciiTheme="minorHAnsi" w:eastAsiaTheme="minorHAnsi" w:hAnsiTheme="minorHAnsi" w:cstheme="minorBidi"/>
      <w:bCs w:val="0"/>
      <w:noProof/>
      <w:snapToGrid/>
      <w:sz w:val="22"/>
      <w:szCs w:val="22"/>
      <w:lang w:eastAsia="en-US"/>
    </w:rPr>
  </w:style>
  <w:style w:type="paragraph" w:styleId="DocumentMap">
    <w:name w:val="Document Map"/>
    <w:basedOn w:val="Normal"/>
    <w:link w:val="DocumentMapChar"/>
    <w:uiPriority w:val="99"/>
    <w:semiHidden/>
    <w:unhideWhenUsed/>
    <w:rsid w:val="00BB68A2"/>
    <w:pPr>
      <w:widowControl/>
      <w:jc w:val="left"/>
    </w:pPr>
    <w:rPr>
      <w:rFonts w:ascii="Times New Roman" w:eastAsiaTheme="minorHAnsi" w:hAnsi="Times New Roman" w:cs="Times New Roman"/>
      <w:snapToGrid/>
      <w:szCs w:val="24"/>
    </w:rPr>
  </w:style>
  <w:style w:type="character" w:customStyle="1" w:styleId="DocumentMapChar">
    <w:name w:val="Document Map Char"/>
    <w:basedOn w:val="DefaultParagraphFont"/>
    <w:link w:val="DocumentMap"/>
    <w:uiPriority w:val="99"/>
    <w:semiHidden/>
    <w:rsid w:val="00BB68A2"/>
    <w:rPr>
      <w:rFonts w:eastAsiaTheme="minorHAnsi"/>
      <w:sz w:val="24"/>
      <w:szCs w:val="24"/>
      <w:lang w:eastAsia="en-US"/>
    </w:rPr>
  </w:style>
  <w:style w:type="character" w:customStyle="1" w:styleId="UnresolvedMention5">
    <w:name w:val="Unresolved Mention5"/>
    <w:basedOn w:val="DefaultParagraphFont"/>
    <w:uiPriority w:val="99"/>
    <w:unhideWhenUsed/>
    <w:locked/>
    <w:rsid w:val="00BB68A2"/>
    <w:rPr>
      <w:color w:val="808080"/>
      <w:shd w:val="clear" w:color="auto" w:fill="E6E6E6"/>
    </w:rPr>
  </w:style>
  <w:style w:type="paragraph" w:customStyle="1" w:styleId="Text">
    <w:name w:val="Text"/>
    <w:aliases w:val="Graphic,Italic"/>
    <w:basedOn w:val="Normal"/>
    <w:link w:val="TextChar"/>
    <w:qFormat/>
    <w:rsid w:val="00BB68A2"/>
    <w:pPr>
      <w:widowControl/>
      <w:suppressAutoHyphens/>
      <w:spacing w:before="60" w:after="60"/>
      <w:ind w:left="936"/>
    </w:pPr>
    <w:rPr>
      <w:rFonts w:ascii="Times New Roman" w:hAnsi="Times New Roman" w:cs="Times New Roman"/>
      <w:snapToGrid/>
      <w:szCs w:val="20"/>
      <w:lang w:val="en-GB" w:eastAsia="fr-FR"/>
    </w:rPr>
  </w:style>
  <w:style w:type="character" w:customStyle="1" w:styleId="TextChar">
    <w:name w:val="Text Char"/>
    <w:aliases w:val="Body Text Char Char Char Char Char Char3"/>
    <w:link w:val="Text"/>
    <w:rsid w:val="00BB68A2"/>
    <w:rPr>
      <w:sz w:val="24"/>
      <w:lang w:val="en-GB" w:eastAsia="fr-FR"/>
    </w:rPr>
  </w:style>
  <w:style w:type="paragraph" w:styleId="FootnoteText">
    <w:name w:val="footnote text"/>
    <w:basedOn w:val="Normal"/>
    <w:link w:val="FootnoteTextChar"/>
    <w:uiPriority w:val="99"/>
    <w:semiHidden/>
    <w:unhideWhenUsed/>
    <w:rsid w:val="00BB68A2"/>
    <w:pPr>
      <w:widowControl/>
      <w:jc w:val="left"/>
    </w:pPr>
    <w:rPr>
      <w:rFonts w:asciiTheme="minorHAnsi" w:eastAsiaTheme="minorHAnsi" w:hAnsiTheme="minorHAnsi" w:cstheme="minorBidi"/>
      <w:snapToGrid/>
      <w:sz w:val="20"/>
      <w:szCs w:val="20"/>
    </w:rPr>
  </w:style>
  <w:style w:type="character" w:customStyle="1" w:styleId="FootnoteTextChar">
    <w:name w:val="Footnote Text Char"/>
    <w:basedOn w:val="DefaultParagraphFont"/>
    <w:link w:val="FootnoteText"/>
    <w:uiPriority w:val="99"/>
    <w:semiHidden/>
    <w:rsid w:val="00BB68A2"/>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8A2"/>
    <w:rPr>
      <w:vertAlign w:val="superscript"/>
    </w:rPr>
  </w:style>
  <w:style w:type="character" w:customStyle="1" w:styleId="NoSpacingChar">
    <w:name w:val="No Spacing Char"/>
    <w:basedOn w:val="DefaultParagraphFont"/>
    <w:link w:val="NoSpacing"/>
    <w:uiPriority w:val="1"/>
    <w:rsid w:val="00BB68A2"/>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06EDA"/>
    <w:pPr>
      <w:widowControl/>
      <w:spacing w:after="160" w:line="240" w:lineRule="exact"/>
      <w:jc w:val="left"/>
    </w:pPr>
    <w:rPr>
      <w:rFonts w:ascii="Verdana" w:eastAsia="MS Mincho" w:hAnsi="Verdana" w:cs="Verdana"/>
      <w:snapToGrid/>
      <w:sz w:val="20"/>
      <w:szCs w:val="20"/>
      <w:lang w:val="en-US"/>
    </w:rPr>
  </w:style>
  <w:style w:type="paragraph" w:styleId="EndnoteText">
    <w:name w:val="endnote text"/>
    <w:basedOn w:val="Normal"/>
    <w:link w:val="EndnoteTextChar"/>
    <w:uiPriority w:val="99"/>
    <w:unhideWhenUsed/>
    <w:rsid w:val="00FA0516"/>
    <w:pPr>
      <w:widowControl/>
      <w:ind w:left="-450" w:right="-154"/>
    </w:pPr>
    <w:rPr>
      <w:rFonts w:ascii="Arial Narrow" w:eastAsiaTheme="minorHAnsi" w:hAnsi="Arial Narrow" w:cstheme="minorBidi"/>
      <w:snapToGrid/>
      <w:sz w:val="20"/>
      <w:szCs w:val="20"/>
    </w:rPr>
  </w:style>
  <w:style w:type="character" w:customStyle="1" w:styleId="EndnoteTextChar">
    <w:name w:val="Endnote Text Char"/>
    <w:basedOn w:val="DefaultParagraphFont"/>
    <w:link w:val="EndnoteText"/>
    <w:uiPriority w:val="99"/>
    <w:rsid w:val="00FA0516"/>
    <w:rPr>
      <w:rFonts w:ascii="Arial Narrow" w:eastAsiaTheme="minorHAnsi" w:hAnsi="Arial Narrow"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888">
      <w:bodyDiv w:val="1"/>
      <w:marLeft w:val="0"/>
      <w:marRight w:val="0"/>
      <w:marTop w:val="0"/>
      <w:marBottom w:val="0"/>
      <w:divBdr>
        <w:top w:val="none" w:sz="0" w:space="0" w:color="auto"/>
        <w:left w:val="none" w:sz="0" w:space="0" w:color="auto"/>
        <w:bottom w:val="none" w:sz="0" w:space="0" w:color="auto"/>
        <w:right w:val="none" w:sz="0" w:space="0" w:color="auto"/>
      </w:divBdr>
    </w:div>
    <w:div w:id="36710944">
      <w:bodyDiv w:val="1"/>
      <w:marLeft w:val="0"/>
      <w:marRight w:val="0"/>
      <w:marTop w:val="0"/>
      <w:marBottom w:val="0"/>
      <w:divBdr>
        <w:top w:val="none" w:sz="0" w:space="0" w:color="auto"/>
        <w:left w:val="none" w:sz="0" w:space="0" w:color="auto"/>
        <w:bottom w:val="none" w:sz="0" w:space="0" w:color="auto"/>
        <w:right w:val="none" w:sz="0" w:space="0" w:color="auto"/>
      </w:divBdr>
    </w:div>
    <w:div w:id="111436220">
      <w:bodyDiv w:val="1"/>
      <w:marLeft w:val="0"/>
      <w:marRight w:val="0"/>
      <w:marTop w:val="0"/>
      <w:marBottom w:val="0"/>
      <w:divBdr>
        <w:top w:val="none" w:sz="0" w:space="0" w:color="auto"/>
        <w:left w:val="none" w:sz="0" w:space="0" w:color="auto"/>
        <w:bottom w:val="none" w:sz="0" w:space="0" w:color="auto"/>
        <w:right w:val="none" w:sz="0" w:space="0" w:color="auto"/>
      </w:divBdr>
    </w:div>
    <w:div w:id="214197427">
      <w:bodyDiv w:val="1"/>
      <w:marLeft w:val="0"/>
      <w:marRight w:val="0"/>
      <w:marTop w:val="0"/>
      <w:marBottom w:val="0"/>
      <w:divBdr>
        <w:top w:val="none" w:sz="0" w:space="0" w:color="auto"/>
        <w:left w:val="none" w:sz="0" w:space="0" w:color="auto"/>
        <w:bottom w:val="none" w:sz="0" w:space="0" w:color="auto"/>
        <w:right w:val="none" w:sz="0" w:space="0" w:color="auto"/>
      </w:divBdr>
    </w:div>
    <w:div w:id="221988363">
      <w:bodyDiv w:val="1"/>
      <w:marLeft w:val="0"/>
      <w:marRight w:val="0"/>
      <w:marTop w:val="0"/>
      <w:marBottom w:val="0"/>
      <w:divBdr>
        <w:top w:val="none" w:sz="0" w:space="0" w:color="auto"/>
        <w:left w:val="none" w:sz="0" w:space="0" w:color="auto"/>
        <w:bottom w:val="none" w:sz="0" w:space="0" w:color="auto"/>
        <w:right w:val="none" w:sz="0" w:space="0" w:color="auto"/>
      </w:divBdr>
    </w:div>
    <w:div w:id="324667821">
      <w:bodyDiv w:val="1"/>
      <w:marLeft w:val="0"/>
      <w:marRight w:val="0"/>
      <w:marTop w:val="0"/>
      <w:marBottom w:val="0"/>
      <w:divBdr>
        <w:top w:val="none" w:sz="0" w:space="0" w:color="auto"/>
        <w:left w:val="none" w:sz="0" w:space="0" w:color="auto"/>
        <w:bottom w:val="none" w:sz="0" w:space="0" w:color="auto"/>
        <w:right w:val="none" w:sz="0" w:space="0" w:color="auto"/>
      </w:divBdr>
    </w:div>
    <w:div w:id="335693384">
      <w:bodyDiv w:val="1"/>
      <w:marLeft w:val="0"/>
      <w:marRight w:val="0"/>
      <w:marTop w:val="0"/>
      <w:marBottom w:val="0"/>
      <w:divBdr>
        <w:top w:val="none" w:sz="0" w:space="0" w:color="auto"/>
        <w:left w:val="none" w:sz="0" w:space="0" w:color="auto"/>
        <w:bottom w:val="none" w:sz="0" w:space="0" w:color="auto"/>
        <w:right w:val="none" w:sz="0" w:space="0" w:color="auto"/>
      </w:divBdr>
    </w:div>
    <w:div w:id="367682722">
      <w:bodyDiv w:val="1"/>
      <w:marLeft w:val="0"/>
      <w:marRight w:val="0"/>
      <w:marTop w:val="0"/>
      <w:marBottom w:val="0"/>
      <w:divBdr>
        <w:top w:val="none" w:sz="0" w:space="0" w:color="auto"/>
        <w:left w:val="none" w:sz="0" w:space="0" w:color="auto"/>
        <w:bottom w:val="none" w:sz="0" w:space="0" w:color="auto"/>
        <w:right w:val="none" w:sz="0" w:space="0" w:color="auto"/>
      </w:divBdr>
    </w:div>
    <w:div w:id="381366553">
      <w:bodyDiv w:val="1"/>
      <w:marLeft w:val="0"/>
      <w:marRight w:val="0"/>
      <w:marTop w:val="0"/>
      <w:marBottom w:val="0"/>
      <w:divBdr>
        <w:top w:val="none" w:sz="0" w:space="0" w:color="auto"/>
        <w:left w:val="none" w:sz="0" w:space="0" w:color="auto"/>
        <w:bottom w:val="none" w:sz="0" w:space="0" w:color="auto"/>
        <w:right w:val="none" w:sz="0" w:space="0" w:color="auto"/>
      </w:divBdr>
    </w:div>
    <w:div w:id="421226784">
      <w:bodyDiv w:val="1"/>
      <w:marLeft w:val="0"/>
      <w:marRight w:val="0"/>
      <w:marTop w:val="0"/>
      <w:marBottom w:val="0"/>
      <w:divBdr>
        <w:top w:val="none" w:sz="0" w:space="0" w:color="auto"/>
        <w:left w:val="none" w:sz="0" w:space="0" w:color="auto"/>
        <w:bottom w:val="none" w:sz="0" w:space="0" w:color="auto"/>
        <w:right w:val="none" w:sz="0" w:space="0" w:color="auto"/>
      </w:divBdr>
    </w:div>
    <w:div w:id="449082708">
      <w:bodyDiv w:val="1"/>
      <w:marLeft w:val="0"/>
      <w:marRight w:val="0"/>
      <w:marTop w:val="0"/>
      <w:marBottom w:val="0"/>
      <w:divBdr>
        <w:top w:val="none" w:sz="0" w:space="0" w:color="auto"/>
        <w:left w:val="none" w:sz="0" w:space="0" w:color="auto"/>
        <w:bottom w:val="none" w:sz="0" w:space="0" w:color="auto"/>
        <w:right w:val="none" w:sz="0" w:space="0" w:color="auto"/>
      </w:divBdr>
    </w:div>
    <w:div w:id="497498093">
      <w:bodyDiv w:val="1"/>
      <w:marLeft w:val="0"/>
      <w:marRight w:val="0"/>
      <w:marTop w:val="0"/>
      <w:marBottom w:val="0"/>
      <w:divBdr>
        <w:top w:val="none" w:sz="0" w:space="0" w:color="auto"/>
        <w:left w:val="none" w:sz="0" w:space="0" w:color="auto"/>
        <w:bottom w:val="none" w:sz="0" w:space="0" w:color="auto"/>
        <w:right w:val="none" w:sz="0" w:space="0" w:color="auto"/>
      </w:divBdr>
    </w:div>
    <w:div w:id="554897165">
      <w:bodyDiv w:val="1"/>
      <w:marLeft w:val="0"/>
      <w:marRight w:val="0"/>
      <w:marTop w:val="0"/>
      <w:marBottom w:val="0"/>
      <w:divBdr>
        <w:top w:val="none" w:sz="0" w:space="0" w:color="auto"/>
        <w:left w:val="none" w:sz="0" w:space="0" w:color="auto"/>
        <w:bottom w:val="none" w:sz="0" w:space="0" w:color="auto"/>
        <w:right w:val="none" w:sz="0" w:space="0" w:color="auto"/>
      </w:divBdr>
    </w:div>
    <w:div w:id="633946096">
      <w:bodyDiv w:val="1"/>
      <w:marLeft w:val="0"/>
      <w:marRight w:val="0"/>
      <w:marTop w:val="0"/>
      <w:marBottom w:val="0"/>
      <w:divBdr>
        <w:top w:val="none" w:sz="0" w:space="0" w:color="auto"/>
        <w:left w:val="none" w:sz="0" w:space="0" w:color="auto"/>
        <w:bottom w:val="none" w:sz="0" w:space="0" w:color="auto"/>
        <w:right w:val="none" w:sz="0" w:space="0" w:color="auto"/>
      </w:divBdr>
    </w:div>
    <w:div w:id="662658791">
      <w:bodyDiv w:val="1"/>
      <w:marLeft w:val="0"/>
      <w:marRight w:val="0"/>
      <w:marTop w:val="0"/>
      <w:marBottom w:val="0"/>
      <w:divBdr>
        <w:top w:val="none" w:sz="0" w:space="0" w:color="auto"/>
        <w:left w:val="none" w:sz="0" w:space="0" w:color="auto"/>
        <w:bottom w:val="none" w:sz="0" w:space="0" w:color="auto"/>
        <w:right w:val="none" w:sz="0" w:space="0" w:color="auto"/>
      </w:divBdr>
    </w:div>
    <w:div w:id="695815386">
      <w:bodyDiv w:val="1"/>
      <w:marLeft w:val="0"/>
      <w:marRight w:val="0"/>
      <w:marTop w:val="0"/>
      <w:marBottom w:val="0"/>
      <w:divBdr>
        <w:top w:val="none" w:sz="0" w:space="0" w:color="auto"/>
        <w:left w:val="none" w:sz="0" w:space="0" w:color="auto"/>
        <w:bottom w:val="none" w:sz="0" w:space="0" w:color="auto"/>
        <w:right w:val="none" w:sz="0" w:space="0" w:color="auto"/>
      </w:divBdr>
    </w:div>
    <w:div w:id="707341285">
      <w:bodyDiv w:val="1"/>
      <w:marLeft w:val="0"/>
      <w:marRight w:val="0"/>
      <w:marTop w:val="0"/>
      <w:marBottom w:val="0"/>
      <w:divBdr>
        <w:top w:val="none" w:sz="0" w:space="0" w:color="auto"/>
        <w:left w:val="none" w:sz="0" w:space="0" w:color="auto"/>
        <w:bottom w:val="none" w:sz="0" w:space="0" w:color="auto"/>
        <w:right w:val="none" w:sz="0" w:space="0" w:color="auto"/>
      </w:divBdr>
    </w:div>
    <w:div w:id="719325687">
      <w:bodyDiv w:val="1"/>
      <w:marLeft w:val="0"/>
      <w:marRight w:val="0"/>
      <w:marTop w:val="0"/>
      <w:marBottom w:val="0"/>
      <w:divBdr>
        <w:top w:val="none" w:sz="0" w:space="0" w:color="auto"/>
        <w:left w:val="none" w:sz="0" w:space="0" w:color="auto"/>
        <w:bottom w:val="none" w:sz="0" w:space="0" w:color="auto"/>
        <w:right w:val="none" w:sz="0" w:space="0" w:color="auto"/>
      </w:divBdr>
    </w:div>
    <w:div w:id="801188195">
      <w:bodyDiv w:val="1"/>
      <w:marLeft w:val="0"/>
      <w:marRight w:val="0"/>
      <w:marTop w:val="0"/>
      <w:marBottom w:val="0"/>
      <w:divBdr>
        <w:top w:val="none" w:sz="0" w:space="0" w:color="auto"/>
        <w:left w:val="none" w:sz="0" w:space="0" w:color="auto"/>
        <w:bottom w:val="none" w:sz="0" w:space="0" w:color="auto"/>
        <w:right w:val="none" w:sz="0" w:space="0" w:color="auto"/>
      </w:divBdr>
    </w:div>
    <w:div w:id="824275614">
      <w:bodyDiv w:val="1"/>
      <w:marLeft w:val="0"/>
      <w:marRight w:val="0"/>
      <w:marTop w:val="0"/>
      <w:marBottom w:val="0"/>
      <w:divBdr>
        <w:top w:val="none" w:sz="0" w:space="0" w:color="auto"/>
        <w:left w:val="none" w:sz="0" w:space="0" w:color="auto"/>
        <w:bottom w:val="none" w:sz="0" w:space="0" w:color="auto"/>
        <w:right w:val="none" w:sz="0" w:space="0" w:color="auto"/>
      </w:divBdr>
    </w:div>
    <w:div w:id="830216962">
      <w:bodyDiv w:val="1"/>
      <w:marLeft w:val="0"/>
      <w:marRight w:val="0"/>
      <w:marTop w:val="0"/>
      <w:marBottom w:val="0"/>
      <w:divBdr>
        <w:top w:val="none" w:sz="0" w:space="0" w:color="auto"/>
        <w:left w:val="none" w:sz="0" w:space="0" w:color="auto"/>
        <w:bottom w:val="none" w:sz="0" w:space="0" w:color="auto"/>
        <w:right w:val="none" w:sz="0" w:space="0" w:color="auto"/>
      </w:divBdr>
    </w:div>
    <w:div w:id="854928710">
      <w:bodyDiv w:val="1"/>
      <w:marLeft w:val="0"/>
      <w:marRight w:val="0"/>
      <w:marTop w:val="0"/>
      <w:marBottom w:val="0"/>
      <w:divBdr>
        <w:top w:val="none" w:sz="0" w:space="0" w:color="auto"/>
        <w:left w:val="none" w:sz="0" w:space="0" w:color="auto"/>
        <w:bottom w:val="none" w:sz="0" w:space="0" w:color="auto"/>
        <w:right w:val="none" w:sz="0" w:space="0" w:color="auto"/>
      </w:divBdr>
    </w:div>
    <w:div w:id="889803749">
      <w:bodyDiv w:val="1"/>
      <w:marLeft w:val="0"/>
      <w:marRight w:val="0"/>
      <w:marTop w:val="0"/>
      <w:marBottom w:val="0"/>
      <w:divBdr>
        <w:top w:val="none" w:sz="0" w:space="0" w:color="auto"/>
        <w:left w:val="none" w:sz="0" w:space="0" w:color="auto"/>
        <w:bottom w:val="none" w:sz="0" w:space="0" w:color="auto"/>
        <w:right w:val="none" w:sz="0" w:space="0" w:color="auto"/>
      </w:divBdr>
    </w:div>
    <w:div w:id="898974799">
      <w:bodyDiv w:val="1"/>
      <w:marLeft w:val="0"/>
      <w:marRight w:val="0"/>
      <w:marTop w:val="0"/>
      <w:marBottom w:val="0"/>
      <w:divBdr>
        <w:top w:val="none" w:sz="0" w:space="0" w:color="auto"/>
        <w:left w:val="none" w:sz="0" w:space="0" w:color="auto"/>
        <w:bottom w:val="none" w:sz="0" w:space="0" w:color="auto"/>
        <w:right w:val="none" w:sz="0" w:space="0" w:color="auto"/>
      </w:divBdr>
    </w:div>
    <w:div w:id="904148562">
      <w:bodyDiv w:val="1"/>
      <w:marLeft w:val="0"/>
      <w:marRight w:val="0"/>
      <w:marTop w:val="0"/>
      <w:marBottom w:val="0"/>
      <w:divBdr>
        <w:top w:val="none" w:sz="0" w:space="0" w:color="auto"/>
        <w:left w:val="none" w:sz="0" w:space="0" w:color="auto"/>
        <w:bottom w:val="none" w:sz="0" w:space="0" w:color="auto"/>
        <w:right w:val="none" w:sz="0" w:space="0" w:color="auto"/>
      </w:divBdr>
    </w:div>
    <w:div w:id="950824238">
      <w:bodyDiv w:val="1"/>
      <w:marLeft w:val="0"/>
      <w:marRight w:val="0"/>
      <w:marTop w:val="0"/>
      <w:marBottom w:val="0"/>
      <w:divBdr>
        <w:top w:val="none" w:sz="0" w:space="0" w:color="auto"/>
        <w:left w:val="none" w:sz="0" w:space="0" w:color="auto"/>
        <w:bottom w:val="none" w:sz="0" w:space="0" w:color="auto"/>
        <w:right w:val="none" w:sz="0" w:space="0" w:color="auto"/>
      </w:divBdr>
    </w:div>
    <w:div w:id="1002271586">
      <w:bodyDiv w:val="1"/>
      <w:marLeft w:val="0"/>
      <w:marRight w:val="0"/>
      <w:marTop w:val="0"/>
      <w:marBottom w:val="0"/>
      <w:divBdr>
        <w:top w:val="none" w:sz="0" w:space="0" w:color="auto"/>
        <w:left w:val="none" w:sz="0" w:space="0" w:color="auto"/>
        <w:bottom w:val="none" w:sz="0" w:space="0" w:color="auto"/>
        <w:right w:val="none" w:sz="0" w:space="0" w:color="auto"/>
      </w:divBdr>
    </w:div>
    <w:div w:id="1024405116">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45776200">
      <w:bodyDiv w:val="1"/>
      <w:marLeft w:val="0"/>
      <w:marRight w:val="0"/>
      <w:marTop w:val="0"/>
      <w:marBottom w:val="0"/>
      <w:divBdr>
        <w:top w:val="none" w:sz="0" w:space="0" w:color="auto"/>
        <w:left w:val="none" w:sz="0" w:space="0" w:color="auto"/>
        <w:bottom w:val="none" w:sz="0" w:space="0" w:color="auto"/>
        <w:right w:val="none" w:sz="0" w:space="0" w:color="auto"/>
      </w:divBdr>
    </w:div>
    <w:div w:id="1152873524">
      <w:bodyDiv w:val="1"/>
      <w:marLeft w:val="0"/>
      <w:marRight w:val="0"/>
      <w:marTop w:val="0"/>
      <w:marBottom w:val="0"/>
      <w:divBdr>
        <w:top w:val="none" w:sz="0" w:space="0" w:color="auto"/>
        <w:left w:val="none" w:sz="0" w:space="0" w:color="auto"/>
        <w:bottom w:val="none" w:sz="0" w:space="0" w:color="auto"/>
        <w:right w:val="none" w:sz="0" w:space="0" w:color="auto"/>
      </w:divBdr>
    </w:div>
    <w:div w:id="1171482631">
      <w:bodyDiv w:val="1"/>
      <w:marLeft w:val="0"/>
      <w:marRight w:val="0"/>
      <w:marTop w:val="0"/>
      <w:marBottom w:val="0"/>
      <w:divBdr>
        <w:top w:val="none" w:sz="0" w:space="0" w:color="auto"/>
        <w:left w:val="none" w:sz="0" w:space="0" w:color="auto"/>
        <w:bottom w:val="none" w:sz="0" w:space="0" w:color="auto"/>
        <w:right w:val="none" w:sz="0" w:space="0" w:color="auto"/>
      </w:divBdr>
    </w:div>
    <w:div w:id="1187793052">
      <w:bodyDiv w:val="1"/>
      <w:marLeft w:val="0"/>
      <w:marRight w:val="0"/>
      <w:marTop w:val="0"/>
      <w:marBottom w:val="0"/>
      <w:divBdr>
        <w:top w:val="none" w:sz="0" w:space="0" w:color="auto"/>
        <w:left w:val="none" w:sz="0" w:space="0" w:color="auto"/>
        <w:bottom w:val="none" w:sz="0" w:space="0" w:color="auto"/>
        <w:right w:val="none" w:sz="0" w:space="0" w:color="auto"/>
      </w:divBdr>
    </w:div>
    <w:div w:id="1230073267">
      <w:bodyDiv w:val="1"/>
      <w:marLeft w:val="0"/>
      <w:marRight w:val="0"/>
      <w:marTop w:val="0"/>
      <w:marBottom w:val="0"/>
      <w:divBdr>
        <w:top w:val="none" w:sz="0" w:space="0" w:color="auto"/>
        <w:left w:val="none" w:sz="0" w:space="0" w:color="auto"/>
        <w:bottom w:val="none" w:sz="0" w:space="0" w:color="auto"/>
        <w:right w:val="none" w:sz="0" w:space="0" w:color="auto"/>
      </w:divBdr>
    </w:div>
    <w:div w:id="1230536188">
      <w:bodyDiv w:val="1"/>
      <w:marLeft w:val="0"/>
      <w:marRight w:val="0"/>
      <w:marTop w:val="0"/>
      <w:marBottom w:val="0"/>
      <w:divBdr>
        <w:top w:val="none" w:sz="0" w:space="0" w:color="auto"/>
        <w:left w:val="none" w:sz="0" w:space="0" w:color="auto"/>
        <w:bottom w:val="none" w:sz="0" w:space="0" w:color="auto"/>
        <w:right w:val="none" w:sz="0" w:space="0" w:color="auto"/>
      </w:divBdr>
    </w:div>
    <w:div w:id="1288313408">
      <w:bodyDiv w:val="1"/>
      <w:marLeft w:val="0"/>
      <w:marRight w:val="0"/>
      <w:marTop w:val="0"/>
      <w:marBottom w:val="0"/>
      <w:divBdr>
        <w:top w:val="none" w:sz="0" w:space="0" w:color="auto"/>
        <w:left w:val="none" w:sz="0" w:space="0" w:color="auto"/>
        <w:bottom w:val="none" w:sz="0" w:space="0" w:color="auto"/>
        <w:right w:val="none" w:sz="0" w:space="0" w:color="auto"/>
      </w:divBdr>
      <w:divsChild>
        <w:div w:id="1454055385">
          <w:marLeft w:val="1886"/>
          <w:marRight w:val="0"/>
          <w:marTop w:val="0"/>
          <w:marBottom w:val="120"/>
          <w:divBdr>
            <w:top w:val="none" w:sz="0" w:space="0" w:color="auto"/>
            <w:left w:val="none" w:sz="0" w:space="0" w:color="auto"/>
            <w:bottom w:val="none" w:sz="0" w:space="0" w:color="auto"/>
            <w:right w:val="none" w:sz="0" w:space="0" w:color="auto"/>
          </w:divBdr>
        </w:div>
      </w:divsChild>
    </w:div>
    <w:div w:id="1313562552">
      <w:bodyDiv w:val="1"/>
      <w:marLeft w:val="0"/>
      <w:marRight w:val="0"/>
      <w:marTop w:val="0"/>
      <w:marBottom w:val="0"/>
      <w:divBdr>
        <w:top w:val="none" w:sz="0" w:space="0" w:color="auto"/>
        <w:left w:val="none" w:sz="0" w:space="0" w:color="auto"/>
        <w:bottom w:val="none" w:sz="0" w:space="0" w:color="auto"/>
        <w:right w:val="none" w:sz="0" w:space="0" w:color="auto"/>
      </w:divBdr>
    </w:div>
    <w:div w:id="1323200842">
      <w:bodyDiv w:val="1"/>
      <w:marLeft w:val="0"/>
      <w:marRight w:val="0"/>
      <w:marTop w:val="0"/>
      <w:marBottom w:val="0"/>
      <w:divBdr>
        <w:top w:val="none" w:sz="0" w:space="0" w:color="auto"/>
        <w:left w:val="none" w:sz="0" w:space="0" w:color="auto"/>
        <w:bottom w:val="none" w:sz="0" w:space="0" w:color="auto"/>
        <w:right w:val="none" w:sz="0" w:space="0" w:color="auto"/>
      </w:divBdr>
    </w:div>
    <w:div w:id="1374505117">
      <w:bodyDiv w:val="1"/>
      <w:marLeft w:val="0"/>
      <w:marRight w:val="0"/>
      <w:marTop w:val="0"/>
      <w:marBottom w:val="0"/>
      <w:divBdr>
        <w:top w:val="none" w:sz="0" w:space="0" w:color="auto"/>
        <w:left w:val="none" w:sz="0" w:space="0" w:color="auto"/>
        <w:bottom w:val="none" w:sz="0" w:space="0" w:color="auto"/>
        <w:right w:val="none" w:sz="0" w:space="0" w:color="auto"/>
      </w:divBdr>
    </w:div>
    <w:div w:id="1375160434">
      <w:bodyDiv w:val="1"/>
      <w:marLeft w:val="0"/>
      <w:marRight w:val="0"/>
      <w:marTop w:val="0"/>
      <w:marBottom w:val="0"/>
      <w:divBdr>
        <w:top w:val="none" w:sz="0" w:space="0" w:color="auto"/>
        <w:left w:val="none" w:sz="0" w:space="0" w:color="auto"/>
        <w:bottom w:val="none" w:sz="0" w:space="0" w:color="auto"/>
        <w:right w:val="none" w:sz="0" w:space="0" w:color="auto"/>
      </w:divBdr>
    </w:div>
    <w:div w:id="1423793932">
      <w:bodyDiv w:val="1"/>
      <w:marLeft w:val="0"/>
      <w:marRight w:val="0"/>
      <w:marTop w:val="0"/>
      <w:marBottom w:val="0"/>
      <w:divBdr>
        <w:top w:val="none" w:sz="0" w:space="0" w:color="auto"/>
        <w:left w:val="none" w:sz="0" w:space="0" w:color="auto"/>
        <w:bottom w:val="none" w:sz="0" w:space="0" w:color="auto"/>
        <w:right w:val="none" w:sz="0" w:space="0" w:color="auto"/>
      </w:divBdr>
    </w:div>
    <w:div w:id="1428112490">
      <w:bodyDiv w:val="1"/>
      <w:marLeft w:val="0"/>
      <w:marRight w:val="0"/>
      <w:marTop w:val="0"/>
      <w:marBottom w:val="0"/>
      <w:divBdr>
        <w:top w:val="none" w:sz="0" w:space="0" w:color="auto"/>
        <w:left w:val="none" w:sz="0" w:space="0" w:color="auto"/>
        <w:bottom w:val="none" w:sz="0" w:space="0" w:color="auto"/>
        <w:right w:val="none" w:sz="0" w:space="0" w:color="auto"/>
      </w:divBdr>
    </w:div>
    <w:div w:id="1438871349">
      <w:bodyDiv w:val="1"/>
      <w:marLeft w:val="0"/>
      <w:marRight w:val="0"/>
      <w:marTop w:val="0"/>
      <w:marBottom w:val="0"/>
      <w:divBdr>
        <w:top w:val="none" w:sz="0" w:space="0" w:color="auto"/>
        <w:left w:val="none" w:sz="0" w:space="0" w:color="auto"/>
        <w:bottom w:val="none" w:sz="0" w:space="0" w:color="auto"/>
        <w:right w:val="none" w:sz="0" w:space="0" w:color="auto"/>
      </w:divBdr>
    </w:div>
    <w:div w:id="1471361895">
      <w:bodyDiv w:val="1"/>
      <w:marLeft w:val="0"/>
      <w:marRight w:val="0"/>
      <w:marTop w:val="0"/>
      <w:marBottom w:val="0"/>
      <w:divBdr>
        <w:top w:val="none" w:sz="0" w:space="0" w:color="auto"/>
        <w:left w:val="none" w:sz="0" w:space="0" w:color="auto"/>
        <w:bottom w:val="none" w:sz="0" w:space="0" w:color="auto"/>
        <w:right w:val="none" w:sz="0" w:space="0" w:color="auto"/>
      </w:divBdr>
    </w:div>
    <w:div w:id="1542471764">
      <w:bodyDiv w:val="1"/>
      <w:marLeft w:val="0"/>
      <w:marRight w:val="0"/>
      <w:marTop w:val="0"/>
      <w:marBottom w:val="0"/>
      <w:divBdr>
        <w:top w:val="none" w:sz="0" w:space="0" w:color="auto"/>
        <w:left w:val="none" w:sz="0" w:space="0" w:color="auto"/>
        <w:bottom w:val="none" w:sz="0" w:space="0" w:color="auto"/>
        <w:right w:val="none" w:sz="0" w:space="0" w:color="auto"/>
      </w:divBdr>
    </w:div>
    <w:div w:id="1553268962">
      <w:bodyDiv w:val="1"/>
      <w:marLeft w:val="0"/>
      <w:marRight w:val="0"/>
      <w:marTop w:val="0"/>
      <w:marBottom w:val="0"/>
      <w:divBdr>
        <w:top w:val="none" w:sz="0" w:space="0" w:color="auto"/>
        <w:left w:val="none" w:sz="0" w:space="0" w:color="auto"/>
        <w:bottom w:val="none" w:sz="0" w:space="0" w:color="auto"/>
        <w:right w:val="none" w:sz="0" w:space="0" w:color="auto"/>
      </w:divBdr>
    </w:div>
    <w:div w:id="1584292669">
      <w:bodyDiv w:val="1"/>
      <w:marLeft w:val="0"/>
      <w:marRight w:val="0"/>
      <w:marTop w:val="0"/>
      <w:marBottom w:val="0"/>
      <w:divBdr>
        <w:top w:val="none" w:sz="0" w:space="0" w:color="auto"/>
        <w:left w:val="none" w:sz="0" w:space="0" w:color="auto"/>
        <w:bottom w:val="none" w:sz="0" w:space="0" w:color="auto"/>
        <w:right w:val="none" w:sz="0" w:space="0" w:color="auto"/>
      </w:divBdr>
    </w:div>
    <w:div w:id="1706825604">
      <w:bodyDiv w:val="1"/>
      <w:marLeft w:val="0"/>
      <w:marRight w:val="0"/>
      <w:marTop w:val="0"/>
      <w:marBottom w:val="0"/>
      <w:divBdr>
        <w:top w:val="none" w:sz="0" w:space="0" w:color="auto"/>
        <w:left w:val="none" w:sz="0" w:space="0" w:color="auto"/>
        <w:bottom w:val="none" w:sz="0" w:space="0" w:color="auto"/>
        <w:right w:val="none" w:sz="0" w:space="0" w:color="auto"/>
      </w:divBdr>
    </w:div>
    <w:div w:id="1856730661">
      <w:bodyDiv w:val="1"/>
      <w:marLeft w:val="0"/>
      <w:marRight w:val="0"/>
      <w:marTop w:val="0"/>
      <w:marBottom w:val="0"/>
      <w:divBdr>
        <w:top w:val="none" w:sz="0" w:space="0" w:color="auto"/>
        <w:left w:val="none" w:sz="0" w:space="0" w:color="auto"/>
        <w:bottom w:val="none" w:sz="0" w:space="0" w:color="auto"/>
        <w:right w:val="none" w:sz="0" w:space="0" w:color="auto"/>
      </w:divBdr>
    </w:div>
    <w:div w:id="1871796259">
      <w:bodyDiv w:val="1"/>
      <w:marLeft w:val="0"/>
      <w:marRight w:val="0"/>
      <w:marTop w:val="0"/>
      <w:marBottom w:val="0"/>
      <w:divBdr>
        <w:top w:val="none" w:sz="0" w:space="0" w:color="auto"/>
        <w:left w:val="none" w:sz="0" w:space="0" w:color="auto"/>
        <w:bottom w:val="none" w:sz="0" w:space="0" w:color="auto"/>
        <w:right w:val="none" w:sz="0" w:space="0" w:color="auto"/>
      </w:divBdr>
    </w:div>
    <w:div w:id="1929650479">
      <w:bodyDiv w:val="1"/>
      <w:marLeft w:val="0"/>
      <w:marRight w:val="0"/>
      <w:marTop w:val="0"/>
      <w:marBottom w:val="0"/>
      <w:divBdr>
        <w:top w:val="none" w:sz="0" w:space="0" w:color="auto"/>
        <w:left w:val="none" w:sz="0" w:space="0" w:color="auto"/>
        <w:bottom w:val="none" w:sz="0" w:space="0" w:color="auto"/>
        <w:right w:val="none" w:sz="0" w:space="0" w:color="auto"/>
      </w:divBdr>
    </w:div>
    <w:div w:id="1961300712">
      <w:bodyDiv w:val="1"/>
      <w:marLeft w:val="0"/>
      <w:marRight w:val="0"/>
      <w:marTop w:val="0"/>
      <w:marBottom w:val="0"/>
      <w:divBdr>
        <w:top w:val="none" w:sz="0" w:space="0" w:color="auto"/>
        <w:left w:val="none" w:sz="0" w:space="0" w:color="auto"/>
        <w:bottom w:val="none" w:sz="0" w:space="0" w:color="auto"/>
        <w:right w:val="none" w:sz="0" w:space="0" w:color="auto"/>
      </w:divBdr>
    </w:div>
    <w:div w:id="1992784962">
      <w:bodyDiv w:val="1"/>
      <w:marLeft w:val="0"/>
      <w:marRight w:val="0"/>
      <w:marTop w:val="0"/>
      <w:marBottom w:val="0"/>
      <w:divBdr>
        <w:top w:val="none" w:sz="0" w:space="0" w:color="auto"/>
        <w:left w:val="none" w:sz="0" w:space="0" w:color="auto"/>
        <w:bottom w:val="none" w:sz="0" w:space="0" w:color="auto"/>
        <w:right w:val="none" w:sz="0" w:space="0" w:color="auto"/>
      </w:divBdr>
      <w:divsChild>
        <w:div w:id="1547528075">
          <w:marLeft w:val="0"/>
          <w:marRight w:val="0"/>
          <w:marTop w:val="0"/>
          <w:marBottom w:val="0"/>
          <w:divBdr>
            <w:top w:val="none" w:sz="0" w:space="0" w:color="C4DEEE"/>
            <w:left w:val="none" w:sz="0" w:space="8" w:color="C4DEEE"/>
            <w:bottom w:val="none" w:sz="0" w:space="0" w:color="C4DEEE"/>
            <w:right w:val="none" w:sz="0" w:space="0" w:color="C4DEEE"/>
          </w:divBdr>
        </w:div>
        <w:div w:id="1616134336">
          <w:marLeft w:val="0"/>
          <w:marRight w:val="0"/>
          <w:marTop w:val="0"/>
          <w:marBottom w:val="0"/>
          <w:divBdr>
            <w:top w:val="none" w:sz="0" w:space="0" w:color="C4DEEE"/>
            <w:left w:val="none" w:sz="0" w:space="0" w:color="C4DEEE"/>
            <w:bottom w:val="none" w:sz="0" w:space="0" w:color="C4DEEE"/>
            <w:right w:val="none" w:sz="0" w:space="0" w:color="C4DEEE"/>
          </w:divBdr>
        </w:div>
      </w:divsChild>
    </w:div>
    <w:div w:id="2004042438">
      <w:bodyDiv w:val="1"/>
      <w:marLeft w:val="0"/>
      <w:marRight w:val="0"/>
      <w:marTop w:val="0"/>
      <w:marBottom w:val="0"/>
      <w:divBdr>
        <w:top w:val="none" w:sz="0" w:space="0" w:color="auto"/>
        <w:left w:val="none" w:sz="0" w:space="0" w:color="auto"/>
        <w:bottom w:val="none" w:sz="0" w:space="0" w:color="auto"/>
        <w:right w:val="none" w:sz="0" w:space="0" w:color="auto"/>
      </w:divBdr>
    </w:div>
    <w:div w:id="2016690739">
      <w:bodyDiv w:val="1"/>
      <w:marLeft w:val="0"/>
      <w:marRight w:val="0"/>
      <w:marTop w:val="0"/>
      <w:marBottom w:val="0"/>
      <w:divBdr>
        <w:top w:val="none" w:sz="0" w:space="0" w:color="auto"/>
        <w:left w:val="none" w:sz="0" w:space="0" w:color="auto"/>
        <w:bottom w:val="none" w:sz="0" w:space="0" w:color="auto"/>
        <w:right w:val="none" w:sz="0" w:space="0" w:color="auto"/>
      </w:divBdr>
    </w:div>
    <w:div w:id="2025088397">
      <w:bodyDiv w:val="1"/>
      <w:marLeft w:val="0"/>
      <w:marRight w:val="0"/>
      <w:marTop w:val="0"/>
      <w:marBottom w:val="0"/>
      <w:divBdr>
        <w:top w:val="none" w:sz="0" w:space="0" w:color="auto"/>
        <w:left w:val="none" w:sz="0" w:space="0" w:color="auto"/>
        <w:bottom w:val="none" w:sz="0" w:space="0" w:color="auto"/>
        <w:right w:val="none" w:sz="0" w:space="0" w:color="auto"/>
      </w:divBdr>
    </w:div>
    <w:div w:id="2103868190">
      <w:bodyDiv w:val="1"/>
      <w:marLeft w:val="0"/>
      <w:marRight w:val="0"/>
      <w:marTop w:val="0"/>
      <w:marBottom w:val="0"/>
      <w:divBdr>
        <w:top w:val="none" w:sz="0" w:space="0" w:color="auto"/>
        <w:left w:val="none" w:sz="0" w:space="0" w:color="auto"/>
        <w:bottom w:val="none" w:sz="0" w:space="0" w:color="auto"/>
        <w:right w:val="none" w:sz="0" w:space="0" w:color="auto"/>
      </w:divBdr>
    </w:div>
    <w:div w:id="2126002255">
      <w:bodyDiv w:val="1"/>
      <w:marLeft w:val="0"/>
      <w:marRight w:val="0"/>
      <w:marTop w:val="0"/>
      <w:marBottom w:val="0"/>
      <w:divBdr>
        <w:top w:val="none" w:sz="0" w:space="0" w:color="auto"/>
        <w:left w:val="none" w:sz="0" w:space="0" w:color="auto"/>
        <w:bottom w:val="none" w:sz="0" w:space="0" w:color="auto"/>
        <w:right w:val="none" w:sz="0" w:space="0" w:color="auto"/>
      </w:divBdr>
    </w:div>
    <w:div w:id="21275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493A-ADED-4639-885C-3E0E2C8B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11740</Words>
  <Characters>63420</Characters>
  <Application>Microsoft Office Word</Application>
  <DocSecurity>0</DocSecurity>
  <Lines>528</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2018-06-19T00:57:00Z</dcterms:created>
  <dcterms:modified xsi:type="dcterms:W3CDTF">2018-06-22T00:18:00Z</dcterms:modified>
</cp:coreProperties>
</file>