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75" w:rsidRDefault="00A16D75" w:rsidP="002579FA">
      <w:pPr>
        <w:pStyle w:val="Title"/>
        <w:spacing w:before="120" w:after="160"/>
        <w:ind w:left="720" w:hanging="720"/>
        <w:outlineLvl w:val="9"/>
        <w:rPr>
          <w:rFonts w:asciiTheme="minorHAnsi" w:hAnsiTheme="minorHAnsi"/>
          <w:sz w:val="36"/>
          <w:szCs w:val="36"/>
        </w:rPr>
      </w:pPr>
      <w:r>
        <w:rPr>
          <w:rFonts w:asciiTheme="minorHAnsi" w:hAnsiTheme="minorHAnsi"/>
          <w:sz w:val="36"/>
          <w:szCs w:val="36"/>
        </w:rPr>
        <w:t>5.13</w:t>
      </w:r>
      <w:r w:rsidR="006D6493" w:rsidRPr="002B5596">
        <w:rPr>
          <w:rFonts w:asciiTheme="minorHAnsi" w:hAnsiTheme="minorHAnsi"/>
          <w:sz w:val="36"/>
          <w:szCs w:val="36"/>
        </w:rPr>
        <w:tab/>
      </w:r>
      <w:r>
        <w:rPr>
          <w:rFonts w:asciiTheme="minorHAnsi" w:hAnsiTheme="minorHAnsi"/>
          <w:sz w:val="36"/>
          <w:szCs w:val="36"/>
        </w:rPr>
        <w:t>ADALIMUMAB</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Pr>
          <w:rFonts w:asciiTheme="minorHAnsi" w:hAnsiTheme="minorHAnsi"/>
          <w:sz w:val="36"/>
          <w:szCs w:val="36"/>
        </w:rPr>
        <w:t>Injection 40 mg in 0.8 mL pre-filled syringe</w:t>
      </w:r>
      <w:r w:rsidR="006D6493" w:rsidRPr="002B5596">
        <w:rPr>
          <w:rFonts w:asciiTheme="minorHAnsi" w:hAnsiTheme="minorHAnsi"/>
          <w:sz w:val="36"/>
          <w:szCs w:val="36"/>
        </w:rPr>
        <w:t>,</w:t>
      </w:r>
      <w:r>
        <w:rPr>
          <w:rFonts w:asciiTheme="minorHAnsi" w:hAnsiTheme="minorHAnsi"/>
          <w:sz w:val="36"/>
          <w:szCs w:val="36"/>
        </w:rPr>
        <w:t xml:space="preserve"> </w:t>
      </w:r>
    </w:p>
    <w:p w:rsidR="006D6493" w:rsidRPr="00577C4D" w:rsidRDefault="00A16D75" w:rsidP="002579FA">
      <w:pPr>
        <w:pStyle w:val="Title"/>
        <w:spacing w:before="120" w:after="160"/>
        <w:ind w:left="720" w:hanging="11"/>
        <w:outlineLvl w:val="9"/>
        <w:rPr>
          <w:rFonts w:asciiTheme="minorHAnsi" w:hAnsiTheme="minorHAnsi"/>
          <w:sz w:val="36"/>
          <w:szCs w:val="36"/>
        </w:rPr>
      </w:pPr>
      <w:r>
        <w:rPr>
          <w:rFonts w:asciiTheme="minorHAnsi" w:hAnsiTheme="minorHAnsi"/>
          <w:sz w:val="36"/>
          <w:szCs w:val="36"/>
        </w:rPr>
        <w:t>Injection 40 mg in 0.8 mL single dose autoinjector,</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Pr>
          <w:rFonts w:asciiTheme="minorHAnsi" w:hAnsiTheme="minorHAnsi"/>
          <w:sz w:val="36"/>
          <w:szCs w:val="36"/>
        </w:rPr>
        <w:t>Hadlima</w:t>
      </w:r>
      <w:r w:rsidR="006D6493" w:rsidRPr="00E8432D">
        <w:rPr>
          <w:rFonts w:asciiTheme="minorHAnsi" w:hAnsiTheme="minorHAnsi"/>
          <w:sz w:val="36"/>
          <w:szCs w:val="36"/>
        </w:rPr>
        <w:t>®</w:t>
      </w:r>
      <w:r w:rsidR="006D6493" w:rsidRPr="002B5596">
        <w:rPr>
          <w:rFonts w:asciiTheme="minorHAnsi" w:hAnsiTheme="minorHAnsi"/>
          <w:sz w:val="36"/>
          <w:szCs w:val="36"/>
        </w:rPr>
        <w:t xml:space="preserve">, </w:t>
      </w:r>
      <w:r>
        <w:rPr>
          <w:rFonts w:asciiTheme="minorHAnsi" w:hAnsiTheme="minorHAnsi"/>
          <w:sz w:val="36"/>
          <w:szCs w:val="36"/>
        </w:rPr>
        <w:t>Merck Sharp &amp; Dohme (Australia)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EF44A0" w:rsidRPr="00E54C68" w:rsidRDefault="00EF44A0" w:rsidP="00EB0B63">
      <w:pPr>
        <w:pStyle w:val="ListParagraph"/>
        <w:widowControl/>
        <w:numPr>
          <w:ilvl w:val="1"/>
          <w:numId w:val="5"/>
        </w:numPr>
        <w:spacing w:after="120"/>
        <w:contextualSpacing w:val="0"/>
        <w:rPr>
          <w:rFonts w:asciiTheme="minorHAnsi" w:hAnsiTheme="minorHAnsi"/>
          <w:sz w:val="24"/>
          <w:szCs w:val="24"/>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requested</w:t>
      </w:r>
      <w:r w:rsidR="00E54C68">
        <w:rPr>
          <w:rFonts w:asciiTheme="minorHAnsi" w:eastAsiaTheme="minorHAnsi" w:hAnsiTheme="minorHAnsi" w:cstheme="minorBidi"/>
          <w:snapToGrid/>
          <w:sz w:val="24"/>
          <w:szCs w:val="22"/>
        </w:rPr>
        <w:t xml:space="preserve"> an Authority Required (Section 85) listing of a biosimilar brand of adalimumab, Hadlima</w:t>
      </w:r>
      <w:r w:rsidR="00E54C68" w:rsidRPr="00E54C68">
        <w:rPr>
          <w:rFonts w:asciiTheme="minorHAnsi" w:hAnsiTheme="minorHAnsi"/>
          <w:sz w:val="24"/>
          <w:szCs w:val="24"/>
          <w:vertAlign w:val="superscript"/>
        </w:rPr>
        <w:t>®</w:t>
      </w:r>
      <w:r w:rsidR="00E54C68">
        <w:rPr>
          <w:rFonts w:asciiTheme="minorHAnsi" w:eastAsiaTheme="minorHAnsi" w:hAnsiTheme="minorHAnsi" w:cstheme="minorBidi"/>
          <w:snapToGrid/>
          <w:sz w:val="24"/>
          <w:szCs w:val="22"/>
        </w:rPr>
        <w:t>, for the rheumatoid arthritis indication for which the reference biological (Humira</w:t>
      </w:r>
      <w:r w:rsidR="00E54C68" w:rsidRPr="00E54C68">
        <w:rPr>
          <w:rFonts w:asciiTheme="minorHAnsi" w:hAnsiTheme="minorHAnsi"/>
          <w:sz w:val="24"/>
          <w:szCs w:val="24"/>
          <w:vertAlign w:val="superscript"/>
        </w:rPr>
        <w:t>®</w:t>
      </w:r>
      <w:r w:rsidR="00E54C68">
        <w:rPr>
          <w:rFonts w:asciiTheme="minorHAnsi" w:eastAsiaTheme="minorHAnsi" w:hAnsiTheme="minorHAnsi" w:cstheme="minorBidi"/>
          <w:snapToGrid/>
          <w:sz w:val="24"/>
          <w:szCs w:val="22"/>
        </w:rPr>
        <w:t>) is currently PBS listed.</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following </w:t>
      </w:r>
      <w:r w:rsidR="0076420C" w:rsidRPr="001B2BBC">
        <w:rPr>
          <w:rFonts w:asciiTheme="minorHAnsi" w:eastAsiaTheme="minorHAnsi" w:hAnsiTheme="minorHAnsi" w:cstheme="minorBidi"/>
          <w:snapToGrid/>
          <w:sz w:val="24"/>
          <w:szCs w:val="22"/>
        </w:rPr>
        <w:t xml:space="preserve">new </w:t>
      </w:r>
      <w:r w:rsidRPr="001B2BBC">
        <w:rPr>
          <w:rFonts w:asciiTheme="minorHAnsi" w:eastAsiaTheme="minorHAnsi" w:hAnsiTheme="minorHAnsi" w:cstheme="minorBidi"/>
          <w:snapToGrid/>
          <w:sz w:val="24"/>
          <w:szCs w:val="22"/>
        </w:rPr>
        <w:t>listing</w:t>
      </w:r>
      <w:r w:rsidR="00E54C68">
        <w:rPr>
          <w:rFonts w:asciiTheme="minorHAnsi" w:eastAsiaTheme="minorHAnsi" w:hAnsiTheme="minorHAnsi" w:cstheme="minorBidi"/>
          <w:snapToGrid/>
          <w:sz w:val="24"/>
          <w:szCs w:val="22"/>
        </w:rPr>
        <w:t xml:space="preserve">. </w:t>
      </w:r>
    </w:p>
    <w:p w:rsidR="003511F0" w:rsidRDefault="003511F0" w:rsidP="00615F4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requested dispensed price for maximum quantity was calculated based on the current list price for Humira</w:t>
      </w:r>
      <w:r w:rsidR="00615F48" w:rsidRPr="00E8432D">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and accounting for the 25% statutory price reduction that would occur if Hadlima</w:t>
      </w:r>
      <w:r w:rsidR="00615F48" w:rsidRPr="00615F48">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is listed on the PBS.</w:t>
      </w:r>
    </w:p>
    <w:p w:rsidR="0067747D" w:rsidRPr="00562AFB" w:rsidRDefault="00562AFB" w:rsidP="00B92259">
      <w:pPr>
        <w:rPr>
          <w:rFonts w:asciiTheme="minorHAnsi" w:eastAsiaTheme="minorHAnsi" w:hAnsiTheme="minorHAnsi" w:cstheme="minorBidi"/>
          <w:szCs w:val="22"/>
        </w:rPr>
      </w:pPr>
      <w:r>
        <w:rPr>
          <w:rFonts w:asciiTheme="minorHAnsi" w:eastAsiaTheme="minorHAnsi" w:hAnsiTheme="minorHAnsi" w:cstheme="minorBidi"/>
          <w:szCs w:val="22"/>
        </w:rPr>
        <w:t>Initial treatment</w:t>
      </w:r>
    </w:p>
    <w:tbl>
      <w:tblPr>
        <w:tblW w:w="4966" w:type="pct"/>
        <w:tblBorders>
          <w:top w:val="single" w:sz="4" w:space="0" w:color="auto"/>
          <w:bottom w:val="single" w:sz="4" w:space="0" w:color="auto"/>
        </w:tblBorders>
        <w:tblLook w:val="0000" w:firstRow="0" w:lastRow="0" w:firstColumn="0" w:lastColumn="0" w:noHBand="0" w:noVBand="0"/>
      </w:tblPr>
      <w:tblGrid>
        <w:gridCol w:w="3361"/>
        <w:gridCol w:w="756"/>
        <w:gridCol w:w="909"/>
        <w:gridCol w:w="1647"/>
        <w:gridCol w:w="819"/>
        <w:gridCol w:w="1687"/>
      </w:tblGrid>
      <w:tr w:rsidR="00163329" w:rsidRPr="0039782C" w:rsidTr="00FD7156">
        <w:trPr>
          <w:cantSplit/>
          <w:trHeight w:val="465"/>
        </w:trPr>
        <w:tc>
          <w:tcPr>
            <w:tcW w:w="1831" w:type="pct"/>
            <w:tcBorders>
              <w:top w:val="nil"/>
              <w:bottom w:val="single" w:sz="4" w:space="0" w:color="auto"/>
            </w:tcBorders>
          </w:tcPr>
          <w:p w:rsidR="00826F6D" w:rsidRPr="0039782C" w:rsidRDefault="00826F6D" w:rsidP="00B92259">
            <w:pPr>
              <w:keepNext/>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B92259">
            <w:pPr>
              <w:keepNext/>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2" w:type="pct"/>
            <w:tcBorders>
              <w:top w:val="nil"/>
              <w:bottom w:val="single" w:sz="4" w:space="0" w:color="auto"/>
            </w:tcBorders>
          </w:tcPr>
          <w:p w:rsidR="00826F6D" w:rsidRPr="0039782C" w:rsidRDefault="00826F6D" w:rsidP="00B92259">
            <w:pPr>
              <w:keepNext/>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B92259">
            <w:pPr>
              <w:keepNext/>
              <w:jc w:val="both"/>
              <w:rPr>
                <w:rFonts w:ascii="Arial Narrow" w:hAnsi="Arial Narrow" w:cs="Arial"/>
                <w:b/>
                <w:sz w:val="20"/>
                <w:szCs w:val="20"/>
              </w:rPr>
            </w:pPr>
            <w:r w:rsidRPr="0039782C">
              <w:rPr>
                <w:rFonts w:ascii="Arial Narrow" w:hAnsi="Arial Narrow" w:cs="Arial"/>
                <w:b/>
                <w:sz w:val="20"/>
                <w:szCs w:val="20"/>
              </w:rPr>
              <w:t>Qty</w:t>
            </w:r>
          </w:p>
        </w:tc>
        <w:tc>
          <w:tcPr>
            <w:tcW w:w="495" w:type="pct"/>
            <w:tcBorders>
              <w:top w:val="nil"/>
              <w:bottom w:val="single" w:sz="4" w:space="0" w:color="auto"/>
            </w:tcBorders>
          </w:tcPr>
          <w:p w:rsidR="00826F6D" w:rsidRPr="0039782C" w:rsidRDefault="00826F6D" w:rsidP="00B92259">
            <w:pPr>
              <w:keepNext/>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B92259">
            <w:pPr>
              <w:keepNext/>
              <w:jc w:val="both"/>
              <w:rPr>
                <w:rFonts w:ascii="Arial Narrow" w:hAnsi="Arial Narrow" w:cs="Arial"/>
                <w:b/>
                <w:sz w:val="20"/>
                <w:szCs w:val="20"/>
              </w:rPr>
            </w:pPr>
            <w:r w:rsidRPr="0039782C">
              <w:rPr>
                <w:rFonts w:ascii="Arial Narrow" w:hAnsi="Arial Narrow" w:cs="Arial"/>
                <w:b/>
                <w:sz w:val="20"/>
                <w:szCs w:val="20"/>
              </w:rPr>
              <w:t>Rpts</w:t>
            </w:r>
          </w:p>
        </w:tc>
        <w:tc>
          <w:tcPr>
            <w:tcW w:w="897" w:type="pct"/>
            <w:tcBorders>
              <w:top w:val="nil"/>
              <w:bottom w:val="single" w:sz="4" w:space="0" w:color="auto"/>
            </w:tcBorders>
          </w:tcPr>
          <w:p w:rsidR="00826F6D" w:rsidRPr="0039782C" w:rsidRDefault="00826F6D" w:rsidP="00B92259">
            <w:pPr>
              <w:keepNext/>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365" w:type="pct"/>
            <w:gridSpan w:val="2"/>
            <w:tcBorders>
              <w:top w:val="nil"/>
              <w:bottom w:val="single" w:sz="4" w:space="0" w:color="auto"/>
            </w:tcBorders>
          </w:tcPr>
          <w:p w:rsidR="00826F6D" w:rsidRPr="0039782C" w:rsidRDefault="00826F6D" w:rsidP="00B92259">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FD7156">
        <w:trPr>
          <w:cantSplit/>
          <w:trHeight w:val="567"/>
        </w:trPr>
        <w:tc>
          <w:tcPr>
            <w:tcW w:w="1831" w:type="pct"/>
            <w:tcBorders>
              <w:top w:val="single" w:sz="4" w:space="0" w:color="auto"/>
              <w:bottom w:val="nil"/>
            </w:tcBorders>
          </w:tcPr>
          <w:p w:rsidR="00826F6D" w:rsidRPr="000E112D" w:rsidRDefault="00E54C68" w:rsidP="00B92259">
            <w:pPr>
              <w:keepNext/>
              <w:jc w:val="both"/>
              <w:rPr>
                <w:rFonts w:ascii="Arial Narrow" w:hAnsi="Arial Narrow" w:cs="Arial"/>
                <w:sz w:val="20"/>
                <w:szCs w:val="20"/>
              </w:rPr>
            </w:pPr>
            <w:r w:rsidRPr="000E112D">
              <w:rPr>
                <w:rFonts w:ascii="Arial Narrow" w:hAnsi="Arial Narrow" w:cs="Arial"/>
                <w:smallCaps/>
                <w:sz w:val="20"/>
                <w:szCs w:val="20"/>
              </w:rPr>
              <w:t>ADALIMUMAB</w:t>
            </w:r>
          </w:p>
          <w:p w:rsidR="0002073A" w:rsidRPr="000E112D" w:rsidRDefault="0002073A" w:rsidP="00B92259">
            <w:pPr>
              <w:keepNext/>
              <w:jc w:val="both"/>
              <w:rPr>
                <w:rFonts w:ascii="Arial Narrow" w:hAnsi="Arial Narrow" w:cs="Arial"/>
                <w:sz w:val="20"/>
                <w:szCs w:val="20"/>
              </w:rPr>
            </w:pPr>
            <w:r w:rsidRPr="000E112D">
              <w:rPr>
                <w:rFonts w:ascii="Arial Narrow" w:hAnsi="Arial Narrow" w:cs="Arial"/>
                <w:sz w:val="20"/>
                <w:szCs w:val="20"/>
              </w:rPr>
              <w:t>40 mg/0.8 mL injection, 2 x 0.8 mL cartridges</w:t>
            </w:r>
          </w:p>
        </w:tc>
        <w:tc>
          <w:tcPr>
            <w:tcW w:w="412" w:type="pct"/>
            <w:tcBorders>
              <w:top w:val="single" w:sz="4" w:space="0" w:color="auto"/>
              <w:bottom w:val="nil"/>
            </w:tcBorders>
          </w:tcPr>
          <w:p w:rsidR="00826F6D" w:rsidRPr="00260CE3" w:rsidRDefault="00826F6D" w:rsidP="00B92259">
            <w:pPr>
              <w:keepNext/>
              <w:jc w:val="both"/>
              <w:rPr>
                <w:rFonts w:ascii="Arial Narrow" w:hAnsi="Arial Narrow" w:cs="Arial"/>
                <w:sz w:val="20"/>
                <w:szCs w:val="20"/>
              </w:rPr>
            </w:pPr>
          </w:p>
          <w:p w:rsidR="00826F6D" w:rsidRPr="00260CE3" w:rsidRDefault="00E54C68" w:rsidP="00B92259">
            <w:pPr>
              <w:keepNext/>
              <w:jc w:val="both"/>
              <w:rPr>
                <w:rFonts w:ascii="Arial Narrow" w:hAnsi="Arial Narrow" w:cs="Arial"/>
                <w:sz w:val="20"/>
                <w:szCs w:val="20"/>
              </w:rPr>
            </w:pPr>
            <w:r>
              <w:rPr>
                <w:rFonts w:ascii="Arial Narrow" w:hAnsi="Arial Narrow" w:cs="Arial"/>
                <w:sz w:val="20"/>
                <w:szCs w:val="20"/>
              </w:rPr>
              <w:t>1</w:t>
            </w:r>
          </w:p>
        </w:tc>
        <w:tc>
          <w:tcPr>
            <w:tcW w:w="495" w:type="pct"/>
            <w:tcBorders>
              <w:top w:val="single" w:sz="4" w:space="0" w:color="auto"/>
              <w:bottom w:val="nil"/>
            </w:tcBorders>
          </w:tcPr>
          <w:p w:rsidR="00826F6D" w:rsidRPr="00260CE3" w:rsidRDefault="00826F6D" w:rsidP="00B92259">
            <w:pPr>
              <w:keepNext/>
              <w:jc w:val="both"/>
              <w:rPr>
                <w:rFonts w:ascii="Arial Narrow" w:hAnsi="Arial Narrow" w:cs="Arial"/>
                <w:sz w:val="20"/>
                <w:szCs w:val="20"/>
              </w:rPr>
            </w:pPr>
          </w:p>
          <w:p w:rsidR="00826F6D" w:rsidRPr="00260CE3" w:rsidRDefault="00716579" w:rsidP="00B92259">
            <w:pPr>
              <w:keepNext/>
              <w:jc w:val="both"/>
              <w:rPr>
                <w:rFonts w:ascii="Arial Narrow" w:hAnsi="Arial Narrow" w:cs="Arial"/>
                <w:sz w:val="20"/>
                <w:szCs w:val="20"/>
              </w:rPr>
            </w:pPr>
            <w:r>
              <w:rPr>
                <w:rFonts w:ascii="Arial Narrow" w:hAnsi="Arial Narrow" w:cs="Arial"/>
                <w:sz w:val="20"/>
                <w:szCs w:val="20"/>
              </w:rPr>
              <w:t>3</w:t>
            </w:r>
          </w:p>
        </w:tc>
        <w:tc>
          <w:tcPr>
            <w:tcW w:w="897" w:type="pct"/>
            <w:tcBorders>
              <w:top w:val="single" w:sz="4" w:space="0" w:color="auto"/>
              <w:bottom w:val="nil"/>
            </w:tcBorders>
          </w:tcPr>
          <w:p w:rsidR="00826F6D" w:rsidRPr="00260CE3" w:rsidRDefault="00826F6D" w:rsidP="00B92259">
            <w:pPr>
              <w:keepNext/>
              <w:jc w:val="both"/>
              <w:rPr>
                <w:rFonts w:ascii="Arial Narrow" w:hAnsi="Arial Narrow" w:cs="Arial"/>
                <w:sz w:val="20"/>
                <w:szCs w:val="20"/>
              </w:rPr>
            </w:pPr>
          </w:p>
          <w:p w:rsidR="00826F6D" w:rsidRPr="00260CE3" w:rsidRDefault="00826F6D" w:rsidP="00B92259">
            <w:pPr>
              <w:keepNext/>
              <w:jc w:val="both"/>
              <w:rPr>
                <w:rFonts w:ascii="Arial Narrow" w:hAnsi="Arial Narrow" w:cs="Arial"/>
                <w:sz w:val="20"/>
                <w:szCs w:val="20"/>
              </w:rPr>
            </w:pPr>
            <w:r w:rsidRPr="00260CE3">
              <w:rPr>
                <w:rFonts w:ascii="Arial Narrow" w:hAnsi="Arial Narrow" w:cs="Arial"/>
                <w:sz w:val="20"/>
                <w:szCs w:val="20"/>
              </w:rPr>
              <w:t>$</w:t>
            </w:r>
            <w:r w:rsidR="00E54C68" w:rsidRPr="00BE4AF0">
              <w:rPr>
                <w:rFonts w:ascii="Arial Narrow" w:hAnsi="Arial Narrow" w:cs="Arial"/>
                <w:sz w:val="20"/>
                <w:szCs w:val="20"/>
              </w:rPr>
              <w:t>1070.67</w:t>
            </w:r>
          </w:p>
        </w:tc>
        <w:tc>
          <w:tcPr>
            <w:tcW w:w="446" w:type="pct"/>
            <w:tcBorders>
              <w:top w:val="single" w:sz="4" w:space="0" w:color="auto"/>
              <w:bottom w:val="nil"/>
            </w:tcBorders>
          </w:tcPr>
          <w:p w:rsidR="00C27B58" w:rsidRDefault="00C27B58" w:rsidP="00B92259">
            <w:pPr>
              <w:keepNext/>
              <w:jc w:val="both"/>
              <w:rPr>
                <w:rFonts w:ascii="Arial Narrow" w:hAnsi="Arial Narrow" w:cs="Arial"/>
                <w:sz w:val="20"/>
                <w:szCs w:val="20"/>
              </w:rPr>
            </w:pPr>
          </w:p>
          <w:p w:rsidR="00826F6D" w:rsidRPr="00260CE3" w:rsidRDefault="00E54C68" w:rsidP="00B92259">
            <w:pPr>
              <w:keepNext/>
              <w:jc w:val="both"/>
              <w:rPr>
                <w:rFonts w:ascii="Arial Narrow" w:hAnsi="Arial Narrow" w:cs="Arial"/>
                <w:sz w:val="20"/>
                <w:szCs w:val="20"/>
              </w:rPr>
            </w:pPr>
            <w:r>
              <w:rPr>
                <w:rFonts w:ascii="Arial Narrow" w:hAnsi="Arial Narrow" w:cs="Arial"/>
                <w:sz w:val="20"/>
                <w:szCs w:val="20"/>
              </w:rPr>
              <w:t>Hadlima</w:t>
            </w:r>
          </w:p>
        </w:tc>
        <w:tc>
          <w:tcPr>
            <w:tcW w:w="919" w:type="pct"/>
            <w:tcBorders>
              <w:top w:val="single" w:sz="4" w:space="0" w:color="auto"/>
              <w:bottom w:val="nil"/>
            </w:tcBorders>
          </w:tcPr>
          <w:p w:rsidR="00C27B58" w:rsidRDefault="00C27B58" w:rsidP="00B92259">
            <w:pPr>
              <w:keepNext/>
              <w:jc w:val="both"/>
              <w:rPr>
                <w:rFonts w:ascii="Arial Narrow" w:hAnsi="Arial Narrow" w:cs="Arial"/>
                <w:sz w:val="20"/>
                <w:szCs w:val="20"/>
              </w:rPr>
            </w:pPr>
          </w:p>
          <w:p w:rsidR="00826F6D" w:rsidRPr="00260CE3" w:rsidRDefault="00E54C68" w:rsidP="00B92259">
            <w:pPr>
              <w:keepNext/>
              <w:jc w:val="both"/>
              <w:rPr>
                <w:rFonts w:ascii="Arial Narrow" w:hAnsi="Arial Narrow" w:cs="Arial"/>
                <w:sz w:val="20"/>
                <w:szCs w:val="20"/>
              </w:rPr>
            </w:pPr>
            <w:r>
              <w:rPr>
                <w:rFonts w:ascii="Arial Narrow" w:hAnsi="Arial Narrow" w:cs="Arial"/>
                <w:sz w:val="20"/>
                <w:szCs w:val="20"/>
              </w:rPr>
              <w:t>Merck Sharp &amp; Dohme</w:t>
            </w:r>
          </w:p>
        </w:tc>
      </w:tr>
      <w:tr w:rsidR="00FD7156" w:rsidRPr="00260CE3" w:rsidTr="00FD7156">
        <w:trPr>
          <w:cantSplit/>
          <w:trHeight w:val="567"/>
        </w:trPr>
        <w:tc>
          <w:tcPr>
            <w:tcW w:w="1831" w:type="pct"/>
            <w:tcBorders>
              <w:top w:val="nil"/>
            </w:tcBorders>
          </w:tcPr>
          <w:p w:rsidR="00FD7156" w:rsidRPr="000E112D" w:rsidRDefault="00FD7156" w:rsidP="00B92259">
            <w:pPr>
              <w:keepNext/>
              <w:jc w:val="both"/>
              <w:rPr>
                <w:rFonts w:ascii="Arial Narrow" w:hAnsi="Arial Narrow" w:cs="Arial"/>
                <w:smallCaps/>
                <w:sz w:val="20"/>
                <w:szCs w:val="20"/>
              </w:rPr>
            </w:pPr>
            <w:r w:rsidRPr="000E112D">
              <w:rPr>
                <w:rFonts w:ascii="Arial Narrow" w:hAnsi="Arial Narrow" w:cs="Arial"/>
                <w:sz w:val="20"/>
                <w:szCs w:val="20"/>
              </w:rPr>
              <w:t>40 mg/0.8 mL injection, 2 x 0.8 mL syringes</w:t>
            </w:r>
          </w:p>
        </w:tc>
        <w:tc>
          <w:tcPr>
            <w:tcW w:w="412" w:type="pct"/>
            <w:tcBorders>
              <w:top w:val="nil"/>
            </w:tcBorders>
          </w:tcPr>
          <w:p w:rsidR="00FD7156" w:rsidRPr="00260CE3" w:rsidRDefault="00FD7156" w:rsidP="00B92259">
            <w:pPr>
              <w:keepNext/>
              <w:jc w:val="both"/>
              <w:rPr>
                <w:rFonts w:ascii="Arial Narrow" w:hAnsi="Arial Narrow" w:cs="Arial"/>
                <w:sz w:val="20"/>
                <w:szCs w:val="20"/>
              </w:rPr>
            </w:pPr>
          </w:p>
        </w:tc>
        <w:tc>
          <w:tcPr>
            <w:tcW w:w="495" w:type="pct"/>
            <w:tcBorders>
              <w:top w:val="nil"/>
            </w:tcBorders>
          </w:tcPr>
          <w:p w:rsidR="00FD7156" w:rsidRPr="00260CE3" w:rsidRDefault="00FD7156" w:rsidP="00B92259">
            <w:pPr>
              <w:keepNext/>
              <w:jc w:val="both"/>
              <w:rPr>
                <w:rFonts w:ascii="Arial Narrow" w:hAnsi="Arial Narrow" w:cs="Arial"/>
                <w:sz w:val="20"/>
                <w:szCs w:val="20"/>
              </w:rPr>
            </w:pPr>
          </w:p>
        </w:tc>
        <w:tc>
          <w:tcPr>
            <w:tcW w:w="897" w:type="pct"/>
            <w:tcBorders>
              <w:top w:val="nil"/>
            </w:tcBorders>
          </w:tcPr>
          <w:p w:rsidR="00FD7156" w:rsidRPr="00260CE3" w:rsidRDefault="00FD7156" w:rsidP="00B92259">
            <w:pPr>
              <w:keepNext/>
              <w:jc w:val="both"/>
              <w:rPr>
                <w:rFonts w:ascii="Arial Narrow" w:hAnsi="Arial Narrow" w:cs="Arial"/>
                <w:sz w:val="20"/>
                <w:szCs w:val="20"/>
              </w:rPr>
            </w:pPr>
          </w:p>
        </w:tc>
        <w:tc>
          <w:tcPr>
            <w:tcW w:w="446" w:type="pct"/>
            <w:tcBorders>
              <w:top w:val="nil"/>
            </w:tcBorders>
          </w:tcPr>
          <w:p w:rsidR="00FD7156" w:rsidRDefault="00FD7156" w:rsidP="00B92259">
            <w:pPr>
              <w:keepNext/>
              <w:jc w:val="both"/>
              <w:rPr>
                <w:rFonts w:ascii="Arial Narrow" w:hAnsi="Arial Narrow" w:cs="Arial"/>
                <w:sz w:val="20"/>
                <w:szCs w:val="20"/>
              </w:rPr>
            </w:pPr>
          </w:p>
        </w:tc>
        <w:tc>
          <w:tcPr>
            <w:tcW w:w="919" w:type="pct"/>
            <w:tcBorders>
              <w:top w:val="nil"/>
            </w:tcBorders>
          </w:tcPr>
          <w:p w:rsidR="00FD7156" w:rsidRDefault="00FD7156" w:rsidP="00B92259">
            <w:pPr>
              <w:keepNext/>
              <w:jc w:val="both"/>
              <w:rPr>
                <w:rFonts w:ascii="Arial Narrow" w:hAnsi="Arial Narrow" w:cs="Arial"/>
                <w:sz w:val="20"/>
                <w:szCs w:val="20"/>
              </w:rPr>
            </w:pPr>
          </w:p>
        </w:tc>
      </w:tr>
    </w:tbl>
    <w:p w:rsidR="00826F6D" w:rsidRPr="00562AFB" w:rsidRDefault="00826F6D" w:rsidP="00B92259">
      <w:pPr>
        <w:rPr>
          <w:rFonts w:asciiTheme="minorHAnsi" w:hAnsiTheme="minorHAnsi"/>
          <w:szCs w:val="22"/>
        </w:rPr>
      </w:pPr>
    </w:p>
    <w:p w:rsidR="00562AFB" w:rsidRDefault="00562AFB" w:rsidP="00B92259">
      <w:pPr>
        <w:rPr>
          <w:rFonts w:asciiTheme="minorHAnsi" w:hAnsiTheme="minorHAnsi"/>
          <w:szCs w:val="22"/>
        </w:rPr>
      </w:pPr>
      <w:r w:rsidRPr="00562AFB">
        <w:rPr>
          <w:rFonts w:asciiTheme="minorHAnsi" w:hAnsiTheme="minorHAnsi"/>
          <w:szCs w:val="22"/>
        </w:rPr>
        <w:t>Continuing treatment</w:t>
      </w:r>
    </w:p>
    <w:tbl>
      <w:tblPr>
        <w:tblW w:w="4915" w:type="pct"/>
        <w:tblLook w:val="0000" w:firstRow="0" w:lastRow="0" w:firstColumn="0" w:lastColumn="0" w:noHBand="0" w:noVBand="0"/>
      </w:tblPr>
      <w:tblGrid>
        <w:gridCol w:w="3361"/>
        <w:gridCol w:w="756"/>
        <w:gridCol w:w="909"/>
        <w:gridCol w:w="1646"/>
        <w:gridCol w:w="819"/>
        <w:gridCol w:w="1594"/>
      </w:tblGrid>
      <w:tr w:rsidR="00562AFB" w:rsidRPr="0039782C" w:rsidTr="00FD7156">
        <w:trPr>
          <w:cantSplit/>
          <w:trHeight w:val="465"/>
        </w:trPr>
        <w:tc>
          <w:tcPr>
            <w:tcW w:w="1850" w:type="pct"/>
            <w:tcBorders>
              <w:bottom w:val="single" w:sz="4" w:space="0" w:color="auto"/>
            </w:tcBorders>
          </w:tcPr>
          <w:p w:rsidR="00562AFB" w:rsidRPr="0039782C" w:rsidRDefault="00562AFB" w:rsidP="00B92259">
            <w:pPr>
              <w:keepNext/>
              <w:jc w:val="both"/>
              <w:rPr>
                <w:rFonts w:ascii="Arial Narrow" w:hAnsi="Arial Narrow" w:cs="Arial"/>
                <w:b/>
                <w:sz w:val="20"/>
                <w:szCs w:val="20"/>
              </w:rPr>
            </w:pPr>
            <w:r w:rsidRPr="0039782C">
              <w:rPr>
                <w:rFonts w:ascii="Arial Narrow" w:hAnsi="Arial Narrow" w:cs="Arial"/>
                <w:b/>
                <w:sz w:val="20"/>
                <w:szCs w:val="20"/>
              </w:rPr>
              <w:t>Name, Restriction,</w:t>
            </w:r>
          </w:p>
          <w:p w:rsidR="00562AFB" w:rsidRPr="0039782C" w:rsidRDefault="00562AFB" w:rsidP="00B92259">
            <w:pPr>
              <w:keepNext/>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6" w:type="pct"/>
            <w:tcBorders>
              <w:bottom w:val="single" w:sz="4" w:space="0" w:color="auto"/>
            </w:tcBorders>
          </w:tcPr>
          <w:p w:rsidR="00562AFB" w:rsidRPr="0039782C" w:rsidRDefault="00562AFB" w:rsidP="00B92259">
            <w:pPr>
              <w:keepNext/>
              <w:jc w:val="both"/>
              <w:rPr>
                <w:rFonts w:ascii="Arial Narrow" w:hAnsi="Arial Narrow" w:cs="Arial"/>
                <w:b/>
                <w:sz w:val="20"/>
                <w:szCs w:val="20"/>
              </w:rPr>
            </w:pPr>
            <w:r w:rsidRPr="0039782C">
              <w:rPr>
                <w:rFonts w:ascii="Arial Narrow" w:hAnsi="Arial Narrow" w:cs="Arial"/>
                <w:b/>
                <w:sz w:val="20"/>
                <w:szCs w:val="20"/>
              </w:rPr>
              <w:t>Max.</w:t>
            </w:r>
          </w:p>
          <w:p w:rsidR="00562AFB" w:rsidRPr="0039782C" w:rsidRDefault="00562AFB" w:rsidP="00B92259">
            <w:pPr>
              <w:keepNext/>
              <w:jc w:val="both"/>
              <w:rPr>
                <w:rFonts w:ascii="Arial Narrow" w:hAnsi="Arial Narrow" w:cs="Arial"/>
                <w:b/>
                <w:sz w:val="20"/>
                <w:szCs w:val="20"/>
              </w:rPr>
            </w:pPr>
            <w:r w:rsidRPr="0039782C">
              <w:rPr>
                <w:rFonts w:ascii="Arial Narrow" w:hAnsi="Arial Narrow" w:cs="Arial"/>
                <w:b/>
                <w:sz w:val="20"/>
                <w:szCs w:val="20"/>
              </w:rPr>
              <w:t>Qty</w:t>
            </w:r>
          </w:p>
        </w:tc>
        <w:tc>
          <w:tcPr>
            <w:tcW w:w="500" w:type="pct"/>
            <w:tcBorders>
              <w:bottom w:val="single" w:sz="4" w:space="0" w:color="auto"/>
            </w:tcBorders>
          </w:tcPr>
          <w:p w:rsidR="00562AFB" w:rsidRPr="0039782C" w:rsidRDefault="00562AFB" w:rsidP="00B92259">
            <w:pPr>
              <w:keepNext/>
              <w:jc w:val="both"/>
              <w:rPr>
                <w:rFonts w:ascii="Arial Narrow" w:hAnsi="Arial Narrow" w:cs="Arial"/>
                <w:b/>
                <w:sz w:val="20"/>
                <w:szCs w:val="20"/>
              </w:rPr>
            </w:pPr>
            <w:r w:rsidRPr="0039782C">
              <w:rPr>
                <w:rFonts w:ascii="Arial Narrow" w:hAnsi="Arial Narrow" w:cs="Arial"/>
                <w:b/>
                <w:sz w:val="20"/>
                <w:szCs w:val="20"/>
              </w:rPr>
              <w:t>№.of</w:t>
            </w:r>
          </w:p>
          <w:p w:rsidR="00562AFB" w:rsidRPr="0039782C" w:rsidRDefault="00562AFB" w:rsidP="00B92259">
            <w:pPr>
              <w:keepNext/>
              <w:jc w:val="both"/>
              <w:rPr>
                <w:rFonts w:ascii="Arial Narrow" w:hAnsi="Arial Narrow" w:cs="Arial"/>
                <w:b/>
                <w:sz w:val="20"/>
                <w:szCs w:val="20"/>
              </w:rPr>
            </w:pPr>
            <w:r w:rsidRPr="0039782C">
              <w:rPr>
                <w:rFonts w:ascii="Arial Narrow" w:hAnsi="Arial Narrow" w:cs="Arial"/>
                <w:b/>
                <w:sz w:val="20"/>
                <w:szCs w:val="20"/>
              </w:rPr>
              <w:t>Rpts</w:t>
            </w:r>
          </w:p>
        </w:tc>
        <w:tc>
          <w:tcPr>
            <w:tcW w:w="906" w:type="pct"/>
            <w:tcBorders>
              <w:bottom w:val="single" w:sz="4" w:space="0" w:color="auto"/>
            </w:tcBorders>
          </w:tcPr>
          <w:p w:rsidR="00562AFB" w:rsidRPr="0039782C" w:rsidRDefault="00562AFB" w:rsidP="00B92259">
            <w:pPr>
              <w:keepNext/>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328" w:type="pct"/>
            <w:gridSpan w:val="2"/>
            <w:tcBorders>
              <w:bottom w:val="single" w:sz="4" w:space="0" w:color="auto"/>
            </w:tcBorders>
          </w:tcPr>
          <w:p w:rsidR="00562AFB" w:rsidRPr="0039782C" w:rsidRDefault="00562AFB" w:rsidP="00B92259">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562AFB" w:rsidRPr="00260CE3" w:rsidTr="00FD7156">
        <w:trPr>
          <w:cantSplit/>
          <w:trHeight w:val="567"/>
        </w:trPr>
        <w:tc>
          <w:tcPr>
            <w:tcW w:w="1850" w:type="pct"/>
            <w:tcBorders>
              <w:top w:val="single" w:sz="4" w:space="0" w:color="auto"/>
            </w:tcBorders>
          </w:tcPr>
          <w:p w:rsidR="00562AFB" w:rsidRPr="00833893" w:rsidRDefault="00562AFB" w:rsidP="00B92259">
            <w:pPr>
              <w:keepNext/>
              <w:jc w:val="both"/>
              <w:rPr>
                <w:rFonts w:ascii="Arial Narrow" w:hAnsi="Arial Narrow" w:cs="Arial"/>
                <w:sz w:val="20"/>
                <w:szCs w:val="20"/>
              </w:rPr>
            </w:pPr>
            <w:r w:rsidRPr="00833893">
              <w:rPr>
                <w:rFonts w:ascii="Arial Narrow" w:hAnsi="Arial Narrow" w:cs="Arial"/>
                <w:smallCaps/>
                <w:sz w:val="20"/>
                <w:szCs w:val="20"/>
              </w:rPr>
              <w:t>ADALIMUMAB</w:t>
            </w:r>
          </w:p>
          <w:p w:rsidR="00562AFB" w:rsidRPr="0002073A" w:rsidRDefault="00562AFB" w:rsidP="00B92259">
            <w:pPr>
              <w:keepNext/>
              <w:jc w:val="both"/>
              <w:rPr>
                <w:rFonts w:ascii="Arial Narrow" w:hAnsi="Arial Narrow" w:cs="Arial"/>
                <w:i/>
                <w:sz w:val="20"/>
                <w:szCs w:val="20"/>
              </w:rPr>
            </w:pPr>
            <w:r w:rsidRPr="0002073A">
              <w:rPr>
                <w:rFonts w:ascii="Arial Narrow" w:hAnsi="Arial Narrow" w:cs="Arial"/>
                <w:i/>
                <w:sz w:val="20"/>
                <w:szCs w:val="20"/>
              </w:rPr>
              <w:t>40 mg/0.8 mL injection, 2 x 0.8 mL cartridges</w:t>
            </w:r>
          </w:p>
        </w:tc>
        <w:tc>
          <w:tcPr>
            <w:tcW w:w="416" w:type="pct"/>
            <w:tcBorders>
              <w:top w:val="single" w:sz="4" w:space="0" w:color="auto"/>
            </w:tcBorders>
          </w:tcPr>
          <w:p w:rsidR="00562AFB" w:rsidRPr="00260CE3" w:rsidRDefault="00562AFB" w:rsidP="00B92259">
            <w:pPr>
              <w:keepNext/>
              <w:jc w:val="both"/>
              <w:rPr>
                <w:rFonts w:ascii="Arial Narrow" w:hAnsi="Arial Narrow" w:cs="Arial"/>
                <w:sz w:val="20"/>
                <w:szCs w:val="20"/>
              </w:rPr>
            </w:pPr>
          </w:p>
          <w:p w:rsidR="00562AFB" w:rsidRPr="00260CE3" w:rsidRDefault="00562AFB" w:rsidP="00B92259">
            <w:pPr>
              <w:keepNext/>
              <w:jc w:val="both"/>
              <w:rPr>
                <w:rFonts w:ascii="Arial Narrow" w:hAnsi="Arial Narrow" w:cs="Arial"/>
                <w:sz w:val="20"/>
                <w:szCs w:val="20"/>
              </w:rPr>
            </w:pPr>
            <w:r>
              <w:rPr>
                <w:rFonts w:ascii="Arial Narrow" w:hAnsi="Arial Narrow" w:cs="Arial"/>
                <w:sz w:val="20"/>
                <w:szCs w:val="20"/>
              </w:rPr>
              <w:t>1</w:t>
            </w:r>
          </w:p>
        </w:tc>
        <w:tc>
          <w:tcPr>
            <w:tcW w:w="500" w:type="pct"/>
            <w:tcBorders>
              <w:top w:val="single" w:sz="4" w:space="0" w:color="auto"/>
            </w:tcBorders>
          </w:tcPr>
          <w:p w:rsidR="00562AFB" w:rsidRPr="00260CE3" w:rsidRDefault="00562AFB" w:rsidP="00B92259">
            <w:pPr>
              <w:keepNext/>
              <w:jc w:val="both"/>
              <w:rPr>
                <w:rFonts w:ascii="Arial Narrow" w:hAnsi="Arial Narrow" w:cs="Arial"/>
                <w:sz w:val="20"/>
                <w:szCs w:val="20"/>
              </w:rPr>
            </w:pPr>
          </w:p>
          <w:p w:rsidR="00562AFB" w:rsidRPr="00260CE3" w:rsidRDefault="00562AFB" w:rsidP="00B92259">
            <w:pPr>
              <w:keepNext/>
              <w:jc w:val="both"/>
              <w:rPr>
                <w:rFonts w:ascii="Arial Narrow" w:hAnsi="Arial Narrow" w:cs="Arial"/>
                <w:sz w:val="20"/>
                <w:szCs w:val="20"/>
              </w:rPr>
            </w:pPr>
            <w:r>
              <w:rPr>
                <w:rFonts w:ascii="Arial Narrow" w:hAnsi="Arial Narrow" w:cs="Arial"/>
                <w:sz w:val="20"/>
                <w:szCs w:val="20"/>
              </w:rPr>
              <w:t>5</w:t>
            </w:r>
          </w:p>
        </w:tc>
        <w:tc>
          <w:tcPr>
            <w:tcW w:w="906" w:type="pct"/>
            <w:tcBorders>
              <w:top w:val="single" w:sz="4" w:space="0" w:color="auto"/>
            </w:tcBorders>
          </w:tcPr>
          <w:p w:rsidR="00562AFB" w:rsidRPr="00260CE3" w:rsidRDefault="00562AFB" w:rsidP="00B92259">
            <w:pPr>
              <w:keepNext/>
              <w:jc w:val="both"/>
              <w:rPr>
                <w:rFonts w:ascii="Arial Narrow" w:hAnsi="Arial Narrow" w:cs="Arial"/>
                <w:sz w:val="20"/>
                <w:szCs w:val="20"/>
              </w:rPr>
            </w:pPr>
          </w:p>
          <w:p w:rsidR="00562AFB" w:rsidRPr="00260CE3" w:rsidRDefault="00562AFB" w:rsidP="00B92259">
            <w:pPr>
              <w:keepNext/>
              <w:jc w:val="both"/>
              <w:rPr>
                <w:rFonts w:ascii="Arial Narrow" w:hAnsi="Arial Narrow" w:cs="Arial"/>
                <w:sz w:val="20"/>
                <w:szCs w:val="20"/>
              </w:rPr>
            </w:pPr>
            <w:r w:rsidRPr="00260CE3">
              <w:rPr>
                <w:rFonts w:ascii="Arial Narrow" w:hAnsi="Arial Narrow" w:cs="Arial"/>
                <w:sz w:val="20"/>
                <w:szCs w:val="20"/>
              </w:rPr>
              <w:t>$</w:t>
            </w:r>
            <w:r w:rsidRPr="00BE4AF0">
              <w:rPr>
                <w:rFonts w:ascii="Arial Narrow" w:hAnsi="Arial Narrow" w:cs="Arial"/>
                <w:sz w:val="20"/>
                <w:szCs w:val="20"/>
              </w:rPr>
              <w:t>1070.67</w:t>
            </w:r>
          </w:p>
        </w:tc>
        <w:tc>
          <w:tcPr>
            <w:tcW w:w="451" w:type="pct"/>
            <w:tcBorders>
              <w:top w:val="single" w:sz="4" w:space="0" w:color="auto"/>
            </w:tcBorders>
          </w:tcPr>
          <w:p w:rsidR="00562AFB" w:rsidRDefault="00562AFB" w:rsidP="00B92259">
            <w:pPr>
              <w:keepNext/>
              <w:jc w:val="both"/>
              <w:rPr>
                <w:rFonts w:ascii="Arial Narrow" w:hAnsi="Arial Narrow" w:cs="Arial"/>
                <w:sz w:val="20"/>
                <w:szCs w:val="20"/>
              </w:rPr>
            </w:pPr>
          </w:p>
          <w:p w:rsidR="00562AFB" w:rsidRPr="00260CE3" w:rsidRDefault="00562AFB" w:rsidP="00B92259">
            <w:pPr>
              <w:keepNext/>
              <w:jc w:val="both"/>
              <w:rPr>
                <w:rFonts w:ascii="Arial Narrow" w:hAnsi="Arial Narrow" w:cs="Arial"/>
                <w:sz w:val="20"/>
                <w:szCs w:val="20"/>
              </w:rPr>
            </w:pPr>
            <w:r>
              <w:rPr>
                <w:rFonts w:ascii="Arial Narrow" w:hAnsi="Arial Narrow" w:cs="Arial"/>
                <w:sz w:val="20"/>
                <w:szCs w:val="20"/>
              </w:rPr>
              <w:t>Hadlima</w:t>
            </w:r>
          </w:p>
        </w:tc>
        <w:tc>
          <w:tcPr>
            <w:tcW w:w="877" w:type="pct"/>
            <w:tcBorders>
              <w:top w:val="single" w:sz="4" w:space="0" w:color="auto"/>
            </w:tcBorders>
          </w:tcPr>
          <w:p w:rsidR="00562AFB" w:rsidRDefault="00562AFB" w:rsidP="00B92259">
            <w:pPr>
              <w:keepNext/>
              <w:jc w:val="both"/>
              <w:rPr>
                <w:rFonts w:ascii="Arial Narrow" w:hAnsi="Arial Narrow" w:cs="Arial"/>
                <w:sz w:val="20"/>
                <w:szCs w:val="20"/>
              </w:rPr>
            </w:pPr>
          </w:p>
          <w:p w:rsidR="00562AFB" w:rsidRPr="00260CE3" w:rsidRDefault="00562AFB" w:rsidP="00B92259">
            <w:pPr>
              <w:keepNext/>
              <w:jc w:val="both"/>
              <w:rPr>
                <w:rFonts w:ascii="Arial Narrow" w:hAnsi="Arial Narrow" w:cs="Arial"/>
                <w:sz w:val="20"/>
                <w:szCs w:val="20"/>
              </w:rPr>
            </w:pPr>
            <w:r>
              <w:rPr>
                <w:rFonts w:ascii="Arial Narrow" w:hAnsi="Arial Narrow" w:cs="Arial"/>
                <w:sz w:val="20"/>
                <w:szCs w:val="20"/>
              </w:rPr>
              <w:t>Merck Sharp &amp; Dohme</w:t>
            </w:r>
          </w:p>
        </w:tc>
      </w:tr>
      <w:tr w:rsidR="00FD7156" w:rsidRPr="00260CE3" w:rsidTr="00FD7156">
        <w:trPr>
          <w:cantSplit/>
          <w:trHeight w:val="567"/>
        </w:trPr>
        <w:tc>
          <w:tcPr>
            <w:tcW w:w="1850" w:type="pct"/>
            <w:tcBorders>
              <w:bottom w:val="single" w:sz="4" w:space="0" w:color="auto"/>
            </w:tcBorders>
          </w:tcPr>
          <w:p w:rsidR="00FD7156" w:rsidRDefault="00FD7156" w:rsidP="00B92259">
            <w:pPr>
              <w:keepNext/>
              <w:jc w:val="both"/>
              <w:rPr>
                <w:rFonts w:ascii="Arial Narrow" w:hAnsi="Arial Narrow" w:cs="Arial"/>
                <w:smallCaps/>
                <w:sz w:val="20"/>
                <w:szCs w:val="20"/>
              </w:rPr>
            </w:pPr>
            <w:r w:rsidRPr="0002073A">
              <w:rPr>
                <w:rFonts w:ascii="Arial Narrow" w:hAnsi="Arial Narrow" w:cs="Arial"/>
                <w:i/>
                <w:sz w:val="20"/>
                <w:szCs w:val="20"/>
              </w:rPr>
              <w:t>40 mg/0.8 mL injection, 2 x 0.8 mL syringes</w:t>
            </w:r>
          </w:p>
        </w:tc>
        <w:tc>
          <w:tcPr>
            <w:tcW w:w="416" w:type="pct"/>
            <w:tcBorders>
              <w:bottom w:val="single" w:sz="4" w:space="0" w:color="auto"/>
            </w:tcBorders>
          </w:tcPr>
          <w:p w:rsidR="00FD7156" w:rsidRPr="00260CE3" w:rsidRDefault="00FD7156" w:rsidP="00B92259">
            <w:pPr>
              <w:keepNext/>
              <w:jc w:val="both"/>
              <w:rPr>
                <w:rFonts w:ascii="Arial Narrow" w:hAnsi="Arial Narrow" w:cs="Arial"/>
                <w:sz w:val="20"/>
                <w:szCs w:val="20"/>
              </w:rPr>
            </w:pPr>
          </w:p>
        </w:tc>
        <w:tc>
          <w:tcPr>
            <w:tcW w:w="500" w:type="pct"/>
            <w:tcBorders>
              <w:bottom w:val="single" w:sz="4" w:space="0" w:color="auto"/>
            </w:tcBorders>
          </w:tcPr>
          <w:p w:rsidR="00FD7156" w:rsidRPr="00260CE3" w:rsidRDefault="00FD7156" w:rsidP="00B92259">
            <w:pPr>
              <w:keepNext/>
              <w:jc w:val="both"/>
              <w:rPr>
                <w:rFonts w:ascii="Arial Narrow" w:hAnsi="Arial Narrow" w:cs="Arial"/>
                <w:sz w:val="20"/>
                <w:szCs w:val="20"/>
              </w:rPr>
            </w:pPr>
          </w:p>
        </w:tc>
        <w:tc>
          <w:tcPr>
            <w:tcW w:w="906" w:type="pct"/>
            <w:tcBorders>
              <w:bottom w:val="single" w:sz="4" w:space="0" w:color="auto"/>
            </w:tcBorders>
          </w:tcPr>
          <w:p w:rsidR="00FD7156" w:rsidRPr="00260CE3" w:rsidRDefault="00FD7156" w:rsidP="00B92259">
            <w:pPr>
              <w:keepNext/>
              <w:jc w:val="both"/>
              <w:rPr>
                <w:rFonts w:ascii="Arial Narrow" w:hAnsi="Arial Narrow" w:cs="Arial"/>
                <w:sz w:val="20"/>
                <w:szCs w:val="20"/>
              </w:rPr>
            </w:pPr>
          </w:p>
        </w:tc>
        <w:tc>
          <w:tcPr>
            <w:tcW w:w="451" w:type="pct"/>
            <w:tcBorders>
              <w:bottom w:val="single" w:sz="4" w:space="0" w:color="auto"/>
            </w:tcBorders>
          </w:tcPr>
          <w:p w:rsidR="00FD7156" w:rsidRDefault="00FD7156" w:rsidP="00B92259">
            <w:pPr>
              <w:keepNext/>
              <w:jc w:val="both"/>
              <w:rPr>
                <w:rFonts w:ascii="Arial Narrow" w:hAnsi="Arial Narrow" w:cs="Arial"/>
                <w:sz w:val="20"/>
                <w:szCs w:val="20"/>
              </w:rPr>
            </w:pPr>
          </w:p>
        </w:tc>
        <w:tc>
          <w:tcPr>
            <w:tcW w:w="877" w:type="pct"/>
            <w:tcBorders>
              <w:bottom w:val="single" w:sz="4" w:space="0" w:color="auto"/>
            </w:tcBorders>
          </w:tcPr>
          <w:p w:rsidR="00FD7156" w:rsidRDefault="00FD7156" w:rsidP="00B92259">
            <w:pPr>
              <w:keepNext/>
              <w:jc w:val="both"/>
              <w:rPr>
                <w:rFonts w:ascii="Arial Narrow" w:hAnsi="Arial Narrow" w:cs="Arial"/>
                <w:sz w:val="20"/>
                <w:szCs w:val="20"/>
              </w:rPr>
            </w:pPr>
          </w:p>
        </w:tc>
      </w:tr>
    </w:tbl>
    <w:p w:rsidR="008666BA" w:rsidRDefault="00562AFB" w:rsidP="00B9225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accordance with the Government’s biosimilar uptake measures, the sponsor proposed</w:t>
      </w:r>
      <w:r w:rsidR="00B60930">
        <w:rPr>
          <w:rFonts w:asciiTheme="minorHAnsi" w:eastAsiaTheme="minorHAnsi" w:hAnsiTheme="minorHAnsi" w:cstheme="minorBidi"/>
          <w:snapToGrid/>
          <w:sz w:val="24"/>
          <w:szCs w:val="22"/>
        </w:rPr>
        <w:t xml:space="preserve"> the </w:t>
      </w:r>
      <w:r w:rsidR="0051126D">
        <w:rPr>
          <w:rFonts w:asciiTheme="minorHAnsi" w:eastAsiaTheme="minorHAnsi" w:hAnsiTheme="minorHAnsi" w:cstheme="minorBidi"/>
          <w:snapToGrid/>
          <w:sz w:val="24"/>
          <w:szCs w:val="22"/>
        </w:rPr>
        <w:t>following uptake drivers:</w:t>
      </w:r>
    </w:p>
    <w:p w:rsidR="00562AFB" w:rsidRDefault="00562AFB" w:rsidP="00B92259">
      <w:pPr>
        <w:pStyle w:val="ListParagraph"/>
        <w:numPr>
          <w:ilvl w:val="0"/>
          <w:numId w:val="17"/>
        </w:numPr>
        <w:autoSpaceDE w:val="0"/>
        <w:autoSpaceDN w:val="0"/>
        <w:adjustRightInd w:val="0"/>
        <w:ind w:left="1097"/>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 change to the prescribing software that gives preference to </w:t>
      </w:r>
      <w:r w:rsidR="00EA1763">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biosimilar for patients naïve to treatment with adalimumab; and</w:t>
      </w:r>
    </w:p>
    <w:p w:rsidR="000F7EB6" w:rsidRDefault="00562AFB" w:rsidP="00B92259">
      <w:pPr>
        <w:pStyle w:val="ListParagraph"/>
        <w:numPr>
          <w:ilvl w:val="0"/>
          <w:numId w:val="17"/>
        </w:numPr>
        <w:autoSpaceDE w:val="0"/>
        <w:autoSpaceDN w:val="0"/>
        <w:adjustRightInd w:val="0"/>
        <w:ind w:left="1097"/>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Streamlined authority for patients continuing (i.e. </w:t>
      </w:r>
      <w:r w:rsidR="00EA1763">
        <w:rPr>
          <w:rFonts w:asciiTheme="minorHAnsi" w:eastAsiaTheme="minorHAnsi" w:hAnsiTheme="minorHAnsi" w:cstheme="minorBidi"/>
          <w:snapToGrid/>
          <w:sz w:val="24"/>
          <w:szCs w:val="22"/>
        </w:rPr>
        <w:t xml:space="preserve">at the </w:t>
      </w:r>
      <w:r>
        <w:rPr>
          <w:rFonts w:asciiTheme="minorHAnsi" w:eastAsiaTheme="minorHAnsi" w:hAnsiTheme="minorHAnsi" w:cstheme="minorBidi"/>
          <w:snapToGrid/>
          <w:sz w:val="24"/>
          <w:szCs w:val="22"/>
        </w:rPr>
        <w:t>subsequent continuing</w:t>
      </w:r>
      <w:r w:rsidR="00EA1763">
        <w:rPr>
          <w:rFonts w:asciiTheme="minorHAnsi" w:eastAsiaTheme="minorHAnsi" w:hAnsiTheme="minorHAnsi" w:cstheme="minorBidi"/>
          <w:snapToGrid/>
          <w:sz w:val="24"/>
          <w:szCs w:val="22"/>
        </w:rPr>
        <w:t xml:space="preserve"> phase</w:t>
      </w:r>
      <w:r>
        <w:rPr>
          <w:rFonts w:asciiTheme="minorHAnsi" w:eastAsiaTheme="minorHAnsi" w:hAnsiTheme="minorHAnsi" w:cstheme="minorBidi"/>
          <w:snapToGrid/>
          <w:sz w:val="24"/>
          <w:szCs w:val="22"/>
        </w:rPr>
        <w:t>) on bi</w:t>
      </w:r>
      <w:r w:rsidR="00B60930">
        <w:rPr>
          <w:rFonts w:asciiTheme="minorHAnsi" w:eastAsiaTheme="minorHAnsi" w:hAnsiTheme="minorHAnsi" w:cstheme="minorBidi"/>
          <w:snapToGrid/>
          <w:sz w:val="24"/>
          <w:szCs w:val="22"/>
        </w:rPr>
        <w:t>osimilar adalimumab.</w:t>
      </w:r>
    </w:p>
    <w:p w:rsidR="006853D4" w:rsidRPr="0041758F" w:rsidRDefault="006853D4" w:rsidP="00B92259">
      <w:pPr>
        <w:pStyle w:val="PBACHeading1"/>
        <w:numPr>
          <w:ilvl w:val="0"/>
          <w:numId w:val="0"/>
        </w:numPr>
        <w:spacing w:before="240"/>
        <w:outlineLvl w:val="9"/>
        <w:rPr>
          <w:rFonts w:asciiTheme="minorHAnsi" w:hAnsiTheme="minorHAnsi" w:cstheme="minorHAnsi"/>
          <w:b w:val="0"/>
          <w:i/>
          <w:sz w:val="24"/>
        </w:rPr>
      </w:pPr>
      <w:r w:rsidRPr="0041758F">
        <w:rPr>
          <w:rFonts w:asciiTheme="minorHAnsi" w:hAnsiTheme="minorHAnsi" w:cstheme="minorHAnsi"/>
          <w:b w:val="0"/>
          <w:i/>
          <w:sz w:val="24"/>
        </w:rPr>
        <w:t xml:space="preserve">For more detail on PBAC’s view, see section </w:t>
      </w:r>
      <w:r w:rsidR="00CE3573" w:rsidRPr="0041758F">
        <w:rPr>
          <w:rFonts w:asciiTheme="minorHAnsi" w:hAnsiTheme="minorHAnsi" w:cstheme="minorHAnsi"/>
          <w:b w:val="0"/>
          <w:i/>
          <w:sz w:val="24"/>
        </w:rPr>
        <w:t>5</w:t>
      </w:r>
      <w:r w:rsidRPr="0041758F">
        <w:rPr>
          <w:rFonts w:asciiTheme="minorHAnsi" w:hAnsiTheme="minorHAnsi" w:cstheme="minorHAnsi"/>
          <w:b w:val="0"/>
          <w:i/>
          <w:sz w:val="24"/>
        </w:rPr>
        <w:t xml:space="preserve"> 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lastRenderedPageBreak/>
        <w:t>Background</w:t>
      </w:r>
    </w:p>
    <w:p w:rsidR="006B0D94" w:rsidRPr="001B2BBC" w:rsidRDefault="00E54C68" w:rsidP="0083389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Hadlima</w:t>
      </w:r>
      <w:r w:rsidR="00833893" w:rsidRPr="00833893">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was approved by the TGA for rheumatoid arthritis on 24 January 2018</w:t>
      </w:r>
      <w:r w:rsidR="008A30A2">
        <w:rPr>
          <w:rFonts w:asciiTheme="minorHAnsi" w:eastAsiaTheme="minorHAnsi" w:hAnsiTheme="minorHAnsi" w:cstheme="minorBidi"/>
          <w:snapToGrid/>
          <w:sz w:val="24"/>
          <w:szCs w:val="22"/>
        </w:rPr>
        <w:t xml:space="preserve">, and was determined to be a biosimilar </w:t>
      </w:r>
      <w:r w:rsidR="00B03FCF">
        <w:rPr>
          <w:rFonts w:asciiTheme="minorHAnsi" w:eastAsiaTheme="minorHAnsi" w:hAnsiTheme="minorHAnsi" w:cstheme="minorBidi"/>
          <w:snapToGrid/>
          <w:sz w:val="24"/>
          <w:szCs w:val="22"/>
        </w:rPr>
        <w:t>to</w:t>
      </w:r>
      <w:r w:rsidR="008A30A2">
        <w:rPr>
          <w:rFonts w:asciiTheme="minorHAnsi" w:eastAsiaTheme="minorHAnsi" w:hAnsiTheme="minorHAnsi" w:cstheme="minorBidi"/>
          <w:snapToGrid/>
          <w:sz w:val="24"/>
          <w:szCs w:val="22"/>
        </w:rPr>
        <w:t xml:space="preserve"> </w:t>
      </w:r>
      <w:r w:rsidR="00EA1763">
        <w:rPr>
          <w:rFonts w:asciiTheme="minorHAnsi" w:eastAsiaTheme="minorHAnsi" w:hAnsiTheme="minorHAnsi" w:cstheme="minorBidi"/>
          <w:snapToGrid/>
          <w:sz w:val="24"/>
          <w:szCs w:val="22"/>
        </w:rPr>
        <w:t xml:space="preserve">the reference brand </w:t>
      </w:r>
      <w:r w:rsidR="008A30A2">
        <w:rPr>
          <w:rFonts w:asciiTheme="minorHAnsi" w:eastAsiaTheme="minorHAnsi" w:hAnsiTheme="minorHAnsi" w:cstheme="minorBidi"/>
          <w:snapToGrid/>
          <w:sz w:val="24"/>
          <w:szCs w:val="22"/>
        </w:rPr>
        <w:t>Humira</w:t>
      </w:r>
      <w:r w:rsidR="00833893" w:rsidRPr="00833893">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w:t>
      </w:r>
    </w:p>
    <w:p w:rsidR="008A1956" w:rsidRDefault="00B603E5" w:rsidP="0083389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B603E5">
        <w:rPr>
          <w:rFonts w:asciiTheme="minorHAnsi" w:eastAsiaTheme="minorHAnsi" w:hAnsiTheme="minorHAnsi" w:cstheme="minorBidi"/>
          <w:snapToGrid/>
          <w:sz w:val="24"/>
          <w:szCs w:val="22"/>
        </w:rPr>
        <w:t>Hadlima</w:t>
      </w:r>
      <w:r w:rsidR="00833893" w:rsidRPr="00833893">
        <w:rPr>
          <w:rFonts w:asciiTheme="minorHAnsi" w:eastAsiaTheme="minorHAnsi" w:hAnsiTheme="minorHAnsi" w:cstheme="minorBidi"/>
          <w:snapToGrid/>
          <w:sz w:val="24"/>
          <w:szCs w:val="22"/>
        </w:rPr>
        <w:t>®</w:t>
      </w:r>
      <w:r w:rsidRPr="00B603E5">
        <w:rPr>
          <w:rFonts w:asciiTheme="minorHAnsi" w:eastAsiaTheme="minorHAnsi" w:hAnsiTheme="minorHAnsi" w:cstheme="minorBidi"/>
          <w:snapToGrid/>
          <w:sz w:val="24"/>
          <w:szCs w:val="22"/>
        </w:rPr>
        <w:t xml:space="preserve"> has not previously been considered by the PBAC.</w:t>
      </w:r>
    </w:p>
    <w:p w:rsidR="00B03FCF" w:rsidRPr="006F711E" w:rsidRDefault="00B03FCF" w:rsidP="00B03FCF">
      <w:pPr>
        <w:spacing w:before="120" w:after="160"/>
        <w:rPr>
          <w:rStyle w:val="Emphasis"/>
          <w:rFonts w:asciiTheme="minorHAnsi" w:hAnsiTheme="minorHAnsi"/>
          <w:b/>
        </w:rPr>
      </w:pPr>
      <w:r w:rsidRPr="006F711E">
        <w:rPr>
          <w:rStyle w:val="Emphasis"/>
          <w:rFonts w:asciiTheme="minorHAnsi" w:hAnsiTheme="minorHAnsi"/>
          <w:b/>
        </w:rPr>
        <w:t>Brand equivalence and substitution at the pharmacist level (‘a’ flagging)</w:t>
      </w:r>
    </w:p>
    <w:p w:rsidR="00B03FCF" w:rsidRPr="00AC41FF" w:rsidRDefault="00B03FCF" w:rsidP="00B03FCF">
      <w:pPr>
        <w:pStyle w:val="ListParagraph"/>
        <w:widowControl/>
        <w:numPr>
          <w:ilvl w:val="1"/>
          <w:numId w:val="5"/>
        </w:numPr>
        <w:rPr>
          <w:rFonts w:asciiTheme="minorHAnsi" w:hAnsiTheme="minorHAnsi"/>
          <w:sz w:val="24"/>
          <w:szCs w:val="24"/>
        </w:rPr>
      </w:pPr>
      <w:r w:rsidRPr="00AC41FF">
        <w:rPr>
          <w:rFonts w:asciiTheme="minorHAnsi" w:hAnsiTheme="minorHAnsi"/>
          <w:sz w:val="24"/>
          <w:szCs w:val="24"/>
        </w:rPr>
        <w:t xml:space="preserve">The Schedule of Pharmaceutical Benefits provide the following definition of brand equivalence: </w:t>
      </w:r>
    </w:p>
    <w:p w:rsidR="00B03FCF" w:rsidRPr="00AC41FF" w:rsidRDefault="00B03FCF" w:rsidP="00B03FCF">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b/>
          <w:szCs w:val="24"/>
          <w:lang w:val="en-AU"/>
        </w:rPr>
      </w:pPr>
      <w:r w:rsidRPr="00AC41FF">
        <w:rPr>
          <w:rFonts w:asciiTheme="minorHAnsi" w:hAnsiTheme="minorHAnsi" w:cs="Arial"/>
          <w:b/>
          <w:szCs w:val="24"/>
          <w:lang w:val="en-AU"/>
        </w:rPr>
        <w:t>Extract from the Explanatory Notes to the PBS Schedule</w:t>
      </w:r>
      <w:r w:rsidRPr="00AC41FF">
        <w:rPr>
          <w:rFonts w:asciiTheme="minorHAnsi" w:hAnsiTheme="minorHAnsi"/>
          <w:b/>
          <w:szCs w:val="24"/>
          <w:vertAlign w:val="superscript"/>
          <w:lang w:val="en-AU"/>
        </w:rPr>
        <w:footnoteReference w:id="1"/>
      </w:r>
    </w:p>
    <w:p w:rsidR="00B03FCF" w:rsidRPr="00AC41FF" w:rsidRDefault="00B03FCF" w:rsidP="00B03FCF">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b/>
          <w:szCs w:val="24"/>
          <w:lang w:val="en-AU"/>
        </w:rPr>
      </w:pPr>
      <w:r w:rsidRPr="00AC41FF">
        <w:rPr>
          <w:rFonts w:asciiTheme="minorHAnsi" w:hAnsiTheme="minorHAnsi" w:cs="Arial"/>
          <w:b/>
          <w:szCs w:val="24"/>
          <w:lang w:val="en-AU"/>
        </w:rPr>
        <w:t>BRAND EQUIVALENCE</w:t>
      </w:r>
    </w:p>
    <w:p w:rsidR="00B03FCF" w:rsidRPr="00AC41FF" w:rsidRDefault="00B03FCF" w:rsidP="00B03FCF">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szCs w:val="24"/>
          <w:lang w:val="en-AU"/>
        </w:rPr>
      </w:pPr>
      <w:r w:rsidRPr="00AC41FF">
        <w:rPr>
          <w:rFonts w:asciiTheme="minorHAnsi" w:hAnsiTheme="minorHAnsi" w:cs="Arial"/>
          <w:szCs w:val="24"/>
          <w:lang w:val="en-AU"/>
        </w:rPr>
        <w:t>'a'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w:t>
      </w:r>
    </w:p>
    <w:p w:rsidR="00B03FCF" w:rsidRPr="00A43833" w:rsidRDefault="00B03FCF" w:rsidP="00B03FCF">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43833">
        <w:rPr>
          <w:rFonts w:asciiTheme="minorHAnsi" w:eastAsiaTheme="minorHAnsi" w:hAnsiTheme="minorHAnsi" w:cstheme="minorBidi"/>
          <w:snapToGrid/>
          <w:sz w:val="24"/>
          <w:szCs w:val="22"/>
        </w:rPr>
        <w:t xml:space="preserve">Many medicines are available on the PBS in different brands. The Schedule of Pharmaceutical Benefits indicates where different brands are considered equivalent for the purposes of substitution at the point of dispensing by using </w:t>
      </w:r>
      <w:r>
        <w:rPr>
          <w:rFonts w:asciiTheme="minorHAnsi" w:eastAsiaTheme="minorHAnsi" w:hAnsiTheme="minorHAnsi" w:cstheme="minorBidi"/>
          <w:snapToGrid/>
          <w:sz w:val="24"/>
          <w:szCs w:val="22"/>
        </w:rPr>
        <w:t>‘</w:t>
      </w:r>
      <w:r w:rsidRPr="00A43833">
        <w:rPr>
          <w:rFonts w:asciiTheme="minorHAnsi" w:eastAsiaTheme="minorHAnsi" w:hAnsiTheme="minorHAnsi" w:cstheme="minorBidi"/>
          <w:snapToGrid/>
          <w:sz w:val="24"/>
          <w:szCs w:val="22"/>
        </w:rPr>
        <w:t>a</w:t>
      </w:r>
      <w:r>
        <w:rPr>
          <w:rFonts w:asciiTheme="minorHAnsi" w:eastAsiaTheme="minorHAnsi" w:hAnsiTheme="minorHAnsi" w:cstheme="minorBidi"/>
          <w:snapToGrid/>
          <w:sz w:val="24"/>
          <w:szCs w:val="22"/>
        </w:rPr>
        <w:t>’</w:t>
      </w:r>
      <w:r w:rsidRPr="00A43833">
        <w:rPr>
          <w:rFonts w:asciiTheme="minorHAnsi" w:eastAsiaTheme="minorHAnsi" w:hAnsiTheme="minorHAnsi" w:cstheme="minorBidi"/>
          <w:snapToGrid/>
          <w:sz w:val="24"/>
          <w:szCs w:val="22"/>
        </w:rPr>
        <w:t xml:space="preserve"> flags.  </w:t>
      </w:r>
    </w:p>
    <w:p w:rsidR="007E7663" w:rsidRPr="00AB31DE" w:rsidRDefault="007E7663" w:rsidP="007E7663">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t xml:space="preserve">The ability for prescribers and pharmacists to substitute generic </w:t>
      </w:r>
      <w:r>
        <w:rPr>
          <w:rFonts w:asciiTheme="minorHAnsi" w:eastAsiaTheme="minorHAnsi" w:hAnsiTheme="minorHAnsi" w:cstheme="minorBidi"/>
          <w:snapToGrid/>
          <w:sz w:val="24"/>
          <w:szCs w:val="22"/>
        </w:rPr>
        <w:t xml:space="preserve">or biosimilar </w:t>
      </w:r>
      <w:r w:rsidRPr="00AB31DE">
        <w:rPr>
          <w:rFonts w:asciiTheme="minorHAnsi" w:eastAsiaTheme="minorHAnsi" w:hAnsiTheme="minorHAnsi" w:cstheme="minorBidi"/>
          <w:snapToGrid/>
          <w:sz w:val="24"/>
          <w:szCs w:val="22"/>
        </w:rPr>
        <w:t xml:space="preserve">brands for originator brands is an important part of encouraging use of generics </w:t>
      </w:r>
      <w:r>
        <w:rPr>
          <w:rFonts w:asciiTheme="minorHAnsi" w:eastAsiaTheme="minorHAnsi" w:hAnsiTheme="minorHAnsi" w:cstheme="minorBidi"/>
          <w:snapToGrid/>
          <w:sz w:val="24"/>
          <w:szCs w:val="22"/>
        </w:rPr>
        <w:t xml:space="preserve">and </w:t>
      </w:r>
      <w:proofErr w:type="spellStart"/>
      <w:r>
        <w:rPr>
          <w:rFonts w:asciiTheme="minorHAnsi" w:eastAsiaTheme="minorHAnsi" w:hAnsiTheme="minorHAnsi" w:cstheme="minorBidi"/>
          <w:snapToGrid/>
          <w:sz w:val="24"/>
          <w:szCs w:val="22"/>
        </w:rPr>
        <w:t>biosimilars</w:t>
      </w:r>
      <w:proofErr w:type="spellEnd"/>
      <w:r>
        <w:rPr>
          <w:rFonts w:asciiTheme="minorHAnsi" w:eastAsiaTheme="minorHAnsi" w:hAnsiTheme="minorHAnsi" w:cstheme="minorBidi"/>
          <w:snapToGrid/>
          <w:sz w:val="24"/>
          <w:szCs w:val="22"/>
        </w:rPr>
        <w:t xml:space="preserve"> </w:t>
      </w:r>
      <w:r w:rsidRPr="00AB31DE">
        <w:rPr>
          <w:rFonts w:asciiTheme="minorHAnsi" w:eastAsiaTheme="minorHAnsi" w:hAnsiTheme="minorHAnsi" w:cstheme="minorBidi"/>
          <w:snapToGrid/>
          <w:sz w:val="24"/>
          <w:szCs w:val="22"/>
        </w:rPr>
        <w:t>in the marketplace and adds to the sustainability of the PBS.</w:t>
      </w:r>
    </w:p>
    <w:p w:rsidR="00B03FCF" w:rsidRPr="00A43833" w:rsidRDefault="00B03FCF" w:rsidP="00B03FCF">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43833">
        <w:rPr>
          <w:rFonts w:asciiTheme="minorHAnsi" w:eastAsiaTheme="minorHAnsi" w:hAnsiTheme="minorHAnsi" w:cstheme="minorBidi"/>
          <w:snapToGrid/>
          <w:sz w:val="24"/>
          <w:szCs w:val="22"/>
        </w:rPr>
        <w:t xml:space="preserve">For any individual prescription, a prescriber may choose to not permit brand substitution by indicating ‘substitution not permitted’ on the prescription.  Likewise, when substitution is permitted, a patient may nominate which </w:t>
      </w:r>
      <w:r>
        <w:rPr>
          <w:rFonts w:asciiTheme="minorHAnsi" w:eastAsiaTheme="minorHAnsi" w:hAnsiTheme="minorHAnsi" w:cstheme="minorBidi"/>
          <w:snapToGrid/>
          <w:sz w:val="24"/>
          <w:szCs w:val="22"/>
        </w:rPr>
        <w:t>‘</w:t>
      </w:r>
      <w:r w:rsidRPr="00A43833">
        <w:rPr>
          <w:rFonts w:asciiTheme="minorHAnsi" w:eastAsiaTheme="minorHAnsi" w:hAnsiTheme="minorHAnsi" w:cstheme="minorBidi"/>
          <w:snapToGrid/>
          <w:sz w:val="24"/>
          <w:szCs w:val="22"/>
        </w:rPr>
        <w:t>a</w:t>
      </w:r>
      <w:r>
        <w:rPr>
          <w:rFonts w:asciiTheme="minorHAnsi" w:eastAsiaTheme="minorHAnsi" w:hAnsiTheme="minorHAnsi" w:cstheme="minorBidi"/>
          <w:snapToGrid/>
          <w:sz w:val="24"/>
          <w:szCs w:val="22"/>
        </w:rPr>
        <w:t>’</w:t>
      </w:r>
      <w:r w:rsidRPr="00A43833">
        <w:rPr>
          <w:rFonts w:asciiTheme="minorHAnsi" w:eastAsiaTheme="minorHAnsi" w:hAnsiTheme="minorHAnsi" w:cstheme="minorBidi"/>
          <w:snapToGrid/>
          <w:sz w:val="24"/>
          <w:szCs w:val="22"/>
        </w:rPr>
        <w:t xml:space="preserve"> flagged brand they wish to receive from the pharmacist, except when State or Territory Law prohibits substitution (e.g. for Schedule 8 drugs of dependence). The substitution process allows for patient and prescriber choice and is not automatic.</w:t>
      </w:r>
    </w:p>
    <w:p w:rsidR="00B03FCF" w:rsidRPr="00A43833" w:rsidRDefault="00B03FCF" w:rsidP="00B03FCF">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43833">
        <w:rPr>
          <w:rFonts w:asciiTheme="minorHAnsi" w:eastAsiaTheme="minorHAnsi" w:hAnsiTheme="minorHAnsi" w:cstheme="minorBidi"/>
          <w:snapToGrid/>
          <w:sz w:val="24"/>
          <w:szCs w:val="22"/>
        </w:rPr>
        <w:t xml:space="preserve">The </w:t>
      </w:r>
      <w:r w:rsidRPr="00BC3E75">
        <w:rPr>
          <w:rFonts w:asciiTheme="minorHAnsi" w:eastAsiaTheme="minorHAnsi" w:hAnsiTheme="minorHAnsi" w:cstheme="minorBidi"/>
          <w:i/>
          <w:snapToGrid/>
          <w:sz w:val="24"/>
          <w:szCs w:val="22"/>
        </w:rPr>
        <w:t>National Health Act</w:t>
      </w:r>
      <w:r w:rsidRPr="00A43833">
        <w:rPr>
          <w:rFonts w:asciiTheme="minorHAnsi" w:eastAsiaTheme="minorHAnsi" w:hAnsiTheme="minorHAnsi" w:cstheme="minorBidi"/>
          <w:snapToGrid/>
          <w:sz w:val="24"/>
          <w:szCs w:val="22"/>
        </w:rPr>
        <w:t xml:space="preserve"> 1953 (“The Act”) makes it an offence for a pharmacist to supply a pharmaceutical benefit other than the benefit directed to be supplied in a prescription except when, amongst other criteria, the Schedule issued by the Department of Health states that the specified benefit and the substitute benefit are equivalent.</w:t>
      </w:r>
    </w:p>
    <w:p w:rsidR="007E7663" w:rsidRPr="00AB31DE" w:rsidRDefault="007E7663" w:rsidP="002579FA">
      <w:pPr>
        <w:pStyle w:val="ListParagraph"/>
        <w:widowControl/>
        <w:numPr>
          <w:ilvl w:val="1"/>
          <w:numId w:val="5"/>
        </w:numPr>
        <w:spacing w:before="120" w:after="160"/>
        <w:contextualSpacing w:val="0"/>
        <w:rPr>
          <w:rFonts w:asciiTheme="minorHAnsi" w:hAnsiTheme="minorHAnsi"/>
        </w:rPr>
      </w:pPr>
      <w:r>
        <w:rPr>
          <w:rFonts w:asciiTheme="minorHAnsi" w:eastAsiaTheme="minorHAnsi" w:hAnsiTheme="minorHAnsi" w:cstheme="minorBidi"/>
          <w:snapToGrid/>
          <w:sz w:val="24"/>
          <w:szCs w:val="22"/>
        </w:rPr>
        <w:lastRenderedPageBreak/>
        <w:t xml:space="preserve">At the March 2018 meeting, the PBAC advised that the following revised considerations will be used to make a recommendation on brand equivalence (‘a’ flagged) of </w:t>
      </w:r>
      <w:proofErr w:type="spellStart"/>
      <w:r>
        <w:rPr>
          <w:rFonts w:asciiTheme="minorHAnsi" w:eastAsiaTheme="minorHAnsi" w:hAnsiTheme="minorHAnsi" w:cstheme="minorBidi"/>
          <w:snapToGrid/>
          <w:sz w:val="24"/>
          <w:szCs w:val="22"/>
        </w:rPr>
        <w:t>biosimilars</w:t>
      </w:r>
      <w:proofErr w:type="spellEnd"/>
      <w:r>
        <w:rPr>
          <w:rFonts w:asciiTheme="minorHAnsi" w:eastAsiaTheme="minorHAnsi" w:hAnsiTheme="minorHAnsi" w:cstheme="minorBidi"/>
          <w:snapToGrid/>
          <w:sz w:val="24"/>
          <w:szCs w:val="22"/>
        </w:rPr>
        <w:t xml:space="preserve"> with the reference brand;</w:t>
      </w:r>
    </w:p>
    <w:p w:rsidR="007E7663" w:rsidRPr="00FA2051" w:rsidRDefault="007E7663" w:rsidP="002579FA">
      <w:pPr>
        <w:pStyle w:val="PBACheading10"/>
        <w:numPr>
          <w:ilvl w:val="0"/>
          <w:numId w:val="19"/>
        </w:numPr>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The Therapeutic Goods Administration has determined that the product is a biosimilar of the reference medicine as evidenced by ARTG registration documentation;</w:t>
      </w:r>
    </w:p>
    <w:p w:rsidR="007E7663" w:rsidRPr="00FA2051" w:rsidRDefault="007E7663" w:rsidP="002579FA">
      <w:pPr>
        <w:pStyle w:val="PBACheading10"/>
        <w:numPr>
          <w:ilvl w:val="0"/>
          <w:numId w:val="19"/>
        </w:numPr>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Availability of supportive data relating to the effects of switching between the reference product and the biosimilar product/s; and</w:t>
      </w:r>
    </w:p>
    <w:p w:rsidR="007E7663" w:rsidRPr="00FA2051" w:rsidRDefault="007E7663" w:rsidP="002579FA">
      <w:pPr>
        <w:pStyle w:val="PBACheading10"/>
        <w:numPr>
          <w:ilvl w:val="0"/>
          <w:numId w:val="19"/>
        </w:numPr>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Practical considerations relating to substitution by the pharmacist at the point of dispensing. This includes strength of formulation, number of units per pack and maximum quantities between the brands, which may make substitution at the pharmacy level difficult from a practical perspective.</w:t>
      </w:r>
    </w:p>
    <w:p w:rsidR="007E7663" w:rsidRPr="00AB31DE" w:rsidRDefault="007E7663" w:rsidP="002579FA">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1B1214">
        <w:rPr>
          <w:rFonts w:asciiTheme="minorHAnsi" w:eastAsiaTheme="minorHAnsi" w:hAnsiTheme="minorHAnsi" w:cstheme="minorBidi"/>
          <w:snapToGrid/>
          <w:sz w:val="24"/>
          <w:szCs w:val="22"/>
        </w:rPr>
        <w:t xml:space="preserve">The PBAC considered that where a biosimilar product could not be recommended to be brand equivalent (‘a’ flagged) at the </w:t>
      </w:r>
      <w:r w:rsidRPr="00AB31DE">
        <w:rPr>
          <w:rFonts w:asciiTheme="minorHAnsi" w:eastAsiaTheme="minorHAnsi" w:hAnsiTheme="minorHAnsi" w:cstheme="minorBidi"/>
          <w:snapToGrid/>
          <w:sz w:val="24"/>
          <w:szCs w:val="22"/>
        </w:rPr>
        <w:t xml:space="preserve">time of PBS listing, data should be collected to support </w:t>
      </w:r>
      <w:r>
        <w:rPr>
          <w:rFonts w:asciiTheme="minorHAnsi" w:eastAsiaTheme="minorHAnsi" w:hAnsiTheme="minorHAnsi" w:cstheme="minorBidi"/>
          <w:snapToGrid/>
          <w:sz w:val="24"/>
          <w:szCs w:val="22"/>
        </w:rPr>
        <w:t>this consideration</w:t>
      </w:r>
      <w:r w:rsidRPr="00AB31DE">
        <w:rPr>
          <w:rFonts w:asciiTheme="minorHAnsi" w:eastAsiaTheme="minorHAnsi" w:hAnsiTheme="minorHAnsi" w:cstheme="minorBidi"/>
          <w:snapToGrid/>
          <w:sz w:val="24"/>
          <w:szCs w:val="22"/>
        </w:rPr>
        <w:t xml:space="preserve"> at a later point.</w:t>
      </w:r>
    </w:p>
    <w:p w:rsidR="007E7663" w:rsidRPr="00AB31DE" w:rsidRDefault="007E7663" w:rsidP="002579FA">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If</w:t>
      </w:r>
      <w:r w:rsidRPr="00AB31DE">
        <w:rPr>
          <w:rFonts w:asciiTheme="minorHAnsi" w:eastAsiaTheme="minorHAnsi" w:hAnsiTheme="minorHAnsi" w:cstheme="minorBidi"/>
          <w:snapToGrid/>
          <w:sz w:val="24"/>
          <w:szCs w:val="22"/>
        </w:rPr>
        <w:t xml:space="preserve"> the PBAC provides advice</w:t>
      </w:r>
      <w:r>
        <w:rPr>
          <w:rFonts w:asciiTheme="minorHAnsi" w:eastAsiaTheme="minorHAnsi" w:hAnsiTheme="minorHAnsi" w:cstheme="minorBidi"/>
          <w:snapToGrid/>
          <w:sz w:val="24"/>
          <w:szCs w:val="22"/>
        </w:rPr>
        <w:t xml:space="preserve"> on brand equivalence (‘a’ flagging)</w:t>
      </w:r>
      <w:r w:rsidRPr="00AB31DE">
        <w:rPr>
          <w:rFonts w:asciiTheme="minorHAnsi" w:eastAsiaTheme="minorHAnsi" w:hAnsiTheme="minorHAnsi" w:cstheme="minorBidi"/>
          <w:snapToGrid/>
          <w:sz w:val="24"/>
          <w:szCs w:val="22"/>
        </w:rPr>
        <w:t xml:space="preserve">, the decision to apply brand equivalence to listings in the Schedule is made by the Minister for Health (or Delegate). </w:t>
      </w:r>
    </w:p>
    <w:p w:rsidR="00B03FCF" w:rsidRPr="00050196" w:rsidRDefault="00B03FCF" w:rsidP="00B03FCF">
      <w:pPr>
        <w:pStyle w:val="PBACHeading1"/>
        <w:numPr>
          <w:ilvl w:val="0"/>
          <w:numId w:val="0"/>
        </w:numPr>
        <w:spacing w:after="160"/>
        <w:outlineLvl w:val="9"/>
        <w:rPr>
          <w:rStyle w:val="Emphasis"/>
          <w:rFonts w:asciiTheme="minorHAnsi" w:hAnsiTheme="minorHAnsi"/>
          <w:sz w:val="24"/>
          <w:szCs w:val="24"/>
        </w:rPr>
      </w:pPr>
      <w:r w:rsidRPr="00050196">
        <w:rPr>
          <w:rStyle w:val="Emphasis"/>
          <w:rFonts w:asciiTheme="minorHAnsi" w:hAnsiTheme="minorHAnsi"/>
          <w:sz w:val="24"/>
          <w:szCs w:val="24"/>
        </w:rPr>
        <w:t>Biosimilar uptake measures</w:t>
      </w:r>
    </w:p>
    <w:p w:rsidR="00B03FCF" w:rsidRDefault="00B03FCF" w:rsidP="00B03FCF">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4C7B43">
        <w:rPr>
          <w:rFonts w:asciiTheme="minorHAnsi" w:eastAsiaTheme="minorHAnsi" w:hAnsiTheme="minorHAnsi" w:cstheme="minorBidi"/>
          <w:snapToGrid/>
          <w:sz w:val="24"/>
          <w:szCs w:val="22"/>
        </w:rPr>
        <w:t xml:space="preserve">The biosimilar uptake </w:t>
      </w:r>
      <w:r>
        <w:rPr>
          <w:rFonts w:asciiTheme="minorHAnsi" w:eastAsiaTheme="minorHAnsi" w:hAnsiTheme="minorHAnsi" w:cstheme="minorBidi"/>
          <w:snapToGrid/>
          <w:sz w:val="24"/>
          <w:szCs w:val="22"/>
        </w:rPr>
        <w:t>measures</w:t>
      </w:r>
      <w:r w:rsidRPr="004C7B43">
        <w:rPr>
          <w:rFonts w:asciiTheme="minorHAnsi" w:eastAsiaTheme="minorHAnsi" w:hAnsiTheme="minorHAnsi" w:cstheme="minorBidi"/>
          <w:snapToGrid/>
          <w:sz w:val="24"/>
          <w:szCs w:val="22"/>
        </w:rPr>
        <w:t xml:space="preserve"> were agreed as part of the strategic agreements that the Government reached with Medicines Australia, the Generic and Biosimilar Medicines Association and the Pharmacy Guild of Australia as part of the 2017 Budget process.  </w:t>
      </w:r>
    </w:p>
    <w:p w:rsidR="00B03FCF" w:rsidRPr="0082740D" w:rsidRDefault="00B03FCF" w:rsidP="00B03FCF">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4C7B43">
        <w:rPr>
          <w:rFonts w:asciiTheme="minorHAnsi" w:eastAsiaTheme="minorHAnsi" w:hAnsiTheme="minorHAnsi" w:cstheme="minorBidi"/>
          <w:snapToGrid/>
          <w:sz w:val="24"/>
          <w:szCs w:val="22"/>
        </w:rPr>
        <w:t>The PBAC will advis</w:t>
      </w:r>
      <w:r>
        <w:rPr>
          <w:rFonts w:asciiTheme="minorHAnsi" w:eastAsiaTheme="minorHAnsi" w:hAnsiTheme="minorHAnsi" w:cstheme="minorBidi"/>
          <w:snapToGrid/>
          <w:sz w:val="24"/>
          <w:szCs w:val="22"/>
        </w:rPr>
        <w:t>e</w:t>
      </w:r>
      <w:r w:rsidRPr="004C7B43">
        <w:rPr>
          <w:rFonts w:asciiTheme="minorHAnsi" w:eastAsiaTheme="minorHAnsi" w:hAnsiTheme="minorHAnsi" w:cstheme="minorBidi"/>
          <w:snapToGrid/>
          <w:sz w:val="24"/>
          <w:szCs w:val="22"/>
        </w:rPr>
        <w:t xml:space="preserve"> whether implementation of the uptake drivers is likely to raise any clinical or other concerns about appropriate use on the PBS.  </w:t>
      </w:r>
      <w:r w:rsidRPr="0082740D">
        <w:rPr>
          <w:rFonts w:asciiTheme="minorHAnsi" w:eastAsiaTheme="minorHAnsi" w:hAnsiTheme="minorHAnsi" w:cstheme="minorBidi"/>
          <w:snapToGrid/>
          <w:sz w:val="24"/>
          <w:szCs w:val="22"/>
        </w:rPr>
        <w:t xml:space="preserve">The PBAC may, on a case-by-case basis, provide advice relating to: </w:t>
      </w:r>
    </w:p>
    <w:p w:rsidR="00B03FCF" w:rsidRPr="0082740D" w:rsidRDefault="00B03FCF" w:rsidP="00B03FCF">
      <w:pPr>
        <w:pStyle w:val="ListParagraph"/>
        <w:numPr>
          <w:ilvl w:val="0"/>
          <w:numId w:val="17"/>
        </w:numPr>
        <w:autoSpaceDE w:val="0"/>
        <w:autoSpaceDN w:val="0"/>
        <w:adjustRightInd w:val="0"/>
        <w:ind w:left="1097"/>
        <w:rPr>
          <w:rFonts w:asciiTheme="minorHAnsi" w:eastAsiaTheme="minorHAnsi" w:hAnsiTheme="minorHAnsi" w:cstheme="minorBidi"/>
          <w:snapToGrid/>
          <w:sz w:val="24"/>
          <w:szCs w:val="22"/>
        </w:rPr>
      </w:pPr>
      <w:r w:rsidRPr="0082740D">
        <w:rPr>
          <w:rFonts w:asciiTheme="minorHAnsi" w:eastAsiaTheme="minorHAnsi" w:hAnsiTheme="minorHAnsi" w:cstheme="minorBidi"/>
          <w:snapToGrid/>
          <w:sz w:val="24"/>
          <w:szCs w:val="22"/>
        </w:rPr>
        <w:t xml:space="preserve">encouraging the prescribing of a biosimilar brand for treatment naïve patients;  and </w:t>
      </w:r>
    </w:p>
    <w:p w:rsidR="00B03FCF" w:rsidRPr="0082740D" w:rsidRDefault="00B03FCF" w:rsidP="00B03FCF">
      <w:pPr>
        <w:pStyle w:val="ListParagraph"/>
        <w:numPr>
          <w:ilvl w:val="0"/>
          <w:numId w:val="17"/>
        </w:numPr>
        <w:autoSpaceDE w:val="0"/>
        <w:autoSpaceDN w:val="0"/>
        <w:adjustRightInd w:val="0"/>
        <w:ind w:left="1097"/>
        <w:rPr>
          <w:rFonts w:asciiTheme="minorHAnsi" w:eastAsiaTheme="minorHAnsi" w:hAnsiTheme="minorHAnsi" w:cstheme="minorBidi"/>
          <w:snapToGrid/>
          <w:sz w:val="24"/>
          <w:szCs w:val="22"/>
        </w:rPr>
      </w:pPr>
      <w:proofErr w:type="gramStart"/>
      <w:r w:rsidRPr="0082740D">
        <w:rPr>
          <w:rFonts w:asciiTheme="minorHAnsi" w:eastAsiaTheme="minorHAnsi" w:hAnsiTheme="minorHAnsi" w:cstheme="minorBidi"/>
          <w:snapToGrid/>
          <w:sz w:val="24"/>
          <w:szCs w:val="22"/>
        </w:rPr>
        <w:t>applying</w:t>
      </w:r>
      <w:proofErr w:type="gramEnd"/>
      <w:r w:rsidRPr="0082740D">
        <w:rPr>
          <w:rFonts w:asciiTheme="minorHAnsi" w:eastAsiaTheme="minorHAnsi" w:hAnsiTheme="minorHAnsi" w:cstheme="minorBidi"/>
          <w:snapToGrid/>
          <w:sz w:val="24"/>
          <w:szCs w:val="22"/>
        </w:rPr>
        <w:t xml:space="preserve"> a lower level of authority to biosimilar brand(s) than exists for the reference brand of biological medicines. </w:t>
      </w:r>
    </w:p>
    <w:p w:rsidR="00B03FCF" w:rsidRDefault="00B03FCF" w:rsidP="00B03FCF">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4C7B43">
        <w:rPr>
          <w:rFonts w:asciiTheme="minorHAnsi" w:eastAsiaTheme="minorHAnsi" w:hAnsiTheme="minorHAnsi" w:cstheme="minorBidi"/>
          <w:snapToGrid/>
          <w:sz w:val="24"/>
          <w:szCs w:val="22"/>
        </w:rPr>
        <w:t xml:space="preserve">After PBAC advice is received, a decision will be made about applying the drivers for the relevant medicine. The policy provides for lower authority requirements only for biosimilar brands, but there will be no increase in authority requirements to prescribe reference brands. </w:t>
      </w:r>
    </w:p>
    <w:p w:rsidR="00B03FCF" w:rsidRDefault="00B03FCF" w:rsidP="002579FA">
      <w:pPr>
        <w:pStyle w:val="ListParagraph"/>
        <w:numPr>
          <w:ilvl w:val="1"/>
          <w:numId w:val="5"/>
        </w:numPr>
        <w:spacing w:before="120" w:after="160"/>
        <w:rPr>
          <w:rFonts w:asciiTheme="minorHAnsi" w:hAnsiTheme="minorHAnsi"/>
          <w:sz w:val="24"/>
          <w:szCs w:val="24"/>
        </w:rPr>
      </w:pPr>
      <w:r w:rsidRPr="00FD6434">
        <w:rPr>
          <w:rFonts w:asciiTheme="minorHAnsi" w:hAnsiTheme="minorHAnsi"/>
          <w:sz w:val="24"/>
          <w:szCs w:val="24"/>
        </w:rPr>
        <w:t xml:space="preserve">The PBAC has previously stated it had no concerns </w:t>
      </w:r>
      <w:r w:rsidRPr="00050196">
        <w:rPr>
          <w:rFonts w:asciiTheme="minorHAnsi" w:hAnsiTheme="minorHAnsi"/>
          <w:sz w:val="24"/>
          <w:szCs w:val="24"/>
        </w:rPr>
        <w:t>about encouraging prescribing of a biosimilar brand rather than the</w:t>
      </w:r>
      <w:r>
        <w:rPr>
          <w:rFonts w:asciiTheme="minorHAnsi" w:hAnsiTheme="minorHAnsi"/>
          <w:sz w:val="24"/>
          <w:szCs w:val="24"/>
        </w:rPr>
        <w:t xml:space="preserve"> </w:t>
      </w:r>
      <w:r w:rsidRPr="00050196">
        <w:rPr>
          <w:rFonts w:asciiTheme="minorHAnsi" w:hAnsiTheme="minorHAnsi"/>
          <w:sz w:val="24"/>
          <w:szCs w:val="24"/>
        </w:rPr>
        <w:t>reference biological agent brand for treatment naïve patients, including through notes in</w:t>
      </w:r>
      <w:r>
        <w:rPr>
          <w:rFonts w:asciiTheme="minorHAnsi" w:hAnsiTheme="minorHAnsi"/>
          <w:sz w:val="24"/>
          <w:szCs w:val="24"/>
        </w:rPr>
        <w:t xml:space="preserve"> </w:t>
      </w:r>
      <w:r w:rsidRPr="00050196">
        <w:rPr>
          <w:rFonts w:asciiTheme="minorHAnsi" w:hAnsiTheme="minorHAnsi"/>
          <w:sz w:val="24"/>
          <w:szCs w:val="24"/>
        </w:rPr>
        <w:t>the Schedule and prescribing software changes. (</w:t>
      </w:r>
      <w:r>
        <w:rPr>
          <w:rFonts w:asciiTheme="minorHAnsi" w:hAnsiTheme="minorHAnsi"/>
          <w:sz w:val="24"/>
          <w:szCs w:val="24"/>
        </w:rPr>
        <w:t xml:space="preserve">Etanercept (Brenzys) Public Summary Document, </w:t>
      </w:r>
      <w:r w:rsidRPr="00050196">
        <w:rPr>
          <w:rFonts w:asciiTheme="minorHAnsi" w:hAnsiTheme="minorHAnsi"/>
          <w:sz w:val="24"/>
          <w:szCs w:val="24"/>
        </w:rPr>
        <w:t>August 2017</w:t>
      </w:r>
      <w:r>
        <w:rPr>
          <w:rFonts w:asciiTheme="minorHAnsi" w:hAnsiTheme="minorHAnsi"/>
          <w:sz w:val="24"/>
          <w:szCs w:val="24"/>
        </w:rPr>
        <w:t xml:space="preserve"> </w:t>
      </w:r>
      <w:r w:rsidRPr="00050196">
        <w:rPr>
          <w:rFonts w:asciiTheme="minorHAnsi" w:hAnsiTheme="minorHAnsi"/>
          <w:sz w:val="24"/>
          <w:szCs w:val="24"/>
        </w:rPr>
        <w:t>PBAC Meeting).</w:t>
      </w:r>
    </w:p>
    <w:p w:rsidR="006853D4" w:rsidRPr="00A87A51" w:rsidRDefault="006853D4" w:rsidP="002579FA">
      <w:pPr>
        <w:pStyle w:val="PBACHeading1"/>
        <w:numPr>
          <w:ilvl w:val="0"/>
          <w:numId w:val="0"/>
        </w:numPr>
        <w:outlineLvl w:val="9"/>
        <w:rPr>
          <w:rFonts w:asciiTheme="minorHAnsi" w:hAnsiTheme="minorHAnsi" w:cstheme="minorHAnsi"/>
          <w:b w:val="0"/>
          <w:i/>
          <w:sz w:val="24"/>
        </w:rPr>
      </w:pPr>
      <w:r w:rsidRPr="00A87A51">
        <w:rPr>
          <w:rFonts w:asciiTheme="minorHAnsi" w:hAnsiTheme="minorHAnsi" w:cstheme="minorHAnsi"/>
          <w:b w:val="0"/>
          <w:i/>
          <w:sz w:val="24"/>
        </w:rPr>
        <w:lastRenderedPageBreak/>
        <w:t xml:space="preserve">For more detail on PBAC’s view, see section </w:t>
      </w:r>
      <w:r w:rsidR="00CE3573" w:rsidRPr="00A87A51">
        <w:rPr>
          <w:rFonts w:asciiTheme="minorHAnsi" w:hAnsiTheme="minorHAnsi" w:cstheme="minorHAnsi"/>
          <w:b w:val="0"/>
          <w:i/>
          <w:sz w:val="24"/>
        </w:rPr>
        <w:t>5</w:t>
      </w:r>
      <w:r w:rsidRPr="00A87A51">
        <w:rPr>
          <w:rFonts w:asciiTheme="minorHAnsi" w:hAnsiTheme="minorHAnsi" w:cstheme="minorHAnsi"/>
          <w:b w:val="0"/>
          <w:i/>
          <w:sz w:val="24"/>
        </w:rPr>
        <w:t xml:space="preserve"> PBAC outcome.</w:t>
      </w:r>
    </w:p>
    <w:p w:rsidR="000B558D" w:rsidRPr="003C2FB5"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6853D4" w:rsidRPr="00525B39" w:rsidRDefault="006853D4" w:rsidP="002579FA">
      <w:pPr>
        <w:widowControl w:val="0"/>
        <w:spacing w:before="240" w:line="276" w:lineRule="auto"/>
        <w:jc w:val="both"/>
        <w:outlineLvl w:val="1"/>
        <w:rPr>
          <w:rFonts w:asciiTheme="minorHAnsi" w:hAnsiTheme="minorHAnsi" w:cs="Arial"/>
          <w:b/>
          <w:bCs/>
          <w:i/>
          <w:snapToGrid w:val="0"/>
          <w:sz w:val="28"/>
          <w:szCs w:val="28"/>
        </w:rPr>
      </w:pPr>
      <w:r w:rsidRPr="00525B39">
        <w:rPr>
          <w:rFonts w:asciiTheme="minorHAnsi" w:hAnsiTheme="minorHAnsi" w:cs="Arial"/>
          <w:b/>
          <w:bCs/>
          <w:i/>
          <w:snapToGrid w:val="0"/>
          <w:sz w:val="28"/>
          <w:szCs w:val="28"/>
        </w:rPr>
        <w:t>Sponsor hearing</w:t>
      </w:r>
    </w:p>
    <w:p w:rsidR="006853D4" w:rsidRPr="006853D4" w:rsidRDefault="006853D4" w:rsidP="006853D4">
      <w:pPr>
        <w:widowControl w:val="0"/>
        <w:numPr>
          <w:ilvl w:val="1"/>
          <w:numId w:val="5"/>
        </w:numPr>
        <w:spacing w:after="120"/>
        <w:jc w:val="both"/>
        <w:rPr>
          <w:rFonts w:asciiTheme="minorHAnsi" w:hAnsiTheme="minorHAnsi" w:cs="Arial"/>
          <w:bCs/>
          <w:snapToGrid w:val="0"/>
        </w:rPr>
      </w:pPr>
      <w:r w:rsidRPr="006853D4">
        <w:rPr>
          <w:rFonts w:asciiTheme="minorHAnsi" w:hAnsiTheme="minorHAnsi" w:cs="Arial"/>
          <w:bCs/>
          <w:snapToGrid w:val="0"/>
        </w:rPr>
        <w:t>There was no hearing for this item as it was a minor submission.</w:t>
      </w:r>
    </w:p>
    <w:p w:rsidR="006853D4" w:rsidRPr="00525B39" w:rsidRDefault="006853D4" w:rsidP="002579FA">
      <w:pPr>
        <w:widowControl w:val="0"/>
        <w:spacing w:before="240" w:line="276" w:lineRule="auto"/>
        <w:jc w:val="both"/>
        <w:outlineLvl w:val="1"/>
        <w:rPr>
          <w:rFonts w:asciiTheme="minorHAnsi" w:hAnsiTheme="minorHAnsi" w:cs="Arial"/>
          <w:b/>
          <w:bCs/>
          <w:i/>
          <w:snapToGrid w:val="0"/>
          <w:sz w:val="28"/>
          <w:szCs w:val="28"/>
        </w:rPr>
      </w:pPr>
      <w:r w:rsidRPr="00525B39">
        <w:rPr>
          <w:rFonts w:asciiTheme="minorHAnsi" w:hAnsiTheme="minorHAnsi" w:cs="Arial"/>
          <w:b/>
          <w:bCs/>
          <w:i/>
          <w:snapToGrid w:val="0"/>
          <w:sz w:val="28"/>
          <w:szCs w:val="28"/>
        </w:rPr>
        <w:t>Consumer comments</w:t>
      </w:r>
    </w:p>
    <w:p w:rsidR="006853D4" w:rsidRPr="00525B39" w:rsidRDefault="006853D4" w:rsidP="006853D4">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 PBAC noted and welcom</w:t>
      </w:r>
      <w:r>
        <w:rPr>
          <w:rFonts w:asciiTheme="minorHAnsi" w:hAnsiTheme="minorHAnsi" w:cs="Arial"/>
          <w:bCs/>
          <w:snapToGrid w:val="0"/>
        </w:rPr>
        <w:t xml:space="preserve">ed the input from </w:t>
      </w:r>
      <w:r w:rsidR="003645A3">
        <w:rPr>
          <w:rFonts w:asciiTheme="minorHAnsi" w:hAnsiTheme="minorHAnsi" w:cs="Arial"/>
          <w:bCs/>
          <w:snapToGrid w:val="0"/>
        </w:rPr>
        <w:t xml:space="preserve">an </w:t>
      </w:r>
      <w:r>
        <w:rPr>
          <w:rFonts w:asciiTheme="minorHAnsi" w:hAnsiTheme="minorHAnsi" w:cs="Arial"/>
          <w:bCs/>
          <w:snapToGrid w:val="0"/>
        </w:rPr>
        <w:t>individual (1</w:t>
      </w:r>
      <w:r w:rsidRPr="00525B39">
        <w:rPr>
          <w:rFonts w:asciiTheme="minorHAnsi" w:hAnsiTheme="minorHAnsi" w:cs="Arial"/>
          <w:bCs/>
          <w:snapToGrid w:val="0"/>
        </w:rPr>
        <w:t xml:space="preserve">) via the Consumer Comments facility on the PBS website.  </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76420C" w:rsidRPr="00701C1E" w:rsidRDefault="005574DC" w:rsidP="00615F48">
      <w:pPr>
        <w:pStyle w:val="ListParagraph"/>
        <w:widowControl/>
        <w:numPr>
          <w:ilvl w:val="1"/>
          <w:numId w:val="14"/>
        </w:numPr>
        <w:spacing w:before="120" w:after="160"/>
        <w:contextualSpacing w:val="0"/>
        <w:rPr>
          <w:rFonts w:asciiTheme="minorHAnsi" w:hAnsiTheme="minorHAnsi"/>
        </w:rPr>
      </w:pPr>
      <w:r>
        <w:rPr>
          <w:rFonts w:asciiTheme="minorHAnsi" w:eastAsiaTheme="minorHAnsi" w:hAnsiTheme="minorHAnsi" w:cstheme="minorBidi"/>
          <w:snapToGrid/>
          <w:sz w:val="24"/>
          <w:szCs w:val="22"/>
        </w:rPr>
        <w:t xml:space="preserve">The sponsor presented one pivotal trial that was used in the regulatory dossier submission to the TGA, comparing the efficacy and safety of </w:t>
      </w:r>
      <w:r w:rsidR="00833893" w:rsidRPr="00B603E5">
        <w:rPr>
          <w:rFonts w:asciiTheme="minorHAnsi" w:eastAsiaTheme="minorHAnsi" w:hAnsiTheme="minorHAnsi" w:cstheme="minorBidi"/>
          <w:snapToGrid/>
          <w:sz w:val="24"/>
          <w:szCs w:val="22"/>
        </w:rPr>
        <w:t>Hadlima</w:t>
      </w:r>
      <w:r w:rsidR="00833893" w:rsidRPr="00833893">
        <w:rPr>
          <w:rFonts w:asciiTheme="minorHAnsi" w:eastAsiaTheme="minorHAnsi" w:hAnsiTheme="minorHAnsi" w:cstheme="minorBidi"/>
          <w:snapToGrid/>
          <w:sz w:val="24"/>
          <w:szCs w:val="22"/>
        </w:rPr>
        <w:t>®</w:t>
      </w:r>
      <w:r w:rsidR="00833893" w:rsidRPr="00B603E5">
        <w:rPr>
          <w:rFonts w:asciiTheme="minorHAnsi" w:eastAsiaTheme="minorHAnsi" w:hAnsiTheme="minorHAnsi" w:cstheme="minorBidi"/>
          <w:snapToGrid/>
          <w:sz w:val="24"/>
          <w:szCs w:val="22"/>
        </w:rPr>
        <w:t xml:space="preserve"> </w:t>
      </w:r>
      <w:r w:rsidR="00833893">
        <w:rPr>
          <w:rFonts w:asciiTheme="minorHAnsi" w:eastAsiaTheme="minorHAnsi" w:hAnsiTheme="minorHAnsi" w:cstheme="minorBidi"/>
          <w:snapToGrid/>
          <w:sz w:val="24"/>
          <w:szCs w:val="22"/>
        </w:rPr>
        <w:t>with</w:t>
      </w:r>
      <w:r>
        <w:rPr>
          <w:rFonts w:asciiTheme="minorHAnsi" w:eastAsiaTheme="minorHAnsi" w:hAnsiTheme="minorHAnsi" w:cstheme="minorBidi"/>
          <w:snapToGrid/>
          <w:sz w:val="24"/>
          <w:szCs w:val="22"/>
        </w:rPr>
        <w:t xml:space="preserve"> Humira</w:t>
      </w:r>
      <w:r w:rsidR="00615F48" w:rsidRPr="00615F48">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in patients with rheumatoid arthritis. </w:t>
      </w:r>
    </w:p>
    <w:p w:rsidR="000068A1" w:rsidRPr="000068A1" w:rsidRDefault="000068A1" w:rsidP="00701C1E">
      <w:pPr>
        <w:pStyle w:val="ListParagraph"/>
        <w:widowControl/>
        <w:numPr>
          <w:ilvl w:val="1"/>
          <w:numId w:val="14"/>
        </w:numPr>
        <w:spacing w:before="120" w:after="60"/>
        <w:contextualSpacing w:val="0"/>
        <w:rPr>
          <w:rFonts w:asciiTheme="minorHAnsi" w:eastAsiaTheme="minorHAnsi" w:hAnsiTheme="minorHAnsi" w:cstheme="minorBidi"/>
          <w:snapToGrid/>
          <w:sz w:val="24"/>
          <w:szCs w:val="22"/>
        </w:rPr>
      </w:pPr>
      <w:r w:rsidRPr="00701C1E">
        <w:rPr>
          <w:rFonts w:asciiTheme="minorHAnsi" w:eastAsiaTheme="minorHAnsi" w:hAnsiTheme="minorHAnsi" w:cstheme="minorBidi"/>
          <w:snapToGrid/>
          <w:sz w:val="24"/>
          <w:szCs w:val="22"/>
        </w:rPr>
        <w:t xml:space="preserve">The sponsor provided the product information (PI) for </w:t>
      </w:r>
      <w:r w:rsidR="00833893" w:rsidRPr="00B603E5">
        <w:rPr>
          <w:rFonts w:asciiTheme="minorHAnsi" w:eastAsiaTheme="minorHAnsi" w:hAnsiTheme="minorHAnsi" w:cstheme="minorBidi"/>
          <w:snapToGrid/>
          <w:sz w:val="24"/>
          <w:szCs w:val="22"/>
        </w:rPr>
        <w:t>Hadlima</w:t>
      </w:r>
      <w:r w:rsidR="00833893" w:rsidRPr="00833893">
        <w:rPr>
          <w:rFonts w:asciiTheme="minorHAnsi" w:eastAsiaTheme="minorHAnsi" w:hAnsiTheme="minorHAnsi" w:cstheme="minorBidi"/>
          <w:snapToGrid/>
          <w:sz w:val="24"/>
          <w:szCs w:val="22"/>
        </w:rPr>
        <w:t>®</w:t>
      </w:r>
      <w:r w:rsidRPr="00701C1E">
        <w:rPr>
          <w:rFonts w:asciiTheme="minorHAnsi" w:eastAsiaTheme="minorHAnsi" w:hAnsiTheme="minorHAnsi" w:cstheme="minorBidi"/>
          <w:snapToGrid/>
          <w:sz w:val="24"/>
          <w:szCs w:val="22"/>
        </w:rPr>
        <w:t>, which presented the following information regarding the efficacy and safety findings of the</w:t>
      </w:r>
      <w:r w:rsidR="00AB7251">
        <w:rPr>
          <w:rFonts w:asciiTheme="minorHAnsi" w:eastAsiaTheme="minorHAnsi" w:hAnsiTheme="minorHAnsi" w:cstheme="minorBidi"/>
          <w:snapToGrid/>
          <w:sz w:val="24"/>
          <w:szCs w:val="22"/>
        </w:rPr>
        <w:t xml:space="preserve"> </w:t>
      </w:r>
      <w:r w:rsidR="000A1AB7">
        <w:rPr>
          <w:rFonts w:asciiTheme="minorHAnsi" w:eastAsiaTheme="minorHAnsi" w:hAnsiTheme="minorHAnsi" w:cstheme="minorBidi"/>
          <w:snapToGrid/>
          <w:sz w:val="24"/>
          <w:szCs w:val="22"/>
        </w:rPr>
        <w:t xml:space="preserve">phase 3 </w:t>
      </w:r>
      <w:r w:rsidR="000A1AB7" w:rsidRPr="00701C1E">
        <w:rPr>
          <w:rFonts w:asciiTheme="minorHAnsi" w:eastAsiaTheme="minorHAnsi" w:hAnsiTheme="minorHAnsi" w:cstheme="minorBidi"/>
          <w:snapToGrid/>
          <w:sz w:val="24"/>
          <w:szCs w:val="22"/>
        </w:rPr>
        <w:t xml:space="preserve">randomised, double-blind, parallel group, multicentre, </w:t>
      </w:r>
      <w:r w:rsidRPr="00701C1E">
        <w:rPr>
          <w:rFonts w:asciiTheme="minorHAnsi" w:eastAsiaTheme="minorHAnsi" w:hAnsiTheme="minorHAnsi" w:cstheme="minorBidi"/>
          <w:snapToGrid/>
          <w:sz w:val="24"/>
          <w:szCs w:val="22"/>
        </w:rPr>
        <w:t>clinical trial</w:t>
      </w:r>
      <w:r w:rsidR="000A1AB7">
        <w:rPr>
          <w:rFonts w:asciiTheme="minorHAnsi" w:eastAsiaTheme="minorHAnsi" w:hAnsiTheme="minorHAnsi" w:cstheme="minorBidi"/>
          <w:snapToGrid/>
          <w:sz w:val="24"/>
          <w:szCs w:val="22"/>
        </w:rPr>
        <w:t xml:space="preserve"> </w:t>
      </w:r>
      <w:r w:rsidR="000A1AB7" w:rsidRPr="00701C1E">
        <w:rPr>
          <w:rFonts w:asciiTheme="minorHAnsi" w:eastAsiaTheme="minorHAnsi" w:hAnsiTheme="minorHAnsi" w:cstheme="minorBidi"/>
          <w:snapToGrid/>
          <w:sz w:val="24"/>
          <w:szCs w:val="22"/>
        </w:rPr>
        <w:t>in patients with moderate to severe rheumatoid arthritis despite methotrexate therapy</w:t>
      </w:r>
      <w:r w:rsidRPr="00701C1E">
        <w:rPr>
          <w:rFonts w:asciiTheme="minorHAnsi" w:eastAsiaTheme="minorHAnsi" w:hAnsiTheme="minorHAnsi" w:cstheme="minorBidi"/>
          <w:snapToGrid/>
          <w:sz w:val="24"/>
          <w:szCs w:val="22"/>
        </w:rPr>
        <w:t>.</w:t>
      </w:r>
    </w:p>
    <w:p w:rsidR="00923969" w:rsidRPr="00701C1E" w:rsidRDefault="009B72C4" w:rsidP="00615F48">
      <w:pPr>
        <w:pStyle w:val="ListParagraph"/>
        <w:widowControl/>
        <w:numPr>
          <w:ilvl w:val="1"/>
          <w:numId w:val="14"/>
        </w:numPr>
        <w:spacing w:before="120" w:after="60"/>
        <w:contextualSpacing w:val="0"/>
        <w:rPr>
          <w:rFonts w:asciiTheme="minorHAnsi" w:hAnsiTheme="minorHAnsi"/>
        </w:rPr>
      </w:pPr>
      <w:r>
        <w:rPr>
          <w:rFonts w:asciiTheme="minorHAnsi" w:eastAsiaTheme="minorHAnsi" w:hAnsiTheme="minorHAnsi" w:cstheme="minorBidi"/>
          <w:snapToGrid/>
          <w:sz w:val="24"/>
          <w:szCs w:val="22"/>
        </w:rPr>
        <w:t xml:space="preserve">The primary efficacy endpoint, ACR20 response rate at Week 24, was equivalent in the </w:t>
      </w:r>
      <w:r w:rsidR="00833893" w:rsidRPr="00B603E5">
        <w:rPr>
          <w:rFonts w:asciiTheme="minorHAnsi" w:eastAsiaTheme="minorHAnsi" w:hAnsiTheme="minorHAnsi" w:cstheme="minorBidi"/>
          <w:snapToGrid/>
          <w:sz w:val="24"/>
          <w:szCs w:val="22"/>
        </w:rPr>
        <w:t>Hadlima</w:t>
      </w:r>
      <w:r w:rsidR="00833893" w:rsidRPr="00833893">
        <w:rPr>
          <w:rFonts w:asciiTheme="minorHAnsi" w:eastAsiaTheme="minorHAnsi" w:hAnsiTheme="minorHAnsi" w:cstheme="minorBidi"/>
          <w:snapToGrid/>
          <w:sz w:val="24"/>
          <w:szCs w:val="22"/>
        </w:rPr>
        <w:t>®</w:t>
      </w:r>
      <w:r w:rsidR="00833893" w:rsidRPr="00B603E5">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and Humira</w:t>
      </w:r>
      <w:r w:rsidR="00615F48" w:rsidRPr="00615F48">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treatment group. </w:t>
      </w:r>
      <w:r w:rsidR="00AB7251" w:rsidRPr="00701C1E">
        <w:rPr>
          <w:rFonts w:asciiTheme="minorHAnsi" w:eastAsiaTheme="minorHAnsi" w:hAnsiTheme="minorHAnsi" w:cstheme="minorBidi"/>
          <w:snapToGrid/>
          <w:sz w:val="24"/>
          <w:szCs w:val="22"/>
        </w:rPr>
        <w:t xml:space="preserve">The adjusted treatment difference in ACR20 response rate at Week 24 was 0.1% and the 95% confidence interval (CI) of the adjusted treatment difference was [−7.83%, 8.13%] which was completely contained within the pre-defined equivalence margin of [−15%, 15%]. </w:t>
      </w:r>
      <w:r w:rsidR="00923969">
        <w:rPr>
          <w:rFonts w:asciiTheme="minorHAnsi" w:eastAsiaTheme="minorHAnsi" w:hAnsiTheme="minorHAnsi" w:cstheme="minorBidi"/>
          <w:snapToGrid/>
          <w:sz w:val="24"/>
          <w:szCs w:val="22"/>
        </w:rPr>
        <w:t xml:space="preserve">The secondary efficacy endpoints (ACR50, ACR70, DAS28, EULAR response) at Week 24 were also comparable between </w:t>
      </w:r>
      <w:r w:rsidR="000A1AB7">
        <w:rPr>
          <w:rFonts w:asciiTheme="minorHAnsi" w:eastAsiaTheme="minorHAnsi" w:hAnsiTheme="minorHAnsi" w:cstheme="minorBidi"/>
          <w:snapToGrid/>
          <w:sz w:val="24"/>
          <w:szCs w:val="22"/>
        </w:rPr>
        <w:t>the treatment arms.</w:t>
      </w:r>
    </w:p>
    <w:p w:rsidR="000068A1" w:rsidRPr="00A87A51" w:rsidRDefault="009B72C4" w:rsidP="00E141CB">
      <w:pPr>
        <w:pStyle w:val="ListParagraph"/>
        <w:widowControl/>
        <w:numPr>
          <w:ilvl w:val="1"/>
          <w:numId w:val="14"/>
        </w:numPr>
        <w:spacing w:before="120" w:after="120"/>
        <w:contextualSpacing w:val="0"/>
        <w:rPr>
          <w:rFonts w:asciiTheme="minorHAnsi" w:eastAsiaTheme="minorHAnsi" w:hAnsiTheme="minorHAnsi" w:cstheme="minorBidi"/>
          <w:sz w:val="24"/>
          <w:szCs w:val="22"/>
        </w:rPr>
      </w:pPr>
      <w:r w:rsidRPr="00A87A51">
        <w:rPr>
          <w:rFonts w:asciiTheme="minorHAnsi" w:eastAsiaTheme="minorHAnsi" w:hAnsiTheme="minorHAnsi" w:cstheme="minorBidi"/>
          <w:snapToGrid/>
          <w:sz w:val="24"/>
          <w:szCs w:val="22"/>
        </w:rPr>
        <w:t>At Week 24, 254 patients receiving Humira</w:t>
      </w:r>
      <w:r w:rsidR="00833893" w:rsidRPr="00A87A51">
        <w:rPr>
          <w:rFonts w:asciiTheme="minorHAnsi" w:eastAsiaTheme="minorHAnsi" w:hAnsiTheme="minorHAnsi" w:cstheme="minorBidi"/>
          <w:snapToGrid/>
          <w:sz w:val="24"/>
          <w:szCs w:val="22"/>
        </w:rPr>
        <w:t>®</w:t>
      </w:r>
      <w:r w:rsidRPr="00A87A51">
        <w:rPr>
          <w:rFonts w:asciiTheme="minorHAnsi" w:eastAsiaTheme="minorHAnsi" w:hAnsiTheme="minorHAnsi" w:cstheme="minorBidi"/>
          <w:snapToGrid/>
          <w:sz w:val="24"/>
          <w:szCs w:val="22"/>
        </w:rPr>
        <w:t xml:space="preserve"> were randomised to either continue on Humira</w:t>
      </w:r>
      <w:r w:rsidR="00615F48" w:rsidRPr="00A87A51">
        <w:rPr>
          <w:rFonts w:asciiTheme="minorHAnsi" w:eastAsiaTheme="minorHAnsi" w:hAnsiTheme="minorHAnsi" w:cstheme="minorBidi"/>
          <w:snapToGrid/>
          <w:sz w:val="24"/>
          <w:szCs w:val="22"/>
        </w:rPr>
        <w:t>®</w:t>
      </w:r>
      <w:r w:rsidRPr="00A87A51">
        <w:rPr>
          <w:rFonts w:asciiTheme="minorHAnsi" w:eastAsiaTheme="minorHAnsi" w:hAnsiTheme="minorHAnsi" w:cstheme="minorBidi"/>
          <w:snapToGrid/>
          <w:sz w:val="24"/>
          <w:szCs w:val="22"/>
        </w:rPr>
        <w:t xml:space="preserve"> or be transitioned to </w:t>
      </w:r>
      <w:r w:rsidR="00833893" w:rsidRPr="00A87A51">
        <w:rPr>
          <w:rFonts w:asciiTheme="minorHAnsi" w:eastAsiaTheme="minorHAnsi" w:hAnsiTheme="minorHAnsi" w:cstheme="minorBidi"/>
          <w:snapToGrid/>
          <w:sz w:val="24"/>
          <w:szCs w:val="22"/>
        </w:rPr>
        <w:t>Hadlima® up</w:t>
      </w:r>
      <w:r w:rsidRPr="00A87A51">
        <w:rPr>
          <w:rFonts w:asciiTheme="minorHAnsi" w:eastAsiaTheme="minorHAnsi" w:hAnsiTheme="minorHAnsi" w:cstheme="minorBidi"/>
          <w:snapToGrid/>
          <w:sz w:val="24"/>
          <w:szCs w:val="22"/>
        </w:rPr>
        <w:t xml:space="preserve"> to Week 50</w:t>
      </w:r>
      <w:r w:rsidR="00E11874" w:rsidRPr="00A87A51">
        <w:rPr>
          <w:rFonts w:asciiTheme="minorHAnsi" w:eastAsiaTheme="minorHAnsi" w:hAnsiTheme="minorHAnsi" w:cstheme="minorBidi"/>
          <w:snapToGrid/>
          <w:sz w:val="24"/>
          <w:szCs w:val="22"/>
        </w:rPr>
        <w:t xml:space="preserve">. In </w:t>
      </w:r>
      <w:r w:rsidR="00923969" w:rsidRPr="00A87A51">
        <w:rPr>
          <w:rFonts w:asciiTheme="minorHAnsi" w:eastAsiaTheme="minorHAnsi" w:hAnsiTheme="minorHAnsi" w:cstheme="minorBidi"/>
          <w:snapToGrid/>
          <w:sz w:val="24"/>
          <w:szCs w:val="22"/>
        </w:rPr>
        <w:t>anti-drug antibody</w:t>
      </w:r>
      <w:r w:rsidR="00E11874" w:rsidRPr="00A87A51">
        <w:rPr>
          <w:rFonts w:asciiTheme="minorHAnsi" w:eastAsiaTheme="minorHAnsi" w:hAnsiTheme="minorHAnsi" w:cstheme="minorBidi"/>
          <w:snapToGrid/>
          <w:sz w:val="24"/>
          <w:szCs w:val="22"/>
        </w:rPr>
        <w:t xml:space="preserve"> positive patients, the ACR20 response rate at Week 24 was lower in the Hadlima</w:t>
      </w:r>
      <w:r w:rsidR="00833893" w:rsidRPr="00A87A51">
        <w:rPr>
          <w:rFonts w:asciiTheme="minorHAnsi" w:eastAsiaTheme="minorHAnsi" w:hAnsiTheme="minorHAnsi" w:cstheme="minorBidi"/>
          <w:snapToGrid/>
          <w:sz w:val="24"/>
          <w:szCs w:val="22"/>
        </w:rPr>
        <w:t>®</w:t>
      </w:r>
      <w:r w:rsidR="00E11874" w:rsidRPr="00A87A51">
        <w:rPr>
          <w:rFonts w:asciiTheme="minorHAnsi" w:eastAsiaTheme="minorHAnsi" w:hAnsiTheme="minorHAnsi" w:cstheme="minorBidi"/>
          <w:snapToGrid/>
          <w:sz w:val="24"/>
          <w:szCs w:val="22"/>
        </w:rPr>
        <w:t xml:space="preserve"> treatment group than in the Humira® treatment group (57.5% and 71.2%, respectively), while the ACR50 response rates were 28.8% and 35.6%, and the ACR 70 response rates were 19.2% and 16.4% in the Hadlima</w:t>
      </w:r>
      <w:r w:rsidR="00833893" w:rsidRPr="00A87A51">
        <w:rPr>
          <w:rFonts w:asciiTheme="minorHAnsi" w:eastAsiaTheme="minorHAnsi" w:hAnsiTheme="minorHAnsi" w:cstheme="minorBidi"/>
          <w:snapToGrid/>
          <w:sz w:val="24"/>
          <w:szCs w:val="22"/>
        </w:rPr>
        <w:t>®</w:t>
      </w:r>
      <w:r w:rsidR="00E11874" w:rsidRPr="00A87A51">
        <w:rPr>
          <w:rFonts w:asciiTheme="minorHAnsi" w:eastAsiaTheme="minorHAnsi" w:hAnsiTheme="minorHAnsi" w:cstheme="minorBidi"/>
          <w:snapToGrid/>
          <w:sz w:val="24"/>
          <w:szCs w:val="22"/>
        </w:rPr>
        <w:t xml:space="preserve"> and the Humira® treatment groups, respectively. The ACR20 response rates at Week 52 in ADA positive patients were 67.1%, 82.1%, and 76.2% in the Hadlima</w:t>
      </w:r>
      <w:r w:rsidR="00833893" w:rsidRPr="00A87A51">
        <w:rPr>
          <w:rFonts w:asciiTheme="minorHAnsi" w:eastAsiaTheme="minorHAnsi" w:hAnsiTheme="minorHAnsi" w:cstheme="minorBidi"/>
          <w:snapToGrid/>
          <w:sz w:val="24"/>
          <w:szCs w:val="22"/>
        </w:rPr>
        <w:t>®</w:t>
      </w:r>
      <w:r w:rsidR="00E11874" w:rsidRPr="00A87A51">
        <w:rPr>
          <w:rFonts w:asciiTheme="minorHAnsi" w:eastAsiaTheme="minorHAnsi" w:hAnsiTheme="minorHAnsi" w:cstheme="minorBidi"/>
          <w:snapToGrid/>
          <w:sz w:val="24"/>
          <w:szCs w:val="22"/>
        </w:rPr>
        <w:t>, Humira®/Hadlima</w:t>
      </w:r>
      <w:r w:rsidR="00615F48" w:rsidRPr="00A87A51">
        <w:rPr>
          <w:rFonts w:asciiTheme="minorHAnsi" w:eastAsiaTheme="minorHAnsi" w:hAnsiTheme="minorHAnsi" w:cstheme="minorBidi"/>
          <w:snapToGrid/>
          <w:sz w:val="24"/>
          <w:szCs w:val="22"/>
        </w:rPr>
        <w:t>®</w:t>
      </w:r>
      <w:r w:rsidR="00E11874" w:rsidRPr="00A87A51">
        <w:rPr>
          <w:rFonts w:asciiTheme="minorHAnsi" w:eastAsiaTheme="minorHAnsi" w:hAnsiTheme="minorHAnsi" w:cstheme="minorBidi"/>
          <w:snapToGrid/>
          <w:sz w:val="24"/>
          <w:szCs w:val="22"/>
        </w:rPr>
        <w:t xml:space="preserve">, and Humira®/Humira® </w:t>
      </w:r>
      <w:r w:rsidR="00833893" w:rsidRPr="00A87A51">
        <w:rPr>
          <w:rFonts w:asciiTheme="minorHAnsi" w:eastAsiaTheme="minorHAnsi" w:hAnsiTheme="minorHAnsi" w:cstheme="minorBidi"/>
          <w:snapToGrid/>
          <w:sz w:val="24"/>
          <w:szCs w:val="22"/>
        </w:rPr>
        <w:t xml:space="preserve">treatment groups, respectively. </w:t>
      </w:r>
      <w:r w:rsidR="00AB7251" w:rsidRPr="00A87A51">
        <w:rPr>
          <w:rFonts w:asciiTheme="minorHAnsi" w:eastAsiaTheme="minorHAnsi" w:hAnsiTheme="minorHAnsi" w:cstheme="minorBidi"/>
          <w:snapToGrid/>
          <w:sz w:val="24"/>
          <w:szCs w:val="22"/>
        </w:rPr>
        <w:t xml:space="preserve">However the study was not powered to detect differences in these smaller sub </w:t>
      </w:r>
      <w:r w:rsidR="00E728C5" w:rsidRPr="00A87A51">
        <w:rPr>
          <w:rFonts w:asciiTheme="minorHAnsi" w:eastAsiaTheme="minorHAnsi" w:hAnsiTheme="minorHAnsi" w:cstheme="minorBidi"/>
          <w:snapToGrid/>
          <w:sz w:val="24"/>
          <w:szCs w:val="22"/>
        </w:rPr>
        <w:t>groups. The</w:t>
      </w:r>
      <w:r w:rsidR="00923969" w:rsidRPr="00A87A51">
        <w:rPr>
          <w:rFonts w:asciiTheme="minorHAnsi" w:eastAsiaTheme="minorHAnsi" w:hAnsiTheme="minorHAnsi" w:cstheme="minorBidi"/>
          <w:snapToGrid/>
          <w:sz w:val="24"/>
          <w:szCs w:val="22"/>
        </w:rPr>
        <w:t xml:space="preserve"> incidence of treatment-emergent adverse events (TEAEs) up to Week 24 were 35.8% and 40.7% in the Hadlima</w:t>
      </w:r>
      <w:r w:rsidR="00615F48" w:rsidRPr="00A87A51">
        <w:rPr>
          <w:rFonts w:asciiTheme="minorHAnsi" w:eastAsiaTheme="minorHAnsi" w:hAnsiTheme="minorHAnsi" w:cstheme="minorBidi"/>
          <w:snapToGrid/>
          <w:sz w:val="24"/>
          <w:szCs w:val="22"/>
        </w:rPr>
        <w:t>®</w:t>
      </w:r>
      <w:r w:rsidR="00923969" w:rsidRPr="00A87A51">
        <w:rPr>
          <w:rFonts w:asciiTheme="minorHAnsi" w:eastAsiaTheme="minorHAnsi" w:hAnsiTheme="minorHAnsi" w:cstheme="minorBidi"/>
          <w:snapToGrid/>
          <w:sz w:val="24"/>
          <w:szCs w:val="22"/>
        </w:rPr>
        <w:t xml:space="preserve"> and Humira</w:t>
      </w:r>
      <w:r w:rsidR="00615F48" w:rsidRPr="00A87A51">
        <w:rPr>
          <w:rFonts w:asciiTheme="minorHAnsi" w:eastAsiaTheme="minorHAnsi" w:hAnsiTheme="minorHAnsi" w:cstheme="minorBidi"/>
          <w:snapToGrid/>
          <w:sz w:val="24"/>
          <w:szCs w:val="22"/>
        </w:rPr>
        <w:t>®</w:t>
      </w:r>
      <w:r w:rsidR="00923969" w:rsidRPr="00A87A51">
        <w:rPr>
          <w:rFonts w:asciiTheme="minorHAnsi" w:eastAsiaTheme="minorHAnsi" w:hAnsiTheme="minorHAnsi" w:cstheme="minorBidi"/>
          <w:snapToGrid/>
          <w:sz w:val="24"/>
          <w:szCs w:val="22"/>
        </w:rPr>
        <w:t xml:space="preserve"> treatment groups, respectively. The incidence o</w:t>
      </w:r>
      <w:r w:rsidR="000068A1" w:rsidRPr="00A87A51">
        <w:rPr>
          <w:rFonts w:asciiTheme="minorHAnsi" w:eastAsiaTheme="minorHAnsi" w:hAnsiTheme="minorHAnsi" w:cstheme="minorBidi"/>
          <w:snapToGrid/>
          <w:sz w:val="24"/>
          <w:szCs w:val="22"/>
        </w:rPr>
        <w:t xml:space="preserve">f </w:t>
      </w:r>
      <w:r w:rsidR="00923969" w:rsidRPr="00A87A51">
        <w:rPr>
          <w:rFonts w:asciiTheme="minorHAnsi" w:eastAsiaTheme="minorHAnsi" w:hAnsiTheme="minorHAnsi" w:cstheme="minorBidi"/>
          <w:snapToGrid/>
          <w:sz w:val="24"/>
          <w:szCs w:val="22"/>
        </w:rPr>
        <w:t>TEAEs up to Week 52 were 52.2%, 56.4%, and 54.3% in the Hadlima</w:t>
      </w:r>
      <w:r w:rsidR="00615F48" w:rsidRPr="00A87A51">
        <w:rPr>
          <w:rFonts w:asciiTheme="minorHAnsi" w:eastAsiaTheme="minorHAnsi" w:hAnsiTheme="minorHAnsi" w:cstheme="minorBidi"/>
          <w:snapToGrid/>
          <w:sz w:val="24"/>
          <w:szCs w:val="22"/>
        </w:rPr>
        <w:t>®</w:t>
      </w:r>
      <w:r w:rsidR="00923969" w:rsidRPr="00A87A51">
        <w:rPr>
          <w:rFonts w:asciiTheme="minorHAnsi" w:eastAsiaTheme="minorHAnsi" w:hAnsiTheme="minorHAnsi" w:cstheme="minorBidi"/>
          <w:snapToGrid/>
          <w:sz w:val="24"/>
          <w:szCs w:val="22"/>
        </w:rPr>
        <w:t>, Humira</w:t>
      </w:r>
      <w:r w:rsidR="00615F48" w:rsidRPr="00A87A51">
        <w:rPr>
          <w:rFonts w:asciiTheme="minorHAnsi" w:eastAsiaTheme="minorHAnsi" w:hAnsiTheme="minorHAnsi" w:cstheme="minorBidi"/>
          <w:snapToGrid/>
          <w:sz w:val="24"/>
          <w:szCs w:val="22"/>
        </w:rPr>
        <w:t>®</w:t>
      </w:r>
      <w:r w:rsidR="00923969" w:rsidRPr="00A87A51">
        <w:rPr>
          <w:rFonts w:asciiTheme="minorHAnsi" w:eastAsiaTheme="minorHAnsi" w:hAnsiTheme="minorHAnsi" w:cstheme="minorBidi"/>
          <w:snapToGrid/>
          <w:sz w:val="24"/>
          <w:szCs w:val="22"/>
        </w:rPr>
        <w:t xml:space="preserve"> overall, and Humira</w:t>
      </w:r>
      <w:r w:rsidR="00833893" w:rsidRPr="00A87A51">
        <w:rPr>
          <w:rFonts w:asciiTheme="minorHAnsi" w:eastAsiaTheme="minorHAnsi" w:hAnsiTheme="minorHAnsi" w:cstheme="minorBidi"/>
          <w:snapToGrid/>
          <w:sz w:val="24"/>
          <w:szCs w:val="22"/>
        </w:rPr>
        <w:t>®</w:t>
      </w:r>
      <w:r w:rsidR="00923969" w:rsidRPr="00A87A51">
        <w:rPr>
          <w:rFonts w:asciiTheme="minorHAnsi" w:eastAsiaTheme="minorHAnsi" w:hAnsiTheme="minorHAnsi" w:cstheme="minorBidi"/>
          <w:snapToGrid/>
          <w:sz w:val="24"/>
          <w:szCs w:val="22"/>
        </w:rPr>
        <w:t>/Humira</w:t>
      </w:r>
      <w:r w:rsidR="00833893" w:rsidRPr="00A87A51">
        <w:rPr>
          <w:rFonts w:asciiTheme="minorHAnsi" w:eastAsiaTheme="minorHAnsi" w:hAnsiTheme="minorHAnsi" w:cstheme="minorBidi"/>
          <w:snapToGrid/>
          <w:sz w:val="24"/>
          <w:szCs w:val="22"/>
        </w:rPr>
        <w:t>®</w:t>
      </w:r>
      <w:r w:rsidR="00923969" w:rsidRPr="00A87A51">
        <w:rPr>
          <w:rFonts w:asciiTheme="minorHAnsi" w:eastAsiaTheme="minorHAnsi" w:hAnsiTheme="minorHAnsi" w:cstheme="minorBidi"/>
          <w:snapToGrid/>
          <w:sz w:val="24"/>
          <w:szCs w:val="22"/>
        </w:rPr>
        <w:t xml:space="preserve"> treatment groups, respectively. After 24 weeks, the overall </w:t>
      </w:r>
      <w:r w:rsidR="00923969" w:rsidRPr="00A87A51">
        <w:rPr>
          <w:rFonts w:asciiTheme="minorHAnsi" w:eastAsiaTheme="minorHAnsi" w:hAnsiTheme="minorHAnsi" w:cstheme="minorBidi"/>
          <w:snapToGrid/>
          <w:sz w:val="24"/>
          <w:szCs w:val="22"/>
        </w:rPr>
        <w:lastRenderedPageBreak/>
        <w:t>incidence of TEAEs reported were Hadlima</w:t>
      </w:r>
      <w:r w:rsidR="00833893" w:rsidRPr="00A87A51">
        <w:rPr>
          <w:rFonts w:asciiTheme="minorHAnsi" w:eastAsiaTheme="minorHAnsi" w:hAnsiTheme="minorHAnsi" w:cstheme="minorBidi"/>
          <w:snapToGrid/>
          <w:sz w:val="24"/>
          <w:szCs w:val="22"/>
        </w:rPr>
        <w:t>®</w:t>
      </w:r>
      <w:r w:rsidR="00923969" w:rsidRPr="00A87A51">
        <w:rPr>
          <w:rFonts w:asciiTheme="minorHAnsi" w:eastAsiaTheme="minorHAnsi" w:hAnsiTheme="minorHAnsi" w:cstheme="minorBidi"/>
          <w:snapToGrid/>
          <w:sz w:val="24"/>
          <w:szCs w:val="22"/>
        </w:rPr>
        <w:t>/Hadlima</w:t>
      </w:r>
      <w:r w:rsidR="00833893" w:rsidRPr="00A87A51">
        <w:rPr>
          <w:rFonts w:asciiTheme="minorHAnsi" w:eastAsiaTheme="minorHAnsi" w:hAnsiTheme="minorHAnsi" w:cstheme="minorBidi"/>
          <w:snapToGrid/>
          <w:sz w:val="24"/>
          <w:szCs w:val="22"/>
        </w:rPr>
        <w:t>®</w:t>
      </w:r>
      <w:r w:rsidR="00923969" w:rsidRPr="00A87A51">
        <w:rPr>
          <w:rFonts w:asciiTheme="minorHAnsi" w:eastAsiaTheme="minorHAnsi" w:hAnsiTheme="minorHAnsi" w:cstheme="minorBidi"/>
          <w:snapToGrid/>
          <w:sz w:val="24"/>
          <w:szCs w:val="22"/>
        </w:rPr>
        <w:t xml:space="preserve"> (32.3%), </w:t>
      </w:r>
      <w:r w:rsidR="00923969" w:rsidRPr="00A87A51">
        <w:rPr>
          <w:rFonts w:asciiTheme="minorHAnsi" w:eastAsiaTheme="minorHAnsi" w:hAnsiTheme="minorHAnsi" w:cstheme="minorBidi"/>
          <w:sz w:val="24"/>
          <w:szCs w:val="22"/>
        </w:rPr>
        <w:t>Humira</w:t>
      </w:r>
      <w:r w:rsidR="00615F48" w:rsidRPr="00A87A51">
        <w:rPr>
          <w:rFonts w:asciiTheme="minorHAnsi" w:eastAsiaTheme="minorHAnsi" w:hAnsiTheme="minorHAnsi" w:cstheme="minorBidi"/>
          <w:sz w:val="24"/>
          <w:szCs w:val="22"/>
        </w:rPr>
        <w:t>®</w:t>
      </w:r>
      <w:r w:rsidR="00923969" w:rsidRPr="00A87A51">
        <w:rPr>
          <w:rFonts w:asciiTheme="minorHAnsi" w:eastAsiaTheme="minorHAnsi" w:hAnsiTheme="minorHAnsi" w:cstheme="minorBidi"/>
          <w:sz w:val="24"/>
          <w:szCs w:val="22"/>
        </w:rPr>
        <w:t>/Hadlima</w:t>
      </w:r>
      <w:r w:rsidR="00615F48" w:rsidRPr="00A87A51">
        <w:rPr>
          <w:rFonts w:asciiTheme="minorHAnsi" w:eastAsiaTheme="minorHAnsi" w:hAnsiTheme="minorHAnsi" w:cstheme="minorBidi"/>
          <w:sz w:val="24"/>
          <w:szCs w:val="22"/>
        </w:rPr>
        <w:t>®</w:t>
      </w:r>
      <w:r w:rsidR="00923969" w:rsidRPr="00A87A51">
        <w:rPr>
          <w:rFonts w:asciiTheme="minorHAnsi" w:eastAsiaTheme="minorHAnsi" w:hAnsiTheme="minorHAnsi" w:cstheme="minorBidi"/>
          <w:sz w:val="24"/>
          <w:szCs w:val="22"/>
        </w:rPr>
        <w:t xml:space="preserve"> (37.6%) and Humira</w:t>
      </w:r>
      <w:r w:rsidR="00833893" w:rsidRPr="00A87A51">
        <w:rPr>
          <w:rFonts w:asciiTheme="minorHAnsi" w:eastAsiaTheme="minorHAnsi" w:hAnsiTheme="minorHAnsi" w:cstheme="minorBidi"/>
          <w:sz w:val="24"/>
          <w:szCs w:val="22"/>
        </w:rPr>
        <w:t>®</w:t>
      </w:r>
      <w:r w:rsidR="00923969" w:rsidRPr="00A87A51">
        <w:rPr>
          <w:rFonts w:asciiTheme="minorHAnsi" w:eastAsiaTheme="minorHAnsi" w:hAnsiTheme="minorHAnsi" w:cstheme="minorBidi"/>
          <w:sz w:val="24"/>
          <w:szCs w:val="22"/>
        </w:rPr>
        <w:t>/Humira</w:t>
      </w:r>
      <w:r w:rsidR="00833893" w:rsidRPr="00A87A51">
        <w:rPr>
          <w:rFonts w:asciiTheme="minorHAnsi" w:eastAsiaTheme="minorHAnsi" w:hAnsiTheme="minorHAnsi" w:cstheme="minorBidi"/>
          <w:sz w:val="24"/>
          <w:szCs w:val="22"/>
        </w:rPr>
        <w:t>®</w:t>
      </w:r>
      <w:r w:rsidR="000068A1" w:rsidRPr="00A87A51">
        <w:rPr>
          <w:rFonts w:asciiTheme="minorHAnsi" w:eastAsiaTheme="minorHAnsi" w:hAnsiTheme="minorHAnsi" w:cstheme="minorBidi"/>
          <w:sz w:val="24"/>
          <w:szCs w:val="22"/>
        </w:rPr>
        <w:t xml:space="preserve"> </w:t>
      </w:r>
      <w:r w:rsidR="00923969" w:rsidRPr="00A87A51">
        <w:rPr>
          <w:rFonts w:asciiTheme="minorHAnsi" w:eastAsiaTheme="minorHAnsi" w:hAnsiTheme="minorHAnsi" w:cstheme="minorBidi"/>
          <w:sz w:val="24"/>
          <w:szCs w:val="22"/>
        </w:rPr>
        <w:t>(33.1%).</w:t>
      </w:r>
      <w:r w:rsidR="000068A1" w:rsidRPr="00A87A51">
        <w:rPr>
          <w:rFonts w:asciiTheme="minorHAnsi" w:eastAsiaTheme="minorHAnsi" w:hAnsiTheme="minorHAnsi" w:cstheme="minorBidi"/>
          <w:sz w:val="24"/>
          <w:szCs w:val="22"/>
        </w:rPr>
        <w:t xml:space="preserve"> </w:t>
      </w:r>
      <w:r w:rsidR="00833893" w:rsidRPr="00A87A51">
        <w:rPr>
          <w:rFonts w:asciiTheme="minorHAnsi" w:eastAsiaTheme="minorHAnsi" w:hAnsiTheme="minorHAnsi" w:cstheme="minorBidi"/>
          <w:sz w:val="24"/>
          <w:szCs w:val="22"/>
        </w:rPr>
        <w:t xml:space="preserve"> </w:t>
      </w:r>
    </w:p>
    <w:p w:rsidR="0076420C" w:rsidRPr="009B72C4" w:rsidRDefault="0055423B" w:rsidP="00A87A51">
      <w:pPr>
        <w:pStyle w:val="NoSpacing"/>
        <w:rPr>
          <w:rFonts w:ascii="Arial Narrow" w:hAnsi="Arial Narrow"/>
          <w:b/>
          <w:sz w:val="20"/>
        </w:rPr>
      </w:pPr>
      <w:proofErr w:type="gramStart"/>
      <w:r>
        <w:rPr>
          <w:rFonts w:ascii="Arial Narrow" w:hAnsi="Arial Narrow"/>
          <w:b/>
          <w:sz w:val="20"/>
        </w:rPr>
        <w:t>Table 1.</w:t>
      </w:r>
      <w:proofErr w:type="gramEnd"/>
      <w:r>
        <w:rPr>
          <w:rFonts w:ascii="Arial Narrow" w:hAnsi="Arial Narrow"/>
          <w:b/>
          <w:sz w:val="20"/>
        </w:rPr>
        <w:t xml:space="preserve"> </w:t>
      </w:r>
      <w:r w:rsidR="0076420C" w:rsidRPr="009B72C4">
        <w:rPr>
          <w:rFonts w:ascii="Arial Narrow" w:hAnsi="Arial Narrow"/>
          <w:b/>
          <w:sz w:val="20"/>
        </w:rPr>
        <w:t>Trials and associated reports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5529"/>
        <w:gridCol w:w="1744"/>
      </w:tblGrid>
      <w:tr w:rsidR="0076420C" w:rsidRPr="00F36CCB" w:rsidTr="00B603E5">
        <w:trPr>
          <w:cantSplit/>
          <w:trHeight w:val="539"/>
          <w:tblHeader/>
        </w:trPr>
        <w:tc>
          <w:tcPr>
            <w:tcW w:w="996" w:type="pct"/>
          </w:tcPr>
          <w:p w:rsidR="0076420C" w:rsidRPr="00B603E5" w:rsidRDefault="0076420C" w:rsidP="006670BE">
            <w:pPr>
              <w:pStyle w:val="NoSpacing"/>
              <w:spacing w:before="40" w:after="40"/>
              <w:jc w:val="left"/>
              <w:rPr>
                <w:rFonts w:ascii="Arial Narrow" w:hAnsi="Arial Narrow"/>
                <w:b/>
                <w:sz w:val="20"/>
                <w:szCs w:val="20"/>
              </w:rPr>
            </w:pPr>
            <w:r w:rsidRPr="00B603E5">
              <w:rPr>
                <w:rFonts w:ascii="Arial Narrow" w:hAnsi="Arial Narrow"/>
                <w:b/>
                <w:sz w:val="20"/>
                <w:szCs w:val="20"/>
              </w:rPr>
              <w:t>Trial ID</w:t>
            </w:r>
            <w:r w:rsidR="006670BE" w:rsidRPr="00B603E5">
              <w:rPr>
                <w:rFonts w:ascii="Arial Narrow" w:hAnsi="Arial Narrow"/>
                <w:b/>
                <w:sz w:val="20"/>
                <w:szCs w:val="20"/>
              </w:rPr>
              <w:t>/First Author</w:t>
            </w:r>
          </w:p>
        </w:tc>
        <w:tc>
          <w:tcPr>
            <w:tcW w:w="3044" w:type="pct"/>
          </w:tcPr>
          <w:p w:rsidR="0076420C" w:rsidRPr="00B603E5" w:rsidRDefault="0076420C" w:rsidP="006670BE">
            <w:pPr>
              <w:keepNext/>
              <w:spacing w:before="40" w:after="40"/>
              <w:rPr>
                <w:rFonts w:ascii="Arial Narrow" w:hAnsi="Arial Narrow"/>
                <w:b/>
                <w:sz w:val="20"/>
                <w:szCs w:val="20"/>
              </w:rPr>
            </w:pPr>
            <w:r w:rsidRPr="00B603E5">
              <w:rPr>
                <w:rFonts w:ascii="Arial Narrow" w:hAnsi="Arial Narrow"/>
                <w:b/>
                <w:sz w:val="20"/>
                <w:szCs w:val="20"/>
              </w:rPr>
              <w:t>Protocol title/ Publication title</w:t>
            </w:r>
          </w:p>
        </w:tc>
        <w:tc>
          <w:tcPr>
            <w:tcW w:w="960" w:type="pct"/>
          </w:tcPr>
          <w:p w:rsidR="0076420C" w:rsidRPr="00B603E5" w:rsidRDefault="0076420C" w:rsidP="006670BE">
            <w:pPr>
              <w:keepNext/>
              <w:spacing w:before="40" w:after="40"/>
              <w:rPr>
                <w:rFonts w:ascii="Arial Narrow" w:hAnsi="Arial Narrow"/>
                <w:b/>
                <w:sz w:val="20"/>
                <w:szCs w:val="20"/>
              </w:rPr>
            </w:pPr>
            <w:r w:rsidRPr="00B603E5">
              <w:rPr>
                <w:rFonts w:ascii="Arial Narrow" w:hAnsi="Arial Narrow"/>
                <w:b/>
                <w:sz w:val="20"/>
                <w:szCs w:val="20"/>
              </w:rPr>
              <w:t>Publication citation</w:t>
            </w:r>
          </w:p>
        </w:tc>
      </w:tr>
      <w:tr w:rsidR="0076420C" w:rsidRPr="00F36CCB" w:rsidTr="00D31150">
        <w:trPr>
          <w:cantSplit/>
          <w:trHeight w:val="317"/>
        </w:trPr>
        <w:tc>
          <w:tcPr>
            <w:tcW w:w="5000" w:type="pct"/>
            <w:gridSpan w:val="3"/>
          </w:tcPr>
          <w:p w:rsidR="0076420C" w:rsidRPr="00B603E5" w:rsidRDefault="0076420C" w:rsidP="006670BE">
            <w:pPr>
              <w:pStyle w:val="NoSpacing"/>
              <w:spacing w:before="40" w:after="40"/>
              <w:rPr>
                <w:rFonts w:ascii="Arial Narrow" w:hAnsi="Arial Narrow"/>
                <w:b/>
                <w:sz w:val="20"/>
                <w:szCs w:val="20"/>
              </w:rPr>
            </w:pPr>
            <w:r w:rsidRPr="00B603E5">
              <w:rPr>
                <w:rFonts w:ascii="Arial Narrow" w:hAnsi="Arial Narrow"/>
                <w:b/>
                <w:sz w:val="20"/>
                <w:szCs w:val="20"/>
              </w:rPr>
              <w:t>Direct randomised trial</w:t>
            </w:r>
            <w:r w:rsidR="00B176C8" w:rsidRPr="00B603E5">
              <w:rPr>
                <w:rFonts w:ascii="Arial Narrow" w:hAnsi="Arial Narrow"/>
                <w:b/>
                <w:sz w:val="20"/>
                <w:szCs w:val="20"/>
              </w:rPr>
              <w:t>(</w:t>
            </w:r>
            <w:r w:rsidRPr="00B603E5">
              <w:rPr>
                <w:rFonts w:ascii="Arial Narrow" w:hAnsi="Arial Narrow"/>
                <w:b/>
                <w:sz w:val="20"/>
                <w:szCs w:val="20"/>
              </w:rPr>
              <w:t>s</w:t>
            </w:r>
            <w:r w:rsidR="00B176C8" w:rsidRPr="00B603E5">
              <w:rPr>
                <w:rFonts w:ascii="Arial Narrow" w:hAnsi="Arial Narrow"/>
                <w:b/>
                <w:sz w:val="20"/>
                <w:szCs w:val="20"/>
              </w:rPr>
              <w:t>)</w:t>
            </w:r>
          </w:p>
        </w:tc>
      </w:tr>
      <w:tr w:rsidR="0076420C" w:rsidRPr="00F36CCB" w:rsidTr="00B603E5">
        <w:trPr>
          <w:cantSplit/>
          <w:trHeight w:val="317"/>
        </w:trPr>
        <w:tc>
          <w:tcPr>
            <w:tcW w:w="996" w:type="pct"/>
          </w:tcPr>
          <w:p w:rsidR="00B4640C" w:rsidRPr="00B603E5" w:rsidRDefault="00B4640C" w:rsidP="00B4640C">
            <w:pPr>
              <w:pStyle w:val="Default"/>
              <w:jc w:val="both"/>
              <w:rPr>
                <w:rFonts w:ascii="Arial Narrow" w:hAnsi="Arial Narrow"/>
                <w:sz w:val="20"/>
                <w:szCs w:val="20"/>
              </w:rPr>
            </w:pPr>
            <w:r w:rsidRPr="00B603E5">
              <w:rPr>
                <w:rFonts w:ascii="Arial Narrow" w:hAnsi="Arial Narrow"/>
                <w:sz w:val="20"/>
                <w:szCs w:val="20"/>
              </w:rPr>
              <w:t xml:space="preserve">SB5-G31-RA </w:t>
            </w:r>
          </w:p>
          <w:p w:rsidR="0076420C" w:rsidRPr="00B603E5" w:rsidRDefault="0076420C" w:rsidP="00D84934">
            <w:pPr>
              <w:pStyle w:val="NoSpacing"/>
              <w:rPr>
                <w:rFonts w:ascii="Arial Narrow" w:hAnsi="Arial Narrow"/>
                <w:b/>
                <w:sz w:val="20"/>
                <w:szCs w:val="20"/>
              </w:rPr>
            </w:pPr>
          </w:p>
        </w:tc>
        <w:tc>
          <w:tcPr>
            <w:tcW w:w="3044" w:type="pct"/>
          </w:tcPr>
          <w:p w:rsidR="0076420C" w:rsidRPr="00B603E5" w:rsidRDefault="00B4640C" w:rsidP="00B4640C">
            <w:pPr>
              <w:pStyle w:val="Default"/>
              <w:rPr>
                <w:rFonts w:ascii="Arial Narrow" w:hAnsi="Arial Narrow"/>
                <w:sz w:val="20"/>
                <w:szCs w:val="20"/>
              </w:rPr>
            </w:pPr>
            <w:r w:rsidRPr="00B603E5">
              <w:rPr>
                <w:rFonts w:ascii="Arial Narrow" w:hAnsi="Arial Narrow"/>
                <w:sz w:val="20"/>
                <w:szCs w:val="20"/>
              </w:rPr>
              <w:t xml:space="preserve">A Randomised, Double-blind, Parallel Group, Multicentre Clinical Study to Evaluate the Efficacy, Safety, Tolerability, Pharmacokinetics and Immunogenicity of SB5 Compared to Humira® in Subjects with Moderate to Severe Rheumatoid Arthritis despite Methotrexate Therapy </w:t>
            </w:r>
          </w:p>
        </w:tc>
        <w:tc>
          <w:tcPr>
            <w:tcW w:w="960" w:type="pct"/>
          </w:tcPr>
          <w:p w:rsidR="0076420C" w:rsidRPr="00B603E5" w:rsidRDefault="00B4640C" w:rsidP="0062748A">
            <w:pPr>
              <w:keepNext/>
              <w:rPr>
                <w:rFonts w:ascii="Arial Narrow" w:hAnsi="Arial Narrow"/>
                <w:b/>
                <w:sz w:val="20"/>
                <w:szCs w:val="20"/>
              </w:rPr>
            </w:pPr>
            <w:r w:rsidRPr="00B603E5">
              <w:rPr>
                <w:rFonts w:ascii="Arial Narrow" w:hAnsi="Arial Narrow"/>
                <w:b/>
                <w:sz w:val="20"/>
                <w:szCs w:val="20"/>
              </w:rPr>
              <w:t>N/A</w:t>
            </w:r>
          </w:p>
        </w:tc>
      </w:tr>
    </w:tbl>
    <w:p w:rsidR="0076420C" w:rsidRPr="00937958" w:rsidRDefault="0076420C" w:rsidP="004A71D1">
      <w:pPr>
        <w:pStyle w:val="tablenotes"/>
        <w:spacing w:after="120"/>
        <w:rPr>
          <w:rFonts w:ascii="Arial Narrow" w:hAnsi="Arial Narrow"/>
          <w:sz w:val="18"/>
          <w:szCs w:val="18"/>
        </w:rPr>
      </w:pPr>
      <w:r w:rsidRPr="00937958">
        <w:rPr>
          <w:rFonts w:ascii="Arial Narrow" w:hAnsi="Arial Narrow"/>
          <w:sz w:val="18"/>
          <w:szCs w:val="18"/>
        </w:rPr>
        <w:t xml:space="preserve">Source: </w:t>
      </w:r>
      <w:r w:rsidR="00B4640C">
        <w:rPr>
          <w:rFonts w:ascii="Arial Narrow" w:hAnsi="Arial Narrow"/>
          <w:sz w:val="18"/>
          <w:szCs w:val="18"/>
        </w:rPr>
        <w:t>the submission</w:t>
      </w:r>
    </w:p>
    <w:p w:rsidR="003C2FB5"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claim</w:t>
      </w:r>
    </w:p>
    <w:p w:rsidR="00B4640C" w:rsidRDefault="00B4640C" w:rsidP="00615F4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Based on the results of the trial, the sponsor claimed that Hadlima</w:t>
      </w:r>
      <w:r w:rsidR="00615F48" w:rsidRPr="00615F48">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was equivalent to Humira</w:t>
      </w:r>
      <w:r w:rsidR="00615F48" w:rsidRPr="00615F48">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with respect to efficacy and at least as safe as Humira</w:t>
      </w:r>
      <w:r w:rsidR="00615F48" w:rsidRPr="00615F48">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w:t>
      </w:r>
    </w:p>
    <w:p w:rsidR="006853D4" w:rsidRPr="008D28EE" w:rsidRDefault="006853D4" w:rsidP="006853D4">
      <w:pPr>
        <w:pStyle w:val="ListParagraph"/>
        <w:widowControl/>
        <w:numPr>
          <w:ilvl w:val="1"/>
          <w:numId w:val="14"/>
        </w:numPr>
        <w:spacing w:after="120"/>
        <w:contextualSpacing w:val="0"/>
        <w:rPr>
          <w:rFonts w:asciiTheme="minorHAnsi" w:hAnsiTheme="minorHAnsi"/>
          <w:sz w:val="24"/>
          <w:szCs w:val="24"/>
        </w:rPr>
      </w:pPr>
      <w:r w:rsidRPr="008D28EE">
        <w:rPr>
          <w:rFonts w:asciiTheme="minorHAnsi" w:hAnsiTheme="minorHAnsi"/>
          <w:sz w:val="24"/>
          <w:szCs w:val="24"/>
        </w:rPr>
        <w:t xml:space="preserve">The PBAC considered that the claim of </w:t>
      </w:r>
      <w:r w:rsidR="008D28EE" w:rsidRPr="008D28EE">
        <w:rPr>
          <w:rFonts w:asciiTheme="minorHAnsi" w:hAnsiTheme="minorHAnsi"/>
          <w:sz w:val="24"/>
          <w:szCs w:val="24"/>
        </w:rPr>
        <w:t>non-inferior</w:t>
      </w:r>
      <w:r w:rsidRPr="008D28EE">
        <w:rPr>
          <w:rFonts w:asciiTheme="minorHAnsi" w:hAnsiTheme="minorHAnsi"/>
          <w:sz w:val="24"/>
          <w:szCs w:val="24"/>
        </w:rPr>
        <w:t xml:space="preserve"> comparative</w:t>
      </w:r>
      <w:r w:rsidR="008D28EE" w:rsidRPr="008D28EE">
        <w:rPr>
          <w:rFonts w:asciiTheme="minorHAnsi" w:hAnsiTheme="minorHAnsi"/>
          <w:sz w:val="24"/>
          <w:szCs w:val="24"/>
        </w:rPr>
        <w:t xml:space="preserve"> safety and</w:t>
      </w:r>
      <w:r w:rsidRPr="008D28EE">
        <w:rPr>
          <w:rFonts w:asciiTheme="minorHAnsi" w:hAnsiTheme="minorHAnsi"/>
          <w:sz w:val="24"/>
          <w:szCs w:val="24"/>
        </w:rPr>
        <w:t xml:space="preserve"> e</w:t>
      </w:r>
      <w:r w:rsidR="008D28EE" w:rsidRPr="008D28EE">
        <w:rPr>
          <w:rFonts w:asciiTheme="minorHAnsi" w:hAnsiTheme="minorHAnsi"/>
          <w:sz w:val="24"/>
          <w:szCs w:val="24"/>
        </w:rPr>
        <w:t>ffectiveness was reasonable</w:t>
      </w:r>
      <w:r w:rsidRPr="008D28EE">
        <w:rPr>
          <w:rFonts w:asciiTheme="minorHAnsi" w:hAnsiTheme="minorHAnsi"/>
          <w:sz w:val="24"/>
          <w:szCs w:val="24"/>
        </w:rPr>
        <w:t>.</w:t>
      </w:r>
    </w:p>
    <w:p w:rsidR="005A3173"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BB7EC3" w:rsidRPr="006853D4" w:rsidRDefault="00B603E5" w:rsidP="00615F48">
      <w:pPr>
        <w:pStyle w:val="ListParagraph"/>
        <w:widowControl/>
        <w:numPr>
          <w:ilvl w:val="1"/>
          <w:numId w:val="14"/>
        </w:numPr>
        <w:spacing w:after="120"/>
        <w:contextualSpacing w:val="0"/>
        <w:rPr>
          <w:rFonts w:asciiTheme="minorHAnsi" w:hAnsiTheme="minorHAnsi"/>
        </w:rPr>
      </w:pPr>
      <w:r w:rsidRPr="008062BE">
        <w:rPr>
          <w:rFonts w:asciiTheme="minorHAnsi" w:eastAsiaTheme="minorHAnsi" w:hAnsiTheme="minorHAnsi" w:cstheme="minorBidi"/>
          <w:snapToGrid/>
          <w:sz w:val="24"/>
          <w:szCs w:val="22"/>
        </w:rPr>
        <w:t>The s</w:t>
      </w:r>
      <w:r w:rsidR="000E112D" w:rsidRPr="008062BE">
        <w:rPr>
          <w:rFonts w:asciiTheme="minorHAnsi" w:eastAsiaTheme="minorHAnsi" w:hAnsiTheme="minorHAnsi" w:cstheme="minorBidi"/>
          <w:snapToGrid/>
          <w:sz w:val="24"/>
          <w:szCs w:val="22"/>
        </w:rPr>
        <w:t>ubmission stated that listing Hadlima</w:t>
      </w:r>
      <w:r w:rsidR="00615F48" w:rsidRPr="00615F48">
        <w:rPr>
          <w:rFonts w:asciiTheme="minorHAnsi" w:eastAsiaTheme="minorHAnsi" w:hAnsiTheme="minorHAnsi" w:cstheme="minorBidi"/>
          <w:snapToGrid/>
          <w:sz w:val="24"/>
          <w:szCs w:val="22"/>
        </w:rPr>
        <w:t>®</w:t>
      </w:r>
      <w:r w:rsidR="000E112D" w:rsidRPr="008062BE">
        <w:rPr>
          <w:rFonts w:asciiTheme="minorHAnsi" w:eastAsiaTheme="minorHAnsi" w:hAnsiTheme="minorHAnsi" w:cstheme="minorBidi"/>
          <w:snapToGrid/>
          <w:sz w:val="24"/>
          <w:szCs w:val="22"/>
        </w:rPr>
        <w:t xml:space="preserve"> would confer cost savings to the PBS as it would trigger a 25% statutory price reduction to the ex-manufacturer price of Humira</w:t>
      </w:r>
      <w:r w:rsidR="00615F48" w:rsidRPr="00615F48">
        <w:rPr>
          <w:rFonts w:asciiTheme="minorHAnsi" w:eastAsiaTheme="minorHAnsi" w:hAnsiTheme="minorHAnsi" w:cstheme="minorBidi"/>
          <w:snapToGrid/>
          <w:sz w:val="24"/>
          <w:szCs w:val="22"/>
        </w:rPr>
        <w:t>®</w:t>
      </w:r>
      <w:r w:rsidR="000E112D" w:rsidRPr="008062BE">
        <w:rPr>
          <w:rFonts w:asciiTheme="minorHAnsi" w:eastAsiaTheme="minorHAnsi" w:hAnsiTheme="minorHAnsi" w:cstheme="minorBidi"/>
          <w:snapToGrid/>
          <w:sz w:val="24"/>
          <w:szCs w:val="22"/>
        </w:rPr>
        <w:t>, but did not attempt to quantify the savings.</w:t>
      </w:r>
    </w:p>
    <w:p w:rsidR="006853D4" w:rsidRPr="00615F48" w:rsidRDefault="006853D4" w:rsidP="00B92259">
      <w:pPr>
        <w:pStyle w:val="PBACHeading1"/>
        <w:numPr>
          <w:ilvl w:val="0"/>
          <w:numId w:val="0"/>
        </w:numPr>
        <w:spacing w:before="240"/>
        <w:outlineLvl w:val="9"/>
        <w:rPr>
          <w:rFonts w:asciiTheme="minorHAnsi" w:hAnsiTheme="minorHAnsi" w:cstheme="minorHAnsi"/>
          <w:b w:val="0"/>
          <w:i/>
          <w:sz w:val="24"/>
        </w:rPr>
      </w:pPr>
      <w:r w:rsidRPr="00615F48">
        <w:rPr>
          <w:rFonts w:asciiTheme="minorHAnsi" w:hAnsiTheme="minorHAnsi" w:cstheme="minorHAnsi"/>
          <w:b w:val="0"/>
          <w:i/>
          <w:sz w:val="24"/>
        </w:rPr>
        <w:t xml:space="preserve">For more detail on PBAC’s view, see section </w:t>
      </w:r>
      <w:r w:rsidR="00CE3573" w:rsidRPr="00615F48">
        <w:rPr>
          <w:rFonts w:asciiTheme="minorHAnsi" w:hAnsiTheme="minorHAnsi" w:cstheme="minorHAnsi"/>
          <w:b w:val="0"/>
          <w:i/>
          <w:sz w:val="24"/>
        </w:rPr>
        <w:t>5</w:t>
      </w:r>
      <w:r w:rsidRPr="00615F48">
        <w:rPr>
          <w:rFonts w:asciiTheme="minorHAnsi" w:hAnsiTheme="minorHAnsi" w:cstheme="minorHAnsi"/>
          <w:b w:val="0"/>
          <w:i/>
          <w:sz w:val="24"/>
        </w:rPr>
        <w:t xml:space="preserve"> PBAC outcome.</w:t>
      </w:r>
    </w:p>
    <w:p w:rsidR="006853D4" w:rsidRPr="00D245F3" w:rsidRDefault="006853D4" w:rsidP="008D28EE">
      <w:pPr>
        <w:widowControl w:val="0"/>
        <w:numPr>
          <w:ilvl w:val="0"/>
          <w:numId w:val="5"/>
        </w:numPr>
        <w:spacing w:before="240" w:after="120"/>
        <w:jc w:val="both"/>
        <w:rPr>
          <w:rFonts w:asciiTheme="minorHAnsi" w:hAnsiTheme="minorHAnsi" w:cs="Arial"/>
          <w:b/>
          <w:bCs/>
          <w:snapToGrid w:val="0"/>
          <w:sz w:val="32"/>
        </w:rPr>
      </w:pPr>
      <w:r w:rsidRPr="00D245F3">
        <w:rPr>
          <w:rFonts w:asciiTheme="minorHAnsi" w:hAnsiTheme="minorHAnsi" w:cs="Arial"/>
          <w:b/>
          <w:bCs/>
          <w:snapToGrid w:val="0"/>
          <w:sz w:val="32"/>
        </w:rPr>
        <w:t>PBAC Outcome</w:t>
      </w:r>
    </w:p>
    <w:p w:rsidR="006853D4" w:rsidRDefault="008D28EE" w:rsidP="00615F4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recommended the adalimumab biosimilar (Hadlima</w:t>
      </w:r>
      <w:r w:rsidR="00615F48" w:rsidRPr="00615F48">
        <w:rPr>
          <w:rFonts w:asciiTheme="minorHAnsi" w:hAnsiTheme="minorHAnsi" w:cs="Arial"/>
          <w:bCs/>
          <w:snapToGrid w:val="0"/>
          <w:lang w:val="en-GB"/>
        </w:rPr>
        <w:t>®</w:t>
      </w:r>
      <w:r>
        <w:rPr>
          <w:rFonts w:asciiTheme="minorHAnsi" w:hAnsiTheme="minorHAnsi" w:cs="Arial"/>
          <w:bCs/>
          <w:snapToGrid w:val="0"/>
          <w:lang w:val="en-GB"/>
        </w:rPr>
        <w:t xml:space="preserve">) be listed on </w:t>
      </w:r>
      <w:r w:rsidR="003645A3">
        <w:rPr>
          <w:rFonts w:asciiTheme="minorHAnsi" w:hAnsiTheme="minorHAnsi" w:cs="Arial"/>
          <w:bCs/>
          <w:snapToGrid w:val="0"/>
          <w:lang w:val="en-GB"/>
        </w:rPr>
        <w:t>the General Schedule (Section 85)</w:t>
      </w:r>
      <w:r>
        <w:rPr>
          <w:rFonts w:asciiTheme="minorHAnsi" w:hAnsiTheme="minorHAnsi" w:cs="Arial"/>
          <w:bCs/>
          <w:snapToGrid w:val="0"/>
          <w:lang w:val="en-GB"/>
        </w:rPr>
        <w:t xml:space="preserve"> for the rheumatoid arthritis</w:t>
      </w:r>
      <w:r w:rsidR="003645A3">
        <w:rPr>
          <w:rFonts w:asciiTheme="minorHAnsi" w:hAnsiTheme="minorHAnsi" w:cs="Arial"/>
          <w:bCs/>
          <w:snapToGrid w:val="0"/>
          <w:lang w:val="en-GB"/>
        </w:rPr>
        <w:t xml:space="preserve"> (RA)</w:t>
      </w:r>
      <w:r>
        <w:rPr>
          <w:rFonts w:asciiTheme="minorHAnsi" w:hAnsiTheme="minorHAnsi" w:cs="Arial"/>
          <w:bCs/>
          <w:snapToGrid w:val="0"/>
          <w:lang w:val="en-GB"/>
        </w:rPr>
        <w:t xml:space="preserve"> indication for which the reference product Humira</w:t>
      </w:r>
      <w:r w:rsidR="00615F48" w:rsidRPr="00615F48">
        <w:rPr>
          <w:rFonts w:asciiTheme="minorHAnsi" w:hAnsiTheme="minorHAnsi" w:cs="Arial"/>
          <w:bCs/>
          <w:snapToGrid w:val="0"/>
          <w:lang w:val="en-GB"/>
        </w:rPr>
        <w:t>®</w:t>
      </w:r>
      <w:r>
        <w:rPr>
          <w:rFonts w:asciiTheme="minorHAnsi" w:hAnsiTheme="minorHAnsi" w:cs="Arial"/>
          <w:bCs/>
          <w:snapToGrid w:val="0"/>
          <w:lang w:val="en-GB"/>
        </w:rPr>
        <w:t xml:space="preserve"> is currently PBS listed.</w:t>
      </w:r>
    </w:p>
    <w:p w:rsidR="00CE3573" w:rsidRDefault="00CE3573" w:rsidP="00615F4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the efficacy and </w:t>
      </w:r>
      <w:r w:rsidR="00E3209F">
        <w:rPr>
          <w:rFonts w:asciiTheme="minorHAnsi" w:hAnsiTheme="minorHAnsi" w:cs="Arial"/>
          <w:bCs/>
          <w:snapToGrid w:val="0"/>
          <w:lang w:val="en-GB"/>
        </w:rPr>
        <w:t>safety findings of the pivotal trial used in the regulatory dossier to the TGA, and were</w:t>
      </w:r>
      <w:r>
        <w:rPr>
          <w:rFonts w:asciiTheme="minorHAnsi" w:hAnsiTheme="minorHAnsi" w:cs="Arial"/>
          <w:bCs/>
          <w:snapToGrid w:val="0"/>
          <w:lang w:val="en-GB"/>
        </w:rPr>
        <w:t xml:space="preserve"> satisfied that the results demonstrated that Hadlima</w:t>
      </w:r>
      <w:r w:rsidR="00615F48" w:rsidRPr="00615F48">
        <w:rPr>
          <w:rFonts w:asciiTheme="minorHAnsi" w:hAnsiTheme="minorHAnsi" w:cs="Arial"/>
          <w:bCs/>
          <w:snapToGrid w:val="0"/>
          <w:lang w:val="en-GB"/>
        </w:rPr>
        <w:t>®</w:t>
      </w:r>
      <w:r>
        <w:rPr>
          <w:rFonts w:asciiTheme="minorHAnsi" w:hAnsiTheme="minorHAnsi" w:cs="Arial"/>
          <w:bCs/>
          <w:snapToGrid w:val="0"/>
          <w:lang w:val="en-GB"/>
        </w:rPr>
        <w:t xml:space="preserve"> was non-inferior to Humira</w:t>
      </w:r>
      <w:r w:rsidR="00615F48" w:rsidRPr="00615F48">
        <w:rPr>
          <w:rFonts w:asciiTheme="minorHAnsi" w:hAnsiTheme="minorHAnsi" w:cs="Arial"/>
          <w:bCs/>
          <w:snapToGrid w:val="0"/>
          <w:lang w:val="en-GB"/>
        </w:rPr>
        <w:t>®</w:t>
      </w:r>
      <w:r>
        <w:rPr>
          <w:rFonts w:asciiTheme="minorHAnsi" w:hAnsiTheme="minorHAnsi" w:cs="Arial"/>
          <w:bCs/>
          <w:snapToGrid w:val="0"/>
          <w:lang w:val="en-GB"/>
        </w:rPr>
        <w:t xml:space="preserve"> in terms of both efficacy and safety.</w:t>
      </w:r>
    </w:p>
    <w:p w:rsidR="00ED16AA" w:rsidRDefault="00ED16AA" w:rsidP="007E02E7">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In Australia, decisions about indication extrapolation for biosimilar medicines are made by the Therapeutic Goods Administration. The PBAC noted that rheumatoid arthritis is the only TGA-approved indication for Hadlima</w:t>
      </w:r>
      <w:r w:rsidR="00615F48" w:rsidRPr="00615F48">
        <w:rPr>
          <w:rFonts w:asciiTheme="minorHAnsi" w:hAnsiTheme="minorHAnsi" w:cs="Arial"/>
          <w:bCs/>
          <w:snapToGrid w:val="0"/>
          <w:lang w:val="en-GB"/>
        </w:rPr>
        <w:t>®</w:t>
      </w:r>
      <w:r>
        <w:rPr>
          <w:rFonts w:asciiTheme="minorHAnsi" w:hAnsiTheme="minorHAnsi" w:cs="Arial"/>
          <w:bCs/>
          <w:snapToGrid w:val="0"/>
          <w:lang w:val="en-GB"/>
        </w:rPr>
        <w:t>, and that the sponsor had not sought to have Hadlima</w:t>
      </w:r>
      <w:r w:rsidR="00615F48" w:rsidRPr="00615F48">
        <w:rPr>
          <w:rFonts w:asciiTheme="minorHAnsi" w:hAnsiTheme="minorHAnsi" w:cs="Arial"/>
          <w:bCs/>
          <w:snapToGrid w:val="0"/>
          <w:lang w:val="en-GB"/>
        </w:rPr>
        <w:t>®</w:t>
      </w:r>
      <w:r>
        <w:rPr>
          <w:rFonts w:asciiTheme="minorHAnsi" w:hAnsiTheme="minorHAnsi" w:cs="Arial"/>
          <w:bCs/>
          <w:snapToGrid w:val="0"/>
          <w:lang w:val="en-GB"/>
        </w:rPr>
        <w:t xml:space="preserve"> TGA-registered for the remaining Humira-approved indications at this time. </w:t>
      </w:r>
      <w:r>
        <w:rPr>
          <w:rFonts w:asciiTheme="minorHAnsi" w:hAnsiTheme="minorHAnsi" w:cs="Arial"/>
          <w:b/>
          <w:snapToGrid w:val="0"/>
          <w:lang w:val="en-GB"/>
        </w:rPr>
        <w:t> </w:t>
      </w:r>
      <w:r>
        <w:rPr>
          <w:rFonts w:asciiTheme="minorHAnsi" w:hAnsiTheme="minorHAnsi" w:cs="Arial"/>
          <w:bCs/>
          <w:snapToGrid w:val="0"/>
          <w:lang w:val="en-GB"/>
        </w:rPr>
        <w:t>The PBAC foreshadowed that if Hadlima</w:t>
      </w:r>
      <w:r w:rsidR="00615F48" w:rsidRPr="00615F48">
        <w:rPr>
          <w:rFonts w:asciiTheme="minorHAnsi" w:hAnsiTheme="minorHAnsi" w:cs="Arial"/>
          <w:bCs/>
          <w:snapToGrid w:val="0"/>
          <w:lang w:val="en-GB"/>
        </w:rPr>
        <w:t>®</w:t>
      </w:r>
      <w:r>
        <w:rPr>
          <w:rFonts w:asciiTheme="minorHAnsi" w:hAnsiTheme="minorHAnsi" w:cs="Arial"/>
          <w:bCs/>
          <w:snapToGrid w:val="0"/>
          <w:lang w:val="en-GB"/>
        </w:rPr>
        <w:t xml:space="preserve"> is TGA registered for any or all of the remaining Humira</w:t>
      </w:r>
      <w:r w:rsidR="007E02E7" w:rsidRPr="007E02E7">
        <w:rPr>
          <w:rFonts w:asciiTheme="minorHAnsi" w:hAnsiTheme="minorHAnsi" w:cs="Arial"/>
          <w:bCs/>
          <w:snapToGrid w:val="0"/>
          <w:lang w:val="en-GB"/>
        </w:rPr>
        <w:t>®</w:t>
      </w:r>
      <w:r>
        <w:rPr>
          <w:rFonts w:asciiTheme="minorHAnsi" w:hAnsiTheme="minorHAnsi" w:cs="Arial"/>
          <w:bCs/>
          <w:snapToGrid w:val="0"/>
          <w:lang w:val="en-GB"/>
        </w:rPr>
        <w:t xml:space="preserve"> indications in the future and the sponsor requests PBS listing for those indications, the submission would require minimal review. </w:t>
      </w:r>
      <w:r w:rsidR="007E02E7">
        <w:rPr>
          <w:rFonts w:asciiTheme="minorHAnsi" w:hAnsiTheme="minorHAnsi" w:cs="Arial"/>
          <w:bCs/>
          <w:snapToGrid w:val="0"/>
          <w:lang w:val="en-GB"/>
        </w:rPr>
        <w:t xml:space="preserve"> </w:t>
      </w:r>
    </w:p>
    <w:p w:rsidR="008D28EE" w:rsidRDefault="008D28EE" w:rsidP="006853D4">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advised that there were no clinical or other concerns about appropriate use of medicines i</w:t>
      </w:r>
      <w:r w:rsidR="007257D5">
        <w:rPr>
          <w:rFonts w:asciiTheme="minorHAnsi" w:hAnsiTheme="minorHAnsi" w:cs="Arial"/>
          <w:bCs/>
          <w:snapToGrid w:val="0"/>
          <w:lang w:val="en-GB"/>
        </w:rPr>
        <w:t>f</w:t>
      </w:r>
      <w:r>
        <w:rPr>
          <w:rFonts w:asciiTheme="minorHAnsi" w:hAnsiTheme="minorHAnsi" w:cs="Arial"/>
          <w:bCs/>
          <w:snapToGrid w:val="0"/>
          <w:lang w:val="en-GB"/>
        </w:rPr>
        <w:t xml:space="preserve"> the policy decision were made to apply the following uptake </w:t>
      </w:r>
      <w:r>
        <w:rPr>
          <w:rFonts w:asciiTheme="minorHAnsi" w:hAnsiTheme="minorHAnsi" w:cs="Arial"/>
          <w:bCs/>
          <w:snapToGrid w:val="0"/>
          <w:lang w:val="en-GB"/>
        </w:rPr>
        <w:lastRenderedPageBreak/>
        <w:t xml:space="preserve">drivers to the </w:t>
      </w:r>
      <w:r w:rsidR="003645A3">
        <w:rPr>
          <w:rFonts w:asciiTheme="minorHAnsi" w:hAnsiTheme="minorHAnsi" w:cs="Arial"/>
          <w:bCs/>
          <w:snapToGrid w:val="0"/>
          <w:lang w:val="en-GB"/>
        </w:rPr>
        <w:t xml:space="preserve">RA </w:t>
      </w:r>
      <w:r w:rsidR="007257D5">
        <w:rPr>
          <w:rFonts w:asciiTheme="minorHAnsi" w:hAnsiTheme="minorHAnsi" w:cs="Arial"/>
          <w:bCs/>
          <w:snapToGrid w:val="0"/>
          <w:lang w:val="en-GB"/>
        </w:rPr>
        <w:t>ind</w:t>
      </w:r>
      <w:r>
        <w:rPr>
          <w:rFonts w:asciiTheme="minorHAnsi" w:hAnsiTheme="minorHAnsi" w:cs="Arial"/>
          <w:bCs/>
          <w:snapToGrid w:val="0"/>
          <w:lang w:val="en-GB"/>
        </w:rPr>
        <w:t>i</w:t>
      </w:r>
      <w:r w:rsidR="007257D5">
        <w:rPr>
          <w:rFonts w:asciiTheme="minorHAnsi" w:hAnsiTheme="minorHAnsi" w:cs="Arial"/>
          <w:bCs/>
          <w:snapToGrid w:val="0"/>
          <w:lang w:val="en-GB"/>
        </w:rPr>
        <w:t>c</w:t>
      </w:r>
      <w:r>
        <w:rPr>
          <w:rFonts w:asciiTheme="minorHAnsi" w:hAnsiTheme="minorHAnsi" w:cs="Arial"/>
          <w:bCs/>
          <w:snapToGrid w:val="0"/>
          <w:lang w:val="en-GB"/>
        </w:rPr>
        <w:t>ation</w:t>
      </w:r>
      <w:r w:rsidR="007257D5">
        <w:rPr>
          <w:rFonts w:asciiTheme="minorHAnsi" w:hAnsiTheme="minorHAnsi" w:cs="Arial"/>
          <w:bCs/>
          <w:snapToGrid w:val="0"/>
          <w:lang w:val="en-GB"/>
        </w:rPr>
        <w:t>, as proposed by the sponsor</w:t>
      </w:r>
      <w:r>
        <w:rPr>
          <w:rFonts w:asciiTheme="minorHAnsi" w:hAnsiTheme="minorHAnsi" w:cs="Arial"/>
          <w:bCs/>
          <w:snapToGrid w:val="0"/>
          <w:lang w:val="en-GB"/>
        </w:rPr>
        <w:t>:</w:t>
      </w:r>
    </w:p>
    <w:p w:rsidR="007257D5" w:rsidRPr="005E325A" w:rsidRDefault="007257D5" w:rsidP="002579FA">
      <w:pPr>
        <w:pStyle w:val="PBACheading10"/>
        <w:numPr>
          <w:ilvl w:val="0"/>
          <w:numId w:val="19"/>
        </w:numPr>
        <w:ind w:left="1434" w:hanging="357"/>
        <w:outlineLvl w:val="9"/>
        <w:rPr>
          <w:rFonts w:asciiTheme="minorHAnsi" w:eastAsiaTheme="minorHAnsi" w:hAnsiTheme="minorHAnsi" w:cstheme="minorBidi"/>
          <w:b w:val="0"/>
          <w:snapToGrid/>
          <w:sz w:val="24"/>
          <w:szCs w:val="24"/>
        </w:rPr>
      </w:pPr>
      <w:r w:rsidRPr="005E325A">
        <w:rPr>
          <w:rFonts w:asciiTheme="minorHAnsi" w:eastAsiaTheme="minorHAnsi" w:hAnsiTheme="minorHAnsi" w:cstheme="minorBidi"/>
          <w:b w:val="0"/>
          <w:snapToGrid/>
          <w:sz w:val="24"/>
          <w:szCs w:val="24"/>
        </w:rPr>
        <w:t xml:space="preserve">a change to the prescribing software that gives preference to </w:t>
      </w:r>
      <w:r w:rsidR="003645A3" w:rsidRPr="005E325A">
        <w:rPr>
          <w:rFonts w:asciiTheme="minorHAnsi" w:eastAsiaTheme="minorHAnsi" w:hAnsiTheme="minorHAnsi" w:cstheme="minorBidi"/>
          <w:b w:val="0"/>
          <w:snapToGrid/>
          <w:sz w:val="24"/>
          <w:szCs w:val="24"/>
        </w:rPr>
        <w:t xml:space="preserve">the </w:t>
      </w:r>
      <w:r w:rsidRPr="005E325A">
        <w:rPr>
          <w:rFonts w:asciiTheme="minorHAnsi" w:eastAsiaTheme="minorHAnsi" w:hAnsiTheme="minorHAnsi" w:cstheme="minorBidi"/>
          <w:b w:val="0"/>
          <w:snapToGrid/>
          <w:sz w:val="24"/>
          <w:szCs w:val="24"/>
        </w:rPr>
        <w:t>biosimilar for patients naïve to treatment with adalimumab</w:t>
      </w:r>
      <w:r w:rsidR="0062461E" w:rsidRPr="005E325A">
        <w:rPr>
          <w:rFonts w:asciiTheme="minorHAnsi" w:eastAsiaTheme="minorHAnsi" w:hAnsiTheme="minorHAnsi" w:cstheme="minorBidi"/>
          <w:b w:val="0"/>
          <w:snapToGrid/>
          <w:sz w:val="24"/>
          <w:szCs w:val="24"/>
        </w:rPr>
        <w:t xml:space="preserve"> (this currently equates to the addition of an administrative note encouraging the prescribing of the biosimilar brand in treatment naïve patients)</w:t>
      </w:r>
      <w:r w:rsidRPr="005E325A">
        <w:rPr>
          <w:rFonts w:asciiTheme="minorHAnsi" w:eastAsiaTheme="minorHAnsi" w:hAnsiTheme="minorHAnsi" w:cstheme="minorBidi"/>
          <w:b w:val="0"/>
          <w:snapToGrid/>
          <w:sz w:val="24"/>
          <w:szCs w:val="24"/>
        </w:rPr>
        <w:t>; and</w:t>
      </w:r>
    </w:p>
    <w:p w:rsidR="007257D5" w:rsidRPr="005E325A" w:rsidRDefault="007257D5" w:rsidP="002579FA">
      <w:pPr>
        <w:pStyle w:val="PBACheading10"/>
        <w:numPr>
          <w:ilvl w:val="0"/>
          <w:numId w:val="19"/>
        </w:numPr>
        <w:ind w:left="1434" w:hanging="357"/>
        <w:outlineLvl w:val="9"/>
        <w:rPr>
          <w:rFonts w:asciiTheme="minorHAnsi" w:eastAsiaTheme="minorHAnsi" w:hAnsiTheme="minorHAnsi" w:cstheme="minorBidi"/>
          <w:b w:val="0"/>
          <w:snapToGrid/>
          <w:sz w:val="24"/>
          <w:szCs w:val="24"/>
        </w:rPr>
      </w:pPr>
      <w:r w:rsidRPr="005E325A">
        <w:rPr>
          <w:rFonts w:asciiTheme="minorHAnsi" w:eastAsiaTheme="minorHAnsi" w:hAnsiTheme="minorHAnsi" w:cstheme="minorBidi"/>
          <w:b w:val="0"/>
          <w:snapToGrid/>
          <w:sz w:val="24"/>
          <w:szCs w:val="24"/>
        </w:rPr>
        <w:t>streamlined authority for patients continuing (i.e. subsequent continuing) on bi</w:t>
      </w:r>
      <w:r w:rsidR="00FC39BD" w:rsidRPr="005E325A">
        <w:rPr>
          <w:rFonts w:asciiTheme="minorHAnsi" w:eastAsiaTheme="minorHAnsi" w:hAnsiTheme="minorHAnsi" w:cstheme="minorBidi"/>
          <w:b w:val="0"/>
          <w:snapToGrid/>
          <w:sz w:val="24"/>
          <w:szCs w:val="24"/>
        </w:rPr>
        <w:t xml:space="preserve">osimilar adalimumab; </w:t>
      </w:r>
    </w:p>
    <w:p w:rsidR="00095097" w:rsidRDefault="00095097" w:rsidP="005D3539">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77BBD">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PBAC noted</w:t>
      </w:r>
      <w:r w:rsidRPr="00F77BBD">
        <w:rPr>
          <w:rFonts w:asciiTheme="minorHAnsi" w:eastAsiaTheme="minorHAnsi" w:hAnsiTheme="minorHAnsi" w:cstheme="minorBidi"/>
          <w:snapToGrid/>
          <w:sz w:val="24"/>
          <w:szCs w:val="22"/>
        </w:rPr>
        <w:t xml:space="preserve"> that another adalimumab biosimilar brand, </w:t>
      </w:r>
      <w:proofErr w:type="spellStart"/>
      <w:r>
        <w:rPr>
          <w:rFonts w:asciiTheme="minorHAnsi" w:eastAsiaTheme="minorHAnsi" w:hAnsiTheme="minorHAnsi" w:cstheme="minorBidi"/>
          <w:snapToGrid/>
          <w:sz w:val="24"/>
          <w:szCs w:val="22"/>
        </w:rPr>
        <w:t>Amgevita</w:t>
      </w:r>
      <w:proofErr w:type="spellEnd"/>
      <w:r w:rsidR="005D3539" w:rsidRPr="005D3539">
        <w:rPr>
          <w:rFonts w:asciiTheme="minorHAnsi" w:eastAsiaTheme="minorHAnsi" w:hAnsiTheme="minorHAnsi" w:cstheme="minorBidi"/>
          <w:snapToGrid/>
          <w:sz w:val="24"/>
          <w:szCs w:val="22"/>
        </w:rPr>
        <w:t>®</w:t>
      </w:r>
      <w:r w:rsidRPr="00F77BBD">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wa</w:t>
      </w:r>
      <w:r w:rsidRPr="00F77BBD">
        <w:rPr>
          <w:rFonts w:asciiTheme="minorHAnsi" w:eastAsiaTheme="minorHAnsi" w:hAnsiTheme="minorHAnsi" w:cstheme="minorBidi"/>
          <w:snapToGrid/>
          <w:sz w:val="24"/>
          <w:szCs w:val="22"/>
        </w:rPr>
        <w:t xml:space="preserve">s also considered at </w:t>
      </w:r>
      <w:r>
        <w:rPr>
          <w:rFonts w:asciiTheme="minorHAnsi" w:eastAsiaTheme="minorHAnsi" w:hAnsiTheme="minorHAnsi" w:cstheme="minorBidi"/>
          <w:snapToGrid/>
          <w:sz w:val="24"/>
          <w:szCs w:val="22"/>
        </w:rPr>
        <w:t>its</w:t>
      </w:r>
      <w:r w:rsidRPr="00F77BBD">
        <w:rPr>
          <w:rFonts w:asciiTheme="minorHAnsi" w:eastAsiaTheme="minorHAnsi" w:hAnsiTheme="minorHAnsi" w:cstheme="minorBidi"/>
          <w:snapToGrid/>
          <w:sz w:val="24"/>
          <w:szCs w:val="22"/>
        </w:rPr>
        <w:t xml:space="preserve"> July 2018 PBAC meeting, with Humira</w:t>
      </w:r>
      <w:r w:rsidR="00615F48" w:rsidRPr="00615F48">
        <w:rPr>
          <w:rFonts w:asciiTheme="minorHAnsi" w:eastAsiaTheme="minorHAnsi" w:hAnsiTheme="minorHAnsi" w:cstheme="minorBidi"/>
          <w:snapToGrid/>
          <w:sz w:val="24"/>
          <w:szCs w:val="22"/>
        </w:rPr>
        <w:t>®</w:t>
      </w:r>
      <w:r w:rsidRPr="00F77BBD">
        <w:rPr>
          <w:rFonts w:asciiTheme="minorHAnsi" w:eastAsiaTheme="minorHAnsi" w:hAnsiTheme="minorHAnsi" w:cstheme="minorBidi"/>
          <w:snapToGrid/>
          <w:sz w:val="24"/>
          <w:szCs w:val="22"/>
        </w:rPr>
        <w:t xml:space="preserve"> as the reference product. The PBAC consider</w:t>
      </w:r>
      <w:r>
        <w:rPr>
          <w:rFonts w:asciiTheme="minorHAnsi" w:eastAsiaTheme="minorHAnsi" w:hAnsiTheme="minorHAnsi" w:cstheme="minorBidi"/>
          <w:snapToGrid/>
          <w:sz w:val="24"/>
          <w:szCs w:val="22"/>
        </w:rPr>
        <w:t>ed</w:t>
      </w:r>
      <w:r w:rsidRPr="00F77BBD">
        <w:rPr>
          <w:rFonts w:asciiTheme="minorHAnsi" w:eastAsiaTheme="minorHAnsi" w:hAnsiTheme="minorHAnsi" w:cstheme="minorBidi"/>
          <w:snapToGrid/>
          <w:sz w:val="24"/>
          <w:szCs w:val="22"/>
        </w:rPr>
        <w:t xml:space="preserve"> it would be appropriate for all three brands of adalimumab (Humira</w:t>
      </w:r>
      <w:r w:rsidR="00615F48" w:rsidRPr="00615F48">
        <w:rPr>
          <w:rFonts w:asciiTheme="minorHAnsi" w:eastAsiaTheme="minorHAnsi" w:hAnsiTheme="minorHAnsi" w:cstheme="minorBidi"/>
          <w:snapToGrid/>
          <w:sz w:val="24"/>
          <w:szCs w:val="22"/>
        </w:rPr>
        <w:t>®</w:t>
      </w:r>
      <w:r w:rsidRPr="00F77BBD">
        <w:rPr>
          <w:rFonts w:asciiTheme="minorHAnsi" w:eastAsiaTheme="minorHAnsi" w:hAnsiTheme="minorHAnsi" w:cstheme="minorBidi"/>
          <w:snapToGrid/>
          <w:sz w:val="24"/>
          <w:szCs w:val="22"/>
        </w:rPr>
        <w:t xml:space="preserve">, </w:t>
      </w:r>
      <w:proofErr w:type="spellStart"/>
      <w:r w:rsidRPr="00F77BBD">
        <w:rPr>
          <w:rFonts w:asciiTheme="minorHAnsi" w:eastAsiaTheme="minorHAnsi" w:hAnsiTheme="minorHAnsi" w:cstheme="minorBidi"/>
          <w:snapToGrid/>
          <w:sz w:val="24"/>
          <w:szCs w:val="22"/>
        </w:rPr>
        <w:t>Amgevita</w:t>
      </w:r>
      <w:proofErr w:type="spellEnd"/>
      <w:r w:rsidR="00615F48" w:rsidRPr="00615F48">
        <w:rPr>
          <w:rFonts w:asciiTheme="minorHAnsi" w:eastAsiaTheme="minorHAnsi" w:hAnsiTheme="minorHAnsi" w:cstheme="minorBidi"/>
          <w:snapToGrid/>
          <w:sz w:val="24"/>
          <w:szCs w:val="22"/>
        </w:rPr>
        <w:t>®</w:t>
      </w:r>
      <w:r w:rsidRPr="00F77BBD">
        <w:rPr>
          <w:rFonts w:asciiTheme="minorHAnsi" w:eastAsiaTheme="minorHAnsi" w:hAnsiTheme="minorHAnsi" w:cstheme="minorBidi"/>
          <w:snapToGrid/>
          <w:sz w:val="24"/>
          <w:szCs w:val="22"/>
        </w:rPr>
        <w:t xml:space="preserve"> and Hadlima</w:t>
      </w:r>
      <w:r w:rsidR="00615F48" w:rsidRPr="00615F48">
        <w:rPr>
          <w:rFonts w:asciiTheme="minorHAnsi" w:eastAsiaTheme="minorHAnsi" w:hAnsiTheme="minorHAnsi" w:cstheme="minorBidi"/>
          <w:snapToGrid/>
          <w:sz w:val="24"/>
          <w:szCs w:val="22"/>
        </w:rPr>
        <w:t>®</w:t>
      </w:r>
      <w:r w:rsidRPr="00F77BBD">
        <w:rPr>
          <w:rFonts w:asciiTheme="minorHAnsi" w:eastAsiaTheme="minorHAnsi" w:hAnsiTheme="minorHAnsi" w:cstheme="minorBidi"/>
          <w:snapToGrid/>
          <w:sz w:val="24"/>
          <w:szCs w:val="22"/>
        </w:rPr>
        <w:t>) to be</w:t>
      </w:r>
      <w:r w:rsidR="00E3209F">
        <w:rPr>
          <w:rFonts w:asciiTheme="minorHAnsi" w:eastAsiaTheme="minorHAnsi" w:hAnsiTheme="minorHAnsi" w:cstheme="minorBidi"/>
          <w:snapToGrid/>
          <w:sz w:val="24"/>
          <w:szCs w:val="22"/>
        </w:rPr>
        <w:t xml:space="preserve"> marked as equivalent (</w:t>
      </w:r>
      <w:r w:rsidRPr="00F77BBD">
        <w:rPr>
          <w:rFonts w:asciiTheme="minorHAnsi" w:eastAsiaTheme="minorHAnsi" w:hAnsiTheme="minorHAnsi" w:cstheme="minorBidi"/>
          <w:snapToGrid/>
          <w:sz w:val="24"/>
          <w:szCs w:val="22"/>
        </w:rPr>
        <w:t>‘a’ flagged</w:t>
      </w:r>
      <w:r w:rsidR="00E3209F">
        <w:rPr>
          <w:rFonts w:asciiTheme="minorHAnsi" w:eastAsiaTheme="minorHAnsi" w:hAnsiTheme="minorHAnsi" w:cstheme="minorBidi"/>
          <w:snapToGrid/>
          <w:sz w:val="24"/>
          <w:szCs w:val="22"/>
        </w:rPr>
        <w:t>)</w:t>
      </w:r>
      <w:r w:rsidRPr="00F77BBD">
        <w:rPr>
          <w:rFonts w:asciiTheme="minorHAnsi" w:eastAsiaTheme="minorHAnsi" w:hAnsiTheme="minorHAnsi" w:cstheme="minorBidi"/>
          <w:snapToGrid/>
          <w:sz w:val="24"/>
          <w:szCs w:val="22"/>
        </w:rPr>
        <w:t xml:space="preserve"> to each other</w:t>
      </w:r>
      <w:r w:rsidR="00E3209F">
        <w:rPr>
          <w:rFonts w:asciiTheme="minorHAnsi" w:eastAsiaTheme="minorHAnsi" w:hAnsiTheme="minorHAnsi" w:cstheme="minorBidi"/>
          <w:snapToGrid/>
          <w:sz w:val="24"/>
          <w:szCs w:val="22"/>
        </w:rPr>
        <w:t xml:space="preserve"> in the Schedule of Pharmaceutical Benefits</w:t>
      </w:r>
      <w:r w:rsidRPr="00F77BBD">
        <w:rPr>
          <w:rFonts w:asciiTheme="minorHAnsi" w:eastAsiaTheme="minorHAnsi" w:hAnsiTheme="minorHAnsi" w:cstheme="minorBidi"/>
          <w:snapToGrid/>
          <w:sz w:val="24"/>
          <w:szCs w:val="22"/>
        </w:rPr>
        <w:t>.</w:t>
      </w:r>
    </w:p>
    <w:p w:rsidR="00B62B6F" w:rsidRDefault="00B62B6F" w:rsidP="00615F48">
      <w:pPr>
        <w:widowControl w:val="0"/>
        <w:numPr>
          <w:ilvl w:val="1"/>
          <w:numId w:val="5"/>
        </w:numPr>
        <w:spacing w:after="120"/>
        <w:jc w:val="both"/>
        <w:rPr>
          <w:rFonts w:asciiTheme="minorHAnsi" w:hAnsiTheme="minorHAnsi" w:cs="Arial"/>
          <w:bCs/>
          <w:snapToGrid w:val="0"/>
          <w:lang w:val="en-GB"/>
        </w:rPr>
      </w:pPr>
      <w:r w:rsidRPr="00FC39BD">
        <w:rPr>
          <w:rFonts w:asciiTheme="minorHAnsi" w:hAnsiTheme="minorHAnsi" w:cs="Arial"/>
          <w:bCs/>
          <w:snapToGrid w:val="0"/>
          <w:lang w:val="en-GB"/>
        </w:rPr>
        <w:t>The PBAC advised</w:t>
      </w:r>
      <w:r>
        <w:rPr>
          <w:rFonts w:asciiTheme="minorHAnsi" w:hAnsiTheme="minorHAnsi" w:cs="Arial"/>
          <w:bCs/>
          <w:snapToGrid w:val="0"/>
          <w:lang w:val="en-GB"/>
        </w:rPr>
        <w:t xml:space="preserve"> that</w:t>
      </w:r>
      <w:r w:rsidRPr="00FC39BD">
        <w:rPr>
          <w:rFonts w:asciiTheme="minorHAnsi" w:hAnsiTheme="minorHAnsi" w:cs="Arial"/>
          <w:bCs/>
          <w:snapToGrid w:val="0"/>
          <w:lang w:val="en-GB"/>
        </w:rPr>
        <w:t xml:space="preserve">, under Section 101 (4AACD) of the </w:t>
      </w:r>
      <w:r w:rsidRPr="007E02E7">
        <w:rPr>
          <w:rFonts w:asciiTheme="minorHAnsi" w:hAnsiTheme="minorHAnsi" w:cs="Arial"/>
          <w:bCs/>
          <w:i/>
          <w:snapToGrid w:val="0"/>
          <w:lang w:val="en-GB"/>
        </w:rPr>
        <w:t>National Health Act, 1953</w:t>
      </w:r>
      <w:r>
        <w:rPr>
          <w:rFonts w:asciiTheme="minorHAnsi" w:hAnsiTheme="minorHAnsi" w:cs="Arial"/>
          <w:bCs/>
          <w:snapToGrid w:val="0"/>
          <w:lang w:val="en-GB"/>
        </w:rPr>
        <w:t>, the Hadlima</w:t>
      </w:r>
      <w:r w:rsidR="00615F48" w:rsidRPr="00615F48">
        <w:rPr>
          <w:rFonts w:asciiTheme="minorHAnsi" w:hAnsiTheme="minorHAnsi" w:cs="Arial"/>
          <w:bCs/>
          <w:snapToGrid w:val="0"/>
          <w:lang w:val="en-GB"/>
        </w:rPr>
        <w:t>®</w:t>
      </w:r>
      <w:r w:rsidRPr="00FC39BD">
        <w:rPr>
          <w:rFonts w:asciiTheme="minorHAnsi" w:hAnsiTheme="minorHAnsi" w:cs="Arial"/>
          <w:bCs/>
          <w:snapToGrid w:val="0"/>
          <w:lang w:val="en-GB"/>
        </w:rPr>
        <w:t xml:space="preserve"> and </w:t>
      </w:r>
      <w:r>
        <w:rPr>
          <w:rFonts w:asciiTheme="minorHAnsi" w:hAnsiTheme="minorHAnsi" w:cs="Arial"/>
          <w:bCs/>
          <w:snapToGrid w:val="0"/>
          <w:lang w:val="en-GB"/>
        </w:rPr>
        <w:t>Humira</w:t>
      </w:r>
      <w:r w:rsidR="00615F48" w:rsidRPr="00615F48">
        <w:rPr>
          <w:rFonts w:asciiTheme="minorHAnsi" w:hAnsiTheme="minorHAnsi" w:cs="Arial"/>
          <w:bCs/>
          <w:snapToGrid w:val="0"/>
          <w:lang w:val="en-GB"/>
        </w:rPr>
        <w:t>®</w:t>
      </w:r>
      <w:r w:rsidRPr="00FC39BD">
        <w:rPr>
          <w:rFonts w:asciiTheme="minorHAnsi" w:hAnsiTheme="minorHAnsi" w:cs="Arial"/>
          <w:bCs/>
          <w:snapToGrid w:val="0"/>
          <w:lang w:val="en-GB"/>
        </w:rPr>
        <w:t xml:space="preserve"> </w:t>
      </w:r>
      <w:r>
        <w:rPr>
          <w:rFonts w:asciiTheme="minorHAnsi" w:hAnsiTheme="minorHAnsi" w:cs="Arial"/>
          <w:bCs/>
          <w:snapToGrid w:val="0"/>
          <w:lang w:val="en-GB"/>
        </w:rPr>
        <w:t>brands of adalimumab could be marked as equivalent in the Schedule of Pharmaceutical Benefits for the purposes of substitution at the pharmacy level.</w:t>
      </w:r>
    </w:p>
    <w:p w:rsidR="00B62B6F" w:rsidRPr="00813AAA" w:rsidRDefault="00B62B6F" w:rsidP="00615F48">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813AAA">
        <w:rPr>
          <w:rFonts w:asciiTheme="minorHAnsi" w:eastAsiaTheme="minorHAnsi" w:hAnsiTheme="minorHAnsi" w:cstheme="minorBidi"/>
          <w:snapToGrid/>
          <w:sz w:val="24"/>
          <w:szCs w:val="22"/>
        </w:rPr>
        <w:t xml:space="preserve">The PBAC noted </w:t>
      </w:r>
      <w:r w:rsidR="00CC065D" w:rsidRPr="00813AAA">
        <w:rPr>
          <w:rFonts w:asciiTheme="minorHAnsi" w:eastAsiaTheme="minorHAnsi" w:hAnsiTheme="minorHAnsi" w:cstheme="minorBidi"/>
          <w:snapToGrid/>
          <w:sz w:val="24"/>
          <w:szCs w:val="22"/>
        </w:rPr>
        <w:t>the difference in injection device between Hadlima</w:t>
      </w:r>
      <w:r w:rsidR="00615F48" w:rsidRPr="00615F48">
        <w:rPr>
          <w:rFonts w:asciiTheme="minorHAnsi" w:eastAsiaTheme="minorHAnsi" w:hAnsiTheme="minorHAnsi" w:cstheme="minorBidi"/>
          <w:snapToGrid/>
          <w:sz w:val="24"/>
          <w:szCs w:val="22"/>
        </w:rPr>
        <w:t>®</w:t>
      </w:r>
      <w:r w:rsidR="00CC065D" w:rsidRPr="00813AAA">
        <w:rPr>
          <w:rFonts w:asciiTheme="minorHAnsi" w:eastAsiaTheme="minorHAnsi" w:hAnsiTheme="minorHAnsi" w:cstheme="minorBidi"/>
          <w:snapToGrid/>
          <w:sz w:val="24"/>
          <w:szCs w:val="22"/>
        </w:rPr>
        <w:t xml:space="preserve"> and Humira</w:t>
      </w:r>
      <w:r w:rsidR="00615F48" w:rsidRPr="00615F48">
        <w:rPr>
          <w:rFonts w:asciiTheme="minorHAnsi" w:eastAsiaTheme="minorHAnsi" w:hAnsiTheme="minorHAnsi" w:cstheme="minorBidi"/>
          <w:snapToGrid/>
          <w:sz w:val="24"/>
          <w:szCs w:val="22"/>
        </w:rPr>
        <w:t>®</w:t>
      </w:r>
      <w:r w:rsidR="00CC065D" w:rsidRPr="00813AAA">
        <w:rPr>
          <w:rFonts w:asciiTheme="minorHAnsi" w:eastAsiaTheme="minorHAnsi" w:hAnsiTheme="minorHAnsi" w:cstheme="minorBidi"/>
          <w:snapToGrid/>
          <w:sz w:val="24"/>
          <w:szCs w:val="22"/>
        </w:rPr>
        <w:t xml:space="preserve">. </w:t>
      </w:r>
      <w:r w:rsidRPr="00813AAA">
        <w:rPr>
          <w:rFonts w:asciiTheme="minorHAnsi" w:eastAsiaTheme="minorHAnsi" w:hAnsiTheme="minorHAnsi" w:cstheme="minorBidi"/>
          <w:snapToGrid/>
          <w:sz w:val="24"/>
          <w:szCs w:val="22"/>
        </w:rPr>
        <w:t>The PBAC recalled that it had encountered this issue in its consideration of the etanercept biosimilar, Brenzys</w:t>
      </w:r>
      <w:r w:rsidR="00615F48" w:rsidRPr="00615F48">
        <w:rPr>
          <w:rFonts w:asciiTheme="minorHAnsi" w:eastAsiaTheme="minorHAnsi" w:hAnsiTheme="minorHAnsi" w:cstheme="minorBidi"/>
          <w:snapToGrid/>
          <w:sz w:val="24"/>
          <w:szCs w:val="22"/>
        </w:rPr>
        <w:t>®</w:t>
      </w:r>
      <w:r w:rsidRPr="00813AAA">
        <w:rPr>
          <w:rFonts w:asciiTheme="minorHAnsi" w:eastAsiaTheme="minorHAnsi" w:hAnsiTheme="minorHAnsi" w:cstheme="minorBidi"/>
          <w:snapToGrid/>
          <w:sz w:val="24"/>
          <w:szCs w:val="22"/>
        </w:rPr>
        <w:t>, and stated in that case that differences in auto injector presentations were ‘likely to be minor and can be managed through the regular patient education and counselling on the use of the devices that is provided to patients by prescribers and pharmacists.’ (</w:t>
      </w:r>
      <w:proofErr w:type="gramStart"/>
      <w:r w:rsidRPr="00813AAA">
        <w:rPr>
          <w:rFonts w:asciiTheme="minorHAnsi" w:eastAsiaTheme="minorHAnsi" w:hAnsiTheme="minorHAnsi" w:cstheme="minorBidi"/>
          <w:snapToGrid/>
          <w:sz w:val="24"/>
          <w:szCs w:val="22"/>
        </w:rPr>
        <w:t>etanercept</w:t>
      </w:r>
      <w:proofErr w:type="gramEnd"/>
      <w:r w:rsidRPr="00813AAA">
        <w:rPr>
          <w:rFonts w:asciiTheme="minorHAnsi" w:eastAsiaTheme="minorHAnsi" w:hAnsiTheme="minorHAnsi" w:cstheme="minorBidi"/>
          <w:snapToGrid/>
          <w:sz w:val="24"/>
          <w:szCs w:val="22"/>
        </w:rPr>
        <w:t xml:space="preserve"> public summary document, July 2016).</w:t>
      </w:r>
      <w:r w:rsidR="0051126D">
        <w:rPr>
          <w:rFonts w:asciiTheme="minorHAnsi" w:eastAsiaTheme="minorHAnsi" w:hAnsiTheme="minorHAnsi" w:cstheme="minorBidi"/>
          <w:snapToGrid/>
          <w:sz w:val="24"/>
          <w:szCs w:val="22"/>
        </w:rPr>
        <w:t xml:space="preserve"> The PBAC considered that a similar conclusion applies to adalimumab.</w:t>
      </w:r>
    </w:p>
    <w:p w:rsidR="00FC39BD" w:rsidRDefault="00FC39BD" w:rsidP="00FC39BD">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reiterated its previous advice that adalimumab should not be exempt from the Early Supply Rule.</w:t>
      </w:r>
    </w:p>
    <w:p w:rsidR="006853D4" w:rsidRPr="00525B39" w:rsidRDefault="006853D4" w:rsidP="006853D4">
      <w:pPr>
        <w:widowControl w:val="0"/>
        <w:numPr>
          <w:ilvl w:val="1"/>
          <w:numId w:val="5"/>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 xml:space="preserve">The PBAC </w:t>
      </w:r>
      <w:r w:rsidR="00FC39BD">
        <w:rPr>
          <w:rFonts w:asciiTheme="minorHAnsi" w:hAnsiTheme="minorHAnsi" w:cs="Arial"/>
          <w:bCs/>
          <w:snapToGrid w:val="0"/>
          <w:lang w:val="en-GB"/>
        </w:rPr>
        <w:t xml:space="preserve">reiterated its previous advice that adalimumab </w:t>
      </w:r>
      <w:r w:rsidRPr="00525B39">
        <w:rPr>
          <w:rFonts w:asciiTheme="minorHAnsi" w:hAnsiTheme="minorHAnsi" w:cs="Arial"/>
          <w:bCs/>
          <w:snapToGrid w:val="0"/>
          <w:lang w:val="en-GB"/>
        </w:rPr>
        <w:t xml:space="preserve">is not suitable for prescribing by nurse practitioners.  </w:t>
      </w:r>
    </w:p>
    <w:p w:rsidR="006853D4" w:rsidRPr="00525B39" w:rsidRDefault="006853D4" w:rsidP="003B7563">
      <w:pPr>
        <w:widowControl w:val="0"/>
        <w:numPr>
          <w:ilvl w:val="1"/>
          <w:numId w:val="5"/>
        </w:numPr>
        <w:spacing w:after="120"/>
        <w:jc w:val="both"/>
        <w:rPr>
          <w:rFonts w:asciiTheme="minorHAnsi" w:hAnsiTheme="minorHAnsi" w:cs="Arial"/>
          <w:bCs/>
          <w:i/>
          <w:snapToGrid w:val="0"/>
          <w:lang w:val="en-GB"/>
        </w:rPr>
      </w:pPr>
      <w:r w:rsidRPr="00525B39">
        <w:rPr>
          <w:rFonts w:asciiTheme="minorHAnsi" w:hAnsiTheme="minorHAnsi" w:cs="Arial"/>
          <w:bCs/>
          <w:snapToGrid w:val="0"/>
          <w:lang w:val="en-GB"/>
        </w:rPr>
        <w:t xml:space="preserve">The PBAC </w:t>
      </w:r>
      <w:r w:rsidR="003B7563">
        <w:rPr>
          <w:rFonts w:asciiTheme="minorHAnsi" w:hAnsiTheme="minorHAnsi" w:cs="Arial"/>
          <w:bCs/>
          <w:snapToGrid w:val="0"/>
          <w:lang w:val="en-GB"/>
        </w:rPr>
        <w:t>noted that this submission is not eligible for independent review as it received a positive recommendation.</w:t>
      </w:r>
    </w:p>
    <w:p w:rsidR="006853D4" w:rsidRPr="00525B39" w:rsidRDefault="006853D4" w:rsidP="006853D4">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6853D4" w:rsidRPr="00525B39" w:rsidRDefault="006853D4" w:rsidP="006853D4">
      <w:pPr>
        <w:jc w:val="both"/>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rsidR="006853D4" w:rsidRPr="00525B39" w:rsidRDefault="006853D4" w:rsidP="002579FA">
      <w:pPr>
        <w:widowControl w:val="0"/>
        <w:numPr>
          <w:ilvl w:val="0"/>
          <w:numId w:val="5"/>
        </w:numPr>
        <w:spacing w:before="240" w:after="120"/>
        <w:jc w:val="both"/>
        <w:outlineLvl w:val="0"/>
        <w:rPr>
          <w:rFonts w:asciiTheme="minorHAnsi" w:hAnsiTheme="minorHAnsi" w:cs="Arial"/>
          <w:b/>
          <w:bCs/>
          <w:i/>
          <w:snapToGrid w:val="0"/>
          <w:sz w:val="32"/>
          <w:lang w:val="en-GB"/>
        </w:rPr>
      </w:pPr>
      <w:r w:rsidRPr="00525B39">
        <w:rPr>
          <w:rFonts w:asciiTheme="minorHAnsi" w:hAnsiTheme="minorHAnsi" w:cs="Arial"/>
          <w:b/>
          <w:bCs/>
          <w:snapToGrid w:val="0"/>
          <w:sz w:val="32"/>
          <w:lang w:val="en-GB"/>
        </w:rPr>
        <w:t>Recommended listing</w:t>
      </w:r>
    </w:p>
    <w:p w:rsidR="009E2E77" w:rsidRPr="0013118F" w:rsidRDefault="009E2E77" w:rsidP="00615F48">
      <w:pPr>
        <w:widowControl w:val="0"/>
        <w:numPr>
          <w:ilvl w:val="1"/>
          <w:numId w:val="5"/>
        </w:numPr>
        <w:spacing w:after="120"/>
        <w:jc w:val="both"/>
        <w:rPr>
          <w:rFonts w:asciiTheme="minorHAnsi" w:hAnsiTheme="minorHAnsi" w:cs="Arial"/>
          <w:bCs/>
          <w:snapToGrid w:val="0"/>
          <w:lang w:eastAsia="en-US"/>
        </w:rPr>
      </w:pPr>
      <w:r>
        <w:rPr>
          <w:rFonts w:asciiTheme="minorHAnsi" w:hAnsiTheme="minorHAnsi" w:cs="Arial"/>
          <w:bCs/>
          <w:snapToGrid w:val="0"/>
          <w:lang w:eastAsia="en-US"/>
        </w:rPr>
        <w:t xml:space="preserve">Add new brand with schedule equivalence (‘a’ flag) for the </w:t>
      </w:r>
      <w:r w:rsidR="0051126D">
        <w:rPr>
          <w:rFonts w:asciiTheme="minorHAnsi" w:hAnsiTheme="minorHAnsi" w:cs="Arial"/>
          <w:bCs/>
          <w:snapToGrid w:val="0"/>
          <w:lang w:eastAsia="en-US"/>
        </w:rPr>
        <w:t xml:space="preserve">same </w:t>
      </w:r>
      <w:r>
        <w:rPr>
          <w:rFonts w:asciiTheme="minorHAnsi" w:hAnsiTheme="minorHAnsi" w:cs="Arial"/>
          <w:bCs/>
          <w:snapToGrid w:val="0"/>
          <w:lang w:eastAsia="en-US"/>
        </w:rPr>
        <w:t>RA indication as for Humira</w:t>
      </w:r>
      <w:r w:rsidR="00615F48" w:rsidRPr="00615F48">
        <w:rPr>
          <w:rFonts w:asciiTheme="minorHAnsi" w:hAnsiTheme="minorHAnsi" w:cs="Arial"/>
          <w:bCs/>
          <w:snapToGrid w:val="0"/>
          <w:lang w:eastAsia="en-US"/>
        </w:rPr>
        <w:t>®</w:t>
      </w:r>
      <w:r w:rsidRPr="009E4052">
        <w:rPr>
          <w:rFonts w:asciiTheme="minorHAnsi" w:hAnsiTheme="minorHAnsi" w:cs="Arial"/>
          <w:bCs/>
          <w:snapToGrid w:val="0"/>
          <w:lang w:eastAsia="en-US"/>
        </w:rPr>
        <w:t>.</w:t>
      </w:r>
      <w:r>
        <w:rPr>
          <w:rFonts w:asciiTheme="minorHAnsi" w:hAnsiTheme="minorHAnsi" w:cs="Arial"/>
          <w:bCs/>
          <w:snapToGrid w:val="0"/>
          <w:lang w:eastAsia="en-US"/>
        </w:rPr>
        <w:t xml:space="preserve"> </w:t>
      </w:r>
    </w:p>
    <w:p w:rsidR="0013118F" w:rsidRDefault="009E2E77" w:rsidP="0013118F">
      <w:pPr>
        <w:widowControl w:val="0"/>
        <w:numPr>
          <w:ilvl w:val="1"/>
          <w:numId w:val="5"/>
        </w:numPr>
        <w:spacing w:after="120"/>
        <w:jc w:val="both"/>
        <w:rPr>
          <w:rFonts w:asciiTheme="minorHAnsi" w:hAnsiTheme="minorHAnsi" w:cs="Arial"/>
          <w:bCs/>
          <w:snapToGrid w:val="0"/>
          <w:lang w:eastAsia="en-US"/>
        </w:rPr>
      </w:pPr>
      <w:r w:rsidRPr="0013118F">
        <w:rPr>
          <w:rFonts w:asciiTheme="minorHAnsi" w:hAnsiTheme="minorHAnsi" w:cs="Arial"/>
          <w:bCs/>
          <w:snapToGrid w:val="0"/>
          <w:lang w:eastAsia="en-US"/>
        </w:rPr>
        <w:t xml:space="preserve">Restrictions </w:t>
      </w:r>
      <w:r w:rsidR="0013118F" w:rsidRPr="0013118F">
        <w:rPr>
          <w:rFonts w:asciiTheme="minorHAnsi" w:hAnsiTheme="minorHAnsi" w:cs="Arial"/>
          <w:bCs/>
          <w:snapToGrid w:val="0"/>
          <w:lang w:eastAsia="en-US"/>
        </w:rPr>
        <w:t>to be revised</w:t>
      </w:r>
      <w:r w:rsidRPr="0013118F">
        <w:rPr>
          <w:rFonts w:asciiTheme="minorHAnsi" w:hAnsiTheme="minorHAnsi" w:cs="Arial"/>
          <w:bCs/>
          <w:snapToGrid w:val="0"/>
          <w:lang w:eastAsia="en-US"/>
        </w:rPr>
        <w:t xml:space="preserve"> to apply the biosimilar uptake measures for initial (Initial 1 and Initial 2) and </w:t>
      </w:r>
      <w:r w:rsidRPr="0062461E">
        <w:rPr>
          <w:rFonts w:asciiTheme="minorHAnsi" w:hAnsiTheme="minorHAnsi" w:cs="Arial"/>
          <w:bCs/>
          <w:snapToGrid w:val="0"/>
          <w:lang w:eastAsia="en-US"/>
        </w:rPr>
        <w:t xml:space="preserve">continuing (First continuing and Subsequent continuing) treatment </w:t>
      </w:r>
      <w:r w:rsidRPr="0013118F">
        <w:rPr>
          <w:rFonts w:asciiTheme="minorHAnsi" w:hAnsiTheme="minorHAnsi" w:cs="Arial"/>
          <w:bCs/>
          <w:snapToGrid w:val="0"/>
          <w:lang w:eastAsia="en-US"/>
        </w:rPr>
        <w:t>restrictions for</w:t>
      </w:r>
      <w:r w:rsidR="0013118F" w:rsidRPr="0013118F">
        <w:rPr>
          <w:rFonts w:asciiTheme="minorHAnsi" w:hAnsiTheme="minorHAnsi" w:cs="Arial"/>
          <w:bCs/>
          <w:snapToGrid w:val="0"/>
          <w:lang w:eastAsia="en-US"/>
        </w:rPr>
        <w:t xml:space="preserve"> RA</w:t>
      </w:r>
      <w:r w:rsidRPr="0013118F">
        <w:rPr>
          <w:rFonts w:asciiTheme="minorHAnsi" w:hAnsiTheme="minorHAnsi" w:cs="Arial"/>
          <w:bCs/>
          <w:snapToGrid w:val="0"/>
          <w:lang w:eastAsia="en-US"/>
        </w:rPr>
        <w:t>.</w:t>
      </w:r>
      <w:r w:rsidR="0013118F">
        <w:rPr>
          <w:rFonts w:asciiTheme="minorHAnsi" w:hAnsiTheme="minorHAnsi" w:cs="Arial"/>
          <w:bCs/>
          <w:snapToGrid w:val="0"/>
          <w:lang w:eastAsia="en-US"/>
        </w:rPr>
        <w:t xml:space="preserve"> </w:t>
      </w:r>
      <w:r w:rsidR="0065323B">
        <w:rPr>
          <w:rFonts w:asciiTheme="minorHAnsi" w:hAnsiTheme="minorHAnsi" w:cs="Arial"/>
          <w:bCs/>
          <w:snapToGrid w:val="0"/>
          <w:lang w:eastAsia="en-US"/>
        </w:rPr>
        <w:t xml:space="preserve">The lower </w:t>
      </w:r>
      <w:proofErr w:type="gramStart"/>
      <w:r w:rsidR="0065323B">
        <w:rPr>
          <w:rFonts w:asciiTheme="minorHAnsi" w:hAnsiTheme="minorHAnsi" w:cs="Arial"/>
          <w:bCs/>
          <w:snapToGrid w:val="0"/>
          <w:lang w:eastAsia="en-US"/>
        </w:rPr>
        <w:t>Streamlined</w:t>
      </w:r>
      <w:proofErr w:type="gramEnd"/>
      <w:r w:rsidR="0065323B">
        <w:rPr>
          <w:rFonts w:asciiTheme="minorHAnsi" w:hAnsiTheme="minorHAnsi" w:cs="Arial"/>
          <w:bCs/>
          <w:snapToGrid w:val="0"/>
          <w:lang w:eastAsia="en-US"/>
        </w:rPr>
        <w:t xml:space="preserve"> authority level will apply to Subsequent continuing treatment only. </w:t>
      </w:r>
      <w:r w:rsidR="0013118F">
        <w:rPr>
          <w:rFonts w:asciiTheme="minorHAnsi" w:hAnsiTheme="minorHAnsi" w:cs="Arial"/>
          <w:bCs/>
          <w:snapToGrid w:val="0"/>
          <w:lang w:eastAsia="en-US"/>
        </w:rPr>
        <w:t xml:space="preserve">The full restriction wording will be based upon the RA </w:t>
      </w:r>
      <w:r w:rsidR="0013118F">
        <w:rPr>
          <w:rFonts w:asciiTheme="minorHAnsi" w:hAnsiTheme="minorHAnsi" w:cs="Arial"/>
          <w:bCs/>
          <w:snapToGrid w:val="0"/>
          <w:lang w:eastAsia="en-US"/>
        </w:rPr>
        <w:lastRenderedPageBreak/>
        <w:t>restriction for the etanercept</w:t>
      </w:r>
      <w:r w:rsidR="00E3209F">
        <w:rPr>
          <w:rFonts w:asciiTheme="minorHAnsi" w:hAnsiTheme="minorHAnsi" w:cs="Arial"/>
          <w:bCs/>
          <w:snapToGrid w:val="0"/>
          <w:lang w:eastAsia="en-US"/>
        </w:rPr>
        <w:t xml:space="preserve"> and infliximab</w:t>
      </w:r>
      <w:r w:rsidR="0013118F">
        <w:rPr>
          <w:rFonts w:asciiTheme="minorHAnsi" w:hAnsiTheme="minorHAnsi" w:cs="Arial"/>
          <w:bCs/>
          <w:snapToGrid w:val="0"/>
          <w:lang w:eastAsia="en-US"/>
        </w:rPr>
        <w:t xml:space="preserve"> </w:t>
      </w:r>
      <w:proofErr w:type="spellStart"/>
      <w:r w:rsidR="0013118F">
        <w:rPr>
          <w:rFonts w:asciiTheme="minorHAnsi" w:hAnsiTheme="minorHAnsi" w:cs="Arial"/>
          <w:bCs/>
          <w:snapToGrid w:val="0"/>
          <w:lang w:eastAsia="en-US"/>
        </w:rPr>
        <w:t>biosimilars</w:t>
      </w:r>
      <w:proofErr w:type="spellEnd"/>
      <w:r w:rsidR="0013118F">
        <w:rPr>
          <w:rFonts w:asciiTheme="minorHAnsi" w:hAnsiTheme="minorHAnsi" w:cs="Arial"/>
          <w:bCs/>
          <w:snapToGrid w:val="0"/>
          <w:lang w:eastAsia="en-US"/>
        </w:rPr>
        <w:t>, which are currently being finalised.</w:t>
      </w:r>
    </w:p>
    <w:p w:rsidR="009E2E77" w:rsidRPr="0062461E" w:rsidRDefault="009E2E77" w:rsidP="0013118F">
      <w:pPr>
        <w:widowControl w:val="0"/>
        <w:numPr>
          <w:ilvl w:val="1"/>
          <w:numId w:val="5"/>
        </w:numPr>
        <w:spacing w:after="120"/>
        <w:jc w:val="both"/>
        <w:rPr>
          <w:rFonts w:asciiTheme="minorHAnsi" w:hAnsiTheme="minorHAnsi" w:cs="Arial"/>
          <w:bCs/>
          <w:snapToGrid w:val="0"/>
          <w:lang w:eastAsia="en-US"/>
        </w:rPr>
      </w:pPr>
      <w:r w:rsidRPr="0013118F">
        <w:rPr>
          <w:rFonts w:asciiTheme="minorHAnsi" w:hAnsiTheme="minorHAnsi" w:cs="Arial"/>
          <w:bCs/>
          <w:snapToGrid w:val="0"/>
          <w:lang w:eastAsia="en-US"/>
        </w:rPr>
        <w:t>A</w:t>
      </w:r>
      <w:r w:rsidR="00E3209F">
        <w:rPr>
          <w:rFonts w:asciiTheme="minorHAnsi" w:hAnsiTheme="minorHAnsi" w:cs="Arial"/>
          <w:bCs/>
          <w:snapToGrid w:val="0"/>
          <w:lang w:eastAsia="en-US"/>
        </w:rPr>
        <w:t>ddition of a</w:t>
      </w:r>
      <w:r w:rsidRPr="0013118F">
        <w:rPr>
          <w:rFonts w:asciiTheme="minorHAnsi" w:hAnsiTheme="minorHAnsi" w:cs="Arial"/>
          <w:bCs/>
          <w:snapToGrid w:val="0"/>
          <w:lang w:eastAsia="en-US"/>
        </w:rPr>
        <w:t xml:space="preserve">n administrative </w:t>
      </w:r>
      <w:r w:rsidR="00E3209F">
        <w:rPr>
          <w:rFonts w:asciiTheme="minorHAnsi" w:hAnsiTheme="minorHAnsi" w:cs="Arial"/>
          <w:bCs/>
          <w:snapToGrid w:val="0"/>
          <w:lang w:eastAsia="en-US"/>
        </w:rPr>
        <w:t>note</w:t>
      </w:r>
      <w:r w:rsidRPr="0013118F">
        <w:rPr>
          <w:rFonts w:asciiTheme="minorHAnsi" w:hAnsiTheme="minorHAnsi" w:cs="Arial"/>
          <w:bCs/>
          <w:snapToGrid w:val="0"/>
          <w:lang w:eastAsia="en-US"/>
        </w:rPr>
        <w:t xml:space="preserve"> encouraging biosimilar prescribing for treatment naïve patients</w:t>
      </w:r>
      <w:r w:rsidRPr="0062461E">
        <w:rPr>
          <w:rFonts w:asciiTheme="minorHAnsi" w:hAnsiTheme="minorHAnsi" w:cs="Arial"/>
          <w:bCs/>
          <w:snapToGrid w:val="0"/>
          <w:lang w:eastAsia="en-US"/>
        </w:rPr>
        <w:t>.</w:t>
      </w:r>
      <w:r w:rsidR="006D460A">
        <w:rPr>
          <w:rFonts w:asciiTheme="minorHAnsi" w:hAnsiTheme="minorHAnsi" w:cs="Arial"/>
          <w:bCs/>
          <w:snapToGrid w:val="0"/>
          <w:lang w:eastAsia="en-US"/>
        </w:rPr>
        <w:t xml:space="preserve"> </w:t>
      </w:r>
    </w:p>
    <w:p w:rsidR="00DB1B32" w:rsidRDefault="00DB1B32" w:rsidP="00DB1B32">
      <w:pPr>
        <w:widowControl w:val="0"/>
        <w:numPr>
          <w:ilvl w:val="0"/>
          <w:numId w:val="5"/>
        </w:numPr>
        <w:spacing w:before="240" w:after="120"/>
        <w:jc w:val="both"/>
        <w:outlineLvl w:val="0"/>
        <w:rPr>
          <w:rFonts w:asciiTheme="minorHAnsi" w:hAnsiTheme="minorHAnsi"/>
          <w:b/>
          <w:sz w:val="32"/>
        </w:rPr>
      </w:pPr>
      <w:r w:rsidRPr="00DB1B32">
        <w:rPr>
          <w:rFonts w:asciiTheme="minorHAnsi" w:hAnsiTheme="minorHAnsi" w:cs="Arial"/>
          <w:b/>
          <w:bCs/>
          <w:snapToGrid w:val="0"/>
          <w:sz w:val="32"/>
          <w:lang w:val="en-GB"/>
        </w:rPr>
        <w:t>Context</w:t>
      </w:r>
      <w:r>
        <w:rPr>
          <w:rFonts w:asciiTheme="minorHAnsi" w:hAnsiTheme="minorHAnsi"/>
          <w:b/>
          <w:sz w:val="32"/>
        </w:rPr>
        <w:t xml:space="preserve"> for Decision</w:t>
      </w:r>
    </w:p>
    <w:p w:rsidR="00DB1B32" w:rsidRPr="005D4E9E" w:rsidRDefault="00DB1B32" w:rsidP="005D4E9E">
      <w:pPr>
        <w:ind w:left="709"/>
        <w:jc w:val="both"/>
        <w:rPr>
          <w:rFonts w:asciiTheme="minorHAnsi" w:hAnsiTheme="minorHAnsi" w:cs="Arial"/>
        </w:rPr>
      </w:pPr>
      <w:r>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bookmarkStart w:id="0" w:name="_GoBack"/>
      <w:bookmarkEnd w:id="0"/>
    </w:p>
    <w:p w:rsidR="00DB1B32" w:rsidRPr="00DB1B32" w:rsidRDefault="00DB1B32" w:rsidP="00DB1B32">
      <w:pPr>
        <w:widowControl w:val="0"/>
        <w:numPr>
          <w:ilvl w:val="0"/>
          <w:numId w:val="5"/>
        </w:numPr>
        <w:spacing w:before="240" w:after="120"/>
        <w:jc w:val="both"/>
        <w:outlineLvl w:val="0"/>
        <w:rPr>
          <w:rFonts w:asciiTheme="minorHAnsi" w:hAnsiTheme="minorHAnsi" w:cs="Arial"/>
          <w:b/>
          <w:bCs/>
          <w:snapToGrid w:val="0"/>
          <w:sz w:val="32"/>
          <w:lang w:val="en-GB"/>
        </w:rPr>
      </w:pPr>
      <w:r w:rsidRPr="00DB1B32">
        <w:rPr>
          <w:rFonts w:asciiTheme="minorHAnsi" w:hAnsiTheme="minorHAnsi" w:cs="Arial"/>
          <w:b/>
          <w:bCs/>
          <w:snapToGrid w:val="0"/>
          <w:sz w:val="32"/>
          <w:lang w:val="en-GB"/>
        </w:rPr>
        <w:t>Sponsor’s Comment</w:t>
      </w:r>
    </w:p>
    <w:p w:rsidR="00F64CC1" w:rsidRPr="005D4E9E" w:rsidRDefault="00DB1B32" w:rsidP="005D4E9E">
      <w:pPr>
        <w:spacing w:after="120"/>
        <w:ind w:left="709"/>
        <w:jc w:val="both"/>
        <w:rPr>
          <w:rFonts w:asciiTheme="minorHAnsi" w:hAnsiTheme="minorHAnsi" w:cs="Arial"/>
          <w:bCs/>
          <w:szCs w:val="22"/>
        </w:rPr>
      </w:pPr>
      <w:r>
        <w:rPr>
          <w:rFonts w:asciiTheme="minorHAnsi" w:hAnsiTheme="minorHAnsi" w:cs="Arial"/>
          <w:bCs/>
        </w:rPr>
        <w:t>The sponsor had no comment.</w:t>
      </w:r>
    </w:p>
    <w:sectPr w:rsidR="00F64CC1" w:rsidRPr="005D4E9E"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26D" w:rsidRDefault="0051126D">
      <w:r>
        <w:separator/>
      </w:r>
    </w:p>
    <w:p w:rsidR="0051126D" w:rsidRDefault="0051126D"/>
  </w:endnote>
  <w:endnote w:type="continuationSeparator" w:id="0">
    <w:p w:rsidR="0051126D" w:rsidRDefault="0051126D">
      <w:r>
        <w:continuationSeparator/>
      </w:r>
    </w:p>
    <w:p w:rsidR="0051126D" w:rsidRDefault="00511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1126D" w:rsidTr="005A3173">
      <w:trPr>
        <w:trHeight w:val="151"/>
      </w:trPr>
      <w:tc>
        <w:tcPr>
          <w:tcW w:w="2250" w:type="pct"/>
          <w:tcBorders>
            <w:top w:val="nil"/>
            <w:left w:val="nil"/>
            <w:bottom w:val="single" w:sz="4" w:space="0" w:color="4F81BD"/>
            <w:right w:val="nil"/>
          </w:tcBorders>
        </w:tcPr>
        <w:p w:rsidR="0051126D" w:rsidRPr="005A3173" w:rsidRDefault="0051126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1126D" w:rsidRPr="005A3173" w:rsidRDefault="0051126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1126D" w:rsidRPr="005A3173" w:rsidRDefault="0051126D" w:rsidP="005A3173">
          <w:pPr>
            <w:pStyle w:val="Header"/>
            <w:spacing w:line="276" w:lineRule="auto"/>
            <w:rPr>
              <w:rFonts w:ascii="Calibri" w:eastAsia="MS Gothic" w:hAnsi="Calibri"/>
              <w:b/>
              <w:bCs/>
              <w:color w:val="4F81BD"/>
            </w:rPr>
          </w:pPr>
        </w:p>
      </w:tc>
    </w:tr>
    <w:tr w:rsidR="0051126D" w:rsidTr="005A3173">
      <w:trPr>
        <w:trHeight w:val="150"/>
      </w:trPr>
      <w:tc>
        <w:tcPr>
          <w:tcW w:w="2250" w:type="pct"/>
          <w:tcBorders>
            <w:top w:val="single" w:sz="4" w:space="0" w:color="4F81BD"/>
            <w:left w:val="nil"/>
            <w:bottom w:val="nil"/>
            <w:right w:val="nil"/>
          </w:tcBorders>
        </w:tcPr>
        <w:p w:rsidR="0051126D" w:rsidRPr="005A3173" w:rsidRDefault="0051126D" w:rsidP="005A3173">
          <w:pPr>
            <w:pStyle w:val="Header"/>
            <w:spacing w:line="276" w:lineRule="auto"/>
            <w:rPr>
              <w:rFonts w:ascii="Calibri" w:eastAsia="MS Gothic" w:hAnsi="Calibri"/>
              <w:b/>
              <w:bCs/>
              <w:color w:val="4F81BD"/>
            </w:rPr>
          </w:pPr>
        </w:p>
      </w:tc>
      <w:tc>
        <w:tcPr>
          <w:tcW w:w="0" w:type="auto"/>
          <w:vMerge/>
          <w:vAlign w:val="center"/>
          <w:hideMark/>
        </w:tcPr>
        <w:p w:rsidR="0051126D" w:rsidRPr="005A3173" w:rsidRDefault="0051126D" w:rsidP="005A3173">
          <w:pPr>
            <w:rPr>
              <w:rFonts w:ascii="Calibri" w:hAnsi="Calibri"/>
              <w:color w:val="365F91"/>
              <w:sz w:val="22"/>
              <w:szCs w:val="22"/>
            </w:rPr>
          </w:pPr>
        </w:p>
      </w:tc>
      <w:tc>
        <w:tcPr>
          <w:tcW w:w="2250" w:type="pct"/>
          <w:tcBorders>
            <w:top w:val="single" w:sz="4" w:space="0" w:color="4F81BD"/>
            <w:left w:val="nil"/>
            <w:bottom w:val="nil"/>
            <w:right w:val="nil"/>
          </w:tcBorders>
        </w:tcPr>
        <w:p w:rsidR="0051126D" w:rsidRPr="005A3173" w:rsidRDefault="0051126D" w:rsidP="005A3173">
          <w:pPr>
            <w:pStyle w:val="Header"/>
            <w:spacing w:line="276" w:lineRule="auto"/>
            <w:rPr>
              <w:rFonts w:ascii="Calibri" w:eastAsia="MS Gothic" w:hAnsi="Calibri"/>
              <w:b/>
              <w:bCs/>
              <w:color w:val="4F81BD"/>
            </w:rPr>
          </w:pPr>
        </w:p>
      </w:tc>
    </w:tr>
  </w:tbl>
  <w:p w:rsidR="0051126D" w:rsidRDefault="0051126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126D" w:rsidRDefault="0051126D">
    <w:pPr>
      <w:pStyle w:val="Footer"/>
    </w:pPr>
  </w:p>
  <w:p w:rsidR="0051126D" w:rsidRDefault="005112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43865"/>
      <w:docPartObj>
        <w:docPartGallery w:val="Page Numbers (Bottom of Page)"/>
        <w:docPartUnique/>
      </w:docPartObj>
    </w:sdtPr>
    <w:sdtEndPr>
      <w:rPr>
        <w:rFonts w:asciiTheme="minorHAnsi" w:hAnsiTheme="minorHAnsi"/>
        <w:b/>
        <w:noProof/>
        <w:sz w:val="20"/>
        <w:szCs w:val="20"/>
      </w:rPr>
    </w:sdtEndPr>
    <w:sdtContent>
      <w:p w:rsidR="003B0773" w:rsidRDefault="003B0773">
        <w:pPr>
          <w:pStyle w:val="Footer"/>
          <w:jc w:val="center"/>
        </w:pPr>
      </w:p>
      <w:p w:rsidR="0051126D" w:rsidRPr="003B0773" w:rsidRDefault="0051126D" w:rsidP="003B0773">
        <w:pPr>
          <w:pStyle w:val="Footer"/>
          <w:jc w:val="center"/>
          <w:rPr>
            <w:rFonts w:asciiTheme="minorHAnsi" w:hAnsiTheme="minorHAnsi"/>
            <w:b/>
            <w:sz w:val="20"/>
            <w:szCs w:val="20"/>
          </w:rPr>
        </w:pPr>
        <w:r w:rsidRPr="001044C9">
          <w:rPr>
            <w:rFonts w:asciiTheme="minorHAnsi" w:hAnsiTheme="minorHAnsi"/>
            <w:b/>
            <w:sz w:val="20"/>
            <w:szCs w:val="20"/>
          </w:rPr>
          <w:fldChar w:fldCharType="begin"/>
        </w:r>
        <w:r w:rsidRPr="001044C9">
          <w:rPr>
            <w:rFonts w:asciiTheme="minorHAnsi" w:hAnsiTheme="minorHAnsi"/>
            <w:b/>
            <w:sz w:val="20"/>
            <w:szCs w:val="20"/>
          </w:rPr>
          <w:instrText xml:space="preserve"> PAGE   \* MERGEFORMAT </w:instrText>
        </w:r>
        <w:r w:rsidRPr="001044C9">
          <w:rPr>
            <w:rFonts w:asciiTheme="minorHAnsi" w:hAnsiTheme="minorHAnsi"/>
            <w:b/>
            <w:sz w:val="20"/>
            <w:szCs w:val="20"/>
          </w:rPr>
          <w:fldChar w:fldCharType="separate"/>
        </w:r>
        <w:r w:rsidR="005D4E9E">
          <w:rPr>
            <w:rFonts w:asciiTheme="minorHAnsi" w:hAnsiTheme="minorHAnsi"/>
            <w:b/>
            <w:noProof/>
            <w:sz w:val="20"/>
            <w:szCs w:val="20"/>
          </w:rPr>
          <w:t>7</w:t>
        </w:r>
        <w:r w:rsidRPr="001044C9">
          <w:rPr>
            <w:rFonts w:asciiTheme="minorHAnsi" w:hAnsiTheme="minorHAnsi"/>
            <w:b/>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1126D" w:rsidTr="005A3173">
      <w:trPr>
        <w:trHeight w:val="151"/>
      </w:trPr>
      <w:tc>
        <w:tcPr>
          <w:tcW w:w="2250" w:type="pct"/>
          <w:tcBorders>
            <w:top w:val="nil"/>
            <w:left w:val="nil"/>
            <w:bottom w:val="single" w:sz="4" w:space="0" w:color="4F81BD"/>
            <w:right w:val="nil"/>
          </w:tcBorders>
        </w:tcPr>
        <w:p w:rsidR="0051126D" w:rsidRPr="005A3173" w:rsidRDefault="0051126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1126D" w:rsidRPr="005A3173" w:rsidRDefault="0051126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1126D" w:rsidRPr="005A3173" w:rsidRDefault="0051126D" w:rsidP="005A3173">
          <w:pPr>
            <w:pStyle w:val="Header"/>
            <w:spacing w:line="276" w:lineRule="auto"/>
            <w:rPr>
              <w:rFonts w:ascii="Calibri" w:eastAsia="MS Gothic" w:hAnsi="Calibri"/>
              <w:b/>
              <w:bCs/>
              <w:color w:val="4F81BD"/>
            </w:rPr>
          </w:pPr>
        </w:p>
      </w:tc>
    </w:tr>
    <w:tr w:rsidR="0051126D" w:rsidTr="005A3173">
      <w:trPr>
        <w:trHeight w:val="150"/>
      </w:trPr>
      <w:tc>
        <w:tcPr>
          <w:tcW w:w="2250" w:type="pct"/>
          <w:tcBorders>
            <w:top w:val="single" w:sz="4" w:space="0" w:color="4F81BD"/>
            <w:left w:val="nil"/>
            <w:bottom w:val="nil"/>
            <w:right w:val="nil"/>
          </w:tcBorders>
        </w:tcPr>
        <w:p w:rsidR="0051126D" w:rsidRPr="005A3173" w:rsidRDefault="0051126D" w:rsidP="005A3173">
          <w:pPr>
            <w:pStyle w:val="Header"/>
            <w:spacing w:line="276" w:lineRule="auto"/>
            <w:rPr>
              <w:rFonts w:ascii="Calibri" w:eastAsia="MS Gothic" w:hAnsi="Calibri"/>
              <w:b/>
              <w:bCs/>
              <w:color w:val="4F81BD"/>
            </w:rPr>
          </w:pPr>
        </w:p>
      </w:tc>
      <w:tc>
        <w:tcPr>
          <w:tcW w:w="0" w:type="auto"/>
          <w:vMerge/>
          <w:vAlign w:val="center"/>
          <w:hideMark/>
        </w:tcPr>
        <w:p w:rsidR="0051126D" w:rsidRPr="005A3173" w:rsidRDefault="0051126D" w:rsidP="005A3173">
          <w:pPr>
            <w:rPr>
              <w:rFonts w:ascii="Calibri" w:hAnsi="Calibri"/>
              <w:color w:val="365F91"/>
              <w:sz w:val="22"/>
              <w:szCs w:val="22"/>
            </w:rPr>
          </w:pPr>
        </w:p>
      </w:tc>
      <w:tc>
        <w:tcPr>
          <w:tcW w:w="2250" w:type="pct"/>
          <w:tcBorders>
            <w:top w:val="single" w:sz="4" w:space="0" w:color="4F81BD"/>
            <w:left w:val="nil"/>
            <w:bottom w:val="nil"/>
            <w:right w:val="nil"/>
          </w:tcBorders>
        </w:tcPr>
        <w:p w:rsidR="0051126D" w:rsidRPr="005A3173" w:rsidRDefault="0051126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1126D" w:rsidTr="005A3173">
      <w:trPr>
        <w:trHeight w:val="151"/>
      </w:trPr>
      <w:tc>
        <w:tcPr>
          <w:tcW w:w="2250" w:type="pct"/>
          <w:tcBorders>
            <w:top w:val="nil"/>
            <w:left w:val="nil"/>
            <w:bottom w:val="single" w:sz="4" w:space="0" w:color="4F81BD"/>
            <w:right w:val="nil"/>
          </w:tcBorders>
        </w:tcPr>
        <w:p w:rsidR="0051126D" w:rsidRPr="005A3173" w:rsidRDefault="0051126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1126D" w:rsidRPr="005A3173" w:rsidRDefault="0051126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1126D" w:rsidRPr="005A3173" w:rsidRDefault="0051126D" w:rsidP="005A3173">
          <w:pPr>
            <w:pStyle w:val="Header"/>
            <w:spacing w:line="276" w:lineRule="auto"/>
            <w:rPr>
              <w:rFonts w:ascii="Calibri" w:eastAsia="MS Gothic" w:hAnsi="Calibri"/>
              <w:b/>
              <w:bCs/>
              <w:color w:val="4F81BD"/>
            </w:rPr>
          </w:pPr>
        </w:p>
      </w:tc>
    </w:tr>
    <w:tr w:rsidR="0051126D" w:rsidTr="005A3173">
      <w:trPr>
        <w:trHeight w:val="150"/>
      </w:trPr>
      <w:tc>
        <w:tcPr>
          <w:tcW w:w="2250" w:type="pct"/>
          <w:tcBorders>
            <w:top w:val="single" w:sz="4" w:space="0" w:color="4F81BD"/>
            <w:left w:val="nil"/>
            <w:bottom w:val="nil"/>
            <w:right w:val="nil"/>
          </w:tcBorders>
        </w:tcPr>
        <w:p w:rsidR="0051126D" w:rsidRPr="005A3173" w:rsidRDefault="0051126D" w:rsidP="005A3173">
          <w:pPr>
            <w:pStyle w:val="Header"/>
            <w:spacing w:line="276" w:lineRule="auto"/>
            <w:rPr>
              <w:rFonts w:ascii="Calibri" w:eastAsia="MS Gothic" w:hAnsi="Calibri"/>
              <w:b/>
              <w:bCs/>
              <w:color w:val="4F81BD"/>
            </w:rPr>
          </w:pPr>
        </w:p>
      </w:tc>
      <w:tc>
        <w:tcPr>
          <w:tcW w:w="0" w:type="auto"/>
          <w:vMerge/>
          <w:vAlign w:val="center"/>
          <w:hideMark/>
        </w:tcPr>
        <w:p w:rsidR="0051126D" w:rsidRPr="005A3173" w:rsidRDefault="0051126D" w:rsidP="005A3173">
          <w:pPr>
            <w:rPr>
              <w:rFonts w:ascii="Calibri" w:hAnsi="Calibri"/>
              <w:color w:val="365F91"/>
              <w:sz w:val="22"/>
              <w:szCs w:val="22"/>
            </w:rPr>
          </w:pPr>
        </w:p>
      </w:tc>
      <w:tc>
        <w:tcPr>
          <w:tcW w:w="2250" w:type="pct"/>
          <w:tcBorders>
            <w:top w:val="single" w:sz="4" w:space="0" w:color="4F81BD"/>
            <w:left w:val="nil"/>
            <w:bottom w:val="nil"/>
            <w:right w:val="nil"/>
          </w:tcBorders>
        </w:tcPr>
        <w:p w:rsidR="0051126D" w:rsidRPr="005A3173" w:rsidRDefault="0051126D" w:rsidP="005A3173">
          <w:pPr>
            <w:pStyle w:val="Header"/>
            <w:spacing w:line="276" w:lineRule="auto"/>
            <w:rPr>
              <w:rFonts w:ascii="Calibri" w:eastAsia="MS Gothic" w:hAnsi="Calibri"/>
              <w:b/>
              <w:bCs/>
              <w:color w:val="4F81BD"/>
            </w:rPr>
          </w:pPr>
        </w:p>
      </w:tc>
    </w:tr>
  </w:tbl>
  <w:p w:rsidR="0051126D" w:rsidRPr="007C0F57" w:rsidRDefault="0051126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1126D" w:rsidRPr="007C0F57" w:rsidRDefault="0051126D" w:rsidP="007C0F57">
    <w:pPr>
      <w:pStyle w:val="Footer"/>
      <w:jc w:val="center"/>
      <w:rPr>
        <w:b/>
        <w:i/>
        <w:sz w:val="20"/>
        <w:szCs w:val="20"/>
      </w:rPr>
    </w:pPr>
    <w:r w:rsidRPr="007C0F57">
      <w:rPr>
        <w:b/>
        <w:i/>
        <w:sz w:val="20"/>
        <w:szCs w:val="20"/>
      </w:rPr>
      <w:t>Commercial-in-Confidence</w:t>
    </w:r>
  </w:p>
  <w:p w:rsidR="0051126D" w:rsidRDefault="005112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26D" w:rsidRDefault="0051126D">
      <w:r>
        <w:separator/>
      </w:r>
    </w:p>
    <w:p w:rsidR="0051126D" w:rsidRDefault="0051126D"/>
  </w:footnote>
  <w:footnote w:type="continuationSeparator" w:id="0">
    <w:p w:rsidR="0051126D" w:rsidRDefault="0051126D">
      <w:r>
        <w:continuationSeparator/>
      </w:r>
    </w:p>
    <w:p w:rsidR="0051126D" w:rsidRDefault="0051126D"/>
  </w:footnote>
  <w:footnote w:id="1">
    <w:p w:rsidR="0051126D" w:rsidRPr="00A87A51" w:rsidRDefault="0051126D" w:rsidP="00B03FCF">
      <w:pPr>
        <w:pStyle w:val="FootnoteText"/>
        <w:rPr>
          <w:rFonts w:asciiTheme="minorHAnsi" w:hAnsiTheme="minorHAnsi" w:cstheme="minorHAnsi"/>
          <w:sz w:val="24"/>
          <w:szCs w:val="24"/>
        </w:rPr>
      </w:pPr>
      <w:r w:rsidRPr="00A87A51">
        <w:rPr>
          <w:rStyle w:val="FootnoteReference"/>
          <w:rFonts w:asciiTheme="minorHAnsi" w:hAnsiTheme="minorHAnsi" w:cstheme="minorHAnsi"/>
          <w:sz w:val="22"/>
          <w:szCs w:val="24"/>
        </w:rPr>
        <w:footnoteRef/>
      </w:r>
      <w:r w:rsidRPr="00A87A51">
        <w:rPr>
          <w:rFonts w:asciiTheme="minorHAnsi" w:hAnsiTheme="minorHAnsi" w:cstheme="minorHAnsi"/>
          <w:sz w:val="22"/>
          <w:szCs w:val="24"/>
        </w:rPr>
        <w:t xml:space="preserve"> Symbols used in the Schedule</w:t>
      </w:r>
      <w:hyperlink r:id="rId1" w:history="1"/>
      <w:r w:rsidRPr="00A87A51">
        <w:rPr>
          <w:rFonts w:asciiTheme="minorHAnsi" w:hAnsiTheme="minorHAnsi" w:cstheme="minorHAnsi"/>
          <w:sz w:val="22"/>
          <w:szCs w:val="24"/>
        </w:rPr>
        <w:t xml:space="preserve"> - http://www.pbs.gov.au/info/healthpro/explanatory-notes/section2/section-2-symbols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1126D" w:rsidRPr="008E0D90" w:rsidTr="00A06225">
      <w:trPr>
        <w:trHeight w:val="151"/>
      </w:trPr>
      <w:tc>
        <w:tcPr>
          <w:tcW w:w="2389" w:type="pct"/>
          <w:tcBorders>
            <w:top w:val="nil"/>
            <w:left w:val="nil"/>
            <w:bottom w:val="single" w:sz="4" w:space="0" w:color="4F81BD"/>
            <w:right w:val="nil"/>
          </w:tcBorders>
        </w:tcPr>
        <w:p w:rsidR="0051126D" w:rsidRPr="00A06225" w:rsidRDefault="0051126D">
          <w:pPr>
            <w:pStyle w:val="Header"/>
            <w:spacing w:line="276" w:lineRule="auto"/>
            <w:rPr>
              <w:rFonts w:ascii="Cambria" w:eastAsia="MS Gothic" w:hAnsi="Cambria"/>
              <w:b/>
              <w:bCs/>
              <w:color w:val="4F81BD"/>
            </w:rPr>
          </w:pPr>
        </w:p>
      </w:tc>
      <w:tc>
        <w:tcPr>
          <w:tcW w:w="333" w:type="pct"/>
          <w:vMerge w:val="restart"/>
          <w:noWrap/>
          <w:vAlign w:val="center"/>
          <w:hideMark/>
        </w:tcPr>
        <w:p w:rsidR="0051126D" w:rsidRPr="00A06225" w:rsidRDefault="0051126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1126D" w:rsidRPr="00A06225" w:rsidRDefault="0051126D">
          <w:pPr>
            <w:pStyle w:val="Header"/>
            <w:spacing w:line="276" w:lineRule="auto"/>
            <w:rPr>
              <w:rFonts w:ascii="Cambria" w:eastAsia="MS Gothic" w:hAnsi="Cambria"/>
              <w:b/>
              <w:bCs/>
              <w:color w:val="4F81BD"/>
            </w:rPr>
          </w:pPr>
        </w:p>
      </w:tc>
    </w:tr>
    <w:tr w:rsidR="0051126D" w:rsidRPr="008E0D90" w:rsidTr="00A06225">
      <w:trPr>
        <w:trHeight w:val="150"/>
      </w:trPr>
      <w:tc>
        <w:tcPr>
          <w:tcW w:w="2389" w:type="pct"/>
          <w:tcBorders>
            <w:top w:val="single" w:sz="4" w:space="0" w:color="4F81BD"/>
            <w:left w:val="nil"/>
            <w:bottom w:val="nil"/>
            <w:right w:val="nil"/>
          </w:tcBorders>
        </w:tcPr>
        <w:p w:rsidR="0051126D" w:rsidRPr="00A06225" w:rsidRDefault="0051126D">
          <w:pPr>
            <w:pStyle w:val="Header"/>
            <w:spacing w:line="276" w:lineRule="auto"/>
            <w:rPr>
              <w:rFonts w:ascii="Cambria" w:eastAsia="MS Gothic" w:hAnsi="Cambria"/>
              <w:b/>
              <w:bCs/>
              <w:color w:val="4F81BD"/>
            </w:rPr>
          </w:pPr>
        </w:p>
      </w:tc>
      <w:tc>
        <w:tcPr>
          <w:tcW w:w="0" w:type="auto"/>
          <w:vMerge/>
          <w:vAlign w:val="center"/>
          <w:hideMark/>
        </w:tcPr>
        <w:p w:rsidR="0051126D" w:rsidRPr="00A06225" w:rsidRDefault="0051126D">
          <w:pPr>
            <w:rPr>
              <w:rFonts w:ascii="Cambria" w:hAnsi="Cambria"/>
              <w:color w:val="4F81BD"/>
              <w:sz w:val="22"/>
              <w:szCs w:val="22"/>
            </w:rPr>
          </w:pPr>
        </w:p>
      </w:tc>
      <w:tc>
        <w:tcPr>
          <w:tcW w:w="2278" w:type="pct"/>
          <w:tcBorders>
            <w:top w:val="single" w:sz="4" w:space="0" w:color="4F81BD"/>
            <w:left w:val="nil"/>
            <w:bottom w:val="nil"/>
            <w:right w:val="nil"/>
          </w:tcBorders>
        </w:tcPr>
        <w:p w:rsidR="0051126D" w:rsidRPr="00A06225" w:rsidRDefault="0051126D">
          <w:pPr>
            <w:pStyle w:val="Header"/>
            <w:spacing w:line="276" w:lineRule="auto"/>
            <w:rPr>
              <w:rFonts w:ascii="Cambria" w:eastAsia="MS Gothic" w:hAnsi="Cambria"/>
              <w:b/>
              <w:bCs/>
              <w:color w:val="4F81BD"/>
            </w:rPr>
          </w:pPr>
        </w:p>
      </w:tc>
    </w:tr>
  </w:tbl>
  <w:p w:rsidR="0051126D" w:rsidRDefault="0051126D">
    <w:pPr>
      <w:pStyle w:val="Header"/>
    </w:pPr>
  </w:p>
  <w:p w:rsidR="0051126D" w:rsidRDefault="005112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6D" w:rsidRPr="00F90A91" w:rsidRDefault="003B0773" w:rsidP="001044C9">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51126D" w:rsidRPr="00F90A91">
      <w:rPr>
        <w:rFonts w:asciiTheme="minorHAnsi" w:hAnsiTheme="minorHAnsi" w:cs="Arial"/>
        <w:i/>
        <w:color w:val="808080"/>
        <w:sz w:val="22"/>
      </w:rPr>
      <w:t xml:space="preserve"> – </w:t>
    </w:r>
    <w:r w:rsidR="0051126D">
      <w:rPr>
        <w:rFonts w:asciiTheme="minorHAnsi" w:hAnsiTheme="minorHAnsi" w:cs="Arial"/>
        <w:i/>
        <w:color w:val="808080"/>
        <w:sz w:val="22"/>
      </w:rPr>
      <w:t>July 2018</w:t>
    </w:r>
    <w:r w:rsidR="0051126D" w:rsidRPr="00F90A91">
      <w:rPr>
        <w:rFonts w:asciiTheme="minorHAnsi" w:hAnsiTheme="minorHAnsi" w:cs="Arial"/>
        <w:i/>
        <w:color w:val="808080"/>
        <w:sz w:val="22"/>
      </w:rPr>
      <w:t xml:space="preserve"> PBAC Meeting</w:t>
    </w:r>
  </w:p>
  <w:p w:rsidR="0051126D" w:rsidRDefault="0051126D"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0F5D22B6"/>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90D4091"/>
    <w:multiLevelType w:val="multilevel"/>
    <w:tmpl w:val="7CDA12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34198B"/>
    <w:multiLevelType w:val="multilevel"/>
    <w:tmpl w:val="B54CB546"/>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D67FA3"/>
    <w:multiLevelType w:val="hybridMultilevel"/>
    <w:tmpl w:val="C944E9F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290EDB"/>
    <w:multiLevelType w:val="multilevel"/>
    <w:tmpl w:val="B54CB546"/>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693B66"/>
    <w:multiLevelType w:val="hybridMultilevel"/>
    <w:tmpl w:val="D5D28C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087538"/>
    <w:multiLevelType w:val="multilevel"/>
    <w:tmpl w:val="6052C7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577299A"/>
    <w:multiLevelType w:val="hybridMultilevel"/>
    <w:tmpl w:val="8856D49E"/>
    <w:lvl w:ilvl="0" w:tplc="107228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F51F80"/>
    <w:multiLevelType w:val="hybridMultilevel"/>
    <w:tmpl w:val="367C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AF012CA"/>
    <w:multiLevelType w:val="multilevel"/>
    <w:tmpl w:val="B54CB546"/>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7E4A6F"/>
    <w:multiLevelType w:val="multilevel"/>
    <w:tmpl w:val="B54CB546"/>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764E5BA9"/>
    <w:multiLevelType w:val="multilevel"/>
    <w:tmpl w:val="B54CB546"/>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84D033C"/>
    <w:multiLevelType w:val="multilevel"/>
    <w:tmpl w:val="3776175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6"/>
  </w:num>
  <w:num w:numId="4">
    <w:abstractNumId w:val="23"/>
  </w:num>
  <w:num w:numId="5">
    <w:abstractNumId w:val="30"/>
  </w:num>
  <w:num w:numId="6">
    <w:abstractNumId w:val="9"/>
  </w:num>
  <w:num w:numId="7">
    <w:abstractNumId w:val="19"/>
  </w:num>
  <w:num w:numId="8">
    <w:abstractNumId w:val="4"/>
  </w:num>
  <w:num w:numId="9">
    <w:abstractNumId w:val="18"/>
  </w:num>
  <w:num w:numId="10">
    <w:abstractNumId w:val="17"/>
  </w:num>
  <w:num w:numId="11">
    <w:abstractNumId w:val="15"/>
  </w:num>
  <w:num w:numId="12">
    <w:abstractNumId w:val="1"/>
  </w:num>
  <w:num w:numId="13">
    <w:abstractNumId w:val="0"/>
  </w:num>
  <w:num w:numId="14">
    <w:abstractNumId w:val="30"/>
  </w:num>
  <w:num w:numId="15">
    <w:abstractNumId w:val="8"/>
  </w:num>
  <w:num w:numId="16">
    <w:abstractNumId w:val="7"/>
  </w:num>
  <w:num w:numId="17">
    <w:abstractNumId w:val="22"/>
  </w:num>
  <w:num w:numId="18">
    <w:abstractNumId w:val="21"/>
  </w:num>
  <w:num w:numId="19">
    <w:abstractNumId w:val="28"/>
  </w:num>
  <w:num w:numId="20">
    <w:abstractNumId w:val="20"/>
  </w:num>
  <w:num w:numId="21">
    <w:abstractNumId w:val="26"/>
  </w:num>
  <w:num w:numId="22">
    <w:abstractNumId w:val="27"/>
  </w:num>
  <w:num w:numId="23">
    <w:abstractNumId w:val="5"/>
  </w:num>
  <w:num w:numId="24">
    <w:abstractNumId w:val="2"/>
  </w:num>
  <w:num w:numId="25">
    <w:abstractNumId w:val="13"/>
  </w:num>
  <w:num w:numId="26">
    <w:abstractNumId w:val="25"/>
  </w:num>
  <w:num w:numId="27">
    <w:abstractNumId w:val="29"/>
  </w:num>
  <w:num w:numId="28">
    <w:abstractNumId w:val="14"/>
  </w:num>
  <w:num w:numId="29">
    <w:abstractNumId w:val="10"/>
  </w:num>
  <w:num w:numId="30">
    <w:abstractNumId w:val="24"/>
  </w:num>
  <w:num w:numId="31">
    <w:abstractNumId w:val="1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68A1"/>
    <w:rsid w:val="0002073A"/>
    <w:rsid w:val="0002464A"/>
    <w:rsid w:val="0003106B"/>
    <w:rsid w:val="000421A1"/>
    <w:rsid w:val="0004240E"/>
    <w:rsid w:val="00045E26"/>
    <w:rsid w:val="000514B5"/>
    <w:rsid w:val="00060E64"/>
    <w:rsid w:val="00066755"/>
    <w:rsid w:val="00077143"/>
    <w:rsid w:val="00082169"/>
    <w:rsid w:val="00095097"/>
    <w:rsid w:val="000969AD"/>
    <w:rsid w:val="000A1AB7"/>
    <w:rsid w:val="000B558D"/>
    <w:rsid w:val="000C6996"/>
    <w:rsid w:val="000D23BA"/>
    <w:rsid w:val="000E112D"/>
    <w:rsid w:val="000E681E"/>
    <w:rsid w:val="000F0003"/>
    <w:rsid w:val="000F4E6A"/>
    <w:rsid w:val="000F7EB6"/>
    <w:rsid w:val="00104227"/>
    <w:rsid w:val="001044C9"/>
    <w:rsid w:val="001107BF"/>
    <w:rsid w:val="00114E61"/>
    <w:rsid w:val="0012417C"/>
    <w:rsid w:val="0013118F"/>
    <w:rsid w:val="00142395"/>
    <w:rsid w:val="00142714"/>
    <w:rsid w:val="001452ED"/>
    <w:rsid w:val="00163329"/>
    <w:rsid w:val="00164623"/>
    <w:rsid w:val="00165B64"/>
    <w:rsid w:val="00180713"/>
    <w:rsid w:val="001830CE"/>
    <w:rsid w:val="00183A36"/>
    <w:rsid w:val="00184B2B"/>
    <w:rsid w:val="0018643B"/>
    <w:rsid w:val="00196307"/>
    <w:rsid w:val="001A1629"/>
    <w:rsid w:val="001A33EA"/>
    <w:rsid w:val="001A58AB"/>
    <w:rsid w:val="001B017F"/>
    <w:rsid w:val="001B2BBC"/>
    <w:rsid w:val="001B5129"/>
    <w:rsid w:val="001C1195"/>
    <w:rsid w:val="001F1850"/>
    <w:rsid w:val="00203FAC"/>
    <w:rsid w:val="00213CFB"/>
    <w:rsid w:val="00217BE1"/>
    <w:rsid w:val="002579FA"/>
    <w:rsid w:val="00271BA1"/>
    <w:rsid w:val="002762FA"/>
    <w:rsid w:val="00277505"/>
    <w:rsid w:val="00285CF1"/>
    <w:rsid w:val="0029458F"/>
    <w:rsid w:val="002A104C"/>
    <w:rsid w:val="002A4960"/>
    <w:rsid w:val="002A6B67"/>
    <w:rsid w:val="002B1AE6"/>
    <w:rsid w:val="002B2DE8"/>
    <w:rsid w:val="002B30F8"/>
    <w:rsid w:val="002B5596"/>
    <w:rsid w:val="002C212F"/>
    <w:rsid w:val="002D0F51"/>
    <w:rsid w:val="002D4543"/>
    <w:rsid w:val="002E3153"/>
    <w:rsid w:val="002E72CA"/>
    <w:rsid w:val="002F600D"/>
    <w:rsid w:val="00300AD6"/>
    <w:rsid w:val="00317C6C"/>
    <w:rsid w:val="00326E79"/>
    <w:rsid w:val="00333D85"/>
    <w:rsid w:val="0033518A"/>
    <w:rsid w:val="003367EF"/>
    <w:rsid w:val="00341AE4"/>
    <w:rsid w:val="003511F0"/>
    <w:rsid w:val="003645A3"/>
    <w:rsid w:val="003872CF"/>
    <w:rsid w:val="003915BF"/>
    <w:rsid w:val="0039782C"/>
    <w:rsid w:val="003A5B4A"/>
    <w:rsid w:val="003B0773"/>
    <w:rsid w:val="003B23C5"/>
    <w:rsid w:val="003B2A75"/>
    <w:rsid w:val="003B6124"/>
    <w:rsid w:val="003B7563"/>
    <w:rsid w:val="003C2FB5"/>
    <w:rsid w:val="003D4AC4"/>
    <w:rsid w:val="003D63B7"/>
    <w:rsid w:val="003E468B"/>
    <w:rsid w:val="003F3228"/>
    <w:rsid w:val="003F5C8C"/>
    <w:rsid w:val="00411460"/>
    <w:rsid w:val="0041758F"/>
    <w:rsid w:val="004252EC"/>
    <w:rsid w:val="004465BD"/>
    <w:rsid w:val="00466ADA"/>
    <w:rsid w:val="00476245"/>
    <w:rsid w:val="00483035"/>
    <w:rsid w:val="00485940"/>
    <w:rsid w:val="004A2484"/>
    <w:rsid w:val="004A5A85"/>
    <w:rsid w:val="004A71D1"/>
    <w:rsid w:val="004B5640"/>
    <w:rsid w:val="004B7FB3"/>
    <w:rsid w:val="004C1BD7"/>
    <w:rsid w:val="004C31FE"/>
    <w:rsid w:val="004C691D"/>
    <w:rsid w:val="004C6C07"/>
    <w:rsid w:val="004E692D"/>
    <w:rsid w:val="004F38F5"/>
    <w:rsid w:val="0050059C"/>
    <w:rsid w:val="00501554"/>
    <w:rsid w:val="0051126D"/>
    <w:rsid w:val="00514CD7"/>
    <w:rsid w:val="0053189D"/>
    <w:rsid w:val="005319B2"/>
    <w:rsid w:val="00531AC5"/>
    <w:rsid w:val="00532402"/>
    <w:rsid w:val="00532C74"/>
    <w:rsid w:val="00534E2E"/>
    <w:rsid w:val="00544552"/>
    <w:rsid w:val="005455F1"/>
    <w:rsid w:val="0055423B"/>
    <w:rsid w:val="005574DC"/>
    <w:rsid w:val="00562AFB"/>
    <w:rsid w:val="00577C4D"/>
    <w:rsid w:val="00581932"/>
    <w:rsid w:val="005963BB"/>
    <w:rsid w:val="005A3173"/>
    <w:rsid w:val="005A3223"/>
    <w:rsid w:val="005A3DA3"/>
    <w:rsid w:val="005A52C4"/>
    <w:rsid w:val="005B141E"/>
    <w:rsid w:val="005D03AB"/>
    <w:rsid w:val="005D3539"/>
    <w:rsid w:val="005D4E9E"/>
    <w:rsid w:val="005D5017"/>
    <w:rsid w:val="005E1333"/>
    <w:rsid w:val="005E325A"/>
    <w:rsid w:val="00601A91"/>
    <w:rsid w:val="00602BA3"/>
    <w:rsid w:val="00612E34"/>
    <w:rsid w:val="00614159"/>
    <w:rsid w:val="00615F48"/>
    <w:rsid w:val="00616B71"/>
    <w:rsid w:val="00617C00"/>
    <w:rsid w:val="0062461E"/>
    <w:rsid w:val="006263BF"/>
    <w:rsid w:val="0062748A"/>
    <w:rsid w:val="00630A2C"/>
    <w:rsid w:val="0063682E"/>
    <w:rsid w:val="006436CD"/>
    <w:rsid w:val="00646A72"/>
    <w:rsid w:val="00651169"/>
    <w:rsid w:val="0065323B"/>
    <w:rsid w:val="00653D69"/>
    <w:rsid w:val="006670BE"/>
    <w:rsid w:val="00670A76"/>
    <w:rsid w:val="006711AA"/>
    <w:rsid w:val="00672A47"/>
    <w:rsid w:val="00672B57"/>
    <w:rsid w:val="00675622"/>
    <w:rsid w:val="0067747D"/>
    <w:rsid w:val="006853D4"/>
    <w:rsid w:val="0068709B"/>
    <w:rsid w:val="006906DB"/>
    <w:rsid w:val="00691E6C"/>
    <w:rsid w:val="00696129"/>
    <w:rsid w:val="00697CF2"/>
    <w:rsid w:val="006A12A5"/>
    <w:rsid w:val="006B0D94"/>
    <w:rsid w:val="006B3F38"/>
    <w:rsid w:val="006B485D"/>
    <w:rsid w:val="006C708E"/>
    <w:rsid w:val="006D14E7"/>
    <w:rsid w:val="006D460A"/>
    <w:rsid w:val="006D6493"/>
    <w:rsid w:val="006D6EC7"/>
    <w:rsid w:val="006F5125"/>
    <w:rsid w:val="00701C1E"/>
    <w:rsid w:val="00702B6F"/>
    <w:rsid w:val="0071340B"/>
    <w:rsid w:val="00716579"/>
    <w:rsid w:val="007174BB"/>
    <w:rsid w:val="0072025D"/>
    <w:rsid w:val="007257D5"/>
    <w:rsid w:val="007353D3"/>
    <w:rsid w:val="007426D3"/>
    <w:rsid w:val="0076420C"/>
    <w:rsid w:val="0077231D"/>
    <w:rsid w:val="007753C2"/>
    <w:rsid w:val="007838B8"/>
    <w:rsid w:val="007C0F57"/>
    <w:rsid w:val="007C40B6"/>
    <w:rsid w:val="007C729F"/>
    <w:rsid w:val="007D2733"/>
    <w:rsid w:val="007E02E7"/>
    <w:rsid w:val="007E1D28"/>
    <w:rsid w:val="007E7663"/>
    <w:rsid w:val="007F2641"/>
    <w:rsid w:val="007F7C36"/>
    <w:rsid w:val="008062BE"/>
    <w:rsid w:val="00806796"/>
    <w:rsid w:val="00813AAA"/>
    <w:rsid w:val="008151D6"/>
    <w:rsid w:val="00826F6D"/>
    <w:rsid w:val="008306F3"/>
    <w:rsid w:val="00833893"/>
    <w:rsid w:val="00840704"/>
    <w:rsid w:val="00856DDD"/>
    <w:rsid w:val="00863E68"/>
    <w:rsid w:val="008666BA"/>
    <w:rsid w:val="00882085"/>
    <w:rsid w:val="00883188"/>
    <w:rsid w:val="00897D58"/>
    <w:rsid w:val="00897F22"/>
    <w:rsid w:val="008A1956"/>
    <w:rsid w:val="008A30A2"/>
    <w:rsid w:val="008A4901"/>
    <w:rsid w:val="008A4937"/>
    <w:rsid w:val="008A50F1"/>
    <w:rsid w:val="008D1B5C"/>
    <w:rsid w:val="008D28EE"/>
    <w:rsid w:val="008D3C82"/>
    <w:rsid w:val="008D447E"/>
    <w:rsid w:val="008D7A41"/>
    <w:rsid w:val="008E3680"/>
    <w:rsid w:val="008E5870"/>
    <w:rsid w:val="008F1434"/>
    <w:rsid w:val="008F7355"/>
    <w:rsid w:val="009067B7"/>
    <w:rsid w:val="00923969"/>
    <w:rsid w:val="00930937"/>
    <w:rsid w:val="00933E6C"/>
    <w:rsid w:val="00937958"/>
    <w:rsid w:val="00942160"/>
    <w:rsid w:val="0095146F"/>
    <w:rsid w:val="009602C5"/>
    <w:rsid w:val="00962223"/>
    <w:rsid w:val="00966D0D"/>
    <w:rsid w:val="00974C21"/>
    <w:rsid w:val="009A6027"/>
    <w:rsid w:val="009A6841"/>
    <w:rsid w:val="009B0F67"/>
    <w:rsid w:val="009B72C4"/>
    <w:rsid w:val="009C703C"/>
    <w:rsid w:val="009D27AA"/>
    <w:rsid w:val="009D34D0"/>
    <w:rsid w:val="009D3CAA"/>
    <w:rsid w:val="009D7CFB"/>
    <w:rsid w:val="009E2E77"/>
    <w:rsid w:val="009E40E1"/>
    <w:rsid w:val="009F4E46"/>
    <w:rsid w:val="009F5B65"/>
    <w:rsid w:val="009F5F2E"/>
    <w:rsid w:val="00A058A5"/>
    <w:rsid w:val="00A05E62"/>
    <w:rsid w:val="00A06225"/>
    <w:rsid w:val="00A128E6"/>
    <w:rsid w:val="00A16D75"/>
    <w:rsid w:val="00A34E6C"/>
    <w:rsid w:val="00A37C8D"/>
    <w:rsid w:val="00A5273B"/>
    <w:rsid w:val="00A53A9D"/>
    <w:rsid w:val="00A55FEE"/>
    <w:rsid w:val="00A62C1A"/>
    <w:rsid w:val="00A6426D"/>
    <w:rsid w:val="00A665C1"/>
    <w:rsid w:val="00A70622"/>
    <w:rsid w:val="00A70977"/>
    <w:rsid w:val="00A77613"/>
    <w:rsid w:val="00A77745"/>
    <w:rsid w:val="00A8390C"/>
    <w:rsid w:val="00A87A51"/>
    <w:rsid w:val="00A928BD"/>
    <w:rsid w:val="00AA4D1C"/>
    <w:rsid w:val="00AB7251"/>
    <w:rsid w:val="00AC193C"/>
    <w:rsid w:val="00AC5206"/>
    <w:rsid w:val="00AE11A5"/>
    <w:rsid w:val="00AE13E2"/>
    <w:rsid w:val="00AE22D3"/>
    <w:rsid w:val="00AF62DF"/>
    <w:rsid w:val="00AF68CC"/>
    <w:rsid w:val="00B03FCF"/>
    <w:rsid w:val="00B1059E"/>
    <w:rsid w:val="00B176C8"/>
    <w:rsid w:val="00B205AA"/>
    <w:rsid w:val="00B22E84"/>
    <w:rsid w:val="00B25F75"/>
    <w:rsid w:val="00B26B3F"/>
    <w:rsid w:val="00B33F76"/>
    <w:rsid w:val="00B421A2"/>
    <w:rsid w:val="00B43E90"/>
    <w:rsid w:val="00B4640C"/>
    <w:rsid w:val="00B467DC"/>
    <w:rsid w:val="00B56118"/>
    <w:rsid w:val="00B568F2"/>
    <w:rsid w:val="00B603E5"/>
    <w:rsid w:val="00B60930"/>
    <w:rsid w:val="00B62B6F"/>
    <w:rsid w:val="00B63E9E"/>
    <w:rsid w:val="00B6773F"/>
    <w:rsid w:val="00B801BA"/>
    <w:rsid w:val="00B8105E"/>
    <w:rsid w:val="00B84D5C"/>
    <w:rsid w:val="00B92259"/>
    <w:rsid w:val="00BB69F5"/>
    <w:rsid w:val="00BB7EC3"/>
    <w:rsid w:val="00BC4B9A"/>
    <w:rsid w:val="00BD784C"/>
    <w:rsid w:val="00BE4AF0"/>
    <w:rsid w:val="00BE5B7B"/>
    <w:rsid w:val="00BF4CB6"/>
    <w:rsid w:val="00C00DA7"/>
    <w:rsid w:val="00C12768"/>
    <w:rsid w:val="00C27B58"/>
    <w:rsid w:val="00C3102D"/>
    <w:rsid w:val="00C35996"/>
    <w:rsid w:val="00C4747E"/>
    <w:rsid w:val="00C5342C"/>
    <w:rsid w:val="00C603D4"/>
    <w:rsid w:val="00C6256A"/>
    <w:rsid w:val="00C77891"/>
    <w:rsid w:val="00C82B32"/>
    <w:rsid w:val="00C91449"/>
    <w:rsid w:val="00C92D10"/>
    <w:rsid w:val="00C97652"/>
    <w:rsid w:val="00CC065D"/>
    <w:rsid w:val="00CE10C4"/>
    <w:rsid w:val="00CE27B5"/>
    <w:rsid w:val="00CE3573"/>
    <w:rsid w:val="00D0321E"/>
    <w:rsid w:val="00D1455A"/>
    <w:rsid w:val="00D245F3"/>
    <w:rsid w:val="00D31150"/>
    <w:rsid w:val="00D3138B"/>
    <w:rsid w:val="00D3280C"/>
    <w:rsid w:val="00D3406A"/>
    <w:rsid w:val="00D4572C"/>
    <w:rsid w:val="00D469B2"/>
    <w:rsid w:val="00D741EB"/>
    <w:rsid w:val="00D83605"/>
    <w:rsid w:val="00D84934"/>
    <w:rsid w:val="00D87267"/>
    <w:rsid w:val="00D91271"/>
    <w:rsid w:val="00D919F5"/>
    <w:rsid w:val="00D9461E"/>
    <w:rsid w:val="00D94F03"/>
    <w:rsid w:val="00DA2CB5"/>
    <w:rsid w:val="00DA370A"/>
    <w:rsid w:val="00DA4BAC"/>
    <w:rsid w:val="00DA602A"/>
    <w:rsid w:val="00DB1B32"/>
    <w:rsid w:val="00DE6D27"/>
    <w:rsid w:val="00DF217D"/>
    <w:rsid w:val="00DF26A7"/>
    <w:rsid w:val="00E11874"/>
    <w:rsid w:val="00E141CB"/>
    <w:rsid w:val="00E15627"/>
    <w:rsid w:val="00E164B3"/>
    <w:rsid w:val="00E16910"/>
    <w:rsid w:val="00E3209F"/>
    <w:rsid w:val="00E42BDB"/>
    <w:rsid w:val="00E54C68"/>
    <w:rsid w:val="00E57EEB"/>
    <w:rsid w:val="00E62D94"/>
    <w:rsid w:val="00E65E54"/>
    <w:rsid w:val="00E728C5"/>
    <w:rsid w:val="00E80155"/>
    <w:rsid w:val="00E81F28"/>
    <w:rsid w:val="00E8432D"/>
    <w:rsid w:val="00E848C0"/>
    <w:rsid w:val="00E91B96"/>
    <w:rsid w:val="00E941A1"/>
    <w:rsid w:val="00E95CE3"/>
    <w:rsid w:val="00EA1763"/>
    <w:rsid w:val="00EA2825"/>
    <w:rsid w:val="00EB0B63"/>
    <w:rsid w:val="00EB1936"/>
    <w:rsid w:val="00EB5088"/>
    <w:rsid w:val="00ED1644"/>
    <w:rsid w:val="00ED16AA"/>
    <w:rsid w:val="00ED2593"/>
    <w:rsid w:val="00ED7D9C"/>
    <w:rsid w:val="00EE2B87"/>
    <w:rsid w:val="00EF44A0"/>
    <w:rsid w:val="00EF4FED"/>
    <w:rsid w:val="00F050BD"/>
    <w:rsid w:val="00F05657"/>
    <w:rsid w:val="00F22BF9"/>
    <w:rsid w:val="00F25578"/>
    <w:rsid w:val="00F258E5"/>
    <w:rsid w:val="00F300BC"/>
    <w:rsid w:val="00F3334E"/>
    <w:rsid w:val="00F36CCB"/>
    <w:rsid w:val="00F374E5"/>
    <w:rsid w:val="00F43632"/>
    <w:rsid w:val="00F43AF2"/>
    <w:rsid w:val="00F50EC4"/>
    <w:rsid w:val="00F550CF"/>
    <w:rsid w:val="00F57A6D"/>
    <w:rsid w:val="00F638CC"/>
    <w:rsid w:val="00F64CC1"/>
    <w:rsid w:val="00F72317"/>
    <w:rsid w:val="00F80475"/>
    <w:rsid w:val="00F8247A"/>
    <w:rsid w:val="00F9629A"/>
    <w:rsid w:val="00F97EFC"/>
    <w:rsid w:val="00FA5883"/>
    <w:rsid w:val="00FA6055"/>
    <w:rsid w:val="00FB322F"/>
    <w:rsid w:val="00FB442F"/>
    <w:rsid w:val="00FC1929"/>
    <w:rsid w:val="00FC1F26"/>
    <w:rsid w:val="00FC39BD"/>
    <w:rsid w:val="00FC5B46"/>
    <w:rsid w:val="00FD30A9"/>
    <w:rsid w:val="00FD6D8E"/>
    <w:rsid w:val="00FD7156"/>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Default">
    <w:name w:val="Default"/>
    <w:rsid w:val="00B4640C"/>
    <w:pPr>
      <w:autoSpaceDE w:val="0"/>
      <w:autoSpaceDN w:val="0"/>
      <w:adjustRightInd w:val="0"/>
    </w:pPr>
    <w:rPr>
      <w:color w:val="000000"/>
      <w:sz w:val="24"/>
      <w:szCs w:val="24"/>
    </w:rPr>
  </w:style>
  <w:style w:type="character" w:styleId="Emphasis">
    <w:name w:val="Emphasis"/>
    <w:basedOn w:val="DefaultParagraphFont"/>
    <w:qFormat/>
    <w:rsid w:val="00B03FCF"/>
    <w:rPr>
      <w:i/>
      <w:iCs/>
    </w:rPr>
  </w:style>
  <w:style w:type="paragraph" w:styleId="FootnoteText">
    <w:name w:val="footnote text"/>
    <w:basedOn w:val="Normal"/>
    <w:link w:val="FootnoteTextChar"/>
    <w:rsid w:val="00B03FCF"/>
    <w:rPr>
      <w:sz w:val="20"/>
      <w:szCs w:val="20"/>
    </w:rPr>
  </w:style>
  <w:style w:type="character" w:customStyle="1" w:styleId="FootnoteTextChar">
    <w:name w:val="Footnote Text Char"/>
    <w:basedOn w:val="DefaultParagraphFont"/>
    <w:link w:val="FootnoteText"/>
    <w:rsid w:val="00B03FCF"/>
  </w:style>
  <w:style w:type="character" w:styleId="FootnoteReference">
    <w:name w:val="footnote reference"/>
    <w:basedOn w:val="DefaultParagraphFont"/>
    <w:rsid w:val="00B03FCF"/>
    <w:rPr>
      <w:vertAlign w:val="superscript"/>
    </w:rPr>
  </w:style>
  <w:style w:type="paragraph" w:styleId="NormalWeb">
    <w:name w:val="Normal (Web)"/>
    <w:basedOn w:val="Normal"/>
    <w:uiPriority w:val="99"/>
    <w:rsid w:val="00B03FCF"/>
    <w:pPr>
      <w:spacing w:before="100" w:after="100"/>
    </w:pPr>
    <w:rPr>
      <w:szCs w:val="20"/>
      <w:lang w:val="en-GB" w:eastAsia="en-US"/>
    </w:rPr>
  </w:style>
  <w:style w:type="paragraph" w:customStyle="1" w:styleId="PBACheading10">
    <w:name w:val="PBAC heading 1"/>
    <w:qFormat/>
    <w:rsid w:val="007E7663"/>
    <w:pPr>
      <w:ind w:left="720" w:hanging="720"/>
      <w:outlineLvl w:val="0"/>
    </w:pPr>
    <w:rPr>
      <w:rFonts w:ascii="Arial" w:hAnsi="Arial" w:cs="Arial"/>
      <w:b/>
      <w:snapToGrid w:val="0"/>
      <w:sz w:val="22"/>
      <w:szCs w:val="22"/>
      <w:lang w:eastAsia="en-US"/>
    </w:rPr>
  </w:style>
  <w:style w:type="character" w:styleId="Strong">
    <w:name w:val="Strong"/>
    <w:basedOn w:val="DefaultParagraphFont"/>
    <w:uiPriority w:val="22"/>
    <w:qFormat/>
    <w:rsid w:val="001A16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Default">
    <w:name w:val="Default"/>
    <w:rsid w:val="00B4640C"/>
    <w:pPr>
      <w:autoSpaceDE w:val="0"/>
      <w:autoSpaceDN w:val="0"/>
      <w:adjustRightInd w:val="0"/>
    </w:pPr>
    <w:rPr>
      <w:color w:val="000000"/>
      <w:sz w:val="24"/>
      <w:szCs w:val="24"/>
    </w:rPr>
  </w:style>
  <w:style w:type="character" w:styleId="Emphasis">
    <w:name w:val="Emphasis"/>
    <w:basedOn w:val="DefaultParagraphFont"/>
    <w:qFormat/>
    <w:rsid w:val="00B03FCF"/>
    <w:rPr>
      <w:i/>
      <w:iCs/>
    </w:rPr>
  </w:style>
  <w:style w:type="paragraph" w:styleId="FootnoteText">
    <w:name w:val="footnote text"/>
    <w:basedOn w:val="Normal"/>
    <w:link w:val="FootnoteTextChar"/>
    <w:rsid w:val="00B03FCF"/>
    <w:rPr>
      <w:sz w:val="20"/>
      <w:szCs w:val="20"/>
    </w:rPr>
  </w:style>
  <w:style w:type="character" w:customStyle="1" w:styleId="FootnoteTextChar">
    <w:name w:val="Footnote Text Char"/>
    <w:basedOn w:val="DefaultParagraphFont"/>
    <w:link w:val="FootnoteText"/>
    <w:rsid w:val="00B03FCF"/>
  </w:style>
  <w:style w:type="character" w:styleId="FootnoteReference">
    <w:name w:val="footnote reference"/>
    <w:basedOn w:val="DefaultParagraphFont"/>
    <w:rsid w:val="00B03FCF"/>
    <w:rPr>
      <w:vertAlign w:val="superscript"/>
    </w:rPr>
  </w:style>
  <w:style w:type="paragraph" w:styleId="NormalWeb">
    <w:name w:val="Normal (Web)"/>
    <w:basedOn w:val="Normal"/>
    <w:uiPriority w:val="99"/>
    <w:rsid w:val="00B03FCF"/>
    <w:pPr>
      <w:spacing w:before="100" w:after="100"/>
    </w:pPr>
    <w:rPr>
      <w:szCs w:val="20"/>
      <w:lang w:val="en-GB" w:eastAsia="en-US"/>
    </w:rPr>
  </w:style>
  <w:style w:type="paragraph" w:customStyle="1" w:styleId="PBACheading10">
    <w:name w:val="PBAC heading 1"/>
    <w:qFormat/>
    <w:rsid w:val="007E7663"/>
    <w:pPr>
      <w:ind w:left="720" w:hanging="720"/>
      <w:outlineLvl w:val="0"/>
    </w:pPr>
    <w:rPr>
      <w:rFonts w:ascii="Arial" w:hAnsi="Arial" w:cs="Arial"/>
      <w:b/>
      <w:snapToGrid w:val="0"/>
      <w:sz w:val="22"/>
      <w:szCs w:val="22"/>
      <w:lang w:eastAsia="en-US"/>
    </w:rPr>
  </w:style>
  <w:style w:type="character" w:styleId="Strong">
    <w:name w:val="Strong"/>
    <w:basedOn w:val="DefaultParagraphFont"/>
    <w:uiPriority w:val="22"/>
    <w:qFormat/>
    <w:rsid w:val="001A1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56413686">
      <w:bodyDiv w:val="1"/>
      <w:marLeft w:val="0"/>
      <w:marRight w:val="0"/>
      <w:marTop w:val="0"/>
      <w:marBottom w:val="0"/>
      <w:divBdr>
        <w:top w:val="none" w:sz="0" w:space="0" w:color="auto"/>
        <w:left w:val="none" w:sz="0" w:space="0" w:color="auto"/>
        <w:bottom w:val="none" w:sz="0" w:space="0" w:color="auto"/>
        <w:right w:val="none" w:sz="0" w:space="0" w:color="auto"/>
      </w:divBdr>
    </w:div>
    <w:div w:id="159825356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797149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healthpro/explanatory-notes/section2/section-2-symb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60E4B-3C7C-4CF4-B250-39B62626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2214</Words>
  <Characters>12215</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2018-10-07T02:55:00Z</dcterms:created>
  <dcterms:modified xsi:type="dcterms:W3CDTF">2018-10-18T03:34:00Z</dcterms:modified>
</cp:coreProperties>
</file>