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067" w:rsidRPr="00E92067" w:rsidRDefault="00E92067" w:rsidP="00207D00">
      <w:bookmarkStart w:id="0" w:name="_GoBack"/>
      <w:bookmarkEnd w:id="0"/>
    </w:p>
    <w:p w:rsidR="00B60939" w:rsidRPr="00E92067" w:rsidRDefault="00C023D6" w:rsidP="00C12C14">
      <w:pPr>
        <w:rPr>
          <w:b/>
          <w:sz w:val="36"/>
          <w:szCs w:val="36"/>
        </w:rPr>
      </w:pPr>
      <w:r w:rsidRPr="00E92067">
        <w:rPr>
          <w:b/>
          <w:sz w:val="36"/>
          <w:szCs w:val="36"/>
        </w:rPr>
        <w:t>6.01</w:t>
      </w:r>
      <w:r w:rsidR="00B60939" w:rsidRPr="00E92067">
        <w:rPr>
          <w:b/>
          <w:sz w:val="36"/>
          <w:szCs w:val="36"/>
        </w:rPr>
        <w:tab/>
      </w:r>
      <w:r w:rsidRPr="00E92067">
        <w:rPr>
          <w:b/>
          <w:sz w:val="36"/>
          <w:szCs w:val="36"/>
        </w:rPr>
        <w:t>BLINATUMOMAB,</w:t>
      </w:r>
    </w:p>
    <w:p w:rsidR="00C023D6" w:rsidRPr="00E92067" w:rsidRDefault="00C023D6" w:rsidP="00C12C14">
      <w:pPr>
        <w:rPr>
          <w:b/>
          <w:sz w:val="36"/>
          <w:szCs w:val="36"/>
        </w:rPr>
      </w:pPr>
      <w:r w:rsidRPr="00E92067">
        <w:rPr>
          <w:b/>
          <w:sz w:val="36"/>
          <w:szCs w:val="36"/>
        </w:rPr>
        <w:tab/>
        <w:t>Powder for I.V. infusion 38.5 micrograms,</w:t>
      </w:r>
    </w:p>
    <w:p w:rsidR="00C023D6" w:rsidRPr="00E92067" w:rsidRDefault="00C023D6" w:rsidP="00C12C14">
      <w:pPr>
        <w:rPr>
          <w:b/>
          <w:sz w:val="36"/>
          <w:szCs w:val="36"/>
        </w:rPr>
      </w:pPr>
      <w:r w:rsidRPr="00E92067">
        <w:rPr>
          <w:b/>
          <w:sz w:val="36"/>
          <w:szCs w:val="36"/>
        </w:rPr>
        <w:tab/>
        <w:t>Blincyto®,</w:t>
      </w:r>
    </w:p>
    <w:p w:rsidR="00C023D6" w:rsidRPr="00E92067" w:rsidRDefault="00C023D6" w:rsidP="00C12C14">
      <w:pPr>
        <w:rPr>
          <w:b/>
          <w:sz w:val="36"/>
          <w:szCs w:val="36"/>
        </w:rPr>
      </w:pPr>
      <w:r w:rsidRPr="00E92067">
        <w:rPr>
          <w:b/>
          <w:sz w:val="36"/>
          <w:szCs w:val="36"/>
        </w:rPr>
        <w:tab/>
        <w:t>Amgen</w:t>
      </w:r>
    </w:p>
    <w:p w:rsidR="00B50DB8" w:rsidRPr="00E92067" w:rsidRDefault="00B50DB8" w:rsidP="006E665E">
      <w:pPr>
        <w:pStyle w:val="PBACHeading1"/>
        <w:spacing w:before="240" w:after="120"/>
        <w:outlineLvl w:val="0"/>
      </w:pPr>
      <w:bookmarkStart w:id="1" w:name="_Toc514245283"/>
      <w:r w:rsidRPr="00E92067">
        <w:t>Purpose of Application</w:t>
      </w:r>
      <w:bookmarkEnd w:id="1"/>
    </w:p>
    <w:p w:rsidR="009437E2" w:rsidRPr="00E92067" w:rsidRDefault="00ED2AF4" w:rsidP="001613D3">
      <w:pPr>
        <w:pStyle w:val="ListParagraph"/>
        <w:widowControl/>
        <w:numPr>
          <w:ilvl w:val="1"/>
          <w:numId w:val="2"/>
        </w:numPr>
      </w:pPr>
      <w:r w:rsidRPr="00E92067">
        <w:t>The submission requested</w:t>
      </w:r>
      <w:r w:rsidR="00627F23" w:rsidRPr="00E92067">
        <w:t xml:space="preserve"> a</w:t>
      </w:r>
      <w:r w:rsidRPr="00E92067">
        <w:t xml:space="preserve"> Section 100 Authority Required (Efficient Funding of Chemotherapy) listing for blinatumomab for the treatment of patients with B-cell precursor acute lymphoblastic leukaemia (B-ALL) in haematological complete remission with minimal residual disease </w:t>
      </w:r>
      <w:r w:rsidR="008E6C44">
        <w:t xml:space="preserve">(MRD) </w:t>
      </w:r>
      <w:r w:rsidRPr="00E92067">
        <w:t xml:space="preserve">following chemotherapy. This </w:t>
      </w:r>
      <w:r w:rsidR="00F761BD">
        <w:t>wa</w:t>
      </w:r>
      <w:r w:rsidRPr="00E92067">
        <w:t xml:space="preserve">s the first consideration by the PBAC of blinatumomab for this indication. </w:t>
      </w:r>
    </w:p>
    <w:p w:rsidR="00ED2AF4" w:rsidRPr="00E92067" w:rsidRDefault="00ED2AF4" w:rsidP="001613D3">
      <w:pPr>
        <w:pStyle w:val="ListParagraph"/>
        <w:widowControl/>
        <w:numPr>
          <w:ilvl w:val="1"/>
          <w:numId w:val="2"/>
        </w:numPr>
        <w:spacing w:after="120"/>
      </w:pPr>
      <w:r w:rsidRPr="00E92067">
        <w:t xml:space="preserve">Listing was requested on a cost-effectiveness basis compared to </w:t>
      </w:r>
      <w:r w:rsidR="00F91CB1" w:rsidRPr="00E92067">
        <w:t>consolidation chemotherapy</w:t>
      </w:r>
      <w:r w:rsidRPr="00E92067">
        <w:t xml:space="preserve">. </w:t>
      </w:r>
    </w:p>
    <w:p w:rsidR="00ED2AF4" w:rsidRPr="00E92067" w:rsidRDefault="00ED2AF4" w:rsidP="00ED2AF4">
      <w:pPr>
        <w:rPr>
          <w:rStyle w:val="CommentReference"/>
        </w:rPr>
      </w:pPr>
      <w:r w:rsidRPr="00E92067">
        <w:rPr>
          <w:rStyle w:val="CommentReference"/>
        </w:rPr>
        <w:t xml:space="preserve">Table 1:  Key components of the clinical issue addressed </w:t>
      </w:r>
      <w:r w:rsidR="009437E2" w:rsidRPr="00E92067">
        <w:rPr>
          <w:rStyle w:val="CommentReference"/>
        </w:rPr>
        <w:t>in</w:t>
      </w:r>
      <w:r w:rsidRPr="00E92067">
        <w:rPr>
          <w:rStyle w:val="CommentReference"/>
        </w:rPr>
        <w:t xml:space="preserve"> the submission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7484"/>
      </w:tblGrid>
      <w:tr w:rsidR="00ED2AF4" w:rsidRPr="00E92067" w:rsidTr="00D33834">
        <w:trPr>
          <w:cantSplit/>
          <w:tblHeader/>
        </w:trPr>
        <w:tc>
          <w:tcPr>
            <w:tcW w:w="1588" w:type="dxa"/>
            <w:shd w:val="clear" w:color="auto" w:fill="auto"/>
          </w:tcPr>
          <w:p w:rsidR="00ED2AF4" w:rsidRPr="00E92067" w:rsidRDefault="00ED2AF4" w:rsidP="00F46907">
            <w:pPr>
              <w:pStyle w:val="Tabletext"/>
              <w:rPr>
                <w:b/>
                <w:szCs w:val="20"/>
              </w:rPr>
            </w:pPr>
            <w:r w:rsidRPr="00E92067">
              <w:rPr>
                <w:b/>
              </w:rPr>
              <w:t>Component</w:t>
            </w:r>
          </w:p>
        </w:tc>
        <w:tc>
          <w:tcPr>
            <w:tcW w:w="7484" w:type="dxa"/>
            <w:shd w:val="clear" w:color="auto" w:fill="auto"/>
          </w:tcPr>
          <w:p w:rsidR="00ED2AF4" w:rsidRPr="00E92067" w:rsidRDefault="00ED2AF4" w:rsidP="00F46907">
            <w:pPr>
              <w:pStyle w:val="Tabletext"/>
              <w:jc w:val="center"/>
              <w:rPr>
                <w:b/>
              </w:rPr>
            </w:pPr>
            <w:r w:rsidRPr="00E92067">
              <w:rPr>
                <w:b/>
              </w:rPr>
              <w:t>Description</w:t>
            </w:r>
          </w:p>
        </w:tc>
      </w:tr>
      <w:tr w:rsidR="00ED2AF4" w:rsidRPr="00E92067" w:rsidTr="00D33834">
        <w:trPr>
          <w:cantSplit/>
        </w:trPr>
        <w:tc>
          <w:tcPr>
            <w:tcW w:w="1588" w:type="dxa"/>
            <w:vAlign w:val="center"/>
          </w:tcPr>
          <w:p w:rsidR="00ED2AF4" w:rsidRPr="00E92067" w:rsidRDefault="00ED2AF4" w:rsidP="00F46907">
            <w:pPr>
              <w:pStyle w:val="Tabletext"/>
            </w:pPr>
            <w:r w:rsidRPr="00E92067">
              <w:t>Population</w:t>
            </w:r>
          </w:p>
        </w:tc>
        <w:tc>
          <w:tcPr>
            <w:tcW w:w="7484" w:type="dxa"/>
            <w:vAlign w:val="center"/>
          </w:tcPr>
          <w:p w:rsidR="00ED2AF4" w:rsidRPr="00E92067" w:rsidRDefault="00ED2AF4" w:rsidP="00F46907">
            <w:pPr>
              <w:pStyle w:val="Tabletext"/>
            </w:pPr>
            <w:r w:rsidRPr="00E92067">
              <w:rPr>
                <w:color w:val="000000" w:themeColor="text1"/>
              </w:rPr>
              <w:t>Patients with B-ALL in haematological complete remission with minimal residual disease after induction/consolidation chemotherapy.</w:t>
            </w:r>
          </w:p>
        </w:tc>
      </w:tr>
      <w:tr w:rsidR="00ED2AF4" w:rsidRPr="00E92067" w:rsidTr="00D33834">
        <w:trPr>
          <w:cantSplit/>
        </w:trPr>
        <w:tc>
          <w:tcPr>
            <w:tcW w:w="1588" w:type="dxa"/>
            <w:vAlign w:val="center"/>
          </w:tcPr>
          <w:p w:rsidR="00ED2AF4" w:rsidRPr="00E92067" w:rsidRDefault="00ED2AF4" w:rsidP="00F46907">
            <w:pPr>
              <w:pStyle w:val="Tabletext"/>
            </w:pPr>
            <w:r w:rsidRPr="00E92067">
              <w:t>Intervention</w:t>
            </w:r>
          </w:p>
        </w:tc>
        <w:tc>
          <w:tcPr>
            <w:tcW w:w="7484" w:type="dxa"/>
          </w:tcPr>
          <w:p w:rsidR="00ED2AF4" w:rsidRPr="00E92067" w:rsidRDefault="00ED2AF4" w:rsidP="00F46907">
            <w:pPr>
              <w:pStyle w:val="Tabletext"/>
            </w:pPr>
            <w:r w:rsidRPr="00E92067">
              <w:rPr>
                <w:color w:val="000000" w:themeColor="text1"/>
              </w:rPr>
              <w:t>Blinatumomab continuous intravenous infusion 28 micrograms daily for 28 days followed by 14 days treatment free (one treatment cycle). Patients may have up to four treatment cycles per complete remission.</w:t>
            </w:r>
          </w:p>
        </w:tc>
      </w:tr>
      <w:tr w:rsidR="00ED2AF4" w:rsidRPr="00E92067" w:rsidTr="00D33834">
        <w:trPr>
          <w:cantSplit/>
        </w:trPr>
        <w:tc>
          <w:tcPr>
            <w:tcW w:w="1588" w:type="dxa"/>
            <w:vAlign w:val="center"/>
          </w:tcPr>
          <w:p w:rsidR="00ED2AF4" w:rsidRPr="00E92067" w:rsidRDefault="00ED2AF4" w:rsidP="00F46907">
            <w:pPr>
              <w:pStyle w:val="Tabletext"/>
            </w:pPr>
            <w:r w:rsidRPr="00E92067">
              <w:t>Comparator</w:t>
            </w:r>
          </w:p>
        </w:tc>
        <w:tc>
          <w:tcPr>
            <w:tcW w:w="7484" w:type="dxa"/>
            <w:vAlign w:val="center"/>
          </w:tcPr>
          <w:p w:rsidR="00ED2AF4" w:rsidRPr="00E92067" w:rsidRDefault="00ED2AF4" w:rsidP="00F46907">
            <w:pPr>
              <w:pStyle w:val="Tabletext"/>
            </w:pPr>
            <w:r w:rsidRPr="00E92067">
              <w:rPr>
                <w:color w:val="000000" w:themeColor="text1"/>
              </w:rPr>
              <w:t>Standard of care chemotherapy, i.e. consolidation/maintenance chemotherapy.</w:t>
            </w:r>
          </w:p>
        </w:tc>
      </w:tr>
      <w:tr w:rsidR="00ED2AF4" w:rsidRPr="00E92067" w:rsidTr="00D33834">
        <w:trPr>
          <w:cantSplit/>
        </w:trPr>
        <w:tc>
          <w:tcPr>
            <w:tcW w:w="1588" w:type="dxa"/>
            <w:vAlign w:val="center"/>
          </w:tcPr>
          <w:p w:rsidR="00ED2AF4" w:rsidRPr="00E92067" w:rsidRDefault="00ED2AF4" w:rsidP="00F46907">
            <w:pPr>
              <w:pStyle w:val="Tabletext"/>
            </w:pPr>
            <w:r w:rsidRPr="00E92067">
              <w:t>Outcomes</w:t>
            </w:r>
          </w:p>
        </w:tc>
        <w:tc>
          <w:tcPr>
            <w:tcW w:w="7484" w:type="dxa"/>
            <w:vAlign w:val="center"/>
          </w:tcPr>
          <w:p w:rsidR="00ED2AF4" w:rsidRPr="00E92067" w:rsidRDefault="00ED2AF4" w:rsidP="00F46907">
            <w:pPr>
              <w:pStyle w:val="Tabletext"/>
            </w:pPr>
            <w:r w:rsidRPr="00E92067">
              <w:rPr>
                <w:color w:val="000000" w:themeColor="text1"/>
              </w:rPr>
              <w:t>Relapse-free survival, overall survival and safety.</w:t>
            </w:r>
          </w:p>
        </w:tc>
      </w:tr>
      <w:tr w:rsidR="00ED2AF4" w:rsidRPr="00E92067" w:rsidTr="00D33834">
        <w:trPr>
          <w:cantSplit/>
        </w:trPr>
        <w:tc>
          <w:tcPr>
            <w:tcW w:w="1588" w:type="dxa"/>
            <w:vAlign w:val="center"/>
          </w:tcPr>
          <w:p w:rsidR="00ED2AF4" w:rsidRPr="00E92067" w:rsidRDefault="00ED2AF4" w:rsidP="00F46907">
            <w:pPr>
              <w:pStyle w:val="Tabletext"/>
            </w:pPr>
            <w:r w:rsidRPr="00E92067">
              <w:t>Clinical claim</w:t>
            </w:r>
          </w:p>
        </w:tc>
        <w:tc>
          <w:tcPr>
            <w:tcW w:w="7484" w:type="dxa"/>
          </w:tcPr>
          <w:p w:rsidR="00ED2AF4" w:rsidRPr="00E92067" w:rsidRDefault="00ED2AF4" w:rsidP="00F46907">
            <w:pPr>
              <w:pStyle w:val="Tabletext"/>
            </w:pPr>
            <w:r w:rsidRPr="00E92067">
              <w:rPr>
                <w:color w:val="000000" w:themeColor="text1"/>
              </w:rPr>
              <w:t>Blinatumomab is superior in terms of efficacy and non-inferior in terms of safety compared to standard of care chemotherapy.</w:t>
            </w:r>
          </w:p>
        </w:tc>
      </w:tr>
    </w:tbl>
    <w:p w:rsidR="00ED2AF4" w:rsidRPr="00E92067" w:rsidRDefault="00ED2AF4" w:rsidP="00ED2AF4">
      <w:pPr>
        <w:pStyle w:val="TableFooter"/>
        <w:rPr>
          <w:sz w:val="20"/>
        </w:rPr>
      </w:pPr>
      <w:r w:rsidRPr="00E92067">
        <w:t>Source: Table 13, p.2 of the submission.</w:t>
      </w:r>
    </w:p>
    <w:p w:rsidR="009437E2" w:rsidRPr="00E92067" w:rsidRDefault="009437E2" w:rsidP="009437E2">
      <w:pPr>
        <w:widowControl/>
      </w:pPr>
    </w:p>
    <w:p w:rsidR="009437E2" w:rsidRPr="00E92067" w:rsidRDefault="009437E2" w:rsidP="001613D3">
      <w:pPr>
        <w:pStyle w:val="ListParagraph"/>
        <w:widowControl/>
        <w:numPr>
          <w:ilvl w:val="1"/>
          <w:numId w:val="2"/>
        </w:numPr>
      </w:pPr>
      <w:r w:rsidRPr="00E92067">
        <w:t xml:space="preserve">Blinatumomab was recommended for listing </w:t>
      </w:r>
      <w:r w:rsidR="00934049" w:rsidRPr="00E92067">
        <w:t xml:space="preserve">for relapsed/refractory </w:t>
      </w:r>
      <w:r w:rsidR="002E072A" w:rsidRPr="00E92067">
        <w:t xml:space="preserve">Ph- </w:t>
      </w:r>
      <w:r w:rsidR="00934049" w:rsidRPr="00E92067">
        <w:t xml:space="preserve">B-ALL </w:t>
      </w:r>
      <w:r w:rsidRPr="00E92067">
        <w:t>under a managed entry scheme in July 2016</w:t>
      </w:r>
      <w:r w:rsidR="00934049" w:rsidRPr="00E92067">
        <w:t>,</w:t>
      </w:r>
      <w:r w:rsidRPr="00E92067">
        <w:t xml:space="preserve"> following a rejection in November 2015 due to uncertainties in comparative clinical effectiveness and a high and uncertain ICER. A minor </w:t>
      </w:r>
      <w:r w:rsidR="008E6C44">
        <w:t>re</w:t>
      </w:r>
      <w:r w:rsidRPr="00E92067">
        <w:t>submission in November 2016 request</w:t>
      </w:r>
      <w:r w:rsidR="00934049" w:rsidRPr="00E92067">
        <w:t>ed</w:t>
      </w:r>
      <w:r w:rsidRPr="00E92067">
        <w:t xml:space="preserve"> </w:t>
      </w:r>
      <w:r w:rsidR="00934049" w:rsidRPr="00E92067">
        <w:t xml:space="preserve">that </w:t>
      </w:r>
      <w:r w:rsidRPr="00E92067">
        <w:t>the July 2016 recommendation</w:t>
      </w:r>
      <w:r w:rsidR="00934049" w:rsidRPr="00E92067">
        <w:t xml:space="preserve"> be revised to remove the</w:t>
      </w:r>
      <w:r w:rsidRPr="00E92067">
        <w:t xml:space="preserve"> managed entry scheme </w:t>
      </w:r>
      <w:r w:rsidR="00934049" w:rsidRPr="00E92067">
        <w:t>(</w:t>
      </w:r>
      <w:r w:rsidRPr="00E92067">
        <w:t xml:space="preserve">as </w:t>
      </w:r>
      <w:r w:rsidR="00934049" w:rsidRPr="00E92067">
        <w:t xml:space="preserve">the data requested could not be provided) and included a price reduction. The minor </w:t>
      </w:r>
      <w:r w:rsidR="008E6C44">
        <w:t>re</w:t>
      </w:r>
      <w:r w:rsidR="00934049" w:rsidRPr="00E92067">
        <w:t xml:space="preserve">submission </w:t>
      </w:r>
      <w:r w:rsidRPr="00E92067">
        <w:t>was recommended</w:t>
      </w:r>
      <w:r w:rsidR="00934049" w:rsidRPr="00E92067">
        <w:t xml:space="preserve"> and blinatumomab was listed on the PBS for patients with relapsed/refractory </w:t>
      </w:r>
      <w:r w:rsidR="0015332B" w:rsidRPr="00E92067">
        <w:t xml:space="preserve">Ph- </w:t>
      </w:r>
      <w:r w:rsidR="00934049" w:rsidRPr="00E92067">
        <w:t>B-ALL in</w:t>
      </w:r>
      <w:r w:rsidR="000724AD" w:rsidRPr="00E92067">
        <w:t xml:space="preserve"> May 2017.</w:t>
      </w:r>
    </w:p>
    <w:p w:rsidR="00B60939" w:rsidRPr="00E92067" w:rsidRDefault="00B50DB8" w:rsidP="006E665E">
      <w:pPr>
        <w:pStyle w:val="PBACHeading1"/>
        <w:spacing w:before="240" w:after="120"/>
        <w:outlineLvl w:val="0"/>
      </w:pPr>
      <w:bookmarkStart w:id="2" w:name="_Toc514245284"/>
      <w:r w:rsidRPr="00E92067">
        <w:t>Requested listing</w:t>
      </w:r>
      <w:bookmarkEnd w:id="2"/>
    </w:p>
    <w:p w:rsidR="00D33834" w:rsidRPr="00600987" w:rsidRDefault="005C5AD5" w:rsidP="008E6C44">
      <w:pPr>
        <w:pStyle w:val="ListParagraph"/>
        <w:widowControl/>
        <w:numPr>
          <w:ilvl w:val="1"/>
          <w:numId w:val="2"/>
        </w:numPr>
        <w:rPr>
          <w:bCs/>
        </w:rPr>
      </w:pPr>
      <w:r w:rsidRPr="00723F01">
        <w:rPr>
          <w:bCs/>
        </w:rPr>
        <w:t>Suggestions and additions proposed by the Secretariat to the requested listing are added in italics and suggested deletions are crossed out with strikethrough.</w:t>
      </w:r>
    </w:p>
    <w:tbl>
      <w:tblPr>
        <w:tblW w:w="9214" w:type="dxa"/>
        <w:tblInd w:w="108" w:type="dxa"/>
        <w:tblLayout w:type="fixed"/>
        <w:tblLook w:val="0000" w:firstRow="0" w:lastRow="0" w:firstColumn="0" w:lastColumn="0" w:noHBand="0" w:noVBand="0"/>
      </w:tblPr>
      <w:tblGrid>
        <w:gridCol w:w="2835"/>
        <w:gridCol w:w="284"/>
        <w:gridCol w:w="709"/>
        <w:gridCol w:w="708"/>
        <w:gridCol w:w="1843"/>
        <w:gridCol w:w="1276"/>
        <w:gridCol w:w="1559"/>
      </w:tblGrid>
      <w:tr w:rsidR="005C5AD5" w:rsidRPr="007E2A26" w:rsidTr="00FD5491">
        <w:trPr>
          <w:cantSplit/>
          <w:trHeight w:val="471"/>
        </w:trPr>
        <w:tc>
          <w:tcPr>
            <w:tcW w:w="3119" w:type="dxa"/>
            <w:gridSpan w:val="2"/>
            <w:tcBorders>
              <w:bottom w:val="single" w:sz="4" w:space="0" w:color="auto"/>
            </w:tcBorders>
          </w:tcPr>
          <w:p w:rsidR="005C5AD5" w:rsidRPr="007E2A26" w:rsidRDefault="005C5AD5" w:rsidP="00D77B8F">
            <w:pPr>
              <w:keepNext/>
              <w:keepLines/>
              <w:widowControl/>
              <w:ind w:left="-108"/>
              <w:rPr>
                <w:rFonts w:ascii="Arial Narrow" w:hAnsi="Arial Narrow"/>
                <w:snapToGrid/>
                <w:sz w:val="20"/>
                <w:szCs w:val="20"/>
                <w:lang w:eastAsia="en-AU"/>
              </w:rPr>
            </w:pPr>
            <w:r w:rsidRPr="007E2A26">
              <w:rPr>
                <w:rFonts w:ascii="Arial Narrow" w:hAnsi="Arial Narrow"/>
                <w:snapToGrid/>
                <w:sz w:val="20"/>
                <w:szCs w:val="20"/>
                <w:lang w:eastAsia="en-AU"/>
              </w:rPr>
              <w:lastRenderedPageBreak/>
              <w:t>Name, Restriction,</w:t>
            </w:r>
          </w:p>
          <w:p w:rsidR="005C5AD5" w:rsidRPr="007E2A26" w:rsidRDefault="005C5AD5" w:rsidP="00D77B8F">
            <w:pPr>
              <w:keepNext/>
              <w:keepLines/>
              <w:widowControl/>
              <w:ind w:left="-108"/>
              <w:rPr>
                <w:rFonts w:ascii="Arial Narrow" w:hAnsi="Arial Narrow"/>
                <w:snapToGrid/>
                <w:sz w:val="20"/>
                <w:szCs w:val="20"/>
                <w:lang w:eastAsia="en-AU"/>
              </w:rPr>
            </w:pPr>
            <w:r w:rsidRPr="007E2A26">
              <w:rPr>
                <w:rFonts w:ascii="Arial Narrow" w:hAnsi="Arial Narrow"/>
                <w:snapToGrid/>
                <w:sz w:val="20"/>
                <w:szCs w:val="20"/>
                <w:lang w:eastAsia="en-AU"/>
              </w:rPr>
              <w:t>Manner of administration and form</w:t>
            </w:r>
          </w:p>
        </w:tc>
        <w:tc>
          <w:tcPr>
            <w:tcW w:w="709" w:type="dxa"/>
            <w:tcBorders>
              <w:bottom w:val="single" w:sz="4" w:space="0" w:color="auto"/>
            </w:tcBorders>
          </w:tcPr>
          <w:p w:rsidR="005C5AD5" w:rsidRPr="007E2A26" w:rsidRDefault="005C5AD5" w:rsidP="00D77B8F">
            <w:pPr>
              <w:keepNext/>
              <w:keepLines/>
              <w:widowControl/>
              <w:ind w:left="-108"/>
              <w:rPr>
                <w:rFonts w:ascii="Arial Narrow" w:hAnsi="Arial Narrow"/>
                <w:snapToGrid/>
                <w:sz w:val="20"/>
                <w:szCs w:val="20"/>
                <w:lang w:eastAsia="en-AU"/>
              </w:rPr>
            </w:pPr>
            <w:r w:rsidRPr="007E2A26">
              <w:rPr>
                <w:rFonts w:ascii="Arial Narrow" w:hAnsi="Arial Narrow"/>
                <w:snapToGrid/>
                <w:sz w:val="20"/>
                <w:szCs w:val="20"/>
                <w:lang w:eastAsia="en-AU"/>
              </w:rPr>
              <w:t>Max.</w:t>
            </w:r>
          </w:p>
          <w:p w:rsidR="005C5AD5" w:rsidRPr="007E2A26" w:rsidRDefault="005C5AD5" w:rsidP="00D77B8F">
            <w:pPr>
              <w:keepNext/>
              <w:keepLines/>
              <w:widowControl/>
              <w:ind w:left="-108"/>
              <w:rPr>
                <w:rFonts w:ascii="Arial Narrow" w:hAnsi="Arial Narrow"/>
                <w:snapToGrid/>
                <w:sz w:val="20"/>
                <w:szCs w:val="20"/>
                <w:lang w:eastAsia="en-AU"/>
              </w:rPr>
            </w:pPr>
            <w:r w:rsidRPr="007E2A26">
              <w:rPr>
                <w:rFonts w:ascii="Arial Narrow" w:hAnsi="Arial Narrow"/>
                <w:snapToGrid/>
                <w:sz w:val="20"/>
                <w:szCs w:val="20"/>
                <w:lang w:eastAsia="en-AU"/>
              </w:rPr>
              <w:t>Qty</w:t>
            </w:r>
          </w:p>
        </w:tc>
        <w:tc>
          <w:tcPr>
            <w:tcW w:w="708" w:type="dxa"/>
            <w:tcBorders>
              <w:bottom w:val="single" w:sz="4" w:space="0" w:color="auto"/>
            </w:tcBorders>
          </w:tcPr>
          <w:p w:rsidR="005C5AD5" w:rsidRPr="007E2A26" w:rsidRDefault="005C5AD5" w:rsidP="00D77B8F">
            <w:pPr>
              <w:keepNext/>
              <w:keepLines/>
              <w:widowControl/>
              <w:ind w:left="-108"/>
              <w:rPr>
                <w:rFonts w:ascii="Arial Narrow" w:hAnsi="Arial Narrow"/>
                <w:snapToGrid/>
                <w:sz w:val="20"/>
                <w:szCs w:val="20"/>
                <w:lang w:eastAsia="en-AU"/>
              </w:rPr>
            </w:pPr>
            <w:r w:rsidRPr="007E2A26">
              <w:rPr>
                <w:rFonts w:ascii="Arial Narrow" w:hAnsi="Arial Narrow"/>
                <w:snapToGrid/>
                <w:sz w:val="20"/>
                <w:szCs w:val="20"/>
                <w:lang w:eastAsia="en-AU"/>
              </w:rPr>
              <w:t>№.of</w:t>
            </w:r>
          </w:p>
          <w:p w:rsidR="005C5AD5" w:rsidRPr="007E2A26" w:rsidRDefault="005C5AD5" w:rsidP="00D77B8F">
            <w:pPr>
              <w:keepNext/>
              <w:keepLines/>
              <w:widowControl/>
              <w:ind w:left="-108"/>
              <w:rPr>
                <w:rFonts w:ascii="Arial Narrow" w:hAnsi="Arial Narrow"/>
                <w:snapToGrid/>
                <w:sz w:val="20"/>
                <w:szCs w:val="20"/>
                <w:lang w:eastAsia="en-AU"/>
              </w:rPr>
            </w:pPr>
            <w:r w:rsidRPr="007E2A26">
              <w:rPr>
                <w:rFonts w:ascii="Arial Narrow" w:hAnsi="Arial Narrow"/>
                <w:snapToGrid/>
                <w:sz w:val="20"/>
                <w:szCs w:val="20"/>
                <w:lang w:eastAsia="en-AU"/>
              </w:rPr>
              <w:t>Rpts</w:t>
            </w:r>
          </w:p>
        </w:tc>
        <w:tc>
          <w:tcPr>
            <w:tcW w:w="1843" w:type="dxa"/>
            <w:tcBorders>
              <w:bottom w:val="single" w:sz="4" w:space="0" w:color="auto"/>
            </w:tcBorders>
          </w:tcPr>
          <w:p w:rsidR="005C5AD5" w:rsidRPr="007E2A26" w:rsidRDefault="005C5AD5" w:rsidP="00D77B8F">
            <w:pPr>
              <w:keepNext/>
              <w:keepLines/>
              <w:widowControl/>
              <w:ind w:left="-108"/>
              <w:rPr>
                <w:rFonts w:ascii="Arial Narrow" w:hAnsi="Arial Narrow"/>
                <w:snapToGrid/>
                <w:sz w:val="20"/>
                <w:szCs w:val="20"/>
                <w:lang w:eastAsia="en-AU"/>
              </w:rPr>
            </w:pPr>
            <w:r w:rsidRPr="007E2A26">
              <w:rPr>
                <w:rFonts w:ascii="Arial Narrow" w:hAnsi="Arial Narrow"/>
                <w:snapToGrid/>
                <w:sz w:val="20"/>
                <w:szCs w:val="20"/>
                <w:lang w:eastAsia="en-AU"/>
              </w:rPr>
              <w:t>Dispensed Price for Max. Qty</w:t>
            </w:r>
          </w:p>
        </w:tc>
        <w:tc>
          <w:tcPr>
            <w:tcW w:w="2835" w:type="dxa"/>
            <w:gridSpan w:val="2"/>
            <w:tcBorders>
              <w:bottom w:val="single" w:sz="4" w:space="0" w:color="auto"/>
            </w:tcBorders>
          </w:tcPr>
          <w:p w:rsidR="005C5AD5" w:rsidRPr="007E2A26" w:rsidRDefault="005C5AD5" w:rsidP="00D77B8F">
            <w:pPr>
              <w:keepNext/>
              <w:keepLines/>
              <w:widowControl/>
              <w:rPr>
                <w:rFonts w:ascii="Arial Narrow" w:hAnsi="Arial Narrow"/>
                <w:snapToGrid/>
                <w:sz w:val="20"/>
                <w:szCs w:val="20"/>
                <w:lang w:val="fr-FR" w:eastAsia="en-AU"/>
              </w:rPr>
            </w:pPr>
            <w:r w:rsidRPr="007E2A26">
              <w:rPr>
                <w:rFonts w:ascii="Arial Narrow" w:hAnsi="Arial Narrow"/>
                <w:snapToGrid/>
                <w:sz w:val="20"/>
                <w:szCs w:val="20"/>
                <w:lang w:eastAsia="en-AU"/>
              </w:rPr>
              <w:t>Proprietary Name and Manufacturer</w:t>
            </w:r>
          </w:p>
        </w:tc>
      </w:tr>
      <w:tr w:rsidR="005C5AD5" w:rsidRPr="007E2A26" w:rsidTr="00FD5491">
        <w:trPr>
          <w:cantSplit/>
          <w:trHeight w:val="577"/>
        </w:trPr>
        <w:tc>
          <w:tcPr>
            <w:tcW w:w="3119" w:type="dxa"/>
            <w:gridSpan w:val="2"/>
          </w:tcPr>
          <w:p w:rsidR="005C5AD5" w:rsidRPr="007E2A26" w:rsidRDefault="005C5AD5" w:rsidP="00D77B8F">
            <w:pPr>
              <w:keepNext/>
              <w:keepLines/>
              <w:widowControl/>
              <w:ind w:left="-108"/>
              <w:rPr>
                <w:rFonts w:ascii="Arial Narrow" w:hAnsi="Arial Narrow"/>
                <w:snapToGrid/>
                <w:sz w:val="20"/>
                <w:szCs w:val="20"/>
                <w:lang w:eastAsia="en-AU"/>
              </w:rPr>
            </w:pPr>
            <w:r w:rsidRPr="007E2A26">
              <w:rPr>
                <w:rFonts w:ascii="Arial Narrow" w:hAnsi="Arial Narrow"/>
                <w:smallCaps/>
                <w:snapToGrid/>
                <w:sz w:val="20"/>
                <w:szCs w:val="20"/>
                <w:lang w:eastAsia="en-AU"/>
              </w:rPr>
              <w:t xml:space="preserve">blinatumomab </w:t>
            </w:r>
          </w:p>
          <w:p w:rsidR="005C5AD5" w:rsidRPr="007E2A26" w:rsidRDefault="005C5AD5" w:rsidP="00D77B8F">
            <w:pPr>
              <w:keepNext/>
              <w:keepLines/>
              <w:widowControl/>
              <w:ind w:left="-108"/>
              <w:rPr>
                <w:rFonts w:ascii="Arial Narrow" w:hAnsi="Arial Narrow"/>
                <w:snapToGrid/>
                <w:sz w:val="20"/>
                <w:szCs w:val="20"/>
                <w:lang w:eastAsia="en-AU"/>
              </w:rPr>
            </w:pPr>
            <w:r w:rsidRPr="007E2A26">
              <w:rPr>
                <w:rFonts w:ascii="Arial Narrow" w:hAnsi="Arial Narrow"/>
                <w:snapToGrid/>
                <w:sz w:val="20"/>
                <w:szCs w:val="20"/>
                <w:lang w:eastAsia="en-AU"/>
              </w:rPr>
              <w:t>38.5 µg, injection, 1 vial</w:t>
            </w:r>
          </w:p>
          <w:p w:rsidR="005C5AD5" w:rsidRPr="007E2A26" w:rsidRDefault="005C5AD5" w:rsidP="00D77B8F">
            <w:pPr>
              <w:keepNext/>
              <w:keepLines/>
              <w:widowControl/>
              <w:ind w:left="-108"/>
              <w:rPr>
                <w:rFonts w:ascii="Arial Narrow" w:hAnsi="Arial Narrow"/>
                <w:snapToGrid/>
                <w:sz w:val="20"/>
                <w:szCs w:val="20"/>
                <w:lang w:eastAsia="en-AU"/>
              </w:rPr>
            </w:pPr>
          </w:p>
          <w:p w:rsidR="005C5AD5" w:rsidRPr="007E2A26" w:rsidRDefault="005C5AD5" w:rsidP="00D77B8F">
            <w:pPr>
              <w:keepNext/>
              <w:keepLines/>
              <w:widowControl/>
              <w:ind w:left="-108"/>
              <w:rPr>
                <w:rFonts w:ascii="Arial Narrow" w:hAnsi="Arial Narrow"/>
                <w:snapToGrid/>
                <w:sz w:val="20"/>
                <w:szCs w:val="20"/>
                <w:lang w:eastAsia="en-AU"/>
              </w:rPr>
            </w:pPr>
            <w:r w:rsidRPr="007E2A26">
              <w:rPr>
                <w:rFonts w:ascii="Arial Narrow" w:hAnsi="Arial Narrow"/>
                <w:smallCaps/>
                <w:snapToGrid/>
                <w:sz w:val="20"/>
                <w:szCs w:val="20"/>
                <w:lang w:eastAsia="en-AU"/>
              </w:rPr>
              <w:t>blinatumomab</w:t>
            </w:r>
          </w:p>
          <w:p w:rsidR="005C5AD5" w:rsidRPr="007E2A26" w:rsidRDefault="005C5AD5" w:rsidP="00D77B8F">
            <w:pPr>
              <w:keepNext/>
              <w:keepLines/>
              <w:widowControl/>
              <w:ind w:left="-108"/>
              <w:rPr>
                <w:rFonts w:ascii="Arial Narrow" w:hAnsi="Arial Narrow"/>
                <w:snapToGrid/>
                <w:sz w:val="20"/>
                <w:szCs w:val="20"/>
                <w:lang w:eastAsia="en-AU"/>
              </w:rPr>
            </w:pPr>
            <w:r w:rsidRPr="007E2A26">
              <w:rPr>
                <w:rFonts w:ascii="Arial Narrow" w:hAnsi="Arial Narrow"/>
                <w:snapToGrid/>
                <w:sz w:val="20"/>
                <w:szCs w:val="20"/>
                <w:lang w:eastAsia="en-AU"/>
              </w:rPr>
              <w:t>38.5 µg, injection, 1 vial</w:t>
            </w:r>
          </w:p>
        </w:tc>
        <w:tc>
          <w:tcPr>
            <w:tcW w:w="709" w:type="dxa"/>
          </w:tcPr>
          <w:p w:rsidR="005C5AD5" w:rsidRPr="007E2A26" w:rsidRDefault="005C5AD5" w:rsidP="00D77B8F">
            <w:pPr>
              <w:keepNext/>
              <w:keepLines/>
              <w:widowControl/>
              <w:ind w:left="-108"/>
              <w:rPr>
                <w:rFonts w:ascii="Arial Narrow" w:hAnsi="Arial Narrow"/>
                <w:snapToGrid/>
                <w:sz w:val="20"/>
                <w:szCs w:val="20"/>
                <w:lang w:eastAsia="en-AU"/>
              </w:rPr>
            </w:pPr>
          </w:p>
          <w:p w:rsidR="005C5AD5" w:rsidRPr="007E2A26" w:rsidRDefault="005C5AD5" w:rsidP="00D77B8F">
            <w:pPr>
              <w:keepNext/>
              <w:keepLines/>
              <w:widowControl/>
              <w:ind w:left="-108"/>
              <w:rPr>
                <w:rFonts w:ascii="Arial Narrow" w:hAnsi="Arial Narrow"/>
                <w:snapToGrid/>
                <w:sz w:val="20"/>
                <w:szCs w:val="20"/>
                <w:lang w:eastAsia="en-AU"/>
              </w:rPr>
            </w:pPr>
            <w:r w:rsidRPr="007E2A26">
              <w:rPr>
                <w:rFonts w:ascii="Arial Narrow" w:hAnsi="Arial Narrow"/>
                <w:snapToGrid/>
                <w:sz w:val="20"/>
                <w:szCs w:val="20"/>
                <w:lang w:eastAsia="en-AU"/>
              </w:rPr>
              <w:t>784 µg</w:t>
            </w:r>
          </w:p>
          <w:p w:rsidR="005C5AD5" w:rsidRPr="007E2A26" w:rsidRDefault="005C5AD5" w:rsidP="00D77B8F">
            <w:pPr>
              <w:keepNext/>
              <w:keepLines/>
              <w:widowControl/>
              <w:ind w:left="-108"/>
              <w:rPr>
                <w:rFonts w:ascii="Arial Narrow" w:hAnsi="Arial Narrow"/>
                <w:snapToGrid/>
                <w:sz w:val="20"/>
                <w:szCs w:val="20"/>
                <w:lang w:eastAsia="en-AU"/>
              </w:rPr>
            </w:pPr>
          </w:p>
          <w:p w:rsidR="005C5AD5" w:rsidRPr="007E2A26" w:rsidRDefault="005C5AD5" w:rsidP="00D77B8F">
            <w:pPr>
              <w:keepNext/>
              <w:keepLines/>
              <w:widowControl/>
              <w:ind w:left="-108"/>
              <w:rPr>
                <w:rFonts w:ascii="Arial Narrow" w:hAnsi="Arial Narrow"/>
                <w:snapToGrid/>
                <w:sz w:val="20"/>
                <w:szCs w:val="20"/>
                <w:lang w:eastAsia="en-AU"/>
              </w:rPr>
            </w:pPr>
          </w:p>
          <w:p w:rsidR="005C5AD5" w:rsidRPr="007E2A26" w:rsidRDefault="005C5AD5" w:rsidP="00D77B8F">
            <w:pPr>
              <w:keepNext/>
              <w:keepLines/>
              <w:widowControl/>
              <w:ind w:left="-108"/>
              <w:rPr>
                <w:rFonts w:ascii="Arial Narrow" w:hAnsi="Arial Narrow"/>
                <w:snapToGrid/>
                <w:sz w:val="20"/>
                <w:szCs w:val="20"/>
                <w:lang w:eastAsia="en-AU"/>
              </w:rPr>
            </w:pPr>
            <w:r w:rsidRPr="007E2A26">
              <w:rPr>
                <w:rFonts w:ascii="Arial Narrow" w:hAnsi="Arial Narrow"/>
                <w:snapToGrid/>
                <w:sz w:val="20"/>
                <w:szCs w:val="20"/>
                <w:lang w:eastAsia="en-AU"/>
              </w:rPr>
              <w:t>784 µg</w:t>
            </w:r>
          </w:p>
        </w:tc>
        <w:tc>
          <w:tcPr>
            <w:tcW w:w="708" w:type="dxa"/>
          </w:tcPr>
          <w:p w:rsidR="005C5AD5" w:rsidRPr="007E2A26" w:rsidRDefault="005C5AD5" w:rsidP="00D77B8F">
            <w:pPr>
              <w:keepNext/>
              <w:keepLines/>
              <w:widowControl/>
              <w:ind w:left="-108"/>
              <w:rPr>
                <w:rFonts w:ascii="Arial Narrow" w:hAnsi="Arial Narrow"/>
                <w:snapToGrid/>
                <w:sz w:val="20"/>
                <w:szCs w:val="20"/>
                <w:lang w:eastAsia="en-AU"/>
              </w:rPr>
            </w:pPr>
          </w:p>
          <w:p w:rsidR="005C5AD5" w:rsidRPr="007E2A26" w:rsidRDefault="005C5AD5" w:rsidP="00D77B8F">
            <w:pPr>
              <w:keepNext/>
              <w:keepLines/>
              <w:widowControl/>
              <w:ind w:left="-108"/>
              <w:rPr>
                <w:rFonts w:ascii="Arial Narrow" w:hAnsi="Arial Narrow"/>
                <w:i/>
                <w:strike/>
                <w:snapToGrid/>
                <w:sz w:val="20"/>
                <w:szCs w:val="20"/>
                <w:lang w:eastAsia="en-AU"/>
              </w:rPr>
            </w:pPr>
            <w:r w:rsidRPr="007E2A26">
              <w:rPr>
                <w:rFonts w:ascii="Arial Narrow" w:hAnsi="Arial Narrow"/>
                <w:strike/>
                <w:snapToGrid/>
                <w:sz w:val="20"/>
                <w:szCs w:val="20"/>
                <w:lang w:eastAsia="en-AU"/>
              </w:rPr>
              <w:t xml:space="preserve">3 </w:t>
            </w:r>
            <w:r w:rsidR="008845CF">
              <w:rPr>
                <w:rFonts w:ascii="Arial Narrow" w:hAnsi="Arial Narrow"/>
                <w:i/>
                <w:snapToGrid/>
                <w:sz w:val="20"/>
                <w:szCs w:val="20"/>
                <w:lang w:eastAsia="en-AU"/>
              </w:rPr>
              <w:t>1</w:t>
            </w:r>
          </w:p>
          <w:p w:rsidR="005C5AD5" w:rsidRPr="007E2A26" w:rsidRDefault="005C5AD5" w:rsidP="00D77B8F">
            <w:pPr>
              <w:keepNext/>
              <w:keepLines/>
              <w:widowControl/>
              <w:ind w:left="-108"/>
              <w:rPr>
                <w:rFonts w:ascii="Arial Narrow" w:hAnsi="Arial Narrow"/>
                <w:snapToGrid/>
                <w:sz w:val="20"/>
                <w:szCs w:val="20"/>
                <w:lang w:eastAsia="en-AU"/>
              </w:rPr>
            </w:pPr>
          </w:p>
          <w:p w:rsidR="005C5AD5" w:rsidRPr="007E2A26" w:rsidRDefault="005C5AD5" w:rsidP="00D77B8F">
            <w:pPr>
              <w:keepNext/>
              <w:keepLines/>
              <w:widowControl/>
              <w:ind w:left="-108"/>
              <w:rPr>
                <w:rFonts w:ascii="Arial Narrow" w:hAnsi="Arial Narrow"/>
                <w:snapToGrid/>
                <w:sz w:val="20"/>
                <w:szCs w:val="20"/>
                <w:lang w:eastAsia="en-AU"/>
              </w:rPr>
            </w:pPr>
          </w:p>
          <w:p w:rsidR="005C5AD5" w:rsidRPr="007E2A26" w:rsidRDefault="005C5AD5" w:rsidP="00D77B8F">
            <w:pPr>
              <w:keepNext/>
              <w:keepLines/>
              <w:widowControl/>
              <w:ind w:left="-108"/>
              <w:rPr>
                <w:rFonts w:ascii="Arial Narrow" w:hAnsi="Arial Narrow"/>
                <w:snapToGrid/>
                <w:sz w:val="20"/>
                <w:szCs w:val="20"/>
                <w:lang w:eastAsia="en-AU"/>
              </w:rPr>
            </w:pPr>
            <w:r w:rsidRPr="007E2A26">
              <w:rPr>
                <w:rFonts w:ascii="Arial Narrow" w:hAnsi="Arial Narrow"/>
                <w:strike/>
                <w:snapToGrid/>
                <w:sz w:val="20"/>
                <w:szCs w:val="20"/>
                <w:lang w:eastAsia="en-AU"/>
              </w:rPr>
              <w:t xml:space="preserve">3 </w:t>
            </w:r>
            <w:r w:rsidR="008845CF">
              <w:rPr>
                <w:rFonts w:ascii="Arial Narrow" w:hAnsi="Arial Narrow"/>
                <w:i/>
                <w:snapToGrid/>
                <w:sz w:val="20"/>
                <w:szCs w:val="20"/>
                <w:lang w:eastAsia="en-AU"/>
              </w:rPr>
              <w:t>1</w:t>
            </w:r>
          </w:p>
        </w:tc>
        <w:tc>
          <w:tcPr>
            <w:tcW w:w="1843" w:type="dxa"/>
          </w:tcPr>
          <w:p w:rsidR="005C5AD5" w:rsidRPr="007E2A26" w:rsidRDefault="005C5AD5" w:rsidP="00D77B8F">
            <w:pPr>
              <w:keepNext/>
              <w:keepLines/>
              <w:widowControl/>
              <w:ind w:left="-108"/>
              <w:rPr>
                <w:rFonts w:ascii="Arial Narrow" w:hAnsi="Arial Narrow"/>
                <w:snapToGrid/>
                <w:sz w:val="20"/>
                <w:szCs w:val="20"/>
                <w:lang w:eastAsia="en-AU"/>
              </w:rPr>
            </w:pPr>
          </w:p>
          <w:p w:rsidR="005C5AD5" w:rsidRPr="007E2A26" w:rsidRDefault="005C5AD5" w:rsidP="00D77B8F">
            <w:pPr>
              <w:keepNext/>
              <w:keepLines/>
              <w:widowControl/>
              <w:ind w:left="-108"/>
              <w:rPr>
                <w:rFonts w:ascii="Arial Narrow" w:hAnsi="Arial Narrow"/>
                <w:snapToGrid/>
                <w:sz w:val="20"/>
                <w:szCs w:val="20"/>
                <w:lang w:eastAsia="en-AU"/>
              </w:rPr>
            </w:pPr>
            <w:r w:rsidRPr="007E2A26">
              <w:rPr>
                <w:rFonts w:ascii="Arial Narrow" w:hAnsi="Arial Narrow"/>
                <w:snapToGrid/>
                <w:sz w:val="20"/>
                <w:szCs w:val="20"/>
                <w:lang w:eastAsia="en-AU"/>
              </w:rPr>
              <w:t>$81417.39 (public)</w:t>
            </w:r>
          </w:p>
          <w:p w:rsidR="005C5AD5" w:rsidRPr="007E2A26" w:rsidRDefault="005C5AD5" w:rsidP="00D77B8F">
            <w:pPr>
              <w:keepNext/>
              <w:keepLines/>
              <w:widowControl/>
              <w:ind w:left="-108"/>
              <w:rPr>
                <w:rFonts w:ascii="Arial Narrow" w:hAnsi="Arial Narrow"/>
                <w:snapToGrid/>
                <w:sz w:val="20"/>
                <w:szCs w:val="20"/>
                <w:lang w:eastAsia="en-AU"/>
              </w:rPr>
            </w:pPr>
          </w:p>
          <w:p w:rsidR="005C5AD5" w:rsidRPr="007E2A26" w:rsidRDefault="005C5AD5" w:rsidP="00D77B8F">
            <w:pPr>
              <w:keepNext/>
              <w:keepLines/>
              <w:widowControl/>
              <w:ind w:left="-108"/>
              <w:rPr>
                <w:rFonts w:ascii="Arial Narrow" w:hAnsi="Arial Narrow"/>
                <w:snapToGrid/>
                <w:sz w:val="20"/>
                <w:szCs w:val="20"/>
                <w:lang w:eastAsia="en-AU"/>
              </w:rPr>
            </w:pPr>
          </w:p>
          <w:p w:rsidR="005C5AD5" w:rsidRPr="007E2A26" w:rsidRDefault="005C5AD5" w:rsidP="00D77B8F">
            <w:pPr>
              <w:keepNext/>
              <w:keepLines/>
              <w:widowControl/>
              <w:ind w:left="-108"/>
              <w:rPr>
                <w:rFonts w:ascii="Arial Narrow" w:hAnsi="Arial Narrow"/>
                <w:snapToGrid/>
                <w:sz w:val="20"/>
                <w:szCs w:val="20"/>
                <w:lang w:eastAsia="en-AU"/>
              </w:rPr>
            </w:pPr>
            <w:r w:rsidRPr="007E2A26">
              <w:rPr>
                <w:rFonts w:ascii="Arial Narrow" w:hAnsi="Arial Narrow"/>
                <w:snapToGrid/>
                <w:sz w:val="20"/>
                <w:szCs w:val="20"/>
                <w:lang w:eastAsia="en-AU"/>
              </w:rPr>
              <w:t>$82594.79 (private)</w:t>
            </w:r>
          </w:p>
        </w:tc>
        <w:tc>
          <w:tcPr>
            <w:tcW w:w="1276" w:type="dxa"/>
          </w:tcPr>
          <w:p w:rsidR="005C5AD5" w:rsidRPr="007E2A26" w:rsidRDefault="005C5AD5" w:rsidP="00D77B8F">
            <w:pPr>
              <w:keepNext/>
              <w:keepLines/>
              <w:widowControl/>
              <w:rPr>
                <w:rFonts w:ascii="Arial Narrow" w:hAnsi="Arial Narrow"/>
                <w:snapToGrid/>
                <w:sz w:val="20"/>
                <w:szCs w:val="20"/>
                <w:lang w:eastAsia="en-AU"/>
              </w:rPr>
            </w:pPr>
          </w:p>
          <w:p w:rsidR="005C5AD5" w:rsidRPr="007E2A26" w:rsidRDefault="005C5AD5" w:rsidP="00D77B8F">
            <w:pPr>
              <w:keepNext/>
              <w:keepLines/>
              <w:widowControl/>
              <w:rPr>
                <w:rFonts w:ascii="Arial Narrow" w:hAnsi="Arial Narrow"/>
                <w:snapToGrid/>
                <w:sz w:val="20"/>
                <w:szCs w:val="20"/>
                <w:lang w:eastAsia="en-AU"/>
              </w:rPr>
            </w:pPr>
            <w:r w:rsidRPr="007E2A26">
              <w:rPr>
                <w:rFonts w:ascii="Arial Narrow" w:hAnsi="Arial Narrow"/>
                <w:snapToGrid/>
                <w:sz w:val="20"/>
                <w:szCs w:val="20"/>
                <w:lang w:eastAsia="en-AU"/>
              </w:rPr>
              <w:t>Blincyto®</w:t>
            </w:r>
          </w:p>
          <w:p w:rsidR="005C5AD5" w:rsidRPr="007E2A26" w:rsidRDefault="005C5AD5" w:rsidP="00D77B8F">
            <w:pPr>
              <w:keepNext/>
              <w:keepLines/>
              <w:widowControl/>
              <w:rPr>
                <w:rFonts w:ascii="Arial Narrow" w:hAnsi="Arial Narrow"/>
                <w:snapToGrid/>
                <w:sz w:val="20"/>
                <w:szCs w:val="20"/>
                <w:lang w:eastAsia="en-AU"/>
              </w:rPr>
            </w:pPr>
          </w:p>
          <w:p w:rsidR="005C5AD5" w:rsidRPr="007E2A26" w:rsidRDefault="005C5AD5" w:rsidP="00D77B8F">
            <w:pPr>
              <w:keepNext/>
              <w:keepLines/>
              <w:widowControl/>
              <w:rPr>
                <w:rFonts w:ascii="Arial Narrow" w:hAnsi="Arial Narrow"/>
                <w:snapToGrid/>
                <w:sz w:val="20"/>
                <w:szCs w:val="20"/>
                <w:lang w:eastAsia="en-AU"/>
              </w:rPr>
            </w:pPr>
          </w:p>
          <w:p w:rsidR="005C5AD5" w:rsidRPr="007E2A26" w:rsidRDefault="005C5AD5" w:rsidP="00D77B8F">
            <w:pPr>
              <w:keepNext/>
              <w:keepLines/>
              <w:widowControl/>
              <w:rPr>
                <w:rFonts w:ascii="Arial Narrow" w:hAnsi="Arial Narrow"/>
                <w:snapToGrid/>
                <w:sz w:val="20"/>
                <w:szCs w:val="20"/>
                <w:lang w:eastAsia="en-AU"/>
              </w:rPr>
            </w:pPr>
            <w:r w:rsidRPr="007E2A26">
              <w:rPr>
                <w:rFonts w:ascii="Arial Narrow" w:hAnsi="Arial Narrow"/>
                <w:snapToGrid/>
                <w:sz w:val="20"/>
                <w:szCs w:val="20"/>
                <w:lang w:eastAsia="en-AU"/>
              </w:rPr>
              <w:t>Blincyto®</w:t>
            </w:r>
          </w:p>
        </w:tc>
        <w:tc>
          <w:tcPr>
            <w:tcW w:w="1559" w:type="dxa"/>
          </w:tcPr>
          <w:p w:rsidR="005C5AD5" w:rsidRPr="007E2A26" w:rsidRDefault="005C5AD5" w:rsidP="00D77B8F">
            <w:pPr>
              <w:keepNext/>
              <w:keepLines/>
              <w:widowControl/>
              <w:rPr>
                <w:rFonts w:ascii="Arial Narrow" w:hAnsi="Arial Narrow"/>
                <w:snapToGrid/>
                <w:sz w:val="20"/>
                <w:szCs w:val="20"/>
                <w:lang w:eastAsia="en-AU"/>
              </w:rPr>
            </w:pPr>
            <w:r w:rsidRPr="007E2A26">
              <w:rPr>
                <w:rFonts w:ascii="Arial Narrow" w:hAnsi="Arial Narrow"/>
                <w:snapToGrid/>
                <w:sz w:val="20"/>
                <w:szCs w:val="20"/>
                <w:lang w:eastAsia="en-AU"/>
              </w:rPr>
              <w:t>Amgen Australia Pty Ltd</w:t>
            </w:r>
          </w:p>
          <w:p w:rsidR="005C5AD5" w:rsidRPr="007E2A26" w:rsidRDefault="005C5AD5" w:rsidP="00D77B8F">
            <w:pPr>
              <w:keepNext/>
              <w:keepLines/>
              <w:widowControl/>
              <w:rPr>
                <w:rFonts w:ascii="Arial Narrow" w:hAnsi="Arial Narrow"/>
                <w:snapToGrid/>
                <w:sz w:val="20"/>
                <w:szCs w:val="20"/>
                <w:lang w:eastAsia="en-AU"/>
              </w:rPr>
            </w:pPr>
          </w:p>
          <w:p w:rsidR="005C5AD5" w:rsidRPr="007E2A26" w:rsidRDefault="005C5AD5" w:rsidP="00D77B8F">
            <w:pPr>
              <w:keepNext/>
              <w:keepLines/>
              <w:widowControl/>
              <w:rPr>
                <w:rFonts w:ascii="Arial Narrow" w:hAnsi="Arial Narrow"/>
                <w:snapToGrid/>
                <w:sz w:val="20"/>
                <w:szCs w:val="20"/>
                <w:lang w:eastAsia="en-AU"/>
              </w:rPr>
            </w:pPr>
            <w:r w:rsidRPr="007E2A26">
              <w:rPr>
                <w:rFonts w:ascii="Arial Narrow" w:hAnsi="Arial Narrow"/>
                <w:snapToGrid/>
                <w:sz w:val="20"/>
                <w:szCs w:val="20"/>
                <w:lang w:eastAsia="en-AU"/>
              </w:rPr>
              <w:t>Amgen Australia Pty Ltd</w:t>
            </w:r>
          </w:p>
        </w:tc>
      </w:tr>
      <w:tr w:rsidR="005C5AD5" w:rsidRPr="007E2A26" w:rsidTr="00FD5491">
        <w:trPr>
          <w:cantSplit/>
          <w:trHeight w:val="360"/>
        </w:trPr>
        <w:tc>
          <w:tcPr>
            <w:tcW w:w="9214" w:type="dxa"/>
            <w:gridSpan w:val="7"/>
            <w:tcBorders>
              <w:bottom w:val="single" w:sz="4" w:space="0" w:color="auto"/>
            </w:tcBorders>
          </w:tcPr>
          <w:p w:rsidR="005C5AD5" w:rsidRPr="007E2A26" w:rsidRDefault="005C5AD5" w:rsidP="00D77B8F">
            <w:pPr>
              <w:keepLines/>
              <w:widowControl/>
              <w:rPr>
                <w:rFonts w:ascii="Arial Narrow" w:hAnsi="Arial Narrow"/>
                <w:snapToGrid/>
                <w:sz w:val="20"/>
                <w:szCs w:val="20"/>
                <w:lang w:eastAsia="en-AU"/>
              </w:rPr>
            </w:pPr>
          </w:p>
        </w:tc>
      </w:tr>
      <w:tr w:rsidR="005C5AD5" w:rsidRPr="007E2A26" w:rsidTr="00FD5491">
        <w:trPr>
          <w:cantSplit/>
          <w:trHeight w:val="360"/>
        </w:trPr>
        <w:tc>
          <w:tcPr>
            <w:tcW w:w="2835" w:type="dxa"/>
            <w:tcBorders>
              <w:top w:val="single" w:sz="4" w:space="0" w:color="auto"/>
              <w:left w:val="single" w:sz="4" w:space="0" w:color="auto"/>
              <w:bottom w:val="single" w:sz="4" w:space="0" w:color="auto"/>
              <w:right w:val="single" w:sz="4" w:space="0" w:color="auto"/>
            </w:tcBorders>
          </w:tcPr>
          <w:p w:rsidR="005C5AD5" w:rsidRPr="007E2A26" w:rsidRDefault="005C5AD5" w:rsidP="00D77B8F">
            <w:pPr>
              <w:keepLines/>
              <w:widowControl/>
              <w:rPr>
                <w:rFonts w:ascii="Arial Narrow" w:hAnsi="Arial Narrow"/>
                <w:b/>
                <w:snapToGrid/>
                <w:sz w:val="20"/>
                <w:szCs w:val="20"/>
                <w:lang w:eastAsia="en-AU"/>
              </w:rPr>
            </w:pPr>
            <w:r w:rsidRPr="007E2A26">
              <w:rPr>
                <w:rFonts w:ascii="Arial Narrow" w:hAnsi="Arial Narrow"/>
                <w:b/>
                <w:snapToGrid/>
                <w:sz w:val="20"/>
                <w:szCs w:val="20"/>
                <w:lang w:eastAsia="en-AU"/>
              </w:rPr>
              <w:t xml:space="preserve">Category / </w:t>
            </w:r>
          </w:p>
          <w:p w:rsidR="005C5AD5" w:rsidRPr="007E2A26" w:rsidRDefault="005C5AD5" w:rsidP="00D77B8F">
            <w:pPr>
              <w:keepLines/>
              <w:widowControl/>
              <w:rPr>
                <w:rFonts w:ascii="Arial Narrow" w:hAnsi="Arial Narrow"/>
                <w:b/>
                <w:snapToGrid/>
                <w:sz w:val="20"/>
                <w:szCs w:val="20"/>
                <w:lang w:eastAsia="en-AU"/>
              </w:rPr>
            </w:pPr>
            <w:r w:rsidRPr="007E2A26">
              <w:rPr>
                <w:rFonts w:ascii="Arial Narrow" w:hAnsi="Arial Narrow"/>
                <w:b/>
                <w:snapToGrid/>
                <w:sz w:val="20"/>
                <w:szCs w:val="20"/>
                <w:lang w:eastAsia="en-AU"/>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5C5AD5" w:rsidRPr="007E2A26" w:rsidRDefault="005C5AD5" w:rsidP="00D77B8F">
            <w:pPr>
              <w:keepLines/>
              <w:widowControl/>
              <w:jc w:val="left"/>
              <w:rPr>
                <w:rFonts w:ascii="Arial Narrow" w:hAnsi="Arial Narrow"/>
                <w:snapToGrid/>
                <w:sz w:val="20"/>
                <w:szCs w:val="20"/>
                <w:lang w:eastAsia="en-AU"/>
              </w:rPr>
            </w:pPr>
            <w:r w:rsidRPr="007E2A26">
              <w:rPr>
                <w:rFonts w:ascii="Arial Narrow" w:hAnsi="Arial Narrow"/>
                <w:snapToGrid/>
                <w:sz w:val="20"/>
                <w:szCs w:val="20"/>
                <w:lang w:eastAsia="en-AU"/>
              </w:rPr>
              <w:t>Section 100 – Efficient funding of Chemotherapy (S100 EFC Public)</w:t>
            </w:r>
          </w:p>
          <w:p w:rsidR="005C5AD5" w:rsidRPr="007E2A26" w:rsidRDefault="005C5AD5" w:rsidP="00D77B8F">
            <w:pPr>
              <w:keepLines/>
              <w:widowControl/>
              <w:jc w:val="left"/>
              <w:rPr>
                <w:rFonts w:ascii="Arial Narrow" w:hAnsi="Arial Narrow"/>
                <w:snapToGrid/>
                <w:sz w:val="20"/>
                <w:szCs w:val="20"/>
                <w:lang w:eastAsia="en-AU"/>
              </w:rPr>
            </w:pPr>
            <w:r w:rsidRPr="007E2A26">
              <w:rPr>
                <w:rFonts w:ascii="Arial Narrow" w:hAnsi="Arial Narrow"/>
                <w:snapToGrid/>
                <w:sz w:val="20"/>
                <w:szCs w:val="20"/>
                <w:lang w:eastAsia="en-AU"/>
              </w:rPr>
              <w:t>Section 100 – Efficient funding of Chemotherapy (S100 EFC Private)</w:t>
            </w:r>
          </w:p>
        </w:tc>
      </w:tr>
      <w:tr w:rsidR="005C5AD5" w:rsidRPr="007E2A26" w:rsidTr="00FD5491">
        <w:trPr>
          <w:cantSplit/>
          <w:trHeight w:val="360"/>
        </w:trPr>
        <w:tc>
          <w:tcPr>
            <w:tcW w:w="2835" w:type="dxa"/>
            <w:tcBorders>
              <w:top w:val="single" w:sz="4" w:space="0" w:color="auto"/>
              <w:left w:val="single" w:sz="4" w:space="0" w:color="auto"/>
              <w:bottom w:val="single" w:sz="4" w:space="0" w:color="auto"/>
              <w:right w:val="single" w:sz="4" w:space="0" w:color="auto"/>
            </w:tcBorders>
          </w:tcPr>
          <w:p w:rsidR="005C5AD5" w:rsidRPr="007E2A26" w:rsidRDefault="005C5AD5" w:rsidP="00D77B8F">
            <w:pPr>
              <w:keepLines/>
              <w:widowControl/>
              <w:rPr>
                <w:rFonts w:ascii="Arial Narrow" w:hAnsi="Arial Narrow"/>
                <w:b/>
                <w:snapToGrid/>
                <w:sz w:val="20"/>
                <w:szCs w:val="20"/>
                <w:lang w:eastAsia="en-AU"/>
              </w:rPr>
            </w:pPr>
            <w:r w:rsidRPr="007E2A26">
              <w:rPr>
                <w:rFonts w:ascii="Arial Narrow" w:hAnsi="Arial Narrow"/>
                <w:b/>
                <w:snapToGrid/>
                <w:sz w:val="20"/>
                <w:szCs w:val="20"/>
                <w:lang w:eastAsia="en-AU"/>
              </w:rPr>
              <w:t>Prescriber type:</w:t>
            </w:r>
          </w:p>
          <w:p w:rsidR="005C5AD5" w:rsidRPr="007E2A26" w:rsidRDefault="005C5AD5" w:rsidP="00D77B8F">
            <w:pPr>
              <w:keepLines/>
              <w:widowControl/>
              <w:rPr>
                <w:rFonts w:ascii="Arial Narrow" w:hAnsi="Arial Narrow"/>
                <w:b/>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5C5AD5" w:rsidRPr="007E2A26" w:rsidRDefault="005C5AD5" w:rsidP="00D77B8F">
            <w:pPr>
              <w:keepLines/>
              <w:widowControl/>
              <w:jc w:val="left"/>
              <w:rPr>
                <w:rFonts w:ascii="Arial Narrow" w:hAnsi="Arial Narrow"/>
                <w:snapToGrid/>
                <w:sz w:val="20"/>
                <w:szCs w:val="20"/>
                <w:lang w:eastAsia="en-AU"/>
              </w:rPr>
            </w:pPr>
            <w:r w:rsidRPr="007E2A26">
              <w:rPr>
                <w:rFonts w:ascii="Arial Narrow" w:hAnsi="Arial Narrow"/>
                <w:snapToGrid/>
                <w:sz w:val="20"/>
                <w:szCs w:val="20"/>
                <w:lang w:eastAsia="en-AU"/>
              </w:rPr>
              <w:fldChar w:fldCharType="begin">
                <w:ffData>
                  <w:name w:val="Check1"/>
                  <w:enabled/>
                  <w:calcOnExit w:val="0"/>
                  <w:checkBox>
                    <w:sizeAuto/>
                    <w:default w:val="0"/>
                  </w:checkBox>
                </w:ffData>
              </w:fldChar>
            </w:r>
            <w:r w:rsidRPr="007E2A26">
              <w:rPr>
                <w:rFonts w:ascii="Arial Narrow" w:hAnsi="Arial Narrow"/>
                <w:snapToGrid/>
                <w:sz w:val="20"/>
                <w:szCs w:val="20"/>
                <w:lang w:eastAsia="en-AU"/>
              </w:rPr>
              <w:instrText xml:space="preserve"> FORMCHECKBOX </w:instrText>
            </w:r>
            <w:r w:rsidR="00CD0E7D">
              <w:rPr>
                <w:rFonts w:ascii="Arial Narrow" w:hAnsi="Arial Narrow"/>
                <w:snapToGrid/>
                <w:sz w:val="20"/>
                <w:szCs w:val="20"/>
                <w:lang w:eastAsia="en-AU"/>
              </w:rPr>
            </w:r>
            <w:r w:rsidR="00CD0E7D">
              <w:rPr>
                <w:rFonts w:ascii="Arial Narrow" w:hAnsi="Arial Narrow"/>
                <w:snapToGrid/>
                <w:sz w:val="20"/>
                <w:szCs w:val="20"/>
                <w:lang w:eastAsia="en-AU"/>
              </w:rPr>
              <w:fldChar w:fldCharType="separate"/>
            </w:r>
            <w:r w:rsidRPr="007E2A26">
              <w:rPr>
                <w:rFonts w:ascii="Arial Narrow" w:hAnsi="Arial Narrow"/>
                <w:snapToGrid/>
                <w:sz w:val="20"/>
                <w:szCs w:val="20"/>
                <w:lang w:eastAsia="en-AU"/>
              </w:rPr>
              <w:fldChar w:fldCharType="end"/>
            </w:r>
            <w:r w:rsidRPr="007E2A26">
              <w:rPr>
                <w:rFonts w:ascii="Arial Narrow" w:hAnsi="Arial Narrow"/>
                <w:snapToGrid/>
                <w:sz w:val="20"/>
                <w:szCs w:val="20"/>
                <w:lang w:eastAsia="en-AU"/>
              </w:rPr>
              <w:t xml:space="preserve">Dental  </w:t>
            </w:r>
            <w:r w:rsidRPr="007E2A26">
              <w:rPr>
                <w:rFonts w:ascii="Arial Narrow" w:hAnsi="Arial Narrow"/>
                <w:snapToGrid/>
                <w:sz w:val="20"/>
                <w:szCs w:val="20"/>
                <w:lang w:eastAsia="en-AU"/>
              </w:rPr>
              <w:fldChar w:fldCharType="begin">
                <w:ffData>
                  <w:name w:val=""/>
                  <w:enabled/>
                  <w:calcOnExit w:val="0"/>
                  <w:checkBox>
                    <w:sizeAuto/>
                    <w:default w:val="1"/>
                  </w:checkBox>
                </w:ffData>
              </w:fldChar>
            </w:r>
            <w:r w:rsidRPr="007E2A26">
              <w:rPr>
                <w:rFonts w:ascii="Arial Narrow" w:hAnsi="Arial Narrow"/>
                <w:snapToGrid/>
                <w:sz w:val="20"/>
                <w:szCs w:val="20"/>
                <w:lang w:eastAsia="en-AU"/>
              </w:rPr>
              <w:instrText xml:space="preserve"> FORMCHECKBOX </w:instrText>
            </w:r>
            <w:r w:rsidR="00CD0E7D">
              <w:rPr>
                <w:rFonts w:ascii="Arial Narrow" w:hAnsi="Arial Narrow"/>
                <w:snapToGrid/>
                <w:sz w:val="20"/>
                <w:szCs w:val="20"/>
                <w:lang w:eastAsia="en-AU"/>
              </w:rPr>
            </w:r>
            <w:r w:rsidR="00CD0E7D">
              <w:rPr>
                <w:rFonts w:ascii="Arial Narrow" w:hAnsi="Arial Narrow"/>
                <w:snapToGrid/>
                <w:sz w:val="20"/>
                <w:szCs w:val="20"/>
                <w:lang w:eastAsia="en-AU"/>
              </w:rPr>
              <w:fldChar w:fldCharType="separate"/>
            </w:r>
            <w:r w:rsidRPr="007E2A26">
              <w:rPr>
                <w:rFonts w:ascii="Arial Narrow" w:hAnsi="Arial Narrow"/>
                <w:snapToGrid/>
                <w:sz w:val="20"/>
                <w:szCs w:val="20"/>
                <w:lang w:eastAsia="en-AU"/>
              </w:rPr>
              <w:fldChar w:fldCharType="end"/>
            </w:r>
            <w:r w:rsidRPr="007E2A26">
              <w:rPr>
                <w:rFonts w:ascii="Arial Narrow" w:hAnsi="Arial Narrow"/>
                <w:snapToGrid/>
                <w:sz w:val="20"/>
                <w:szCs w:val="20"/>
                <w:lang w:eastAsia="en-AU"/>
              </w:rPr>
              <w:t xml:space="preserve">Medical Practitioners  </w:t>
            </w:r>
            <w:r w:rsidRPr="007E2A26">
              <w:rPr>
                <w:rFonts w:ascii="Arial Narrow" w:hAnsi="Arial Narrow"/>
                <w:snapToGrid/>
                <w:sz w:val="20"/>
                <w:szCs w:val="20"/>
                <w:lang w:eastAsia="en-AU"/>
              </w:rPr>
              <w:fldChar w:fldCharType="begin">
                <w:ffData>
                  <w:name w:val="Check3"/>
                  <w:enabled/>
                  <w:calcOnExit w:val="0"/>
                  <w:checkBox>
                    <w:sizeAuto/>
                    <w:default w:val="0"/>
                  </w:checkBox>
                </w:ffData>
              </w:fldChar>
            </w:r>
            <w:r w:rsidRPr="007E2A26">
              <w:rPr>
                <w:rFonts w:ascii="Arial Narrow" w:hAnsi="Arial Narrow"/>
                <w:snapToGrid/>
                <w:sz w:val="20"/>
                <w:szCs w:val="20"/>
                <w:lang w:eastAsia="en-AU"/>
              </w:rPr>
              <w:instrText xml:space="preserve"> FORMCHECKBOX </w:instrText>
            </w:r>
            <w:r w:rsidR="00CD0E7D">
              <w:rPr>
                <w:rFonts w:ascii="Arial Narrow" w:hAnsi="Arial Narrow"/>
                <w:snapToGrid/>
                <w:sz w:val="20"/>
                <w:szCs w:val="20"/>
                <w:lang w:eastAsia="en-AU"/>
              </w:rPr>
            </w:r>
            <w:r w:rsidR="00CD0E7D">
              <w:rPr>
                <w:rFonts w:ascii="Arial Narrow" w:hAnsi="Arial Narrow"/>
                <w:snapToGrid/>
                <w:sz w:val="20"/>
                <w:szCs w:val="20"/>
                <w:lang w:eastAsia="en-AU"/>
              </w:rPr>
              <w:fldChar w:fldCharType="separate"/>
            </w:r>
            <w:r w:rsidRPr="007E2A26">
              <w:rPr>
                <w:rFonts w:ascii="Arial Narrow" w:hAnsi="Arial Narrow"/>
                <w:snapToGrid/>
                <w:sz w:val="20"/>
                <w:szCs w:val="20"/>
                <w:lang w:eastAsia="en-AU"/>
              </w:rPr>
              <w:fldChar w:fldCharType="end"/>
            </w:r>
            <w:r w:rsidRPr="007E2A26">
              <w:rPr>
                <w:rFonts w:ascii="Arial Narrow" w:hAnsi="Arial Narrow"/>
                <w:snapToGrid/>
                <w:sz w:val="20"/>
                <w:szCs w:val="20"/>
                <w:lang w:eastAsia="en-AU"/>
              </w:rPr>
              <w:t xml:space="preserve">Nurse practitioners  </w:t>
            </w:r>
            <w:r w:rsidRPr="007E2A26">
              <w:rPr>
                <w:rFonts w:ascii="Arial Narrow" w:hAnsi="Arial Narrow"/>
                <w:snapToGrid/>
                <w:sz w:val="20"/>
                <w:szCs w:val="20"/>
                <w:lang w:eastAsia="en-AU"/>
              </w:rPr>
              <w:fldChar w:fldCharType="begin">
                <w:ffData>
                  <w:name w:val=""/>
                  <w:enabled/>
                  <w:calcOnExit w:val="0"/>
                  <w:checkBox>
                    <w:sizeAuto/>
                    <w:default w:val="0"/>
                  </w:checkBox>
                </w:ffData>
              </w:fldChar>
            </w:r>
            <w:r w:rsidRPr="007E2A26">
              <w:rPr>
                <w:rFonts w:ascii="Arial Narrow" w:hAnsi="Arial Narrow"/>
                <w:snapToGrid/>
                <w:sz w:val="20"/>
                <w:szCs w:val="20"/>
                <w:lang w:eastAsia="en-AU"/>
              </w:rPr>
              <w:instrText xml:space="preserve"> FORMCHECKBOX </w:instrText>
            </w:r>
            <w:r w:rsidR="00CD0E7D">
              <w:rPr>
                <w:rFonts w:ascii="Arial Narrow" w:hAnsi="Arial Narrow"/>
                <w:snapToGrid/>
                <w:sz w:val="20"/>
                <w:szCs w:val="20"/>
                <w:lang w:eastAsia="en-AU"/>
              </w:rPr>
            </w:r>
            <w:r w:rsidR="00CD0E7D">
              <w:rPr>
                <w:rFonts w:ascii="Arial Narrow" w:hAnsi="Arial Narrow"/>
                <w:snapToGrid/>
                <w:sz w:val="20"/>
                <w:szCs w:val="20"/>
                <w:lang w:eastAsia="en-AU"/>
              </w:rPr>
              <w:fldChar w:fldCharType="separate"/>
            </w:r>
            <w:r w:rsidRPr="007E2A26">
              <w:rPr>
                <w:rFonts w:ascii="Arial Narrow" w:hAnsi="Arial Narrow"/>
                <w:snapToGrid/>
                <w:sz w:val="20"/>
                <w:szCs w:val="20"/>
                <w:lang w:eastAsia="en-AU"/>
              </w:rPr>
              <w:fldChar w:fldCharType="end"/>
            </w:r>
            <w:r w:rsidRPr="007E2A26">
              <w:rPr>
                <w:rFonts w:ascii="Arial Narrow" w:hAnsi="Arial Narrow"/>
                <w:snapToGrid/>
                <w:sz w:val="20"/>
                <w:szCs w:val="20"/>
                <w:lang w:eastAsia="en-AU"/>
              </w:rPr>
              <w:t>Optometrists</w:t>
            </w:r>
          </w:p>
          <w:p w:rsidR="005C5AD5" w:rsidRPr="007E2A26" w:rsidRDefault="005C5AD5" w:rsidP="00D77B8F">
            <w:pPr>
              <w:keepLines/>
              <w:widowControl/>
              <w:jc w:val="left"/>
              <w:rPr>
                <w:rFonts w:ascii="Arial Narrow" w:hAnsi="Arial Narrow"/>
                <w:snapToGrid/>
                <w:sz w:val="20"/>
                <w:szCs w:val="20"/>
                <w:lang w:eastAsia="en-AU"/>
              </w:rPr>
            </w:pPr>
            <w:r w:rsidRPr="007E2A26">
              <w:rPr>
                <w:rFonts w:ascii="Arial Narrow" w:hAnsi="Arial Narrow"/>
                <w:snapToGrid/>
                <w:sz w:val="20"/>
                <w:szCs w:val="20"/>
                <w:lang w:eastAsia="en-AU"/>
              </w:rPr>
              <w:fldChar w:fldCharType="begin">
                <w:ffData>
                  <w:name w:val="Check5"/>
                  <w:enabled/>
                  <w:calcOnExit w:val="0"/>
                  <w:checkBox>
                    <w:sizeAuto/>
                    <w:default w:val="0"/>
                  </w:checkBox>
                </w:ffData>
              </w:fldChar>
            </w:r>
            <w:r w:rsidRPr="007E2A26">
              <w:rPr>
                <w:rFonts w:ascii="Arial Narrow" w:hAnsi="Arial Narrow"/>
                <w:snapToGrid/>
                <w:sz w:val="20"/>
                <w:szCs w:val="20"/>
                <w:lang w:eastAsia="en-AU"/>
              </w:rPr>
              <w:instrText xml:space="preserve"> FORMCHECKBOX </w:instrText>
            </w:r>
            <w:r w:rsidR="00CD0E7D">
              <w:rPr>
                <w:rFonts w:ascii="Arial Narrow" w:hAnsi="Arial Narrow"/>
                <w:snapToGrid/>
                <w:sz w:val="20"/>
                <w:szCs w:val="20"/>
                <w:lang w:eastAsia="en-AU"/>
              </w:rPr>
            </w:r>
            <w:r w:rsidR="00CD0E7D">
              <w:rPr>
                <w:rFonts w:ascii="Arial Narrow" w:hAnsi="Arial Narrow"/>
                <w:snapToGrid/>
                <w:sz w:val="20"/>
                <w:szCs w:val="20"/>
                <w:lang w:eastAsia="en-AU"/>
              </w:rPr>
              <w:fldChar w:fldCharType="separate"/>
            </w:r>
            <w:r w:rsidRPr="007E2A26">
              <w:rPr>
                <w:rFonts w:ascii="Arial Narrow" w:hAnsi="Arial Narrow"/>
                <w:snapToGrid/>
                <w:sz w:val="20"/>
                <w:szCs w:val="20"/>
                <w:lang w:eastAsia="en-AU"/>
              </w:rPr>
              <w:fldChar w:fldCharType="end"/>
            </w:r>
            <w:r w:rsidRPr="007E2A26">
              <w:rPr>
                <w:rFonts w:ascii="Arial Narrow" w:hAnsi="Arial Narrow"/>
                <w:snapToGrid/>
                <w:sz w:val="20"/>
                <w:szCs w:val="20"/>
                <w:lang w:eastAsia="en-AU"/>
              </w:rPr>
              <w:t>Midwives</w:t>
            </w:r>
          </w:p>
        </w:tc>
      </w:tr>
      <w:tr w:rsidR="005C5AD5" w:rsidRPr="007E2A26" w:rsidTr="00FD5491">
        <w:trPr>
          <w:cantSplit/>
          <w:trHeight w:val="360"/>
        </w:trPr>
        <w:tc>
          <w:tcPr>
            <w:tcW w:w="2835" w:type="dxa"/>
            <w:tcBorders>
              <w:top w:val="single" w:sz="4" w:space="0" w:color="auto"/>
              <w:left w:val="single" w:sz="4" w:space="0" w:color="auto"/>
              <w:bottom w:val="single" w:sz="4" w:space="0" w:color="auto"/>
              <w:right w:val="single" w:sz="4" w:space="0" w:color="auto"/>
            </w:tcBorders>
          </w:tcPr>
          <w:p w:rsidR="005C5AD5" w:rsidRPr="007E2A26" w:rsidRDefault="005C5AD5" w:rsidP="00D77B8F">
            <w:pPr>
              <w:keepLines/>
              <w:widowControl/>
              <w:rPr>
                <w:rFonts w:ascii="Arial Narrow" w:hAnsi="Arial Narrow"/>
                <w:b/>
                <w:snapToGrid/>
                <w:sz w:val="20"/>
                <w:szCs w:val="20"/>
                <w:lang w:eastAsia="en-AU"/>
              </w:rPr>
            </w:pPr>
            <w:r w:rsidRPr="007E2A26">
              <w:rPr>
                <w:rFonts w:ascii="Arial Narrow" w:hAnsi="Arial Narrow"/>
                <w:b/>
                <w:snapToGrid/>
                <w:sz w:val="20"/>
                <w:szCs w:val="20"/>
                <w:lang w:eastAsia="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5C5AD5" w:rsidRPr="007E2A26" w:rsidRDefault="005C5AD5" w:rsidP="00D77B8F">
            <w:pPr>
              <w:keepLines/>
              <w:widowControl/>
              <w:jc w:val="left"/>
              <w:rPr>
                <w:rFonts w:ascii="Arial Narrow" w:hAnsi="Arial Narrow"/>
                <w:snapToGrid/>
                <w:sz w:val="20"/>
                <w:szCs w:val="20"/>
                <w:lang w:eastAsia="en-AU"/>
              </w:rPr>
            </w:pPr>
            <w:r w:rsidRPr="007E2A26">
              <w:rPr>
                <w:rFonts w:ascii="Arial Narrow" w:hAnsi="Arial Narrow"/>
                <w:snapToGrid/>
                <w:sz w:val="20"/>
                <w:szCs w:val="20"/>
                <w:lang w:eastAsia="en-AU"/>
              </w:rPr>
              <w:t>Acute lymphoblastic leukaemia (ALL)</w:t>
            </w:r>
          </w:p>
        </w:tc>
      </w:tr>
      <w:tr w:rsidR="005C5AD5" w:rsidRPr="007E2A26" w:rsidTr="00FD5491">
        <w:trPr>
          <w:cantSplit/>
          <w:trHeight w:val="360"/>
        </w:trPr>
        <w:tc>
          <w:tcPr>
            <w:tcW w:w="2835" w:type="dxa"/>
            <w:tcBorders>
              <w:top w:val="single" w:sz="4" w:space="0" w:color="auto"/>
              <w:left w:val="single" w:sz="4" w:space="0" w:color="auto"/>
              <w:bottom w:val="single" w:sz="4" w:space="0" w:color="auto"/>
              <w:right w:val="single" w:sz="4" w:space="0" w:color="auto"/>
            </w:tcBorders>
          </w:tcPr>
          <w:p w:rsidR="005C5AD5" w:rsidRPr="007E2A26" w:rsidRDefault="005C5AD5" w:rsidP="00D77B8F">
            <w:pPr>
              <w:keepLines/>
              <w:widowControl/>
              <w:rPr>
                <w:rFonts w:ascii="Arial Narrow" w:hAnsi="Arial Narrow"/>
                <w:b/>
                <w:snapToGrid/>
                <w:sz w:val="20"/>
                <w:szCs w:val="20"/>
                <w:lang w:eastAsia="en-AU"/>
              </w:rPr>
            </w:pPr>
            <w:r w:rsidRPr="007E2A26">
              <w:rPr>
                <w:rFonts w:ascii="Arial Narrow" w:hAnsi="Arial Narrow"/>
                <w:b/>
                <w:snapToGrid/>
                <w:sz w:val="20"/>
                <w:szCs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5C5AD5" w:rsidRPr="007E2A26" w:rsidRDefault="005C5AD5" w:rsidP="00D77B8F">
            <w:pPr>
              <w:keepLines/>
              <w:widowControl/>
              <w:jc w:val="left"/>
              <w:rPr>
                <w:rFonts w:ascii="Arial Narrow" w:hAnsi="Arial Narrow"/>
                <w:strike/>
                <w:snapToGrid/>
                <w:sz w:val="20"/>
                <w:szCs w:val="20"/>
                <w:lang w:eastAsia="en-AU"/>
              </w:rPr>
            </w:pPr>
            <w:r w:rsidRPr="007E2A26">
              <w:rPr>
                <w:rFonts w:ascii="Arial Narrow" w:hAnsi="Arial Narrow"/>
                <w:strike/>
                <w:snapToGrid/>
                <w:sz w:val="20"/>
                <w:szCs w:val="20"/>
                <w:lang w:eastAsia="en-AU"/>
              </w:rPr>
              <w:t>B-cell precursor acute lymphoblastic leukaemia (B-ALL) in complete haematological remission with minimal residual disease (MRD)</w:t>
            </w:r>
          </w:p>
          <w:p w:rsidR="005C5AD5" w:rsidRPr="007E2A26" w:rsidRDefault="005C5AD5" w:rsidP="00D77B8F">
            <w:pPr>
              <w:keepLines/>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Minimal residual disease (MRD) positive B-cell precursor acute lymphoblastic leukaemia (ALL) in patients in complete haematological remission</w:t>
            </w:r>
          </w:p>
        </w:tc>
      </w:tr>
      <w:tr w:rsidR="005C5AD5" w:rsidRPr="007E2A26" w:rsidTr="00FD5491">
        <w:trPr>
          <w:cantSplit/>
          <w:trHeight w:val="360"/>
        </w:trPr>
        <w:tc>
          <w:tcPr>
            <w:tcW w:w="2835" w:type="dxa"/>
            <w:tcBorders>
              <w:top w:val="single" w:sz="4" w:space="0" w:color="auto"/>
              <w:left w:val="single" w:sz="4" w:space="0" w:color="auto"/>
              <w:bottom w:val="single" w:sz="4" w:space="0" w:color="auto"/>
              <w:right w:val="single" w:sz="4" w:space="0" w:color="auto"/>
            </w:tcBorders>
          </w:tcPr>
          <w:p w:rsidR="005C5AD5" w:rsidRPr="007E2A26" w:rsidRDefault="005C5AD5" w:rsidP="00D77B8F">
            <w:pPr>
              <w:keepLines/>
              <w:widowControl/>
              <w:rPr>
                <w:rFonts w:ascii="Arial Narrow" w:hAnsi="Arial Narrow"/>
                <w:b/>
                <w:snapToGrid/>
                <w:sz w:val="20"/>
                <w:szCs w:val="20"/>
                <w:lang w:eastAsia="en-AU"/>
              </w:rPr>
            </w:pPr>
            <w:r w:rsidRPr="007E2A26">
              <w:rPr>
                <w:rFonts w:ascii="Arial Narrow" w:hAnsi="Arial Narrow"/>
                <w:b/>
                <w:snapToGrid/>
                <w:sz w:val="20"/>
                <w:szCs w:val="20"/>
                <w:lang w:eastAsia="en-AU"/>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5C5AD5" w:rsidRPr="007E2A26" w:rsidRDefault="005C5AD5" w:rsidP="00D77B8F">
            <w:pPr>
              <w:keepLines/>
              <w:widowControl/>
              <w:jc w:val="left"/>
              <w:rPr>
                <w:rFonts w:ascii="Arial Narrow" w:hAnsi="Arial Narrow"/>
                <w:snapToGrid/>
                <w:sz w:val="20"/>
                <w:szCs w:val="20"/>
                <w:lang w:eastAsia="en-AU"/>
              </w:rPr>
            </w:pPr>
            <w:r w:rsidRPr="007E2A26">
              <w:rPr>
                <w:rFonts w:ascii="Arial Narrow" w:hAnsi="Arial Narrow"/>
                <w:snapToGrid/>
                <w:sz w:val="20"/>
                <w:szCs w:val="20"/>
                <w:lang w:eastAsia="en-AU"/>
              </w:rPr>
              <w:t xml:space="preserve">Initial </w:t>
            </w:r>
            <w:r w:rsidRPr="007E2A26">
              <w:rPr>
                <w:rFonts w:ascii="Arial Narrow" w:hAnsi="Arial Narrow"/>
                <w:strike/>
                <w:snapToGrid/>
                <w:sz w:val="20"/>
                <w:szCs w:val="20"/>
                <w:lang w:eastAsia="en-AU"/>
              </w:rPr>
              <w:t>and Continuing</w:t>
            </w:r>
            <w:r w:rsidRPr="007E2A26">
              <w:rPr>
                <w:rFonts w:ascii="Arial Narrow" w:hAnsi="Arial Narrow"/>
                <w:snapToGrid/>
                <w:sz w:val="20"/>
                <w:szCs w:val="20"/>
                <w:lang w:eastAsia="en-AU"/>
              </w:rPr>
              <w:t xml:space="preserve"> treatment</w:t>
            </w:r>
          </w:p>
        </w:tc>
      </w:tr>
      <w:tr w:rsidR="005C5AD5" w:rsidRPr="007E2A26" w:rsidTr="00FD5491">
        <w:trPr>
          <w:cantSplit/>
          <w:trHeight w:val="360"/>
        </w:trPr>
        <w:tc>
          <w:tcPr>
            <w:tcW w:w="2835" w:type="dxa"/>
            <w:tcBorders>
              <w:top w:val="single" w:sz="4" w:space="0" w:color="auto"/>
              <w:left w:val="single" w:sz="4" w:space="0" w:color="auto"/>
              <w:bottom w:val="single" w:sz="4" w:space="0" w:color="auto"/>
              <w:right w:val="single" w:sz="4" w:space="0" w:color="auto"/>
            </w:tcBorders>
          </w:tcPr>
          <w:p w:rsidR="005C5AD5" w:rsidRPr="007E2A26" w:rsidRDefault="005C5AD5" w:rsidP="00D77B8F">
            <w:pPr>
              <w:keepLines/>
              <w:widowControl/>
              <w:rPr>
                <w:rFonts w:ascii="Arial Narrow" w:hAnsi="Arial Narrow"/>
                <w:i/>
                <w:snapToGrid/>
                <w:sz w:val="20"/>
                <w:szCs w:val="20"/>
                <w:lang w:eastAsia="en-AU"/>
              </w:rPr>
            </w:pPr>
            <w:r w:rsidRPr="007E2A26">
              <w:rPr>
                <w:rFonts w:ascii="Arial Narrow" w:hAnsi="Arial Narrow"/>
                <w:b/>
                <w:snapToGrid/>
                <w:sz w:val="20"/>
                <w:szCs w:val="20"/>
                <w:lang w:eastAsia="en-AU"/>
              </w:rPr>
              <w:t>Restriction Level / Method:</w:t>
            </w:r>
            <w:r w:rsidR="00065712" w:rsidRPr="007E2A26">
              <w:rPr>
                <w:rFonts w:ascii="Arial Narrow" w:hAnsi="Arial Narrow"/>
                <w:i/>
                <w:snapToGrid/>
                <w:sz w:val="20"/>
                <w:szCs w:val="20"/>
                <w:lang w:eastAsia="en-AU"/>
              </w:rPr>
              <w:t xml:space="preserve"> </w:t>
            </w:r>
          </w:p>
        </w:tc>
        <w:tc>
          <w:tcPr>
            <w:tcW w:w="6379" w:type="dxa"/>
            <w:gridSpan w:val="6"/>
            <w:tcBorders>
              <w:top w:val="single" w:sz="4" w:space="0" w:color="auto"/>
              <w:left w:val="single" w:sz="4" w:space="0" w:color="auto"/>
              <w:bottom w:val="single" w:sz="4" w:space="0" w:color="auto"/>
              <w:right w:val="single" w:sz="4" w:space="0" w:color="auto"/>
            </w:tcBorders>
          </w:tcPr>
          <w:p w:rsidR="005C5AD5" w:rsidRPr="007E2A26" w:rsidRDefault="005C5AD5" w:rsidP="00D77B8F">
            <w:pPr>
              <w:keepLines/>
              <w:widowControl/>
              <w:jc w:val="left"/>
              <w:rPr>
                <w:rFonts w:ascii="Arial Narrow" w:hAnsi="Arial Narrow"/>
                <w:snapToGrid/>
                <w:sz w:val="20"/>
                <w:szCs w:val="20"/>
                <w:lang w:eastAsia="en-AU"/>
              </w:rPr>
            </w:pPr>
            <w:r w:rsidRPr="007E2A26">
              <w:rPr>
                <w:rFonts w:ascii="Arial Narrow" w:hAnsi="Arial Narrow"/>
                <w:snapToGrid/>
                <w:sz w:val="20"/>
                <w:szCs w:val="20"/>
                <w:lang w:eastAsia="en-AU"/>
              </w:rPr>
              <w:fldChar w:fldCharType="begin">
                <w:ffData>
                  <w:name w:val=""/>
                  <w:enabled/>
                  <w:calcOnExit w:val="0"/>
                  <w:checkBox>
                    <w:sizeAuto/>
                    <w:default w:val="1"/>
                  </w:checkBox>
                </w:ffData>
              </w:fldChar>
            </w:r>
            <w:r w:rsidRPr="007E2A26">
              <w:rPr>
                <w:rFonts w:ascii="Arial Narrow" w:hAnsi="Arial Narrow"/>
                <w:snapToGrid/>
                <w:sz w:val="20"/>
                <w:szCs w:val="20"/>
                <w:lang w:eastAsia="en-AU"/>
              </w:rPr>
              <w:instrText xml:space="preserve"> FORMCHECKBOX </w:instrText>
            </w:r>
            <w:r w:rsidR="00CD0E7D">
              <w:rPr>
                <w:rFonts w:ascii="Arial Narrow" w:hAnsi="Arial Narrow"/>
                <w:snapToGrid/>
                <w:sz w:val="20"/>
                <w:szCs w:val="20"/>
                <w:lang w:eastAsia="en-AU"/>
              </w:rPr>
            </w:r>
            <w:r w:rsidR="00CD0E7D">
              <w:rPr>
                <w:rFonts w:ascii="Arial Narrow" w:hAnsi="Arial Narrow"/>
                <w:snapToGrid/>
                <w:sz w:val="20"/>
                <w:szCs w:val="20"/>
                <w:lang w:eastAsia="en-AU"/>
              </w:rPr>
              <w:fldChar w:fldCharType="separate"/>
            </w:r>
            <w:r w:rsidRPr="007E2A26">
              <w:rPr>
                <w:rFonts w:ascii="Arial Narrow" w:hAnsi="Arial Narrow"/>
                <w:snapToGrid/>
                <w:sz w:val="20"/>
                <w:szCs w:val="20"/>
                <w:lang w:eastAsia="en-AU"/>
              </w:rPr>
              <w:fldChar w:fldCharType="end"/>
            </w:r>
            <w:r w:rsidRPr="007E2A26">
              <w:rPr>
                <w:rFonts w:ascii="Arial Narrow" w:hAnsi="Arial Narrow"/>
                <w:snapToGrid/>
                <w:sz w:val="20"/>
                <w:szCs w:val="20"/>
                <w:lang w:eastAsia="en-AU"/>
              </w:rPr>
              <w:t>Authority Required - In Writing</w:t>
            </w:r>
          </w:p>
        </w:tc>
      </w:tr>
      <w:tr w:rsidR="005C5AD5" w:rsidRPr="007E2A26" w:rsidTr="00FD5491">
        <w:trPr>
          <w:cantSplit/>
          <w:trHeight w:val="360"/>
        </w:trPr>
        <w:tc>
          <w:tcPr>
            <w:tcW w:w="2835" w:type="dxa"/>
            <w:tcBorders>
              <w:top w:val="single" w:sz="4" w:space="0" w:color="auto"/>
              <w:left w:val="single" w:sz="4" w:space="0" w:color="auto"/>
              <w:bottom w:val="single" w:sz="4" w:space="0" w:color="auto"/>
              <w:right w:val="single" w:sz="4" w:space="0" w:color="auto"/>
            </w:tcBorders>
          </w:tcPr>
          <w:p w:rsidR="005C5AD5" w:rsidRPr="007E2A26" w:rsidRDefault="005C5AD5" w:rsidP="00D77B8F">
            <w:pPr>
              <w:keepLines/>
              <w:widowControl/>
              <w:jc w:val="left"/>
              <w:rPr>
                <w:rFonts w:ascii="Arial Narrow" w:hAnsi="Arial Narrow"/>
                <w:b/>
                <w:snapToGrid/>
                <w:sz w:val="20"/>
                <w:szCs w:val="20"/>
                <w:lang w:eastAsia="en-AU"/>
              </w:rPr>
            </w:pPr>
            <w:r w:rsidRPr="007E2A26">
              <w:rPr>
                <w:rFonts w:ascii="Arial Narrow" w:hAnsi="Arial Narrow"/>
                <w:b/>
                <w:snapToGrid/>
                <w:sz w:val="20"/>
                <w:szCs w:val="20"/>
                <w:lang w:eastAsia="en-AU"/>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5C5AD5" w:rsidRPr="007E2A26" w:rsidRDefault="005C5AD5" w:rsidP="00D77B8F">
            <w:pPr>
              <w:keepLines/>
              <w:widowControl/>
              <w:jc w:val="left"/>
              <w:rPr>
                <w:rFonts w:ascii="Arial Narrow" w:hAnsi="Arial Narrow"/>
                <w:snapToGrid/>
                <w:sz w:val="20"/>
                <w:szCs w:val="20"/>
                <w:lang w:eastAsia="en-AU"/>
              </w:rPr>
            </w:pPr>
            <w:r w:rsidRPr="007E2A26">
              <w:rPr>
                <w:rFonts w:ascii="Arial Narrow" w:hAnsi="Arial Narrow"/>
                <w:strike/>
                <w:snapToGrid/>
                <w:sz w:val="20"/>
                <w:szCs w:val="20"/>
                <w:lang w:eastAsia="en-AU"/>
              </w:rPr>
              <w:t xml:space="preserve">Patient m </w:t>
            </w:r>
            <w:r w:rsidRPr="007E2A26">
              <w:rPr>
                <w:rFonts w:ascii="Arial Narrow" w:hAnsi="Arial Narrow"/>
                <w:i/>
                <w:snapToGrid/>
                <w:sz w:val="20"/>
                <w:szCs w:val="20"/>
                <w:lang w:eastAsia="en-AU"/>
              </w:rPr>
              <w:t>M</w:t>
            </w:r>
            <w:r w:rsidRPr="007E2A26">
              <w:rPr>
                <w:rFonts w:ascii="Arial Narrow" w:hAnsi="Arial Narrow"/>
                <w:snapToGrid/>
                <w:sz w:val="20"/>
                <w:szCs w:val="20"/>
                <w:lang w:eastAsia="en-AU"/>
              </w:rPr>
              <w:t>ust be treated by a physician experienced in the treatment of haematological malignancies.</w:t>
            </w:r>
          </w:p>
        </w:tc>
      </w:tr>
      <w:tr w:rsidR="005C5AD5" w:rsidRPr="007E2A26" w:rsidTr="00FD5491">
        <w:trPr>
          <w:cantSplit/>
          <w:trHeight w:val="360"/>
        </w:trPr>
        <w:tc>
          <w:tcPr>
            <w:tcW w:w="2835" w:type="dxa"/>
            <w:tcBorders>
              <w:top w:val="single" w:sz="4" w:space="0" w:color="auto"/>
              <w:left w:val="single" w:sz="4" w:space="0" w:color="auto"/>
              <w:bottom w:val="single" w:sz="4" w:space="0" w:color="auto"/>
              <w:right w:val="single" w:sz="4" w:space="0" w:color="auto"/>
            </w:tcBorders>
          </w:tcPr>
          <w:p w:rsidR="005C5AD5" w:rsidRPr="007E2A26" w:rsidRDefault="005C5AD5" w:rsidP="00D77B8F">
            <w:pPr>
              <w:keepLines/>
              <w:widowControl/>
              <w:rPr>
                <w:rFonts w:ascii="Arial Narrow" w:hAnsi="Arial Narrow"/>
                <w:b/>
                <w:snapToGrid/>
                <w:sz w:val="20"/>
                <w:szCs w:val="20"/>
                <w:lang w:eastAsia="en-AU"/>
              </w:rPr>
            </w:pPr>
            <w:r w:rsidRPr="007E2A26">
              <w:rPr>
                <w:rFonts w:ascii="Arial Narrow" w:hAnsi="Arial Narrow"/>
                <w:b/>
                <w:snapToGrid/>
                <w:sz w:val="20"/>
                <w:szCs w:val="20"/>
                <w:lang w:eastAsia="en-AU"/>
              </w:rPr>
              <w:t>Clinical criteria:</w:t>
            </w:r>
          </w:p>
          <w:p w:rsidR="005C5AD5" w:rsidRPr="007E2A26" w:rsidRDefault="005C5AD5" w:rsidP="00D77B8F">
            <w:pPr>
              <w:keepLines/>
              <w:widowControl/>
              <w:rPr>
                <w:rFonts w:ascii="Arial Narrow" w:hAnsi="Arial Narrow"/>
                <w:i/>
                <w:snapToGrid/>
                <w:sz w:val="20"/>
                <w:szCs w:val="20"/>
                <w:lang w:eastAsia="en-AU"/>
              </w:rPr>
            </w:pPr>
          </w:p>
          <w:p w:rsidR="005C5AD5" w:rsidRPr="007E2A26" w:rsidRDefault="005C5AD5" w:rsidP="00D77B8F">
            <w:pPr>
              <w:keepLines/>
              <w:widowControl/>
              <w:rPr>
                <w:rFonts w:ascii="Arial Narrow" w:hAnsi="Arial Narrow"/>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5C5AD5" w:rsidRPr="007E2A26" w:rsidRDefault="005C5AD5" w:rsidP="00D77B8F">
            <w:pPr>
              <w:keepLines/>
              <w:widowControl/>
              <w:jc w:val="left"/>
              <w:rPr>
                <w:rFonts w:ascii="Arial Narrow" w:hAnsi="Arial Narrow"/>
                <w:snapToGrid/>
                <w:sz w:val="20"/>
                <w:szCs w:val="20"/>
                <w:lang w:eastAsia="en-AU"/>
              </w:rPr>
            </w:pPr>
            <w:r w:rsidRPr="007E2A26">
              <w:rPr>
                <w:rFonts w:ascii="Arial Narrow" w:hAnsi="Arial Narrow"/>
                <w:snapToGrid/>
                <w:sz w:val="20"/>
                <w:szCs w:val="20"/>
                <w:lang w:eastAsia="en-AU"/>
              </w:rPr>
              <w:t>The condition must be B-cell precursor acute lymphoblastic leukaemia with an Eastern Cooperative Oncology Group (ECOG) performance status of less than 2,</w:t>
            </w:r>
          </w:p>
          <w:p w:rsidR="005C5AD5" w:rsidRPr="007E2A26" w:rsidRDefault="005C5AD5" w:rsidP="00D77B8F">
            <w:pPr>
              <w:keepLines/>
              <w:widowControl/>
              <w:jc w:val="left"/>
              <w:rPr>
                <w:rFonts w:ascii="Arial Narrow" w:hAnsi="Arial Narrow"/>
                <w:snapToGrid/>
                <w:sz w:val="20"/>
                <w:szCs w:val="20"/>
                <w:lang w:eastAsia="en-AU"/>
              </w:rPr>
            </w:pPr>
            <w:r w:rsidRPr="007E2A26">
              <w:rPr>
                <w:rFonts w:ascii="Arial Narrow" w:hAnsi="Arial Narrow"/>
                <w:snapToGrid/>
                <w:sz w:val="20"/>
                <w:szCs w:val="20"/>
                <w:lang w:eastAsia="en-AU"/>
              </w:rPr>
              <w:t>AND</w:t>
            </w:r>
          </w:p>
          <w:p w:rsidR="005C5AD5" w:rsidRPr="007E2A26" w:rsidRDefault="005C5AD5" w:rsidP="00D77B8F">
            <w:pPr>
              <w:keepLines/>
              <w:widowControl/>
              <w:jc w:val="left"/>
              <w:rPr>
                <w:rFonts w:ascii="Arial Narrow" w:hAnsi="Arial Narrow"/>
                <w:snapToGrid/>
                <w:sz w:val="20"/>
                <w:szCs w:val="20"/>
                <w:lang w:eastAsia="en-AU"/>
              </w:rPr>
            </w:pPr>
            <w:r w:rsidRPr="007E2A26">
              <w:rPr>
                <w:rFonts w:ascii="Arial Narrow" w:hAnsi="Arial Narrow"/>
                <w:snapToGrid/>
                <w:sz w:val="20"/>
                <w:szCs w:val="20"/>
                <w:lang w:eastAsia="en-AU"/>
              </w:rPr>
              <w:t xml:space="preserve">The condition must not be present in the </w:t>
            </w:r>
            <w:r w:rsidRPr="007E2A26">
              <w:rPr>
                <w:rFonts w:ascii="Arial Narrow" w:hAnsi="Arial Narrow"/>
                <w:strike/>
                <w:snapToGrid/>
                <w:sz w:val="20"/>
                <w:szCs w:val="20"/>
                <w:lang w:eastAsia="en-AU"/>
              </w:rPr>
              <w:t xml:space="preserve">CNS </w:t>
            </w:r>
            <w:r w:rsidRPr="007E2A26">
              <w:rPr>
                <w:rFonts w:ascii="Arial Narrow" w:hAnsi="Arial Narrow"/>
                <w:i/>
                <w:snapToGrid/>
                <w:sz w:val="20"/>
                <w:szCs w:val="20"/>
                <w:lang w:eastAsia="en-AU"/>
              </w:rPr>
              <w:t>central nervous system</w:t>
            </w:r>
            <w:r w:rsidRPr="007E2A26">
              <w:rPr>
                <w:rFonts w:ascii="Arial Narrow" w:hAnsi="Arial Narrow"/>
                <w:snapToGrid/>
                <w:sz w:val="20"/>
                <w:szCs w:val="20"/>
                <w:lang w:eastAsia="en-AU"/>
              </w:rPr>
              <w:t xml:space="preserve"> or testis,</w:t>
            </w:r>
          </w:p>
          <w:p w:rsidR="005C5AD5" w:rsidRPr="007E2A26" w:rsidRDefault="005C5AD5" w:rsidP="00D77B8F">
            <w:pPr>
              <w:keepLines/>
              <w:widowControl/>
              <w:jc w:val="left"/>
              <w:rPr>
                <w:rFonts w:ascii="Arial Narrow" w:hAnsi="Arial Narrow"/>
                <w:snapToGrid/>
                <w:sz w:val="20"/>
                <w:szCs w:val="20"/>
                <w:lang w:eastAsia="en-AU"/>
              </w:rPr>
            </w:pPr>
            <w:r w:rsidRPr="007E2A26">
              <w:rPr>
                <w:rFonts w:ascii="Arial Narrow" w:hAnsi="Arial Narrow"/>
                <w:snapToGrid/>
                <w:sz w:val="20"/>
                <w:szCs w:val="20"/>
                <w:lang w:eastAsia="en-AU"/>
              </w:rPr>
              <w:t>AND</w:t>
            </w:r>
          </w:p>
          <w:p w:rsidR="005C5AD5" w:rsidRPr="007E2A26" w:rsidRDefault="005C5AD5" w:rsidP="00D77B8F">
            <w:pPr>
              <w:keepLines/>
              <w:widowControl/>
              <w:jc w:val="left"/>
              <w:rPr>
                <w:rFonts w:ascii="Arial Narrow" w:hAnsi="Arial Narrow"/>
                <w:snapToGrid/>
                <w:sz w:val="20"/>
                <w:szCs w:val="20"/>
                <w:lang w:eastAsia="en-AU"/>
              </w:rPr>
            </w:pPr>
            <w:r w:rsidRPr="007E2A26">
              <w:rPr>
                <w:rFonts w:ascii="Arial Narrow" w:hAnsi="Arial Narrow"/>
                <w:snapToGrid/>
                <w:sz w:val="20"/>
                <w:szCs w:val="20"/>
                <w:lang w:eastAsia="en-AU"/>
              </w:rPr>
              <w:t>Patient must have received intensive combination chemotherapy for initial treatment of ALL or for subsequent salvage therapy,</w:t>
            </w:r>
          </w:p>
          <w:p w:rsidR="005C5AD5" w:rsidRPr="007E2A26" w:rsidRDefault="005C5AD5" w:rsidP="00D77B8F">
            <w:pPr>
              <w:keepLines/>
              <w:widowControl/>
              <w:jc w:val="left"/>
              <w:rPr>
                <w:rFonts w:ascii="Arial Narrow" w:hAnsi="Arial Narrow"/>
                <w:snapToGrid/>
                <w:sz w:val="20"/>
                <w:szCs w:val="20"/>
                <w:lang w:eastAsia="en-AU"/>
              </w:rPr>
            </w:pPr>
            <w:r w:rsidRPr="007E2A26">
              <w:rPr>
                <w:rFonts w:ascii="Arial Narrow" w:hAnsi="Arial Narrow"/>
                <w:snapToGrid/>
                <w:sz w:val="20"/>
                <w:szCs w:val="20"/>
                <w:lang w:eastAsia="en-AU"/>
              </w:rPr>
              <w:t>AND</w:t>
            </w:r>
          </w:p>
          <w:p w:rsidR="005C5AD5" w:rsidRPr="007E2A26" w:rsidRDefault="005C5AD5" w:rsidP="00D77B8F">
            <w:pPr>
              <w:keepLines/>
              <w:widowControl/>
              <w:jc w:val="left"/>
              <w:rPr>
                <w:rFonts w:ascii="Arial Narrow" w:hAnsi="Arial Narrow"/>
                <w:snapToGrid/>
                <w:sz w:val="20"/>
                <w:szCs w:val="20"/>
                <w:lang w:eastAsia="en-AU"/>
              </w:rPr>
            </w:pPr>
            <w:r w:rsidRPr="007E2A26">
              <w:rPr>
                <w:rFonts w:ascii="Arial Narrow" w:hAnsi="Arial Narrow"/>
                <w:strike/>
                <w:snapToGrid/>
                <w:sz w:val="20"/>
                <w:szCs w:val="20"/>
                <w:lang w:eastAsia="en-AU"/>
              </w:rPr>
              <w:t xml:space="preserve">Patient </w:t>
            </w:r>
            <w:r w:rsidRPr="007E2A26">
              <w:rPr>
                <w:rFonts w:ascii="Arial Narrow" w:hAnsi="Arial Narrow"/>
                <w:i/>
                <w:snapToGrid/>
                <w:sz w:val="20"/>
                <w:szCs w:val="20"/>
                <w:lang w:eastAsia="en-AU"/>
              </w:rPr>
              <w:t>The condition</w:t>
            </w:r>
            <w:r w:rsidRPr="007E2A26">
              <w:rPr>
                <w:rFonts w:ascii="Arial Narrow" w:hAnsi="Arial Narrow"/>
                <w:snapToGrid/>
                <w:sz w:val="20"/>
                <w:szCs w:val="20"/>
                <w:lang w:eastAsia="en-AU"/>
              </w:rPr>
              <w:t xml:space="preserve"> must have less than 5% blasts in bone marrow,</w:t>
            </w:r>
          </w:p>
          <w:p w:rsidR="005C5AD5" w:rsidRPr="007E2A26" w:rsidRDefault="005C5AD5" w:rsidP="00D77B8F">
            <w:pPr>
              <w:keepLines/>
              <w:widowControl/>
              <w:jc w:val="left"/>
              <w:rPr>
                <w:rFonts w:ascii="Arial Narrow" w:hAnsi="Arial Narrow"/>
                <w:snapToGrid/>
                <w:sz w:val="20"/>
                <w:szCs w:val="20"/>
                <w:lang w:eastAsia="en-AU"/>
              </w:rPr>
            </w:pPr>
            <w:r w:rsidRPr="007E2A26">
              <w:rPr>
                <w:rFonts w:ascii="Arial Narrow" w:hAnsi="Arial Narrow"/>
                <w:snapToGrid/>
                <w:sz w:val="20"/>
                <w:szCs w:val="20"/>
                <w:lang w:eastAsia="en-AU"/>
              </w:rPr>
              <w:t>AND</w:t>
            </w:r>
          </w:p>
          <w:p w:rsidR="005C5AD5" w:rsidRPr="007E2A26" w:rsidRDefault="005C5AD5" w:rsidP="00D77B8F">
            <w:pPr>
              <w:keepLines/>
              <w:widowControl/>
              <w:jc w:val="left"/>
              <w:rPr>
                <w:rFonts w:ascii="Arial Narrow" w:hAnsi="Arial Narrow"/>
                <w:snapToGrid/>
                <w:sz w:val="20"/>
                <w:szCs w:val="20"/>
                <w:lang w:eastAsia="en-AU"/>
              </w:rPr>
            </w:pPr>
            <w:r w:rsidRPr="007E2A26">
              <w:rPr>
                <w:rFonts w:ascii="Arial Narrow" w:hAnsi="Arial Narrow"/>
                <w:snapToGrid/>
                <w:sz w:val="20"/>
                <w:szCs w:val="20"/>
                <w:lang w:eastAsia="en-AU"/>
              </w:rPr>
              <w:t>Patient must have minimal residual disease defined as at least 10</w:t>
            </w:r>
            <w:r w:rsidRPr="0063599A">
              <w:rPr>
                <w:rFonts w:ascii="Arial Narrow" w:hAnsi="Arial Narrow"/>
                <w:snapToGrid/>
                <w:sz w:val="20"/>
                <w:szCs w:val="20"/>
                <w:vertAlign w:val="superscript"/>
                <w:lang w:eastAsia="en-AU"/>
              </w:rPr>
              <w:t>-4</w:t>
            </w:r>
            <w:r w:rsidRPr="007E2A26">
              <w:rPr>
                <w:rFonts w:ascii="Arial Narrow" w:hAnsi="Arial Narrow"/>
                <w:snapToGrid/>
                <w:sz w:val="20"/>
                <w:szCs w:val="20"/>
                <w:lang w:eastAsia="en-AU"/>
              </w:rPr>
              <w:t xml:space="preserve"> (0.01%) blasts based on measurement in bone marrow, documented after an interval of at least 2 weeks from last systemic chemotherapy,</w:t>
            </w:r>
          </w:p>
          <w:p w:rsidR="008845CF" w:rsidRDefault="008845CF" w:rsidP="00D77B8F">
            <w:pPr>
              <w:keepLines/>
              <w:widowControl/>
              <w:jc w:val="left"/>
              <w:rPr>
                <w:rFonts w:ascii="Arial Narrow" w:hAnsi="Arial Narrow"/>
                <w:i/>
                <w:snapToGrid/>
                <w:sz w:val="20"/>
                <w:szCs w:val="20"/>
                <w:lang w:eastAsia="en-AU"/>
              </w:rPr>
            </w:pPr>
          </w:p>
          <w:p w:rsidR="008845CF" w:rsidRPr="007E2A26" w:rsidRDefault="008845CF" w:rsidP="008845CF">
            <w:pPr>
              <w:keepLines/>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AND</w:t>
            </w:r>
          </w:p>
          <w:p w:rsidR="008845CF" w:rsidRPr="008845CF" w:rsidRDefault="0060035C" w:rsidP="008845CF">
            <w:pPr>
              <w:keepLines/>
              <w:widowControl/>
              <w:jc w:val="left"/>
              <w:rPr>
                <w:rFonts w:ascii="Arial Narrow" w:hAnsi="Arial Narrow"/>
                <w:i/>
                <w:snapToGrid/>
                <w:sz w:val="20"/>
                <w:szCs w:val="20"/>
                <w:lang w:eastAsia="en-AU"/>
              </w:rPr>
            </w:pPr>
            <w:r w:rsidRPr="0060035C">
              <w:rPr>
                <w:rFonts w:ascii="Arial Narrow" w:hAnsi="Arial Narrow"/>
                <w:i/>
                <w:snapToGrid/>
                <w:sz w:val="20"/>
                <w:szCs w:val="20"/>
                <w:lang w:eastAsia="en-AU"/>
              </w:rPr>
              <w:t>M</w:t>
            </w:r>
            <w:r w:rsidR="008845CF" w:rsidRPr="0060035C">
              <w:rPr>
                <w:rFonts w:ascii="Arial Narrow" w:hAnsi="Arial Narrow"/>
                <w:i/>
                <w:snapToGrid/>
                <w:sz w:val="20"/>
                <w:szCs w:val="20"/>
                <w:lang w:eastAsia="en-AU"/>
              </w:rPr>
              <w:t>inimal residual disease</w:t>
            </w:r>
            <w:r w:rsidR="008845CF" w:rsidRPr="007E2A26">
              <w:rPr>
                <w:rFonts w:ascii="Arial Narrow" w:hAnsi="Arial Narrow"/>
                <w:i/>
                <w:snapToGrid/>
                <w:sz w:val="20"/>
                <w:szCs w:val="20"/>
                <w:lang w:eastAsia="en-AU"/>
              </w:rPr>
              <w:t xml:space="preserve"> </w:t>
            </w:r>
            <w:r w:rsidR="008845CF">
              <w:rPr>
                <w:rFonts w:ascii="Arial Narrow" w:hAnsi="Arial Narrow"/>
                <w:i/>
                <w:snapToGrid/>
                <w:sz w:val="20"/>
                <w:szCs w:val="20"/>
                <w:lang w:eastAsia="en-AU"/>
              </w:rPr>
              <w:t xml:space="preserve">must </w:t>
            </w:r>
            <w:r w:rsidR="008845CF" w:rsidRPr="007E2A26">
              <w:rPr>
                <w:rFonts w:ascii="Arial Narrow" w:hAnsi="Arial Narrow"/>
                <w:i/>
                <w:snapToGrid/>
                <w:sz w:val="20"/>
                <w:szCs w:val="20"/>
                <w:lang w:eastAsia="en-AU"/>
              </w:rPr>
              <w:t xml:space="preserve">be measured </w:t>
            </w:r>
            <w:r w:rsidR="008845CF">
              <w:rPr>
                <w:rFonts w:ascii="Arial Narrow" w:hAnsi="Arial Narrow"/>
                <w:i/>
                <w:snapToGrid/>
                <w:sz w:val="20"/>
                <w:szCs w:val="20"/>
                <w:lang w:eastAsia="en-AU"/>
              </w:rPr>
              <w:t xml:space="preserve">using </w:t>
            </w:r>
            <w:r w:rsidR="008845CF" w:rsidRPr="008845CF">
              <w:rPr>
                <w:rFonts w:ascii="Arial Narrow" w:hAnsi="Arial Narrow"/>
                <w:i/>
                <w:snapToGrid/>
                <w:sz w:val="20"/>
                <w:szCs w:val="20"/>
                <w:lang w:eastAsia="en-AU"/>
              </w:rPr>
              <w:t>polymerase chain reaction or flow cytometry</w:t>
            </w:r>
            <w:r>
              <w:rPr>
                <w:rFonts w:ascii="Arial Narrow" w:hAnsi="Arial Narrow"/>
                <w:i/>
                <w:snapToGrid/>
                <w:sz w:val="20"/>
                <w:szCs w:val="20"/>
                <w:lang w:eastAsia="en-AU"/>
              </w:rPr>
              <w:t>,</w:t>
            </w:r>
          </w:p>
          <w:p w:rsidR="005C5AD5" w:rsidRDefault="005C5AD5" w:rsidP="00D77B8F">
            <w:pPr>
              <w:keepLines/>
              <w:widowControl/>
              <w:jc w:val="left"/>
              <w:rPr>
                <w:rFonts w:ascii="Arial Narrow" w:hAnsi="Arial Narrow"/>
                <w:snapToGrid/>
                <w:sz w:val="20"/>
                <w:szCs w:val="20"/>
                <w:lang w:eastAsia="en-AU"/>
              </w:rPr>
            </w:pPr>
            <w:r w:rsidRPr="007E2A26">
              <w:rPr>
                <w:rFonts w:ascii="Arial Narrow" w:hAnsi="Arial Narrow"/>
                <w:snapToGrid/>
                <w:sz w:val="20"/>
                <w:szCs w:val="20"/>
                <w:lang w:eastAsia="en-AU"/>
              </w:rPr>
              <w:t>AND</w:t>
            </w:r>
          </w:p>
          <w:p w:rsidR="00A749CE" w:rsidRDefault="00A749CE" w:rsidP="00D77B8F">
            <w:pPr>
              <w:keepLines/>
              <w:widowControl/>
              <w:jc w:val="left"/>
              <w:rPr>
                <w:rFonts w:ascii="Arial Narrow" w:hAnsi="Arial Narrow"/>
                <w:i/>
                <w:snapToGrid/>
                <w:sz w:val="20"/>
                <w:szCs w:val="20"/>
                <w:lang w:eastAsia="en-AU"/>
              </w:rPr>
            </w:pPr>
            <w:r w:rsidRPr="00A749CE">
              <w:rPr>
                <w:rFonts w:ascii="Arial Narrow" w:hAnsi="Arial Narrow"/>
                <w:i/>
                <w:snapToGrid/>
                <w:sz w:val="20"/>
                <w:szCs w:val="20"/>
                <w:lang w:eastAsia="en-AU"/>
              </w:rPr>
              <w:t>The treatment must not be more than 2 treatment cycles under this restriction in a lifetime.</w:t>
            </w:r>
          </w:p>
          <w:p w:rsidR="0054119E" w:rsidRPr="00A749CE" w:rsidRDefault="005C5AD5" w:rsidP="006D4EF6">
            <w:pPr>
              <w:keepLines/>
              <w:widowControl/>
              <w:jc w:val="left"/>
              <w:rPr>
                <w:rFonts w:ascii="Arial Narrow" w:hAnsi="Arial Narrow"/>
                <w:i/>
                <w:snapToGrid/>
                <w:sz w:val="20"/>
                <w:szCs w:val="20"/>
                <w:lang w:eastAsia="en-AU"/>
              </w:rPr>
            </w:pPr>
            <w:r w:rsidRPr="0054119E">
              <w:rPr>
                <w:rFonts w:ascii="Arial Narrow" w:hAnsi="Arial Narrow"/>
                <w:strike/>
                <w:snapToGrid/>
                <w:sz w:val="20"/>
                <w:szCs w:val="20"/>
                <w:lang w:eastAsia="en-AU"/>
              </w:rPr>
              <w:t>The treatment must not be more than 4 treatment cycles in this current remission</w:t>
            </w:r>
            <w:r w:rsidRPr="007E2A26">
              <w:rPr>
                <w:rFonts w:ascii="Arial Narrow" w:hAnsi="Arial Narrow"/>
                <w:snapToGrid/>
                <w:sz w:val="20"/>
                <w:szCs w:val="20"/>
                <w:lang w:eastAsia="en-AU"/>
              </w:rPr>
              <w:t>.</w:t>
            </w:r>
          </w:p>
        </w:tc>
      </w:tr>
      <w:tr w:rsidR="005C5AD5" w:rsidRPr="007E2A26" w:rsidTr="00FD5491">
        <w:trPr>
          <w:cantSplit/>
          <w:trHeight w:val="360"/>
        </w:trPr>
        <w:tc>
          <w:tcPr>
            <w:tcW w:w="2835" w:type="dxa"/>
            <w:tcBorders>
              <w:top w:val="single" w:sz="4" w:space="0" w:color="auto"/>
              <w:left w:val="single" w:sz="4" w:space="0" w:color="auto"/>
              <w:bottom w:val="single" w:sz="4" w:space="0" w:color="auto"/>
              <w:right w:val="single" w:sz="4" w:space="0" w:color="auto"/>
            </w:tcBorders>
          </w:tcPr>
          <w:p w:rsidR="005C5AD5" w:rsidRPr="007E2A26" w:rsidRDefault="005C5AD5" w:rsidP="00D77B8F">
            <w:pPr>
              <w:keepLines/>
              <w:widowControl/>
              <w:rPr>
                <w:rFonts w:ascii="Arial Narrow" w:hAnsi="Arial Narrow"/>
                <w:b/>
                <w:snapToGrid/>
                <w:sz w:val="20"/>
                <w:szCs w:val="20"/>
                <w:lang w:eastAsia="en-AU"/>
              </w:rPr>
            </w:pPr>
            <w:r w:rsidRPr="007E2A26">
              <w:rPr>
                <w:rFonts w:ascii="Arial Narrow" w:hAnsi="Arial Narrow"/>
                <w:b/>
                <w:snapToGrid/>
                <w:sz w:val="20"/>
                <w:szCs w:val="20"/>
                <w:lang w:eastAsia="en-AU"/>
              </w:rPr>
              <w:lastRenderedPageBreak/>
              <w:t>Prescriber Instructions</w:t>
            </w:r>
          </w:p>
          <w:p w:rsidR="005C5AD5" w:rsidRPr="007E2A26" w:rsidRDefault="005C5AD5" w:rsidP="00D77B8F">
            <w:pPr>
              <w:keepLines/>
              <w:widowControl/>
              <w:rPr>
                <w:rFonts w:ascii="Arial Narrow" w:hAnsi="Arial Narrow"/>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5C5AD5" w:rsidRPr="007E2A26" w:rsidRDefault="005C5AD5" w:rsidP="00D77B8F">
            <w:pPr>
              <w:keepLines/>
              <w:widowControl/>
              <w:jc w:val="left"/>
              <w:rPr>
                <w:rFonts w:ascii="Arial Narrow" w:hAnsi="Arial Narrow"/>
                <w:snapToGrid/>
                <w:sz w:val="20"/>
                <w:szCs w:val="20"/>
                <w:lang w:eastAsia="en-AU"/>
              </w:rPr>
            </w:pPr>
            <w:r w:rsidRPr="007E2A26">
              <w:rPr>
                <w:rFonts w:ascii="Arial Narrow" w:hAnsi="Arial Narrow"/>
                <w:snapToGrid/>
                <w:sz w:val="20"/>
                <w:szCs w:val="20"/>
                <w:lang w:eastAsia="en-AU"/>
              </w:rPr>
              <w:t xml:space="preserve">According to the </w:t>
            </w:r>
            <w:r w:rsidRPr="007E2A26">
              <w:rPr>
                <w:rFonts w:ascii="Arial Narrow" w:hAnsi="Arial Narrow"/>
                <w:strike/>
                <w:snapToGrid/>
                <w:sz w:val="20"/>
                <w:szCs w:val="20"/>
                <w:lang w:eastAsia="en-AU"/>
              </w:rPr>
              <w:t>proposed</w:t>
            </w:r>
            <w:r w:rsidRPr="007E2A26">
              <w:rPr>
                <w:rFonts w:ascii="Arial Narrow" w:hAnsi="Arial Narrow"/>
                <w:snapToGrid/>
                <w:sz w:val="20"/>
                <w:szCs w:val="20"/>
                <w:lang w:eastAsia="en-AU"/>
              </w:rPr>
              <w:t xml:space="preserve"> </w:t>
            </w:r>
            <w:r w:rsidRPr="007E2A26">
              <w:rPr>
                <w:rFonts w:ascii="Arial Narrow" w:hAnsi="Arial Narrow"/>
                <w:i/>
                <w:snapToGrid/>
                <w:sz w:val="20"/>
                <w:szCs w:val="20"/>
                <w:lang w:eastAsia="en-AU"/>
              </w:rPr>
              <w:t xml:space="preserve">TGA-approved </w:t>
            </w:r>
            <w:r w:rsidRPr="007E2A26">
              <w:rPr>
                <w:rFonts w:ascii="Arial Narrow" w:hAnsi="Arial Narrow"/>
                <w:snapToGrid/>
                <w:sz w:val="20"/>
                <w:szCs w:val="20"/>
                <w:lang w:eastAsia="en-AU"/>
              </w:rPr>
              <w:t>Product Information, hospitalisation is recommended at minimum for the first 3 days of the first cycle and the first 2 days of subsequent cycles. For all subsequent cycle starts and re-initiation (e.g. if treatment is interrupted for 4 or more hours), supervision by a health care professional or hospitalisation is recommended.</w:t>
            </w:r>
          </w:p>
          <w:p w:rsidR="005C5AD5" w:rsidRPr="007E2A26" w:rsidRDefault="005C5AD5" w:rsidP="00D77B8F">
            <w:pPr>
              <w:keepLines/>
              <w:widowControl/>
              <w:jc w:val="left"/>
              <w:rPr>
                <w:rFonts w:ascii="Arial Narrow" w:hAnsi="Arial Narrow"/>
                <w:snapToGrid/>
                <w:sz w:val="20"/>
                <w:szCs w:val="20"/>
                <w:lang w:eastAsia="en-AU"/>
              </w:rPr>
            </w:pPr>
          </w:p>
          <w:p w:rsidR="005C5AD5" w:rsidRPr="007E2A26" w:rsidRDefault="005C5AD5" w:rsidP="00D77B8F">
            <w:pPr>
              <w:keepLines/>
              <w:widowControl/>
              <w:jc w:val="left"/>
              <w:rPr>
                <w:rFonts w:ascii="Arial Narrow" w:hAnsi="Arial Narrow"/>
                <w:strike/>
                <w:snapToGrid/>
                <w:sz w:val="20"/>
                <w:szCs w:val="20"/>
                <w:lang w:eastAsia="en-AU"/>
              </w:rPr>
            </w:pPr>
            <w:r w:rsidRPr="007E2A26">
              <w:rPr>
                <w:rFonts w:ascii="Arial Narrow" w:hAnsi="Arial Narrow"/>
                <w:strike/>
                <w:snapToGrid/>
                <w:sz w:val="20"/>
                <w:szCs w:val="20"/>
                <w:lang w:eastAsia="en-AU"/>
              </w:rPr>
              <w:t>MRD testing sites should attempt to use the most stringent measure available.</w:t>
            </w:r>
          </w:p>
          <w:p w:rsidR="005C5AD5" w:rsidRPr="007E2A26" w:rsidRDefault="005C5AD5" w:rsidP="00D77B8F">
            <w:pPr>
              <w:keepLines/>
              <w:widowControl/>
              <w:jc w:val="left"/>
              <w:rPr>
                <w:rFonts w:ascii="Arial Narrow" w:hAnsi="Arial Narrow"/>
                <w:snapToGrid/>
                <w:sz w:val="20"/>
                <w:szCs w:val="20"/>
                <w:lang w:eastAsia="en-AU"/>
              </w:rPr>
            </w:pPr>
          </w:p>
          <w:p w:rsidR="005C5AD5" w:rsidRPr="007E2A26" w:rsidRDefault="005C5AD5" w:rsidP="00D77B8F">
            <w:pPr>
              <w:keepLines/>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An amount of 784 microgram will be sufficient for a continuous infusion of blinatumomab over 28 days in each cycle.</w:t>
            </w:r>
          </w:p>
          <w:p w:rsidR="005C5AD5" w:rsidRPr="007E2A26" w:rsidRDefault="005C5AD5" w:rsidP="00D77B8F">
            <w:pPr>
              <w:keepLines/>
              <w:widowControl/>
              <w:jc w:val="left"/>
              <w:rPr>
                <w:rFonts w:ascii="Arial Narrow" w:hAnsi="Arial Narrow"/>
                <w:i/>
                <w:snapToGrid/>
                <w:sz w:val="20"/>
                <w:szCs w:val="20"/>
                <w:lang w:eastAsia="en-AU"/>
              </w:rPr>
            </w:pPr>
          </w:p>
          <w:p w:rsidR="005C5AD5" w:rsidRPr="007E2A26" w:rsidRDefault="005C5AD5" w:rsidP="00D77B8F">
            <w:pPr>
              <w:keepLines/>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Blinatumomab is not PBS-subsidised if it is</w:t>
            </w:r>
            <w:r w:rsidR="003700C1">
              <w:rPr>
                <w:rFonts w:ascii="Arial Narrow" w:hAnsi="Arial Narrow"/>
                <w:i/>
                <w:snapToGrid/>
                <w:sz w:val="20"/>
                <w:szCs w:val="20"/>
                <w:lang w:eastAsia="en-AU"/>
              </w:rPr>
              <w:t xml:space="preserve"> prescribed </w:t>
            </w:r>
            <w:r w:rsidRPr="007E2A26">
              <w:rPr>
                <w:rFonts w:ascii="Arial Narrow" w:hAnsi="Arial Narrow"/>
                <w:i/>
                <w:snapToGrid/>
                <w:sz w:val="20"/>
                <w:szCs w:val="20"/>
                <w:lang w:eastAsia="en-AU"/>
              </w:rPr>
              <w:t>to an in-patient in a public hospital setting.</w:t>
            </w:r>
          </w:p>
          <w:p w:rsidR="005C5AD5" w:rsidRPr="007E2A26" w:rsidRDefault="005C5AD5" w:rsidP="00D77B8F">
            <w:pPr>
              <w:keepLines/>
              <w:widowControl/>
              <w:jc w:val="left"/>
              <w:rPr>
                <w:rFonts w:ascii="Arial Narrow" w:hAnsi="Arial Narrow"/>
                <w:i/>
                <w:snapToGrid/>
                <w:sz w:val="20"/>
                <w:szCs w:val="20"/>
                <w:lang w:eastAsia="en-AU"/>
              </w:rPr>
            </w:pPr>
          </w:p>
          <w:p w:rsidR="005C5AD5" w:rsidRPr="007E2A26" w:rsidRDefault="005C5AD5" w:rsidP="00D77B8F">
            <w:pPr>
              <w:keepLines/>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The authority application must be made in writing and must include:</w:t>
            </w:r>
          </w:p>
          <w:p w:rsidR="005C5AD5" w:rsidRPr="007E2A26" w:rsidRDefault="005C5AD5" w:rsidP="00D77B8F">
            <w:pPr>
              <w:keepLines/>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(1) a completed authority prescription form;</w:t>
            </w:r>
          </w:p>
          <w:p w:rsidR="006D4EF6" w:rsidRDefault="005C5AD5" w:rsidP="009D029A">
            <w:pPr>
              <w:keepLines/>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 xml:space="preserve">(2) a completed Minimal residual disease positive  Acute Lymphoblastic Leukaemia PBS Authority Application - Supporting Information Form; </w:t>
            </w:r>
          </w:p>
          <w:p w:rsidR="005C5AD5" w:rsidRPr="007E2A26" w:rsidRDefault="005C5AD5" w:rsidP="009D029A">
            <w:pPr>
              <w:keepLines/>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 xml:space="preserve">(3) </w:t>
            </w:r>
            <w:r w:rsidR="009D029A" w:rsidRPr="00E02647">
              <w:rPr>
                <w:rFonts w:asciiTheme="minorHAnsi" w:hAnsiTheme="minorHAnsi"/>
                <w:bCs/>
                <w:szCs w:val="24"/>
              </w:rPr>
              <w:t xml:space="preserve"> </w:t>
            </w:r>
            <w:r w:rsidR="009D029A" w:rsidRPr="009D029A">
              <w:rPr>
                <w:rFonts w:ascii="Arial Narrow" w:hAnsi="Arial Narrow"/>
                <w:i/>
                <w:snapToGrid/>
                <w:sz w:val="20"/>
                <w:szCs w:val="20"/>
                <w:lang w:eastAsia="en-AU"/>
              </w:rPr>
              <w:t>proof of complete remission</w:t>
            </w:r>
            <w:r w:rsidR="009D029A">
              <w:rPr>
                <w:rFonts w:ascii="Arial Narrow" w:hAnsi="Arial Narrow"/>
                <w:i/>
                <w:snapToGrid/>
                <w:sz w:val="20"/>
                <w:szCs w:val="20"/>
                <w:lang w:eastAsia="en-AU"/>
              </w:rPr>
              <w:t>;</w:t>
            </w:r>
          </w:p>
          <w:p w:rsidR="005C5AD5" w:rsidRPr="007E2A26" w:rsidRDefault="005C5AD5" w:rsidP="00D77B8F">
            <w:pPr>
              <w:keepLines/>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(4) date of most recent chemotherapy, and if this was the initial chemotherapy regimen or salvage therapy; and</w:t>
            </w:r>
          </w:p>
          <w:p w:rsidR="005C5AD5" w:rsidRPr="007E2A26" w:rsidRDefault="005C5AD5" w:rsidP="00D77B8F">
            <w:pPr>
              <w:keepLines/>
              <w:widowControl/>
              <w:jc w:val="left"/>
              <w:rPr>
                <w:rFonts w:ascii="Arial Narrow" w:hAnsi="Arial Narrow"/>
                <w:snapToGrid/>
                <w:sz w:val="20"/>
                <w:szCs w:val="20"/>
                <w:lang w:eastAsia="en-AU"/>
              </w:rPr>
            </w:pPr>
            <w:r w:rsidRPr="007E2A26">
              <w:rPr>
                <w:rFonts w:ascii="Arial Narrow" w:hAnsi="Arial Narrow"/>
                <w:i/>
                <w:snapToGrid/>
                <w:sz w:val="20"/>
                <w:szCs w:val="20"/>
                <w:lang w:eastAsia="en-AU"/>
              </w:rPr>
              <w:t>(5) a copy of the most recent MRD results and bone marrow biopsy report of no more than one month old at the time of application</w:t>
            </w:r>
            <w:r w:rsidRPr="007E2A26">
              <w:rPr>
                <w:rFonts w:ascii="Arial Narrow" w:hAnsi="Arial Narrow"/>
                <w:snapToGrid/>
                <w:sz w:val="20"/>
                <w:szCs w:val="20"/>
                <w:lang w:eastAsia="en-AU"/>
              </w:rPr>
              <w:t>.</w:t>
            </w:r>
          </w:p>
          <w:p w:rsidR="005C5AD5" w:rsidRPr="007E2A26" w:rsidRDefault="005C5AD5" w:rsidP="00D77B8F">
            <w:pPr>
              <w:keepLines/>
              <w:widowControl/>
              <w:jc w:val="left"/>
              <w:rPr>
                <w:rFonts w:ascii="Arial Narrow" w:hAnsi="Arial Narrow"/>
                <w:snapToGrid/>
                <w:sz w:val="20"/>
                <w:szCs w:val="20"/>
                <w:lang w:eastAsia="en-AU"/>
              </w:rPr>
            </w:pPr>
          </w:p>
          <w:p w:rsidR="005C5AD5" w:rsidRDefault="005C5AD5" w:rsidP="00D77B8F">
            <w:pPr>
              <w:keepLines/>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Patients who fail to demonstrate a response to PBS-subsidised treatment with this agent at the time when an assessment is required must cease PBS-subsidised therapy with this agent.</w:t>
            </w:r>
          </w:p>
          <w:p w:rsidR="006D4EF6" w:rsidRDefault="006D4EF6" w:rsidP="00D77B8F">
            <w:pPr>
              <w:keepLines/>
              <w:widowControl/>
              <w:jc w:val="left"/>
              <w:rPr>
                <w:rFonts w:ascii="Arial Narrow" w:hAnsi="Arial Narrow"/>
                <w:i/>
                <w:snapToGrid/>
                <w:sz w:val="20"/>
                <w:szCs w:val="20"/>
                <w:lang w:eastAsia="en-AU"/>
              </w:rPr>
            </w:pPr>
          </w:p>
          <w:p w:rsidR="006D4EF6" w:rsidRPr="007E2A26" w:rsidRDefault="006D4EF6" w:rsidP="00D77B8F">
            <w:pPr>
              <w:keepLines/>
              <w:widowControl/>
              <w:jc w:val="left"/>
              <w:rPr>
                <w:rFonts w:ascii="Arial Narrow" w:hAnsi="Arial Narrow"/>
                <w:i/>
                <w:snapToGrid/>
                <w:sz w:val="20"/>
                <w:szCs w:val="20"/>
                <w:lang w:eastAsia="en-AU"/>
              </w:rPr>
            </w:pPr>
            <w:r w:rsidRPr="00A749CE">
              <w:rPr>
                <w:rFonts w:ascii="Arial Narrow" w:hAnsi="Arial Narrow"/>
                <w:i/>
                <w:snapToGrid/>
                <w:sz w:val="20"/>
                <w:szCs w:val="20"/>
                <w:lang w:eastAsia="en-AU"/>
              </w:rPr>
              <w:t xml:space="preserve">A patient may only qualify for PBS-subsidised initiation treatment with blinatumomab once in a lifetime under </w:t>
            </w:r>
            <w:r>
              <w:rPr>
                <w:rFonts w:ascii="Arial Narrow" w:hAnsi="Arial Narrow"/>
                <w:i/>
                <w:snapToGrid/>
                <w:sz w:val="20"/>
                <w:szCs w:val="20"/>
                <w:lang w:eastAsia="en-AU"/>
              </w:rPr>
              <w:t xml:space="preserve">either </w:t>
            </w:r>
            <w:r w:rsidRPr="00A749CE">
              <w:rPr>
                <w:rFonts w:ascii="Arial Narrow" w:hAnsi="Arial Narrow"/>
                <w:i/>
                <w:snapToGrid/>
                <w:sz w:val="20"/>
                <w:szCs w:val="20"/>
                <w:lang w:eastAsia="en-AU"/>
              </w:rPr>
              <w:t>this restriction or the induction treatment restriction for relapsed or refractory B-precursor cell ALL.</w:t>
            </w:r>
          </w:p>
        </w:tc>
      </w:tr>
      <w:tr w:rsidR="005C5AD5" w:rsidRPr="007E2A26" w:rsidTr="00FD5491">
        <w:trPr>
          <w:cantSplit/>
          <w:trHeight w:val="360"/>
        </w:trPr>
        <w:tc>
          <w:tcPr>
            <w:tcW w:w="2835" w:type="dxa"/>
            <w:tcBorders>
              <w:top w:val="single" w:sz="4" w:space="0" w:color="auto"/>
              <w:left w:val="single" w:sz="4" w:space="0" w:color="auto"/>
              <w:bottom w:val="single" w:sz="4" w:space="0" w:color="auto"/>
              <w:right w:val="single" w:sz="4" w:space="0" w:color="auto"/>
            </w:tcBorders>
          </w:tcPr>
          <w:p w:rsidR="005C5AD5" w:rsidRPr="007E2A26" w:rsidRDefault="005C5AD5" w:rsidP="00D77B8F">
            <w:pPr>
              <w:keepLines/>
              <w:widowControl/>
              <w:rPr>
                <w:rFonts w:ascii="Arial Narrow" w:hAnsi="Arial Narrow"/>
                <w:b/>
                <w:i/>
                <w:snapToGrid/>
                <w:sz w:val="20"/>
                <w:szCs w:val="20"/>
                <w:lang w:eastAsia="en-AU"/>
              </w:rPr>
            </w:pPr>
            <w:r w:rsidRPr="007E2A26">
              <w:rPr>
                <w:rFonts w:ascii="Arial Narrow" w:hAnsi="Arial Narrow"/>
                <w:b/>
                <w:i/>
                <w:snapToGrid/>
                <w:sz w:val="20"/>
                <w:szCs w:val="20"/>
                <w:lang w:eastAsia="en-AU"/>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5C5AD5" w:rsidRPr="007E2A26" w:rsidRDefault="005C5AD5" w:rsidP="00D77B8F">
            <w:pPr>
              <w:keepLines/>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A complete remission is defined as bone marrow blasts of less than or equal to 5%, no evidence of disease and a full recovery of peripheral blood counts with platelets of greater than 100,000 per microliter, and absolute neutrophil count (ANC) of greater than 1,000 per microliter.</w:t>
            </w:r>
          </w:p>
          <w:p w:rsidR="005C5AD5" w:rsidRPr="007E2A26" w:rsidRDefault="005C5AD5" w:rsidP="00D77B8F">
            <w:pPr>
              <w:keepLines/>
              <w:widowControl/>
              <w:jc w:val="left"/>
              <w:rPr>
                <w:rFonts w:ascii="Arial Narrow" w:hAnsi="Arial Narrow"/>
                <w:i/>
                <w:snapToGrid/>
                <w:sz w:val="20"/>
                <w:szCs w:val="20"/>
                <w:lang w:eastAsia="en-AU"/>
              </w:rPr>
            </w:pPr>
          </w:p>
          <w:p w:rsidR="005C5AD5" w:rsidRPr="007E2A26" w:rsidRDefault="005C5AD5" w:rsidP="00D77B8F">
            <w:pPr>
              <w:keepLines/>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 xml:space="preserve">Any queries concerning the arrangements to prescribe may be directed to the Department of Human Services on 1800 700 270 (hours of operation 8 a.m. to 5 p.m. EST Monday to Friday). </w:t>
            </w:r>
          </w:p>
          <w:p w:rsidR="005C5AD5" w:rsidRPr="007E2A26" w:rsidRDefault="005C5AD5" w:rsidP="00D77B8F">
            <w:pPr>
              <w:keepLines/>
              <w:widowControl/>
              <w:jc w:val="left"/>
              <w:rPr>
                <w:rFonts w:ascii="Arial Narrow" w:hAnsi="Arial Narrow"/>
                <w:i/>
                <w:snapToGrid/>
                <w:sz w:val="20"/>
                <w:szCs w:val="20"/>
                <w:lang w:eastAsia="en-AU"/>
              </w:rPr>
            </w:pPr>
          </w:p>
          <w:p w:rsidR="005C5AD5" w:rsidRPr="007E2A26" w:rsidRDefault="005C5AD5" w:rsidP="00D77B8F">
            <w:pPr>
              <w:keepLines/>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Prescribing information (including Authority Application forms and other relevant documentation as applicable) is available on the Department of Human Services website at www.humanservices.gov.au</w:t>
            </w:r>
          </w:p>
          <w:p w:rsidR="005C5AD5" w:rsidRPr="007E2A26" w:rsidRDefault="005C5AD5" w:rsidP="00D77B8F">
            <w:pPr>
              <w:keepLines/>
              <w:widowControl/>
              <w:jc w:val="left"/>
              <w:rPr>
                <w:rFonts w:ascii="Arial Narrow" w:hAnsi="Arial Narrow"/>
                <w:i/>
                <w:snapToGrid/>
                <w:sz w:val="20"/>
                <w:szCs w:val="20"/>
                <w:lang w:eastAsia="en-AU"/>
              </w:rPr>
            </w:pPr>
          </w:p>
          <w:p w:rsidR="005C5AD5" w:rsidRPr="007E2A26" w:rsidRDefault="005C5AD5" w:rsidP="00D77B8F">
            <w:pPr>
              <w:keepLines/>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Applications for authority to prescribe should be forwarded to:</w:t>
            </w:r>
          </w:p>
          <w:p w:rsidR="005C5AD5" w:rsidRPr="007E2A26" w:rsidRDefault="005C5AD5" w:rsidP="00D77B8F">
            <w:pPr>
              <w:keepLines/>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Department of Human Services</w:t>
            </w:r>
          </w:p>
          <w:p w:rsidR="005C5AD5" w:rsidRPr="007E2A26" w:rsidRDefault="005C5AD5" w:rsidP="00D77B8F">
            <w:pPr>
              <w:keepLines/>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Complex Drugs Programs</w:t>
            </w:r>
          </w:p>
          <w:p w:rsidR="005C5AD5" w:rsidRPr="007E2A26" w:rsidRDefault="005C5AD5" w:rsidP="00D77B8F">
            <w:pPr>
              <w:keepLines/>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Reply Paid 9826</w:t>
            </w:r>
          </w:p>
          <w:p w:rsidR="005C5AD5" w:rsidRPr="007E2A26" w:rsidRDefault="005C5AD5" w:rsidP="00D77B8F">
            <w:pPr>
              <w:keepLines/>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HOBART TAS 7001</w:t>
            </w:r>
          </w:p>
          <w:p w:rsidR="005C5AD5" w:rsidRPr="007E2A26" w:rsidRDefault="005C5AD5" w:rsidP="00D77B8F">
            <w:pPr>
              <w:keepLines/>
              <w:widowControl/>
              <w:jc w:val="left"/>
              <w:rPr>
                <w:rFonts w:ascii="Arial Narrow" w:hAnsi="Arial Narrow"/>
                <w:i/>
                <w:snapToGrid/>
                <w:sz w:val="20"/>
                <w:szCs w:val="20"/>
                <w:lang w:eastAsia="en-AU"/>
              </w:rPr>
            </w:pPr>
          </w:p>
          <w:p w:rsidR="005C5AD5" w:rsidRPr="007E2A26" w:rsidRDefault="005C5AD5" w:rsidP="00D77B8F">
            <w:pPr>
              <w:keepLines/>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No increase in the maximum quantity or number of units may be authorised.</w:t>
            </w:r>
          </w:p>
          <w:p w:rsidR="005C5AD5" w:rsidRPr="007E2A26" w:rsidRDefault="005C5AD5" w:rsidP="00D77B8F">
            <w:pPr>
              <w:keepLines/>
              <w:widowControl/>
              <w:jc w:val="left"/>
              <w:rPr>
                <w:rFonts w:ascii="Arial Narrow" w:hAnsi="Arial Narrow"/>
                <w:i/>
                <w:snapToGrid/>
                <w:sz w:val="20"/>
                <w:szCs w:val="20"/>
                <w:lang w:eastAsia="en-AU"/>
              </w:rPr>
            </w:pPr>
          </w:p>
          <w:p w:rsidR="005C5AD5" w:rsidRPr="007E2A26" w:rsidRDefault="005C5AD5" w:rsidP="00D77B8F">
            <w:pPr>
              <w:keepLines/>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No increase in the maximum number of repeats may be authorised.</w:t>
            </w:r>
          </w:p>
          <w:p w:rsidR="005C5AD5" w:rsidRPr="007E2A26" w:rsidRDefault="005C5AD5" w:rsidP="00D77B8F">
            <w:pPr>
              <w:keepLines/>
              <w:widowControl/>
              <w:jc w:val="left"/>
              <w:rPr>
                <w:rFonts w:ascii="Arial Narrow" w:hAnsi="Arial Narrow"/>
                <w:i/>
                <w:snapToGrid/>
                <w:sz w:val="20"/>
                <w:szCs w:val="20"/>
                <w:lang w:eastAsia="en-AU"/>
              </w:rPr>
            </w:pPr>
          </w:p>
          <w:p w:rsidR="005C5AD5" w:rsidRPr="007E2A26" w:rsidRDefault="005C5AD5" w:rsidP="00D77B8F">
            <w:pPr>
              <w:keepLines/>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Special Pricing Arrangements apply.</w:t>
            </w:r>
          </w:p>
        </w:tc>
      </w:tr>
      <w:tr w:rsidR="005C5AD5" w:rsidRPr="007E2A26" w:rsidTr="00FD5491">
        <w:trPr>
          <w:cantSplit/>
          <w:trHeight w:val="360"/>
        </w:trPr>
        <w:tc>
          <w:tcPr>
            <w:tcW w:w="2835" w:type="dxa"/>
            <w:tcBorders>
              <w:top w:val="single" w:sz="4" w:space="0" w:color="auto"/>
              <w:left w:val="single" w:sz="4" w:space="0" w:color="auto"/>
              <w:bottom w:val="single" w:sz="4" w:space="0" w:color="auto"/>
              <w:right w:val="single" w:sz="4" w:space="0" w:color="auto"/>
            </w:tcBorders>
          </w:tcPr>
          <w:p w:rsidR="005C5AD5" w:rsidRPr="007E2A26" w:rsidRDefault="005C5AD5" w:rsidP="00D77B8F">
            <w:pPr>
              <w:keepLines/>
              <w:widowControl/>
              <w:rPr>
                <w:rFonts w:ascii="Arial Narrow" w:hAnsi="Arial Narrow"/>
                <w:b/>
                <w:i/>
                <w:snapToGrid/>
                <w:sz w:val="20"/>
                <w:szCs w:val="20"/>
                <w:lang w:eastAsia="en-AU"/>
              </w:rPr>
            </w:pPr>
            <w:r w:rsidRPr="007E2A26">
              <w:rPr>
                <w:rFonts w:ascii="Arial Narrow" w:hAnsi="Arial Narrow"/>
                <w:b/>
                <w:i/>
                <w:snapToGrid/>
                <w:sz w:val="20"/>
                <w:szCs w:val="20"/>
                <w:lang w:eastAsia="en-AU"/>
              </w:rPr>
              <w:lastRenderedPageBreak/>
              <w:t>Caution</w:t>
            </w:r>
          </w:p>
        </w:tc>
        <w:tc>
          <w:tcPr>
            <w:tcW w:w="6379" w:type="dxa"/>
            <w:gridSpan w:val="6"/>
            <w:tcBorders>
              <w:top w:val="single" w:sz="4" w:space="0" w:color="auto"/>
              <w:left w:val="single" w:sz="4" w:space="0" w:color="auto"/>
              <w:bottom w:val="single" w:sz="4" w:space="0" w:color="auto"/>
              <w:right w:val="single" w:sz="4" w:space="0" w:color="auto"/>
            </w:tcBorders>
          </w:tcPr>
          <w:p w:rsidR="005C5AD5" w:rsidRPr="007E2A26" w:rsidRDefault="005C5AD5" w:rsidP="00D77B8F">
            <w:pPr>
              <w:keepLines/>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Careful monitoring of patients is required due to risk of developing life-threatening Cytokine Release Syndrome, neurological toxicities and reactivation of John Cunningham virus (JC) viral infection.</w:t>
            </w:r>
          </w:p>
        </w:tc>
      </w:tr>
    </w:tbl>
    <w:p w:rsidR="005C5AD5" w:rsidRPr="007E2A26" w:rsidRDefault="005C5AD5" w:rsidP="005C5AD5">
      <w:pPr>
        <w:widowControl/>
        <w:rPr>
          <w:rFonts w:ascii="Arial Narrow" w:hAnsi="Arial Narrow"/>
          <w:snapToGrid/>
          <w:sz w:val="20"/>
          <w:szCs w:val="20"/>
          <w:lang w:eastAsia="en-AU"/>
        </w:rPr>
      </w:pPr>
    </w:p>
    <w:p w:rsidR="005C5AD5" w:rsidRPr="007E2A26" w:rsidRDefault="005C5AD5" w:rsidP="005C5AD5">
      <w:pPr>
        <w:widowControl/>
        <w:rPr>
          <w:rFonts w:ascii="Arial Narrow" w:hAnsi="Arial Narrow"/>
          <w:snapToGrid/>
          <w:sz w:val="20"/>
          <w:szCs w:val="20"/>
          <w:lang w:eastAsia="en-AU"/>
        </w:rPr>
      </w:pPr>
    </w:p>
    <w:tbl>
      <w:tblPr>
        <w:tblW w:w="9214" w:type="dxa"/>
        <w:tblInd w:w="108" w:type="dxa"/>
        <w:tblLayout w:type="fixed"/>
        <w:tblLook w:val="0000" w:firstRow="0" w:lastRow="0" w:firstColumn="0" w:lastColumn="0" w:noHBand="0" w:noVBand="0"/>
      </w:tblPr>
      <w:tblGrid>
        <w:gridCol w:w="2835"/>
        <w:gridCol w:w="284"/>
        <w:gridCol w:w="709"/>
        <w:gridCol w:w="708"/>
        <w:gridCol w:w="1843"/>
        <w:gridCol w:w="1276"/>
        <w:gridCol w:w="1559"/>
      </w:tblGrid>
      <w:tr w:rsidR="005C5AD5" w:rsidRPr="007E2A26" w:rsidTr="00FD5491">
        <w:trPr>
          <w:cantSplit/>
          <w:trHeight w:val="471"/>
        </w:trPr>
        <w:tc>
          <w:tcPr>
            <w:tcW w:w="3119" w:type="dxa"/>
            <w:gridSpan w:val="2"/>
            <w:tcBorders>
              <w:bottom w:val="single" w:sz="4" w:space="0" w:color="auto"/>
            </w:tcBorders>
          </w:tcPr>
          <w:p w:rsidR="005C5AD5" w:rsidRPr="007E2A26" w:rsidRDefault="005C5AD5" w:rsidP="005C5AD5">
            <w:pPr>
              <w:keepNext/>
              <w:widowControl/>
              <w:ind w:left="-108"/>
              <w:rPr>
                <w:rFonts w:ascii="Arial Narrow" w:hAnsi="Arial Narrow"/>
                <w:i/>
                <w:snapToGrid/>
                <w:sz w:val="20"/>
                <w:szCs w:val="20"/>
                <w:lang w:eastAsia="en-AU"/>
              </w:rPr>
            </w:pPr>
            <w:r w:rsidRPr="007E2A26">
              <w:rPr>
                <w:rFonts w:ascii="Arial Narrow" w:hAnsi="Arial Narrow"/>
                <w:i/>
                <w:snapToGrid/>
                <w:sz w:val="20"/>
                <w:szCs w:val="20"/>
                <w:lang w:eastAsia="en-AU"/>
              </w:rPr>
              <w:t>Name, Restriction,</w:t>
            </w:r>
          </w:p>
          <w:p w:rsidR="005C5AD5" w:rsidRPr="007E2A26" w:rsidRDefault="005C5AD5" w:rsidP="005C5AD5">
            <w:pPr>
              <w:keepNext/>
              <w:widowControl/>
              <w:ind w:left="-108"/>
              <w:rPr>
                <w:rFonts w:ascii="Arial Narrow" w:hAnsi="Arial Narrow"/>
                <w:i/>
                <w:snapToGrid/>
                <w:sz w:val="20"/>
                <w:szCs w:val="20"/>
                <w:lang w:eastAsia="en-AU"/>
              </w:rPr>
            </w:pPr>
            <w:r w:rsidRPr="007E2A26">
              <w:rPr>
                <w:rFonts w:ascii="Arial Narrow" w:hAnsi="Arial Narrow"/>
                <w:i/>
                <w:snapToGrid/>
                <w:sz w:val="20"/>
                <w:szCs w:val="20"/>
                <w:lang w:eastAsia="en-AU"/>
              </w:rPr>
              <w:t>Manner of administration and form</w:t>
            </w:r>
          </w:p>
        </w:tc>
        <w:tc>
          <w:tcPr>
            <w:tcW w:w="709" w:type="dxa"/>
            <w:tcBorders>
              <w:bottom w:val="single" w:sz="4" w:space="0" w:color="auto"/>
            </w:tcBorders>
          </w:tcPr>
          <w:p w:rsidR="005C5AD5" w:rsidRPr="007E2A26" w:rsidRDefault="005C5AD5" w:rsidP="005C5AD5">
            <w:pPr>
              <w:keepNext/>
              <w:widowControl/>
              <w:ind w:left="-108"/>
              <w:rPr>
                <w:rFonts w:ascii="Arial Narrow" w:hAnsi="Arial Narrow"/>
                <w:i/>
                <w:snapToGrid/>
                <w:sz w:val="20"/>
                <w:szCs w:val="20"/>
                <w:lang w:eastAsia="en-AU"/>
              </w:rPr>
            </w:pPr>
            <w:r w:rsidRPr="007E2A26">
              <w:rPr>
                <w:rFonts w:ascii="Arial Narrow" w:hAnsi="Arial Narrow"/>
                <w:i/>
                <w:snapToGrid/>
                <w:sz w:val="20"/>
                <w:szCs w:val="20"/>
                <w:lang w:eastAsia="en-AU"/>
              </w:rPr>
              <w:t>Max.</w:t>
            </w:r>
          </w:p>
          <w:p w:rsidR="005C5AD5" w:rsidRPr="007E2A26" w:rsidRDefault="005C5AD5" w:rsidP="005C5AD5">
            <w:pPr>
              <w:keepNext/>
              <w:widowControl/>
              <w:ind w:left="-108"/>
              <w:rPr>
                <w:rFonts w:ascii="Arial Narrow" w:hAnsi="Arial Narrow"/>
                <w:i/>
                <w:snapToGrid/>
                <w:sz w:val="20"/>
                <w:szCs w:val="20"/>
                <w:lang w:eastAsia="en-AU"/>
              </w:rPr>
            </w:pPr>
            <w:r w:rsidRPr="007E2A26">
              <w:rPr>
                <w:rFonts w:ascii="Arial Narrow" w:hAnsi="Arial Narrow"/>
                <w:i/>
                <w:snapToGrid/>
                <w:sz w:val="20"/>
                <w:szCs w:val="20"/>
                <w:lang w:eastAsia="en-AU"/>
              </w:rPr>
              <w:t>Qty</w:t>
            </w:r>
          </w:p>
        </w:tc>
        <w:tc>
          <w:tcPr>
            <w:tcW w:w="708" w:type="dxa"/>
            <w:tcBorders>
              <w:bottom w:val="single" w:sz="4" w:space="0" w:color="auto"/>
            </w:tcBorders>
          </w:tcPr>
          <w:p w:rsidR="005C5AD5" w:rsidRPr="007E2A26" w:rsidRDefault="005C5AD5" w:rsidP="005C5AD5">
            <w:pPr>
              <w:keepNext/>
              <w:widowControl/>
              <w:ind w:left="-108"/>
              <w:rPr>
                <w:rFonts w:ascii="Arial Narrow" w:hAnsi="Arial Narrow"/>
                <w:i/>
                <w:snapToGrid/>
                <w:sz w:val="20"/>
                <w:szCs w:val="20"/>
                <w:lang w:eastAsia="en-AU"/>
              </w:rPr>
            </w:pPr>
            <w:r w:rsidRPr="007E2A26">
              <w:rPr>
                <w:rFonts w:ascii="Arial Narrow" w:hAnsi="Arial Narrow"/>
                <w:i/>
                <w:snapToGrid/>
                <w:sz w:val="20"/>
                <w:szCs w:val="20"/>
                <w:lang w:eastAsia="en-AU"/>
              </w:rPr>
              <w:t>№.of</w:t>
            </w:r>
          </w:p>
          <w:p w:rsidR="005C5AD5" w:rsidRPr="007E2A26" w:rsidRDefault="005C5AD5" w:rsidP="005C5AD5">
            <w:pPr>
              <w:keepNext/>
              <w:widowControl/>
              <w:ind w:left="-108"/>
              <w:rPr>
                <w:rFonts w:ascii="Arial Narrow" w:hAnsi="Arial Narrow"/>
                <w:i/>
                <w:snapToGrid/>
                <w:sz w:val="20"/>
                <w:szCs w:val="20"/>
                <w:lang w:eastAsia="en-AU"/>
              </w:rPr>
            </w:pPr>
            <w:r w:rsidRPr="007E2A26">
              <w:rPr>
                <w:rFonts w:ascii="Arial Narrow" w:hAnsi="Arial Narrow"/>
                <w:i/>
                <w:snapToGrid/>
                <w:sz w:val="20"/>
                <w:szCs w:val="20"/>
                <w:lang w:eastAsia="en-AU"/>
              </w:rPr>
              <w:t>Rpts</w:t>
            </w:r>
          </w:p>
        </w:tc>
        <w:tc>
          <w:tcPr>
            <w:tcW w:w="1843" w:type="dxa"/>
            <w:tcBorders>
              <w:bottom w:val="single" w:sz="4" w:space="0" w:color="auto"/>
            </w:tcBorders>
          </w:tcPr>
          <w:p w:rsidR="005C5AD5" w:rsidRPr="007E2A26" w:rsidRDefault="005C5AD5" w:rsidP="005C5AD5">
            <w:pPr>
              <w:keepNext/>
              <w:widowControl/>
              <w:ind w:left="-108"/>
              <w:rPr>
                <w:rFonts w:ascii="Arial Narrow" w:hAnsi="Arial Narrow"/>
                <w:i/>
                <w:snapToGrid/>
                <w:sz w:val="20"/>
                <w:szCs w:val="20"/>
                <w:lang w:eastAsia="en-AU"/>
              </w:rPr>
            </w:pPr>
            <w:r w:rsidRPr="007E2A26">
              <w:rPr>
                <w:rFonts w:ascii="Arial Narrow" w:hAnsi="Arial Narrow"/>
                <w:i/>
                <w:snapToGrid/>
                <w:sz w:val="20"/>
                <w:szCs w:val="20"/>
                <w:lang w:eastAsia="en-AU"/>
              </w:rPr>
              <w:t>Dispensed Price for Max. Qty</w:t>
            </w:r>
          </w:p>
        </w:tc>
        <w:tc>
          <w:tcPr>
            <w:tcW w:w="2835" w:type="dxa"/>
            <w:gridSpan w:val="2"/>
            <w:tcBorders>
              <w:bottom w:val="single" w:sz="4" w:space="0" w:color="auto"/>
            </w:tcBorders>
          </w:tcPr>
          <w:p w:rsidR="005C5AD5" w:rsidRPr="007E2A26" w:rsidRDefault="005C5AD5" w:rsidP="005C5AD5">
            <w:pPr>
              <w:keepNext/>
              <w:widowControl/>
              <w:rPr>
                <w:rFonts w:ascii="Arial Narrow" w:hAnsi="Arial Narrow"/>
                <w:i/>
                <w:snapToGrid/>
                <w:sz w:val="20"/>
                <w:szCs w:val="20"/>
                <w:lang w:val="fr-FR" w:eastAsia="en-AU"/>
              </w:rPr>
            </w:pPr>
            <w:r w:rsidRPr="007E2A26">
              <w:rPr>
                <w:rFonts w:ascii="Arial Narrow" w:hAnsi="Arial Narrow"/>
                <w:i/>
                <w:snapToGrid/>
                <w:sz w:val="20"/>
                <w:szCs w:val="20"/>
                <w:lang w:eastAsia="en-AU"/>
              </w:rPr>
              <w:t>Proprietary Name and Manufacturer</w:t>
            </w:r>
          </w:p>
        </w:tc>
      </w:tr>
      <w:tr w:rsidR="005C5AD5" w:rsidRPr="007E2A26" w:rsidTr="00FD5491">
        <w:trPr>
          <w:cantSplit/>
          <w:trHeight w:val="577"/>
        </w:trPr>
        <w:tc>
          <w:tcPr>
            <w:tcW w:w="3119" w:type="dxa"/>
            <w:gridSpan w:val="2"/>
          </w:tcPr>
          <w:p w:rsidR="005C5AD5" w:rsidRPr="007E2A26" w:rsidRDefault="005C5AD5" w:rsidP="005C5AD5">
            <w:pPr>
              <w:keepNext/>
              <w:widowControl/>
              <w:ind w:left="-108"/>
              <w:rPr>
                <w:rFonts w:ascii="Arial Narrow" w:hAnsi="Arial Narrow"/>
                <w:i/>
                <w:snapToGrid/>
                <w:sz w:val="20"/>
                <w:szCs w:val="20"/>
                <w:lang w:eastAsia="en-AU"/>
              </w:rPr>
            </w:pPr>
            <w:r w:rsidRPr="007E2A26">
              <w:rPr>
                <w:rFonts w:ascii="Arial Narrow" w:hAnsi="Arial Narrow"/>
                <w:i/>
                <w:smallCaps/>
                <w:snapToGrid/>
                <w:sz w:val="20"/>
                <w:szCs w:val="20"/>
                <w:lang w:eastAsia="en-AU"/>
              </w:rPr>
              <w:t xml:space="preserve">blinatumomab </w:t>
            </w:r>
          </w:p>
          <w:p w:rsidR="005C5AD5" w:rsidRPr="007E2A26" w:rsidRDefault="005C5AD5" w:rsidP="005C5AD5">
            <w:pPr>
              <w:keepNext/>
              <w:widowControl/>
              <w:ind w:left="-108"/>
              <w:rPr>
                <w:rFonts w:ascii="Arial Narrow" w:hAnsi="Arial Narrow"/>
                <w:i/>
                <w:snapToGrid/>
                <w:sz w:val="20"/>
                <w:szCs w:val="20"/>
                <w:lang w:eastAsia="en-AU"/>
              </w:rPr>
            </w:pPr>
            <w:r w:rsidRPr="007E2A26">
              <w:rPr>
                <w:rFonts w:ascii="Arial Narrow" w:hAnsi="Arial Narrow"/>
                <w:i/>
                <w:snapToGrid/>
                <w:sz w:val="20"/>
                <w:szCs w:val="20"/>
                <w:lang w:eastAsia="en-AU"/>
              </w:rPr>
              <w:t>38.5 µg, injection, 1 vial</w:t>
            </w:r>
          </w:p>
          <w:p w:rsidR="005C5AD5" w:rsidRPr="007E2A26" w:rsidRDefault="005C5AD5" w:rsidP="005C5AD5">
            <w:pPr>
              <w:keepNext/>
              <w:widowControl/>
              <w:ind w:left="-108"/>
              <w:rPr>
                <w:rFonts w:ascii="Arial Narrow" w:hAnsi="Arial Narrow"/>
                <w:i/>
                <w:snapToGrid/>
                <w:sz w:val="20"/>
                <w:szCs w:val="20"/>
                <w:lang w:eastAsia="en-AU"/>
              </w:rPr>
            </w:pPr>
          </w:p>
          <w:p w:rsidR="005C5AD5" w:rsidRPr="007E2A26" w:rsidRDefault="005C5AD5" w:rsidP="005C5AD5">
            <w:pPr>
              <w:keepNext/>
              <w:widowControl/>
              <w:ind w:left="-108"/>
              <w:rPr>
                <w:rFonts w:ascii="Arial Narrow" w:hAnsi="Arial Narrow"/>
                <w:i/>
                <w:snapToGrid/>
                <w:sz w:val="20"/>
                <w:szCs w:val="20"/>
                <w:lang w:eastAsia="en-AU"/>
              </w:rPr>
            </w:pPr>
            <w:r w:rsidRPr="007E2A26">
              <w:rPr>
                <w:rFonts w:ascii="Arial Narrow" w:hAnsi="Arial Narrow"/>
                <w:i/>
                <w:smallCaps/>
                <w:snapToGrid/>
                <w:sz w:val="20"/>
                <w:szCs w:val="20"/>
                <w:lang w:eastAsia="en-AU"/>
              </w:rPr>
              <w:t>blinatumomab</w:t>
            </w:r>
          </w:p>
          <w:p w:rsidR="005C5AD5" w:rsidRPr="007E2A26" w:rsidRDefault="005C5AD5" w:rsidP="005C5AD5">
            <w:pPr>
              <w:keepNext/>
              <w:widowControl/>
              <w:ind w:left="-108"/>
              <w:rPr>
                <w:rFonts w:ascii="Arial Narrow" w:hAnsi="Arial Narrow"/>
                <w:i/>
                <w:snapToGrid/>
                <w:sz w:val="20"/>
                <w:szCs w:val="20"/>
                <w:lang w:eastAsia="en-AU"/>
              </w:rPr>
            </w:pPr>
            <w:r w:rsidRPr="007E2A26">
              <w:rPr>
                <w:rFonts w:ascii="Arial Narrow" w:hAnsi="Arial Narrow"/>
                <w:i/>
                <w:snapToGrid/>
                <w:sz w:val="20"/>
                <w:szCs w:val="20"/>
                <w:lang w:eastAsia="en-AU"/>
              </w:rPr>
              <w:t>38.5 µg, injection, 1 vial</w:t>
            </w:r>
          </w:p>
        </w:tc>
        <w:tc>
          <w:tcPr>
            <w:tcW w:w="709" w:type="dxa"/>
          </w:tcPr>
          <w:p w:rsidR="005C5AD5" w:rsidRPr="007E2A26" w:rsidRDefault="005C5AD5" w:rsidP="005C5AD5">
            <w:pPr>
              <w:keepNext/>
              <w:widowControl/>
              <w:ind w:left="-108"/>
              <w:rPr>
                <w:rFonts w:ascii="Arial Narrow" w:hAnsi="Arial Narrow"/>
                <w:i/>
                <w:snapToGrid/>
                <w:sz w:val="20"/>
                <w:szCs w:val="20"/>
                <w:lang w:eastAsia="en-AU"/>
              </w:rPr>
            </w:pPr>
          </w:p>
          <w:p w:rsidR="005C5AD5" w:rsidRPr="007E2A26" w:rsidRDefault="005C5AD5" w:rsidP="005C5AD5">
            <w:pPr>
              <w:keepNext/>
              <w:widowControl/>
              <w:ind w:left="-108"/>
              <w:rPr>
                <w:rFonts w:ascii="Arial Narrow" w:hAnsi="Arial Narrow"/>
                <w:i/>
                <w:snapToGrid/>
                <w:sz w:val="20"/>
                <w:szCs w:val="20"/>
                <w:lang w:eastAsia="en-AU"/>
              </w:rPr>
            </w:pPr>
            <w:r w:rsidRPr="007E2A26">
              <w:rPr>
                <w:rFonts w:ascii="Arial Narrow" w:hAnsi="Arial Narrow"/>
                <w:i/>
                <w:snapToGrid/>
                <w:sz w:val="20"/>
                <w:szCs w:val="20"/>
                <w:lang w:eastAsia="en-AU"/>
              </w:rPr>
              <w:t>784 µg</w:t>
            </w:r>
          </w:p>
          <w:p w:rsidR="005C5AD5" w:rsidRPr="007E2A26" w:rsidRDefault="005C5AD5" w:rsidP="005C5AD5">
            <w:pPr>
              <w:keepNext/>
              <w:widowControl/>
              <w:ind w:left="-108"/>
              <w:rPr>
                <w:rFonts w:ascii="Arial Narrow" w:hAnsi="Arial Narrow"/>
                <w:i/>
                <w:snapToGrid/>
                <w:sz w:val="20"/>
                <w:szCs w:val="20"/>
                <w:lang w:eastAsia="en-AU"/>
              </w:rPr>
            </w:pPr>
          </w:p>
          <w:p w:rsidR="005C5AD5" w:rsidRPr="007E2A26" w:rsidRDefault="005C5AD5" w:rsidP="005C5AD5">
            <w:pPr>
              <w:keepNext/>
              <w:widowControl/>
              <w:ind w:left="-108"/>
              <w:rPr>
                <w:rFonts w:ascii="Arial Narrow" w:hAnsi="Arial Narrow"/>
                <w:i/>
                <w:snapToGrid/>
                <w:sz w:val="20"/>
                <w:szCs w:val="20"/>
                <w:lang w:eastAsia="en-AU"/>
              </w:rPr>
            </w:pPr>
          </w:p>
          <w:p w:rsidR="005C5AD5" w:rsidRPr="007E2A26" w:rsidRDefault="005C5AD5" w:rsidP="005C5AD5">
            <w:pPr>
              <w:keepNext/>
              <w:widowControl/>
              <w:ind w:left="-108"/>
              <w:rPr>
                <w:rFonts w:ascii="Arial Narrow" w:hAnsi="Arial Narrow"/>
                <w:i/>
                <w:snapToGrid/>
                <w:sz w:val="20"/>
                <w:szCs w:val="20"/>
                <w:lang w:eastAsia="en-AU"/>
              </w:rPr>
            </w:pPr>
            <w:r w:rsidRPr="007E2A26">
              <w:rPr>
                <w:rFonts w:ascii="Arial Narrow" w:hAnsi="Arial Narrow"/>
                <w:i/>
                <w:snapToGrid/>
                <w:sz w:val="20"/>
                <w:szCs w:val="20"/>
                <w:lang w:eastAsia="en-AU"/>
              </w:rPr>
              <w:t>784 µg</w:t>
            </w:r>
          </w:p>
        </w:tc>
        <w:tc>
          <w:tcPr>
            <w:tcW w:w="708" w:type="dxa"/>
          </w:tcPr>
          <w:p w:rsidR="005C5AD5" w:rsidRPr="007E2A26" w:rsidRDefault="005C5AD5" w:rsidP="005C5AD5">
            <w:pPr>
              <w:keepNext/>
              <w:widowControl/>
              <w:ind w:left="-108"/>
              <w:rPr>
                <w:rFonts w:ascii="Arial Narrow" w:hAnsi="Arial Narrow"/>
                <w:i/>
                <w:snapToGrid/>
                <w:sz w:val="20"/>
                <w:szCs w:val="20"/>
                <w:lang w:eastAsia="en-AU"/>
              </w:rPr>
            </w:pPr>
          </w:p>
          <w:p w:rsidR="005C5AD5" w:rsidRPr="007E2A26" w:rsidRDefault="000946E6" w:rsidP="005C5AD5">
            <w:pPr>
              <w:keepNext/>
              <w:widowControl/>
              <w:ind w:left="-108"/>
              <w:rPr>
                <w:rFonts w:ascii="Arial Narrow" w:hAnsi="Arial Narrow"/>
                <w:i/>
                <w:snapToGrid/>
                <w:sz w:val="20"/>
                <w:szCs w:val="20"/>
                <w:lang w:eastAsia="en-AU"/>
              </w:rPr>
            </w:pPr>
            <w:r>
              <w:rPr>
                <w:rFonts w:ascii="Arial Narrow" w:hAnsi="Arial Narrow"/>
                <w:i/>
                <w:snapToGrid/>
                <w:sz w:val="20"/>
                <w:szCs w:val="20"/>
                <w:lang w:eastAsia="en-AU"/>
              </w:rPr>
              <w:t>1</w:t>
            </w:r>
          </w:p>
          <w:p w:rsidR="005C5AD5" w:rsidRPr="007E2A26" w:rsidRDefault="005C5AD5" w:rsidP="005C5AD5">
            <w:pPr>
              <w:keepNext/>
              <w:widowControl/>
              <w:ind w:left="-108"/>
              <w:rPr>
                <w:rFonts w:ascii="Arial Narrow" w:hAnsi="Arial Narrow"/>
                <w:i/>
                <w:snapToGrid/>
                <w:sz w:val="20"/>
                <w:szCs w:val="20"/>
                <w:lang w:eastAsia="en-AU"/>
              </w:rPr>
            </w:pPr>
          </w:p>
          <w:p w:rsidR="005C5AD5" w:rsidRPr="007E2A26" w:rsidRDefault="005C5AD5" w:rsidP="005C5AD5">
            <w:pPr>
              <w:keepNext/>
              <w:widowControl/>
              <w:ind w:left="-108"/>
              <w:rPr>
                <w:rFonts w:ascii="Arial Narrow" w:hAnsi="Arial Narrow"/>
                <w:i/>
                <w:snapToGrid/>
                <w:sz w:val="20"/>
                <w:szCs w:val="20"/>
                <w:lang w:eastAsia="en-AU"/>
              </w:rPr>
            </w:pPr>
          </w:p>
          <w:p w:rsidR="005C5AD5" w:rsidRPr="007E2A26" w:rsidRDefault="000946E6" w:rsidP="000946E6">
            <w:pPr>
              <w:keepNext/>
              <w:widowControl/>
              <w:ind w:left="-108"/>
              <w:rPr>
                <w:rFonts w:ascii="Arial Narrow" w:hAnsi="Arial Narrow"/>
                <w:i/>
                <w:snapToGrid/>
                <w:sz w:val="20"/>
                <w:szCs w:val="20"/>
                <w:lang w:eastAsia="en-AU"/>
              </w:rPr>
            </w:pPr>
            <w:r>
              <w:rPr>
                <w:rFonts w:ascii="Arial Narrow" w:hAnsi="Arial Narrow"/>
                <w:i/>
                <w:snapToGrid/>
                <w:sz w:val="20"/>
                <w:szCs w:val="20"/>
                <w:lang w:eastAsia="en-AU"/>
              </w:rPr>
              <w:t>1</w:t>
            </w:r>
          </w:p>
        </w:tc>
        <w:tc>
          <w:tcPr>
            <w:tcW w:w="1843" w:type="dxa"/>
          </w:tcPr>
          <w:p w:rsidR="005C5AD5" w:rsidRPr="007E2A26" w:rsidRDefault="005C5AD5" w:rsidP="005C5AD5">
            <w:pPr>
              <w:keepNext/>
              <w:widowControl/>
              <w:ind w:left="-108"/>
              <w:rPr>
                <w:rFonts w:ascii="Arial Narrow" w:hAnsi="Arial Narrow"/>
                <w:i/>
                <w:snapToGrid/>
                <w:sz w:val="20"/>
                <w:szCs w:val="20"/>
                <w:lang w:eastAsia="en-AU"/>
              </w:rPr>
            </w:pPr>
          </w:p>
          <w:p w:rsidR="005C5AD5" w:rsidRPr="007E2A26" w:rsidRDefault="005C5AD5" w:rsidP="005C5AD5">
            <w:pPr>
              <w:keepNext/>
              <w:widowControl/>
              <w:ind w:left="-108"/>
              <w:rPr>
                <w:rFonts w:ascii="Arial Narrow" w:hAnsi="Arial Narrow"/>
                <w:i/>
                <w:snapToGrid/>
                <w:sz w:val="20"/>
                <w:szCs w:val="20"/>
                <w:lang w:eastAsia="en-AU"/>
              </w:rPr>
            </w:pPr>
            <w:r w:rsidRPr="007E2A26">
              <w:rPr>
                <w:rFonts w:ascii="Arial Narrow" w:hAnsi="Arial Narrow"/>
                <w:i/>
                <w:snapToGrid/>
                <w:sz w:val="20"/>
                <w:szCs w:val="20"/>
                <w:lang w:eastAsia="en-AU"/>
              </w:rPr>
              <w:t>$81417.39 (public)</w:t>
            </w:r>
          </w:p>
          <w:p w:rsidR="005C5AD5" w:rsidRPr="007E2A26" w:rsidRDefault="005C5AD5" w:rsidP="005C5AD5">
            <w:pPr>
              <w:keepNext/>
              <w:widowControl/>
              <w:ind w:left="-108"/>
              <w:rPr>
                <w:rFonts w:ascii="Arial Narrow" w:hAnsi="Arial Narrow"/>
                <w:i/>
                <w:snapToGrid/>
                <w:sz w:val="20"/>
                <w:szCs w:val="20"/>
                <w:lang w:eastAsia="en-AU"/>
              </w:rPr>
            </w:pPr>
          </w:p>
          <w:p w:rsidR="005C5AD5" w:rsidRPr="007E2A26" w:rsidRDefault="005C5AD5" w:rsidP="005C5AD5">
            <w:pPr>
              <w:keepNext/>
              <w:widowControl/>
              <w:ind w:left="-108"/>
              <w:rPr>
                <w:rFonts w:ascii="Arial Narrow" w:hAnsi="Arial Narrow"/>
                <w:i/>
                <w:snapToGrid/>
                <w:sz w:val="20"/>
                <w:szCs w:val="20"/>
                <w:lang w:eastAsia="en-AU"/>
              </w:rPr>
            </w:pPr>
          </w:p>
          <w:p w:rsidR="005C5AD5" w:rsidRPr="007E2A26" w:rsidRDefault="005C5AD5" w:rsidP="005C5AD5">
            <w:pPr>
              <w:keepNext/>
              <w:widowControl/>
              <w:ind w:left="-108"/>
              <w:rPr>
                <w:rFonts w:ascii="Arial Narrow" w:hAnsi="Arial Narrow"/>
                <w:i/>
                <w:snapToGrid/>
                <w:sz w:val="20"/>
                <w:szCs w:val="20"/>
                <w:lang w:eastAsia="en-AU"/>
              </w:rPr>
            </w:pPr>
            <w:r w:rsidRPr="007E2A26">
              <w:rPr>
                <w:rFonts w:ascii="Arial Narrow" w:hAnsi="Arial Narrow"/>
                <w:i/>
                <w:snapToGrid/>
                <w:sz w:val="20"/>
                <w:szCs w:val="20"/>
                <w:lang w:eastAsia="en-AU"/>
              </w:rPr>
              <w:t>$82594.79 (private)</w:t>
            </w:r>
          </w:p>
        </w:tc>
        <w:tc>
          <w:tcPr>
            <w:tcW w:w="1276" w:type="dxa"/>
          </w:tcPr>
          <w:p w:rsidR="005C5AD5" w:rsidRPr="007E2A26" w:rsidRDefault="005C5AD5" w:rsidP="005C5AD5">
            <w:pPr>
              <w:keepNext/>
              <w:widowControl/>
              <w:rPr>
                <w:rFonts w:ascii="Arial Narrow" w:hAnsi="Arial Narrow"/>
                <w:i/>
                <w:snapToGrid/>
                <w:sz w:val="20"/>
                <w:szCs w:val="20"/>
                <w:lang w:eastAsia="en-AU"/>
              </w:rPr>
            </w:pPr>
          </w:p>
          <w:p w:rsidR="005C5AD5" w:rsidRPr="007E2A26" w:rsidRDefault="005C5AD5" w:rsidP="005C5AD5">
            <w:pPr>
              <w:keepNext/>
              <w:widowControl/>
              <w:rPr>
                <w:rFonts w:ascii="Arial Narrow" w:hAnsi="Arial Narrow"/>
                <w:i/>
                <w:snapToGrid/>
                <w:sz w:val="20"/>
                <w:szCs w:val="20"/>
                <w:lang w:eastAsia="en-AU"/>
              </w:rPr>
            </w:pPr>
            <w:r w:rsidRPr="007E2A26">
              <w:rPr>
                <w:rFonts w:ascii="Arial Narrow" w:hAnsi="Arial Narrow"/>
                <w:i/>
                <w:snapToGrid/>
                <w:sz w:val="20"/>
                <w:szCs w:val="20"/>
                <w:lang w:eastAsia="en-AU"/>
              </w:rPr>
              <w:t>Blincyto®</w:t>
            </w:r>
          </w:p>
          <w:p w:rsidR="005C5AD5" w:rsidRPr="007E2A26" w:rsidRDefault="005C5AD5" w:rsidP="005C5AD5">
            <w:pPr>
              <w:keepNext/>
              <w:widowControl/>
              <w:rPr>
                <w:rFonts w:ascii="Arial Narrow" w:hAnsi="Arial Narrow"/>
                <w:i/>
                <w:snapToGrid/>
                <w:sz w:val="20"/>
                <w:szCs w:val="20"/>
                <w:lang w:eastAsia="en-AU"/>
              </w:rPr>
            </w:pPr>
          </w:p>
          <w:p w:rsidR="005C5AD5" w:rsidRPr="007E2A26" w:rsidRDefault="005C5AD5" w:rsidP="005C5AD5">
            <w:pPr>
              <w:keepNext/>
              <w:widowControl/>
              <w:rPr>
                <w:rFonts w:ascii="Arial Narrow" w:hAnsi="Arial Narrow"/>
                <w:i/>
                <w:snapToGrid/>
                <w:sz w:val="20"/>
                <w:szCs w:val="20"/>
                <w:lang w:eastAsia="en-AU"/>
              </w:rPr>
            </w:pPr>
          </w:p>
          <w:p w:rsidR="005C5AD5" w:rsidRPr="007E2A26" w:rsidRDefault="005C5AD5" w:rsidP="005C5AD5">
            <w:pPr>
              <w:keepNext/>
              <w:widowControl/>
              <w:rPr>
                <w:rFonts w:ascii="Arial Narrow" w:hAnsi="Arial Narrow"/>
                <w:i/>
                <w:snapToGrid/>
                <w:sz w:val="20"/>
                <w:szCs w:val="20"/>
                <w:lang w:eastAsia="en-AU"/>
              </w:rPr>
            </w:pPr>
            <w:r w:rsidRPr="007E2A26">
              <w:rPr>
                <w:rFonts w:ascii="Arial Narrow" w:hAnsi="Arial Narrow"/>
                <w:i/>
                <w:snapToGrid/>
                <w:sz w:val="20"/>
                <w:szCs w:val="20"/>
                <w:lang w:eastAsia="en-AU"/>
              </w:rPr>
              <w:t>Blincyto®</w:t>
            </w:r>
          </w:p>
        </w:tc>
        <w:tc>
          <w:tcPr>
            <w:tcW w:w="1559" w:type="dxa"/>
          </w:tcPr>
          <w:p w:rsidR="005C5AD5" w:rsidRPr="007E2A26" w:rsidRDefault="005C5AD5" w:rsidP="005C5AD5">
            <w:pPr>
              <w:keepNext/>
              <w:widowControl/>
              <w:rPr>
                <w:rFonts w:ascii="Arial Narrow" w:hAnsi="Arial Narrow"/>
                <w:i/>
                <w:snapToGrid/>
                <w:sz w:val="20"/>
                <w:szCs w:val="20"/>
                <w:lang w:eastAsia="en-AU"/>
              </w:rPr>
            </w:pPr>
            <w:r w:rsidRPr="007E2A26">
              <w:rPr>
                <w:rFonts w:ascii="Arial Narrow" w:hAnsi="Arial Narrow"/>
                <w:i/>
                <w:snapToGrid/>
                <w:sz w:val="20"/>
                <w:szCs w:val="20"/>
                <w:lang w:eastAsia="en-AU"/>
              </w:rPr>
              <w:t>Amgen Australia Pty Ltd</w:t>
            </w:r>
          </w:p>
          <w:p w:rsidR="005C5AD5" w:rsidRPr="007E2A26" w:rsidRDefault="005C5AD5" w:rsidP="005C5AD5">
            <w:pPr>
              <w:keepNext/>
              <w:widowControl/>
              <w:rPr>
                <w:rFonts w:ascii="Arial Narrow" w:hAnsi="Arial Narrow"/>
                <w:i/>
                <w:snapToGrid/>
                <w:sz w:val="20"/>
                <w:szCs w:val="20"/>
                <w:lang w:eastAsia="en-AU"/>
              </w:rPr>
            </w:pPr>
          </w:p>
          <w:p w:rsidR="005C5AD5" w:rsidRPr="007E2A26" w:rsidRDefault="005C5AD5" w:rsidP="005C5AD5">
            <w:pPr>
              <w:keepNext/>
              <w:widowControl/>
              <w:rPr>
                <w:rFonts w:ascii="Arial Narrow" w:hAnsi="Arial Narrow"/>
                <w:i/>
                <w:snapToGrid/>
                <w:sz w:val="20"/>
                <w:szCs w:val="20"/>
                <w:lang w:eastAsia="en-AU"/>
              </w:rPr>
            </w:pPr>
            <w:r w:rsidRPr="007E2A26">
              <w:rPr>
                <w:rFonts w:ascii="Arial Narrow" w:hAnsi="Arial Narrow"/>
                <w:i/>
                <w:snapToGrid/>
                <w:sz w:val="20"/>
                <w:szCs w:val="20"/>
                <w:lang w:eastAsia="en-AU"/>
              </w:rPr>
              <w:t>Amgen Australia Pty Ltd</w:t>
            </w:r>
          </w:p>
        </w:tc>
      </w:tr>
      <w:tr w:rsidR="005C5AD5" w:rsidRPr="007E2A26" w:rsidTr="00FD5491">
        <w:trPr>
          <w:cantSplit/>
          <w:trHeight w:val="360"/>
        </w:trPr>
        <w:tc>
          <w:tcPr>
            <w:tcW w:w="9214" w:type="dxa"/>
            <w:gridSpan w:val="7"/>
            <w:tcBorders>
              <w:bottom w:val="single" w:sz="4" w:space="0" w:color="auto"/>
            </w:tcBorders>
          </w:tcPr>
          <w:p w:rsidR="005C5AD5" w:rsidRPr="007E2A26" w:rsidRDefault="005C5AD5" w:rsidP="005C5AD5">
            <w:pPr>
              <w:widowControl/>
              <w:rPr>
                <w:rFonts w:ascii="Arial Narrow" w:hAnsi="Arial Narrow"/>
                <w:i/>
                <w:snapToGrid/>
                <w:sz w:val="20"/>
                <w:szCs w:val="20"/>
                <w:lang w:eastAsia="en-AU"/>
              </w:rPr>
            </w:pPr>
          </w:p>
        </w:tc>
      </w:tr>
      <w:tr w:rsidR="005C5AD5" w:rsidRPr="007E2A26" w:rsidTr="00FD5491">
        <w:trPr>
          <w:cantSplit/>
          <w:trHeight w:val="360"/>
        </w:trPr>
        <w:tc>
          <w:tcPr>
            <w:tcW w:w="2835" w:type="dxa"/>
            <w:tcBorders>
              <w:top w:val="single" w:sz="4" w:space="0" w:color="auto"/>
              <w:left w:val="single" w:sz="4" w:space="0" w:color="auto"/>
              <w:bottom w:val="single" w:sz="4" w:space="0" w:color="auto"/>
              <w:right w:val="single" w:sz="4" w:space="0" w:color="auto"/>
            </w:tcBorders>
          </w:tcPr>
          <w:p w:rsidR="005C5AD5" w:rsidRPr="007E2A26" w:rsidRDefault="005C5AD5" w:rsidP="005C5AD5">
            <w:pPr>
              <w:widowControl/>
              <w:rPr>
                <w:rFonts w:ascii="Arial Narrow" w:hAnsi="Arial Narrow"/>
                <w:b/>
                <w:i/>
                <w:snapToGrid/>
                <w:sz w:val="20"/>
                <w:szCs w:val="20"/>
                <w:lang w:eastAsia="en-AU"/>
              </w:rPr>
            </w:pPr>
            <w:r w:rsidRPr="007E2A26">
              <w:rPr>
                <w:rFonts w:ascii="Arial Narrow" w:hAnsi="Arial Narrow"/>
                <w:b/>
                <w:i/>
                <w:snapToGrid/>
                <w:sz w:val="20"/>
                <w:szCs w:val="20"/>
                <w:lang w:eastAsia="en-AU"/>
              </w:rPr>
              <w:t xml:space="preserve">Category / </w:t>
            </w:r>
          </w:p>
          <w:p w:rsidR="005C5AD5" w:rsidRPr="007E2A26" w:rsidRDefault="005C5AD5" w:rsidP="005C5AD5">
            <w:pPr>
              <w:widowControl/>
              <w:rPr>
                <w:rFonts w:ascii="Arial Narrow" w:hAnsi="Arial Narrow"/>
                <w:b/>
                <w:i/>
                <w:snapToGrid/>
                <w:sz w:val="20"/>
                <w:szCs w:val="20"/>
                <w:lang w:eastAsia="en-AU"/>
              </w:rPr>
            </w:pPr>
            <w:r w:rsidRPr="007E2A26">
              <w:rPr>
                <w:rFonts w:ascii="Arial Narrow" w:hAnsi="Arial Narrow"/>
                <w:b/>
                <w:i/>
                <w:snapToGrid/>
                <w:sz w:val="20"/>
                <w:szCs w:val="20"/>
                <w:lang w:eastAsia="en-AU"/>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5C5AD5" w:rsidRPr="007E2A26" w:rsidRDefault="005C5AD5" w:rsidP="005C5AD5">
            <w:pPr>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Section 100 – Efficient funding of Chemotherapy (S100 EFC Public)</w:t>
            </w:r>
          </w:p>
          <w:p w:rsidR="005C5AD5" w:rsidRPr="007E2A26" w:rsidRDefault="005C5AD5" w:rsidP="005C5AD5">
            <w:pPr>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Section 100 – Efficient funding of Chemotherapy (S100 EFC Private)</w:t>
            </w:r>
          </w:p>
        </w:tc>
      </w:tr>
      <w:tr w:rsidR="005C5AD5" w:rsidRPr="007E2A26" w:rsidTr="00FD5491">
        <w:trPr>
          <w:cantSplit/>
          <w:trHeight w:val="360"/>
        </w:trPr>
        <w:tc>
          <w:tcPr>
            <w:tcW w:w="2835" w:type="dxa"/>
            <w:tcBorders>
              <w:top w:val="single" w:sz="4" w:space="0" w:color="auto"/>
              <w:left w:val="single" w:sz="4" w:space="0" w:color="auto"/>
              <w:bottom w:val="single" w:sz="4" w:space="0" w:color="auto"/>
              <w:right w:val="single" w:sz="4" w:space="0" w:color="auto"/>
            </w:tcBorders>
          </w:tcPr>
          <w:p w:rsidR="005C5AD5" w:rsidRPr="007E2A26" w:rsidRDefault="005C5AD5" w:rsidP="005C5AD5">
            <w:pPr>
              <w:widowControl/>
              <w:rPr>
                <w:rFonts w:ascii="Arial Narrow" w:hAnsi="Arial Narrow"/>
                <w:b/>
                <w:i/>
                <w:snapToGrid/>
                <w:sz w:val="20"/>
                <w:szCs w:val="20"/>
                <w:lang w:eastAsia="en-AU"/>
              </w:rPr>
            </w:pPr>
            <w:r w:rsidRPr="007E2A26">
              <w:rPr>
                <w:rFonts w:ascii="Arial Narrow" w:hAnsi="Arial Narrow"/>
                <w:b/>
                <w:i/>
                <w:snapToGrid/>
                <w:sz w:val="20"/>
                <w:szCs w:val="20"/>
                <w:lang w:eastAsia="en-AU"/>
              </w:rPr>
              <w:t>Prescriber type:</w:t>
            </w:r>
          </w:p>
          <w:p w:rsidR="005C5AD5" w:rsidRPr="007E2A26" w:rsidRDefault="005C5AD5" w:rsidP="005C5AD5">
            <w:pPr>
              <w:widowControl/>
              <w:rPr>
                <w:rFonts w:ascii="Arial Narrow" w:hAnsi="Arial Narrow"/>
                <w:b/>
                <w:i/>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5C5AD5" w:rsidRPr="007E2A26" w:rsidRDefault="005C5AD5" w:rsidP="005C5AD5">
            <w:pPr>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fldChar w:fldCharType="begin">
                <w:ffData>
                  <w:name w:val="Check1"/>
                  <w:enabled/>
                  <w:calcOnExit w:val="0"/>
                  <w:checkBox>
                    <w:sizeAuto/>
                    <w:default w:val="0"/>
                  </w:checkBox>
                </w:ffData>
              </w:fldChar>
            </w:r>
            <w:r w:rsidRPr="007E2A26">
              <w:rPr>
                <w:rFonts w:ascii="Arial Narrow" w:hAnsi="Arial Narrow"/>
                <w:i/>
                <w:snapToGrid/>
                <w:sz w:val="20"/>
                <w:szCs w:val="20"/>
                <w:lang w:eastAsia="en-AU"/>
              </w:rPr>
              <w:instrText xml:space="preserve"> FORMCHECKBOX </w:instrText>
            </w:r>
            <w:r w:rsidR="00CD0E7D">
              <w:rPr>
                <w:rFonts w:ascii="Arial Narrow" w:hAnsi="Arial Narrow"/>
                <w:i/>
                <w:snapToGrid/>
                <w:sz w:val="20"/>
                <w:szCs w:val="20"/>
                <w:lang w:eastAsia="en-AU"/>
              </w:rPr>
            </w:r>
            <w:r w:rsidR="00CD0E7D">
              <w:rPr>
                <w:rFonts w:ascii="Arial Narrow" w:hAnsi="Arial Narrow"/>
                <w:i/>
                <w:snapToGrid/>
                <w:sz w:val="20"/>
                <w:szCs w:val="20"/>
                <w:lang w:eastAsia="en-AU"/>
              </w:rPr>
              <w:fldChar w:fldCharType="separate"/>
            </w:r>
            <w:r w:rsidRPr="007E2A26">
              <w:rPr>
                <w:rFonts w:ascii="Arial Narrow" w:hAnsi="Arial Narrow"/>
                <w:i/>
                <w:snapToGrid/>
                <w:sz w:val="20"/>
                <w:szCs w:val="20"/>
                <w:lang w:eastAsia="en-AU"/>
              </w:rPr>
              <w:fldChar w:fldCharType="end"/>
            </w:r>
            <w:r w:rsidRPr="007E2A26">
              <w:rPr>
                <w:rFonts w:ascii="Arial Narrow" w:hAnsi="Arial Narrow"/>
                <w:i/>
                <w:snapToGrid/>
                <w:sz w:val="20"/>
                <w:szCs w:val="20"/>
                <w:lang w:eastAsia="en-AU"/>
              </w:rPr>
              <w:t xml:space="preserve">Dental  </w:t>
            </w:r>
            <w:r w:rsidRPr="007E2A26">
              <w:rPr>
                <w:rFonts w:ascii="Arial Narrow" w:hAnsi="Arial Narrow"/>
                <w:i/>
                <w:snapToGrid/>
                <w:sz w:val="20"/>
                <w:szCs w:val="20"/>
                <w:lang w:eastAsia="en-AU"/>
              </w:rPr>
              <w:fldChar w:fldCharType="begin">
                <w:ffData>
                  <w:name w:val=""/>
                  <w:enabled/>
                  <w:calcOnExit w:val="0"/>
                  <w:checkBox>
                    <w:sizeAuto/>
                    <w:default w:val="1"/>
                  </w:checkBox>
                </w:ffData>
              </w:fldChar>
            </w:r>
            <w:r w:rsidRPr="007E2A26">
              <w:rPr>
                <w:rFonts w:ascii="Arial Narrow" w:hAnsi="Arial Narrow"/>
                <w:i/>
                <w:snapToGrid/>
                <w:sz w:val="20"/>
                <w:szCs w:val="20"/>
                <w:lang w:eastAsia="en-AU"/>
              </w:rPr>
              <w:instrText xml:space="preserve"> FORMCHECKBOX </w:instrText>
            </w:r>
            <w:r w:rsidR="00CD0E7D">
              <w:rPr>
                <w:rFonts w:ascii="Arial Narrow" w:hAnsi="Arial Narrow"/>
                <w:i/>
                <w:snapToGrid/>
                <w:sz w:val="20"/>
                <w:szCs w:val="20"/>
                <w:lang w:eastAsia="en-AU"/>
              </w:rPr>
            </w:r>
            <w:r w:rsidR="00CD0E7D">
              <w:rPr>
                <w:rFonts w:ascii="Arial Narrow" w:hAnsi="Arial Narrow"/>
                <w:i/>
                <w:snapToGrid/>
                <w:sz w:val="20"/>
                <w:szCs w:val="20"/>
                <w:lang w:eastAsia="en-AU"/>
              </w:rPr>
              <w:fldChar w:fldCharType="separate"/>
            </w:r>
            <w:r w:rsidRPr="007E2A26">
              <w:rPr>
                <w:rFonts w:ascii="Arial Narrow" w:hAnsi="Arial Narrow"/>
                <w:i/>
                <w:snapToGrid/>
                <w:sz w:val="20"/>
                <w:szCs w:val="20"/>
                <w:lang w:eastAsia="en-AU"/>
              </w:rPr>
              <w:fldChar w:fldCharType="end"/>
            </w:r>
            <w:r w:rsidRPr="007E2A26">
              <w:rPr>
                <w:rFonts w:ascii="Arial Narrow" w:hAnsi="Arial Narrow"/>
                <w:i/>
                <w:snapToGrid/>
                <w:sz w:val="20"/>
                <w:szCs w:val="20"/>
                <w:lang w:eastAsia="en-AU"/>
              </w:rPr>
              <w:t xml:space="preserve">Medical Practitioners  </w:t>
            </w:r>
            <w:r w:rsidRPr="007E2A26">
              <w:rPr>
                <w:rFonts w:ascii="Arial Narrow" w:hAnsi="Arial Narrow"/>
                <w:i/>
                <w:snapToGrid/>
                <w:sz w:val="20"/>
                <w:szCs w:val="20"/>
                <w:lang w:eastAsia="en-AU"/>
              </w:rPr>
              <w:fldChar w:fldCharType="begin">
                <w:ffData>
                  <w:name w:val="Check3"/>
                  <w:enabled/>
                  <w:calcOnExit w:val="0"/>
                  <w:checkBox>
                    <w:sizeAuto/>
                    <w:default w:val="0"/>
                  </w:checkBox>
                </w:ffData>
              </w:fldChar>
            </w:r>
            <w:r w:rsidRPr="007E2A26">
              <w:rPr>
                <w:rFonts w:ascii="Arial Narrow" w:hAnsi="Arial Narrow"/>
                <w:i/>
                <w:snapToGrid/>
                <w:sz w:val="20"/>
                <w:szCs w:val="20"/>
                <w:lang w:eastAsia="en-AU"/>
              </w:rPr>
              <w:instrText xml:space="preserve"> FORMCHECKBOX </w:instrText>
            </w:r>
            <w:r w:rsidR="00CD0E7D">
              <w:rPr>
                <w:rFonts w:ascii="Arial Narrow" w:hAnsi="Arial Narrow"/>
                <w:i/>
                <w:snapToGrid/>
                <w:sz w:val="20"/>
                <w:szCs w:val="20"/>
                <w:lang w:eastAsia="en-AU"/>
              </w:rPr>
            </w:r>
            <w:r w:rsidR="00CD0E7D">
              <w:rPr>
                <w:rFonts w:ascii="Arial Narrow" w:hAnsi="Arial Narrow"/>
                <w:i/>
                <w:snapToGrid/>
                <w:sz w:val="20"/>
                <w:szCs w:val="20"/>
                <w:lang w:eastAsia="en-AU"/>
              </w:rPr>
              <w:fldChar w:fldCharType="separate"/>
            </w:r>
            <w:r w:rsidRPr="007E2A26">
              <w:rPr>
                <w:rFonts w:ascii="Arial Narrow" w:hAnsi="Arial Narrow"/>
                <w:i/>
                <w:snapToGrid/>
                <w:sz w:val="20"/>
                <w:szCs w:val="20"/>
                <w:lang w:eastAsia="en-AU"/>
              </w:rPr>
              <w:fldChar w:fldCharType="end"/>
            </w:r>
            <w:r w:rsidRPr="007E2A26">
              <w:rPr>
                <w:rFonts w:ascii="Arial Narrow" w:hAnsi="Arial Narrow"/>
                <w:i/>
                <w:snapToGrid/>
                <w:sz w:val="20"/>
                <w:szCs w:val="20"/>
                <w:lang w:eastAsia="en-AU"/>
              </w:rPr>
              <w:t xml:space="preserve">Nurse practitioners  </w:t>
            </w:r>
            <w:r w:rsidRPr="007E2A26">
              <w:rPr>
                <w:rFonts w:ascii="Arial Narrow" w:hAnsi="Arial Narrow"/>
                <w:i/>
                <w:snapToGrid/>
                <w:sz w:val="20"/>
                <w:szCs w:val="20"/>
                <w:lang w:eastAsia="en-AU"/>
              </w:rPr>
              <w:fldChar w:fldCharType="begin">
                <w:ffData>
                  <w:name w:val=""/>
                  <w:enabled/>
                  <w:calcOnExit w:val="0"/>
                  <w:checkBox>
                    <w:sizeAuto/>
                    <w:default w:val="0"/>
                  </w:checkBox>
                </w:ffData>
              </w:fldChar>
            </w:r>
            <w:r w:rsidRPr="007E2A26">
              <w:rPr>
                <w:rFonts w:ascii="Arial Narrow" w:hAnsi="Arial Narrow"/>
                <w:i/>
                <w:snapToGrid/>
                <w:sz w:val="20"/>
                <w:szCs w:val="20"/>
                <w:lang w:eastAsia="en-AU"/>
              </w:rPr>
              <w:instrText xml:space="preserve"> FORMCHECKBOX </w:instrText>
            </w:r>
            <w:r w:rsidR="00CD0E7D">
              <w:rPr>
                <w:rFonts w:ascii="Arial Narrow" w:hAnsi="Arial Narrow"/>
                <w:i/>
                <w:snapToGrid/>
                <w:sz w:val="20"/>
                <w:szCs w:val="20"/>
                <w:lang w:eastAsia="en-AU"/>
              </w:rPr>
            </w:r>
            <w:r w:rsidR="00CD0E7D">
              <w:rPr>
                <w:rFonts w:ascii="Arial Narrow" w:hAnsi="Arial Narrow"/>
                <w:i/>
                <w:snapToGrid/>
                <w:sz w:val="20"/>
                <w:szCs w:val="20"/>
                <w:lang w:eastAsia="en-AU"/>
              </w:rPr>
              <w:fldChar w:fldCharType="separate"/>
            </w:r>
            <w:r w:rsidRPr="007E2A26">
              <w:rPr>
                <w:rFonts w:ascii="Arial Narrow" w:hAnsi="Arial Narrow"/>
                <w:i/>
                <w:snapToGrid/>
                <w:sz w:val="20"/>
                <w:szCs w:val="20"/>
                <w:lang w:eastAsia="en-AU"/>
              </w:rPr>
              <w:fldChar w:fldCharType="end"/>
            </w:r>
            <w:r w:rsidRPr="007E2A26">
              <w:rPr>
                <w:rFonts w:ascii="Arial Narrow" w:hAnsi="Arial Narrow"/>
                <w:i/>
                <w:snapToGrid/>
                <w:sz w:val="20"/>
                <w:szCs w:val="20"/>
                <w:lang w:eastAsia="en-AU"/>
              </w:rPr>
              <w:t>Optometrists</w:t>
            </w:r>
          </w:p>
          <w:p w:rsidR="005C5AD5" w:rsidRPr="007E2A26" w:rsidRDefault="005C5AD5" w:rsidP="005C5AD5">
            <w:pPr>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fldChar w:fldCharType="begin">
                <w:ffData>
                  <w:name w:val="Check5"/>
                  <w:enabled/>
                  <w:calcOnExit w:val="0"/>
                  <w:checkBox>
                    <w:sizeAuto/>
                    <w:default w:val="0"/>
                  </w:checkBox>
                </w:ffData>
              </w:fldChar>
            </w:r>
            <w:r w:rsidRPr="007E2A26">
              <w:rPr>
                <w:rFonts w:ascii="Arial Narrow" w:hAnsi="Arial Narrow"/>
                <w:i/>
                <w:snapToGrid/>
                <w:sz w:val="20"/>
                <w:szCs w:val="20"/>
                <w:lang w:eastAsia="en-AU"/>
              </w:rPr>
              <w:instrText xml:space="preserve"> FORMCHECKBOX </w:instrText>
            </w:r>
            <w:r w:rsidR="00CD0E7D">
              <w:rPr>
                <w:rFonts w:ascii="Arial Narrow" w:hAnsi="Arial Narrow"/>
                <w:i/>
                <w:snapToGrid/>
                <w:sz w:val="20"/>
                <w:szCs w:val="20"/>
                <w:lang w:eastAsia="en-AU"/>
              </w:rPr>
            </w:r>
            <w:r w:rsidR="00CD0E7D">
              <w:rPr>
                <w:rFonts w:ascii="Arial Narrow" w:hAnsi="Arial Narrow"/>
                <w:i/>
                <w:snapToGrid/>
                <w:sz w:val="20"/>
                <w:szCs w:val="20"/>
                <w:lang w:eastAsia="en-AU"/>
              </w:rPr>
              <w:fldChar w:fldCharType="separate"/>
            </w:r>
            <w:r w:rsidRPr="007E2A26">
              <w:rPr>
                <w:rFonts w:ascii="Arial Narrow" w:hAnsi="Arial Narrow"/>
                <w:i/>
                <w:snapToGrid/>
                <w:sz w:val="20"/>
                <w:szCs w:val="20"/>
                <w:lang w:eastAsia="en-AU"/>
              </w:rPr>
              <w:fldChar w:fldCharType="end"/>
            </w:r>
            <w:r w:rsidRPr="007E2A26">
              <w:rPr>
                <w:rFonts w:ascii="Arial Narrow" w:hAnsi="Arial Narrow"/>
                <w:i/>
                <w:snapToGrid/>
                <w:sz w:val="20"/>
                <w:szCs w:val="20"/>
                <w:lang w:eastAsia="en-AU"/>
              </w:rPr>
              <w:t>Midwives</w:t>
            </w:r>
          </w:p>
        </w:tc>
      </w:tr>
      <w:tr w:rsidR="005C5AD5" w:rsidRPr="007E2A26" w:rsidTr="00FD5491">
        <w:trPr>
          <w:cantSplit/>
          <w:trHeight w:val="360"/>
        </w:trPr>
        <w:tc>
          <w:tcPr>
            <w:tcW w:w="2835" w:type="dxa"/>
            <w:tcBorders>
              <w:top w:val="single" w:sz="4" w:space="0" w:color="auto"/>
              <w:left w:val="single" w:sz="4" w:space="0" w:color="auto"/>
              <w:bottom w:val="single" w:sz="4" w:space="0" w:color="auto"/>
              <w:right w:val="single" w:sz="4" w:space="0" w:color="auto"/>
            </w:tcBorders>
          </w:tcPr>
          <w:p w:rsidR="005C5AD5" w:rsidRPr="007E2A26" w:rsidRDefault="005C5AD5" w:rsidP="005C5AD5">
            <w:pPr>
              <w:widowControl/>
              <w:rPr>
                <w:rFonts w:ascii="Arial Narrow" w:hAnsi="Arial Narrow"/>
                <w:b/>
                <w:i/>
                <w:snapToGrid/>
                <w:sz w:val="20"/>
                <w:szCs w:val="20"/>
                <w:lang w:eastAsia="en-AU"/>
              </w:rPr>
            </w:pPr>
            <w:r w:rsidRPr="007E2A26">
              <w:rPr>
                <w:rFonts w:ascii="Arial Narrow" w:hAnsi="Arial Narrow"/>
                <w:b/>
                <w:i/>
                <w:snapToGrid/>
                <w:sz w:val="20"/>
                <w:szCs w:val="20"/>
                <w:lang w:eastAsia="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5C5AD5" w:rsidRPr="007E2A26" w:rsidRDefault="005C5AD5" w:rsidP="005C5AD5">
            <w:pPr>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Acute lymphoblastic leukaemia (ALL)</w:t>
            </w:r>
          </w:p>
        </w:tc>
      </w:tr>
      <w:tr w:rsidR="005C5AD5" w:rsidRPr="007E2A26" w:rsidTr="00FD5491">
        <w:trPr>
          <w:cantSplit/>
          <w:trHeight w:val="360"/>
        </w:trPr>
        <w:tc>
          <w:tcPr>
            <w:tcW w:w="2835" w:type="dxa"/>
            <w:tcBorders>
              <w:top w:val="single" w:sz="4" w:space="0" w:color="auto"/>
              <w:left w:val="single" w:sz="4" w:space="0" w:color="auto"/>
              <w:bottom w:val="single" w:sz="4" w:space="0" w:color="auto"/>
              <w:right w:val="single" w:sz="4" w:space="0" w:color="auto"/>
            </w:tcBorders>
          </w:tcPr>
          <w:p w:rsidR="005C5AD5" w:rsidRPr="007E2A26" w:rsidRDefault="005C5AD5" w:rsidP="005C5AD5">
            <w:pPr>
              <w:widowControl/>
              <w:rPr>
                <w:rFonts w:ascii="Arial Narrow" w:hAnsi="Arial Narrow"/>
                <w:b/>
                <w:i/>
                <w:snapToGrid/>
                <w:sz w:val="20"/>
                <w:szCs w:val="20"/>
                <w:lang w:eastAsia="en-AU"/>
              </w:rPr>
            </w:pPr>
            <w:r w:rsidRPr="007E2A26">
              <w:rPr>
                <w:rFonts w:ascii="Arial Narrow" w:hAnsi="Arial Narrow"/>
                <w:b/>
                <w:i/>
                <w:snapToGrid/>
                <w:sz w:val="20"/>
                <w:szCs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5C5AD5" w:rsidRPr="007E2A26" w:rsidRDefault="005C5AD5" w:rsidP="005C5AD5">
            <w:pPr>
              <w:widowControl/>
              <w:jc w:val="left"/>
              <w:rPr>
                <w:rFonts w:ascii="Arial Narrow" w:hAnsi="Arial Narrow"/>
                <w:i/>
                <w:strike/>
                <w:snapToGrid/>
                <w:sz w:val="20"/>
                <w:szCs w:val="20"/>
                <w:lang w:eastAsia="en-AU"/>
              </w:rPr>
            </w:pPr>
            <w:r w:rsidRPr="007E2A26">
              <w:rPr>
                <w:rFonts w:ascii="Arial Narrow" w:hAnsi="Arial Narrow"/>
                <w:i/>
                <w:strike/>
                <w:snapToGrid/>
                <w:sz w:val="20"/>
                <w:szCs w:val="20"/>
                <w:lang w:eastAsia="en-AU"/>
              </w:rPr>
              <w:t>B-cell precursor acute lymphoblastic leukaemia (B-ALL) in complete haematological remission with minimal residual disease (MRD)</w:t>
            </w:r>
          </w:p>
          <w:p w:rsidR="005C5AD5" w:rsidRPr="007E2A26" w:rsidRDefault="005C5AD5" w:rsidP="005C5AD5">
            <w:pPr>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Minimal residual disease (MRD) positive B-cell precursor acute lymphoblastic leukaemia (ALL) in patients in complete haematological remission</w:t>
            </w:r>
          </w:p>
        </w:tc>
      </w:tr>
      <w:tr w:rsidR="005C5AD5" w:rsidRPr="007E2A26" w:rsidTr="00FD5491">
        <w:trPr>
          <w:cantSplit/>
          <w:trHeight w:val="360"/>
        </w:trPr>
        <w:tc>
          <w:tcPr>
            <w:tcW w:w="2835" w:type="dxa"/>
            <w:tcBorders>
              <w:top w:val="single" w:sz="4" w:space="0" w:color="auto"/>
              <w:left w:val="single" w:sz="4" w:space="0" w:color="auto"/>
              <w:bottom w:val="single" w:sz="4" w:space="0" w:color="auto"/>
              <w:right w:val="single" w:sz="4" w:space="0" w:color="auto"/>
            </w:tcBorders>
          </w:tcPr>
          <w:p w:rsidR="005C5AD5" w:rsidRPr="007E2A26" w:rsidRDefault="005C5AD5" w:rsidP="005C5AD5">
            <w:pPr>
              <w:widowControl/>
              <w:rPr>
                <w:rFonts w:ascii="Arial Narrow" w:hAnsi="Arial Narrow"/>
                <w:b/>
                <w:i/>
                <w:snapToGrid/>
                <w:sz w:val="20"/>
                <w:szCs w:val="20"/>
                <w:lang w:eastAsia="en-AU"/>
              </w:rPr>
            </w:pPr>
            <w:r w:rsidRPr="007E2A26">
              <w:rPr>
                <w:rFonts w:ascii="Arial Narrow" w:hAnsi="Arial Narrow"/>
                <w:b/>
                <w:i/>
                <w:snapToGrid/>
                <w:sz w:val="20"/>
                <w:szCs w:val="20"/>
                <w:lang w:eastAsia="en-AU"/>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5C5AD5" w:rsidRPr="007E2A26" w:rsidRDefault="005C5AD5" w:rsidP="005C5AD5">
            <w:pPr>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Continuing treatment</w:t>
            </w:r>
          </w:p>
        </w:tc>
      </w:tr>
      <w:tr w:rsidR="005C5AD5" w:rsidRPr="007E2A26" w:rsidTr="00FD5491">
        <w:trPr>
          <w:cantSplit/>
          <w:trHeight w:val="360"/>
        </w:trPr>
        <w:tc>
          <w:tcPr>
            <w:tcW w:w="2835" w:type="dxa"/>
            <w:tcBorders>
              <w:top w:val="single" w:sz="4" w:space="0" w:color="auto"/>
              <w:left w:val="single" w:sz="4" w:space="0" w:color="auto"/>
              <w:bottom w:val="single" w:sz="4" w:space="0" w:color="auto"/>
              <w:right w:val="single" w:sz="4" w:space="0" w:color="auto"/>
            </w:tcBorders>
          </w:tcPr>
          <w:p w:rsidR="005C5AD5" w:rsidRPr="007E2A26" w:rsidRDefault="005C5AD5" w:rsidP="005C5AD5">
            <w:pPr>
              <w:widowControl/>
              <w:rPr>
                <w:rFonts w:ascii="Arial Narrow" w:hAnsi="Arial Narrow"/>
                <w:b/>
                <w:i/>
                <w:snapToGrid/>
                <w:sz w:val="20"/>
                <w:szCs w:val="20"/>
                <w:lang w:eastAsia="en-AU"/>
              </w:rPr>
            </w:pPr>
            <w:r w:rsidRPr="007E2A26">
              <w:rPr>
                <w:rFonts w:ascii="Arial Narrow" w:hAnsi="Arial Narrow"/>
                <w:b/>
                <w:i/>
                <w:snapToGrid/>
                <w:sz w:val="20"/>
                <w:szCs w:val="20"/>
                <w:lang w:eastAsia="en-AU"/>
              </w:rPr>
              <w:t>Restriction Level / Method:</w:t>
            </w:r>
          </w:p>
          <w:p w:rsidR="005C5AD5" w:rsidRPr="007E2A26" w:rsidRDefault="005C5AD5" w:rsidP="005C5AD5">
            <w:pPr>
              <w:widowControl/>
              <w:jc w:val="left"/>
              <w:rPr>
                <w:rFonts w:ascii="Arial Narrow" w:hAnsi="Arial Narrow"/>
                <w:i/>
                <w:snapToGrid/>
                <w:sz w:val="20"/>
                <w:szCs w:val="20"/>
                <w:highlight w:val="yellow"/>
                <w:lang w:eastAsia="en-AU"/>
              </w:rPr>
            </w:pPr>
          </w:p>
          <w:p w:rsidR="005C5AD5" w:rsidRPr="007E2A26" w:rsidRDefault="005C5AD5" w:rsidP="005C5AD5">
            <w:pPr>
              <w:widowControl/>
              <w:jc w:val="left"/>
              <w:rPr>
                <w:rFonts w:ascii="Arial Narrow" w:hAnsi="Arial Narrow"/>
                <w:i/>
                <w:snapToGrid/>
                <w:sz w:val="20"/>
                <w:szCs w:val="20"/>
                <w:lang w:eastAsia="en-AU"/>
              </w:rPr>
            </w:pPr>
          </w:p>
          <w:p w:rsidR="005C5AD5" w:rsidRPr="007E2A26" w:rsidRDefault="005C5AD5" w:rsidP="005C5AD5">
            <w:pPr>
              <w:widowControl/>
              <w:jc w:val="left"/>
              <w:rPr>
                <w:rFonts w:ascii="Arial Narrow" w:hAnsi="Arial Narrow"/>
                <w:i/>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5C5AD5" w:rsidRPr="007E2A26" w:rsidRDefault="005C5AD5" w:rsidP="005C5AD5">
            <w:pPr>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fldChar w:fldCharType="begin">
                <w:ffData>
                  <w:name w:val="Check1"/>
                  <w:enabled/>
                  <w:calcOnExit w:val="0"/>
                  <w:checkBox>
                    <w:sizeAuto/>
                    <w:default w:val="0"/>
                  </w:checkBox>
                </w:ffData>
              </w:fldChar>
            </w:r>
            <w:r w:rsidRPr="007E2A26">
              <w:rPr>
                <w:rFonts w:ascii="Arial Narrow" w:hAnsi="Arial Narrow"/>
                <w:i/>
                <w:snapToGrid/>
                <w:sz w:val="20"/>
                <w:szCs w:val="20"/>
                <w:lang w:eastAsia="en-AU"/>
              </w:rPr>
              <w:instrText xml:space="preserve"> FORMCHECKBOX </w:instrText>
            </w:r>
            <w:r w:rsidR="00CD0E7D">
              <w:rPr>
                <w:rFonts w:ascii="Arial Narrow" w:hAnsi="Arial Narrow"/>
                <w:i/>
                <w:snapToGrid/>
                <w:sz w:val="20"/>
                <w:szCs w:val="20"/>
                <w:lang w:eastAsia="en-AU"/>
              </w:rPr>
            </w:r>
            <w:r w:rsidR="00CD0E7D">
              <w:rPr>
                <w:rFonts w:ascii="Arial Narrow" w:hAnsi="Arial Narrow"/>
                <w:i/>
                <w:snapToGrid/>
                <w:sz w:val="20"/>
                <w:szCs w:val="20"/>
                <w:lang w:eastAsia="en-AU"/>
              </w:rPr>
              <w:fldChar w:fldCharType="separate"/>
            </w:r>
            <w:r w:rsidRPr="007E2A26">
              <w:rPr>
                <w:rFonts w:ascii="Arial Narrow" w:hAnsi="Arial Narrow"/>
                <w:i/>
                <w:snapToGrid/>
                <w:sz w:val="20"/>
                <w:szCs w:val="20"/>
                <w:lang w:eastAsia="en-AU"/>
              </w:rPr>
              <w:fldChar w:fldCharType="end"/>
            </w:r>
            <w:r w:rsidRPr="007E2A26">
              <w:rPr>
                <w:rFonts w:ascii="Arial Narrow" w:hAnsi="Arial Narrow"/>
                <w:i/>
                <w:snapToGrid/>
                <w:sz w:val="20"/>
                <w:szCs w:val="20"/>
                <w:lang w:eastAsia="en-AU"/>
              </w:rPr>
              <w:t>Restricted benefit</w:t>
            </w:r>
          </w:p>
          <w:p w:rsidR="005C5AD5" w:rsidRPr="007E2A26" w:rsidRDefault="005C5AD5" w:rsidP="005C5AD5">
            <w:pPr>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fldChar w:fldCharType="begin">
                <w:ffData>
                  <w:name w:val=""/>
                  <w:enabled/>
                  <w:calcOnExit w:val="0"/>
                  <w:checkBox>
                    <w:sizeAuto/>
                    <w:default w:val="0"/>
                  </w:checkBox>
                </w:ffData>
              </w:fldChar>
            </w:r>
            <w:r w:rsidRPr="007E2A26">
              <w:rPr>
                <w:rFonts w:ascii="Arial Narrow" w:hAnsi="Arial Narrow"/>
                <w:i/>
                <w:snapToGrid/>
                <w:sz w:val="20"/>
                <w:szCs w:val="20"/>
                <w:lang w:eastAsia="en-AU"/>
              </w:rPr>
              <w:instrText xml:space="preserve"> FORMCHECKBOX </w:instrText>
            </w:r>
            <w:r w:rsidR="00CD0E7D">
              <w:rPr>
                <w:rFonts w:ascii="Arial Narrow" w:hAnsi="Arial Narrow"/>
                <w:i/>
                <w:snapToGrid/>
                <w:sz w:val="20"/>
                <w:szCs w:val="20"/>
                <w:lang w:eastAsia="en-AU"/>
              </w:rPr>
            </w:r>
            <w:r w:rsidR="00CD0E7D">
              <w:rPr>
                <w:rFonts w:ascii="Arial Narrow" w:hAnsi="Arial Narrow"/>
                <w:i/>
                <w:snapToGrid/>
                <w:sz w:val="20"/>
                <w:szCs w:val="20"/>
                <w:lang w:eastAsia="en-AU"/>
              </w:rPr>
              <w:fldChar w:fldCharType="separate"/>
            </w:r>
            <w:r w:rsidRPr="007E2A26">
              <w:rPr>
                <w:rFonts w:ascii="Arial Narrow" w:hAnsi="Arial Narrow"/>
                <w:i/>
                <w:snapToGrid/>
                <w:sz w:val="20"/>
                <w:szCs w:val="20"/>
                <w:lang w:eastAsia="en-AU"/>
              </w:rPr>
              <w:fldChar w:fldCharType="end"/>
            </w:r>
            <w:r w:rsidRPr="007E2A26">
              <w:rPr>
                <w:rFonts w:ascii="Arial Narrow" w:hAnsi="Arial Narrow"/>
                <w:i/>
                <w:snapToGrid/>
                <w:sz w:val="20"/>
                <w:szCs w:val="20"/>
                <w:lang w:eastAsia="en-AU"/>
              </w:rPr>
              <w:t>Authority Required - In Writing</w:t>
            </w:r>
          </w:p>
          <w:p w:rsidR="005C5AD5" w:rsidRPr="007E2A26" w:rsidRDefault="005C5AD5" w:rsidP="005C5AD5">
            <w:pPr>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fldChar w:fldCharType="begin">
                <w:ffData>
                  <w:name w:val="Check3"/>
                  <w:enabled/>
                  <w:calcOnExit w:val="0"/>
                  <w:checkBox>
                    <w:sizeAuto/>
                    <w:default w:val="1"/>
                  </w:checkBox>
                </w:ffData>
              </w:fldChar>
            </w:r>
            <w:r w:rsidRPr="007E2A26">
              <w:rPr>
                <w:rFonts w:ascii="Arial Narrow" w:hAnsi="Arial Narrow"/>
                <w:i/>
                <w:snapToGrid/>
                <w:sz w:val="20"/>
                <w:szCs w:val="20"/>
                <w:lang w:eastAsia="en-AU"/>
              </w:rPr>
              <w:instrText xml:space="preserve"> </w:instrText>
            </w:r>
            <w:bookmarkStart w:id="3" w:name="Check3"/>
            <w:r w:rsidRPr="007E2A26">
              <w:rPr>
                <w:rFonts w:ascii="Arial Narrow" w:hAnsi="Arial Narrow"/>
                <w:i/>
                <w:snapToGrid/>
                <w:sz w:val="20"/>
                <w:szCs w:val="20"/>
                <w:lang w:eastAsia="en-AU"/>
              </w:rPr>
              <w:instrText xml:space="preserve">FORMCHECKBOX </w:instrText>
            </w:r>
            <w:r w:rsidR="00CD0E7D">
              <w:rPr>
                <w:rFonts w:ascii="Arial Narrow" w:hAnsi="Arial Narrow"/>
                <w:i/>
                <w:snapToGrid/>
                <w:sz w:val="20"/>
                <w:szCs w:val="20"/>
                <w:lang w:eastAsia="en-AU"/>
              </w:rPr>
            </w:r>
            <w:r w:rsidR="00CD0E7D">
              <w:rPr>
                <w:rFonts w:ascii="Arial Narrow" w:hAnsi="Arial Narrow"/>
                <w:i/>
                <w:snapToGrid/>
                <w:sz w:val="20"/>
                <w:szCs w:val="20"/>
                <w:lang w:eastAsia="en-AU"/>
              </w:rPr>
              <w:fldChar w:fldCharType="separate"/>
            </w:r>
            <w:r w:rsidRPr="007E2A26">
              <w:rPr>
                <w:rFonts w:ascii="Arial Narrow" w:hAnsi="Arial Narrow"/>
                <w:i/>
                <w:snapToGrid/>
                <w:sz w:val="20"/>
                <w:szCs w:val="20"/>
                <w:lang w:eastAsia="en-AU"/>
              </w:rPr>
              <w:fldChar w:fldCharType="end"/>
            </w:r>
            <w:bookmarkEnd w:id="3"/>
            <w:r w:rsidRPr="007E2A26">
              <w:rPr>
                <w:rFonts w:ascii="Arial Narrow" w:hAnsi="Arial Narrow"/>
                <w:i/>
                <w:snapToGrid/>
                <w:sz w:val="20"/>
                <w:szCs w:val="20"/>
                <w:lang w:eastAsia="en-AU"/>
              </w:rPr>
              <w:t>Authority Required - Telephone</w:t>
            </w:r>
          </w:p>
          <w:p w:rsidR="005C5AD5" w:rsidRPr="007E2A26" w:rsidRDefault="005C5AD5" w:rsidP="005C5AD5">
            <w:pPr>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fldChar w:fldCharType="begin">
                <w:ffData>
                  <w:name w:val=""/>
                  <w:enabled/>
                  <w:calcOnExit w:val="0"/>
                  <w:checkBox>
                    <w:sizeAuto/>
                    <w:default w:val="0"/>
                  </w:checkBox>
                </w:ffData>
              </w:fldChar>
            </w:r>
            <w:r w:rsidRPr="007E2A26">
              <w:rPr>
                <w:rFonts w:ascii="Arial Narrow" w:hAnsi="Arial Narrow"/>
                <w:i/>
                <w:snapToGrid/>
                <w:sz w:val="20"/>
                <w:szCs w:val="20"/>
                <w:lang w:eastAsia="en-AU"/>
              </w:rPr>
              <w:instrText xml:space="preserve"> FORMCHECKBOX </w:instrText>
            </w:r>
            <w:r w:rsidR="00CD0E7D">
              <w:rPr>
                <w:rFonts w:ascii="Arial Narrow" w:hAnsi="Arial Narrow"/>
                <w:i/>
                <w:snapToGrid/>
                <w:sz w:val="20"/>
                <w:szCs w:val="20"/>
                <w:lang w:eastAsia="en-AU"/>
              </w:rPr>
            </w:r>
            <w:r w:rsidR="00CD0E7D">
              <w:rPr>
                <w:rFonts w:ascii="Arial Narrow" w:hAnsi="Arial Narrow"/>
                <w:i/>
                <w:snapToGrid/>
                <w:sz w:val="20"/>
                <w:szCs w:val="20"/>
                <w:lang w:eastAsia="en-AU"/>
              </w:rPr>
              <w:fldChar w:fldCharType="separate"/>
            </w:r>
            <w:r w:rsidRPr="007E2A26">
              <w:rPr>
                <w:rFonts w:ascii="Arial Narrow" w:hAnsi="Arial Narrow"/>
                <w:i/>
                <w:snapToGrid/>
                <w:sz w:val="20"/>
                <w:szCs w:val="20"/>
                <w:lang w:eastAsia="en-AU"/>
              </w:rPr>
              <w:fldChar w:fldCharType="end"/>
            </w:r>
            <w:r w:rsidRPr="007E2A26">
              <w:rPr>
                <w:rFonts w:ascii="Arial Narrow" w:hAnsi="Arial Narrow"/>
                <w:i/>
                <w:snapToGrid/>
                <w:sz w:val="20"/>
                <w:szCs w:val="20"/>
                <w:lang w:eastAsia="en-AU"/>
              </w:rPr>
              <w:t>Authority Required - Emergency</w:t>
            </w:r>
          </w:p>
          <w:p w:rsidR="005C5AD5" w:rsidRPr="007E2A26" w:rsidRDefault="005C5AD5" w:rsidP="005C5AD5">
            <w:pPr>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fldChar w:fldCharType="begin">
                <w:ffData>
                  <w:name w:val="Check5"/>
                  <w:enabled/>
                  <w:calcOnExit w:val="0"/>
                  <w:checkBox>
                    <w:sizeAuto/>
                    <w:default w:val="0"/>
                  </w:checkBox>
                </w:ffData>
              </w:fldChar>
            </w:r>
            <w:r w:rsidRPr="007E2A26">
              <w:rPr>
                <w:rFonts w:ascii="Arial Narrow" w:hAnsi="Arial Narrow"/>
                <w:i/>
                <w:snapToGrid/>
                <w:sz w:val="20"/>
                <w:szCs w:val="20"/>
                <w:lang w:eastAsia="en-AU"/>
              </w:rPr>
              <w:instrText xml:space="preserve"> FORMCHECKBOX </w:instrText>
            </w:r>
            <w:r w:rsidR="00CD0E7D">
              <w:rPr>
                <w:rFonts w:ascii="Arial Narrow" w:hAnsi="Arial Narrow"/>
                <w:i/>
                <w:snapToGrid/>
                <w:sz w:val="20"/>
                <w:szCs w:val="20"/>
                <w:lang w:eastAsia="en-AU"/>
              </w:rPr>
            </w:r>
            <w:r w:rsidR="00CD0E7D">
              <w:rPr>
                <w:rFonts w:ascii="Arial Narrow" w:hAnsi="Arial Narrow"/>
                <w:i/>
                <w:snapToGrid/>
                <w:sz w:val="20"/>
                <w:szCs w:val="20"/>
                <w:lang w:eastAsia="en-AU"/>
              </w:rPr>
              <w:fldChar w:fldCharType="separate"/>
            </w:r>
            <w:r w:rsidRPr="007E2A26">
              <w:rPr>
                <w:rFonts w:ascii="Arial Narrow" w:hAnsi="Arial Narrow"/>
                <w:i/>
                <w:snapToGrid/>
                <w:sz w:val="20"/>
                <w:szCs w:val="20"/>
                <w:lang w:eastAsia="en-AU"/>
              </w:rPr>
              <w:fldChar w:fldCharType="end"/>
            </w:r>
            <w:r w:rsidRPr="007E2A26">
              <w:rPr>
                <w:rFonts w:ascii="Arial Narrow" w:hAnsi="Arial Narrow"/>
                <w:i/>
                <w:snapToGrid/>
                <w:sz w:val="20"/>
                <w:szCs w:val="20"/>
                <w:lang w:eastAsia="en-AU"/>
              </w:rPr>
              <w:t>Authority Required - Electronic</w:t>
            </w:r>
          </w:p>
          <w:p w:rsidR="005C5AD5" w:rsidRPr="007E2A26" w:rsidRDefault="005C5AD5" w:rsidP="005C5AD5">
            <w:pPr>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fldChar w:fldCharType="begin">
                <w:ffData>
                  <w:name w:val="Check5"/>
                  <w:enabled/>
                  <w:calcOnExit w:val="0"/>
                  <w:checkBox>
                    <w:sizeAuto/>
                    <w:default w:val="0"/>
                  </w:checkBox>
                </w:ffData>
              </w:fldChar>
            </w:r>
            <w:r w:rsidRPr="007E2A26">
              <w:rPr>
                <w:rFonts w:ascii="Arial Narrow" w:hAnsi="Arial Narrow"/>
                <w:i/>
                <w:snapToGrid/>
                <w:sz w:val="20"/>
                <w:szCs w:val="20"/>
                <w:lang w:eastAsia="en-AU"/>
              </w:rPr>
              <w:instrText xml:space="preserve"> FORMCHECKBOX </w:instrText>
            </w:r>
            <w:r w:rsidR="00CD0E7D">
              <w:rPr>
                <w:rFonts w:ascii="Arial Narrow" w:hAnsi="Arial Narrow"/>
                <w:i/>
                <w:snapToGrid/>
                <w:sz w:val="20"/>
                <w:szCs w:val="20"/>
                <w:lang w:eastAsia="en-AU"/>
              </w:rPr>
            </w:r>
            <w:r w:rsidR="00CD0E7D">
              <w:rPr>
                <w:rFonts w:ascii="Arial Narrow" w:hAnsi="Arial Narrow"/>
                <w:i/>
                <w:snapToGrid/>
                <w:sz w:val="20"/>
                <w:szCs w:val="20"/>
                <w:lang w:eastAsia="en-AU"/>
              </w:rPr>
              <w:fldChar w:fldCharType="separate"/>
            </w:r>
            <w:r w:rsidRPr="007E2A26">
              <w:rPr>
                <w:rFonts w:ascii="Arial Narrow" w:hAnsi="Arial Narrow"/>
                <w:i/>
                <w:snapToGrid/>
                <w:sz w:val="20"/>
                <w:szCs w:val="20"/>
                <w:lang w:eastAsia="en-AU"/>
              </w:rPr>
              <w:fldChar w:fldCharType="end"/>
            </w:r>
            <w:r w:rsidRPr="007E2A26">
              <w:rPr>
                <w:rFonts w:ascii="Arial Narrow" w:hAnsi="Arial Narrow"/>
                <w:i/>
                <w:snapToGrid/>
                <w:sz w:val="20"/>
                <w:szCs w:val="20"/>
                <w:lang w:eastAsia="en-AU"/>
              </w:rPr>
              <w:t>Streamlined</w:t>
            </w:r>
          </w:p>
        </w:tc>
      </w:tr>
      <w:tr w:rsidR="005C5AD5" w:rsidRPr="007E2A26" w:rsidTr="00FD5491">
        <w:trPr>
          <w:cantSplit/>
          <w:trHeight w:val="360"/>
        </w:trPr>
        <w:tc>
          <w:tcPr>
            <w:tcW w:w="2835" w:type="dxa"/>
            <w:tcBorders>
              <w:top w:val="single" w:sz="4" w:space="0" w:color="auto"/>
              <w:left w:val="single" w:sz="4" w:space="0" w:color="auto"/>
              <w:bottom w:val="single" w:sz="4" w:space="0" w:color="auto"/>
              <w:right w:val="single" w:sz="4" w:space="0" w:color="auto"/>
            </w:tcBorders>
          </w:tcPr>
          <w:p w:rsidR="005C5AD5" w:rsidRPr="007E2A26" w:rsidRDefault="005C5AD5" w:rsidP="005C5AD5">
            <w:pPr>
              <w:widowControl/>
              <w:jc w:val="left"/>
              <w:rPr>
                <w:rFonts w:ascii="Arial Narrow" w:hAnsi="Arial Narrow"/>
                <w:b/>
                <w:i/>
                <w:snapToGrid/>
                <w:sz w:val="20"/>
                <w:szCs w:val="20"/>
                <w:lang w:eastAsia="en-AU"/>
              </w:rPr>
            </w:pPr>
            <w:r w:rsidRPr="007E2A26">
              <w:rPr>
                <w:rFonts w:ascii="Arial Narrow" w:hAnsi="Arial Narrow"/>
                <w:b/>
                <w:i/>
                <w:snapToGrid/>
                <w:sz w:val="20"/>
                <w:szCs w:val="20"/>
                <w:lang w:eastAsia="en-AU"/>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5C5AD5" w:rsidRPr="007E2A26" w:rsidRDefault="005C5AD5" w:rsidP="005C5AD5">
            <w:pPr>
              <w:widowControl/>
              <w:jc w:val="left"/>
              <w:rPr>
                <w:rFonts w:ascii="Arial Narrow" w:hAnsi="Arial Narrow"/>
                <w:i/>
                <w:snapToGrid/>
                <w:sz w:val="20"/>
                <w:szCs w:val="20"/>
                <w:lang w:eastAsia="en-AU"/>
              </w:rPr>
            </w:pPr>
            <w:r w:rsidRPr="007E2A26">
              <w:rPr>
                <w:rFonts w:ascii="Arial Narrow" w:hAnsi="Arial Narrow"/>
                <w:i/>
                <w:strike/>
                <w:snapToGrid/>
                <w:sz w:val="20"/>
                <w:szCs w:val="20"/>
                <w:lang w:eastAsia="en-AU"/>
              </w:rPr>
              <w:t xml:space="preserve">Patient m </w:t>
            </w:r>
            <w:r w:rsidRPr="007E2A26">
              <w:rPr>
                <w:rFonts w:ascii="Arial Narrow" w:hAnsi="Arial Narrow"/>
                <w:i/>
                <w:snapToGrid/>
                <w:sz w:val="20"/>
                <w:szCs w:val="20"/>
                <w:lang w:eastAsia="en-AU"/>
              </w:rPr>
              <w:t>Must be treated by a physician experienced in the treatment of haematological malignancies.</w:t>
            </w:r>
          </w:p>
        </w:tc>
      </w:tr>
      <w:tr w:rsidR="005C5AD5" w:rsidRPr="007E2A26" w:rsidTr="00FD5491">
        <w:trPr>
          <w:cantSplit/>
          <w:trHeight w:val="360"/>
        </w:trPr>
        <w:tc>
          <w:tcPr>
            <w:tcW w:w="2835" w:type="dxa"/>
            <w:tcBorders>
              <w:top w:val="single" w:sz="4" w:space="0" w:color="auto"/>
              <w:left w:val="single" w:sz="4" w:space="0" w:color="auto"/>
              <w:bottom w:val="single" w:sz="4" w:space="0" w:color="auto"/>
              <w:right w:val="single" w:sz="4" w:space="0" w:color="auto"/>
            </w:tcBorders>
          </w:tcPr>
          <w:p w:rsidR="005C5AD5" w:rsidRPr="007E2A26" w:rsidRDefault="005C5AD5" w:rsidP="005C5AD5">
            <w:pPr>
              <w:widowControl/>
              <w:rPr>
                <w:rFonts w:ascii="Arial Narrow" w:hAnsi="Arial Narrow"/>
                <w:b/>
                <w:i/>
                <w:snapToGrid/>
                <w:sz w:val="20"/>
                <w:szCs w:val="20"/>
                <w:lang w:eastAsia="en-AU"/>
              </w:rPr>
            </w:pPr>
            <w:r w:rsidRPr="007E2A26">
              <w:rPr>
                <w:rFonts w:ascii="Arial Narrow" w:hAnsi="Arial Narrow"/>
                <w:b/>
                <w:i/>
                <w:snapToGrid/>
                <w:sz w:val="20"/>
                <w:szCs w:val="20"/>
                <w:lang w:eastAsia="en-AU"/>
              </w:rPr>
              <w:t>Clinical criteria:</w:t>
            </w:r>
          </w:p>
          <w:p w:rsidR="005C5AD5" w:rsidRPr="007E2A26" w:rsidRDefault="005C5AD5" w:rsidP="005C5AD5">
            <w:pPr>
              <w:widowControl/>
              <w:rPr>
                <w:rFonts w:ascii="Arial Narrow" w:hAnsi="Arial Narrow"/>
                <w:i/>
                <w:snapToGrid/>
                <w:sz w:val="20"/>
                <w:szCs w:val="20"/>
                <w:lang w:eastAsia="en-AU"/>
              </w:rPr>
            </w:pPr>
          </w:p>
          <w:p w:rsidR="005C5AD5" w:rsidRPr="007E2A26" w:rsidRDefault="005C5AD5" w:rsidP="005C5AD5">
            <w:pPr>
              <w:widowControl/>
              <w:rPr>
                <w:rFonts w:ascii="Arial Narrow" w:hAnsi="Arial Narrow"/>
                <w:i/>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5C5AD5" w:rsidRPr="007E2A26" w:rsidRDefault="005C5AD5" w:rsidP="005C5AD5">
            <w:pPr>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Patient must have previously received PBS-subsidised initial treatment with this drug for this condition,</w:t>
            </w:r>
          </w:p>
          <w:p w:rsidR="005C5AD5" w:rsidRPr="007E2A26" w:rsidRDefault="005C5AD5" w:rsidP="005C5AD5">
            <w:pPr>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AND</w:t>
            </w:r>
          </w:p>
          <w:p w:rsidR="005C5AD5" w:rsidRDefault="005C5AD5" w:rsidP="005C5AD5">
            <w:pPr>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Patient must have achieved a complete remission,</w:t>
            </w:r>
          </w:p>
          <w:p w:rsidR="000946E6" w:rsidRPr="007E2A26" w:rsidRDefault="000946E6" w:rsidP="000946E6">
            <w:pPr>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AND</w:t>
            </w:r>
          </w:p>
          <w:p w:rsidR="000946E6" w:rsidRPr="0054119E" w:rsidRDefault="000946E6" w:rsidP="000946E6">
            <w:pPr>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Patient must</w:t>
            </w:r>
            <w:r>
              <w:rPr>
                <w:rFonts w:ascii="Arial Narrow" w:hAnsi="Arial Narrow"/>
                <w:i/>
                <w:snapToGrid/>
                <w:sz w:val="20"/>
                <w:szCs w:val="20"/>
                <w:lang w:eastAsia="en-AU"/>
              </w:rPr>
              <w:t xml:space="preserve"> be MRD negative</w:t>
            </w:r>
            <w:r w:rsidR="0054119E">
              <w:rPr>
                <w:rFonts w:ascii="Arial Narrow" w:hAnsi="Arial Narrow"/>
                <w:i/>
                <w:snapToGrid/>
                <w:sz w:val="20"/>
                <w:szCs w:val="20"/>
                <w:lang w:eastAsia="en-AU"/>
              </w:rPr>
              <w:t xml:space="preserve"> </w:t>
            </w:r>
            <w:r w:rsidR="0054119E" w:rsidRPr="0054119E">
              <w:rPr>
                <w:rFonts w:ascii="Arial Narrow" w:hAnsi="Arial Narrow"/>
                <w:i/>
                <w:snapToGrid/>
                <w:sz w:val="20"/>
                <w:szCs w:val="20"/>
                <w:lang w:eastAsia="en-AU"/>
              </w:rPr>
              <w:t xml:space="preserve">defined as </w:t>
            </w:r>
            <w:r w:rsidR="00A978CA" w:rsidRPr="002E46AF">
              <w:rPr>
                <w:rFonts w:ascii="Arial Narrow" w:hAnsi="Arial Narrow"/>
                <w:i/>
                <w:snapToGrid/>
                <w:sz w:val="20"/>
                <w:szCs w:val="20"/>
                <w:lang w:eastAsia="en-AU"/>
              </w:rPr>
              <w:t xml:space="preserve">either undetectable using the same assay as used to determine original eligibility or </w:t>
            </w:r>
            <w:r w:rsidR="0054119E" w:rsidRPr="002E46AF">
              <w:rPr>
                <w:rFonts w:ascii="Arial Narrow" w:hAnsi="Arial Narrow"/>
                <w:i/>
                <w:snapToGrid/>
                <w:sz w:val="20"/>
                <w:szCs w:val="20"/>
                <w:lang w:eastAsia="en-AU"/>
              </w:rPr>
              <w:t>le</w:t>
            </w:r>
            <w:r w:rsidR="0054119E" w:rsidRPr="0054119E">
              <w:rPr>
                <w:rFonts w:ascii="Arial Narrow" w:hAnsi="Arial Narrow"/>
                <w:i/>
                <w:snapToGrid/>
                <w:sz w:val="20"/>
                <w:szCs w:val="20"/>
                <w:lang w:eastAsia="en-AU"/>
              </w:rPr>
              <w:t>ss than 10</w:t>
            </w:r>
            <w:r w:rsidR="0054119E" w:rsidRPr="0054119E">
              <w:rPr>
                <w:rFonts w:ascii="Arial Narrow" w:hAnsi="Arial Narrow"/>
                <w:i/>
                <w:snapToGrid/>
                <w:sz w:val="20"/>
                <w:szCs w:val="20"/>
                <w:vertAlign w:val="superscript"/>
                <w:lang w:eastAsia="en-AU"/>
              </w:rPr>
              <w:t>-4</w:t>
            </w:r>
            <w:r w:rsidR="0054119E" w:rsidRPr="0054119E">
              <w:rPr>
                <w:rFonts w:ascii="Arial Narrow" w:hAnsi="Arial Narrow"/>
                <w:i/>
                <w:snapToGrid/>
                <w:sz w:val="20"/>
                <w:szCs w:val="20"/>
                <w:lang w:eastAsia="en-AU"/>
              </w:rPr>
              <w:t xml:space="preserve"> (0.01%) blasts based on measurement in bone marrow</w:t>
            </w:r>
            <w:r w:rsidRPr="0054119E">
              <w:rPr>
                <w:rFonts w:ascii="Arial Narrow" w:hAnsi="Arial Narrow"/>
                <w:i/>
                <w:snapToGrid/>
                <w:sz w:val="20"/>
                <w:szCs w:val="20"/>
                <w:lang w:eastAsia="en-AU"/>
              </w:rPr>
              <w:t>,</w:t>
            </w:r>
          </w:p>
          <w:p w:rsidR="005C5AD5" w:rsidRPr="007E2A26" w:rsidRDefault="005C5AD5" w:rsidP="005C5AD5">
            <w:pPr>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AND</w:t>
            </w:r>
          </w:p>
          <w:p w:rsidR="005C5AD5" w:rsidRPr="007E2A26" w:rsidRDefault="005C5AD5" w:rsidP="005C5AD5">
            <w:pPr>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Patient must not develop disease progression while receiving PBS-subsidised treatment with this drug for this condition,</w:t>
            </w:r>
          </w:p>
          <w:p w:rsidR="005C5AD5" w:rsidRPr="007E2A26" w:rsidRDefault="005C5AD5" w:rsidP="005C5AD5">
            <w:pPr>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AND</w:t>
            </w:r>
          </w:p>
          <w:p w:rsidR="00A749CE" w:rsidRPr="007E2A26" w:rsidRDefault="005C5AD5" w:rsidP="00A749CE">
            <w:pPr>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 xml:space="preserve">The treatment must not be more than </w:t>
            </w:r>
            <w:r w:rsidR="0054119E">
              <w:rPr>
                <w:rFonts w:ascii="Arial Narrow" w:hAnsi="Arial Narrow"/>
                <w:i/>
                <w:snapToGrid/>
                <w:sz w:val="20"/>
                <w:szCs w:val="20"/>
                <w:lang w:eastAsia="en-AU"/>
              </w:rPr>
              <w:t>2</w:t>
            </w:r>
            <w:r w:rsidRPr="007E2A26">
              <w:rPr>
                <w:rFonts w:ascii="Arial Narrow" w:hAnsi="Arial Narrow"/>
                <w:i/>
                <w:snapToGrid/>
                <w:sz w:val="20"/>
                <w:szCs w:val="20"/>
                <w:lang w:eastAsia="en-AU"/>
              </w:rPr>
              <w:t xml:space="preserve"> treatment cycles under this restriction </w:t>
            </w:r>
            <w:r w:rsidR="00A749CE" w:rsidRPr="00A749CE">
              <w:rPr>
                <w:rFonts w:ascii="Arial Narrow" w:hAnsi="Arial Narrow"/>
                <w:i/>
                <w:snapToGrid/>
                <w:sz w:val="20"/>
                <w:szCs w:val="20"/>
                <w:lang w:eastAsia="en-AU"/>
              </w:rPr>
              <w:t>in a lifetime.</w:t>
            </w:r>
          </w:p>
        </w:tc>
      </w:tr>
      <w:tr w:rsidR="005C5AD5" w:rsidRPr="007E2A26" w:rsidTr="00FD5491">
        <w:trPr>
          <w:cantSplit/>
          <w:trHeight w:val="360"/>
        </w:trPr>
        <w:tc>
          <w:tcPr>
            <w:tcW w:w="2835" w:type="dxa"/>
            <w:tcBorders>
              <w:top w:val="single" w:sz="4" w:space="0" w:color="auto"/>
              <w:left w:val="single" w:sz="4" w:space="0" w:color="auto"/>
              <w:bottom w:val="single" w:sz="4" w:space="0" w:color="auto"/>
              <w:right w:val="single" w:sz="4" w:space="0" w:color="auto"/>
            </w:tcBorders>
          </w:tcPr>
          <w:p w:rsidR="005C5AD5" w:rsidRPr="007E2A26" w:rsidRDefault="005C5AD5" w:rsidP="005C5AD5">
            <w:pPr>
              <w:widowControl/>
              <w:rPr>
                <w:rFonts w:ascii="Arial Narrow" w:hAnsi="Arial Narrow"/>
                <w:b/>
                <w:i/>
                <w:snapToGrid/>
                <w:sz w:val="20"/>
                <w:szCs w:val="20"/>
                <w:lang w:eastAsia="en-AU"/>
              </w:rPr>
            </w:pPr>
            <w:r w:rsidRPr="007E2A26">
              <w:rPr>
                <w:rFonts w:ascii="Arial Narrow" w:hAnsi="Arial Narrow"/>
                <w:b/>
                <w:snapToGrid/>
                <w:sz w:val="20"/>
                <w:szCs w:val="20"/>
                <w:lang w:eastAsia="en-AU"/>
              </w:rPr>
              <w:t>Prescriber Instructions:</w:t>
            </w:r>
          </w:p>
        </w:tc>
        <w:tc>
          <w:tcPr>
            <w:tcW w:w="6379" w:type="dxa"/>
            <w:gridSpan w:val="6"/>
            <w:tcBorders>
              <w:top w:val="single" w:sz="4" w:space="0" w:color="auto"/>
              <w:left w:val="single" w:sz="4" w:space="0" w:color="auto"/>
              <w:bottom w:val="single" w:sz="4" w:space="0" w:color="auto"/>
              <w:right w:val="single" w:sz="4" w:space="0" w:color="auto"/>
            </w:tcBorders>
          </w:tcPr>
          <w:p w:rsidR="005C5AD5" w:rsidRPr="007E2A26" w:rsidRDefault="005C5AD5" w:rsidP="005C5AD5">
            <w:pPr>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Per Initial restriction</w:t>
            </w:r>
          </w:p>
        </w:tc>
      </w:tr>
      <w:tr w:rsidR="005C5AD5" w:rsidRPr="007E2A26" w:rsidTr="00FD5491">
        <w:trPr>
          <w:cantSplit/>
          <w:trHeight w:val="360"/>
        </w:trPr>
        <w:tc>
          <w:tcPr>
            <w:tcW w:w="2835" w:type="dxa"/>
            <w:tcBorders>
              <w:top w:val="single" w:sz="4" w:space="0" w:color="auto"/>
              <w:left w:val="single" w:sz="4" w:space="0" w:color="auto"/>
              <w:bottom w:val="single" w:sz="4" w:space="0" w:color="auto"/>
              <w:right w:val="single" w:sz="4" w:space="0" w:color="auto"/>
            </w:tcBorders>
          </w:tcPr>
          <w:p w:rsidR="005C5AD5" w:rsidRPr="007E2A26" w:rsidRDefault="005C5AD5" w:rsidP="005C5AD5">
            <w:pPr>
              <w:widowControl/>
              <w:rPr>
                <w:rFonts w:ascii="Arial Narrow" w:hAnsi="Arial Narrow"/>
                <w:b/>
                <w:i/>
                <w:snapToGrid/>
                <w:sz w:val="20"/>
                <w:szCs w:val="20"/>
                <w:lang w:eastAsia="en-AU"/>
              </w:rPr>
            </w:pPr>
            <w:r w:rsidRPr="007E2A26">
              <w:rPr>
                <w:rFonts w:ascii="Arial Narrow" w:hAnsi="Arial Narrow"/>
                <w:b/>
                <w:i/>
                <w:snapToGrid/>
                <w:sz w:val="20"/>
                <w:szCs w:val="20"/>
                <w:lang w:eastAsia="en-AU"/>
              </w:rPr>
              <w:lastRenderedPageBreak/>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5C5AD5" w:rsidRPr="007E2A26" w:rsidRDefault="005C5AD5" w:rsidP="005C5AD5">
            <w:pPr>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A complete remission is defined as bone marrow blasts of less than or equal to 5%, no evidence of disease and a full recovery of peripheral blood counts with platelets of greater than 100,000 per microliter, and absolute neutrophil count (ANC) of greater than 1,000 per microliter.</w:t>
            </w:r>
          </w:p>
          <w:p w:rsidR="000946E6" w:rsidRPr="007E2A26" w:rsidRDefault="000946E6" w:rsidP="005C5AD5">
            <w:pPr>
              <w:widowControl/>
              <w:jc w:val="left"/>
              <w:rPr>
                <w:rFonts w:ascii="Arial Narrow" w:hAnsi="Arial Narrow"/>
                <w:i/>
                <w:snapToGrid/>
                <w:sz w:val="20"/>
                <w:szCs w:val="20"/>
                <w:lang w:eastAsia="en-AU"/>
              </w:rPr>
            </w:pPr>
          </w:p>
          <w:p w:rsidR="005C5AD5" w:rsidRPr="007E2A26" w:rsidRDefault="005C5AD5" w:rsidP="005C5AD5">
            <w:pPr>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Patients who fail to demonstrate a response to PBS-subsidised treatment with this agent at the time when an assessment is required must cease PBS-subsidised therapy with this agent.</w:t>
            </w:r>
          </w:p>
          <w:p w:rsidR="005C5AD5" w:rsidRPr="007E2A26" w:rsidRDefault="005C5AD5" w:rsidP="005C5AD5">
            <w:pPr>
              <w:widowControl/>
              <w:jc w:val="left"/>
              <w:rPr>
                <w:rFonts w:ascii="Arial Narrow" w:hAnsi="Arial Narrow"/>
                <w:i/>
                <w:snapToGrid/>
                <w:sz w:val="20"/>
                <w:szCs w:val="20"/>
                <w:lang w:eastAsia="en-AU"/>
              </w:rPr>
            </w:pPr>
          </w:p>
          <w:p w:rsidR="005C5AD5" w:rsidRPr="007E2A26" w:rsidRDefault="005C5AD5" w:rsidP="005C5AD5">
            <w:pPr>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No increase in the maximum quantity or number of units may be authorised.</w:t>
            </w:r>
          </w:p>
          <w:p w:rsidR="005C5AD5" w:rsidRPr="007E2A26" w:rsidRDefault="005C5AD5" w:rsidP="005C5AD5">
            <w:pPr>
              <w:widowControl/>
              <w:jc w:val="left"/>
              <w:rPr>
                <w:rFonts w:ascii="Arial Narrow" w:hAnsi="Arial Narrow"/>
                <w:i/>
                <w:snapToGrid/>
                <w:sz w:val="20"/>
                <w:szCs w:val="20"/>
                <w:lang w:eastAsia="en-AU"/>
              </w:rPr>
            </w:pPr>
          </w:p>
          <w:p w:rsidR="005C5AD5" w:rsidRPr="007E2A26" w:rsidRDefault="005C5AD5" w:rsidP="005C5AD5">
            <w:pPr>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No increase in the maximum number of repeats may be authorised.</w:t>
            </w:r>
          </w:p>
          <w:p w:rsidR="005C5AD5" w:rsidRPr="007E2A26" w:rsidRDefault="005C5AD5" w:rsidP="005C5AD5">
            <w:pPr>
              <w:widowControl/>
              <w:jc w:val="left"/>
              <w:rPr>
                <w:rFonts w:ascii="Arial Narrow" w:hAnsi="Arial Narrow"/>
                <w:i/>
                <w:snapToGrid/>
                <w:sz w:val="20"/>
                <w:szCs w:val="20"/>
                <w:lang w:eastAsia="en-AU"/>
              </w:rPr>
            </w:pPr>
          </w:p>
          <w:p w:rsidR="005C5AD5" w:rsidRPr="007E2A26" w:rsidRDefault="005C5AD5" w:rsidP="005C5AD5">
            <w:pPr>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Applications for authorisation under this criterion may be made by telephone by contacting the Department of Human Services on 1800 700 270 (hours of operation 8 a.m. to 5 p.m. EST Monday to Friday).</w:t>
            </w:r>
          </w:p>
          <w:p w:rsidR="005C5AD5" w:rsidRPr="007E2A26" w:rsidRDefault="005C5AD5" w:rsidP="005C5AD5">
            <w:pPr>
              <w:widowControl/>
              <w:jc w:val="left"/>
              <w:rPr>
                <w:rFonts w:ascii="Arial Narrow" w:hAnsi="Arial Narrow"/>
                <w:i/>
                <w:snapToGrid/>
                <w:sz w:val="20"/>
                <w:szCs w:val="20"/>
                <w:lang w:eastAsia="en-AU"/>
              </w:rPr>
            </w:pPr>
          </w:p>
          <w:p w:rsidR="005C5AD5" w:rsidRPr="007E2A26" w:rsidRDefault="005C5AD5" w:rsidP="005C5AD5">
            <w:pPr>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Special Pricing Arrangements apply.</w:t>
            </w:r>
          </w:p>
        </w:tc>
      </w:tr>
      <w:tr w:rsidR="005C5AD5" w:rsidRPr="007E2A26" w:rsidTr="00FD5491">
        <w:trPr>
          <w:cantSplit/>
          <w:trHeight w:val="360"/>
        </w:trPr>
        <w:tc>
          <w:tcPr>
            <w:tcW w:w="2835" w:type="dxa"/>
            <w:tcBorders>
              <w:top w:val="single" w:sz="4" w:space="0" w:color="auto"/>
              <w:left w:val="single" w:sz="4" w:space="0" w:color="auto"/>
              <w:bottom w:val="single" w:sz="4" w:space="0" w:color="auto"/>
              <w:right w:val="single" w:sz="4" w:space="0" w:color="auto"/>
            </w:tcBorders>
          </w:tcPr>
          <w:p w:rsidR="005C5AD5" w:rsidRPr="007E2A26" w:rsidRDefault="005C5AD5" w:rsidP="005C5AD5">
            <w:pPr>
              <w:widowControl/>
              <w:rPr>
                <w:rFonts w:ascii="Arial Narrow" w:hAnsi="Arial Narrow"/>
                <w:b/>
                <w:i/>
                <w:snapToGrid/>
                <w:sz w:val="20"/>
                <w:szCs w:val="20"/>
                <w:lang w:eastAsia="en-AU"/>
              </w:rPr>
            </w:pPr>
            <w:r w:rsidRPr="007E2A26">
              <w:rPr>
                <w:rFonts w:ascii="Arial Narrow" w:hAnsi="Arial Narrow"/>
                <w:b/>
                <w:i/>
                <w:snapToGrid/>
                <w:sz w:val="20"/>
                <w:szCs w:val="20"/>
                <w:lang w:eastAsia="en-AU"/>
              </w:rPr>
              <w:t>Caution</w:t>
            </w:r>
          </w:p>
        </w:tc>
        <w:tc>
          <w:tcPr>
            <w:tcW w:w="6379" w:type="dxa"/>
            <w:gridSpan w:val="6"/>
            <w:tcBorders>
              <w:top w:val="single" w:sz="4" w:space="0" w:color="auto"/>
              <w:left w:val="single" w:sz="4" w:space="0" w:color="auto"/>
              <w:bottom w:val="single" w:sz="4" w:space="0" w:color="auto"/>
              <w:right w:val="single" w:sz="4" w:space="0" w:color="auto"/>
            </w:tcBorders>
          </w:tcPr>
          <w:p w:rsidR="005C5AD5" w:rsidRPr="007E2A26" w:rsidRDefault="005C5AD5" w:rsidP="005C5AD5">
            <w:pPr>
              <w:widowControl/>
              <w:jc w:val="left"/>
              <w:rPr>
                <w:rFonts w:ascii="Arial Narrow" w:hAnsi="Arial Narrow"/>
                <w:i/>
                <w:snapToGrid/>
                <w:sz w:val="20"/>
                <w:szCs w:val="20"/>
                <w:lang w:eastAsia="en-AU"/>
              </w:rPr>
            </w:pPr>
            <w:r w:rsidRPr="007E2A26">
              <w:rPr>
                <w:rFonts w:ascii="Arial Narrow" w:hAnsi="Arial Narrow"/>
                <w:i/>
                <w:snapToGrid/>
                <w:sz w:val="20"/>
                <w:szCs w:val="20"/>
                <w:lang w:eastAsia="en-AU"/>
              </w:rPr>
              <w:t>Careful monitoring of patients is required due to risk of developing life-threatening Cytokine Release Syndrome, neurological toxicities and reactivation of John Cunningham virus (JC) viral infection.</w:t>
            </w:r>
          </w:p>
        </w:tc>
      </w:tr>
    </w:tbl>
    <w:p w:rsidR="005C5AD5" w:rsidRPr="005C5AD5" w:rsidRDefault="005C5AD5" w:rsidP="005C5AD5">
      <w:pPr>
        <w:widowControl/>
        <w:rPr>
          <w:rFonts w:ascii="Arial" w:hAnsi="Arial"/>
          <w:snapToGrid/>
          <w:szCs w:val="24"/>
          <w:lang w:eastAsia="en-AU"/>
        </w:rPr>
      </w:pPr>
    </w:p>
    <w:p w:rsidR="00ED2AF4" w:rsidRPr="00C65441" w:rsidRDefault="003E6FE5" w:rsidP="001613D3">
      <w:pPr>
        <w:pStyle w:val="ListParagraph"/>
        <w:widowControl/>
        <w:numPr>
          <w:ilvl w:val="1"/>
          <w:numId w:val="2"/>
        </w:numPr>
      </w:pPr>
      <w:r w:rsidRPr="00C65441">
        <w:t xml:space="preserve">The submission proposed </w:t>
      </w:r>
      <w:r w:rsidR="00245023" w:rsidRPr="00C65441">
        <w:t xml:space="preserve">that the existing rebate specified in the current </w:t>
      </w:r>
      <w:r w:rsidR="00777CA4" w:rsidRPr="00C65441">
        <w:t>S</w:t>
      </w:r>
      <w:r w:rsidRPr="00C65441">
        <w:t xml:space="preserve">pecial </w:t>
      </w:r>
      <w:r w:rsidR="00777CA4" w:rsidRPr="00C65441">
        <w:t>P</w:t>
      </w:r>
      <w:r w:rsidRPr="00C65441">
        <w:t xml:space="preserve">ricing </w:t>
      </w:r>
      <w:r w:rsidR="00777CA4" w:rsidRPr="00C65441">
        <w:t>A</w:t>
      </w:r>
      <w:r w:rsidRPr="00C65441">
        <w:t>rrangement</w:t>
      </w:r>
      <w:r w:rsidR="007E2A26" w:rsidRPr="00C65441">
        <w:t xml:space="preserve"> for blinatum</w:t>
      </w:r>
      <w:r w:rsidR="00BD7DBA" w:rsidRPr="00C65441">
        <w:t>o</w:t>
      </w:r>
      <w:r w:rsidR="007E2A26" w:rsidRPr="00C65441">
        <w:t>mab</w:t>
      </w:r>
      <w:r w:rsidR="00777CA4" w:rsidRPr="00C65441">
        <w:t xml:space="preserve"> (in the relapsed/refractory setting)</w:t>
      </w:r>
      <w:r w:rsidR="007E2A26" w:rsidRPr="00C65441">
        <w:t xml:space="preserve">, comprising a </w:t>
      </w:r>
      <w:r w:rsidR="00EC14AD">
        <w:rPr>
          <w:noProof/>
          <w:color w:val="000000"/>
          <w:highlight w:val="black"/>
        </w:rPr>
        <w:t>''''''''''''</w:t>
      </w:r>
      <w:r w:rsidR="007E2A26" w:rsidRPr="00C65441">
        <w:t xml:space="preserve">% rebate on the published AEMP per vial of $2,904.77, </w:t>
      </w:r>
      <w:r w:rsidR="00245023" w:rsidRPr="00C65441">
        <w:t>would remain unchanged</w:t>
      </w:r>
      <w:r w:rsidR="007E2A26" w:rsidRPr="00C65441">
        <w:t xml:space="preserve">. The submission further proposed that </w:t>
      </w:r>
      <w:r w:rsidR="00245023" w:rsidRPr="00C65441">
        <w:t>the</w:t>
      </w:r>
      <w:r w:rsidR="00A7191D">
        <w:t xml:space="preserve"> subsidisation</w:t>
      </w:r>
      <w:r w:rsidR="00245023" w:rsidRPr="00C65441">
        <w:t xml:space="preserve"> caps </w:t>
      </w:r>
      <w:r w:rsidR="007E2A26" w:rsidRPr="00C65441">
        <w:t xml:space="preserve">specified in the risk sharing arrangement </w:t>
      </w:r>
      <w:r w:rsidR="00245023" w:rsidRPr="00C65441">
        <w:t>be adjusted to account for the additional use.</w:t>
      </w:r>
      <w:r w:rsidRPr="00C65441">
        <w:t xml:space="preserve"> </w:t>
      </w:r>
    </w:p>
    <w:p w:rsidR="000946E6" w:rsidRPr="000946E6" w:rsidRDefault="000946E6" w:rsidP="000946E6">
      <w:pPr>
        <w:pStyle w:val="ListParagraph"/>
        <w:numPr>
          <w:ilvl w:val="1"/>
          <w:numId w:val="2"/>
        </w:numPr>
        <w:rPr>
          <w:rFonts w:asciiTheme="minorHAnsi" w:hAnsiTheme="minorHAnsi"/>
          <w:bCs/>
          <w:szCs w:val="24"/>
          <w:lang w:val="en-GB"/>
        </w:rPr>
      </w:pPr>
      <w:r w:rsidRPr="000946E6">
        <w:rPr>
          <w:rFonts w:asciiTheme="minorHAnsi" w:hAnsiTheme="minorHAnsi"/>
          <w:bCs/>
          <w:szCs w:val="24"/>
          <w:lang w:val="en-GB"/>
        </w:rPr>
        <w:t xml:space="preserve">The PBAC considered that a continuing restriction would be required to </w:t>
      </w:r>
      <w:r w:rsidR="00E24995">
        <w:rPr>
          <w:rFonts w:asciiTheme="minorHAnsi" w:hAnsiTheme="minorHAnsi"/>
          <w:bCs/>
          <w:szCs w:val="24"/>
          <w:lang w:val="en-GB"/>
        </w:rPr>
        <w:t xml:space="preserve">limit PBS-subsidised use of blinatumomab to patients </w:t>
      </w:r>
      <w:r w:rsidR="00E24995" w:rsidRPr="002E46AF">
        <w:rPr>
          <w:rFonts w:asciiTheme="minorHAnsi" w:hAnsiTheme="minorHAnsi"/>
          <w:bCs/>
          <w:szCs w:val="24"/>
          <w:lang w:val="en-GB"/>
        </w:rPr>
        <w:t xml:space="preserve">who </w:t>
      </w:r>
      <w:r w:rsidR="00A978CA" w:rsidRPr="002E46AF">
        <w:rPr>
          <w:rFonts w:asciiTheme="minorHAnsi" w:hAnsiTheme="minorHAnsi"/>
          <w:bCs/>
          <w:szCs w:val="24"/>
          <w:lang w:val="en-GB"/>
        </w:rPr>
        <w:t>have responded to the drug (i</w:t>
      </w:r>
      <w:r w:rsidR="002E46AF" w:rsidRPr="002E46AF">
        <w:rPr>
          <w:rFonts w:asciiTheme="minorHAnsi" w:hAnsiTheme="minorHAnsi"/>
          <w:bCs/>
          <w:szCs w:val="24"/>
          <w:lang w:val="en-GB"/>
        </w:rPr>
        <w:t>.</w:t>
      </w:r>
      <w:r w:rsidR="00A978CA" w:rsidRPr="002E46AF">
        <w:rPr>
          <w:rFonts w:asciiTheme="minorHAnsi" w:hAnsiTheme="minorHAnsi"/>
          <w:bCs/>
          <w:szCs w:val="24"/>
          <w:lang w:val="en-GB"/>
        </w:rPr>
        <w:t>e</w:t>
      </w:r>
      <w:r w:rsidR="002E46AF" w:rsidRPr="002E46AF">
        <w:rPr>
          <w:rFonts w:asciiTheme="minorHAnsi" w:hAnsiTheme="minorHAnsi"/>
          <w:bCs/>
          <w:szCs w:val="24"/>
          <w:lang w:val="en-GB"/>
        </w:rPr>
        <w:t>.</w:t>
      </w:r>
      <w:r w:rsidR="00A978CA" w:rsidRPr="002E46AF">
        <w:rPr>
          <w:rFonts w:asciiTheme="minorHAnsi" w:hAnsiTheme="minorHAnsi"/>
          <w:bCs/>
          <w:szCs w:val="24"/>
          <w:lang w:val="en-GB"/>
        </w:rPr>
        <w:t xml:space="preserve"> </w:t>
      </w:r>
      <w:r w:rsidR="00E24995">
        <w:rPr>
          <w:rFonts w:asciiTheme="minorHAnsi" w:hAnsiTheme="minorHAnsi"/>
          <w:bCs/>
          <w:szCs w:val="24"/>
          <w:lang w:val="en-GB"/>
        </w:rPr>
        <w:t>are MRD negative and in complete remission</w:t>
      </w:r>
      <w:r w:rsidR="00A978CA">
        <w:rPr>
          <w:rFonts w:asciiTheme="minorHAnsi" w:hAnsiTheme="minorHAnsi"/>
          <w:bCs/>
          <w:szCs w:val="24"/>
          <w:lang w:val="en-GB"/>
        </w:rPr>
        <w:t>)</w:t>
      </w:r>
      <w:r w:rsidR="00E24995">
        <w:rPr>
          <w:rFonts w:asciiTheme="minorHAnsi" w:hAnsiTheme="minorHAnsi"/>
          <w:bCs/>
          <w:szCs w:val="24"/>
          <w:lang w:val="en-GB"/>
        </w:rPr>
        <w:t xml:space="preserve"> </w:t>
      </w:r>
      <w:r w:rsidRPr="000946E6">
        <w:rPr>
          <w:rFonts w:asciiTheme="minorHAnsi" w:hAnsiTheme="minorHAnsi"/>
          <w:bCs/>
          <w:szCs w:val="24"/>
          <w:lang w:val="en-GB"/>
        </w:rPr>
        <w:t xml:space="preserve">after </w:t>
      </w:r>
      <w:r w:rsidR="002D765A">
        <w:rPr>
          <w:rFonts w:asciiTheme="minorHAnsi" w:hAnsiTheme="minorHAnsi"/>
          <w:bCs/>
          <w:szCs w:val="24"/>
          <w:lang w:val="en-GB"/>
        </w:rPr>
        <w:t>two</w:t>
      </w:r>
      <w:r w:rsidRPr="000946E6">
        <w:rPr>
          <w:rFonts w:asciiTheme="minorHAnsi" w:hAnsiTheme="minorHAnsi"/>
          <w:bCs/>
          <w:szCs w:val="24"/>
          <w:lang w:val="en-GB"/>
        </w:rPr>
        <w:t xml:space="preserve"> cycles, noting that all patients in the BLAST study who became MRD negative did so within</w:t>
      </w:r>
      <w:r w:rsidR="00870604">
        <w:rPr>
          <w:rFonts w:asciiTheme="minorHAnsi" w:hAnsiTheme="minorHAnsi"/>
          <w:bCs/>
          <w:szCs w:val="24"/>
          <w:lang w:val="en-GB"/>
        </w:rPr>
        <w:t xml:space="preserve"> </w:t>
      </w:r>
      <w:r w:rsidRPr="000946E6">
        <w:rPr>
          <w:rFonts w:asciiTheme="minorHAnsi" w:hAnsiTheme="minorHAnsi"/>
          <w:bCs/>
          <w:szCs w:val="24"/>
          <w:lang w:val="en-GB"/>
        </w:rPr>
        <w:t xml:space="preserve">two cycles. The PBAC considered this would require </w:t>
      </w:r>
      <w:r w:rsidR="00A749CE">
        <w:rPr>
          <w:rFonts w:asciiTheme="minorHAnsi" w:hAnsiTheme="minorHAnsi"/>
          <w:bCs/>
          <w:szCs w:val="24"/>
          <w:lang w:val="en-GB"/>
        </w:rPr>
        <w:t xml:space="preserve">a maximum of </w:t>
      </w:r>
      <w:r w:rsidRPr="000946E6">
        <w:rPr>
          <w:rFonts w:asciiTheme="minorHAnsi" w:hAnsiTheme="minorHAnsi"/>
          <w:bCs/>
          <w:szCs w:val="24"/>
          <w:lang w:val="en-GB"/>
        </w:rPr>
        <w:t xml:space="preserve">one repeat </w:t>
      </w:r>
      <w:r w:rsidR="002D765A">
        <w:rPr>
          <w:rFonts w:asciiTheme="minorHAnsi" w:hAnsiTheme="minorHAnsi"/>
          <w:bCs/>
          <w:szCs w:val="24"/>
          <w:lang w:val="en-GB"/>
        </w:rPr>
        <w:t>for</w:t>
      </w:r>
      <w:r w:rsidR="00A749CE">
        <w:rPr>
          <w:rFonts w:asciiTheme="minorHAnsi" w:hAnsiTheme="minorHAnsi"/>
          <w:bCs/>
          <w:szCs w:val="24"/>
          <w:lang w:val="en-GB"/>
        </w:rPr>
        <w:t xml:space="preserve"> each of the </w:t>
      </w:r>
      <w:r w:rsidRPr="000946E6">
        <w:rPr>
          <w:rFonts w:asciiTheme="minorHAnsi" w:hAnsiTheme="minorHAnsi"/>
          <w:bCs/>
          <w:szCs w:val="24"/>
          <w:lang w:val="en-GB"/>
        </w:rPr>
        <w:t xml:space="preserve">initial and </w:t>
      </w:r>
      <w:r>
        <w:rPr>
          <w:rFonts w:asciiTheme="minorHAnsi" w:hAnsiTheme="minorHAnsi"/>
          <w:bCs/>
          <w:szCs w:val="24"/>
          <w:lang w:val="en-GB"/>
        </w:rPr>
        <w:t>continuing restrictions.</w:t>
      </w:r>
    </w:p>
    <w:p w:rsidR="00EB0F24" w:rsidRPr="00C65441" w:rsidRDefault="00EB0F24" w:rsidP="001613D3">
      <w:pPr>
        <w:pStyle w:val="ListParagraph"/>
        <w:numPr>
          <w:ilvl w:val="1"/>
          <w:numId w:val="2"/>
        </w:numPr>
      </w:pPr>
      <w:r w:rsidRPr="00C65441">
        <w:t xml:space="preserve">The </w:t>
      </w:r>
      <w:r w:rsidR="00BD7DBA" w:rsidRPr="00C65441">
        <w:t xml:space="preserve">ESC noted that the </w:t>
      </w:r>
      <w:r w:rsidRPr="00C65441">
        <w:t xml:space="preserve">requested restriction </w:t>
      </w:r>
      <w:r w:rsidR="00BD7DBA" w:rsidRPr="00C65441">
        <w:t xml:space="preserve">did not </w:t>
      </w:r>
      <w:r w:rsidR="00AD7CF9" w:rsidRPr="00C65441">
        <w:t>limit use based on patient age (i.e.</w:t>
      </w:r>
      <w:r w:rsidRPr="00C65441">
        <w:t xml:space="preserve"> </w:t>
      </w:r>
      <w:r w:rsidR="00BD7DBA" w:rsidRPr="00C65441">
        <w:t xml:space="preserve">use in </w:t>
      </w:r>
      <w:r w:rsidRPr="00C65441">
        <w:t>adult and paediatric patients</w:t>
      </w:r>
      <w:r w:rsidR="00AD7CF9" w:rsidRPr="00C65441">
        <w:t xml:space="preserve"> would be allowed)</w:t>
      </w:r>
      <w:r w:rsidRPr="00C65441">
        <w:t xml:space="preserve">. </w:t>
      </w:r>
      <w:r w:rsidR="00BD7DBA" w:rsidRPr="00C65441">
        <w:t>Further, t</w:t>
      </w:r>
      <w:r w:rsidRPr="00C65441">
        <w:t>he restriction</w:t>
      </w:r>
      <w:r w:rsidR="00BD7DBA" w:rsidRPr="00C65441">
        <w:t xml:space="preserve"> did not specify P</w:t>
      </w:r>
      <w:r w:rsidRPr="00C65441">
        <w:t xml:space="preserve">hiladelphia chromosome </w:t>
      </w:r>
      <w:r w:rsidR="00BD7DBA" w:rsidRPr="00C65441">
        <w:t>status</w:t>
      </w:r>
      <w:r w:rsidRPr="00C65441">
        <w:t xml:space="preserve">, </w:t>
      </w:r>
      <w:r w:rsidR="00BD7DBA" w:rsidRPr="00C65441">
        <w:t xml:space="preserve">which differs </w:t>
      </w:r>
      <w:r w:rsidR="003C75C7">
        <w:t>from</w:t>
      </w:r>
      <w:r w:rsidR="00BD7DBA" w:rsidRPr="00C65441">
        <w:t xml:space="preserve"> the </w:t>
      </w:r>
      <w:r w:rsidR="00704B0D" w:rsidRPr="00C65441">
        <w:t xml:space="preserve">existing </w:t>
      </w:r>
      <w:r w:rsidRPr="00C65441">
        <w:t>blin</w:t>
      </w:r>
      <w:r w:rsidR="00777CA4" w:rsidRPr="00C65441">
        <w:t>a</w:t>
      </w:r>
      <w:r w:rsidRPr="00C65441">
        <w:t xml:space="preserve">tumomab restriction </w:t>
      </w:r>
      <w:r w:rsidR="00BD7DBA" w:rsidRPr="00C65441">
        <w:t>which is</w:t>
      </w:r>
      <w:r w:rsidR="00704B0D" w:rsidRPr="00C65441">
        <w:t xml:space="preserve"> for </w:t>
      </w:r>
      <w:r w:rsidRPr="00C65441">
        <w:t>Ph- patients only. Data for paediatri</w:t>
      </w:r>
      <w:r w:rsidR="00704B0D" w:rsidRPr="00C65441">
        <w:t>c</w:t>
      </w:r>
      <w:r w:rsidR="00777CA4" w:rsidRPr="00C65441">
        <w:t>, adolescent</w:t>
      </w:r>
      <w:r w:rsidR="00704B0D" w:rsidRPr="00C65441">
        <w:t xml:space="preserve"> or Ph+ patients wa</w:t>
      </w:r>
      <w:r w:rsidRPr="00C65441">
        <w:t xml:space="preserve">s either absent or limited in the submission. </w:t>
      </w:r>
    </w:p>
    <w:p w:rsidR="00E02647" w:rsidRDefault="00ED2AF4" w:rsidP="001613D3">
      <w:pPr>
        <w:pStyle w:val="ListParagraph"/>
        <w:widowControl/>
        <w:numPr>
          <w:ilvl w:val="1"/>
          <w:numId w:val="2"/>
        </w:numPr>
      </w:pPr>
      <w:r w:rsidRPr="00C65441">
        <w:t>Patients achieving multiple remission periods would be eligible for multiple courses of blinatumomab therapy under the requested restriction</w:t>
      </w:r>
      <w:r w:rsidR="009B6D3B">
        <w:t xml:space="preserve"> (</w:t>
      </w:r>
      <w:r w:rsidR="00CB16AD">
        <w:t>i.e.</w:t>
      </w:r>
      <w:r w:rsidR="009B6D3B">
        <w:t xml:space="preserve"> the submission</w:t>
      </w:r>
      <w:r w:rsidR="00543E52" w:rsidRPr="00C65441">
        <w:t xml:space="preserve"> </w:t>
      </w:r>
      <w:r w:rsidR="009D029A">
        <w:t xml:space="preserve">requested </w:t>
      </w:r>
      <w:r w:rsidR="00543E52" w:rsidRPr="00C65441">
        <w:t xml:space="preserve">blinatumomab be available for </w:t>
      </w:r>
      <w:r w:rsidR="003700C1">
        <w:t>re-</w:t>
      </w:r>
      <w:r w:rsidR="00543E52" w:rsidRPr="00C65441">
        <w:t>use in subsequent</w:t>
      </w:r>
      <w:r w:rsidR="009B6D3B">
        <w:t xml:space="preserve"> periods of </w:t>
      </w:r>
      <w:r w:rsidR="00543E52" w:rsidRPr="00543E52">
        <w:t>complete remission</w:t>
      </w:r>
      <w:r w:rsidR="009B6D3B">
        <w:t xml:space="preserve"> in patients who are </w:t>
      </w:r>
      <w:r w:rsidR="009B6D3B" w:rsidRPr="00C65441">
        <w:t>MRD positive</w:t>
      </w:r>
      <w:r w:rsidR="0060148F">
        <w:t xml:space="preserve"> under the proposed restriction</w:t>
      </w:r>
      <w:r w:rsidR="00543E52" w:rsidRPr="00C65441">
        <w:t>,</w:t>
      </w:r>
      <w:r w:rsidR="0060148F">
        <w:t xml:space="preserve"> and requested that</w:t>
      </w:r>
      <w:r w:rsidR="009B6D3B">
        <w:t xml:space="preserve"> patients</w:t>
      </w:r>
      <w:r w:rsidR="0060148F">
        <w:t xml:space="preserve"> with </w:t>
      </w:r>
      <w:r w:rsidR="0060148F" w:rsidRPr="00E92067">
        <w:t xml:space="preserve">relapsed/refractory </w:t>
      </w:r>
      <w:r w:rsidR="009B6D3B">
        <w:t>Ph- B-ALL</w:t>
      </w:r>
      <w:r w:rsidR="0060148F">
        <w:t xml:space="preserve"> </w:t>
      </w:r>
      <w:r w:rsidR="009B6D3B">
        <w:t xml:space="preserve">be eligible </w:t>
      </w:r>
      <w:r w:rsidR="0060148F">
        <w:t xml:space="preserve">for re-use </w:t>
      </w:r>
      <w:r w:rsidR="009B6D3B">
        <w:t>under the existing blinatumomab restriction</w:t>
      </w:r>
      <w:r w:rsidR="0060148F">
        <w:t>)</w:t>
      </w:r>
      <w:r w:rsidR="00543E52" w:rsidRPr="00C65441">
        <w:t>.</w:t>
      </w:r>
      <w:r w:rsidR="00543E52">
        <w:t xml:space="preserve"> </w:t>
      </w:r>
      <w:r w:rsidR="00F9006C" w:rsidRPr="00C65441">
        <w:t xml:space="preserve">However, the submission did not present any evidence for re-use of blinatumomab in subsequent periods of complete </w:t>
      </w:r>
      <w:r w:rsidR="00F9006C" w:rsidRPr="00C65441">
        <w:lastRenderedPageBreak/>
        <w:t>remission</w:t>
      </w:r>
      <w:r w:rsidR="0060148F">
        <w:t>,</w:t>
      </w:r>
      <w:r w:rsidR="009B6D3B" w:rsidRPr="009B6D3B">
        <w:t xml:space="preserve"> </w:t>
      </w:r>
      <w:r w:rsidR="009B6D3B">
        <w:t xml:space="preserve">and </w:t>
      </w:r>
      <w:r w:rsidR="0060148F">
        <w:t xml:space="preserve">did not account for </w:t>
      </w:r>
      <w:r w:rsidR="0060148F" w:rsidRPr="00C65441">
        <w:t>multiple courses of blinatumomab</w:t>
      </w:r>
      <w:r w:rsidR="0060148F">
        <w:t xml:space="preserve"> in </w:t>
      </w:r>
      <w:r w:rsidR="009B6D3B">
        <w:t xml:space="preserve">the </w:t>
      </w:r>
      <w:r w:rsidR="009B6D3B" w:rsidRPr="00C65441">
        <w:t>economic model and financial estimates</w:t>
      </w:r>
      <w:r w:rsidR="00F9006C" w:rsidRPr="00C65441">
        <w:t xml:space="preserve">. </w:t>
      </w:r>
      <w:r w:rsidR="00543E52" w:rsidRPr="00C65441">
        <w:t xml:space="preserve">The pre-PBAC response </w:t>
      </w:r>
      <w:r w:rsidR="00543E52">
        <w:t>acknowledged</w:t>
      </w:r>
      <w:r w:rsidR="003700C1">
        <w:t xml:space="preserve"> the lack of </w:t>
      </w:r>
      <w:r w:rsidR="00543E52">
        <w:t xml:space="preserve">evidence </w:t>
      </w:r>
      <w:r w:rsidR="009B6D3B">
        <w:t xml:space="preserve">to support re-use of blinatumomab, but considered that re-use would be uncommon given “the rarity of the disease and available treatment options”. </w:t>
      </w:r>
    </w:p>
    <w:p w:rsidR="00A225FF" w:rsidRPr="00C65441" w:rsidRDefault="00E02647" w:rsidP="001613D3">
      <w:pPr>
        <w:pStyle w:val="ListParagraph"/>
        <w:widowControl/>
        <w:numPr>
          <w:ilvl w:val="1"/>
          <w:numId w:val="2"/>
        </w:numPr>
      </w:pPr>
      <w:r>
        <w:t xml:space="preserve">The PBAC noted that the requested restriction would allow use of blinatumomab in any line of complete remission. </w:t>
      </w:r>
      <w:r>
        <w:rPr>
          <w:rFonts w:asciiTheme="minorHAnsi" w:hAnsiTheme="minorHAnsi"/>
          <w:bCs/>
          <w:szCs w:val="24"/>
          <w:lang w:val="en-US"/>
        </w:rPr>
        <w:t xml:space="preserve">The PBAC considered that the clinical data indicated that blinatumomab </w:t>
      </w:r>
      <w:r w:rsidR="00A257DD">
        <w:rPr>
          <w:rFonts w:asciiTheme="minorHAnsi" w:hAnsiTheme="minorHAnsi"/>
          <w:bCs/>
          <w:szCs w:val="24"/>
          <w:lang w:val="en-US"/>
        </w:rPr>
        <w:t>may be</w:t>
      </w:r>
      <w:r>
        <w:rPr>
          <w:rFonts w:asciiTheme="minorHAnsi" w:hAnsiTheme="minorHAnsi"/>
          <w:bCs/>
          <w:szCs w:val="24"/>
          <w:lang w:val="en-US"/>
        </w:rPr>
        <w:t xml:space="preserve"> more effective in </w:t>
      </w:r>
      <w:r w:rsidR="009D029A">
        <w:rPr>
          <w:rFonts w:asciiTheme="minorHAnsi" w:hAnsiTheme="minorHAnsi"/>
          <w:bCs/>
          <w:szCs w:val="24"/>
          <w:lang w:val="en-US"/>
        </w:rPr>
        <w:t>the</w:t>
      </w:r>
      <w:r>
        <w:rPr>
          <w:rFonts w:asciiTheme="minorHAnsi" w:hAnsiTheme="minorHAnsi"/>
          <w:bCs/>
          <w:szCs w:val="24"/>
          <w:lang w:val="en-US"/>
        </w:rPr>
        <w:t xml:space="preserve"> first complete remission (CR1) </w:t>
      </w:r>
      <w:r w:rsidR="009D029A">
        <w:rPr>
          <w:rFonts w:asciiTheme="minorHAnsi" w:hAnsiTheme="minorHAnsi"/>
          <w:bCs/>
          <w:szCs w:val="24"/>
          <w:lang w:val="en-US"/>
        </w:rPr>
        <w:t xml:space="preserve">setting </w:t>
      </w:r>
      <w:r>
        <w:rPr>
          <w:rFonts w:asciiTheme="minorHAnsi" w:hAnsiTheme="minorHAnsi"/>
          <w:bCs/>
          <w:szCs w:val="24"/>
          <w:lang w:val="en-US"/>
        </w:rPr>
        <w:t xml:space="preserve">than in later remissions, but that, over time, blinatumomab would predominantly be used in CR1 (i.e. in incident patients, and also </w:t>
      </w:r>
      <w:r w:rsidR="00F74C09">
        <w:rPr>
          <w:rFonts w:asciiTheme="minorHAnsi" w:hAnsiTheme="minorHAnsi"/>
          <w:bCs/>
          <w:szCs w:val="24"/>
          <w:lang w:val="en-US"/>
        </w:rPr>
        <w:t>because</w:t>
      </w:r>
      <w:r>
        <w:rPr>
          <w:rFonts w:asciiTheme="minorHAnsi" w:hAnsiTheme="minorHAnsi"/>
          <w:bCs/>
          <w:szCs w:val="24"/>
          <w:lang w:val="en-US"/>
        </w:rPr>
        <w:t xml:space="preserve"> remissions may become less common in the presence of effective earlier</w:t>
      </w:r>
      <w:r w:rsidR="00F74C09">
        <w:rPr>
          <w:rFonts w:asciiTheme="minorHAnsi" w:hAnsiTheme="minorHAnsi"/>
          <w:bCs/>
          <w:szCs w:val="24"/>
          <w:lang w:val="en-US"/>
        </w:rPr>
        <w:t>-</w:t>
      </w:r>
      <w:r>
        <w:rPr>
          <w:rFonts w:asciiTheme="minorHAnsi" w:hAnsiTheme="minorHAnsi"/>
          <w:bCs/>
          <w:szCs w:val="24"/>
          <w:lang w:val="en-US"/>
        </w:rPr>
        <w:t xml:space="preserve">line therapies). </w:t>
      </w:r>
      <w:r w:rsidR="0060148F">
        <w:t>The PBAC</w:t>
      </w:r>
      <w:r w:rsidR="003700C1">
        <w:rPr>
          <w:rFonts w:asciiTheme="minorHAnsi" w:hAnsiTheme="minorHAnsi"/>
          <w:bCs/>
          <w:szCs w:val="24"/>
          <w:lang w:val="en-GB"/>
        </w:rPr>
        <w:t xml:space="preserve"> considered that it </w:t>
      </w:r>
      <w:r w:rsidR="009D029A">
        <w:rPr>
          <w:rFonts w:asciiTheme="minorHAnsi" w:hAnsiTheme="minorHAnsi"/>
          <w:bCs/>
          <w:szCs w:val="24"/>
          <w:lang w:val="en-GB"/>
        </w:rPr>
        <w:t>is currently</w:t>
      </w:r>
      <w:r w:rsidR="003700C1">
        <w:rPr>
          <w:rFonts w:asciiTheme="minorHAnsi" w:hAnsiTheme="minorHAnsi"/>
          <w:bCs/>
          <w:szCs w:val="24"/>
          <w:lang w:val="en-GB"/>
        </w:rPr>
        <w:t xml:space="preserve"> uncommon </w:t>
      </w:r>
      <w:r w:rsidR="0060148F">
        <w:rPr>
          <w:rFonts w:asciiTheme="minorHAnsi" w:hAnsiTheme="minorHAnsi"/>
          <w:bCs/>
          <w:szCs w:val="24"/>
          <w:lang w:val="en-GB"/>
        </w:rPr>
        <w:t xml:space="preserve">for patients to get to </w:t>
      </w:r>
      <w:r w:rsidR="003700C1">
        <w:rPr>
          <w:rFonts w:asciiTheme="minorHAnsi" w:hAnsiTheme="minorHAnsi"/>
          <w:bCs/>
          <w:szCs w:val="24"/>
          <w:lang w:val="en-GB"/>
        </w:rPr>
        <w:t xml:space="preserve">a third period of complete remission, but considered that this may change in the future with the availability of blinatumomab and other novel treatments. </w:t>
      </w:r>
    </w:p>
    <w:p w:rsidR="00A85AED" w:rsidRPr="00C65441" w:rsidRDefault="00ED2AF4" w:rsidP="001613D3">
      <w:pPr>
        <w:pStyle w:val="ListParagraph"/>
        <w:widowControl/>
        <w:numPr>
          <w:ilvl w:val="1"/>
          <w:numId w:val="2"/>
        </w:numPr>
      </w:pPr>
      <w:r w:rsidRPr="00C65441">
        <w:t xml:space="preserve">The requested restriction defines </w:t>
      </w:r>
      <w:r w:rsidR="009D029A">
        <w:t>MRD</w:t>
      </w:r>
      <w:r w:rsidRPr="00C65441">
        <w:t xml:space="preserve"> as at least 10</w:t>
      </w:r>
      <w:r w:rsidRPr="00C65441">
        <w:rPr>
          <w:vertAlign w:val="superscript"/>
        </w:rPr>
        <w:t>-4</w:t>
      </w:r>
      <w:r w:rsidRPr="00C65441">
        <w:t xml:space="preserve"> (0.01%) blasts based on measurement in bone marrow, documented at least 2 weeks after the last systemic chemotherapy, and recommends MRD should be assessed using the most stringent measure available. The methodology (polymerase chain reaction</w:t>
      </w:r>
      <w:r w:rsidR="00CD42A2" w:rsidRPr="00C65441">
        <w:t xml:space="preserve"> (PCR)</w:t>
      </w:r>
      <w:r w:rsidRPr="00C65441">
        <w:t xml:space="preserve"> or flow cytometry), procedure and sensitivity of the tests used to determine MRD </w:t>
      </w:r>
      <w:r w:rsidR="007E2899">
        <w:t>wa</w:t>
      </w:r>
      <w:r w:rsidRPr="00C65441">
        <w:t>s not defined</w:t>
      </w:r>
      <w:r w:rsidR="007E2899">
        <w:t xml:space="preserve"> in the proposed restriction</w:t>
      </w:r>
      <w:r w:rsidR="009D029A">
        <w:t xml:space="preserve">. The </w:t>
      </w:r>
      <w:r w:rsidR="007E2899">
        <w:t xml:space="preserve">evaluation and the </w:t>
      </w:r>
      <w:r w:rsidR="009D029A">
        <w:t xml:space="preserve">PBAC considered that, </w:t>
      </w:r>
      <w:r w:rsidRPr="00C65441">
        <w:t>given differences between methods in terms of sensitivity and analytic variability, the eligible population under the requested restriction may vary with the method of MRD assessment</w:t>
      </w:r>
      <w:r w:rsidR="008E4B03" w:rsidRPr="00C65441">
        <w:t xml:space="preserve"> because</w:t>
      </w:r>
      <w:r w:rsidR="00253000" w:rsidRPr="00C65441">
        <w:t>:</w:t>
      </w:r>
      <w:r w:rsidRPr="00C65441">
        <w:t xml:space="preserve"> </w:t>
      </w:r>
    </w:p>
    <w:p w:rsidR="00253000" w:rsidRPr="00C65441" w:rsidRDefault="00253000" w:rsidP="001613D3">
      <w:pPr>
        <w:pStyle w:val="ListParagraph"/>
        <w:widowControl/>
        <w:numPr>
          <w:ilvl w:val="0"/>
          <w:numId w:val="8"/>
        </w:numPr>
      </w:pPr>
      <w:r w:rsidRPr="00C65441">
        <w:t xml:space="preserve">The requested restriction </w:t>
      </w:r>
      <w:r w:rsidR="0063599A">
        <w:t xml:space="preserve">enables use when MRD is detected at </w:t>
      </w:r>
      <w:r w:rsidRPr="00C65441">
        <w:t>a lower level (≥10</w:t>
      </w:r>
      <w:r w:rsidRPr="00C65441">
        <w:rPr>
          <w:vertAlign w:val="superscript"/>
        </w:rPr>
        <w:t xml:space="preserve">-4 </w:t>
      </w:r>
      <w:r w:rsidRPr="00C65441">
        <w:t>blasts, or 0.01%) than is supported by the key study presented in the submission, BLAST</w:t>
      </w:r>
      <w:r w:rsidR="0063599A">
        <w:t>, which enrolled patients with MRD</w:t>
      </w:r>
      <w:r w:rsidRPr="00C65441">
        <w:t xml:space="preserve"> </w:t>
      </w:r>
      <w:r w:rsidR="00F81079">
        <w:t xml:space="preserve">at or above 0.1% </w:t>
      </w:r>
      <w:r w:rsidRPr="00C65441">
        <w:t>(≥10</w:t>
      </w:r>
      <w:r w:rsidRPr="00C65441">
        <w:rPr>
          <w:vertAlign w:val="superscript"/>
        </w:rPr>
        <w:t>-3</w:t>
      </w:r>
      <w:r w:rsidR="00F81079">
        <w:t>)</w:t>
      </w:r>
      <w:r w:rsidRPr="00C65441">
        <w:t>. Thus, the proposed PBS population may include patients with less severe disease or a lower risk of relapse than in the key study</w:t>
      </w:r>
      <w:r w:rsidR="00715BB6" w:rsidRPr="00C65441">
        <w:rPr>
          <w:i/>
        </w:rPr>
        <w:t xml:space="preserve">. </w:t>
      </w:r>
    </w:p>
    <w:p w:rsidR="0038380C" w:rsidRPr="009D029A" w:rsidRDefault="0038380C" w:rsidP="001613D3">
      <w:pPr>
        <w:pStyle w:val="ListParagraph"/>
        <w:numPr>
          <w:ilvl w:val="0"/>
          <w:numId w:val="8"/>
        </w:numPr>
      </w:pPr>
      <w:r w:rsidRPr="00C65441">
        <w:t>Key evidence presented in the submission from the BLAST study used assays with a minimum sensitivity of 10</w:t>
      </w:r>
      <w:r w:rsidRPr="00C65441">
        <w:rPr>
          <w:vertAlign w:val="superscript"/>
        </w:rPr>
        <w:t>-4</w:t>
      </w:r>
      <w:r w:rsidRPr="00C65441">
        <w:t xml:space="preserve"> (by rearrangement of </w:t>
      </w:r>
      <w:r w:rsidRPr="009D029A">
        <w:t>immunoglobulin (Ig) measured by PCR</w:t>
      </w:r>
      <w:r w:rsidR="00F81079">
        <w:t>;</w:t>
      </w:r>
      <w:r w:rsidRPr="009D029A">
        <w:t xml:space="preserve"> or flow cytometry marker profile). The submission acknowledged that some methods used in current practice have higher assay sensitivity (e.g. sensitivity of 10</w:t>
      </w:r>
      <w:r w:rsidRPr="009D029A">
        <w:rPr>
          <w:vertAlign w:val="superscript"/>
        </w:rPr>
        <w:t>-4</w:t>
      </w:r>
      <w:r w:rsidRPr="009D029A">
        <w:t xml:space="preserve"> to 10</w:t>
      </w:r>
      <w:r w:rsidRPr="009D029A">
        <w:rPr>
          <w:vertAlign w:val="superscript"/>
        </w:rPr>
        <w:t>-6</w:t>
      </w:r>
      <w:r w:rsidRPr="009D029A">
        <w:t xml:space="preserve"> for 6 to 9 colour flow cytometry). </w:t>
      </w:r>
    </w:p>
    <w:p w:rsidR="000B5E29" w:rsidRPr="009D029A" w:rsidRDefault="00600987" w:rsidP="005053A1">
      <w:pPr>
        <w:pStyle w:val="ListParagraph"/>
        <w:widowControl/>
        <w:numPr>
          <w:ilvl w:val="1"/>
          <w:numId w:val="2"/>
        </w:numPr>
      </w:pPr>
      <w:r>
        <w:t xml:space="preserve">The Pre-Sub-Committee Response (PSCR) </w:t>
      </w:r>
      <w:r w:rsidR="000B5E29" w:rsidRPr="009D029A">
        <w:t xml:space="preserve">stated that it would not expect the treatment effect of blinatumomab to vary with the MRD cut-off used. To support this it cited a meta-analysis that investigated the association of MRD with clinical outcomes in patients with ALL (regardless of treatment received), based on studies published between 2000 and 2014 (Berry et al, 2017). While this analysis suggested that baseline MRD is an important negative prognostic determinant regardless of the MRD threshold used, it did not inform whether the relative treatment effect of blinatumomab would be consistent across different MRD levels. </w:t>
      </w:r>
      <w:r w:rsidR="00BB3D4E" w:rsidRPr="009D029A">
        <w:t xml:space="preserve">The PBAC also noted </w:t>
      </w:r>
      <w:r w:rsidR="00BB3D4E" w:rsidRPr="009D029A">
        <w:lastRenderedPageBreak/>
        <w:t xml:space="preserve">that subgroup analyses from the </w:t>
      </w:r>
      <w:r w:rsidR="00F25FE7" w:rsidRPr="009D029A">
        <w:t>BLAST study</w:t>
      </w:r>
      <w:r w:rsidR="002F5868">
        <w:t xml:space="preserve"> indicated </w:t>
      </w:r>
      <w:r w:rsidR="00BB3D4E" w:rsidRPr="009D029A">
        <w:t>that blinatumomab was</w:t>
      </w:r>
      <w:r w:rsidR="00F25FE7" w:rsidRPr="009D029A">
        <w:t xml:space="preserve"> similarly </w:t>
      </w:r>
      <w:r w:rsidR="00BB3D4E" w:rsidRPr="009D029A">
        <w:t xml:space="preserve">effective if the MRD level was above or below </w:t>
      </w:r>
      <w:r w:rsidR="00F25FE7" w:rsidRPr="009D029A">
        <w:t>10</w:t>
      </w:r>
      <w:r w:rsidR="00F25FE7" w:rsidRPr="009D029A">
        <w:rPr>
          <w:vertAlign w:val="superscript"/>
        </w:rPr>
        <w:t>-2</w:t>
      </w:r>
      <w:r w:rsidR="00BB3D4E" w:rsidRPr="009D029A">
        <w:t>. However</w:t>
      </w:r>
      <w:r w:rsidR="002F5868">
        <w:t>,</w:t>
      </w:r>
      <w:r w:rsidR="00BB3D4E" w:rsidRPr="009D029A">
        <w:t xml:space="preserve"> the </w:t>
      </w:r>
      <w:r w:rsidR="00F25FE7" w:rsidRPr="009D029A">
        <w:t>C</w:t>
      </w:r>
      <w:r w:rsidR="00BB3D4E" w:rsidRPr="009D029A">
        <w:t xml:space="preserve">ommittee considered that this observation could not be extrapolated to </w:t>
      </w:r>
      <w:r w:rsidR="00F25FE7" w:rsidRPr="009D029A">
        <w:t>lower MRD thresholds (</w:t>
      </w:r>
      <w:r w:rsidR="00CB16AD" w:rsidRPr="009D029A">
        <w:t>e.g.</w:t>
      </w:r>
      <w:r w:rsidR="00F25FE7" w:rsidRPr="009D029A">
        <w:t xml:space="preserve"> above or below 10</w:t>
      </w:r>
      <w:r w:rsidR="00F25FE7" w:rsidRPr="009D029A">
        <w:rPr>
          <w:vertAlign w:val="superscript"/>
        </w:rPr>
        <w:t xml:space="preserve">-3 </w:t>
      </w:r>
      <w:r w:rsidR="00F25FE7" w:rsidRPr="009D029A">
        <w:t>or 10</w:t>
      </w:r>
      <w:r w:rsidR="00F25FE7" w:rsidRPr="009D029A">
        <w:rPr>
          <w:vertAlign w:val="superscript"/>
        </w:rPr>
        <w:t>-4</w:t>
      </w:r>
      <w:r w:rsidR="00F25FE7" w:rsidRPr="009D029A">
        <w:t xml:space="preserve">). </w:t>
      </w:r>
    </w:p>
    <w:p w:rsidR="008F6917" w:rsidRDefault="00EF74B8" w:rsidP="00EF74B8">
      <w:pPr>
        <w:pStyle w:val="ListParagraph"/>
        <w:widowControl/>
        <w:numPr>
          <w:ilvl w:val="1"/>
          <w:numId w:val="2"/>
        </w:numPr>
      </w:pPr>
      <w:r w:rsidRPr="009D029A">
        <w:t xml:space="preserve">The ESC </w:t>
      </w:r>
      <w:r w:rsidR="008F6917" w:rsidRPr="009D029A">
        <w:t xml:space="preserve">and PBAC </w:t>
      </w:r>
      <w:r w:rsidR="008E4B03" w:rsidRPr="009D029A">
        <w:t xml:space="preserve">advised that </w:t>
      </w:r>
      <w:r w:rsidRPr="009D029A">
        <w:t>a MRD level of ≥10</w:t>
      </w:r>
      <w:r w:rsidRPr="009D029A">
        <w:rPr>
          <w:vertAlign w:val="superscript"/>
        </w:rPr>
        <w:t>-4</w:t>
      </w:r>
      <w:r w:rsidRPr="009D029A">
        <w:t>, as</w:t>
      </w:r>
      <w:r w:rsidR="008E4B03" w:rsidRPr="009D029A">
        <w:t xml:space="preserve"> </w:t>
      </w:r>
      <w:r w:rsidRPr="009D029A">
        <w:t xml:space="preserve">proposed in the restriction, </w:t>
      </w:r>
      <w:r w:rsidR="008E4B03" w:rsidRPr="009D029A">
        <w:t xml:space="preserve">is </w:t>
      </w:r>
      <w:r w:rsidR="006551CB" w:rsidRPr="009D029A">
        <w:t xml:space="preserve">the </w:t>
      </w:r>
      <w:r w:rsidRPr="009D029A">
        <w:t xml:space="preserve">threshold </w:t>
      </w:r>
      <w:r w:rsidR="008E4B03" w:rsidRPr="009D029A">
        <w:t>used in current clinical practice to define MRD</w:t>
      </w:r>
      <w:r w:rsidRPr="009D029A">
        <w:t xml:space="preserve"> (though</w:t>
      </w:r>
      <w:r w:rsidR="008F6917" w:rsidRPr="009D029A">
        <w:t xml:space="preserve"> noting </w:t>
      </w:r>
      <w:r w:rsidRPr="009D029A">
        <w:t>it was lower than the threshold used in the key clinical study of ≥10</w:t>
      </w:r>
      <w:r w:rsidRPr="009D029A">
        <w:rPr>
          <w:vertAlign w:val="superscript"/>
        </w:rPr>
        <w:t>-3</w:t>
      </w:r>
      <w:r w:rsidRPr="009D029A">
        <w:t>)</w:t>
      </w:r>
      <w:r w:rsidR="000D07E9" w:rsidRPr="009D029A">
        <w:t>, however t</w:t>
      </w:r>
      <w:r w:rsidR="008F6917" w:rsidRPr="009D029A">
        <w:t>he PBAC</w:t>
      </w:r>
      <w:r w:rsidR="008F6917" w:rsidRPr="009D029A">
        <w:rPr>
          <w:rFonts w:asciiTheme="minorHAnsi" w:hAnsiTheme="minorHAnsi"/>
          <w:bCs/>
          <w:szCs w:val="24"/>
          <w:lang w:val="en-GB"/>
        </w:rPr>
        <w:t xml:space="preserve"> noted</w:t>
      </w:r>
      <w:r w:rsidR="008F6917">
        <w:rPr>
          <w:rFonts w:asciiTheme="minorHAnsi" w:hAnsiTheme="minorHAnsi"/>
          <w:bCs/>
          <w:szCs w:val="24"/>
          <w:lang w:val="en-GB"/>
        </w:rPr>
        <w:t xml:space="preserve"> that this threshold was based on consensus (clinical opinion) rather than </w:t>
      </w:r>
      <w:r w:rsidR="000D07E9">
        <w:rPr>
          <w:rFonts w:asciiTheme="minorHAnsi" w:hAnsiTheme="minorHAnsi"/>
          <w:bCs/>
          <w:szCs w:val="24"/>
          <w:lang w:val="en-GB"/>
        </w:rPr>
        <w:t>strong evidence</w:t>
      </w:r>
      <w:r w:rsidR="008F6917">
        <w:rPr>
          <w:rFonts w:asciiTheme="minorHAnsi" w:hAnsiTheme="minorHAnsi"/>
          <w:bCs/>
          <w:szCs w:val="24"/>
          <w:lang w:val="en-GB"/>
        </w:rPr>
        <w:t>.</w:t>
      </w:r>
    </w:p>
    <w:p w:rsidR="008E4B03" w:rsidRPr="00C65441" w:rsidRDefault="00EF74B8" w:rsidP="00EF74B8">
      <w:pPr>
        <w:pStyle w:val="ListParagraph"/>
        <w:widowControl/>
        <w:numPr>
          <w:ilvl w:val="1"/>
          <w:numId w:val="2"/>
        </w:numPr>
      </w:pPr>
      <w:r w:rsidRPr="00C65441">
        <w:t>T</w:t>
      </w:r>
      <w:r w:rsidR="009B5E14" w:rsidRPr="00C65441">
        <w:t xml:space="preserve">he ESC </w:t>
      </w:r>
      <w:r w:rsidR="003700C1">
        <w:t xml:space="preserve">and the PBAC </w:t>
      </w:r>
      <w:r w:rsidR="009B5E14" w:rsidRPr="00C65441">
        <w:t>considered that more sensitive assays are being developed</w:t>
      </w:r>
      <w:r w:rsidR="008E4B03" w:rsidRPr="00C65441">
        <w:t xml:space="preserve">, </w:t>
      </w:r>
      <w:r w:rsidR="009B5E14" w:rsidRPr="00C65441">
        <w:t xml:space="preserve">and if </w:t>
      </w:r>
      <w:r w:rsidR="008E4B03" w:rsidRPr="00C65441">
        <w:t>lower</w:t>
      </w:r>
      <w:r w:rsidR="009B5E14" w:rsidRPr="00C65441">
        <w:t xml:space="preserve"> MRD thresholds</w:t>
      </w:r>
      <w:r w:rsidR="008E4B03" w:rsidRPr="00C65441">
        <w:t xml:space="preserve"> were to be used in the future then the risk profile and number of eligible patients may change</w:t>
      </w:r>
      <w:r w:rsidR="009B5E14" w:rsidRPr="00C65441">
        <w:t xml:space="preserve">. Further, the ESC </w:t>
      </w:r>
      <w:r w:rsidR="003700C1">
        <w:t xml:space="preserve">and PBAC </w:t>
      </w:r>
      <w:r w:rsidR="009B5E14" w:rsidRPr="00C65441">
        <w:t xml:space="preserve">considered that the </w:t>
      </w:r>
      <w:r w:rsidR="008E4B03" w:rsidRPr="00C65441">
        <w:t>clinical relevance of threshold</w:t>
      </w:r>
      <w:r w:rsidR="009B5E14" w:rsidRPr="00C65441">
        <w:t>s below 10</w:t>
      </w:r>
      <w:r w:rsidR="009B5E14" w:rsidRPr="00C65441">
        <w:rPr>
          <w:vertAlign w:val="superscript"/>
        </w:rPr>
        <w:t xml:space="preserve">-4 </w:t>
      </w:r>
      <w:r w:rsidR="009B5E14" w:rsidRPr="00C65441">
        <w:t>was not established</w:t>
      </w:r>
      <w:r w:rsidR="008E4B03" w:rsidRPr="00C65441">
        <w:t xml:space="preserve">.  </w:t>
      </w:r>
    </w:p>
    <w:p w:rsidR="007E7FB0" w:rsidRDefault="009B3F59" w:rsidP="007E7FB0">
      <w:pPr>
        <w:pStyle w:val="ListParagraph"/>
        <w:widowControl/>
        <w:numPr>
          <w:ilvl w:val="1"/>
          <w:numId w:val="2"/>
        </w:numPr>
      </w:pPr>
      <w:r w:rsidRPr="00C65441">
        <w:t xml:space="preserve">The submission stated that MRD assessment in adult </w:t>
      </w:r>
      <w:r w:rsidR="00C81A87" w:rsidRPr="00C65441">
        <w:t xml:space="preserve">patients with </w:t>
      </w:r>
      <w:r w:rsidRPr="00C65441">
        <w:t xml:space="preserve">ALL is evolving and </w:t>
      </w:r>
      <w:r w:rsidR="00C81A87" w:rsidRPr="00C65441">
        <w:t xml:space="preserve">is </w:t>
      </w:r>
      <w:r w:rsidRPr="00C65441">
        <w:t>increasingly being adopted as routine, and that it is routine</w:t>
      </w:r>
      <w:r w:rsidR="00FD5491" w:rsidRPr="00C65441">
        <w:t>ly</w:t>
      </w:r>
      <w:r w:rsidRPr="00C65441">
        <w:t xml:space="preserve"> undertaken in paediatric patients. Timing of MRD assessment is recommended on completion of initial induction chemotherapy, with follow up assessment guided by treatment regimen and clinician discretion on a patient-by-patient basis.</w:t>
      </w:r>
      <w:r w:rsidR="00E66BD2" w:rsidRPr="00C65441">
        <w:t xml:space="preserve"> However, </w:t>
      </w:r>
      <w:r w:rsidR="00A225FF" w:rsidRPr="00C65441">
        <w:t xml:space="preserve">MRD </w:t>
      </w:r>
      <w:r w:rsidR="00905925" w:rsidRPr="00C65441">
        <w:t>testing</w:t>
      </w:r>
      <w:r w:rsidR="00A225FF" w:rsidRPr="00C65441">
        <w:t xml:space="preserve"> is not currently subsidised under the Medicare Benefits Schedule (MBS).</w:t>
      </w:r>
      <w:r w:rsidR="00F0696E" w:rsidRPr="00C65441">
        <w:t xml:space="preserve"> </w:t>
      </w:r>
      <w:r w:rsidR="00905925" w:rsidRPr="00C65441">
        <w:t xml:space="preserve">The submission stated that it anticipated that fewer than 300 patients would be assessed for eligibility for blinatumomab each year </w:t>
      </w:r>
      <w:r w:rsidR="00905925" w:rsidRPr="00797EA9">
        <w:t xml:space="preserve">and that many of these patients are already being tested under current arrangements. </w:t>
      </w:r>
      <w:r w:rsidR="00253000" w:rsidRPr="00797EA9">
        <w:t xml:space="preserve">The submission did not provide further information as to how these tests were being funded and whether consistent access was available throughout Australia. </w:t>
      </w:r>
    </w:p>
    <w:p w:rsidR="00A225FF" w:rsidRDefault="00D42518" w:rsidP="00797EA9">
      <w:pPr>
        <w:pStyle w:val="ListParagraph"/>
        <w:widowControl/>
        <w:numPr>
          <w:ilvl w:val="1"/>
          <w:numId w:val="2"/>
        </w:numPr>
      </w:pPr>
      <w:r w:rsidRPr="00C65441">
        <w:t xml:space="preserve">The ESC considered that MRD testing is routinely conducted in </w:t>
      </w:r>
      <w:r w:rsidR="00065712" w:rsidRPr="00C65441">
        <w:t xml:space="preserve">Australian </w:t>
      </w:r>
      <w:r w:rsidRPr="00C65441">
        <w:t>clinical practice at multiple time points</w:t>
      </w:r>
      <w:r w:rsidR="00065712" w:rsidRPr="00C65441">
        <w:t xml:space="preserve"> in the clinical pathway</w:t>
      </w:r>
      <w:r w:rsidR="00B16FB2" w:rsidRPr="00C65441">
        <w:t>, with patients generally being tested at the end of each cycle (e.g. at intervals of around 28 days)</w:t>
      </w:r>
      <w:r w:rsidR="00065712" w:rsidRPr="00C65441">
        <w:t>.</w:t>
      </w:r>
      <w:r w:rsidR="00530433">
        <w:t xml:space="preserve"> </w:t>
      </w:r>
      <w:r w:rsidR="00065712" w:rsidRPr="00C65441">
        <w:t xml:space="preserve">The ESC considered that this would align with the proposed restriction which requires patients to have MRD testing at least two weeks after their last systemic chemotherapy. </w:t>
      </w:r>
    </w:p>
    <w:p w:rsidR="00797EA9" w:rsidRPr="00C65441" w:rsidRDefault="00797EA9" w:rsidP="000946E6">
      <w:pPr>
        <w:pStyle w:val="ListParagraph"/>
        <w:widowControl/>
        <w:numPr>
          <w:ilvl w:val="1"/>
          <w:numId w:val="2"/>
        </w:numPr>
      </w:pPr>
      <w:r>
        <w:t xml:space="preserve">The PBAC considered that </w:t>
      </w:r>
      <w:r w:rsidRPr="000946E6">
        <w:rPr>
          <w:rFonts w:asciiTheme="minorHAnsi" w:hAnsiTheme="minorHAnsi"/>
          <w:bCs/>
          <w:szCs w:val="24"/>
          <w:lang w:val="en-GB"/>
        </w:rPr>
        <w:t>access to MRD testing was not consistently available</w:t>
      </w:r>
      <w:r w:rsidR="00726032">
        <w:t xml:space="preserve"> throughout </w:t>
      </w:r>
      <w:r>
        <w:t>Australia</w:t>
      </w:r>
      <w:r w:rsidRPr="000946E6">
        <w:rPr>
          <w:rFonts w:asciiTheme="minorHAnsi" w:hAnsiTheme="minorHAnsi"/>
          <w:bCs/>
          <w:szCs w:val="24"/>
          <w:lang w:val="en-GB"/>
        </w:rPr>
        <w:t xml:space="preserve">. </w:t>
      </w:r>
    </w:p>
    <w:p w:rsidR="007A5B21" w:rsidRPr="00F90A91" w:rsidRDefault="007A5B21" w:rsidP="00125640">
      <w:pPr>
        <w:pStyle w:val="ListParagraph"/>
        <w:widowControl/>
        <w:rPr>
          <w:rFonts w:asciiTheme="minorHAnsi" w:hAnsiTheme="minorHAnsi"/>
          <w:i/>
        </w:rPr>
      </w:pPr>
      <w:r w:rsidRPr="00C65441">
        <w:rPr>
          <w:rFonts w:asciiTheme="minorHAnsi" w:hAnsiTheme="minorHAnsi"/>
          <w:i/>
        </w:rPr>
        <w:t>For more detail on PBAC’s view, see section 7 PBAC outcome.</w:t>
      </w:r>
    </w:p>
    <w:p w:rsidR="00B50DB8" w:rsidRPr="00E92067" w:rsidRDefault="00B50DB8" w:rsidP="006E665E">
      <w:pPr>
        <w:pStyle w:val="PBACHeading1"/>
        <w:spacing w:before="240" w:after="120"/>
        <w:outlineLvl w:val="0"/>
      </w:pPr>
      <w:bookmarkStart w:id="4" w:name="_Toc514245285"/>
      <w:r w:rsidRPr="00E92067">
        <w:t>Background</w:t>
      </w:r>
      <w:bookmarkEnd w:id="4"/>
    </w:p>
    <w:p w:rsidR="00B60939" w:rsidRPr="006E665E" w:rsidRDefault="00591957" w:rsidP="006E665E">
      <w:pPr>
        <w:spacing w:before="240" w:after="120"/>
        <w:outlineLvl w:val="1"/>
        <w:rPr>
          <w:b/>
          <w:i/>
          <w:sz w:val="28"/>
          <w:szCs w:val="28"/>
        </w:rPr>
      </w:pPr>
      <w:r w:rsidRPr="006E665E">
        <w:rPr>
          <w:b/>
          <w:i/>
          <w:sz w:val="28"/>
          <w:szCs w:val="28"/>
        </w:rPr>
        <w:t>Registration status</w:t>
      </w:r>
    </w:p>
    <w:p w:rsidR="0015332B" w:rsidRPr="00723F01" w:rsidRDefault="00F7282B" w:rsidP="00870604">
      <w:pPr>
        <w:pStyle w:val="ListParagraph"/>
        <w:widowControl/>
        <w:numPr>
          <w:ilvl w:val="1"/>
          <w:numId w:val="2"/>
        </w:numPr>
      </w:pPr>
      <w:r w:rsidRPr="00723F01">
        <w:t xml:space="preserve">Blinatumomab was </w:t>
      </w:r>
      <w:r w:rsidR="00F1344D">
        <w:t xml:space="preserve">TGA </w:t>
      </w:r>
      <w:r w:rsidRPr="00723F01">
        <w:t xml:space="preserve">registered for the treatment of </w:t>
      </w:r>
      <w:r w:rsidR="00870604" w:rsidRPr="00870604">
        <w:t>patients with B-ALL in h</w:t>
      </w:r>
      <w:r w:rsidR="00870604">
        <w:t xml:space="preserve">aematological remission with </w:t>
      </w:r>
      <w:r w:rsidRPr="00723F01">
        <w:t xml:space="preserve">MRD </w:t>
      </w:r>
      <w:r w:rsidR="00442053" w:rsidRPr="00723F01">
        <w:t>on 18 May 2018</w:t>
      </w:r>
      <w:r w:rsidR="0015332B" w:rsidRPr="00723F01">
        <w:t>.</w:t>
      </w:r>
    </w:p>
    <w:p w:rsidR="00ED2AF4" w:rsidRPr="00E92067" w:rsidRDefault="0015332B" w:rsidP="001613D3">
      <w:pPr>
        <w:pStyle w:val="ListParagraph"/>
        <w:widowControl/>
        <w:numPr>
          <w:ilvl w:val="1"/>
          <w:numId w:val="2"/>
        </w:numPr>
      </w:pPr>
      <w:r w:rsidRPr="00E92067">
        <w:t>The approved TGA indications are</w:t>
      </w:r>
      <w:r w:rsidR="00F7282B">
        <w:t xml:space="preserve"> for</w:t>
      </w:r>
      <w:r w:rsidRPr="00E92067">
        <w:t>:</w:t>
      </w:r>
    </w:p>
    <w:p w:rsidR="0015332B" w:rsidRPr="00E92067" w:rsidRDefault="0015332B" w:rsidP="00442053">
      <w:pPr>
        <w:widowControl/>
        <w:ind w:left="720"/>
      </w:pPr>
      <w:r w:rsidRPr="00E92067">
        <w:t xml:space="preserve">“the treatment of minimal residual disease (MRD) positive B-cell precursor acute lymphoblastic leukaemia (ALL) in patients in complete haematological remission”; and </w:t>
      </w:r>
    </w:p>
    <w:p w:rsidR="0015332B" w:rsidRPr="00E92067" w:rsidRDefault="0015332B" w:rsidP="0015332B">
      <w:pPr>
        <w:widowControl/>
        <w:spacing w:after="160"/>
        <w:ind w:left="720"/>
      </w:pPr>
      <w:r w:rsidRPr="00E92067">
        <w:t>“the treatment of relapsed or refractory B-cell precursor acute lymphoblastic leukaemia,” (i.e. including both Ph+ and Ph- patients);</w:t>
      </w:r>
    </w:p>
    <w:p w:rsidR="0015332B" w:rsidRDefault="0015332B" w:rsidP="0015332B">
      <w:pPr>
        <w:widowControl/>
        <w:spacing w:after="160"/>
        <w:ind w:left="720"/>
      </w:pPr>
      <w:r w:rsidRPr="00E92067">
        <w:t>Note to indication: the indications in Philadelphia positive, MRD positive and paediatric patients were approved based on phase II, non-randomised evidence. An improvement in clinical outcomes by direct prospective comparison in a randomised setting relative to other standard-of-care salvage therapies has not been established.</w:t>
      </w:r>
      <w:r w:rsidR="002A4511">
        <w:t>”</w:t>
      </w:r>
    </w:p>
    <w:p w:rsidR="00B50DB8" w:rsidRPr="00E92067" w:rsidRDefault="00203181" w:rsidP="006E665E">
      <w:pPr>
        <w:pStyle w:val="PBACHeading1"/>
        <w:spacing w:before="240" w:after="120"/>
        <w:outlineLvl w:val="0"/>
      </w:pPr>
      <w:bookmarkStart w:id="5" w:name="_Toc514245286"/>
      <w:r w:rsidRPr="00E92067">
        <w:t xml:space="preserve">Population and </w:t>
      </w:r>
      <w:r w:rsidR="008E0D3C" w:rsidRPr="00E92067">
        <w:t>d</w:t>
      </w:r>
      <w:r w:rsidRPr="00E92067">
        <w:t>isease</w:t>
      </w:r>
      <w:bookmarkEnd w:id="5"/>
    </w:p>
    <w:p w:rsidR="00ED2AF4" w:rsidRPr="00E92067" w:rsidRDefault="00ED2AF4" w:rsidP="001613D3">
      <w:pPr>
        <w:pStyle w:val="ListParagraph"/>
        <w:widowControl/>
        <w:numPr>
          <w:ilvl w:val="1"/>
          <w:numId w:val="2"/>
        </w:numPr>
      </w:pPr>
      <w:r w:rsidRPr="00E92067">
        <w:t xml:space="preserve">Acute lymphoblastic leukaemia (ALL) is a rare malignant disease of the bone marrow in which lymphoid precursor cells proliferate (approximately 1-1.5/100,000 of the general population). The incidence of ALL is highest in children under 5 years of age, declines slowly until the mid-20s and then begins to rise again slowly after 50 years of age. ALL may be related to either B-cell or T-cell precursors, with </w:t>
      </w:r>
      <w:r w:rsidR="005E4BFD" w:rsidRPr="00E92067">
        <w:t xml:space="preserve">the majority of </w:t>
      </w:r>
      <w:r w:rsidRPr="00E92067">
        <w:t>diagnoses identified as B-cell precursor ALL (B-ALL).</w:t>
      </w:r>
    </w:p>
    <w:p w:rsidR="005E4BFD" w:rsidRPr="00E92067" w:rsidRDefault="005E4BFD" w:rsidP="001613D3">
      <w:pPr>
        <w:pStyle w:val="ListParagraph"/>
        <w:widowControl/>
        <w:numPr>
          <w:ilvl w:val="1"/>
          <w:numId w:val="2"/>
        </w:numPr>
      </w:pPr>
      <w:r w:rsidRPr="00E92067">
        <w:t>ALL is characterised by the emergence of haematological deficiencies, anaemia, thrombocytopenia and neutropenia, that give rise to the distinctive symptoms of fatigue, bruising, bleeding, enlarged lymph nodes, fever, and infections. Hepatomegaly, splenomegaly, and lymphadenopathy may also be observed, as well as symptoms related to central nervous system or testicular involvement (headache, weakness, seizures, vomiting, testicular enlargement).</w:t>
      </w:r>
    </w:p>
    <w:p w:rsidR="00ED2AF4" w:rsidRPr="00E92067" w:rsidRDefault="00ED2AF4" w:rsidP="001613D3">
      <w:pPr>
        <w:pStyle w:val="ListParagraph"/>
        <w:widowControl/>
        <w:numPr>
          <w:ilvl w:val="1"/>
          <w:numId w:val="2"/>
        </w:numPr>
      </w:pPr>
      <w:r w:rsidRPr="00E92067">
        <w:t>While most patients achieve haematological complete remission or partial remission after intensive induction chemotherapy, the risk of relapse is strongly correlated with the level of post-induction residual disease detectable in bone marrow or peripheral blood. Prognosis is generally positive in children, and less favourable with increasing age.</w:t>
      </w:r>
    </w:p>
    <w:p w:rsidR="00ED2AF4" w:rsidRPr="00E92067" w:rsidRDefault="00ED2AF4" w:rsidP="001613D3">
      <w:pPr>
        <w:pStyle w:val="ListParagraph"/>
        <w:widowControl/>
        <w:numPr>
          <w:ilvl w:val="1"/>
          <w:numId w:val="2"/>
        </w:numPr>
      </w:pPr>
      <w:r w:rsidRPr="00E92067">
        <w:t>Relapse in B-ALL is believed to result from residual leukaemic blast cells persisting in haematological complete remission, at levels not detected in conventional morphologic assessments (&lt;5% blast cells in bone marrow). The presence of residual leukaemic blast cells</w:t>
      </w:r>
      <w:r w:rsidR="00F0696E" w:rsidRPr="00E92067">
        <w:t xml:space="preserve"> (in patients who have been assessed as having complete remission as assessed by conventional </w:t>
      </w:r>
      <w:r w:rsidR="0038380C" w:rsidRPr="00E92067">
        <w:t>morphology</w:t>
      </w:r>
      <w:r w:rsidR="00F0696E" w:rsidRPr="00E92067">
        <w:t xml:space="preserve"> analys</w:t>
      </w:r>
      <w:r w:rsidR="0038380C" w:rsidRPr="00E92067">
        <w:t>e</w:t>
      </w:r>
      <w:r w:rsidR="00F0696E" w:rsidRPr="00E92067">
        <w:t>s)</w:t>
      </w:r>
      <w:r w:rsidRPr="00E92067">
        <w:t xml:space="preserve"> is referred to as minimal residual disease (MRD).</w:t>
      </w:r>
    </w:p>
    <w:p w:rsidR="00ED2AF4" w:rsidRPr="00E92067" w:rsidRDefault="00ED2AF4" w:rsidP="001613D3">
      <w:pPr>
        <w:pStyle w:val="ListParagraph"/>
        <w:widowControl/>
        <w:numPr>
          <w:ilvl w:val="1"/>
          <w:numId w:val="2"/>
        </w:numPr>
      </w:pPr>
      <w:r w:rsidRPr="00E92067">
        <w:t>More sensitive assays such as multicolour flow cytometry and PCR provide detection of lower concentrations of MRD at levels of prognostic significance strongly correlated with risk of relapse. A meta-analysis of MRD and clinical outcomes in adults and children with ALL (Berry et al. 2017) found MRD detected by multicolour flow cytometry or polymerase chain reaction correlated with risk of relapse, and that reduction or eradication of MRD provided clinically important patient benefits, regardless of cytogenetic subgroups.</w:t>
      </w:r>
    </w:p>
    <w:p w:rsidR="00F0696E" w:rsidRDefault="00F0696E" w:rsidP="001613D3">
      <w:pPr>
        <w:pStyle w:val="ListParagraph"/>
        <w:widowControl/>
        <w:numPr>
          <w:ilvl w:val="1"/>
          <w:numId w:val="2"/>
        </w:numPr>
      </w:pPr>
      <w:r w:rsidRPr="00E92067">
        <w:t xml:space="preserve">Different techniques have different sensitivities. </w:t>
      </w:r>
      <w:r w:rsidR="00A225FF" w:rsidRPr="00E92067">
        <w:t>Real-time quantitative PCR targeting immunoglobulin (Ig) can amplify a DNA or cDNA sequence unique to the leukemic clone cell resulting in assay sensitivity of 10</w:t>
      </w:r>
      <w:r w:rsidR="00A225FF" w:rsidRPr="00E92067">
        <w:rPr>
          <w:vertAlign w:val="superscript"/>
        </w:rPr>
        <w:t>-4</w:t>
      </w:r>
      <w:r w:rsidR="00A225FF" w:rsidRPr="00E92067">
        <w:t xml:space="preserve"> to 10</w:t>
      </w:r>
      <w:r w:rsidR="00A225FF" w:rsidRPr="00E92067">
        <w:rPr>
          <w:vertAlign w:val="superscript"/>
        </w:rPr>
        <w:t>-5</w:t>
      </w:r>
      <w:r w:rsidR="00A225FF" w:rsidRPr="00E92067">
        <w:t>. Multicolour flow cytometry based on aberrant antigen expressions has an assay sensitivity of approximately 10</w:t>
      </w:r>
      <w:r w:rsidR="00A225FF" w:rsidRPr="00E92067">
        <w:rPr>
          <w:vertAlign w:val="superscript"/>
        </w:rPr>
        <w:t>-4</w:t>
      </w:r>
      <w:r w:rsidR="00A225FF" w:rsidRPr="008945D9">
        <w:t>,</w:t>
      </w:r>
      <w:r w:rsidR="00A225FF" w:rsidRPr="00E92067">
        <w:t xml:space="preserve"> or about 1 log less than PCR. While MRD assessment by multi-parametric flow cytometry and PCR are highly correlated, differences in methodology and sensitivity may influence results and therapeutic decisions (Berry et al. 2017).</w:t>
      </w:r>
    </w:p>
    <w:p w:rsidR="00EB0F24" w:rsidRPr="00723F01" w:rsidRDefault="00083342" w:rsidP="001613D3">
      <w:pPr>
        <w:pStyle w:val="ListParagraph"/>
        <w:numPr>
          <w:ilvl w:val="1"/>
          <w:numId w:val="2"/>
        </w:numPr>
      </w:pPr>
      <w:r w:rsidRPr="00723F01">
        <w:t>The</w:t>
      </w:r>
      <w:r w:rsidR="000E4343" w:rsidRPr="00723F01">
        <w:t xml:space="preserve"> submission stat</w:t>
      </w:r>
      <w:r w:rsidRPr="00723F01">
        <w:t>ed</w:t>
      </w:r>
      <w:r w:rsidR="00EB0F24" w:rsidRPr="00723F01">
        <w:t xml:space="preserve"> that </w:t>
      </w:r>
      <w:r w:rsidR="00760CF8" w:rsidRPr="00723F01">
        <w:t>access to</w:t>
      </w:r>
      <w:r w:rsidR="00EB0F24" w:rsidRPr="00723F01">
        <w:t xml:space="preserve"> </w:t>
      </w:r>
      <w:r w:rsidR="00760CF8" w:rsidRPr="00723F01">
        <w:t>blinatumomab may increase the</w:t>
      </w:r>
      <w:r w:rsidR="00EB0F24" w:rsidRPr="00723F01">
        <w:t xml:space="preserve"> probability </w:t>
      </w:r>
      <w:r w:rsidR="003E64F6" w:rsidRPr="00723F01">
        <w:t xml:space="preserve">(but not affect eligibility) </w:t>
      </w:r>
      <w:r w:rsidR="00B16FB2" w:rsidRPr="00723F01">
        <w:t xml:space="preserve">that a patient will </w:t>
      </w:r>
      <w:r w:rsidR="00760CF8" w:rsidRPr="00723F01">
        <w:t>receiv</w:t>
      </w:r>
      <w:r w:rsidR="00B16FB2" w:rsidRPr="00723F01">
        <w:t>e</w:t>
      </w:r>
      <w:r w:rsidR="00760CF8" w:rsidRPr="00723F01">
        <w:t xml:space="preserve"> an </w:t>
      </w:r>
      <w:r w:rsidR="00EB0F24" w:rsidRPr="00723F01">
        <w:t xml:space="preserve">allogeneic HSCT </w:t>
      </w:r>
      <w:r w:rsidR="00760CF8" w:rsidRPr="00723F01">
        <w:t>as</w:t>
      </w:r>
      <w:r w:rsidR="00EB0F24" w:rsidRPr="00723F01">
        <w:t xml:space="preserve"> </w:t>
      </w:r>
      <w:r w:rsidR="00B16FB2" w:rsidRPr="00723F01">
        <w:t xml:space="preserve">it </w:t>
      </w:r>
      <w:r w:rsidR="00F7282B" w:rsidRPr="00723F01">
        <w:t xml:space="preserve">may </w:t>
      </w:r>
      <w:r w:rsidR="00EB0F24" w:rsidRPr="00723F01">
        <w:t>provid</w:t>
      </w:r>
      <w:r w:rsidR="00F7282B" w:rsidRPr="00723F01">
        <w:t>e</w:t>
      </w:r>
      <w:r w:rsidR="00EB0F24" w:rsidRPr="00723F01">
        <w:t xml:space="preserve"> a “bridge” to HSCT</w:t>
      </w:r>
      <w:r w:rsidR="00B16FB2" w:rsidRPr="00723F01">
        <w:t xml:space="preserve">. The ESC considered that this would </w:t>
      </w:r>
      <w:r w:rsidR="00752DE9" w:rsidRPr="00723F01">
        <w:t>represent</w:t>
      </w:r>
      <w:r w:rsidR="00B16FB2" w:rsidRPr="00723F01">
        <w:t xml:space="preserve"> an appropriate use of blinatumomab</w:t>
      </w:r>
      <w:r w:rsidR="00EB0F24" w:rsidRPr="00723F01">
        <w:t xml:space="preserve">, but </w:t>
      </w:r>
      <w:r w:rsidR="00F7282B" w:rsidRPr="00723F01">
        <w:t xml:space="preserve">noted that </w:t>
      </w:r>
      <w:r w:rsidR="00EB0F24" w:rsidRPr="00723F01">
        <w:t xml:space="preserve">this </w:t>
      </w:r>
      <w:r w:rsidR="00F7282B" w:rsidRPr="00723F01">
        <w:t>wa</w:t>
      </w:r>
      <w:r w:rsidR="00EB0F24" w:rsidRPr="00723F01">
        <w:t xml:space="preserve">s not fully accounted for in the </w:t>
      </w:r>
      <w:r w:rsidR="00760CF8" w:rsidRPr="00723F01">
        <w:t xml:space="preserve">economic model or </w:t>
      </w:r>
      <w:r w:rsidR="00EB0F24" w:rsidRPr="00723F01">
        <w:t xml:space="preserve">financial estimates.  </w:t>
      </w:r>
    </w:p>
    <w:p w:rsidR="00ED2AF4" w:rsidRPr="00E92067" w:rsidRDefault="00ED2AF4" w:rsidP="001613D3">
      <w:pPr>
        <w:pStyle w:val="ListParagraph"/>
        <w:widowControl/>
        <w:numPr>
          <w:ilvl w:val="1"/>
          <w:numId w:val="2"/>
        </w:numPr>
      </w:pPr>
      <w:r w:rsidRPr="00E92067">
        <w:t>The proposed clinical algorithm positions blinatumomab as an alternative to consolidation chemotherapy in patients with MRD following achievement of haematological complete remission after induction chemotherapy. Following treatment with blinatumomab or consolidation chemotherapy, patients may receive either maintenance chemotherapy (low risk patients in first complete remission) or allogeneic HSCT (high risk patients in first complete remission or all patients in any subsequent complete remission).</w:t>
      </w:r>
    </w:p>
    <w:p w:rsidR="00ED2AF4" w:rsidRPr="00E92067" w:rsidRDefault="00ED2AF4" w:rsidP="001613D3">
      <w:pPr>
        <w:pStyle w:val="ListParagraph"/>
        <w:widowControl/>
        <w:numPr>
          <w:ilvl w:val="1"/>
          <w:numId w:val="2"/>
        </w:numPr>
      </w:pPr>
      <w:r w:rsidRPr="00E92067">
        <w:t xml:space="preserve">The proposed clinical management algorithm includes the addition of a sub-algorithm for the assessment of MRD following achievement of haematological complete remission after initial induction chemotherapy. This sub-algorithm </w:t>
      </w:r>
      <w:r w:rsidR="005131ED">
        <w:t xml:space="preserve">also </w:t>
      </w:r>
      <w:r w:rsidRPr="00E92067">
        <w:t>introduces the use of blinatumomab as a treatment option for molecular relapse in patients who are initially MRD negative. No data were provided in the submission to support the use of blinatumomab as a treatment for molecular relapse.</w:t>
      </w:r>
    </w:p>
    <w:p w:rsidR="007A5B21" w:rsidRPr="00F90A91" w:rsidRDefault="007A5B21" w:rsidP="007A5B21">
      <w:pPr>
        <w:pStyle w:val="ListParagraph"/>
        <w:ind w:left="709"/>
        <w:rPr>
          <w:rFonts w:asciiTheme="minorHAnsi" w:hAnsiTheme="minorHAnsi"/>
          <w:i/>
        </w:rPr>
      </w:pPr>
      <w:r w:rsidRPr="00C65441">
        <w:rPr>
          <w:rFonts w:asciiTheme="minorHAnsi" w:hAnsiTheme="minorHAnsi"/>
          <w:i/>
        </w:rPr>
        <w:t>For more detail on PBAC’s view, see section 7 PBAC outcome.</w:t>
      </w:r>
    </w:p>
    <w:p w:rsidR="00B60939" w:rsidRPr="00E92067" w:rsidRDefault="00B50DB8" w:rsidP="006E665E">
      <w:pPr>
        <w:pStyle w:val="PBACHeading1"/>
        <w:spacing w:before="240" w:after="120"/>
        <w:outlineLvl w:val="0"/>
      </w:pPr>
      <w:bookmarkStart w:id="6" w:name="_Toc514245287"/>
      <w:r w:rsidRPr="00E92067">
        <w:t>Comparator</w:t>
      </w:r>
      <w:bookmarkEnd w:id="6"/>
    </w:p>
    <w:p w:rsidR="00ED2AF4" w:rsidRPr="00E92067" w:rsidRDefault="00ED2AF4" w:rsidP="001613D3">
      <w:pPr>
        <w:pStyle w:val="ListParagraph"/>
        <w:widowControl/>
        <w:numPr>
          <w:ilvl w:val="1"/>
          <w:numId w:val="2"/>
        </w:numPr>
        <w:rPr>
          <w:rFonts w:cs="Calibri"/>
          <w:snapToGrid/>
          <w:szCs w:val="24"/>
          <w:lang w:val="en-US" w:eastAsia="en-AU"/>
        </w:rPr>
      </w:pPr>
      <w:r w:rsidRPr="00E92067">
        <w:rPr>
          <w:rFonts w:cs="Calibri"/>
          <w:snapToGrid/>
          <w:szCs w:val="24"/>
          <w:lang w:val="en-US" w:eastAsia="en-AU"/>
        </w:rPr>
        <w:t xml:space="preserve">The submission nominated standard of care post-induction chemotherapy regimens for the consolidation and/or maintenance of haematological complete remission, as the main comparator. </w:t>
      </w:r>
    </w:p>
    <w:p w:rsidR="00ED2AF4" w:rsidRPr="00E92067" w:rsidRDefault="00ED2AF4" w:rsidP="001613D3">
      <w:pPr>
        <w:pStyle w:val="ListParagraph"/>
        <w:widowControl/>
        <w:numPr>
          <w:ilvl w:val="1"/>
          <w:numId w:val="2"/>
        </w:numPr>
        <w:rPr>
          <w:rFonts w:cs="Calibri"/>
          <w:snapToGrid/>
          <w:szCs w:val="24"/>
          <w:lang w:val="en-US" w:eastAsia="en-AU"/>
        </w:rPr>
      </w:pPr>
      <w:r w:rsidRPr="00E92067">
        <w:rPr>
          <w:rFonts w:cs="Calibri"/>
          <w:snapToGrid/>
          <w:szCs w:val="24"/>
          <w:lang w:val="en-US" w:eastAsia="en-AU"/>
        </w:rPr>
        <w:t>The submission noted that there are currently no specific treatments available for patients with B-ALL in haematological complete remission with MRD post-induction chemotherapy, but acknowledged that patients achieving complete remission post induction may continue treatment with consolidation/maintenance chemotherapy or HSCT.</w:t>
      </w:r>
    </w:p>
    <w:p w:rsidR="00502B79" w:rsidRPr="00502B79" w:rsidRDefault="00ED2AF4" w:rsidP="001613D3">
      <w:pPr>
        <w:pStyle w:val="ListParagraph"/>
        <w:widowControl/>
        <w:numPr>
          <w:ilvl w:val="1"/>
          <w:numId w:val="2"/>
        </w:numPr>
      </w:pPr>
      <w:r w:rsidRPr="00EC6CFB">
        <w:rPr>
          <w:rFonts w:cs="Calibri"/>
          <w:snapToGrid/>
          <w:szCs w:val="24"/>
          <w:lang w:val="en-US" w:eastAsia="en-AU"/>
        </w:rPr>
        <w:t xml:space="preserve">The </w:t>
      </w:r>
      <w:r w:rsidR="00502B79" w:rsidRPr="00723F01">
        <w:rPr>
          <w:rFonts w:cs="Calibri"/>
          <w:snapToGrid/>
          <w:szCs w:val="24"/>
          <w:lang w:val="en-US" w:eastAsia="en-AU"/>
        </w:rPr>
        <w:t>evaluation considered that the</w:t>
      </w:r>
      <w:r w:rsidR="00502B79">
        <w:rPr>
          <w:rFonts w:cs="Calibri"/>
          <w:i/>
          <w:snapToGrid/>
          <w:szCs w:val="24"/>
          <w:lang w:val="en-US" w:eastAsia="en-AU"/>
        </w:rPr>
        <w:t xml:space="preserve"> </w:t>
      </w:r>
      <w:r w:rsidRPr="00EC6CFB">
        <w:rPr>
          <w:rFonts w:cs="Calibri"/>
          <w:snapToGrid/>
          <w:szCs w:val="24"/>
          <w:lang w:val="en-US" w:eastAsia="en-AU"/>
        </w:rPr>
        <w:t>appropria</w:t>
      </w:r>
      <w:r w:rsidR="00502B79">
        <w:rPr>
          <w:rFonts w:cs="Calibri"/>
          <w:snapToGrid/>
          <w:szCs w:val="24"/>
          <w:lang w:val="en-US" w:eastAsia="en-AU"/>
        </w:rPr>
        <w:t>te comparator for blinatumomab wa</w:t>
      </w:r>
      <w:r w:rsidRPr="00EC6CFB">
        <w:rPr>
          <w:rFonts w:cs="Calibri"/>
          <w:snapToGrid/>
          <w:szCs w:val="24"/>
          <w:lang w:val="en-US" w:eastAsia="en-AU"/>
        </w:rPr>
        <w:t xml:space="preserve">s unclear due to </w:t>
      </w:r>
      <w:r w:rsidR="00260F16" w:rsidRPr="00EC6CFB">
        <w:rPr>
          <w:rFonts w:cs="Calibri"/>
          <w:snapToGrid/>
          <w:szCs w:val="24"/>
          <w:lang w:val="en-US" w:eastAsia="en-AU"/>
        </w:rPr>
        <w:t xml:space="preserve">its </w:t>
      </w:r>
      <w:r w:rsidRPr="00EC6CFB">
        <w:rPr>
          <w:rFonts w:cs="Calibri"/>
          <w:snapToGrid/>
          <w:szCs w:val="24"/>
          <w:lang w:val="en-US" w:eastAsia="en-AU"/>
        </w:rPr>
        <w:t>uncertain place in therapy</w:t>
      </w:r>
      <w:r w:rsidR="00D606AD">
        <w:rPr>
          <w:rFonts w:cs="Calibri"/>
          <w:snapToGrid/>
          <w:szCs w:val="24"/>
          <w:lang w:val="en-US" w:eastAsia="en-AU"/>
        </w:rPr>
        <w:t xml:space="preserve">. One of the reasons for the uncertain place in therapy was because </w:t>
      </w:r>
      <w:r w:rsidR="00D00B91">
        <w:rPr>
          <w:rFonts w:cs="Calibri"/>
          <w:snapToGrid/>
          <w:szCs w:val="24"/>
          <w:lang w:val="en-US" w:eastAsia="en-AU"/>
        </w:rPr>
        <w:t xml:space="preserve">blinatumomab </w:t>
      </w:r>
      <w:r w:rsidR="00D77EDB">
        <w:rPr>
          <w:rFonts w:cs="Calibri"/>
          <w:snapToGrid/>
          <w:szCs w:val="24"/>
          <w:lang w:val="en-US" w:eastAsia="en-AU"/>
        </w:rPr>
        <w:t>may</w:t>
      </w:r>
      <w:r w:rsidR="00D00B91">
        <w:rPr>
          <w:rFonts w:cs="Calibri"/>
          <w:snapToGrid/>
          <w:szCs w:val="24"/>
          <w:lang w:val="en-US" w:eastAsia="en-AU"/>
        </w:rPr>
        <w:t xml:space="preserve"> be initiated at many points </w:t>
      </w:r>
      <w:r w:rsidR="00D77EDB">
        <w:rPr>
          <w:rFonts w:cs="Calibri"/>
          <w:snapToGrid/>
          <w:szCs w:val="24"/>
          <w:lang w:val="en-US" w:eastAsia="en-AU"/>
        </w:rPr>
        <w:t>along</w:t>
      </w:r>
      <w:r w:rsidR="00D00B91">
        <w:rPr>
          <w:rFonts w:cs="Calibri"/>
          <w:snapToGrid/>
          <w:szCs w:val="24"/>
          <w:lang w:val="en-US" w:eastAsia="en-AU"/>
        </w:rPr>
        <w:t xml:space="preserve"> the </w:t>
      </w:r>
      <w:r w:rsidR="00D00B91" w:rsidRPr="00DD01CD">
        <w:rPr>
          <w:rFonts w:cs="Calibri"/>
          <w:snapToGrid/>
          <w:szCs w:val="24"/>
          <w:lang w:val="en-US" w:eastAsia="en-AU"/>
        </w:rPr>
        <w:t>treatment algorithm</w:t>
      </w:r>
      <w:r w:rsidR="00EB0F24" w:rsidRPr="00DD01CD">
        <w:rPr>
          <w:rFonts w:cs="Calibri"/>
          <w:i/>
          <w:snapToGrid/>
          <w:szCs w:val="24"/>
          <w:lang w:val="en-US" w:eastAsia="en-AU"/>
        </w:rPr>
        <w:t xml:space="preserve">. </w:t>
      </w:r>
      <w:r w:rsidR="00BF7EDE">
        <w:rPr>
          <w:rFonts w:cs="Calibri"/>
          <w:snapToGrid/>
          <w:szCs w:val="24"/>
          <w:lang w:val="en-US" w:eastAsia="en-AU"/>
        </w:rPr>
        <w:t xml:space="preserve">The evaluation considered that, as such, it was </w:t>
      </w:r>
      <w:r w:rsidRPr="00DD01CD">
        <w:rPr>
          <w:rFonts w:cs="Calibri"/>
          <w:snapToGrid/>
          <w:szCs w:val="24"/>
          <w:lang w:val="en-US" w:eastAsia="en-AU"/>
        </w:rPr>
        <w:t>unclear</w:t>
      </w:r>
      <w:r w:rsidRPr="00502B79">
        <w:rPr>
          <w:rFonts w:cs="Calibri"/>
          <w:snapToGrid/>
          <w:szCs w:val="24"/>
          <w:lang w:val="en-US" w:eastAsia="en-AU"/>
        </w:rPr>
        <w:t xml:space="preserve"> whether blinatumomab is </w:t>
      </w:r>
      <w:r w:rsidR="00EB0F24" w:rsidRPr="00502B79">
        <w:rPr>
          <w:rFonts w:cs="Calibri"/>
          <w:snapToGrid/>
          <w:szCs w:val="24"/>
          <w:lang w:val="en-US" w:eastAsia="en-AU"/>
        </w:rPr>
        <w:t xml:space="preserve">likely </w:t>
      </w:r>
      <w:r w:rsidRPr="00502B79">
        <w:rPr>
          <w:rFonts w:cs="Calibri"/>
          <w:snapToGrid/>
          <w:szCs w:val="24"/>
          <w:lang w:val="en-US" w:eastAsia="en-AU"/>
        </w:rPr>
        <w:t>to target a</w:t>
      </w:r>
      <w:r w:rsidRPr="00EC6CFB">
        <w:rPr>
          <w:rFonts w:cs="Calibri"/>
          <w:snapToGrid/>
          <w:szCs w:val="24"/>
          <w:lang w:val="en-US" w:eastAsia="en-AU"/>
        </w:rPr>
        <w:t xml:space="preserve"> new place in therapy as a primary or adjunctive therapy to improve or delay other treatment options, or </w:t>
      </w:r>
      <w:r w:rsidR="001D6E9F" w:rsidRPr="00EC6CFB">
        <w:rPr>
          <w:rFonts w:cs="Calibri"/>
          <w:snapToGrid/>
          <w:szCs w:val="24"/>
          <w:lang w:val="en-US" w:eastAsia="en-AU"/>
        </w:rPr>
        <w:t>to</w:t>
      </w:r>
      <w:r w:rsidRPr="00EC6CFB">
        <w:rPr>
          <w:rFonts w:cs="Calibri"/>
          <w:snapToGrid/>
          <w:szCs w:val="24"/>
          <w:lang w:val="en-US" w:eastAsia="en-AU"/>
        </w:rPr>
        <w:t xml:space="preserve"> directly replac</w:t>
      </w:r>
      <w:r w:rsidR="001D6E9F" w:rsidRPr="00EC6CFB">
        <w:rPr>
          <w:rFonts w:cs="Calibri"/>
          <w:snapToGrid/>
          <w:szCs w:val="24"/>
          <w:lang w:val="en-US" w:eastAsia="en-AU"/>
        </w:rPr>
        <w:t>e</w:t>
      </w:r>
      <w:r w:rsidRPr="00EC6CFB">
        <w:rPr>
          <w:rFonts w:cs="Calibri"/>
          <w:snapToGrid/>
          <w:szCs w:val="24"/>
          <w:lang w:val="en-US" w:eastAsia="en-AU"/>
        </w:rPr>
        <w:t xml:space="preserve"> existing therapies. </w:t>
      </w:r>
      <w:r w:rsidR="00D52FCF" w:rsidRPr="00723F01">
        <w:rPr>
          <w:rFonts w:cs="Calibri"/>
          <w:snapToGrid/>
          <w:szCs w:val="24"/>
          <w:lang w:val="en-US" w:eastAsia="en-AU"/>
        </w:rPr>
        <w:t>Thus the evaluation considered</w:t>
      </w:r>
      <w:r w:rsidR="00D52FCF" w:rsidRPr="00DD01CD">
        <w:rPr>
          <w:rFonts w:cs="Calibri"/>
          <w:i/>
          <w:snapToGrid/>
          <w:szCs w:val="24"/>
          <w:lang w:val="en-US" w:eastAsia="en-AU"/>
        </w:rPr>
        <w:t xml:space="preserve"> </w:t>
      </w:r>
      <w:r w:rsidR="00D52FCF" w:rsidRPr="00AD7CF9">
        <w:rPr>
          <w:rFonts w:cs="Calibri"/>
          <w:snapToGrid/>
          <w:szCs w:val="24"/>
          <w:lang w:val="en-US" w:eastAsia="en-AU"/>
        </w:rPr>
        <w:t xml:space="preserve">that </w:t>
      </w:r>
      <w:r w:rsidR="00DD01CD">
        <w:rPr>
          <w:rFonts w:cs="Calibri"/>
          <w:snapToGrid/>
          <w:szCs w:val="24"/>
          <w:lang w:val="en-US" w:eastAsia="en-AU"/>
        </w:rPr>
        <w:t>HSCT</w:t>
      </w:r>
      <w:r w:rsidRPr="00EC6CFB">
        <w:rPr>
          <w:rFonts w:cs="Calibri"/>
          <w:snapToGrid/>
          <w:szCs w:val="24"/>
          <w:lang w:val="en-US" w:eastAsia="en-AU"/>
        </w:rPr>
        <w:t xml:space="preserve"> or placebo may also be relevant comparators. </w:t>
      </w:r>
    </w:p>
    <w:p w:rsidR="00ED2AF4" w:rsidRPr="00723F01" w:rsidRDefault="00600987" w:rsidP="001613D3">
      <w:pPr>
        <w:pStyle w:val="ListParagraph"/>
        <w:widowControl/>
        <w:numPr>
          <w:ilvl w:val="1"/>
          <w:numId w:val="2"/>
        </w:numPr>
      </w:pPr>
      <w:r>
        <w:rPr>
          <w:rFonts w:cs="Calibri"/>
          <w:snapToGrid/>
          <w:szCs w:val="24"/>
          <w:lang w:val="en-US" w:eastAsia="en-AU"/>
        </w:rPr>
        <w:t xml:space="preserve">The PSCR </w:t>
      </w:r>
      <w:r w:rsidR="00D249C1" w:rsidRPr="00723F01">
        <w:rPr>
          <w:rFonts w:cs="Calibri"/>
          <w:snapToGrid/>
          <w:szCs w:val="24"/>
          <w:lang w:val="en-US" w:eastAsia="en-AU"/>
        </w:rPr>
        <w:t>reiterated</w:t>
      </w:r>
      <w:r w:rsidR="00D52FCF" w:rsidRPr="00723F01">
        <w:rPr>
          <w:rFonts w:cs="Calibri"/>
          <w:snapToGrid/>
          <w:szCs w:val="24"/>
          <w:lang w:val="en-US" w:eastAsia="en-AU"/>
        </w:rPr>
        <w:t xml:space="preserve"> that the </w:t>
      </w:r>
      <w:r w:rsidR="00D00B91" w:rsidRPr="00723F01">
        <w:rPr>
          <w:rFonts w:cs="Calibri"/>
          <w:snapToGrid/>
          <w:szCs w:val="24"/>
          <w:lang w:val="en-US" w:eastAsia="en-AU"/>
        </w:rPr>
        <w:t xml:space="preserve">submission’s nominated </w:t>
      </w:r>
      <w:r w:rsidR="00D52FCF" w:rsidRPr="00723F01">
        <w:rPr>
          <w:rFonts w:cs="Calibri"/>
          <w:snapToGrid/>
          <w:szCs w:val="24"/>
          <w:lang w:val="en-US" w:eastAsia="en-AU"/>
        </w:rPr>
        <w:t xml:space="preserve">comparator was </w:t>
      </w:r>
      <w:r w:rsidR="00D00B91" w:rsidRPr="00723F01">
        <w:rPr>
          <w:rFonts w:cs="Calibri"/>
          <w:snapToGrid/>
          <w:szCs w:val="24"/>
          <w:lang w:val="en-US" w:eastAsia="en-AU"/>
        </w:rPr>
        <w:t>appropriate, and a</w:t>
      </w:r>
      <w:r w:rsidR="00D52FCF" w:rsidRPr="00723F01">
        <w:rPr>
          <w:rFonts w:cs="Calibri"/>
          <w:snapToGrid/>
          <w:szCs w:val="24"/>
          <w:lang w:val="en-US" w:eastAsia="en-AU"/>
        </w:rPr>
        <w:t>rgued that while the response to blinatumomab may alter the next therapeutic action (</w:t>
      </w:r>
      <w:r w:rsidR="00D00B91" w:rsidRPr="00723F01">
        <w:rPr>
          <w:rFonts w:cs="Calibri"/>
          <w:snapToGrid/>
          <w:szCs w:val="24"/>
          <w:lang w:val="en-US" w:eastAsia="en-AU"/>
        </w:rPr>
        <w:t xml:space="preserve">e.g. </w:t>
      </w:r>
      <w:r w:rsidR="00D52FCF" w:rsidRPr="00723F01">
        <w:rPr>
          <w:rFonts w:cs="Calibri"/>
          <w:snapToGrid/>
          <w:szCs w:val="24"/>
          <w:lang w:val="en-US" w:eastAsia="en-AU"/>
        </w:rPr>
        <w:t xml:space="preserve">bridge to transplant) this would be a consequence of use rather than a comparator. </w:t>
      </w:r>
    </w:p>
    <w:p w:rsidR="00502B79" w:rsidRPr="00723F01" w:rsidRDefault="00502B79" w:rsidP="001613D3">
      <w:pPr>
        <w:pStyle w:val="ListParagraph"/>
        <w:widowControl/>
        <w:numPr>
          <w:ilvl w:val="1"/>
          <w:numId w:val="2"/>
        </w:numPr>
      </w:pPr>
      <w:r w:rsidRPr="00723F01">
        <w:rPr>
          <w:rFonts w:cs="Calibri"/>
          <w:snapToGrid/>
          <w:szCs w:val="24"/>
          <w:lang w:val="en-US" w:eastAsia="en-AU"/>
        </w:rPr>
        <w:t xml:space="preserve">The ESC considered </w:t>
      </w:r>
      <w:r w:rsidR="00D52FCF" w:rsidRPr="00723F01">
        <w:rPr>
          <w:rFonts w:cs="Calibri"/>
          <w:snapToGrid/>
          <w:szCs w:val="24"/>
          <w:lang w:val="en-US" w:eastAsia="en-AU"/>
        </w:rPr>
        <w:t>that</w:t>
      </w:r>
      <w:r w:rsidRPr="00723F01">
        <w:rPr>
          <w:rFonts w:cs="Calibri"/>
          <w:snapToGrid/>
          <w:szCs w:val="24"/>
          <w:lang w:val="en-US" w:eastAsia="en-AU"/>
        </w:rPr>
        <w:t xml:space="preserve"> </w:t>
      </w:r>
      <w:r w:rsidR="00D00B91" w:rsidRPr="00723F01">
        <w:rPr>
          <w:rFonts w:cs="Calibri"/>
          <w:snapToGrid/>
          <w:szCs w:val="24"/>
          <w:lang w:val="en-US" w:eastAsia="en-AU"/>
        </w:rPr>
        <w:t xml:space="preserve">blinatumomab </w:t>
      </w:r>
      <w:r w:rsidRPr="00723F01">
        <w:rPr>
          <w:rFonts w:cs="Calibri"/>
          <w:snapToGrid/>
          <w:szCs w:val="24"/>
          <w:lang w:val="en-US" w:eastAsia="en-AU"/>
        </w:rPr>
        <w:t xml:space="preserve">may </w:t>
      </w:r>
      <w:r w:rsidR="00D52FCF" w:rsidRPr="00723F01">
        <w:rPr>
          <w:rFonts w:cs="Calibri"/>
          <w:snapToGrid/>
          <w:szCs w:val="24"/>
          <w:lang w:val="en-US" w:eastAsia="en-AU"/>
        </w:rPr>
        <w:t xml:space="preserve">be used in a number </w:t>
      </w:r>
      <w:r w:rsidRPr="00723F01">
        <w:rPr>
          <w:rFonts w:cs="Calibri"/>
          <w:snapToGrid/>
          <w:szCs w:val="24"/>
          <w:lang w:val="en-US" w:eastAsia="en-AU"/>
        </w:rPr>
        <w:t xml:space="preserve">of </w:t>
      </w:r>
      <w:r w:rsidR="00D52FCF" w:rsidRPr="00723F01">
        <w:rPr>
          <w:rFonts w:cs="Calibri"/>
          <w:snapToGrid/>
          <w:szCs w:val="24"/>
          <w:lang w:val="en-US" w:eastAsia="en-AU"/>
        </w:rPr>
        <w:t>discrete therapeutic roles</w:t>
      </w:r>
      <w:r w:rsidRPr="00723F01">
        <w:rPr>
          <w:rFonts w:cs="Calibri"/>
          <w:snapToGrid/>
          <w:szCs w:val="24"/>
          <w:lang w:val="en-US" w:eastAsia="en-AU"/>
        </w:rPr>
        <w:t xml:space="preserve"> including </w:t>
      </w:r>
      <w:r w:rsidR="00D00B91" w:rsidRPr="00723F01">
        <w:rPr>
          <w:rFonts w:cs="Calibri"/>
          <w:snapToGrid/>
          <w:szCs w:val="24"/>
          <w:lang w:val="en-US" w:eastAsia="en-AU"/>
        </w:rPr>
        <w:t xml:space="preserve">as a </w:t>
      </w:r>
      <w:r w:rsidRPr="00723F01">
        <w:rPr>
          <w:rFonts w:cs="Calibri"/>
          <w:snapToGrid/>
          <w:szCs w:val="24"/>
          <w:lang w:val="en-US" w:eastAsia="en-AU"/>
        </w:rPr>
        <w:t>primary treatment, disease suppression until HSCT (</w:t>
      </w:r>
      <w:r w:rsidR="00AD7CF9" w:rsidRPr="00723F01">
        <w:rPr>
          <w:rFonts w:cs="Calibri"/>
          <w:snapToGrid/>
          <w:szCs w:val="24"/>
          <w:lang w:val="en-US" w:eastAsia="en-AU"/>
        </w:rPr>
        <w:t>bridge to transplant</w:t>
      </w:r>
      <w:r w:rsidRPr="00723F01">
        <w:rPr>
          <w:rFonts w:cs="Calibri"/>
          <w:snapToGrid/>
          <w:szCs w:val="24"/>
          <w:lang w:val="en-US" w:eastAsia="en-AU"/>
        </w:rPr>
        <w:t xml:space="preserve">), optimisation of HSCT (by eliminating MRD) and treatment of molecular relapse. The ESC </w:t>
      </w:r>
      <w:r w:rsidR="00BF7EDE">
        <w:rPr>
          <w:rFonts w:cs="Calibri"/>
          <w:snapToGrid/>
          <w:szCs w:val="24"/>
          <w:lang w:val="en-US" w:eastAsia="en-AU"/>
        </w:rPr>
        <w:t xml:space="preserve">and the PBAC </w:t>
      </w:r>
      <w:r w:rsidRPr="00723F01">
        <w:rPr>
          <w:rFonts w:cs="Calibri"/>
          <w:snapToGrid/>
          <w:szCs w:val="24"/>
          <w:lang w:val="en-US" w:eastAsia="en-AU"/>
        </w:rPr>
        <w:t xml:space="preserve">considered that </w:t>
      </w:r>
      <w:r w:rsidR="00BF7EDE" w:rsidRPr="00E92067">
        <w:rPr>
          <w:rFonts w:cs="Calibri"/>
          <w:snapToGrid/>
          <w:szCs w:val="24"/>
          <w:lang w:val="en-US" w:eastAsia="en-AU"/>
        </w:rPr>
        <w:t>standard of care</w:t>
      </w:r>
      <w:r w:rsidRPr="00723F01">
        <w:rPr>
          <w:rFonts w:cs="Calibri"/>
          <w:snapToGrid/>
          <w:szCs w:val="24"/>
          <w:lang w:val="en-US" w:eastAsia="en-AU"/>
        </w:rPr>
        <w:t xml:space="preserve"> chemotherapy, as nominated by the submission, was the appropriate comparator in all these settings.</w:t>
      </w:r>
    </w:p>
    <w:p w:rsidR="00151FBC" w:rsidRPr="00E92067" w:rsidRDefault="00151FBC" w:rsidP="00E02647">
      <w:pPr>
        <w:pStyle w:val="PBACHeading1"/>
        <w:outlineLvl w:val="0"/>
      </w:pPr>
      <w:bookmarkStart w:id="7" w:name="_Toc514245288"/>
      <w:r w:rsidRPr="00E92067">
        <w:t>Consideration of the evidence</w:t>
      </w:r>
      <w:bookmarkEnd w:id="7"/>
    </w:p>
    <w:p w:rsidR="007A5B21" w:rsidRPr="000E4361" w:rsidRDefault="007A5B21" w:rsidP="00EE7BF9">
      <w:pPr>
        <w:spacing w:before="240" w:line="276" w:lineRule="auto"/>
        <w:outlineLvl w:val="1"/>
        <w:rPr>
          <w:rFonts w:asciiTheme="minorHAnsi" w:hAnsiTheme="minorHAnsi"/>
          <w:b/>
          <w:bCs/>
          <w:i/>
          <w:sz w:val="28"/>
          <w:szCs w:val="28"/>
        </w:rPr>
      </w:pPr>
      <w:r w:rsidRPr="000E4361">
        <w:rPr>
          <w:rFonts w:asciiTheme="minorHAnsi" w:hAnsiTheme="minorHAnsi"/>
          <w:b/>
          <w:bCs/>
          <w:i/>
          <w:sz w:val="28"/>
          <w:szCs w:val="28"/>
        </w:rPr>
        <w:t>Sponsor hearing</w:t>
      </w:r>
    </w:p>
    <w:p w:rsidR="00D73E44" w:rsidRPr="007D3054" w:rsidRDefault="004F5B6B" w:rsidP="007A5B21">
      <w:pPr>
        <w:numPr>
          <w:ilvl w:val="1"/>
          <w:numId w:val="2"/>
        </w:numPr>
        <w:spacing w:after="120"/>
        <w:rPr>
          <w:rFonts w:asciiTheme="minorHAnsi" w:hAnsiTheme="minorHAnsi"/>
          <w:bCs/>
        </w:rPr>
      </w:pPr>
      <w:r w:rsidRPr="007D3054">
        <w:rPr>
          <w:rFonts w:asciiTheme="minorHAnsi" w:hAnsiTheme="minorHAnsi"/>
          <w:bCs/>
        </w:rPr>
        <w:t>The sponsor requested a hearing for this item.</w:t>
      </w:r>
      <w:r w:rsidR="007D3054" w:rsidRPr="007D3054">
        <w:rPr>
          <w:rFonts w:asciiTheme="minorHAnsi" w:hAnsiTheme="minorHAnsi"/>
          <w:bCs/>
        </w:rPr>
        <w:t xml:space="preserve"> </w:t>
      </w:r>
      <w:r w:rsidRPr="007D3054">
        <w:rPr>
          <w:rFonts w:asciiTheme="minorHAnsi" w:hAnsiTheme="minorHAnsi"/>
          <w:bCs/>
        </w:rPr>
        <w:t xml:space="preserve">The clinician discussed </w:t>
      </w:r>
      <w:r w:rsidR="00BF7EDE" w:rsidRPr="007D3054">
        <w:rPr>
          <w:rFonts w:asciiTheme="minorHAnsi" w:hAnsiTheme="minorHAnsi"/>
          <w:bCs/>
        </w:rPr>
        <w:t>that</w:t>
      </w:r>
      <w:r w:rsidR="007D3054" w:rsidRPr="007D3054">
        <w:rPr>
          <w:rFonts w:asciiTheme="minorHAnsi" w:hAnsiTheme="minorHAnsi"/>
          <w:bCs/>
        </w:rPr>
        <w:t xml:space="preserve"> MRD status is correlated with improved health outcomes, with</w:t>
      </w:r>
      <w:r w:rsidR="00BF7EDE" w:rsidRPr="007D3054">
        <w:rPr>
          <w:rFonts w:asciiTheme="minorHAnsi" w:hAnsiTheme="minorHAnsi"/>
          <w:bCs/>
        </w:rPr>
        <w:t xml:space="preserve"> MRD positivity </w:t>
      </w:r>
      <w:r w:rsidR="007D3054" w:rsidRPr="007D3054">
        <w:rPr>
          <w:rFonts w:asciiTheme="minorHAnsi" w:hAnsiTheme="minorHAnsi"/>
          <w:bCs/>
        </w:rPr>
        <w:t>being</w:t>
      </w:r>
      <w:r w:rsidR="00BF7EDE" w:rsidRPr="007D3054">
        <w:rPr>
          <w:rFonts w:asciiTheme="minorHAnsi" w:hAnsiTheme="minorHAnsi"/>
          <w:bCs/>
        </w:rPr>
        <w:t xml:space="preserve"> an accepted prognostic factor in paediatric patients and becoming more widely accepted in adult patients. The clinician discussed that emerging test</w:t>
      </w:r>
      <w:r w:rsidR="007D3054" w:rsidRPr="007D3054">
        <w:rPr>
          <w:rFonts w:asciiTheme="minorHAnsi" w:hAnsiTheme="minorHAnsi"/>
          <w:bCs/>
        </w:rPr>
        <w:t>s</w:t>
      </w:r>
      <w:r w:rsidR="00BF7EDE" w:rsidRPr="007D3054">
        <w:rPr>
          <w:rFonts w:asciiTheme="minorHAnsi" w:hAnsiTheme="minorHAnsi"/>
          <w:bCs/>
        </w:rPr>
        <w:t xml:space="preserve"> for detecting the presence of MRD are improving in sensitivity</w:t>
      </w:r>
      <w:r w:rsidR="007D3054" w:rsidRPr="007D3054">
        <w:rPr>
          <w:rFonts w:asciiTheme="minorHAnsi" w:hAnsiTheme="minorHAnsi"/>
          <w:bCs/>
        </w:rPr>
        <w:t xml:space="preserve"> (e.g. next-generation sequencing). </w:t>
      </w:r>
      <w:r w:rsidR="001E6F11" w:rsidRPr="007D3054">
        <w:rPr>
          <w:rFonts w:asciiTheme="minorHAnsi" w:hAnsiTheme="minorHAnsi"/>
          <w:bCs/>
        </w:rPr>
        <w:t xml:space="preserve">The </w:t>
      </w:r>
      <w:r w:rsidR="005131ED">
        <w:rPr>
          <w:rFonts w:asciiTheme="minorHAnsi" w:hAnsiTheme="minorHAnsi"/>
          <w:bCs/>
        </w:rPr>
        <w:t>sponsor</w:t>
      </w:r>
      <w:r w:rsidR="005131ED" w:rsidRPr="007D3054">
        <w:rPr>
          <w:rFonts w:asciiTheme="minorHAnsi" w:hAnsiTheme="minorHAnsi"/>
          <w:bCs/>
        </w:rPr>
        <w:t xml:space="preserve"> </w:t>
      </w:r>
      <w:r w:rsidR="001E6F11">
        <w:rPr>
          <w:rFonts w:asciiTheme="minorHAnsi" w:hAnsiTheme="minorHAnsi"/>
          <w:bCs/>
        </w:rPr>
        <w:t>also</w:t>
      </w:r>
      <w:r w:rsidR="001E6F11" w:rsidRPr="007D3054">
        <w:rPr>
          <w:rFonts w:asciiTheme="minorHAnsi" w:hAnsiTheme="minorHAnsi"/>
          <w:bCs/>
        </w:rPr>
        <w:t xml:space="preserve"> </w:t>
      </w:r>
      <w:r w:rsidR="005131ED">
        <w:rPr>
          <w:rFonts w:asciiTheme="minorHAnsi" w:hAnsiTheme="minorHAnsi"/>
          <w:bCs/>
        </w:rPr>
        <w:t>indicat</w:t>
      </w:r>
      <w:r w:rsidR="005131ED" w:rsidRPr="007D3054">
        <w:rPr>
          <w:rFonts w:asciiTheme="minorHAnsi" w:hAnsiTheme="minorHAnsi"/>
          <w:bCs/>
        </w:rPr>
        <w:t xml:space="preserve">ed </w:t>
      </w:r>
      <w:r w:rsidR="001E6F11" w:rsidRPr="007D3054">
        <w:rPr>
          <w:rFonts w:asciiTheme="minorHAnsi" w:hAnsiTheme="minorHAnsi"/>
          <w:bCs/>
        </w:rPr>
        <w:t>that randomised controlled trials were ongoing for blinatumomab in this condition</w:t>
      </w:r>
      <w:r w:rsidR="001E6F11">
        <w:rPr>
          <w:rFonts w:asciiTheme="minorHAnsi" w:hAnsiTheme="minorHAnsi"/>
          <w:bCs/>
        </w:rPr>
        <w:t>.</w:t>
      </w:r>
    </w:p>
    <w:p w:rsidR="007A5B21" w:rsidRPr="00D73E44" w:rsidRDefault="007A5B21" w:rsidP="00EE7BF9">
      <w:pPr>
        <w:spacing w:before="240" w:line="276" w:lineRule="auto"/>
        <w:outlineLvl w:val="1"/>
        <w:rPr>
          <w:rFonts w:asciiTheme="minorHAnsi" w:hAnsiTheme="minorHAnsi"/>
          <w:b/>
          <w:bCs/>
          <w:i/>
          <w:sz w:val="28"/>
          <w:szCs w:val="28"/>
        </w:rPr>
      </w:pPr>
      <w:r w:rsidRPr="00D73E44">
        <w:rPr>
          <w:rFonts w:asciiTheme="minorHAnsi" w:hAnsiTheme="minorHAnsi"/>
          <w:b/>
          <w:bCs/>
          <w:i/>
          <w:sz w:val="28"/>
          <w:szCs w:val="28"/>
        </w:rPr>
        <w:t>Consumer comments</w:t>
      </w:r>
    </w:p>
    <w:p w:rsidR="00F1344D" w:rsidRPr="00D73E44" w:rsidRDefault="00F1344D" w:rsidP="007A5B21">
      <w:pPr>
        <w:numPr>
          <w:ilvl w:val="1"/>
          <w:numId w:val="2"/>
        </w:numPr>
        <w:spacing w:after="120"/>
        <w:rPr>
          <w:rFonts w:asciiTheme="minorHAnsi" w:hAnsiTheme="minorHAnsi"/>
          <w:bCs/>
        </w:rPr>
      </w:pPr>
      <w:r w:rsidRPr="00D73E44">
        <w:rPr>
          <w:rFonts w:asciiTheme="minorHAnsi" w:hAnsiTheme="minorHAnsi"/>
          <w:bCs/>
        </w:rPr>
        <w:t>The PBAC noted the advice received from health care professionals (2</w:t>
      </w:r>
      <w:r w:rsidR="00600DF9" w:rsidRPr="00D73E44">
        <w:rPr>
          <w:rFonts w:asciiTheme="minorHAnsi" w:hAnsiTheme="minorHAnsi"/>
          <w:bCs/>
        </w:rPr>
        <w:t xml:space="preserve">) </w:t>
      </w:r>
      <w:r w:rsidR="000D06EA">
        <w:rPr>
          <w:rFonts w:asciiTheme="minorHAnsi" w:hAnsiTheme="minorHAnsi"/>
          <w:bCs/>
        </w:rPr>
        <w:t xml:space="preserve">outlining </w:t>
      </w:r>
      <w:r w:rsidR="00600DF9" w:rsidRPr="00D73E44">
        <w:rPr>
          <w:rFonts w:asciiTheme="minorHAnsi" w:hAnsiTheme="minorHAnsi"/>
          <w:bCs/>
        </w:rPr>
        <w:t xml:space="preserve">the likely use </w:t>
      </w:r>
      <w:r w:rsidRPr="00D73E44">
        <w:rPr>
          <w:rFonts w:asciiTheme="minorHAnsi" w:hAnsiTheme="minorHAnsi"/>
          <w:bCs/>
        </w:rPr>
        <w:t xml:space="preserve">of blinatumomab </w:t>
      </w:r>
      <w:r w:rsidR="00E172FA" w:rsidRPr="00D73E44">
        <w:rPr>
          <w:rFonts w:asciiTheme="minorHAnsi" w:hAnsiTheme="minorHAnsi"/>
          <w:bCs/>
        </w:rPr>
        <w:t xml:space="preserve">in clinical practice. </w:t>
      </w:r>
      <w:r w:rsidR="00600DF9" w:rsidRPr="00D73E44">
        <w:rPr>
          <w:rFonts w:asciiTheme="minorHAnsi" w:hAnsiTheme="minorHAnsi"/>
          <w:bCs/>
        </w:rPr>
        <w:t xml:space="preserve">The comments described the benefits </w:t>
      </w:r>
      <w:r w:rsidR="000029F9">
        <w:rPr>
          <w:rFonts w:asciiTheme="minorHAnsi" w:hAnsiTheme="minorHAnsi"/>
          <w:bCs/>
        </w:rPr>
        <w:t xml:space="preserve">of </w:t>
      </w:r>
      <w:r w:rsidR="00600DF9" w:rsidRPr="00D73E44">
        <w:rPr>
          <w:rFonts w:asciiTheme="minorHAnsi" w:hAnsiTheme="minorHAnsi"/>
          <w:bCs/>
        </w:rPr>
        <w:t>treatment with blinatumomab</w:t>
      </w:r>
      <w:r w:rsidR="002C0237">
        <w:rPr>
          <w:rFonts w:asciiTheme="minorHAnsi" w:hAnsiTheme="minorHAnsi"/>
          <w:bCs/>
        </w:rPr>
        <w:t xml:space="preserve"> in achieving complete MRD response, and described the use of blinatumomab as either</w:t>
      </w:r>
      <w:r w:rsidR="00832097">
        <w:rPr>
          <w:rFonts w:asciiTheme="minorHAnsi" w:hAnsiTheme="minorHAnsi"/>
          <w:bCs/>
        </w:rPr>
        <w:t xml:space="preserve"> </w:t>
      </w:r>
      <w:r w:rsidR="000029F9">
        <w:rPr>
          <w:rFonts w:asciiTheme="minorHAnsi" w:hAnsiTheme="minorHAnsi"/>
          <w:bCs/>
        </w:rPr>
        <w:t xml:space="preserve">a </w:t>
      </w:r>
      <w:r w:rsidR="00600DF9" w:rsidRPr="00D73E44">
        <w:rPr>
          <w:rFonts w:asciiTheme="minorHAnsi" w:hAnsiTheme="minorHAnsi"/>
          <w:bCs/>
        </w:rPr>
        <w:t>bridg</w:t>
      </w:r>
      <w:r w:rsidR="000029F9">
        <w:rPr>
          <w:rFonts w:asciiTheme="minorHAnsi" w:hAnsiTheme="minorHAnsi"/>
          <w:bCs/>
        </w:rPr>
        <w:t>e</w:t>
      </w:r>
      <w:r w:rsidR="00600DF9" w:rsidRPr="00D73E44">
        <w:rPr>
          <w:rFonts w:asciiTheme="minorHAnsi" w:hAnsiTheme="minorHAnsi"/>
          <w:bCs/>
        </w:rPr>
        <w:t xml:space="preserve"> to </w:t>
      </w:r>
      <w:r w:rsidR="000029F9">
        <w:rPr>
          <w:rFonts w:asciiTheme="minorHAnsi" w:hAnsiTheme="minorHAnsi"/>
          <w:bCs/>
        </w:rPr>
        <w:t>HSCT or as a primary treatment in patients for whom</w:t>
      </w:r>
      <w:r w:rsidR="00D57C1B" w:rsidRPr="00D73E44">
        <w:rPr>
          <w:rFonts w:asciiTheme="minorHAnsi" w:hAnsiTheme="minorHAnsi"/>
          <w:bCs/>
        </w:rPr>
        <w:t xml:space="preserve"> transplantation is not </w:t>
      </w:r>
      <w:r w:rsidR="00600DF9" w:rsidRPr="00D73E44">
        <w:rPr>
          <w:rFonts w:asciiTheme="minorHAnsi" w:hAnsiTheme="minorHAnsi"/>
          <w:bCs/>
        </w:rPr>
        <w:t>possible</w:t>
      </w:r>
      <w:r w:rsidR="00832097">
        <w:rPr>
          <w:rFonts w:asciiTheme="minorHAnsi" w:hAnsiTheme="minorHAnsi"/>
          <w:bCs/>
        </w:rPr>
        <w:t xml:space="preserve">. </w:t>
      </w:r>
      <w:r w:rsidR="00460C73" w:rsidRPr="00D73E44">
        <w:rPr>
          <w:rFonts w:asciiTheme="minorHAnsi" w:hAnsiTheme="minorHAnsi"/>
          <w:bCs/>
        </w:rPr>
        <w:t xml:space="preserve">The PBAC noted that this advice was </w:t>
      </w:r>
      <w:r w:rsidR="005131ED">
        <w:rPr>
          <w:rFonts w:asciiTheme="minorHAnsi" w:hAnsiTheme="minorHAnsi"/>
          <w:bCs/>
        </w:rPr>
        <w:t>consistent</w:t>
      </w:r>
      <w:r w:rsidR="005131ED" w:rsidRPr="00D73E44">
        <w:rPr>
          <w:rFonts w:asciiTheme="minorHAnsi" w:hAnsiTheme="minorHAnsi"/>
          <w:bCs/>
        </w:rPr>
        <w:t xml:space="preserve"> </w:t>
      </w:r>
      <w:r w:rsidR="0008662B">
        <w:rPr>
          <w:rFonts w:asciiTheme="minorHAnsi" w:hAnsiTheme="minorHAnsi"/>
          <w:bCs/>
        </w:rPr>
        <w:t>with</w:t>
      </w:r>
      <w:r w:rsidR="00460C73" w:rsidRPr="00D73E44">
        <w:rPr>
          <w:rFonts w:asciiTheme="minorHAnsi" w:hAnsiTheme="minorHAnsi"/>
          <w:bCs/>
        </w:rPr>
        <w:t xml:space="preserve"> the evidence provided in the submission.</w:t>
      </w:r>
    </w:p>
    <w:p w:rsidR="00151FBC" w:rsidRPr="00EE7BF9" w:rsidRDefault="00151FBC" w:rsidP="00EE7BF9">
      <w:pPr>
        <w:pStyle w:val="Heading2"/>
        <w:spacing w:before="240" w:after="120"/>
      </w:pPr>
      <w:bookmarkStart w:id="8" w:name="_Toc514245289"/>
      <w:r w:rsidRPr="00EE7BF9">
        <w:t>Clinical trials</w:t>
      </w:r>
      <w:bookmarkEnd w:id="8"/>
    </w:p>
    <w:p w:rsidR="00151FBC" w:rsidRPr="00E92067" w:rsidRDefault="00151FBC" w:rsidP="001613D3">
      <w:pPr>
        <w:pStyle w:val="ListParagraph"/>
        <w:widowControl/>
        <w:numPr>
          <w:ilvl w:val="1"/>
          <w:numId w:val="2"/>
        </w:numPr>
      </w:pPr>
      <w:r w:rsidRPr="00E92067">
        <w:t>The submission was based on a propensity score indirect analysis of one single arm blinatumomab study (BLAST; N=116) and one retrospective historical control cohort study of patients receiving treatment with standard of care chemotherapy (Study 20120148; N=287) in patients with B-ALL in haematological remission with MRD. One additional supporting single arm blinatumomab study (MT103-202; N=21) was presented, but was not included in the propensity score-adjusted analysis.</w:t>
      </w:r>
      <w:r w:rsidRPr="00E92067">
        <w:rPr>
          <w:color w:val="3366FF"/>
        </w:rPr>
        <w:t xml:space="preserve">  </w:t>
      </w:r>
    </w:p>
    <w:p w:rsidR="00151FBC" w:rsidRPr="00E92067" w:rsidRDefault="00151FBC" w:rsidP="001613D3">
      <w:pPr>
        <w:pStyle w:val="ListParagraph"/>
        <w:widowControl/>
        <w:numPr>
          <w:ilvl w:val="1"/>
          <w:numId w:val="2"/>
        </w:numPr>
      </w:pPr>
      <w:r w:rsidRPr="00E92067">
        <w:rPr>
          <w:rFonts w:cs="Calibri"/>
          <w:snapToGrid/>
          <w:szCs w:val="24"/>
          <w:lang w:val="en-US" w:eastAsia="en-AU"/>
        </w:rPr>
        <w:t xml:space="preserve">Details of the studies presented in the submission are provided in the table below.  </w:t>
      </w:r>
    </w:p>
    <w:p w:rsidR="0051758F" w:rsidRDefault="0051758F">
      <w:pPr>
        <w:widowControl/>
        <w:jc w:val="left"/>
        <w:rPr>
          <w:rStyle w:val="CommentReference"/>
        </w:rPr>
      </w:pPr>
      <w:r>
        <w:rPr>
          <w:rStyle w:val="CommentReference"/>
        </w:rPr>
        <w:br w:type="page"/>
      </w:r>
    </w:p>
    <w:p w:rsidR="00151FBC" w:rsidRPr="00E92067" w:rsidRDefault="00151FBC" w:rsidP="00151FBC">
      <w:pPr>
        <w:keepNext/>
        <w:keepLines/>
        <w:rPr>
          <w:rStyle w:val="CommentReference"/>
        </w:rPr>
      </w:pPr>
      <w:r w:rsidRPr="00E92067">
        <w:rPr>
          <w:rStyle w:val="CommentReference"/>
        </w:rPr>
        <w:t>Table 2: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6"/>
        <w:gridCol w:w="5499"/>
        <w:gridCol w:w="2138"/>
      </w:tblGrid>
      <w:tr w:rsidR="00151FBC" w:rsidRPr="00E92067" w:rsidTr="00151FBC">
        <w:trPr>
          <w:tblHeader/>
        </w:trPr>
        <w:tc>
          <w:tcPr>
            <w:tcW w:w="796" w:type="pct"/>
            <w:vAlign w:val="center"/>
          </w:tcPr>
          <w:p w:rsidR="00151FBC" w:rsidRPr="00E92067" w:rsidRDefault="00151FBC" w:rsidP="00151FBC">
            <w:pPr>
              <w:pStyle w:val="Tabletext"/>
              <w:keepNext/>
              <w:keepLines/>
              <w:rPr>
                <w:b/>
              </w:rPr>
            </w:pPr>
            <w:r w:rsidRPr="00E92067">
              <w:rPr>
                <w:b/>
              </w:rPr>
              <w:t>Trial ID</w:t>
            </w:r>
          </w:p>
        </w:tc>
        <w:tc>
          <w:tcPr>
            <w:tcW w:w="3027" w:type="pct"/>
            <w:vAlign w:val="center"/>
          </w:tcPr>
          <w:p w:rsidR="00151FBC" w:rsidRPr="00E92067" w:rsidRDefault="00151FBC" w:rsidP="00151FBC">
            <w:pPr>
              <w:pStyle w:val="Tabletext"/>
              <w:keepNext/>
              <w:keepLines/>
              <w:jc w:val="center"/>
              <w:rPr>
                <w:b/>
              </w:rPr>
            </w:pPr>
            <w:r w:rsidRPr="00E92067">
              <w:rPr>
                <w:b/>
              </w:rPr>
              <w:t>Protocol title/ Publication title</w:t>
            </w:r>
          </w:p>
        </w:tc>
        <w:tc>
          <w:tcPr>
            <w:tcW w:w="1177" w:type="pct"/>
            <w:vAlign w:val="center"/>
          </w:tcPr>
          <w:p w:rsidR="00151FBC" w:rsidRPr="00E92067" w:rsidRDefault="00151FBC" w:rsidP="00151FBC">
            <w:pPr>
              <w:pStyle w:val="Tabletext"/>
              <w:keepNext/>
              <w:keepLines/>
              <w:jc w:val="center"/>
              <w:rPr>
                <w:b/>
              </w:rPr>
            </w:pPr>
            <w:r w:rsidRPr="00E92067">
              <w:rPr>
                <w:b/>
              </w:rPr>
              <w:t>Publication citation</w:t>
            </w:r>
          </w:p>
        </w:tc>
      </w:tr>
      <w:tr w:rsidR="00151FBC" w:rsidRPr="00E92067" w:rsidTr="00151FBC">
        <w:tc>
          <w:tcPr>
            <w:tcW w:w="5000" w:type="pct"/>
            <w:gridSpan w:val="3"/>
          </w:tcPr>
          <w:p w:rsidR="00151FBC" w:rsidRPr="00E92067" w:rsidRDefault="00151FBC" w:rsidP="00151FBC">
            <w:pPr>
              <w:pStyle w:val="Tabletext"/>
              <w:keepNext/>
              <w:keepLines/>
              <w:rPr>
                <w:b/>
              </w:rPr>
            </w:pPr>
            <w:r w:rsidRPr="00E92067">
              <w:rPr>
                <w:b/>
              </w:rPr>
              <w:t>Key single arm study</w:t>
            </w:r>
          </w:p>
        </w:tc>
      </w:tr>
      <w:tr w:rsidR="00151FBC" w:rsidRPr="00E92067" w:rsidTr="00151FBC">
        <w:tc>
          <w:tcPr>
            <w:tcW w:w="796" w:type="pct"/>
            <w:vMerge w:val="restart"/>
          </w:tcPr>
          <w:p w:rsidR="00151FBC" w:rsidRPr="00E92067" w:rsidRDefault="00151FBC" w:rsidP="00151FBC">
            <w:pPr>
              <w:pStyle w:val="Tabletext"/>
              <w:keepNext/>
              <w:keepLines/>
              <w:rPr>
                <w:szCs w:val="20"/>
              </w:rPr>
            </w:pPr>
            <w:r w:rsidRPr="00E92067">
              <w:rPr>
                <w:szCs w:val="20"/>
              </w:rPr>
              <w:t xml:space="preserve">BLAST </w:t>
            </w:r>
          </w:p>
          <w:p w:rsidR="00151FBC" w:rsidRPr="00E92067" w:rsidRDefault="00151FBC" w:rsidP="00151FBC">
            <w:pPr>
              <w:pStyle w:val="Tabletext"/>
              <w:keepNext/>
              <w:keepLines/>
              <w:rPr>
                <w:rFonts w:ascii="Times" w:hAnsi="Times"/>
              </w:rPr>
            </w:pPr>
            <w:r w:rsidRPr="00E92067">
              <w:rPr>
                <w:szCs w:val="20"/>
              </w:rPr>
              <w:t>(MT103-203)</w:t>
            </w:r>
            <w:r w:rsidRPr="00E92067">
              <w:t xml:space="preserve"> NCT01207388</w:t>
            </w:r>
          </w:p>
        </w:tc>
        <w:tc>
          <w:tcPr>
            <w:tcW w:w="3027" w:type="pct"/>
            <w:tcBorders>
              <w:bottom w:val="nil"/>
            </w:tcBorders>
          </w:tcPr>
          <w:p w:rsidR="00151FBC" w:rsidRPr="00E92067" w:rsidRDefault="00151FBC" w:rsidP="00151FBC">
            <w:pPr>
              <w:pStyle w:val="Tabletext"/>
              <w:keepNext/>
              <w:keepLines/>
              <w:rPr>
                <w:szCs w:val="18"/>
              </w:rPr>
            </w:pPr>
            <w:r w:rsidRPr="00E92067">
              <w:t>A confirmatory multicenter, single-arm study to assess the efficacy, safety, and tolerability of the BiTE® antibody blinatumomab in adult subjects with minimal residual disease (MRD) of B-precursor acute lymphoblastic leukemia.</w:t>
            </w:r>
          </w:p>
        </w:tc>
        <w:tc>
          <w:tcPr>
            <w:tcW w:w="1177" w:type="pct"/>
            <w:tcBorders>
              <w:bottom w:val="nil"/>
            </w:tcBorders>
          </w:tcPr>
          <w:p w:rsidR="00151FBC" w:rsidRPr="00E92067" w:rsidRDefault="00151FBC" w:rsidP="00151FBC">
            <w:pPr>
              <w:pStyle w:val="Tabletext"/>
              <w:keepNext/>
              <w:keepLines/>
              <w:rPr>
                <w:rFonts w:ascii="Times" w:hAnsi="Times"/>
              </w:rPr>
            </w:pPr>
            <w:r w:rsidRPr="00E92067">
              <w:t>Report date: 24 September 2014.</w:t>
            </w:r>
          </w:p>
        </w:tc>
      </w:tr>
      <w:tr w:rsidR="00151FBC" w:rsidRPr="00E92067" w:rsidTr="00151FBC">
        <w:tc>
          <w:tcPr>
            <w:tcW w:w="796" w:type="pct"/>
            <w:vMerge/>
          </w:tcPr>
          <w:p w:rsidR="00151FBC" w:rsidRPr="00E92067" w:rsidRDefault="00151FBC" w:rsidP="00151FBC">
            <w:pPr>
              <w:pStyle w:val="Tabletext"/>
            </w:pPr>
          </w:p>
        </w:tc>
        <w:tc>
          <w:tcPr>
            <w:tcW w:w="3027" w:type="pct"/>
            <w:tcBorders>
              <w:top w:val="nil"/>
              <w:bottom w:val="nil"/>
            </w:tcBorders>
          </w:tcPr>
          <w:p w:rsidR="00151FBC" w:rsidRPr="00E92067" w:rsidRDefault="00151FBC" w:rsidP="00151FBC">
            <w:pPr>
              <w:pStyle w:val="Tabletext"/>
              <w:rPr>
                <w:szCs w:val="18"/>
                <w:lang w:eastAsia="en-AU"/>
              </w:rPr>
            </w:pPr>
            <w:r w:rsidRPr="00E92067">
              <w:rPr>
                <w:color w:val="000000" w:themeColor="text1"/>
              </w:rPr>
              <w:t>Gökbuget, N., et al. Blinatumomab for minimal residual disease in adults with B-precursor acute lymphoblastic leukemia.</w:t>
            </w:r>
          </w:p>
        </w:tc>
        <w:tc>
          <w:tcPr>
            <w:tcW w:w="1177" w:type="pct"/>
            <w:tcBorders>
              <w:top w:val="nil"/>
              <w:bottom w:val="nil"/>
            </w:tcBorders>
          </w:tcPr>
          <w:p w:rsidR="00151FBC" w:rsidRPr="00E92067" w:rsidRDefault="00151FBC" w:rsidP="00151FBC">
            <w:pPr>
              <w:pStyle w:val="Tabletext"/>
              <w:rPr>
                <w:szCs w:val="18"/>
                <w:lang w:eastAsia="en-AU"/>
              </w:rPr>
            </w:pPr>
            <w:r w:rsidRPr="00E92067">
              <w:rPr>
                <w:color w:val="000000" w:themeColor="text1"/>
              </w:rPr>
              <w:t>Blood First Edition Paper, online January 22, 2018.</w:t>
            </w:r>
          </w:p>
        </w:tc>
      </w:tr>
      <w:tr w:rsidR="00151FBC" w:rsidRPr="00E92067" w:rsidTr="00151FBC">
        <w:trPr>
          <w:trHeight w:val="231"/>
        </w:trPr>
        <w:tc>
          <w:tcPr>
            <w:tcW w:w="796" w:type="pct"/>
            <w:vMerge/>
          </w:tcPr>
          <w:p w:rsidR="00151FBC" w:rsidRPr="00E92067" w:rsidRDefault="00151FBC" w:rsidP="00151FBC">
            <w:pPr>
              <w:pStyle w:val="Tabletext"/>
            </w:pPr>
          </w:p>
        </w:tc>
        <w:tc>
          <w:tcPr>
            <w:tcW w:w="3027" w:type="pct"/>
            <w:tcBorders>
              <w:top w:val="nil"/>
              <w:bottom w:val="nil"/>
            </w:tcBorders>
          </w:tcPr>
          <w:p w:rsidR="00151FBC" w:rsidRPr="00E92067" w:rsidRDefault="00151FBC" w:rsidP="00151FBC">
            <w:pPr>
              <w:pStyle w:val="Tabletext"/>
              <w:rPr>
                <w:szCs w:val="18"/>
                <w:lang w:val="en-US" w:eastAsia="en-AU"/>
              </w:rPr>
            </w:pPr>
            <w:r w:rsidRPr="00E92067">
              <w:t>Gökbuget, N., et al. Long-term outcomes after blinatumomab treatment: Follow-up of a phase 2 study in patients (PTS) with minimal residual disease (MRD) positive b-cell precursor acute lymphoblastic leukemia (ALL).</w:t>
            </w:r>
          </w:p>
        </w:tc>
        <w:tc>
          <w:tcPr>
            <w:tcW w:w="1177" w:type="pct"/>
            <w:tcBorders>
              <w:top w:val="nil"/>
              <w:bottom w:val="nil"/>
            </w:tcBorders>
          </w:tcPr>
          <w:p w:rsidR="00151FBC" w:rsidRPr="00E92067" w:rsidRDefault="00151FBC" w:rsidP="00151FBC">
            <w:pPr>
              <w:pStyle w:val="Tabletext"/>
              <w:rPr>
                <w:szCs w:val="18"/>
                <w:lang w:val="en-US" w:eastAsia="en-AU"/>
              </w:rPr>
            </w:pPr>
            <w:r w:rsidRPr="00E92067">
              <w:t>Blood 2015; 126(23): 680.</w:t>
            </w:r>
          </w:p>
        </w:tc>
      </w:tr>
      <w:tr w:rsidR="00151FBC" w:rsidRPr="00E92067" w:rsidTr="00151FBC">
        <w:trPr>
          <w:trHeight w:val="918"/>
        </w:trPr>
        <w:tc>
          <w:tcPr>
            <w:tcW w:w="796" w:type="pct"/>
            <w:vMerge/>
          </w:tcPr>
          <w:p w:rsidR="00151FBC" w:rsidRPr="00E92067" w:rsidRDefault="00151FBC" w:rsidP="00151FBC">
            <w:pPr>
              <w:pStyle w:val="Tabletext"/>
            </w:pPr>
          </w:p>
        </w:tc>
        <w:tc>
          <w:tcPr>
            <w:tcW w:w="3027" w:type="pct"/>
            <w:tcBorders>
              <w:top w:val="nil"/>
            </w:tcBorders>
          </w:tcPr>
          <w:p w:rsidR="00151FBC" w:rsidRPr="00E92067" w:rsidRDefault="00151FBC" w:rsidP="00151FBC">
            <w:pPr>
              <w:pStyle w:val="Tabletext"/>
              <w:rPr>
                <w:szCs w:val="18"/>
                <w:lang w:val="en-US" w:eastAsia="en-AU"/>
              </w:rPr>
            </w:pPr>
            <w:r w:rsidRPr="00E92067">
              <w:t>Gökbuget, N., et al. BLAST: A confirmatory, single-arm, phase 2 study of blinatumomab, a bispecific T-cell engager (BiTE®) antibody construct, in patients with minimal residual disease B-precursor acute lymphoblastic leukemia (ALL).</w:t>
            </w:r>
          </w:p>
        </w:tc>
        <w:tc>
          <w:tcPr>
            <w:tcW w:w="1177" w:type="pct"/>
            <w:tcBorders>
              <w:top w:val="nil"/>
            </w:tcBorders>
          </w:tcPr>
          <w:p w:rsidR="00151FBC" w:rsidRPr="00E92067" w:rsidRDefault="00151FBC" w:rsidP="006824A3">
            <w:pPr>
              <w:pStyle w:val="Tabletext"/>
              <w:rPr>
                <w:szCs w:val="18"/>
                <w:lang w:val="en-US" w:eastAsia="en-AU"/>
              </w:rPr>
            </w:pPr>
            <w:r w:rsidRPr="00E92067">
              <w:t>Blood 2014; 124(21):</w:t>
            </w:r>
            <w:r w:rsidR="006824A3" w:rsidRPr="00E92067">
              <w:t xml:space="preserve"> 379</w:t>
            </w:r>
            <w:r w:rsidRPr="00E92067">
              <w:t>.</w:t>
            </w:r>
          </w:p>
        </w:tc>
      </w:tr>
      <w:tr w:rsidR="00151FBC" w:rsidRPr="00E92067" w:rsidTr="00151FBC">
        <w:tc>
          <w:tcPr>
            <w:tcW w:w="5000" w:type="pct"/>
            <w:gridSpan w:val="3"/>
          </w:tcPr>
          <w:p w:rsidR="00151FBC" w:rsidRPr="00E92067" w:rsidRDefault="00151FBC" w:rsidP="00F00B32">
            <w:pPr>
              <w:pStyle w:val="Tabletext"/>
              <w:keepNext/>
              <w:keepLines/>
              <w:rPr>
                <w:b/>
              </w:rPr>
            </w:pPr>
            <w:r w:rsidRPr="00E92067">
              <w:rPr>
                <w:b/>
              </w:rPr>
              <w:t>Retrospective historical control cohort study</w:t>
            </w:r>
          </w:p>
        </w:tc>
      </w:tr>
      <w:tr w:rsidR="00151FBC" w:rsidRPr="00E92067" w:rsidTr="00151FBC">
        <w:trPr>
          <w:trHeight w:val="113"/>
        </w:trPr>
        <w:tc>
          <w:tcPr>
            <w:tcW w:w="796" w:type="pct"/>
            <w:vMerge w:val="restart"/>
          </w:tcPr>
          <w:p w:rsidR="00151FBC" w:rsidRPr="00E92067" w:rsidRDefault="00151FBC" w:rsidP="00F00B32">
            <w:pPr>
              <w:pStyle w:val="TableText0"/>
              <w:keepLines/>
              <w:rPr>
                <w:rFonts w:eastAsiaTheme="minorEastAsia"/>
              </w:rPr>
            </w:pPr>
            <w:r w:rsidRPr="00E92067">
              <w:t>20120148</w:t>
            </w:r>
            <w:r w:rsidRPr="00E92067">
              <w:rPr>
                <w:rFonts w:eastAsiaTheme="minorEastAsia"/>
              </w:rPr>
              <w:t xml:space="preserve"> </w:t>
            </w:r>
          </w:p>
          <w:p w:rsidR="00151FBC" w:rsidRPr="00E92067" w:rsidRDefault="00151FBC" w:rsidP="00F00B32">
            <w:pPr>
              <w:pStyle w:val="TableText0"/>
              <w:keepLines/>
              <w:rPr>
                <w:rFonts w:eastAsiaTheme="minorEastAsia"/>
              </w:rPr>
            </w:pPr>
            <w:r w:rsidRPr="00E92067">
              <w:rPr>
                <w:rFonts w:eastAsiaTheme="minorEastAsia"/>
              </w:rPr>
              <w:t>NCT02010931</w:t>
            </w:r>
          </w:p>
        </w:tc>
        <w:tc>
          <w:tcPr>
            <w:tcW w:w="3027" w:type="pct"/>
            <w:tcBorders>
              <w:bottom w:val="nil"/>
            </w:tcBorders>
          </w:tcPr>
          <w:p w:rsidR="00151FBC" w:rsidRPr="00E92067" w:rsidRDefault="00151FBC" w:rsidP="00F00B32">
            <w:pPr>
              <w:pStyle w:val="Tabletext"/>
              <w:keepNext/>
              <w:keepLines/>
              <w:rPr>
                <w:rFonts w:ascii="Times" w:hAnsi="Times"/>
              </w:rPr>
            </w:pPr>
            <w:r w:rsidRPr="00E92067">
              <w:rPr>
                <w:rFonts w:eastAsiaTheme="minorEastAsia"/>
              </w:rPr>
              <w:t>A retrospective analysis of haematological relapse free survival and overall survival in adult patients with Philadelphia-negative B-precursor acute lymphoblastic leukemia in complete haematological remission with minimal residual disease.</w:t>
            </w:r>
          </w:p>
        </w:tc>
        <w:tc>
          <w:tcPr>
            <w:tcW w:w="1177" w:type="pct"/>
            <w:tcBorders>
              <w:bottom w:val="nil"/>
            </w:tcBorders>
          </w:tcPr>
          <w:p w:rsidR="00151FBC" w:rsidRPr="00E92067" w:rsidRDefault="00151FBC" w:rsidP="00F00B32">
            <w:pPr>
              <w:pStyle w:val="TableText0"/>
              <w:keepLines/>
              <w:widowControl w:val="0"/>
            </w:pPr>
            <w:r w:rsidRPr="00E92067">
              <w:t xml:space="preserve">Report date: </w:t>
            </w:r>
            <w:r w:rsidRPr="00E92067">
              <w:rPr>
                <w:rFonts w:eastAsiaTheme="minorEastAsia"/>
              </w:rPr>
              <w:t>12 December 2014.</w:t>
            </w:r>
          </w:p>
        </w:tc>
      </w:tr>
      <w:tr w:rsidR="00151FBC" w:rsidRPr="00E92067" w:rsidTr="00151FBC">
        <w:trPr>
          <w:trHeight w:val="112"/>
        </w:trPr>
        <w:tc>
          <w:tcPr>
            <w:tcW w:w="796" w:type="pct"/>
            <w:vMerge/>
          </w:tcPr>
          <w:p w:rsidR="00151FBC" w:rsidRPr="00E92067" w:rsidRDefault="00151FBC" w:rsidP="00F00B32">
            <w:pPr>
              <w:pStyle w:val="Tabletext"/>
              <w:keepNext/>
              <w:keepLines/>
            </w:pPr>
          </w:p>
        </w:tc>
        <w:tc>
          <w:tcPr>
            <w:tcW w:w="3027" w:type="pct"/>
            <w:tcBorders>
              <w:top w:val="nil"/>
            </w:tcBorders>
          </w:tcPr>
          <w:p w:rsidR="00151FBC" w:rsidRPr="00E92067" w:rsidRDefault="00151FBC" w:rsidP="00F00B32">
            <w:pPr>
              <w:pStyle w:val="Tabletext"/>
              <w:keepNext/>
              <w:keepLines/>
              <w:rPr>
                <w:rFonts w:ascii="Times" w:hAnsi="Times"/>
              </w:rPr>
            </w:pPr>
            <w:r w:rsidRPr="00E92067">
              <w:rPr>
                <w:rFonts w:eastAsiaTheme="minorEastAsia"/>
              </w:rPr>
              <w:t>Propensity score analysis of relapse free survival and overall survival among adult patients with minimal residual disease (MRD) in study 20120148.</w:t>
            </w:r>
          </w:p>
        </w:tc>
        <w:tc>
          <w:tcPr>
            <w:tcW w:w="1177" w:type="pct"/>
            <w:tcBorders>
              <w:top w:val="nil"/>
            </w:tcBorders>
          </w:tcPr>
          <w:p w:rsidR="00151FBC" w:rsidRPr="00E92067" w:rsidRDefault="00151FBC" w:rsidP="00F00B32">
            <w:pPr>
              <w:pStyle w:val="Tabletext"/>
              <w:keepNext/>
              <w:keepLines/>
              <w:rPr>
                <w:rFonts w:ascii="Times" w:hAnsi="Times"/>
              </w:rPr>
            </w:pPr>
            <w:r w:rsidRPr="00E92067">
              <w:t xml:space="preserve">Report date: </w:t>
            </w:r>
            <w:r w:rsidRPr="00E92067">
              <w:rPr>
                <w:rFonts w:eastAsiaTheme="minorEastAsia"/>
              </w:rPr>
              <w:t>30 January 2017 (updated 19 February 2018).</w:t>
            </w:r>
          </w:p>
        </w:tc>
      </w:tr>
      <w:tr w:rsidR="00151FBC" w:rsidRPr="00E92067" w:rsidTr="00151FBC">
        <w:tc>
          <w:tcPr>
            <w:tcW w:w="5000" w:type="pct"/>
            <w:gridSpan w:val="3"/>
          </w:tcPr>
          <w:p w:rsidR="00151FBC" w:rsidRPr="00E92067" w:rsidRDefault="00151FBC" w:rsidP="00151FBC">
            <w:pPr>
              <w:pStyle w:val="Tabletext"/>
              <w:rPr>
                <w:b/>
              </w:rPr>
            </w:pPr>
            <w:r w:rsidRPr="00E92067">
              <w:rPr>
                <w:b/>
              </w:rPr>
              <w:t>Supportive single arm study</w:t>
            </w:r>
          </w:p>
        </w:tc>
      </w:tr>
      <w:tr w:rsidR="00151FBC" w:rsidRPr="00E92067" w:rsidTr="00151FBC">
        <w:tc>
          <w:tcPr>
            <w:tcW w:w="796" w:type="pct"/>
            <w:vMerge w:val="restart"/>
          </w:tcPr>
          <w:p w:rsidR="00151FBC" w:rsidRPr="00E92067" w:rsidRDefault="00151FBC" w:rsidP="00151FBC">
            <w:pPr>
              <w:pStyle w:val="TableText0"/>
              <w:keepNext w:val="0"/>
            </w:pPr>
            <w:r w:rsidRPr="00E92067">
              <w:t>MT103-202</w:t>
            </w:r>
          </w:p>
          <w:p w:rsidR="00151FBC" w:rsidRPr="00E92067" w:rsidRDefault="00151FBC" w:rsidP="00151FBC">
            <w:pPr>
              <w:pStyle w:val="Tabletext"/>
              <w:rPr>
                <w:rFonts w:ascii="Times" w:hAnsi="Times"/>
              </w:rPr>
            </w:pPr>
            <w:r w:rsidRPr="00E92067">
              <w:t>NCT00560794</w:t>
            </w:r>
          </w:p>
        </w:tc>
        <w:tc>
          <w:tcPr>
            <w:tcW w:w="3027" w:type="pct"/>
            <w:tcBorders>
              <w:bottom w:val="nil"/>
            </w:tcBorders>
          </w:tcPr>
          <w:p w:rsidR="00151FBC" w:rsidRPr="00E92067" w:rsidRDefault="00151FBC" w:rsidP="00151FBC">
            <w:pPr>
              <w:pStyle w:val="Tabletext"/>
              <w:rPr>
                <w:rFonts w:ascii="Times" w:hAnsi="Times"/>
              </w:rPr>
            </w:pPr>
            <w:r w:rsidRPr="00E92067">
              <w:t>An open-label, multicenter phase 2 study to investigate the efficacy, safety, and tolerability of the Bi-specific T-cell engager (BiTE</w:t>
            </w:r>
            <w:r w:rsidRPr="00E92067">
              <w:t>) MT103 in patients with minimal residual disease (MRD) of positive B-precursor acute lymphoblastic leukemia (ALL).</w:t>
            </w:r>
          </w:p>
        </w:tc>
        <w:tc>
          <w:tcPr>
            <w:tcW w:w="1177" w:type="pct"/>
            <w:tcBorders>
              <w:bottom w:val="nil"/>
            </w:tcBorders>
          </w:tcPr>
          <w:p w:rsidR="00151FBC" w:rsidRPr="00E92067" w:rsidRDefault="00151FBC" w:rsidP="00151FBC">
            <w:pPr>
              <w:pStyle w:val="TableText0"/>
              <w:keepNext w:val="0"/>
              <w:widowControl w:val="0"/>
            </w:pPr>
            <w:r w:rsidRPr="00E92067">
              <w:t>Report date: 7 November 2013.</w:t>
            </w:r>
          </w:p>
        </w:tc>
      </w:tr>
      <w:tr w:rsidR="00151FBC" w:rsidRPr="00E92067" w:rsidTr="00151FBC">
        <w:tc>
          <w:tcPr>
            <w:tcW w:w="796" w:type="pct"/>
            <w:vMerge/>
          </w:tcPr>
          <w:p w:rsidR="00151FBC" w:rsidRPr="00E92067" w:rsidRDefault="00151FBC" w:rsidP="00151FBC">
            <w:pPr>
              <w:pStyle w:val="Tabletext"/>
            </w:pPr>
          </w:p>
        </w:tc>
        <w:tc>
          <w:tcPr>
            <w:tcW w:w="3027" w:type="pct"/>
            <w:tcBorders>
              <w:top w:val="nil"/>
              <w:bottom w:val="nil"/>
            </w:tcBorders>
          </w:tcPr>
          <w:p w:rsidR="00151FBC" w:rsidRPr="00E92067" w:rsidRDefault="00151FBC" w:rsidP="00151FBC">
            <w:pPr>
              <w:pStyle w:val="Tabletext"/>
              <w:rPr>
                <w:szCs w:val="18"/>
              </w:rPr>
            </w:pPr>
            <w:r w:rsidRPr="00E92067">
              <w:t>Topp, M. S., et al. Long-term follow-up of hematologic relapse-free survival in a phase 2 study of blinatumomab in patients with MRD in B-lineage ALL.</w:t>
            </w:r>
          </w:p>
        </w:tc>
        <w:tc>
          <w:tcPr>
            <w:tcW w:w="1177" w:type="pct"/>
            <w:tcBorders>
              <w:top w:val="nil"/>
              <w:bottom w:val="nil"/>
            </w:tcBorders>
          </w:tcPr>
          <w:p w:rsidR="00151FBC" w:rsidRPr="00E92067" w:rsidRDefault="00151FBC" w:rsidP="00151FBC">
            <w:pPr>
              <w:pStyle w:val="Tabletext"/>
            </w:pPr>
            <w:r w:rsidRPr="00E92067">
              <w:t>Blood 2012; 120(26): 5185-5187.</w:t>
            </w:r>
          </w:p>
        </w:tc>
      </w:tr>
      <w:tr w:rsidR="00151FBC" w:rsidRPr="00E92067" w:rsidTr="00151FBC">
        <w:trPr>
          <w:trHeight w:val="233"/>
        </w:trPr>
        <w:tc>
          <w:tcPr>
            <w:tcW w:w="796" w:type="pct"/>
            <w:vMerge/>
          </w:tcPr>
          <w:p w:rsidR="00151FBC" w:rsidRPr="00E92067" w:rsidRDefault="00151FBC" w:rsidP="00151FBC">
            <w:pPr>
              <w:pStyle w:val="Tabletext"/>
            </w:pPr>
          </w:p>
        </w:tc>
        <w:tc>
          <w:tcPr>
            <w:tcW w:w="3027" w:type="pct"/>
            <w:tcBorders>
              <w:top w:val="nil"/>
              <w:bottom w:val="nil"/>
            </w:tcBorders>
          </w:tcPr>
          <w:p w:rsidR="00151FBC" w:rsidRPr="00E92067" w:rsidRDefault="00151FBC" w:rsidP="00151FBC">
            <w:pPr>
              <w:pStyle w:val="Tabletext"/>
              <w:rPr>
                <w:szCs w:val="18"/>
              </w:rPr>
            </w:pPr>
            <w:r w:rsidRPr="00E92067">
              <w:t>Klinger, M., et al. Immunopharmacologic response of patients with B-lineage acute lymphoblastic leukemia to continuous infusion of T cell-engaging CD19/CD3-bispecific BiTE antibody blinatumomab.</w:t>
            </w:r>
          </w:p>
        </w:tc>
        <w:tc>
          <w:tcPr>
            <w:tcW w:w="1177" w:type="pct"/>
            <w:tcBorders>
              <w:top w:val="nil"/>
              <w:bottom w:val="nil"/>
            </w:tcBorders>
          </w:tcPr>
          <w:p w:rsidR="00151FBC" w:rsidRPr="00E92067" w:rsidRDefault="00151FBC" w:rsidP="00151FBC">
            <w:pPr>
              <w:pStyle w:val="Tabletext"/>
              <w:rPr>
                <w:rFonts w:ascii="Times" w:hAnsi="Times"/>
              </w:rPr>
            </w:pPr>
            <w:r w:rsidRPr="00E92067">
              <w:t>Blood 2012; 119(26): 6226-6233.</w:t>
            </w:r>
          </w:p>
        </w:tc>
      </w:tr>
      <w:tr w:rsidR="00151FBC" w:rsidRPr="00E92067" w:rsidTr="00151FBC">
        <w:trPr>
          <w:trHeight w:val="232"/>
        </w:trPr>
        <w:tc>
          <w:tcPr>
            <w:tcW w:w="796" w:type="pct"/>
            <w:vMerge/>
            <w:tcBorders>
              <w:bottom w:val="single" w:sz="4" w:space="0" w:color="auto"/>
            </w:tcBorders>
          </w:tcPr>
          <w:p w:rsidR="00151FBC" w:rsidRPr="00E92067" w:rsidRDefault="00151FBC" w:rsidP="00151FBC">
            <w:pPr>
              <w:pStyle w:val="Tabletext"/>
            </w:pPr>
          </w:p>
        </w:tc>
        <w:tc>
          <w:tcPr>
            <w:tcW w:w="3027" w:type="pct"/>
            <w:tcBorders>
              <w:top w:val="nil"/>
              <w:bottom w:val="single" w:sz="4" w:space="0" w:color="auto"/>
            </w:tcBorders>
          </w:tcPr>
          <w:p w:rsidR="00151FBC" w:rsidRPr="00E92067" w:rsidRDefault="00151FBC" w:rsidP="00151FBC">
            <w:pPr>
              <w:pStyle w:val="Tabletext"/>
              <w:tabs>
                <w:tab w:val="left" w:pos="1515"/>
              </w:tabs>
              <w:rPr>
                <w:szCs w:val="18"/>
              </w:rPr>
            </w:pPr>
            <w:r w:rsidRPr="00E92067">
              <w:t>Topp, M. S., et al. Targeted therapy with the T-cell - Engaging antibody blinatumomab of chemotherapy-refractory minimal residual disease in B-lineage acute lymphoblastic leukemia patients results in high response rate and prolonged leukemia-free survival.</w:t>
            </w:r>
          </w:p>
        </w:tc>
        <w:tc>
          <w:tcPr>
            <w:tcW w:w="1177" w:type="pct"/>
            <w:tcBorders>
              <w:top w:val="nil"/>
              <w:bottom w:val="single" w:sz="4" w:space="0" w:color="auto"/>
            </w:tcBorders>
          </w:tcPr>
          <w:p w:rsidR="00151FBC" w:rsidRPr="00E92067" w:rsidRDefault="00151FBC" w:rsidP="00151FBC">
            <w:pPr>
              <w:pStyle w:val="Tabletext"/>
              <w:rPr>
                <w:szCs w:val="18"/>
              </w:rPr>
            </w:pPr>
            <w:r w:rsidRPr="00E92067">
              <w:t>Journal of Clinical Oncology 2011; 29(18): 2493-2498.</w:t>
            </w:r>
          </w:p>
        </w:tc>
      </w:tr>
    </w:tbl>
    <w:p w:rsidR="00151FBC" w:rsidRPr="00E92067" w:rsidRDefault="00151FBC" w:rsidP="00151FBC">
      <w:pPr>
        <w:pStyle w:val="TableFooter"/>
      </w:pPr>
      <w:r w:rsidRPr="00E92067">
        <w:t>Source: Tables 21 and 22, pp.27-29 of the submission.</w:t>
      </w:r>
    </w:p>
    <w:p w:rsidR="00151FBC" w:rsidRPr="00E92067" w:rsidRDefault="00151FBC" w:rsidP="00151FBC">
      <w:pPr>
        <w:pStyle w:val="TableFooter"/>
        <w:rPr>
          <w:sz w:val="20"/>
        </w:rPr>
      </w:pPr>
      <w:r w:rsidRPr="00E92067">
        <w:t>Abbreviations: ALL, acute lymphoblastic leukaemia; MRD, minimal residual disease.</w:t>
      </w:r>
    </w:p>
    <w:p w:rsidR="00151FBC" w:rsidRPr="00E92067" w:rsidRDefault="00151FBC" w:rsidP="00F00B32">
      <w:pPr>
        <w:widowControl/>
        <w:jc w:val="left"/>
      </w:pPr>
    </w:p>
    <w:p w:rsidR="00151FBC" w:rsidRPr="00E92067" w:rsidRDefault="00151FBC" w:rsidP="001613D3">
      <w:pPr>
        <w:pStyle w:val="ListParagraph"/>
        <w:widowControl/>
        <w:numPr>
          <w:ilvl w:val="1"/>
          <w:numId w:val="2"/>
        </w:numPr>
      </w:pPr>
      <w:r w:rsidRPr="00E92067">
        <w:t xml:space="preserve">The key features of the studies are summarised in the table below.  </w:t>
      </w:r>
    </w:p>
    <w:p w:rsidR="00151FBC" w:rsidRPr="00E92067" w:rsidRDefault="00151FBC" w:rsidP="00151FBC">
      <w:pPr>
        <w:keepNext/>
        <w:keepLines/>
        <w:rPr>
          <w:rStyle w:val="CommentReference"/>
        </w:rPr>
      </w:pPr>
      <w:r w:rsidRPr="00E92067">
        <w:rPr>
          <w:rStyle w:val="CommentReference"/>
        </w:rPr>
        <w:t>Table 3: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59"/>
        <w:gridCol w:w="505"/>
        <w:gridCol w:w="1088"/>
        <w:gridCol w:w="638"/>
        <w:gridCol w:w="1760"/>
        <w:gridCol w:w="1597"/>
        <w:gridCol w:w="1597"/>
        <w:gridCol w:w="939"/>
      </w:tblGrid>
      <w:tr w:rsidR="00151FBC" w:rsidRPr="00E92067" w:rsidTr="00F00B32">
        <w:trPr>
          <w:cantSplit/>
          <w:tblHeader/>
        </w:trPr>
        <w:tc>
          <w:tcPr>
            <w:tcW w:w="528" w:type="pct"/>
            <w:shd w:val="clear" w:color="auto" w:fill="auto"/>
          </w:tcPr>
          <w:p w:rsidR="00151FBC" w:rsidRPr="00E92067" w:rsidRDefault="00151FBC" w:rsidP="00151FBC">
            <w:pPr>
              <w:pStyle w:val="Tabletext"/>
              <w:keepNext/>
              <w:keepLines/>
              <w:rPr>
                <w:b/>
                <w:lang w:val="en-US"/>
              </w:rPr>
            </w:pPr>
            <w:r w:rsidRPr="00E92067">
              <w:rPr>
                <w:b/>
                <w:lang w:val="en-US"/>
              </w:rPr>
              <w:t>Trial</w:t>
            </w:r>
          </w:p>
        </w:tc>
        <w:tc>
          <w:tcPr>
            <w:tcW w:w="278" w:type="pct"/>
            <w:shd w:val="clear" w:color="auto" w:fill="auto"/>
          </w:tcPr>
          <w:p w:rsidR="00151FBC" w:rsidRPr="00E92067" w:rsidRDefault="00151FBC" w:rsidP="00151FBC">
            <w:pPr>
              <w:pStyle w:val="Tabletext"/>
              <w:keepNext/>
              <w:keepLines/>
              <w:jc w:val="center"/>
              <w:rPr>
                <w:b/>
                <w:lang w:val="en-US"/>
              </w:rPr>
            </w:pPr>
            <w:r w:rsidRPr="00E92067">
              <w:rPr>
                <w:b/>
                <w:lang w:val="en-US"/>
              </w:rPr>
              <w:t>N</w:t>
            </w:r>
          </w:p>
        </w:tc>
        <w:tc>
          <w:tcPr>
            <w:tcW w:w="599" w:type="pct"/>
            <w:shd w:val="clear" w:color="auto" w:fill="auto"/>
          </w:tcPr>
          <w:p w:rsidR="00151FBC" w:rsidRPr="00E92067" w:rsidRDefault="00151FBC" w:rsidP="00151FBC">
            <w:pPr>
              <w:pStyle w:val="Tabletext"/>
              <w:keepNext/>
              <w:keepLines/>
              <w:jc w:val="center"/>
              <w:rPr>
                <w:b/>
                <w:lang w:val="en-US"/>
              </w:rPr>
            </w:pPr>
            <w:r w:rsidRPr="00E92067">
              <w:rPr>
                <w:b/>
                <w:lang w:val="en-US"/>
              </w:rPr>
              <w:t>Design</w:t>
            </w:r>
          </w:p>
        </w:tc>
        <w:tc>
          <w:tcPr>
            <w:tcW w:w="351" w:type="pct"/>
            <w:shd w:val="clear" w:color="auto" w:fill="auto"/>
          </w:tcPr>
          <w:p w:rsidR="00151FBC" w:rsidRPr="00E92067" w:rsidRDefault="00151FBC" w:rsidP="00151FBC">
            <w:pPr>
              <w:pStyle w:val="Tabletext"/>
              <w:keepNext/>
              <w:keepLines/>
              <w:jc w:val="center"/>
              <w:rPr>
                <w:b/>
                <w:lang w:val="en-US"/>
              </w:rPr>
            </w:pPr>
            <w:r w:rsidRPr="00E92067">
              <w:rPr>
                <w:b/>
                <w:lang w:val="en-US"/>
              </w:rPr>
              <w:t>Risk of bias</w:t>
            </w:r>
          </w:p>
        </w:tc>
        <w:tc>
          <w:tcPr>
            <w:tcW w:w="969" w:type="pct"/>
          </w:tcPr>
          <w:p w:rsidR="00151FBC" w:rsidRPr="00E92067" w:rsidRDefault="00151FBC" w:rsidP="00151FBC">
            <w:pPr>
              <w:pStyle w:val="Tabletext"/>
              <w:keepNext/>
              <w:keepLines/>
              <w:jc w:val="center"/>
              <w:rPr>
                <w:b/>
                <w:lang w:val="en-US"/>
              </w:rPr>
            </w:pPr>
            <w:r w:rsidRPr="00E92067">
              <w:rPr>
                <w:b/>
                <w:lang w:val="en-US"/>
              </w:rPr>
              <w:t>Intervention</w:t>
            </w:r>
          </w:p>
        </w:tc>
        <w:tc>
          <w:tcPr>
            <w:tcW w:w="879" w:type="pct"/>
            <w:shd w:val="clear" w:color="auto" w:fill="auto"/>
          </w:tcPr>
          <w:p w:rsidR="00151FBC" w:rsidRPr="00E92067" w:rsidRDefault="00151FBC" w:rsidP="00151FBC">
            <w:pPr>
              <w:pStyle w:val="Tabletext"/>
              <w:keepNext/>
              <w:keepLines/>
              <w:jc w:val="center"/>
              <w:rPr>
                <w:b/>
                <w:lang w:val="en-US"/>
              </w:rPr>
            </w:pPr>
            <w:r w:rsidRPr="00E92067">
              <w:rPr>
                <w:b/>
                <w:lang w:val="en-US"/>
              </w:rPr>
              <w:t>Patient population</w:t>
            </w:r>
          </w:p>
        </w:tc>
        <w:tc>
          <w:tcPr>
            <w:tcW w:w="879" w:type="pct"/>
            <w:shd w:val="clear" w:color="auto" w:fill="auto"/>
          </w:tcPr>
          <w:p w:rsidR="00151FBC" w:rsidRPr="00E92067" w:rsidRDefault="00151FBC" w:rsidP="00151FBC">
            <w:pPr>
              <w:pStyle w:val="Tabletext"/>
              <w:keepNext/>
              <w:keepLines/>
              <w:jc w:val="center"/>
              <w:rPr>
                <w:b/>
                <w:lang w:val="en-US"/>
              </w:rPr>
            </w:pPr>
            <w:r w:rsidRPr="00E92067">
              <w:rPr>
                <w:b/>
                <w:lang w:val="en-US"/>
              </w:rPr>
              <w:t>Outcome</w:t>
            </w:r>
          </w:p>
        </w:tc>
        <w:tc>
          <w:tcPr>
            <w:tcW w:w="517" w:type="pct"/>
            <w:shd w:val="clear" w:color="auto" w:fill="auto"/>
          </w:tcPr>
          <w:p w:rsidR="00151FBC" w:rsidRPr="00E92067" w:rsidRDefault="00151FBC" w:rsidP="00151FBC">
            <w:pPr>
              <w:pStyle w:val="Tabletext"/>
              <w:keepNext/>
              <w:keepLines/>
              <w:jc w:val="center"/>
              <w:rPr>
                <w:b/>
                <w:lang w:val="en-US"/>
              </w:rPr>
            </w:pPr>
            <w:r w:rsidRPr="00E92067">
              <w:rPr>
                <w:b/>
                <w:lang w:val="en-US"/>
              </w:rPr>
              <w:t>Use in model</w:t>
            </w:r>
          </w:p>
        </w:tc>
      </w:tr>
      <w:tr w:rsidR="00151FBC" w:rsidRPr="00E92067" w:rsidTr="00F00B32">
        <w:trPr>
          <w:cantSplit/>
        </w:trPr>
        <w:tc>
          <w:tcPr>
            <w:tcW w:w="528" w:type="pct"/>
            <w:shd w:val="clear" w:color="auto" w:fill="auto"/>
          </w:tcPr>
          <w:p w:rsidR="00151FBC" w:rsidRPr="00E92067" w:rsidRDefault="00151FBC" w:rsidP="00151FBC">
            <w:pPr>
              <w:pStyle w:val="Tabletext"/>
              <w:rPr>
                <w:lang w:val="en-US"/>
              </w:rPr>
            </w:pPr>
            <w:r w:rsidRPr="00E92067">
              <w:rPr>
                <w:shd w:val="clear" w:color="auto" w:fill="FFFFFF"/>
              </w:rPr>
              <w:t>BLAST</w:t>
            </w:r>
          </w:p>
        </w:tc>
        <w:tc>
          <w:tcPr>
            <w:tcW w:w="278" w:type="pct"/>
            <w:shd w:val="clear" w:color="auto" w:fill="auto"/>
          </w:tcPr>
          <w:p w:rsidR="00151FBC" w:rsidRPr="00E92067" w:rsidRDefault="00151FBC" w:rsidP="00151FBC">
            <w:pPr>
              <w:pStyle w:val="Tabletext"/>
              <w:jc w:val="center"/>
              <w:rPr>
                <w:lang w:val="en-US"/>
              </w:rPr>
            </w:pPr>
            <w:r w:rsidRPr="00E92067">
              <w:rPr>
                <w:lang w:val="en-US"/>
              </w:rPr>
              <w:t>116</w:t>
            </w:r>
          </w:p>
        </w:tc>
        <w:tc>
          <w:tcPr>
            <w:tcW w:w="599" w:type="pct"/>
            <w:shd w:val="clear" w:color="auto" w:fill="auto"/>
          </w:tcPr>
          <w:p w:rsidR="00151FBC" w:rsidRPr="00E92067" w:rsidRDefault="00151FBC" w:rsidP="00151FBC">
            <w:pPr>
              <w:pStyle w:val="Tabletext"/>
              <w:rPr>
                <w:shd w:val="clear" w:color="auto" w:fill="FFFFFF"/>
              </w:rPr>
            </w:pPr>
            <w:r w:rsidRPr="00E92067">
              <w:rPr>
                <w:shd w:val="clear" w:color="auto" w:fill="FFFFFF"/>
              </w:rPr>
              <w:t>Phase II,</w:t>
            </w:r>
          </w:p>
          <w:p w:rsidR="00151FBC" w:rsidRPr="00E92067" w:rsidRDefault="00151FBC" w:rsidP="00151FBC">
            <w:pPr>
              <w:pStyle w:val="Tabletext"/>
              <w:rPr>
                <w:lang w:val="en-US"/>
              </w:rPr>
            </w:pPr>
            <w:r w:rsidRPr="00E92067">
              <w:rPr>
                <w:shd w:val="clear" w:color="auto" w:fill="FFFFFF"/>
              </w:rPr>
              <w:t>open label, multicentre, single arm</w:t>
            </w:r>
          </w:p>
        </w:tc>
        <w:tc>
          <w:tcPr>
            <w:tcW w:w="351" w:type="pct"/>
            <w:shd w:val="clear" w:color="auto" w:fill="auto"/>
          </w:tcPr>
          <w:p w:rsidR="00151FBC" w:rsidRPr="00E92067" w:rsidRDefault="00151FBC" w:rsidP="00151FBC">
            <w:pPr>
              <w:pStyle w:val="Tabletext"/>
              <w:jc w:val="center"/>
              <w:rPr>
                <w:lang w:val="en-US"/>
              </w:rPr>
            </w:pPr>
            <w:r w:rsidRPr="00E92067">
              <w:rPr>
                <w:lang w:val="en-US"/>
              </w:rPr>
              <w:t>High</w:t>
            </w:r>
          </w:p>
        </w:tc>
        <w:tc>
          <w:tcPr>
            <w:tcW w:w="969" w:type="pct"/>
          </w:tcPr>
          <w:p w:rsidR="00151FBC" w:rsidRPr="00E92067" w:rsidRDefault="00151FBC" w:rsidP="00151FBC">
            <w:pPr>
              <w:pStyle w:val="TableText0"/>
              <w:spacing w:before="0" w:after="0"/>
            </w:pPr>
            <w:r w:rsidRPr="00E92067">
              <w:t>Blinatumomab IV</w:t>
            </w:r>
          </w:p>
          <w:p w:rsidR="00151FBC" w:rsidRPr="00E92067" w:rsidRDefault="00151FBC" w:rsidP="00151FBC">
            <w:pPr>
              <w:pStyle w:val="TableText0"/>
              <w:spacing w:before="0" w:after="0"/>
            </w:pPr>
            <w:r w:rsidRPr="00E92067">
              <w:t>15 mcg/m</w:t>
            </w:r>
            <w:r w:rsidRPr="00E92067">
              <w:rPr>
                <w:vertAlign w:val="superscript"/>
              </w:rPr>
              <w:t>2</w:t>
            </w:r>
            <w:r w:rsidRPr="00E92067">
              <w:t xml:space="preserve">/day </w:t>
            </w:r>
          </w:p>
          <w:p w:rsidR="00151FBC" w:rsidRPr="00E92067" w:rsidRDefault="00151FBC" w:rsidP="00151FBC">
            <w:pPr>
              <w:pStyle w:val="TableText0"/>
              <w:spacing w:before="0" w:after="0"/>
            </w:pPr>
            <w:r w:rsidRPr="00E92067">
              <w:t>(4 wks),</w:t>
            </w:r>
          </w:p>
          <w:p w:rsidR="00151FBC" w:rsidRPr="00E92067" w:rsidRDefault="00151FBC" w:rsidP="00151FBC">
            <w:pPr>
              <w:pStyle w:val="TableText0"/>
              <w:spacing w:before="0" w:after="0"/>
            </w:pPr>
            <w:r w:rsidRPr="00E92067">
              <w:t xml:space="preserve">Treatment free </w:t>
            </w:r>
          </w:p>
          <w:p w:rsidR="00151FBC" w:rsidRPr="00E92067" w:rsidRDefault="00151FBC" w:rsidP="00151FBC">
            <w:pPr>
              <w:pStyle w:val="TableText0"/>
              <w:spacing w:before="0" w:after="0"/>
            </w:pPr>
            <w:r w:rsidRPr="00E92067">
              <w:t>(2 wks),</w:t>
            </w:r>
          </w:p>
          <w:p w:rsidR="00151FBC" w:rsidRPr="00E92067" w:rsidRDefault="00151FBC" w:rsidP="00151FBC">
            <w:pPr>
              <w:pStyle w:val="TableText0"/>
              <w:spacing w:before="0" w:after="0"/>
            </w:pPr>
            <w:r w:rsidRPr="00E92067">
              <w:t>Up to 4 cycles.</w:t>
            </w:r>
          </w:p>
        </w:tc>
        <w:tc>
          <w:tcPr>
            <w:tcW w:w="879" w:type="pct"/>
            <w:shd w:val="clear" w:color="auto" w:fill="auto"/>
          </w:tcPr>
          <w:p w:rsidR="00151FBC" w:rsidRPr="00E92067" w:rsidRDefault="00151FBC" w:rsidP="00151FBC">
            <w:pPr>
              <w:pStyle w:val="TableText0"/>
              <w:spacing w:before="0" w:after="0"/>
            </w:pPr>
            <w:r w:rsidRPr="00E92067">
              <w:t>B-ALL ≥18 years,</w:t>
            </w:r>
          </w:p>
          <w:p w:rsidR="00151FBC" w:rsidRPr="00E92067" w:rsidRDefault="00B1674C" w:rsidP="00151FBC">
            <w:pPr>
              <w:pStyle w:val="TableText0"/>
              <w:spacing w:before="0" w:after="0"/>
            </w:pPr>
            <w:r w:rsidRPr="00E92067">
              <w:t>h</w:t>
            </w:r>
            <w:r w:rsidR="00151FBC" w:rsidRPr="00E92067">
              <w:t>aematological complete remission,</w:t>
            </w:r>
          </w:p>
          <w:p w:rsidR="00151FBC" w:rsidRPr="00E92067" w:rsidRDefault="00DB6332" w:rsidP="00151FBC">
            <w:pPr>
              <w:pStyle w:val="Tabletext"/>
            </w:pPr>
            <w:r w:rsidRPr="00E92067">
              <w:t>MRD ≥10</w:t>
            </w:r>
            <w:r w:rsidRPr="00E92067">
              <w:rPr>
                <w:vertAlign w:val="superscript"/>
              </w:rPr>
              <w:t>-3</w:t>
            </w:r>
            <w:r w:rsidRPr="00E92067">
              <w:t xml:space="preserve"> </w:t>
            </w:r>
            <w:r w:rsidR="00A67277" w:rsidRPr="00E92067">
              <w:t xml:space="preserve">in an </w:t>
            </w:r>
            <w:r w:rsidR="00053BE6" w:rsidRPr="00E92067">
              <w:t xml:space="preserve">assay with minimum sensitivity of </w:t>
            </w:r>
            <w:r w:rsidR="00A67277" w:rsidRPr="00E92067">
              <w:t>10</w:t>
            </w:r>
            <w:r w:rsidR="00A67277" w:rsidRPr="00E92067">
              <w:rPr>
                <w:vertAlign w:val="superscript"/>
              </w:rPr>
              <w:t>-4</w:t>
            </w:r>
            <w:r w:rsidR="00A67277" w:rsidRPr="00E92067">
              <w:t xml:space="preserve"> </w:t>
            </w:r>
            <w:r w:rsidRPr="00E92067">
              <w:t>by PCR or flow cytometry</w:t>
            </w:r>
            <w:r w:rsidR="00151FBC" w:rsidRPr="00E92067">
              <w:t>,</w:t>
            </w:r>
          </w:p>
          <w:p w:rsidR="00151FBC" w:rsidRPr="00E92067" w:rsidRDefault="00151FBC" w:rsidP="00151FBC">
            <w:pPr>
              <w:pStyle w:val="Tabletext"/>
              <w:rPr>
                <w:lang w:val="en-US"/>
              </w:rPr>
            </w:pPr>
            <w:r w:rsidRPr="00E92067">
              <w:t>ECOG performance status ≤1.</w:t>
            </w:r>
          </w:p>
        </w:tc>
        <w:tc>
          <w:tcPr>
            <w:tcW w:w="879" w:type="pct"/>
            <w:shd w:val="clear" w:color="auto" w:fill="auto"/>
          </w:tcPr>
          <w:p w:rsidR="00151FBC" w:rsidRPr="00E92067" w:rsidRDefault="00151FBC" w:rsidP="00151FBC">
            <w:pPr>
              <w:pStyle w:val="TableText0"/>
              <w:spacing w:before="0" w:after="0"/>
            </w:pPr>
            <w:r w:rsidRPr="00E92067">
              <w:t>MRD response rate,</w:t>
            </w:r>
          </w:p>
          <w:p w:rsidR="00151FBC" w:rsidRPr="00E92067" w:rsidRDefault="00B1674C" w:rsidP="00151FBC">
            <w:pPr>
              <w:pStyle w:val="TableText0"/>
              <w:spacing w:before="0" w:after="0"/>
            </w:pPr>
            <w:r w:rsidRPr="00E92067">
              <w:t>h</w:t>
            </w:r>
            <w:r w:rsidR="00151FBC" w:rsidRPr="00E92067">
              <w:t>aematological RFS at 18 months,</w:t>
            </w:r>
          </w:p>
          <w:p w:rsidR="00151FBC" w:rsidRPr="00E92067" w:rsidRDefault="00B1674C" w:rsidP="00B1674C">
            <w:pPr>
              <w:pStyle w:val="TableText0"/>
              <w:spacing w:before="0" w:after="0"/>
              <w:rPr>
                <w:lang w:val="en-US"/>
              </w:rPr>
            </w:pPr>
            <w:r w:rsidRPr="00E92067">
              <w:t>o</w:t>
            </w:r>
            <w:r w:rsidR="00151FBC" w:rsidRPr="00E92067">
              <w:t>verall survival from first blinatumomab dose,</w:t>
            </w:r>
            <w:r w:rsidRPr="00E92067">
              <w:t xml:space="preserve"> </w:t>
            </w:r>
            <w:r w:rsidR="00151FBC" w:rsidRPr="00E92067">
              <w:t>100-day mortality after alloHSCT</w:t>
            </w:r>
            <w:r w:rsidRPr="00E92067">
              <w:t>; EQ-5D, EORTC-QLQ-C30</w:t>
            </w:r>
          </w:p>
        </w:tc>
        <w:tc>
          <w:tcPr>
            <w:tcW w:w="517" w:type="pct"/>
            <w:shd w:val="clear" w:color="auto" w:fill="auto"/>
          </w:tcPr>
          <w:p w:rsidR="00151FBC" w:rsidRPr="00E92067" w:rsidRDefault="00151FBC" w:rsidP="00380B12">
            <w:pPr>
              <w:pStyle w:val="Tabletext"/>
              <w:rPr>
                <w:lang w:val="en-US"/>
              </w:rPr>
            </w:pPr>
            <w:r w:rsidRPr="00E92067">
              <w:rPr>
                <w:lang w:val="en-US"/>
              </w:rPr>
              <w:t>Propensity score-adjusted hazard ratios</w:t>
            </w:r>
            <w:r w:rsidR="003E6FE5" w:rsidRPr="00E92067">
              <w:rPr>
                <w:lang w:val="en-US"/>
              </w:rPr>
              <w:t xml:space="preserve"> </w:t>
            </w:r>
            <w:r w:rsidR="003E6FE5" w:rsidRPr="00723F01">
              <w:rPr>
                <w:lang w:val="en-US"/>
              </w:rPr>
              <w:t>(ATT</w:t>
            </w:r>
            <w:r w:rsidR="00380B12" w:rsidRPr="00723F01">
              <w:rPr>
                <w:lang w:val="en-US"/>
              </w:rPr>
              <w:t xml:space="preserve"> in base case</w:t>
            </w:r>
            <w:r w:rsidR="003E6FE5" w:rsidRPr="00723F01">
              <w:rPr>
                <w:lang w:val="en-US"/>
              </w:rPr>
              <w:t>)</w:t>
            </w:r>
            <w:r w:rsidRPr="00723F01">
              <w:rPr>
                <w:lang w:val="en-US"/>
              </w:rPr>
              <w:t>.</w:t>
            </w:r>
          </w:p>
        </w:tc>
      </w:tr>
      <w:tr w:rsidR="00151FBC" w:rsidRPr="00E92067" w:rsidTr="00F00B32">
        <w:trPr>
          <w:cantSplit/>
        </w:trPr>
        <w:tc>
          <w:tcPr>
            <w:tcW w:w="528" w:type="pct"/>
            <w:shd w:val="clear" w:color="auto" w:fill="auto"/>
          </w:tcPr>
          <w:p w:rsidR="00151FBC" w:rsidRPr="00E92067" w:rsidRDefault="00151FBC" w:rsidP="00151FBC">
            <w:pPr>
              <w:pStyle w:val="Tabletext"/>
              <w:rPr>
                <w:lang w:val="en-US"/>
              </w:rPr>
            </w:pPr>
            <w:r w:rsidRPr="00E92067">
              <w:rPr>
                <w:shd w:val="clear" w:color="auto" w:fill="FFFFFF"/>
              </w:rPr>
              <w:t>MT103-202</w:t>
            </w:r>
          </w:p>
        </w:tc>
        <w:tc>
          <w:tcPr>
            <w:tcW w:w="278" w:type="pct"/>
            <w:shd w:val="clear" w:color="auto" w:fill="auto"/>
          </w:tcPr>
          <w:p w:rsidR="00151FBC" w:rsidRPr="00E92067" w:rsidRDefault="00151FBC" w:rsidP="00151FBC">
            <w:pPr>
              <w:pStyle w:val="Tabletext"/>
              <w:jc w:val="center"/>
              <w:rPr>
                <w:lang w:val="en-US"/>
              </w:rPr>
            </w:pPr>
            <w:r w:rsidRPr="00E92067">
              <w:rPr>
                <w:lang w:val="en-US"/>
              </w:rPr>
              <w:t>21</w:t>
            </w:r>
          </w:p>
        </w:tc>
        <w:tc>
          <w:tcPr>
            <w:tcW w:w="599" w:type="pct"/>
            <w:shd w:val="clear" w:color="auto" w:fill="auto"/>
          </w:tcPr>
          <w:p w:rsidR="00151FBC" w:rsidRPr="00E92067" w:rsidRDefault="00151FBC" w:rsidP="00151FBC">
            <w:pPr>
              <w:pStyle w:val="Tabletext"/>
              <w:rPr>
                <w:lang w:val="en-US"/>
              </w:rPr>
            </w:pPr>
            <w:r w:rsidRPr="00E92067">
              <w:rPr>
                <w:shd w:val="clear" w:color="auto" w:fill="FFFFFF"/>
              </w:rPr>
              <w:t>Phase II, exploratory, open label, multicentre, single arm</w:t>
            </w:r>
          </w:p>
        </w:tc>
        <w:tc>
          <w:tcPr>
            <w:tcW w:w="351" w:type="pct"/>
            <w:shd w:val="clear" w:color="auto" w:fill="auto"/>
          </w:tcPr>
          <w:p w:rsidR="00151FBC" w:rsidRPr="00E92067" w:rsidRDefault="00151FBC" w:rsidP="00151FBC">
            <w:pPr>
              <w:pStyle w:val="Tabletext"/>
              <w:jc w:val="center"/>
              <w:rPr>
                <w:lang w:val="en-US"/>
              </w:rPr>
            </w:pPr>
            <w:r w:rsidRPr="00E92067">
              <w:rPr>
                <w:lang w:val="en-US"/>
              </w:rPr>
              <w:t>High</w:t>
            </w:r>
          </w:p>
        </w:tc>
        <w:tc>
          <w:tcPr>
            <w:tcW w:w="969" w:type="pct"/>
          </w:tcPr>
          <w:p w:rsidR="00151FBC" w:rsidRPr="00E92067" w:rsidRDefault="00151FBC" w:rsidP="00151FBC">
            <w:pPr>
              <w:pStyle w:val="TableText0"/>
              <w:spacing w:before="0" w:after="0"/>
            </w:pPr>
            <w:r w:rsidRPr="00E92067">
              <w:t>Blinatumomab IV</w:t>
            </w:r>
          </w:p>
          <w:p w:rsidR="00151FBC" w:rsidRPr="00E92067" w:rsidRDefault="00151FBC" w:rsidP="00151FBC">
            <w:pPr>
              <w:pStyle w:val="TableText0"/>
              <w:spacing w:before="0" w:after="0"/>
            </w:pPr>
            <w:r w:rsidRPr="00E92067">
              <w:t>15 mcg/m</w:t>
            </w:r>
            <w:r w:rsidRPr="00E92067">
              <w:rPr>
                <w:vertAlign w:val="superscript"/>
              </w:rPr>
              <w:t>2</w:t>
            </w:r>
            <w:r w:rsidRPr="00E92067">
              <w:t xml:space="preserve">/day </w:t>
            </w:r>
          </w:p>
          <w:p w:rsidR="00151FBC" w:rsidRPr="00E92067" w:rsidRDefault="00151FBC" w:rsidP="00151FBC">
            <w:pPr>
              <w:pStyle w:val="TableText0"/>
              <w:spacing w:before="0" w:after="0"/>
            </w:pPr>
            <w:r w:rsidRPr="00E92067">
              <w:t>(4 w</w:t>
            </w:r>
            <w:r w:rsidR="00B1674C" w:rsidRPr="00E92067">
              <w:t>ee</w:t>
            </w:r>
            <w:r w:rsidRPr="00E92067">
              <w:t xml:space="preserve">ks), </w:t>
            </w:r>
          </w:p>
          <w:p w:rsidR="00151FBC" w:rsidRPr="00E92067" w:rsidRDefault="00151FBC" w:rsidP="00151FBC">
            <w:pPr>
              <w:pStyle w:val="TableText0"/>
              <w:spacing w:before="0" w:after="0"/>
            </w:pPr>
            <w:r w:rsidRPr="00E92067">
              <w:t>Treatment free</w:t>
            </w:r>
          </w:p>
          <w:p w:rsidR="00151FBC" w:rsidRPr="00E92067" w:rsidRDefault="00151FBC" w:rsidP="00151FBC">
            <w:pPr>
              <w:pStyle w:val="TableText0"/>
              <w:spacing w:before="0" w:after="0"/>
            </w:pPr>
            <w:r w:rsidRPr="00E92067">
              <w:t xml:space="preserve"> (2 w</w:t>
            </w:r>
            <w:r w:rsidR="00B1674C" w:rsidRPr="00E92067">
              <w:t>ee</w:t>
            </w:r>
            <w:r w:rsidRPr="00E92067">
              <w:t>ks),</w:t>
            </w:r>
          </w:p>
          <w:p w:rsidR="00151FBC" w:rsidRPr="00E92067" w:rsidRDefault="00151FBC" w:rsidP="00151FBC">
            <w:pPr>
              <w:pStyle w:val="TableText0"/>
              <w:spacing w:before="0" w:after="0"/>
            </w:pPr>
            <w:r w:rsidRPr="00E92067">
              <w:t>Increased to</w:t>
            </w:r>
          </w:p>
          <w:p w:rsidR="00151FBC" w:rsidRPr="00E92067" w:rsidRDefault="00151FBC" w:rsidP="00B1674C">
            <w:pPr>
              <w:pStyle w:val="TableText0"/>
              <w:spacing w:before="0" w:after="0"/>
            </w:pPr>
            <w:r w:rsidRPr="00E92067">
              <w:t>30 ug/m</w:t>
            </w:r>
            <w:r w:rsidRPr="00E92067">
              <w:rPr>
                <w:vertAlign w:val="superscript"/>
              </w:rPr>
              <w:t>2</w:t>
            </w:r>
            <w:r w:rsidRPr="00E92067">
              <w:t>/day</w:t>
            </w:r>
            <w:r w:rsidR="00B1674C" w:rsidRPr="00E92067">
              <w:t xml:space="preserve"> </w:t>
            </w:r>
            <w:r w:rsidRPr="00E92067">
              <w:t>if no response cycle 1, increased for all non-responders cycle 2.</w:t>
            </w:r>
          </w:p>
        </w:tc>
        <w:tc>
          <w:tcPr>
            <w:tcW w:w="879" w:type="pct"/>
            <w:shd w:val="clear" w:color="auto" w:fill="auto"/>
          </w:tcPr>
          <w:p w:rsidR="00151FBC" w:rsidRPr="00E92067" w:rsidRDefault="00151FBC" w:rsidP="00151FBC">
            <w:pPr>
              <w:pStyle w:val="TableText0"/>
              <w:spacing w:before="0" w:after="0"/>
            </w:pPr>
            <w:r w:rsidRPr="00E92067">
              <w:t>B-ALL ≥18 y</w:t>
            </w:r>
            <w:r w:rsidR="00B1674C" w:rsidRPr="00E92067">
              <w:t>ea</w:t>
            </w:r>
            <w:r w:rsidRPr="00E92067">
              <w:t>rs,</w:t>
            </w:r>
          </w:p>
          <w:p w:rsidR="00151FBC" w:rsidRPr="00E92067" w:rsidRDefault="00151FBC" w:rsidP="00151FBC">
            <w:pPr>
              <w:pStyle w:val="Tabletext"/>
            </w:pPr>
            <w:r w:rsidRPr="00E92067">
              <w:t>Haematological complete remission, MRD ≥10</w:t>
            </w:r>
            <w:r w:rsidRPr="00E92067">
              <w:rPr>
                <w:vertAlign w:val="superscript"/>
              </w:rPr>
              <w:t>-4</w:t>
            </w:r>
            <w:r w:rsidRPr="00E92067">
              <w:t xml:space="preserve"> </w:t>
            </w:r>
            <w:r w:rsidR="00A67277" w:rsidRPr="00E92067">
              <w:t xml:space="preserve">in an assay with minimum sensitivity </w:t>
            </w:r>
            <w:r w:rsidR="00053BE6" w:rsidRPr="00E92067">
              <w:t xml:space="preserve">of </w:t>
            </w:r>
            <w:r w:rsidR="00A67277" w:rsidRPr="00E92067">
              <w:t>10</w:t>
            </w:r>
            <w:r w:rsidR="00A67277" w:rsidRPr="00E92067">
              <w:rPr>
                <w:vertAlign w:val="superscript"/>
              </w:rPr>
              <w:t>-4</w:t>
            </w:r>
            <w:r w:rsidR="00A67277" w:rsidRPr="00E92067">
              <w:t xml:space="preserve"> </w:t>
            </w:r>
            <w:r w:rsidRPr="00E92067">
              <w:t>by PCR,</w:t>
            </w:r>
          </w:p>
          <w:p w:rsidR="00151FBC" w:rsidRPr="00E92067" w:rsidRDefault="00151FBC" w:rsidP="00151FBC">
            <w:pPr>
              <w:pStyle w:val="Tabletext"/>
            </w:pPr>
            <w:r w:rsidRPr="00E92067">
              <w:t>ECOG performance status ≤1.</w:t>
            </w:r>
          </w:p>
        </w:tc>
        <w:tc>
          <w:tcPr>
            <w:tcW w:w="879" w:type="pct"/>
            <w:shd w:val="clear" w:color="auto" w:fill="auto"/>
          </w:tcPr>
          <w:p w:rsidR="00151FBC" w:rsidRPr="00E92067" w:rsidRDefault="00151FBC" w:rsidP="00151FBC">
            <w:pPr>
              <w:pStyle w:val="TableText0"/>
              <w:spacing w:before="0" w:after="0"/>
            </w:pPr>
            <w:r w:rsidRPr="00E92067">
              <w:t>MRD response rate,</w:t>
            </w:r>
          </w:p>
          <w:p w:rsidR="00151FBC" w:rsidRPr="00E92067" w:rsidRDefault="00B1674C" w:rsidP="00151FBC">
            <w:pPr>
              <w:pStyle w:val="TableText0"/>
              <w:spacing w:before="0" w:after="0"/>
            </w:pPr>
            <w:r w:rsidRPr="00E92067">
              <w:t>h</w:t>
            </w:r>
            <w:r w:rsidR="00151FBC" w:rsidRPr="00E92067">
              <w:t>aematological RFS,</w:t>
            </w:r>
          </w:p>
          <w:p w:rsidR="00151FBC" w:rsidRPr="00E92067" w:rsidRDefault="00151FBC" w:rsidP="00151FBC">
            <w:pPr>
              <w:pStyle w:val="Tabletext"/>
              <w:rPr>
                <w:lang w:val="en-US"/>
              </w:rPr>
            </w:pPr>
            <w:r w:rsidRPr="00E92067">
              <w:t>MRD progression.</w:t>
            </w:r>
          </w:p>
        </w:tc>
        <w:tc>
          <w:tcPr>
            <w:tcW w:w="517" w:type="pct"/>
            <w:shd w:val="clear" w:color="auto" w:fill="auto"/>
          </w:tcPr>
          <w:p w:rsidR="00151FBC" w:rsidRPr="00E92067" w:rsidRDefault="00151FBC" w:rsidP="00151FBC">
            <w:pPr>
              <w:pStyle w:val="Tabletext"/>
              <w:rPr>
                <w:lang w:val="en-US"/>
              </w:rPr>
            </w:pPr>
            <w:r w:rsidRPr="00E92067">
              <w:rPr>
                <w:lang w:val="en-US"/>
              </w:rPr>
              <w:t>Not used</w:t>
            </w:r>
          </w:p>
        </w:tc>
      </w:tr>
      <w:tr w:rsidR="00151FBC" w:rsidRPr="00E92067" w:rsidTr="00F00B32">
        <w:trPr>
          <w:cantSplit/>
        </w:trPr>
        <w:tc>
          <w:tcPr>
            <w:tcW w:w="528" w:type="pct"/>
            <w:shd w:val="clear" w:color="auto" w:fill="auto"/>
          </w:tcPr>
          <w:p w:rsidR="00151FBC" w:rsidRPr="00E92067" w:rsidRDefault="00151FBC" w:rsidP="00151FBC">
            <w:pPr>
              <w:pStyle w:val="Tabletext"/>
              <w:rPr>
                <w:lang w:val="en-US"/>
              </w:rPr>
            </w:pPr>
            <w:r w:rsidRPr="00E92067">
              <w:rPr>
                <w:shd w:val="clear" w:color="auto" w:fill="FFFFFF"/>
              </w:rPr>
              <w:t>20120148</w:t>
            </w:r>
          </w:p>
        </w:tc>
        <w:tc>
          <w:tcPr>
            <w:tcW w:w="278" w:type="pct"/>
            <w:shd w:val="clear" w:color="auto" w:fill="auto"/>
          </w:tcPr>
          <w:p w:rsidR="00151FBC" w:rsidRPr="00E92067" w:rsidRDefault="00151FBC" w:rsidP="00151FBC">
            <w:pPr>
              <w:pStyle w:val="Tabletext"/>
              <w:jc w:val="center"/>
              <w:rPr>
                <w:lang w:val="en-US"/>
              </w:rPr>
            </w:pPr>
            <w:r w:rsidRPr="00E92067">
              <w:rPr>
                <w:lang w:val="en-US"/>
              </w:rPr>
              <w:t>287</w:t>
            </w:r>
          </w:p>
        </w:tc>
        <w:tc>
          <w:tcPr>
            <w:tcW w:w="599" w:type="pct"/>
            <w:shd w:val="clear" w:color="auto" w:fill="auto"/>
          </w:tcPr>
          <w:p w:rsidR="00151FBC" w:rsidRPr="00E92067" w:rsidRDefault="00151FBC" w:rsidP="00151FBC">
            <w:pPr>
              <w:pStyle w:val="Tabletext"/>
              <w:rPr>
                <w:lang w:val="en-US"/>
              </w:rPr>
            </w:pPr>
            <w:r w:rsidRPr="00E92067">
              <w:rPr>
                <w:shd w:val="clear" w:color="auto" w:fill="FFFFFF"/>
              </w:rPr>
              <w:t>Retrospective historical cohort</w:t>
            </w:r>
          </w:p>
        </w:tc>
        <w:tc>
          <w:tcPr>
            <w:tcW w:w="351" w:type="pct"/>
            <w:shd w:val="clear" w:color="auto" w:fill="auto"/>
          </w:tcPr>
          <w:p w:rsidR="00151FBC" w:rsidRPr="00E92067" w:rsidRDefault="00151FBC" w:rsidP="00151FBC">
            <w:pPr>
              <w:pStyle w:val="Tabletext"/>
              <w:jc w:val="center"/>
              <w:rPr>
                <w:lang w:val="en-US"/>
              </w:rPr>
            </w:pPr>
            <w:r w:rsidRPr="00E92067">
              <w:rPr>
                <w:lang w:val="en-US"/>
              </w:rPr>
              <w:t>High</w:t>
            </w:r>
          </w:p>
        </w:tc>
        <w:tc>
          <w:tcPr>
            <w:tcW w:w="969" w:type="pct"/>
          </w:tcPr>
          <w:p w:rsidR="00151FBC" w:rsidRPr="00E92067" w:rsidRDefault="00151FBC" w:rsidP="00151FBC">
            <w:pPr>
              <w:pStyle w:val="TableText0"/>
              <w:spacing w:before="0" w:after="0"/>
            </w:pPr>
            <w:r w:rsidRPr="00E92067">
              <w:t>Non-interventional,</w:t>
            </w:r>
          </w:p>
          <w:p w:rsidR="00151FBC" w:rsidRPr="00E92067" w:rsidRDefault="00151FBC" w:rsidP="00151FBC">
            <w:pPr>
              <w:pStyle w:val="TableText0"/>
              <w:spacing w:before="0" w:after="0"/>
            </w:pPr>
            <w:r w:rsidRPr="00E92067">
              <w:t>Standard-of-care treatment as per site study protocols.</w:t>
            </w:r>
          </w:p>
        </w:tc>
        <w:tc>
          <w:tcPr>
            <w:tcW w:w="879" w:type="pct"/>
            <w:shd w:val="clear" w:color="auto" w:fill="auto"/>
          </w:tcPr>
          <w:p w:rsidR="00151FBC" w:rsidRPr="00E92067" w:rsidRDefault="00151FBC" w:rsidP="00151FBC">
            <w:pPr>
              <w:pStyle w:val="TableText0"/>
              <w:spacing w:before="0" w:after="0"/>
            </w:pPr>
            <w:r w:rsidRPr="00E92067">
              <w:t>Ph- B-ALL ≥15 y</w:t>
            </w:r>
            <w:r w:rsidR="00B1674C" w:rsidRPr="00E92067">
              <w:t>ea</w:t>
            </w:r>
            <w:r w:rsidRPr="00E92067">
              <w:t>rs,</w:t>
            </w:r>
          </w:p>
          <w:p w:rsidR="00151FBC" w:rsidRPr="00E92067" w:rsidRDefault="00151FBC" w:rsidP="00151FBC">
            <w:pPr>
              <w:pStyle w:val="Tabletext"/>
            </w:pPr>
            <w:r w:rsidRPr="00E92067">
              <w:t>Haematological complete remission,</w:t>
            </w:r>
          </w:p>
          <w:p w:rsidR="00151FBC" w:rsidRPr="00E92067" w:rsidRDefault="00151FBC" w:rsidP="00151FBC">
            <w:pPr>
              <w:pStyle w:val="Tabletext"/>
            </w:pPr>
            <w:r w:rsidRPr="00E92067">
              <w:t>MRD ≥10</w:t>
            </w:r>
            <w:r w:rsidRPr="00E92067">
              <w:rPr>
                <w:vertAlign w:val="superscript"/>
              </w:rPr>
              <w:t>-4</w:t>
            </w:r>
            <w:r w:rsidRPr="00E92067">
              <w:t xml:space="preserve"> by PCR or ≥10</w:t>
            </w:r>
            <w:r w:rsidRPr="00E92067">
              <w:rPr>
                <w:vertAlign w:val="superscript"/>
              </w:rPr>
              <w:t>-3</w:t>
            </w:r>
            <w:r w:rsidRPr="00E92067">
              <w:t xml:space="preserve"> by flow cytometry.</w:t>
            </w:r>
          </w:p>
        </w:tc>
        <w:tc>
          <w:tcPr>
            <w:tcW w:w="879" w:type="pct"/>
            <w:shd w:val="clear" w:color="auto" w:fill="auto"/>
          </w:tcPr>
          <w:p w:rsidR="00151FBC" w:rsidRPr="00E92067" w:rsidRDefault="00151FBC" w:rsidP="00151FBC">
            <w:pPr>
              <w:pStyle w:val="TableText0"/>
              <w:spacing w:before="0" w:after="0"/>
            </w:pPr>
            <w:r w:rsidRPr="00E92067">
              <w:t>Haematological RFS</w:t>
            </w:r>
            <w:r w:rsidR="00B1674C" w:rsidRPr="00E92067">
              <w:t>, o</w:t>
            </w:r>
            <w:r w:rsidRPr="00E92067">
              <w:t>verall survival from MRD detection,</w:t>
            </w:r>
          </w:p>
          <w:p w:rsidR="00151FBC" w:rsidRPr="00E92067" w:rsidRDefault="00151FBC" w:rsidP="00B1674C">
            <w:pPr>
              <w:pStyle w:val="TableText0"/>
              <w:spacing w:before="0" w:after="0"/>
            </w:pPr>
            <w:r w:rsidRPr="00E92067">
              <w:t>100-day mortality after alloHSCT,</w:t>
            </w:r>
          </w:p>
        </w:tc>
        <w:tc>
          <w:tcPr>
            <w:tcW w:w="517" w:type="pct"/>
            <w:shd w:val="clear" w:color="auto" w:fill="auto"/>
          </w:tcPr>
          <w:p w:rsidR="00151FBC" w:rsidRPr="00E92067" w:rsidRDefault="00151FBC" w:rsidP="00380B12">
            <w:pPr>
              <w:pStyle w:val="Tabletext"/>
              <w:rPr>
                <w:lang w:val="en-US"/>
              </w:rPr>
            </w:pPr>
            <w:r w:rsidRPr="00E92067">
              <w:rPr>
                <w:lang w:val="en-US"/>
              </w:rPr>
              <w:t xml:space="preserve">Propensity score-adjusted </w:t>
            </w:r>
            <w:r w:rsidR="003E6FE5" w:rsidRPr="00E92067">
              <w:rPr>
                <w:lang w:val="en-US"/>
              </w:rPr>
              <w:t xml:space="preserve">survival curve </w:t>
            </w:r>
            <w:r w:rsidR="003E6FE5" w:rsidRPr="00723F01">
              <w:rPr>
                <w:lang w:val="en-US"/>
              </w:rPr>
              <w:t xml:space="preserve">(ATT </w:t>
            </w:r>
            <w:r w:rsidR="00380B12" w:rsidRPr="00723F01">
              <w:rPr>
                <w:lang w:val="en-US"/>
              </w:rPr>
              <w:t>in base case</w:t>
            </w:r>
            <w:r w:rsidR="003E6FE5" w:rsidRPr="00723F01">
              <w:rPr>
                <w:lang w:val="en-US"/>
              </w:rPr>
              <w:t>)</w:t>
            </w:r>
          </w:p>
        </w:tc>
      </w:tr>
    </w:tbl>
    <w:p w:rsidR="00151FBC" w:rsidRPr="00E92067" w:rsidRDefault="00151FBC" w:rsidP="00151FBC">
      <w:pPr>
        <w:pStyle w:val="TableFooter"/>
        <w:rPr>
          <w:sz w:val="20"/>
        </w:rPr>
      </w:pPr>
      <w:r w:rsidRPr="00E92067">
        <w:t>Source: Table 23, p.31 of the submission.</w:t>
      </w:r>
    </w:p>
    <w:p w:rsidR="00151FBC" w:rsidRPr="00E92067" w:rsidRDefault="00151FBC" w:rsidP="00151FBC">
      <w:pPr>
        <w:pStyle w:val="TableFooter"/>
      </w:pPr>
      <w:r w:rsidRPr="00E92067">
        <w:t xml:space="preserve">Abbreviations: alloHSCT, allogeneic haematopoietic stem cell transplantation; </w:t>
      </w:r>
      <w:r w:rsidR="00FB70DB" w:rsidRPr="00E92067">
        <w:t>ATE</w:t>
      </w:r>
      <w:r w:rsidR="00775E12" w:rsidRPr="00E92067">
        <w:t>,</w:t>
      </w:r>
      <w:r w:rsidR="00FB70DB" w:rsidRPr="00E92067">
        <w:t xml:space="preserve"> average treatment effects; </w:t>
      </w:r>
      <w:r w:rsidR="006C62AC" w:rsidRPr="00E92067">
        <w:t>ATT</w:t>
      </w:r>
      <w:r w:rsidR="00775E12" w:rsidRPr="00E92067">
        <w:t>,</w:t>
      </w:r>
      <w:r w:rsidR="006C62AC" w:rsidRPr="00E92067">
        <w:t xml:space="preserve"> average treatment effect of the treated weights; </w:t>
      </w:r>
      <w:r w:rsidRPr="00E92067">
        <w:t xml:space="preserve">B-ALL, B-cell precursor acute lymphoblastic leukaemia; ECOG, Eastern Cooperative Oncology Group; MRD, minimal residual disease; Ph-, Philadelphia chromosome negative; </w:t>
      </w:r>
      <w:r w:rsidRPr="00E92067">
        <w:rPr>
          <w:szCs w:val="16"/>
          <w:lang w:eastAsia="en-AU"/>
        </w:rPr>
        <w:t xml:space="preserve">PCR, Polymerase chain reaction; </w:t>
      </w:r>
      <w:r w:rsidRPr="00E92067">
        <w:t>RFS, relapse free survival.</w:t>
      </w:r>
    </w:p>
    <w:p w:rsidR="00151FBC" w:rsidRPr="00E92067" w:rsidRDefault="00151FBC" w:rsidP="004C14D7">
      <w:pPr>
        <w:widowControl/>
        <w:rPr>
          <w:szCs w:val="20"/>
        </w:rPr>
      </w:pPr>
    </w:p>
    <w:p w:rsidR="004C14D7" w:rsidRDefault="004C14D7" w:rsidP="001613D3">
      <w:pPr>
        <w:pStyle w:val="ListParagraph"/>
        <w:widowControl/>
        <w:numPr>
          <w:ilvl w:val="1"/>
          <w:numId w:val="2"/>
        </w:numPr>
        <w:rPr>
          <w:szCs w:val="20"/>
        </w:rPr>
      </w:pPr>
      <w:r w:rsidRPr="00E92067">
        <w:rPr>
          <w:szCs w:val="20"/>
        </w:rPr>
        <w:t>Both blinatumomab studies presented in the submission included adult patients only. No data were presented to support the use of blinatumomab in paediatric and adolescent p</w:t>
      </w:r>
      <w:r w:rsidR="00FB3D07">
        <w:rPr>
          <w:szCs w:val="20"/>
        </w:rPr>
        <w:t>atient</w:t>
      </w:r>
      <w:r w:rsidRPr="00E92067">
        <w:rPr>
          <w:szCs w:val="20"/>
        </w:rPr>
        <w:t xml:space="preserve">s, who </w:t>
      </w:r>
      <w:r w:rsidR="00FB3D07" w:rsidRPr="00FB3D07">
        <w:rPr>
          <w:szCs w:val="20"/>
        </w:rPr>
        <w:t>would be</w:t>
      </w:r>
      <w:r w:rsidR="00FB3D07">
        <w:rPr>
          <w:i/>
          <w:szCs w:val="20"/>
        </w:rPr>
        <w:t xml:space="preserve"> </w:t>
      </w:r>
      <w:r w:rsidRPr="00E92067">
        <w:rPr>
          <w:szCs w:val="20"/>
        </w:rPr>
        <w:t xml:space="preserve">eligible for blinatumomab under the requested restriction. </w:t>
      </w:r>
      <w:r w:rsidR="00775E12" w:rsidRPr="00E92067">
        <w:rPr>
          <w:szCs w:val="20"/>
        </w:rPr>
        <w:t>Further, t</w:t>
      </w:r>
      <w:r w:rsidRPr="00E92067">
        <w:rPr>
          <w:szCs w:val="20"/>
        </w:rPr>
        <w:t>he product information does not provide guidance on dosing of paediatric patients with MRD (i.e. patients &lt;45 kg).</w:t>
      </w:r>
      <w:r w:rsidR="00E57649" w:rsidRPr="00E92067">
        <w:rPr>
          <w:szCs w:val="20"/>
        </w:rPr>
        <w:t xml:space="preserve"> The 20120148 study (historical control) excluded Philadelphia positive patients and patients exposed to blinatumomab with</w:t>
      </w:r>
      <w:r w:rsidR="00775E12" w:rsidRPr="00E92067">
        <w:rPr>
          <w:szCs w:val="20"/>
        </w:rPr>
        <w:t>in</w:t>
      </w:r>
      <w:r w:rsidR="00E57649" w:rsidRPr="00E92067">
        <w:rPr>
          <w:szCs w:val="20"/>
        </w:rPr>
        <w:t xml:space="preserve"> the prior 18 months. </w:t>
      </w:r>
    </w:p>
    <w:p w:rsidR="00B223D0" w:rsidRPr="00E92067" w:rsidRDefault="00B223D0" w:rsidP="00F90AE1">
      <w:pPr>
        <w:pStyle w:val="ListParagraph"/>
        <w:widowControl/>
        <w:numPr>
          <w:ilvl w:val="1"/>
          <w:numId w:val="2"/>
        </w:numPr>
        <w:rPr>
          <w:szCs w:val="20"/>
        </w:rPr>
      </w:pPr>
      <w:r>
        <w:rPr>
          <w:szCs w:val="20"/>
        </w:rPr>
        <w:t>The PBAC also noted that the blinatumomab dose used in the studies differed to that</w:t>
      </w:r>
      <w:r w:rsidR="00F90AE1">
        <w:rPr>
          <w:szCs w:val="20"/>
        </w:rPr>
        <w:t xml:space="preserve"> requested </w:t>
      </w:r>
      <w:r>
        <w:rPr>
          <w:szCs w:val="20"/>
        </w:rPr>
        <w:t>for PBS</w:t>
      </w:r>
      <w:r w:rsidR="00F90AE1">
        <w:rPr>
          <w:szCs w:val="20"/>
        </w:rPr>
        <w:t>-</w:t>
      </w:r>
      <w:r>
        <w:rPr>
          <w:szCs w:val="20"/>
        </w:rPr>
        <w:t xml:space="preserve">listing (15 </w:t>
      </w:r>
      <w:r w:rsidRPr="00E92067">
        <w:t>mcg/m</w:t>
      </w:r>
      <w:r w:rsidRPr="00E92067">
        <w:rPr>
          <w:vertAlign w:val="superscript"/>
        </w:rPr>
        <w:t>2</w:t>
      </w:r>
      <w:r w:rsidRPr="00E92067">
        <w:t xml:space="preserve">/day </w:t>
      </w:r>
      <w:r>
        <w:t xml:space="preserve">in </w:t>
      </w:r>
      <w:r w:rsidR="00F00B32">
        <w:t>BLAST</w:t>
      </w:r>
      <w:r>
        <w:t xml:space="preserve"> versus</w:t>
      </w:r>
      <w:r>
        <w:rPr>
          <w:szCs w:val="20"/>
        </w:rPr>
        <w:t xml:space="preserve"> a </w:t>
      </w:r>
      <w:r w:rsidR="00F90AE1">
        <w:rPr>
          <w:szCs w:val="20"/>
        </w:rPr>
        <w:t>fixed dose of 28 </w:t>
      </w:r>
      <w:r>
        <w:rPr>
          <w:szCs w:val="20"/>
        </w:rPr>
        <w:t>µg</w:t>
      </w:r>
      <w:r w:rsidR="00F90AE1">
        <w:rPr>
          <w:szCs w:val="20"/>
        </w:rPr>
        <w:t>/day requested</w:t>
      </w:r>
      <w:r>
        <w:rPr>
          <w:szCs w:val="20"/>
        </w:rPr>
        <w:t>).</w:t>
      </w:r>
      <w:r w:rsidR="00F90AE1">
        <w:rPr>
          <w:szCs w:val="20"/>
        </w:rPr>
        <w:t xml:space="preserve"> Further, the PBAC noted that the </w:t>
      </w:r>
      <w:r w:rsidR="00F90AE1" w:rsidRPr="00F90AE1">
        <w:rPr>
          <w:szCs w:val="20"/>
        </w:rPr>
        <w:t>recommended duration of hospitalisation for the first cycle differed</w:t>
      </w:r>
      <w:r w:rsidR="00F90AE1">
        <w:rPr>
          <w:szCs w:val="20"/>
        </w:rPr>
        <w:t xml:space="preserve"> </w:t>
      </w:r>
      <w:r w:rsidR="003C75C7">
        <w:rPr>
          <w:szCs w:val="20"/>
        </w:rPr>
        <w:t>from</w:t>
      </w:r>
      <w:r w:rsidR="00F90AE1" w:rsidRPr="00F90AE1">
        <w:rPr>
          <w:szCs w:val="20"/>
        </w:rPr>
        <w:t xml:space="preserve"> that </w:t>
      </w:r>
      <w:r w:rsidR="00F90AE1">
        <w:rPr>
          <w:szCs w:val="20"/>
        </w:rPr>
        <w:t xml:space="preserve">recommended in the </w:t>
      </w:r>
      <w:r w:rsidR="00F90AE1" w:rsidRPr="00F90AE1">
        <w:rPr>
          <w:szCs w:val="20"/>
        </w:rPr>
        <w:t xml:space="preserve">relapsed/refractory </w:t>
      </w:r>
      <w:r w:rsidR="00F90AE1">
        <w:rPr>
          <w:szCs w:val="20"/>
        </w:rPr>
        <w:t>Ph</w:t>
      </w:r>
      <w:r w:rsidR="00F90AE1" w:rsidRPr="00F90AE1">
        <w:rPr>
          <w:szCs w:val="20"/>
        </w:rPr>
        <w:t>–</w:t>
      </w:r>
      <w:r w:rsidR="00F90AE1">
        <w:rPr>
          <w:szCs w:val="20"/>
        </w:rPr>
        <w:t xml:space="preserve"> setting,</w:t>
      </w:r>
      <w:r w:rsidR="00F90AE1" w:rsidRPr="00F90AE1">
        <w:rPr>
          <w:szCs w:val="20"/>
        </w:rPr>
        <w:t xml:space="preserve"> </w:t>
      </w:r>
      <w:r w:rsidR="00F90AE1">
        <w:rPr>
          <w:szCs w:val="20"/>
        </w:rPr>
        <w:t xml:space="preserve">and considered that the basis that this difference was not clear. </w:t>
      </w:r>
    </w:p>
    <w:p w:rsidR="00FB3D07" w:rsidRDefault="00151FBC" w:rsidP="001613D3">
      <w:pPr>
        <w:pStyle w:val="ListParagraph"/>
        <w:widowControl/>
        <w:numPr>
          <w:ilvl w:val="1"/>
          <w:numId w:val="2"/>
        </w:numPr>
        <w:rPr>
          <w:szCs w:val="20"/>
        </w:rPr>
      </w:pPr>
      <w:r w:rsidRPr="00616731">
        <w:rPr>
          <w:szCs w:val="20"/>
        </w:rPr>
        <w:t xml:space="preserve">There were substantial differences between the study populations of the </w:t>
      </w:r>
      <w:r w:rsidR="0094687D" w:rsidRPr="00616731">
        <w:rPr>
          <w:szCs w:val="20"/>
        </w:rPr>
        <w:t xml:space="preserve">two studies compared in the propensity score </w:t>
      </w:r>
      <w:r w:rsidR="00C770F3" w:rsidRPr="00616731">
        <w:rPr>
          <w:szCs w:val="20"/>
        </w:rPr>
        <w:t xml:space="preserve">indirect </w:t>
      </w:r>
      <w:r w:rsidR="0094687D" w:rsidRPr="00616731">
        <w:rPr>
          <w:szCs w:val="20"/>
        </w:rPr>
        <w:t xml:space="preserve">analysis: the </w:t>
      </w:r>
      <w:r w:rsidRPr="00616731">
        <w:rPr>
          <w:szCs w:val="20"/>
        </w:rPr>
        <w:t xml:space="preserve">BLAST and 20120148 studies. Patients in the BLAST study </w:t>
      </w:r>
      <w:r w:rsidR="0094687D" w:rsidRPr="00616731">
        <w:rPr>
          <w:szCs w:val="20"/>
        </w:rPr>
        <w:t xml:space="preserve">(of blinatumomab) </w:t>
      </w:r>
      <w:r w:rsidRPr="00616731">
        <w:rPr>
          <w:szCs w:val="20"/>
        </w:rPr>
        <w:t>were older (46 years at screening vs 34 years at diagnosis), reported shorter mean time from diagnosis (6 months vs 20 months) and were more likely to be in second or third remissions (35.3% vs 1%) compared to Study 20120148</w:t>
      </w:r>
      <w:r w:rsidR="0094687D" w:rsidRPr="00616731">
        <w:rPr>
          <w:szCs w:val="20"/>
        </w:rPr>
        <w:t xml:space="preserve"> (historical control)</w:t>
      </w:r>
      <w:r w:rsidRPr="00616731">
        <w:rPr>
          <w:szCs w:val="20"/>
        </w:rPr>
        <w:t xml:space="preserve">. </w:t>
      </w:r>
      <w:r w:rsidR="00B1674C" w:rsidRPr="00616731">
        <w:rPr>
          <w:szCs w:val="20"/>
        </w:rPr>
        <w:t>There were differences between study inclusion criteria in terms of age (≥18 years in BLAST, ≥15 years in Study 20120148) and MRD assessment threshold (≥10</w:t>
      </w:r>
      <w:r w:rsidR="00B1674C" w:rsidRPr="00280437">
        <w:rPr>
          <w:szCs w:val="20"/>
          <w:vertAlign w:val="superscript"/>
        </w:rPr>
        <w:t>-3</w:t>
      </w:r>
      <w:r w:rsidR="00B1674C" w:rsidRPr="00616731">
        <w:rPr>
          <w:szCs w:val="20"/>
        </w:rPr>
        <w:t xml:space="preserve"> or ≥10</w:t>
      </w:r>
      <w:r w:rsidR="00B1674C" w:rsidRPr="00280437">
        <w:rPr>
          <w:szCs w:val="20"/>
          <w:vertAlign w:val="superscript"/>
        </w:rPr>
        <w:t>-4</w:t>
      </w:r>
      <w:r w:rsidR="00B1674C" w:rsidRPr="00616731">
        <w:rPr>
          <w:szCs w:val="20"/>
        </w:rPr>
        <w:t xml:space="preserve"> in bone marrow detected by PCR or flow cytometry</w:t>
      </w:r>
      <w:r w:rsidR="00B1674C" w:rsidRPr="00723F01">
        <w:rPr>
          <w:szCs w:val="20"/>
        </w:rPr>
        <w:t>).</w:t>
      </w:r>
      <w:r w:rsidR="00B1674C" w:rsidRPr="00616731">
        <w:rPr>
          <w:szCs w:val="20"/>
        </w:rPr>
        <w:t xml:space="preserve"> </w:t>
      </w:r>
    </w:p>
    <w:p w:rsidR="00151FBC" w:rsidRPr="00E92067" w:rsidRDefault="00B1674C" w:rsidP="001613D3">
      <w:pPr>
        <w:pStyle w:val="ListParagraph"/>
        <w:widowControl/>
        <w:numPr>
          <w:ilvl w:val="1"/>
          <w:numId w:val="2"/>
        </w:numPr>
        <w:rPr>
          <w:szCs w:val="20"/>
        </w:rPr>
      </w:pPr>
      <w:r w:rsidRPr="00E92067">
        <w:rPr>
          <w:szCs w:val="20"/>
        </w:rPr>
        <w:t>In addition, most patients in Study 20120148 (89.5%) were assessed for MRD and treated between 2000-2010, while patients in the BLAST study were assessed and treated after 2010.</w:t>
      </w:r>
      <w:r w:rsidR="003F3F02" w:rsidRPr="00E92067">
        <w:rPr>
          <w:szCs w:val="20"/>
        </w:rPr>
        <w:t xml:space="preserve"> Age, relapse history, and MRD level are known prognostic factors </w:t>
      </w:r>
      <w:r w:rsidR="003F020C">
        <w:rPr>
          <w:szCs w:val="20"/>
        </w:rPr>
        <w:t>that</w:t>
      </w:r>
      <w:r w:rsidR="003F3F02" w:rsidRPr="00E92067">
        <w:rPr>
          <w:szCs w:val="20"/>
        </w:rPr>
        <w:t xml:space="preserve"> affect patient outcomes and </w:t>
      </w:r>
      <w:r w:rsidR="000D06EA">
        <w:rPr>
          <w:szCs w:val="20"/>
        </w:rPr>
        <w:t xml:space="preserve">the </w:t>
      </w:r>
      <w:r w:rsidR="003F3F02" w:rsidRPr="00E92067">
        <w:rPr>
          <w:szCs w:val="20"/>
        </w:rPr>
        <w:t>absolute treatment effect</w:t>
      </w:r>
      <w:r w:rsidR="000D06EA">
        <w:rPr>
          <w:szCs w:val="20"/>
        </w:rPr>
        <w:t xml:space="preserve"> of blinatumomab</w:t>
      </w:r>
      <w:r w:rsidR="003F3F02" w:rsidRPr="00E92067">
        <w:rPr>
          <w:szCs w:val="20"/>
        </w:rPr>
        <w:t>. While the selection of patients for the indirect analysis and propensity score adjustments lead to better matching of patient characteristics</w:t>
      </w:r>
      <w:r w:rsidR="00590FDE" w:rsidRPr="00E92067">
        <w:rPr>
          <w:szCs w:val="20"/>
        </w:rPr>
        <w:t xml:space="preserve"> between studies</w:t>
      </w:r>
      <w:r w:rsidR="003F3F02" w:rsidRPr="00E92067">
        <w:rPr>
          <w:szCs w:val="20"/>
        </w:rPr>
        <w:t xml:space="preserve">, </w:t>
      </w:r>
      <w:r w:rsidR="002A69E3">
        <w:rPr>
          <w:szCs w:val="20"/>
        </w:rPr>
        <w:t xml:space="preserve">the evaluation and the PBAC considered that </w:t>
      </w:r>
      <w:r w:rsidR="003F3F02" w:rsidRPr="00E92067">
        <w:rPr>
          <w:szCs w:val="20"/>
        </w:rPr>
        <w:t xml:space="preserve">it may have reduced the applicability of results </w:t>
      </w:r>
      <w:r w:rsidR="003F3F02" w:rsidRPr="00723F01">
        <w:rPr>
          <w:szCs w:val="20"/>
        </w:rPr>
        <w:t xml:space="preserve">to the </w:t>
      </w:r>
      <w:r w:rsidR="00EC7AC4" w:rsidRPr="00723F01">
        <w:rPr>
          <w:szCs w:val="20"/>
        </w:rPr>
        <w:t>proposed PBS population</w:t>
      </w:r>
      <w:r w:rsidR="00EC7AC4">
        <w:rPr>
          <w:szCs w:val="20"/>
        </w:rPr>
        <w:t xml:space="preserve">. </w:t>
      </w:r>
    </w:p>
    <w:p w:rsidR="00E87EB4" w:rsidRDefault="006824A3" w:rsidP="00C71AF1">
      <w:pPr>
        <w:pStyle w:val="ListParagraph"/>
        <w:widowControl/>
        <w:numPr>
          <w:ilvl w:val="1"/>
          <w:numId w:val="2"/>
        </w:numPr>
      </w:pPr>
      <w:r w:rsidRPr="00E87EB4">
        <w:rPr>
          <w:szCs w:val="20"/>
        </w:rPr>
        <w:t>Chemotherapy regimens used in Study 20120148 were poorly reported, and were described in the submission as standard of care chemotherapy regimens consistent with protocols and practice by site, at the time of administration (GMALL, GIMEMA, GRAALL, PETHEMA, UKALL, NILG). Treatment regimens were not described in the submission and therefore the chemotherapy regimens used in Study 20120148 (historical control) are unknown.</w:t>
      </w:r>
      <w:r w:rsidRPr="00E92067">
        <w:t xml:space="preserve"> </w:t>
      </w:r>
      <w:r w:rsidR="00A32062" w:rsidRPr="00723F01">
        <w:t>T</w:t>
      </w:r>
      <w:r w:rsidR="00EB0F24" w:rsidRPr="00723F01">
        <w:t xml:space="preserve">he PSCR </w:t>
      </w:r>
      <w:r w:rsidR="00EC7AC4" w:rsidRPr="00723F01">
        <w:t>sta</w:t>
      </w:r>
      <w:r w:rsidR="00EB0F24" w:rsidRPr="00723F01">
        <w:t>te</w:t>
      </w:r>
      <w:r w:rsidR="009A70F5" w:rsidRPr="00723F01">
        <w:t>d</w:t>
      </w:r>
      <w:r w:rsidR="00EB0F24" w:rsidRPr="00723F01">
        <w:t xml:space="preserve"> that survival outcomes are unlikely to have improved since Study 20120148</w:t>
      </w:r>
      <w:r w:rsidR="00EC7AC4" w:rsidRPr="00723F01">
        <w:t xml:space="preserve"> was conducted</w:t>
      </w:r>
      <w:r w:rsidR="00A32062" w:rsidRPr="00723F01">
        <w:t xml:space="preserve"> (2000 to 2010) as MRD represents disease that is insensitive to the multi-agent therapy used for induction and/or consolidation.</w:t>
      </w:r>
      <w:r w:rsidR="00EB0F24" w:rsidRPr="00723F01">
        <w:t xml:space="preserve"> </w:t>
      </w:r>
      <w:r w:rsidR="00A32062" w:rsidRPr="00723F01">
        <w:t xml:space="preserve">However, </w:t>
      </w:r>
      <w:r w:rsidR="00EC7AC4" w:rsidRPr="00723F01">
        <w:t xml:space="preserve">the ESC </w:t>
      </w:r>
      <w:r w:rsidR="00A32062" w:rsidRPr="00723F01">
        <w:t>noted</w:t>
      </w:r>
      <w:r w:rsidR="00EC7AC4" w:rsidRPr="00723F01">
        <w:t xml:space="preserve"> that</w:t>
      </w:r>
      <w:r w:rsidR="00EC7AC4" w:rsidRPr="00E87EB4">
        <w:rPr>
          <w:i/>
        </w:rPr>
        <w:t xml:space="preserve"> </w:t>
      </w:r>
      <w:r w:rsidR="00EB0F24" w:rsidRPr="00062F9F">
        <w:t>i</w:t>
      </w:r>
      <w:r w:rsidR="00E57649" w:rsidRPr="00062F9F">
        <w:t xml:space="preserve">mprovements </w:t>
      </w:r>
      <w:r w:rsidR="00A32062" w:rsidRPr="00062F9F">
        <w:t xml:space="preserve">have been reported </w:t>
      </w:r>
      <w:r w:rsidR="00E57649" w:rsidRPr="00062F9F">
        <w:t xml:space="preserve">in chemotherapy regimens and disease management for B-ALL patients </w:t>
      </w:r>
      <w:r w:rsidR="00A32062" w:rsidRPr="00062F9F">
        <w:t xml:space="preserve">since 2000 </w:t>
      </w:r>
      <w:r w:rsidR="00E57649" w:rsidRPr="00062F9F">
        <w:t xml:space="preserve">(Pulte et al. 2013; Ma et al. 2014), </w:t>
      </w:r>
      <w:r w:rsidR="00A32062" w:rsidRPr="00062F9F">
        <w:t xml:space="preserve">and considered that this may confound </w:t>
      </w:r>
      <w:r w:rsidR="00E57649" w:rsidRPr="00062F9F">
        <w:t>survival outcomes between the BLAST and 20120148 studies</w:t>
      </w:r>
      <w:r w:rsidR="00A32062" w:rsidRPr="00062F9F">
        <w:t>.</w:t>
      </w:r>
      <w:r w:rsidR="00E2081B" w:rsidRPr="00062F9F">
        <w:t xml:space="preserve"> </w:t>
      </w:r>
      <w:r w:rsidR="00392B6E">
        <w:t>The pre-PBAC res</w:t>
      </w:r>
      <w:r w:rsidR="00600987">
        <w:t xml:space="preserve">ponse </w:t>
      </w:r>
      <w:r w:rsidR="00392B6E">
        <w:t>considered that the studies referred to by</w:t>
      </w:r>
      <w:r w:rsidR="00E87EB4">
        <w:t xml:space="preserve"> the</w:t>
      </w:r>
      <w:r w:rsidR="00392B6E">
        <w:t xml:space="preserve"> ESC, Pulte and Ma, might not be applicable as they were </w:t>
      </w:r>
      <w:r w:rsidR="002A69E3">
        <w:t>based on</w:t>
      </w:r>
      <w:r w:rsidR="00392B6E">
        <w:t xml:space="preserve"> male patients and children (aged 0-14 years), respectively. </w:t>
      </w:r>
    </w:p>
    <w:p w:rsidR="00E87EB4" w:rsidRDefault="00600987" w:rsidP="00C71AF1">
      <w:pPr>
        <w:pStyle w:val="ListParagraph"/>
        <w:widowControl/>
        <w:numPr>
          <w:ilvl w:val="1"/>
          <w:numId w:val="2"/>
        </w:numPr>
      </w:pPr>
      <w:r>
        <w:t xml:space="preserve">The pre-PBAC response </w:t>
      </w:r>
      <w:r w:rsidR="00C71AF1">
        <w:t xml:space="preserve">stated that </w:t>
      </w:r>
      <w:r w:rsidR="00C71AF1" w:rsidRPr="00F74173">
        <w:rPr>
          <w:szCs w:val="20"/>
        </w:rPr>
        <w:t xml:space="preserve">Study 20120148 </w:t>
      </w:r>
      <w:r w:rsidR="00C71AF1" w:rsidRPr="00C71AF1">
        <w:t xml:space="preserve">is the only large scale observational study </w:t>
      </w:r>
      <w:r w:rsidR="00F74173">
        <w:t xml:space="preserve">that has reported </w:t>
      </w:r>
      <w:r w:rsidR="00C71AF1" w:rsidRPr="00C71AF1">
        <w:t>outcomes in this patient population</w:t>
      </w:r>
      <w:r w:rsidR="00C71AF1">
        <w:t xml:space="preserve">, and that patients </w:t>
      </w:r>
      <w:r w:rsidR="00C71AF1" w:rsidRPr="00C71AF1">
        <w:t>in the study had received at least three intense blocks of age</w:t>
      </w:r>
      <w:r w:rsidR="00E87EB4">
        <w:t>-</w:t>
      </w:r>
      <w:r w:rsidR="00C71AF1" w:rsidRPr="00C71AF1">
        <w:t>appropriate standard or investigational chemotherapy regimens</w:t>
      </w:r>
      <w:r w:rsidR="00C71AF1">
        <w:t>.</w:t>
      </w:r>
      <w:r w:rsidR="00C71AF1" w:rsidRPr="00C71AF1">
        <w:t xml:space="preserve"> </w:t>
      </w:r>
      <w:r w:rsidR="00F74173">
        <w:t>Further</w:t>
      </w:r>
      <w:r w:rsidR="00832097">
        <w:t xml:space="preserve">, </w:t>
      </w:r>
      <w:r w:rsidR="00392B6E">
        <w:t>t</w:t>
      </w:r>
      <w:r w:rsidR="00F74173">
        <w:t xml:space="preserve">he pre-PBAC response </w:t>
      </w:r>
      <w:r w:rsidR="00392B6E">
        <w:t>stated t</w:t>
      </w:r>
      <w:r w:rsidR="00C24584">
        <w:t xml:space="preserve">hat 65.5% of patients in the historic control study had their initial ALL diagnosis in 2005 or later, and 10.5% of patients were diagnosed post-2010. </w:t>
      </w:r>
      <w:r w:rsidR="0000645F">
        <w:t>The PBAC</w:t>
      </w:r>
      <w:r w:rsidR="00F74173">
        <w:t xml:space="preserve"> considered that</w:t>
      </w:r>
      <w:r w:rsidR="002A69E3">
        <w:t>,</w:t>
      </w:r>
      <w:r w:rsidR="00F74173">
        <w:t xml:space="preserve"> </w:t>
      </w:r>
      <w:r w:rsidR="00392B6E">
        <w:t xml:space="preserve">as </w:t>
      </w:r>
      <w:r w:rsidR="006644A1">
        <w:t xml:space="preserve">the majority of </w:t>
      </w:r>
      <w:r w:rsidR="00392B6E">
        <w:t xml:space="preserve">patients were treated more than </w:t>
      </w:r>
      <w:r w:rsidR="006644A1">
        <w:t>a decade ago</w:t>
      </w:r>
      <w:r w:rsidR="002A69E3">
        <w:t>,</w:t>
      </w:r>
      <w:r w:rsidR="006644A1">
        <w:t xml:space="preserve"> </w:t>
      </w:r>
      <w:r w:rsidR="00392B6E">
        <w:t xml:space="preserve">the regimens may not reflect current practice </w:t>
      </w:r>
      <w:r w:rsidR="006644A1">
        <w:t xml:space="preserve">and that </w:t>
      </w:r>
      <w:r w:rsidR="00392B6E">
        <w:t xml:space="preserve">differences in </w:t>
      </w:r>
      <w:r w:rsidR="006644A1">
        <w:t xml:space="preserve">chemotherapy regimens and disease management </w:t>
      </w:r>
      <w:r w:rsidR="00392B6E">
        <w:t>may</w:t>
      </w:r>
      <w:r w:rsidR="006644A1">
        <w:t xml:space="preserve"> account for some of the differences </w:t>
      </w:r>
      <w:r w:rsidR="00392B6E">
        <w:t xml:space="preserve">in outcomes observed </w:t>
      </w:r>
      <w:r w:rsidR="006644A1">
        <w:t xml:space="preserve">between BLAST and the historical control study. </w:t>
      </w:r>
    </w:p>
    <w:p w:rsidR="00E57649" w:rsidRPr="00062F9F" w:rsidRDefault="00E87EB4" w:rsidP="00E87EB4">
      <w:pPr>
        <w:pStyle w:val="ListParagraph"/>
        <w:widowControl/>
        <w:numPr>
          <w:ilvl w:val="1"/>
          <w:numId w:val="2"/>
        </w:numPr>
      </w:pPr>
      <w:r>
        <w:t xml:space="preserve">Further the PBAC noted that </w:t>
      </w:r>
      <w:r w:rsidRPr="00E92067">
        <w:rPr>
          <w:szCs w:val="20"/>
        </w:rPr>
        <w:t xml:space="preserve">Study 20120148 </w:t>
      </w:r>
      <w:r>
        <w:rPr>
          <w:szCs w:val="20"/>
        </w:rPr>
        <w:t>was conducted in</w:t>
      </w:r>
      <w:r w:rsidRPr="00E87EB4">
        <w:t xml:space="preserve"> </w:t>
      </w:r>
      <w:r w:rsidR="00F2690D">
        <w:t xml:space="preserve">the </w:t>
      </w:r>
      <w:r w:rsidRPr="00E87EB4">
        <w:rPr>
          <w:szCs w:val="20"/>
        </w:rPr>
        <w:t>UK, Europe and Russia</w:t>
      </w:r>
      <w:r>
        <w:rPr>
          <w:szCs w:val="20"/>
        </w:rPr>
        <w:t xml:space="preserve"> in order</w:t>
      </w:r>
      <w:r w:rsidRPr="00E87EB4" w:rsidDel="00392B6E">
        <w:rPr>
          <w:szCs w:val="20"/>
        </w:rPr>
        <w:t xml:space="preserve"> </w:t>
      </w:r>
      <w:r>
        <w:rPr>
          <w:szCs w:val="20"/>
        </w:rPr>
        <w:t xml:space="preserve">to match patients in the BLAST study. </w:t>
      </w:r>
      <w:r w:rsidR="002A69E3">
        <w:rPr>
          <w:szCs w:val="20"/>
        </w:rPr>
        <w:t>T</w:t>
      </w:r>
      <w:r>
        <w:rPr>
          <w:szCs w:val="20"/>
        </w:rPr>
        <w:t xml:space="preserve">he PBAC considered that this may have further reduced the applicability to the </w:t>
      </w:r>
      <w:r w:rsidR="002A69E3">
        <w:rPr>
          <w:szCs w:val="20"/>
        </w:rPr>
        <w:t xml:space="preserve">current </w:t>
      </w:r>
      <w:r>
        <w:rPr>
          <w:szCs w:val="20"/>
        </w:rPr>
        <w:t>Australian PBS population.</w:t>
      </w:r>
    </w:p>
    <w:p w:rsidR="00151FBC" w:rsidRPr="00EE7BF9" w:rsidRDefault="00151FBC" w:rsidP="00EE7BF9">
      <w:pPr>
        <w:pStyle w:val="Heading2"/>
        <w:spacing w:before="240" w:after="120"/>
      </w:pPr>
      <w:bookmarkStart w:id="9" w:name="_Toc514245290"/>
      <w:r w:rsidRPr="00EE7BF9">
        <w:t>Comparative effectiveness</w:t>
      </w:r>
      <w:bookmarkEnd w:id="9"/>
    </w:p>
    <w:p w:rsidR="006824A3" w:rsidRPr="00E92067" w:rsidRDefault="006824A3" w:rsidP="001613D3">
      <w:pPr>
        <w:pStyle w:val="ListParagraph"/>
        <w:widowControl/>
        <w:numPr>
          <w:ilvl w:val="1"/>
          <w:numId w:val="2"/>
        </w:numPr>
      </w:pPr>
      <w:r w:rsidRPr="00E92067">
        <w:t>Table 4 summarises the results of the primary outcome of the BLAST study, MRD response in cycle 1.</w:t>
      </w:r>
    </w:p>
    <w:p w:rsidR="006824A3" w:rsidRPr="00E92067" w:rsidRDefault="006824A3" w:rsidP="00775E12">
      <w:pPr>
        <w:keepNext/>
        <w:keepLines/>
        <w:rPr>
          <w:rStyle w:val="CommentReference"/>
        </w:rPr>
      </w:pPr>
      <w:r w:rsidRPr="00E92067">
        <w:rPr>
          <w:rStyle w:val="CommentReference"/>
        </w:rPr>
        <w:t>Table 4: BLAST Complete MRD response (</w:t>
      </w:r>
      <w:r w:rsidR="00053BE6" w:rsidRPr="00E92067">
        <w:rPr>
          <w:rStyle w:val="CommentReference"/>
        </w:rPr>
        <w:t xml:space="preserve">Primary endpoint </w:t>
      </w:r>
      <w:r w:rsidRPr="00E92067">
        <w:rPr>
          <w:rStyle w:val="CommentReference"/>
        </w:rPr>
        <w:t>FAS)</w:t>
      </w:r>
    </w:p>
    <w:tbl>
      <w:tblPr>
        <w:tblStyle w:val="TableGrid"/>
        <w:tblW w:w="0" w:type="auto"/>
        <w:tblInd w:w="108" w:type="dxa"/>
        <w:tblLook w:val="04A0" w:firstRow="1" w:lastRow="0" w:firstColumn="1" w:lastColumn="0" w:noHBand="0" w:noVBand="1"/>
        <w:tblCaption w:val="Table 4: BLAST Complete MRD response (Primary endpoint FAS)"/>
      </w:tblPr>
      <w:tblGrid>
        <w:gridCol w:w="3006"/>
        <w:gridCol w:w="2951"/>
        <w:gridCol w:w="2952"/>
      </w:tblGrid>
      <w:tr w:rsidR="002761A3" w:rsidRPr="00E92067" w:rsidTr="00D33834">
        <w:trPr>
          <w:tblHeader/>
        </w:trPr>
        <w:tc>
          <w:tcPr>
            <w:tcW w:w="3006" w:type="dxa"/>
            <w:vMerge w:val="restart"/>
            <w:vAlign w:val="center"/>
          </w:tcPr>
          <w:p w:rsidR="002761A3" w:rsidRPr="00E92067" w:rsidRDefault="002761A3" w:rsidP="00775E12">
            <w:pPr>
              <w:keepNext/>
              <w:keepLines/>
              <w:rPr>
                <w:rFonts w:ascii="Arial Narrow" w:hAnsi="Arial Narrow"/>
                <w:b/>
                <w:sz w:val="20"/>
              </w:rPr>
            </w:pPr>
            <w:r w:rsidRPr="00E92067">
              <w:rPr>
                <w:rFonts w:ascii="Arial Narrow" w:hAnsi="Arial Narrow"/>
                <w:b/>
                <w:sz w:val="20"/>
              </w:rPr>
              <w:t>Complete MRD response</w:t>
            </w:r>
          </w:p>
        </w:tc>
        <w:tc>
          <w:tcPr>
            <w:tcW w:w="5903" w:type="dxa"/>
            <w:gridSpan w:val="2"/>
          </w:tcPr>
          <w:p w:rsidR="002761A3" w:rsidRPr="00E92067" w:rsidRDefault="00053BE6" w:rsidP="00775E12">
            <w:pPr>
              <w:keepNext/>
              <w:keepLines/>
              <w:jc w:val="center"/>
              <w:rPr>
                <w:rFonts w:ascii="Arial Narrow" w:hAnsi="Arial Narrow"/>
                <w:b/>
                <w:sz w:val="20"/>
                <w:szCs w:val="20"/>
              </w:rPr>
            </w:pPr>
            <w:r w:rsidRPr="00E92067">
              <w:rPr>
                <w:rFonts w:ascii="Arial Narrow" w:hAnsi="Arial Narrow"/>
                <w:b/>
                <w:sz w:val="20"/>
                <w:szCs w:val="20"/>
              </w:rPr>
              <w:t>Primary endpoint f</w:t>
            </w:r>
            <w:r w:rsidR="002761A3" w:rsidRPr="00E92067">
              <w:rPr>
                <w:rFonts w:ascii="Arial Narrow" w:hAnsi="Arial Narrow"/>
                <w:b/>
                <w:sz w:val="20"/>
                <w:szCs w:val="20"/>
              </w:rPr>
              <w:t>ull analysis set (N=113)</w:t>
            </w:r>
          </w:p>
        </w:tc>
      </w:tr>
      <w:tr w:rsidR="002761A3" w:rsidRPr="00E92067" w:rsidTr="00D33834">
        <w:trPr>
          <w:tblHeader/>
        </w:trPr>
        <w:tc>
          <w:tcPr>
            <w:tcW w:w="3006" w:type="dxa"/>
            <w:vMerge/>
            <w:tcBorders>
              <w:bottom w:val="single" w:sz="4" w:space="0" w:color="auto"/>
            </w:tcBorders>
          </w:tcPr>
          <w:p w:rsidR="002761A3" w:rsidRPr="00E92067" w:rsidRDefault="002761A3" w:rsidP="00775E12">
            <w:pPr>
              <w:keepNext/>
              <w:keepLines/>
              <w:tabs>
                <w:tab w:val="right" w:pos="2462"/>
              </w:tabs>
              <w:rPr>
                <w:rFonts w:ascii="Arial Narrow" w:hAnsi="Arial Narrow"/>
                <w:sz w:val="20"/>
              </w:rPr>
            </w:pPr>
          </w:p>
        </w:tc>
        <w:tc>
          <w:tcPr>
            <w:tcW w:w="2951" w:type="dxa"/>
            <w:tcBorders>
              <w:bottom w:val="single" w:sz="4" w:space="0" w:color="auto"/>
            </w:tcBorders>
            <w:vAlign w:val="center"/>
          </w:tcPr>
          <w:p w:rsidR="002761A3" w:rsidRPr="00E92067" w:rsidRDefault="002761A3" w:rsidP="00775E12">
            <w:pPr>
              <w:keepNext/>
              <w:keepLines/>
              <w:jc w:val="center"/>
              <w:rPr>
                <w:rFonts w:ascii="Arial Narrow" w:hAnsi="Arial Narrow"/>
                <w:b/>
                <w:sz w:val="20"/>
                <w:szCs w:val="20"/>
              </w:rPr>
            </w:pPr>
            <w:r w:rsidRPr="00E92067">
              <w:rPr>
                <w:rFonts w:ascii="Arial Narrow" w:hAnsi="Arial Narrow"/>
                <w:b/>
                <w:sz w:val="20"/>
                <w:szCs w:val="20"/>
              </w:rPr>
              <w:t>N (%)</w:t>
            </w:r>
          </w:p>
        </w:tc>
        <w:tc>
          <w:tcPr>
            <w:tcW w:w="2952" w:type="dxa"/>
            <w:tcBorders>
              <w:bottom w:val="single" w:sz="4" w:space="0" w:color="auto"/>
            </w:tcBorders>
            <w:vAlign w:val="center"/>
          </w:tcPr>
          <w:p w:rsidR="002761A3" w:rsidRPr="00E92067" w:rsidRDefault="002761A3" w:rsidP="00775E12">
            <w:pPr>
              <w:keepNext/>
              <w:keepLines/>
              <w:jc w:val="center"/>
              <w:rPr>
                <w:rFonts w:ascii="Arial Narrow" w:hAnsi="Arial Narrow"/>
                <w:b/>
                <w:sz w:val="20"/>
                <w:szCs w:val="20"/>
              </w:rPr>
            </w:pPr>
            <w:r w:rsidRPr="00E92067">
              <w:rPr>
                <w:rFonts w:ascii="Arial Narrow" w:hAnsi="Arial Narrow"/>
                <w:b/>
                <w:sz w:val="20"/>
                <w:szCs w:val="20"/>
              </w:rPr>
              <w:t>95% CI</w:t>
            </w:r>
          </w:p>
        </w:tc>
      </w:tr>
      <w:tr w:rsidR="002761A3" w:rsidRPr="00E92067" w:rsidTr="00D33834">
        <w:tc>
          <w:tcPr>
            <w:tcW w:w="3006" w:type="dxa"/>
            <w:tcBorders>
              <w:bottom w:val="single" w:sz="4" w:space="0" w:color="auto"/>
            </w:tcBorders>
          </w:tcPr>
          <w:p w:rsidR="002761A3" w:rsidRPr="00E92067" w:rsidRDefault="002761A3" w:rsidP="00775E12">
            <w:pPr>
              <w:keepNext/>
              <w:keepLines/>
              <w:tabs>
                <w:tab w:val="right" w:pos="2462"/>
              </w:tabs>
              <w:rPr>
                <w:rFonts w:ascii="Arial Narrow" w:hAnsi="Arial Narrow"/>
                <w:sz w:val="20"/>
                <w:szCs w:val="20"/>
              </w:rPr>
            </w:pPr>
            <w:r w:rsidRPr="00E92067">
              <w:rPr>
                <w:rFonts w:ascii="Arial Narrow" w:hAnsi="Arial Narrow"/>
                <w:sz w:val="20"/>
              </w:rPr>
              <w:t>Complete MRD response cycle 1</w:t>
            </w:r>
          </w:p>
        </w:tc>
        <w:tc>
          <w:tcPr>
            <w:tcW w:w="2951" w:type="dxa"/>
            <w:tcBorders>
              <w:bottom w:val="single" w:sz="4" w:space="0" w:color="auto"/>
            </w:tcBorders>
          </w:tcPr>
          <w:p w:rsidR="002761A3" w:rsidRPr="00E92067" w:rsidRDefault="002761A3" w:rsidP="00775E12">
            <w:pPr>
              <w:keepNext/>
              <w:keepLines/>
              <w:jc w:val="center"/>
              <w:rPr>
                <w:rFonts w:ascii="Arial Narrow" w:hAnsi="Arial Narrow"/>
                <w:sz w:val="20"/>
                <w:szCs w:val="20"/>
              </w:rPr>
            </w:pPr>
            <w:r w:rsidRPr="00E92067">
              <w:rPr>
                <w:rFonts w:ascii="Arial Narrow" w:hAnsi="Arial Narrow"/>
                <w:sz w:val="20"/>
                <w:szCs w:val="20"/>
              </w:rPr>
              <w:t>88 (77.9%)</w:t>
            </w:r>
          </w:p>
        </w:tc>
        <w:tc>
          <w:tcPr>
            <w:tcW w:w="2952" w:type="dxa"/>
            <w:tcBorders>
              <w:bottom w:val="single" w:sz="4" w:space="0" w:color="auto"/>
            </w:tcBorders>
          </w:tcPr>
          <w:p w:rsidR="002761A3" w:rsidRPr="00E92067" w:rsidRDefault="002761A3" w:rsidP="00775E12">
            <w:pPr>
              <w:keepNext/>
              <w:keepLines/>
              <w:jc w:val="center"/>
              <w:rPr>
                <w:rFonts w:ascii="Arial Narrow" w:hAnsi="Arial Narrow"/>
                <w:sz w:val="20"/>
                <w:szCs w:val="20"/>
              </w:rPr>
            </w:pPr>
            <w:r w:rsidRPr="00E92067">
              <w:rPr>
                <w:rFonts w:ascii="Arial Narrow" w:hAnsi="Arial Narrow"/>
                <w:sz w:val="20"/>
                <w:szCs w:val="20"/>
              </w:rPr>
              <w:t>(69.1, 85.1)</w:t>
            </w:r>
          </w:p>
        </w:tc>
      </w:tr>
      <w:tr w:rsidR="002761A3" w:rsidRPr="00E92067" w:rsidTr="00D33834">
        <w:tc>
          <w:tcPr>
            <w:tcW w:w="3006" w:type="dxa"/>
            <w:tcBorders>
              <w:bottom w:val="single" w:sz="4" w:space="0" w:color="auto"/>
            </w:tcBorders>
          </w:tcPr>
          <w:p w:rsidR="002761A3" w:rsidRPr="00E92067" w:rsidRDefault="002761A3" w:rsidP="00775E12">
            <w:pPr>
              <w:keepNext/>
              <w:keepLines/>
              <w:tabs>
                <w:tab w:val="right" w:pos="2462"/>
              </w:tabs>
              <w:rPr>
                <w:rFonts w:ascii="Arial Narrow" w:hAnsi="Arial Narrow"/>
                <w:sz w:val="20"/>
                <w:szCs w:val="20"/>
              </w:rPr>
            </w:pPr>
            <w:r w:rsidRPr="00E92067">
              <w:rPr>
                <w:rFonts w:ascii="Arial Narrow" w:hAnsi="Arial Narrow"/>
                <w:sz w:val="20"/>
              </w:rPr>
              <w:t>MRD non-responders cycle 1</w:t>
            </w:r>
          </w:p>
        </w:tc>
        <w:tc>
          <w:tcPr>
            <w:tcW w:w="2951" w:type="dxa"/>
            <w:tcBorders>
              <w:bottom w:val="single" w:sz="4" w:space="0" w:color="auto"/>
            </w:tcBorders>
          </w:tcPr>
          <w:p w:rsidR="002761A3" w:rsidRPr="00E92067" w:rsidRDefault="002761A3" w:rsidP="00775E12">
            <w:pPr>
              <w:keepNext/>
              <w:keepLines/>
              <w:jc w:val="center"/>
              <w:rPr>
                <w:rFonts w:ascii="Arial Narrow" w:hAnsi="Arial Narrow"/>
                <w:sz w:val="20"/>
                <w:szCs w:val="20"/>
              </w:rPr>
            </w:pPr>
            <w:r w:rsidRPr="00E92067">
              <w:rPr>
                <w:rFonts w:ascii="Arial Narrow" w:hAnsi="Arial Narrow"/>
                <w:sz w:val="20"/>
                <w:szCs w:val="20"/>
              </w:rPr>
              <w:t>25 (22.1%)</w:t>
            </w:r>
          </w:p>
        </w:tc>
        <w:tc>
          <w:tcPr>
            <w:tcW w:w="2952" w:type="dxa"/>
            <w:tcBorders>
              <w:bottom w:val="single" w:sz="4" w:space="0" w:color="auto"/>
            </w:tcBorders>
          </w:tcPr>
          <w:p w:rsidR="002761A3" w:rsidRPr="00E92067" w:rsidRDefault="002761A3" w:rsidP="00775E12">
            <w:pPr>
              <w:keepNext/>
              <w:keepLines/>
              <w:jc w:val="center"/>
              <w:rPr>
                <w:rFonts w:ascii="Arial Narrow" w:hAnsi="Arial Narrow"/>
                <w:sz w:val="20"/>
                <w:szCs w:val="20"/>
              </w:rPr>
            </w:pPr>
            <w:r w:rsidRPr="00E92067">
              <w:rPr>
                <w:rFonts w:ascii="Arial Narrow" w:hAnsi="Arial Narrow"/>
                <w:sz w:val="20"/>
                <w:szCs w:val="20"/>
              </w:rPr>
              <w:t>(14.9, 30.9)</w:t>
            </w:r>
          </w:p>
        </w:tc>
      </w:tr>
      <w:tr w:rsidR="002761A3" w:rsidRPr="00E92067" w:rsidTr="00D33834">
        <w:tc>
          <w:tcPr>
            <w:tcW w:w="3006" w:type="dxa"/>
          </w:tcPr>
          <w:p w:rsidR="002761A3" w:rsidRPr="00E92067" w:rsidRDefault="002761A3" w:rsidP="00775E12">
            <w:pPr>
              <w:keepNext/>
              <w:keepLines/>
              <w:tabs>
                <w:tab w:val="right" w:pos="2462"/>
              </w:tabs>
              <w:rPr>
                <w:rFonts w:ascii="Arial Narrow" w:hAnsi="Arial Narrow"/>
                <w:sz w:val="20"/>
                <w:szCs w:val="20"/>
              </w:rPr>
            </w:pPr>
            <w:r w:rsidRPr="00E92067">
              <w:rPr>
                <w:rFonts w:ascii="Arial Narrow" w:hAnsi="Arial Narrow"/>
                <w:sz w:val="20"/>
              </w:rPr>
              <w:t>Complete MRD response overall</w:t>
            </w:r>
          </w:p>
        </w:tc>
        <w:tc>
          <w:tcPr>
            <w:tcW w:w="2951" w:type="dxa"/>
          </w:tcPr>
          <w:p w:rsidR="002761A3" w:rsidRPr="00E92067" w:rsidRDefault="002761A3" w:rsidP="00775E12">
            <w:pPr>
              <w:keepNext/>
              <w:keepLines/>
              <w:jc w:val="center"/>
              <w:rPr>
                <w:rFonts w:ascii="Arial Narrow" w:hAnsi="Arial Narrow"/>
                <w:sz w:val="20"/>
                <w:szCs w:val="20"/>
              </w:rPr>
            </w:pPr>
            <w:r w:rsidRPr="00E92067">
              <w:rPr>
                <w:rFonts w:ascii="Arial Narrow" w:hAnsi="Arial Narrow"/>
                <w:sz w:val="20"/>
              </w:rPr>
              <w:t>90 (79.6%)</w:t>
            </w:r>
          </w:p>
        </w:tc>
        <w:tc>
          <w:tcPr>
            <w:tcW w:w="2952" w:type="dxa"/>
          </w:tcPr>
          <w:p w:rsidR="002761A3" w:rsidRPr="00E92067" w:rsidRDefault="002761A3" w:rsidP="00775E12">
            <w:pPr>
              <w:keepNext/>
              <w:keepLines/>
              <w:jc w:val="center"/>
              <w:rPr>
                <w:rFonts w:ascii="Arial Narrow" w:hAnsi="Arial Narrow"/>
                <w:b/>
                <w:sz w:val="20"/>
                <w:szCs w:val="20"/>
              </w:rPr>
            </w:pPr>
            <w:r w:rsidRPr="00E92067">
              <w:rPr>
                <w:rFonts w:ascii="Arial Narrow" w:hAnsi="Arial Narrow"/>
                <w:sz w:val="20"/>
              </w:rPr>
              <w:t>(71.0, 86.6)</w:t>
            </w:r>
          </w:p>
        </w:tc>
      </w:tr>
    </w:tbl>
    <w:p w:rsidR="006824A3" w:rsidRPr="00E92067" w:rsidRDefault="006824A3" w:rsidP="00775E12">
      <w:pPr>
        <w:pStyle w:val="TableFooter"/>
        <w:keepNext/>
        <w:keepLines/>
      </w:pPr>
      <w:r w:rsidRPr="00E92067">
        <w:t>Source: Table 34, p.59 of the submission.</w:t>
      </w:r>
    </w:p>
    <w:p w:rsidR="006824A3" w:rsidRPr="00E92067" w:rsidRDefault="006824A3" w:rsidP="00775E12">
      <w:pPr>
        <w:pStyle w:val="TableFooter"/>
        <w:keepNext/>
        <w:keepLines/>
      </w:pPr>
      <w:r w:rsidRPr="00E92067">
        <w:t>Abbreviations: CI, confidence interval; FAS, full analysis set; MRD, minimal residual disease.</w:t>
      </w:r>
    </w:p>
    <w:p w:rsidR="00FF2187" w:rsidRPr="00E92067" w:rsidRDefault="00FF2187" w:rsidP="00775E12">
      <w:pPr>
        <w:pStyle w:val="TableFooter"/>
        <w:keepNext/>
        <w:keepLines/>
      </w:pPr>
      <w:r w:rsidRPr="00E92067">
        <w:t>NOTE: the primary endpoint full analysis set excluded 3 patients: 1 with no MRD assay results; and 2 with MRD assay &lt;5×10</w:t>
      </w:r>
      <w:r w:rsidRPr="00E92067">
        <w:rPr>
          <w:vertAlign w:val="superscript"/>
        </w:rPr>
        <w:t>-4</w:t>
      </w:r>
      <w:r w:rsidRPr="00E92067">
        <w:t>.</w:t>
      </w:r>
    </w:p>
    <w:p w:rsidR="006824A3" w:rsidRPr="00E92067" w:rsidRDefault="006824A3" w:rsidP="006824A3">
      <w:pPr>
        <w:widowControl/>
      </w:pPr>
    </w:p>
    <w:p w:rsidR="00151FBC" w:rsidRPr="00E92067" w:rsidRDefault="00151FBC" w:rsidP="001613D3">
      <w:pPr>
        <w:pStyle w:val="ListParagraph"/>
        <w:widowControl/>
        <w:numPr>
          <w:ilvl w:val="1"/>
          <w:numId w:val="2"/>
        </w:numPr>
      </w:pPr>
      <w:r w:rsidRPr="00E92067">
        <w:t>In the BLAST study complete MRD response was achieved within one treatment cycle in 77.9% of patients</w:t>
      </w:r>
      <w:r w:rsidR="00657F8B" w:rsidRPr="00E92067">
        <w:t>,</w:t>
      </w:r>
      <w:r w:rsidRPr="00E92067">
        <w:t xml:space="preserve"> and an additional two patients achiev</w:t>
      </w:r>
      <w:r w:rsidR="00657F8B" w:rsidRPr="00E92067">
        <w:t>ed</w:t>
      </w:r>
      <w:r w:rsidRPr="00E92067">
        <w:t xml:space="preserve"> complete MRD response</w:t>
      </w:r>
      <w:r w:rsidR="007B6FB7" w:rsidRPr="00E92067">
        <w:t xml:space="preserve"> overall (both</w:t>
      </w:r>
      <w:r w:rsidRPr="00E92067">
        <w:t xml:space="preserve"> in cycle 2</w:t>
      </w:r>
      <w:r w:rsidR="007B6FB7" w:rsidRPr="00E92067">
        <w:t>)</w:t>
      </w:r>
      <w:r w:rsidRPr="00E92067">
        <w:t xml:space="preserve">. </w:t>
      </w:r>
    </w:p>
    <w:p w:rsidR="00151FBC" w:rsidRPr="00E92067" w:rsidRDefault="00151FBC" w:rsidP="001613D3">
      <w:pPr>
        <w:pStyle w:val="ListParagraph"/>
        <w:widowControl/>
        <w:numPr>
          <w:ilvl w:val="1"/>
          <w:numId w:val="2"/>
        </w:numPr>
      </w:pPr>
      <w:r w:rsidRPr="00E92067">
        <w:t xml:space="preserve">Table 5 and Figure 1 summarise the results of the BLAST study for haematological relapse free survival at 18 months, censored and not censored at </w:t>
      </w:r>
      <w:r w:rsidR="002761A3" w:rsidRPr="00E92067">
        <w:t xml:space="preserve">allogeneic </w:t>
      </w:r>
      <w:r w:rsidR="00DD01CD">
        <w:t>HSCT</w:t>
      </w:r>
      <w:r w:rsidR="002761A3" w:rsidRPr="00E92067">
        <w:t xml:space="preserve"> (</w:t>
      </w:r>
      <w:r w:rsidRPr="00E92067">
        <w:t>alloHSCT</w:t>
      </w:r>
      <w:r w:rsidR="002761A3" w:rsidRPr="00E92067">
        <w:t>)</w:t>
      </w:r>
      <w:r w:rsidRPr="00E92067">
        <w:t xml:space="preserve"> or after post-blinatumomab chemotherapy</w:t>
      </w:r>
      <w:r w:rsidR="006824A3" w:rsidRPr="00E92067">
        <w:t>. Philadelphia chromosome positive patients were excluded from the analysis</w:t>
      </w:r>
      <w:r w:rsidRPr="00E92067">
        <w:t>.</w:t>
      </w:r>
    </w:p>
    <w:p w:rsidR="00151FBC" w:rsidRPr="00E92067" w:rsidRDefault="00151FBC" w:rsidP="00E87EB4">
      <w:pPr>
        <w:keepNext/>
        <w:keepLines/>
        <w:rPr>
          <w:rStyle w:val="CommentReference"/>
        </w:rPr>
      </w:pPr>
      <w:r w:rsidRPr="00E92067">
        <w:rPr>
          <w:rStyle w:val="CommentReference"/>
        </w:rPr>
        <w:t>Table 5: BLAST haematological relapse free survival, events at 18 months (</w:t>
      </w:r>
      <w:r w:rsidR="00FF2187" w:rsidRPr="00E92067">
        <w:rPr>
          <w:rStyle w:val="CommentReference"/>
        </w:rPr>
        <w:t xml:space="preserve">Key secondary endpoint </w:t>
      </w:r>
      <w:r w:rsidRPr="00E92067">
        <w:rPr>
          <w:rStyle w:val="CommentReference"/>
        </w:rPr>
        <w:t>FAS; not censored or censored at alloHSCT or post-blinatumomab chemotherapy)</w:t>
      </w:r>
    </w:p>
    <w:tbl>
      <w:tblPr>
        <w:tblStyle w:val="TableGrid"/>
        <w:tblW w:w="0" w:type="auto"/>
        <w:tblInd w:w="108" w:type="dxa"/>
        <w:tblLayout w:type="fixed"/>
        <w:tblLook w:val="04A0" w:firstRow="1" w:lastRow="0" w:firstColumn="1" w:lastColumn="0" w:noHBand="0" w:noVBand="1"/>
        <w:tblCaption w:val="Table 5: BLAST haematological relapse free survival, events at 18 months (Key secondary endpoint FAS; not censored or censored at alloHSCT or post-blinatumomab chemotherapy)"/>
      </w:tblPr>
      <w:tblGrid>
        <w:gridCol w:w="3289"/>
        <w:gridCol w:w="2739"/>
        <w:gridCol w:w="2880"/>
      </w:tblGrid>
      <w:tr w:rsidR="00151FBC" w:rsidRPr="00E92067" w:rsidTr="00600987">
        <w:trPr>
          <w:tblHeader/>
        </w:trPr>
        <w:tc>
          <w:tcPr>
            <w:tcW w:w="3289" w:type="dxa"/>
            <w:vMerge w:val="restart"/>
            <w:vAlign w:val="center"/>
          </w:tcPr>
          <w:p w:rsidR="00151FBC" w:rsidRPr="00E92067" w:rsidRDefault="00151FBC" w:rsidP="00E87EB4">
            <w:pPr>
              <w:keepNext/>
              <w:keepLines/>
              <w:rPr>
                <w:rFonts w:ascii="Arial Narrow" w:hAnsi="Arial Narrow"/>
                <w:b/>
                <w:sz w:val="20"/>
              </w:rPr>
            </w:pPr>
            <w:r w:rsidRPr="00E92067">
              <w:rPr>
                <w:rFonts w:ascii="Arial Narrow" w:hAnsi="Arial Narrow"/>
                <w:b/>
                <w:sz w:val="20"/>
              </w:rPr>
              <w:t>Relapse free survival</w:t>
            </w:r>
          </w:p>
        </w:tc>
        <w:tc>
          <w:tcPr>
            <w:tcW w:w="5619" w:type="dxa"/>
            <w:gridSpan w:val="2"/>
            <w:vAlign w:val="center"/>
          </w:tcPr>
          <w:p w:rsidR="00151FBC" w:rsidRPr="00E92067" w:rsidRDefault="00151FBC" w:rsidP="00E87EB4">
            <w:pPr>
              <w:keepNext/>
              <w:keepLines/>
              <w:ind w:left="-65" w:right="-79"/>
              <w:jc w:val="center"/>
              <w:rPr>
                <w:rFonts w:ascii="Arial Narrow" w:hAnsi="Arial Narrow"/>
                <w:b/>
                <w:sz w:val="20"/>
              </w:rPr>
            </w:pPr>
            <w:r w:rsidRPr="00E92067">
              <w:rPr>
                <w:rFonts w:ascii="Arial Narrow" w:hAnsi="Arial Narrow"/>
                <w:b/>
                <w:sz w:val="20"/>
              </w:rPr>
              <w:t xml:space="preserve">Key secondary endpoint </w:t>
            </w:r>
            <w:r w:rsidR="002761A3" w:rsidRPr="00E92067">
              <w:rPr>
                <w:rFonts w:ascii="Arial Narrow" w:hAnsi="Arial Narrow"/>
                <w:b/>
                <w:sz w:val="20"/>
              </w:rPr>
              <w:t>full analysis set</w:t>
            </w:r>
            <w:r w:rsidRPr="00E92067">
              <w:rPr>
                <w:rFonts w:ascii="Arial Narrow" w:hAnsi="Arial Narrow"/>
                <w:b/>
                <w:sz w:val="20"/>
              </w:rPr>
              <w:t xml:space="preserve"> (N=110)</w:t>
            </w:r>
          </w:p>
        </w:tc>
      </w:tr>
      <w:tr w:rsidR="00151FBC" w:rsidRPr="00E92067" w:rsidTr="00600987">
        <w:trPr>
          <w:tblHeader/>
        </w:trPr>
        <w:tc>
          <w:tcPr>
            <w:tcW w:w="3289" w:type="dxa"/>
            <w:vMerge/>
          </w:tcPr>
          <w:p w:rsidR="00151FBC" w:rsidRPr="00E92067" w:rsidRDefault="00151FBC" w:rsidP="00E87EB4">
            <w:pPr>
              <w:keepNext/>
              <w:keepLines/>
              <w:rPr>
                <w:rFonts w:ascii="Arial Narrow" w:hAnsi="Arial Narrow"/>
                <w:b/>
                <w:sz w:val="20"/>
              </w:rPr>
            </w:pPr>
          </w:p>
        </w:tc>
        <w:tc>
          <w:tcPr>
            <w:tcW w:w="2739" w:type="dxa"/>
            <w:vAlign w:val="center"/>
          </w:tcPr>
          <w:p w:rsidR="00151FBC" w:rsidRPr="00E92067" w:rsidRDefault="00151FBC" w:rsidP="00E87EB4">
            <w:pPr>
              <w:keepNext/>
              <w:keepLines/>
              <w:ind w:left="-65" w:right="-79"/>
              <w:jc w:val="center"/>
              <w:rPr>
                <w:rFonts w:ascii="Arial Narrow" w:hAnsi="Arial Narrow"/>
                <w:b/>
                <w:sz w:val="20"/>
              </w:rPr>
            </w:pPr>
            <w:r w:rsidRPr="00E92067">
              <w:rPr>
                <w:rFonts w:ascii="Arial Narrow" w:hAnsi="Arial Narrow"/>
                <w:b/>
                <w:sz w:val="20"/>
              </w:rPr>
              <w:t>Not censored at alloHSCT or chemotherapy</w:t>
            </w:r>
            <w:r w:rsidRPr="00E92067">
              <w:rPr>
                <w:rFonts w:ascii="Arial Narrow" w:hAnsi="Arial Narrow"/>
                <w:b/>
                <w:sz w:val="20"/>
                <w:vertAlign w:val="superscript"/>
              </w:rPr>
              <w:t>a</w:t>
            </w:r>
          </w:p>
        </w:tc>
        <w:tc>
          <w:tcPr>
            <w:tcW w:w="2880" w:type="dxa"/>
            <w:vAlign w:val="center"/>
          </w:tcPr>
          <w:p w:rsidR="00151FBC" w:rsidRPr="00E92067" w:rsidRDefault="00151FBC" w:rsidP="00E87EB4">
            <w:pPr>
              <w:keepNext/>
              <w:keepLines/>
              <w:ind w:left="-65" w:right="-79"/>
              <w:jc w:val="center"/>
              <w:rPr>
                <w:rFonts w:ascii="Arial Narrow" w:hAnsi="Arial Narrow"/>
                <w:b/>
                <w:sz w:val="20"/>
                <w:vertAlign w:val="superscript"/>
              </w:rPr>
            </w:pPr>
            <w:r w:rsidRPr="00E92067">
              <w:rPr>
                <w:rFonts w:ascii="Arial Narrow" w:hAnsi="Arial Narrow"/>
                <w:b/>
                <w:sz w:val="20"/>
              </w:rPr>
              <w:t>Censored at alloHSCT or chemotherapy</w:t>
            </w:r>
            <w:r w:rsidRPr="00E92067">
              <w:rPr>
                <w:rFonts w:ascii="Arial Narrow" w:hAnsi="Arial Narrow"/>
                <w:b/>
                <w:sz w:val="20"/>
                <w:vertAlign w:val="superscript"/>
              </w:rPr>
              <w:t>a</w:t>
            </w:r>
          </w:p>
        </w:tc>
      </w:tr>
      <w:tr w:rsidR="00151FBC" w:rsidRPr="00E92067" w:rsidTr="00D33834">
        <w:tc>
          <w:tcPr>
            <w:tcW w:w="3289" w:type="dxa"/>
            <w:tcBorders>
              <w:bottom w:val="single" w:sz="4" w:space="0" w:color="auto"/>
            </w:tcBorders>
          </w:tcPr>
          <w:p w:rsidR="00151FBC" w:rsidRPr="00E92067" w:rsidRDefault="00151FBC" w:rsidP="00E87EB4">
            <w:pPr>
              <w:keepNext/>
              <w:keepLines/>
              <w:jc w:val="left"/>
              <w:rPr>
                <w:rFonts w:ascii="Arial Narrow" w:hAnsi="Arial Narrow"/>
                <w:sz w:val="20"/>
                <w:szCs w:val="20"/>
              </w:rPr>
            </w:pPr>
            <w:r w:rsidRPr="00E92067">
              <w:rPr>
                <w:rFonts w:ascii="Arial Narrow" w:hAnsi="Arial Narrow"/>
                <w:sz w:val="20"/>
                <w:szCs w:val="20"/>
              </w:rPr>
              <w:t>Haematological relapse events, N (%)</w:t>
            </w:r>
          </w:p>
        </w:tc>
        <w:tc>
          <w:tcPr>
            <w:tcW w:w="2739" w:type="dxa"/>
            <w:tcBorders>
              <w:bottom w:val="single" w:sz="4" w:space="0" w:color="auto"/>
            </w:tcBorders>
            <w:vAlign w:val="center"/>
          </w:tcPr>
          <w:p w:rsidR="00151FBC" w:rsidRPr="00E92067" w:rsidRDefault="00151FBC" w:rsidP="00E87EB4">
            <w:pPr>
              <w:keepNext/>
              <w:keepLines/>
              <w:jc w:val="center"/>
              <w:rPr>
                <w:rFonts w:ascii="Arial Narrow" w:hAnsi="Arial Narrow"/>
                <w:sz w:val="20"/>
                <w:szCs w:val="20"/>
              </w:rPr>
            </w:pPr>
            <w:r w:rsidRPr="00E92067">
              <w:rPr>
                <w:rFonts w:ascii="Arial Narrow" w:hAnsi="Arial Narrow"/>
                <w:sz w:val="20"/>
                <w:szCs w:val="20"/>
              </w:rPr>
              <w:t>62 (56.4%)</w:t>
            </w:r>
          </w:p>
        </w:tc>
        <w:tc>
          <w:tcPr>
            <w:tcW w:w="2880" w:type="dxa"/>
            <w:tcBorders>
              <w:bottom w:val="single" w:sz="4" w:space="0" w:color="auto"/>
            </w:tcBorders>
            <w:vAlign w:val="center"/>
          </w:tcPr>
          <w:p w:rsidR="00151FBC" w:rsidRPr="00E92067" w:rsidRDefault="00151FBC" w:rsidP="00E87EB4">
            <w:pPr>
              <w:keepNext/>
              <w:keepLines/>
              <w:jc w:val="center"/>
              <w:rPr>
                <w:rFonts w:ascii="Arial Narrow" w:hAnsi="Arial Narrow"/>
                <w:sz w:val="20"/>
                <w:szCs w:val="20"/>
              </w:rPr>
            </w:pPr>
            <w:r w:rsidRPr="00E92067">
              <w:rPr>
                <w:rFonts w:ascii="Arial Narrow" w:hAnsi="Arial Narrow"/>
                <w:sz w:val="20"/>
                <w:szCs w:val="20"/>
              </w:rPr>
              <w:t>21 (19.1%)</w:t>
            </w:r>
          </w:p>
        </w:tc>
      </w:tr>
      <w:tr w:rsidR="00151FBC" w:rsidRPr="00E92067" w:rsidTr="00D33834">
        <w:tc>
          <w:tcPr>
            <w:tcW w:w="3289" w:type="dxa"/>
            <w:tcBorders>
              <w:bottom w:val="single" w:sz="4" w:space="0" w:color="auto"/>
            </w:tcBorders>
          </w:tcPr>
          <w:p w:rsidR="00151FBC" w:rsidRPr="00E92067" w:rsidRDefault="00151FBC" w:rsidP="00E87EB4">
            <w:pPr>
              <w:keepNext/>
              <w:keepLines/>
              <w:tabs>
                <w:tab w:val="right" w:pos="2462"/>
              </w:tabs>
              <w:jc w:val="left"/>
              <w:rPr>
                <w:rFonts w:ascii="Arial Narrow" w:hAnsi="Arial Narrow"/>
                <w:sz w:val="20"/>
              </w:rPr>
            </w:pPr>
            <w:r w:rsidRPr="00E92067">
              <w:rPr>
                <w:rFonts w:ascii="Arial Narrow" w:hAnsi="Arial Narrow"/>
                <w:sz w:val="20"/>
              </w:rPr>
              <w:t>- Relapse</w:t>
            </w:r>
          </w:p>
        </w:tc>
        <w:tc>
          <w:tcPr>
            <w:tcW w:w="2739" w:type="dxa"/>
            <w:tcBorders>
              <w:bottom w:val="single" w:sz="4" w:space="0" w:color="auto"/>
            </w:tcBorders>
            <w:vAlign w:val="center"/>
          </w:tcPr>
          <w:p w:rsidR="00151FBC" w:rsidRPr="00E92067" w:rsidRDefault="00151FBC" w:rsidP="00E87EB4">
            <w:pPr>
              <w:keepNext/>
              <w:keepLines/>
              <w:jc w:val="center"/>
              <w:rPr>
                <w:rFonts w:ascii="Arial Narrow" w:hAnsi="Arial Narrow"/>
                <w:sz w:val="20"/>
                <w:szCs w:val="20"/>
              </w:rPr>
            </w:pPr>
            <w:r w:rsidRPr="00E92067">
              <w:rPr>
                <w:rFonts w:ascii="Arial Narrow" w:hAnsi="Arial Narrow"/>
                <w:sz w:val="20"/>
                <w:szCs w:val="20"/>
              </w:rPr>
              <w:t>37 (33.6%)</w:t>
            </w:r>
          </w:p>
        </w:tc>
        <w:tc>
          <w:tcPr>
            <w:tcW w:w="2880" w:type="dxa"/>
            <w:tcBorders>
              <w:bottom w:val="single" w:sz="4" w:space="0" w:color="auto"/>
            </w:tcBorders>
            <w:vAlign w:val="center"/>
          </w:tcPr>
          <w:p w:rsidR="00151FBC" w:rsidRPr="00E92067" w:rsidRDefault="00151FBC" w:rsidP="00E87EB4">
            <w:pPr>
              <w:keepNext/>
              <w:keepLines/>
              <w:jc w:val="center"/>
              <w:rPr>
                <w:rFonts w:ascii="Arial Narrow" w:hAnsi="Arial Narrow"/>
                <w:sz w:val="20"/>
                <w:szCs w:val="20"/>
              </w:rPr>
            </w:pPr>
            <w:r w:rsidRPr="00E92067">
              <w:rPr>
                <w:rFonts w:ascii="Arial Narrow" w:hAnsi="Arial Narrow"/>
                <w:sz w:val="20"/>
                <w:szCs w:val="20"/>
              </w:rPr>
              <w:t>18 (16.4%)</w:t>
            </w:r>
          </w:p>
        </w:tc>
      </w:tr>
      <w:tr w:rsidR="00151FBC" w:rsidRPr="00E92067" w:rsidTr="00D33834">
        <w:tc>
          <w:tcPr>
            <w:tcW w:w="3289" w:type="dxa"/>
            <w:tcBorders>
              <w:top w:val="single" w:sz="4" w:space="0" w:color="auto"/>
            </w:tcBorders>
          </w:tcPr>
          <w:p w:rsidR="00151FBC" w:rsidRPr="00E92067" w:rsidRDefault="00151FBC" w:rsidP="00E87EB4">
            <w:pPr>
              <w:keepNext/>
              <w:keepLines/>
              <w:tabs>
                <w:tab w:val="right" w:pos="2462"/>
              </w:tabs>
              <w:jc w:val="left"/>
              <w:rPr>
                <w:rFonts w:ascii="Arial Narrow" w:hAnsi="Arial Narrow"/>
                <w:sz w:val="20"/>
              </w:rPr>
            </w:pPr>
            <w:r w:rsidRPr="00E92067">
              <w:rPr>
                <w:rFonts w:ascii="Arial Narrow" w:hAnsi="Arial Narrow"/>
                <w:sz w:val="20"/>
              </w:rPr>
              <w:t>- Secondary leukaemia</w:t>
            </w:r>
          </w:p>
        </w:tc>
        <w:tc>
          <w:tcPr>
            <w:tcW w:w="2739" w:type="dxa"/>
            <w:tcBorders>
              <w:top w:val="single" w:sz="4" w:space="0" w:color="auto"/>
            </w:tcBorders>
            <w:vAlign w:val="center"/>
          </w:tcPr>
          <w:p w:rsidR="00151FBC" w:rsidRPr="00E92067" w:rsidRDefault="00151FBC" w:rsidP="00E87EB4">
            <w:pPr>
              <w:keepNext/>
              <w:keepLines/>
              <w:jc w:val="center"/>
              <w:rPr>
                <w:rFonts w:ascii="Arial Narrow" w:hAnsi="Arial Narrow"/>
                <w:sz w:val="20"/>
                <w:szCs w:val="20"/>
              </w:rPr>
            </w:pPr>
            <w:r w:rsidRPr="00E92067">
              <w:rPr>
                <w:rFonts w:ascii="Arial Narrow" w:hAnsi="Arial Narrow"/>
                <w:sz w:val="20"/>
                <w:szCs w:val="20"/>
              </w:rPr>
              <w:t>1 (0.9%)</w:t>
            </w:r>
          </w:p>
        </w:tc>
        <w:tc>
          <w:tcPr>
            <w:tcW w:w="2880" w:type="dxa"/>
            <w:tcBorders>
              <w:top w:val="single" w:sz="4" w:space="0" w:color="auto"/>
            </w:tcBorders>
            <w:vAlign w:val="center"/>
          </w:tcPr>
          <w:p w:rsidR="00151FBC" w:rsidRPr="00E92067" w:rsidRDefault="00151FBC" w:rsidP="00E87EB4">
            <w:pPr>
              <w:keepNext/>
              <w:keepLines/>
              <w:jc w:val="center"/>
              <w:rPr>
                <w:rFonts w:ascii="Arial Narrow" w:hAnsi="Arial Narrow"/>
                <w:sz w:val="20"/>
                <w:szCs w:val="20"/>
              </w:rPr>
            </w:pPr>
            <w:r w:rsidRPr="00E92067">
              <w:rPr>
                <w:rFonts w:ascii="Arial Narrow" w:hAnsi="Arial Narrow"/>
                <w:sz w:val="20"/>
                <w:szCs w:val="20"/>
              </w:rPr>
              <w:t>1 (0.9%)</w:t>
            </w:r>
          </w:p>
        </w:tc>
      </w:tr>
      <w:tr w:rsidR="00151FBC" w:rsidRPr="00E92067" w:rsidTr="00D33834">
        <w:tc>
          <w:tcPr>
            <w:tcW w:w="3289" w:type="dxa"/>
          </w:tcPr>
          <w:p w:rsidR="00151FBC" w:rsidRPr="00E92067" w:rsidRDefault="00151FBC" w:rsidP="00E87EB4">
            <w:pPr>
              <w:keepNext/>
              <w:keepLines/>
              <w:tabs>
                <w:tab w:val="right" w:pos="2462"/>
              </w:tabs>
              <w:jc w:val="left"/>
              <w:rPr>
                <w:rFonts w:ascii="Arial Narrow" w:hAnsi="Arial Narrow"/>
                <w:sz w:val="20"/>
              </w:rPr>
            </w:pPr>
            <w:r w:rsidRPr="00E92067">
              <w:rPr>
                <w:rFonts w:ascii="Arial Narrow" w:hAnsi="Arial Narrow"/>
                <w:sz w:val="20"/>
              </w:rPr>
              <w:t>- Deaths</w:t>
            </w:r>
          </w:p>
        </w:tc>
        <w:tc>
          <w:tcPr>
            <w:tcW w:w="2739" w:type="dxa"/>
            <w:vAlign w:val="center"/>
          </w:tcPr>
          <w:p w:rsidR="00151FBC" w:rsidRPr="00E92067" w:rsidRDefault="00151FBC" w:rsidP="00E87EB4">
            <w:pPr>
              <w:keepNext/>
              <w:keepLines/>
              <w:jc w:val="center"/>
              <w:rPr>
                <w:rFonts w:ascii="Arial Narrow" w:hAnsi="Arial Narrow"/>
                <w:sz w:val="20"/>
                <w:szCs w:val="20"/>
              </w:rPr>
            </w:pPr>
            <w:r w:rsidRPr="00E92067">
              <w:rPr>
                <w:rFonts w:ascii="Arial Narrow" w:hAnsi="Arial Narrow"/>
                <w:sz w:val="20"/>
                <w:szCs w:val="20"/>
              </w:rPr>
              <w:t>24 (21.8%)</w:t>
            </w:r>
          </w:p>
        </w:tc>
        <w:tc>
          <w:tcPr>
            <w:tcW w:w="2880" w:type="dxa"/>
            <w:vAlign w:val="center"/>
          </w:tcPr>
          <w:p w:rsidR="00151FBC" w:rsidRPr="00E92067" w:rsidRDefault="00151FBC" w:rsidP="00E87EB4">
            <w:pPr>
              <w:keepNext/>
              <w:keepLines/>
              <w:jc w:val="center"/>
              <w:rPr>
                <w:rFonts w:ascii="Arial Narrow" w:hAnsi="Arial Narrow"/>
                <w:sz w:val="20"/>
                <w:szCs w:val="20"/>
              </w:rPr>
            </w:pPr>
            <w:r w:rsidRPr="00E92067">
              <w:rPr>
                <w:rFonts w:ascii="Arial Narrow" w:hAnsi="Arial Narrow"/>
                <w:sz w:val="20"/>
                <w:szCs w:val="20"/>
              </w:rPr>
              <w:t>2 (1.8%)</w:t>
            </w:r>
          </w:p>
        </w:tc>
      </w:tr>
      <w:tr w:rsidR="00151FBC" w:rsidRPr="00E92067" w:rsidTr="00D33834">
        <w:tc>
          <w:tcPr>
            <w:tcW w:w="3289" w:type="dxa"/>
          </w:tcPr>
          <w:p w:rsidR="00151FBC" w:rsidRPr="00E92067" w:rsidRDefault="00151FBC" w:rsidP="00E87EB4">
            <w:pPr>
              <w:keepNext/>
              <w:keepLines/>
              <w:jc w:val="left"/>
              <w:rPr>
                <w:rFonts w:ascii="Arial Narrow" w:hAnsi="Arial Narrow"/>
                <w:sz w:val="20"/>
                <w:szCs w:val="20"/>
              </w:rPr>
            </w:pPr>
            <w:r w:rsidRPr="00E92067">
              <w:rPr>
                <w:rFonts w:ascii="Arial Narrow" w:hAnsi="Arial Narrow"/>
                <w:sz w:val="20"/>
                <w:szCs w:val="20"/>
              </w:rPr>
              <w:t>Censored, N (%)</w:t>
            </w:r>
          </w:p>
        </w:tc>
        <w:tc>
          <w:tcPr>
            <w:tcW w:w="2739" w:type="dxa"/>
          </w:tcPr>
          <w:p w:rsidR="00151FBC" w:rsidRPr="00E92067" w:rsidRDefault="00151FBC" w:rsidP="00E87EB4">
            <w:pPr>
              <w:keepNext/>
              <w:keepLines/>
              <w:jc w:val="center"/>
              <w:rPr>
                <w:rFonts w:ascii="Arial Narrow" w:hAnsi="Arial Narrow"/>
                <w:sz w:val="20"/>
                <w:szCs w:val="20"/>
              </w:rPr>
            </w:pPr>
            <w:r w:rsidRPr="00E92067">
              <w:rPr>
                <w:rFonts w:ascii="Arial Narrow" w:hAnsi="Arial Narrow"/>
                <w:sz w:val="20"/>
                <w:szCs w:val="20"/>
              </w:rPr>
              <w:t>48 (43.6%)</w:t>
            </w:r>
          </w:p>
        </w:tc>
        <w:tc>
          <w:tcPr>
            <w:tcW w:w="2880" w:type="dxa"/>
          </w:tcPr>
          <w:p w:rsidR="00151FBC" w:rsidRPr="00E92067" w:rsidRDefault="00151FBC" w:rsidP="00E87EB4">
            <w:pPr>
              <w:keepNext/>
              <w:keepLines/>
              <w:jc w:val="center"/>
              <w:rPr>
                <w:rFonts w:ascii="Arial Narrow" w:hAnsi="Arial Narrow"/>
                <w:sz w:val="20"/>
                <w:szCs w:val="20"/>
              </w:rPr>
            </w:pPr>
            <w:r w:rsidRPr="00E92067">
              <w:rPr>
                <w:rFonts w:ascii="Arial Narrow" w:hAnsi="Arial Narrow"/>
                <w:sz w:val="20"/>
                <w:szCs w:val="20"/>
              </w:rPr>
              <w:t>89 (80.9%)</w:t>
            </w:r>
          </w:p>
        </w:tc>
      </w:tr>
      <w:tr w:rsidR="00151FBC" w:rsidRPr="00E92067" w:rsidTr="00D33834">
        <w:tc>
          <w:tcPr>
            <w:tcW w:w="3289" w:type="dxa"/>
          </w:tcPr>
          <w:p w:rsidR="00151FBC" w:rsidRPr="00E92067" w:rsidRDefault="00151FBC" w:rsidP="00E87EB4">
            <w:pPr>
              <w:keepNext/>
              <w:keepLines/>
              <w:ind w:right="-51"/>
              <w:jc w:val="left"/>
              <w:rPr>
                <w:rFonts w:ascii="Arial Narrow" w:hAnsi="Arial Narrow"/>
                <w:sz w:val="20"/>
                <w:szCs w:val="20"/>
              </w:rPr>
            </w:pPr>
            <w:r w:rsidRPr="00E92067">
              <w:rPr>
                <w:rFonts w:ascii="Arial Narrow" w:hAnsi="Arial Narrow"/>
                <w:sz w:val="20"/>
                <w:szCs w:val="20"/>
              </w:rPr>
              <w:t>Kaplan-Meier estimate, 18 months (95% CI)</w:t>
            </w:r>
          </w:p>
        </w:tc>
        <w:tc>
          <w:tcPr>
            <w:tcW w:w="2739" w:type="dxa"/>
          </w:tcPr>
          <w:p w:rsidR="00151FBC" w:rsidRPr="00E92067" w:rsidRDefault="00151FBC" w:rsidP="00E87EB4">
            <w:pPr>
              <w:keepNext/>
              <w:keepLines/>
              <w:jc w:val="center"/>
              <w:rPr>
                <w:rFonts w:ascii="Arial Narrow" w:hAnsi="Arial Narrow"/>
                <w:sz w:val="20"/>
                <w:szCs w:val="20"/>
              </w:rPr>
            </w:pPr>
            <w:r w:rsidRPr="00E92067">
              <w:rPr>
                <w:rFonts w:ascii="Arial Narrow" w:hAnsi="Arial Narrow"/>
                <w:sz w:val="20"/>
                <w:szCs w:val="20"/>
              </w:rPr>
              <w:t>0.53 (0.44, 0.62)</w:t>
            </w:r>
          </w:p>
        </w:tc>
        <w:tc>
          <w:tcPr>
            <w:tcW w:w="2880" w:type="dxa"/>
          </w:tcPr>
          <w:p w:rsidR="00151FBC" w:rsidRPr="00E92067" w:rsidRDefault="00151FBC" w:rsidP="00E87EB4">
            <w:pPr>
              <w:keepNext/>
              <w:keepLines/>
              <w:jc w:val="center"/>
              <w:rPr>
                <w:rFonts w:ascii="Arial Narrow" w:hAnsi="Arial Narrow"/>
                <w:sz w:val="20"/>
                <w:szCs w:val="20"/>
              </w:rPr>
            </w:pPr>
            <w:r w:rsidRPr="00E92067">
              <w:rPr>
                <w:rFonts w:ascii="Arial Narrow" w:hAnsi="Arial Narrow"/>
                <w:sz w:val="20"/>
                <w:szCs w:val="20"/>
              </w:rPr>
              <w:t>0.54 (0.33, 0.70)</w:t>
            </w:r>
          </w:p>
        </w:tc>
      </w:tr>
      <w:tr w:rsidR="00151FBC" w:rsidRPr="00E92067" w:rsidTr="00D33834">
        <w:tc>
          <w:tcPr>
            <w:tcW w:w="3289" w:type="dxa"/>
          </w:tcPr>
          <w:p w:rsidR="00151FBC" w:rsidRPr="00E92067" w:rsidRDefault="00151FBC" w:rsidP="00E87EB4">
            <w:pPr>
              <w:keepNext/>
              <w:keepLines/>
              <w:jc w:val="left"/>
              <w:rPr>
                <w:rFonts w:ascii="Arial Narrow" w:hAnsi="Arial Narrow"/>
                <w:sz w:val="20"/>
                <w:szCs w:val="20"/>
              </w:rPr>
            </w:pPr>
            <w:r w:rsidRPr="00E92067">
              <w:rPr>
                <w:rFonts w:ascii="Arial Narrow" w:hAnsi="Arial Narrow"/>
                <w:sz w:val="20"/>
                <w:szCs w:val="20"/>
              </w:rPr>
              <w:t>RFS median, months (95% CI)</w:t>
            </w:r>
          </w:p>
        </w:tc>
        <w:tc>
          <w:tcPr>
            <w:tcW w:w="2739" w:type="dxa"/>
          </w:tcPr>
          <w:p w:rsidR="00151FBC" w:rsidRPr="00E92067" w:rsidRDefault="00151FBC" w:rsidP="00E87EB4">
            <w:pPr>
              <w:keepNext/>
              <w:keepLines/>
              <w:widowControl/>
              <w:jc w:val="center"/>
              <w:rPr>
                <w:rFonts w:ascii="Arial Narrow" w:hAnsi="Arial Narrow"/>
                <w:sz w:val="20"/>
              </w:rPr>
            </w:pPr>
            <w:r w:rsidRPr="00E92067">
              <w:rPr>
                <w:rFonts w:ascii="Arial Narrow" w:hAnsi="Arial Narrow"/>
                <w:sz w:val="20"/>
              </w:rPr>
              <w:t>18.9 months (12.3, 35.2)</w:t>
            </w:r>
          </w:p>
        </w:tc>
        <w:tc>
          <w:tcPr>
            <w:tcW w:w="2880" w:type="dxa"/>
          </w:tcPr>
          <w:p w:rsidR="00151FBC" w:rsidRPr="00E92067" w:rsidRDefault="00151FBC" w:rsidP="00E87EB4">
            <w:pPr>
              <w:keepNext/>
              <w:keepLines/>
              <w:widowControl/>
              <w:jc w:val="center"/>
              <w:rPr>
                <w:rFonts w:ascii="Arial Narrow" w:hAnsi="Arial Narrow"/>
                <w:sz w:val="20"/>
              </w:rPr>
            </w:pPr>
            <w:r w:rsidRPr="00E92067">
              <w:rPr>
                <w:rFonts w:ascii="Arial Narrow" w:hAnsi="Arial Narrow"/>
                <w:sz w:val="20"/>
              </w:rPr>
              <w:t>NE months (6.3, NE)</w:t>
            </w:r>
          </w:p>
        </w:tc>
      </w:tr>
    </w:tbl>
    <w:p w:rsidR="00151FBC" w:rsidRPr="00E92067" w:rsidRDefault="00151FBC" w:rsidP="00E87EB4">
      <w:pPr>
        <w:keepNext/>
        <w:keepLines/>
        <w:rPr>
          <w:rStyle w:val="CommentReference"/>
          <w:b w:val="0"/>
          <w:sz w:val="18"/>
          <w:szCs w:val="18"/>
        </w:rPr>
      </w:pPr>
      <w:r w:rsidRPr="00E92067">
        <w:rPr>
          <w:rStyle w:val="CommentReference"/>
          <w:b w:val="0"/>
          <w:sz w:val="18"/>
          <w:szCs w:val="18"/>
        </w:rPr>
        <w:t>Source: Table 35, p.61 of the submission.</w:t>
      </w:r>
    </w:p>
    <w:p w:rsidR="00151FBC" w:rsidRPr="00E92067" w:rsidRDefault="00151FBC" w:rsidP="00E87EB4">
      <w:pPr>
        <w:keepNext/>
        <w:keepLines/>
        <w:rPr>
          <w:rStyle w:val="CommentReference"/>
          <w:b w:val="0"/>
          <w:sz w:val="18"/>
          <w:szCs w:val="18"/>
        </w:rPr>
      </w:pPr>
      <w:r w:rsidRPr="00E92067">
        <w:rPr>
          <w:rStyle w:val="CommentReference"/>
          <w:b w:val="0"/>
          <w:sz w:val="18"/>
          <w:szCs w:val="18"/>
        </w:rPr>
        <w:t>Abbreviations: alloHSCT, allogeneic haematopoietic stem cell transplantation; CI, confidence interval; FAS, full analysis set; NE, not estimable; RFS, relapse free survival.</w:t>
      </w:r>
    </w:p>
    <w:p w:rsidR="00151FBC" w:rsidRPr="00E92067" w:rsidRDefault="00151FBC" w:rsidP="00E87EB4">
      <w:pPr>
        <w:keepNext/>
        <w:keepLines/>
        <w:rPr>
          <w:rStyle w:val="CommentReference"/>
          <w:b w:val="0"/>
          <w:sz w:val="18"/>
          <w:szCs w:val="18"/>
        </w:rPr>
      </w:pPr>
      <w:r w:rsidRPr="00E92067">
        <w:rPr>
          <w:rStyle w:val="CommentReference"/>
          <w:b w:val="0"/>
          <w:sz w:val="18"/>
          <w:szCs w:val="18"/>
          <w:vertAlign w:val="superscript"/>
        </w:rPr>
        <w:t>a</w:t>
      </w:r>
      <w:r w:rsidRPr="00E92067">
        <w:rPr>
          <w:rStyle w:val="CommentReference"/>
          <w:b w:val="0"/>
          <w:sz w:val="18"/>
          <w:szCs w:val="18"/>
        </w:rPr>
        <w:t xml:space="preserve"> Chemotherapy following treatment with blinatumomab.</w:t>
      </w:r>
    </w:p>
    <w:p w:rsidR="00FF2187" w:rsidRPr="00E92067" w:rsidRDefault="00FF2187" w:rsidP="00E87EB4">
      <w:pPr>
        <w:keepNext/>
        <w:keepLines/>
        <w:rPr>
          <w:rStyle w:val="CommentReference"/>
          <w:b w:val="0"/>
          <w:sz w:val="18"/>
          <w:szCs w:val="18"/>
        </w:rPr>
      </w:pPr>
      <w:r w:rsidRPr="00E92067">
        <w:rPr>
          <w:rStyle w:val="CommentReference"/>
          <w:b w:val="0"/>
          <w:sz w:val="18"/>
          <w:szCs w:val="18"/>
        </w:rPr>
        <w:t>NOTE: the key secondary endpoint full analysis set excluded 6 patients: 5 Philadelphia positive patients; and 1 patient with MRD assay &lt;5×10</w:t>
      </w:r>
      <w:r w:rsidRPr="00E92067">
        <w:rPr>
          <w:rStyle w:val="CommentReference"/>
          <w:b w:val="0"/>
          <w:sz w:val="18"/>
          <w:szCs w:val="18"/>
          <w:vertAlign w:val="superscript"/>
        </w:rPr>
        <w:t>-4</w:t>
      </w:r>
      <w:r w:rsidRPr="00E92067">
        <w:rPr>
          <w:rStyle w:val="CommentReference"/>
          <w:b w:val="0"/>
          <w:sz w:val="18"/>
          <w:szCs w:val="18"/>
        </w:rPr>
        <w:t>.</w:t>
      </w:r>
    </w:p>
    <w:p w:rsidR="00151FBC" w:rsidRPr="00E92067" w:rsidRDefault="00151FBC" w:rsidP="00151FBC"/>
    <w:p w:rsidR="00151FBC" w:rsidRPr="00E92067" w:rsidRDefault="00151FBC" w:rsidP="00151FBC">
      <w:pPr>
        <w:keepNext/>
        <w:keepLines/>
        <w:rPr>
          <w:rStyle w:val="CommentReference"/>
        </w:rPr>
      </w:pPr>
      <w:r w:rsidRPr="00E92067">
        <w:rPr>
          <w:rStyle w:val="CommentReference"/>
        </w:rPr>
        <w:t>Figure 1: BLAST Kaplan-Meier curves for haematological RFS (FAS, not censored or censored at alloHSCT or post-blinatumomab chemotherapy)</w:t>
      </w:r>
    </w:p>
    <w:p w:rsidR="00151FBC" w:rsidRPr="00E92067" w:rsidRDefault="00151FBC" w:rsidP="00151FBC">
      <w:r w:rsidRPr="00E92067">
        <w:rPr>
          <w:noProof/>
          <w:lang w:eastAsia="en-AU"/>
        </w:rPr>
        <w:drawing>
          <wp:inline distT="0" distB="0" distL="0" distR="0" wp14:anchorId="67B658D2" wp14:editId="597A69BF">
            <wp:extent cx="5742368" cy="2957885"/>
            <wp:effectExtent l="0" t="0" r="0" b="0"/>
            <wp:docPr id="26" name="Picture 26" descr="/Users/brittanymaguire/Desktop/Screen Shot 2017-12-29 at 2.30.02 pm.png" title="Figure 1: BLAST Kaplan-Meier curves for haematological RFS (FAS, not censored or censored at alloHSCT or post-blinatumomab chemo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brittanymaguire/Desktop/Screen Shot 2017-12-29 at 2.30.02 pm.png"/>
                    <pic:cNvPicPr>
                      <a:picLocks noChangeAspect="1" noChangeArrowheads="1"/>
                    </pic:cNvPicPr>
                  </pic:nvPicPr>
                  <pic:blipFill rotWithShape="1">
                    <a:blip r:embed="rId8">
                      <a:extLst>
                        <a:ext uri="{28A0092B-C50C-407E-A947-70E740481C1C}">
                          <a14:useLocalDpi xmlns:a14="http://schemas.microsoft.com/office/drawing/2010/main" val="0"/>
                        </a:ext>
                      </a:extLst>
                    </a:blip>
                    <a:srcRect/>
                    <a:stretch/>
                  </pic:blipFill>
                  <pic:spPr bwMode="auto">
                    <a:xfrm>
                      <a:off x="0" y="0"/>
                      <a:ext cx="5806130" cy="2990729"/>
                    </a:xfrm>
                    <a:prstGeom prst="rect">
                      <a:avLst/>
                    </a:prstGeom>
                    <a:noFill/>
                    <a:ln>
                      <a:noFill/>
                    </a:ln>
                    <a:extLst>
                      <a:ext uri="{53640926-AAD7-44D8-BBD7-CCE9431645EC}">
                        <a14:shadowObscured xmlns:a14="http://schemas.microsoft.com/office/drawing/2010/main"/>
                      </a:ext>
                    </a:extLst>
                  </pic:spPr>
                </pic:pic>
              </a:graphicData>
            </a:graphic>
          </wp:inline>
        </w:drawing>
      </w:r>
    </w:p>
    <w:p w:rsidR="00151FBC" w:rsidRPr="00E92067" w:rsidRDefault="00151FBC" w:rsidP="00151FBC">
      <w:pPr>
        <w:keepNext/>
        <w:keepLines/>
        <w:rPr>
          <w:rStyle w:val="CommentReference"/>
          <w:b w:val="0"/>
          <w:sz w:val="18"/>
          <w:szCs w:val="18"/>
        </w:rPr>
      </w:pPr>
      <w:r w:rsidRPr="00E92067">
        <w:rPr>
          <w:rStyle w:val="CommentReference"/>
          <w:b w:val="0"/>
          <w:sz w:val="18"/>
          <w:szCs w:val="18"/>
        </w:rPr>
        <w:t>Source: Figure 11, p.62 of the submission; Figure 10.1, p.71 of MT103-203 CSR Jan 2016.</w:t>
      </w:r>
    </w:p>
    <w:p w:rsidR="00151FBC" w:rsidRPr="00E92067" w:rsidRDefault="00151FBC" w:rsidP="00151FBC">
      <w:pPr>
        <w:keepNext/>
        <w:keepLines/>
        <w:rPr>
          <w:rStyle w:val="CommentReference"/>
          <w:b w:val="0"/>
          <w:sz w:val="18"/>
          <w:szCs w:val="18"/>
        </w:rPr>
      </w:pPr>
      <w:r w:rsidRPr="00E92067">
        <w:rPr>
          <w:rStyle w:val="CommentReference"/>
          <w:b w:val="0"/>
          <w:sz w:val="18"/>
          <w:szCs w:val="18"/>
        </w:rPr>
        <w:t>Abbreviations: HSCT, haematopoietic stem cell transplantation; RFS relapse free survival.</w:t>
      </w:r>
    </w:p>
    <w:p w:rsidR="00151FBC" w:rsidRPr="00E92067" w:rsidRDefault="00151FBC" w:rsidP="00151FBC">
      <w:pPr>
        <w:widowControl/>
        <w:rPr>
          <w:color w:val="3366FF"/>
        </w:rPr>
      </w:pPr>
    </w:p>
    <w:p w:rsidR="00151FBC" w:rsidRPr="00E92067" w:rsidRDefault="00F91CB1" w:rsidP="001613D3">
      <w:pPr>
        <w:pStyle w:val="ListParagraph"/>
        <w:widowControl/>
        <w:numPr>
          <w:ilvl w:val="1"/>
          <w:numId w:val="2"/>
        </w:numPr>
      </w:pPr>
      <w:r w:rsidRPr="00E92067">
        <w:t xml:space="preserve">Median relapse free survival was 18.9 months without censoring at alloHSCT or after post-blinatumomab chemotherapy. </w:t>
      </w:r>
      <w:r w:rsidR="00657F8B" w:rsidRPr="00E92067">
        <w:t>When c</w:t>
      </w:r>
      <w:r w:rsidR="00151FBC" w:rsidRPr="00E92067">
        <w:t>ensor</w:t>
      </w:r>
      <w:r w:rsidR="00657F8B" w:rsidRPr="00E92067">
        <w:t>ed</w:t>
      </w:r>
      <w:r w:rsidR="00151FBC" w:rsidRPr="00E92067">
        <w:t xml:space="preserve"> for alloHSCT and post-blinatumomab chemotherapy, median relapse free survival was not reached.</w:t>
      </w:r>
    </w:p>
    <w:p w:rsidR="00151FBC" w:rsidRPr="00E92067" w:rsidRDefault="00151FBC" w:rsidP="001613D3">
      <w:pPr>
        <w:pStyle w:val="ListParagraph"/>
        <w:widowControl/>
        <w:numPr>
          <w:ilvl w:val="1"/>
          <w:numId w:val="2"/>
        </w:numPr>
      </w:pPr>
      <w:r w:rsidRPr="00E92067">
        <w:t>Table 6 and Figure 2 summarise the results of the BLAST study for overall survival for analyses censored and not censored at alloHSCT or after post-blinatumomab chemotherapy.</w:t>
      </w:r>
    </w:p>
    <w:p w:rsidR="00151FBC" w:rsidRPr="00E92067" w:rsidRDefault="00151FBC" w:rsidP="00151FBC">
      <w:pPr>
        <w:keepNext/>
        <w:keepLines/>
        <w:rPr>
          <w:rFonts w:ascii="Arial Narrow" w:hAnsi="Arial Narrow" w:cstheme="minorHAnsi"/>
          <w:b/>
          <w:sz w:val="20"/>
          <w:szCs w:val="20"/>
        </w:rPr>
      </w:pPr>
      <w:r w:rsidRPr="00E92067">
        <w:rPr>
          <w:rFonts w:ascii="Arial Narrow" w:hAnsi="Arial Narrow" w:cstheme="minorHAnsi"/>
          <w:b/>
          <w:sz w:val="20"/>
          <w:szCs w:val="20"/>
        </w:rPr>
        <w:t>Table 6: BLAST overall survival (FAS; not censored or censored at alloHSCT or post-blinatumomab chemotherapy)</w:t>
      </w:r>
    </w:p>
    <w:tbl>
      <w:tblPr>
        <w:tblStyle w:val="TableGrid"/>
        <w:tblW w:w="0" w:type="auto"/>
        <w:tblInd w:w="108" w:type="dxa"/>
        <w:tblLook w:val="04A0" w:firstRow="1" w:lastRow="0" w:firstColumn="1" w:lastColumn="0" w:noHBand="0" w:noVBand="1"/>
        <w:tblCaption w:val="Table 6: BLAST overall survival (FAS; not censored or censored at alloHSCT or post-blinatumomab chemotherapy)"/>
      </w:tblPr>
      <w:tblGrid>
        <w:gridCol w:w="3289"/>
        <w:gridCol w:w="2809"/>
        <w:gridCol w:w="2810"/>
      </w:tblGrid>
      <w:tr w:rsidR="00151FBC" w:rsidRPr="00E92067" w:rsidTr="00600987">
        <w:trPr>
          <w:tblHeader/>
        </w:trPr>
        <w:tc>
          <w:tcPr>
            <w:tcW w:w="3289" w:type="dxa"/>
            <w:vMerge w:val="restart"/>
            <w:vAlign w:val="center"/>
          </w:tcPr>
          <w:p w:rsidR="00151FBC" w:rsidRPr="00E92067" w:rsidRDefault="00151FBC" w:rsidP="00151FBC">
            <w:pPr>
              <w:keepNext/>
              <w:keepLines/>
              <w:rPr>
                <w:rFonts w:ascii="Arial Narrow" w:hAnsi="Arial Narrow"/>
                <w:b/>
                <w:sz w:val="20"/>
              </w:rPr>
            </w:pPr>
            <w:r w:rsidRPr="00E92067">
              <w:rPr>
                <w:rFonts w:ascii="Arial Narrow" w:hAnsi="Arial Narrow"/>
                <w:b/>
                <w:sz w:val="20"/>
                <w:szCs w:val="20"/>
              </w:rPr>
              <w:t>Overall survival</w:t>
            </w:r>
          </w:p>
        </w:tc>
        <w:tc>
          <w:tcPr>
            <w:tcW w:w="5619" w:type="dxa"/>
            <w:gridSpan w:val="2"/>
            <w:vAlign w:val="center"/>
          </w:tcPr>
          <w:p w:rsidR="00151FBC" w:rsidRPr="00E92067" w:rsidRDefault="002761A3" w:rsidP="002761A3">
            <w:pPr>
              <w:keepNext/>
              <w:keepLines/>
              <w:ind w:left="-65" w:right="-79"/>
              <w:jc w:val="center"/>
              <w:rPr>
                <w:rFonts w:ascii="Arial Narrow" w:hAnsi="Arial Narrow"/>
                <w:b/>
                <w:sz w:val="20"/>
              </w:rPr>
            </w:pPr>
            <w:r w:rsidRPr="00E92067">
              <w:rPr>
                <w:rFonts w:ascii="Arial Narrow" w:hAnsi="Arial Narrow"/>
                <w:b/>
                <w:sz w:val="20"/>
                <w:szCs w:val="20"/>
              </w:rPr>
              <w:t>Full analysis set</w:t>
            </w:r>
            <w:r w:rsidR="00151FBC" w:rsidRPr="00E92067">
              <w:rPr>
                <w:rFonts w:ascii="Arial Narrow" w:hAnsi="Arial Narrow"/>
                <w:b/>
                <w:sz w:val="20"/>
                <w:szCs w:val="20"/>
              </w:rPr>
              <w:t xml:space="preserve"> (N=116)</w:t>
            </w:r>
          </w:p>
        </w:tc>
      </w:tr>
      <w:tr w:rsidR="00151FBC" w:rsidRPr="00E92067" w:rsidTr="00600987">
        <w:trPr>
          <w:tblHeader/>
        </w:trPr>
        <w:tc>
          <w:tcPr>
            <w:tcW w:w="3289" w:type="dxa"/>
            <w:vMerge/>
          </w:tcPr>
          <w:p w:rsidR="00151FBC" w:rsidRPr="00E92067" w:rsidRDefault="00151FBC" w:rsidP="00151FBC">
            <w:pPr>
              <w:keepNext/>
              <w:keepLines/>
              <w:rPr>
                <w:rFonts w:ascii="Arial Narrow" w:hAnsi="Arial Narrow"/>
                <w:b/>
                <w:sz w:val="20"/>
              </w:rPr>
            </w:pPr>
          </w:p>
        </w:tc>
        <w:tc>
          <w:tcPr>
            <w:tcW w:w="2809" w:type="dxa"/>
            <w:vAlign w:val="center"/>
          </w:tcPr>
          <w:p w:rsidR="00151FBC" w:rsidRPr="00E92067" w:rsidRDefault="00151FBC" w:rsidP="00151FBC">
            <w:pPr>
              <w:keepNext/>
              <w:keepLines/>
              <w:ind w:left="-65" w:right="-79"/>
              <w:jc w:val="center"/>
              <w:rPr>
                <w:rFonts w:ascii="Arial Narrow" w:hAnsi="Arial Narrow"/>
                <w:b/>
                <w:sz w:val="20"/>
              </w:rPr>
            </w:pPr>
            <w:r w:rsidRPr="00E92067">
              <w:rPr>
                <w:rFonts w:ascii="Arial Narrow" w:hAnsi="Arial Narrow"/>
                <w:b/>
                <w:sz w:val="20"/>
              </w:rPr>
              <w:t>Not censored at alloHSCT or chemotherapy</w:t>
            </w:r>
            <w:r w:rsidRPr="00E92067">
              <w:rPr>
                <w:rFonts w:ascii="Arial Narrow" w:hAnsi="Arial Narrow"/>
                <w:b/>
                <w:sz w:val="20"/>
                <w:vertAlign w:val="superscript"/>
              </w:rPr>
              <w:t>a</w:t>
            </w:r>
          </w:p>
        </w:tc>
        <w:tc>
          <w:tcPr>
            <w:tcW w:w="2810" w:type="dxa"/>
            <w:vAlign w:val="center"/>
          </w:tcPr>
          <w:p w:rsidR="00151FBC" w:rsidRPr="00E92067" w:rsidRDefault="00151FBC" w:rsidP="00151FBC">
            <w:pPr>
              <w:keepNext/>
              <w:keepLines/>
              <w:ind w:left="-65" w:right="-79"/>
              <w:jc w:val="center"/>
              <w:rPr>
                <w:rFonts w:ascii="Arial Narrow" w:hAnsi="Arial Narrow"/>
                <w:b/>
                <w:sz w:val="20"/>
                <w:vertAlign w:val="superscript"/>
              </w:rPr>
            </w:pPr>
            <w:r w:rsidRPr="00E92067">
              <w:rPr>
                <w:rFonts w:ascii="Arial Narrow" w:hAnsi="Arial Narrow"/>
                <w:b/>
                <w:sz w:val="20"/>
              </w:rPr>
              <w:t>Censored at alloHSCT or chemotherapy</w:t>
            </w:r>
            <w:r w:rsidRPr="00E92067">
              <w:rPr>
                <w:rFonts w:ascii="Arial Narrow" w:hAnsi="Arial Narrow"/>
                <w:b/>
                <w:sz w:val="20"/>
                <w:vertAlign w:val="superscript"/>
              </w:rPr>
              <w:t>a</w:t>
            </w:r>
          </w:p>
        </w:tc>
      </w:tr>
      <w:tr w:rsidR="00151FBC" w:rsidRPr="00E92067" w:rsidTr="00D33834">
        <w:tc>
          <w:tcPr>
            <w:tcW w:w="3289" w:type="dxa"/>
            <w:tcBorders>
              <w:bottom w:val="single" w:sz="4" w:space="0" w:color="auto"/>
            </w:tcBorders>
          </w:tcPr>
          <w:p w:rsidR="00151FBC" w:rsidRPr="00E92067" w:rsidRDefault="00151FBC" w:rsidP="00151FBC">
            <w:pPr>
              <w:keepNext/>
              <w:keepLines/>
              <w:jc w:val="left"/>
              <w:rPr>
                <w:rFonts w:ascii="Arial Narrow" w:hAnsi="Arial Narrow"/>
                <w:sz w:val="20"/>
                <w:szCs w:val="20"/>
              </w:rPr>
            </w:pPr>
            <w:r w:rsidRPr="00E92067">
              <w:rPr>
                <w:rFonts w:ascii="Arial Narrow" w:hAnsi="Arial Narrow"/>
                <w:sz w:val="20"/>
                <w:szCs w:val="20"/>
              </w:rPr>
              <w:t>Survival events (deaths), N (%)</w:t>
            </w:r>
          </w:p>
        </w:tc>
        <w:tc>
          <w:tcPr>
            <w:tcW w:w="2809" w:type="dxa"/>
            <w:tcBorders>
              <w:bottom w:val="single" w:sz="4" w:space="0" w:color="auto"/>
            </w:tcBorders>
            <w:vAlign w:val="center"/>
          </w:tcPr>
          <w:p w:rsidR="00151FBC" w:rsidRPr="00E92067" w:rsidRDefault="00151FBC" w:rsidP="00151FBC">
            <w:pPr>
              <w:keepNext/>
              <w:keepLines/>
              <w:jc w:val="center"/>
              <w:rPr>
                <w:rFonts w:ascii="Arial Narrow" w:hAnsi="Arial Narrow"/>
                <w:sz w:val="20"/>
                <w:szCs w:val="20"/>
              </w:rPr>
            </w:pPr>
            <w:r w:rsidRPr="00E92067">
              <w:rPr>
                <w:rFonts w:ascii="Arial Narrow" w:hAnsi="Arial Narrow"/>
                <w:sz w:val="20"/>
                <w:szCs w:val="20"/>
              </w:rPr>
              <w:t>53 (45.7%)</w:t>
            </w:r>
          </w:p>
        </w:tc>
        <w:tc>
          <w:tcPr>
            <w:tcW w:w="2810" w:type="dxa"/>
            <w:tcBorders>
              <w:bottom w:val="single" w:sz="4" w:space="0" w:color="auto"/>
            </w:tcBorders>
            <w:vAlign w:val="center"/>
          </w:tcPr>
          <w:p w:rsidR="00151FBC" w:rsidRPr="00E92067" w:rsidRDefault="00151FBC" w:rsidP="00151FBC">
            <w:pPr>
              <w:keepNext/>
              <w:keepLines/>
              <w:jc w:val="center"/>
              <w:rPr>
                <w:rFonts w:ascii="Arial Narrow" w:hAnsi="Arial Narrow"/>
                <w:sz w:val="20"/>
                <w:szCs w:val="20"/>
              </w:rPr>
            </w:pPr>
            <w:r w:rsidRPr="00E92067">
              <w:rPr>
                <w:rFonts w:ascii="Arial Narrow" w:hAnsi="Arial Narrow"/>
                <w:sz w:val="20"/>
                <w:szCs w:val="20"/>
              </w:rPr>
              <w:t>5 (4.3%)</w:t>
            </w:r>
          </w:p>
        </w:tc>
      </w:tr>
      <w:tr w:rsidR="00151FBC" w:rsidRPr="00E92067" w:rsidTr="00D33834">
        <w:tc>
          <w:tcPr>
            <w:tcW w:w="3289" w:type="dxa"/>
          </w:tcPr>
          <w:p w:rsidR="00151FBC" w:rsidRPr="00E92067" w:rsidRDefault="00151FBC" w:rsidP="00151FBC">
            <w:pPr>
              <w:keepNext/>
              <w:keepLines/>
              <w:jc w:val="left"/>
              <w:rPr>
                <w:rFonts w:ascii="Arial Narrow" w:hAnsi="Arial Narrow"/>
                <w:sz w:val="20"/>
                <w:szCs w:val="20"/>
              </w:rPr>
            </w:pPr>
            <w:r w:rsidRPr="00E92067">
              <w:rPr>
                <w:rFonts w:ascii="Arial Narrow" w:hAnsi="Arial Narrow"/>
                <w:sz w:val="20"/>
                <w:szCs w:val="20"/>
              </w:rPr>
              <w:t>Censored, N (%)</w:t>
            </w:r>
          </w:p>
        </w:tc>
        <w:tc>
          <w:tcPr>
            <w:tcW w:w="2809" w:type="dxa"/>
          </w:tcPr>
          <w:p w:rsidR="00151FBC" w:rsidRPr="00E92067" w:rsidRDefault="00151FBC" w:rsidP="00151FBC">
            <w:pPr>
              <w:keepNext/>
              <w:keepLines/>
              <w:jc w:val="center"/>
              <w:rPr>
                <w:rFonts w:ascii="Arial Narrow" w:hAnsi="Arial Narrow"/>
                <w:sz w:val="20"/>
                <w:szCs w:val="20"/>
              </w:rPr>
            </w:pPr>
            <w:r w:rsidRPr="00E92067">
              <w:rPr>
                <w:rFonts w:ascii="Arial Narrow" w:hAnsi="Arial Narrow"/>
                <w:sz w:val="20"/>
                <w:szCs w:val="20"/>
              </w:rPr>
              <w:t>63 (54.3%)</w:t>
            </w:r>
          </w:p>
        </w:tc>
        <w:tc>
          <w:tcPr>
            <w:tcW w:w="2810" w:type="dxa"/>
          </w:tcPr>
          <w:p w:rsidR="00151FBC" w:rsidRPr="00E92067" w:rsidRDefault="00151FBC" w:rsidP="00151FBC">
            <w:pPr>
              <w:keepNext/>
              <w:keepLines/>
              <w:jc w:val="center"/>
              <w:rPr>
                <w:rFonts w:ascii="Arial Narrow" w:hAnsi="Arial Narrow"/>
                <w:sz w:val="20"/>
                <w:szCs w:val="20"/>
              </w:rPr>
            </w:pPr>
            <w:r w:rsidRPr="00E92067">
              <w:rPr>
                <w:rFonts w:ascii="Arial Narrow" w:hAnsi="Arial Narrow"/>
                <w:sz w:val="20"/>
                <w:szCs w:val="20"/>
              </w:rPr>
              <w:t>111 (95.7%)</w:t>
            </w:r>
          </w:p>
        </w:tc>
      </w:tr>
      <w:tr w:rsidR="00151FBC" w:rsidRPr="00E92067" w:rsidTr="00D33834">
        <w:trPr>
          <w:trHeight w:val="64"/>
        </w:trPr>
        <w:tc>
          <w:tcPr>
            <w:tcW w:w="3289" w:type="dxa"/>
          </w:tcPr>
          <w:p w:rsidR="00151FBC" w:rsidRPr="00E92067" w:rsidRDefault="00151FBC" w:rsidP="00151FBC">
            <w:pPr>
              <w:keepNext/>
              <w:keepLines/>
              <w:jc w:val="left"/>
              <w:rPr>
                <w:rFonts w:ascii="Arial Narrow" w:hAnsi="Arial Narrow"/>
                <w:sz w:val="20"/>
                <w:szCs w:val="20"/>
              </w:rPr>
            </w:pPr>
            <w:r w:rsidRPr="00E92067">
              <w:rPr>
                <w:rFonts w:ascii="Arial Narrow" w:hAnsi="Arial Narrow"/>
                <w:sz w:val="20"/>
                <w:szCs w:val="20"/>
              </w:rPr>
              <w:t xml:space="preserve">OS median months (95% CI) </w:t>
            </w:r>
          </w:p>
        </w:tc>
        <w:tc>
          <w:tcPr>
            <w:tcW w:w="2809" w:type="dxa"/>
            <w:vAlign w:val="center"/>
          </w:tcPr>
          <w:p w:rsidR="00151FBC" w:rsidRPr="00E92067" w:rsidRDefault="00151FBC" w:rsidP="00151FBC">
            <w:pPr>
              <w:keepNext/>
              <w:keepLines/>
              <w:jc w:val="center"/>
              <w:rPr>
                <w:rFonts w:ascii="Arial Narrow" w:hAnsi="Arial Narrow"/>
                <w:sz w:val="20"/>
                <w:szCs w:val="20"/>
              </w:rPr>
            </w:pPr>
            <w:r w:rsidRPr="00E92067">
              <w:rPr>
                <w:rFonts w:ascii="Arial Narrow" w:hAnsi="Arial Narrow"/>
                <w:sz w:val="20"/>
                <w:szCs w:val="20"/>
              </w:rPr>
              <w:t>36.5 (19.2, NE)</w:t>
            </w:r>
          </w:p>
        </w:tc>
        <w:tc>
          <w:tcPr>
            <w:tcW w:w="2810" w:type="dxa"/>
            <w:vAlign w:val="center"/>
          </w:tcPr>
          <w:p w:rsidR="00151FBC" w:rsidRPr="00E92067" w:rsidRDefault="00151FBC" w:rsidP="00151FBC">
            <w:pPr>
              <w:keepNext/>
              <w:keepLines/>
              <w:jc w:val="center"/>
              <w:rPr>
                <w:rFonts w:ascii="Arial Narrow" w:hAnsi="Arial Narrow"/>
                <w:sz w:val="20"/>
                <w:szCs w:val="20"/>
              </w:rPr>
            </w:pPr>
            <w:r w:rsidRPr="00E92067">
              <w:rPr>
                <w:rFonts w:ascii="Arial Narrow" w:hAnsi="Arial Narrow"/>
                <w:sz w:val="20"/>
                <w:szCs w:val="20"/>
              </w:rPr>
              <w:t>NE</w:t>
            </w:r>
          </w:p>
        </w:tc>
      </w:tr>
    </w:tbl>
    <w:p w:rsidR="00151FBC" w:rsidRPr="00E92067" w:rsidRDefault="00151FBC" w:rsidP="00151FBC">
      <w:pPr>
        <w:jc w:val="left"/>
        <w:rPr>
          <w:rFonts w:ascii="Arial Narrow" w:hAnsi="Arial Narrow" w:cstheme="minorHAnsi"/>
          <w:sz w:val="18"/>
          <w:szCs w:val="18"/>
        </w:rPr>
      </w:pPr>
      <w:r w:rsidRPr="00E92067">
        <w:rPr>
          <w:rFonts w:ascii="Arial Narrow" w:hAnsi="Arial Narrow" w:cstheme="minorHAnsi"/>
          <w:sz w:val="18"/>
          <w:szCs w:val="18"/>
        </w:rPr>
        <w:t>Source: Table 35, p.61 of the submission and Table 14-4.3.1, p.189 of MT103-203 CSR Jan 2016.</w:t>
      </w:r>
    </w:p>
    <w:p w:rsidR="00151FBC" w:rsidRPr="00E92067" w:rsidRDefault="00151FBC" w:rsidP="00151FBC">
      <w:pPr>
        <w:rPr>
          <w:rFonts w:ascii="Arial Narrow" w:hAnsi="Arial Narrow" w:cstheme="minorHAnsi"/>
          <w:sz w:val="18"/>
          <w:szCs w:val="18"/>
        </w:rPr>
      </w:pPr>
      <w:r w:rsidRPr="00E92067">
        <w:rPr>
          <w:rFonts w:ascii="Arial Narrow" w:hAnsi="Arial Narrow" w:cstheme="minorHAnsi"/>
          <w:sz w:val="18"/>
          <w:szCs w:val="18"/>
        </w:rPr>
        <w:t xml:space="preserve">Abbreviations: </w:t>
      </w:r>
      <w:r w:rsidRPr="00E92067">
        <w:rPr>
          <w:rFonts w:ascii="Arial Narrow" w:hAnsi="Arial Narrow" w:cstheme="minorHAnsi"/>
          <w:color w:val="000000"/>
          <w:sz w:val="18"/>
          <w:szCs w:val="18"/>
          <w:lang w:eastAsia="en-AU"/>
        </w:rPr>
        <w:t>alloHSCT, allogeneic haematopoietic stem cell transplantation;</w:t>
      </w:r>
      <w:r w:rsidRPr="00E92067">
        <w:rPr>
          <w:rFonts w:ascii="Arial Narrow" w:hAnsi="Arial Narrow"/>
          <w:sz w:val="18"/>
          <w:szCs w:val="18"/>
        </w:rPr>
        <w:t xml:space="preserve"> </w:t>
      </w:r>
      <w:r w:rsidRPr="00E92067">
        <w:rPr>
          <w:rFonts w:ascii="Arial Narrow" w:hAnsi="Arial Narrow" w:cstheme="minorHAnsi"/>
          <w:sz w:val="18"/>
          <w:szCs w:val="18"/>
        </w:rPr>
        <w:t>CI, confidence interval; FAS, full analysis set; NE, not estimable; OS, overall survival.</w:t>
      </w:r>
    </w:p>
    <w:p w:rsidR="00151FBC" w:rsidRPr="00600987" w:rsidRDefault="00151FBC" w:rsidP="007658D7">
      <w:pPr>
        <w:rPr>
          <w:rFonts w:ascii="Arial Narrow" w:hAnsi="Arial Narrow"/>
          <w:sz w:val="18"/>
          <w:szCs w:val="18"/>
        </w:rPr>
      </w:pPr>
      <w:r w:rsidRPr="00E92067">
        <w:rPr>
          <w:rFonts w:ascii="Arial Narrow" w:hAnsi="Arial Narrow"/>
          <w:sz w:val="18"/>
          <w:szCs w:val="18"/>
          <w:vertAlign w:val="superscript"/>
        </w:rPr>
        <w:t>a</w:t>
      </w:r>
      <w:r w:rsidRPr="00E92067">
        <w:rPr>
          <w:rFonts w:ascii="Arial Narrow" w:hAnsi="Arial Narrow"/>
          <w:sz w:val="18"/>
          <w:szCs w:val="18"/>
        </w:rPr>
        <w:t xml:space="preserve"> Chemotherapy following treatment with blinatumomab.</w:t>
      </w:r>
    </w:p>
    <w:p w:rsidR="00151FBC" w:rsidRPr="00E92067" w:rsidRDefault="00151FBC" w:rsidP="00151FBC">
      <w:pPr>
        <w:keepNext/>
        <w:keepLines/>
        <w:rPr>
          <w:rFonts w:ascii="Arial Narrow" w:hAnsi="Arial Narrow" w:cstheme="minorHAnsi"/>
          <w:b/>
          <w:sz w:val="20"/>
          <w:szCs w:val="20"/>
        </w:rPr>
      </w:pPr>
      <w:r w:rsidRPr="00E92067">
        <w:rPr>
          <w:rFonts w:ascii="Arial Narrow" w:hAnsi="Arial Narrow"/>
          <w:b/>
          <w:sz w:val="20"/>
          <w:szCs w:val="20"/>
        </w:rPr>
        <w:t xml:space="preserve">Figure 2: BLAST Kaplan-Meier curves for overall survival (FAS; </w:t>
      </w:r>
      <w:r w:rsidRPr="00E92067">
        <w:rPr>
          <w:rFonts w:ascii="Arial Narrow" w:hAnsi="Arial Narrow" w:cstheme="minorHAnsi"/>
          <w:b/>
          <w:sz w:val="20"/>
          <w:szCs w:val="20"/>
        </w:rPr>
        <w:t>not censored or censored at alloHSCT or post-blinatumomab chemotherapy)</w:t>
      </w:r>
    </w:p>
    <w:p w:rsidR="00151FBC" w:rsidRPr="00E92067" w:rsidRDefault="00151FBC" w:rsidP="00151FBC">
      <w:pPr>
        <w:keepNext/>
        <w:keepLines/>
        <w:jc w:val="center"/>
        <w:rPr>
          <w:rFonts w:ascii="Arial Narrow" w:hAnsi="Arial Narrow" w:cstheme="minorHAnsi"/>
          <w:b/>
          <w:sz w:val="20"/>
          <w:szCs w:val="20"/>
        </w:rPr>
      </w:pPr>
      <w:r w:rsidRPr="00E92067">
        <w:rPr>
          <w:noProof/>
          <w:lang w:eastAsia="en-AU"/>
        </w:rPr>
        <w:drawing>
          <wp:inline distT="0" distB="0" distL="0" distR="0" wp14:anchorId="4837AF16" wp14:editId="1B44ABA5">
            <wp:extent cx="5829330" cy="3030196"/>
            <wp:effectExtent l="0" t="0" r="0" b="0"/>
            <wp:docPr id="27" name="Picture 27" descr="Screen%20Shot%202017-12-29%20at%202.29.43%20pm.png" title="Figure 2: BLAST Kaplan-Meier curves for overall survival (FAS; not censored or censored at alloHSCT or post-blinatumomab chemo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creen%20Shot%202017-12-29%20at%202.29.43%20pm.png"/>
                    <pic:cNvPicPr>
                      <a:picLocks noChangeAspect="1" noChangeArrowheads="1"/>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5899792" cy="3066823"/>
                    </a:xfrm>
                    <a:prstGeom prst="rect">
                      <a:avLst/>
                    </a:prstGeom>
                    <a:noFill/>
                    <a:ln>
                      <a:noFill/>
                    </a:ln>
                    <a:extLst>
                      <a:ext uri="{53640926-AAD7-44D8-BBD7-CCE9431645EC}">
                        <a14:shadowObscured xmlns:a14="http://schemas.microsoft.com/office/drawing/2010/main"/>
                      </a:ext>
                    </a:extLst>
                  </pic:spPr>
                </pic:pic>
              </a:graphicData>
            </a:graphic>
          </wp:inline>
        </w:drawing>
      </w:r>
    </w:p>
    <w:p w:rsidR="00151FBC" w:rsidRPr="00E92067" w:rsidRDefault="00151FBC" w:rsidP="00151FBC">
      <w:pPr>
        <w:rPr>
          <w:rFonts w:ascii="Arial Narrow" w:hAnsi="Arial Narrow"/>
          <w:sz w:val="18"/>
          <w:szCs w:val="18"/>
        </w:rPr>
      </w:pPr>
      <w:r w:rsidRPr="00E92067">
        <w:rPr>
          <w:rFonts w:ascii="Arial Narrow" w:hAnsi="Arial Narrow"/>
          <w:sz w:val="18"/>
          <w:szCs w:val="18"/>
        </w:rPr>
        <w:t xml:space="preserve">Source: </w:t>
      </w:r>
      <w:r w:rsidRPr="00E92067">
        <w:rPr>
          <w:rFonts w:ascii="Arial Narrow" w:hAnsi="Arial Narrow" w:cstheme="minorHAnsi"/>
          <w:sz w:val="18"/>
          <w:szCs w:val="18"/>
        </w:rPr>
        <w:t xml:space="preserve">Figure 12, p.63 </w:t>
      </w:r>
      <w:r w:rsidRPr="00E92067">
        <w:rPr>
          <w:rFonts w:ascii="Arial Narrow" w:hAnsi="Arial Narrow"/>
          <w:sz w:val="18"/>
          <w:szCs w:val="18"/>
        </w:rPr>
        <w:t xml:space="preserve">of the submission; Figure 10.6, p.78 of </w:t>
      </w:r>
      <w:r w:rsidRPr="00E92067">
        <w:rPr>
          <w:rFonts w:ascii="Arial Narrow" w:hAnsi="Arial Narrow" w:cstheme="minorHAnsi"/>
          <w:sz w:val="18"/>
          <w:szCs w:val="18"/>
        </w:rPr>
        <w:t>MT103-203 CSR Jan 2016.</w:t>
      </w:r>
    </w:p>
    <w:p w:rsidR="00151FBC" w:rsidRDefault="00151FBC" w:rsidP="00600987">
      <w:pPr>
        <w:rPr>
          <w:rFonts w:ascii="Arial Narrow" w:hAnsi="Arial Narrow"/>
          <w:sz w:val="18"/>
          <w:szCs w:val="18"/>
        </w:rPr>
      </w:pPr>
      <w:r w:rsidRPr="00E92067">
        <w:rPr>
          <w:rFonts w:ascii="Arial Narrow" w:hAnsi="Arial Narrow"/>
          <w:sz w:val="18"/>
          <w:szCs w:val="18"/>
        </w:rPr>
        <w:t xml:space="preserve">Abbreviations: </w:t>
      </w:r>
      <w:r w:rsidRPr="00E92067">
        <w:rPr>
          <w:rFonts w:ascii="Arial Narrow" w:hAnsi="Arial Narrow" w:cstheme="minorHAnsi"/>
          <w:color w:val="000000"/>
          <w:sz w:val="18"/>
          <w:szCs w:val="18"/>
          <w:lang w:eastAsia="en-AU"/>
        </w:rPr>
        <w:t>HSCT, haematopoietic stem cell transplantation.</w:t>
      </w:r>
    </w:p>
    <w:p w:rsidR="00600987" w:rsidRPr="00600987" w:rsidRDefault="00600987" w:rsidP="00600987">
      <w:pPr>
        <w:rPr>
          <w:rFonts w:ascii="Arial Narrow" w:hAnsi="Arial Narrow"/>
          <w:sz w:val="18"/>
          <w:szCs w:val="18"/>
        </w:rPr>
      </w:pPr>
    </w:p>
    <w:p w:rsidR="00151FBC" w:rsidRPr="00E92067" w:rsidRDefault="00263426" w:rsidP="001613D3">
      <w:pPr>
        <w:pStyle w:val="ListParagraph"/>
        <w:widowControl/>
        <w:numPr>
          <w:ilvl w:val="1"/>
          <w:numId w:val="2"/>
        </w:numPr>
      </w:pPr>
      <w:r w:rsidRPr="00E92067">
        <w:t>Median overall survival was 36.5 months w</w:t>
      </w:r>
      <w:r w:rsidR="00151FBC" w:rsidRPr="00E92067">
        <w:t xml:space="preserve">ithout censoring at alloHSCT or post-blinatumomab chemotherapy. </w:t>
      </w:r>
      <w:r w:rsidRPr="00E92067">
        <w:t>With censoring for alloHSCT or post-blinatumomab chemotherapy, m</w:t>
      </w:r>
      <w:r w:rsidR="00151FBC" w:rsidRPr="00E92067">
        <w:t>edian overall survival was not reached</w:t>
      </w:r>
      <w:r w:rsidR="00151FBC" w:rsidRPr="00E92067">
        <w:rPr>
          <w:rFonts w:cs="Calibri"/>
          <w:snapToGrid/>
          <w:szCs w:val="24"/>
          <w:lang w:val="en-US" w:eastAsia="en-AU"/>
        </w:rPr>
        <w:t>.</w:t>
      </w:r>
    </w:p>
    <w:p w:rsidR="00151FBC" w:rsidRPr="00E92067" w:rsidRDefault="00151FBC" w:rsidP="001613D3">
      <w:pPr>
        <w:pStyle w:val="ListParagraph"/>
        <w:widowControl/>
        <w:numPr>
          <w:ilvl w:val="1"/>
          <w:numId w:val="2"/>
        </w:numPr>
      </w:pPr>
      <w:r w:rsidRPr="00E92067">
        <w:t>The overall incidence of alloHSCT following blinatumomab was 77.6% (90/116). In patients who received alloHSCT after treatment with blinatumomab prior to relapse</w:t>
      </w:r>
      <w:r w:rsidR="002761A3" w:rsidRPr="00E92067">
        <w:t xml:space="preserve"> (N=74)</w:t>
      </w:r>
      <w:r w:rsidRPr="00E92067">
        <w:t xml:space="preserve">, overall survival at 100 days after alloHSCT was 93%.  Median overall survival </w:t>
      </w:r>
      <w:r w:rsidR="00263426" w:rsidRPr="00E92067">
        <w:t>after alloHSCT was 30.6 months.</w:t>
      </w:r>
    </w:p>
    <w:p w:rsidR="00151FBC" w:rsidRPr="00BB3D4E" w:rsidRDefault="00151FBC" w:rsidP="001613D3">
      <w:pPr>
        <w:pStyle w:val="ListParagraph"/>
        <w:widowControl/>
        <w:numPr>
          <w:ilvl w:val="1"/>
          <w:numId w:val="2"/>
        </w:numPr>
        <w:rPr>
          <w:rFonts w:asciiTheme="minorHAnsi" w:hAnsiTheme="minorHAnsi"/>
          <w:szCs w:val="24"/>
        </w:rPr>
      </w:pPr>
      <w:r w:rsidRPr="00E92067">
        <w:rPr>
          <w:rFonts w:asciiTheme="minorHAnsi" w:hAnsiTheme="minorHAnsi"/>
          <w:szCs w:val="24"/>
        </w:rPr>
        <w:t>Mean change in EQ-5D was small across all five domains and not meaningful. Overall EQ-5D was not reported. Similarly, in the EORTC-QLQ-C30 there was a small improvement in the Global health status from baseline (3.9), with improvements in social, emotional, physical and role functioning</w:t>
      </w:r>
      <w:r w:rsidR="001866E4" w:rsidRPr="00E92067">
        <w:rPr>
          <w:rFonts w:asciiTheme="minorHAnsi" w:hAnsiTheme="minorHAnsi"/>
          <w:szCs w:val="24"/>
        </w:rPr>
        <w:t xml:space="preserve"> and</w:t>
      </w:r>
      <w:r w:rsidRPr="00E92067">
        <w:rPr>
          <w:rFonts w:asciiTheme="minorHAnsi" w:hAnsiTheme="minorHAnsi"/>
          <w:szCs w:val="24"/>
        </w:rPr>
        <w:t xml:space="preserve"> reductions in scores associated with the fatigue, nausea/vomiting and pain symptom scales</w:t>
      </w:r>
      <w:r w:rsidRPr="00E92067">
        <w:rPr>
          <w:rFonts w:asciiTheme="minorHAnsi" w:hAnsiTheme="minorHAnsi"/>
          <w:snapToGrid/>
          <w:szCs w:val="24"/>
          <w:lang w:eastAsia="en-AU"/>
        </w:rPr>
        <w:t>.</w:t>
      </w:r>
    </w:p>
    <w:p w:rsidR="0008662B" w:rsidRDefault="00BB3D4E" w:rsidP="006F0C04">
      <w:pPr>
        <w:pStyle w:val="ListParagraph"/>
        <w:widowControl/>
        <w:numPr>
          <w:ilvl w:val="1"/>
          <w:numId w:val="2"/>
        </w:numPr>
        <w:rPr>
          <w:rFonts w:asciiTheme="minorHAnsi" w:hAnsiTheme="minorHAnsi"/>
          <w:szCs w:val="24"/>
        </w:rPr>
      </w:pPr>
      <w:r>
        <w:rPr>
          <w:rFonts w:asciiTheme="minorHAnsi" w:hAnsiTheme="minorHAnsi"/>
          <w:szCs w:val="24"/>
        </w:rPr>
        <w:t xml:space="preserve">The PBAC </w:t>
      </w:r>
      <w:r w:rsidR="00F2690D">
        <w:rPr>
          <w:rFonts w:asciiTheme="minorHAnsi" w:hAnsiTheme="minorHAnsi"/>
          <w:szCs w:val="24"/>
        </w:rPr>
        <w:t>noted</w:t>
      </w:r>
      <w:r w:rsidR="00E87EB4">
        <w:rPr>
          <w:rFonts w:asciiTheme="minorHAnsi" w:hAnsiTheme="minorHAnsi"/>
          <w:szCs w:val="24"/>
        </w:rPr>
        <w:t xml:space="preserve"> that</w:t>
      </w:r>
      <w:r>
        <w:rPr>
          <w:rFonts w:asciiTheme="minorHAnsi" w:hAnsiTheme="minorHAnsi"/>
          <w:szCs w:val="24"/>
        </w:rPr>
        <w:t xml:space="preserve"> subgroup analyses conducted in the</w:t>
      </w:r>
      <w:r w:rsidR="00B0361B">
        <w:rPr>
          <w:rFonts w:asciiTheme="minorHAnsi" w:hAnsiTheme="minorHAnsi"/>
          <w:szCs w:val="24"/>
        </w:rPr>
        <w:t xml:space="preserve"> BLAST</w:t>
      </w:r>
      <w:r>
        <w:rPr>
          <w:rFonts w:asciiTheme="minorHAnsi" w:hAnsiTheme="minorHAnsi"/>
          <w:szCs w:val="24"/>
        </w:rPr>
        <w:t xml:space="preserve"> study </w:t>
      </w:r>
      <w:r w:rsidR="0008662B">
        <w:rPr>
          <w:rFonts w:asciiTheme="minorHAnsi" w:hAnsiTheme="minorHAnsi"/>
          <w:szCs w:val="24"/>
        </w:rPr>
        <w:t xml:space="preserve">(presented in the </w:t>
      </w:r>
      <w:r w:rsidR="007209B1">
        <w:rPr>
          <w:rFonts w:asciiTheme="minorHAnsi" w:hAnsiTheme="minorHAnsi"/>
          <w:szCs w:val="24"/>
        </w:rPr>
        <w:t>f</w:t>
      </w:r>
      <w:r w:rsidR="0008662B">
        <w:rPr>
          <w:rFonts w:asciiTheme="minorHAnsi" w:hAnsiTheme="minorHAnsi"/>
          <w:szCs w:val="24"/>
        </w:rPr>
        <w:t xml:space="preserve">igure below) </w:t>
      </w:r>
      <w:r w:rsidR="00F2690D">
        <w:rPr>
          <w:rFonts w:asciiTheme="minorHAnsi" w:hAnsiTheme="minorHAnsi"/>
          <w:szCs w:val="24"/>
        </w:rPr>
        <w:t>suggested</w:t>
      </w:r>
      <w:r>
        <w:rPr>
          <w:rFonts w:asciiTheme="minorHAnsi" w:hAnsiTheme="minorHAnsi"/>
          <w:szCs w:val="24"/>
        </w:rPr>
        <w:t xml:space="preserve"> that blinatumomab </w:t>
      </w:r>
      <w:r w:rsidR="006F0C04">
        <w:rPr>
          <w:rFonts w:asciiTheme="minorHAnsi" w:hAnsiTheme="minorHAnsi"/>
          <w:szCs w:val="24"/>
        </w:rPr>
        <w:t>may be</w:t>
      </w:r>
      <w:r>
        <w:rPr>
          <w:rFonts w:asciiTheme="minorHAnsi" w:hAnsiTheme="minorHAnsi"/>
          <w:szCs w:val="24"/>
        </w:rPr>
        <w:t xml:space="preserve"> more effective if used in CR1</w:t>
      </w:r>
      <w:r w:rsidR="00D72033">
        <w:rPr>
          <w:rFonts w:asciiTheme="minorHAnsi" w:hAnsiTheme="minorHAnsi"/>
          <w:szCs w:val="24"/>
        </w:rPr>
        <w:t xml:space="preserve"> (rather than CR2 or CR3)</w:t>
      </w:r>
      <w:r>
        <w:rPr>
          <w:rFonts w:asciiTheme="minorHAnsi" w:hAnsiTheme="minorHAnsi"/>
          <w:szCs w:val="24"/>
        </w:rPr>
        <w:t xml:space="preserve"> and</w:t>
      </w:r>
      <w:r w:rsidR="00DF0021">
        <w:rPr>
          <w:rFonts w:asciiTheme="minorHAnsi" w:hAnsiTheme="minorHAnsi"/>
          <w:szCs w:val="24"/>
        </w:rPr>
        <w:t>/or</w:t>
      </w:r>
      <w:r>
        <w:rPr>
          <w:rFonts w:asciiTheme="minorHAnsi" w:hAnsiTheme="minorHAnsi"/>
          <w:szCs w:val="24"/>
        </w:rPr>
        <w:t xml:space="preserve"> if the patient was an “MRD responder” after Cycle 1</w:t>
      </w:r>
      <w:r w:rsidR="00600987">
        <w:rPr>
          <w:rFonts w:asciiTheme="minorHAnsi" w:hAnsiTheme="minorHAnsi"/>
          <w:szCs w:val="24"/>
        </w:rPr>
        <w:t>.</w:t>
      </w:r>
    </w:p>
    <w:p w:rsidR="00E24995" w:rsidRDefault="00E24995" w:rsidP="00E24995">
      <w:pPr>
        <w:pStyle w:val="ListParagraph"/>
        <w:keepNext/>
        <w:keepLines/>
        <w:widowControl/>
        <w:ind w:left="142"/>
        <w:rPr>
          <w:rFonts w:ascii="Arial Narrow" w:hAnsi="Arial Narrow"/>
          <w:b/>
          <w:sz w:val="20"/>
          <w:szCs w:val="20"/>
          <w:vertAlign w:val="superscript"/>
        </w:rPr>
      </w:pPr>
      <w:r w:rsidRPr="0008662B">
        <w:rPr>
          <w:rFonts w:ascii="Arial Narrow" w:hAnsi="Arial Narrow"/>
          <w:b/>
          <w:sz w:val="20"/>
          <w:szCs w:val="20"/>
        </w:rPr>
        <w:t xml:space="preserve">Figure 3: RFS and OS among Ph+ patients (B) RFS by relapse history (D) OS by MRD response status in Cycle 1; (E) RFS by both relapse history and MRD response will  status in Cycle 1 </w:t>
      </w:r>
      <w:r w:rsidRPr="0008662B">
        <w:rPr>
          <w:rFonts w:ascii="Arial Narrow" w:hAnsi="Arial Narrow"/>
          <w:b/>
          <w:sz w:val="20"/>
          <w:szCs w:val="20"/>
          <w:vertAlign w:val="superscript"/>
        </w:rPr>
        <w:t>a</w:t>
      </w:r>
    </w:p>
    <w:p w:rsidR="00E24995" w:rsidRDefault="00E24995" w:rsidP="00E24995">
      <w:pPr>
        <w:pStyle w:val="ListParagraph"/>
        <w:keepNext/>
        <w:keepLines/>
        <w:widowControl/>
        <w:ind w:left="142"/>
        <w:rPr>
          <w:rFonts w:ascii="Arial Narrow" w:hAnsi="Arial Narrow"/>
          <w:b/>
          <w:sz w:val="20"/>
          <w:szCs w:val="20"/>
        </w:rPr>
      </w:pPr>
      <w:r>
        <w:rPr>
          <w:noProof/>
          <w:snapToGrid/>
          <w:lang w:eastAsia="en-AU"/>
        </w:rPr>
        <w:drawing>
          <wp:inline distT="0" distB="0" distL="0" distR="0" wp14:anchorId="1DD25471" wp14:editId="28FE23D5">
            <wp:extent cx="5732145" cy="1866265"/>
            <wp:effectExtent l="0" t="0" r="1905" b="635"/>
            <wp:docPr id="1" name="Picture 1" title="Figure 3: RFS and OS among Ph+ patients (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b="3348"/>
                    <a:stretch/>
                  </pic:blipFill>
                  <pic:spPr bwMode="auto">
                    <a:xfrm>
                      <a:off x="0" y="0"/>
                      <a:ext cx="5732145" cy="1866265"/>
                    </a:xfrm>
                    <a:prstGeom prst="rect">
                      <a:avLst/>
                    </a:prstGeom>
                    <a:ln>
                      <a:noFill/>
                    </a:ln>
                    <a:extLst>
                      <a:ext uri="{53640926-AAD7-44D8-BBD7-CCE9431645EC}">
                        <a14:shadowObscured xmlns:a14="http://schemas.microsoft.com/office/drawing/2010/main"/>
                      </a:ext>
                    </a:extLst>
                  </pic:spPr>
                </pic:pic>
              </a:graphicData>
            </a:graphic>
          </wp:inline>
        </w:drawing>
      </w:r>
    </w:p>
    <w:p w:rsidR="00E24995" w:rsidRDefault="00E24995" w:rsidP="00E24995">
      <w:pPr>
        <w:pStyle w:val="ListParagraph"/>
        <w:keepNext/>
        <w:keepLines/>
        <w:widowControl/>
        <w:ind w:left="142"/>
        <w:rPr>
          <w:rFonts w:ascii="Arial Narrow" w:hAnsi="Arial Narrow"/>
          <w:b/>
          <w:sz w:val="20"/>
          <w:szCs w:val="20"/>
        </w:rPr>
      </w:pPr>
      <w:r w:rsidRPr="00BB3D4E">
        <w:rPr>
          <w:rFonts w:asciiTheme="minorHAnsi" w:hAnsiTheme="minorHAnsi"/>
          <w:noProof/>
          <w:szCs w:val="24"/>
          <w:lang w:eastAsia="en-AU"/>
        </w:rPr>
        <w:drawing>
          <wp:inline distT="0" distB="0" distL="0" distR="0" wp14:anchorId="38B15F5F" wp14:editId="07A493CF">
            <wp:extent cx="5591175" cy="3724275"/>
            <wp:effectExtent l="0" t="0" r="9525" b="9525"/>
            <wp:docPr id="6" name="Picture 3" title="Figure 3: RFS by relapse history (D) OS by MRD response status in Cycle 1; (E) RFS by both relapse history and MRD response will  status in Cycle 1 ">
              <a:extLst xmlns:a="http://schemas.openxmlformats.org/drawingml/2006/main">
                <a:ext uri="{FF2B5EF4-FFF2-40B4-BE49-F238E27FC236}">
                  <a16:creationId xmlns:a16="http://schemas.microsoft.com/office/drawing/2014/main" id="{B5F46BC4-D4AB-924E-BB8C-3F2E8E0FA2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a:extLst>
                        <a:ext uri="{FF2B5EF4-FFF2-40B4-BE49-F238E27FC236}">
                          <a16:creationId xmlns:a16="http://schemas.microsoft.com/office/drawing/2014/main" id="{B5F46BC4-D4AB-924E-BB8C-3F2E8E0FA235}"/>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a:stretch/>
                  </pic:blipFill>
                  <pic:spPr bwMode="auto">
                    <a:xfrm>
                      <a:off x="0" y="0"/>
                      <a:ext cx="5589318" cy="3723038"/>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E24995" w:rsidRPr="0008662B" w:rsidRDefault="00E24995" w:rsidP="00E24995">
      <w:pPr>
        <w:pStyle w:val="ListParagraph"/>
        <w:keepNext/>
        <w:keepLines/>
        <w:widowControl/>
        <w:ind w:left="142"/>
        <w:contextualSpacing/>
        <w:rPr>
          <w:rFonts w:ascii="Arial Narrow" w:hAnsi="Arial Narrow"/>
          <w:sz w:val="18"/>
          <w:szCs w:val="18"/>
        </w:rPr>
      </w:pPr>
      <w:r w:rsidRPr="0008662B">
        <w:rPr>
          <w:rFonts w:ascii="Arial Narrow" w:hAnsi="Arial Narrow"/>
          <w:sz w:val="18"/>
          <w:szCs w:val="18"/>
        </w:rPr>
        <w:t xml:space="preserve">Source: Gökbuget et al, Blinatumomab for minimal residual disease in adults with B-precursor acute lymphoblastic leukemia. Blood, 2018. 131(14), 1522-1531.  </w:t>
      </w:r>
    </w:p>
    <w:p w:rsidR="00E24995" w:rsidRPr="0008662B" w:rsidRDefault="00E24995" w:rsidP="00E24995">
      <w:pPr>
        <w:pStyle w:val="ListParagraph"/>
        <w:keepNext/>
        <w:keepLines/>
        <w:widowControl/>
        <w:ind w:left="142"/>
        <w:contextualSpacing/>
        <w:rPr>
          <w:rFonts w:ascii="Arial Narrow" w:hAnsi="Arial Narrow"/>
          <w:sz w:val="18"/>
          <w:szCs w:val="18"/>
        </w:rPr>
      </w:pPr>
      <w:r w:rsidRPr="0008662B">
        <w:rPr>
          <w:rFonts w:ascii="Arial Narrow" w:hAnsi="Arial Narrow"/>
          <w:sz w:val="18"/>
          <w:szCs w:val="18"/>
          <w:vertAlign w:val="superscript"/>
        </w:rPr>
        <w:t>a</w:t>
      </w:r>
      <w:r w:rsidRPr="0008662B">
        <w:rPr>
          <w:rFonts w:ascii="Arial Narrow" w:hAnsi="Arial Narrow"/>
          <w:sz w:val="18"/>
          <w:szCs w:val="18"/>
        </w:rPr>
        <w:t xml:space="preserve"> The three analyses were in evaluable patients (landmark analysis, excluding patients who were censored or had relapsed or died within 45 days of beginning treatment), without censoring at allogeneic HSCT or post-blinatumomab chemotherapy. Also only included evaluable patients, i.e. excluded 3 patients without MRD results or insufficient sensitivity of the assay.</w:t>
      </w:r>
    </w:p>
    <w:p w:rsidR="00E24995" w:rsidRDefault="00E24995" w:rsidP="0008662B">
      <w:pPr>
        <w:widowControl/>
        <w:rPr>
          <w:rFonts w:asciiTheme="minorHAnsi" w:hAnsiTheme="minorHAnsi"/>
          <w:szCs w:val="24"/>
          <w:u w:val="single"/>
        </w:rPr>
      </w:pPr>
    </w:p>
    <w:p w:rsidR="00BB3D4E" w:rsidRPr="00471FF8" w:rsidRDefault="00BB3D4E" w:rsidP="0008662B">
      <w:pPr>
        <w:widowControl/>
        <w:rPr>
          <w:rFonts w:asciiTheme="minorHAnsi" w:hAnsiTheme="minorHAnsi"/>
          <w:szCs w:val="24"/>
          <w:u w:val="single"/>
        </w:rPr>
      </w:pPr>
      <w:r w:rsidRPr="00471FF8">
        <w:rPr>
          <w:rFonts w:asciiTheme="minorHAnsi" w:hAnsiTheme="minorHAnsi"/>
          <w:szCs w:val="24"/>
          <w:u w:val="single"/>
        </w:rPr>
        <w:t>Indirect comparison</w:t>
      </w:r>
    </w:p>
    <w:p w:rsidR="00BB3D4E" w:rsidRPr="00BB3D4E" w:rsidRDefault="00BB3D4E" w:rsidP="00BB3D4E">
      <w:pPr>
        <w:widowControl/>
        <w:rPr>
          <w:rFonts w:asciiTheme="minorHAnsi" w:hAnsiTheme="minorHAnsi"/>
          <w:szCs w:val="24"/>
        </w:rPr>
      </w:pPr>
    </w:p>
    <w:p w:rsidR="00A04ADF" w:rsidRPr="00E92067" w:rsidRDefault="00A04ADF" w:rsidP="001613D3">
      <w:pPr>
        <w:pStyle w:val="ListParagraph"/>
        <w:widowControl/>
        <w:numPr>
          <w:ilvl w:val="1"/>
          <w:numId w:val="2"/>
        </w:numPr>
      </w:pPr>
      <w:r w:rsidRPr="00E92067">
        <w:t xml:space="preserve">The submission presented a propensity score indirect analysis comparing blinatumomab with standard of care chemotherapy in patients with B-ALL in haematological complete remission with MRD, based on the BLAST study and Study 20120148 (historical control). </w:t>
      </w:r>
    </w:p>
    <w:p w:rsidR="00A04ADF" w:rsidRPr="00723F01" w:rsidRDefault="00A04ADF" w:rsidP="001613D3">
      <w:pPr>
        <w:pStyle w:val="ListParagraph"/>
        <w:widowControl/>
        <w:numPr>
          <w:ilvl w:val="1"/>
          <w:numId w:val="2"/>
        </w:numPr>
      </w:pPr>
      <w:r w:rsidRPr="00E92067">
        <w:t xml:space="preserve">A direct comparison analysis set (DCAS) was defined post-hoc to minimise the differences in patient characteristics between the BLAST and 20120148 studies prior to the propensity score analysis. The DCAS </w:t>
      </w:r>
      <w:r w:rsidR="000C5D74">
        <w:t xml:space="preserve">only </w:t>
      </w:r>
      <w:r w:rsidRPr="00E92067">
        <w:t xml:space="preserve">included </w:t>
      </w:r>
      <w:r w:rsidR="000C5D74">
        <w:t xml:space="preserve">patients who were </w:t>
      </w:r>
      <w:r w:rsidR="00F749A6">
        <w:t xml:space="preserve">Ph negative, </w:t>
      </w:r>
      <w:r w:rsidRPr="00E92067">
        <w:t>≥18 years of age, in haematological complete remission with a detectable MRD ≥10</w:t>
      </w:r>
      <w:r w:rsidRPr="00E92067">
        <w:rPr>
          <w:vertAlign w:val="superscript"/>
        </w:rPr>
        <w:t>-3</w:t>
      </w:r>
      <w:r w:rsidR="003F020C">
        <w:t xml:space="preserve"> </w:t>
      </w:r>
      <w:r w:rsidRPr="00E92067">
        <w:t>and excluded patients in second or third remission, and those who relapsed within 14 days of baseline MRD detection in the historical control. Adjustments to improve the comparability between studies resulted in substantial data loss from the BLAST study (full analysis set N=116, DCAS N=73).</w:t>
      </w:r>
    </w:p>
    <w:p w:rsidR="00CE1D67" w:rsidRPr="00E92067" w:rsidRDefault="00B440B4" w:rsidP="001613D3">
      <w:pPr>
        <w:pStyle w:val="ListParagraph"/>
        <w:widowControl/>
        <w:numPr>
          <w:ilvl w:val="1"/>
          <w:numId w:val="2"/>
        </w:numPr>
      </w:pPr>
      <w:r w:rsidRPr="00723F01">
        <w:t>The submission presented an attachment titled “Propensity Score Analysis of Relapse Free Survival and Overall Survival among Adult Patients with MRD of B</w:t>
      </w:r>
      <w:r w:rsidR="00484529" w:rsidRPr="00723F01">
        <w:t>—</w:t>
      </w:r>
      <w:r w:rsidRPr="00723F01">
        <w:t>ALL</w:t>
      </w:r>
      <w:r w:rsidR="00484529" w:rsidRPr="00723F01">
        <w:t>”</w:t>
      </w:r>
      <w:r w:rsidRPr="00723F01">
        <w:t>.</w:t>
      </w:r>
      <w:r w:rsidR="00484529" w:rsidRPr="00723F01">
        <w:t xml:space="preserve"> </w:t>
      </w:r>
      <w:r w:rsidR="00CE1D67" w:rsidRPr="00E92067">
        <w:t xml:space="preserve">The primary propensity score-based weight </w:t>
      </w:r>
      <w:r w:rsidR="009E1B22">
        <w:t>chosen</w:t>
      </w:r>
      <w:r w:rsidR="00CE1D67" w:rsidRPr="00E92067">
        <w:t xml:space="preserve"> </w:t>
      </w:r>
      <w:r w:rsidR="009E1B22">
        <w:t xml:space="preserve">in </w:t>
      </w:r>
      <w:r>
        <w:t xml:space="preserve">this </w:t>
      </w:r>
      <w:r w:rsidR="009448FB">
        <w:t>Analysis R</w:t>
      </w:r>
      <w:r w:rsidR="009E1B22">
        <w:t xml:space="preserve">eport </w:t>
      </w:r>
      <w:r w:rsidR="00CE1D67" w:rsidRPr="00E92067">
        <w:t xml:space="preserve">was </w:t>
      </w:r>
      <w:r w:rsidR="00484529">
        <w:t xml:space="preserve">the </w:t>
      </w:r>
      <w:r w:rsidR="00CE1D67" w:rsidRPr="00E92067">
        <w:t>average treatment effects (ATE)</w:t>
      </w:r>
      <w:r w:rsidR="00484529">
        <w:t xml:space="preserve"> approach</w:t>
      </w:r>
      <w:r w:rsidR="00CE1D67" w:rsidRPr="00E92067">
        <w:t xml:space="preserve">, which estimates the average treatment effect of moving the entire population from untreated to treated. </w:t>
      </w:r>
      <w:r w:rsidR="009E1B22">
        <w:t xml:space="preserve">The </w:t>
      </w:r>
      <w:r w:rsidR="009448FB">
        <w:t>A</w:t>
      </w:r>
      <w:r w:rsidR="009E1B22">
        <w:t xml:space="preserve">nalysis </w:t>
      </w:r>
      <w:r w:rsidR="009448FB">
        <w:t>R</w:t>
      </w:r>
      <w:r w:rsidR="009E1B22">
        <w:t xml:space="preserve">eport also </w:t>
      </w:r>
      <w:r>
        <w:t>conducted what it described as a</w:t>
      </w:r>
      <w:r w:rsidR="00CE1D67" w:rsidRPr="00E92067">
        <w:t xml:space="preserve">n </w:t>
      </w:r>
      <w:r>
        <w:t>“</w:t>
      </w:r>
      <w:r w:rsidR="00CE1D67" w:rsidRPr="00E92067">
        <w:t xml:space="preserve">exploratory </w:t>
      </w:r>
      <w:r>
        <w:t xml:space="preserve">sensitivity </w:t>
      </w:r>
      <w:r w:rsidR="00CE1D67" w:rsidRPr="00E92067">
        <w:t>analysis</w:t>
      </w:r>
      <w:r>
        <w:t>”</w:t>
      </w:r>
      <w:r w:rsidR="00CE1D67" w:rsidRPr="00E92067">
        <w:t xml:space="preserve"> using </w:t>
      </w:r>
      <w:r w:rsidR="00F749A6">
        <w:t xml:space="preserve">the </w:t>
      </w:r>
      <w:r w:rsidR="00CE1D67" w:rsidRPr="00E92067">
        <w:t xml:space="preserve">average treatment effect of the treated </w:t>
      </w:r>
      <w:r w:rsidR="00E87EB4">
        <w:t xml:space="preserve">weights </w:t>
      </w:r>
      <w:r w:rsidR="00CE1D67" w:rsidRPr="00E92067">
        <w:t>(ATT)</w:t>
      </w:r>
      <w:r w:rsidR="00F749A6">
        <w:t xml:space="preserve"> approach, which </w:t>
      </w:r>
      <w:r w:rsidR="00CE1D67" w:rsidRPr="00E92067">
        <w:t xml:space="preserve">estimates the average effect of treatment in those </w:t>
      </w:r>
      <w:r w:rsidR="00F33427">
        <w:t>patien</w:t>
      </w:r>
      <w:r w:rsidR="00CE1D67" w:rsidRPr="00E92067">
        <w:t>ts who were ultimately treated</w:t>
      </w:r>
      <w:r w:rsidR="00085777">
        <w:t xml:space="preserve"> (this is further discussed in Paragraph 6.37 and 6.38 below).</w:t>
      </w:r>
    </w:p>
    <w:p w:rsidR="00151FBC" w:rsidRPr="00E92067" w:rsidRDefault="00151FBC" w:rsidP="001613D3">
      <w:pPr>
        <w:pStyle w:val="ListParagraph"/>
        <w:widowControl/>
        <w:numPr>
          <w:ilvl w:val="1"/>
          <w:numId w:val="2"/>
        </w:numPr>
      </w:pPr>
      <w:r w:rsidRPr="00E92067">
        <w:t>Relapse free survival and overall survival were analysed using weighted Cox proportional hazard models with the treatment indicator as a baseline covariate and including a time-varying covariate for HSCT.</w:t>
      </w:r>
    </w:p>
    <w:p w:rsidR="00151FBC" w:rsidRPr="00E92067" w:rsidRDefault="00151FBC" w:rsidP="001613D3">
      <w:pPr>
        <w:pStyle w:val="ListParagraph"/>
        <w:widowControl/>
        <w:numPr>
          <w:ilvl w:val="1"/>
          <w:numId w:val="2"/>
        </w:numPr>
      </w:pPr>
      <w:r w:rsidRPr="00E92067">
        <w:rPr>
          <w:rFonts w:asciiTheme="minorHAnsi" w:hAnsiTheme="minorHAnsi" w:cstheme="minorHAnsi"/>
          <w:szCs w:val="24"/>
        </w:rPr>
        <w:t xml:space="preserve">Table </w:t>
      </w:r>
      <w:r w:rsidR="006D0ACD" w:rsidRPr="00E92067">
        <w:rPr>
          <w:rFonts w:asciiTheme="minorHAnsi" w:hAnsiTheme="minorHAnsi" w:cstheme="minorHAnsi"/>
          <w:szCs w:val="24"/>
        </w:rPr>
        <w:t>7</w:t>
      </w:r>
      <w:r w:rsidRPr="00E92067">
        <w:rPr>
          <w:rFonts w:asciiTheme="minorHAnsi" w:hAnsiTheme="minorHAnsi" w:cstheme="minorHAnsi"/>
          <w:szCs w:val="24"/>
        </w:rPr>
        <w:t xml:space="preserve"> and Figure </w:t>
      </w:r>
      <w:r w:rsidR="0051758F">
        <w:rPr>
          <w:rFonts w:asciiTheme="minorHAnsi" w:hAnsiTheme="minorHAnsi" w:cstheme="minorHAnsi"/>
          <w:szCs w:val="24"/>
        </w:rPr>
        <w:t>4</w:t>
      </w:r>
      <w:r w:rsidRPr="00E92067">
        <w:rPr>
          <w:rFonts w:asciiTheme="minorHAnsi" w:hAnsiTheme="minorHAnsi" w:cstheme="minorHAnsi"/>
          <w:szCs w:val="24"/>
        </w:rPr>
        <w:t xml:space="preserve"> summarise the indirect comparison of blinatumomab and standard of care chemotherapy for relapse free survival, in the primary ATE analysis</w:t>
      </w:r>
      <w:r w:rsidRPr="00E92067">
        <w:rPr>
          <w:rFonts w:asciiTheme="minorHAnsi" w:eastAsiaTheme="minorHAnsi" w:hAnsiTheme="minorHAnsi"/>
          <w:snapToGrid/>
          <w:color w:val="000000"/>
        </w:rPr>
        <w:t>.</w:t>
      </w:r>
    </w:p>
    <w:p w:rsidR="00151FBC" w:rsidRPr="00E92067" w:rsidRDefault="00151FBC" w:rsidP="008C61F9">
      <w:pPr>
        <w:keepNext/>
        <w:keepLines/>
        <w:rPr>
          <w:rFonts w:ascii="Arial Narrow" w:hAnsi="Arial Narrow"/>
          <w:b/>
          <w:sz w:val="20"/>
          <w:szCs w:val="20"/>
        </w:rPr>
      </w:pPr>
      <w:r w:rsidRPr="00E92067">
        <w:rPr>
          <w:rFonts w:ascii="Arial Narrow" w:hAnsi="Arial Narrow"/>
          <w:b/>
          <w:sz w:val="20"/>
          <w:szCs w:val="20"/>
        </w:rPr>
        <w:t xml:space="preserve">Table </w:t>
      </w:r>
      <w:r w:rsidR="006D0ACD" w:rsidRPr="00E92067">
        <w:rPr>
          <w:rFonts w:ascii="Arial Narrow" w:hAnsi="Arial Narrow"/>
          <w:b/>
          <w:sz w:val="20"/>
          <w:szCs w:val="20"/>
        </w:rPr>
        <w:t>7</w:t>
      </w:r>
      <w:r w:rsidRPr="00E92067">
        <w:rPr>
          <w:rFonts w:ascii="Arial Narrow" w:hAnsi="Arial Narrow"/>
          <w:b/>
          <w:sz w:val="20"/>
          <w:szCs w:val="20"/>
        </w:rPr>
        <w:t>: Propensity scoring analysis (ATE) haematological relapse free survival (PAS; stabilised IPTW)</w:t>
      </w:r>
    </w:p>
    <w:tbl>
      <w:tblPr>
        <w:tblStyle w:val="TableGrid"/>
        <w:tblW w:w="0" w:type="auto"/>
        <w:tblInd w:w="108" w:type="dxa"/>
        <w:tblLook w:val="04A0" w:firstRow="1" w:lastRow="0" w:firstColumn="1" w:lastColumn="0" w:noHBand="0" w:noVBand="1"/>
        <w:tblCaption w:val="Table 7: Propensity scoring analysis (ATE) haematological relapse free survival (PAS; stabilised IPTW)"/>
      </w:tblPr>
      <w:tblGrid>
        <w:gridCol w:w="2581"/>
        <w:gridCol w:w="3164"/>
        <w:gridCol w:w="3164"/>
      </w:tblGrid>
      <w:tr w:rsidR="00151FBC" w:rsidRPr="00E92067" w:rsidTr="00600987">
        <w:trPr>
          <w:trHeight w:val="287"/>
          <w:tblHeader/>
        </w:trPr>
        <w:tc>
          <w:tcPr>
            <w:tcW w:w="2581" w:type="dxa"/>
            <w:vAlign w:val="center"/>
          </w:tcPr>
          <w:p w:rsidR="00151FBC" w:rsidRPr="00E92067" w:rsidRDefault="00151FBC" w:rsidP="008C61F9">
            <w:pPr>
              <w:keepNext/>
              <w:jc w:val="left"/>
              <w:rPr>
                <w:rFonts w:ascii="Arial Narrow" w:hAnsi="Arial Narrow"/>
                <w:b/>
                <w:sz w:val="20"/>
                <w:szCs w:val="20"/>
              </w:rPr>
            </w:pPr>
          </w:p>
        </w:tc>
        <w:tc>
          <w:tcPr>
            <w:tcW w:w="3164" w:type="dxa"/>
            <w:vAlign w:val="center"/>
          </w:tcPr>
          <w:p w:rsidR="00151FBC" w:rsidRPr="00E92067" w:rsidRDefault="00151FBC" w:rsidP="008C61F9">
            <w:pPr>
              <w:keepNext/>
              <w:ind w:left="-65" w:right="-79"/>
              <w:jc w:val="center"/>
              <w:rPr>
                <w:rFonts w:ascii="Arial Narrow" w:hAnsi="Arial Narrow"/>
                <w:b/>
                <w:sz w:val="20"/>
              </w:rPr>
            </w:pPr>
            <w:r w:rsidRPr="00E92067">
              <w:rPr>
                <w:rFonts w:ascii="Arial Narrow" w:hAnsi="Arial Narrow"/>
                <w:b/>
                <w:sz w:val="20"/>
              </w:rPr>
              <w:t>Blinatumomab (N=78.5)</w:t>
            </w:r>
          </w:p>
          <w:p w:rsidR="00151FBC" w:rsidRPr="00E92067" w:rsidRDefault="00151FBC" w:rsidP="008C61F9">
            <w:pPr>
              <w:keepNext/>
              <w:ind w:left="-65" w:right="-79"/>
              <w:jc w:val="center"/>
              <w:rPr>
                <w:rFonts w:ascii="Arial Narrow" w:hAnsi="Arial Narrow"/>
                <w:b/>
                <w:sz w:val="20"/>
              </w:rPr>
            </w:pPr>
            <w:r w:rsidRPr="00E92067">
              <w:rPr>
                <w:rFonts w:ascii="Arial Narrow" w:hAnsi="Arial Narrow"/>
                <w:b/>
                <w:sz w:val="20"/>
              </w:rPr>
              <w:t>Kaplan-Meier estimate (95% CI)</w:t>
            </w:r>
          </w:p>
        </w:tc>
        <w:tc>
          <w:tcPr>
            <w:tcW w:w="3164" w:type="dxa"/>
            <w:vAlign w:val="center"/>
          </w:tcPr>
          <w:p w:rsidR="00151FBC" w:rsidRPr="00E92067" w:rsidRDefault="00151FBC" w:rsidP="008C61F9">
            <w:pPr>
              <w:keepNext/>
              <w:ind w:left="-65" w:right="-79"/>
              <w:jc w:val="center"/>
              <w:rPr>
                <w:rFonts w:ascii="Arial Narrow" w:hAnsi="Arial Narrow"/>
                <w:b/>
                <w:sz w:val="20"/>
              </w:rPr>
            </w:pPr>
            <w:r w:rsidRPr="00E92067">
              <w:rPr>
                <w:rFonts w:ascii="Arial Narrow" w:hAnsi="Arial Narrow" w:cstheme="minorBidi"/>
                <w:b/>
                <w:sz w:val="20"/>
              </w:rPr>
              <w:t>Historical control (N=174.3)</w:t>
            </w:r>
          </w:p>
          <w:p w:rsidR="00151FBC" w:rsidRPr="00E92067" w:rsidRDefault="00151FBC" w:rsidP="008C61F9">
            <w:pPr>
              <w:keepNext/>
              <w:ind w:left="-65" w:right="-79"/>
              <w:jc w:val="center"/>
              <w:rPr>
                <w:rFonts w:ascii="Arial Narrow" w:hAnsi="Arial Narrow" w:cstheme="minorBidi"/>
                <w:b/>
                <w:sz w:val="20"/>
              </w:rPr>
            </w:pPr>
            <w:r w:rsidRPr="00E92067">
              <w:rPr>
                <w:rFonts w:ascii="Arial Narrow" w:hAnsi="Arial Narrow"/>
                <w:b/>
                <w:sz w:val="20"/>
              </w:rPr>
              <w:t>Kaplan-Meier estimate (95% CI)</w:t>
            </w:r>
          </w:p>
        </w:tc>
      </w:tr>
      <w:tr w:rsidR="00151FBC" w:rsidRPr="00E92067" w:rsidTr="00600987">
        <w:trPr>
          <w:tblHeader/>
        </w:trPr>
        <w:tc>
          <w:tcPr>
            <w:tcW w:w="8909" w:type="dxa"/>
            <w:gridSpan w:val="3"/>
            <w:tcBorders>
              <w:bottom w:val="single" w:sz="4" w:space="0" w:color="auto"/>
            </w:tcBorders>
          </w:tcPr>
          <w:p w:rsidR="00151FBC" w:rsidRPr="00E92067" w:rsidRDefault="00151FBC" w:rsidP="008C61F9">
            <w:pPr>
              <w:keepNext/>
              <w:jc w:val="left"/>
              <w:rPr>
                <w:rFonts w:ascii="Arial Narrow" w:hAnsi="Arial Narrow"/>
                <w:b/>
                <w:sz w:val="20"/>
              </w:rPr>
            </w:pPr>
            <w:r w:rsidRPr="00E92067">
              <w:rPr>
                <w:rFonts w:ascii="Arial Narrow" w:hAnsi="Arial Narrow"/>
                <w:b/>
                <w:sz w:val="20"/>
              </w:rPr>
              <w:t xml:space="preserve">ATE stabilised IPTW </w:t>
            </w:r>
            <w:r w:rsidRPr="00E92067">
              <w:rPr>
                <w:rFonts w:ascii="Arial Narrow" w:hAnsi="Arial Narrow" w:cstheme="minorHAnsi"/>
                <w:b/>
                <w:sz w:val="20"/>
                <w:szCs w:val="20"/>
              </w:rPr>
              <w:t xml:space="preserve">Kaplan-Meier estimates </w:t>
            </w:r>
            <w:r w:rsidRPr="00E92067">
              <w:rPr>
                <w:rFonts w:ascii="Arial Narrow" w:hAnsi="Arial Narrow"/>
                <w:b/>
                <w:sz w:val="20"/>
              </w:rPr>
              <w:t>(not adjusted for alloHSCT)</w:t>
            </w:r>
          </w:p>
        </w:tc>
      </w:tr>
      <w:tr w:rsidR="00151FBC" w:rsidRPr="00E92067" w:rsidTr="00D33834">
        <w:tc>
          <w:tcPr>
            <w:tcW w:w="2581" w:type="dxa"/>
            <w:tcBorders>
              <w:bottom w:val="single" w:sz="4" w:space="0" w:color="auto"/>
            </w:tcBorders>
          </w:tcPr>
          <w:p w:rsidR="00151FBC" w:rsidRPr="00E92067" w:rsidRDefault="00151FBC" w:rsidP="008C61F9">
            <w:pPr>
              <w:keepNext/>
              <w:tabs>
                <w:tab w:val="right" w:pos="2462"/>
              </w:tabs>
              <w:rPr>
                <w:rFonts w:ascii="Arial Narrow" w:hAnsi="Arial Narrow"/>
                <w:sz w:val="20"/>
                <w:szCs w:val="20"/>
              </w:rPr>
            </w:pPr>
            <w:r w:rsidRPr="00E92067">
              <w:rPr>
                <w:rFonts w:ascii="Arial Narrow" w:hAnsi="Arial Narrow"/>
                <w:sz w:val="20"/>
                <w:szCs w:val="20"/>
              </w:rPr>
              <w:t>18 months</w:t>
            </w:r>
          </w:p>
        </w:tc>
        <w:tc>
          <w:tcPr>
            <w:tcW w:w="3164" w:type="dxa"/>
            <w:tcBorders>
              <w:bottom w:val="single" w:sz="4" w:space="0" w:color="auto"/>
            </w:tcBorders>
          </w:tcPr>
          <w:p w:rsidR="00151FBC" w:rsidRPr="00E92067" w:rsidRDefault="00151FBC" w:rsidP="008C61F9">
            <w:pPr>
              <w:keepNext/>
              <w:jc w:val="center"/>
              <w:rPr>
                <w:rFonts w:ascii="Arial Narrow" w:hAnsi="Arial Narrow"/>
                <w:sz w:val="20"/>
              </w:rPr>
            </w:pPr>
            <w:r w:rsidRPr="00E92067">
              <w:rPr>
                <w:rFonts w:ascii="Arial Narrow" w:hAnsi="Arial Narrow"/>
                <w:sz w:val="20"/>
              </w:rPr>
              <w:t>0.67 (0.58, 0.78)</w:t>
            </w:r>
          </w:p>
        </w:tc>
        <w:tc>
          <w:tcPr>
            <w:tcW w:w="3164" w:type="dxa"/>
            <w:tcBorders>
              <w:bottom w:val="single" w:sz="4" w:space="0" w:color="auto"/>
            </w:tcBorders>
          </w:tcPr>
          <w:p w:rsidR="00151FBC" w:rsidRPr="00E92067" w:rsidRDefault="00151FBC" w:rsidP="008C61F9">
            <w:pPr>
              <w:keepNext/>
              <w:jc w:val="center"/>
              <w:rPr>
                <w:rFonts w:ascii="Arial Narrow" w:hAnsi="Arial Narrow"/>
                <w:sz w:val="20"/>
              </w:rPr>
            </w:pPr>
            <w:r w:rsidRPr="00E92067">
              <w:rPr>
                <w:rFonts w:ascii="Arial Narrow" w:hAnsi="Arial Narrow"/>
                <w:sz w:val="20"/>
              </w:rPr>
              <w:t xml:space="preserve">0.39 (0.33, 0.48) </w:t>
            </w:r>
          </w:p>
        </w:tc>
      </w:tr>
      <w:tr w:rsidR="00151FBC" w:rsidRPr="00E92067" w:rsidTr="00D33834">
        <w:tc>
          <w:tcPr>
            <w:tcW w:w="2581" w:type="dxa"/>
            <w:tcBorders>
              <w:bottom w:val="single" w:sz="4" w:space="0" w:color="auto"/>
            </w:tcBorders>
          </w:tcPr>
          <w:p w:rsidR="00151FBC" w:rsidRPr="00E92067" w:rsidRDefault="00151FBC" w:rsidP="008C61F9">
            <w:pPr>
              <w:keepNext/>
              <w:tabs>
                <w:tab w:val="right" w:pos="2462"/>
              </w:tabs>
              <w:rPr>
                <w:rFonts w:ascii="Arial Narrow" w:hAnsi="Arial Narrow"/>
                <w:sz w:val="20"/>
                <w:szCs w:val="20"/>
              </w:rPr>
            </w:pPr>
            <w:r w:rsidRPr="00E92067">
              <w:rPr>
                <w:rFonts w:ascii="Arial Narrow" w:hAnsi="Arial Narrow"/>
                <w:b/>
                <w:sz w:val="20"/>
                <w:szCs w:val="20"/>
              </w:rPr>
              <w:t>RFS median months (95% CI)</w:t>
            </w:r>
          </w:p>
        </w:tc>
        <w:tc>
          <w:tcPr>
            <w:tcW w:w="3164" w:type="dxa"/>
            <w:tcBorders>
              <w:bottom w:val="single" w:sz="4" w:space="0" w:color="auto"/>
            </w:tcBorders>
          </w:tcPr>
          <w:p w:rsidR="00151FBC" w:rsidRPr="00E92067" w:rsidRDefault="00151FBC" w:rsidP="008C61F9">
            <w:pPr>
              <w:keepNext/>
              <w:jc w:val="center"/>
              <w:rPr>
                <w:rFonts w:ascii="Arial Narrow" w:hAnsi="Arial Narrow"/>
                <w:sz w:val="20"/>
              </w:rPr>
            </w:pPr>
            <w:r w:rsidRPr="00E92067">
              <w:rPr>
                <w:rFonts w:ascii="Arial Narrow" w:hAnsi="Arial Narrow"/>
                <w:sz w:val="20"/>
              </w:rPr>
              <w:t>35.2 months (24.2, NE)</w:t>
            </w:r>
          </w:p>
        </w:tc>
        <w:tc>
          <w:tcPr>
            <w:tcW w:w="3164" w:type="dxa"/>
            <w:tcBorders>
              <w:bottom w:val="single" w:sz="4" w:space="0" w:color="auto"/>
            </w:tcBorders>
          </w:tcPr>
          <w:p w:rsidR="00151FBC" w:rsidRPr="00E92067" w:rsidRDefault="00151FBC" w:rsidP="008C61F9">
            <w:pPr>
              <w:keepNext/>
              <w:jc w:val="center"/>
              <w:rPr>
                <w:rFonts w:ascii="Arial Narrow" w:hAnsi="Arial Narrow"/>
                <w:sz w:val="20"/>
              </w:rPr>
            </w:pPr>
            <w:r w:rsidRPr="00E92067">
              <w:rPr>
                <w:rFonts w:ascii="Arial Narrow" w:hAnsi="Arial Narrow"/>
                <w:sz w:val="20"/>
              </w:rPr>
              <w:t>8.3 months (6.2, 11.8)</w:t>
            </w:r>
          </w:p>
        </w:tc>
      </w:tr>
      <w:tr w:rsidR="00151FBC" w:rsidRPr="00E92067" w:rsidTr="00D33834">
        <w:tc>
          <w:tcPr>
            <w:tcW w:w="2581" w:type="dxa"/>
            <w:tcBorders>
              <w:top w:val="double" w:sz="4" w:space="0" w:color="auto"/>
              <w:right w:val="nil"/>
            </w:tcBorders>
          </w:tcPr>
          <w:p w:rsidR="00151FBC" w:rsidRPr="00E92067" w:rsidRDefault="00151FBC" w:rsidP="008C61F9">
            <w:pPr>
              <w:keepNext/>
              <w:jc w:val="left"/>
              <w:rPr>
                <w:rFonts w:ascii="Arial Narrow" w:hAnsi="Arial Narrow"/>
                <w:b/>
                <w:sz w:val="20"/>
              </w:rPr>
            </w:pPr>
            <w:r w:rsidRPr="00E92067">
              <w:rPr>
                <w:rFonts w:ascii="Arial Narrow" w:hAnsi="Arial Narrow"/>
                <w:b/>
                <w:sz w:val="20"/>
              </w:rPr>
              <w:t xml:space="preserve">ATE stabilised IPTW </w:t>
            </w:r>
          </w:p>
        </w:tc>
        <w:tc>
          <w:tcPr>
            <w:tcW w:w="6328" w:type="dxa"/>
            <w:gridSpan w:val="2"/>
            <w:tcBorders>
              <w:top w:val="double" w:sz="4" w:space="0" w:color="auto"/>
              <w:left w:val="nil"/>
            </w:tcBorders>
          </w:tcPr>
          <w:p w:rsidR="00151FBC" w:rsidRPr="00E92067" w:rsidRDefault="00151FBC" w:rsidP="008C61F9">
            <w:pPr>
              <w:keepNext/>
              <w:jc w:val="center"/>
              <w:rPr>
                <w:rFonts w:ascii="Arial Narrow" w:hAnsi="Arial Narrow"/>
                <w:b/>
                <w:sz w:val="20"/>
              </w:rPr>
            </w:pPr>
            <w:r w:rsidRPr="00E92067">
              <w:rPr>
                <w:rFonts w:ascii="Arial Narrow" w:hAnsi="Arial Narrow"/>
                <w:b/>
                <w:sz w:val="20"/>
              </w:rPr>
              <w:t>Hazard ratio (95% CI)</w:t>
            </w:r>
            <w:r w:rsidRPr="00E92067">
              <w:rPr>
                <w:rFonts w:ascii="Arial Narrow" w:hAnsi="Arial Narrow"/>
                <w:b/>
                <w:sz w:val="20"/>
                <w:vertAlign w:val="superscript"/>
              </w:rPr>
              <w:t>a</w:t>
            </w:r>
          </w:p>
        </w:tc>
      </w:tr>
      <w:tr w:rsidR="00151FBC" w:rsidRPr="00E92067" w:rsidTr="00D33834">
        <w:tc>
          <w:tcPr>
            <w:tcW w:w="2581" w:type="dxa"/>
            <w:tcBorders>
              <w:top w:val="single" w:sz="4" w:space="0" w:color="auto"/>
            </w:tcBorders>
          </w:tcPr>
          <w:p w:rsidR="00151FBC" w:rsidRPr="00E92067" w:rsidRDefault="00151FBC" w:rsidP="008C61F9">
            <w:pPr>
              <w:keepNext/>
              <w:tabs>
                <w:tab w:val="right" w:pos="2462"/>
              </w:tabs>
              <w:rPr>
                <w:rFonts w:ascii="Arial Narrow" w:hAnsi="Arial Narrow"/>
                <w:b/>
                <w:sz w:val="20"/>
                <w:szCs w:val="20"/>
              </w:rPr>
            </w:pPr>
            <w:r w:rsidRPr="00E92067">
              <w:rPr>
                <w:rFonts w:ascii="Arial Narrow" w:hAnsi="Arial Narrow"/>
                <w:sz w:val="20"/>
                <w:szCs w:val="20"/>
              </w:rPr>
              <w:t>not adjusted for alloHSCT</w:t>
            </w:r>
          </w:p>
        </w:tc>
        <w:tc>
          <w:tcPr>
            <w:tcW w:w="6328" w:type="dxa"/>
            <w:gridSpan w:val="2"/>
            <w:tcBorders>
              <w:top w:val="single" w:sz="4" w:space="0" w:color="auto"/>
            </w:tcBorders>
          </w:tcPr>
          <w:p w:rsidR="00151FBC" w:rsidRPr="00E92067" w:rsidRDefault="00151FBC" w:rsidP="008C61F9">
            <w:pPr>
              <w:keepNext/>
              <w:jc w:val="center"/>
              <w:rPr>
                <w:rFonts w:ascii="Arial Narrow" w:hAnsi="Arial Narrow"/>
                <w:b/>
                <w:sz w:val="20"/>
                <w:szCs w:val="20"/>
              </w:rPr>
            </w:pPr>
            <w:r w:rsidRPr="00E92067">
              <w:rPr>
                <w:rFonts w:ascii="Arial Narrow" w:hAnsi="Arial Narrow"/>
                <w:b/>
                <w:sz w:val="20"/>
                <w:szCs w:val="20"/>
              </w:rPr>
              <w:t>0.47 (0.30, 0.73)</w:t>
            </w:r>
          </w:p>
        </w:tc>
      </w:tr>
      <w:tr w:rsidR="00151FBC" w:rsidRPr="00E92067" w:rsidTr="00D33834">
        <w:tc>
          <w:tcPr>
            <w:tcW w:w="2581" w:type="dxa"/>
            <w:tcBorders>
              <w:top w:val="single" w:sz="4" w:space="0" w:color="auto"/>
            </w:tcBorders>
          </w:tcPr>
          <w:p w:rsidR="00151FBC" w:rsidRPr="00E92067" w:rsidRDefault="00151FBC" w:rsidP="008C61F9">
            <w:pPr>
              <w:keepNext/>
              <w:tabs>
                <w:tab w:val="right" w:pos="2462"/>
              </w:tabs>
              <w:rPr>
                <w:rFonts w:ascii="Arial Narrow" w:hAnsi="Arial Narrow"/>
                <w:b/>
                <w:sz w:val="20"/>
                <w:szCs w:val="20"/>
              </w:rPr>
            </w:pPr>
            <w:r w:rsidRPr="00E92067">
              <w:rPr>
                <w:rFonts w:ascii="Arial Narrow" w:hAnsi="Arial Narrow"/>
                <w:sz w:val="20"/>
                <w:szCs w:val="20"/>
              </w:rPr>
              <w:t>adjusted for alloHSCT</w:t>
            </w:r>
          </w:p>
        </w:tc>
        <w:tc>
          <w:tcPr>
            <w:tcW w:w="6328" w:type="dxa"/>
            <w:gridSpan w:val="2"/>
            <w:tcBorders>
              <w:top w:val="single" w:sz="4" w:space="0" w:color="auto"/>
            </w:tcBorders>
          </w:tcPr>
          <w:p w:rsidR="00151FBC" w:rsidRPr="00E92067" w:rsidRDefault="00151FBC" w:rsidP="008C61F9">
            <w:pPr>
              <w:keepNext/>
              <w:jc w:val="center"/>
              <w:rPr>
                <w:rFonts w:ascii="Arial Narrow" w:hAnsi="Arial Narrow"/>
                <w:b/>
                <w:sz w:val="20"/>
                <w:szCs w:val="20"/>
              </w:rPr>
            </w:pPr>
            <w:r w:rsidRPr="00E92067">
              <w:rPr>
                <w:rFonts w:ascii="Arial Narrow" w:hAnsi="Arial Narrow"/>
                <w:b/>
                <w:sz w:val="20"/>
                <w:szCs w:val="20"/>
              </w:rPr>
              <w:t>0.50 (0.32, 0.78)</w:t>
            </w:r>
          </w:p>
        </w:tc>
      </w:tr>
    </w:tbl>
    <w:p w:rsidR="00151FBC" w:rsidRPr="00E92067" w:rsidRDefault="00151FBC" w:rsidP="008C61F9">
      <w:pPr>
        <w:keepNext/>
        <w:rPr>
          <w:rFonts w:ascii="Arial Narrow" w:hAnsi="Arial Narrow"/>
          <w:sz w:val="18"/>
          <w:szCs w:val="18"/>
        </w:rPr>
      </w:pPr>
      <w:r w:rsidRPr="00E92067">
        <w:rPr>
          <w:rFonts w:ascii="Arial Narrow" w:hAnsi="Arial Narrow"/>
          <w:sz w:val="18"/>
          <w:szCs w:val="18"/>
        </w:rPr>
        <w:t>Source: Table 53, p.94 of the submission.</w:t>
      </w:r>
    </w:p>
    <w:p w:rsidR="00151FBC" w:rsidRPr="00E92067" w:rsidRDefault="00151FBC" w:rsidP="008C61F9">
      <w:pPr>
        <w:keepNext/>
        <w:rPr>
          <w:rFonts w:ascii="Arial Narrow" w:hAnsi="Arial Narrow"/>
          <w:sz w:val="18"/>
          <w:szCs w:val="18"/>
        </w:rPr>
      </w:pPr>
      <w:r w:rsidRPr="00E92067">
        <w:rPr>
          <w:rFonts w:ascii="Arial Narrow" w:hAnsi="Arial Narrow"/>
          <w:sz w:val="18"/>
          <w:szCs w:val="18"/>
        </w:rPr>
        <w:t>Abbreviations: alloHSCT, allogeneic haematopoietic stem cell transplantation; ATE, average treatment effect; CI, confidence interval; IPTW, inverse probability of treatment weight; NE, not evaluable; PAS, primary analysis set; RFS, relapse free survival.</w:t>
      </w:r>
    </w:p>
    <w:p w:rsidR="00151FBC" w:rsidRPr="00E92067" w:rsidRDefault="00151FBC" w:rsidP="008C61F9">
      <w:pPr>
        <w:keepNext/>
        <w:rPr>
          <w:rFonts w:ascii="Arial Narrow" w:hAnsi="Arial Narrow"/>
          <w:sz w:val="18"/>
          <w:szCs w:val="18"/>
        </w:rPr>
      </w:pPr>
      <w:r w:rsidRPr="00E92067">
        <w:rPr>
          <w:rFonts w:ascii="Arial Narrow" w:hAnsi="Arial Narrow"/>
          <w:sz w:val="18"/>
          <w:szCs w:val="18"/>
          <w:vertAlign w:val="superscript"/>
        </w:rPr>
        <w:t>a</w:t>
      </w:r>
      <w:r w:rsidRPr="00E92067">
        <w:rPr>
          <w:rFonts w:ascii="Arial Narrow" w:hAnsi="Arial Narrow"/>
          <w:sz w:val="18"/>
          <w:szCs w:val="18"/>
        </w:rPr>
        <w:t xml:space="preserve"> Results &lt;1 favour blinatumomab. Statistically significant results in bold.</w:t>
      </w:r>
    </w:p>
    <w:p w:rsidR="00151FBC" w:rsidRPr="00E92067" w:rsidRDefault="00151FBC" w:rsidP="00151FBC">
      <w:pPr>
        <w:widowControl/>
        <w:rPr>
          <w:rFonts w:asciiTheme="minorHAnsi" w:eastAsiaTheme="minorHAnsi" w:hAnsiTheme="minorHAnsi"/>
          <w:snapToGrid/>
        </w:rPr>
      </w:pPr>
      <w:r w:rsidRPr="00E92067">
        <w:rPr>
          <w:rFonts w:asciiTheme="minorHAnsi" w:eastAsiaTheme="minorHAnsi" w:hAnsiTheme="minorHAnsi"/>
          <w:snapToGrid/>
        </w:rPr>
        <w:t xml:space="preserve"> </w:t>
      </w:r>
    </w:p>
    <w:p w:rsidR="00151FBC" w:rsidRPr="00E92067" w:rsidRDefault="00151FBC" w:rsidP="00151FBC">
      <w:pPr>
        <w:keepNext/>
        <w:keepLines/>
        <w:rPr>
          <w:rFonts w:ascii="Arial Narrow" w:hAnsi="Arial Narrow"/>
          <w:b/>
          <w:sz w:val="20"/>
          <w:szCs w:val="20"/>
        </w:rPr>
      </w:pPr>
      <w:r w:rsidRPr="00E92067">
        <w:rPr>
          <w:rFonts w:ascii="Arial Narrow" w:hAnsi="Arial Narrow"/>
          <w:b/>
          <w:sz w:val="20"/>
          <w:szCs w:val="20"/>
        </w:rPr>
        <w:t xml:space="preserve">Figure </w:t>
      </w:r>
      <w:r w:rsidR="0051758F">
        <w:rPr>
          <w:rFonts w:ascii="Arial Narrow" w:hAnsi="Arial Narrow"/>
          <w:b/>
          <w:sz w:val="20"/>
          <w:szCs w:val="20"/>
        </w:rPr>
        <w:t>4</w:t>
      </w:r>
      <w:r w:rsidRPr="00E92067">
        <w:rPr>
          <w:rFonts w:ascii="Arial Narrow" w:hAnsi="Arial Narrow"/>
          <w:b/>
          <w:sz w:val="20"/>
          <w:szCs w:val="20"/>
        </w:rPr>
        <w:t>: ATE stabilised IPTW Kaplan-Meier curve of relapse free survival (PAS)</w:t>
      </w:r>
    </w:p>
    <w:p w:rsidR="00151FBC" w:rsidRPr="00E92067" w:rsidRDefault="00151FBC" w:rsidP="00151FBC">
      <w:pPr>
        <w:keepNext/>
        <w:keepLines/>
      </w:pPr>
      <w:r w:rsidRPr="00E92067">
        <w:rPr>
          <w:rFonts w:eastAsiaTheme="minorHAnsi"/>
          <w:noProof/>
          <w:shd w:val="clear" w:color="auto" w:fill="FFFFFF"/>
          <w:lang w:eastAsia="en-AU"/>
        </w:rPr>
        <w:drawing>
          <wp:inline distT="0" distB="0" distL="0" distR="0" wp14:anchorId="3479ABD0" wp14:editId="3AC1205B">
            <wp:extent cx="5729212" cy="2639683"/>
            <wp:effectExtent l="0" t="0" r="5080" b="8890"/>
            <wp:docPr id="28" name="Picture 28" title="Figure 4: ATE stabilised IPTW Kaplan-Meier curve of relapse free survival (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9783" t="7117" r="4427" b="8283"/>
                    <a:stretch/>
                  </pic:blipFill>
                  <pic:spPr bwMode="auto">
                    <a:xfrm>
                      <a:off x="0" y="0"/>
                      <a:ext cx="5756965" cy="2652470"/>
                    </a:xfrm>
                    <a:prstGeom prst="rect">
                      <a:avLst/>
                    </a:prstGeom>
                    <a:ln>
                      <a:noFill/>
                    </a:ln>
                    <a:extLst>
                      <a:ext uri="{53640926-AAD7-44D8-BBD7-CCE9431645EC}">
                        <a14:shadowObscured xmlns:a14="http://schemas.microsoft.com/office/drawing/2010/main"/>
                      </a:ext>
                    </a:extLst>
                  </pic:spPr>
                </pic:pic>
              </a:graphicData>
            </a:graphic>
          </wp:inline>
        </w:drawing>
      </w:r>
    </w:p>
    <w:p w:rsidR="00151FBC" w:rsidRPr="00E92067" w:rsidRDefault="00151FBC" w:rsidP="00151FBC">
      <w:pPr>
        <w:keepNext/>
        <w:keepLines/>
        <w:rPr>
          <w:rFonts w:ascii="Arial Narrow" w:hAnsi="Arial Narrow"/>
          <w:sz w:val="18"/>
          <w:szCs w:val="18"/>
        </w:rPr>
      </w:pPr>
      <w:r w:rsidRPr="00E92067">
        <w:rPr>
          <w:rFonts w:ascii="Arial Narrow" w:hAnsi="Arial Narrow"/>
          <w:sz w:val="18"/>
          <w:szCs w:val="18"/>
        </w:rPr>
        <w:t>Source: Figure 22, p.95 of the submission.</w:t>
      </w:r>
    </w:p>
    <w:p w:rsidR="00151FBC" w:rsidRPr="00E92067" w:rsidRDefault="00151FBC" w:rsidP="00151FBC">
      <w:pPr>
        <w:rPr>
          <w:rFonts w:ascii="Arial Narrow" w:hAnsi="Arial Narrow"/>
          <w:sz w:val="18"/>
          <w:szCs w:val="18"/>
        </w:rPr>
      </w:pPr>
      <w:r w:rsidRPr="00E92067">
        <w:rPr>
          <w:rFonts w:ascii="Arial Narrow" w:hAnsi="Arial Narrow"/>
          <w:sz w:val="18"/>
          <w:szCs w:val="18"/>
        </w:rPr>
        <w:t xml:space="preserve">Abbreviations: ATE, average treatment effect; IPTW, inverse probability of treatment weight; </w:t>
      </w:r>
      <w:r w:rsidRPr="00E92067">
        <w:rPr>
          <w:rFonts w:ascii="Arial Narrow" w:hAnsi="Arial Narrow" w:cstheme="minorHAnsi"/>
          <w:sz w:val="18"/>
          <w:szCs w:val="18"/>
        </w:rPr>
        <w:t>PAS, primary analysis set.</w:t>
      </w:r>
    </w:p>
    <w:p w:rsidR="00151FBC" w:rsidRPr="00E92067" w:rsidRDefault="00151FBC" w:rsidP="00151FBC">
      <w:pPr>
        <w:widowControl/>
      </w:pPr>
    </w:p>
    <w:p w:rsidR="00151FBC" w:rsidRPr="00E92067" w:rsidRDefault="00151FBC" w:rsidP="001613D3">
      <w:pPr>
        <w:pStyle w:val="ListParagraph"/>
        <w:widowControl/>
        <w:numPr>
          <w:ilvl w:val="1"/>
          <w:numId w:val="2"/>
        </w:numPr>
      </w:pPr>
      <w:r w:rsidRPr="00E92067">
        <w:t>In the primary ATE analysis, blinatumomab showed a statistically significant increase in median relapse free survival of 26.9 months compared with standard of care chemotherapy (not adjusted for alloHSCT)</w:t>
      </w:r>
      <w:r w:rsidRPr="00E92067">
        <w:rPr>
          <w:rFonts w:asciiTheme="minorHAnsi" w:eastAsiaTheme="minorHAnsi" w:hAnsiTheme="minorHAnsi"/>
          <w:snapToGrid/>
          <w:color w:val="000000"/>
        </w:rPr>
        <w:t xml:space="preserve">. Similar results were reported for the </w:t>
      </w:r>
      <w:r w:rsidRPr="00E92067">
        <w:t xml:space="preserve">exploratory ATT analysis; median </w:t>
      </w:r>
      <w:r w:rsidR="00F91CB1" w:rsidRPr="00E92067">
        <w:t>relapse free</w:t>
      </w:r>
      <w:r w:rsidRPr="00E92067">
        <w:t xml:space="preserve"> survival of 28.7 months (not adjusted for alloHSCT)</w:t>
      </w:r>
      <w:r w:rsidRPr="00E92067">
        <w:rPr>
          <w:rFonts w:asciiTheme="minorHAnsi" w:eastAsiaTheme="minorHAnsi" w:hAnsiTheme="minorHAnsi"/>
          <w:snapToGrid/>
          <w:color w:val="000000"/>
        </w:rPr>
        <w:t>.</w:t>
      </w:r>
    </w:p>
    <w:p w:rsidR="00151FBC" w:rsidRPr="00E92067" w:rsidRDefault="00151FBC" w:rsidP="001613D3">
      <w:pPr>
        <w:pStyle w:val="ListParagraph"/>
        <w:widowControl/>
        <w:numPr>
          <w:ilvl w:val="1"/>
          <w:numId w:val="2"/>
        </w:numPr>
      </w:pPr>
      <w:r w:rsidRPr="00E92067">
        <w:rPr>
          <w:rFonts w:asciiTheme="minorHAnsi" w:hAnsiTheme="minorHAnsi" w:cstheme="minorHAnsi"/>
          <w:szCs w:val="24"/>
        </w:rPr>
        <w:t xml:space="preserve">Table </w:t>
      </w:r>
      <w:r w:rsidR="006D0ACD" w:rsidRPr="00E92067">
        <w:rPr>
          <w:rFonts w:asciiTheme="minorHAnsi" w:hAnsiTheme="minorHAnsi" w:cstheme="minorHAnsi"/>
          <w:szCs w:val="24"/>
        </w:rPr>
        <w:t>8</w:t>
      </w:r>
      <w:r w:rsidRPr="00E92067">
        <w:rPr>
          <w:rFonts w:asciiTheme="minorHAnsi" w:hAnsiTheme="minorHAnsi" w:cstheme="minorHAnsi"/>
          <w:szCs w:val="24"/>
        </w:rPr>
        <w:t xml:space="preserve"> and Figure </w:t>
      </w:r>
      <w:r w:rsidR="0051758F">
        <w:rPr>
          <w:rFonts w:asciiTheme="minorHAnsi" w:hAnsiTheme="minorHAnsi" w:cstheme="minorHAnsi"/>
          <w:szCs w:val="24"/>
        </w:rPr>
        <w:t>5</w:t>
      </w:r>
      <w:r w:rsidRPr="00E92067">
        <w:rPr>
          <w:rFonts w:asciiTheme="minorHAnsi" w:hAnsiTheme="minorHAnsi" w:cstheme="minorHAnsi"/>
          <w:szCs w:val="24"/>
        </w:rPr>
        <w:t xml:space="preserve"> summarise the indirect comparison of blinatumomab and standard of care chemotherapy for overall survival, in the primary ATE analysis</w:t>
      </w:r>
      <w:r w:rsidRPr="00E92067">
        <w:rPr>
          <w:rFonts w:asciiTheme="minorHAnsi" w:eastAsiaTheme="minorHAnsi" w:hAnsiTheme="minorHAnsi"/>
          <w:snapToGrid/>
        </w:rPr>
        <w:t xml:space="preserve">. </w:t>
      </w:r>
    </w:p>
    <w:p w:rsidR="00151FBC" w:rsidRPr="00E92067" w:rsidRDefault="00151FBC" w:rsidP="000719A2">
      <w:pPr>
        <w:keepNext/>
        <w:keepLines/>
        <w:rPr>
          <w:rFonts w:ascii="Arial Narrow" w:hAnsi="Arial Narrow"/>
          <w:b/>
          <w:sz w:val="20"/>
          <w:szCs w:val="20"/>
        </w:rPr>
      </w:pPr>
      <w:r w:rsidRPr="00E92067">
        <w:rPr>
          <w:rFonts w:ascii="Arial Narrow" w:hAnsi="Arial Narrow"/>
          <w:b/>
          <w:sz w:val="20"/>
          <w:szCs w:val="20"/>
        </w:rPr>
        <w:t xml:space="preserve">Table </w:t>
      </w:r>
      <w:r w:rsidR="006D0ACD" w:rsidRPr="00E92067">
        <w:rPr>
          <w:rFonts w:ascii="Arial Narrow" w:hAnsi="Arial Narrow"/>
          <w:b/>
          <w:sz w:val="20"/>
          <w:szCs w:val="20"/>
        </w:rPr>
        <w:t>8</w:t>
      </w:r>
      <w:r w:rsidRPr="00E92067">
        <w:rPr>
          <w:rFonts w:ascii="Arial Narrow" w:hAnsi="Arial Narrow"/>
          <w:b/>
          <w:sz w:val="20"/>
          <w:szCs w:val="20"/>
        </w:rPr>
        <w:t>: Propensity scoring analysis (ATE) overall survival (PAS; stabilised IPTW)</w:t>
      </w:r>
    </w:p>
    <w:tbl>
      <w:tblPr>
        <w:tblStyle w:val="TableGrid"/>
        <w:tblW w:w="0" w:type="auto"/>
        <w:tblInd w:w="108" w:type="dxa"/>
        <w:tblLook w:val="04A0" w:firstRow="1" w:lastRow="0" w:firstColumn="1" w:lastColumn="0" w:noHBand="0" w:noVBand="1"/>
        <w:tblCaption w:val="Table 8: Propensity scoring analysis (ATE) overall survival (PAS; stabilised IPTW)"/>
      </w:tblPr>
      <w:tblGrid>
        <w:gridCol w:w="2581"/>
        <w:gridCol w:w="3164"/>
        <w:gridCol w:w="3164"/>
      </w:tblGrid>
      <w:tr w:rsidR="00151FBC" w:rsidRPr="00E92067" w:rsidTr="00600987">
        <w:trPr>
          <w:trHeight w:val="287"/>
          <w:tblHeader/>
        </w:trPr>
        <w:tc>
          <w:tcPr>
            <w:tcW w:w="2581" w:type="dxa"/>
            <w:vAlign w:val="center"/>
          </w:tcPr>
          <w:p w:rsidR="00151FBC" w:rsidRPr="00E92067" w:rsidRDefault="00151FBC" w:rsidP="000719A2">
            <w:pPr>
              <w:keepNext/>
              <w:jc w:val="left"/>
              <w:rPr>
                <w:rFonts w:ascii="Arial Narrow" w:hAnsi="Arial Narrow"/>
                <w:b/>
                <w:sz w:val="20"/>
                <w:szCs w:val="20"/>
              </w:rPr>
            </w:pPr>
          </w:p>
        </w:tc>
        <w:tc>
          <w:tcPr>
            <w:tcW w:w="3164" w:type="dxa"/>
            <w:vAlign w:val="center"/>
          </w:tcPr>
          <w:p w:rsidR="00151FBC" w:rsidRPr="00E92067" w:rsidRDefault="00151FBC" w:rsidP="000719A2">
            <w:pPr>
              <w:keepNext/>
              <w:ind w:left="-65" w:right="-79"/>
              <w:jc w:val="center"/>
              <w:rPr>
                <w:rFonts w:ascii="Arial Narrow" w:hAnsi="Arial Narrow"/>
                <w:b/>
                <w:sz w:val="20"/>
              </w:rPr>
            </w:pPr>
            <w:r w:rsidRPr="00E92067">
              <w:rPr>
                <w:rFonts w:ascii="Arial Narrow" w:hAnsi="Arial Narrow"/>
                <w:b/>
                <w:sz w:val="20"/>
              </w:rPr>
              <w:t>Blinatumomab (N=78.5)</w:t>
            </w:r>
          </w:p>
          <w:p w:rsidR="00151FBC" w:rsidRPr="00E92067" w:rsidRDefault="00151FBC" w:rsidP="000719A2">
            <w:pPr>
              <w:keepNext/>
              <w:ind w:left="-65" w:right="-79"/>
              <w:jc w:val="center"/>
              <w:rPr>
                <w:rFonts w:ascii="Arial Narrow" w:hAnsi="Arial Narrow"/>
                <w:b/>
                <w:sz w:val="20"/>
              </w:rPr>
            </w:pPr>
            <w:r w:rsidRPr="00E92067">
              <w:rPr>
                <w:rFonts w:ascii="Arial Narrow" w:hAnsi="Arial Narrow"/>
                <w:b/>
                <w:sz w:val="20"/>
              </w:rPr>
              <w:t>Kaplan-Meier estimate (95% CI)</w:t>
            </w:r>
          </w:p>
        </w:tc>
        <w:tc>
          <w:tcPr>
            <w:tcW w:w="3164" w:type="dxa"/>
            <w:vAlign w:val="center"/>
          </w:tcPr>
          <w:p w:rsidR="00151FBC" w:rsidRPr="00E92067" w:rsidRDefault="00151FBC" w:rsidP="000719A2">
            <w:pPr>
              <w:keepNext/>
              <w:ind w:left="-65" w:right="-79"/>
              <w:jc w:val="center"/>
              <w:rPr>
                <w:rFonts w:ascii="Arial Narrow" w:hAnsi="Arial Narrow"/>
                <w:b/>
                <w:sz w:val="20"/>
              </w:rPr>
            </w:pPr>
            <w:r w:rsidRPr="00E92067">
              <w:rPr>
                <w:rFonts w:ascii="Arial Narrow" w:hAnsi="Arial Narrow" w:cstheme="minorBidi"/>
                <w:b/>
                <w:sz w:val="20"/>
              </w:rPr>
              <w:t>Historical control (N=174.3)</w:t>
            </w:r>
          </w:p>
          <w:p w:rsidR="00151FBC" w:rsidRPr="00E92067" w:rsidRDefault="00151FBC" w:rsidP="000719A2">
            <w:pPr>
              <w:keepNext/>
              <w:ind w:left="-65" w:right="-79"/>
              <w:jc w:val="center"/>
              <w:rPr>
                <w:rFonts w:ascii="Arial Narrow" w:hAnsi="Arial Narrow" w:cstheme="minorBidi"/>
                <w:b/>
                <w:sz w:val="20"/>
              </w:rPr>
            </w:pPr>
            <w:r w:rsidRPr="00E92067">
              <w:rPr>
                <w:rFonts w:ascii="Arial Narrow" w:hAnsi="Arial Narrow"/>
                <w:b/>
                <w:sz w:val="20"/>
              </w:rPr>
              <w:t>Kaplan-Meier estimate (95% CI)</w:t>
            </w:r>
          </w:p>
        </w:tc>
      </w:tr>
      <w:tr w:rsidR="00151FBC" w:rsidRPr="00E92067" w:rsidTr="00D33834">
        <w:tc>
          <w:tcPr>
            <w:tcW w:w="8909" w:type="dxa"/>
            <w:gridSpan w:val="3"/>
            <w:tcBorders>
              <w:bottom w:val="single" w:sz="4" w:space="0" w:color="auto"/>
            </w:tcBorders>
          </w:tcPr>
          <w:p w:rsidR="00151FBC" w:rsidRPr="00E92067" w:rsidRDefault="00151FBC" w:rsidP="000719A2">
            <w:pPr>
              <w:keepNext/>
              <w:widowControl/>
              <w:jc w:val="left"/>
              <w:rPr>
                <w:rFonts w:ascii="Arial Narrow" w:hAnsi="Arial Narrow"/>
                <w:b/>
                <w:sz w:val="20"/>
              </w:rPr>
            </w:pPr>
            <w:r w:rsidRPr="00E92067">
              <w:rPr>
                <w:rFonts w:ascii="Arial Narrow" w:hAnsi="Arial Narrow"/>
                <w:b/>
                <w:sz w:val="20"/>
              </w:rPr>
              <w:t xml:space="preserve">ATE stabilised IPTW </w:t>
            </w:r>
            <w:r w:rsidRPr="00E92067">
              <w:rPr>
                <w:rFonts w:ascii="Arial Narrow" w:hAnsi="Arial Narrow" w:cstheme="minorHAnsi"/>
                <w:b/>
                <w:sz w:val="20"/>
                <w:szCs w:val="20"/>
              </w:rPr>
              <w:t xml:space="preserve">Kaplan-Meier estimates </w:t>
            </w:r>
            <w:r w:rsidRPr="00E92067">
              <w:rPr>
                <w:rFonts w:ascii="Arial Narrow" w:hAnsi="Arial Narrow"/>
                <w:b/>
                <w:sz w:val="20"/>
              </w:rPr>
              <w:t>(not adjusted for alloHSCT)</w:t>
            </w:r>
          </w:p>
        </w:tc>
      </w:tr>
      <w:tr w:rsidR="00151FBC" w:rsidRPr="00E92067" w:rsidTr="00D33834">
        <w:tc>
          <w:tcPr>
            <w:tcW w:w="2581" w:type="dxa"/>
            <w:tcBorders>
              <w:bottom w:val="single" w:sz="4" w:space="0" w:color="auto"/>
            </w:tcBorders>
          </w:tcPr>
          <w:p w:rsidR="00151FBC" w:rsidRPr="00E92067" w:rsidRDefault="00151FBC" w:rsidP="000719A2">
            <w:pPr>
              <w:keepNext/>
              <w:tabs>
                <w:tab w:val="right" w:pos="2462"/>
              </w:tabs>
              <w:rPr>
                <w:rFonts w:ascii="Arial Narrow" w:hAnsi="Arial Narrow"/>
                <w:sz w:val="20"/>
                <w:szCs w:val="20"/>
              </w:rPr>
            </w:pPr>
            <w:r w:rsidRPr="00E92067">
              <w:rPr>
                <w:rFonts w:ascii="Arial Narrow" w:hAnsi="Arial Narrow"/>
                <w:sz w:val="20"/>
                <w:szCs w:val="20"/>
              </w:rPr>
              <w:t>18 months</w:t>
            </w:r>
          </w:p>
        </w:tc>
        <w:tc>
          <w:tcPr>
            <w:tcW w:w="3164" w:type="dxa"/>
            <w:tcBorders>
              <w:bottom w:val="single" w:sz="4" w:space="0" w:color="auto"/>
            </w:tcBorders>
          </w:tcPr>
          <w:p w:rsidR="00151FBC" w:rsidRPr="00E92067" w:rsidRDefault="00151FBC" w:rsidP="000719A2">
            <w:pPr>
              <w:keepNext/>
              <w:widowControl/>
              <w:jc w:val="center"/>
              <w:rPr>
                <w:rFonts w:ascii="Arial Narrow" w:hAnsi="Arial Narrow"/>
                <w:sz w:val="20"/>
              </w:rPr>
            </w:pPr>
            <w:r w:rsidRPr="00E92067">
              <w:rPr>
                <w:rFonts w:ascii="Arial Narrow" w:hAnsi="Arial Narrow"/>
                <w:sz w:val="20"/>
              </w:rPr>
              <w:t>0.71 (0.62, 0.81)</w:t>
            </w:r>
          </w:p>
        </w:tc>
        <w:tc>
          <w:tcPr>
            <w:tcW w:w="3164" w:type="dxa"/>
            <w:tcBorders>
              <w:bottom w:val="single" w:sz="4" w:space="0" w:color="auto"/>
            </w:tcBorders>
          </w:tcPr>
          <w:p w:rsidR="00151FBC" w:rsidRPr="00E92067" w:rsidRDefault="00151FBC" w:rsidP="000719A2">
            <w:pPr>
              <w:keepNext/>
              <w:widowControl/>
              <w:jc w:val="center"/>
              <w:rPr>
                <w:rFonts w:ascii="Arial Narrow" w:hAnsi="Arial Narrow"/>
                <w:sz w:val="20"/>
              </w:rPr>
            </w:pPr>
            <w:r w:rsidRPr="00E92067">
              <w:rPr>
                <w:rFonts w:ascii="Arial Narrow" w:hAnsi="Arial Narrow"/>
                <w:sz w:val="20"/>
              </w:rPr>
              <w:t>0.55 (0.48, 0.63)</w:t>
            </w:r>
          </w:p>
        </w:tc>
      </w:tr>
      <w:tr w:rsidR="00151FBC" w:rsidRPr="00E92067" w:rsidTr="00D33834">
        <w:tc>
          <w:tcPr>
            <w:tcW w:w="2581" w:type="dxa"/>
            <w:tcBorders>
              <w:bottom w:val="single" w:sz="4" w:space="0" w:color="auto"/>
            </w:tcBorders>
          </w:tcPr>
          <w:p w:rsidR="00151FBC" w:rsidRPr="00E92067" w:rsidRDefault="00151FBC" w:rsidP="000719A2">
            <w:pPr>
              <w:keepNext/>
              <w:tabs>
                <w:tab w:val="right" w:pos="2462"/>
              </w:tabs>
              <w:rPr>
                <w:rFonts w:ascii="Arial Narrow" w:hAnsi="Arial Narrow"/>
                <w:sz w:val="20"/>
                <w:szCs w:val="20"/>
              </w:rPr>
            </w:pPr>
            <w:r w:rsidRPr="00E92067">
              <w:rPr>
                <w:rFonts w:ascii="Arial Narrow" w:hAnsi="Arial Narrow"/>
                <w:b/>
                <w:sz w:val="20"/>
                <w:szCs w:val="20"/>
              </w:rPr>
              <w:t>OS median months (95% CI)</w:t>
            </w:r>
          </w:p>
        </w:tc>
        <w:tc>
          <w:tcPr>
            <w:tcW w:w="3164" w:type="dxa"/>
            <w:tcBorders>
              <w:bottom w:val="single" w:sz="4" w:space="0" w:color="auto"/>
            </w:tcBorders>
          </w:tcPr>
          <w:p w:rsidR="00151FBC" w:rsidRPr="00E92067" w:rsidRDefault="00151FBC" w:rsidP="000719A2">
            <w:pPr>
              <w:keepNext/>
              <w:widowControl/>
              <w:jc w:val="center"/>
              <w:rPr>
                <w:rFonts w:ascii="Arial Narrow" w:hAnsi="Arial Narrow"/>
                <w:sz w:val="20"/>
              </w:rPr>
            </w:pPr>
            <w:r w:rsidRPr="00E92067">
              <w:rPr>
                <w:rFonts w:ascii="Arial Narrow" w:hAnsi="Arial Narrow"/>
                <w:sz w:val="20"/>
              </w:rPr>
              <w:t>36.5 months (24.2, NE)</w:t>
            </w:r>
          </w:p>
        </w:tc>
        <w:tc>
          <w:tcPr>
            <w:tcW w:w="3164" w:type="dxa"/>
            <w:tcBorders>
              <w:bottom w:val="single" w:sz="4" w:space="0" w:color="auto"/>
            </w:tcBorders>
          </w:tcPr>
          <w:p w:rsidR="00151FBC" w:rsidRPr="00E92067" w:rsidRDefault="00151FBC" w:rsidP="000719A2">
            <w:pPr>
              <w:keepNext/>
              <w:widowControl/>
              <w:jc w:val="center"/>
              <w:rPr>
                <w:rFonts w:ascii="Arial Narrow" w:hAnsi="Arial Narrow"/>
                <w:sz w:val="20"/>
              </w:rPr>
            </w:pPr>
            <w:r w:rsidRPr="00E92067">
              <w:rPr>
                <w:rFonts w:ascii="Arial Narrow" w:hAnsi="Arial Narrow"/>
                <w:sz w:val="20"/>
              </w:rPr>
              <w:t>27.2 months (16.4, 38.6)</w:t>
            </w:r>
          </w:p>
        </w:tc>
      </w:tr>
      <w:tr w:rsidR="00151FBC" w:rsidRPr="00E92067" w:rsidTr="00D33834">
        <w:tc>
          <w:tcPr>
            <w:tcW w:w="2581" w:type="dxa"/>
            <w:tcBorders>
              <w:top w:val="double" w:sz="4" w:space="0" w:color="auto"/>
              <w:right w:val="nil"/>
            </w:tcBorders>
          </w:tcPr>
          <w:p w:rsidR="00151FBC" w:rsidRPr="00E92067" w:rsidRDefault="00151FBC" w:rsidP="000719A2">
            <w:pPr>
              <w:keepNext/>
              <w:widowControl/>
              <w:jc w:val="left"/>
              <w:rPr>
                <w:rFonts w:ascii="Arial Narrow" w:hAnsi="Arial Narrow"/>
                <w:b/>
                <w:sz w:val="20"/>
              </w:rPr>
            </w:pPr>
            <w:r w:rsidRPr="00E92067">
              <w:rPr>
                <w:rFonts w:ascii="Arial Narrow" w:hAnsi="Arial Narrow"/>
                <w:b/>
                <w:sz w:val="20"/>
              </w:rPr>
              <w:t xml:space="preserve">ATE stabilised IPTW </w:t>
            </w:r>
          </w:p>
        </w:tc>
        <w:tc>
          <w:tcPr>
            <w:tcW w:w="6328" w:type="dxa"/>
            <w:gridSpan w:val="2"/>
            <w:tcBorders>
              <w:top w:val="double" w:sz="4" w:space="0" w:color="auto"/>
              <w:left w:val="nil"/>
            </w:tcBorders>
          </w:tcPr>
          <w:p w:rsidR="00151FBC" w:rsidRPr="00E92067" w:rsidRDefault="00151FBC" w:rsidP="000719A2">
            <w:pPr>
              <w:keepNext/>
              <w:widowControl/>
              <w:jc w:val="center"/>
              <w:rPr>
                <w:rFonts w:ascii="Arial Narrow" w:hAnsi="Arial Narrow"/>
                <w:b/>
                <w:sz w:val="20"/>
              </w:rPr>
            </w:pPr>
            <w:r w:rsidRPr="00E92067">
              <w:rPr>
                <w:rFonts w:ascii="Arial Narrow" w:hAnsi="Arial Narrow"/>
                <w:b/>
                <w:sz w:val="20"/>
              </w:rPr>
              <w:t>Hazard ratio (95% CI)</w:t>
            </w:r>
            <w:r w:rsidRPr="00E92067">
              <w:rPr>
                <w:rFonts w:ascii="Arial Narrow" w:hAnsi="Arial Narrow"/>
                <w:b/>
                <w:sz w:val="20"/>
                <w:vertAlign w:val="superscript"/>
              </w:rPr>
              <w:t>a</w:t>
            </w:r>
          </w:p>
        </w:tc>
      </w:tr>
      <w:tr w:rsidR="00151FBC" w:rsidRPr="00E92067" w:rsidTr="00D33834">
        <w:tc>
          <w:tcPr>
            <w:tcW w:w="2581" w:type="dxa"/>
            <w:tcBorders>
              <w:top w:val="single" w:sz="4" w:space="0" w:color="auto"/>
            </w:tcBorders>
          </w:tcPr>
          <w:p w:rsidR="00151FBC" w:rsidRPr="00E92067" w:rsidRDefault="00151FBC" w:rsidP="000719A2">
            <w:pPr>
              <w:keepNext/>
              <w:tabs>
                <w:tab w:val="right" w:pos="2462"/>
              </w:tabs>
              <w:rPr>
                <w:rFonts w:ascii="Arial Narrow" w:hAnsi="Arial Narrow"/>
                <w:b/>
                <w:sz w:val="20"/>
                <w:szCs w:val="20"/>
              </w:rPr>
            </w:pPr>
            <w:r w:rsidRPr="00E92067">
              <w:rPr>
                <w:rFonts w:ascii="Arial Narrow" w:hAnsi="Arial Narrow"/>
                <w:sz w:val="20"/>
                <w:szCs w:val="20"/>
              </w:rPr>
              <w:t>not adjusted for alloHSCT</w:t>
            </w:r>
          </w:p>
        </w:tc>
        <w:tc>
          <w:tcPr>
            <w:tcW w:w="6328" w:type="dxa"/>
            <w:gridSpan w:val="2"/>
            <w:tcBorders>
              <w:top w:val="single" w:sz="4" w:space="0" w:color="auto"/>
            </w:tcBorders>
            <w:vAlign w:val="center"/>
          </w:tcPr>
          <w:p w:rsidR="00151FBC" w:rsidRPr="00E92067" w:rsidRDefault="00151FBC" w:rsidP="000719A2">
            <w:pPr>
              <w:keepNext/>
              <w:widowControl/>
              <w:jc w:val="center"/>
              <w:rPr>
                <w:rFonts w:ascii="Arial Narrow" w:hAnsi="Arial Narrow"/>
                <w:b/>
                <w:sz w:val="20"/>
                <w:szCs w:val="20"/>
              </w:rPr>
            </w:pPr>
            <w:r w:rsidRPr="00E92067">
              <w:rPr>
                <w:rFonts w:ascii="Arial Narrow" w:hAnsi="Arial Narrow"/>
                <w:sz w:val="20"/>
              </w:rPr>
              <w:t>0.68 (0.42, 1.09)</w:t>
            </w:r>
          </w:p>
        </w:tc>
      </w:tr>
      <w:tr w:rsidR="00151FBC" w:rsidRPr="00E92067" w:rsidTr="00D33834">
        <w:tc>
          <w:tcPr>
            <w:tcW w:w="2581" w:type="dxa"/>
            <w:tcBorders>
              <w:top w:val="single" w:sz="4" w:space="0" w:color="auto"/>
            </w:tcBorders>
          </w:tcPr>
          <w:p w:rsidR="00151FBC" w:rsidRPr="00E92067" w:rsidRDefault="00151FBC" w:rsidP="000719A2">
            <w:pPr>
              <w:keepNext/>
              <w:tabs>
                <w:tab w:val="right" w:pos="2462"/>
              </w:tabs>
              <w:rPr>
                <w:rFonts w:ascii="Arial Narrow" w:hAnsi="Arial Narrow"/>
                <w:b/>
                <w:sz w:val="20"/>
                <w:szCs w:val="20"/>
              </w:rPr>
            </w:pPr>
            <w:r w:rsidRPr="00E92067">
              <w:rPr>
                <w:rFonts w:ascii="Arial Narrow" w:hAnsi="Arial Narrow"/>
                <w:sz w:val="20"/>
                <w:szCs w:val="20"/>
              </w:rPr>
              <w:t>adjusted for alloHSCT</w:t>
            </w:r>
          </w:p>
        </w:tc>
        <w:tc>
          <w:tcPr>
            <w:tcW w:w="6328" w:type="dxa"/>
            <w:gridSpan w:val="2"/>
            <w:tcBorders>
              <w:top w:val="single" w:sz="4" w:space="0" w:color="auto"/>
            </w:tcBorders>
            <w:vAlign w:val="center"/>
          </w:tcPr>
          <w:p w:rsidR="00151FBC" w:rsidRPr="00E92067" w:rsidRDefault="00151FBC" w:rsidP="000719A2">
            <w:pPr>
              <w:keepNext/>
              <w:widowControl/>
              <w:jc w:val="center"/>
              <w:rPr>
                <w:rFonts w:ascii="Arial Narrow" w:hAnsi="Arial Narrow"/>
                <w:b/>
                <w:sz w:val="20"/>
                <w:szCs w:val="20"/>
              </w:rPr>
            </w:pPr>
            <w:r w:rsidRPr="00E92067">
              <w:rPr>
                <w:rFonts w:ascii="Arial Narrow" w:hAnsi="Arial Narrow"/>
                <w:sz w:val="20"/>
              </w:rPr>
              <w:t>0.76 (0.47, 1.24)</w:t>
            </w:r>
          </w:p>
        </w:tc>
      </w:tr>
    </w:tbl>
    <w:p w:rsidR="00151FBC" w:rsidRPr="00E92067" w:rsidRDefault="00151FBC" w:rsidP="000719A2">
      <w:pPr>
        <w:keepNext/>
        <w:keepLines/>
        <w:rPr>
          <w:rFonts w:ascii="Arial Narrow" w:hAnsi="Arial Narrow"/>
          <w:sz w:val="18"/>
          <w:szCs w:val="18"/>
        </w:rPr>
      </w:pPr>
      <w:r w:rsidRPr="00E92067">
        <w:rPr>
          <w:rFonts w:ascii="Arial Narrow" w:hAnsi="Arial Narrow"/>
          <w:sz w:val="18"/>
          <w:szCs w:val="18"/>
        </w:rPr>
        <w:t>Source: Table 54, p.97 of the submission.</w:t>
      </w:r>
    </w:p>
    <w:p w:rsidR="00151FBC" w:rsidRPr="00E92067" w:rsidRDefault="00151FBC" w:rsidP="000719A2">
      <w:pPr>
        <w:keepNext/>
        <w:keepLines/>
        <w:rPr>
          <w:rFonts w:ascii="Arial Narrow" w:hAnsi="Arial Narrow"/>
          <w:sz w:val="18"/>
          <w:szCs w:val="18"/>
        </w:rPr>
      </w:pPr>
      <w:r w:rsidRPr="00E92067">
        <w:rPr>
          <w:rFonts w:ascii="Arial Narrow" w:hAnsi="Arial Narrow"/>
          <w:sz w:val="18"/>
          <w:szCs w:val="18"/>
        </w:rPr>
        <w:t>Abbreviations: alloHSCT, allogeneic haematopoietic stem cell transplantation; ATE, average treatment effect; CI, confidence interval; IPTW, inverse probability of treatment weight; NE, not evaluable; OS, overall survival.</w:t>
      </w:r>
    </w:p>
    <w:p w:rsidR="00151FBC" w:rsidRPr="00E92067" w:rsidRDefault="00151FBC" w:rsidP="000719A2">
      <w:pPr>
        <w:keepNext/>
        <w:keepLines/>
        <w:rPr>
          <w:rFonts w:ascii="Arial Narrow" w:hAnsi="Arial Narrow"/>
          <w:sz w:val="18"/>
          <w:szCs w:val="18"/>
        </w:rPr>
      </w:pPr>
      <w:r w:rsidRPr="00E92067">
        <w:rPr>
          <w:rFonts w:ascii="Arial Narrow" w:hAnsi="Arial Narrow"/>
          <w:sz w:val="18"/>
          <w:szCs w:val="18"/>
          <w:vertAlign w:val="superscript"/>
        </w:rPr>
        <w:t>a</w:t>
      </w:r>
      <w:r w:rsidRPr="00E92067">
        <w:rPr>
          <w:rFonts w:ascii="Arial Narrow" w:hAnsi="Arial Narrow"/>
          <w:sz w:val="18"/>
          <w:szCs w:val="18"/>
        </w:rPr>
        <w:t xml:space="preserve"> Results &lt;1 favour blinatumomab.</w:t>
      </w:r>
    </w:p>
    <w:p w:rsidR="00151FBC" w:rsidRPr="00E92067" w:rsidRDefault="00151FBC" w:rsidP="00C8622B">
      <w:pPr>
        <w:rPr>
          <w:rFonts w:ascii="Arial Narrow" w:hAnsi="Arial Narrow"/>
          <w:sz w:val="18"/>
          <w:szCs w:val="18"/>
        </w:rPr>
      </w:pPr>
    </w:p>
    <w:p w:rsidR="00151FBC" w:rsidRPr="00E92067" w:rsidRDefault="00151FBC" w:rsidP="00151FBC">
      <w:pPr>
        <w:keepNext/>
        <w:keepLines/>
        <w:rPr>
          <w:rFonts w:ascii="Arial Narrow" w:hAnsi="Arial Narrow"/>
          <w:b/>
          <w:sz w:val="20"/>
          <w:szCs w:val="20"/>
        </w:rPr>
      </w:pPr>
      <w:r w:rsidRPr="00E92067">
        <w:rPr>
          <w:rFonts w:ascii="Arial Narrow" w:hAnsi="Arial Narrow"/>
          <w:b/>
          <w:sz w:val="20"/>
          <w:szCs w:val="20"/>
        </w:rPr>
        <w:t xml:space="preserve">Figure </w:t>
      </w:r>
      <w:r w:rsidR="0051758F">
        <w:rPr>
          <w:rFonts w:ascii="Arial Narrow" w:hAnsi="Arial Narrow"/>
          <w:b/>
          <w:sz w:val="20"/>
          <w:szCs w:val="20"/>
        </w:rPr>
        <w:t>5</w:t>
      </w:r>
      <w:r w:rsidRPr="00E92067">
        <w:rPr>
          <w:rFonts w:ascii="Arial Narrow" w:hAnsi="Arial Narrow"/>
          <w:b/>
          <w:sz w:val="20"/>
          <w:szCs w:val="20"/>
        </w:rPr>
        <w:t>: ATE stabilised IPTW Kaplan-Meier curve of overall survival (PAS)</w:t>
      </w:r>
    </w:p>
    <w:p w:rsidR="00151FBC" w:rsidRPr="00E92067" w:rsidRDefault="00151FBC" w:rsidP="00151FBC">
      <w:pPr>
        <w:keepNext/>
        <w:keepLines/>
      </w:pPr>
      <w:r w:rsidRPr="00E92067">
        <w:rPr>
          <w:noProof/>
          <w:lang w:eastAsia="en-AU"/>
        </w:rPr>
        <w:drawing>
          <wp:inline distT="0" distB="0" distL="0" distR="0" wp14:anchorId="1E031C13" wp14:editId="7858D6A5">
            <wp:extent cx="5842428" cy="2695492"/>
            <wp:effectExtent l="0" t="0" r="6350" b="0"/>
            <wp:docPr id="29" name="Picture 29" title="Figure 5: ATE stabilised IPTW Kaplan-Meier curve of overall survival (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7353" t="3575" r="3024" b="7643"/>
                    <a:stretch/>
                  </pic:blipFill>
                  <pic:spPr bwMode="auto">
                    <a:xfrm>
                      <a:off x="0" y="0"/>
                      <a:ext cx="5859784" cy="2703500"/>
                    </a:xfrm>
                    <a:prstGeom prst="rect">
                      <a:avLst/>
                    </a:prstGeom>
                    <a:ln>
                      <a:noFill/>
                    </a:ln>
                    <a:extLst>
                      <a:ext uri="{53640926-AAD7-44D8-BBD7-CCE9431645EC}">
                        <a14:shadowObscured xmlns:a14="http://schemas.microsoft.com/office/drawing/2010/main"/>
                      </a:ext>
                    </a:extLst>
                  </pic:spPr>
                </pic:pic>
              </a:graphicData>
            </a:graphic>
          </wp:inline>
        </w:drawing>
      </w:r>
    </w:p>
    <w:p w:rsidR="00151FBC" w:rsidRPr="00E92067" w:rsidRDefault="00151FBC" w:rsidP="00151FBC">
      <w:pPr>
        <w:keepNext/>
        <w:keepLines/>
        <w:rPr>
          <w:rFonts w:ascii="Arial Narrow" w:hAnsi="Arial Narrow"/>
          <w:sz w:val="18"/>
          <w:szCs w:val="18"/>
        </w:rPr>
      </w:pPr>
      <w:r w:rsidRPr="00E92067">
        <w:rPr>
          <w:rFonts w:ascii="Arial Narrow" w:hAnsi="Arial Narrow"/>
          <w:sz w:val="18"/>
          <w:szCs w:val="18"/>
        </w:rPr>
        <w:t>Source: Figure 25, p.97 of the submission.</w:t>
      </w:r>
    </w:p>
    <w:p w:rsidR="00151FBC" w:rsidRPr="00E92067" w:rsidRDefault="00151FBC" w:rsidP="00151FBC">
      <w:pPr>
        <w:rPr>
          <w:rFonts w:ascii="Arial Narrow" w:hAnsi="Arial Narrow"/>
          <w:sz w:val="18"/>
          <w:szCs w:val="18"/>
        </w:rPr>
      </w:pPr>
      <w:r w:rsidRPr="00E92067">
        <w:rPr>
          <w:rFonts w:ascii="Arial Narrow" w:hAnsi="Arial Narrow"/>
          <w:sz w:val="18"/>
          <w:szCs w:val="18"/>
        </w:rPr>
        <w:t xml:space="preserve">Abbreviations: ATE, average treatment effect; IPTW, inverse probability of treatment weight; </w:t>
      </w:r>
      <w:r w:rsidRPr="00E92067">
        <w:rPr>
          <w:rFonts w:ascii="Arial Narrow" w:hAnsi="Arial Narrow" w:cstheme="minorHAnsi"/>
          <w:sz w:val="18"/>
          <w:szCs w:val="18"/>
        </w:rPr>
        <w:t>PAS, primary analysis set.</w:t>
      </w:r>
    </w:p>
    <w:p w:rsidR="00151FBC" w:rsidRPr="00E92067" w:rsidRDefault="00151FBC" w:rsidP="00151FBC">
      <w:pPr>
        <w:keepNext/>
        <w:keepLines/>
        <w:rPr>
          <w:rFonts w:asciiTheme="minorHAnsi" w:hAnsiTheme="minorHAnsi" w:cstheme="minorHAnsi"/>
          <w:szCs w:val="24"/>
        </w:rPr>
      </w:pPr>
    </w:p>
    <w:p w:rsidR="00151FBC" w:rsidRPr="00E92067" w:rsidRDefault="00151FBC" w:rsidP="001613D3">
      <w:pPr>
        <w:pStyle w:val="ListParagraph"/>
        <w:widowControl/>
        <w:numPr>
          <w:ilvl w:val="1"/>
          <w:numId w:val="2"/>
        </w:numPr>
      </w:pPr>
      <w:r w:rsidRPr="00E92067">
        <w:t>In the primary ATE analysis blinatumomab showed no statistically significant difference in overall survival compared to standard of care chemotherapy (hazard ratio 0.68; 95% CI 0.42, 1.09). However, results from the exploratory ATT analysis showed a statistically significant increase in median overall survival (median not reached for blinatumomab vs 19.6 months for standard of care chemotherapy; HR 0.58; 95% CI 0.37, 0.91; not adjusted for alloHSCT)</w:t>
      </w:r>
      <w:r w:rsidRPr="00E92067">
        <w:rPr>
          <w:rFonts w:asciiTheme="minorHAnsi" w:eastAsiaTheme="minorHAnsi" w:hAnsiTheme="minorHAnsi"/>
          <w:snapToGrid/>
        </w:rPr>
        <w:t xml:space="preserve">. </w:t>
      </w:r>
    </w:p>
    <w:p w:rsidR="00151FBC" w:rsidRPr="00E92067" w:rsidRDefault="00151FBC" w:rsidP="001613D3">
      <w:pPr>
        <w:pStyle w:val="ListParagraph"/>
        <w:widowControl/>
        <w:numPr>
          <w:ilvl w:val="1"/>
          <w:numId w:val="2"/>
        </w:numPr>
      </w:pPr>
      <w:r w:rsidRPr="00E92067">
        <w:t xml:space="preserve">Investigation of an interaction term for treatment effect and the time-dependent HSCT covariate showed evidence of an interaction effect (p=0.0795). The impact of HSCT on overall survival was further explored using a Cox proportional hazards model with an interaction term for treatment and the time-dependent HSCT covariate, with stabilised inverse probability of treatment weighting (Table </w:t>
      </w:r>
      <w:r w:rsidR="00CE1D67" w:rsidRPr="00E92067">
        <w:t>9</w:t>
      </w:r>
      <w:r w:rsidRPr="00E92067">
        <w:t>).</w:t>
      </w:r>
    </w:p>
    <w:p w:rsidR="00151FBC" w:rsidRPr="00E92067" w:rsidRDefault="00151FBC" w:rsidP="00F33427">
      <w:pPr>
        <w:keepNext/>
        <w:keepLines/>
        <w:rPr>
          <w:rFonts w:ascii="Arial Narrow" w:hAnsi="Arial Narrow"/>
          <w:b/>
          <w:sz w:val="20"/>
          <w:szCs w:val="20"/>
        </w:rPr>
      </w:pPr>
      <w:r w:rsidRPr="00E92067">
        <w:rPr>
          <w:rFonts w:ascii="Arial Narrow" w:hAnsi="Arial Narrow"/>
          <w:b/>
          <w:sz w:val="20"/>
          <w:szCs w:val="20"/>
        </w:rPr>
        <w:t xml:space="preserve">Table </w:t>
      </w:r>
      <w:r w:rsidR="006D0ACD" w:rsidRPr="00E92067">
        <w:rPr>
          <w:rFonts w:ascii="Arial Narrow" w:hAnsi="Arial Narrow"/>
          <w:b/>
          <w:sz w:val="20"/>
          <w:szCs w:val="20"/>
        </w:rPr>
        <w:t>9</w:t>
      </w:r>
      <w:r w:rsidRPr="00E92067">
        <w:rPr>
          <w:rFonts w:ascii="Arial Narrow" w:hAnsi="Arial Narrow"/>
          <w:b/>
          <w:sz w:val="20"/>
          <w:szCs w:val="20"/>
        </w:rPr>
        <w:t>: Treatment effect / time dependent HSCT covariate interaction for overall survival (stabilised IPTW)</w:t>
      </w:r>
    </w:p>
    <w:tbl>
      <w:tblPr>
        <w:tblStyle w:val="TableGrid"/>
        <w:tblW w:w="0" w:type="auto"/>
        <w:tblInd w:w="108" w:type="dxa"/>
        <w:tblLook w:val="04A0" w:firstRow="1" w:lastRow="0" w:firstColumn="1" w:lastColumn="0" w:noHBand="0" w:noVBand="1"/>
        <w:tblCaption w:val="Table 9: Treatment effect / time dependent HSCT covariate interaction for overall survival (stabilised IPTW)"/>
      </w:tblPr>
      <w:tblGrid>
        <w:gridCol w:w="2581"/>
        <w:gridCol w:w="3164"/>
        <w:gridCol w:w="3164"/>
      </w:tblGrid>
      <w:tr w:rsidR="00151FBC" w:rsidRPr="00E92067" w:rsidTr="00600987">
        <w:trPr>
          <w:tblHeader/>
        </w:trPr>
        <w:tc>
          <w:tcPr>
            <w:tcW w:w="2581" w:type="dxa"/>
            <w:vAlign w:val="center"/>
          </w:tcPr>
          <w:p w:rsidR="00151FBC" w:rsidRPr="00E92067" w:rsidRDefault="00151FBC" w:rsidP="00F33427">
            <w:pPr>
              <w:keepNext/>
              <w:keepLines/>
              <w:jc w:val="left"/>
              <w:rPr>
                <w:rFonts w:ascii="Arial Narrow" w:hAnsi="Arial Narrow"/>
                <w:b/>
                <w:sz w:val="20"/>
                <w:szCs w:val="20"/>
              </w:rPr>
            </w:pPr>
          </w:p>
        </w:tc>
        <w:tc>
          <w:tcPr>
            <w:tcW w:w="3164" w:type="dxa"/>
            <w:vAlign w:val="center"/>
          </w:tcPr>
          <w:p w:rsidR="00151FBC" w:rsidRPr="00E92067" w:rsidRDefault="00151FBC" w:rsidP="00F33427">
            <w:pPr>
              <w:keepNext/>
              <w:keepLines/>
              <w:ind w:left="-65" w:right="-79"/>
              <w:jc w:val="center"/>
              <w:rPr>
                <w:rFonts w:ascii="Arial Narrow" w:hAnsi="Arial Narrow"/>
                <w:b/>
                <w:sz w:val="20"/>
              </w:rPr>
            </w:pPr>
            <w:r w:rsidRPr="00E92067">
              <w:rPr>
                <w:rFonts w:ascii="Arial Narrow" w:hAnsi="Arial Narrow"/>
                <w:b/>
                <w:sz w:val="20"/>
              </w:rPr>
              <w:t>HSCT status</w:t>
            </w:r>
          </w:p>
        </w:tc>
        <w:tc>
          <w:tcPr>
            <w:tcW w:w="3164" w:type="dxa"/>
            <w:vAlign w:val="center"/>
          </w:tcPr>
          <w:p w:rsidR="00151FBC" w:rsidRPr="00E92067" w:rsidRDefault="00151FBC" w:rsidP="00F33427">
            <w:pPr>
              <w:keepNext/>
              <w:keepLines/>
              <w:ind w:left="-65" w:right="-79"/>
              <w:jc w:val="center"/>
              <w:rPr>
                <w:rFonts w:ascii="Arial Narrow" w:hAnsi="Arial Narrow" w:cstheme="minorBidi"/>
                <w:b/>
                <w:sz w:val="20"/>
              </w:rPr>
            </w:pPr>
            <w:r w:rsidRPr="00E92067">
              <w:rPr>
                <w:rFonts w:ascii="Arial Narrow" w:hAnsi="Arial Narrow"/>
                <w:b/>
                <w:sz w:val="20"/>
              </w:rPr>
              <w:t>Hazard ratio (95% CI)</w:t>
            </w:r>
            <w:r w:rsidRPr="00E92067">
              <w:rPr>
                <w:rFonts w:ascii="Arial Narrow" w:hAnsi="Arial Narrow"/>
                <w:b/>
                <w:sz w:val="20"/>
                <w:vertAlign w:val="superscript"/>
              </w:rPr>
              <w:t>a</w:t>
            </w:r>
          </w:p>
        </w:tc>
      </w:tr>
      <w:tr w:rsidR="00151FBC" w:rsidRPr="00E92067" w:rsidTr="00D33834">
        <w:tc>
          <w:tcPr>
            <w:tcW w:w="2581" w:type="dxa"/>
            <w:vMerge w:val="restart"/>
            <w:vAlign w:val="center"/>
          </w:tcPr>
          <w:p w:rsidR="00151FBC" w:rsidRPr="00E92067" w:rsidRDefault="00151FBC" w:rsidP="00F33427">
            <w:pPr>
              <w:keepNext/>
              <w:keepLines/>
              <w:tabs>
                <w:tab w:val="right" w:pos="2462"/>
              </w:tabs>
              <w:rPr>
                <w:rFonts w:ascii="Arial Narrow" w:hAnsi="Arial Narrow"/>
                <w:sz w:val="20"/>
                <w:szCs w:val="20"/>
              </w:rPr>
            </w:pPr>
            <w:r w:rsidRPr="00E92067">
              <w:rPr>
                <w:rFonts w:ascii="Arial Narrow" w:hAnsi="Arial Narrow"/>
                <w:sz w:val="20"/>
                <w:szCs w:val="20"/>
              </w:rPr>
              <w:t>Blinatumomab vs control</w:t>
            </w:r>
          </w:p>
        </w:tc>
        <w:tc>
          <w:tcPr>
            <w:tcW w:w="3164" w:type="dxa"/>
          </w:tcPr>
          <w:p w:rsidR="00151FBC" w:rsidRPr="00E92067" w:rsidRDefault="00151FBC" w:rsidP="00F33427">
            <w:pPr>
              <w:keepNext/>
              <w:keepLines/>
              <w:widowControl/>
              <w:jc w:val="center"/>
              <w:rPr>
                <w:rFonts w:ascii="Arial Narrow" w:hAnsi="Arial Narrow"/>
                <w:sz w:val="20"/>
              </w:rPr>
            </w:pPr>
            <w:r w:rsidRPr="00E92067">
              <w:rPr>
                <w:rFonts w:ascii="Arial Narrow" w:hAnsi="Arial Narrow"/>
                <w:sz w:val="20"/>
              </w:rPr>
              <w:t>No HSCT</w:t>
            </w:r>
          </w:p>
        </w:tc>
        <w:tc>
          <w:tcPr>
            <w:tcW w:w="3164" w:type="dxa"/>
          </w:tcPr>
          <w:p w:rsidR="00151FBC" w:rsidRPr="00E92067" w:rsidRDefault="00151FBC" w:rsidP="00F33427">
            <w:pPr>
              <w:keepNext/>
              <w:keepLines/>
              <w:widowControl/>
              <w:jc w:val="center"/>
              <w:rPr>
                <w:rFonts w:ascii="Arial Narrow" w:hAnsi="Arial Narrow"/>
                <w:b/>
                <w:sz w:val="20"/>
              </w:rPr>
            </w:pPr>
            <w:r w:rsidRPr="00E92067">
              <w:rPr>
                <w:rFonts w:ascii="Arial Narrow" w:hAnsi="Arial Narrow"/>
                <w:b/>
                <w:sz w:val="20"/>
              </w:rPr>
              <w:t xml:space="preserve">0.405 (0.165, 0.995) </w:t>
            </w:r>
          </w:p>
        </w:tc>
      </w:tr>
      <w:tr w:rsidR="00151FBC" w:rsidRPr="00E92067" w:rsidTr="00D33834">
        <w:tc>
          <w:tcPr>
            <w:tcW w:w="2581" w:type="dxa"/>
            <w:vMerge/>
            <w:tcBorders>
              <w:bottom w:val="single" w:sz="4" w:space="0" w:color="auto"/>
            </w:tcBorders>
          </w:tcPr>
          <w:p w:rsidR="00151FBC" w:rsidRPr="00E92067" w:rsidRDefault="00151FBC" w:rsidP="00F33427">
            <w:pPr>
              <w:keepNext/>
              <w:keepLines/>
              <w:tabs>
                <w:tab w:val="right" w:pos="2462"/>
              </w:tabs>
              <w:rPr>
                <w:rFonts w:ascii="Arial Narrow" w:hAnsi="Arial Narrow"/>
                <w:sz w:val="20"/>
                <w:szCs w:val="20"/>
              </w:rPr>
            </w:pPr>
          </w:p>
        </w:tc>
        <w:tc>
          <w:tcPr>
            <w:tcW w:w="3164" w:type="dxa"/>
            <w:tcBorders>
              <w:bottom w:val="single" w:sz="4" w:space="0" w:color="auto"/>
            </w:tcBorders>
          </w:tcPr>
          <w:p w:rsidR="00151FBC" w:rsidRPr="00E92067" w:rsidRDefault="00151FBC" w:rsidP="00F33427">
            <w:pPr>
              <w:keepNext/>
              <w:keepLines/>
              <w:widowControl/>
              <w:jc w:val="center"/>
              <w:rPr>
                <w:rFonts w:ascii="Arial Narrow" w:hAnsi="Arial Narrow"/>
                <w:sz w:val="20"/>
              </w:rPr>
            </w:pPr>
            <w:r w:rsidRPr="00E92067">
              <w:rPr>
                <w:rFonts w:ascii="Arial Narrow" w:hAnsi="Arial Narrow"/>
                <w:sz w:val="20"/>
              </w:rPr>
              <w:t>After HSCT</w:t>
            </w:r>
          </w:p>
        </w:tc>
        <w:tc>
          <w:tcPr>
            <w:tcW w:w="3164" w:type="dxa"/>
            <w:tcBorders>
              <w:bottom w:val="single" w:sz="4" w:space="0" w:color="auto"/>
            </w:tcBorders>
          </w:tcPr>
          <w:p w:rsidR="00151FBC" w:rsidRPr="00E92067" w:rsidRDefault="00AD6217" w:rsidP="00F33427">
            <w:pPr>
              <w:keepNext/>
              <w:keepLines/>
              <w:widowControl/>
              <w:jc w:val="center"/>
              <w:rPr>
                <w:rFonts w:ascii="Arial Narrow" w:hAnsi="Arial Narrow"/>
                <w:sz w:val="20"/>
              </w:rPr>
            </w:pPr>
            <w:r w:rsidRPr="00E92067">
              <w:rPr>
                <w:rFonts w:ascii="Arial Narrow" w:hAnsi="Arial Narrow"/>
                <w:sz w:val="20"/>
              </w:rPr>
              <w:t>1.033</w:t>
            </w:r>
            <w:r w:rsidR="00151FBC" w:rsidRPr="00E92067">
              <w:rPr>
                <w:rFonts w:ascii="Arial Narrow" w:hAnsi="Arial Narrow"/>
                <w:sz w:val="20"/>
              </w:rPr>
              <w:t xml:space="preserve"> (0.611, 1.748)</w:t>
            </w:r>
          </w:p>
        </w:tc>
      </w:tr>
    </w:tbl>
    <w:p w:rsidR="00151FBC" w:rsidRPr="00E92067" w:rsidRDefault="00151FBC" w:rsidP="00F33427">
      <w:pPr>
        <w:keepNext/>
        <w:keepLines/>
        <w:rPr>
          <w:rFonts w:ascii="Arial Narrow" w:hAnsi="Arial Narrow"/>
          <w:sz w:val="18"/>
          <w:szCs w:val="18"/>
        </w:rPr>
      </w:pPr>
      <w:r w:rsidRPr="00E92067">
        <w:rPr>
          <w:rFonts w:ascii="Arial Narrow" w:hAnsi="Arial Narrow"/>
          <w:sz w:val="18"/>
          <w:szCs w:val="18"/>
        </w:rPr>
        <w:t>Source: Table 10-1, p.50 of the 203-148 MRD Propensity Score Analysis Report: Feb18.</w:t>
      </w:r>
    </w:p>
    <w:p w:rsidR="00151FBC" w:rsidRPr="00E92067" w:rsidRDefault="00151FBC" w:rsidP="00F33427">
      <w:pPr>
        <w:keepNext/>
        <w:keepLines/>
        <w:rPr>
          <w:rFonts w:ascii="Arial Narrow" w:hAnsi="Arial Narrow"/>
          <w:sz w:val="18"/>
          <w:szCs w:val="18"/>
        </w:rPr>
      </w:pPr>
      <w:r w:rsidRPr="00E92067">
        <w:rPr>
          <w:rFonts w:ascii="Arial Narrow" w:hAnsi="Arial Narrow"/>
          <w:sz w:val="18"/>
          <w:szCs w:val="18"/>
        </w:rPr>
        <w:t>Abbreviations: HSCT, haematopoietic stem cell transplantation; CI, confidence interval; IPTW, inverse probability of treatment weight.</w:t>
      </w:r>
    </w:p>
    <w:p w:rsidR="00151FBC" w:rsidRPr="00E92067" w:rsidRDefault="00151FBC" w:rsidP="00F33427">
      <w:pPr>
        <w:keepNext/>
        <w:keepLines/>
        <w:rPr>
          <w:rFonts w:ascii="Arial Narrow" w:hAnsi="Arial Narrow"/>
          <w:sz w:val="18"/>
          <w:szCs w:val="18"/>
        </w:rPr>
      </w:pPr>
      <w:r w:rsidRPr="00E92067">
        <w:rPr>
          <w:rFonts w:ascii="Arial Narrow" w:hAnsi="Arial Narrow"/>
          <w:sz w:val="18"/>
          <w:szCs w:val="18"/>
          <w:vertAlign w:val="superscript"/>
        </w:rPr>
        <w:t>a</w:t>
      </w:r>
      <w:r w:rsidRPr="00E92067">
        <w:rPr>
          <w:rFonts w:ascii="Arial Narrow" w:hAnsi="Arial Narrow"/>
          <w:sz w:val="18"/>
          <w:szCs w:val="18"/>
        </w:rPr>
        <w:t xml:space="preserve"> Results &lt;1 favour blinatumomab. Statistically significant results in bold.</w:t>
      </w:r>
    </w:p>
    <w:p w:rsidR="00151FBC" w:rsidRPr="00E92067" w:rsidRDefault="00151FBC" w:rsidP="00151FBC">
      <w:pPr>
        <w:widowControl/>
      </w:pPr>
    </w:p>
    <w:p w:rsidR="00151FBC" w:rsidRPr="00E92067" w:rsidRDefault="00151FBC" w:rsidP="001613D3">
      <w:pPr>
        <w:pStyle w:val="ListParagraph"/>
        <w:widowControl/>
        <w:numPr>
          <w:ilvl w:val="1"/>
          <w:numId w:val="2"/>
        </w:numPr>
      </w:pPr>
      <w:r w:rsidRPr="00E92067">
        <w:t>Blinatumomab was associated with a statistically significant improvement in overall survival prior to or in the absence of HSCT, but there was no difference in overall survival following HSCT.</w:t>
      </w:r>
    </w:p>
    <w:p w:rsidR="00151FBC" w:rsidRPr="00E92067" w:rsidRDefault="00151FBC" w:rsidP="001613D3">
      <w:pPr>
        <w:pStyle w:val="ListParagraph"/>
        <w:widowControl/>
        <w:numPr>
          <w:ilvl w:val="1"/>
          <w:numId w:val="2"/>
        </w:numPr>
      </w:pPr>
      <w:r w:rsidRPr="00E92067">
        <w:rPr>
          <w:rFonts w:asciiTheme="minorHAnsi" w:hAnsiTheme="minorHAnsi"/>
          <w:szCs w:val="21"/>
        </w:rPr>
        <w:t>Overall, the propensity score analysis showed blinatumomab was associated with a statistica</w:t>
      </w:r>
      <w:r w:rsidRPr="00E92067">
        <w:rPr>
          <w:szCs w:val="21"/>
        </w:rPr>
        <w:t xml:space="preserve">lly significant improvement in relapse free survival </w:t>
      </w:r>
      <w:r w:rsidRPr="00E92067">
        <w:rPr>
          <w:rFonts w:asciiTheme="minorHAnsi" w:hAnsiTheme="minorHAnsi"/>
          <w:szCs w:val="21"/>
        </w:rPr>
        <w:t xml:space="preserve">compared to </w:t>
      </w:r>
      <w:r w:rsidRPr="00E92067">
        <w:rPr>
          <w:szCs w:val="21"/>
        </w:rPr>
        <w:t>standard of care chemotherapy</w:t>
      </w:r>
      <w:r w:rsidRPr="00E92067">
        <w:rPr>
          <w:rFonts w:asciiTheme="minorHAnsi" w:hAnsiTheme="minorHAnsi"/>
          <w:szCs w:val="21"/>
        </w:rPr>
        <w:t xml:space="preserve">, but there was </w:t>
      </w:r>
      <w:r w:rsidRPr="00E92067">
        <w:rPr>
          <w:szCs w:val="21"/>
        </w:rPr>
        <w:t>no statistically significant difference between blinatumomab and standard of care chemotherapy in overall survival</w:t>
      </w:r>
      <w:r w:rsidR="00A340FC" w:rsidRPr="00E92067">
        <w:rPr>
          <w:szCs w:val="21"/>
        </w:rPr>
        <w:t xml:space="preserve"> in the ATE analysis</w:t>
      </w:r>
      <w:r w:rsidRPr="00E92067">
        <w:rPr>
          <w:szCs w:val="21"/>
        </w:rPr>
        <w:t>, possibly due to</w:t>
      </w:r>
      <w:r w:rsidRPr="00E92067">
        <w:rPr>
          <w:rFonts w:asciiTheme="minorHAnsi" w:hAnsiTheme="minorHAnsi"/>
          <w:szCs w:val="21"/>
        </w:rPr>
        <w:t xml:space="preserve"> a treatment-by-HSCT interaction. After accounting for this</w:t>
      </w:r>
      <w:r w:rsidRPr="00E92067">
        <w:rPr>
          <w:szCs w:val="21"/>
        </w:rPr>
        <w:t xml:space="preserve"> </w:t>
      </w:r>
      <w:r w:rsidRPr="00E92067">
        <w:rPr>
          <w:rFonts w:asciiTheme="minorHAnsi" w:hAnsiTheme="minorHAnsi"/>
          <w:szCs w:val="21"/>
        </w:rPr>
        <w:t xml:space="preserve">interaction, there was a </w:t>
      </w:r>
      <w:r w:rsidRPr="00E92067">
        <w:rPr>
          <w:szCs w:val="21"/>
        </w:rPr>
        <w:t>statistically significant</w:t>
      </w:r>
      <w:r w:rsidRPr="00E92067">
        <w:rPr>
          <w:rFonts w:asciiTheme="minorHAnsi" w:hAnsiTheme="minorHAnsi"/>
          <w:szCs w:val="21"/>
        </w:rPr>
        <w:t xml:space="preserve"> </w:t>
      </w:r>
      <w:r w:rsidRPr="00E92067">
        <w:rPr>
          <w:szCs w:val="21"/>
        </w:rPr>
        <w:t>overall survival</w:t>
      </w:r>
      <w:r w:rsidRPr="00E92067">
        <w:rPr>
          <w:rFonts w:asciiTheme="minorHAnsi" w:hAnsiTheme="minorHAnsi"/>
          <w:szCs w:val="21"/>
        </w:rPr>
        <w:t xml:space="preserve"> benefit associated with blinatumomab prior to</w:t>
      </w:r>
      <w:r w:rsidRPr="00E92067">
        <w:rPr>
          <w:szCs w:val="21"/>
        </w:rPr>
        <w:t>,</w:t>
      </w:r>
      <w:r w:rsidRPr="00E92067">
        <w:rPr>
          <w:rFonts w:asciiTheme="minorHAnsi" w:hAnsiTheme="minorHAnsi"/>
          <w:szCs w:val="21"/>
        </w:rPr>
        <w:t xml:space="preserve"> or</w:t>
      </w:r>
      <w:r w:rsidRPr="00E92067">
        <w:rPr>
          <w:szCs w:val="21"/>
        </w:rPr>
        <w:t xml:space="preserve"> </w:t>
      </w:r>
      <w:r w:rsidRPr="00E92067">
        <w:rPr>
          <w:rFonts w:asciiTheme="minorHAnsi" w:hAnsiTheme="minorHAnsi"/>
          <w:szCs w:val="21"/>
        </w:rPr>
        <w:t>in the absence of</w:t>
      </w:r>
      <w:r w:rsidRPr="00E92067">
        <w:rPr>
          <w:szCs w:val="21"/>
        </w:rPr>
        <w:t>,</w:t>
      </w:r>
      <w:r w:rsidRPr="00E92067">
        <w:rPr>
          <w:rFonts w:asciiTheme="minorHAnsi" w:hAnsiTheme="minorHAnsi"/>
          <w:szCs w:val="21"/>
        </w:rPr>
        <w:t xml:space="preserve"> HSCT while there was no difference in </w:t>
      </w:r>
      <w:r w:rsidRPr="00E92067">
        <w:rPr>
          <w:szCs w:val="21"/>
        </w:rPr>
        <w:t>overall survival</w:t>
      </w:r>
      <w:r w:rsidRPr="00E92067">
        <w:rPr>
          <w:rFonts w:asciiTheme="minorHAnsi" w:hAnsiTheme="minorHAnsi"/>
          <w:szCs w:val="21"/>
        </w:rPr>
        <w:t xml:space="preserve"> following HSCT.</w:t>
      </w:r>
    </w:p>
    <w:p w:rsidR="00BA0DC0" w:rsidRPr="00E70F0E" w:rsidRDefault="00E33708" w:rsidP="001613D3">
      <w:pPr>
        <w:pStyle w:val="ListParagraph"/>
        <w:widowControl/>
        <w:numPr>
          <w:ilvl w:val="1"/>
          <w:numId w:val="2"/>
        </w:numPr>
      </w:pPr>
      <w:r w:rsidRPr="00E70F0E">
        <w:t xml:space="preserve">The ESC noted that the propensity score analyses were conducted post hoc, but acknowledged this was an expected limitation of </w:t>
      </w:r>
      <w:r w:rsidR="001553FF" w:rsidRPr="00E70F0E">
        <w:t>this type of analysi</w:t>
      </w:r>
      <w:r w:rsidRPr="00E70F0E">
        <w:t>s. Given the differences between the populations in</w:t>
      </w:r>
      <w:r w:rsidR="001553FF" w:rsidRPr="00E70F0E">
        <w:t>cluded in</w:t>
      </w:r>
      <w:r w:rsidRPr="00E70F0E">
        <w:t xml:space="preserve"> the two studies, the ESC considered that, in this case, propensity score analyses may have been more appropriate than an unadjusted analysis or </w:t>
      </w:r>
      <w:r w:rsidR="001553FF" w:rsidRPr="00E70F0E">
        <w:t xml:space="preserve">a </w:t>
      </w:r>
      <w:r w:rsidRPr="00E70F0E">
        <w:t xml:space="preserve">multivariate analysis on the unmatched sample. However, the ESC </w:t>
      </w:r>
      <w:r w:rsidR="008A404D">
        <w:t xml:space="preserve">and the PBAC </w:t>
      </w:r>
      <w:r w:rsidRPr="00E70F0E">
        <w:t>considered</w:t>
      </w:r>
      <w:r w:rsidR="001553FF" w:rsidRPr="00E70F0E">
        <w:t xml:space="preserve"> that the</w:t>
      </w:r>
      <w:r w:rsidRPr="00E70F0E">
        <w:t xml:space="preserve"> results </w:t>
      </w:r>
      <w:r w:rsidR="00BA0DC0" w:rsidRPr="00E70F0E">
        <w:t>of the propensity score analys</w:t>
      </w:r>
      <w:r w:rsidR="00A64B40" w:rsidRPr="00E70F0E">
        <w:t>e</w:t>
      </w:r>
      <w:r w:rsidR="00BA0DC0" w:rsidRPr="00E70F0E">
        <w:t xml:space="preserve">s </w:t>
      </w:r>
      <w:r w:rsidR="00785A12" w:rsidRPr="00E70F0E">
        <w:t>w</w:t>
      </w:r>
      <w:r w:rsidR="009448FB" w:rsidRPr="00E70F0E">
        <w:t>ere</w:t>
      </w:r>
      <w:r w:rsidR="00785A12" w:rsidRPr="00E70F0E">
        <w:t xml:space="preserve"> at a high risk of bias </w:t>
      </w:r>
      <w:r w:rsidR="009448FB" w:rsidRPr="00E70F0E">
        <w:t>because</w:t>
      </w:r>
      <w:r w:rsidR="00BA0DC0" w:rsidRPr="00E70F0E">
        <w:t>:</w:t>
      </w:r>
    </w:p>
    <w:p w:rsidR="00710E97" w:rsidRPr="00E70F0E" w:rsidRDefault="00710E97" w:rsidP="001613D3">
      <w:pPr>
        <w:pStyle w:val="ListParagraph"/>
        <w:widowControl/>
        <w:numPr>
          <w:ilvl w:val="1"/>
          <w:numId w:val="6"/>
        </w:numPr>
        <w:ind w:left="1106" w:hanging="386"/>
        <w:contextualSpacing/>
      </w:pPr>
      <w:r w:rsidRPr="00E70F0E">
        <w:t>The ESC noted that the propensity score analysis re-balanced the sample for the following variables: age at primary diagnosis; gender; country; MRD at baseline; time from diagnosis to baseline; white blood cells at diagnosis; T(4;11)MLL-AF4 mutation; and prior chemotherapy. However the ESC considered that some potential confounding variables (which may correlate with survival) were not included</w:t>
      </w:r>
      <w:r w:rsidR="001553FF" w:rsidRPr="00E70F0E">
        <w:t>,</w:t>
      </w:r>
      <w:r w:rsidRPr="00E70F0E">
        <w:t xml:space="preserve"> </w:t>
      </w:r>
      <w:r w:rsidR="001553FF" w:rsidRPr="00E70F0E">
        <w:t xml:space="preserve">such </w:t>
      </w:r>
      <w:r w:rsidR="003D07FE" w:rsidRPr="00E70F0E">
        <w:t xml:space="preserve">as </w:t>
      </w:r>
      <w:r w:rsidRPr="00E70F0E">
        <w:t xml:space="preserve">frequency of assessment and length of follow up. </w:t>
      </w:r>
      <w:r w:rsidR="00600987">
        <w:t xml:space="preserve">The pre-PBAC response </w:t>
      </w:r>
      <w:r w:rsidR="006D5E5B">
        <w:t>argued that the covariates considered in the propensity score model were key for the analyses</w:t>
      </w:r>
      <w:r w:rsidR="00A257DD">
        <w:t xml:space="preserve"> </w:t>
      </w:r>
      <w:r w:rsidR="004D393F">
        <w:t xml:space="preserve">(as </w:t>
      </w:r>
      <w:r w:rsidR="00A257DD">
        <w:t>determined by a logistic regression model</w:t>
      </w:r>
      <w:r w:rsidR="004D393F">
        <w:t>), and that including additional variables</w:t>
      </w:r>
      <w:r w:rsidR="00832097">
        <w:t xml:space="preserve"> </w:t>
      </w:r>
      <w:r w:rsidR="006D5E5B">
        <w:t>would have</w:t>
      </w:r>
      <w:r w:rsidR="00A257DD">
        <w:t xml:space="preserve"> further </w:t>
      </w:r>
      <w:r w:rsidR="006D5E5B">
        <w:t>reduced the sample size.</w:t>
      </w:r>
    </w:p>
    <w:p w:rsidR="001553FF" w:rsidRPr="001553FF" w:rsidRDefault="00BA0DC0" w:rsidP="001613D3">
      <w:pPr>
        <w:pStyle w:val="ListParagraph"/>
        <w:widowControl/>
        <w:numPr>
          <w:ilvl w:val="1"/>
          <w:numId w:val="6"/>
        </w:numPr>
        <w:ind w:left="1106" w:hanging="386"/>
        <w:contextualSpacing/>
      </w:pPr>
      <w:r w:rsidRPr="00E92067">
        <w:t xml:space="preserve">The matching algorithm can only account for known confounders measured in both studies and cannot account for known confounders that are not common to both studies, or unknown </w:t>
      </w:r>
      <w:r w:rsidRPr="009C5CF6">
        <w:t>confounders</w:t>
      </w:r>
      <w:r w:rsidRPr="005D6E53">
        <w:rPr>
          <w:i/>
        </w:rPr>
        <w:t>.</w:t>
      </w:r>
      <w:r w:rsidR="009448FB" w:rsidRPr="005D6E53">
        <w:rPr>
          <w:i/>
        </w:rPr>
        <w:t xml:space="preserve"> </w:t>
      </w:r>
    </w:p>
    <w:p w:rsidR="001553FF" w:rsidRPr="00E92067" w:rsidRDefault="001553FF" w:rsidP="001613D3">
      <w:pPr>
        <w:pStyle w:val="ListParagraph"/>
        <w:widowControl/>
        <w:numPr>
          <w:ilvl w:val="1"/>
          <w:numId w:val="6"/>
        </w:numPr>
        <w:ind w:left="1106" w:hanging="386"/>
        <w:contextualSpacing/>
      </w:pPr>
      <w:r w:rsidRPr="00E92067">
        <w:t>There were underlying differences between studies in study design and differences in clinical management due to the time period over which the studies were conducted that were not addressed by the propensity score analysis.</w:t>
      </w:r>
    </w:p>
    <w:p w:rsidR="00BA0DC0" w:rsidRPr="00E92067" w:rsidRDefault="00BA0DC0" w:rsidP="001613D3">
      <w:pPr>
        <w:pStyle w:val="ListParagraph"/>
        <w:widowControl/>
        <w:numPr>
          <w:ilvl w:val="1"/>
          <w:numId w:val="6"/>
        </w:numPr>
        <w:ind w:left="1106" w:hanging="386"/>
        <w:contextualSpacing/>
      </w:pPr>
      <w:r w:rsidRPr="00E92067">
        <w:t xml:space="preserve">Adjustments to improve the comparability between studies resulted in substantial data loss (e.g. for blinatumomab </w:t>
      </w:r>
      <w:r w:rsidR="00263426" w:rsidRPr="00E92067">
        <w:t>full analysis set</w:t>
      </w:r>
      <w:r w:rsidRPr="00E92067">
        <w:t xml:space="preserve"> N=116; DCAS N=73; ATE N=78.5; and ATT N=20.9).</w:t>
      </w:r>
    </w:p>
    <w:p w:rsidR="00151FBC" w:rsidRPr="00E92067" w:rsidRDefault="00BA0DC0" w:rsidP="001613D3">
      <w:pPr>
        <w:pStyle w:val="ListParagraph"/>
        <w:widowControl/>
        <w:numPr>
          <w:ilvl w:val="1"/>
          <w:numId w:val="6"/>
        </w:numPr>
        <w:ind w:left="1106" w:hanging="386"/>
      </w:pPr>
      <w:r w:rsidRPr="00E92067">
        <w:t xml:space="preserve">It was </w:t>
      </w:r>
      <w:r w:rsidRPr="00A257DD">
        <w:t xml:space="preserve">unclear </w:t>
      </w:r>
      <w:r w:rsidR="00EB0F24" w:rsidRPr="00A257DD">
        <w:t>to what extent</w:t>
      </w:r>
      <w:r w:rsidR="00EB0F24" w:rsidRPr="00E92067">
        <w:t xml:space="preserve"> </w:t>
      </w:r>
      <w:r w:rsidRPr="00E92067">
        <w:t xml:space="preserve">the larger proportion of patients undergoing alloHSCT prior to relapse in BLAST was due to blinatumomab enabling alloHSCT </w:t>
      </w:r>
      <w:r w:rsidR="005D6E53">
        <w:t>versus</w:t>
      </w:r>
      <w:r w:rsidR="00EB0F24">
        <w:rPr>
          <w:i/>
        </w:rPr>
        <w:t xml:space="preserve"> </w:t>
      </w:r>
      <w:r w:rsidRPr="00E92067">
        <w:t>clinical advances in alloHSCT treatment/assignment over time and/or more aggressive current treatment practices.</w:t>
      </w:r>
    </w:p>
    <w:p w:rsidR="00C5530B" w:rsidRDefault="003F020C" w:rsidP="00F33427">
      <w:pPr>
        <w:pStyle w:val="ListParagraph"/>
        <w:numPr>
          <w:ilvl w:val="1"/>
          <w:numId w:val="2"/>
        </w:numPr>
      </w:pPr>
      <w:r w:rsidRPr="00E70F0E">
        <w:t xml:space="preserve">Further, the </w:t>
      </w:r>
      <w:r w:rsidR="001553FF" w:rsidRPr="00E70F0E">
        <w:t>ESC</w:t>
      </w:r>
      <w:r w:rsidR="002922ED">
        <w:t xml:space="preserve"> and the PBAC</w:t>
      </w:r>
      <w:r w:rsidR="001553FF" w:rsidRPr="00E70F0E">
        <w:t xml:space="preserve"> considered that while the propensity score adjustments led to better matching of known patient characteristics, it may have reduced the applicability of results to the broader target population. </w:t>
      </w:r>
      <w:r w:rsidR="00062F9F" w:rsidRPr="00E70F0E">
        <w:t>The propensity score analyses excluded p</w:t>
      </w:r>
      <w:r w:rsidR="001553FF" w:rsidRPr="00E70F0E">
        <w:t xml:space="preserve">atients with </w:t>
      </w:r>
      <w:r w:rsidR="003265C0">
        <w:t xml:space="preserve">Philadelphia </w:t>
      </w:r>
      <w:r w:rsidR="001553FF" w:rsidRPr="00E70F0E">
        <w:t>chromosome positive B-ALL, subsequent complete remissions</w:t>
      </w:r>
      <w:r w:rsidR="003265C0">
        <w:t>,</w:t>
      </w:r>
      <w:r w:rsidR="001553FF" w:rsidRPr="00E70F0E">
        <w:t xml:space="preserve"> or a smaller extent of minimal residual disease (MRD ≥10</w:t>
      </w:r>
      <w:r w:rsidR="001553FF" w:rsidRPr="00E70F0E">
        <w:rPr>
          <w:vertAlign w:val="superscript"/>
        </w:rPr>
        <w:t>-4</w:t>
      </w:r>
      <w:r w:rsidR="003265C0" w:rsidRPr="003265C0">
        <w:t xml:space="preserve"> but less than 10</w:t>
      </w:r>
      <w:r w:rsidR="003265C0">
        <w:rPr>
          <w:vertAlign w:val="superscript"/>
        </w:rPr>
        <w:t>-3</w:t>
      </w:r>
      <w:r w:rsidR="00F33427" w:rsidRPr="00E70F0E">
        <w:t>);</w:t>
      </w:r>
      <w:r w:rsidR="00062F9F" w:rsidRPr="00E70F0E">
        <w:t xml:space="preserve"> </w:t>
      </w:r>
      <w:r w:rsidR="00F33427" w:rsidRPr="00E70F0E">
        <w:t>however,</w:t>
      </w:r>
      <w:r w:rsidR="00062F9F" w:rsidRPr="00E70F0E">
        <w:t xml:space="preserve"> these patient groups </w:t>
      </w:r>
      <w:r w:rsidR="00F33427" w:rsidRPr="00E70F0E">
        <w:t xml:space="preserve">would be </w:t>
      </w:r>
      <w:r w:rsidR="001553FF" w:rsidRPr="00E70F0E">
        <w:t>eligible for blinatumomab under the proposed PBS restriction.</w:t>
      </w:r>
      <w:r w:rsidRPr="00E70F0E">
        <w:t xml:space="preserve"> </w:t>
      </w:r>
      <w:r w:rsidR="00724139" w:rsidRPr="00E70F0E">
        <w:t xml:space="preserve">In particular, the ESC noted that patients in subsequent complete remissions comprised 35% of the BLAST study population, but were excluded from the analysis. </w:t>
      </w:r>
      <w:r w:rsidR="00717A29">
        <w:t>T</w:t>
      </w:r>
      <w:r w:rsidR="004D393F">
        <w:t xml:space="preserve">he PBAC acknowledged that the </w:t>
      </w:r>
      <w:r w:rsidR="00717A29">
        <w:t xml:space="preserve">proportion of patients in complete remission 2 or 3 treated with blinatumomab </w:t>
      </w:r>
      <w:r w:rsidR="004D393F">
        <w:t xml:space="preserve">would gradually reduce over </w:t>
      </w:r>
      <w:r w:rsidR="00717A29">
        <w:t>time. However, overall the</w:t>
      </w:r>
      <w:r w:rsidR="00085777">
        <w:t xml:space="preserve"> PBAC </w:t>
      </w:r>
      <w:r w:rsidR="00133D6F">
        <w:t xml:space="preserve">considered that </w:t>
      </w:r>
      <w:r w:rsidR="00717A29">
        <w:t>the</w:t>
      </w:r>
      <w:r w:rsidR="00133D6F">
        <w:t xml:space="preserve"> </w:t>
      </w:r>
      <w:r w:rsidR="00717A29" w:rsidRPr="00EE53E7">
        <w:rPr>
          <w:rFonts w:asciiTheme="minorHAnsi" w:hAnsiTheme="minorHAnsi"/>
          <w:bCs/>
          <w:szCs w:val="24"/>
          <w:lang w:val="en-US"/>
        </w:rPr>
        <w:t>population included in the propensity score analysis was likely to be significantly different to the PBS population</w:t>
      </w:r>
      <w:r w:rsidR="00717A29">
        <w:rPr>
          <w:rFonts w:asciiTheme="minorHAnsi" w:hAnsiTheme="minorHAnsi"/>
          <w:bCs/>
          <w:szCs w:val="24"/>
          <w:lang w:val="en-US"/>
        </w:rPr>
        <w:t>.</w:t>
      </w:r>
      <w:r w:rsidR="004D393F">
        <w:t xml:space="preserve"> </w:t>
      </w:r>
    </w:p>
    <w:p w:rsidR="003F020C" w:rsidRPr="00E70F0E" w:rsidRDefault="003F020C" w:rsidP="000D06EA">
      <w:pPr>
        <w:pStyle w:val="ListParagraph"/>
        <w:numPr>
          <w:ilvl w:val="1"/>
          <w:numId w:val="2"/>
        </w:numPr>
      </w:pPr>
      <w:r w:rsidRPr="00E70F0E">
        <w:t>T</w:t>
      </w:r>
      <w:r w:rsidR="000D2C76" w:rsidRPr="00E70F0E">
        <w:t>h</w:t>
      </w:r>
      <w:r w:rsidRPr="00E70F0E">
        <w:t xml:space="preserve">e ESC requested that the sponsor provide, in its Pre-PBAC Response, an analysis comparing the patients excluded from the matched analysis to the a) overall population and b) matched population. </w:t>
      </w:r>
      <w:r w:rsidR="000D2C76" w:rsidRPr="00E70F0E">
        <w:t xml:space="preserve">The ESC considered that this would help </w:t>
      </w:r>
      <w:r w:rsidR="00EC25D1" w:rsidRPr="00E70F0E">
        <w:t>inform</w:t>
      </w:r>
      <w:r w:rsidR="000D2C76" w:rsidRPr="00E70F0E">
        <w:t xml:space="preserve"> the applicability of the analyses to the intended PBS population (i.e. to. better inform a judgement as to whether the matched population substantially differs from the real-world or expected population, and if so the extent of the differences).</w:t>
      </w:r>
      <w:r w:rsidR="00577299">
        <w:t xml:space="preserve"> </w:t>
      </w:r>
      <w:r w:rsidR="00832097">
        <w:t>The pre-PBAC response (pp. 1-2) instead compared survival outcomes across the different analysis sets which had diffe</w:t>
      </w:r>
      <w:r w:rsidR="000D06EA">
        <w:t>rent inclusion criteria (</w:t>
      </w:r>
      <w:r w:rsidR="000D06EA" w:rsidRPr="000D06EA">
        <w:t>full analysis set</w:t>
      </w:r>
      <w:r w:rsidR="000D06EA">
        <w:t xml:space="preserve">, </w:t>
      </w:r>
      <w:r w:rsidR="00922077">
        <w:t xml:space="preserve">primary </w:t>
      </w:r>
      <w:r w:rsidR="00922077" w:rsidRPr="000D06EA">
        <w:t>analysis set</w:t>
      </w:r>
      <w:r w:rsidR="00922077">
        <w:t xml:space="preserve">, </w:t>
      </w:r>
      <w:r w:rsidR="000D06EA">
        <w:t>D</w:t>
      </w:r>
      <w:r w:rsidR="00832097">
        <w:t>CAS</w:t>
      </w:r>
      <w:r w:rsidR="00922077">
        <w:t>, ATT and ATE</w:t>
      </w:r>
      <w:r w:rsidR="00832097">
        <w:t>), which the pre-PBAC response claimed may help to assess the impact of patient exclusions. The pre-PBAC response stated that the survival outcomes were relatively consistent across the different methods of analysis with their differing inclusion criteria. However, this analysis did not address the ESC’s concerns about the</w:t>
      </w:r>
      <w:r w:rsidR="00832097" w:rsidRPr="00085777">
        <w:t xml:space="preserve"> </w:t>
      </w:r>
      <w:r w:rsidR="00832097" w:rsidRPr="00E70F0E">
        <w:t>applicability of the analyses to the intended PBS population</w:t>
      </w:r>
      <w:r w:rsidR="00832097">
        <w:t>.</w:t>
      </w:r>
    </w:p>
    <w:p w:rsidR="00085777" w:rsidRPr="00723F01" w:rsidRDefault="00085777" w:rsidP="00085777">
      <w:pPr>
        <w:pStyle w:val="ListParagraph"/>
        <w:widowControl/>
        <w:numPr>
          <w:ilvl w:val="1"/>
          <w:numId w:val="2"/>
        </w:numPr>
      </w:pPr>
      <w:r w:rsidRPr="00E70F0E">
        <w:t xml:space="preserve">The submission used the results from the ATT approach (which resulted in a statistically significant difference in overall survival) in the </w:t>
      </w:r>
      <w:r w:rsidR="001D070A">
        <w:t xml:space="preserve">base case of the economic model, despite this being described as </w:t>
      </w:r>
      <w:r w:rsidRPr="00723F01">
        <w:t>an exploratory sensitivity analysis in the Analysis Report</w:t>
      </w:r>
      <w:r w:rsidR="001D070A">
        <w:t>. T</w:t>
      </w:r>
      <w:r w:rsidRPr="00E92067">
        <w:t xml:space="preserve">he submission argued that the ATT </w:t>
      </w:r>
      <w:r>
        <w:t>approach wa</w:t>
      </w:r>
      <w:r w:rsidRPr="00E92067">
        <w:t>s more appropriate than ATE as the results c</w:t>
      </w:r>
      <w:r>
        <w:t>ould</w:t>
      </w:r>
      <w:r w:rsidRPr="00E92067">
        <w:t xml:space="preserve"> be generalised to the population of patients in the BLAST study rather than the combined populations of BLAST and the historical control cohort. The submission argued that it cannot be assumed that the historical controls were drawn from the same homogeneous population as the treated group in the BLAST study, which is a strong assumption when performing ATE analyses. However, the </w:t>
      </w:r>
      <w:r>
        <w:t>Analysis Report chose</w:t>
      </w:r>
      <w:r w:rsidRPr="00E92067">
        <w:t xml:space="preserve"> the ATE approach </w:t>
      </w:r>
      <w:r>
        <w:t>as the primary analysis because</w:t>
      </w:r>
      <w:r w:rsidRPr="00E92067">
        <w:t xml:space="preserve"> it mirrors the objective of a randomised study</w:t>
      </w:r>
      <w:r w:rsidRPr="00723F01">
        <w:t>.</w:t>
      </w:r>
    </w:p>
    <w:p w:rsidR="005053A1" w:rsidRDefault="0034052B" w:rsidP="00085777">
      <w:pPr>
        <w:pStyle w:val="ListParagraph"/>
        <w:widowControl/>
        <w:numPr>
          <w:ilvl w:val="1"/>
          <w:numId w:val="2"/>
        </w:numPr>
      </w:pPr>
      <w:r w:rsidRPr="00E70F0E">
        <w:t xml:space="preserve">The ESC </w:t>
      </w:r>
      <w:r w:rsidR="00357688">
        <w:t xml:space="preserve">and the PBAC </w:t>
      </w:r>
      <w:r w:rsidRPr="00E70F0E">
        <w:t xml:space="preserve">considered that </w:t>
      </w:r>
      <w:r w:rsidR="001D070A" w:rsidRPr="00E70F0E">
        <w:t xml:space="preserve">the </w:t>
      </w:r>
      <w:r w:rsidR="001D070A">
        <w:t xml:space="preserve">submission’s use of the </w:t>
      </w:r>
      <w:r w:rsidR="001D070A" w:rsidRPr="00E70F0E">
        <w:t>ATT</w:t>
      </w:r>
      <w:r w:rsidR="001D070A">
        <w:t xml:space="preserve"> results in the base case of the economic evaluation </w:t>
      </w:r>
      <w:r w:rsidRPr="00E70F0E">
        <w:t>may not have been appropriate due to the substantial data loss in the ATT analysis relative to the pre-matched sample (for the blinatumomab full analysis set N=116; DCAS N=73; ATE N=78.5; and ATT N=20.9). The ESC considered that this meant that only the most similar patients across the two groups were able to be matched in the ATT analysis (e.g. the analysis may have adjusted for factors that were not likely to be important predictors of outcome), which may further limit the applicability to the intended PBS population</w:t>
      </w:r>
      <w:r w:rsidR="00085777">
        <w:t>. The ESC considered that this would therefore increase</w:t>
      </w:r>
      <w:r w:rsidR="004A0494" w:rsidRPr="00E70F0E">
        <w:t xml:space="preserve"> the uncertainty in applying the treatment effect seen </w:t>
      </w:r>
      <w:r w:rsidR="00085777">
        <w:t>in</w:t>
      </w:r>
      <w:r w:rsidR="004A0494" w:rsidRPr="00E70F0E">
        <w:t xml:space="preserve"> the ATT population to the expected effect in the more variable PBS population</w:t>
      </w:r>
      <w:r w:rsidRPr="00E70F0E">
        <w:t xml:space="preserve">. Further, the ESC </w:t>
      </w:r>
      <w:r w:rsidR="00200086">
        <w:t>and the PBAC</w:t>
      </w:r>
      <w:r w:rsidR="00200086" w:rsidRPr="00E70F0E">
        <w:t xml:space="preserve"> </w:t>
      </w:r>
      <w:r w:rsidRPr="00E70F0E">
        <w:t>noted that the ATT analysis may have been less balanced for some covariates</w:t>
      </w:r>
      <w:r w:rsidR="00D66730" w:rsidRPr="00E70F0E">
        <w:t>, with</w:t>
      </w:r>
      <w:r w:rsidRPr="00E70F0E">
        <w:t xml:space="preserve"> white blood cell count at baseline and time from diagnosis both </w:t>
      </w:r>
      <w:r w:rsidR="00D66730" w:rsidRPr="00E70F0E">
        <w:t xml:space="preserve">being </w:t>
      </w:r>
      <w:r w:rsidRPr="00E70F0E">
        <w:t xml:space="preserve">outside </w:t>
      </w:r>
      <w:r w:rsidR="00D66730" w:rsidRPr="00E70F0E">
        <w:t>the</w:t>
      </w:r>
      <w:r w:rsidRPr="00E70F0E">
        <w:t xml:space="preserve"> ±0.15 standardised difference range in the ATT analysis while only gender was outside this range in the ATE analysis (per Tables 11-2 and 11-5 of the Analysis Report). </w:t>
      </w:r>
    </w:p>
    <w:p w:rsidR="004C3501" w:rsidRPr="00E70F0E" w:rsidRDefault="004C3501" w:rsidP="004C3501">
      <w:pPr>
        <w:pStyle w:val="ListParagraph"/>
        <w:widowControl/>
        <w:numPr>
          <w:ilvl w:val="1"/>
          <w:numId w:val="2"/>
        </w:numPr>
      </w:pPr>
      <w:r>
        <w:rPr>
          <w:rFonts w:asciiTheme="minorHAnsi" w:hAnsiTheme="minorHAnsi"/>
          <w:bCs/>
          <w:szCs w:val="24"/>
          <w:lang w:val="en-US"/>
        </w:rPr>
        <w:t>T</w:t>
      </w:r>
      <w:r w:rsidRPr="00EE53E7">
        <w:rPr>
          <w:rFonts w:asciiTheme="minorHAnsi" w:hAnsiTheme="minorHAnsi"/>
          <w:bCs/>
          <w:szCs w:val="24"/>
          <w:lang w:val="en-US"/>
        </w:rPr>
        <w:t xml:space="preserve">he </w:t>
      </w:r>
      <w:r w:rsidRPr="00C80EB8">
        <w:rPr>
          <w:rFonts w:asciiTheme="minorHAnsi" w:hAnsiTheme="minorHAnsi"/>
          <w:bCs/>
          <w:szCs w:val="24"/>
          <w:lang w:val="en-US"/>
        </w:rPr>
        <w:t>rationale provided in the pre-PBAC response for using the ATT analyses</w:t>
      </w:r>
      <w:r>
        <w:rPr>
          <w:rFonts w:asciiTheme="minorHAnsi" w:hAnsiTheme="minorHAnsi"/>
          <w:bCs/>
          <w:szCs w:val="24"/>
          <w:lang w:val="en-US"/>
        </w:rPr>
        <w:t xml:space="preserve"> was</w:t>
      </w:r>
      <w:r w:rsidRPr="00C80EB8">
        <w:rPr>
          <w:rFonts w:asciiTheme="minorHAnsi" w:hAnsiTheme="minorHAnsi"/>
          <w:bCs/>
          <w:szCs w:val="24"/>
          <w:lang w:val="en-US"/>
        </w:rPr>
        <w:t xml:space="preserve"> that it adjusts the control population so it looks similar to the treated population which </w:t>
      </w:r>
      <w:r>
        <w:rPr>
          <w:rFonts w:asciiTheme="minorHAnsi" w:hAnsiTheme="minorHAnsi"/>
          <w:bCs/>
          <w:szCs w:val="24"/>
          <w:lang w:val="en-US"/>
        </w:rPr>
        <w:t>it stated was “</w:t>
      </w:r>
      <w:r w:rsidRPr="00C80EB8">
        <w:rPr>
          <w:rFonts w:asciiTheme="minorHAnsi" w:hAnsiTheme="minorHAnsi"/>
          <w:bCs/>
          <w:szCs w:val="24"/>
          <w:lang w:val="en-US"/>
        </w:rPr>
        <w:t>more likely to reflect the treated population in the real-world setting”. However the PBAC considered that this was not a reasonable premise for using the AT</w:t>
      </w:r>
      <w:r>
        <w:rPr>
          <w:rFonts w:asciiTheme="minorHAnsi" w:hAnsiTheme="minorHAnsi"/>
          <w:bCs/>
          <w:szCs w:val="24"/>
          <w:lang w:val="en-US"/>
        </w:rPr>
        <w:t>T analysis given that the proposed population</w:t>
      </w:r>
      <w:r w:rsidRPr="00C80EB8">
        <w:rPr>
          <w:rFonts w:asciiTheme="minorHAnsi" w:hAnsiTheme="minorHAnsi"/>
          <w:bCs/>
          <w:szCs w:val="24"/>
          <w:lang w:val="en-US"/>
        </w:rPr>
        <w:t xml:space="preserve"> is</w:t>
      </w:r>
      <w:r>
        <w:rPr>
          <w:rFonts w:asciiTheme="minorHAnsi" w:hAnsiTheme="minorHAnsi"/>
          <w:bCs/>
          <w:szCs w:val="24"/>
          <w:lang w:val="en-US"/>
        </w:rPr>
        <w:t xml:space="preserve"> much broader </w:t>
      </w:r>
      <w:r w:rsidRPr="00C80EB8">
        <w:rPr>
          <w:rFonts w:asciiTheme="minorHAnsi" w:hAnsiTheme="minorHAnsi"/>
          <w:bCs/>
          <w:szCs w:val="24"/>
          <w:lang w:val="en-US"/>
        </w:rPr>
        <w:t xml:space="preserve">than </w:t>
      </w:r>
      <w:r>
        <w:rPr>
          <w:rFonts w:asciiTheme="minorHAnsi" w:hAnsiTheme="minorHAnsi"/>
          <w:bCs/>
          <w:szCs w:val="24"/>
          <w:lang w:val="en-US"/>
        </w:rPr>
        <w:t xml:space="preserve">the </w:t>
      </w:r>
      <w:r w:rsidRPr="00C80EB8">
        <w:rPr>
          <w:rFonts w:asciiTheme="minorHAnsi" w:hAnsiTheme="minorHAnsi"/>
          <w:bCs/>
          <w:szCs w:val="24"/>
          <w:lang w:val="en-US"/>
        </w:rPr>
        <w:t xml:space="preserve">patients selected for inclusion in the analysis. </w:t>
      </w:r>
      <w:r>
        <w:rPr>
          <w:rFonts w:asciiTheme="minorHAnsi" w:hAnsiTheme="minorHAnsi"/>
          <w:bCs/>
          <w:szCs w:val="24"/>
          <w:lang w:val="en-US"/>
        </w:rPr>
        <w:t xml:space="preserve">Overall, </w:t>
      </w:r>
      <w:r w:rsidRPr="004C3501">
        <w:rPr>
          <w:rFonts w:asciiTheme="minorHAnsi" w:hAnsiTheme="minorHAnsi"/>
          <w:bCs/>
          <w:szCs w:val="24"/>
          <w:lang w:val="en-US"/>
        </w:rPr>
        <w:t>the PBAC considered that using the ATT approach resulted in less well-matched covariates after weighting and a greater loss of data compared with the ATE approach</w:t>
      </w:r>
      <w:r>
        <w:rPr>
          <w:rFonts w:asciiTheme="minorHAnsi" w:hAnsiTheme="minorHAnsi"/>
          <w:bCs/>
          <w:szCs w:val="24"/>
          <w:lang w:val="en-US"/>
        </w:rPr>
        <w:t>.</w:t>
      </w:r>
    </w:p>
    <w:p w:rsidR="0013378E" w:rsidRPr="00EE7BF9" w:rsidRDefault="0013378E" w:rsidP="00EE7BF9">
      <w:pPr>
        <w:pStyle w:val="Heading2"/>
        <w:spacing w:before="240" w:after="120"/>
      </w:pPr>
      <w:bookmarkStart w:id="10" w:name="_Toc514245292"/>
      <w:r w:rsidRPr="00EE7BF9">
        <w:t>Comparative harms</w:t>
      </w:r>
    </w:p>
    <w:p w:rsidR="0013378E" w:rsidRPr="00E92067" w:rsidRDefault="0013378E" w:rsidP="0013378E">
      <w:pPr>
        <w:pStyle w:val="ListParagraph"/>
        <w:widowControl/>
        <w:numPr>
          <w:ilvl w:val="1"/>
          <w:numId w:val="2"/>
        </w:numPr>
      </w:pPr>
      <w:r w:rsidRPr="00E92067">
        <w:t>Treatment emergent adverse events were reported in 97% of patients in the BLAST study, with substantial proportions of patients reporting serious treatment emergent adverse events (52%) and Grade ≥3 events (52%). The most frequently reported adverse events were pyrexia, headache, tremor, chills and fatigue.</w:t>
      </w:r>
    </w:p>
    <w:p w:rsidR="0013378E" w:rsidRPr="00E92067" w:rsidRDefault="0013378E" w:rsidP="0013378E">
      <w:pPr>
        <w:pStyle w:val="ListParagraph"/>
        <w:widowControl/>
        <w:numPr>
          <w:ilvl w:val="1"/>
          <w:numId w:val="2"/>
        </w:numPr>
      </w:pPr>
      <w:r w:rsidRPr="00E92067">
        <w:t>Table 10 shows the adverse events of interest reported in the BLAST study.</w:t>
      </w:r>
    </w:p>
    <w:p w:rsidR="0013378E" w:rsidRPr="00E92067" w:rsidRDefault="0013378E" w:rsidP="0013378E">
      <w:pPr>
        <w:pStyle w:val="ListParagraph"/>
        <w:keepNext/>
        <w:spacing w:after="0"/>
        <w:ind w:left="0"/>
        <w:rPr>
          <w:rStyle w:val="CommentReference"/>
        </w:rPr>
      </w:pPr>
      <w:r w:rsidRPr="00E92067">
        <w:rPr>
          <w:rStyle w:val="CommentReference"/>
        </w:rPr>
        <w:t xml:space="preserve">Table 10: Adverse events of interest reported in BLAST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3006"/>
        <w:gridCol w:w="3006"/>
      </w:tblGrid>
      <w:tr w:rsidR="0013378E" w:rsidRPr="00E92067" w:rsidTr="008A404D">
        <w:trPr>
          <w:tblHeader/>
        </w:trPr>
        <w:tc>
          <w:tcPr>
            <w:tcW w:w="2897" w:type="dxa"/>
            <w:vMerge w:val="restart"/>
            <w:vAlign w:val="center"/>
          </w:tcPr>
          <w:p w:rsidR="0013378E" w:rsidRPr="00E92067" w:rsidRDefault="0013378E" w:rsidP="008A404D">
            <w:pPr>
              <w:pStyle w:val="Tabletext"/>
              <w:keepNext/>
              <w:keepLines/>
              <w:rPr>
                <w:b/>
              </w:rPr>
            </w:pPr>
            <w:r w:rsidRPr="00E92067">
              <w:rPr>
                <w:b/>
              </w:rPr>
              <w:t>Event n (%)</w:t>
            </w:r>
          </w:p>
        </w:tc>
        <w:tc>
          <w:tcPr>
            <w:tcW w:w="6012" w:type="dxa"/>
            <w:gridSpan w:val="2"/>
          </w:tcPr>
          <w:p w:rsidR="0013378E" w:rsidRPr="00E92067" w:rsidRDefault="0013378E" w:rsidP="008A404D">
            <w:pPr>
              <w:pStyle w:val="Tabletext"/>
              <w:keepNext/>
              <w:keepLines/>
              <w:jc w:val="center"/>
              <w:rPr>
                <w:b/>
              </w:rPr>
            </w:pPr>
            <w:r w:rsidRPr="00E92067">
              <w:rPr>
                <w:b/>
              </w:rPr>
              <w:t>BLAST  (N=116)</w:t>
            </w:r>
          </w:p>
        </w:tc>
      </w:tr>
      <w:tr w:rsidR="0013378E" w:rsidRPr="00E92067" w:rsidTr="008A404D">
        <w:trPr>
          <w:tblHeader/>
        </w:trPr>
        <w:tc>
          <w:tcPr>
            <w:tcW w:w="2897" w:type="dxa"/>
            <w:vMerge/>
            <w:vAlign w:val="center"/>
          </w:tcPr>
          <w:p w:rsidR="0013378E" w:rsidRPr="00E92067" w:rsidRDefault="0013378E" w:rsidP="008A404D">
            <w:pPr>
              <w:pStyle w:val="Tabletext"/>
              <w:keepNext/>
              <w:keepLines/>
              <w:rPr>
                <w:b/>
              </w:rPr>
            </w:pPr>
          </w:p>
        </w:tc>
        <w:tc>
          <w:tcPr>
            <w:tcW w:w="3006" w:type="dxa"/>
          </w:tcPr>
          <w:p w:rsidR="0013378E" w:rsidRPr="00E92067" w:rsidRDefault="0013378E" w:rsidP="008A404D">
            <w:pPr>
              <w:pStyle w:val="Tabletext"/>
              <w:keepNext/>
              <w:keepLines/>
              <w:jc w:val="center"/>
              <w:rPr>
                <w:b/>
              </w:rPr>
            </w:pPr>
            <w:r w:rsidRPr="00E92067">
              <w:rPr>
                <w:b/>
              </w:rPr>
              <w:t>Any grade severity</w:t>
            </w:r>
          </w:p>
        </w:tc>
        <w:tc>
          <w:tcPr>
            <w:tcW w:w="3006" w:type="dxa"/>
          </w:tcPr>
          <w:p w:rsidR="0013378E" w:rsidRPr="00E92067" w:rsidRDefault="0013378E" w:rsidP="008A404D">
            <w:pPr>
              <w:pStyle w:val="Tabletext"/>
              <w:keepNext/>
              <w:keepLines/>
              <w:jc w:val="center"/>
              <w:rPr>
                <w:b/>
              </w:rPr>
            </w:pPr>
            <w:r w:rsidRPr="00E92067">
              <w:rPr>
                <w:b/>
              </w:rPr>
              <w:t>Severity grade ≥3</w:t>
            </w:r>
          </w:p>
        </w:tc>
      </w:tr>
      <w:tr w:rsidR="0013378E" w:rsidRPr="00E92067" w:rsidTr="008A404D">
        <w:tc>
          <w:tcPr>
            <w:tcW w:w="2897" w:type="dxa"/>
          </w:tcPr>
          <w:p w:rsidR="0013378E" w:rsidRPr="00E92067" w:rsidRDefault="0013378E" w:rsidP="008A404D">
            <w:pPr>
              <w:pStyle w:val="Tabletext"/>
              <w:keepNext/>
              <w:keepLines/>
            </w:pPr>
            <w:r w:rsidRPr="00E92067">
              <w:t>Any event of interest</w:t>
            </w:r>
          </w:p>
        </w:tc>
        <w:tc>
          <w:tcPr>
            <w:tcW w:w="3006" w:type="dxa"/>
          </w:tcPr>
          <w:p w:rsidR="0013378E" w:rsidRPr="00E92067" w:rsidRDefault="0013378E" w:rsidP="008A404D">
            <w:pPr>
              <w:pStyle w:val="Tabletext"/>
              <w:keepNext/>
              <w:keepLines/>
              <w:jc w:val="center"/>
            </w:pPr>
            <w:r w:rsidRPr="00E92067">
              <w:t>111/116 (95.6%)</w:t>
            </w:r>
          </w:p>
        </w:tc>
        <w:tc>
          <w:tcPr>
            <w:tcW w:w="3006" w:type="dxa"/>
          </w:tcPr>
          <w:p w:rsidR="0013378E" w:rsidRPr="00E92067" w:rsidRDefault="0013378E" w:rsidP="008A404D">
            <w:pPr>
              <w:pStyle w:val="Tabletext"/>
              <w:keepNext/>
              <w:keepLines/>
              <w:jc w:val="center"/>
            </w:pPr>
            <w:r w:rsidRPr="00E92067">
              <w:t>61/116 (52.6%)</w:t>
            </w:r>
          </w:p>
        </w:tc>
      </w:tr>
      <w:tr w:rsidR="0013378E" w:rsidRPr="00E92067" w:rsidTr="008A404D">
        <w:tc>
          <w:tcPr>
            <w:tcW w:w="2897" w:type="dxa"/>
          </w:tcPr>
          <w:p w:rsidR="0013378E" w:rsidRPr="00E92067" w:rsidRDefault="0013378E" w:rsidP="008A404D">
            <w:pPr>
              <w:pStyle w:val="Tabletext"/>
              <w:keepNext/>
              <w:keepLines/>
            </w:pPr>
            <w:r w:rsidRPr="00E92067">
              <w:t>Neurologic events</w:t>
            </w:r>
          </w:p>
        </w:tc>
        <w:tc>
          <w:tcPr>
            <w:tcW w:w="3006" w:type="dxa"/>
          </w:tcPr>
          <w:p w:rsidR="0013378E" w:rsidRPr="00E92067" w:rsidRDefault="0013378E" w:rsidP="008A404D">
            <w:pPr>
              <w:pStyle w:val="Tabletext"/>
              <w:keepNext/>
              <w:keepLines/>
              <w:jc w:val="center"/>
            </w:pPr>
            <w:r w:rsidRPr="00E92067">
              <w:t>61/116 (52.69%)</w:t>
            </w:r>
          </w:p>
        </w:tc>
        <w:tc>
          <w:tcPr>
            <w:tcW w:w="3006" w:type="dxa"/>
          </w:tcPr>
          <w:p w:rsidR="0013378E" w:rsidRPr="00E92067" w:rsidRDefault="0013378E" w:rsidP="008A404D">
            <w:pPr>
              <w:pStyle w:val="Tabletext"/>
              <w:keepNext/>
              <w:keepLines/>
              <w:jc w:val="center"/>
            </w:pPr>
            <w:r w:rsidRPr="00E92067">
              <w:t>14/116 (12.1%)</w:t>
            </w:r>
          </w:p>
        </w:tc>
      </w:tr>
      <w:tr w:rsidR="0013378E" w:rsidRPr="00E92067" w:rsidTr="008A404D">
        <w:tc>
          <w:tcPr>
            <w:tcW w:w="2897" w:type="dxa"/>
          </w:tcPr>
          <w:p w:rsidR="0013378E" w:rsidRPr="00E92067" w:rsidRDefault="0013378E" w:rsidP="008A404D">
            <w:pPr>
              <w:pStyle w:val="Tabletext"/>
              <w:keepNext/>
              <w:keepLines/>
            </w:pPr>
            <w:r w:rsidRPr="00E92067">
              <w:t>Infections</w:t>
            </w:r>
          </w:p>
        </w:tc>
        <w:tc>
          <w:tcPr>
            <w:tcW w:w="3006" w:type="dxa"/>
          </w:tcPr>
          <w:p w:rsidR="0013378E" w:rsidRPr="00E92067" w:rsidRDefault="0013378E" w:rsidP="008A404D">
            <w:pPr>
              <w:pStyle w:val="Tabletext"/>
              <w:keepNext/>
              <w:keepLines/>
              <w:jc w:val="center"/>
            </w:pPr>
            <w:r w:rsidRPr="00E92067">
              <w:t>48/116 (41.4%)</w:t>
            </w:r>
          </w:p>
        </w:tc>
        <w:tc>
          <w:tcPr>
            <w:tcW w:w="3006" w:type="dxa"/>
          </w:tcPr>
          <w:p w:rsidR="0013378E" w:rsidRPr="00E92067" w:rsidRDefault="0013378E" w:rsidP="008A404D">
            <w:pPr>
              <w:pStyle w:val="Tabletext"/>
              <w:keepNext/>
              <w:keepLines/>
              <w:jc w:val="center"/>
            </w:pPr>
            <w:r w:rsidRPr="00E92067">
              <w:t>12/116 (10.3%)</w:t>
            </w:r>
          </w:p>
        </w:tc>
      </w:tr>
      <w:tr w:rsidR="0013378E" w:rsidRPr="00E92067" w:rsidTr="008A404D">
        <w:tc>
          <w:tcPr>
            <w:tcW w:w="2897" w:type="dxa"/>
          </w:tcPr>
          <w:p w:rsidR="0013378E" w:rsidRPr="00E92067" w:rsidRDefault="0013378E" w:rsidP="008A404D">
            <w:pPr>
              <w:pStyle w:val="Tabletext"/>
              <w:keepNext/>
              <w:keepLines/>
            </w:pPr>
            <w:r w:rsidRPr="00E92067">
              <w:t>Cytokine release syndrome</w:t>
            </w:r>
          </w:p>
        </w:tc>
        <w:tc>
          <w:tcPr>
            <w:tcW w:w="3006" w:type="dxa"/>
          </w:tcPr>
          <w:p w:rsidR="0013378E" w:rsidRPr="00E92067" w:rsidRDefault="0013378E" w:rsidP="008A404D">
            <w:pPr>
              <w:pStyle w:val="Tabletext"/>
              <w:keepNext/>
              <w:keepLines/>
              <w:jc w:val="center"/>
            </w:pPr>
            <w:r w:rsidRPr="00E92067">
              <w:t>4/116 (3.4%)</w:t>
            </w:r>
          </w:p>
        </w:tc>
        <w:tc>
          <w:tcPr>
            <w:tcW w:w="3006" w:type="dxa"/>
          </w:tcPr>
          <w:p w:rsidR="0013378E" w:rsidRPr="00E92067" w:rsidRDefault="0013378E" w:rsidP="008A404D">
            <w:pPr>
              <w:pStyle w:val="Tabletext"/>
              <w:keepNext/>
              <w:keepLines/>
              <w:jc w:val="center"/>
            </w:pPr>
            <w:r w:rsidRPr="00E92067">
              <w:t>2/116 (1.7%)</w:t>
            </w:r>
          </w:p>
        </w:tc>
      </w:tr>
      <w:tr w:rsidR="0013378E" w:rsidRPr="00E92067" w:rsidTr="008A404D">
        <w:tc>
          <w:tcPr>
            <w:tcW w:w="2897" w:type="dxa"/>
          </w:tcPr>
          <w:p w:rsidR="0013378E" w:rsidRPr="00E92067" w:rsidRDefault="0013378E" w:rsidP="008A404D">
            <w:pPr>
              <w:pStyle w:val="Tabletext"/>
            </w:pPr>
            <w:r w:rsidRPr="00E92067">
              <w:t>Drug related hepatic events</w:t>
            </w:r>
          </w:p>
        </w:tc>
        <w:tc>
          <w:tcPr>
            <w:tcW w:w="3006" w:type="dxa"/>
          </w:tcPr>
          <w:p w:rsidR="0013378E" w:rsidRPr="00E92067" w:rsidRDefault="0013378E" w:rsidP="008A404D">
            <w:pPr>
              <w:pStyle w:val="Tabletext"/>
              <w:jc w:val="center"/>
            </w:pPr>
            <w:r w:rsidRPr="00E92067">
              <w:t>17/116 (14.7%)</w:t>
            </w:r>
          </w:p>
        </w:tc>
        <w:tc>
          <w:tcPr>
            <w:tcW w:w="3006" w:type="dxa"/>
          </w:tcPr>
          <w:p w:rsidR="0013378E" w:rsidRPr="00E92067" w:rsidRDefault="0013378E" w:rsidP="008A404D">
            <w:pPr>
              <w:pStyle w:val="Tabletext"/>
              <w:jc w:val="center"/>
            </w:pPr>
            <w:r w:rsidRPr="00E92067">
              <w:t>10/116 (8.6%)</w:t>
            </w:r>
          </w:p>
        </w:tc>
      </w:tr>
      <w:tr w:rsidR="0013378E" w:rsidRPr="00E92067" w:rsidTr="008A404D">
        <w:tc>
          <w:tcPr>
            <w:tcW w:w="2897" w:type="dxa"/>
          </w:tcPr>
          <w:p w:rsidR="0013378E" w:rsidRPr="00E92067" w:rsidRDefault="0013378E" w:rsidP="008A404D">
            <w:pPr>
              <w:pStyle w:val="Tabletext"/>
            </w:pPr>
            <w:r w:rsidRPr="00E92067">
              <w:t>Infusion reaction</w:t>
            </w:r>
          </w:p>
        </w:tc>
        <w:tc>
          <w:tcPr>
            <w:tcW w:w="3006" w:type="dxa"/>
          </w:tcPr>
          <w:p w:rsidR="0013378E" w:rsidRPr="00E92067" w:rsidRDefault="0013378E" w:rsidP="008A404D">
            <w:pPr>
              <w:pStyle w:val="Tabletext"/>
              <w:jc w:val="center"/>
            </w:pPr>
            <w:r w:rsidRPr="00E92067">
              <w:t>100/116 (86.2%)</w:t>
            </w:r>
          </w:p>
        </w:tc>
        <w:tc>
          <w:tcPr>
            <w:tcW w:w="3006" w:type="dxa"/>
          </w:tcPr>
          <w:p w:rsidR="0013378E" w:rsidRPr="00E92067" w:rsidRDefault="0013378E" w:rsidP="008A404D">
            <w:pPr>
              <w:pStyle w:val="Tabletext"/>
              <w:jc w:val="center"/>
            </w:pPr>
            <w:r w:rsidRPr="00E92067">
              <w:t>10/116 (8.6%)</w:t>
            </w:r>
          </w:p>
        </w:tc>
      </w:tr>
      <w:tr w:rsidR="0013378E" w:rsidRPr="00E92067" w:rsidTr="008A404D">
        <w:tc>
          <w:tcPr>
            <w:tcW w:w="2897" w:type="dxa"/>
          </w:tcPr>
          <w:p w:rsidR="0013378E" w:rsidRPr="00E92067" w:rsidRDefault="0013378E" w:rsidP="008A404D">
            <w:pPr>
              <w:pStyle w:val="Tabletext"/>
            </w:pPr>
            <w:r w:rsidRPr="00E92067">
              <w:t>Tumour lysis syndrome</w:t>
            </w:r>
          </w:p>
        </w:tc>
        <w:tc>
          <w:tcPr>
            <w:tcW w:w="3006" w:type="dxa"/>
          </w:tcPr>
          <w:p w:rsidR="0013378E" w:rsidRPr="00E92067" w:rsidRDefault="0013378E" w:rsidP="008A404D">
            <w:pPr>
              <w:pStyle w:val="Tabletext"/>
              <w:jc w:val="center"/>
            </w:pPr>
            <w:r w:rsidRPr="00E92067">
              <w:t>8/116 (6.9%)</w:t>
            </w:r>
          </w:p>
        </w:tc>
        <w:tc>
          <w:tcPr>
            <w:tcW w:w="3006" w:type="dxa"/>
          </w:tcPr>
          <w:p w:rsidR="0013378E" w:rsidRPr="00E92067" w:rsidRDefault="0013378E" w:rsidP="008A404D">
            <w:pPr>
              <w:pStyle w:val="Tabletext"/>
              <w:jc w:val="center"/>
            </w:pPr>
            <w:r w:rsidRPr="00E92067">
              <w:t>2/116 (1.7%)</w:t>
            </w:r>
          </w:p>
        </w:tc>
      </w:tr>
      <w:tr w:rsidR="0013378E" w:rsidRPr="00E92067" w:rsidTr="008A404D">
        <w:tc>
          <w:tcPr>
            <w:tcW w:w="2897" w:type="dxa"/>
          </w:tcPr>
          <w:p w:rsidR="0013378E" w:rsidRPr="00E92067" w:rsidRDefault="0013378E" w:rsidP="008A404D">
            <w:pPr>
              <w:pStyle w:val="Tabletext"/>
            </w:pPr>
            <w:r w:rsidRPr="00E92067">
              <w:t>Thromboembolic events</w:t>
            </w:r>
          </w:p>
        </w:tc>
        <w:tc>
          <w:tcPr>
            <w:tcW w:w="3006" w:type="dxa"/>
          </w:tcPr>
          <w:p w:rsidR="0013378E" w:rsidRPr="00E92067" w:rsidRDefault="0013378E" w:rsidP="008A404D">
            <w:pPr>
              <w:pStyle w:val="Tabletext"/>
              <w:jc w:val="center"/>
            </w:pPr>
            <w:r w:rsidRPr="00E92067">
              <w:t>5/116 (4.3%)</w:t>
            </w:r>
          </w:p>
        </w:tc>
        <w:tc>
          <w:tcPr>
            <w:tcW w:w="3006" w:type="dxa"/>
          </w:tcPr>
          <w:p w:rsidR="0013378E" w:rsidRPr="00E92067" w:rsidRDefault="0013378E" w:rsidP="008A404D">
            <w:pPr>
              <w:pStyle w:val="Tabletext"/>
              <w:jc w:val="center"/>
            </w:pPr>
            <w:r w:rsidRPr="00E92067">
              <w:t>3/116 (2.6%)</w:t>
            </w:r>
          </w:p>
        </w:tc>
      </w:tr>
      <w:tr w:rsidR="0013378E" w:rsidRPr="00E92067" w:rsidTr="008A404D">
        <w:tc>
          <w:tcPr>
            <w:tcW w:w="2897" w:type="dxa"/>
          </w:tcPr>
          <w:p w:rsidR="0013378E" w:rsidRPr="00E92067" w:rsidRDefault="0013378E" w:rsidP="008A404D">
            <w:pPr>
              <w:pStyle w:val="Tabletext"/>
            </w:pPr>
            <w:r w:rsidRPr="00E92067">
              <w:t>Medication errors</w:t>
            </w:r>
          </w:p>
        </w:tc>
        <w:tc>
          <w:tcPr>
            <w:tcW w:w="3006" w:type="dxa"/>
          </w:tcPr>
          <w:p w:rsidR="0013378E" w:rsidRPr="00E92067" w:rsidRDefault="0013378E" w:rsidP="008A404D">
            <w:pPr>
              <w:pStyle w:val="Tabletext"/>
              <w:jc w:val="center"/>
            </w:pPr>
            <w:r w:rsidRPr="00E92067">
              <w:t>6/116 (5.2%)</w:t>
            </w:r>
          </w:p>
        </w:tc>
        <w:tc>
          <w:tcPr>
            <w:tcW w:w="3006" w:type="dxa"/>
          </w:tcPr>
          <w:p w:rsidR="0013378E" w:rsidRPr="00E92067" w:rsidRDefault="0013378E" w:rsidP="008A404D">
            <w:pPr>
              <w:pStyle w:val="Tabletext"/>
              <w:jc w:val="center"/>
            </w:pPr>
            <w:r w:rsidRPr="00E92067">
              <w:t>0</w:t>
            </w:r>
          </w:p>
        </w:tc>
      </w:tr>
      <w:tr w:rsidR="0013378E" w:rsidRPr="00E92067" w:rsidTr="008A404D">
        <w:tc>
          <w:tcPr>
            <w:tcW w:w="2897" w:type="dxa"/>
          </w:tcPr>
          <w:p w:rsidR="0013378E" w:rsidRPr="00E92067" w:rsidRDefault="0013378E" w:rsidP="008A404D">
            <w:pPr>
              <w:pStyle w:val="Tabletext"/>
            </w:pPr>
            <w:r w:rsidRPr="00E92067">
              <w:t>Cytopenias</w:t>
            </w:r>
          </w:p>
        </w:tc>
        <w:tc>
          <w:tcPr>
            <w:tcW w:w="3006" w:type="dxa"/>
          </w:tcPr>
          <w:p w:rsidR="0013378E" w:rsidRPr="00E92067" w:rsidRDefault="0013378E" w:rsidP="008A404D">
            <w:pPr>
              <w:pStyle w:val="Tabletext"/>
              <w:jc w:val="center"/>
            </w:pPr>
            <w:r w:rsidRPr="00E92067">
              <w:t>32/116 (27.6%)</w:t>
            </w:r>
          </w:p>
        </w:tc>
        <w:tc>
          <w:tcPr>
            <w:tcW w:w="3006" w:type="dxa"/>
          </w:tcPr>
          <w:p w:rsidR="0013378E" w:rsidRPr="00E92067" w:rsidRDefault="0013378E" w:rsidP="008A404D">
            <w:pPr>
              <w:pStyle w:val="Tabletext"/>
              <w:jc w:val="center"/>
            </w:pPr>
            <w:r w:rsidRPr="00E92067">
              <w:t>29/116 (25.0%)</w:t>
            </w:r>
          </w:p>
        </w:tc>
      </w:tr>
      <w:tr w:rsidR="0013378E" w:rsidRPr="00E92067" w:rsidTr="008A404D">
        <w:tc>
          <w:tcPr>
            <w:tcW w:w="2897" w:type="dxa"/>
          </w:tcPr>
          <w:p w:rsidR="0013378E" w:rsidRPr="00E92067" w:rsidRDefault="0013378E" w:rsidP="008A404D">
            <w:pPr>
              <w:pStyle w:val="Tabletext"/>
            </w:pPr>
            <w:r w:rsidRPr="00E92067">
              <w:t>Decreased immunoglobulins</w:t>
            </w:r>
          </w:p>
        </w:tc>
        <w:tc>
          <w:tcPr>
            <w:tcW w:w="3006" w:type="dxa"/>
          </w:tcPr>
          <w:p w:rsidR="0013378E" w:rsidRPr="00E92067" w:rsidRDefault="0013378E" w:rsidP="008A404D">
            <w:pPr>
              <w:pStyle w:val="Tabletext"/>
              <w:jc w:val="center"/>
            </w:pPr>
            <w:r w:rsidRPr="00E92067">
              <w:t>8/116 (6.9%)</w:t>
            </w:r>
          </w:p>
        </w:tc>
        <w:tc>
          <w:tcPr>
            <w:tcW w:w="3006" w:type="dxa"/>
          </w:tcPr>
          <w:p w:rsidR="0013378E" w:rsidRPr="00E92067" w:rsidRDefault="0013378E" w:rsidP="008A404D">
            <w:pPr>
              <w:pStyle w:val="Tabletext"/>
              <w:jc w:val="center"/>
            </w:pPr>
            <w:r w:rsidRPr="00E92067">
              <w:t>2/116 (1.7%)</w:t>
            </w:r>
          </w:p>
        </w:tc>
      </w:tr>
      <w:tr w:rsidR="0013378E" w:rsidRPr="00E92067" w:rsidTr="008A404D">
        <w:tc>
          <w:tcPr>
            <w:tcW w:w="2897" w:type="dxa"/>
          </w:tcPr>
          <w:p w:rsidR="0013378E" w:rsidRPr="00E92067" w:rsidRDefault="0013378E" w:rsidP="008A404D">
            <w:pPr>
              <w:pStyle w:val="Tabletext"/>
            </w:pPr>
            <w:r w:rsidRPr="00E92067">
              <w:t>Capillary leak syndrome</w:t>
            </w:r>
          </w:p>
        </w:tc>
        <w:tc>
          <w:tcPr>
            <w:tcW w:w="3006" w:type="dxa"/>
          </w:tcPr>
          <w:p w:rsidR="0013378E" w:rsidRPr="00E92067" w:rsidRDefault="0013378E" w:rsidP="008A404D">
            <w:pPr>
              <w:pStyle w:val="Tabletext"/>
              <w:jc w:val="center"/>
            </w:pPr>
            <w:r w:rsidRPr="00E92067">
              <w:t>19/116 (16.4%)</w:t>
            </w:r>
          </w:p>
        </w:tc>
        <w:tc>
          <w:tcPr>
            <w:tcW w:w="3006" w:type="dxa"/>
          </w:tcPr>
          <w:p w:rsidR="0013378E" w:rsidRPr="00E92067" w:rsidRDefault="0013378E" w:rsidP="008A404D">
            <w:pPr>
              <w:pStyle w:val="Tabletext"/>
              <w:jc w:val="center"/>
            </w:pPr>
            <w:r w:rsidRPr="00E92067">
              <w:t>NR</w:t>
            </w:r>
          </w:p>
        </w:tc>
      </w:tr>
    </w:tbl>
    <w:p w:rsidR="0013378E" w:rsidRPr="00E92067" w:rsidRDefault="0013378E" w:rsidP="0013378E">
      <w:pPr>
        <w:pStyle w:val="TableFooter"/>
      </w:pPr>
      <w:r w:rsidRPr="00E92067">
        <w:t>Source: Table 46, p.81 of the submission.</w:t>
      </w:r>
    </w:p>
    <w:p w:rsidR="0013378E" w:rsidRPr="00E92067" w:rsidRDefault="0013378E" w:rsidP="0013378E">
      <w:pPr>
        <w:widowControl/>
      </w:pPr>
    </w:p>
    <w:p w:rsidR="0013378E" w:rsidRPr="00E92067" w:rsidRDefault="0013378E" w:rsidP="0013378E">
      <w:pPr>
        <w:pStyle w:val="ListParagraph"/>
        <w:widowControl/>
        <w:numPr>
          <w:ilvl w:val="1"/>
          <w:numId w:val="2"/>
        </w:numPr>
      </w:pPr>
      <w:r w:rsidRPr="00E92067">
        <w:t>In the BLAST study, 96% of patients reported an adverse event of interest and 53% reported an adverse event of interest of Grade ≥3. The most frequently reported event of interest was neurological events (53%), with 12% of patients reporting a neurological event of interest of Grade ≥3. The most frequently identified neurologic events were tremor, aphasia, dizziness, ataxia and paraesthesia, and encephalopathy. Four patients (3%) experienced cytokine release syndrome.</w:t>
      </w:r>
    </w:p>
    <w:p w:rsidR="0013378E" w:rsidRDefault="0013378E" w:rsidP="00A37FF6">
      <w:pPr>
        <w:pStyle w:val="ListParagraph"/>
        <w:widowControl/>
        <w:numPr>
          <w:ilvl w:val="1"/>
          <w:numId w:val="2"/>
        </w:numPr>
      </w:pPr>
      <w:r w:rsidRPr="00E92067">
        <w:t xml:space="preserve">The submission acknowledged the lack of comparative safety data for blinatumomab versus standard of care chemotherapy in the MRD positive setting, </w:t>
      </w:r>
      <w:r w:rsidR="00A37FF6">
        <w:t xml:space="preserve">and stated that </w:t>
      </w:r>
      <w:r w:rsidR="00A37FF6" w:rsidRPr="00A37FF6">
        <w:t>Study 20120148 did not capture adverse events</w:t>
      </w:r>
      <w:r w:rsidR="00A37FF6">
        <w:t xml:space="preserve"> so a naïve comparison of safety outcomes was not provided in the submission</w:t>
      </w:r>
      <w:r w:rsidR="00A37FF6" w:rsidRPr="00A37FF6">
        <w:t xml:space="preserve">. </w:t>
      </w:r>
      <w:r w:rsidR="00A37FF6">
        <w:t xml:space="preserve">Instead, the submission </w:t>
      </w:r>
      <w:r w:rsidRPr="00E92067">
        <w:t xml:space="preserve">presented a comparative safety analysis in the relapsed/refractory setting from the TOWER study. </w:t>
      </w:r>
      <w:r w:rsidRPr="000023C5">
        <w:rPr>
          <w:szCs w:val="24"/>
        </w:rPr>
        <w:t xml:space="preserve">The proportions of patients reporting any adverse events or serious adverse events were similar between blinatumomab and standard of care chemotherapy treated patients, but there were statistically significantly larger proportions of patients receiving standard of care chemotherapy reporting Grade ≥3 events. Statistically significantly larger proportions of patients treated with blinatumomab reported neurologic events, cytokine release syndrome, infusion </w:t>
      </w:r>
      <w:r w:rsidRPr="00724139">
        <w:rPr>
          <w:szCs w:val="24"/>
        </w:rPr>
        <w:t xml:space="preserve">reaction, pyrexia, tremor and cough compared to standard of care chemotherapy. </w:t>
      </w:r>
      <w:r w:rsidRPr="00E70F0E">
        <w:rPr>
          <w:szCs w:val="24"/>
        </w:rPr>
        <w:t xml:space="preserve">The ESC </w:t>
      </w:r>
      <w:r w:rsidR="00456A65">
        <w:rPr>
          <w:szCs w:val="24"/>
        </w:rPr>
        <w:t xml:space="preserve">and the PBAC </w:t>
      </w:r>
      <w:r w:rsidRPr="00E70F0E">
        <w:rPr>
          <w:szCs w:val="24"/>
        </w:rPr>
        <w:t>considered that</w:t>
      </w:r>
      <w:r>
        <w:rPr>
          <w:i/>
          <w:szCs w:val="24"/>
        </w:rPr>
        <w:t xml:space="preserve"> </w:t>
      </w:r>
      <w:r w:rsidRPr="00E70F0E">
        <w:rPr>
          <w:szCs w:val="24"/>
        </w:rPr>
        <w:t>c</w:t>
      </w:r>
      <w:r w:rsidRPr="000023C5">
        <w:rPr>
          <w:szCs w:val="24"/>
        </w:rPr>
        <w:t>omparative safety outcomes from the relapsed/refractory setting</w:t>
      </w:r>
      <w:r w:rsidRPr="00E92067">
        <w:t xml:space="preserve"> are unlikely to reflect the circumstances of use in the MRD population (the relapsed/refractory setting includes longer blinatumomab treatment length, less fit patients</w:t>
      </w:r>
      <w:r>
        <w:t xml:space="preserve"> and</w:t>
      </w:r>
      <w:r w:rsidRPr="00E92067">
        <w:t xml:space="preserve"> more aggressive chemotherapy regimens).</w:t>
      </w:r>
      <w:r>
        <w:t xml:space="preserve"> </w:t>
      </w:r>
    </w:p>
    <w:p w:rsidR="0013378E" w:rsidRPr="00E92067" w:rsidRDefault="0013378E" w:rsidP="0013378E">
      <w:pPr>
        <w:pStyle w:val="ListParagraph"/>
        <w:widowControl/>
        <w:numPr>
          <w:ilvl w:val="1"/>
          <w:numId w:val="2"/>
        </w:numPr>
      </w:pPr>
      <w:r w:rsidRPr="00E92067">
        <w:t>Important risks associated with blinatumomab identified in the expanded assessment of harms</w:t>
      </w:r>
      <w:r w:rsidRPr="00E92067">
        <w:rPr>
          <w:rFonts w:asciiTheme="minorHAnsi" w:hAnsiTheme="minorHAnsi"/>
          <w:szCs w:val="24"/>
        </w:rPr>
        <w:t xml:space="preserve"> include neurologic events, infections, cytokine release syndrome, infusion reactions, tumour lysis syndrome, capillary leak syndrome, elevated liver enzymes, medication errors, febrile neutropenia and neutropenia and decreased immunoglobulin.</w:t>
      </w:r>
    </w:p>
    <w:p w:rsidR="00151FBC" w:rsidRPr="00EE7BF9" w:rsidRDefault="00151FBC" w:rsidP="00EE7BF9">
      <w:pPr>
        <w:pStyle w:val="Heading2"/>
        <w:spacing w:before="240" w:after="120"/>
      </w:pPr>
      <w:r w:rsidRPr="00EE7BF9">
        <w:t>Benefits/harms</w:t>
      </w:r>
      <w:bookmarkEnd w:id="10"/>
    </w:p>
    <w:p w:rsidR="003D3AF7" w:rsidRPr="00E70F0E" w:rsidRDefault="009C5CF6" w:rsidP="009C5CF6">
      <w:pPr>
        <w:pStyle w:val="ListParagraph"/>
        <w:widowControl/>
        <w:numPr>
          <w:ilvl w:val="1"/>
          <w:numId w:val="2"/>
        </w:numPr>
      </w:pPr>
      <w:r>
        <w:t xml:space="preserve">Blinatumomab was estimated to result in an increase in progression free survival of approximately 27 months compared with </w:t>
      </w:r>
      <w:r w:rsidRPr="00E92067">
        <w:t xml:space="preserve">standard of care </w:t>
      </w:r>
      <w:r w:rsidRPr="00E70F0E">
        <w:t xml:space="preserve">post-induction chemotherapy regimens for consolidation and/or maintenance, </w:t>
      </w:r>
      <w:r w:rsidR="00F67984" w:rsidRPr="00E70F0E">
        <w:t>however</w:t>
      </w:r>
      <w:r w:rsidRPr="00E70F0E">
        <w:t xml:space="preserve"> this estimate is highly uncertain given it is based on a comparison of separate studies.</w:t>
      </w:r>
      <w:r w:rsidR="00F67984" w:rsidRPr="00E70F0E">
        <w:t xml:space="preserve"> </w:t>
      </w:r>
    </w:p>
    <w:p w:rsidR="00151FBC" w:rsidRPr="00E92067" w:rsidRDefault="009A2B7B" w:rsidP="001613D3">
      <w:pPr>
        <w:pStyle w:val="ListParagraph"/>
        <w:widowControl/>
        <w:numPr>
          <w:ilvl w:val="1"/>
          <w:numId w:val="2"/>
        </w:numPr>
      </w:pPr>
      <w:r w:rsidRPr="00E92067">
        <w:t xml:space="preserve">No data were presented in the submission comparing adverse events </w:t>
      </w:r>
      <w:r w:rsidR="00F16181" w:rsidRPr="00E92067">
        <w:t xml:space="preserve">associated </w:t>
      </w:r>
      <w:r w:rsidRPr="00E92067">
        <w:t>with blinatumomab and standard of care chemotherapy in the MRD positive population.</w:t>
      </w:r>
    </w:p>
    <w:p w:rsidR="00151FBC" w:rsidRPr="00EE7BF9" w:rsidRDefault="00151FBC" w:rsidP="00EE7BF9">
      <w:pPr>
        <w:pStyle w:val="Heading2"/>
        <w:spacing w:before="240" w:after="120"/>
      </w:pPr>
      <w:bookmarkStart w:id="11" w:name="_Toc514245293"/>
      <w:r w:rsidRPr="00EE7BF9">
        <w:t>Clinical claim</w:t>
      </w:r>
      <w:bookmarkEnd w:id="11"/>
    </w:p>
    <w:p w:rsidR="00151FBC" w:rsidRPr="004C3501" w:rsidRDefault="00151FBC" w:rsidP="001613D3">
      <w:pPr>
        <w:pStyle w:val="ListParagraph"/>
        <w:widowControl/>
        <w:numPr>
          <w:ilvl w:val="1"/>
          <w:numId w:val="2"/>
        </w:numPr>
      </w:pPr>
      <w:r w:rsidRPr="00E92067">
        <w:t xml:space="preserve">The submission described blinatumomab as superior in terms of effectiveness compared with standard of care chemotherapy (post induction) and non-inferior in terms of safety, in the treatment of B-ALL in haematological complete remission with </w:t>
      </w:r>
      <w:r w:rsidRPr="004C3501">
        <w:t>minimal residual disease.</w:t>
      </w:r>
    </w:p>
    <w:p w:rsidR="00151FBC" w:rsidRPr="004C3501" w:rsidRDefault="00151FBC" w:rsidP="001613D3">
      <w:pPr>
        <w:pStyle w:val="ListParagraph"/>
        <w:widowControl/>
        <w:numPr>
          <w:ilvl w:val="1"/>
          <w:numId w:val="2"/>
        </w:numPr>
      </w:pPr>
      <w:r w:rsidRPr="004C3501">
        <w:t xml:space="preserve">The </w:t>
      </w:r>
      <w:r w:rsidR="00DD196D" w:rsidRPr="004C3501">
        <w:t xml:space="preserve">PBAC considered that the </w:t>
      </w:r>
      <w:r w:rsidRPr="004C3501">
        <w:t>claim of superior efficacy may be reasonable in terms of relapse free survival, but may not be reasonable in terms of overall survival. There w</w:t>
      </w:r>
      <w:r w:rsidR="00F33427" w:rsidRPr="004C3501">
        <w:t>ere</w:t>
      </w:r>
      <w:r w:rsidRPr="004C3501">
        <w:t xml:space="preserve"> insufficient data to support a claim of non-inferior safety. The </w:t>
      </w:r>
      <w:r w:rsidR="00DD196D" w:rsidRPr="004C3501">
        <w:t xml:space="preserve">PBAC considered that the magnitude of the incremental effectiveness was uncertain due to the </w:t>
      </w:r>
      <w:r w:rsidRPr="004C3501">
        <w:t>following issues:</w:t>
      </w:r>
    </w:p>
    <w:p w:rsidR="00151FBC" w:rsidRPr="00E92067" w:rsidRDefault="00151FBC" w:rsidP="001613D3">
      <w:pPr>
        <w:pStyle w:val="ListParagraph"/>
        <w:widowControl/>
        <w:numPr>
          <w:ilvl w:val="0"/>
          <w:numId w:val="1"/>
        </w:numPr>
        <w:ind w:left="1106" w:hanging="386"/>
      </w:pPr>
      <w:r w:rsidRPr="00E92067">
        <w:t xml:space="preserve"> the results of the standard of care arm are</w:t>
      </w:r>
      <w:r w:rsidR="009E681C">
        <w:t xml:space="preserve"> were not </w:t>
      </w:r>
      <w:r w:rsidR="003265C0">
        <w:t xml:space="preserve">necessarily </w:t>
      </w:r>
      <w:r w:rsidRPr="00E92067">
        <w:t xml:space="preserve">applicable to Australian clinical practice, given </w:t>
      </w:r>
      <w:r w:rsidR="00A25E65">
        <w:t>that</w:t>
      </w:r>
      <w:r w:rsidR="00A25E65" w:rsidRPr="00E92067">
        <w:t xml:space="preserve"> </w:t>
      </w:r>
      <w:r w:rsidR="009E681C">
        <w:t xml:space="preserve">most of the regimens were over 10 years old and there were </w:t>
      </w:r>
      <w:r w:rsidRPr="00E92067">
        <w:t>limited details provided on the treatments administered as part of the historical control Study 20120148.</w:t>
      </w:r>
    </w:p>
    <w:p w:rsidR="00151FBC" w:rsidRPr="00E92067" w:rsidRDefault="009F5F82" w:rsidP="00F33427">
      <w:pPr>
        <w:pStyle w:val="ListParagraph"/>
        <w:widowControl/>
        <w:numPr>
          <w:ilvl w:val="0"/>
          <w:numId w:val="1"/>
        </w:numPr>
        <w:ind w:left="1106" w:hanging="386"/>
      </w:pPr>
      <w:r w:rsidRPr="00E70F0E">
        <w:t xml:space="preserve">the </w:t>
      </w:r>
      <w:r w:rsidR="00151FBC" w:rsidRPr="00E70F0E">
        <w:t xml:space="preserve">propensity score analysis </w:t>
      </w:r>
      <w:r w:rsidRPr="00E70F0E">
        <w:t xml:space="preserve">had </w:t>
      </w:r>
      <w:r w:rsidR="00151FBC" w:rsidRPr="00E70F0E">
        <w:t>a high risk of bias</w:t>
      </w:r>
      <w:r w:rsidR="00F33427" w:rsidRPr="00E70F0E">
        <w:t xml:space="preserve"> because:</w:t>
      </w:r>
      <w:r w:rsidR="00151FBC" w:rsidRPr="00E70F0E">
        <w:t xml:space="preserve"> </w:t>
      </w:r>
      <w:r w:rsidRPr="00E70F0E">
        <w:t>some of the</w:t>
      </w:r>
      <w:r>
        <w:rPr>
          <w:i/>
        </w:rPr>
        <w:t xml:space="preserve"> </w:t>
      </w:r>
      <w:r w:rsidR="00151FBC" w:rsidRPr="00E92067">
        <w:t xml:space="preserve">underlying differences between the studies were not addressed by the analysis; </w:t>
      </w:r>
      <w:r w:rsidR="00F33427" w:rsidRPr="00E70F0E">
        <w:t xml:space="preserve">some potential confounding variables were not accounted for; </w:t>
      </w:r>
      <w:r w:rsidR="00AD6217" w:rsidRPr="00E92067">
        <w:t xml:space="preserve">and </w:t>
      </w:r>
      <w:r w:rsidR="00151FBC" w:rsidRPr="00E92067">
        <w:t>adjustments to improve comparability resulted in substantial data loss, particularly for the ATT analysis.</w:t>
      </w:r>
    </w:p>
    <w:p w:rsidR="00151FBC" w:rsidRDefault="00151FBC" w:rsidP="001613D3">
      <w:pPr>
        <w:pStyle w:val="ListParagraph"/>
        <w:widowControl/>
        <w:numPr>
          <w:ilvl w:val="0"/>
          <w:numId w:val="1"/>
        </w:numPr>
        <w:ind w:left="1106" w:hanging="386"/>
      </w:pPr>
      <w:r w:rsidRPr="00E92067">
        <w:t xml:space="preserve">the population included in the propensity scoring analysis </w:t>
      </w:r>
      <w:r w:rsidR="00D6377A" w:rsidRPr="00EE53E7">
        <w:rPr>
          <w:rFonts w:asciiTheme="minorHAnsi" w:hAnsiTheme="minorHAnsi"/>
          <w:bCs/>
          <w:szCs w:val="24"/>
          <w:lang w:val="en-US"/>
        </w:rPr>
        <w:t xml:space="preserve">was likely to be significantly different </w:t>
      </w:r>
      <w:r w:rsidR="00D6377A">
        <w:rPr>
          <w:rFonts w:asciiTheme="minorHAnsi" w:hAnsiTheme="minorHAnsi"/>
          <w:bCs/>
          <w:szCs w:val="24"/>
          <w:lang w:val="en-US"/>
        </w:rPr>
        <w:t>to</w:t>
      </w:r>
      <w:r w:rsidRPr="00E92067">
        <w:t xml:space="preserve"> the eligible population under the requested restriction (in terms of age, Philadelphia chromosome status, remission history, MRD level and HSCT use)</w:t>
      </w:r>
      <w:r w:rsidR="00D6377A">
        <w:t>, which the PBAC considered</w:t>
      </w:r>
      <w:r w:rsidRPr="00E92067">
        <w:t xml:space="preserve"> may affect incremental survival gains associated with blinatumomab treatment. </w:t>
      </w:r>
    </w:p>
    <w:p w:rsidR="00D6377A" w:rsidRPr="009937C3" w:rsidRDefault="00D6377A" w:rsidP="00D6377A">
      <w:pPr>
        <w:pStyle w:val="ListParagraph"/>
        <w:widowControl/>
        <w:numPr>
          <w:ilvl w:val="0"/>
          <w:numId w:val="1"/>
        </w:numPr>
        <w:ind w:left="1106" w:hanging="386"/>
        <w:rPr>
          <w:rFonts w:asciiTheme="minorHAnsi" w:hAnsiTheme="minorHAnsi"/>
          <w:bCs/>
          <w:szCs w:val="24"/>
        </w:rPr>
      </w:pPr>
      <w:r>
        <w:rPr>
          <w:lang w:val="en-US"/>
        </w:rPr>
        <w:t xml:space="preserve">the </w:t>
      </w:r>
      <w:r w:rsidRPr="009E681C">
        <w:rPr>
          <w:lang w:val="en-US"/>
        </w:rPr>
        <w:t xml:space="preserve">data </w:t>
      </w:r>
      <w:r>
        <w:rPr>
          <w:lang w:val="en-US"/>
        </w:rPr>
        <w:t>study did</w:t>
      </w:r>
      <w:r w:rsidRPr="009E681C">
        <w:rPr>
          <w:lang w:val="en-US"/>
        </w:rPr>
        <w:t xml:space="preserve"> not adequately </w:t>
      </w:r>
      <w:r w:rsidRPr="00D6377A">
        <w:rPr>
          <w:lang w:val="en-US"/>
        </w:rPr>
        <w:t xml:space="preserve">support an improvement in </w:t>
      </w:r>
      <w:r w:rsidRPr="00D6377A">
        <w:rPr>
          <w:bCs/>
          <w:lang w:val="en-US"/>
        </w:rPr>
        <w:t xml:space="preserve">overall survival </w:t>
      </w:r>
      <w:r w:rsidRPr="00D6377A">
        <w:rPr>
          <w:lang w:val="en-US"/>
        </w:rPr>
        <w:t>with blinatumomab treatment</w:t>
      </w:r>
      <w:r>
        <w:rPr>
          <w:lang w:val="en-US"/>
        </w:rPr>
        <w:t xml:space="preserve">, given </w:t>
      </w:r>
      <w:r>
        <w:rPr>
          <w:rFonts w:asciiTheme="minorHAnsi" w:hAnsiTheme="minorHAnsi"/>
          <w:bCs/>
          <w:szCs w:val="24"/>
        </w:rPr>
        <w:t>the lack of statistically significant overall survival gain reported in the ATE analysis, the immaturity of the BLAST study data (</w:t>
      </w:r>
      <w:r w:rsidRPr="00F5216B">
        <w:rPr>
          <w:rFonts w:asciiTheme="minorHAnsi" w:hAnsiTheme="minorHAnsi"/>
          <w:bCs/>
          <w:szCs w:val="24"/>
          <w:lang w:val="en-GB"/>
        </w:rPr>
        <w:t>median follow-up of 18.3 months</w:t>
      </w:r>
      <w:r>
        <w:rPr>
          <w:rFonts w:asciiTheme="minorHAnsi" w:hAnsiTheme="minorHAnsi"/>
          <w:bCs/>
          <w:szCs w:val="24"/>
          <w:lang w:val="en-GB"/>
        </w:rPr>
        <w:t>)</w:t>
      </w:r>
      <w:r>
        <w:rPr>
          <w:rFonts w:asciiTheme="minorHAnsi" w:hAnsiTheme="minorHAnsi"/>
          <w:bCs/>
          <w:szCs w:val="24"/>
        </w:rPr>
        <w:t xml:space="preserve">, and potential confounding </w:t>
      </w:r>
      <w:r w:rsidRPr="009937C3">
        <w:rPr>
          <w:rFonts w:asciiTheme="minorHAnsi" w:hAnsiTheme="minorHAnsi"/>
          <w:bCs/>
          <w:szCs w:val="24"/>
        </w:rPr>
        <w:t>by allo</w:t>
      </w:r>
      <w:r w:rsidR="008F2C7F">
        <w:rPr>
          <w:rFonts w:asciiTheme="minorHAnsi" w:hAnsiTheme="minorHAnsi"/>
          <w:bCs/>
          <w:szCs w:val="24"/>
        </w:rPr>
        <w:t>H</w:t>
      </w:r>
      <w:r w:rsidRPr="009937C3">
        <w:rPr>
          <w:rFonts w:asciiTheme="minorHAnsi" w:hAnsiTheme="minorHAnsi"/>
          <w:bCs/>
          <w:szCs w:val="24"/>
        </w:rPr>
        <w:t>SCT use</w:t>
      </w:r>
      <w:r>
        <w:rPr>
          <w:rFonts w:asciiTheme="minorHAnsi" w:hAnsiTheme="minorHAnsi"/>
          <w:bCs/>
          <w:szCs w:val="24"/>
        </w:rPr>
        <w:t>.</w:t>
      </w:r>
    </w:p>
    <w:p w:rsidR="00151FBC" w:rsidRDefault="00151FBC" w:rsidP="001613D3">
      <w:pPr>
        <w:pStyle w:val="ListParagraph"/>
        <w:widowControl/>
        <w:numPr>
          <w:ilvl w:val="0"/>
          <w:numId w:val="1"/>
        </w:numPr>
        <w:ind w:left="1106" w:hanging="386"/>
      </w:pPr>
      <w:r w:rsidRPr="00E92067">
        <w:t>No comparative adverse event data for the MRD population were provided in the submission. Instead, the submission relied on comparative safety outcomes from the relapsed/refractory setting which are unlikely to reflect circumstances of use in the MRD population (longer blinatumomab treatment length, less fit patients, more aggressive chemotherapy regimens).</w:t>
      </w:r>
    </w:p>
    <w:p w:rsidR="00D6377A" w:rsidRPr="00E70F0E" w:rsidRDefault="00D6377A" w:rsidP="00D6377A">
      <w:pPr>
        <w:pStyle w:val="ListParagraph"/>
        <w:widowControl/>
        <w:numPr>
          <w:ilvl w:val="1"/>
          <w:numId w:val="2"/>
        </w:numPr>
        <w:spacing w:after="120"/>
        <w:ind w:left="810" w:hanging="810"/>
      </w:pPr>
      <w:r w:rsidRPr="00E70F0E">
        <w:rPr>
          <w:rFonts w:cs="Calibri"/>
          <w:snapToGrid/>
          <w:szCs w:val="24"/>
          <w:lang w:val="en-US" w:eastAsia="en-AU"/>
        </w:rPr>
        <w:t xml:space="preserve">The ESC considered that, as blinatumomab may be used in a number of discrete therapeutic roles depending on when MRD occurs or is diagnosed in the disease pathway, the true comparative effect of blinatumomab throughout the treatment algorithm </w:t>
      </w:r>
      <w:r w:rsidRPr="00E70F0E">
        <w:t>was</w:t>
      </w:r>
      <w:r w:rsidRPr="00E70F0E">
        <w:rPr>
          <w:rFonts w:cs="Calibri"/>
          <w:snapToGrid/>
          <w:szCs w:val="24"/>
          <w:lang w:val="en-US" w:eastAsia="en-AU"/>
        </w:rPr>
        <w:t xml:space="preserve"> difficult to determine based on the evidence available. </w:t>
      </w:r>
    </w:p>
    <w:p w:rsidR="007A5B21" w:rsidRPr="00554E6B" w:rsidRDefault="007A5B21" w:rsidP="007A5B21">
      <w:pPr>
        <w:pStyle w:val="ListParagraph"/>
        <w:widowControl/>
        <w:numPr>
          <w:ilvl w:val="1"/>
          <w:numId w:val="2"/>
        </w:numPr>
        <w:spacing w:after="120"/>
        <w:ind w:left="810" w:hanging="810"/>
        <w:rPr>
          <w:rFonts w:asciiTheme="minorHAnsi" w:hAnsiTheme="minorHAnsi"/>
          <w:szCs w:val="20"/>
        </w:rPr>
      </w:pPr>
      <w:r w:rsidRPr="00554E6B">
        <w:rPr>
          <w:rFonts w:asciiTheme="minorHAnsi" w:hAnsiTheme="minorHAnsi"/>
          <w:szCs w:val="20"/>
        </w:rPr>
        <w:t>The PBAC considered that the claim of superior comparative effectiveness was adequately supported by the data</w:t>
      </w:r>
      <w:r w:rsidR="00DD196D">
        <w:rPr>
          <w:rFonts w:asciiTheme="minorHAnsi" w:hAnsiTheme="minorHAnsi"/>
          <w:szCs w:val="20"/>
        </w:rPr>
        <w:t>, though the magnitude of the incremental effectiveness was uncertain</w:t>
      </w:r>
      <w:r w:rsidRPr="00554E6B">
        <w:rPr>
          <w:rFonts w:asciiTheme="minorHAnsi" w:hAnsiTheme="minorHAnsi"/>
          <w:szCs w:val="20"/>
        </w:rPr>
        <w:t>.</w:t>
      </w:r>
    </w:p>
    <w:p w:rsidR="007A5B21" w:rsidRPr="00554E6B" w:rsidRDefault="007A5B21" w:rsidP="007A5B21">
      <w:pPr>
        <w:pStyle w:val="ListParagraph"/>
        <w:widowControl/>
        <w:numPr>
          <w:ilvl w:val="1"/>
          <w:numId w:val="2"/>
        </w:numPr>
        <w:spacing w:after="120"/>
        <w:ind w:left="810" w:hanging="810"/>
        <w:rPr>
          <w:rFonts w:asciiTheme="minorHAnsi" w:hAnsiTheme="minorHAnsi"/>
          <w:szCs w:val="20"/>
        </w:rPr>
      </w:pPr>
      <w:r w:rsidRPr="00554E6B">
        <w:rPr>
          <w:rFonts w:asciiTheme="minorHAnsi" w:hAnsiTheme="minorHAnsi"/>
          <w:szCs w:val="20"/>
        </w:rPr>
        <w:t>The PBAC considered that the claim of non-inferior comparative safety was not adequately supported by the data.</w:t>
      </w:r>
    </w:p>
    <w:p w:rsidR="007F6F98" w:rsidRDefault="007F6F98">
      <w:pPr>
        <w:widowControl/>
        <w:jc w:val="left"/>
        <w:rPr>
          <w:b/>
          <w:i/>
          <w:sz w:val="28"/>
        </w:rPr>
      </w:pPr>
      <w:bookmarkStart w:id="12" w:name="_Toc514245294"/>
      <w:r>
        <w:br w:type="page"/>
      </w:r>
    </w:p>
    <w:p w:rsidR="00E62932" w:rsidRPr="00EE7BF9" w:rsidRDefault="00B60939" w:rsidP="00EE7BF9">
      <w:pPr>
        <w:pStyle w:val="Heading2"/>
        <w:spacing w:before="240" w:after="120"/>
      </w:pPr>
      <w:r w:rsidRPr="00EE7BF9">
        <w:t>Economic analysis</w:t>
      </w:r>
      <w:bookmarkEnd w:id="12"/>
      <w:r w:rsidR="00491B3A" w:rsidRPr="00EE7BF9">
        <w:t xml:space="preserve"> </w:t>
      </w:r>
    </w:p>
    <w:p w:rsidR="00E62932" w:rsidRPr="00E92067" w:rsidRDefault="00E62932" w:rsidP="001613D3">
      <w:pPr>
        <w:pStyle w:val="ListParagraph"/>
        <w:widowControl/>
        <w:numPr>
          <w:ilvl w:val="1"/>
          <w:numId w:val="2"/>
        </w:numPr>
      </w:pPr>
      <w:r w:rsidRPr="00E92067">
        <w:t>The submission presented a stepped economic evaluation (based on a partitioned survival analysis) of blinatumomab compared to consolidation chemotherapy for the treatment of patients with B-ALL in haematological complete remission with minimal residual disease. A summary is presented in Table 11.</w:t>
      </w:r>
    </w:p>
    <w:p w:rsidR="00E62932" w:rsidRPr="00E92067" w:rsidRDefault="00E62932" w:rsidP="00E62932">
      <w:pPr>
        <w:pStyle w:val="TableHeading0"/>
        <w:spacing w:after="0"/>
      </w:pPr>
      <w:r w:rsidRPr="00E92067">
        <w:t>Table 11: Key components of the economic evaluation</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7429"/>
      </w:tblGrid>
      <w:tr w:rsidR="00E62932" w:rsidRPr="00E92067" w:rsidTr="00D33834">
        <w:tc>
          <w:tcPr>
            <w:tcW w:w="934" w:type="pct"/>
            <w:shd w:val="clear" w:color="auto" w:fill="auto"/>
          </w:tcPr>
          <w:p w:rsidR="00E62932" w:rsidRPr="00E92067" w:rsidRDefault="00E62932" w:rsidP="00E62932">
            <w:pPr>
              <w:pStyle w:val="TableText0"/>
              <w:spacing w:before="0" w:after="0"/>
              <w:rPr>
                <w:b/>
              </w:rPr>
            </w:pPr>
            <w:r w:rsidRPr="00E92067">
              <w:rPr>
                <w:b/>
              </w:rPr>
              <w:t xml:space="preserve">Component </w:t>
            </w:r>
          </w:p>
        </w:tc>
        <w:tc>
          <w:tcPr>
            <w:tcW w:w="4066" w:type="pct"/>
            <w:shd w:val="clear" w:color="auto" w:fill="auto"/>
          </w:tcPr>
          <w:p w:rsidR="00E62932" w:rsidRPr="00E92067" w:rsidRDefault="00E62932" w:rsidP="00E62932">
            <w:pPr>
              <w:pStyle w:val="TableText0"/>
              <w:spacing w:before="0" w:after="0"/>
              <w:rPr>
                <w:b/>
              </w:rPr>
            </w:pPr>
            <w:r w:rsidRPr="00E92067">
              <w:rPr>
                <w:b/>
              </w:rPr>
              <w:t>Description</w:t>
            </w:r>
          </w:p>
        </w:tc>
      </w:tr>
      <w:tr w:rsidR="00E62932" w:rsidRPr="00E92067" w:rsidTr="00D33834">
        <w:tc>
          <w:tcPr>
            <w:tcW w:w="934" w:type="pct"/>
            <w:shd w:val="clear" w:color="auto" w:fill="auto"/>
            <w:vAlign w:val="center"/>
          </w:tcPr>
          <w:p w:rsidR="00E62932" w:rsidRPr="00E92067" w:rsidRDefault="00E62932" w:rsidP="00E62932">
            <w:pPr>
              <w:pStyle w:val="TableText0"/>
              <w:spacing w:before="0" w:after="0"/>
            </w:pPr>
            <w:r w:rsidRPr="00E92067">
              <w:t xml:space="preserve">Type of analysis </w:t>
            </w:r>
          </w:p>
        </w:tc>
        <w:tc>
          <w:tcPr>
            <w:tcW w:w="4066" w:type="pct"/>
            <w:shd w:val="clear" w:color="auto" w:fill="auto"/>
            <w:vAlign w:val="center"/>
          </w:tcPr>
          <w:p w:rsidR="00E62932" w:rsidRPr="00E92067" w:rsidRDefault="00E62932" w:rsidP="00E62932">
            <w:pPr>
              <w:pStyle w:val="TableText0"/>
              <w:spacing w:before="0" w:after="0"/>
              <w:rPr>
                <w:rFonts w:ascii="Times" w:eastAsia="Times New Roman" w:hAnsi="Times" w:cs="Times New Roman"/>
                <w:szCs w:val="20"/>
                <w:lang w:val="en-US"/>
              </w:rPr>
            </w:pPr>
            <w:r w:rsidRPr="00E92067">
              <w:t>Cost-effectiveness analysis/cost-utility analysis</w:t>
            </w:r>
          </w:p>
        </w:tc>
      </w:tr>
      <w:tr w:rsidR="00E62932" w:rsidRPr="00E92067" w:rsidTr="00D33834">
        <w:tc>
          <w:tcPr>
            <w:tcW w:w="934" w:type="pct"/>
            <w:shd w:val="clear" w:color="auto" w:fill="auto"/>
            <w:vAlign w:val="center"/>
          </w:tcPr>
          <w:p w:rsidR="00E62932" w:rsidRPr="00E92067" w:rsidRDefault="00E62932" w:rsidP="00E62932">
            <w:pPr>
              <w:pStyle w:val="TableText0"/>
              <w:spacing w:before="0" w:after="0"/>
              <w:rPr>
                <w:rFonts w:ascii="Times" w:eastAsia="Times New Roman" w:hAnsi="Times" w:cs="Times New Roman"/>
                <w:szCs w:val="20"/>
                <w:lang w:val="en-US"/>
              </w:rPr>
            </w:pPr>
            <w:r w:rsidRPr="00E92067">
              <w:t>Outcomes</w:t>
            </w:r>
          </w:p>
        </w:tc>
        <w:tc>
          <w:tcPr>
            <w:tcW w:w="4066" w:type="pct"/>
            <w:shd w:val="clear" w:color="auto" w:fill="auto"/>
            <w:vAlign w:val="center"/>
          </w:tcPr>
          <w:p w:rsidR="00E62932" w:rsidRPr="00E92067" w:rsidRDefault="00E62932" w:rsidP="00E62932">
            <w:pPr>
              <w:pStyle w:val="TableText0"/>
              <w:spacing w:before="0" w:after="0"/>
            </w:pPr>
            <w:r w:rsidRPr="00E92067">
              <w:t>Relapse-free life years; life years; quality-adjusted life years</w:t>
            </w:r>
          </w:p>
        </w:tc>
      </w:tr>
      <w:tr w:rsidR="00E62932" w:rsidRPr="00E92067" w:rsidTr="00D33834">
        <w:tc>
          <w:tcPr>
            <w:tcW w:w="934" w:type="pct"/>
            <w:shd w:val="clear" w:color="auto" w:fill="auto"/>
            <w:vAlign w:val="center"/>
          </w:tcPr>
          <w:p w:rsidR="00E62932" w:rsidRPr="00E92067" w:rsidRDefault="00E62932" w:rsidP="00E62932">
            <w:pPr>
              <w:pStyle w:val="TableText0"/>
              <w:spacing w:before="0" w:after="0"/>
              <w:rPr>
                <w:rFonts w:ascii="Times" w:eastAsia="Times New Roman" w:hAnsi="Times" w:cs="Times New Roman"/>
                <w:szCs w:val="20"/>
                <w:lang w:val="en-US"/>
              </w:rPr>
            </w:pPr>
            <w:r w:rsidRPr="00E92067">
              <w:t>Time horizon</w:t>
            </w:r>
          </w:p>
        </w:tc>
        <w:tc>
          <w:tcPr>
            <w:tcW w:w="4066" w:type="pct"/>
            <w:shd w:val="clear" w:color="auto" w:fill="auto"/>
            <w:vAlign w:val="center"/>
          </w:tcPr>
          <w:p w:rsidR="00E62932" w:rsidRPr="00E92067" w:rsidRDefault="00E62932" w:rsidP="00E62932">
            <w:pPr>
              <w:pStyle w:val="TableText0"/>
              <w:spacing w:before="0" w:after="0"/>
              <w:rPr>
                <w:rFonts w:ascii="Times" w:eastAsia="Times New Roman" w:hAnsi="Times" w:cs="Times New Roman"/>
                <w:szCs w:val="20"/>
                <w:lang w:val="en-US"/>
              </w:rPr>
            </w:pPr>
            <w:r w:rsidRPr="00E92067">
              <w:t>30 years</w:t>
            </w:r>
          </w:p>
        </w:tc>
      </w:tr>
      <w:tr w:rsidR="00E62932" w:rsidRPr="00E92067" w:rsidTr="00D33834">
        <w:tc>
          <w:tcPr>
            <w:tcW w:w="934" w:type="pct"/>
            <w:shd w:val="clear" w:color="auto" w:fill="auto"/>
            <w:vAlign w:val="center"/>
          </w:tcPr>
          <w:p w:rsidR="00E62932" w:rsidRPr="00E92067" w:rsidRDefault="00E62932" w:rsidP="00E62932">
            <w:pPr>
              <w:pStyle w:val="TableText0"/>
              <w:spacing w:before="0" w:after="0"/>
              <w:rPr>
                <w:rFonts w:ascii="Times" w:eastAsia="Times New Roman" w:hAnsi="Times" w:cs="Times New Roman"/>
                <w:szCs w:val="20"/>
                <w:lang w:val="en-US"/>
              </w:rPr>
            </w:pPr>
            <w:r w:rsidRPr="00E92067">
              <w:t>Methods used to generate results</w:t>
            </w:r>
          </w:p>
        </w:tc>
        <w:tc>
          <w:tcPr>
            <w:tcW w:w="4066" w:type="pct"/>
            <w:shd w:val="clear" w:color="auto" w:fill="auto"/>
            <w:vAlign w:val="center"/>
          </w:tcPr>
          <w:p w:rsidR="00E62932" w:rsidRPr="00E92067" w:rsidRDefault="00E62932" w:rsidP="00E62932">
            <w:pPr>
              <w:pStyle w:val="TableText0"/>
              <w:spacing w:before="0" w:after="0"/>
              <w:rPr>
                <w:rFonts w:ascii="Times" w:eastAsia="Times New Roman" w:hAnsi="Times" w:cs="Times New Roman"/>
                <w:szCs w:val="20"/>
                <w:lang w:val="en-US"/>
              </w:rPr>
            </w:pPr>
            <w:r w:rsidRPr="00E92067">
              <w:t>Partitioned survival analysis</w:t>
            </w:r>
          </w:p>
        </w:tc>
      </w:tr>
      <w:tr w:rsidR="00E62932" w:rsidRPr="00E92067" w:rsidTr="00D33834">
        <w:tc>
          <w:tcPr>
            <w:tcW w:w="934" w:type="pct"/>
            <w:shd w:val="clear" w:color="auto" w:fill="auto"/>
            <w:vAlign w:val="center"/>
          </w:tcPr>
          <w:p w:rsidR="00E62932" w:rsidRPr="00E92067" w:rsidRDefault="00E62932" w:rsidP="00E62932">
            <w:pPr>
              <w:pStyle w:val="TableText0"/>
              <w:spacing w:before="0" w:after="0"/>
            </w:pPr>
            <w:r w:rsidRPr="00E92067">
              <w:t>Treatments</w:t>
            </w:r>
          </w:p>
        </w:tc>
        <w:tc>
          <w:tcPr>
            <w:tcW w:w="4066" w:type="pct"/>
            <w:shd w:val="clear" w:color="auto" w:fill="auto"/>
            <w:vAlign w:val="center"/>
          </w:tcPr>
          <w:p w:rsidR="00E62932" w:rsidRPr="00E92067" w:rsidRDefault="00E62932" w:rsidP="00E62932">
            <w:pPr>
              <w:pStyle w:val="TableText0"/>
              <w:spacing w:before="0" w:after="0"/>
            </w:pPr>
            <w:r w:rsidRPr="00E92067">
              <w:t>Blinatumomab, consolidation chemotherapy</w:t>
            </w:r>
          </w:p>
        </w:tc>
      </w:tr>
      <w:tr w:rsidR="00E62932" w:rsidRPr="00E92067" w:rsidTr="00D33834">
        <w:tc>
          <w:tcPr>
            <w:tcW w:w="934" w:type="pct"/>
            <w:shd w:val="clear" w:color="auto" w:fill="auto"/>
            <w:vAlign w:val="center"/>
          </w:tcPr>
          <w:p w:rsidR="00E62932" w:rsidRPr="00E92067" w:rsidRDefault="00E62932" w:rsidP="00E62932">
            <w:pPr>
              <w:pStyle w:val="TableText0"/>
              <w:spacing w:before="0" w:after="0"/>
              <w:rPr>
                <w:rFonts w:ascii="Times" w:eastAsia="Times New Roman" w:hAnsi="Times" w:cs="Times New Roman"/>
                <w:szCs w:val="20"/>
                <w:lang w:val="en-US"/>
              </w:rPr>
            </w:pPr>
            <w:r w:rsidRPr="00E92067">
              <w:t>Health states</w:t>
            </w:r>
          </w:p>
        </w:tc>
        <w:tc>
          <w:tcPr>
            <w:tcW w:w="4066" w:type="pct"/>
            <w:shd w:val="clear" w:color="auto" w:fill="auto"/>
            <w:vAlign w:val="center"/>
          </w:tcPr>
          <w:p w:rsidR="00E62932" w:rsidRPr="00E92067" w:rsidRDefault="00E62932" w:rsidP="00E62932">
            <w:pPr>
              <w:pStyle w:val="TableText0"/>
              <w:spacing w:before="0" w:after="0"/>
            </w:pPr>
            <w:r w:rsidRPr="00E92067">
              <w:t>Relapse-free disease, relapsed disease, death</w:t>
            </w:r>
          </w:p>
        </w:tc>
      </w:tr>
      <w:tr w:rsidR="00E62932" w:rsidRPr="00E92067" w:rsidTr="00D33834">
        <w:tc>
          <w:tcPr>
            <w:tcW w:w="934" w:type="pct"/>
            <w:shd w:val="clear" w:color="auto" w:fill="auto"/>
            <w:vAlign w:val="center"/>
          </w:tcPr>
          <w:p w:rsidR="00E62932" w:rsidRPr="00E92067" w:rsidRDefault="00E62932" w:rsidP="00E62932">
            <w:pPr>
              <w:pStyle w:val="TableText0"/>
              <w:spacing w:before="0" w:after="0"/>
              <w:rPr>
                <w:rFonts w:ascii="Times" w:eastAsia="Times New Roman" w:hAnsi="Times" w:cs="Times New Roman"/>
                <w:szCs w:val="20"/>
                <w:lang w:val="en-US"/>
              </w:rPr>
            </w:pPr>
            <w:r w:rsidRPr="00E92067">
              <w:t>Cycle length</w:t>
            </w:r>
          </w:p>
        </w:tc>
        <w:tc>
          <w:tcPr>
            <w:tcW w:w="4066" w:type="pct"/>
            <w:shd w:val="clear" w:color="auto" w:fill="auto"/>
            <w:vAlign w:val="center"/>
          </w:tcPr>
          <w:p w:rsidR="00E62932" w:rsidRPr="00E92067" w:rsidRDefault="00E62932" w:rsidP="00E62932">
            <w:pPr>
              <w:pStyle w:val="TableText0"/>
              <w:spacing w:before="0" w:after="0"/>
            </w:pPr>
            <w:r w:rsidRPr="00E92067">
              <w:t>3 months (with half cycle corrections)</w:t>
            </w:r>
          </w:p>
        </w:tc>
      </w:tr>
      <w:tr w:rsidR="00E62932" w:rsidRPr="00E92067" w:rsidTr="00D33834">
        <w:tc>
          <w:tcPr>
            <w:tcW w:w="934" w:type="pct"/>
            <w:shd w:val="clear" w:color="auto" w:fill="auto"/>
            <w:vAlign w:val="center"/>
          </w:tcPr>
          <w:p w:rsidR="00E62932" w:rsidRPr="00E92067" w:rsidRDefault="00E62932" w:rsidP="00E62932">
            <w:pPr>
              <w:pStyle w:val="TableText0"/>
              <w:spacing w:before="0" w:after="0"/>
            </w:pPr>
            <w:r w:rsidRPr="00E92067">
              <w:t xml:space="preserve">Transition probability </w:t>
            </w:r>
          </w:p>
        </w:tc>
        <w:tc>
          <w:tcPr>
            <w:tcW w:w="4066" w:type="pct"/>
            <w:shd w:val="clear" w:color="auto" w:fill="auto"/>
            <w:vAlign w:val="center"/>
          </w:tcPr>
          <w:p w:rsidR="00F0696E" w:rsidRPr="00E92067" w:rsidRDefault="00F0696E" w:rsidP="00E62932">
            <w:pPr>
              <w:pStyle w:val="TableText0"/>
              <w:spacing w:before="0" w:after="0"/>
              <w:rPr>
                <w:szCs w:val="20"/>
                <w:u w:val="single"/>
              </w:rPr>
            </w:pPr>
            <w:r w:rsidRPr="00E92067">
              <w:rPr>
                <w:szCs w:val="20"/>
                <w:u w:val="single"/>
              </w:rPr>
              <w:t>Consolidation chemotherapy arm</w:t>
            </w:r>
          </w:p>
          <w:p w:rsidR="0095396C" w:rsidRPr="00E70F0E" w:rsidRDefault="007A78A3" w:rsidP="00E62932">
            <w:pPr>
              <w:pStyle w:val="TableText0"/>
              <w:spacing w:before="0" w:after="0"/>
              <w:rPr>
                <w:szCs w:val="20"/>
              </w:rPr>
            </w:pPr>
            <w:r w:rsidRPr="00E70F0E">
              <w:rPr>
                <w:szCs w:val="20"/>
              </w:rPr>
              <w:t>As outlined in Table 13:</w:t>
            </w:r>
          </w:p>
          <w:p w:rsidR="00E62932" w:rsidRPr="00E92067" w:rsidRDefault="00E62932" w:rsidP="007A78A3">
            <w:pPr>
              <w:pStyle w:val="TableText0"/>
              <w:numPr>
                <w:ilvl w:val="0"/>
                <w:numId w:val="16"/>
              </w:numPr>
              <w:spacing w:before="0" w:after="0"/>
              <w:ind w:left="312" w:hanging="284"/>
              <w:rPr>
                <w:szCs w:val="20"/>
              </w:rPr>
            </w:pPr>
            <w:r w:rsidRPr="00E92067">
              <w:rPr>
                <w:szCs w:val="20"/>
              </w:rPr>
              <w:t>Kaplan-Meier curves for relapse-free survival and overall survival from 0 to 4 years based on the propensity score analysis population from the historical control (Study 20120148).</w:t>
            </w:r>
          </w:p>
          <w:p w:rsidR="00E62932" w:rsidRPr="00E92067" w:rsidRDefault="00E62932" w:rsidP="007A78A3">
            <w:pPr>
              <w:pStyle w:val="TableText0"/>
              <w:numPr>
                <w:ilvl w:val="0"/>
                <w:numId w:val="16"/>
              </w:numPr>
              <w:spacing w:before="0" w:after="0"/>
              <w:ind w:left="312" w:hanging="284"/>
              <w:rPr>
                <w:szCs w:val="20"/>
              </w:rPr>
            </w:pPr>
            <w:r w:rsidRPr="00E92067">
              <w:rPr>
                <w:szCs w:val="20"/>
              </w:rPr>
              <w:t>Kaplan-Meier curves for relapse-free survival and overall survival from 4 to 10 based on the direct comparison analysis set from the historical control (Study 20120148).</w:t>
            </w:r>
          </w:p>
          <w:p w:rsidR="00E62932" w:rsidRPr="00E92067" w:rsidRDefault="00E62932" w:rsidP="007A78A3">
            <w:pPr>
              <w:pStyle w:val="TableText0"/>
              <w:numPr>
                <w:ilvl w:val="0"/>
                <w:numId w:val="16"/>
              </w:numPr>
              <w:spacing w:before="0" w:after="0"/>
              <w:ind w:left="312" w:hanging="284"/>
              <w:rPr>
                <w:szCs w:val="20"/>
              </w:rPr>
            </w:pPr>
            <w:r w:rsidRPr="00E92067">
              <w:rPr>
                <w:szCs w:val="20"/>
              </w:rPr>
              <w:t>Kaplan-Meier curve for relapse-free survival beyond 10 years based on the assumption that there is no further risk of recurrence after 10 years. Kaplan-Meier curve for overall survival beyond 10 years for consolidation chemotherapy based on Australian life tables adjusted using a mortality factor to account for the potential long-term age-related increase in mortality in ALL patients.</w:t>
            </w:r>
          </w:p>
          <w:p w:rsidR="0095396C" w:rsidRPr="00E92067" w:rsidRDefault="0095396C" w:rsidP="00E62932">
            <w:pPr>
              <w:pStyle w:val="TableText0"/>
              <w:spacing w:before="0" w:after="0"/>
              <w:rPr>
                <w:szCs w:val="20"/>
              </w:rPr>
            </w:pPr>
          </w:p>
          <w:p w:rsidR="00E62932" w:rsidRPr="00E92067" w:rsidRDefault="00F0696E" w:rsidP="00E62932">
            <w:pPr>
              <w:pStyle w:val="TableText0"/>
              <w:spacing w:before="0" w:after="0"/>
              <w:rPr>
                <w:szCs w:val="20"/>
                <w:u w:val="single"/>
              </w:rPr>
            </w:pPr>
            <w:r w:rsidRPr="00E92067">
              <w:rPr>
                <w:szCs w:val="20"/>
                <w:u w:val="single"/>
              </w:rPr>
              <w:t>Blinatumomab arm</w:t>
            </w:r>
            <w:r w:rsidR="00E62932" w:rsidRPr="00E92067">
              <w:rPr>
                <w:szCs w:val="20"/>
                <w:u w:val="single"/>
              </w:rPr>
              <w:t xml:space="preserve"> </w:t>
            </w:r>
          </w:p>
          <w:p w:rsidR="00E62932" w:rsidRPr="00E92067" w:rsidRDefault="00E62932" w:rsidP="0095396C">
            <w:pPr>
              <w:pStyle w:val="TableText0"/>
              <w:spacing w:before="0" w:after="0"/>
              <w:rPr>
                <w:szCs w:val="20"/>
              </w:rPr>
            </w:pPr>
            <w:r w:rsidRPr="00E92067">
              <w:rPr>
                <w:szCs w:val="20"/>
              </w:rPr>
              <w:t xml:space="preserve">Kaplan-Meier curves for relapse-free survival and overall survival from 0 to 4 years based on the estimated hazard ratio from the propensity score indirect comparison using ATT </w:t>
            </w:r>
            <w:r w:rsidR="0095396C" w:rsidRPr="00E92067">
              <w:rPr>
                <w:szCs w:val="20"/>
              </w:rPr>
              <w:t xml:space="preserve">weights (base case) </w:t>
            </w:r>
            <w:r w:rsidRPr="00E92067">
              <w:rPr>
                <w:szCs w:val="20"/>
              </w:rPr>
              <w:t>or ATE weights</w:t>
            </w:r>
            <w:r w:rsidR="0095396C" w:rsidRPr="00E92067">
              <w:rPr>
                <w:szCs w:val="20"/>
              </w:rPr>
              <w:t xml:space="preserve"> (sensitivity analysis)</w:t>
            </w:r>
            <w:r w:rsidRPr="00E92067">
              <w:rPr>
                <w:szCs w:val="20"/>
              </w:rPr>
              <w:t>. Relapse-free survival and overall survival beyond 4 years based on the assumption of no difference in hazards between treatments</w:t>
            </w:r>
            <w:r w:rsidR="0095396C" w:rsidRPr="00E92067">
              <w:rPr>
                <w:szCs w:val="20"/>
              </w:rPr>
              <w:t>.</w:t>
            </w:r>
          </w:p>
        </w:tc>
      </w:tr>
      <w:tr w:rsidR="00E62932" w:rsidRPr="00E92067" w:rsidTr="00D33834">
        <w:tc>
          <w:tcPr>
            <w:tcW w:w="934" w:type="pct"/>
            <w:shd w:val="clear" w:color="auto" w:fill="auto"/>
            <w:vAlign w:val="center"/>
          </w:tcPr>
          <w:p w:rsidR="00E62932" w:rsidRPr="00E92067" w:rsidRDefault="00E62932" w:rsidP="00E62932">
            <w:pPr>
              <w:pStyle w:val="TableText0"/>
              <w:spacing w:before="0" w:after="0"/>
            </w:pPr>
            <w:r w:rsidRPr="00E92067">
              <w:t>Discount rate</w:t>
            </w:r>
          </w:p>
        </w:tc>
        <w:tc>
          <w:tcPr>
            <w:tcW w:w="4066" w:type="pct"/>
            <w:shd w:val="clear" w:color="auto" w:fill="auto"/>
            <w:vAlign w:val="center"/>
          </w:tcPr>
          <w:p w:rsidR="00E62932" w:rsidRPr="00E92067" w:rsidRDefault="00E62932" w:rsidP="00E62932">
            <w:pPr>
              <w:pStyle w:val="TableText0"/>
              <w:spacing w:before="0" w:after="0"/>
            </w:pPr>
            <w:r w:rsidRPr="00E92067">
              <w:t xml:space="preserve">5% for costs and outcomes, </w:t>
            </w:r>
            <w:r w:rsidRPr="00E92067">
              <w:rPr>
                <w:rFonts w:eastAsia="Times New Roman" w:cs="Arial"/>
                <w:snapToGrid w:val="0"/>
                <w:szCs w:val="20"/>
              </w:rPr>
              <w:t>applied annually</w:t>
            </w:r>
          </w:p>
        </w:tc>
      </w:tr>
      <w:tr w:rsidR="00E62932" w:rsidRPr="00E92067" w:rsidTr="00D33834">
        <w:tc>
          <w:tcPr>
            <w:tcW w:w="934" w:type="pct"/>
            <w:shd w:val="clear" w:color="auto" w:fill="auto"/>
            <w:vAlign w:val="center"/>
          </w:tcPr>
          <w:p w:rsidR="00E62932" w:rsidRPr="00E92067" w:rsidRDefault="00E62932" w:rsidP="00E62932">
            <w:pPr>
              <w:pStyle w:val="TableText0"/>
              <w:spacing w:before="0" w:after="0"/>
              <w:rPr>
                <w:rFonts w:ascii="Times" w:eastAsia="Times New Roman" w:hAnsi="Times" w:cs="Times New Roman"/>
                <w:szCs w:val="20"/>
                <w:lang w:val="en-US"/>
              </w:rPr>
            </w:pPr>
            <w:r w:rsidRPr="00E92067">
              <w:t>Software package</w:t>
            </w:r>
          </w:p>
        </w:tc>
        <w:tc>
          <w:tcPr>
            <w:tcW w:w="4066" w:type="pct"/>
            <w:shd w:val="clear" w:color="auto" w:fill="auto"/>
            <w:vAlign w:val="center"/>
          </w:tcPr>
          <w:p w:rsidR="00E62932" w:rsidRPr="00E92067" w:rsidRDefault="00E62932" w:rsidP="00E62932">
            <w:pPr>
              <w:pStyle w:val="TableText0"/>
              <w:spacing w:before="0" w:after="0"/>
            </w:pPr>
            <w:r w:rsidRPr="00E92067">
              <w:t>Excel 2013</w:t>
            </w:r>
          </w:p>
        </w:tc>
      </w:tr>
    </w:tbl>
    <w:p w:rsidR="00D33834" w:rsidRPr="00E92067" w:rsidRDefault="00673923" w:rsidP="00E62932">
      <w:pPr>
        <w:pStyle w:val="TableFooter"/>
        <w:rPr>
          <w:sz w:val="16"/>
          <w:szCs w:val="16"/>
        </w:rPr>
      </w:pPr>
      <w:r w:rsidRPr="00E92067">
        <w:rPr>
          <w:sz w:val="16"/>
          <w:szCs w:val="16"/>
        </w:rPr>
        <w:t>Source: Table 66, p.123 of the submission</w:t>
      </w:r>
      <w:r w:rsidR="00D33834" w:rsidRPr="00E92067">
        <w:rPr>
          <w:sz w:val="16"/>
          <w:szCs w:val="16"/>
        </w:rPr>
        <w:t xml:space="preserve">. </w:t>
      </w:r>
    </w:p>
    <w:p w:rsidR="00E62932" w:rsidRPr="00E92067" w:rsidRDefault="00E62932" w:rsidP="00251D94">
      <w:pPr>
        <w:pStyle w:val="TableFooter"/>
        <w:spacing w:after="200"/>
        <w:contextualSpacing/>
        <w:rPr>
          <w:sz w:val="16"/>
          <w:szCs w:val="16"/>
        </w:rPr>
      </w:pPr>
      <w:r w:rsidRPr="00E92067">
        <w:rPr>
          <w:sz w:val="16"/>
          <w:szCs w:val="16"/>
        </w:rPr>
        <w:t xml:space="preserve">Abbreviations: </w:t>
      </w:r>
      <w:r w:rsidR="00673923" w:rsidRPr="00E92067">
        <w:rPr>
          <w:sz w:val="16"/>
          <w:szCs w:val="16"/>
        </w:rPr>
        <w:t xml:space="preserve">ALL, acute lymphoblastic leukaemia; </w:t>
      </w:r>
      <w:r w:rsidRPr="00E92067">
        <w:rPr>
          <w:sz w:val="16"/>
          <w:szCs w:val="16"/>
        </w:rPr>
        <w:t>ATE, average treatment effect; ATT, average treatment effect of the treated</w:t>
      </w:r>
    </w:p>
    <w:p w:rsidR="00E62932" w:rsidRPr="00E92067" w:rsidRDefault="00E62932" w:rsidP="001613D3">
      <w:pPr>
        <w:pStyle w:val="ListParagraph"/>
        <w:numPr>
          <w:ilvl w:val="1"/>
          <w:numId w:val="2"/>
        </w:numPr>
      </w:pPr>
      <w:r w:rsidRPr="00E92067">
        <w:t>Key drivers of the economic model are summarised in Table 12 below.</w:t>
      </w:r>
    </w:p>
    <w:p w:rsidR="00E62932" w:rsidRPr="00E92067" w:rsidRDefault="00E62932" w:rsidP="00FB6AE5">
      <w:pPr>
        <w:keepNext/>
        <w:keepLines/>
        <w:rPr>
          <w:rStyle w:val="CommentReference"/>
        </w:rPr>
      </w:pPr>
      <w:r w:rsidRPr="00E92067">
        <w:rPr>
          <w:rStyle w:val="CommentReference"/>
        </w:rPr>
        <w:t>Table 12: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3"/>
        <w:gridCol w:w="6803"/>
        <w:gridCol w:w="1117"/>
      </w:tblGrid>
      <w:tr w:rsidR="00E62932" w:rsidRPr="00E92067" w:rsidTr="00CF0D48">
        <w:trPr>
          <w:cantSplit/>
          <w:tblHeader/>
        </w:trPr>
        <w:tc>
          <w:tcPr>
            <w:tcW w:w="640" w:type="pct"/>
            <w:shd w:val="clear" w:color="auto" w:fill="auto"/>
            <w:vAlign w:val="center"/>
          </w:tcPr>
          <w:p w:rsidR="00E62932" w:rsidRPr="00E92067" w:rsidRDefault="00E62932" w:rsidP="00FB6AE5">
            <w:pPr>
              <w:pStyle w:val="Tabletext"/>
              <w:keepNext/>
              <w:keepLines/>
              <w:rPr>
                <w:b/>
                <w:lang w:val="en-US"/>
              </w:rPr>
            </w:pPr>
            <w:r w:rsidRPr="00E92067">
              <w:rPr>
                <w:b/>
                <w:lang w:val="en-US"/>
              </w:rPr>
              <w:t>Description</w:t>
            </w:r>
          </w:p>
        </w:tc>
        <w:tc>
          <w:tcPr>
            <w:tcW w:w="3745" w:type="pct"/>
            <w:shd w:val="clear" w:color="auto" w:fill="auto"/>
            <w:vAlign w:val="center"/>
          </w:tcPr>
          <w:p w:rsidR="00E62932" w:rsidRPr="00E92067" w:rsidRDefault="00E62932" w:rsidP="00FB6AE5">
            <w:pPr>
              <w:pStyle w:val="Tabletext"/>
              <w:keepNext/>
              <w:keepLines/>
              <w:jc w:val="center"/>
              <w:rPr>
                <w:b/>
                <w:lang w:val="en-US"/>
              </w:rPr>
            </w:pPr>
            <w:r w:rsidRPr="00E92067">
              <w:rPr>
                <w:b/>
                <w:lang w:val="en-US"/>
              </w:rPr>
              <w:t>Method/Value</w:t>
            </w:r>
          </w:p>
        </w:tc>
        <w:tc>
          <w:tcPr>
            <w:tcW w:w="615" w:type="pct"/>
            <w:shd w:val="clear" w:color="auto" w:fill="auto"/>
            <w:vAlign w:val="center"/>
          </w:tcPr>
          <w:p w:rsidR="00E62932" w:rsidRPr="00E92067" w:rsidRDefault="00E62932" w:rsidP="00FB6AE5">
            <w:pPr>
              <w:pStyle w:val="Tabletext"/>
              <w:keepNext/>
              <w:keepLines/>
              <w:jc w:val="center"/>
              <w:rPr>
                <w:b/>
                <w:lang w:val="en-US"/>
              </w:rPr>
            </w:pPr>
            <w:r w:rsidRPr="00E92067">
              <w:rPr>
                <w:b/>
                <w:lang w:val="en-US"/>
              </w:rPr>
              <w:t>Impact</w:t>
            </w:r>
          </w:p>
        </w:tc>
      </w:tr>
      <w:tr w:rsidR="00E62932" w:rsidRPr="00E92067" w:rsidTr="00CF0D48">
        <w:trPr>
          <w:cantSplit/>
        </w:trPr>
        <w:tc>
          <w:tcPr>
            <w:tcW w:w="640" w:type="pct"/>
            <w:shd w:val="clear" w:color="auto" w:fill="auto"/>
            <w:vAlign w:val="center"/>
          </w:tcPr>
          <w:p w:rsidR="00E62932" w:rsidRPr="00E92067" w:rsidRDefault="00E62932" w:rsidP="00FB6AE5">
            <w:pPr>
              <w:pStyle w:val="Tabletext"/>
              <w:keepNext/>
              <w:keepLines/>
              <w:rPr>
                <w:lang w:val="en-US"/>
              </w:rPr>
            </w:pPr>
            <w:r w:rsidRPr="00E92067">
              <w:rPr>
                <w:lang w:val="en-US"/>
              </w:rPr>
              <w:t>Modelled patient population</w:t>
            </w:r>
          </w:p>
        </w:tc>
        <w:tc>
          <w:tcPr>
            <w:tcW w:w="3745" w:type="pct"/>
            <w:shd w:val="clear" w:color="auto" w:fill="auto"/>
            <w:vAlign w:val="center"/>
          </w:tcPr>
          <w:p w:rsidR="00E62932" w:rsidRPr="00E92067" w:rsidRDefault="00E62932" w:rsidP="00FB6AE5">
            <w:pPr>
              <w:pStyle w:val="Tabletext"/>
              <w:keepNext/>
              <w:keepLines/>
              <w:rPr>
                <w:lang w:val="en-US"/>
              </w:rPr>
            </w:pPr>
            <w:r w:rsidRPr="00E92067">
              <w:rPr>
                <w:lang w:val="en-US"/>
              </w:rPr>
              <w:t xml:space="preserve">The modelled patient population was based on adult patients with Philadelphia chromosome negative B-ALL in first haematological complete remission with minimal residual disease (MRD </w:t>
            </w:r>
            <w:r w:rsidRPr="00E92067">
              <w:rPr>
                <w:u w:val="single"/>
                <w:lang w:val="en-US"/>
              </w:rPr>
              <w:t>&gt;</w:t>
            </w:r>
            <w:r w:rsidRPr="00E92067">
              <w:rPr>
                <w:lang w:val="en-US"/>
              </w:rPr>
              <w:t xml:space="preserve"> 10</w:t>
            </w:r>
            <w:r w:rsidRPr="00E92067">
              <w:rPr>
                <w:vertAlign w:val="superscript"/>
                <w:lang w:val="en-US"/>
              </w:rPr>
              <w:t>-3</w:t>
            </w:r>
            <w:r w:rsidRPr="00E92067">
              <w:rPr>
                <w:lang w:val="en-US"/>
              </w:rPr>
              <w:t xml:space="preserve">). The modelled patient population was narrower than the proposed PBS population which would also include children, chromosome positive B-ALL, subsequent complete remissions and patients with a smaller extent of minimal residual disease (MRD </w:t>
            </w:r>
            <w:r w:rsidRPr="00E92067">
              <w:rPr>
                <w:u w:val="single"/>
                <w:lang w:val="en-US"/>
              </w:rPr>
              <w:t>&gt;</w:t>
            </w:r>
            <w:r w:rsidRPr="00E92067">
              <w:rPr>
                <w:lang w:val="en-US"/>
              </w:rPr>
              <w:t xml:space="preserve"> 10</w:t>
            </w:r>
            <w:r w:rsidRPr="00E92067">
              <w:rPr>
                <w:vertAlign w:val="superscript"/>
                <w:lang w:val="en-US"/>
              </w:rPr>
              <w:t>-4</w:t>
            </w:r>
            <w:r w:rsidRPr="00E92067">
              <w:rPr>
                <w:lang w:val="en-US"/>
              </w:rPr>
              <w:t>). Age, Philadelphia chromosome status, disease history and extent of MRD are well known prognostic factors that will influence underlying survival and therefore will also affect the potential incremental benefit associated with blinatumomab treatment.</w:t>
            </w:r>
          </w:p>
        </w:tc>
        <w:tc>
          <w:tcPr>
            <w:tcW w:w="615" w:type="pct"/>
            <w:shd w:val="clear" w:color="auto" w:fill="auto"/>
            <w:vAlign w:val="center"/>
          </w:tcPr>
          <w:p w:rsidR="00E62932" w:rsidRPr="00E92067" w:rsidRDefault="00E62932" w:rsidP="00FB6AE5">
            <w:pPr>
              <w:pStyle w:val="Tabletext"/>
              <w:keepNext/>
              <w:keepLines/>
              <w:jc w:val="center"/>
              <w:rPr>
                <w:lang w:val="en-US"/>
              </w:rPr>
            </w:pPr>
            <w:r w:rsidRPr="00E92067">
              <w:rPr>
                <w:lang w:val="en-US"/>
              </w:rPr>
              <w:t xml:space="preserve">High, direction </w:t>
            </w:r>
          </w:p>
          <w:p w:rsidR="00E62932" w:rsidRPr="00E92067" w:rsidRDefault="00E62932" w:rsidP="00FB6AE5">
            <w:pPr>
              <w:pStyle w:val="Tabletext"/>
              <w:keepNext/>
              <w:keepLines/>
              <w:jc w:val="center"/>
              <w:rPr>
                <w:lang w:val="en-US"/>
              </w:rPr>
            </w:pPr>
            <w:r w:rsidRPr="00E92067">
              <w:rPr>
                <w:lang w:val="en-US"/>
              </w:rPr>
              <w:t>unclear</w:t>
            </w:r>
          </w:p>
        </w:tc>
      </w:tr>
      <w:tr w:rsidR="00E62932" w:rsidRPr="00E92067" w:rsidTr="00CF0D48">
        <w:trPr>
          <w:cantSplit/>
        </w:trPr>
        <w:tc>
          <w:tcPr>
            <w:tcW w:w="640" w:type="pct"/>
            <w:shd w:val="clear" w:color="auto" w:fill="auto"/>
            <w:vAlign w:val="center"/>
          </w:tcPr>
          <w:p w:rsidR="00E62932" w:rsidRPr="00E92067" w:rsidRDefault="00E62932" w:rsidP="00E62932">
            <w:pPr>
              <w:pStyle w:val="Tabletext"/>
              <w:rPr>
                <w:lang w:val="en-US"/>
              </w:rPr>
            </w:pPr>
            <w:r w:rsidRPr="00E92067">
              <w:rPr>
                <w:lang w:val="en-US"/>
              </w:rPr>
              <w:t>Modelled circumstances of use</w:t>
            </w:r>
          </w:p>
        </w:tc>
        <w:tc>
          <w:tcPr>
            <w:tcW w:w="3745" w:type="pct"/>
            <w:shd w:val="clear" w:color="auto" w:fill="auto"/>
            <w:vAlign w:val="center"/>
          </w:tcPr>
          <w:p w:rsidR="00E62932" w:rsidRPr="00E92067" w:rsidRDefault="00E62932" w:rsidP="00E62932">
            <w:pPr>
              <w:pStyle w:val="Tabletext"/>
              <w:rPr>
                <w:lang w:val="en-US"/>
              </w:rPr>
            </w:pPr>
            <w:r w:rsidRPr="00E92067">
              <w:rPr>
                <w:lang w:val="en-US"/>
              </w:rPr>
              <w:t xml:space="preserve">The model estimated HSCT use in the blinatumomab arm based on the BLAST </w:t>
            </w:r>
            <w:r w:rsidR="00F0696E" w:rsidRPr="00E92067">
              <w:rPr>
                <w:lang w:val="en-US"/>
              </w:rPr>
              <w:t xml:space="preserve">study </w:t>
            </w:r>
            <w:r w:rsidRPr="00E92067">
              <w:rPr>
                <w:lang w:val="en-US"/>
              </w:rPr>
              <w:t xml:space="preserve">and HSCT use in the consolidation chemotherapy arm based on the historical control. The submission noted that differences in HSCT use between arms may be due to blinatumomab treatment but </w:t>
            </w:r>
            <w:r w:rsidR="00060602" w:rsidRPr="00E92067">
              <w:rPr>
                <w:lang w:val="en-US"/>
              </w:rPr>
              <w:t xml:space="preserve">acknowledged they </w:t>
            </w:r>
            <w:r w:rsidRPr="00E92067">
              <w:rPr>
                <w:lang w:val="en-US"/>
              </w:rPr>
              <w:t>could also be due to advances in HSCT and/or more aggressive treatment practices over time. It was unclear whether either of these estimates were representative of current Australian clinical practice. The level of HSCT use is likely to have a substantial impact on the cost-effectiveness of blinatumomab given that HSCT use was a treatment effect modifier.</w:t>
            </w:r>
          </w:p>
          <w:p w:rsidR="00E62932" w:rsidRPr="00E92067" w:rsidRDefault="00E62932" w:rsidP="00E62932">
            <w:pPr>
              <w:pStyle w:val="Tabletext"/>
              <w:rPr>
                <w:lang w:val="en-US"/>
              </w:rPr>
            </w:pPr>
          </w:p>
          <w:p w:rsidR="00E62932" w:rsidRPr="00E92067" w:rsidRDefault="00E62932" w:rsidP="00E62932">
            <w:pPr>
              <w:pStyle w:val="Tabletext"/>
              <w:rPr>
                <w:lang w:val="en-US"/>
              </w:rPr>
            </w:pPr>
            <w:r w:rsidRPr="00E92067">
              <w:rPr>
                <w:lang w:val="en-US"/>
              </w:rPr>
              <w:t xml:space="preserve">The model assumed that the circumstances of blinatumomab use in the BLAST trial would be representative </w:t>
            </w:r>
            <w:r w:rsidR="00727829" w:rsidRPr="00E92067">
              <w:rPr>
                <w:lang w:val="en-US"/>
              </w:rPr>
              <w:t xml:space="preserve">of </w:t>
            </w:r>
            <w:r w:rsidRPr="00E92067">
              <w:rPr>
                <w:lang w:val="en-US"/>
              </w:rPr>
              <w:t>Australian clinical practice. It was unclear whether this assumption was reasonable as it will depend on a number of unknown factors such as the similarity of patient populations and the availability of downstream treatment options (particularly HSCT).</w:t>
            </w:r>
          </w:p>
          <w:p w:rsidR="00E62932" w:rsidRPr="00E92067" w:rsidRDefault="00E62932" w:rsidP="00E62932">
            <w:pPr>
              <w:pStyle w:val="Tabletext"/>
              <w:rPr>
                <w:lang w:val="en-US"/>
              </w:rPr>
            </w:pPr>
          </w:p>
          <w:p w:rsidR="00E62932" w:rsidRPr="00E92067" w:rsidRDefault="00E62932" w:rsidP="00E62932">
            <w:pPr>
              <w:pStyle w:val="Tabletext"/>
              <w:rPr>
                <w:lang w:val="en-US"/>
              </w:rPr>
            </w:pPr>
            <w:r w:rsidRPr="00E92067">
              <w:rPr>
                <w:lang w:val="en-US"/>
              </w:rPr>
              <w:t>The model synthesised the circumstances of use for consolidation chemotherapy based on survival data from the historical control and treatment details from the ALLG ALL6 protocol. The submission did not present any details on the treatments administered as part of the historical control and therefore it is unclear whether they are representative of consolidation chemotherapy protocols used in Australian clinical practice. It was also unclear whether the ALLG ALL6 protocol was a reasonable proxy for protocols used in Australia given the treatment regimens are likely to be individualised which may lead to substantial variation between protocols.</w:t>
            </w:r>
          </w:p>
        </w:tc>
        <w:tc>
          <w:tcPr>
            <w:tcW w:w="615" w:type="pct"/>
            <w:shd w:val="clear" w:color="auto" w:fill="auto"/>
            <w:vAlign w:val="center"/>
          </w:tcPr>
          <w:p w:rsidR="00E62932" w:rsidRPr="00E92067" w:rsidRDefault="00E62932" w:rsidP="00E62932">
            <w:pPr>
              <w:pStyle w:val="Tabletext"/>
              <w:jc w:val="center"/>
              <w:rPr>
                <w:lang w:val="en-US"/>
              </w:rPr>
            </w:pPr>
            <w:r w:rsidRPr="00E92067">
              <w:rPr>
                <w:lang w:val="en-US"/>
              </w:rPr>
              <w:t xml:space="preserve">High, direction </w:t>
            </w:r>
            <w:r w:rsidRPr="00E92067">
              <w:rPr>
                <w:lang w:val="en-US"/>
              </w:rPr>
              <w:br/>
              <w:t>unclear</w:t>
            </w:r>
          </w:p>
        </w:tc>
      </w:tr>
      <w:tr w:rsidR="00E62932" w:rsidRPr="00E92067" w:rsidTr="00CF0D48">
        <w:trPr>
          <w:cantSplit/>
        </w:trPr>
        <w:tc>
          <w:tcPr>
            <w:tcW w:w="640" w:type="pct"/>
            <w:shd w:val="clear" w:color="auto" w:fill="auto"/>
            <w:vAlign w:val="center"/>
          </w:tcPr>
          <w:p w:rsidR="00E62932" w:rsidRPr="00E92067" w:rsidRDefault="00E62932" w:rsidP="00E62932">
            <w:pPr>
              <w:pStyle w:val="Tabletext"/>
              <w:rPr>
                <w:lang w:val="en-US"/>
              </w:rPr>
            </w:pPr>
            <w:r w:rsidRPr="00E92067">
              <w:rPr>
                <w:lang w:val="en-US"/>
              </w:rPr>
              <w:t>Consolidation chemotherapy survival curve</w:t>
            </w:r>
          </w:p>
        </w:tc>
        <w:tc>
          <w:tcPr>
            <w:tcW w:w="3745" w:type="pct"/>
            <w:shd w:val="clear" w:color="auto" w:fill="auto"/>
            <w:vAlign w:val="center"/>
          </w:tcPr>
          <w:p w:rsidR="00E62932" w:rsidRPr="00E92067" w:rsidRDefault="00E62932" w:rsidP="00DD54E9">
            <w:pPr>
              <w:pStyle w:val="Tabletext"/>
              <w:rPr>
                <w:lang w:val="en-US"/>
              </w:rPr>
            </w:pPr>
            <w:r w:rsidRPr="00E92067">
              <w:rPr>
                <w:lang w:val="en-US"/>
              </w:rPr>
              <w:t xml:space="preserve">The estimated survival in the consolidation chemotherapy arm was synthesised from the propensity score analysis population in the historical control study (0 to 4 years), the direct comparison analysis set from the historical control (4 to 10 years), and </w:t>
            </w:r>
            <w:r w:rsidR="00C876A8" w:rsidRPr="00E92067">
              <w:rPr>
                <w:szCs w:val="20"/>
              </w:rPr>
              <w:t>Australian life tables adjusted by a mortality factor to account for the potential long-term age-related increase in mortality in ALL patients</w:t>
            </w:r>
            <w:r w:rsidR="00C876A8" w:rsidRPr="00E92067">
              <w:rPr>
                <w:lang w:val="en-US"/>
              </w:rPr>
              <w:t xml:space="preserve"> </w:t>
            </w:r>
            <w:r w:rsidRPr="00E92067">
              <w:rPr>
                <w:lang w:val="en-US"/>
              </w:rPr>
              <w:t xml:space="preserve">(10 to 30 years). </w:t>
            </w:r>
            <w:r w:rsidRPr="00DD54E9">
              <w:rPr>
                <w:lang w:val="en-US"/>
              </w:rPr>
              <w:t xml:space="preserve">The </w:t>
            </w:r>
            <w:r w:rsidR="00CF0D48" w:rsidRPr="00DD54E9">
              <w:rPr>
                <w:lang w:val="en-US"/>
              </w:rPr>
              <w:t>ESC</w:t>
            </w:r>
            <w:r w:rsidR="00DD54E9">
              <w:rPr>
                <w:lang w:val="en-US"/>
              </w:rPr>
              <w:t xml:space="preserve"> and the PBAC</w:t>
            </w:r>
            <w:r w:rsidR="00CF0D48" w:rsidRPr="00DD54E9">
              <w:rPr>
                <w:lang w:val="en-US"/>
              </w:rPr>
              <w:t xml:space="preserve"> considered that the </w:t>
            </w:r>
            <w:r w:rsidRPr="00DD54E9">
              <w:rPr>
                <w:lang w:val="en-US"/>
              </w:rPr>
              <w:t>three-phase estimation of survival may not be reliable due to underlying differences</w:t>
            </w:r>
            <w:r w:rsidRPr="00E92067">
              <w:rPr>
                <w:lang w:val="en-US"/>
              </w:rPr>
              <w:t xml:space="preserve"> in patient characteristics and survival trends between data sources as well as the limited availability of long-term patient data. </w:t>
            </w:r>
            <w:r w:rsidR="00DD54E9">
              <w:rPr>
                <w:lang w:val="en-US"/>
              </w:rPr>
              <w:t>In particular, the PBAC considered that l</w:t>
            </w:r>
            <w:r w:rsidRPr="00E92067">
              <w:rPr>
                <w:lang w:val="en-US"/>
              </w:rPr>
              <w:t>ong-term B-ALL survivorship assumptions should not have been applied to relapsed disease patients in the model. The synthesis approach resulted in apparent structural anomalies within the model (see Markov trace figure below).</w:t>
            </w:r>
          </w:p>
        </w:tc>
        <w:tc>
          <w:tcPr>
            <w:tcW w:w="615" w:type="pct"/>
            <w:shd w:val="clear" w:color="auto" w:fill="auto"/>
            <w:vAlign w:val="center"/>
          </w:tcPr>
          <w:p w:rsidR="00E62932" w:rsidRPr="00E92067" w:rsidRDefault="00E62932" w:rsidP="00E62932">
            <w:pPr>
              <w:pStyle w:val="Tabletext"/>
              <w:jc w:val="center"/>
              <w:rPr>
                <w:lang w:val="en-US"/>
              </w:rPr>
            </w:pPr>
            <w:r w:rsidRPr="00E92067">
              <w:rPr>
                <w:lang w:val="en-US"/>
              </w:rPr>
              <w:t>Unclear</w:t>
            </w:r>
          </w:p>
          <w:p w:rsidR="00E62932" w:rsidRPr="00E92067" w:rsidRDefault="00E62932" w:rsidP="00E62932">
            <w:pPr>
              <w:pStyle w:val="Tabletext"/>
              <w:jc w:val="center"/>
              <w:rPr>
                <w:lang w:val="en-US"/>
              </w:rPr>
            </w:pPr>
            <w:r w:rsidRPr="00E92067">
              <w:rPr>
                <w:lang w:val="en-US"/>
              </w:rPr>
              <w:t>(structural uncertainty)</w:t>
            </w:r>
          </w:p>
        </w:tc>
      </w:tr>
      <w:tr w:rsidR="00E62932" w:rsidRPr="00E92067" w:rsidTr="00CF0D48">
        <w:trPr>
          <w:cantSplit/>
        </w:trPr>
        <w:tc>
          <w:tcPr>
            <w:tcW w:w="640" w:type="pct"/>
            <w:shd w:val="clear" w:color="auto" w:fill="auto"/>
            <w:vAlign w:val="center"/>
          </w:tcPr>
          <w:p w:rsidR="00E62932" w:rsidRPr="00E92067" w:rsidRDefault="00E62932" w:rsidP="00E62932">
            <w:pPr>
              <w:pStyle w:val="Tabletext"/>
              <w:rPr>
                <w:lang w:val="en-US"/>
              </w:rPr>
            </w:pPr>
            <w:r w:rsidRPr="00E92067">
              <w:rPr>
                <w:lang w:val="en-US"/>
              </w:rPr>
              <w:t>Blinatumomab survival curve</w:t>
            </w:r>
          </w:p>
        </w:tc>
        <w:tc>
          <w:tcPr>
            <w:tcW w:w="3745" w:type="pct"/>
            <w:shd w:val="clear" w:color="auto" w:fill="auto"/>
            <w:vAlign w:val="center"/>
          </w:tcPr>
          <w:p w:rsidR="00E62932" w:rsidRPr="00E92067" w:rsidRDefault="00E62932" w:rsidP="00DD54E9">
            <w:pPr>
              <w:pStyle w:val="Tabletext"/>
              <w:rPr>
                <w:lang w:val="en-US"/>
              </w:rPr>
            </w:pPr>
            <w:r w:rsidRPr="00E92067">
              <w:rPr>
                <w:lang w:val="en-US"/>
              </w:rPr>
              <w:t>The estimated survival in the blinatumomab treatment arm was derived by applying the estimated blinatumomab treatment effect to the extrapolated consolidation chemotherapy survival curves</w:t>
            </w:r>
            <w:r w:rsidR="009F4F3C" w:rsidRPr="00E92067">
              <w:rPr>
                <w:lang w:val="en-US"/>
              </w:rPr>
              <w:t xml:space="preserve"> (ATT</w:t>
            </w:r>
            <w:r w:rsidR="009F4F3C" w:rsidRPr="00E92067">
              <w:rPr>
                <w:szCs w:val="20"/>
              </w:rPr>
              <w:t xml:space="preserve"> weights in base case; ATE weights in sensitivity analysis)</w:t>
            </w:r>
            <w:r w:rsidRPr="00E92067">
              <w:rPr>
                <w:lang w:val="en-US"/>
              </w:rPr>
              <w:t xml:space="preserve">. The </w:t>
            </w:r>
            <w:r w:rsidR="00DD54E9">
              <w:rPr>
                <w:lang w:val="en-US"/>
              </w:rPr>
              <w:t xml:space="preserve">PBAC considered that the </w:t>
            </w:r>
            <w:r w:rsidRPr="00E92067">
              <w:rPr>
                <w:lang w:val="en-US"/>
              </w:rPr>
              <w:t xml:space="preserve">magnitude of benefit in terms of relapse-free survival </w:t>
            </w:r>
            <w:r w:rsidR="00DD54E9">
              <w:rPr>
                <w:lang w:val="en-US"/>
              </w:rPr>
              <w:t>wa</w:t>
            </w:r>
            <w:r w:rsidRPr="00E92067">
              <w:rPr>
                <w:lang w:val="en-US"/>
              </w:rPr>
              <w:t>s highly uncertain due to the limitations of the propensity-adjusted indirect comparison</w:t>
            </w:r>
            <w:r w:rsidR="00DD54E9">
              <w:rPr>
                <w:lang w:val="en-US"/>
              </w:rPr>
              <w:t>, and t</w:t>
            </w:r>
            <w:r w:rsidRPr="00E92067">
              <w:rPr>
                <w:lang w:val="en-US"/>
              </w:rPr>
              <w:t>he current available data do not adequately support an improvement in overall survival with blinatumomab treatment. The submission did not test the proportional hazards assumption for any of the extrapolated data.</w:t>
            </w:r>
          </w:p>
        </w:tc>
        <w:tc>
          <w:tcPr>
            <w:tcW w:w="615" w:type="pct"/>
            <w:shd w:val="clear" w:color="auto" w:fill="auto"/>
            <w:vAlign w:val="center"/>
          </w:tcPr>
          <w:p w:rsidR="00E62932" w:rsidRPr="00E92067" w:rsidRDefault="00E62932" w:rsidP="00E62932">
            <w:pPr>
              <w:pStyle w:val="Tabletext"/>
              <w:jc w:val="center"/>
              <w:rPr>
                <w:lang w:val="en-US"/>
              </w:rPr>
            </w:pPr>
            <w:r w:rsidRPr="00E92067">
              <w:rPr>
                <w:lang w:val="en-US"/>
              </w:rPr>
              <w:t>High, favours blinatumomab</w:t>
            </w:r>
          </w:p>
        </w:tc>
      </w:tr>
      <w:tr w:rsidR="00E62932" w:rsidRPr="00E92067" w:rsidTr="00CF0D48">
        <w:trPr>
          <w:cantSplit/>
        </w:trPr>
        <w:tc>
          <w:tcPr>
            <w:tcW w:w="640" w:type="pct"/>
            <w:shd w:val="clear" w:color="auto" w:fill="auto"/>
            <w:vAlign w:val="center"/>
          </w:tcPr>
          <w:p w:rsidR="00E62932" w:rsidRPr="00E92067" w:rsidRDefault="00E62932" w:rsidP="00E62932">
            <w:pPr>
              <w:pStyle w:val="Tabletext"/>
              <w:rPr>
                <w:lang w:val="en-US"/>
              </w:rPr>
            </w:pPr>
            <w:r w:rsidRPr="00E92067">
              <w:rPr>
                <w:lang w:val="en-US"/>
              </w:rPr>
              <w:t>Adjustment for cure assumption</w:t>
            </w:r>
          </w:p>
        </w:tc>
        <w:tc>
          <w:tcPr>
            <w:tcW w:w="3745" w:type="pct"/>
            <w:shd w:val="clear" w:color="auto" w:fill="auto"/>
            <w:vAlign w:val="center"/>
          </w:tcPr>
          <w:p w:rsidR="009E681C" w:rsidRPr="00E92067" w:rsidRDefault="00E62932" w:rsidP="00DD54E9">
            <w:pPr>
              <w:pStyle w:val="Tabletext"/>
              <w:rPr>
                <w:lang w:val="en-US"/>
              </w:rPr>
            </w:pPr>
            <w:r w:rsidRPr="00E92067">
              <w:rPr>
                <w:lang w:val="en-US"/>
              </w:rPr>
              <w:t>The submission implements the assumption of cure in the model by preventing patients in the relapse-free health state experiencing relapse beyond 54 months</w:t>
            </w:r>
            <w:r w:rsidR="005377FA" w:rsidRPr="00E92067">
              <w:rPr>
                <w:vertAlign w:val="superscript"/>
                <w:lang w:val="en-US"/>
              </w:rPr>
              <w:t>1</w:t>
            </w:r>
            <w:r w:rsidRPr="00E92067">
              <w:rPr>
                <w:lang w:val="en-US"/>
              </w:rPr>
              <w:t>. The model also prevents patients dying in the relapse-free state between 54 to 78 months in the blinatumomab arm and between 54 months to 22 years in the consolidation chemotherapy arm. The adjustment to allow for cure was inappropriately implemented in the model as it prevent</w:t>
            </w:r>
            <w:r w:rsidR="00D16169" w:rsidRPr="00E92067">
              <w:rPr>
                <w:lang w:val="en-US"/>
              </w:rPr>
              <w:t>ed</w:t>
            </w:r>
            <w:r w:rsidRPr="00E92067">
              <w:rPr>
                <w:lang w:val="en-US"/>
              </w:rPr>
              <w:t xml:space="preserve"> patients from being able to die </w:t>
            </w:r>
            <w:r w:rsidR="00D16169" w:rsidRPr="00E92067">
              <w:rPr>
                <w:lang w:val="en-US"/>
              </w:rPr>
              <w:t xml:space="preserve">due to </w:t>
            </w:r>
            <w:r w:rsidR="005377FA" w:rsidRPr="00E92067">
              <w:rPr>
                <w:lang w:val="en-US"/>
              </w:rPr>
              <w:t>any</w:t>
            </w:r>
            <w:r w:rsidR="00D16169" w:rsidRPr="00E92067">
              <w:rPr>
                <w:lang w:val="en-US"/>
              </w:rPr>
              <w:t xml:space="preserve"> cause </w:t>
            </w:r>
            <w:r w:rsidRPr="00E92067">
              <w:rPr>
                <w:lang w:val="en-US"/>
              </w:rPr>
              <w:t>in the relapse-free state. This adjustment resulted in apparent structural anomalies within the model (see Markov trace figure below).</w:t>
            </w:r>
            <w:r w:rsidR="00DD54E9">
              <w:rPr>
                <w:lang w:val="en-US"/>
              </w:rPr>
              <w:t xml:space="preserve"> </w:t>
            </w:r>
            <w:r w:rsidR="009E681C">
              <w:rPr>
                <w:lang w:val="en-US"/>
              </w:rPr>
              <w:t>Further</w:t>
            </w:r>
            <w:r w:rsidR="00DD54E9">
              <w:rPr>
                <w:lang w:val="en-US"/>
              </w:rPr>
              <w:t>,</w:t>
            </w:r>
            <w:r w:rsidR="009E681C">
              <w:rPr>
                <w:lang w:val="en-US"/>
              </w:rPr>
              <w:t xml:space="preserve"> the PBAC considered that</w:t>
            </w:r>
            <w:r w:rsidR="00DD54E9">
              <w:rPr>
                <w:lang w:val="en-US"/>
              </w:rPr>
              <w:t xml:space="preserve"> the clinical evidence </w:t>
            </w:r>
            <w:r w:rsidR="009E681C">
              <w:rPr>
                <w:lang w:val="en-US"/>
              </w:rPr>
              <w:t xml:space="preserve">were not sufficiently mature </w:t>
            </w:r>
            <w:r w:rsidR="00DD54E9">
              <w:rPr>
                <w:lang w:val="en-US"/>
              </w:rPr>
              <w:t xml:space="preserve">or reliable </w:t>
            </w:r>
            <w:r w:rsidR="009E681C">
              <w:rPr>
                <w:lang w:val="en-US"/>
              </w:rPr>
              <w:t>to</w:t>
            </w:r>
            <w:r w:rsidR="00DD54E9">
              <w:rPr>
                <w:lang w:val="en-US"/>
              </w:rPr>
              <w:t xml:space="preserve"> support </w:t>
            </w:r>
            <w:r w:rsidR="009E681C">
              <w:rPr>
                <w:lang w:val="en-US"/>
              </w:rPr>
              <w:t>any cure assumptions.</w:t>
            </w:r>
          </w:p>
        </w:tc>
        <w:tc>
          <w:tcPr>
            <w:tcW w:w="615" w:type="pct"/>
            <w:shd w:val="clear" w:color="auto" w:fill="auto"/>
            <w:vAlign w:val="center"/>
          </w:tcPr>
          <w:p w:rsidR="00E62932" w:rsidRPr="00E92067" w:rsidRDefault="00E62932" w:rsidP="00E62932">
            <w:pPr>
              <w:pStyle w:val="Tabletext"/>
              <w:jc w:val="center"/>
              <w:rPr>
                <w:lang w:val="en-US"/>
              </w:rPr>
            </w:pPr>
            <w:r w:rsidRPr="00E92067">
              <w:rPr>
                <w:lang w:val="en-US"/>
              </w:rPr>
              <w:t>Unclear</w:t>
            </w:r>
          </w:p>
          <w:p w:rsidR="00E62932" w:rsidRPr="00E92067" w:rsidRDefault="00E62932" w:rsidP="00E62932">
            <w:pPr>
              <w:pStyle w:val="Tabletext"/>
              <w:jc w:val="center"/>
              <w:rPr>
                <w:lang w:val="en-US"/>
              </w:rPr>
            </w:pPr>
            <w:r w:rsidRPr="00E92067">
              <w:rPr>
                <w:lang w:val="en-US"/>
              </w:rPr>
              <w:t>(structural uncertainty)</w:t>
            </w:r>
          </w:p>
        </w:tc>
      </w:tr>
      <w:tr w:rsidR="00E62932" w:rsidRPr="00E92067" w:rsidTr="00CF0D48">
        <w:trPr>
          <w:cantSplit/>
        </w:trPr>
        <w:tc>
          <w:tcPr>
            <w:tcW w:w="640" w:type="pct"/>
            <w:shd w:val="clear" w:color="auto" w:fill="auto"/>
            <w:vAlign w:val="center"/>
          </w:tcPr>
          <w:p w:rsidR="00E62932" w:rsidRPr="00E92067" w:rsidRDefault="00E62932" w:rsidP="0093024F">
            <w:pPr>
              <w:pStyle w:val="Tabletext"/>
              <w:rPr>
                <w:lang w:val="en-US"/>
              </w:rPr>
            </w:pPr>
            <w:r w:rsidRPr="00E92067">
              <w:rPr>
                <w:lang w:val="en-US"/>
              </w:rPr>
              <w:t xml:space="preserve">Adjustment for RFS </w:t>
            </w:r>
            <w:r w:rsidR="0093024F" w:rsidRPr="00E92067">
              <w:rPr>
                <w:lang w:val="en-US"/>
              </w:rPr>
              <w:t>≤</w:t>
            </w:r>
            <w:r w:rsidRPr="00E92067">
              <w:rPr>
                <w:lang w:val="en-US"/>
              </w:rPr>
              <w:t>OS</w:t>
            </w:r>
          </w:p>
        </w:tc>
        <w:tc>
          <w:tcPr>
            <w:tcW w:w="3745" w:type="pct"/>
            <w:shd w:val="clear" w:color="auto" w:fill="auto"/>
            <w:vAlign w:val="center"/>
          </w:tcPr>
          <w:p w:rsidR="00E62932" w:rsidRPr="00E92067" w:rsidRDefault="00E62932" w:rsidP="00735712">
            <w:pPr>
              <w:pStyle w:val="Tabletext"/>
              <w:rPr>
                <w:lang w:val="en-US"/>
              </w:rPr>
            </w:pPr>
            <w:r w:rsidRPr="00E92067">
              <w:rPr>
                <w:lang w:val="en-US"/>
              </w:rPr>
              <w:t xml:space="preserve">The model prevents relapse-free survival exceeding overall survival, which would otherwise occur at 78 months for the blinatumomab arm and at 22 years for the consolidation chemotherapy arm based on the underlying independent curves. </w:t>
            </w:r>
            <w:r w:rsidR="00DD54E9">
              <w:rPr>
                <w:lang w:val="en-US"/>
              </w:rPr>
              <w:t>The</w:t>
            </w:r>
            <w:r w:rsidR="00735712">
              <w:rPr>
                <w:lang w:val="en-US"/>
              </w:rPr>
              <w:t xml:space="preserve"> evaluation </w:t>
            </w:r>
            <w:r w:rsidR="00DD54E9">
              <w:rPr>
                <w:lang w:val="en-US"/>
              </w:rPr>
              <w:t>and the ESC considered that t</w:t>
            </w:r>
            <w:r w:rsidRPr="00E92067">
              <w:rPr>
                <w:lang w:val="en-US"/>
              </w:rPr>
              <w:t>he need for adjustments to the survival curves suggest</w:t>
            </w:r>
            <w:r w:rsidR="00DD54E9">
              <w:rPr>
                <w:lang w:val="en-US"/>
              </w:rPr>
              <w:t>ed</w:t>
            </w:r>
            <w:r w:rsidRPr="00E92067">
              <w:rPr>
                <w:lang w:val="en-US"/>
              </w:rPr>
              <w:t xml:space="preserve"> that the underlying data d</w:t>
            </w:r>
            <w:r w:rsidR="00DD54E9">
              <w:rPr>
                <w:lang w:val="en-US"/>
              </w:rPr>
              <w:t>id</w:t>
            </w:r>
            <w:r w:rsidRPr="00E92067">
              <w:rPr>
                <w:lang w:val="en-US"/>
              </w:rPr>
              <w:t xml:space="preserve"> not adequately reflect the implicit relationships between survival estimates and therefore suggest</w:t>
            </w:r>
            <w:r w:rsidR="00DD54E9">
              <w:rPr>
                <w:lang w:val="en-US"/>
              </w:rPr>
              <w:t>ed</w:t>
            </w:r>
            <w:r w:rsidRPr="00E92067">
              <w:rPr>
                <w:lang w:val="en-US"/>
              </w:rPr>
              <w:t xml:space="preserve"> that a partitioned survival analysis may not provide reliable estimates in these circumstances. This adjustment resulted in apparent structural anomalies within the model (see Markov trace figure below).</w:t>
            </w:r>
          </w:p>
        </w:tc>
        <w:tc>
          <w:tcPr>
            <w:tcW w:w="615" w:type="pct"/>
            <w:shd w:val="clear" w:color="auto" w:fill="auto"/>
            <w:vAlign w:val="center"/>
          </w:tcPr>
          <w:p w:rsidR="00E62932" w:rsidRPr="00E92067" w:rsidRDefault="00E62932" w:rsidP="00E62932">
            <w:pPr>
              <w:pStyle w:val="Tabletext"/>
              <w:jc w:val="center"/>
              <w:rPr>
                <w:lang w:val="en-US"/>
              </w:rPr>
            </w:pPr>
            <w:r w:rsidRPr="00E92067">
              <w:rPr>
                <w:lang w:val="en-US"/>
              </w:rPr>
              <w:t>Unclear</w:t>
            </w:r>
          </w:p>
          <w:p w:rsidR="00E62932" w:rsidRPr="00E92067" w:rsidRDefault="00E62932" w:rsidP="00E62932">
            <w:pPr>
              <w:pStyle w:val="Tabletext"/>
              <w:jc w:val="center"/>
              <w:rPr>
                <w:lang w:val="en-US"/>
              </w:rPr>
            </w:pPr>
            <w:r w:rsidRPr="00E92067">
              <w:rPr>
                <w:lang w:val="en-US"/>
              </w:rPr>
              <w:t>(structural uncertainty)</w:t>
            </w:r>
          </w:p>
        </w:tc>
      </w:tr>
      <w:tr w:rsidR="00E62932" w:rsidRPr="00E92067" w:rsidTr="00CF0D48">
        <w:trPr>
          <w:cantSplit/>
        </w:trPr>
        <w:tc>
          <w:tcPr>
            <w:tcW w:w="640" w:type="pct"/>
            <w:shd w:val="clear" w:color="auto" w:fill="auto"/>
            <w:vAlign w:val="center"/>
          </w:tcPr>
          <w:p w:rsidR="00E62932" w:rsidRPr="00E92067" w:rsidRDefault="00E62932" w:rsidP="00E62932">
            <w:pPr>
              <w:pStyle w:val="Tabletext"/>
              <w:rPr>
                <w:lang w:val="en-US"/>
              </w:rPr>
            </w:pPr>
            <w:r w:rsidRPr="00E92067">
              <w:rPr>
                <w:lang w:val="en-US"/>
              </w:rPr>
              <w:t>Time on treatment</w:t>
            </w:r>
          </w:p>
        </w:tc>
        <w:tc>
          <w:tcPr>
            <w:tcW w:w="3745" w:type="pct"/>
            <w:shd w:val="clear" w:color="auto" w:fill="auto"/>
            <w:vAlign w:val="center"/>
          </w:tcPr>
          <w:p w:rsidR="00E62932" w:rsidRPr="00F411E6" w:rsidRDefault="00E62932" w:rsidP="00CF0D48">
            <w:pPr>
              <w:pStyle w:val="Tabletext"/>
              <w:rPr>
                <w:i/>
                <w:lang w:val="en-US"/>
              </w:rPr>
            </w:pPr>
            <w:r w:rsidRPr="00E92067">
              <w:rPr>
                <w:lang w:val="en-US"/>
              </w:rPr>
              <w:t xml:space="preserve">The economic model did not include a time on treatment curve and therefore treatment use was not linked to survival estimates. This resulted in a series of implausible costing estimates in which patients were receiving costs that were not appropriate for that stage of the model (e.g. patients were receiving consolidation chemotherapy </w:t>
            </w:r>
            <w:r w:rsidR="00CF1DAB" w:rsidRPr="00E92067">
              <w:rPr>
                <w:lang w:val="en-US"/>
              </w:rPr>
              <w:t xml:space="preserve">costs </w:t>
            </w:r>
            <w:r w:rsidRPr="00E92067">
              <w:rPr>
                <w:lang w:val="en-US"/>
              </w:rPr>
              <w:t>after relapse or death).</w:t>
            </w:r>
            <w:r w:rsidR="00F411E6">
              <w:rPr>
                <w:lang w:val="en-US"/>
              </w:rPr>
              <w:t xml:space="preserve"> </w:t>
            </w:r>
            <w:r w:rsidR="00F411E6" w:rsidRPr="00E70F0E">
              <w:rPr>
                <w:lang w:val="en-US"/>
              </w:rPr>
              <w:t>The PSCR (p. 3) argued that a time on treatment curve would not be informative as blinatumomab and the comparator (chemotherapy) are finite courses of treatment.</w:t>
            </w:r>
            <w:r w:rsidR="00F411E6" w:rsidRPr="00E70F0E">
              <w:t xml:space="preserve"> However, the ESC noted that </w:t>
            </w:r>
            <w:r w:rsidR="00F411E6" w:rsidRPr="00E70F0E">
              <w:rPr>
                <w:lang w:val="en-US"/>
              </w:rPr>
              <w:t>the submission assumed that all patients received a full course</w:t>
            </w:r>
            <w:r w:rsidR="00CF0D48" w:rsidRPr="00E70F0E">
              <w:rPr>
                <w:lang w:val="en-US"/>
              </w:rPr>
              <w:t xml:space="preserve"> of comparator chemotherapy</w:t>
            </w:r>
            <w:r w:rsidR="00F411E6" w:rsidRPr="00E70F0E">
              <w:rPr>
                <w:lang w:val="en-US"/>
              </w:rPr>
              <w:t xml:space="preserve"> (even if dead</w:t>
            </w:r>
            <w:r w:rsidR="00CF0D48" w:rsidRPr="00E70F0E">
              <w:rPr>
                <w:lang w:val="en-US"/>
              </w:rPr>
              <w:t>)</w:t>
            </w:r>
            <w:r w:rsidR="00F411E6" w:rsidRPr="00E70F0E">
              <w:rPr>
                <w:lang w:val="en-US"/>
              </w:rPr>
              <w:t xml:space="preserve"> which overestimated the drug and administration costs of the comparator arm.</w:t>
            </w:r>
            <w:r w:rsidR="00F411E6" w:rsidRPr="00F411E6">
              <w:rPr>
                <w:i/>
                <w:lang w:val="en-US"/>
              </w:rPr>
              <w:t xml:space="preserve"> </w:t>
            </w:r>
          </w:p>
        </w:tc>
        <w:tc>
          <w:tcPr>
            <w:tcW w:w="615" w:type="pct"/>
            <w:shd w:val="clear" w:color="auto" w:fill="auto"/>
            <w:vAlign w:val="center"/>
          </w:tcPr>
          <w:p w:rsidR="00E62932" w:rsidRPr="00E92067" w:rsidRDefault="00E62932" w:rsidP="00E62932">
            <w:pPr>
              <w:pStyle w:val="Tabletext"/>
              <w:jc w:val="center"/>
              <w:rPr>
                <w:lang w:val="en-US"/>
              </w:rPr>
            </w:pPr>
            <w:r w:rsidRPr="00E92067">
              <w:rPr>
                <w:lang w:val="en-US"/>
              </w:rPr>
              <w:t>Unclear</w:t>
            </w:r>
          </w:p>
          <w:p w:rsidR="00E62932" w:rsidRPr="00E92067" w:rsidRDefault="00E62932" w:rsidP="00E62932">
            <w:pPr>
              <w:pStyle w:val="Tabletext"/>
              <w:jc w:val="center"/>
              <w:rPr>
                <w:lang w:val="en-US"/>
              </w:rPr>
            </w:pPr>
            <w:r w:rsidRPr="00E92067">
              <w:rPr>
                <w:lang w:val="en-US"/>
              </w:rPr>
              <w:t>(structural uncertainty)</w:t>
            </w:r>
          </w:p>
        </w:tc>
      </w:tr>
      <w:tr w:rsidR="00E62932" w:rsidRPr="00E92067" w:rsidTr="00CF0D48">
        <w:trPr>
          <w:cantSplit/>
        </w:trPr>
        <w:tc>
          <w:tcPr>
            <w:tcW w:w="640" w:type="pct"/>
            <w:shd w:val="clear" w:color="auto" w:fill="auto"/>
            <w:vAlign w:val="center"/>
          </w:tcPr>
          <w:p w:rsidR="00E62932" w:rsidRPr="00E92067" w:rsidRDefault="00E62932" w:rsidP="00E62932">
            <w:pPr>
              <w:pStyle w:val="Tabletext"/>
              <w:rPr>
                <w:lang w:val="en-US"/>
              </w:rPr>
            </w:pPr>
            <w:r w:rsidRPr="00E92067">
              <w:rPr>
                <w:lang w:val="en-US"/>
              </w:rPr>
              <w:t>HSCT utilisation</w:t>
            </w:r>
          </w:p>
        </w:tc>
        <w:tc>
          <w:tcPr>
            <w:tcW w:w="3745" w:type="pct"/>
            <w:shd w:val="clear" w:color="auto" w:fill="auto"/>
            <w:vAlign w:val="center"/>
          </w:tcPr>
          <w:p w:rsidR="00E62932" w:rsidRPr="00E92067" w:rsidRDefault="00E62932" w:rsidP="00F411E6">
            <w:pPr>
              <w:pStyle w:val="Tabletext"/>
              <w:rPr>
                <w:lang w:val="en-US"/>
              </w:rPr>
            </w:pPr>
            <w:r w:rsidRPr="00E92067">
              <w:rPr>
                <w:lang w:val="en-US"/>
              </w:rPr>
              <w:t xml:space="preserve">The submission only included HSCT as a cost item in the economic model. </w:t>
            </w:r>
            <w:r w:rsidR="00F411E6" w:rsidRPr="00E70F0E">
              <w:rPr>
                <w:lang w:val="en-US"/>
              </w:rPr>
              <w:t xml:space="preserve">The ESC </w:t>
            </w:r>
            <w:r w:rsidR="009A120D">
              <w:rPr>
                <w:lang w:val="en-US"/>
              </w:rPr>
              <w:t xml:space="preserve">and the PBAC </w:t>
            </w:r>
            <w:r w:rsidR="00F411E6" w:rsidRPr="00E70F0E">
              <w:rPr>
                <w:lang w:val="en-US"/>
              </w:rPr>
              <w:t>considered that this was inappropriate as blinatumomab may increase the probability of patients receiving a HSCT and</w:t>
            </w:r>
            <w:r w:rsidR="00F411E6">
              <w:rPr>
                <w:i/>
                <w:lang w:val="en-US"/>
              </w:rPr>
              <w:t xml:space="preserve"> </w:t>
            </w:r>
            <w:r w:rsidRPr="00E92067">
              <w:rPr>
                <w:lang w:val="en-US"/>
              </w:rPr>
              <w:t>the clinical evidence presented in the submission indicated that HSCT use was a treatment effect modifier. Additionally, HSCT is a major clinical event with its own risks, benefits and costs.</w:t>
            </w:r>
          </w:p>
        </w:tc>
        <w:tc>
          <w:tcPr>
            <w:tcW w:w="615" w:type="pct"/>
            <w:shd w:val="clear" w:color="auto" w:fill="auto"/>
            <w:vAlign w:val="center"/>
          </w:tcPr>
          <w:p w:rsidR="00E62932" w:rsidRPr="00E92067" w:rsidRDefault="00E62932" w:rsidP="00E62932">
            <w:pPr>
              <w:pStyle w:val="Tabletext"/>
              <w:jc w:val="center"/>
              <w:rPr>
                <w:lang w:val="en-US"/>
              </w:rPr>
            </w:pPr>
            <w:r w:rsidRPr="00E92067">
              <w:rPr>
                <w:lang w:val="en-US"/>
              </w:rPr>
              <w:t>Unclear</w:t>
            </w:r>
          </w:p>
          <w:p w:rsidR="00E62932" w:rsidRPr="00E92067" w:rsidRDefault="00E62932" w:rsidP="00E62932">
            <w:pPr>
              <w:pStyle w:val="Tabletext"/>
              <w:jc w:val="center"/>
              <w:rPr>
                <w:lang w:val="en-US"/>
              </w:rPr>
            </w:pPr>
            <w:r w:rsidRPr="00E92067">
              <w:rPr>
                <w:lang w:val="en-US"/>
              </w:rPr>
              <w:t>(structural uncertainty)</w:t>
            </w:r>
          </w:p>
        </w:tc>
      </w:tr>
      <w:tr w:rsidR="00E62932" w:rsidRPr="00E92067" w:rsidTr="00CF0D48">
        <w:trPr>
          <w:cantSplit/>
        </w:trPr>
        <w:tc>
          <w:tcPr>
            <w:tcW w:w="640" w:type="pct"/>
            <w:shd w:val="clear" w:color="auto" w:fill="auto"/>
            <w:vAlign w:val="center"/>
          </w:tcPr>
          <w:p w:rsidR="00E62932" w:rsidRPr="00E92067" w:rsidRDefault="00E62932" w:rsidP="00E62932">
            <w:pPr>
              <w:pStyle w:val="Tabletext"/>
              <w:rPr>
                <w:lang w:val="en-US"/>
              </w:rPr>
            </w:pPr>
            <w:r w:rsidRPr="00E92067">
              <w:rPr>
                <w:lang w:val="en-US"/>
              </w:rPr>
              <w:t>Utility values</w:t>
            </w:r>
          </w:p>
        </w:tc>
        <w:tc>
          <w:tcPr>
            <w:tcW w:w="3745" w:type="pct"/>
            <w:shd w:val="clear" w:color="auto" w:fill="auto"/>
            <w:vAlign w:val="center"/>
          </w:tcPr>
          <w:p w:rsidR="00944E02" w:rsidRPr="00E70F0E" w:rsidRDefault="00E62932" w:rsidP="00D82EB7">
            <w:pPr>
              <w:pStyle w:val="Tabletext"/>
              <w:rPr>
                <w:lang w:val="en-US"/>
              </w:rPr>
            </w:pPr>
            <w:r w:rsidRPr="00E92067">
              <w:rPr>
                <w:lang w:val="en-US"/>
              </w:rPr>
              <w:t xml:space="preserve">The submission used a complex, multi-step approach to derive utilities included in the economic model (propensity-adjusted EQ-5D from BLAST, regression analysis of EQ-5D from BLAST, mapping of EORTC to EQ-5D from TOWER, propensity-adjusted EQ-5D from BLAST and TOWER). </w:t>
            </w:r>
            <w:r w:rsidR="00D82EB7" w:rsidRPr="00E92067">
              <w:rPr>
                <w:lang w:val="en-US"/>
              </w:rPr>
              <w:t xml:space="preserve">The estimated utilities were 0.806 for relapse free disease and 0.692 for relapsed disease. </w:t>
            </w:r>
            <w:r w:rsidRPr="00E92067">
              <w:rPr>
                <w:lang w:val="en-US"/>
              </w:rPr>
              <w:t xml:space="preserve">The estimation of utility values was poorly documented in the submission with no validation against other sources. </w:t>
            </w:r>
            <w:r w:rsidR="00944E02" w:rsidRPr="00E70F0E">
              <w:rPr>
                <w:lang w:val="en-US"/>
              </w:rPr>
              <w:t xml:space="preserve">The PSCR (p. 4 and attachment) provided additional documentation regarding the calculation of the utility values used in the submission. However, overall EQ-5D results for the BLAST study were not provided and the explanation of methods was incomplete. The ESC noted that the utility values had a moderate impact on the ICER. </w:t>
            </w:r>
          </w:p>
          <w:p w:rsidR="00E62932" w:rsidRPr="00E92067" w:rsidRDefault="00E62932" w:rsidP="00D82EB7">
            <w:pPr>
              <w:pStyle w:val="Tabletext"/>
              <w:rPr>
                <w:lang w:val="en-US"/>
              </w:rPr>
            </w:pPr>
            <w:r w:rsidRPr="00E92067">
              <w:rPr>
                <w:lang w:val="en-US"/>
              </w:rPr>
              <w:t xml:space="preserve">The submission did not estimate utility values associated with adverse events or HSCT use. </w:t>
            </w:r>
          </w:p>
        </w:tc>
        <w:tc>
          <w:tcPr>
            <w:tcW w:w="615" w:type="pct"/>
            <w:shd w:val="clear" w:color="auto" w:fill="auto"/>
            <w:vAlign w:val="center"/>
          </w:tcPr>
          <w:p w:rsidR="00E62932" w:rsidRPr="00E92067" w:rsidRDefault="00E62932" w:rsidP="00E62932">
            <w:pPr>
              <w:pStyle w:val="Tabletext"/>
              <w:jc w:val="center"/>
              <w:rPr>
                <w:lang w:val="en-US"/>
              </w:rPr>
            </w:pPr>
            <w:r w:rsidRPr="00E92067">
              <w:rPr>
                <w:lang w:val="en-US"/>
              </w:rPr>
              <w:t>Moderate, direction unclear</w:t>
            </w:r>
          </w:p>
        </w:tc>
      </w:tr>
      <w:tr w:rsidR="00E62932" w:rsidRPr="00E92067" w:rsidTr="00CF0D48">
        <w:trPr>
          <w:cantSplit/>
        </w:trPr>
        <w:tc>
          <w:tcPr>
            <w:tcW w:w="640" w:type="pct"/>
            <w:shd w:val="clear" w:color="auto" w:fill="auto"/>
            <w:vAlign w:val="center"/>
          </w:tcPr>
          <w:p w:rsidR="00E62932" w:rsidRPr="00E92067" w:rsidRDefault="00E62932" w:rsidP="00E62932">
            <w:pPr>
              <w:pStyle w:val="Tabletext"/>
              <w:rPr>
                <w:lang w:val="en-US"/>
              </w:rPr>
            </w:pPr>
            <w:r w:rsidRPr="00E92067">
              <w:rPr>
                <w:lang w:val="en-US"/>
              </w:rPr>
              <w:t>Treatment costs</w:t>
            </w:r>
          </w:p>
        </w:tc>
        <w:tc>
          <w:tcPr>
            <w:tcW w:w="3745" w:type="pct"/>
            <w:shd w:val="clear" w:color="auto" w:fill="auto"/>
            <w:vAlign w:val="center"/>
          </w:tcPr>
          <w:p w:rsidR="00E62932" w:rsidRPr="00E92067" w:rsidRDefault="00E62932" w:rsidP="00E62932">
            <w:pPr>
              <w:pStyle w:val="Tabletext"/>
              <w:rPr>
                <w:lang w:val="en-US"/>
              </w:rPr>
            </w:pPr>
            <w:r w:rsidRPr="00E92067">
              <w:rPr>
                <w:lang w:val="en-US"/>
              </w:rPr>
              <w:t xml:space="preserve">Blinatumomab drug and administration costs were estimated based on the BLAST study. It was unclear whether blinatumomab use in the BLAST study was representative of clinical practice and/or the subgroup of patients used to derive comparative efficacy estimates. It was also unclear whether blinatumomab will be co-administered with imatinib for Ph+ disease in clinical practice. The submission inappropriately excluded the cost of co-administered therapies (which were in the comparator arm). </w:t>
            </w:r>
            <w:r w:rsidR="00F411E6" w:rsidRPr="00E70F0E">
              <w:rPr>
                <w:lang w:val="en-US"/>
              </w:rPr>
              <w:t>The ESC also considered that the</w:t>
            </w:r>
            <w:r w:rsidR="008358F8">
              <w:rPr>
                <w:i/>
                <w:lang w:val="en-US"/>
              </w:rPr>
              <w:t xml:space="preserve"> </w:t>
            </w:r>
            <w:r w:rsidRPr="00E92067">
              <w:rPr>
                <w:lang w:val="en-US"/>
              </w:rPr>
              <w:t xml:space="preserve">submission inappropriately estimated hospitalisations based on the minimum recommended time </w:t>
            </w:r>
            <w:r w:rsidR="008358F8" w:rsidRPr="00E70F0E">
              <w:rPr>
                <w:lang w:val="en-US"/>
              </w:rPr>
              <w:t>stated in the Product Information</w:t>
            </w:r>
            <w:r w:rsidR="008358F8">
              <w:rPr>
                <w:lang w:val="en-US"/>
              </w:rPr>
              <w:t xml:space="preserve"> </w:t>
            </w:r>
            <w:r w:rsidRPr="00E92067">
              <w:rPr>
                <w:lang w:val="en-US"/>
              </w:rPr>
              <w:t>rather than the observed time in the BLAST study. The submission did not estimate adverse event costs which may have been inappropriate given the frequent incidence of treatment-related serious adverse events in the BLAST study.</w:t>
            </w:r>
          </w:p>
          <w:p w:rsidR="00E62932" w:rsidRPr="00E92067" w:rsidRDefault="00E62932" w:rsidP="00E62932">
            <w:pPr>
              <w:pStyle w:val="Tabletext"/>
              <w:rPr>
                <w:lang w:val="en-US"/>
              </w:rPr>
            </w:pPr>
          </w:p>
          <w:p w:rsidR="00E62932" w:rsidRPr="00E92067" w:rsidRDefault="00E62932" w:rsidP="00E62932">
            <w:pPr>
              <w:pStyle w:val="Tabletext"/>
              <w:rPr>
                <w:lang w:val="en-US"/>
              </w:rPr>
            </w:pPr>
            <w:r w:rsidRPr="00E92067">
              <w:rPr>
                <w:lang w:val="en-US"/>
              </w:rPr>
              <w:t>Consolidation chemotherapy drug and administration costs were estimated based on a full course of therapy under the ALLG ALL6 protocol. It was unclear whether consolidation therapy using the ALLG ALL6 protocol was representative of clinical practice and/or the subgroup of patients used to derive comparative efficacy estimates. The submission inappropriately assumed all patients would undergo the full treatment course (which was not consistent with the blinatumomab arm). The submission did not estimate adverse event costs which may have been inappropriate given that these regimens may be associated with serious treatment-related adverse events.</w:t>
            </w:r>
          </w:p>
        </w:tc>
        <w:tc>
          <w:tcPr>
            <w:tcW w:w="615" w:type="pct"/>
            <w:shd w:val="clear" w:color="auto" w:fill="auto"/>
            <w:vAlign w:val="center"/>
          </w:tcPr>
          <w:p w:rsidR="00E62932" w:rsidRPr="00E92067" w:rsidRDefault="00E62932" w:rsidP="00E62932">
            <w:pPr>
              <w:pStyle w:val="Tabletext"/>
              <w:jc w:val="center"/>
              <w:rPr>
                <w:lang w:val="en-US"/>
              </w:rPr>
            </w:pPr>
            <w:r w:rsidRPr="00E92067">
              <w:rPr>
                <w:lang w:val="en-US"/>
              </w:rPr>
              <w:t>Moderate, favours blinatumomab</w:t>
            </w:r>
          </w:p>
        </w:tc>
      </w:tr>
      <w:tr w:rsidR="00E62932" w:rsidRPr="00E92067" w:rsidTr="00CF0D48">
        <w:trPr>
          <w:cantSplit/>
        </w:trPr>
        <w:tc>
          <w:tcPr>
            <w:tcW w:w="640" w:type="pct"/>
            <w:shd w:val="clear" w:color="auto" w:fill="auto"/>
            <w:vAlign w:val="center"/>
          </w:tcPr>
          <w:p w:rsidR="00E62932" w:rsidRPr="00E92067" w:rsidRDefault="00E62932" w:rsidP="00E62932">
            <w:pPr>
              <w:pStyle w:val="Tabletext"/>
              <w:rPr>
                <w:lang w:val="en-US"/>
              </w:rPr>
            </w:pPr>
            <w:r w:rsidRPr="00E92067">
              <w:rPr>
                <w:lang w:val="en-US"/>
              </w:rPr>
              <w:t>Downstream costs</w:t>
            </w:r>
          </w:p>
        </w:tc>
        <w:tc>
          <w:tcPr>
            <w:tcW w:w="3745" w:type="pct"/>
            <w:shd w:val="clear" w:color="auto" w:fill="auto"/>
            <w:vAlign w:val="center"/>
          </w:tcPr>
          <w:p w:rsidR="00E62932" w:rsidRPr="00E92067" w:rsidRDefault="00E62932" w:rsidP="00E62932">
            <w:pPr>
              <w:pStyle w:val="Tabletext"/>
              <w:rPr>
                <w:lang w:val="en-US"/>
              </w:rPr>
            </w:pPr>
            <w:r w:rsidRPr="00E92067">
              <w:rPr>
                <w:lang w:val="en-US"/>
              </w:rPr>
              <w:t>The economic model assumed that all relapse-free patients would receive maintenance therapy for 2 years based on the ALLG ALL6 protocol. These costs were inappropriately implemented in the model as it did not adjust for the duration of blinatumomab or consolidation chemotherapy and therefore lead to substantial overlap between treatment regimens.</w:t>
            </w:r>
          </w:p>
          <w:p w:rsidR="00E62932" w:rsidRPr="00E92067" w:rsidRDefault="00E62932" w:rsidP="00E62932">
            <w:pPr>
              <w:pStyle w:val="Tabletext"/>
              <w:rPr>
                <w:lang w:val="en-US"/>
              </w:rPr>
            </w:pPr>
          </w:p>
          <w:p w:rsidR="00E62932" w:rsidRPr="00E92067" w:rsidRDefault="00E62932" w:rsidP="00E62932">
            <w:pPr>
              <w:pStyle w:val="Tabletext"/>
              <w:rPr>
                <w:lang w:val="en-US"/>
              </w:rPr>
            </w:pPr>
            <w:r w:rsidRPr="00E92067">
              <w:rPr>
                <w:lang w:val="en-US"/>
              </w:rPr>
              <w:t>The model estimated HSCT use in the blinatumomab arm based on the BLAST trial and HSCT use in the consolidation chemotherapy arm based on the historical control. It was unclear whether HSCT use for the BLAST study and historical control are representative of practice.</w:t>
            </w:r>
          </w:p>
          <w:p w:rsidR="00E62932" w:rsidRPr="00E92067" w:rsidRDefault="00E62932" w:rsidP="00E62932">
            <w:pPr>
              <w:pStyle w:val="Tabletext"/>
              <w:rPr>
                <w:lang w:val="en-US"/>
              </w:rPr>
            </w:pPr>
          </w:p>
          <w:p w:rsidR="00E62932" w:rsidRPr="00E92067" w:rsidRDefault="00E62932" w:rsidP="00E62932">
            <w:pPr>
              <w:pStyle w:val="Tabletext"/>
              <w:rPr>
                <w:lang w:val="en-US"/>
              </w:rPr>
            </w:pPr>
            <w:r w:rsidRPr="00E92067">
              <w:rPr>
                <w:lang w:val="en-US"/>
              </w:rPr>
              <w:t xml:space="preserve">The costs of HSCT were based on a published costing study in New South Wales hospitals. Costing estimates were based on data captured from 2004 to 2007 and it was unclear whether they were representative of current clinical practice given the constantly evolving management of B-ALL. The estimated costs were based on the direct costs of the HSCT procedure, related hospitalisations and outpatient care for two months prior to the procedure and twelve months after the procedure. These are likely to overlap with some of the cost estimates for chemotherapy as well as disease management costs. </w:t>
            </w:r>
          </w:p>
        </w:tc>
        <w:tc>
          <w:tcPr>
            <w:tcW w:w="615" w:type="pct"/>
            <w:shd w:val="clear" w:color="auto" w:fill="auto"/>
            <w:vAlign w:val="center"/>
          </w:tcPr>
          <w:p w:rsidR="00E62932" w:rsidRPr="00E92067" w:rsidRDefault="00E62932" w:rsidP="00E62932">
            <w:pPr>
              <w:pStyle w:val="Tabletext"/>
              <w:jc w:val="center"/>
              <w:rPr>
                <w:lang w:val="en-US"/>
              </w:rPr>
            </w:pPr>
            <w:r w:rsidRPr="00E92067">
              <w:rPr>
                <w:lang w:val="en-US"/>
              </w:rPr>
              <w:t>High, favours comparator</w:t>
            </w:r>
          </w:p>
        </w:tc>
      </w:tr>
      <w:tr w:rsidR="00E62932" w:rsidRPr="00E92067" w:rsidTr="00CF0D48">
        <w:trPr>
          <w:cantSplit/>
        </w:trPr>
        <w:tc>
          <w:tcPr>
            <w:tcW w:w="640" w:type="pct"/>
            <w:shd w:val="clear" w:color="auto" w:fill="auto"/>
            <w:vAlign w:val="center"/>
          </w:tcPr>
          <w:p w:rsidR="00E62932" w:rsidRPr="00E92067" w:rsidRDefault="00E62932" w:rsidP="00E62932">
            <w:pPr>
              <w:pStyle w:val="Tabletext"/>
              <w:rPr>
                <w:lang w:val="en-US"/>
              </w:rPr>
            </w:pPr>
            <w:r w:rsidRPr="00E92067">
              <w:rPr>
                <w:lang w:val="en-US"/>
              </w:rPr>
              <w:t>Salvage costs</w:t>
            </w:r>
          </w:p>
        </w:tc>
        <w:tc>
          <w:tcPr>
            <w:tcW w:w="3745" w:type="pct"/>
            <w:shd w:val="clear" w:color="auto" w:fill="auto"/>
            <w:vAlign w:val="center"/>
          </w:tcPr>
          <w:p w:rsidR="00E62932" w:rsidRPr="00E92067" w:rsidRDefault="00E62932" w:rsidP="00E62932">
            <w:pPr>
              <w:pStyle w:val="Tabletext"/>
              <w:rPr>
                <w:lang w:val="en-US"/>
              </w:rPr>
            </w:pPr>
            <w:r w:rsidRPr="00E92067">
              <w:rPr>
                <w:lang w:val="en-US"/>
              </w:rPr>
              <w:t>The economic model assumed that all patients would receive 1.76 cycles of salvage chemotherapy prior to death based on the FLAG-ida protocol. The submission did not include the use of more costly therapies such as blinatumomab or imatinib in the relapsed/refractory setting. The expected health resource use (particularly hospitalisations) associated with salvage chemotherapy was poorly documented in the submission. The costs of salvage chemotherapy were inappropriately applied to patients who died in the relapse-free state.</w:t>
            </w:r>
          </w:p>
        </w:tc>
        <w:tc>
          <w:tcPr>
            <w:tcW w:w="615" w:type="pct"/>
            <w:shd w:val="clear" w:color="auto" w:fill="auto"/>
            <w:vAlign w:val="center"/>
          </w:tcPr>
          <w:p w:rsidR="00E62932" w:rsidRPr="00E92067" w:rsidRDefault="00E62932" w:rsidP="00E62932">
            <w:pPr>
              <w:pStyle w:val="Tabletext"/>
              <w:jc w:val="center"/>
              <w:rPr>
                <w:lang w:val="en-US"/>
              </w:rPr>
            </w:pPr>
            <w:r w:rsidRPr="00E92067">
              <w:rPr>
                <w:lang w:val="en-US"/>
              </w:rPr>
              <w:t xml:space="preserve">High, direction </w:t>
            </w:r>
          </w:p>
          <w:p w:rsidR="00E62932" w:rsidRPr="00E92067" w:rsidRDefault="00E62932" w:rsidP="00E62932">
            <w:pPr>
              <w:pStyle w:val="Tabletext"/>
              <w:jc w:val="center"/>
              <w:rPr>
                <w:lang w:val="en-US"/>
              </w:rPr>
            </w:pPr>
            <w:r w:rsidRPr="00E92067">
              <w:rPr>
                <w:lang w:val="en-US"/>
              </w:rPr>
              <w:t>unclear</w:t>
            </w:r>
          </w:p>
        </w:tc>
      </w:tr>
      <w:tr w:rsidR="00E62932" w:rsidRPr="00E92067" w:rsidTr="00CF0D48">
        <w:trPr>
          <w:cantSplit/>
        </w:trPr>
        <w:tc>
          <w:tcPr>
            <w:tcW w:w="640" w:type="pct"/>
            <w:shd w:val="clear" w:color="auto" w:fill="auto"/>
            <w:vAlign w:val="center"/>
          </w:tcPr>
          <w:p w:rsidR="00E62932" w:rsidRPr="00E92067" w:rsidRDefault="00E62932" w:rsidP="00E62932">
            <w:pPr>
              <w:pStyle w:val="Tabletext"/>
              <w:rPr>
                <w:lang w:val="en-US"/>
              </w:rPr>
            </w:pPr>
            <w:r w:rsidRPr="00E92067">
              <w:rPr>
                <w:lang w:val="en-US"/>
              </w:rPr>
              <w:t>Health state costs</w:t>
            </w:r>
          </w:p>
        </w:tc>
        <w:tc>
          <w:tcPr>
            <w:tcW w:w="3745" w:type="pct"/>
            <w:shd w:val="clear" w:color="auto" w:fill="auto"/>
            <w:vAlign w:val="center"/>
          </w:tcPr>
          <w:p w:rsidR="00E62932" w:rsidRPr="00E92067" w:rsidRDefault="00E62932" w:rsidP="00E62932">
            <w:pPr>
              <w:pStyle w:val="Tabletext"/>
              <w:rPr>
                <w:lang w:val="en-US"/>
              </w:rPr>
            </w:pPr>
            <w:r w:rsidRPr="00E92067">
              <w:rPr>
                <w:lang w:val="en-US"/>
              </w:rPr>
              <w:t>The economic model estimated relapse-free health state costs based on expert advice on health resource use by MRD status. The submission estimated MRD response with blinatumomab based on the BLAST study. The submission assumed patients could not achieve an MRD response with consolidation chemotherapy. Health resource use was based on interviews with two UK physicians and may not be representative of Australian clinical practice. The estimated health resource use for patients who were MRD positive appeared implausible (particularly the extended hospital stays) given that patients who are MRD positive are still in complete remission. The assumption that consolidation chemotherapy could not affect MRD status was not adequately justified in the submission. Additionally, the estimates did not account for changes in MRD status over time.</w:t>
            </w:r>
          </w:p>
          <w:p w:rsidR="00E62932" w:rsidRPr="00E92067" w:rsidRDefault="00E62932" w:rsidP="00E62932">
            <w:pPr>
              <w:pStyle w:val="Tabletext"/>
              <w:rPr>
                <w:lang w:val="en-US"/>
              </w:rPr>
            </w:pPr>
          </w:p>
          <w:p w:rsidR="00E62932" w:rsidRPr="00E92067" w:rsidRDefault="00E62932" w:rsidP="00E62932">
            <w:pPr>
              <w:pStyle w:val="Tabletext"/>
              <w:rPr>
                <w:lang w:val="en-US"/>
              </w:rPr>
            </w:pPr>
            <w:r w:rsidRPr="00E92067">
              <w:rPr>
                <w:lang w:val="en-US"/>
              </w:rPr>
              <w:t>The submission assumed that patients with relapsed disease had the same resource use as patients who were MRD positive. This assumption did not appear reasonable as patients with relapsed disease would be expected to have higher costs associated with the management of disease symptoms.</w:t>
            </w:r>
          </w:p>
        </w:tc>
        <w:tc>
          <w:tcPr>
            <w:tcW w:w="615" w:type="pct"/>
            <w:shd w:val="clear" w:color="auto" w:fill="auto"/>
            <w:vAlign w:val="center"/>
          </w:tcPr>
          <w:p w:rsidR="00E62932" w:rsidRPr="00E92067" w:rsidRDefault="00E62932" w:rsidP="00E62932">
            <w:pPr>
              <w:pStyle w:val="Tabletext"/>
              <w:jc w:val="center"/>
              <w:rPr>
                <w:lang w:val="en-US"/>
              </w:rPr>
            </w:pPr>
            <w:r w:rsidRPr="00E92067">
              <w:rPr>
                <w:lang w:val="en-US"/>
              </w:rPr>
              <w:t>High, favours blinatumomab</w:t>
            </w:r>
          </w:p>
        </w:tc>
      </w:tr>
    </w:tbl>
    <w:p w:rsidR="00E62932" w:rsidRPr="00E92067" w:rsidRDefault="00E62932" w:rsidP="00E62932">
      <w:pPr>
        <w:pStyle w:val="TableFooter"/>
      </w:pPr>
      <w:r w:rsidRPr="00E92067">
        <w:t>Source: Constructed during the evaluation</w:t>
      </w:r>
    </w:p>
    <w:p w:rsidR="0093024F" w:rsidRPr="00E92067" w:rsidRDefault="0093024F" w:rsidP="0093024F">
      <w:pPr>
        <w:pStyle w:val="TableFooter"/>
      </w:pPr>
      <w:r w:rsidRPr="00E92067">
        <w:t xml:space="preserve">Abbreviations: B-ALL, B-cell lymphoblastic leukaemia; EORTC, </w:t>
      </w:r>
      <w:r w:rsidRPr="00E92067">
        <w:rPr>
          <w:rFonts w:cstheme="minorHAnsi"/>
          <w:color w:val="000000"/>
          <w:szCs w:val="18"/>
          <w:lang w:eastAsia="en-AU"/>
        </w:rPr>
        <w:t>European Organisation for Research and Treatment of Cancer</w:t>
      </w:r>
      <w:r w:rsidRPr="00E92067">
        <w:t xml:space="preserve">; EQ-5D, EuroQoL- 5 dimension questionnaire; </w:t>
      </w:r>
      <w:r w:rsidR="005D216D" w:rsidRPr="00E92067">
        <w:t>HSCT, haematopoietic stem cell transplant</w:t>
      </w:r>
      <w:r w:rsidRPr="00E92067">
        <w:t>; MRD, minimal residual disease; Ph+, Philadelphia chromosome positive.</w:t>
      </w:r>
    </w:p>
    <w:p w:rsidR="005377FA" w:rsidRPr="00E92067" w:rsidRDefault="005377FA" w:rsidP="005377FA">
      <w:pPr>
        <w:rPr>
          <w:rFonts w:ascii="Arial Narrow" w:hAnsi="Arial Narrow" w:cs="Times New Roman"/>
          <w:snapToGrid/>
          <w:sz w:val="16"/>
        </w:rPr>
      </w:pPr>
      <w:r w:rsidRPr="00E92067">
        <w:rPr>
          <w:rFonts w:ascii="Arial Narrow" w:hAnsi="Arial Narrow"/>
          <w:sz w:val="18"/>
          <w:vertAlign w:val="superscript"/>
        </w:rPr>
        <w:t>1</w:t>
      </w:r>
      <w:r w:rsidRPr="00E92067">
        <w:rPr>
          <w:rFonts w:ascii="Arial Narrow" w:hAnsi="Arial Narrow"/>
          <w:sz w:val="18"/>
        </w:rPr>
        <w:t xml:space="preserve"> The assumption of cure is explicitly incorporated into survival estimates at 10 years. However, the impact of cure on survival estimates is effectively implemented earlier in the model at 54 months based on a small number of patients from the direct comparison analysis set who do not apparently experience death or relapse (16 patients with follow-up data on relapse-free survival between 54 to 78 months) contributing to mid-term extrapolations (4 to 10 years).</w:t>
      </w:r>
    </w:p>
    <w:p w:rsidR="00E62932" w:rsidRPr="00E92067" w:rsidRDefault="00E62932" w:rsidP="00E62932">
      <w:pPr>
        <w:widowControl/>
      </w:pPr>
    </w:p>
    <w:p w:rsidR="00037F8B" w:rsidRPr="00E70F0E" w:rsidRDefault="004715DA" w:rsidP="001613D3">
      <w:pPr>
        <w:pStyle w:val="ListParagraph"/>
        <w:numPr>
          <w:ilvl w:val="1"/>
          <w:numId w:val="2"/>
        </w:numPr>
      </w:pPr>
      <w:r w:rsidRPr="00E70F0E">
        <w:t xml:space="preserve">The ESC noted that survival in the consolidation chemotherapy (comparator) arm was estimated based on three phases: from the propensity score analysis population of the historical control study (0 to 4 years), the direct comparison analysis set of the historical control study (4 to 10 years), and long-term B-ALL survivorship assumptions (10 to 30 years). </w:t>
      </w:r>
      <w:r w:rsidR="007A3C54" w:rsidRPr="00E70F0E">
        <w:t>Th</w:t>
      </w:r>
      <w:r w:rsidRPr="00E70F0E">
        <w:t xml:space="preserve">is is outlined </w:t>
      </w:r>
      <w:r w:rsidR="007A3C54" w:rsidRPr="00E70F0E">
        <w:t>in the table below.</w:t>
      </w:r>
      <w:r w:rsidR="00037F8B" w:rsidRPr="00E70F0E">
        <w:t xml:space="preserve"> The estimated treatment effect of blinatumomab compared </w:t>
      </w:r>
      <w:r w:rsidR="00AA18C4" w:rsidRPr="00E70F0E">
        <w:t>with</w:t>
      </w:r>
      <w:r w:rsidR="00037F8B" w:rsidRPr="00E70F0E">
        <w:t xml:space="preserve"> consolidation chemotherapy was based on the results of the propensity score analysis indirect comparison using the ATT method in the base cas</w:t>
      </w:r>
      <w:r w:rsidR="00061635" w:rsidRPr="00E70F0E">
        <w:t>e</w:t>
      </w:r>
      <w:r w:rsidR="00037F8B" w:rsidRPr="00E70F0E">
        <w:t xml:space="preserve"> (0 to 4 years) and the assumption of no difference in hazards between treatments beyond 4 years. The submission did not test the proportional hazards assumption for any of the extrapolated data.</w:t>
      </w:r>
    </w:p>
    <w:p w:rsidR="007A3C54" w:rsidRPr="00E70F0E" w:rsidRDefault="007A3C54" w:rsidP="007A3C54">
      <w:pPr>
        <w:keepNext/>
        <w:keepLines/>
        <w:rPr>
          <w:rFonts w:ascii="Arial Narrow" w:hAnsi="Arial Narrow"/>
          <w:b/>
          <w:sz w:val="20"/>
          <w:szCs w:val="16"/>
        </w:rPr>
      </w:pPr>
      <w:r w:rsidRPr="00E70F0E">
        <w:rPr>
          <w:rStyle w:val="CommentReference"/>
        </w:rPr>
        <w:t xml:space="preserve">Table 13: </w:t>
      </w:r>
      <w:r w:rsidR="00AA18C4" w:rsidRPr="00E70F0E">
        <w:rPr>
          <w:rStyle w:val="CommentReference"/>
        </w:rPr>
        <w:t>Input data and extrapolation in the comparator arm</w:t>
      </w:r>
      <w:r w:rsidR="004715DA" w:rsidRPr="00E70F0E">
        <w:rPr>
          <w:rStyle w:val="CommentReference"/>
        </w:rPr>
        <w:t xml:space="preserve"> </w:t>
      </w:r>
    </w:p>
    <w:tbl>
      <w:tblPr>
        <w:tblStyle w:val="TableGrid"/>
        <w:tblW w:w="4907" w:type="pct"/>
        <w:tblInd w:w="108" w:type="dxa"/>
        <w:tblLook w:val="04A0" w:firstRow="1" w:lastRow="0" w:firstColumn="1" w:lastColumn="0" w:noHBand="0" w:noVBand="1"/>
        <w:tblCaption w:val="Table 13: Input data and extrapolation in the comparator arm "/>
      </w:tblPr>
      <w:tblGrid>
        <w:gridCol w:w="710"/>
        <w:gridCol w:w="4548"/>
        <w:gridCol w:w="3813"/>
      </w:tblGrid>
      <w:tr w:rsidR="00A40685" w:rsidRPr="00E70F0E" w:rsidTr="00600987">
        <w:trPr>
          <w:trHeight w:val="295"/>
          <w:tblHeader/>
        </w:trPr>
        <w:tc>
          <w:tcPr>
            <w:tcW w:w="391" w:type="pct"/>
            <w:shd w:val="clear" w:color="auto" w:fill="auto"/>
            <w:vAlign w:val="center"/>
          </w:tcPr>
          <w:p w:rsidR="00A40685" w:rsidRPr="00E70F0E" w:rsidRDefault="00A40685" w:rsidP="007A3C54">
            <w:pPr>
              <w:pStyle w:val="PBACHeading1"/>
              <w:keepNext/>
              <w:numPr>
                <w:ilvl w:val="0"/>
                <w:numId w:val="0"/>
              </w:numPr>
              <w:rPr>
                <w:rFonts w:ascii="Arial Narrow" w:hAnsi="Arial Narrow"/>
                <w:sz w:val="20"/>
                <w:szCs w:val="20"/>
              </w:rPr>
            </w:pPr>
            <w:r w:rsidRPr="00E70F0E">
              <w:rPr>
                <w:rFonts w:ascii="Arial Narrow" w:hAnsi="Arial Narrow"/>
                <w:sz w:val="20"/>
                <w:szCs w:val="20"/>
              </w:rPr>
              <w:t>Years</w:t>
            </w:r>
          </w:p>
        </w:tc>
        <w:tc>
          <w:tcPr>
            <w:tcW w:w="2507" w:type="pct"/>
          </w:tcPr>
          <w:p w:rsidR="00A40685" w:rsidRPr="00E70F0E" w:rsidRDefault="00A40685" w:rsidP="00AA18C4">
            <w:pPr>
              <w:pStyle w:val="TableText0"/>
              <w:jc w:val="center"/>
              <w:rPr>
                <w:b/>
                <w:szCs w:val="20"/>
              </w:rPr>
            </w:pPr>
            <w:r w:rsidRPr="00E70F0E">
              <w:rPr>
                <w:b/>
                <w:szCs w:val="20"/>
              </w:rPr>
              <w:t>RFS</w:t>
            </w:r>
          </w:p>
        </w:tc>
        <w:tc>
          <w:tcPr>
            <w:tcW w:w="2102" w:type="pct"/>
          </w:tcPr>
          <w:p w:rsidR="00A40685" w:rsidRPr="00E70F0E" w:rsidRDefault="00A40685" w:rsidP="00AA18C4">
            <w:pPr>
              <w:pStyle w:val="TableText0"/>
              <w:jc w:val="center"/>
              <w:rPr>
                <w:b/>
                <w:szCs w:val="20"/>
              </w:rPr>
            </w:pPr>
            <w:r w:rsidRPr="00E70F0E">
              <w:rPr>
                <w:b/>
                <w:szCs w:val="20"/>
              </w:rPr>
              <w:t>OS</w:t>
            </w:r>
          </w:p>
        </w:tc>
      </w:tr>
      <w:tr w:rsidR="00A40685" w:rsidRPr="00E70F0E" w:rsidTr="00CF0D48">
        <w:trPr>
          <w:trHeight w:val="506"/>
        </w:trPr>
        <w:tc>
          <w:tcPr>
            <w:tcW w:w="391" w:type="pct"/>
            <w:shd w:val="clear" w:color="auto" w:fill="auto"/>
          </w:tcPr>
          <w:p w:rsidR="00A40685" w:rsidRPr="00E70F0E" w:rsidRDefault="00A40685" w:rsidP="007A3C54">
            <w:pPr>
              <w:pStyle w:val="TableText0"/>
              <w:rPr>
                <w:szCs w:val="20"/>
              </w:rPr>
            </w:pPr>
            <w:r w:rsidRPr="00E70F0E">
              <w:rPr>
                <w:szCs w:val="20"/>
              </w:rPr>
              <w:t xml:space="preserve">0-4 </w:t>
            </w:r>
          </w:p>
        </w:tc>
        <w:tc>
          <w:tcPr>
            <w:tcW w:w="2507" w:type="pct"/>
          </w:tcPr>
          <w:p w:rsidR="00A40685" w:rsidRPr="00E70F0E" w:rsidRDefault="00A40685" w:rsidP="00037F8B">
            <w:pPr>
              <w:pStyle w:val="TableText0"/>
              <w:rPr>
                <w:szCs w:val="20"/>
              </w:rPr>
            </w:pPr>
            <w:r w:rsidRPr="00E70F0E">
              <w:rPr>
                <w:szCs w:val="20"/>
              </w:rPr>
              <w:t>Estimated from KM curves of RFS from the historical control study of the propensity score analysis (ATT weighted methods</w:t>
            </w:r>
            <w:r w:rsidR="00037F8B" w:rsidRPr="00E70F0E">
              <w:rPr>
                <w:szCs w:val="20"/>
              </w:rPr>
              <w:t xml:space="preserve"> in the base case</w:t>
            </w:r>
            <w:r w:rsidRPr="00E70F0E">
              <w:rPr>
                <w:szCs w:val="20"/>
              </w:rPr>
              <w:t>)</w:t>
            </w:r>
          </w:p>
        </w:tc>
        <w:tc>
          <w:tcPr>
            <w:tcW w:w="2102" w:type="pct"/>
          </w:tcPr>
          <w:p w:rsidR="00A40685" w:rsidRPr="00E70F0E" w:rsidRDefault="00A40685" w:rsidP="00037F8B">
            <w:pPr>
              <w:pStyle w:val="TableText0"/>
              <w:rPr>
                <w:szCs w:val="20"/>
              </w:rPr>
            </w:pPr>
            <w:r w:rsidRPr="00E70F0E">
              <w:rPr>
                <w:szCs w:val="20"/>
              </w:rPr>
              <w:t>Estimated from KM curves of OS from the historical control study of the propensity score analysis (ATT in base case)</w:t>
            </w:r>
          </w:p>
        </w:tc>
      </w:tr>
      <w:tr w:rsidR="00A40685" w:rsidRPr="00E70F0E" w:rsidTr="00CF0D48">
        <w:trPr>
          <w:trHeight w:val="506"/>
        </w:trPr>
        <w:tc>
          <w:tcPr>
            <w:tcW w:w="391" w:type="pct"/>
            <w:shd w:val="clear" w:color="auto" w:fill="auto"/>
          </w:tcPr>
          <w:p w:rsidR="00A40685" w:rsidRPr="00E70F0E" w:rsidRDefault="00A40685" w:rsidP="007A3C54">
            <w:pPr>
              <w:pStyle w:val="TableText0"/>
              <w:rPr>
                <w:szCs w:val="20"/>
              </w:rPr>
            </w:pPr>
            <w:r w:rsidRPr="00E70F0E">
              <w:rPr>
                <w:szCs w:val="20"/>
              </w:rPr>
              <w:t xml:space="preserve">4-10 </w:t>
            </w:r>
          </w:p>
        </w:tc>
        <w:tc>
          <w:tcPr>
            <w:tcW w:w="2507" w:type="pct"/>
          </w:tcPr>
          <w:p w:rsidR="00A40685" w:rsidRPr="00E70F0E" w:rsidRDefault="00A40685" w:rsidP="00037F8B">
            <w:pPr>
              <w:pStyle w:val="TableText0"/>
              <w:rPr>
                <w:szCs w:val="20"/>
              </w:rPr>
            </w:pPr>
            <w:r w:rsidRPr="00E70F0E">
              <w:rPr>
                <w:szCs w:val="20"/>
              </w:rPr>
              <w:t>Estimated assuming same probability of events in the KM curves of RFS from the historical control study (DCAS); that is, before the ATT weightings</w:t>
            </w:r>
          </w:p>
        </w:tc>
        <w:tc>
          <w:tcPr>
            <w:tcW w:w="2102" w:type="pct"/>
          </w:tcPr>
          <w:p w:rsidR="00A40685" w:rsidRPr="00E70F0E" w:rsidRDefault="00A40685" w:rsidP="007A3C54">
            <w:pPr>
              <w:pStyle w:val="TableText0"/>
              <w:rPr>
                <w:szCs w:val="20"/>
              </w:rPr>
            </w:pPr>
            <w:r w:rsidRPr="00E70F0E">
              <w:rPr>
                <w:szCs w:val="20"/>
              </w:rPr>
              <w:t>Estimated from KM curves of OS from the historical control study (DCAS). That is, same approach as described for RFS</w:t>
            </w:r>
          </w:p>
        </w:tc>
      </w:tr>
      <w:tr w:rsidR="00A40685" w:rsidRPr="00E70F0E" w:rsidTr="00CF0D48">
        <w:trPr>
          <w:trHeight w:val="295"/>
        </w:trPr>
        <w:tc>
          <w:tcPr>
            <w:tcW w:w="391" w:type="pct"/>
            <w:shd w:val="clear" w:color="auto" w:fill="auto"/>
          </w:tcPr>
          <w:p w:rsidR="00A40685" w:rsidRPr="00E70F0E" w:rsidRDefault="00A40685" w:rsidP="007A3C54">
            <w:pPr>
              <w:pStyle w:val="TableText0"/>
              <w:rPr>
                <w:szCs w:val="20"/>
              </w:rPr>
            </w:pPr>
            <w:r w:rsidRPr="00E70F0E">
              <w:rPr>
                <w:szCs w:val="20"/>
              </w:rPr>
              <w:t xml:space="preserve">10+ </w:t>
            </w:r>
          </w:p>
        </w:tc>
        <w:tc>
          <w:tcPr>
            <w:tcW w:w="2507" w:type="pct"/>
          </w:tcPr>
          <w:p w:rsidR="00A40685" w:rsidRPr="00E70F0E" w:rsidRDefault="00A40685" w:rsidP="007A3C54">
            <w:pPr>
              <w:pStyle w:val="TableText0"/>
              <w:rPr>
                <w:szCs w:val="20"/>
                <w:vertAlign w:val="superscript"/>
              </w:rPr>
            </w:pPr>
            <w:r w:rsidRPr="00E70F0E">
              <w:rPr>
                <w:szCs w:val="20"/>
              </w:rPr>
              <w:t>Assumed to remain constant (i.e. no risk of recurrence after 10 years).</w:t>
            </w:r>
            <w:r w:rsidR="00AA18C4" w:rsidRPr="00E70F0E">
              <w:rPr>
                <w:szCs w:val="20"/>
                <w:vertAlign w:val="superscript"/>
              </w:rPr>
              <w:t>1</w:t>
            </w:r>
            <w:r w:rsidRPr="00E70F0E">
              <w:rPr>
                <w:szCs w:val="20"/>
              </w:rPr>
              <w:t xml:space="preserve"> This assumption is based on RFS data from the historical control study (20120148 study) which demonstrates that patients who are alive at 5 years do not experience a relapse of ALL over the duration of follow-up.</w:t>
            </w:r>
            <w:r w:rsidR="00AA18C4" w:rsidRPr="00E70F0E">
              <w:rPr>
                <w:szCs w:val="20"/>
                <w:vertAlign w:val="superscript"/>
              </w:rPr>
              <w:t>1</w:t>
            </w:r>
          </w:p>
          <w:p w:rsidR="00A40685" w:rsidRPr="00E70F0E" w:rsidRDefault="00A40685" w:rsidP="007A3C54">
            <w:pPr>
              <w:pStyle w:val="TableText0"/>
              <w:rPr>
                <w:szCs w:val="20"/>
              </w:rPr>
            </w:pPr>
            <w:r w:rsidRPr="00E70F0E">
              <w:rPr>
                <w:szCs w:val="20"/>
              </w:rPr>
              <w:t xml:space="preserve">RFS was assumed to equal OS from the point of curve intersection. </w:t>
            </w:r>
          </w:p>
        </w:tc>
        <w:tc>
          <w:tcPr>
            <w:tcW w:w="2102" w:type="pct"/>
          </w:tcPr>
          <w:p w:rsidR="00A40685" w:rsidRPr="00E70F0E" w:rsidRDefault="00A40685" w:rsidP="007A3C54">
            <w:pPr>
              <w:pStyle w:val="TableText0"/>
              <w:rPr>
                <w:szCs w:val="20"/>
              </w:rPr>
            </w:pPr>
            <w:r w:rsidRPr="00E70F0E">
              <w:rPr>
                <w:szCs w:val="20"/>
              </w:rPr>
              <w:t xml:space="preserve">Extrapolated using age-matched general Australian population mortality data (Australian life tables), adjusted using a mortality factor (base case = 4) to account for the potential long-term age-related increase in mortality in ALL patients. </w:t>
            </w:r>
          </w:p>
        </w:tc>
      </w:tr>
    </w:tbl>
    <w:p w:rsidR="00A40685" w:rsidRPr="00E70F0E" w:rsidRDefault="00A40685" w:rsidP="00AA18C4">
      <w:pPr>
        <w:pStyle w:val="Tablefootnote"/>
        <w:keepLines w:val="0"/>
        <w:widowControl w:val="0"/>
        <w:spacing w:after="0"/>
      </w:pPr>
      <w:r w:rsidRPr="00E70F0E">
        <w:t>Abbreviations: DCAS, direct comparison analysis set; KM, Kaplan-Meier; OS, overall survival; RFS, relapse free survival</w:t>
      </w:r>
    </w:p>
    <w:p w:rsidR="00037F8B" w:rsidRPr="00E70F0E" w:rsidRDefault="00037F8B" w:rsidP="00AA18C4">
      <w:pPr>
        <w:pStyle w:val="Tablefootnote"/>
        <w:keepLines w:val="0"/>
        <w:widowControl w:val="0"/>
        <w:spacing w:after="0"/>
      </w:pPr>
      <w:r w:rsidRPr="00E70F0E">
        <w:t>Source: Table 71, p 137 of the submission</w:t>
      </w:r>
    </w:p>
    <w:p w:rsidR="00AA18C4" w:rsidRPr="00E70F0E" w:rsidRDefault="00AA18C4" w:rsidP="00AA18C4">
      <w:pPr>
        <w:spacing w:after="160"/>
      </w:pPr>
      <w:r w:rsidRPr="00E70F0E">
        <w:rPr>
          <w:rFonts w:ascii="Arial Narrow" w:hAnsi="Arial Narrow"/>
          <w:sz w:val="18"/>
          <w:vertAlign w:val="superscript"/>
        </w:rPr>
        <w:t>1</w:t>
      </w:r>
      <w:r w:rsidRPr="00E70F0E">
        <w:rPr>
          <w:rFonts w:ascii="Arial Narrow" w:hAnsi="Arial Narrow"/>
          <w:sz w:val="18"/>
        </w:rPr>
        <w:t xml:space="preserve"> The assumption of cure is explicitly incorporated into survival estimates at 10 years. However, the impact of cure on survival estimates is effectively implemented earlier in the model at 54 months based on a small number of patients from the direct comparison analysis set who do not apparently experience death or relapse (16 patients with follow-up data on relapse-free survival between 54 to 78 months) contributing to mid-term extrapolations (4 to 10 years).</w:t>
      </w:r>
    </w:p>
    <w:p w:rsidR="009E681C" w:rsidRPr="00E70F0E" w:rsidRDefault="00CF0D48" w:rsidP="00CF0D48">
      <w:pPr>
        <w:pStyle w:val="ListParagraph"/>
        <w:numPr>
          <w:ilvl w:val="1"/>
          <w:numId w:val="2"/>
        </w:numPr>
      </w:pPr>
      <w:r w:rsidRPr="00E70F0E">
        <w:t>The ESC considered that the three-phase estimation of survival curves may not be reliable due to underlying differences in patient characteristics and survival trends between data sources as well as the limited availability of long-term patient data.</w:t>
      </w:r>
      <w:r w:rsidR="00296474" w:rsidRPr="00E70F0E">
        <w:t xml:space="preserve"> The ESC also considered that the assumption of cure (for patients remaining in the relapse free health state, effectively implemented at 4.5 years) was not adequately justified in the submission.</w:t>
      </w:r>
      <w:r w:rsidR="009E681C">
        <w:t xml:space="preserve"> </w:t>
      </w:r>
      <w:r w:rsidR="009A120D">
        <w:t>T</w:t>
      </w:r>
      <w:r w:rsidR="009E681C">
        <w:t xml:space="preserve">he PBAC considered </w:t>
      </w:r>
      <w:r w:rsidR="009A120D" w:rsidRPr="009A120D">
        <w:rPr>
          <w:lang w:val="en-US"/>
        </w:rPr>
        <w:t xml:space="preserve">that the clinical evidence </w:t>
      </w:r>
      <w:r w:rsidR="003265C0" w:rsidRPr="009A120D">
        <w:rPr>
          <w:lang w:val="en-US"/>
        </w:rPr>
        <w:t>w</w:t>
      </w:r>
      <w:r w:rsidR="003265C0">
        <w:rPr>
          <w:lang w:val="en-US"/>
        </w:rPr>
        <w:t>as</w:t>
      </w:r>
      <w:r w:rsidR="003265C0" w:rsidRPr="009A120D">
        <w:rPr>
          <w:lang w:val="en-US"/>
        </w:rPr>
        <w:t xml:space="preserve"> </w:t>
      </w:r>
      <w:r w:rsidR="009A120D" w:rsidRPr="009A120D">
        <w:rPr>
          <w:lang w:val="en-US"/>
        </w:rPr>
        <w:t xml:space="preserve">not sufficiently mature or reliable to </w:t>
      </w:r>
      <w:r w:rsidR="003265C0">
        <w:rPr>
          <w:lang w:val="en-US"/>
        </w:rPr>
        <w:t xml:space="preserve">strongly </w:t>
      </w:r>
      <w:r w:rsidR="009A120D" w:rsidRPr="009A120D">
        <w:rPr>
          <w:lang w:val="en-US"/>
        </w:rPr>
        <w:t>support any cure assumptions.</w:t>
      </w:r>
    </w:p>
    <w:p w:rsidR="00E62932" w:rsidRPr="00E92067" w:rsidRDefault="00E62932" w:rsidP="001613D3">
      <w:pPr>
        <w:pStyle w:val="ListParagraph"/>
        <w:numPr>
          <w:ilvl w:val="1"/>
          <w:numId w:val="2"/>
        </w:numPr>
      </w:pPr>
      <w:r w:rsidRPr="00E92067">
        <w:t>A Markov trace of the proportion of patients in each health state over time is presented below</w:t>
      </w:r>
      <w:r w:rsidR="002405C3" w:rsidRPr="00E92067">
        <w:t>.</w:t>
      </w:r>
    </w:p>
    <w:p w:rsidR="00E62932" w:rsidRPr="00E92067" w:rsidRDefault="00E62932" w:rsidP="00E62932">
      <w:pPr>
        <w:pStyle w:val="TableHeading0"/>
        <w:rPr>
          <w:lang w:val="en-US" w:eastAsia="en-AU"/>
        </w:rPr>
      </w:pPr>
      <w:r w:rsidRPr="00E92067">
        <w:rPr>
          <w:lang w:val="en-US" w:eastAsia="en-AU"/>
        </w:rPr>
        <w:t xml:space="preserve">Figure </w:t>
      </w:r>
      <w:r w:rsidR="002325E1">
        <w:rPr>
          <w:lang w:val="en-US" w:eastAsia="en-AU"/>
        </w:rPr>
        <w:t>6</w:t>
      </w:r>
      <w:r w:rsidRPr="00E92067">
        <w:rPr>
          <w:lang w:val="en-US" w:eastAsia="en-AU"/>
        </w:rPr>
        <w:t>: Markov trace of relapse-free, relapsed disease and dead health states</w:t>
      </w:r>
    </w:p>
    <w:p w:rsidR="00E62932" w:rsidRPr="00E92067" w:rsidRDefault="00E62932" w:rsidP="00E62932">
      <w:pPr>
        <w:pStyle w:val="TableFooter"/>
        <w:rPr>
          <w:snapToGrid/>
          <w:lang w:val="en-US" w:eastAsia="en-AU"/>
        </w:rPr>
      </w:pPr>
      <w:r w:rsidRPr="00E92067">
        <w:rPr>
          <w:noProof/>
          <w:snapToGrid/>
          <w:lang w:eastAsia="en-AU"/>
        </w:rPr>
        <w:drawing>
          <wp:inline distT="0" distB="0" distL="0" distR="0" wp14:anchorId="4F96A317" wp14:editId="60FB788E">
            <wp:extent cx="5709920" cy="3727916"/>
            <wp:effectExtent l="0" t="0" r="5080" b="6350"/>
            <wp:docPr id="30" name="Picture 30" title="Figure 6: Markov trace of relapse-free, relapsed disease and dead health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1579" cy="3735528"/>
                    </a:xfrm>
                    <a:prstGeom prst="rect">
                      <a:avLst/>
                    </a:prstGeom>
                    <a:noFill/>
                  </pic:spPr>
                </pic:pic>
              </a:graphicData>
            </a:graphic>
          </wp:inline>
        </w:drawing>
      </w:r>
    </w:p>
    <w:p w:rsidR="00E62932" w:rsidRPr="00E92067" w:rsidRDefault="00E62932" w:rsidP="00E62932">
      <w:pPr>
        <w:pStyle w:val="TableFooter"/>
        <w:rPr>
          <w:snapToGrid/>
          <w:lang w:val="en-US" w:eastAsia="en-AU"/>
        </w:rPr>
      </w:pPr>
      <w:r w:rsidRPr="00E92067">
        <w:rPr>
          <w:snapToGrid/>
          <w:lang w:val="en-US" w:eastAsia="en-AU"/>
        </w:rPr>
        <w:t>Source: adapted during the evaluation based on Figure 35, p.162 of the submission</w:t>
      </w:r>
    </w:p>
    <w:p w:rsidR="00E62932" w:rsidRPr="00E92067" w:rsidRDefault="00E62932" w:rsidP="00E62932"/>
    <w:p w:rsidR="00E62932" w:rsidRPr="00E92067" w:rsidRDefault="00E62932" w:rsidP="001613D3">
      <w:pPr>
        <w:pStyle w:val="ListParagraph"/>
        <w:widowControl/>
        <w:numPr>
          <w:ilvl w:val="1"/>
          <w:numId w:val="2"/>
        </w:numPr>
      </w:pPr>
      <w:r w:rsidRPr="00E92067">
        <w:t>A number of anomalies were apparent in the Markov trace for the model</w:t>
      </w:r>
      <w:r w:rsidR="00F0696E" w:rsidRPr="00E92067">
        <w:t xml:space="preserve"> (circle</w:t>
      </w:r>
      <w:r w:rsidR="00FB6AE5" w:rsidRPr="00E92067">
        <w:t>d</w:t>
      </w:r>
      <w:r w:rsidR="00F0696E" w:rsidRPr="00E92067">
        <w:t xml:space="preserve"> in green in the figure above)</w:t>
      </w:r>
      <w:r w:rsidRPr="00E92067">
        <w:t>:</w:t>
      </w:r>
    </w:p>
    <w:p w:rsidR="00E62932" w:rsidRPr="00E92067" w:rsidRDefault="00E62932" w:rsidP="001613D3">
      <w:pPr>
        <w:pStyle w:val="ListParagraph"/>
        <w:widowControl/>
        <w:numPr>
          <w:ilvl w:val="0"/>
          <w:numId w:val="7"/>
        </w:numPr>
        <w:ind w:left="1106" w:hanging="386"/>
      </w:pPr>
      <w:r w:rsidRPr="00E92067">
        <w:t>A substantial proportion of 'cured' patients in the blinatumomab relapse-free state die</w:t>
      </w:r>
      <w:r w:rsidR="002405C3" w:rsidRPr="00E92067">
        <w:t>d</w:t>
      </w:r>
      <w:r w:rsidRPr="00E92067">
        <w:t xml:space="preserve"> between 6 to 8 years;</w:t>
      </w:r>
    </w:p>
    <w:p w:rsidR="00E62932" w:rsidRPr="00E92067" w:rsidRDefault="00E62932" w:rsidP="001613D3">
      <w:pPr>
        <w:pStyle w:val="ListParagraph"/>
        <w:widowControl/>
        <w:numPr>
          <w:ilvl w:val="0"/>
          <w:numId w:val="7"/>
        </w:numPr>
        <w:ind w:left="1106" w:hanging="386"/>
      </w:pPr>
      <w:r w:rsidRPr="00E92067">
        <w:t>No patients in the consolidation chemotherapy relapse-free state died between 5 to 22 years; and</w:t>
      </w:r>
    </w:p>
    <w:p w:rsidR="00E62932" w:rsidRDefault="00E62932" w:rsidP="001613D3">
      <w:pPr>
        <w:pStyle w:val="ListParagraph"/>
        <w:widowControl/>
        <w:numPr>
          <w:ilvl w:val="0"/>
          <w:numId w:val="7"/>
        </w:numPr>
        <w:ind w:left="1106" w:hanging="386"/>
      </w:pPr>
      <w:r w:rsidRPr="00E92067">
        <w:t xml:space="preserve">A small proportion of patients in the consolidation chemotherapy arm with relapsed disease (who cannot recover) continued to survive for up to 22 years, primarily due to declining risk of death as the model switches to risks observed in the DCAS population (4-10 years) and even lower risks based on the long term ALL survivor assumption (&gt;10 years). </w:t>
      </w:r>
    </w:p>
    <w:p w:rsidR="00AA18C4" w:rsidRPr="00E70F0E" w:rsidRDefault="00AA18C4" w:rsidP="001613D3">
      <w:pPr>
        <w:pStyle w:val="ListParagraph"/>
        <w:widowControl/>
        <w:numPr>
          <w:ilvl w:val="1"/>
          <w:numId w:val="2"/>
        </w:numPr>
      </w:pPr>
      <w:r w:rsidRPr="00E70F0E">
        <w:t>The PSCR argued that the anomalies identified in the model were a minor consequence of the partitioned survival analysis approach. However the ESC considered that</w:t>
      </w:r>
      <w:r w:rsidR="00296474" w:rsidRPr="00E70F0E">
        <w:t xml:space="preserve"> the</w:t>
      </w:r>
      <w:r w:rsidRPr="00E70F0E">
        <w:t xml:space="preserve"> anomalies </w:t>
      </w:r>
      <w:r w:rsidR="002679C7" w:rsidRPr="00E70F0E">
        <w:t>are</w:t>
      </w:r>
      <w:r w:rsidR="008358F8" w:rsidRPr="00E70F0E">
        <w:t xml:space="preserve"> associated with </w:t>
      </w:r>
      <w:r w:rsidRPr="00E70F0E">
        <w:t>underlying structural uncertainty, with an unknown impact</w:t>
      </w:r>
      <w:r w:rsidR="002679C7" w:rsidRPr="00E70F0E">
        <w:t xml:space="preserve"> on the ICER</w:t>
      </w:r>
      <w:r w:rsidRPr="00E70F0E">
        <w:t>.</w:t>
      </w:r>
    </w:p>
    <w:p w:rsidR="00E62932" w:rsidRPr="00E92067" w:rsidRDefault="00E62932" w:rsidP="001613D3">
      <w:pPr>
        <w:pStyle w:val="ListParagraph"/>
        <w:numPr>
          <w:ilvl w:val="1"/>
          <w:numId w:val="2"/>
        </w:numPr>
      </w:pPr>
      <w:r w:rsidRPr="00E92067">
        <w:t>The results of the modelled economic evaluation are summarised below.</w:t>
      </w:r>
    </w:p>
    <w:p w:rsidR="00E62932" w:rsidRPr="00E92067" w:rsidRDefault="00E62932" w:rsidP="00086C84">
      <w:pPr>
        <w:pStyle w:val="TableHeading0"/>
        <w:spacing w:after="0"/>
      </w:pPr>
      <w:r w:rsidRPr="00E92067">
        <w:t>Table 1</w:t>
      </w:r>
      <w:r w:rsidR="00944E02">
        <w:t>4</w:t>
      </w:r>
      <w:r w:rsidRPr="00E92067">
        <w:t xml:space="preserve">: Results of the economic evaluation of blinatumomab versus consolidation chemotherapy </w:t>
      </w:r>
    </w:p>
    <w:tbl>
      <w:tblPr>
        <w:tblW w:w="499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96"/>
        <w:gridCol w:w="2036"/>
        <w:gridCol w:w="2038"/>
        <w:gridCol w:w="2604"/>
      </w:tblGrid>
      <w:tr w:rsidR="00E62932" w:rsidRPr="00E92067" w:rsidTr="00E62932">
        <w:trPr>
          <w:trHeight w:val="469"/>
        </w:trPr>
        <w:tc>
          <w:tcPr>
            <w:tcW w:w="1320" w:type="pct"/>
            <w:vAlign w:val="center"/>
          </w:tcPr>
          <w:p w:rsidR="00E62932" w:rsidRPr="00E92067" w:rsidRDefault="00E62932" w:rsidP="00086C84">
            <w:pPr>
              <w:pStyle w:val="TableText0"/>
              <w:widowControl w:val="0"/>
              <w:spacing w:before="0" w:after="0"/>
              <w:jc w:val="center"/>
              <w:rPr>
                <w:b/>
              </w:rPr>
            </w:pPr>
            <w:r w:rsidRPr="00E92067">
              <w:rPr>
                <w:b/>
              </w:rPr>
              <w:t>Type of resource item</w:t>
            </w:r>
          </w:p>
        </w:tc>
        <w:tc>
          <w:tcPr>
            <w:tcW w:w="1122" w:type="pct"/>
            <w:vAlign w:val="center"/>
          </w:tcPr>
          <w:p w:rsidR="00E62932" w:rsidRPr="00E92067" w:rsidRDefault="00E62932" w:rsidP="00086C84">
            <w:pPr>
              <w:pStyle w:val="TableText0"/>
              <w:widowControl w:val="0"/>
              <w:spacing w:before="0" w:after="0"/>
              <w:jc w:val="center"/>
              <w:rPr>
                <w:b/>
              </w:rPr>
            </w:pPr>
            <w:r w:rsidRPr="00E92067">
              <w:rPr>
                <w:b/>
              </w:rPr>
              <w:t>Blinatumomab</w:t>
            </w:r>
          </w:p>
        </w:tc>
        <w:tc>
          <w:tcPr>
            <w:tcW w:w="1123" w:type="pct"/>
            <w:vAlign w:val="center"/>
          </w:tcPr>
          <w:p w:rsidR="00E62932" w:rsidRPr="00E92067" w:rsidRDefault="00E62932" w:rsidP="00086C84">
            <w:pPr>
              <w:pStyle w:val="TableText0"/>
              <w:widowControl w:val="0"/>
              <w:spacing w:before="0" w:after="0"/>
              <w:jc w:val="center"/>
              <w:rPr>
                <w:b/>
              </w:rPr>
            </w:pPr>
            <w:r w:rsidRPr="00E92067">
              <w:rPr>
                <w:b/>
              </w:rPr>
              <w:t>Consolidation chemotherapy</w:t>
            </w:r>
          </w:p>
        </w:tc>
        <w:tc>
          <w:tcPr>
            <w:tcW w:w="1435" w:type="pct"/>
          </w:tcPr>
          <w:p w:rsidR="00E62932" w:rsidRPr="00E92067" w:rsidRDefault="00E62932" w:rsidP="00086C84">
            <w:pPr>
              <w:pStyle w:val="TableText0"/>
              <w:widowControl w:val="0"/>
              <w:spacing w:before="0" w:after="0"/>
              <w:jc w:val="center"/>
              <w:rPr>
                <w:b/>
              </w:rPr>
            </w:pPr>
            <w:r w:rsidRPr="00E92067">
              <w:rPr>
                <w:b/>
              </w:rPr>
              <w:t xml:space="preserve">Incremental </w:t>
            </w:r>
          </w:p>
          <w:p w:rsidR="00E62932" w:rsidRPr="00E92067" w:rsidRDefault="00E62932" w:rsidP="00086C84">
            <w:pPr>
              <w:pStyle w:val="TableText0"/>
              <w:widowControl w:val="0"/>
              <w:spacing w:before="0" w:after="0"/>
              <w:jc w:val="center"/>
              <w:rPr>
                <w:b/>
              </w:rPr>
            </w:pPr>
            <w:r w:rsidRPr="00E92067">
              <w:rPr>
                <w:b/>
              </w:rPr>
              <w:t>difference</w:t>
            </w:r>
          </w:p>
        </w:tc>
      </w:tr>
      <w:tr w:rsidR="00E62932" w:rsidRPr="00E92067" w:rsidTr="00E62932">
        <w:tc>
          <w:tcPr>
            <w:tcW w:w="1320" w:type="pct"/>
          </w:tcPr>
          <w:p w:rsidR="00E62932" w:rsidRPr="00E92067" w:rsidRDefault="00E62932" w:rsidP="00086C84">
            <w:pPr>
              <w:pStyle w:val="TableText0"/>
              <w:widowControl w:val="0"/>
              <w:spacing w:before="0" w:after="0"/>
            </w:pPr>
            <w:r w:rsidRPr="00E92067">
              <w:t>Costs</w:t>
            </w:r>
          </w:p>
        </w:tc>
        <w:tc>
          <w:tcPr>
            <w:tcW w:w="1122" w:type="pct"/>
            <w:vAlign w:val="bottom"/>
          </w:tcPr>
          <w:p w:rsidR="00E62932" w:rsidRPr="00EC14AD" w:rsidRDefault="00EC14AD" w:rsidP="00086C84">
            <w:pPr>
              <w:pStyle w:val="TableText0"/>
              <w:widowControl w:val="0"/>
              <w:spacing w:before="0" w:after="0"/>
              <w:jc w:val="center"/>
              <w:rPr>
                <w:highlight w:val="black"/>
              </w:rPr>
            </w:pPr>
            <w:r>
              <w:rPr>
                <w:noProof/>
                <w:color w:val="000000"/>
                <w:highlight w:val="black"/>
              </w:rPr>
              <w:t>''''''''''''''''''''''''</w:t>
            </w:r>
          </w:p>
        </w:tc>
        <w:tc>
          <w:tcPr>
            <w:tcW w:w="1123" w:type="pct"/>
            <w:vAlign w:val="bottom"/>
          </w:tcPr>
          <w:p w:rsidR="00E62932" w:rsidRPr="00EC14AD" w:rsidRDefault="00EC14AD" w:rsidP="00086C84">
            <w:pPr>
              <w:pStyle w:val="TableText0"/>
              <w:widowControl w:val="0"/>
              <w:spacing w:before="0" w:after="0"/>
              <w:jc w:val="center"/>
              <w:rPr>
                <w:highlight w:val="black"/>
              </w:rPr>
            </w:pPr>
            <w:r>
              <w:rPr>
                <w:noProof/>
                <w:color w:val="000000"/>
                <w:highlight w:val="black"/>
              </w:rPr>
              <w:t>''''''''''''''''''''''</w:t>
            </w:r>
          </w:p>
        </w:tc>
        <w:tc>
          <w:tcPr>
            <w:tcW w:w="1435" w:type="pct"/>
            <w:vAlign w:val="center"/>
          </w:tcPr>
          <w:p w:rsidR="00E62932" w:rsidRPr="00EC14AD" w:rsidRDefault="00EC14AD" w:rsidP="00086C84">
            <w:pPr>
              <w:pStyle w:val="TableText0"/>
              <w:widowControl w:val="0"/>
              <w:spacing w:before="0" w:after="0"/>
              <w:jc w:val="center"/>
              <w:rPr>
                <w:highlight w:val="black"/>
              </w:rPr>
            </w:pPr>
            <w:r>
              <w:rPr>
                <w:noProof/>
                <w:color w:val="000000"/>
                <w:highlight w:val="black"/>
              </w:rPr>
              <w:t>''''''''''''''''''''</w:t>
            </w:r>
          </w:p>
        </w:tc>
      </w:tr>
      <w:tr w:rsidR="00E62932" w:rsidRPr="00E92067" w:rsidTr="00E62932">
        <w:tc>
          <w:tcPr>
            <w:tcW w:w="1320" w:type="pct"/>
          </w:tcPr>
          <w:p w:rsidR="00E62932" w:rsidRPr="00E92067" w:rsidRDefault="00E62932" w:rsidP="00086C84">
            <w:pPr>
              <w:pStyle w:val="TableText0"/>
              <w:widowControl w:val="0"/>
              <w:spacing w:before="0" w:after="0"/>
            </w:pPr>
            <w:r w:rsidRPr="00E92067">
              <w:t>QALYs</w:t>
            </w:r>
          </w:p>
        </w:tc>
        <w:tc>
          <w:tcPr>
            <w:tcW w:w="1122" w:type="pct"/>
            <w:vAlign w:val="bottom"/>
          </w:tcPr>
          <w:p w:rsidR="00E62932" w:rsidRPr="00E92067" w:rsidRDefault="00E62932" w:rsidP="00086C84">
            <w:pPr>
              <w:pStyle w:val="TableText0"/>
              <w:widowControl w:val="0"/>
              <w:spacing w:before="0" w:after="0"/>
              <w:jc w:val="center"/>
            </w:pPr>
            <w:r w:rsidRPr="00E92067">
              <w:t>5.3820</w:t>
            </w:r>
          </w:p>
        </w:tc>
        <w:tc>
          <w:tcPr>
            <w:tcW w:w="1123" w:type="pct"/>
            <w:vAlign w:val="bottom"/>
          </w:tcPr>
          <w:p w:rsidR="00E62932" w:rsidRPr="00E92067" w:rsidRDefault="00E62932" w:rsidP="00086C84">
            <w:pPr>
              <w:pStyle w:val="TableText0"/>
              <w:widowControl w:val="0"/>
              <w:spacing w:before="0" w:after="0"/>
              <w:jc w:val="center"/>
            </w:pPr>
            <w:r w:rsidRPr="00E92067">
              <w:t>3.6086</w:t>
            </w:r>
          </w:p>
        </w:tc>
        <w:tc>
          <w:tcPr>
            <w:tcW w:w="1435" w:type="pct"/>
            <w:vAlign w:val="center"/>
          </w:tcPr>
          <w:p w:rsidR="00E62932" w:rsidRPr="00E92067" w:rsidRDefault="00E62932" w:rsidP="00086C84">
            <w:pPr>
              <w:pStyle w:val="TableText0"/>
              <w:widowControl w:val="0"/>
              <w:spacing w:before="0" w:after="0"/>
              <w:jc w:val="center"/>
            </w:pPr>
            <w:r w:rsidRPr="00E92067">
              <w:t>1.7734</w:t>
            </w:r>
          </w:p>
        </w:tc>
      </w:tr>
      <w:tr w:rsidR="00E62932" w:rsidRPr="00E92067" w:rsidTr="00E62932">
        <w:tc>
          <w:tcPr>
            <w:tcW w:w="3565" w:type="pct"/>
            <w:gridSpan w:val="3"/>
          </w:tcPr>
          <w:p w:rsidR="00E62932" w:rsidRPr="00E92067" w:rsidRDefault="00E62932" w:rsidP="00086C84">
            <w:pPr>
              <w:pStyle w:val="TableText0"/>
              <w:widowControl w:val="0"/>
              <w:spacing w:before="0" w:after="0"/>
              <w:jc w:val="right"/>
              <w:rPr>
                <w:b/>
              </w:rPr>
            </w:pPr>
            <w:r w:rsidRPr="00E92067">
              <w:rPr>
                <w:b/>
              </w:rPr>
              <w:t>Incremental cost per QALY gained</w:t>
            </w:r>
          </w:p>
        </w:tc>
        <w:tc>
          <w:tcPr>
            <w:tcW w:w="1435" w:type="pct"/>
            <w:vAlign w:val="center"/>
          </w:tcPr>
          <w:p w:rsidR="00E62932" w:rsidRPr="00EC14AD" w:rsidRDefault="00EC14AD" w:rsidP="00086C84">
            <w:pPr>
              <w:pStyle w:val="TableText0"/>
              <w:widowControl w:val="0"/>
              <w:spacing w:before="0" w:after="0"/>
              <w:jc w:val="center"/>
              <w:rPr>
                <w:highlight w:val="black"/>
              </w:rPr>
            </w:pPr>
            <w:r>
              <w:rPr>
                <w:noProof/>
                <w:color w:val="000000"/>
                <w:highlight w:val="black"/>
              </w:rPr>
              <w:t>''''''''''''''''''</w:t>
            </w:r>
          </w:p>
        </w:tc>
      </w:tr>
    </w:tbl>
    <w:p w:rsidR="00673923" w:rsidRPr="00E92067" w:rsidRDefault="00673923" w:rsidP="00086C84">
      <w:pPr>
        <w:pStyle w:val="TableFooter"/>
        <w:keepNext/>
      </w:pPr>
      <w:r w:rsidRPr="00E92067">
        <w:t>Source: Table 91, p163 of the submission</w:t>
      </w:r>
    </w:p>
    <w:p w:rsidR="00E62932" w:rsidRPr="00E92067" w:rsidRDefault="00E62932" w:rsidP="00086C84">
      <w:pPr>
        <w:pStyle w:val="TableFooter"/>
        <w:keepNext/>
      </w:pPr>
      <w:r w:rsidRPr="00E92067">
        <w:t>Abbreviations: QALYs, quality-adjusted life years</w:t>
      </w:r>
    </w:p>
    <w:p w:rsidR="00E62932" w:rsidRDefault="00E62932" w:rsidP="00E62932"/>
    <w:p w:rsidR="00C521BD" w:rsidRPr="00C521BD" w:rsidRDefault="00C521BD" w:rsidP="00E62932">
      <w:pPr>
        <w:rPr>
          <w:rFonts w:asciiTheme="minorHAnsi" w:hAnsiTheme="minorHAnsi" w:cstheme="minorHAnsi"/>
          <w:szCs w:val="24"/>
        </w:rPr>
      </w:pPr>
      <w:r w:rsidRPr="00114F0E">
        <w:rPr>
          <w:rFonts w:asciiTheme="minorHAnsi" w:hAnsiTheme="minorHAnsi" w:cstheme="minorHAnsi"/>
          <w:szCs w:val="24"/>
        </w:rPr>
        <w:t xml:space="preserve">The redacted table shows ICERs in the range of </w:t>
      </w:r>
      <w:r w:rsidRPr="00C521BD">
        <w:rPr>
          <w:rFonts w:asciiTheme="minorHAnsi" w:hAnsiTheme="minorHAnsi" w:cstheme="minorHAnsi"/>
          <w:szCs w:val="24"/>
        </w:rPr>
        <w:t>$45,000/QALY – $75,000/QALY</w:t>
      </w:r>
      <w:r w:rsidRPr="00114F0E">
        <w:rPr>
          <w:rFonts w:asciiTheme="minorHAnsi" w:hAnsiTheme="minorHAnsi" w:cstheme="minorHAnsi"/>
          <w:szCs w:val="24"/>
        </w:rPr>
        <w:t>.</w:t>
      </w:r>
    </w:p>
    <w:p w:rsidR="00C521BD" w:rsidRPr="00E92067" w:rsidRDefault="00C521BD" w:rsidP="00E62932"/>
    <w:p w:rsidR="00E62932" w:rsidRPr="00E92067" w:rsidRDefault="00E62932" w:rsidP="001613D3">
      <w:pPr>
        <w:pStyle w:val="ListParagraph"/>
        <w:widowControl/>
        <w:numPr>
          <w:ilvl w:val="1"/>
          <w:numId w:val="2"/>
        </w:numPr>
      </w:pPr>
      <w:r w:rsidRPr="00E92067">
        <w:t>Based on the economic model, treatment with blinatumomab was associated with a</w:t>
      </w:r>
      <w:r w:rsidR="00F0696E" w:rsidRPr="00E92067">
        <w:t>n incremental</w:t>
      </w:r>
      <w:r w:rsidRPr="00E92067">
        <w:t xml:space="preserve"> cost per QALY gained of </w:t>
      </w:r>
      <w:r w:rsidR="00172784" w:rsidRPr="00C521BD">
        <w:rPr>
          <w:rFonts w:asciiTheme="minorHAnsi" w:hAnsiTheme="minorHAnsi" w:cstheme="minorHAnsi"/>
          <w:szCs w:val="24"/>
        </w:rPr>
        <w:t>$45,000/QALY – $75,000</w:t>
      </w:r>
      <w:r w:rsidRPr="00E92067">
        <w:t>compared to consolidation therapy for the treatment of patients with B-ALL in haematological complete remission with minimal residual disease. The</w:t>
      </w:r>
      <w:r w:rsidR="009A120D">
        <w:t xml:space="preserve"> ESC and the PBAC considered that the </w:t>
      </w:r>
      <w:r w:rsidRPr="00E92067">
        <w:t>cost-effectiveness estimate</w:t>
      </w:r>
      <w:r w:rsidR="009A120D">
        <w:t xml:space="preserve"> was </w:t>
      </w:r>
      <w:r w:rsidRPr="00E92067">
        <w:t>not reliable given major applicability issues, structural limitations and parameter uncertaint</w:t>
      </w:r>
      <w:r w:rsidR="00F0696E" w:rsidRPr="00E92067">
        <w:t>ies</w:t>
      </w:r>
      <w:r w:rsidRPr="00E92067">
        <w:t xml:space="preserve"> </w:t>
      </w:r>
      <w:r w:rsidR="009A120D">
        <w:t xml:space="preserve">outlined in </w:t>
      </w:r>
      <w:r w:rsidR="00F158AA" w:rsidRPr="00E92067">
        <w:t>T</w:t>
      </w:r>
      <w:r w:rsidRPr="00E92067">
        <w:t>able</w:t>
      </w:r>
      <w:r w:rsidR="00F158AA" w:rsidRPr="00E92067">
        <w:t xml:space="preserve"> 12</w:t>
      </w:r>
      <w:r w:rsidRPr="00E92067">
        <w:t xml:space="preserve">. </w:t>
      </w:r>
    </w:p>
    <w:p w:rsidR="00D82EB7" w:rsidRPr="00E92067" w:rsidRDefault="00D82EB7" w:rsidP="001613D3">
      <w:pPr>
        <w:pStyle w:val="ListParagraph"/>
        <w:numPr>
          <w:ilvl w:val="1"/>
          <w:numId w:val="2"/>
        </w:numPr>
      </w:pPr>
      <w:r w:rsidRPr="00E92067">
        <w:t>The</w:t>
      </w:r>
      <w:r w:rsidR="009A120D">
        <w:t xml:space="preserve"> ESC and the PBAC considered that the </w:t>
      </w:r>
      <w:r w:rsidRPr="00E92067">
        <w:t>key issues with the model were:</w:t>
      </w:r>
    </w:p>
    <w:p w:rsidR="00296474" w:rsidRPr="00E70F0E" w:rsidRDefault="00D82EB7" w:rsidP="00F67984">
      <w:pPr>
        <w:pStyle w:val="BodyText"/>
        <w:numPr>
          <w:ilvl w:val="0"/>
          <w:numId w:val="9"/>
        </w:numPr>
        <w:spacing w:after="160"/>
        <w:ind w:left="1106" w:hanging="386"/>
        <w:jc w:val="both"/>
      </w:pPr>
      <w:r w:rsidRPr="00E92067">
        <w:t xml:space="preserve">the clinical evidence </w:t>
      </w:r>
      <w:r w:rsidR="0026720C">
        <w:t xml:space="preserve">did not adequately </w:t>
      </w:r>
      <w:r w:rsidRPr="00E92067">
        <w:t>support</w:t>
      </w:r>
      <w:r w:rsidR="0026720C">
        <w:t xml:space="preserve"> </w:t>
      </w:r>
      <w:r w:rsidR="00A25E65">
        <w:t>or reliably</w:t>
      </w:r>
      <w:r w:rsidR="00F025F2" w:rsidRPr="00E70F0E">
        <w:t xml:space="preserve"> </w:t>
      </w:r>
      <w:r w:rsidR="0043133C" w:rsidRPr="00E70F0E">
        <w:t>quantif</w:t>
      </w:r>
      <w:r w:rsidR="0026720C">
        <w:t>y</w:t>
      </w:r>
      <w:r w:rsidR="0043133C" w:rsidRPr="00296474">
        <w:rPr>
          <w:i/>
        </w:rPr>
        <w:t xml:space="preserve"> </w:t>
      </w:r>
      <w:r w:rsidRPr="00E92067">
        <w:t xml:space="preserve">an improvement in overall survival with blinatumomab treatment compared to consolidation chemotherapy. </w:t>
      </w:r>
      <w:r w:rsidR="00296474" w:rsidRPr="00E70F0E">
        <w:t>The ESC</w:t>
      </w:r>
      <w:r w:rsidR="0026720C">
        <w:t xml:space="preserve"> and the PBAC</w:t>
      </w:r>
      <w:r w:rsidR="00296474" w:rsidRPr="00E70F0E">
        <w:t xml:space="preserve"> considered that the model was sensitive to the choice of analysis method, with the potentially less appropriate </w:t>
      </w:r>
      <w:r w:rsidR="00751370" w:rsidRPr="00E70F0E">
        <w:t xml:space="preserve">method </w:t>
      </w:r>
      <w:r w:rsidR="00F67984" w:rsidRPr="00E70F0E">
        <w:t xml:space="preserve">(ATT) </w:t>
      </w:r>
      <w:r w:rsidR="00296474" w:rsidRPr="00E70F0E">
        <w:t>being used in the base case.</w:t>
      </w:r>
      <w:r w:rsidR="00F67984" w:rsidRPr="00E70F0E">
        <w:t xml:space="preserve"> The ESC</w:t>
      </w:r>
      <w:r w:rsidR="0026720C">
        <w:t xml:space="preserve"> and the PBAC</w:t>
      </w:r>
      <w:r w:rsidR="00F67984" w:rsidRPr="00E70F0E">
        <w:t xml:space="preserve"> noted that the ICER increased from </w:t>
      </w:r>
      <w:r w:rsidR="00172784" w:rsidRPr="00C521BD">
        <w:rPr>
          <w:rFonts w:asciiTheme="minorHAnsi" w:hAnsiTheme="minorHAnsi" w:cstheme="minorHAnsi"/>
          <w:szCs w:val="24"/>
        </w:rPr>
        <w:t>$45,000/QALY – $75,000</w:t>
      </w:r>
      <w:r w:rsidR="00172784" w:rsidRPr="00E70F0E" w:rsidDel="00172784">
        <w:t xml:space="preserve"> </w:t>
      </w:r>
      <w:r w:rsidR="00F67984" w:rsidRPr="00E70F0E">
        <w:t xml:space="preserve">(base case with ATT analysis) to </w:t>
      </w:r>
      <w:r w:rsidR="00172784" w:rsidRPr="00C521BD">
        <w:rPr>
          <w:rFonts w:asciiTheme="minorHAnsi" w:hAnsiTheme="minorHAnsi" w:cstheme="minorHAnsi"/>
          <w:szCs w:val="24"/>
        </w:rPr>
        <w:t>$45,000/QALY – $75,000</w:t>
      </w:r>
      <w:r w:rsidR="00DD0A4E">
        <w:t xml:space="preserve"> </w:t>
      </w:r>
      <w:r w:rsidR="00F67984" w:rsidRPr="00E70F0E">
        <w:t xml:space="preserve">when the ATE analysis was used. </w:t>
      </w:r>
    </w:p>
    <w:p w:rsidR="00D82EB7" w:rsidRPr="00E92067" w:rsidRDefault="00D82EB7" w:rsidP="001613D3">
      <w:pPr>
        <w:pStyle w:val="BodyText"/>
        <w:numPr>
          <w:ilvl w:val="0"/>
          <w:numId w:val="9"/>
        </w:numPr>
        <w:spacing w:after="160"/>
        <w:ind w:left="1106" w:hanging="386"/>
        <w:jc w:val="both"/>
      </w:pPr>
      <w:r w:rsidRPr="00E92067">
        <w:t>the results of the modelled population (adult patients with Philadelphia chromosome negative B-ALL in first haematological complete remission with MRD ≥ 10</w:t>
      </w:r>
      <w:r w:rsidRPr="00E92067">
        <w:rPr>
          <w:vertAlign w:val="superscript"/>
        </w:rPr>
        <w:t>-3</w:t>
      </w:r>
      <w:r w:rsidRPr="00E92067">
        <w:t xml:space="preserve">) </w:t>
      </w:r>
      <w:r w:rsidR="0026720C">
        <w:t xml:space="preserve">may not </w:t>
      </w:r>
      <w:r w:rsidRPr="00E92067">
        <w:t>be appli</w:t>
      </w:r>
      <w:r w:rsidR="0026720C">
        <w:t>cable</w:t>
      </w:r>
      <w:r w:rsidRPr="00E92067">
        <w:t xml:space="preserve"> to the broader proposed PBS population. </w:t>
      </w:r>
      <w:r w:rsidR="00DF743C">
        <w:t xml:space="preserve">The PBAC also considered that the </w:t>
      </w:r>
      <w:r w:rsidRPr="00E92067">
        <w:t xml:space="preserve">modelled circumstances of use for both blinatumomab and consolidation chemotherapy were </w:t>
      </w:r>
      <w:r w:rsidR="00DF743C">
        <w:t xml:space="preserve">not </w:t>
      </w:r>
      <w:r w:rsidRPr="00E92067">
        <w:t xml:space="preserve">representative of Australian clinical practice. </w:t>
      </w:r>
    </w:p>
    <w:p w:rsidR="00D82EB7" w:rsidRPr="00E92067" w:rsidRDefault="00DF743C" w:rsidP="001613D3">
      <w:pPr>
        <w:pStyle w:val="BodyText"/>
        <w:numPr>
          <w:ilvl w:val="0"/>
          <w:numId w:val="9"/>
        </w:numPr>
        <w:spacing w:after="160"/>
        <w:ind w:left="1106" w:hanging="386"/>
        <w:jc w:val="both"/>
      </w:pPr>
      <w:r>
        <w:t xml:space="preserve">The ESC and the PBAC considered that the </w:t>
      </w:r>
      <w:r w:rsidR="00D82EB7" w:rsidRPr="00E92067">
        <w:t xml:space="preserve">modelled estimates </w:t>
      </w:r>
      <w:r>
        <w:t xml:space="preserve">may not be reliable </w:t>
      </w:r>
      <w:r w:rsidR="00D82EB7" w:rsidRPr="00E92067">
        <w:t xml:space="preserve">given structural issues associated with: </w:t>
      </w:r>
      <w:r w:rsidR="0043133C" w:rsidRPr="00E70F0E">
        <w:t xml:space="preserve">the extrapolation of underlying survival based on a three-phase estimate from different sources; </w:t>
      </w:r>
      <w:r w:rsidR="00D82EB7" w:rsidRPr="00E92067">
        <w:t>implementing the cure assumption; the need to adjust relapse-free survival estimates to not exceed overall survival; and the lack of a time on treatment curve.</w:t>
      </w:r>
    </w:p>
    <w:p w:rsidR="00061635" w:rsidRPr="00E70F0E" w:rsidRDefault="00061635" w:rsidP="001613D3">
      <w:pPr>
        <w:pStyle w:val="BodyText"/>
        <w:numPr>
          <w:ilvl w:val="0"/>
          <w:numId w:val="9"/>
        </w:numPr>
        <w:spacing w:after="160"/>
        <w:ind w:left="1106" w:hanging="386"/>
        <w:jc w:val="both"/>
      </w:pPr>
      <w:r w:rsidRPr="00E70F0E">
        <w:t>The submission only included HSCT as a cost item in the economic model. T</w:t>
      </w:r>
      <w:r w:rsidR="00944E02" w:rsidRPr="00E70F0E">
        <w:t xml:space="preserve">he ESC </w:t>
      </w:r>
      <w:r w:rsidR="00DF743C">
        <w:t xml:space="preserve">and the PBAC </w:t>
      </w:r>
      <w:r w:rsidR="00944E02" w:rsidRPr="00E70F0E">
        <w:t xml:space="preserve">considered </w:t>
      </w:r>
      <w:r w:rsidRPr="00E70F0E">
        <w:t xml:space="preserve">this was inappropriate and </w:t>
      </w:r>
      <w:r w:rsidR="00944E02" w:rsidRPr="00E70F0E">
        <w:t xml:space="preserve">that HSCT should have been explicitly included in the economic model </w:t>
      </w:r>
      <w:r w:rsidRPr="00E70F0E">
        <w:t>given</w:t>
      </w:r>
      <w:r w:rsidR="00944E02" w:rsidRPr="00E70F0E">
        <w:t xml:space="preserve"> blinatumomab would increase the likelihood of HSCT in some patients. The ESC</w:t>
      </w:r>
      <w:r w:rsidR="00DF743C">
        <w:t xml:space="preserve"> and the PBAC</w:t>
      </w:r>
      <w:r w:rsidR="00944E02" w:rsidRPr="00E70F0E">
        <w:t xml:space="preserve"> acknowledged there may </w:t>
      </w:r>
      <w:r w:rsidRPr="00E70F0E">
        <w:t>be</w:t>
      </w:r>
      <w:r w:rsidR="00944E02" w:rsidRPr="00E70F0E">
        <w:t xml:space="preserve"> limited data </w:t>
      </w:r>
      <w:r w:rsidRPr="00E70F0E">
        <w:t xml:space="preserve">available </w:t>
      </w:r>
      <w:r w:rsidR="00944E02" w:rsidRPr="00E70F0E">
        <w:t xml:space="preserve">to inform </w:t>
      </w:r>
      <w:r w:rsidRPr="00E70F0E">
        <w:t>assumptions relating to HSCTs</w:t>
      </w:r>
      <w:r w:rsidR="00944E02" w:rsidRPr="00E70F0E">
        <w:t xml:space="preserve">, but considered </w:t>
      </w:r>
      <w:r w:rsidRPr="00E70F0E">
        <w:t xml:space="preserve">inclusion </w:t>
      </w:r>
      <w:r w:rsidR="00944E02" w:rsidRPr="00E70F0E">
        <w:t>would be appropriate given that HSCT was a treatment effect modifier</w:t>
      </w:r>
      <w:r w:rsidRPr="00E70F0E">
        <w:t xml:space="preserve"> (blinatumomab was not associated with any improvement in overall survival in patients undergoing HSCT)</w:t>
      </w:r>
      <w:r w:rsidR="00A41441">
        <w:t xml:space="preserve"> and </w:t>
      </w:r>
      <w:r w:rsidRPr="00E70F0E">
        <w:t>is a major clinical event with its own risks, benefits and costs</w:t>
      </w:r>
      <w:r w:rsidR="002679C7" w:rsidRPr="00E70F0E">
        <w:t>, and therefore should have been explicitly modelled</w:t>
      </w:r>
      <w:r w:rsidRPr="00E70F0E">
        <w:t>.</w:t>
      </w:r>
    </w:p>
    <w:p w:rsidR="00D82EB7" w:rsidRPr="00E92067" w:rsidRDefault="00D82EB7" w:rsidP="001613D3">
      <w:pPr>
        <w:pStyle w:val="BodyText"/>
        <w:numPr>
          <w:ilvl w:val="0"/>
          <w:numId w:val="9"/>
        </w:numPr>
        <w:spacing w:after="160"/>
        <w:ind w:left="1106" w:hanging="386"/>
        <w:jc w:val="both"/>
      </w:pPr>
      <w:r w:rsidRPr="00E92067">
        <w:t xml:space="preserve">The </w:t>
      </w:r>
      <w:r w:rsidR="00DF743C">
        <w:t xml:space="preserve">ESC and the PBAC considered that the </w:t>
      </w:r>
      <w:r w:rsidRPr="00E92067">
        <w:t xml:space="preserve">treatment, downstream management, salvage therapy and health state costs </w:t>
      </w:r>
      <w:r w:rsidR="00DF743C">
        <w:t xml:space="preserve">may not be reliable </w:t>
      </w:r>
      <w:r w:rsidRPr="00E92067">
        <w:t>given substantial uncertainties with the sources and calculations of all costs.</w:t>
      </w:r>
    </w:p>
    <w:p w:rsidR="00D82EB7" w:rsidRPr="00E70F0E" w:rsidRDefault="00D82EB7" w:rsidP="001613D3">
      <w:pPr>
        <w:pStyle w:val="BodyText"/>
        <w:numPr>
          <w:ilvl w:val="0"/>
          <w:numId w:val="9"/>
        </w:numPr>
        <w:spacing w:after="160"/>
        <w:ind w:left="1106" w:hanging="386"/>
        <w:jc w:val="both"/>
      </w:pPr>
      <w:r w:rsidRPr="00E92067">
        <w:t>The</w:t>
      </w:r>
      <w:r w:rsidR="00DF743C">
        <w:t>re was a</w:t>
      </w:r>
      <w:r w:rsidRPr="00E92067">
        <w:t xml:space="preserve"> lack of adequate documentation or validation to support utility values estimated through a complex multi-step approach.</w:t>
      </w:r>
      <w:r w:rsidR="0043133C">
        <w:t xml:space="preserve"> </w:t>
      </w:r>
      <w:r w:rsidR="0043133C" w:rsidRPr="00E70F0E">
        <w:t xml:space="preserve">The PSCR provided additional documentation regarding the calculation of the utility values used in the submission. However, overall EQ-5D results for the BLAST study were not provided and the explanation of methods was incomplete. The ESC </w:t>
      </w:r>
      <w:r w:rsidR="00DF743C">
        <w:t xml:space="preserve">and the PBAC </w:t>
      </w:r>
      <w:r w:rsidR="00944E02" w:rsidRPr="00E70F0E">
        <w:t>consider</w:t>
      </w:r>
      <w:r w:rsidR="0043133C" w:rsidRPr="00E70F0E">
        <w:t>ed that the utility values had a moderate impact on the ICER.</w:t>
      </w:r>
    </w:p>
    <w:p w:rsidR="008358F8" w:rsidRDefault="008358F8" w:rsidP="001613D3">
      <w:pPr>
        <w:pStyle w:val="BodyText"/>
        <w:numPr>
          <w:ilvl w:val="0"/>
          <w:numId w:val="9"/>
        </w:numPr>
        <w:spacing w:after="160"/>
        <w:ind w:left="1106" w:hanging="386"/>
        <w:jc w:val="both"/>
      </w:pPr>
      <w:r w:rsidRPr="00E70F0E">
        <w:t xml:space="preserve">The ESC </w:t>
      </w:r>
      <w:r w:rsidR="00DF743C">
        <w:t xml:space="preserve">and the PBAC </w:t>
      </w:r>
      <w:r w:rsidRPr="00E70F0E">
        <w:t>also considered that the submission had underestimated costs in the blinatumomab arm as hospitalisation costs were based on the minimum recommended time stated in the Product Information (3 days for the first cycle, 2 days in subsequent cycles) rather than the observed time in the BLAST study (average of 9 days in the first cycle and 3 to 6 days in subsequent cycles).</w:t>
      </w:r>
    </w:p>
    <w:p w:rsidR="00B60514" w:rsidRPr="00E70F0E" w:rsidRDefault="00B60514" w:rsidP="001613D3">
      <w:pPr>
        <w:pStyle w:val="BodyText"/>
        <w:numPr>
          <w:ilvl w:val="0"/>
          <w:numId w:val="9"/>
        </w:numPr>
        <w:spacing w:after="160"/>
        <w:ind w:left="1106" w:hanging="386"/>
        <w:jc w:val="both"/>
      </w:pPr>
      <w:r>
        <w:t>Further, the PBAC noted that t</w:t>
      </w:r>
      <w:r w:rsidRPr="00B60514">
        <w:t xml:space="preserve">he submission did not address the costs, accuracy and likely impacts on health outcomes due to MRD testing. </w:t>
      </w:r>
    </w:p>
    <w:p w:rsidR="00E62932" w:rsidRPr="00E92067" w:rsidRDefault="00E62932" w:rsidP="001613D3">
      <w:pPr>
        <w:pStyle w:val="ListParagraph"/>
        <w:numPr>
          <w:ilvl w:val="1"/>
          <w:numId w:val="2"/>
        </w:numPr>
      </w:pPr>
      <w:r w:rsidRPr="00E92067">
        <w:t>The results of key sensitivity analyses are summarised below.</w:t>
      </w:r>
    </w:p>
    <w:p w:rsidR="00E62932" w:rsidRPr="00E92067" w:rsidRDefault="00E62932" w:rsidP="00FB6AE5">
      <w:pPr>
        <w:keepNext/>
        <w:keepLines/>
        <w:rPr>
          <w:rStyle w:val="CommentReference"/>
        </w:rPr>
      </w:pPr>
      <w:r w:rsidRPr="00E92067">
        <w:rPr>
          <w:rStyle w:val="CommentReference"/>
        </w:rPr>
        <w:t xml:space="preserve">Table </w:t>
      </w:r>
      <w:r w:rsidR="00F158AA" w:rsidRPr="00E92067">
        <w:rPr>
          <w:rStyle w:val="CommentReference"/>
        </w:rPr>
        <w:t>1</w:t>
      </w:r>
      <w:r w:rsidR="00944E02">
        <w:rPr>
          <w:rStyle w:val="CommentReference"/>
        </w:rPr>
        <w:t>5</w:t>
      </w:r>
      <w:r w:rsidRPr="00E92067">
        <w:rPr>
          <w:rStyle w:val="CommentReference"/>
        </w:rPr>
        <w:t>:  Results of sensitivity analyses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275"/>
        <w:gridCol w:w="1276"/>
        <w:gridCol w:w="1056"/>
      </w:tblGrid>
      <w:tr w:rsidR="00E62932" w:rsidRPr="00E92067" w:rsidTr="009901AE">
        <w:trPr>
          <w:tblHeader/>
        </w:trPr>
        <w:tc>
          <w:tcPr>
            <w:tcW w:w="5529" w:type="dxa"/>
          </w:tcPr>
          <w:p w:rsidR="00E62932" w:rsidRPr="00E92067" w:rsidRDefault="00E62932" w:rsidP="00FB6AE5">
            <w:pPr>
              <w:pStyle w:val="Tabletext"/>
              <w:keepNext/>
              <w:keepLines/>
              <w:tabs>
                <w:tab w:val="left" w:pos="142"/>
              </w:tabs>
              <w:rPr>
                <w:b/>
              </w:rPr>
            </w:pPr>
            <w:r w:rsidRPr="00E92067">
              <w:rPr>
                <w:b/>
              </w:rPr>
              <w:t>Analyses</w:t>
            </w:r>
          </w:p>
        </w:tc>
        <w:tc>
          <w:tcPr>
            <w:tcW w:w="1275" w:type="dxa"/>
          </w:tcPr>
          <w:p w:rsidR="00E62932" w:rsidRPr="00E92067" w:rsidRDefault="00E62932" w:rsidP="00FB6AE5">
            <w:pPr>
              <w:pStyle w:val="Tabletext"/>
              <w:keepNext/>
              <w:keepLines/>
              <w:jc w:val="center"/>
              <w:rPr>
                <w:b/>
              </w:rPr>
            </w:pPr>
            <w:r w:rsidRPr="00E92067">
              <w:rPr>
                <w:b/>
              </w:rPr>
              <w:t>Incremental cost</w:t>
            </w:r>
          </w:p>
        </w:tc>
        <w:tc>
          <w:tcPr>
            <w:tcW w:w="1276" w:type="dxa"/>
          </w:tcPr>
          <w:p w:rsidR="00E62932" w:rsidRPr="00E92067" w:rsidRDefault="00E62932" w:rsidP="00FB6AE5">
            <w:pPr>
              <w:pStyle w:val="Tabletext"/>
              <w:keepNext/>
              <w:keepLines/>
              <w:jc w:val="center"/>
              <w:rPr>
                <w:b/>
              </w:rPr>
            </w:pPr>
            <w:r w:rsidRPr="00E92067">
              <w:rPr>
                <w:b/>
              </w:rPr>
              <w:t>Incremental QALY</w:t>
            </w:r>
          </w:p>
        </w:tc>
        <w:tc>
          <w:tcPr>
            <w:tcW w:w="1056" w:type="dxa"/>
          </w:tcPr>
          <w:p w:rsidR="00E62932" w:rsidRPr="00E92067" w:rsidRDefault="00E62932" w:rsidP="00FB6AE5">
            <w:pPr>
              <w:pStyle w:val="Tabletext"/>
              <w:keepNext/>
              <w:keepLines/>
              <w:jc w:val="center"/>
              <w:rPr>
                <w:b/>
              </w:rPr>
            </w:pPr>
            <w:r w:rsidRPr="00E92067">
              <w:rPr>
                <w:b/>
              </w:rPr>
              <w:t>ICER</w:t>
            </w:r>
          </w:p>
        </w:tc>
      </w:tr>
      <w:tr w:rsidR="00E62932" w:rsidRPr="00E92067" w:rsidTr="009901AE">
        <w:tc>
          <w:tcPr>
            <w:tcW w:w="5529" w:type="dxa"/>
          </w:tcPr>
          <w:p w:rsidR="00E62932" w:rsidRPr="00E92067" w:rsidRDefault="00E62932" w:rsidP="00FB6AE5">
            <w:pPr>
              <w:pStyle w:val="Tabletext"/>
              <w:keepNext/>
              <w:keepLines/>
              <w:tabs>
                <w:tab w:val="left" w:pos="142"/>
              </w:tabs>
              <w:rPr>
                <w:b/>
              </w:rPr>
            </w:pPr>
            <w:r w:rsidRPr="00E92067">
              <w:rPr>
                <w:b/>
              </w:rPr>
              <w:t>Base case</w:t>
            </w:r>
          </w:p>
        </w:tc>
        <w:tc>
          <w:tcPr>
            <w:tcW w:w="1275" w:type="dxa"/>
          </w:tcPr>
          <w:p w:rsidR="00E62932" w:rsidRPr="00EC14AD" w:rsidRDefault="00EC14AD" w:rsidP="00FB6AE5">
            <w:pPr>
              <w:pStyle w:val="Tabletext"/>
              <w:keepNext/>
              <w:keepLines/>
              <w:jc w:val="center"/>
              <w:rPr>
                <w:b/>
                <w:highlight w:val="black"/>
              </w:rPr>
            </w:pPr>
            <w:r>
              <w:rPr>
                <w:b/>
                <w:noProof/>
                <w:color w:val="000000"/>
                <w:highlight w:val="black"/>
              </w:rPr>
              <w:t>'''''''''''''''''</w:t>
            </w:r>
          </w:p>
        </w:tc>
        <w:tc>
          <w:tcPr>
            <w:tcW w:w="1276" w:type="dxa"/>
          </w:tcPr>
          <w:p w:rsidR="00E62932" w:rsidRPr="00E92067" w:rsidRDefault="00E62932" w:rsidP="00FB6AE5">
            <w:pPr>
              <w:pStyle w:val="Tabletext"/>
              <w:keepNext/>
              <w:keepLines/>
              <w:jc w:val="center"/>
              <w:rPr>
                <w:b/>
              </w:rPr>
            </w:pPr>
            <w:r w:rsidRPr="00E92067">
              <w:rPr>
                <w:b/>
              </w:rPr>
              <w:t>1.7734</w:t>
            </w:r>
          </w:p>
        </w:tc>
        <w:tc>
          <w:tcPr>
            <w:tcW w:w="1056" w:type="dxa"/>
          </w:tcPr>
          <w:p w:rsidR="00E62932" w:rsidRPr="00EC14AD" w:rsidRDefault="00EC14AD" w:rsidP="00FB6AE5">
            <w:pPr>
              <w:pStyle w:val="Tabletext"/>
              <w:keepNext/>
              <w:keepLines/>
              <w:jc w:val="center"/>
              <w:rPr>
                <w:b/>
                <w:highlight w:val="black"/>
              </w:rPr>
            </w:pPr>
            <w:r>
              <w:rPr>
                <w:b/>
                <w:noProof/>
                <w:color w:val="000000"/>
                <w:highlight w:val="black"/>
              </w:rPr>
              <w:t>''''''''''''''''</w:t>
            </w:r>
          </w:p>
        </w:tc>
      </w:tr>
      <w:tr w:rsidR="00E62932" w:rsidRPr="00E92067" w:rsidTr="009901AE">
        <w:tc>
          <w:tcPr>
            <w:tcW w:w="9136" w:type="dxa"/>
            <w:gridSpan w:val="4"/>
          </w:tcPr>
          <w:p w:rsidR="00E62932" w:rsidRPr="00E92067" w:rsidRDefault="00E62932" w:rsidP="00FB6AE5">
            <w:pPr>
              <w:pStyle w:val="Tabletext"/>
              <w:keepNext/>
              <w:keepLines/>
            </w:pPr>
            <w:r w:rsidRPr="00E92067">
              <w:t>Time horizon (base case 30 years)</w:t>
            </w:r>
          </w:p>
        </w:tc>
      </w:tr>
      <w:tr w:rsidR="00E62932" w:rsidRPr="00E92067" w:rsidTr="009901AE">
        <w:tc>
          <w:tcPr>
            <w:tcW w:w="5529" w:type="dxa"/>
          </w:tcPr>
          <w:p w:rsidR="00E62932" w:rsidRPr="00E92067" w:rsidRDefault="00E62932" w:rsidP="00FB6AE5">
            <w:pPr>
              <w:pStyle w:val="Tabletext"/>
              <w:keepNext/>
              <w:keepLines/>
              <w:tabs>
                <w:tab w:val="left" w:pos="142"/>
              </w:tabs>
              <w:ind w:left="142"/>
            </w:pPr>
            <w:r w:rsidRPr="00E92067">
              <w:t>20 years</w:t>
            </w:r>
          </w:p>
        </w:tc>
        <w:tc>
          <w:tcPr>
            <w:tcW w:w="1275" w:type="dxa"/>
          </w:tcPr>
          <w:p w:rsidR="00E62932" w:rsidRPr="00EC14AD" w:rsidRDefault="00EC14AD" w:rsidP="00FB6AE5">
            <w:pPr>
              <w:pStyle w:val="Tabletext"/>
              <w:keepNext/>
              <w:keepLines/>
              <w:jc w:val="center"/>
              <w:rPr>
                <w:highlight w:val="black"/>
              </w:rPr>
            </w:pPr>
            <w:r>
              <w:rPr>
                <w:noProof/>
                <w:color w:val="000000"/>
                <w:highlight w:val="black"/>
              </w:rPr>
              <w:t>'''''''''''''''''''</w:t>
            </w:r>
          </w:p>
        </w:tc>
        <w:tc>
          <w:tcPr>
            <w:tcW w:w="1276" w:type="dxa"/>
          </w:tcPr>
          <w:p w:rsidR="00E62932" w:rsidRPr="00E92067" w:rsidRDefault="00E62932" w:rsidP="00FB6AE5">
            <w:pPr>
              <w:pStyle w:val="Tabletext"/>
              <w:keepNext/>
              <w:keepLines/>
              <w:jc w:val="center"/>
            </w:pPr>
            <w:r w:rsidRPr="00E92067">
              <w:t>1.5632</w:t>
            </w:r>
          </w:p>
        </w:tc>
        <w:tc>
          <w:tcPr>
            <w:tcW w:w="1056" w:type="dxa"/>
          </w:tcPr>
          <w:p w:rsidR="00E62932" w:rsidRPr="00EC14AD" w:rsidRDefault="00EC14AD" w:rsidP="00FB6AE5">
            <w:pPr>
              <w:pStyle w:val="Tabletext"/>
              <w:keepNext/>
              <w:keepLines/>
              <w:jc w:val="center"/>
              <w:rPr>
                <w:highlight w:val="black"/>
              </w:rPr>
            </w:pPr>
            <w:r>
              <w:rPr>
                <w:noProof/>
                <w:color w:val="000000"/>
                <w:highlight w:val="black"/>
              </w:rPr>
              <w:t>''''''''''''''''''''''</w:t>
            </w:r>
          </w:p>
        </w:tc>
      </w:tr>
      <w:tr w:rsidR="00E62932" w:rsidRPr="00E92067" w:rsidTr="009901AE">
        <w:tc>
          <w:tcPr>
            <w:tcW w:w="5529" w:type="dxa"/>
          </w:tcPr>
          <w:p w:rsidR="00E62932" w:rsidRPr="00E92067" w:rsidRDefault="00E62932" w:rsidP="00FB6AE5">
            <w:pPr>
              <w:pStyle w:val="Tabletext"/>
              <w:keepNext/>
              <w:keepLines/>
              <w:tabs>
                <w:tab w:val="left" w:pos="142"/>
              </w:tabs>
              <w:ind w:left="142"/>
            </w:pPr>
            <w:r w:rsidRPr="00E92067">
              <w:t>10 years</w:t>
            </w:r>
          </w:p>
        </w:tc>
        <w:tc>
          <w:tcPr>
            <w:tcW w:w="1275" w:type="dxa"/>
          </w:tcPr>
          <w:p w:rsidR="00E62932" w:rsidRPr="00EC14AD" w:rsidRDefault="00EC14AD" w:rsidP="00FB6AE5">
            <w:pPr>
              <w:pStyle w:val="Tabletext"/>
              <w:keepNext/>
              <w:keepLines/>
              <w:jc w:val="center"/>
              <w:rPr>
                <w:highlight w:val="black"/>
              </w:rPr>
            </w:pPr>
            <w:r>
              <w:rPr>
                <w:noProof/>
                <w:color w:val="000000"/>
                <w:highlight w:val="black"/>
              </w:rPr>
              <w:t>''''''''''''''''''''</w:t>
            </w:r>
          </w:p>
        </w:tc>
        <w:tc>
          <w:tcPr>
            <w:tcW w:w="1276" w:type="dxa"/>
          </w:tcPr>
          <w:p w:rsidR="00E62932" w:rsidRPr="00E92067" w:rsidRDefault="00E62932" w:rsidP="00FB6AE5">
            <w:pPr>
              <w:pStyle w:val="Tabletext"/>
              <w:keepNext/>
              <w:keepLines/>
              <w:jc w:val="center"/>
            </w:pPr>
            <w:r w:rsidRPr="00E92067">
              <w:t>1.0866</w:t>
            </w:r>
          </w:p>
        </w:tc>
        <w:tc>
          <w:tcPr>
            <w:tcW w:w="1056" w:type="dxa"/>
          </w:tcPr>
          <w:p w:rsidR="00E62932" w:rsidRPr="00EC14AD" w:rsidRDefault="00EC14AD" w:rsidP="00FB6AE5">
            <w:pPr>
              <w:pStyle w:val="Tabletext"/>
              <w:keepNext/>
              <w:keepLines/>
              <w:jc w:val="center"/>
              <w:rPr>
                <w:highlight w:val="black"/>
              </w:rPr>
            </w:pPr>
            <w:r>
              <w:rPr>
                <w:noProof/>
                <w:color w:val="000000"/>
                <w:highlight w:val="black"/>
              </w:rPr>
              <w:t>'''''''''''''''''''''</w:t>
            </w:r>
          </w:p>
        </w:tc>
      </w:tr>
      <w:tr w:rsidR="00E62932" w:rsidRPr="00E92067" w:rsidTr="009901AE">
        <w:tc>
          <w:tcPr>
            <w:tcW w:w="5529" w:type="dxa"/>
          </w:tcPr>
          <w:p w:rsidR="00E62932" w:rsidRPr="00E92067" w:rsidRDefault="00E62932" w:rsidP="00FB6AE5">
            <w:pPr>
              <w:pStyle w:val="Tabletext"/>
              <w:keepNext/>
              <w:keepLines/>
              <w:tabs>
                <w:tab w:val="left" w:pos="142"/>
              </w:tabs>
              <w:ind w:left="142"/>
            </w:pPr>
            <w:r w:rsidRPr="00E92067">
              <w:t>5 years</w:t>
            </w:r>
          </w:p>
        </w:tc>
        <w:tc>
          <w:tcPr>
            <w:tcW w:w="1275" w:type="dxa"/>
          </w:tcPr>
          <w:p w:rsidR="00E62932" w:rsidRPr="00EC14AD" w:rsidRDefault="00EC14AD" w:rsidP="00FB6AE5">
            <w:pPr>
              <w:pStyle w:val="Tabletext"/>
              <w:keepNext/>
              <w:keepLines/>
              <w:jc w:val="center"/>
              <w:rPr>
                <w:highlight w:val="black"/>
              </w:rPr>
            </w:pPr>
            <w:r>
              <w:rPr>
                <w:noProof/>
                <w:color w:val="000000"/>
                <w:highlight w:val="black"/>
              </w:rPr>
              <w:t>'''''''''''''''''''''''</w:t>
            </w:r>
          </w:p>
        </w:tc>
        <w:tc>
          <w:tcPr>
            <w:tcW w:w="1276" w:type="dxa"/>
          </w:tcPr>
          <w:p w:rsidR="00E62932" w:rsidRPr="00E92067" w:rsidRDefault="00E62932" w:rsidP="00FB6AE5">
            <w:pPr>
              <w:pStyle w:val="Tabletext"/>
              <w:keepNext/>
              <w:keepLines/>
              <w:jc w:val="center"/>
            </w:pPr>
            <w:r w:rsidRPr="00E92067">
              <w:t>0.6303</w:t>
            </w:r>
          </w:p>
        </w:tc>
        <w:tc>
          <w:tcPr>
            <w:tcW w:w="1056" w:type="dxa"/>
          </w:tcPr>
          <w:p w:rsidR="00E62932" w:rsidRPr="00EC14AD" w:rsidRDefault="00EC14AD" w:rsidP="00FB6AE5">
            <w:pPr>
              <w:pStyle w:val="Tabletext"/>
              <w:keepNext/>
              <w:keepLines/>
              <w:jc w:val="center"/>
              <w:rPr>
                <w:highlight w:val="black"/>
              </w:rPr>
            </w:pPr>
            <w:r>
              <w:rPr>
                <w:noProof/>
                <w:color w:val="000000"/>
                <w:highlight w:val="black"/>
              </w:rPr>
              <w:t>'''''''''''''''''''''</w:t>
            </w:r>
          </w:p>
        </w:tc>
      </w:tr>
      <w:tr w:rsidR="00E62932" w:rsidRPr="00E92067" w:rsidTr="009901AE">
        <w:tc>
          <w:tcPr>
            <w:tcW w:w="9136" w:type="dxa"/>
            <w:gridSpan w:val="4"/>
          </w:tcPr>
          <w:p w:rsidR="00E62932" w:rsidRPr="00E92067" w:rsidRDefault="00E62932" w:rsidP="00FB6AE5">
            <w:pPr>
              <w:pStyle w:val="Tabletext"/>
              <w:keepNext/>
              <w:keepLines/>
              <w:jc w:val="both"/>
            </w:pPr>
            <w:r w:rsidRPr="00E92067">
              <w:t>Blinatumomab treatment effect (base case ATT weighting with fixed HR of 0.42 (RFS) and 0.58 (OS) for blinatumomab vs. consolidation chemotherapy)</w:t>
            </w:r>
          </w:p>
        </w:tc>
      </w:tr>
      <w:tr w:rsidR="00E62932" w:rsidRPr="00E92067" w:rsidTr="009901AE">
        <w:tc>
          <w:tcPr>
            <w:tcW w:w="5529" w:type="dxa"/>
          </w:tcPr>
          <w:p w:rsidR="00E62932" w:rsidRPr="00E92067" w:rsidRDefault="00E62932" w:rsidP="00FB6AE5">
            <w:pPr>
              <w:pStyle w:val="Tabletext"/>
              <w:keepNext/>
              <w:keepLines/>
              <w:tabs>
                <w:tab w:val="left" w:pos="142"/>
              </w:tabs>
              <w:ind w:left="142"/>
            </w:pPr>
            <w:r w:rsidRPr="00E92067">
              <w:t>ATE weighting with fixed HR of 0.47 (RFS) and 0.68 (OS)</w:t>
            </w:r>
          </w:p>
        </w:tc>
        <w:tc>
          <w:tcPr>
            <w:tcW w:w="1275" w:type="dxa"/>
          </w:tcPr>
          <w:p w:rsidR="00E62932" w:rsidRPr="00EC14AD" w:rsidRDefault="00EC14AD" w:rsidP="00FB6AE5">
            <w:pPr>
              <w:pStyle w:val="Tabletext"/>
              <w:keepNext/>
              <w:keepLines/>
              <w:jc w:val="center"/>
              <w:rPr>
                <w:highlight w:val="black"/>
              </w:rPr>
            </w:pPr>
            <w:r>
              <w:rPr>
                <w:noProof/>
                <w:color w:val="000000"/>
                <w:highlight w:val="black"/>
              </w:rPr>
              <w:t>'''''''''''''''''</w:t>
            </w:r>
          </w:p>
        </w:tc>
        <w:tc>
          <w:tcPr>
            <w:tcW w:w="1276" w:type="dxa"/>
          </w:tcPr>
          <w:p w:rsidR="00E62932" w:rsidRPr="00E92067" w:rsidRDefault="00E62932" w:rsidP="00FB6AE5">
            <w:pPr>
              <w:pStyle w:val="Tabletext"/>
              <w:keepNext/>
              <w:keepLines/>
              <w:jc w:val="center"/>
            </w:pPr>
            <w:r w:rsidRPr="00E92067">
              <w:t>1.2814</w:t>
            </w:r>
          </w:p>
        </w:tc>
        <w:tc>
          <w:tcPr>
            <w:tcW w:w="1056" w:type="dxa"/>
          </w:tcPr>
          <w:p w:rsidR="00E62932" w:rsidRPr="00EC14AD" w:rsidRDefault="00EC14AD" w:rsidP="00FB6AE5">
            <w:pPr>
              <w:pStyle w:val="Tabletext"/>
              <w:keepNext/>
              <w:keepLines/>
              <w:jc w:val="center"/>
              <w:rPr>
                <w:highlight w:val="black"/>
              </w:rPr>
            </w:pPr>
            <w:r>
              <w:rPr>
                <w:noProof/>
                <w:color w:val="000000"/>
                <w:highlight w:val="black"/>
              </w:rPr>
              <w:t>''''''''''''''''''</w:t>
            </w:r>
          </w:p>
        </w:tc>
      </w:tr>
      <w:tr w:rsidR="00E62932" w:rsidRPr="00E92067" w:rsidTr="009901AE">
        <w:tc>
          <w:tcPr>
            <w:tcW w:w="5529" w:type="dxa"/>
          </w:tcPr>
          <w:p w:rsidR="00E62932" w:rsidRPr="00E92067" w:rsidRDefault="00E62932" w:rsidP="00FB6AE5">
            <w:pPr>
              <w:pStyle w:val="Tabletext"/>
              <w:keepNext/>
              <w:keepLines/>
              <w:tabs>
                <w:tab w:val="left" w:pos="142"/>
              </w:tabs>
              <w:ind w:left="142"/>
              <w:rPr>
                <w:vertAlign w:val="superscript"/>
              </w:rPr>
            </w:pPr>
            <w:r w:rsidRPr="00E92067">
              <w:t>ATE weighting with fixed HR of 0.30 (RFS) and 0.42 (OS)</w:t>
            </w:r>
            <w:r w:rsidRPr="00E92067">
              <w:rPr>
                <w:vertAlign w:val="superscript"/>
              </w:rPr>
              <w:t>a</w:t>
            </w:r>
          </w:p>
        </w:tc>
        <w:tc>
          <w:tcPr>
            <w:tcW w:w="1275" w:type="dxa"/>
          </w:tcPr>
          <w:p w:rsidR="00E62932" w:rsidRPr="00EC14AD" w:rsidRDefault="00EC14AD" w:rsidP="00FB6AE5">
            <w:pPr>
              <w:pStyle w:val="Tabletext"/>
              <w:keepNext/>
              <w:keepLines/>
              <w:jc w:val="center"/>
              <w:rPr>
                <w:highlight w:val="black"/>
              </w:rPr>
            </w:pPr>
            <w:r>
              <w:rPr>
                <w:noProof/>
                <w:color w:val="000000"/>
                <w:highlight w:val="black"/>
              </w:rPr>
              <w:t>'''''''''''''''''''''</w:t>
            </w:r>
          </w:p>
        </w:tc>
        <w:tc>
          <w:tcPr>
            <w:tcW w:w="1276" w:type="dxa"/>
          </w:tcPr>
          <w:p w:rsidR="00E62932" w:rsidRPr="00E92067" w:rsidRDefault="00E62932" w:rsidP="00FB6AE5">
            <w:pPr>
              <w:pStyle w:val="Tabletext"/>
              <w:keepNext/>
              <w:keepLines/>
              <w:jc w:val="center"/>
            </w:pPr>
            <w:r w:rsidRPr="00E92067">
              <w:t>2.6220</w:t>
            </w:r>
          </w:p>
        </w:tc>
        <w:tc>
          <w:tcPr>
            <w:tcW w:w="1056" w:type="dxa"/>
          </w:tcPr>
          <w:p w:rsidR="00E62932" w:rsidRPr="00EC14AD" w:rsidRDefault="00EC14AD" w:rsidP="00FB6AE5">
            <w:pPr>
              <w:pStyle w:val="Tabletext"/>
              <w:keepNext/>
              <w:keepLines/>
              <w:jc w:val="center"/>
              <w:rPr>
                <w:highlight w:val="black"/>
              </w:rPr>
            </w:pPr>
            <w:r>
              <w:rPr>
                <w:noProof/>
                <w:color w:val="000000"/>
                <w:highlight w:val="black"/>
              </w:rPr>
              <w:t>''''''''''''''''''''</w:t>
            </w:r>
          </w:p>
        </w:tc>
      </w:tr>
      <w:tr w:rsidR="00E62932" w:rsidRPr="00E92067" w:rsidTr="009901AE">
        <w:tc>
          <w:tcPr>
            <w:tcW w:w="5529" w:type="dxa"/>
          </w:tcPr>
          <w:p w:rsidR="00E62932" w:rsidRPr="00E92067" w:rsidRDefault="00E62932" w:rsidP="00FB6AE5">
            <w:pPr>
              <w:pStyle w:val="Tabletext"/>
              <w:keepNext/>
              <w:keepLines/>
              <w:tabs>
                <w:tab w:val="left" w:pos="142"/>
              </w:tabs>
              <w:ind w:left="142"/>
            </w:pPr>
            <w:r w:rsidRPr="00E92067">
              <w:t>ATE weighting with fixed HR of 0.73 (RFS) and 1.09 (OS)</w:t>
            </w:r>
            <w:r w:rsidRPr="00E92067">
              <w:rPr>
                <w:vertAlign w:val="superscript"/>
              </w:rPr>
              <w:t>b</w:t>
            </w:r>
          </w:p>
        </w:tc>
        <w:tc>
          <w:tcPr>
            <w:tcW w:w="1275" w:type="dxa"/>
          </w:tcPr>
          <w:p w:rsidR="00E62932" w:rsidRPr="00EC14AD" w:rsidRDefault="00EC14AD" w:rsidP="00FB6AE5">
            <w:pPr>
              <w:pStyle w:val="Tabletext"/>
              <w:keepNext/>
              <w:keepLines/>
              <w:jc w:val="center"/>
              <w:rPr>
                <w:highlight w:val="black"/>
              </w:rPr>
            </w:pPr>
            <w:r>
              <w:rPr>
                <w:noProof/>
                <w:color w:val="000000"/>
                <w:highlight w:val="black"/>
              </w:rPr>
              <w:t>''''''''''''''''''</w:t>
            </w:r>
          </w:p>
        </w:tc>
        <w:tc>
          <w:tcPr>
            <w:tcW w:w="1276" w:type="dxa"/>
          </w:tcPr>
          <w:p w:rsidR="00E62932" w:rsidRPr="00E92067" w:rsidRDefault="00E62932" w:rsidP="00FB6AE5">
            <w:pPr>
              <w:pStyle w:val="Tabletext"/>
              <w:keepNext/>
              <w:keepLines/>
              <w:jc w:val="center"/>
            </w:pPr>
            <w:r w:rsidRPr="00E92067">
              <w:t>-0.1525</w:t>
            </w:r>
          </w:p>
        </w:tc>
        <w:tc>
          <w:tcPr>
            <w:tcW w:w="1056" w:type="dxa"/>
          </w:tcPr>
          <w:p w:rsidR="00E62932" w:rsidRPr="00E92067" w:rsidRDefault="00E62932" w:rsidP="00FB6AE5">
            <w:pPr>
              <w:pStyle w:val="Tabletext"/>
              <w:keepNext/>
              <w:keepLines/>
              <w:jc w:val="center"/>
            </w:pPr>
            <w:r w:rsidRPr="00E92067">
              <w:t>Dominated</w:t>
            </w:r>
          </w:p>
        </w:tc>
      </w:tr>
      <w:tr w:rsidR="00E62932" w:rsidRPr="00E92067" w:rsidTr="009901AE">
        <w:tc>
          <w:tcPr>
            <w:tcW w:w="5529" w:type="dxa"/>
          </w:tcPr>
          <w:p w:rsidR="00E62932" w:rsidRPr="00E92067" w:rsidRDefault="00E62932" w:rsidP="00FB6AE5">
            <w:pPr>
              <w:pStyle w:val="Tabletext"/>
              <w:keepNext/>
              <w:keepLines/>
              <w:tabs>
                <w:tab w:val="left" w:pos="142"/>
              </w:tabs>
              <w:ind w:left="142"/>
              <w:rPr>
                <w:vertAlign w:val="superscript"/>
              </w:rPr>
            </w:pPr>
            <w:r w:rsidRPr="00E92067">
              <w:t>ATT weighting with fixed HR of 0.29 (RFS) and 0.37 (OS)</w:t>
            </w:r>
            <w:r w:rsidRPr="00E92067">
              <w:rPr>
                <w:vertAlign w:val="superscript"/>
              </w:rPr>
              <w:t>a</w:t>
            </w:r>
          </w:p>
        </w:tc>
        <w:tc>
          <w:tcPr>
            <w:tcW w:w="1275" w:type="dxa"/>
          </w:tcPr>
          <w:p w:rsidR="00E62932" w:rsidRPr="00EC14AD" w:rsidRDefault="00EC14AD" w:rsidP="00FB6AE5">
            <w:pPr>
              <w:pStyle w:val="Tabletext"/>
              <w:keepNext/>
              <w:keepLines/>
              <w:jc w:val="center"/>
              <w:rPr>
                <w:highlight w:val="black"/>
              </w:rPr>
            </w:pPr>
            <w:r>
              <w:rPr>
                <w:noProof/>
                <w:color w:val="000000"/>
                <w:highlight w:val="black"/>
              </w:rPr>
              <w:t>''''''''''''''''''''''</w:t>
            </w:r>
          </w:p>
        </w:tc>
        <w:tc>
          <w:tcPr>
            <w:tcW w:w="1276" w:type="dxa"/>
          </w:tcPr>
          <w:p w:rsidR="00E62932" w:rsidRPr="00E92067" w:rsidRDefault="00E62932" w:rsidP="00FB6AE5">
            <w:pPr>
              <w:pStyle w:val="Tabletext"/>
              <w:keepNext/>
              <w:keepLines/>
              <w:jc w:val="center"/>
            </w:pPr>
            <w:r w:rsidRPr="00E92067">
              <w:t>2.9012</w:t>
            </w:r>
          </w:p>
        </w:tc>
        <w:tc>
          <w:tcPr>
            <w:tcW w:w="1056" w:type="dxa"/>
          </w:tcPr>
          <w:p w:rsidR="00E62932" w:rsidRPr="00EC14AD" w:rsidRDefault="00EC14AD" w:rsidP="00FB6AE5">
            <w:pPr>
              <w:pStyle w:val="Tabletext"/>
              <w:keepNext/>
              <w:keepLines/>
              <w:jc w:val="center"/>
              <w:rPr>
                <w:highlight w:val="black"/>
              </w:rPr>
            </w:pPr>
            <w:r>
              <w:rPr>
                <w:noProof/>
                <w:color w:val="000000"/>
                <w:highlight w:val="black"/>
              </w:rPr>
              <w:t>''''''''''''''''''''</w:t>
            </w:r>
          </w:p>
        </w:tc>
      </w:tr>
      <w:tr w:rsidR="00E62932" w:rsidRPr="00E92067" w:rsidTr="009901AE">
        <w:tc>
          <w:tcPr>
            <w:tcW w:w="5529" w:type="dxa"/>
          </w:tcPr>
          <w:p w:rsidR="00E62932" w:rsidRPr="00E92067" w:rsidRDefault="00E62932" w:rsidP="00FB6AE5">
            <w:pPr>
              <w:pStyle w:val="Tabletext"/>
              <w:keepNext/>
              <w:keepLines/>
              <w:tabs>
                <w:tab w:val="left" w:pos="142"/>
              </w:tabs>
              <w:ind w:left="142"/>
              <w:rPr>
                <w:vertAlign w:val="superscript"/>
              </w:rPr>
            </w:pPr>
            <w:r w:rsidRPr="00E92067">
              <w:t>ATT weighting with fixed HR of 0.60 (RFS) and 0.91 (OS)</w:t>
            </w:r>
            <w:r w:rsidRPr="00E92067">
              <w:rPr>
                <w:vertAlign w:val="superscript"/>
              </w:rPr>
              <w:t>b</w:t>
            </w:r>
          </w:p>
        </w:tc>
        <w:tc>
          <w:tcPr>
            <w:tcW w:w="1275" w:type="dxa"/>
          </w:tcPr>
          <w:p w:rsidR="00E62932" w:rsidRPr="00EC14AD" w:rsidRDefault="00EC14AD" w:rsidP="00FB6AE5">
            <w:pPr>
              <w:pStyle w:val="Tabletext"/>
              <w:keepNext/>
              <w:keepLines/>
              <w:jc w:val="center"/>
              <w:rPr>
                <w:highlight w:val="black"/>
              </w:rPr>
            </w:pPr>
            <w:r>
              <w:rPr>
                <w:noProof/>
                <w:color w:val="000000"/>
                <w:highlight w:val="black"/>
              </w:rPr>
              <w:t>'''''''''''''''''''''</w:t>
            </w:r>
          </w:p>
        </w:tc>
        <w:tc>
          <w:tcPr>
            <w:tcW w:w="1276" w:type="dxa"/>
          </w:tcPr>
          <w:p w:rsidR="00E62932" w:rsidRPr="00E92067" w:rsidRDefault="00E62932" w:rsidP="00FB6AE5">
            <w:pPr>
              <w:pStyle w:val="Tabletext"/>
              <w:keepNext/>
              <w:keepLines/>
              <w:jc w:val="center"/>
            </w:pPr>
            <w:r w:rsidRPr="00E92067">
              <w:t>0.4262</w:t>
            </w:r>
          </w:p>
        </w:tc>
        <w:tc>
          <w:tcPr>
            <w:tcW w:w="1056" w:type="dxa"/>
          </w:tcPr>
          <w:p w:rsidR="00E62932" w:rsidRPr="00EC14AD" w:rsidRDefault="00EC14AD" w:rsidP="00FB6AE5">
            <w:pPr>
              <w:pStyle w:val="Tabletext"/>
              <w:keepNext/>
              <w:keepLines/>
              <w:jc w:val="center"/>
              <w:rPr>
                <w:highlight w:val="black"/>
              </w:rPr>
            </w:pPr>
            <w:r>
              <w:rPr>
                <w:noProof/>
                <w:color w:val="000000"/>
                <w:highlight w:val="black"/>
              </w:rPr>
              <w:t>''''''''''''''''''''''</w:t>
            </w:r>
          </w:p>
        </w:tc>
      </w:tr>
      <w:tr w:rsidR="009901AE" w:rsidRPr="00E92067" w:rsidTr="009901AE">
        <w:tc>
          <w:tcPr>
            <w:tcW w:w="9136" w:type="dxa"/>
            <w:gridSpan w:val="4"/>
          </w:tcPr>
          <w:p w:rsidR="009901AE" w:rsidRPr="006C160D" w:rsidRDefault="009901AE" w:rsidP="009901AE">
            <w:pPr>
              <w:pStyle w:val="Tabletext"/>
              <w:keepNext/>
              <w:keepLines/>
            </w:pPr>
            <w:r w:rsidRPr="006C160D">
              <w:t>Drug administration costs (base case blinatumomab $8,491, consolidation chemotherapy $26,756)</w:t>
            </w:r>
          </w:p>
        </w:tc>
      </w:tr>
      <w:tr w:rsidR="009901AE" w:rsidRPr="00E92067" w:rsidTr="009901AE">
        <w:tc>
          <w:tcPr>
            <w:tcW w:w="5529" w:type="dxa"/>
          </w:tcPr>
          <w:p w:rsidR="009901AE" w:rsidRPr="006C160D" w:rsidRDefault="009901AE" w:rsidP="00FB6AE5">
            <w:pPr>
              <w:pStyle w:val="Tabletext"/>
              <w:keepNext/>
              <w:keepLines/>
              <w:tabs>
                <w:tab w:val="left" w:pos="142"/>
              </w:tabs>
              <w:ind w:left="142"/>
            </w:pPr>
            <w:r w:rsidRPr="006C160D">
              <w:t>No administration costs in both arms</w:t>
            </w:r>
          </w:p>
        </w:tc>
        <w:tc>
          <w:tcPr>
            <w:tcW w:w="1275" w:type="dxa"/>
          </w:tcPr>
          <w:p w:rsidR="009901AE" w:rsidRPr="00EC14AD" w:rsidRDefault="00EC14AD" w:rsidP="00FB6AE5">
            <w:pPr>
              <w:pStyle w:val="Tabletext"/>
              <w:keepNext/>
              <w:keepLines/>
              <w:jc w:val="center"/>
              <w:rPr>
                <w:highlight w:val="black"/>
              </w:rPr>
            </w:pPr>
            <w:r>
              <w:rPr>
                <w:noProof/>
                <w:color w:val="000000"/>
                <w:highlight w:val="black"/>
              </w:rPr>
              <w:t>'''''''''''''''''''''</w:t>
            </w:r>
          </w:p>
        </w:tc>
        <w:tc>
          <w:tcPr>
            <w:tcW w:w="1276" w:type="dxa"/>
          </w:tcPr>
          <w:p w:rsidR="009901AE" w:rsidRPr="006C160D" w:rsidRDefault="009901AE" w:rsidP="00FB6AE5">
            <w:pPr>
              <w:pStyle w:val="Tabletext"/>
              <w:keepNext/>
              <w:keepLines/>
              <w:jc w:val="center"/>
            </w:pPr>
            <w:r w:rsidRPr="006C160D">
              <w:t>1.7734</w:t>
            </w:r>
          </w:p>
        </w:tc>
        <w:tc>
          <w:tcPr>
            <w:tcW w:w="1056" w:type="dxa"/>
          </w:tcPr>
          <w:p w:rsidR="009901AE" w:rsidRPr="00EC14AD" w:rsidRDefault="00EC14AD" w:rsidP="00FB6AE5">
            <w:pPr>
              <w:pStyle w:val="Tabletext"/>
              <w:keepNext/>
              <w:keepLines/>
              <w:jc w:val="center"/>
              <w:rPr>
                <w:highlight w:val="black"/>
              </w:rPr>
            </w:pPr>
            <w:r>
              <w:rPr>
                <w:noProof/>
                <w:color w:val="000000"/>
                <w:highlight w:val="black"/>
              </w:rPr>
              <w:t>''''''''''''''''''''''</w:t>
            </w:r>
          </w:p>
        </w:tc>
      </w:tr>
      <w:tr w:rsidR="00E62932" w:rsidRPr="00E92067" w:rsidTr="009901AE">
        <w:tc>
          <w:tcPr>
            <w:tcW w:w="9136" w:type="dxa"/>
            <w:gridSpan w:val="4"/>
          </w:tcPr>
          <w:p w:rsidR="00E62932" w:rsidRPr="00E92067" w:rsidRDefault="00E62932" w:rsidP="00FB6AE5">
            <w:pPr>
              <w:pStyle w:val="Tabletext"/>
              <w:keepNext/>
              <w:keepLines/>
            </w:pPr>
            <w:r w:rsidRPr="00E92067">
              <w:t xml:space="preserve">Overall survival extrapolation (base case curves do not converge at model endpoint of 30 years) </w:t>
            </w:r>
          </w:p>
        </w:tc>
      </w:tr>
      <w:tr w:rsidR="00E62932" w:rsidRPr="00E92067" w:rsidTr="009901AE">
        <w:tc>
          <w:tcPr>
            <w:tcW w:w="5529" w:type="dxa"/>
          </w:tcPr>
          <w:p w:rsidR="00E62932" w:rsidRPr="00E92067" w:rsidRDefault="00E62932" w:rsidP="00FB6AE5">
            <w:pPr>
              <w:pStyle w:val="Tabletext"/>
              <w:keepNext/>
              <w:keepLines/>
              <w:tabs>
                <w:tab w:val="left" w:pos="142"/>
              </w:tabs>
              <w:ind w:left="142"/>
            </w:pPr>
            <w:r w:rsidRPr="00E92067">
              <w:t>Convergence starts at 4 years and ends at 10 years</w:t>
            </w:r>
          </w:p>
        </w:tc>
        <w:tc>
          <w:tcPr>
            <w:tcW w:w="1275" w:type="dxa"/>
          </w:tcPr>
          <w:p w:rsidR="00E62932" w:rsidRPr="00EC14AD" w:rsidRDefault="00EC14AD" w:rsidP="00FB6AE5">
            <w:pPr>
              <w:pStyle w:val="Tabletext"/>
              <w:keepNext/>
              <w:keepLines/>
              <w:jc w:val="center"/>
              <w:rPr>
                <w:highlight w:val="black"/>
              </w:rPr>
            </w:pPr>
            <w:r>
              <w:rPr>
                <w:noProof/>
                <w:color w:val="000000"/>
                <w:highlight w:val="black"/>
              </w:rPr>
              <w:t>''''''''''''''''''''</w:t>
            </w:r>
          </w:p>
        </w:tc>
        <w:tc>
          <w:tcPr>
            <w:tcW w:w="1276" w:type="dxa"/>
          </w:tcPr>
          <w:p w:rsidR="00E62932" w:rsidRPr="00E92067" w:rsidRDefault="00E62932" w:rsidP="00FB6AE5">
            <w:pPr>
              <w:pStyle w:val="Tabletext"/>
              <w:keepNext/>
              <w:keepLines/>
              <w:jc w:val="center"/>
            </w:pPr>
            <w:r w:rsidRPr="00E92067">
              <w:t>0.8506</w:t>
            </w:r>
          </w:p>
        </w:tc>
        <w:tc>
          <w:tcPr>
            <w:tcW w:w="1056" w:type="dxa"/>
          </w:tcPr>
          <w:p w:rsidR="00E62932" w:rsidRPr="00EC14AD" w:rsidRDefault="00EC14AD" w:rsidP="00FB6AE5">
            <w:pPr>
              <w:pStyle w:val="Tabletext"/>
              <w:keepNext/>
              <w:keepLines/>
              <w:jc w:val="center"/>
              <w:rPr>
                <w:highlight w:val="black"/>
              </w:rPr>
            </w:pPr>
            <w:r>
              <w:rPr>
                <w:noProof/>
                <w:color w:val="000000"/>
                <w:highlight w:val="black"/>
              </w:rPr>
              <w:t>'''''''''''''''''''''''</w:t>
            </w:r>
          </w:p>
        </w:tc>
      </w:tr>
      <w:tr w:rsidR="00E62932" w:rsidRPr="00E92067" w:rsidTr="009901AE">
        <w:tc>
          <w:tcPr>
            <w:tcW w:w="5529" w:type="dxa"/>
          </w:tcPr>
          <w:p w:rsidR="00E62932" w:rsidRPr="00E92067" w:rsidRDefault="00E62932" w:rsidP="00FB6AE5">
            <w:pPr>
              <w:pStyle w:val="Tabletext"/>
              <w:keepNext/>
              <w:keepLines/>
              <w:tabs>
                <w:tab w:val="left" w:pos="142"/>
              </w:tabs>
              <w:ind w:left="142"/>
            </w:pPr>
            <w:r w:rsidRPr="00E92067">
              <w:t>Convergence starts at 4 years and ends at 20 years</w:t>
            </w:r>
          </w:p>
        </w:tc>
        <w:tc>
          <w:tcPr>
            <w:tcW w:w="1275" w:type="dxa"/>
          </w:tcPr>
          <w:p w:rsidR="00E62932" w:rsidRPr="00EC14AD" w:rsidRDefault="00EC14AD" w:rsidP="00FB6AE5">
            <w:pPr>
              <w:pStyle w:val="Tabletext"/>
              <w:keepNext/>
              <w:keepLines/>
              <w:jc w:val="center"/>
              <w:rPr>
                <w:highlight w:val="black"/>
              </w:rPr>
            </w:pPr>
            <w:r>
              <w:rPr>
                <w:noProof/>
                <w:color w:val="000000"/>
                <w:highlight w:val="black"/>
              </w:rPr>
              <w:t>'''''''''''''''''''''''</w:t>
            </w:r>
          </w:p>
        </w:tc>
        <w:tc>
          <w:tcPr>
            <w:tcW w:w="1276" w:type="dxa"/>
          </w:tcPr>
          <w:p w:rsidR="00E62932" w:rsidRPr="00E92067" w:rsidRDefault="00E62932" w:rsidP="00FB6AE5">
            <w:pPr>
              <w:pStyle w:val="Tabletext"/>
              <w:keepNext/>
              <w:keepLines/>
              <w:jc w:val="center"/>
            </w:pPr>
            <w:r w:rsidRPr="00E92067">
              <w:t>1.3511</w:t>
            </w:r>
          </w:p>
        </w:tc>
        <w:tc>
          <w:tcPr>
            <w:tcW w:w="1056" w:type="dxa"/>
          </w:tcPr>
          <w:p w:rsidR="00E62932" w:rsidRPr="00EC14AD" w:rsidRDefault="00EC14AD" w:rsidP="00FB6AE5">
            <w:pPr>
              <w:pStyle w:val="Tabletext"/>
              <w:keepNext/>
              <w:keepLines/>
              <w:jc w:val="center"/>
              <w:rPr>
                <w:highlight w:val="black"/>
              </w:rPr>
            </w:pPr>
            <w:r>
              <w:rPr>
                <w:noProof/>
                <w:color w:val="000000"/>
                <w:highlight w:val="black"/>
              </w:rPr>
              <w:t>''''''''''''''''''</w:t>
            </w:r>
          </w:p>
        </w:tc>
      </w:tr>
      <w:tr w:rsidR="00E62932" w:rsidRPr="00E92067" w:rsidTr="009901AE">
        <w:tc>
          <w:tcPr>
            <w:tcW w:w="5529" w:type="dxa"/>
          </w:tcPr>
          <w:p w:rsidR="00E62932" w:rsidRPr="00E92067" w:rsidRDefault="00E62932" w:rsidP="00FB6AE5">
            <w:pPr>
              <w:pStyle w:val="Tabletext"/>
              <w:keepNext/>
              <w:keepLines/>
              <w:tabs>
                <w:tab w:val="left" w:pos="142"/>
              </w:tabs>
              <w:ind w:left="142"/>
            </w:pPr>
            <w:r w:rsidRPr="00E92067">
              <w:t xml:space="preserve">Convergence starts at 4 years and ends at 30 years </w:t>
            </w:r>
          </w:p>
        </w:tc>
        <w:tc>
          <w:tcPr>
            <w:tcW w:w="1275" w:type="dxa"/>
          </w:tcPr>
          <w:p w:rsidR="00E62932" w:rsidRPr="00EC14AD" w:rsidRDefault="00EC14AD" w:rsidP="00FB6AE5">
            <w:pPr>
              <w:pStyle w:val="Tabletext"/>
              <w:keepNext/>
              <w:keepLines/>
              <w:jc w:val="center"/>
              <w:rPr>
                <w:highlight w:val="black"/>
              </w:rPr>
            </w:pPr>
            <w:r>
              <w:rPr>
                <w:noProof/>
                <w:color w:val="000000"/>
                <w:highlight w:val="black"/>
              </w:rPr>
              <w:t>''''''''''''''''''''</w:t>
            </w:r>
          </w:p>
        </w:tc>
        <w:tc>
          <w:tcPr>
            <w:tcW w:w="1276" w:type="dxa"/>
          </w:tcPr>
          <w:p w:rsidR="00E62932" w:rsidRPr="00E92067" w:rsidRDefault="00E62932" w:rsidP="00FB6AE5">
            <w:pPr>
              <w:pStyle w:val="Tabletext"/>
              <w:keepNext/>
              <w:keepLines/>
              <w:jc w:val="center"/>
            </w:pPr>
            <w:r w:rsidRPr="00E92067">
              <w:t>1.7010</w:t>
            </w:r>
          </w:p>
        </w:tc>
        <w:tc>
          <w:tcPr>
            <w:tcW w:w="1056" w:type="dxa"/>
          </w:tcPr>
          <w:p w:rsidR="00E62932" w:rsidRPr="00EC14AD" w:rsidRDefault="00EC14AD" w:rsidP="00FB6AE5">
            <w:pPr>
              <w:pStyle w:val="Tabletext"/>
              <w:keepNext/>
              <w:keepLines/>
              <w:jc w:val="center"/>
              <w:rPr>
                <w:highlight w:val="black"/>
              </w:rPr>
            </w:pPr>
            <w:r>
              <w:rPr>
                <w:noProof/>
                <w:color w:val="000000"/>
                <w:highlight w:val="black"/>
              </w:rPr>
              <w:t>''''''''''''''''''</w:t>
            </w:r>
          </w:p>
        </w:tc>
      </w:tr>
      <w:tr w:rsidR="00E62932" w:rsidRPr="00E92067" w:rsidTr="009901AE">
        <w:tc>
          <w:tcPr>
            <w:tcW w:w="9136" w:type="dxa"/>
            <w:gridSpan w:val="4"/>
          </w:tcPr>
          <w:p w:rsidR="00E62932" w:rsidRPr="00E92067" w:rsidRDefault="00E62932" w:rsidP="00FB6AE5">
            <w:pPr>
              <w:pStyle w:val="Tabletext"/>
              <w:keepNext/>
              <w:keepLines/>
              <w:rPr>
                <w:vertAlign w:val="superscript"/>
              </w:rPr>
            </w:pPr>
            <w:r w:rsidRPr="00E92067">
              <w:t>Difference in total relapse-free disease management costs due to MRD response (base case blinatumomab, 79.6% with MRD response; consolidation chemotherapy, 0% with MRD response; difference of $23,032)</w:t>
            </w:r>
            <w:r w:rsidRPr="00E92067">
              <w:rPr>
                <w:vertAlign w:val="superscript"/>
              </w:rPr>
              <w:t>c</w:t>
            </w:r>
          </w:p>
        </w:tc>
      </w:tr>
      <w:tr w:rsidR="00E62932" w:rsidRPr="00E92067" w:rsidTr="009901AE">
        <w:tc>
          <w:tcPr>
            <w:tcW w:w="5529" w:type="dxa"/>
          </w:tcPr>
          <w:p w:rsidR="00E62932" w:rsidRPr="00E92067" w:rsidRDefault="00E62932" w:rsidP="00FB6AE5">
            <w:pPr>
              <w:pStyle w:val="Tabletext"/>
              <w:keepNext/>
              <w:keepLines/>
              <w:tabs>
                <w:tab w:val="left" w:pos="142"/>
              </w:tabs>
              <w:ind w:left="142"/>
            </w:pPr>
            <w:r w:rsidRPr="00E92067">
              <w:t>No difference between arms</w:t>
            </w:r>
          </w:p>
        </w:tc>
        <w:tc>
          <w:tcPr>
            <w:tcW w:w="1275" w:type="dxa"/>
          </w:tcPr>
          <w:p w:rsidR="00E62932" w:rsidRPr="00EC14AD" w:rsidRDefault="00EC14AD" w:rsidP="00FB6AE5">
            <w:pPr>
              <w:pStyle w:val="Tabletext"/>
              <w:keepNext/>
              <w:keepLines/>
              <w:jc w:val="center"/>
              <w:rPr>
                <w:highlight w:val="black"/>
              </w:rPr>
            </w:pPr>
            <w:r>
              <w:rPr>
                <w:noProof/>
                <w:color w:val="000000"/>
                <w:highlight w:val="black"/>
              </w:rPr>
              <w:t>''''''''''''''''''''''''</w:t>
            </w:r>
          </w:p>
        </w:tc>
        <w:tc>
          <w:tcPr>
            <w:tcW w:w="1276" w:type="dxa"/>
          </w:tcPr>
          <w:p w:rsidR="00E62932" w:rsidRPr="00E92067" w:rsidRDefault="00E62932" w:rsidP="00FB6AE5">
            <w:pPr>
              <w:pStyle w:val="Tabletext"/>
              <w:keepNext/>
              <w:keepLines/>
              <w:jc w:val="center"/>
            </w:pPr>
            <w:r w:rsidRPr="00E92067">
              <w:t>1.7734</w:t>
            </w:r>
          </w:p>
        </w:tc>
        <w:tc>
          <w:tcPr>
            <w:tcW w:w="1056" w:type="dxa"/>
          </w:tcPr>
          <w:p w:rsidR="00E62932" w:rsidRPr="00EC14AD" w:rsidRDefault="00EC14AD" w:rsidP="00FB6AE5">
            <w:pPr>
              <w:pStyle w:val="Tabletext"/>
              <w:keepNext/>
              <w:keepLines/>
              <w:jc w:val="center"/>
              <w:rPr>
                <w:highlight w:val="black"/>
              </w:rPr>
            </w:pPr>
            <w:r>
              <w:rPr>
                <w:noProof/>
                <w:color w:val="000000"/>
                <w:highlight w:val="black"/>
              </w:rPr>
              <w:t>'''''''''''''''''''</w:t>
            </w:r>
          </w:p>
        </w:tc>
      </w:tr>
      <w:tr w:rsidR="00E62932" w:rsidRPr="00E92067" w:rsidTr="009901AE">
        <w:tc>
          <w:tcPr>
            <w:tcW w:w="5529" w:type="dxa"/>
          </w:tcPr>
          <w:p w:rsidR="00E62932" w:rsidRPr="00E92067" w:rsidRDefault="00E62932" w:rsidP="00FB6AE5">
            <w:pPr>
              <w:pStyle w:val="Tabletext"/>
              <w:keepNext/>
              <w:keepLines/>
              <w:tabs>
                <w:tab w:val="left" w:pos="142"/>
              </w:tabs>
              <w:ind w:left="142"/>
            </w:pPr>
            <w:r w:rsidRPr="00E92067">
              <w:t>5% response consolidation chemotherapy ($21,586)</w:t>
            </w:r>
          </w:p>
        </w:tc>
        <w:tc>
          <w:tcPr>
            <w:tcW w:w="1275" w:type="dxa"/>
          </w:tcPr>
          <w:p w:rsidR="00E62932" w:rsidRPr="00EC14AD" w:rsidRDefault="00EC14AD" w:rsidP="00FB6AE5">
            <w:pPr>
              <w:pStyle w:val="Tabletext"/>
              <w:keepNext/>
              <w:keepLines/>
              <w:jc w:val="center"/>
              <w:rPr>
                <w:highlight w:val="black"/>
              </w:rPr>
            </w:pPr>
            <w:r>
              <w:rPr>
                <w:noProof/>
                <w:color w:val="000000"/>
                <w:highlight w:val="black"/>
              </w:rPr>
              <w:t>'''''''''''''''''''''</w:t>
            </w:r>
          </w:p>
        </w:tc>
        <w:tc>
          <w:tcPr>
            <w:tcW w:w="1276" w:type="dxa"/>
          </w:tcPr>
          <w:p w:rsidR="00E62932" w:rsidRPr="00E92067" w:rsidRDefault="00E62932" w:rsidP="00FB6AE5">
            <w:pPr>
              <w:pStyle w:val="Tabletext"/>
              <w:keepNext/>
              <w:keepLines/>
              <w:jc w:val="center"/>
            </w:pPr>
            <w:r w:rsidRPr="00E92067">
              <w:t>1.7734</w:t>
            </w:r>
          </w:p>
        </w:tc>
        <w:tc>
          <w:tcPr>
            <w:tcW w:w="1056" w:type="dxa"/>
          </w:tcPr>
          <w:p w:rsidR="00E62932" w:rsidRPr="00EC14AD" w:rsidRDefault="00EC14AD" w:rsidP="00FB6AE5">
            <w:pPr>
              <w:pStyle w:val="Tabletext"/>
              <w:keepNext/>
              <w:keepLines/>
              <w:jc w:val="center"/>
              <w:rPr>
                <w:highlight w:val="black"/>
              </w:rPr>
            </w:pPr>
            <w:r>
              <w:rPr>
                <w:noProof/>
                <w:color w:val="000000"/>
                <w:highlight w:val="black"/>
              </w:rPr>
              <w:t>'''''''''''''''''''</w:t>
            </w:r>
          </w:p>
        </w:tc>
      </w:tr>
      <w:tr w:rsidR="00E62932" w:rsidRPr="00E92067" w:rsidTr="009901AE">
        <w:tc>
          <w:tcPr>
            <w:tcW w:w="5529" w:type="dxa"/>
          </w:tcPr>
          <w:p w:rsidR="00E62932" w:rsidRPr="00E92067" w:rsidRDefault="00E62932" w:rsidP="00FB6AE5">
            <w:pPr>
              <w:pStyle w:val="Tabletext"/>
              <w:keepNext/>
              <w:keepLines/>
              <w:tabs>
                <w:tab w:val="left" w:pos="142"/>
              </w:tabs>
              <w:ind w:left="142"/>
            </w:pPr>
            <w:r w:rsidRPr="00E92067">
              <w:t>10% response consolidation chemotherapy ($20,141)</w:t>
            </w:r>
          </w:p>
        </w:tc>
        <w:tc>
          <w:tcPr>
            <w:tcW w:w="1275" w:type="dxa"/>
          </w:tcPr>
          <w:p w:rsidR="00E62932" w:rsidRPr="00EC14AD" w:rsidRDefault="00EC14AD" w:rsidP="00FB6AE5">
            <w:pPr>
              <w:pStyle w:val="Tabletext"/>
              <w:keepNext/>
              <w:keepLines/>
              <w:jc w:val="center"/>
              <w:rPr>
                <w:highlight w:val="black"/>
              </w:rPr>
            </w:pPr>
            <w:r>
              <w:rPr>
                <w:noProof/>
                <w:color w:val="000000"/>
                <w:highlight w:val="black"/>
              </w:rPr>
              <w:t>''''''''''''''''''''</w:t>
            </w:r>
          </w:p>
        </w:tc>
        <w:tc>
          <w:tcPr>
            <w:tcW w:w="1276" w:type="dxa"/>
          </w:tcPr>
          <w:p w:rsidR="00E62932" w:rsidRPr="00E92067" w:rsidRDefault="00E62932" w:rsidP="00FB6AE5">
            <w:pPr>
              <w:pStyle w:val="Tabletext"/>
              <w:keepNext/>
              <w:keepLines/>
              <w:jc w:val="center"/>
            </w:pPr>
            <w:r w:rsidRPr="00E92067">
              <w:t>1.7734</w:t>
            </w:r>
          </w:p>
        </w:tc>
        <w:tc>
          <w:tcPr>
            <w:tcW w:w="1056" w:type="dxa"/>
          </w:tcPr>
          <w:p w:rsidR="00E62932" w:rsidRPr="00EC14AD" w:rsidRDefault="00EC14AD" w:rsidP="00FB6AE5">
            <w:pPr>
              <w:pStyle w:val="Tabletext"/>
              <w:keepNext/>
              <w:keepLines/>
              <w:jc w:val="center"/>
              <w:rPr>
                <w:highlight w:val="black"/>
              </w:rPr>
            </w:pPr>
            <w:r>
              <w:rPr>
                <w:noProof/>
                <w:color w:val="000000"/>
                <w:highlight w:val="black"/>
              </w:rPr>
              <w:t>'''''''''''''''''''''</w:t>
            </w:r>
          </w:p>
        </w:tc>
      </w:tr>
      <w:tr w:rsidR="00E62932" w:rsidRPr="00E92067" w:rsidTr="009901AE">
        <w:tc>
          <w:tcPr>
            <w:tcW w:w="5529" w:type="dxa"/>
          </w:tcPr>
          <w:p w:rsidR="00E62932" w:rsidRPr="00E92067" w:rsidRDefault="00E62932" w:rsidP="00FB6AE5">
            <w:pPr>
              <w:pStyle w:val="Tabletext"/>
              <w:keepNext/>
              <w:keepLines/>
              <w:tabs>
                <w:tab w:val="left" w:pos="142"/>
              </w:tabs>
              <w:ind w:left="142"/>
            </w:pPr>
            <w:r w:rsidRPr="00E92067">
              <w:t>20% response consolidation chemotherapy ($17,249)</w:t>
            </w:r>
          </w:p>
        </w:tc>
        <w:tc>
          <w:tcPr>
            <w:tcW w:w="1275" w:type="dxa"/>
          </w:tcPr>
          <w:p w:rsidR="00E62932" w:rsidRPr="00EC14AD" w:rsidRDefault="00EC14AD" w:rsidP="00FB6AE5">
            <w:pPr>
              <w:pStyle w:val="Tabletext"/>
              <w:keepNext/>
              <w:keepLines/>
              <w:jc w:val="center"/>
              <w:rPr>
                <w:highlight w:val="black"/>
              </w:rPr>
            </w:pPr>
            <w:r>
              <w:rPr>
                <w:noProof/>
                <w:color w:val="000000"/>
                <w:highlight w:val="black"/>
              </w:rPr>
              <w:t>''''''''''''''''''''''</w:t>
            </w:r>
          </w:p>
        </w:tc>
        <w:tc>
          <w:tcPr>
            <w:tcW w:w="1276" w:type="dxa"/>
          </w:tcPr>
          <w:p w:rsidR="00E62932" w:rsidRPr="00E92067" w:rsidRDefault="00E62932" w:rsidP="00FB6AE5">
            <w:pPr>
              <w:pStyle w:val="Tabletext"/>
              <w:keepNext/>
              <w:keepLines/>
              <w:jc w:val="center"/>
            </w:pPr>
            <w:r w:rsidRPr="00E92067">
              <w:t>1.7734</w:t>
            </w:r>
          </w:p>
        </w:tc>
        <w:tc>
          <w:tcPr>
            <w:tcW w:w="1056" w:type="dxa"/>
          </w:tcPr>
          <w:p w:rsidR="00E62932" w:rsidRPr="00EC14AD" w:rsidRDefault="00EC14AD" w:rsidP="00FB6AE5">
            <w:pPr>
              <w:pStyle w:val="Tabletext"/>
              <w:keepNext/>
              <w:keepLines/>
              <w:jc w:val="center"/>
              <w:rPr>
                <w:highlight w:val="black"/>
              </w:rPr>
            </w:pPr>
            <w:r>
              <w:rPr>
                <w:noProof/>
                <w:color w:val="000000"/>
                <w:highlight w:val="black"/>
              </w:rPr>
              <w:t>''''''''''''''''''''</w:t>
            </w:r>
          </w:p>
        </w:tc>
      </w:tr>
      <w:tr w:rsidR="00E62932" w:rsidRPr="00E92067" w:rsidTr="009901AE">
        <w:tc>
          <w:tcPr>
            <w:tcW w:w="9136" w:type="dxa"/>
            <w:gridSpan w:val="4"/>
          </w:tcPr>
          <w:p w:rsidR="00E62932" w:rsidRPr="00E92067" w:rsidRDefault="00E62932" w:rsidP="00FB6AE5">
            <w:pPr>
              <w:pStyle w:val="Tabletext"/>
              <w:keepNext/>
              <w:keepLines/>
            </w:pPr>
            <w:r w:rsidRPr="00E92067">
              <w:t>Proportion receiving stem cell transplant (base case blinatumomab 72.6%, consolidation chemotherapy 38.4%)</w:t>
            </w:r>
          </w:p>
        </w:tc>
      </w:tr>
      <w:tr w:rsidR="00E62932" w:rsidRPr="00E92067" w:rsidTr="009901AE">
        <w:tc>
          <w:tcPr>
            <w:tcW w:w="5529" w:type="dxa"/>
          </w:tcPr>
          <w:p w:rsidR="00E62932" w:rsidRPr="00E92067" w:rsidRDefault="00E62932" w:rsidP="00FB6AE5">
            <w:pPr>
              <w:pStyle w:val="Tabletext"/>
              <w:keepNext/>
              <w:keepLines/>
              <w:tabs>
                <w:tab w:val="left" w:pos="142"/>
              </w:tabs>
              <w:ind w:left="142"/>
            </w:pPr>
            <w:r w:rsidRPr="00E92067">
              <w:t>No difference between arms</w:t>
            </w:r>
          </w:p>
        </w:tc>
        <w:tc>
          <w:tcPr>
            <w:tcW w:w="1275" w:type="dxa"/>
          </w:tcPr>
          <w:p w:rsidR="00E62932" w:rsidRPr="00EC14AD" w:rsidRDefault="00EC14AD" w:rsidP="00FB6AE5">
            <w:pPr>
              <w:pStyle w:val="Tabletext"/>
              <w:keepNext/>
              <w:keepLines/>
              <w:jc w:val="center"/>
              <w:rPr>
                <w:highlight w:val="black"/>
              </w:rPr>
            </w:pPr>
            <w:r>
              <w:rPr>
                <w:noProof/>
                <w:color w:val="000000"/>
                <w:highlight w:val="black"/>
              </w:rPr>
              <w:t>'''''''''''''''''''</w:t>
            </w:r>
          </w:p>
        </w:tc>
        <w:tc>
          <w:tcPr>
            <w:tcW w:w="1276" w:type="dxa"/>
          </w:tcPr>
          <w:p w:rsidR="00E62932" w:rsidRPr="00E92067" w:rsidRDefault="00E62932" w:rsidP="00FB6AE5">
            <w:pPr>
              <w:pStyle w:val="Tabletext"/>
              <w:keepNext/>
              <w:keepLines/>
              <w:jc w:val="center"/>
            </w:pPr>
            <w:r w:rsidRPr="00E92067">
              <w:t>1.7734</w:t>
            </w:r>
          </w:p>
        </w:tc>
        <w:tc>
          <w:tcPr>
            <w:tcW w:w="1056" w:type="dxa"/>
          </w:tcPr>
          <w:p w:rsidR="00E62932" w:rsidRPr="00EC14AD" w:rsidRDefault="00EC14AD" w:rsidP="00FB6AE5">
            <w:pPr>
              <w:pStyle w:val="Tabletext"/>
              <w:keepNext/>
              <w:keepLines/>
              <w:jc w:val="center"/>
              <w:rPr>
                <w:highlight w:val="black"/>
              </w:rPr>
            </w:pPr>
            <w:r>
              <w:rPr>
                <w:noProof/>
                <w:color w:val="000000"/>
                <w:highlight w:val="black"/>
              </w:rPr>
              <w:t>''''''''''''''''''</w:t>
            </w:r>
          </w:p>
        </w:tc>
      </w:tr>
      <w:tr w:rsidR="00E62932" w:rsidRPr="00E92067" w:rsidTr="009901AE">
        <w:tc>
          <w:tcPr>
            <w:tcW w:w="5529" w:type="dxa"/>
          </w:tcPr>
          <w:p w:rsidR="00E62932" w:rsidRPr="00E92067" w:rsidRDefault="00E62932" w:rsidP="00FB6AE5">
            <w:pPr>
              <w:pStyle w:val="Tabletext"/>
              <w:keepNext/>
              <w:keepLines/>
              <w:tabs>
                <w:tab w:val="left" w:pos="142"/>
              </w:tabs>
              <w:ind w:left="142"/>
            </w:pPr>
            <w:r w:rsidRPr="00E92067">
              <w:t>Quarter of proportional difference between arms</w:t>
            </w:r>
          </w:p>
        </w:tc>
        <w:tc>
          <w:tcPr>
            <w:tcW w:w="1275" w:type="dxa"/>
          </w:tcPr>
          <w:p w:rsidR="00E62932" w:rsidRPr="00EC14AD" w:rsidRDefault="00EC14AD" w:rsidP="00FB6AE5">
            <w:pPr>
              <w:pStyle w:val="Tabletext"/>
              <w:keepNext/>
              <w:keepLines/>
              <w:jc w:val="center"/>
              <w:rPr>
                <w:highlight w:val="black"/>
              </w:rPr>
            </w:pPr>
            <w:r>
              <w:rPr>
                <w:noProof/>
                <w:color w:val="000000"/>
                <w:highlight w:val="black"/>
              </w:rPr>
              <w:t>'''''''''''''''''''''</w:t>
            </w:r>
          </w:p>
        </w:tc>
        <w:tc>
          <w:tcPr>
            <w:tcW w:w="1276" w:type="dxa"/>
          </w:tcPr>
          <w:p w:rsidR="00E62932" w:rsidRPr="00E92067" w:rsidRDefault="00E62932" w:rsidP="00FB6AE5">
            <w:pPr>
              <w:pStyle w:val="Tabletext"/>
              <w:keepNext/>
              <w:keepLines/>
              <w:jc w:val="center"/>
            </w:pPr>
            <w:r w:rsidRPr="00E92067">
              <w:t>1.7734</w:t>
            </w:r>
          </w:p>
        </w:tc>
        <w:tc>
          <w:tcPr>
            <w:tcW w:w="1056" w:type="dxa"/>
          </w:tcPr>
          <w:p w:rsidR="00E62932" w:rsidRPr="00EC14AD" w:rsidRDefault="00EC14AD" w:rsidP="00FB6AE5">
            <w:pPr>
              <w:pStyle w:val="Tabletext"/>
              <w:keepNext/>
              <w:keepLines/>
              <w:jc w:val="center"/>
              <w:rPr>
                <w:highlight w:val="black"/>
              </w:rPr>
            </w:pPr>
            <w:r>
              <w:rPr>
                <w:noProof/>
                <w:color w:val="000000"/>
                <w:highlight w:val="black"/>
              </w:rPr>
              <w:t>'''''''''''''''''''''</w:t>
            </w:r>
          </w:p>
        </w:tc>
      </w:tr>
      <w:tr w:rsidR="00E62932" w:rsidRPr="00E92067" w:rsidTr="009901AE">
        <w:tc>
          <w:tcPr>
            <w:tcW w:w="5529" w:type="dxa"/>
          </w:tcPr>
          <w:p w:rsidR="00E62932" w:rsidRPr="00E92067" w:rsidRDefault="00E62932" w:rsidP="00FB6AE5">
            <w:pPr>
              <w:pStyle w:val="Tabletext"/>
              <w:keepNext/>
              <w:keepLines/>
              <w:tabs>
                <w:tab w:val="left" w:pos="142"/>
              </w:tabs>
              <w:ind w:left="142"/>
            </w:pPr>
            <w:r w:rsidRPr="00E92067">
              <w:t xml:space="preserve">Half of proportional difference between arms </w:t>
            </w:r>
          </w:p>
        </w:tc>
        <w:tc>
          <w:tcPr>
            <w:tcW w:w="1275" w:type="dxa"/>
          </w:tcPr>
          <w:p w:rsidR="00E62932" w:rsidRPr="00EC14AD" w:rsidRDefault="00EC14AD" w:rsidP="00FB6AE5">
            <w:pPr>
              <w:pStyle w:val="Tabletext"/>
              <w:keepNext/>
              <w:keepLines/>
              <w:jc w:val="center"/>
              <w:rPr>
                <w:highlight w:val="black"/>
              </w:rPr>
            </w:pPr>
            <w:r>
              <w:rPr>
                <w:noProof/>
                <w:color w:val="000000"/>
                <w:highlight w:val="black"/>
              </w:rPr>
              <w:t>''''''''''''''''''</w:t>
            </w:r>
          </w:p>
        </w:tc>
        <w:tc>
          <w:tcPr>
            <w:tcW w:w="1276" w:type="dxa"/>
          </w:tcPr>
          <w:p w:rsidR="00E62932" w:rsidRPr="00E92067" w:rsidRDefault="00E62932" w:rsidP="00FB6AE5">
            <w:pPr>
              <w:pStyle w:val="Tabletext"/>
              <w:keepNext/>
              <w:keepLines/>
              <w:jc w:val="center"/>
            </w:pPr>
            <w:r w:rsidRPr="00E92067">
              <w:t>1.7734</w:t>
            </w:r>
          </w:p>
        </w:tc>
        <w:tc>
          <w:tcPr>
            <w:tcW w:w="1056" w:type="dxa"/>
          </w:tcPr>
          <w:p w:rsidR="00E62932" w:rsidRPr="00EC14AD" w:rsidRDefault="00EC14AD" w:rsidP="00FB6AE5">
            <w:pPr>
              <w:pStyle w:val="Tabletext"/>
              <w:keepNext/>
              <w:keepLines/>
              <w:jc w:val="center"/>
              <w:rPr>
                <w:highlight w:val="black"/>
              </w:rPr>
            </w:pPr>
            <w:r>
              <w:rPr>
                <w:noProof/>
                <w:color w:val="000000"/>
                <w:highlight w:val="black"/>
              </w:rPr>
              <w:t>'''''''''''''''''''</w:t>
            </w:r>
          </w:p>
        </w:tc>
      </w:tr>
      <w:tr w:rsidR="00E62932" w:rsidRPr="00E92067" w:rsidTr="009901AE">
        <w:tc>
          <w:tcPr>
            <w:tcW w:w="5529" w:type="dxa"/>
          </w:tcPr>
          <w:p w:rsidR="00E62932" w:rsidRPr="00E92067" w:rsidRDefault="00E62932" w:rsidP="00FB6AE5">
            <w:pPr>
              <w:pStyle w:val="Tabletext"/>
              <w:keepNext/>
              <w:keepLines/>
              <w:tabs>
                <w:tab w:val="left" w:pos="142"/>
              </w:tabs>
              <w:ind w:left="142"/>
            </w:pPr>
            <w:r w:rsidRPr="00E92067">
              <w:t>Three quarters of proportional difference between arms</w:t>
            </w:r>
          </w:p>
        </w:tc>
        <w:tc>
          <w:tcPr>
            <w:tcW w:w="1275" w:type="dxa"/>
          </w:tcPr>
          <w:p w:rsidR="00E62932" w:rsidRPr="00EC14AD" w:rsidRDefault="00EC14AD" w:rsidP="00FB6AE5">
            <w:pPr>
              <w:pStyle w:val="Tabletext"/>
              <w:keepNext/>
              <w:keepLines/>
              <w:jc w:val="center"/>
              <w:rPr>
                <w:highlight w:val="black"/>
              </w:rPr>
            </w:pPr>
            <w:r>
              <w:rPr>
                <w:noProof/>
                <w:color w:val="000000"/>
                <w:highlight w:val="black"/>
              </w:rPr>
              <w:t>'''''''''''''''''</w:t>
            </w:r>
          </w:p>
        </w:tc>
        <w:tc>
          <w:tcPr>
            <w:tcW w:w="1276" w:type="dxa"/>
          </w:tcPr>
          <w:p w:rsidR="00E62932" w:rsidRPr="00E92067" w:rsidRDefault="00E62932" w:rsidP="00FB6AE5">
            <w:pPr>
              <w:pStyle w:val="Tabletext"/>
              <w:keepNext/>
              <w:keepLines/>
              <w:jc w:val="center"/>
            </w:pPr>
            <w:r w:rsidRPr="00E92067">
              <w:t>1.7734</w:t>
            </w:r>
          </w:p>
        </w:tc>
        <w:tc>
          <w:tcPr>
            <w:tcW w:w="1056" w:type="dxa"/>
          </w:tcPr>
          <w:p w:rsidR="00E62932" w:rsidRPr="00EC14AD" w:rsidRDefault="00EC14AD" w:rsidP="00FB6AE5">
            <w:pPr>
              <w:pStyle w:val="Tabletext"/>
              <w:keepNext/>
              <w:keepLines/>
              <w:jc w:val="center"/>
              <w:rPr>
                <w:highlight w:val="black"/>
              </w:rPr>
            </w:pPr>
            <w:r>
              <w:rPr>
                <w:noProof/>
                <w:color w:val="000000"/>
                <w:highlight w:val="black"/>
              </w:rPr>
              <w:t>''''''''''''''''''</w:t>
            </w:r>
          </w:p>
        </w:tc>
      </w:tr>
    </w:tbl>
    <w:p w:rsidR="00E62932" w:rsidRPr="00E92067" w:rsidRDefault="00E62932" w:rsidP="00FB6AE5">
      <w:pPr>
        <w:pStyle w:val="TableFooter"/>
        <w:keepNext/>
        <w:keepLines/>
      </w:pPr>
      <w:r w:rsidRPr="00E92067">
        <w:t>Source: Table 96, pp167-169 and compiled during evaluation using ‘BlinMRD_Section3model_March2018_revised’ Excel workbook of the submission</w:t>
      </w:r>
    </w:p>
    <w:p w:rsidR="00E62932" w:rsidRPr="00E92067" w:rsidRDefault="00E62932" w:rsidP="00FB6AE5">
      <w:pPr>
        <w:pStyle w:val="TableFooter"/>
        <w:keepNext/>
        <w:keepLines/>
      </w:pPr>
      <w:r w:rsidRPr="00E92067">
        <w:t xml:space="preserve">Abbreviations: ATE, average treatment effect; ATT, average treatment effect of the treated, average ICER, incremental cost-effectiveness ratio; MRD, minimal residual disease; OS, overall survival; QALY, quality adjusted life year; RFS, relapse-free survival </w:t>
      </w:r>
    </w:p>
    <w:p w:rsidR="00E62932" w:rsidRPr="00E92067" w:rsidRDefault="00E62932" w:rsidP="00FB6AE5">
      <w:pPr>
        <w:pStyle w:val="TableFooter"/>
        <w:keepNext/>
        <w:keepLines/>
      </w:pPr>
      <w:r w:rsidRPr="00E92067">
        <w:rPr>
          <w:vertAlign w:val="superscript"/>
        </w:rPr>
        <w:t xml:space="preserve">a </w:t>
      </w:r>
      <w:r w:rsidRPr="00E92067">
        <w:t>Based on lower limits of the 95% confidence interval of the hazard ratios for the blinatumomab vs. historical control ATE/ATT analysis</w:t>
      </w:r>
    </w:p>
    <w:p w:rsidR="00E62932" w:rsidRPr="00E92067" w:rsidRDefault="00E62932" w:rsidP="00FB6AE5">
      <w:pPr>
        <w:pStyle w:val="TableFooter"/>
        <w:keepNext/>
        <w:keepLines/>
      </w:pPr>
      <w:r w:rsidRPr="00E92067">
        <w:rPr>
          <w:vertAlign w:val="superscript"/>
        </w:rPr>
        <w:t>b</w:t>
      </w:r>
      <w:r w:rsidRPr="00E92067">
        <w:t xml:space="preserve"> Based on the upper limits of the 95% confidence interval of the hazard ratios for the blinatumomab vs historical control ATE/ATT analysis</w:t>
      </w:r>
    </w:p>
    <w:p w:rsidR="00E62932" w:rsidRPr="00E92067" w:rsidRDefault="00E62932" w:rsidP="00FB6AE5">
      <w:pPr>
        <w:pStyle w:val="TableFooter"/>
        <w:keepNext/>
        <w:keepLines/>
      </w:pPr>
      <w:r w:rsidRPr="00E92067">
        <w:rPr>
          <w:vertAlign w:val="superscript"/>
        </w:rPr>
        <w:t>c</w:t>
      </w:r>
      <w:r w:rsidRPr="00E92067">
        <w:t xml:space="preserve"> Proportion with MRD response was used to estimate the average cost of relapse-free disease management weighted by relapse-free MRD+ and relapse-free MRD- disease</w:t>
      </w:r>
    </w:p>
    <w:p w:rsidR="00E62932" w:rsidRDefault="00E62932" w:rsidP="00E62932"/>
    <w:p w:rsidR="00172784" w:rsidRDefault="00172784" w:rsidP="00E62932">
      <w:r w:rsidRPr="00114F0E">
        <w:rPr>
          <w:rFonts w:asciiTheme="minorHAnsi" w:hAnsiTheme="minorHAnsi" w:cstheme="minorHAnsi"/>
          <w:szCs w:val="24"/>
        </w:rPr>
        <w:t xml:space="preserve">The redacted table shows ICERs in the range of </w:t>
      </w:r>
      <w:r>
        <w:rPr>
          <w:rFonts w:asciiTheme="minorHAnsi" w:hAnsiTheme="minorHAnsi" w:cstheme="minorHAnsi"/>
          <w:szCs w:val="24"/>
        </w:rPr>
        <w:t xml:space="preserve">dominate to </w:t>
      </w:r>
      <w:r w:rsidRPr="00135EFE">
        <w:rPr>
          <w:rFonts w:asciiTheme="minorHAnsi" w:hAnsiTheme="minorHAnsi" w:cstheme="minorHAnsi"/>
        </w:rPr>
        <w:t>more than $200,000/QALY</w:t>
      </w:r>
    </w:p>
    <w:p w:rsidR="00172784" w:rsidRPr="00E92067" w:rsidRDefault="00172784" w:rsidP="00E62932"/>
    <w:p w:rsidR="00E62932" w:rsidRPr="00E92067" w:rsidRDefault="00E62932" w:rsidP="001613D3">
      <w:pPr>
        <w:pStyle w:val="ListParagraph"/>
        <w:widowControl/>
        <w:numPr>
          <w:ilvl w:val="1"/>
          <w:numId w:val="2"/>
        </w:numPr>
      </w:pPr>
      <w:r w:rsidRPr="00E92067">
        <w:t xml:space="preserve">The </w:t>
      </w:r>
      <w:r w:rsidR="008B5C9D">
        <w:t xml:space="preserve">ESC and the PBAC considered that the </w:t>
      </w:r>
      <w:r w:rsidRPr="00E92067">
        <w:t xml:space="preserve">model is most sensitive to the treatment effect associated with blinatumomab on survival outcomes compared with consolidation chemotherapy. The </w:t>
      </w:r>
      <w:r w:rsidR="00A41441">
        <w:t xml:space="preserve">PBAC noted that the </w:t>
      </w:r>
      <w:r w:rsidRPr="00E92067">
        <w:t xml:space="preserve">model was also sensitive to time horizon, survival extrapolation approach, relapse-free health state costs (primarily due to MRD response rates) and the proportion of patients undergoing HSCT. </w:t>
      </w:r>
    </w:p>
    <w:p w:rsidR="00E62932" w:rsidRPr="00E92067" w:rsidRDefault="00E62932" w:rsidP="001613D3">
      <w:pPr>
        <w:pStyle w:val="ListParagraph"/>
        <w:widowControl/>
        <w:numPr>
          <w:ilvl w:val="1"/>
          <w:numId w:val="2"/>
        </w:numPr>
      </w:pPr>
      <w:r w:rsidRPr="00E92067">
        <w:t xml:space="preserve">The </w:t>
      </w:r>
      <w:r w:rsidR="008B5C9D">
        <w:t xml:space="preserve">ESC considered that the </w:t>
      </w:r>
      <w:r w:rsidRPr="00E92067">
        <w:t>sensitivity analyses for HSCT use were non-informative as the model included HSCT as a cost item only and it did not include the risks</w:t>
      </w:r>
      <w:r w:rsidR="00751370">
        <w:t xml:space="preserve">, </w:t>
      </w:r>
      <w:r w:rsidRPr="00E92067">
        <w:t>benefits</w:t>
      </w:r>
      <w:r w:rsidR="00751370">
        <w:t xml:space="preserve"> and treatment effect modification</w:t>
      </w:r>
      <w:r w:rsidRPr="00E92067">
        <w:t xml:space="preserve"> associated with the procedure. The model was insensitive to salvage chemotherapy costs but this may be an artefact of the costing approach which is unlikely to reflect the actual incremental difference between treatments (see </w:t>
      </w:r>
      <w:r w:rsidR="002E072A" w:rsidRPr="00E92067">
        <w:t>T</w:t>
      </w:r>
      <w:r w:rsidRPr="00E92067">
        <w:t>able</w:t>
      </w:r>
      <w:r w:rsidR="002E072A" w:rsidRPr="00E92067">
        <w:t xml:space="preserve"> 12</w:t>
      </w:r>
      <w:r w:rsidRPr="00E92067">
        <w:t>).</w:t>
      </w:r>
    </w:p>
    <w:p w:rsidR="00E62932" w:rsidRPr="00EE7BF9" w:rsidRDefault="00E62932" w:rsidP="00EE7BF9">
      <w:pPr>
        <w:pStyle w:val="Heading2"/>
        <w:spacing w:before="240" w:after="120"/>
      </w:pPr>
      <w:bookmarkStart w:id="13" w:name="_Toc371170711"/>
      <w:bookmarkStart w:id="14" w:name="_Toc514245295"/>
      <w:r w:rsidRPr="00EE7BF9">
        <w:t>Drug cost/patient/course</w:t>
      </w:r>
      <w:bookmarkEnd w:id="13"/>
      <w:bookmarkEnd w:id="14"/>
    </w:p>
    <w:p w:rsidR="00E62932" w:rsidRPr="00E92067" w:rsidRDefault="00E62932" w:rsidP="001613D3">
      <w:pPr>
        <w:pStyle w:val="ListParagraph"/>
        <w:keepNext/>
        <w:widowControl/>
        <w:numPr>
          <w:ilvl w:val="1"/>
          <w:numId w:val="2"/>
        </w:numPr>
      </w:pPr>
      <w:r w:rsidRPr="00E92067">
        <w:t>The estimated drug cost for blinatumomab per patient per course was $</w:t>
      </w:r>
      <w:r w:rsidR="00EC14AD">
        <w:rPr>
          <w:noProof/>
          <w:color w:val="000000"/>
          <w:highlight w:val="black"/>
        </w:rPr>
        <w:t>'''''''''''''''</w:t>
      </w:r>
      <w:r w:rsidRPr="00E92067">
        <w:t xml:space="preserve"> (based on 53 treatment days using the effective price of $</w:t>
      </w:r>
      <w:r w:rsidR="00EC14AD">
        <w:rPr>
          <w:noProof/>
          <w:color w:val="000000"/>
          <w:highlight w:val="black"/>
        </w:rPr>
        <w:t>'''''''''''''''</w:t>
      </w:r>
      <w:r w:rsidRPr="00E92067">
        <w:t xml:space="preserve"> per vial per day).</w:t>
      </w:r>
    </w:p>
    <w:p w:rsidR="00E62932" w:rsidRPr="00E92067" w:rsidRDefault="00E62932" w:rsidP="001613D3">
      <w:pPr>
        <w:pStyle w:val="ListParagraph"/>
        <w:keepNext/>
        <w:widowControl/>
        <w:numPr>
          <w:ilvl w:val="1"/>
          <w:numId w:val="2"/>
        </w:numPr>
      </w:pPr>
      <w:r w:rsidRPr="00E92067">
        <w:t>The estimated drug cost for consolidation chemotherapy per patient per course for Ph- patients was $4,094 (based on ALLG ALL6 consolidation protocol, assuming 135 treatment days, using current DPMQ/DPMAs: $4,094).</w:t>
      </w:r>
    </w:p>
    <w:p w:rsidR="00E62932" w:rsidRPr="00E92067" w:rsidRDefault="00E62932" w:rsidP="001613D3">
      <w:pPr>
        <w:pStyle w:val="ListParagraph"/>
        <w:keepNext/>
        <w:widowControl/>
        <w:numPr>
          <w:ilvl w:val="1"/>
          <w:numId w:val="2"/>
        </w:numPr>
      </w:pPr>
      <w:r w:rsidRPr="00E92067">
        <w:t>The estimated drug cost for consolidation chemotherapy per patient per course for Ph+ patients was $26,783 (based on ALLG ALL6 consolidation protocol, assuming 135 treatment days, using current DPMQ/DPMAs: $4,094 plus imatinib 600 mg daily, assuming 183 treatment days, using current DPMQ for imatinib 400 mg packs: $22,690).</w:t>
      </w:r>
    </w:p>
    <w:p w:rsidR="00B60939" w:rsidRPr="00EE7BF9" w:rsidRDefault="00B60939" w:rsidP="00EE7BF9">
      <w:pPr>
        <w:pStyle w:val="Heading2"/>
        <w:spacing w:before="240" w:after="120"/>
      </w:pPr>
      <w:bookmarkStart w:id="15" w:name="_Toc514245296"/>
      <w:r w:rsidRPr="00EE7BF9">
        <w:t>Estimated PBS usage &amp; financial implications</w:t>
      </w:r>
      <w:bookmarkEnd w:id="15"/>
    </w:p>
    <w:p w:rsidR="0072416F" w:rsidRPr="00E92067" w:rsidRDefault="00AD77C9" w:rsidP="001613D3">
      <w:pPr>
        <w:pStyle w:val="ListParagraph"/>
        <w:widowControl/>
        <w:numPr>
          <w:ilvl w:val="1"/>
          <w:numId w:val="2"/>
        </w:numPr>
      </w:pPr>
      <w:r w:rsidRPr="00E92067">
        <w:t xml:space="preserve">This submission </w:t>
      </w:r>
      <w:r w:rsidR="00F0696E" w:rsidRPr="00E92067">
        <w:t>w</w:t>
      </w:r>
      <w:r w:rsidR="007630B4">
        <w:t>as</w:t>
      </w:r>
      <w:r w:rsidR="00F0696E" w:rsidRPr="00E92067">
        <w:t xml:space="preserve"> </w:t>
      </w:r>
      <w:r w:rsidRPr="00E92067">
        <w:t>not considered by DUSC. The submission used an epidemiological approach, using a number of published sources, to estimate the utilisation and financial implications of PBS listing blinatumomab for the treatment of patients with B-ALL in haematological complete remission with minimal residual disease.</w:t>
      </w:r>
    </w:p>
    <w:p w:rsidR="00B201A4" w:rsidRPr="00E92067" w:rsidRDefault="008617E2" w:rsidP="001613D3">
      <w:pPr>
        <w:pStyle w:val="ListParagraph"/>
        <w:widowControl/>
        <w:numPr>
          <w:ilvl w:val="1"/>
          <w:numId w:val="2"/>
        </w:numPr>
      </w:pPr>
      <w:r w:rsidRPr="00E92067">
        <w:t xml:space="preserve">Table </w:t>
      </w:r>
      <w:r w:rsidR="002E072A" w:rsidRPr="00E92067">
        <w:t>15</w:t>
      </w:r>
      <w:r w:rsidRPr="00E92067">
        <w:t xml:space="preserve"> summarises the estimated extent of use and costs of listing blinatumomab for the treatment of patients with B-ALL in haematological complete remission with minimal residual disease in the first 6 years of listing.</w:t>
      </w:r>
    </w:p>
    <w:p w:rsidR="008617E2" w:rsidRPr="00E92067" w:rsidRDefault="008617E2" w:rsidP="00FB6AE5">
      <w:pPr>
        <w:keepNext/>
        <w:keepLines/>
        <w:rPr>
          <w:rStyle w:val="CommentReference"/>
        </w:rPr>
      </w:pPr>
      <w:r w:rsidRPr="00E92067">
        <w:rPr>
          <w:rStyle w:val="CommentReference"/>
        </w:rPr>
        <w:t xml:space="preserve">Table </w:t>
      </w:r>
      <w:r w:rsidR="002E072A" w:rsidRPr="00E92067">
        <w:rPr>
          <w:rStyle w:val="CommentReference"/>
        </w:rPr>
        <w:t>1</w:t>
      </w:r>
      <w:r w:rsidR="00944E02">
        <w:rPr>
          <w:rStyle w:val="CommentReference"/>
        </w:rPr>
        <w:t>6</w:t>
      </w:r>
      <w:r w:rsidRPr="00E92067">
        <w:rPr>
          <w:rStyle w:val="CommentReference"/>
        </w:rPr>
        <w:t>:  Estimated utilisation and cost to the PBS in the first six years of listing</w:t>
      </w:r>
      <w:r w:rsidR="00723EAA">
        <w:rPr>
          <w:rStyle w:val="CommentReference"/>
        </w:rPr>
        <w:t xml:space="preserve"> (per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79"/>
        <w:gridCol w:w="1018"/>
        <w:gridCol w:w="1018"/>
        <w:gridCol w:w="1017"/>
        <w:gridCol w:w="1017"/>
        <w:gridCol w:w="1017"/>
        <w:gridCol w:w="1017"/>
      </w:tblGrid>
      <w:tr w:rsidR="008617E2" w:rsidRPr="00E92067" w:rsidTr="00F91CB1">
        <w:trPr>
          <w:tblHeader/>
        </w:trPr>
        <w:tc>
          <w:tcPr>
            <w:tcW w:w="2956" w:type="dxa"/>
            <w:tcBorders>
              <w:bottom w:val="single" w:sz="4" w:space="0" w:color="auto"/>
            </w:tcBorders>
            <w:shd w:val="clear" w:color="auto" w:fill="auto"/>
            <w:vAlign w:val="center"/>
          </w:tcPr>
          <w:p w:rsidR="008617E2" w:rsidRPr="00E92067" w:rsidRDefault="008617E2" w:rsidP="00FB6AE5">
            <w:pPr>
              <w:pStyle w:val="Tabletext"/>
              <w:keepNext/>
              <w:keepLines/>
              <w:rPr>
                <w:b/>
                <w:szCs w:val="20"/>
              </w:rPr>
            </w:pPr>
          </w:p>
        </w:tc>
        <w:tc>
          <w:tcPr>
            <w:tcW w:w="1010" w:type="dxa"/>
            <w:tcBorders>
              <w:bottom w:val="single" w:sz="4" w:space="0" w:color="auto"/>
            </w:tcBorders>
            <w:shd w:val="clear" w:color="auto" w:fill="auto"/>
            <w:vAlign w:val="center"/>
          </w:tcPr>
          <w:p w:rsidR="008617E2" w:rsidRPr="00E92067" w:rsidRDefault="008617E2" w:rsidP="00FB6AE5">
            <w:pPr>
              <w:pStyle w:val="Tabletext"/>
              <w:keepNext/>
              <w:keepLines/>
              <w:jc w:val="center"/>
              <w:rPr>
                <w:b/>
                <w:szCs w:val="20"/>
              </w:rPr>
            </w:pPr>
            <w:r w:rsidRPr="00E92067">
              <w:rPr>
                <w:b/>
                <w:szCs w:val="20"/>
              </w:rPr>
              <w:t>Year 1</w:t>
            </w:r>
          </w:p>
          <w:p w:rsidR="008617E2" w:rsidRPr="00E92067" w:rsidRDefault="008617E2" w:rsidP="00FB6AE5">
            <w:pPr>
              <w:pStyle w:val="Tabletext"/>
              <w:keepNext/>
              <w:keepLines/>
              <w:jc w:val="center"/>
              <w:rPr>
                <w:b/>
                <w:szCs w:val="20"/>
              </w:rPr>
            </w:pPr>
            <w:r w:rsidRPr="00E92067">
              <w:rPr>
                <w:b/>
                <w:szCs w:val="20"/>
              </w:rPr>
              <w:t>(2019)</w:t>
            </w:r>
          </w:p>
        </w:tc>
        <w:tc>
          <w:tcPr>
            <w:tcW w:w="1011" w:type="dxa"/>
            <w:tcBorders>
              <w:bottom w:val="single" w:sz="4" w:space="0" w:color="auto"/>
            </w:tcBorders>
            <w:shd w:val="clear" w:color="auto" w:fill="auto"/>
            <w:vAlign w:val="center"/>
          </w:tcPr>
          <w:p w:rsidR="008617E2" w:rsidRPr="00E92067" w:rsidRDefault="008617E2" w:rsidP="00FB6AE5">
            <w:pPr>
              <w:pStyle w:val="Tabletext"/>
              <w:keepNext/>
              <w:keepLines/>
              <w:jc w:val="center"/>
              <w:rPr>
                <w:b/>
                <w:szCs w:val="20"/>
              </w:rPr>
            </w:pPr>
            <w:r w:rsidRPr="00E92067">
              <w:rPr>
                <w:b/>
                <w:szCs w:val="20"/>
              </w:rPr>
              <w:t>Year 2</w:t>
            </w:r>
          </w:p>
          <w:p w:rsidR="008617E2" w:rsidRPr="00E92067" w:rsidRDefault="008617E2" w:rsidP="00FB6AE5">
            <w:pPr>
              <w:pStyle w:val="Tabletext"/>
              <w:keepNext/>
              <w:keepLines/>
              <w:jc w:val="center"/>
              <w:rPr>
                <w:b/>
                <w:szCs w:val="20"/>
              </w:rPr>
            </w:pPr>
            <w:r w:rsidRPr="00E92067">
              <w:rPr>
                <w:b/>
                <w:szCs w:val="20"/>
              </w:rPr>
              <w:t>(2020)</w:t>
            </w:r>
          </w:p>
        </w:tc>
        <w:tc>
          <w:tcPr>
            <w:tcW w:w="1010" w:type="dxa"/>
            <w:tcBorders>
              <w:bottom w:val="single" w:sz="4" w:space="0" w:color="auto"/>
            </w:tcBorders>
            <w:shd w:val="clear" w:color="auto" w:fill="auto"/>
            <w:vAlign w:val="center"/>
          </w:tcPr>
          <w:p w:rsidR="008617E2" w:rsidRPr="00E92067" w:rsidRDefault="008617E2" w:rsidP="00FB6AE5">
            <w:pPr>
              <w:pStyle w:val="Tabletext"/>
              <w:keepNext/>
              <w:keepLines/>
              <w:jc w:val="center"/>
              <w:rPr>
                <w:b/>
                <w:szCs w:val="20"/>
              </w:rPr>
            </w:pPr>
            <w:r w:rsidRPr="00E92067">
              <w:rPr>
                <w:b/>
                <w:szCs w:val="20"/>
              </w:rPr>
              <w:t>Year 3</w:t>
            </w:r>
          </w:p>
          <w:p w:rsidR="008617E2" w:rsidRPr="00E92067" w:rsidRDefault="008617E2" w:rsidP="00FB6AE5">
            <w:pPr>
              <w:pStyle w:val="Tabletext"/>
              <w:keepNext/>
              <w:keepLines/>
              <w:jc w:val="center"/>
              <w:rPr>
                <w:b/>
                <w:szCs w:val="20"/>
              </w:rPr>
            </w:pPr>
            <w:r w:rsidRPr="00E92067">
              <w:rPr>
                <w:b/>
                <w:szCs w:val="20"/>
              </w:rPr>
              <w:t>(2021)</w:t>
            </w:r>
          </w:p>
        </w:tc>
        <w:tc>
          <w:tcPr>
            <w:tcW w:w="1010" w:type="dxa"/>
            <w:tcBorders>
              <w:bottom w:val="single" w:sz="4" w:space="0" w:color="auto"/>
            </w:tcBorders>
            <w:shd w:val="clear" w:color="auto" w:fill="auto"/>
            <w:vAlign w:val="center"/>
          </w:tcPr>
          <w:p w:rsidR="008617E2" w:rsidRPr="00E92067" w:rsidRDefault="008617E2" w:rsidP="00FB6AE5">
            <w:pPr>
              <w:pStyle w:val="Tabletext"/>
              <w:keepNext/>
              <w:keepLines/>
              <w:jc w:val="center"/>
              <w:rPr>
                <w:b/>
                <w:szCs w:val="20"/>
              </w:rPr>
            </w:pPr>
            <w:r w:rsidRPr="00E92067">
              <w:rPr>
                <w:b/>
                <w:szCs w:val="20"/>
              </w:rPr>
              <w:t>Year 4</w:t>
            </w:r>
          </w:p>
          <w:p w:rsidR="008617E2" w:rsidRPr="00E92067" w:rsidRDefault="008617E2" w:rsidP="00FB6AE5">
            <w:pPr>
              <w:pStyle w:val="Tabletext"/>
              <w:keepNext/>
              <w:keepLines/>
              <w:jc w:val="center"/>
              <w:rPr>
                <w:b/>
                <w:szCs w:val="20"/>
              </w:rPr>
            </w:pPr>
            <w:r w:rsidRPr="00E92067">
              <w:rPr>
                <w:b/>
                <w:szCs w:val="20"/>
              </w:rPr>
              <w:t>(2022)</w:t>
            </w:r>
          </w:p>
        </w:tc>
        <w:tc>
          <w:tcPr>
            <w:tcW w:w="1010" w:type="dxa"/>
            <w:tcBorders>
              <w:bottom w:val="single" w:sz="4" w:space="0" w:color="auto"/>
            </w:tcBorders>
            <w:shd w:val="clear" w:color="auto" w:fill="auto"/>
            <w:vAlign w:val="center"/>
          </w:tcPr>
          <w:p w:rsidR="008617E2" w:rsidRPr="00E92067" w:rsidRDefault="008617E2" w:rsidP="00FB6AE5">
            <w:pPr>
              <w:pStyle w:val="Tabletext"/>
              <w:keepNext/>
              <w:keepLines/>
              <w:jc w:val="center"/>
              <w:rPr>
                <w:b/>
                <w:szCs w:val="20"/>
              </w:rPr>
            </w:pPr>
            <w:r w:rsidRPr="00E92067">
              <w:rPr>
                <w:b/>
                <w:szCs w:val="20"/>
              </w:rPr>
              <w:t>Year 5</w:t>
            </w:r>
          </w:p>
          <w:p w:rsidR="008617E2" w:rsidRPr="00E92067" w:rsidRDefault="008617E2" w:rsidP="00FB6AE5">
            <w:pPr>
              <w:pStyle w:val="Tabletext"/>
              <w:keepNext/>
              <w:keepLines/>
              <w:jc w:val="center"/>
              <w:rPr>
                <w:b/>
                <w:szCs w:val="20"/>
              </w:rPr>
            </w:pPr>
            <w:r w:rsidRPr="00E92067">
              <w:rPr>
                <w:b/>
                <w:szCs w:val="20"/>
              </w:rPr>
              <w:t>(2023)</w:t>
            </w:r>
          </w:p>
        </w:tc>
        <w:tc>
          <w:tcPr>
            <w:tcW w:w="1010" w:type="dxa"/>
            <w:tcBorders>
              <w:bottom w:val="single" w:sz="4" w:space="0" w:color="auto"/>
            </w:tcBorders>
            <w:shd w:val="clear" w:color="auto" w:fill="auto"/>
            <w:vAlign w:val="center"/>
          </w:tcPr>
          <w:p w:rsidR="008617E2" w:rsidRPr="00E92067" w:rsidRDefault="008617E2" w:rsidP="00FB6AE5">
            <w:pPr>
              <w:pStyle w:val="Tabletext"/>
              <w:keepNext/>
              <w:keepLines/>
              <w:jc w:val="center"/>
              <w:rPr>
                <w:b/>
                <w:szCs w:val="20"/>
              </w:rPr>
            </w:pPr>
            <w:r w:rsidRPr="00E92067">
              <w:rPr>
                <w:b/>
                <w:szCs w:val="20"/>
              </w:rPr>
              <w:t>Year 6</w:t>
            </w:r>
          </w:p>
          <w:p w:rsidR="008617E2" w:rsidRPr="00E92067" w:rsidRDefault="008617E2" w:rsidP="00FB6AE5">
            <w:pPr>
              <w:pStyle w:val="Tabletext"/>
              <w:keepNext/>
              <w:keepLines/>
              <w:jc w:val="center"/>
              <w:rPr>
                <w:b/>
                <w:szCs w:val="20"/>
              </w:rPr>
            </w:pPr>
            <w:r w:rsidRPr="00E92067">
              <w:rPr>
                <w:b/>
                <w:szCs w:val="20"/>
              </w:rPr>
              <w:t>(2024)</w:t>
            </w:r>
          </w:p>
        </w:tc>
      </w:tr>
      <w:tr w:rsidR="008617E2" w:rsidRPr="00E92067" w:rsidTr="00F91CB1">
        <w:tc>
          <w:tcPr>
            <w:tcW w:w="9017" w:type="dxa"/>
            <w:gridSpan w:val="7"/>
            <w:tcBorders>
              <w:bottom w:val="single" w:sz="4" w:space="0" w:color="auto"/>
            </w:tcBorders>
            <w:shd w:val="clear" w:color="auto" w:fill="auto"/>
            <w:vAlign w:val="center"/>
          </w:tcPr>
          <w:p w:rsidR="008617E2" w:rsidRPr="00E92067" w:rsidRDefault="008617E2" w:rsidP="00FB6AE5">
            <w:pPr>
              <w:pStyle w:val="Tabletext"/>
              <w:keepNext/>
              <w:keepLines/>
              <w:rPr>
                <w:b/>
                <w:szCs w:val="20"/>
              </w:rPr>
            </w:pPr>
            <w:r w:rsidRPr="00E92067">
              <w:rPr>
                <w:b/>
                <w:szCs w:val="20"/>
              </w:rPr>
              <w:t>Estimated eligible patient population</w:t>
            </w:r>
          </w:p>
        </w:tc>
      </w:tr>
      <w:tr w:rsidR="008617E2" w:rsidRPr="00E92067" w:rsidTr="00F91CB1">
        <w:tc>
          <w:tcPr>
            <w:tcW w:w="2956" w:type="dxa"/>
            <w:tcBorders>
              <w:top w:val="single" w:sz="4" w:space="0" w:color="auto"/>
              <w:bottom w:val="single" w:sz="4" w:space="0" w:color="auto"/>
              <w:right w:val="single" w:sz="4" w:space="0" w:color="auto"/>
            </w:tcBorders>
            <w:shd w:val="clear" w:color="auto" w:fill="auto"/>
            <w:vAlign w:val="center"/>
          </w:tcPr>
          <w:p w:rsidR="008617E2" w:rsidRPr="00E92067" w:rsidRDefault="008617E2" w:rsidP="00FB6AE5">
            <w:pPr>
              <w:pStyle w:val="Tabletext"/>
              <w:keepNext/>
              <w:keepLines/>
              <w:rPr>
                <w:szCs w:val="20"/>
              </w:rPr>
            </w:pPr>
            <w:r w:rsidRPr="00E92067">
              <w:rPr>
                <w:szCs w:val="20"/>
              </w:rPr>
              <w:t>Incidence of ALL</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8617E2" w:rsidRPr="00EC14AD" w:rsidRDefault="00EC14AD" w:rsidP="00FB6AE5">
            <w:pPr>
              <w:pStyle w:val="Tabletext"/>
              <w:keepNext/>
              <w:keepLines/>
              <w:jc w:val="center"/>
              <w:rPr>
                <w:rFonts w:cs="Arial"/>
                <w:color w:val="000000"/>
                <w:szCs w:val="20"/>
                <w:highlight w:val="black"/>
              </w:rPr>
            </w:pPr>
            <w:r>
              <w:rPr>
                <w:noProof/>
                <w:color w:val="000000"/>
                <w:szCs w:val="20"/>
                <w:highlight w:val="black"/>
              </w:rPr>
              <w:t>''''''''''</w:t>
            </w:r>
          </w:p>
        </w:tc>
        <w:tc>
          <w:tcPr>
            <w:tcW w:w="1011" w:type="dxa"/>
            <w:tcBorders>
              <w:top w:val="single" w:sz="4" w:space="0" w:color="auto"/>
              <w:left w:val="nil"/>
              <w:bottom w:val="single" w:sz="4" w:space="0" w:color="auto"/>
              <w:right w:val="single" w:sz="4" w:space="0" w:color="auto"/>
            </w:tcBorders>
            <w:shd w:val="clear" w:color="auto" w:fill="auto"/>
            <w:vAlign w:val="center"/>
          </w:tcPr>
          <w:p w:rsidR="008617E2" w:rsidRPr="00EC14AD" w:rsidRDefault="00EC14AD" w:rsidP="00FB6AE5">
            <w:pPr>
              <w:pStyle w:val="Tabletext"/>
              <w:keepNext/>
              <w:keepLines/>
              <w:jc w:val="center"/>
              <w:rPr>
                <w:rFonts w:cs="Arial"/>
                <w:color w:val="000000"/>
                <w:szCs w:val="20"/>
                <w:highlight w:val="black"/>
              </w:rPr>
            </w:pPr>
            <w:r>
              <w:rPr>
                <w:noProof/>
                <w:color w:val="000000"/>
                <w:szCs w:val="20"/>
                <w:highlight w:val="black"/>
              </w:rPr>
              <w:t>''''''''''</w:t>
            </w:r>
          </w:p>
        </w:tc>
        <w:tc>
          <w:tcPr>
            <w:tcW w:w="1010" w:type="dxa"/>
            <w:tcBorders>
              <w:top w:val="single" w:sz="4" w:space="0" w:color="auto"/>
              <w:left w:val="nil"/>
              <w:bottom w:val="single" w:sz="4" w:space="0" w:color="auto"/>
              <w:right w:val="single" w:sz="4" w:space="0" w:color="auto"/>
            </w:tcBorders>
            <w:shd w:val="clear" w:color="auto" w:fill="auto"/>
            <w:vAlign w:val="center"/>
          </w:tcPr>
          <w:p w:rsidR="008617E2" w:rsidRPr="00EC14AD" w:rsidRDefault="00EC14AD" w:rsidP="00FB6AE5">
            <w:pPr>
              <w:pStyle w:val="Tabletext"/>
              <w:keepNext/>
              <w:keepLines/>
              <w:jc w:val="center"/>
              <w:rPr>
                <w:rFonts w:cs="Arial"/>
                <w:color w:val="000000"/>
                <w:szCs w:val="20"/>
                <w:highlight w:val="black"/>
              </w:rPr>
            </w:pPr>
            <w:r>
              <w:rPr>
                <w:noProof/>
                <w:color w:val="000000"/>
                <w:szCs w:val="20"/>
                <w:highlight w:val="black"/>
              </w:rPr>
              <w:t>''''''''''</w:t>
            </w:r>
          </w:p>
        </w:tc>
        <w:tc>
          <w:tcPr>
            <w:tcW w:w="1010" w:type="dxa"/>
            <w:tcBorders>
              <w:top w:val="single" w:sz="4" w:space="0" w:color="auto"/>
              <w:left w:val="nil"/>
              <w:bottom w:val="single" w:sz="4" w:space="0" w:color="auto"/>
              <w:right w:val="single" w:sz="4" w:space="0" w:color="auto"/>
            </w:tcBorders>
            <w:shd w:val="clear" w:color="auto" w:fill="auto"/>
            <w:vAlign w:val="center"/>
          </w:tcPr>
          <w:p w:rsidR="008617E2" w:rsidRPr="00EC14AD" w:rsidRDefault="00EC14AD" w:rsidP="00FB6AE5">
            <w:pPr>
              <w:pStyle w:val="Tabletext"/>
              <w:keepNext/>
              <w:keepLines/>
              <w:jc w:val="center"/>
              <w:rPr>
                <w:rFonts w:cs="Arial"/>
                <w:color w:val="000000"/>
                <w:szCs w:val="20"/>
                <w:highlight w:val="black"/>
              </w:rPr>
            </w:pPr>
            <w:r>
              <w:rPr>
                <w:noProof/>
                <w:color w:val="000000"/>
                <w:szCs w:val="20"/>
                <w:highlight w:val="black"/>
              </w:rPr>
              <w:t>'''''''''</w:t>
            </w:r>
          </w:p>
        </w:tc>
        <w:tc>
          <w:tcPr>
            <w:tcW w:w="1010" w:type="dxa"/>
            <w:tcBorders>
              <w:top w:val="single" w:sz="4" w:space="0" w:color="auto"/>
              <w:left w:val="nil"/>
              <w:bottom w:val="single" w:sz="4" w:space="0" w:color="auto"/>
              <w:right w:val="single" w:sz="4" w:space="0" w:color="auto"/>
            </w:tcBorders>
            <w:shd w:val="clear" w:color="auto" w:fill="auto"/>
            <w:vAlign w:val="center"/>
          </w:tcPr>
          <w:p w:rsidR="008617E2" w:rsidRPr="00EC14AD" w:rsidRDefault="00EC14AD" w:rsidP="00FB6AE5">
            <w:pPr>
              <w:pStyle w:val="Tabletext"/>
              <w:keepNext/>
              <w:keepLines/>
              <w:jc w:val="center"/>
              <w:rPr>
                <w:rFonts w:cs="Arial"/>
                <w:color w:val="000000"/>
                <w:szCs w:val="20"/>
                <w:highlight w:val="black"/>
              </w:rPr>
            </w:pPr>
            <w:r>
              <w:rPr>
                <w:noProof/>
                <w:color w:val="000000"/>
                <w:szCs w:val="20"/>
                <w:highlight w:val="black"/>
              </w:rPr>
              <w:t>''''''''''</w:t>
            </w:r>
          </w:p>
        </w:tc>
        <w:tc>
          <w:tcPr>
            <w:tcW w:w="1010" w:type="dxa"/>
            <w:tcBorders>
              <w:top w:val="single" w:sz="4" w:space="0" w:color="auto"/>
              <w:left w:val="nil"/>
              <w:bottom w:val="single" w:sz="4" w:space="0" w:color="auto"/>
              <w:right w:val="single" w:sz="4" w:space="0" w:color="auto"/>
            </w:tcBorders>
            <w:shd w:val="clear" w:color="auto" w:fill="auto"/>
            <w:vAlign w:val="center"/>
          </w:tcPr>
          <w:p w:rsidR="008617E2" w:rsidRPr="00EC14AD" w:rsidRDefault="00EC14AD" w:rsidP="00FB6AE5">
            <w:pPr>
              <w:pStyle w:val="Tabletext"/>
              <w:keepNext/>
              <w:keepLines/>
              <w:jc w:val="center"/>
              <w:rPr>
                <w:rFonts w:cs="Arial"/>
                <w:color w:val="000000"/>
                <w:szCs w:val="20"/>
                <w:highlight w:val="black"/>
              </w:rPr>
            </w:pPr>
            <w:r>
              <w:rPr>
                <w:noProof/>
                <w:color w:val="000000"/>
                <w:szCs w:val="20"/>
                <w:highlight w:val="black"/>
              </w:rPr>
              <w:t>'''''''''</w:t>
            </w:r>
          </w:p>
        </w:tc>
      </w:tr>
      <w:tr w:rsidR="008617E2" w:rsidRPr="00E92067" w:rsidTr="00F91CB1">
        <w:tc>
          <w:tcPr>
            <w:tcW w:w="2956" w:type="dxa"/>
            <w:tcBorders>
              <w:top w:val="single" w:sz="4" w:space="0" w:color="auto"/>
              <w:bottom w:val="single" w:sz="4" w:space="0" w:color="auto"/>
            </w:tcBorders>
            <w:shd w:val="clear" w:color="auto" w:fill="auto"/>
            <w:vAlign w:val="center"/>
          </w:tcPr>
          <w:p w:rsidR="008617E2" w:rsidRPr="00E92067" w:rsidRDefault="008617E2" w:rsidP="001613D3">
            <w:pPr>
              <w:pStyle w:val="Tabletext"/>
              <w:keepNext/>
              <w:keepLines/>
              <w:numPr>
                <w:ilvl w:val="0"/>
                <w:numId w:val="4"/>
              </w:numPr>
              <w:ind w:left="142" w:hanging="142"/>
              <w:rPr>
                <w:szCs w:val="20"/>
              </w:rPr>
            </w:pPr>
            <w:r w:rsidRPr="00E92067">
              <w:rPr>
                <w:szCs w:val="20"/>
              </w:rPr>
              <w:t>Adults</w:t>
            </w:r>
          </w:p>
        </w:tc>
        <w:tc>
          <w:tcPr>
            <w:tcW w:w="1010" w:type="dxa"/>
            <w:tcBorders>
              <w:top w:val="nil"/>
              <w:left w:val="single" w:sz="4" w:space="0" w:color="auto"/>
              <w:bottom w:val="single" w:sz="4" w:space="0" w:color="auto"/>
              <w:right w:val="single" w:sz="4" w:space="0" w:color="auto"/>
            </w:tcBorders>
            <w:shd w:val="clear" w:color="auto" w:fill="auto"/>
            <w:vAlign w:val="center"/>
          </w:tcPr>
          <w:p w:rsidR="008617E2" w:rsidRPr="00EC14AD" w:rsidRDefault="00EC14AD" w:rsidP="00FB6AE5">
            <w:pPr>
              <w:pStyle w:val="Tabletext"/>
              <w:keepNext/>
              <w:keepLines/>
              <w:jc w:val="center"/>
              <w:rPr>
                <w:rFonts w:cs="Arial"/>
                <w:szCs w:val="20"/>
                <w:highlight w:val="black"/>
              </w:rPr>
            </w:pPr>
            <w:r>
              <w:rPr>
                <w:noProof/>
                <w:color w:val="000000"/>
                <w:szCs w:val="20"/>
                <w:highlight w:val="black"/>
              </w:rPr>
              <w:t>''''''''''</w:t>
            </w:r>
          </w:p>
        </w:tc>
        <w:tc>
          <w:tcPr>
            <w:tcW w:w="1011" w:type="dxa"/>
            <w:tcBorders>
              <w:top w:val="nil"/>
              <w:left w:val="nil"/>
              <w:bottom w:val="single" w:sz="4" w:space="0" w:color="auto"/>
              <w:right w:val="single" w:sz="4" w:space="0" w:color="auto"/>
            </w:tcBorders>
            <w:shd w:val="clear" w:color="auto" w:fill="auto"/>
            <w:vAlign w:val="center"/>
          </w:tcPr>
          <w:p w:rsidR="008617E2" w:rsidRPr="00EC14AD" w:rsidRDefault="00EC14AD" w:rsidP="00FB6AE5">
            <w:pPr>
              <w:pStyle w:val="Tabletext"/>
              <w:keepNext/>
              <w:keepLines/>
              <w:jc w:val="center"/>
              <w:rPr>
                <w:rFonts w:cs="Arial"/>
                <w:szCs w:val="20"/>
                <w:highlight w:val="black"/>
              </w:rPr>
            </w:pPr>
            <w:r>
              <w:rPr>
                <w:noProof/>
                <w:color w:val="000000"/>
                <w:szCs w:val="20"/>
                <w:highlight w:val="black"/>
              </w:rPr>
              <w:t>''''''''''</w:t>
            </w:r>
          </w:p>
        </w:tc>
        <w:tc>
          <w:tcPr>
            <w:tcW w:w="1010" w:type="dxa"/>
            <w:tcBorders>
              <w:top w:val="nil"/>
              <w:left w:val="nil"/>
              <w:bottom w:val="single" w:sz="4" w:space="0" w:color="auto"/>
              <w:right w:val="single" w:sz="4" w:space="0" w:color="auto"/>
            </w:tcBorders>
            <w:shd w:val="clear" w:color="auto" w:fill="auto"/>
            <w:vAlign w:val="center"/>
          </w:tcPr>
          <w:p w:rsidR="008617E2" w:rsidRPr="00EC14AD" w:rsidRDefault="00EC14AD" w:rsidP="00FB6AE5">
            <w:pPr>
              <w:pStyle w:val="Tabletext"/>
              <w:keepNext/>
              <w:keepLines/>
              <w:jc w:val="center"/>
              <w:rPr>
                <w:rFonts w:cs="Arial"/>
                <w:szCs w:val="20"/>
                <w:highlight w:val="black"/>
              </w:rPr>
            </w:pPr>
            <w:r>
              <w:rPr>
                <w:noProof/>
                <w:color w:val="000000"/>
                <w:szCs w:val="20"/>
                <w:highlight w:val="black"/>
              </w:rPr>
              <w:t>'''''''''</w:t>
            </w:r>
          </w:p>
        </w:tc>
        <w:tc>
          <w:tcPr>
            <w:tcW w:w="1010" w:type="dxa"/>
            <w:tcBorders>
              <w:top w:val="nil"/>
              <w:left w:val="nil"/>
              <w:bottom w:val="single" w:sz="4" w:space="0" w:color="auto"/>
              <w:right w:val="single" w:sz="4" w:space="0" w:color="auto"/>
            </w:tcBorders>
            <w:shd w:val="clear" w:color="auto" w:fill="auto"/>
            <w:vAlign w:val="center"/>
          </w:tcPr>
          <w:p w:rsidR="008617E2" w:rsidRPr="00EC14AD" w:rsidRDefault="00EC14AD" w:rsidP="00FB6AE5">
            <w:pPr>
              <w:pStyle w:val="Tabletext"/>
              <w:keepNext/>
              <w:keepLines/>
              <w:jc w:val="center"/>
              <w:rPr>
                <w:rFonts w:cs="Arial"/>
                <w:szCs w:val="20"/>
                <w:highlight w:val="black"/>
              </w:rPr>
            </w:pPr>
            <w:r>
              <w:rPr>
                <w:noProof/>
                <w:color w:val="000000"/>
                <w:szCs w:val="20"/>
                <w:highlight w:val="black"/>
              </w:rPr>
              <w:t>'''''''''</w:t>
            </w:r>
          </w:p>
        </w:tc>
        <w:tc>
          <w:tcPr>
            <w:tcW w:w="1010" w:type="dxa"/>
            <w:tcBorders>
              <w:top w:val="nil"/>
              <w:left w:val="nil"/>
              <w:bottom w:val="single" w:sz="4" w:space="0" w:color="auto"/>
              <w:right w:val="single" w:sz="4" w:space="0" w:color="auto"/>
            </w:tcBorders>
            <w:shd w:val="clear" w:color="auto" w:fill="auto"/>
            <w:vAlign w:val="center"/>
          </w:tcPr>
          <w:p w:rsidR="008617E2" w:rsidRPr="00EC14AD" w:rsidRDefault="00EC14AD" w:rsidP="00FB6AE5">
            <w:pPr>
              <w:pStyle w:val="Tabletext"/>
              <w:keepNext/>
              <w:keepLines/>
              <w:jc w:val="center"/>
              <w:rPr>
                <w:rFonts w:cs="Arial"/>
                <w:szCs w:val="20"/>
                <w:highlight w:val="black"/>
              </w:rPr>
            </w:pPr>
            <w:r>
              <w:rPr>
                <w:noProof/>
                <w:color w:val="000000"/>
                <w:szCs w:val="20"/>
                <w:highlight w:val="black"/>
              </w:rPr>
              <w:t>''''''''</w:t>
            </w:r>
          </w:p>
        </w:tc>
        <w:tc>
          <w:tcPr>
            <w:tcW w:w="1010" w:type="dxa"/>
            <w:tcBorders>
              <w:top w:val="nil"/>
              <w:left w:val="nil"/>
              <w:bottom w:val="single" w:sz="4" w:space="0" w:color="auto"/>
              <w:right w:val="single" w:sz="4" w:space="0" w:color="auto"/>
            </w:tcBorders>
            <w:shd w:val="clear" w:color="auto" w:fill="auto"/>
            <w:vAlign w:val="center"/>
          </w:tcPr>
          <w:p w:rsidR="008617E2" w:rsidRPr="00EC14AD" w:rsidRDefault="00EC14AD" w:rsidP="00FB6AE5">
            <w:pPr>
              <w:pStyle w:val="Tabletext"/>
              <w:keepNext/>
              <w:keepLines/>
              <w:jc w:val="center"/>
              <w:rPr>
                <w:rFonts w:cs="Arial"/>
                <w:szCs w:val="20"/>
                <w:highlight w:val="black"/>
              </w:rPr>
            </w:pPr>
            <w:r>
              <w:rPr>
                <w:noProof/>
                <w:color w:val="000000"/>
                <w:szCs w:val="20"/>
                <w:highlight w:val="black"/>
              </w:rPr>
              <w:t>'''''''''</w:t>
            </w:r>
          </w:p>
        </w:tc>
      </w:tr>
      <w:tr w:rsidR="008617E2" w:rsidRPr="00E92067" w:rsidTr="00F91CB1">
        <w:tc>
          <w:tcPr>
            <w:tcW w:w="2956" w:type="dxa"/>
            <w:tcBorders>
              <w:bottom w:val="single" w:sz="4" w:space="0" w:color="auto"/>
            </w:tcBorders>
            <w:shd w:val="clear" w:color="auto" w:fill="auto"/>
            <w:vAlign w:val="center"/>
          </w:tcPr>
          <w:p w:rsidR="008617E2" w:rsidRPr="00E92067" w:rsidRDefault="008617E2" w:rsidP="001613D3">
            <w:pPr>
              <w:pStyle w:val="Tabletext"/>
              <w:keepNext/>
              <w:keepLines/>
              <w:numPr>
                <w:ilvl w:val="0"/>
                <w:numId w:val="4"/>
              </w:numPr>
              <w:ind w:left="142" w:hanging="142"/>
              <w:rPr>
                <w:szCs w:val="20"/>
              </w:rPr>
            </w:pPr>
            <w:r w:rsidRPr="00E92067">
              <w:rPr>
                <w:szCs w:val="20"/>
              </w:rPr>
              <w:t>Paediatrics</w:t>
            </w:r>
          </w:p>
        </w:tc>
        <w:tc>
          <w:tcPr>
            <w:tcW w:w="1010" w:type="dxa"/>
            <w:tcBorders>
              <w:top w:val="nil"/>
              <w:left w:val="single" w:sz="4" w:space="0" w:color="auto"/>
              <w:bottom w:val="single" w:sz="4" w:space="0" w:color="auto"/>
              <w:right w:val="single" w:sz="4" w:space="0" w:color="auto"/>
            </w:tcBorders>
            <w:shd w:val="clear" w:color="auto" w:fill="auto"/>
            <w:vAlign w:val="center"/>
          </w:tcPr>
          <w:p w:rsidR="008617E2" w:rsidRPr="00EC14AD" w:rsidRDefault="00EC14AD" w:rsidP="00FB6AE5">
            <w:pPr>
              <w:pStyle w:val="Tabletext"/>
              <w:keepNext/>
              <w:keepLines/>
              <w:jc w:val="center"/>
              <w:rPr>
                <w:rFonts w:cs="Arial"/>
                <w:szCs w:val="20"/>
                <w:highlight w:val="black"/>
              </w:rPr>
            </w:pPr>
            <w:r>
              <w:rPr>
                <w:noProof/>
                <w:color w:val="000000"/>
                <w:szCs w:val="20"/>
                <w:highlight w:val="black"/>
              </w:rPr>
              <w:t>'''''''''</w:t>
            </w:r>
          </w:p>
        </w:tc>
        <w:tc>
          <w:tcPr>
            <w:tcW w:w="1011" w:type="dxa"/>
            <w:tcBorders>
              <w:top w:val="nil"/>
              <w:left w:val="nil"/>
              <w:bottom w:val="single" w:sz="4" w:space="0" w:color="auto"/>
              <w:right w:val="single" w:sz="4" w:space="0" w:color="auto"/>
            </w:tcBorders>
            <w:shd w:val="clear" w:color="auto" w:fill="auto"/>
            <w:vAlign w:val="center"/>
          </w:tcPr>
          <w:p w:rsidR="008617E2" w:rsidRPr="00EC14AD" w:rsidRDefault="00EC14AD" w:rsidP="00FB6AE5">
            <w:pPr>
              <w:pStyle w:val="Tabletext"/>
              <w:keepNext/>
              <w:keepLines/>
              <w:jc w:val="center"/>
              <w:rPr>
                <w:rFonts w:cs="Arial"/>
                <w:szCs w:val="20"/>
                <w:highlight w:val="black"/>
              </w:rPr>
            </w:pPr>
            <w:r>
              <w:rPr>
                <w:noProof/>
                <w:color w:val="000000"/>
                <w:szCs w:val="20"/>
                <w:highlight w:val="black"/>
              </w:rPr>
              <w:t>''''''''''</w:t>
            </w:r>
          </w:p>
        </w:tc>
        <w:tc>
          <w:tcPr>
            <w:tcW w:w="1010" w:type="dxa"/>
            <w:tcBorders>
              <w:top w:val="nil"/>
              <w:left w:val="nil"/>
              <w:bottom w:val="single" w:sz="4" w:space="0" w:color="auto"/>
              <w:right w:val="single" w:sz="4" w:space="0" w:color="auto"/>
            </w:tcBorders>
            <w:shd w:val="clear" w:color="auto" w:fill="auto"/>
            <w:vAlign w:val="center"/>
          </w:tcPr>
          <w:p w:rsidR="008617E2" w:rsidRPr="00EC14AD" w:rsidRDefault="00EC14AD" w:rsidP="00FB6AE5">
            <w:pPr>
              <w:pStyle w:val="Tabletext"/>
              <w:keepNext/>
              <w:keepLines/>
              <w:jc w:val="center"/>
              <w:rPr>
                <w:rFonts w:cs="Arial"/>
                <w:szCs w:val="20"/>
                <w:highlight w:val="black"/>
              </w:rPr>
            </w:pPr>
            <w:r>
              <w:rPr>
                <w:noProof/>
                <w:color w:val="000000"/>
                <w:szCs w:val="20"/>
                <w:highlight w:val="black"/>
              </w:rPr>
              <w:t>'''''''''</w:t>
            </w:r>
          </w:p>
        </w:tc>
        <w:tc>
          <w:tcPr>
            <w:tcW w:w="1010" w:type="dxa"/>
            <w:tcBorders>
              <w:top w:val="nil"/>
              <w:left w:val="nil"/>
              <w:bottom w:val="single" w:sz="4" w:space="0" w:color="auto"/>
              <w:right w:val="single" w:sz="4" w:space="0" w:color="auto"/>
            </w:tcBorders>
            <w:shd w:val="clear" w:color="auto" w:fill="auto"/>
            <w:vAlign w:val="center"/>
          </w:tcPr>
          <w:p w:rsidR="008617E2" w:rsidRPr="00EC14AD" w:rsidRDefault="00EC14AD" w:rsidP="00FB6AE5">
            <w:pPr>
              <w:pStyle w:val="Tabletext"/>
              <w:keepNext/>
              <w:keepLines/>
              <w:jc w:val="center"/>
              <w:rPr>
                <w:rFonts w:cs="Arial"/>
                <w:szCs w:val="20"/>
                <w:highlight w:val="black"/>
              </w:rPr>
            </w:pPr>
            <w:r>
              <w:rPr>
                <w:noProof/>
                <w:color w:val="000000"/>
                <w:szCs w:val="20"/>
                <w:highlight w:val="black"/>
              </w:rPr>
              <w:t>''''''''</w:t>
            </w:r>
          </w:p>
        </w:tc>
        <w:tc>
          <w:tcPr>
            <w:tcW w:w="1010" w:type="dxa"/>
            <w:tcBorders>
              <w:top w:val="nil"/>
              <w:left w:val="nil"/>
              <w:bottom w:val="single" w:sz="4" w:space="0" w:color="auto"/>
              <w:right w:val="single" w:sz="4" w:space="0" w:color="auto"/>
            </w:tcBorders>
            <w:shd w:val="clear" w:color="auto" w:fill="auto"/>
            <w:vAlign w:val="center"/>
          </w:tcPr>
          <w:p w:rsidR="008617E2" w:rsidRPr="00EC14AD" w:rsidRDefault="00EC14AD" w:rsidP="00FB6AE5">
            <w:pPr>
              <w:pStyle w:val="Tabletext"/>
              <w:keepNext/>
              <w:keepLines/>
              <w:jc w:val="center"/>
              <w:rPr>
                <w:rFonts w:cs="Arial"/>
                <w:szCs w:val="20"/>
                <w:highlight w:val="black"/>
              </w:rPr>
            </w:pPr>
            <w:r>
              <w:rPr>
                <w:noProof/>
                <w:color w:val="000000"/>
                <w:szCs w:val="20"/>
                <w:highlight w:val="black"/>
              </w:rPr>
              <w:t>''''''''''</w:t>
            </w:r>
          </w:p>
        </w:tc>
        <w:tc>
          <w:tcPr>
            <w:tcW w:w="1010" w:type="dxa"/>
            <w:tcBorders>
              <w:top w:val="nil"/>
              <w:left w:val="nil"/>
              <w:bottom w:val="single" w:sz="4" w:space="0" w:color="auto"/>
              <w:right w:val="single" w:sz="4" w:space="0" w:color="auto"/>
            </w:tcBorders>
            <w:shd w:val="clear" w:color="auto" w:fill="auto"/>
            <w:vAlign w:val="center"/>
          </w:tcPr>
          <w:p w:rsidR="008617E2" w:rsidRPr="00EC14AD" w:rsidRDefault="00EC14AD" w:rsidP="00FB6AE5">
            <w:pPr>
              <w:pStyle w:val="Tabletext"/>
              <w:keepNext/>
              <w:keepLines/>
              <w:jc w:val="center"/>
              <w:rPr>
                <w:rFonts w:cs="Arial"/>
                <w:szCs w:val="20"/>
                <w:highlight w:val="black"/>
              </w:rPr>
            </w:pPr>
            <w:r>
              <w:rPr>
                <w:noProof/>
                <w:color w:val="000000"/>
                <w:szCs w:val="20"/>
                <w:highlight w:val="black"/>
              </w:rPr>
              <w:t>''''''''''</w:t>
            </w:r>
          </w:p>
        </w:tc>
      </w:tr>
      <w:tr w:rsidR="008617E2" w:rsidRPr="00E92067" w:rsidTr="00F91CB1">
        <w:tc>
          <w:tcPr>
            <w:tcW w:w="2956" w:type="dxa"/>
            <w:tcBorders>
              <w:bottom w:val="single" w:sz="4" w:space="0" w:color="auto"/>
            </w:tcBorders>
            <w:shd w:val="clear" w:color="auto" w:fill="auto"/>
            <w:vAlign w:val="center"/>
          </w:tcPr>
          <w:p w:rsidR="008617E2" w:rsidRPr="00E92067" w:rsidRDefault="008617E2" w:rsidP="00FB6AE5">
            <w:pPr>
              <w:pStyle w:val="Tabletext"/>
              <w:keepNext/>
              <w:keepLines/>
              <w:rPr>
                <w:szCs w:val="20"/>
              </w:rPr>
            </w:pPr>
            <w:r w:rsidRPr="00E92067">
              <w:rPr>
                <w:szCs w:val="20"/>
              </w:rPr>
              <w:t>Proportion B-cell lineage</w:t>
            </w:r>
          </w:p>
        </w:tc>
        <w:tc>
          <w:tcPr>
            <w:tcW w:w="1010" w:type="dxa"/>
            <w:tcBorders>
              <w:top w:val="single" w:sz="4" w:space="0" w:color="auto"/>
              <w:left w:val="nil"/>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r>
      <w:tr w:rsidR="008617E2" w:rsidRPr="00E92067" w:rsidTr="00F91CB1">
        <w:tc>
          <w:tcPr>
            <w:tcW w:w="2956" w:type="dxa"/>
            <w:tcBorders>
              <w:bottom w:val="single" w:sz="4" w:space="0" w:color="auto"/>
            </w:tcBorders>
            <w:shd w:val="clear" w:color="auto" w:fill="auto"/>
            <w:vAlign w:val="center"/>
          </w:tcPr>
          <w:p w:rsidR="008617E2" w:rsidRPr="00E92067" w:rsidRDefault="008617E2" w:rsidP="001613D3">
            <w:pPr>
              <w:pStyle w:val="Tabletext"/>
              <w:keepNext/>
              <w:keepLines/>
              <w:numPr>
                <w:ilvl w:val="0"/>
                <w:numId w:val="4"/>
              </w:numPr>
              <w:ind w:left="142" w:hanging="142"/>
              <w:rPr>
                <w:szCs w:val="20"/>
              </w:rPr>
            </w:pPr>
            <w:r w:rsidRPr="00E92067">
              <w:rPr>
                <w:szCs w:val="20"/>
              </w:rPr>
              <w:t>Adults (76%)</w:t>
            </w:r>
          </w:p>
        </w:tc>
        <w:tc>
          <w:tcPr>
            <w:tcW w:w="1010" w:type="dxa"/>
            <w:tcBorders>
              <w:top w:val="single" w:sz="4" w:space="0" w:color="auto"/>
              <w:left w:val="nil"/>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r>
      <w:tr w:rsidR="008617E2" w:rsidRPr="00E92067" w:rsidTr="00F91CB1">
        <w:tc>
          <w:tcPr>
            <w:tcW w:w="2956" w:type="dxa"/>
            <w:tcBorders>
              <w:bottom w:val="single" w:sz="4" w:space="0" w:color="auto"/>
            </w:tcBorders>
            <w:shd w:val="clear" w:color="auto" w:fill="auto"/>
            <w:vAlign w:val="center"/>
          </w:tcPr>
          <w:p w:rsidR="008617E2" w:rsidRPr="00E92067" w:rsidRDefault="008617E2" w:rsidP="001613D3">
            <w:pPr>
              <w:pStyle w:val="Tabletext"/>
              <w:keepNext/>
              <w:keepLines/>
              <w:numPr>
                <w:ilvl w:val="0"/>
                <w:numId w:val="4"/>
              </w:numPr>
              <w:ind w:left="142" w:hanging="142"/>
              <w:rPr>
                <w:szCs w:val="20"/>
              </w:rPr>
            </w:pPr>
            <w:r w:rsidRPr="00E92067">
              <w:rPr>
                <w:szCs w:val="20"/>
              </w:rPr>
              <w:t>Paediatrics (80%)</w:t>
            </w:r>
          </w:p>
        </w:tc>
        <w:tc>
          <w:tcPr>
            <w:tcW w:w="1010" w:type="dxa"/>
            <w:tcBorders>
              <w:top w:val="single" w:sz="4" w:space="0" w:color="auto"/>
              <w:left w:val="nil"/>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r>
      <w:tr w:rsidR="008617E2" w:rsidRPr="00E92067" w:rsidTr="00F91CB1">
        <w:tc>
          <w:tcPr>
            <w:tcW w:w="2956" w:type="dxa"/>
            <w:tcBorders>
              <w:bottom w:val="single" w:sz="4" w:space="0" w:color="auto"/>
            </w:tcBorders>
            <w:shd w:val="clear" w:color="auto" w:fill="auto"/>
            <w:vAlign w:val="center"/>
          </w:tcPr>
          <w:p w:rsidR="008617E2" w:rsidRPr="00E92067" w:rsidRDefault="008617E2" w:rsidP="00FB6AE5">
            <w:pPr>
              <w:pStyle w:val="Tabletext"/>
              <w:keepNext/>
              <w:keepLines/>
              <w:rPr>
                <w:szCs w:val="20"/>
              </w:rPr>
            </w:pPr>
            <w:r w:rsidRPr="00E92067">
              <w:rPr>
                <w:szCs w:val="20"/>
              </w:rPr>
              <w:t>Proportion B-cell which is immature B-cell precursor</w:t>
            </w:r>
          </w:p>
        </w:tc>
        <w:tc>
          <w:tcPr>
            <w:tcW w:w="1010" w:type="dxa"/>
            <w:tcBorders>
              <w:top w:val="single" w:sz="4" w:space="0" w:color="auto"/>
              <w:left w:val="nil"/>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r>
      <w:tr w:rsidR="008617E2" w:rsidRPr="00E92067" w:rsidTr="00F91CB1">
        <w:tc>
          <w:tcPr>
            <w:tcW w:w="2956" w:type="dxa"/>
            <w:tcBorders>
              <w:bottom w:val="single" w:sz="4" w:space="0" w:color="auto"/>
            </w:tcBorders>
            <w:shd w:val="clear" w:color="auto" w:fill="auto"/>
            <w:vAlign w:val="center"/>
          </w:tcPr>
          <w:p w:rsidR="008617E2" w:rsidRPr="00E92067" w:rsidRDefault="008617E2" w:rsidP="001613D3">
            <w:pPr>
              <w:pStyle w:val="Tabletext"/>
              <w:keepNext/>
              <w:keepLines/>
              <w:numPr>
                <w:ilvl w:val="0"/>
                <w:numId w:val="4"/>
              </w:numPr>
              <w:ind w:left="142" w:hanging="142"/>
              <w:rPr>
                <w:szCs w:val="20"/>
              </w:rPr>
            </w:pPr>
            <w:r w:rsidRPr="00E92067">
              <w:rPr>
                <w:szCs w:val="20"/>
              </w:rPr>
              <w:t>Adults (93%)</w:t>
            </w:r>
          </w:p>
        </w:tc>
        <w:tc>
          <w:tcPr>
            <w:tcW w:w="1010" w:type="dxa"/>
            <w:tcBorders>
              <w:top w:val="single" w:sz="4" w:space="0" w:color="auto"/>
              <w:left w:val="nil"/>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r>
      <w:tr w:rsidR="008617E2" w:rsidRPr="00E92067" w:rsidTr="00F91CB1">
        <w:tc>
          <w:tcPr>
            <w:tcW w:w="2956" w:type="dxa"/>
            <w:tcBorders>
              <w:bottom w:val="single" w:sz="4" w:space="0" w:color="auto"/>
            </w:tcBorders>
            <w:shd w:val="clear" w:color="auto" w:fill="auto"/>
            <w:vAlign w:val="center"/>
          </w:tcPr>
          <w:p w:rsidR="008617E2" w:rsidRPr="00E92067" w:rsidRDefault="008617E2" w:rsidP="001613D3">
            <w:pPr>
              <w:pStyle w:val="Tabletext"/>
              <w:keepNext/>
              <w:keepLines/>
              <w:numPr>
                <w:ilvl w:val="0"/>
                <w:numId w:val="4"/>
              </w:numPr>
              <w:ind w:left="142" w:hanging="142"/>
              <w:rPr>
                <w:szCs w:val="20"/>
              </w:rPr>
            </w:pPr>
            <w:r w:rsidRPr="00E92067">
              <w:rPr>
                <w:szCs w:val="20"/>
              </w:rPr>
              <w:t>Paediatrics (93%)</w:t>
            </w:r>
          </w:p>
        </w:tc>
        <w:tc>
          <w:tcPr>
            <w:tcW w:w="1010" w:type="dxa"/>
            <w:tcBorders>
              <w:top w:val="single" w:sz="4" w:space="0" w:color="auto"/>
              <w:left w:val="nil"/>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r>
      <w:tr w:rsidR="008617E2" w:rsidRPr="00E92067" w:rsidTr="00F91CB1">
        <w:tc>
          <w:tcPr>
            <w:tcW w:w="2956" w:type="dxa"/>
            <w:tcBorders>
              <w:bottom w:val="single" w:sz="4" w:space="0" w:color="auto"/>
            </w:tcBorders>
            <w:shd w:val="clear" w:color="auto" w:fill="auto"/>
            <w:vAlign w:val="center"/>
          </w:tcPr>
          <w:p w:rsidR="008617E2" w:rsidRPr="00E92067" w:rsidRDefault="008617E2" w:rsidP="00FB6AE5">
            <w:pPr>
              <w:pStyle w:val="Tabletext"/>
              <w:keepNext/>
              <w:keepLines/>
              <w:rPr>
                <w:szCs w:val="20"/>
              </w:rPr>
            </w:pPr>
            <w:r w:rsidRPr="00E92067">
              <w:rPr>
                <w:szCs w:val="20"/>
              </w:rPr>
              <w:t>Proportion of patients with complete remission after induction treatment</w:t>
            </w:r>
          </w:p>
        </w:tc>
        <w:tc>
          <w:tcPr>
            <w:tcW w:w="1010" w:type="dxa"/>
            <w:tcBorders>
              <w:top w:val="single" w:sz="4" w:space="0" w:color="auto"/>
              <w:left w:val="nil"/>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r>
      <w:tr w:rsidR="008617E2" w:rsidRPr="00E92067" w:rsidTr="00F91CB1">
        <w:tc>
          <w:tcPr>
            <w:tcW w:w="2956" w:type="dxa"/>
            <w:tcBorders>
              <w:bottom w:val="single" w:sz="4" w:space="0" w:color="auto"/>
            </w:tcBorders>
            <w:shd w:val="clear" w:color="auto" w:fill="auto"/>
            <w:vAlign w:val="center"/>
          </w:tcPr>
          <w:p w:rsidR="008617E2" w:rsidRPr="00E92067" w:rsidRDefault="008617E2" w:rsidP="001613D3">
            <w:pPr>
              <w:pStyle w:val="Tabletext"/>
              <w:keepNext/>
              <w:keepLines/>
              <w:numPr>
                <w:ilvl w:val="0"/>
                <w:numId w:val="4"/>
              </w:numPr>
              <w:ind w:left="142" w:hanging="142"/>
              <w:rPr>
                <w:szCs w:val="20"/>
              </w:rPr>
            </w:pPr>
            <w:r w:rsidRPr="00E92067">
              <w:rPr>
                <w:szCs w:val="20"/>
              </w:rPr>
              <w:t>Adults (88%)</w:t>
            </w:r>
          </w:p>
        </w:tc>
        <w:tc>
          <w:tcPr>
            <w:tcW w:w="1010" w:type="dxa"/>
            <w:tcBorders>
              <w:top w:val="single" w:sz="4" w:space="0" w:color="auto"/>
              <w:left w:val="nil"/>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r>
      <w:tr w:rsidR="008617E2" w:rsidRPr="00E92067" w:rsidTr="00F91CB1">
        <w:tc>
          <w:tcPr>
            <w:tcW w:w="2956" w:type="dxa"/>
            <w:tcBorders>
              <w:bottom w:val="single" w:sz="4" w:space="0" w:color="auto"/>
            </w:tcBorders>
            <w:shd w:val="clear" w:color="auto" w:fill="auto"/>
            <w:vAlign w:val="center"/>
          </w:tcPr>
          <w:p w:rsidR="008617E2" w:rsidRPr="00E92067" w:rsidRDefault="008617E2" w:rsidP="001613D3">
            <w:pPr>
              <w:pStyle w:val="Tabletext"/>
              <w:keepNext/>
              <w:keepLines/>
              <w:numPr>
                <w:ilvl w:val="0"/>
                <w:numId w:val="4"/>
              </w:numPr>
              <w:ind w:left="142" w:hanging="142"/>
              <w:rPr>
                <w:szCs w:val="20"/>
              </w:rPr>
            </w:pPr>
            <w:r w:rsidRPr="00E92067">
              <w:rPr>
                <w:szCs w:val="20"/>
              </w:rPr>
              <w:t>Paediatrics (96%)</w:t>
            </w:r>
          </w:p>
        </w:tc>
        <w:tc>
          <w:tcPr>
            <w:tcW w:w="1010" w:type="dxa"/>
            <w:tcBorders>
              <w:top w:val="single" w:sz="4" w:space="0" w:color="auto"/>
              <w:left w:val="nil"/>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8617E2" w:rsidRPr="00EC14AD" w:rsidRDefault="00EC14AD" w:rsidP="00FB6AE5">
            <w:pPr>
              <w:pStyle w:val="Tabletext"/>
              <w:keepNext/>
              <w:keepLines/>
              <w:jc w:val="center"/>
              <w:rPr>
                <w:szCs w:val="20"/>
                <w:highlight w:val="black"/>
              </w:rPr>
            </w:pPr>
            <w:r>
              <w:rPr>
                <w:noProof/>
                <w:color w:val="000000"/>
                <w:highlight w:val="black"/>
              </w:rPr>
              <w:t>''''''''''</w:t>
            </w:r>
          </w:p>
        </w:tc>
      </w:tr>
      <w:tr w:rsidR="00F91CB1" w:rsidRPr="00E92067" w:rsidTr="00F91CB1">
        <w:tc>
          <w:tcPr>
            <w:tcW w:w="2956" w:type="dxa"/>
            <w:tcBorders>
              <w:bottom w:val="single" w:sz="4" w:space="0" w:color="auto"/>
            </w:tcBorders>
            <w:shd w:val="clear" w:color="auto" w:fill="auto"/>
            <w:vAlign w:val="center"/>
          </w:tcPr>
          <w:p w:rsidR="00F91CB1" w:rsidRPr="00E92067" w:rsidRDefault="00F91CB1" w:rsidP="00FB6AE5">
            <w:pPr>
              <w:pStyle w:val="Tabletext"/>
              <w:keepNext/>
              <w:keepLines/>
              <w:rPr>
                <w:szCs w:val="20"/>
              </w:rPr>
            </w:pPr>
            <w:r w:rsidRPr="00E92067">
              <w:rPr>
                <w:szCs w:val="20"/>
              </w:rPr>
              <w:t>Proportion of patients with complete remission who are MRD positive</w:t>
            </w:r>
          </w:p>
        </w:tc>
        <w:tc>
          <w:tcPr>
            <w:tcW w:w="1010" w:type="dxa"/>
            <w:tcBorders>
              <w:top w:val="single" w:sz="4" w:space="0" w:color="auto"/>
              <w:left w:val="nil"/>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bCs/>
                <w:noProof/>
                <w:color w:val="000000"/>
                <w:szCs w:val="20"/>
                <w:highlight w:val="black"/>
              </w:rP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bCs/>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bCs/>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bCs/>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bCs/>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bCs/>
                <w:noProof/>
                <w:color w:val="000000"/>
                <w:szCs w:val="20"/>
                <w:highlight w:val="black"/>
              </w:rPr>
              <w:t>''''''</w:t>
            </w:r>
          </w:p>
        </w:tc>
      </w:tr>
      <w:tr w:rsidR="00F91CB1" w:rsidRPr="00E92067" w:rsidTr="00F91CB1">
        <w:tc>
          <w:tcPr>
            <w:tcW w:w="2956" w:type="dxa"/>
            <w:tcBorders>
              <w:bottom w:val="single" w:sz="4" w:space="0" w:color="auto"/>
            </w:tcBorders>
            <w:shd w:val="clear" w:color="auto" w:fill="auto"/>
            <w:vAlign w:val="center"/>
          </w:tcPr>
          <w:p w:rsidR="00F91CB1" w:rsidRPr="00E92067" w:rsidRDefault="00F91CB1" w:rsidP="001613D3">
            <w:pPr>
              <w:pStyle w:val="Tabletext"/>
              <w:keepNext/>
              <w:keepLines/>
              <w:numPr>
                <w:ilvl w:val="0"/>
                <w:numId w:val="4"/>
              </w:numPr>
              <w:ind w:left="142" w:hanging="142"/>
              <w:rPr>
                <w:szCs w:val="20"/>
              </w:rPr>
            </w:pPr>
            <w:r w:rsidRPr="00E92067">
              <w:rPr>
                <w:szCs w:val="20"/>
              </w:rPr>
              <w:t>Adults (40%)</w:t>
            </w:r>
          </w:p>
        </w:tc>
        <w:tc>
          <w:tcPr>
            <w:tcW w:w="1010" w:type="dxa"/>
            <w:tcBorders>
              <w:top w:val="single" w:sz="4" w:space="0" w:color="auto"/>
              <w:left w:val="nil"/>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r>
      <w:tr w:rsidR="00F91CB1" w:rsidRPr="00E92067" w:rsidTr="00F91CB1">
        <w:tc>
          <w:tcPr>
            <w:tcW w:w="2956" w:type="dxa"/>
            <w:tcBorders>
              <w:bottom w:val="single" w:sz="4" w:space="0" w:color="auto"/>
            </w:tcBorders>
            <w:shd w:val="clear" w:color="auto" w:fill="auto"/>
            <w:vAlign w:val="center"/>
          </w:tcPr>
          <w:p w:rsidR="00F91CB1" w:rsidRPr="00E92067" w:rsidRDefault="00F91CB1" w:rsidP="001613D3">
            <w:pPr>
              <w:pStyle w:val="Tabletext"/>
              <w:keepNext/>
              <w:keepLines/>
              <w:numPr>
                <w:ilvl w:val="0"/>
                <w:numId w:val="4"/>
              </w:numPr>
              <w:ind w:left="142" w:hanging="142"/>
              <w:rPr>
                <w:szCs w:val="20"/>
              </w:rPr>
            </w:pPr>
            <w:r w:rsidRPr="00E92067">
              <w:rPr>
                <w:szCs w:val="20"/>
              </w:rPr>
              <w:t>Paediatrics (13%)</w:t>
            </w:r>
          </w:p>
        </w:tc>
        <w:tc>
          <w:tcPr>
            <w:tcW w:w="1010" w:type="dxa"/>
            <w:tcBorders>
              <w:top w:val="single" w:sz="4" w:space="0" w:color="auto"/>
              <w:left w:val="nil"/>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r>
      <w:tr w:rsidR="00F91CB1" w:rsidRPr="00E92067" w:rsidTr="00F91CB1">
        <w:tc>
          <w:tcPr>
            <w:tcW w:w="9017" w:type="dxa"/>
            <w:gridSpan w:val="7"/>
            <w:tcBorders>
              <w:right w:val="single" w:sz="4" w:space="0" w:color="auto"/>
            </w:tcBorders>
            <w:shd w:val="clear" w:color="auto" w:fill="auto"/>
            <w:vAlign w:val="center"/>
          </w:tcPr>
          <w:p w:rsidR="00F91CB1" w:rsidRPr="00E92067" w:rsidRDefault="00F91CB1" w:rsidP="00FB6AE5">
            <w:pPr>
              <w:pStyle w:val="Tabletext"/>
              <w:keepNext/>
              <w:keepLines/>
              <w:rPr>
                <w:b/>
                <w:szCs w:val="20"/>
              </w:rPr>
            </w:pPr>
            <w:r w:rsidRPr="00E92067">
              <w:rPr>
                <w:b/>
                <w:szCs w:val="20"/>
              </w:rPr>
              <w:t>Estimated extent of use and cost of blinatumomab on the PBS</w:t>
            </w:r>
          </w:p>
        </w:tc>
      </w:tr>
      <w:tr w:rsidR="00F91CB1" w:rsidRPr="00E92067" w:rsidTr="00F91CB1">
        <w:tc>
          <w:tcPr>
            <w:tcW w:w="2956" w:type="dxa"/>
            <w:shd w:val="clear" w:color="auto" w:fill="auto"/>
            <w:vAlign w:val="center"/>
          </w:tcPr>
          <w:p w:rsidR="00F91CB1" w:rsidRPr="00E92067" w:rsidRDefault="00F91CB1" w:rsidP="00FB6AE5">
            <w:pPr>
              <w:pStyle w:val="Tabletext"/>
              <w:keepNext/>
              <w:keepLines/>
              <w:rPr>
                <w:szCs w:val="20"/>
              </w:rPr>
            </w:pPr>
            <w:r w:rsidRPr="00E92067">
              <w:rPr>
                <w:szCs w:val="20"/>
              </w:rPr>
              <w:t>Expected utilisation of blinatumomab (80% uptake rate)</w:t>
            </w:r>
          </w:p>
        </w:tc>
        <w:tc>
          <w:tcPr>
            <w:tcW w:w="1010" w:type="dxa"/>
            <w:tcBorders>
              <w:top w:val="single" w:sz="4" w:space="0" w:color="auto"/>
              <w:left w:val="nil"/>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bCs/>
                <w:noProof/>
                <w:color w:val="000000"/>
                <w:szCs w:val="20"/>
                <w:highlight w:val="black"/>
              </w:rP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bCs/>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bCs/>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bCs/>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bCs/>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bCs/>
                <w:noProof/>
                <w:color w:val="000000"/>
                <w:szCs w:val="20"/>
                <w:highlight w:val="black"/>
              </w:rPr>
              <w:t>'''''''</w:t>
            </w:r>
          </w:p>
        </w:tc>
      </w:tr>
      <w:tr w:rsidR="00F91CB1" w:rsidRPr="00E92067" w:rsidTr="00F91CB1">
        <w:tc>
          <w:tcPr>
            <w:tcW w:w="2956" w:type="dxa"/>
            <w:tcBorders>
              <w:bottom w:val="single" w:sz="4" w:space="0" w:color="auto"/>
            </w:tcBorders>
            <w:shd w:val="clear" w:color="auto" w:fill="auto"/>
            <w:vAlign w:val="center"/>
          </w:tcPr>
          <w:p w:rsidR="00F91CB1" w:rsidRPr="00E92067" w:rsidRDefault="00F91CB1" w:rsidP="00FB6AE5">
            <w:pPr>
              <w:pStyle w:val="Tabletext"/>
              <w:keepNext/>
              <w:keepLines/>
              <w:rPr>
                <w:szCs w:val="20"/>
              </w:rPr>
            </w:pPr>
            <w:r w:rsidRPr="00E92067">
              <w:rPr>
                <w:szCs w:val="20"/>
              </w:rPr>
              <w:t xml:space="preserve">Total number of blinatumomab </w:t>
            </w:r>
            <w:r w:rsidR="00B0395D" w:rsidRPr="00E92067">
              <w:rPr>
                <w:szCs w:val="20"/>
              </w:rPr>
              <w:t>vials</w:t>
            </w:r>
            <w:r w:rsidRPr="00E92067">
              <w:rPr>
                <w:szCs w:val="20"/>
              </w:rPr>
              <w:t xml:space="preserve"> (1 course per patient, 53 </w:t>
            </w:r>
            <w:r w:rsidR="00B0395D" w:rsidRPr="00E92067">
              <w:rPr>
                <w:szCs w:val="20"/>
              </w:rPr>
              <w:t>vial</w:t>
            </w:r>
            <w:r w:rsidRPr="00E92067">
              <w:rPr>
                <w:szCs w:val="20"/>
              </w:rPr>
              <w:t>s per course)</w:t>
            </w:r>
          </w:p>
        </w:tc>
        <w:tc>
          <w:tcPr>
            <w:tcW w:w="1010" w:type="dxa"/>
            <w:tcBorders>
              <w:top w:val="single" w:sz="4" w:space="0" w:color="auto"/>
              <w:left w:val="nil"/>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bCs/>
                <w:noProof/>
                <w:color w:val="000000"/>
                <w:szCs w:val="20"/>
                <w:highlight w:val="black"/>
              </w:rP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bCs/>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bCs/>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bCs/>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bCs/>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bCs/>
                <w:noProof/>
                <w:color w:val="000000"/>
                <w:szCs w:val="20"/>
                <w:highlight w:val="black"/>
              </w:rPr>
              <w:t>'''''''''''</w:t>
            </w:r>
          </w:p>
        </w:tc>
      </w:tr>
      <w:tr w:rsidR="00F91CB1" w:rsidRPr="00E92067" w:rsidTr="00F91CB1">
        <w:tc>
          <w:tcPr>
            <w:tcW w:w="2956" w:type="dxa"/>
            <w:tcBorders>
              <w:bottom w:val="single" w:sz="4" w:space="0" w:color="auto"/>
            </w:tcBorders>
            <w:shd w:val="clear" w:color="auto" w:fill="auto"/>
            <w:vAlign w:val="center"/>
          </w:tcPr>
          <w:p w:rsidR="00F91CB1" w:rsidRPr="00E92067" w:rsidRDefault="00F91CB1" w:rsidP="00FB6AE5">
            <w:pPr>
              <w:pStyle w:val="Tabletext"/>
              <w:keepNext/>
              <w:keepLines/>
              <w:rPr>
                <w:szCs w:val="20"/>
              </w:rPr>
            </w:pPr>
            <w:r w:rsidRPr="00E92067">
              <w:rPr>
                <w:szCs w:val="20"/>
              </w:rPr>
              <w:t>Total expenditure (at published price $2,922.39)</w:t>
            </w:r>
          </w:p>
        </w:tc>
        <w:tc>
          <w:tcPr>
            <w:tcW w:w="1010" w:type="dxa"/>
            <w:tcBorders>
              <w:top w:val="single" w:sz="4" w:space="0" w:color="auto"/>
              <w:left w:val="nil"/>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r>
      <w:tr w:rsidR="00F91CB1" w:rsidRPr="00E92067" w:rsidTr="00F91CB1">
        <w:tc>
          <w:tcPr>
            <w:tcW w:w="2956" w:type="dxa"/>
            <w:tcBorders>
              <w:bottom w:val="single" w:sz="4" w:space="0" w:color="auto"/>
            </w:tcBorders>
            <w:shd w:val="clear" w:color="auto" w:fill="auto"/>
            <w:vAlign w:val="center"/>
          </w:tcPr>
          <w:p w:rsidR="00F91CB1" w:rsidRPr="00E92067" w:rsidRDefault="00F91CB1" w:rsidP="00FB6AE5">
            <w:pPr>
              <w:pStyle w:val="Tabletext"/>
              <w:keepNext/>
              <w:keepLines/>
              <w:rPr>
                <w:szCs w:val="20"/>
              </w:rPr>
            </w:pPr>
            <w:r w:rsidRPr="00E92067">
              <w:rPr>
                <w:szCs w:val="20"/>
              </w:rPr>
              <w:t>Patient co-payments ($21.95 per patient)</w:t>
            </w:r>
          </w:p>
        </w:tc>
        <w:tc>
          <w:tcPr>
            <w:tcW w:w="1010" w:type="dxa"/>
            <w:tcBorders>
              <w:top w:val="single" w:sz="4" w:space="0" w:color="auto"/>
              <w:left w:val="nil"/>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r>
      <w:tr w:rsidR="00F91CB1" w:rsidRPr="00E92067" w:rsidTr="00F91CB1">
        <w:tc>
          <w:tcPr>
            <w:tcW w:w="2956" w:type="dxa"/>
            <w:tcBorders>
              <w:bottom w:val="single" w:sz="4" w:space="0" w:color="auto"/>
              <w:right w:val="single" w:sz="4" w:space="0" w:color="auto"/>
            </w:tcBorders>
            <w:shd w:val="clear" w:color="auto" w:fill="auto"/>
            <w:vAlign w:val="center"/>
          </w:tcPr>
          <w:p w:rsidR="00F91CB1" w:rsidRPr="00E92067" w:rsidRDefault="00F91CB1" w:rsidP="00FB6AE5">
            <w:pPr>
              <w:pStyle w:val="Tabletext"/>
              <w:keepNext/>
              <w:keepLines/>
              <w:rPr>
                <w:szCs w:val="20"/>
              </w:rPr>
            </w:pPr>
            <w:r w:rsidRPr="00E92067">
              <w:rPr>
                <w:szCs w:val="20"/>
              </w:rPr>
              <w:t>Total rebates</w:t>
            </w:r>
            <w:r w:rsidR="002419E5" w:rsidRPr="00E92067">
              <w:rPr>
                <w:szCs w:val="20"/>
              </w:rPr>
              <w:t xml:space="preserve"> for SPA</w:t>
            </w:r>
            <w:r w:rsidRPr="00E92067">
              <w:rPr>
                <w:szCs w:val="20"/>
              </w:rPr>
              <w:t xml:space="preserve"> ($</w:t>
            </w:r>
            <w:r w:rsidR="00CD0E7D">
              <w:rPr>
                <w:noProof/>
                <w:color w:val="000000"/>
                <w:szCs w:val="20"/>
                <w:highlight w:val="black"/>
              </w:rPr>
              <w:t>'''''''''''''''''</w:t>
            </w:r>
            <w:r w:rsidRPr="00E92067">
              <w:rPr>
                <w:szCs w:val="20"/>
              </w:rPr>
              <w:t xml:space="preserve"> per vial)</w:t>
            </w:r>
          </w:p>
        </w:tc>
        <w:tc>
          <w:tcPr>
            <w:tcW w:w="1010" w:type="dxa"/>
            <w:tcBorders>
              <w:top w:val="single" w:sz="4" w:space="0" w:color="auto"/>
              <w:left w:val="nil"/>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r>
      <w:tr w:rsidR="00F91CB1" w:rsidRPr="00E92067" w:rsidTr="00F91CB1">
        <w:tc>
          <w:tcPr>
            <w:tcW w:w="2956" w:type="dxa"/>
            <w:shd w:val="clear" w:color="auto" w:fill="auto"/>
            <w:vAlign w:val="center"/>
          </w:tcPr>
          <w:p w:rsidR="00F91CB1" w:rsidRPr="00E92067" w:rsidRDefault="00F91CB1" w:rsidP="00FB6AE5">
            <w:pPr>
              <w:pStyle w:val="Tabletext"/>
              <w:keepNext/>
              <w:keepLines/>
              <w:rPr>
                <w:b/>
                <w:szCs w:val="20"/>
              </w:rPr>
            </w:pPr>
            <w:r w:rsidRPr="00E92067">
              <w:rPr>
                <w:b/>
                <w:szCs w:val="20"/>
              </w:rPr>
              <w:t xml:space="preserve">Total PBS </w:t>
            </w:r>
            <w:r w:rsidR="002419E5" w:rsidRPr="00E92067">
              <w:rPr>
                <w:b/>
                <w:szCs w:val="20"/>
              </w:rPr>
              <w:t>cost at effective price</w:t>
            </w:r>
          </w:p>
        </w:tc>
        <w:tc>
          <w:tcPr>
            <w:tcW w:w="1010" w:type="dxa"/>
            <w:tcBorders>
              <w:top w:val="single" w:sz="4" w:space="0" w:color="auto"/>
              <w:left w:val="nil"/>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rFonts w:cs="Calibri"/>
                <w:b/>
                <w:bCs/>
                <w:szCs w:val="20"/>
                <w:highlight w:val="black"/>
              </w:rPr>
            </w:pPr>
            <w:r>
              <w:rPr>
                <w:b/>
                <w:noProof/>
                <w:color w:val="000000"/>
                <w:szCs w:val="20"/>
                <w:highlight w:val="black"/>
              </w:rP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rFonts w:cs="Calibri"/>
                <w:b/>
                <w:bCs/>
                <w:szCs w:val="20"/>
                <w:highlight w:val="black"/>
              </w:rPr>
            </w:pPr>
            <w:r>
              <w:rPr>
                <w:b/>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rFonts w:cs="Calibri"/>
                <w:b/>
                <w:bCs/>
                <w:szCs w:val="20"/>
                <w:highlight w:val="black"/>
              </w:rPr>
            </w:pPr>
            <w:r>
              <w:rPr>
                <w:b/>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rFonts w:cs="Calibri"/>
                <w:b/>
                <w:bCs/>
                <w:szCs w:val="20"/>
                <w:highlight w:val="black"/>
              </w:rPr>
            </w:pPr>
            <w:r>
              <w:rPr>
                <w:b/>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rFonts w:cs="Calibri"/>
                <w:b/>
                <w:bCs/>
                <w:szCs w:val="20"/>
                <w:highlight w:val="black"/>
              </w:rPr>
            </w:pPr>
            <w:r>
              <w:rPr>
                <w:b/>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rFonts w:cs="Calibri"/>
                <w:b/>
                <w:bCs/>
                <w:szCs w:val="20"/>
                <w:highlight w:val="black"/>
              </w:rPr>
            </w:pPr>
            <w:r>
              <w:rPr>
                <w:b/>
                <w:noProof/>
                <w:color w:val="000000"/>
                <w:szCs w:val="20"/>
                <w:highlight w:val="black"/>
              </w:rPr>
              <w:t>''''''''''''''''''''''</w:t>
            </w:r>
          </w:p>
        </w:tc>
      </w:tr>
      <w:tr w:rsidR="00F91CB1" w:rsidRPr="00E92067" w:rsidTr="00F91CB1">
        <w:tc>
          <w:tcPr>
            <w:tcW w:w="2956" w:type="dxa"/>
            <w:shd w:val="clear" w:color="auto" w:fill="auto"/>
            <w:vAlign w:val="center"/>
          </w:tcPr>
          <w:p w:rsidR="00F91CB1" w:rsidRPr="00E92067" w:rsidRDefault="00F91CB1" w:rsidP="00FB6AE5">
            <w:pPr>
              <w:pStyle w:val="Tabletext"/>
              <w:keepNext/>
              <w:keepLines/>
              <w:rPr>
                <w:szCs w:val="20"/>
              </w:rPr>
            </w:pPr>
            <w:r w:rsidRPr="00E92067">
              <w:rPr>
                <w:szCs w:val="20"/>
              </w:rPr>
              <w:t>Substituted chemotherapy costs</w:t>
            </w:r>
          </w:p>
        </w:tc>
        <w:tc>
          <w:tcPr>
            <w:tcW w:w="1010" w:type="dxa"/>
            <w:tcBorders>
              <w:top w:val="single" w:sz="4" w:space="0" w:color="auto"/>
              <w:left w:val="nil"/>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r>
      <w:tr w:rsidR="00F91CB1" w:rsidRPr="00E92067" w:rsidTr="00F91CB1">
        <w:tc>
          <w:tcPr>
            <w:tcW w:w="2956" w:type="dxa"/>
            <w:shd w:val="clear" w:color="auto" w:fill="auto"/>
            <w:vAlign w:val="center"/>
          </w:tcPr>
          <w:p w:rsidR="00F91CB1" w:rsidRPr="00E92067" w:rsidRDefault="00F91CB1" w:rsidP="00FB6AE5">
            <w:pPr>
              <w:pStyle w:val="Tabletext"/>
              <w:keepNext/>
              <w:keepLines/>
              <w:rPr>
                <w:szCs w:val="20"/>
              </w:rPr>
            </w:pPr>
            <w:r w:rsidRPr="00E92067">
              <w:rPr>
                <w:szCs w:val="20"/>
              </w:rPr>
              <w:t>Avoided relapse treatment costs</w:t>
            </w:r>
          </w:p>
        </w:tc>
        <w:tc>
          <w:tcPr>
            <w:tcW w:w="1010" w:type="dxa"/>
            <w:tcBorders>
              <w:top w:val="single" w:sz="4" w:space="0" w:color="auto"/>
              <w:left w:val="nil"/>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91CB1" w:rsidRPr="00EC14AD" w:rsidRDefault="00EC14AD" w:rsidP="00FB6AE5">
            <w:pPr>
              <w:pStyle w:val="Tabletext"/>
              <w:keepNext/>
              <w:keepLines/>
              <w:jc w:val="center"/>
              <w:rPr>
                <w:szCs w:val="20"/>
                <w:highlight w:val="black"/>
              </w:rPr>
            </w:pPr>
            <w:r>
              <w:rPr>
                <w:noProof/>
                <w:color w:val="000000"/>
                <w:szCs w:val="20"/>
                <w:highlight w:val="black"/>
              </w:rPr>
              <w:t>''''''''''''''''''''''</w:t>
            </w:r>
          </w:p>
        </w:tc>
      </w:tr>
      <w:tr w:rsidR="00F91CB1" w:rsidRPr="00E92067" w:rsidTr="00F91CB1">
        <w:tc>
          <w:tcPr>
            <w:tcW w:w="2956" w:type="dxa"/>
            <w:shd w:val="clear" w:color="auto" w:fill="auto"/>
            <w:vAlign w:val="center"/>
          </w:tcPr>
          <w:p w:rsidR="00F91CB1" w:rsidRPr="00E92067" w:rsidRDefault="00F91CB1" w:rsidP="00FB6AE5">
            <w:pPr>
              <w:pStyle w:val="Tabletext"/>
              <w:keepNext/>
              <w:keepLines/>
              <w:rPr>
                <w:b/>
                <w:szCs w:val="20"/>
              </w:rPr>
            </w:pPr>
            <w:r w:rsidRPr="00E92067">
              <w:rPr>
                <w:b/>
                <w:szCs w:val="20"/>
              </w:rPr>
              <w:t>Net financial impact to PBS (effective, less substitution for chemotherapy and relapse)</w:t>
            </w:r>
          </w:p>
        </w:tc>
        <w:tc>
          <w:tcPr>
            <w:tcW w:w="1010" w:type="dxa"/>
            <w:vAlign w:val="center"/>
          </w:tcPr>
          <w:p w:rsidR="00F91CB1" w:rsidRPr="00EC14AD" w:rsidRDefault="00EC14AD" w:rsidP="00FB6AE5">
            <w:pPr>
              <w:pStyle w:val="Tabletext"/>
              <w:keepNext/>
              <w:keepLines/>
              <w:jc w:val="center"/>
              <w:rPr>
                <w:rFonts w:ascii="Calibri" w:hAnsi="Calibri"/>
                <w:color w:val="000000"/>
                <w:sz w:val="22"/>
                <w:highlight w:val="black"/>
              </w:rPr>
            </w:pPr>
            <w:r>
              <w:rPr>
                <w:b/>
                <w:noProof/>
                <w:color w:val="000000"/>
                <w:highlight w:val="black"/>
              </w:rPr>
              <w:t>'''''''''''''''''''</w:t>
            </w:r>
          </w:p>
        </w:tc>
        <w:tc>
          <w:tcPr>
            <w:tcW w:w="1011" w:type="dxa"/>
            <w:vAlign w:val="center"/>
          </w:tcPr>
          <w:p w:rsidR="00F91CB1" w:rsidRPr="00EC14AD" w:rsidRDefault="00EC14AD" w:rsidP="00FB6AE5">
            <w:pPr>
              <w:pStyle w:val="Tabletext"/>
              <w:keepNext/>
              <w:keepLines/>
              <w:jc w:val="center"/>
              <w:rPr>
                <w:rFonts w:ascii="Calibri" w:hAnsi="Calibri"/>
                <w:color w:val="000000"/>
                <w:sz w:val="22"/>
                <w:highlight w:val="black"/>
              </w:rPr>
            </w:pPr>
            <w:r>
              <w:rPr>
                <w:b/>
                <w:noProof/>
                <w:color w:val="000000"/>
                <w:highlight w:val="black"/>
              </w:rPr>
              <w:t>''''''''''''''''''''</w:t>
            </w:r>
          </w:p>
        </w:tc>
        <w:tc>
          <w:tcPr>
            <w:tcW w:w="1010" w:type="dxa"/>
            <w:vAlign w:val="center"/>
          </w:tcPr>
          <w:p w:rsidR="00F91CB1" w:rsidRPr="00EC14AD" w:rsidRDefault="00EC14AD" w:rsidP="00FB6AE5">
            <w:pPr>
              <w:pStyle w:val="Tabletext"/>
              <w:keepNext/>
              <w:keepLines/>
              <w:jc w:val="center"/>
              <w:rPr>
                <w:rFonts w:ascii="Calibri" w:hAnsi="Calibri"/>
                <w:color w:val="000000"/>
                <w:sz w:val="22"/>
                <w:highlight w:val="black"/>
              </w:rPr>
            </w:pPr>
            <w:r>
              <w:rPr>
                <w:b/>
                <w:noProof/>
                <w:color w:val="000000"/>
                <w:highlight w:val="black"/>
              </w:rPr>
              <w:t>''''''''''''''''''''''''</w:t>
            </w:r>
          </w:p>
        </w:tc>
        <w:tc>
          <w:tcPr>
            <w:tcW w:w="1010" w:type="dxa"/>
            <w:vAlign w:val="center"/>
          </w:tcPr>
          <w:p w:rsidR="00F91CB1" w:rsidRPr="00EC14AD" w:rsidRDefault="00EC14AD" w:rsidP="00FB6AE5">
            <w:pPr>
              <w:pStyle w:val="Tabletext"/>
              <w:keepNext/>
              <w:keepLines/>
              <w:jc w:val="center"/>
              <w:rPr>
                <w:rFonts w:ascii="Calibri" w:hAnsi="Calibri"/>
                <w:color w:val="000000"/>
                <w:sz w:val="22"/>
                <w:highlight w:val="black"/>
              </w:rPr>
            </w:pPr>
            <w:r>
              <w:rPr>
                <w:b/>
                <w:noProof/>
                <w:color w:val="000000"/>
                <w:highlight w:val="black"/>
              </w:rPr>
              <w:t>''''''''''''''''''''''</w:t>
            </w:r>
          </w:p>
        </w:tc>
        <w:tc>
          <w:tcPr>
            <w:tcW w:w="1010" w:type="dxa"/>
            <w:vAlign w:val="center"/>
          </w:tcPr>
          <w:p w:rsidR="00F91CB1" w:rsidRPr="00EC14AD" w:rsidRDefault="00EC14AD" w:rsidP="00FB6AE5">
            <w:pPr>
              <w:pStyle w:val="Tabletext"/>
              <w:keepNext/>
              <w:keepLines/>
              <w:jc w:val="center"/>
              <w:rPr>
                <w:rFonts w:ascii="Calibri" w:hAnsi="Calibri"/>
                <w:color w:val="000000"/>
                <w:sz w:val="22"/>
                <w:highlight w:val="black"/>
              </w:rPr>
            </w:pPr>
            <w:r>
              <w:rPr>
                <w:b/>
                <w:noProof/>
                <w:color w:val="000000"/>
                <w:highlight w:val="black"/>
              </w:rPr>
              <w:t>'''''''''''''''''''''</w:t>
            </w:r>
          </w:p>
        </w:tc>
        <w:tc>
          <w:tcPr>
            <w:tcW w:w="1010" w:type="dxa"/>
            <w:vAlign w:val="center"/>
          </w:tcPr>
          <w:p w:rsidR="00F91CB1" w:rsidRPr="00EC14AD" w:rsidRDefault="00EC14AD" w:rsidP="00FB6AE5">
            <w:pPr>
              <w:pStyle w:val="Tabletext"/>
              <w:keepNext/>
              <w:keepLines/>
              <w:jc w:val="center"/>
              <w:rPr>
                <w:rFonts w:ascii="Calibri" w:hAnsi="Calibri"/>
                <w:color w:val="000000"/>
                <w:sz w:val="22"/>
                <w:highlight w:val="black"/>
              </w:rPr>
            </w:pPr>
            <w:r>
              <w:rPr>
                <w:b/>
                <w:noProof/>
                <w:color w:val="000000"/>
                <w:highlight w:val="black"/>
              </w:rPr>
              <w:t>'''''''''''''''''''</w:t>
            </w:r>
          </w:p>
        </w:tc>
      </w:tr>
    </w:tbl>
    <w:p w:rsidR="008617E2" w:rsidRPr="00E92067" w:rsidRDefault="008617E2" w:rsidP="00FB6AE5">
      <w:pPr>
        <w:pStyle w:val="TableFooter"/>
        <w:keepNext/>
        <w:keepLines/>
      </w:pPr>
      <w:r w:rsidRPr="00E92067">
        <w:t>Source: pp.171-182 of the submission; and ‘BlinMRD_Section4model_March2018’ Excel workbook of the submission.</w:t>
      </w:r>
    </w:p>
    <w:p w:rsidR="008617E2" w:rsidRPr="00E92067" w:rsidRDefault="008617E2" w:rsidP="00FB6AE5">
      <w:pPr>
        <w:pStyle w:val="TableFooter"/>
        <w:keepNext/>
        <w:keepLines/>
      </w:pPr>
      <w:r w:rsidRPr="00E92067">
        <w:t>Abbreviations: ALL, acute lymphocytic leukaemia; MRD, minimal residual disease</w:t>
      </w:r>
      <w:r w:rsidR="00634E36" w:rsidRPr="00E92067">
        <w:t>;</w:t>
      </w:r>
      <w:r w:rsidR="002419E5" w:rsidRPr="00E92067">
        <w:t xml:space="preserve"> SPA, special pricing arrangement (published versus effective price)</w:t>
      </w:r>
      <w:r w:rsidRPr="00E92067">
        <w:t>.</w:t>
      </w:r>
    </w:p>
    <w:p w:rsidR="008617E2" w:rsidRDefault="00172784" w:rsidP="008617E2">
      <w:pPr>
        <w:widowControl/>
      </w:pPr>
      <w:r w:rsidRPr="00135EFE">
        <w:rPr>
          <w:rFonts w:asciiTheme="minorHAnsi" w:hAnsiTheme="minorHAnsi" w:cstheme="minorHAnsi"/>
          <w:szCs w:val="24"/>
        </w:rPr>
        <w:t xml:space="preserve">The redacted table shows that at year </w:t>
      </w:r>
      <w:r>
        <w:rPr>
          <w:rFonts w:asciiTheme="minorHAnsi" w:hAnsiTheme="minorHAnsi" w:cstheme="minorHAnsi"/>
          <w:szCs w:val="24"/>
        </w:rPr>
        <w:t>6</w:t>
      </w:r>
      <w:r w:rsidRPr="00135EFE">
        <w:rPr>
          <w:rFonts w:asciiTheme="minorHAnsi" w:hAnsiTheme="minorHAnsi" w:cstheme="minorHAnsi"/>
          <w:szCs w:val="24"/>
        </w:rPr>
        <w:t xml:space="preserve">, the estimated number of patients was </w:t>
      </w:r>
      <w:r w:rsidRPr="00114F0E">
        <w:rPr>
          <w:rFonts w:asciiTheme="minorHAnsi" w:hAnsiTheme="minorHAnsi" w:cstheme="minorHAnsi"/>
          <w:szCs w:val="24"/>
        </w:rPr>
        <w:t>less than 10,000</w:t>
      </w:r>
      <w:r>
        <w:rPr>
          <w:rFonts w:asciiTheme="minorHAnsi" w:hAnsiTheme="minorHAnsi" w:cstheme="minorHAnsi"/>
          <w:szCs w:val="24"/>
        </w:rPr>
        <w:t>.</w:t>
      </w:r>
    </w:p>
    <w:p w:rsidR="00172784" w:rsidRPr="00E92067" w:rsidRDefault="00172784" w:rsidP="008617E2">
      <w:pPr>
        <w:widowControl/>
      </w:pPr>
    </w:p>
    <w:p w:rsidR="00576972" w:rsidRDefault="008617E2" w:rsidP="00C74EBA">
      <w:pPr>
        <w:pStyle w:val="ListParagraph"/>
        <w:widowControl/>
        <w:numPr>
          <w:ilvl w:val="1"/>
          <w:numId w:val="2"/>
        </w:numPr>
      </w:pPr>
      <w:r w:rsidRPr="00E92067">
        <w:t xml:space="preserve">The submission estimated that the proposed listing would be associated with a net cost to the PBS of up to </w:t>
      </w:r>
      <w:r w:rsidR="00172784" w:rsidRPr="00172784">
        <w:t>less than $10 million per year</w:t>
      </w:r>
      <w:r w:rsidR="00172784" w:rsidRPr="00172784" w:rsidDel="00172784">
        <w:t xml:space="preserve"> </w:t>
      </w:r>
      <w:r w:rsidR="00172784" w:rsidRPr="00172784">
        <w:t>less than $10 million per year</w:t>
      </w:r>
      <w:r w:rsidR="00DD0A4E">
        <w:t xml:space="preserve"> </w:t>
      </w:r>
      <w:r w:rsidRPr="00E92067">
        <w:t xml:space="preserve">($8.7 million based on published prices) in the sixth year of listing. The estimated net cost to the PBS </w:t>
      </w:r>
      <w:r w:rsidR="002419E5" w:rsidRPr="00E92067">
        <w:t xml:space="preserve">over the first </w:t>
      </w:r>
      <w:r w:rsidR="00706C47" w:rsidRPr="00E92067">
        <w:t xml:space="preserve">six </w:t>
      </w:r>
      <w:r w:rsidR="002419E5" w:rsidRPr="00E92067">
        <w:t xml:space="preserve">years of listing </w:t>
      </w:r>
      <w:r w:rsidRPr="00E92067">
        <w:t xml:space="preserve">was </w:t>
      </w:r>
      <w:r w:rsidR="00C74EBA" w:rsidRPr="00C74EBA">
        <w:t>$30 – $60 million per year</w:t>
      </w:r>
      <w:r w:rsidR="00C74EBA" w:rsidRPr="00C74EBA" w:rsidDel="00C74EBA">
        <w:t xml:space="preserve"> </w:t>
      </w:r>
      <w:r w:rsidR="00DD0A4E">
        <w:t>(</w:t>
      </w:r>
      <w:r w:rsidR="00C74EBA" w:rsidRPr="00C74EBA">
        <w:t>$30 – $60 million per year</w:t>
      </w:r>
      <w:r w:rsidR="00DD0A4E">
        <w:t xml:space="preserve"> </w:t>
      </w:r>
      <w:r w:rsidRPr="00E92067">
        <w:t>based on published prices).</w:t>
      </w:r>
    </w:p>
    <w:p w:rsidR="008617E2" w:rsidRPr="00E92067" w:rsidRDefault="008617E2" w:rsidP="001613D3">
      <w:pPr>
        <w:pStyle w:val="ListParagraph"/>
        <w:numPr>
          <w:ilvl w:val="1"/>
          <w:numId w:val="2"/>
        </w:numPr>
      </w:pPr>
      <w:r w:rsidRPr="00E92067">
        <w:t>The</w:t>
      </w:r>
      <w:r w:rsidR="00735712">
        <w:t xml:space="preserve"> evaluation</w:t>
      </w:r>
      <w:r w:rsidR="009B6D38">
        <w:t>,</w:t>
      </w:r>
      <w:r w:rsidR="00735712">
        <w:t xml:space="preserve"> ESC </w:t>
      </w:r>
      <w:r w:rsidR="009B6D38">
        <w:t xml:space="preserve">and PBAC </w:t>
      </w:r>
      <w:r w:rsidR="00735712">
        <w:t>considered that the</w:t>
      </w:r>
      <w:r w:rsidRPr="00E92067">
        <w:t xml:space="preserve"> estimated utilisation and financial implications were highly uncertain </w:t>
      </w:r>
      <w:r w:rsidR="009B6D38" w:rsidRPr="009B6D38">
        <w:t>and most likely underestimated</w:t>
      </w:r>
      <w:r w:rsidR="009B6D38" w:rsidRPr="00E92067">
        <w:t xml:space="preserve"> </w:t>
      </w:r>
      <w:r w:rsidRPr="00E92067">
        <w:t>for the following reasons:</w:t>
      </w:r>
    </w:p>
    <w:p w:rsidR="008617E2" w:rsidRPr="00E92067" w:rsidRDefault="008617E2" w:rsidP="001613D3">
      <w:pPr>
        <w:pStyle w:val="ListParagraph"/>
        <w:widowControl/>
        <w:numPr>
          <w:ilvl w:val="1"/>
          <w:numId w:val="5"/>
        </w:numPr>
        <w:ind w:left="1106" w:hanging="386"/>
      </w:pPr>
      <w:r w:rsidRPr="00E92067">
        <w:t xml:space="preserve">The submission applied a simple extrapolation to the AIHW incident ALL data (4-5 patients per year) to estimate the annual growth in the ALL population. A source was not provided for this estimate, which may underestimate growth in the population. </w:t>
      </w:r>
    </w:p>
    <w:p w:rsidR="008617E2" w:rsidRPr="00E92067" w:rsidRDefault="008617E2" w:rsidP="001613D3">
      <w:pPr>
        <w:pStyle w:val="ListParagraph"/>
        <w:widowControl/>
        <w:numPr>
          <w:ilvl w:val="1"/>
          <w:numId w:val="5"/>
        </w:numPr>
        <w:ind w:left="1106" w:hanging="386"/>
      </w:pPr>
      <w:r w:rsidRPr="00E92067">
        <w:t xml:space="preserve">The proportion of patients with MRD was based on two small, older publications </w:t>
      </w:r>
      <w:r w:rsidR="005405E4" w:rsidRPr="00E92067">
        <w:t xml:space="preserve">(2008-2009) </w:t>
      </w:r>
      <w:r w:rsidRPr="00E92067">
        <w:t xml:space="preserve">reporting relatively low proportions (32-48%). A number of alternative estimates </w:t>
      </w:r>
      <w:r w:rsidR="0034102D">
        <w:t>we</w:t>
      </w:r>
      <w:r w:rsidRPr="00E92067">
        <w:t>re available, which estimate that up to 60% or more patients will have MRD after complete haematological remission.</w:t>
      </w:r>
      <w:r w:rsidR="005D216D" w:rsidRPr="00E92067">
        <w:t xml:space="preserve"> The proportion of patients with MRD may change over time with the availability of new technologies</w:t>
      </w:r>
      <w:r w:rsidR="00FB6AE5" w:rsidRPr="00E92067">
        <w:t xml:space="preserve"> (e.g. increased assay sensitivity will detect lower levels of MRD).</w:t>
      </w:r>
    </w:p>
    <w:p w:rsidR="008617E2" w:rsidRPr="006C160D" w:rsidRDefault="008617E2" w:rsidP="001613D3">
      <w:pPr>
        <w:pStyle w:val="ListParagraph"/>
        <w:widowControl/>
        <w:numPr>
          <w:ilvl w:val="1"/>
          <w:numId w:val="5"/>
        </w:numPr>
        <w:ind w:left="1106" w:hanging="386"/>
      </w:pPr>
      <w:r w:rsidRPr="00E92067">
        <w:t>The estimates only consider MRD positive patients in complete remission following initial induction. Additional patients will be eligible for blinatumomab under the requested restriction (i.e. patients in second or subsequent remission; patients initially MRD negative who experience molecular relapse).</w:t>
      </w:r>
      <w:r w:rsidR="00D810F2">
        <w:t xml:space="preserve"> </w:t>
      </w:r>
      <w:r w:rsidR="00D810F2" w:rsidRPr="006C160D">
        <w:t xml:space="preserve">The ESC </w:t>
      </w:r>
      <w:r w:rsidR="00735712">
        <w:t xml:space="preserve">and PBAC </w:t>
      </w:r>
      <w:r w:rsidR="00D810F2" w:rsidRPr="006C160D">
        <w:t xml:space="preserve">considered that patients in second or subsequent remission should have been included in the financial estimates. </w:t>
      </w:r>
    </w:p>
    <w:p w:rsidR="008617E2" w:rsidRPr="00E92067" w:rsidRDefault="008617E2" w:rsidP="001613D3">
      <w:pPr>
        <w:pStyle w:val="ListParagraph"/>
        <w:widowControl/>
        <w:numPr>
          <w:ilvl w:val="1"/>
          <w:numId w:val="5"/>
        </w:numPr>
        <w:ind w:left="1106" w:hanging="386"/>
      </w:pPr>
      <w:r w:rsidRPr="00E92067">
        <w:t xml:space="preserve">No justification was provided for the assumed uptake rate of 80%. The uptake rate may be affected by the perceived clinical need for blinatumomab. </w:t>
      </w:r>
      <w:r w:rsidR="009B3963">
        <w:t>The PBAC considered that the uptake rate was likely underestimated.</w:t>
      </w:r>
    </w:p>
    <w:p w:rsidR="008617E2" w:rsidRPr="00E92067" w:rsidRDefault="008617E2" w:rsidP="001613D3">
      <w:pPr>
        <w:pStyle w:val="ListParagraph"/>
        <w:widowControl/>
        <w:numPr>
          <w:ilvl w:val="1"/>
          <w:numId w:val="5"/>
        </w:numPr>
        <w:ind w:left="1106" w:hanging="386"/>
      </w:pPr>
      <w:r w:rsidRPr="00E92067">
        <w:t xml:space="preserve">The submission assumed that each patient will receive 53 vials of blinatumomab, based on blinatumomab use in </w:t>
      </w:r>
      <w:r w:rsidR="00F9479C" w:rsidRPr="00E92067">
        <w:t xml:space="preserve">the </w:t>
      </w:r>
      <w:r w:rsidR="00F9479C" w:rsidRPr="00E92067">
        <w:rPr>
          <w:shd w:val="clear" w:color="auto" w:fill="FFFFFF"/>
        </w:rPr>
        <w:t>BLAST study</w:t>
      </w:r>
      <w:r w:rsidRPr="00E92067">
        <w:t>. It is unclear whether this will be representative of Australian clinical practice. Patients are eligible for up to four cycles of blinatumomab (112 vials) under the requested restriction.</w:t>
      </w:r>
    </w:p>
    <w:p w:rsidR="008617E2" w:rsidRPr="00E92067" w:rsidRDefault="00DA5568" w:rsidP="001613D3">
      <w:pPr>
        <w:pStyle w:val="ListParagraph"/>
        <w:widowControl/>
        <w:numPr>
          <w:ilvl w:val="1"/>
          <w:numId w:val="5"/>
        </w:numPr>
        <w:ind w:left="1106" w:hanging="386"/>
      </w:pPr>
      <w:r>
        <w:t>Some of the d</w:t>
      </w:r>
      <w:r w:rsidR="008617E2" w:rsidRPr="00E92067">
        <w:t>rug costs, administration costs, and hospitalisation costs (for transplant and relapse)</w:t>
      </w:r>
      <w:r>
        <w:t xml:space="preserve"> were based on </w:t>
      </w:r>
      <w:r w:rsidR="008617E2" w:rsidRPr="00E92067">
        <w:t>the economic evaluation and therefore incorporate all the uncertainties associated with this analysis (</w:t>
      </w:r>
      <w:r w:rsidR="00A6040E" w:rsidRPr="00E92067">
        <w:t>outlined under “Economic analysis” above</w:t>
      </w:r>
      <w:r w:rsidR="008617E2" w:rsidRPr="00E92067">
        <w:t>).</w:t>
      </w:r>
    </w:p>
    <w:p w:rsidR="008617E2" w:rsidRPr="00E92067" w:rsidRDefault="008617E2" w:rsidP="001613D3">
      <w:pPr>
        <w:pStyle w:val="ListParagraph"/>
        <w:widowControl/>
        <w:numPr>
          <w:ilvl w:val="1"/>
          <w:numId w:val="5"/>
        </w:numPr>
        <w:ind w:left="1106" w:hanging="386"/>
      </w:pPr>
      <w:r w:rsidRPr="00E92067">
        <w:t>The submission claimed that there may be an increase in HSCT use due to the availability of blinatumomab. This may result in additional costs to government at the state and federal level.</w:t>
      </w:r>
    </w:p>
    <w:p w:rsidR="008617E2" w:rsidRDefault="008617E2" w:rsidP="00735712">
      <w:pPr>
        <w:pStyle w:val="ListParagraph"/>
        <w:widowControl/>
        <w:numPr>
          <w:ilvl w:val="1"/>
          <w:numId w:val="5"/>
        </w:numPr>
        <w:ind w:left="1106" w:hanging="386"/>
      </w:pPr>
      <w:r w:rsidRPr="00E92067">
        <w:t>It is unclear whether there is potential for leakage outside the requested restriction in patients who have complete remission but experience molecular relapse after earlier blinatumomab treatment.</w:t>
      </w:r>
    </w:p>
    <w:p w:rsidR="00A54B7B" w:rsidRDefault="00A54B7B" w:rsidP="00A54B7B">
      <w:pPr>
        <w:pStyle w:val="ListParagraph"/>
        <w:widowControl/>
        <w:numPr>
          <w:ilvl w:val="1"/>
          <w:numId w:val="2"/>
        </w:numPr>
      </w:pPr>
      <w:r>
        <w:t>Other issues identified by the evaluation and the ESC included:</w:t>
      </w:r>
    </w:p>
    <w:p w:rsidR="00723EAA" w:rsidRDefault="00723EAA" w:rsidP="00723EAA">
      <w:pPr>
        <w:pStyle w:val="ListParagraph"/>
        <w:widowControl/>
        <w:numPr>
          <w:ilvl w:val="1"/>
          <w:numId w:val="5"/>
        </w:numPr>
        <w:ind w:left="1106" w:hanging="386"/>
      </w:pPr>
      <w:r w:rsidRPr="00E92067">
        <w:t>The submission assumed that the PBS would fund all inpatient treatment with blinatumomab</w:t>
      </w:r>
      <w:r>
        <w:t xml:space="preserve">. </w:t>
      </w:r>
      <w:r w:rsidRPr="006C160D">
        <w:t xml:space="preserve">The PSCR acknowledged that this was inconsistent with the current PBS listing for blinatumomab in the relapsed/refractory setting, and confirmed that it intended for current subsidy arrangements to apply (i.e. that blinatumomab will not be PBS-subsidised if administered to a public hospital inpatient). </w:t>
      </w:r>
      <w:r w:rsidR="00832097" w:rsidRPr="006C160D">
        <w:t>The</w:t>
      </w:r>
      <w:r w:rsidR="00832097">
        <w:t xml:space="preserve"> pre-PBAC response (pp. 3-4) updated </w:t>
      </w:r>
      <w:r w:rsidR="00832097" w:rsidRPr="006C160D">
        <w:t>the financial</w:t>
      </w:r>
      <w:r w:rsidR="00832097">
        <w:t xml:space="preserve"> estimates </w:t>
      </w:r>
      <w:r w:rsidR="00832097" w:rsidRPr="006C160D">
        <w:t>to reflect this revised assumption.</w:t>
      </w:r>
      <w:r w:rsidR="00832097">
        <w:t xml:space="preserve"> The pre-PBAC response estimated that an average of 3.27 doses per patient would be dispensed in a public hospital inpatient setting (based on the recommended duration of hospitalisation in the Product Information, the proportion of patients treated in each cycle in the BLAST study, and the estimated proportion of public versus private hospital use) and excluded these doses from the revised estimated cost to the PBS/RPBS.</w:t>
      </w:r>
    </w:p>
    <w:p w:rsidR="00723EAA" w:rsidRPr="00E92067" w:rsidRDefault="00723EAA" w:rsidP="00723EAA">
      <w:pPr>
        <w:pStyle w:val="ListParagraph"/>
        <w:widowControl/>
        <w:numPr>
          <w:ilvl w:val="1"/>
          <w:numId w:val="5"/>
        </w:numPr>
        <w:ind w:left="1106" w:hanging="386"/>
      </w:pPr>
      <w:r w:rsidRPr="00E92067">
        <w:t>The</w:t>
      </w:r>
      <w:r>
        <w:t xml:space="preserve"> financial estimates </w:t>
      </w:r>
      <w:r w:rsidRPr="00E92067">
        <w:t>assume patients receive a single course of blinatumomab</w:t>
      </w:r>
      <w:r>
        <w:t>, despite t</w:t>
      </w:r>
      <w:r w:rsidRPr="00E92067">
        <w:t>he requested restriction not limit</w:t>
      </w:r>
      <w:r>
        <w:t xml:space="preserve">ing </w:t>
      </w:r>
      <w:r w:rsidRPr="00E92067">
        <w:t xml:space="preserve">patients to a single course of blinatumomab. </w:t>
      </w:r>
      <w:r>
        <w:t>The PBAC considered that a once-in-a-lifetime restriction would be more appropriate, and thus this assumption was reasonable.</w:t>
      </w:r>
    </w:p>
    <w:p w:rsidR="00576972" w:rsidRPr="00EE7BF9" w:rsidRDefault="00576972" w:rsidP="00EE7BF9">
      <w:pPr>
        <w:pStyle w:val="Heading2"/>
        <w:spacing w:before="240" w:after="120"/>
      </w:pPr>
      <w:bookmarkStart w:id="16" w:name="_Toc514245297"/>
      <w:r w:rsidRPr="00EE7BF9">
        <w:t>Quality Use of Medicines</w:t>
      </w:r>
      <w:bookmarkEnd w:id="16"/>
    </w:p>
    <w:p w:rsidR="00576972" w:rsidRPr="00E92067" w:rsidRDefault="008617E2" w:rsidP="001613D3">
      <w:pPr>
        <w:pStyle w:val="ListParagraph"/>
        <w:widowControl/>
        <w:numPr>
          <w:ilvl w:val="1"/>
          <w:numId w:val="2"/>
        </w:numPr>
      </w:pPr>
      <w:r w:rsidRPr="00E92067">
        <w:t>The submission did not raise any quality use of medicines issues.</w:t>
      </w:r>
    </w:p>
    <w:p w:rsidR="008617E2" w:rsidRPr="00E92067" w:rsidRDefault="008617E2" w:rsidP="001613D3">
      <w:pPr>
        <w:pStyle w:val="ListParagraph"/>
        <w:widowControl/>
        <w:numPr>
          <w:ilvl w:val="1"/>
          <w:numId w:val="2"/>
        </w:numPr>
      </w:pPr>
      <w:r w:rsidRPr="00E92067">
        <w:t xml:space="preserve">There are no data to inform the use of blinatumomab in </w:t>
      </w:r>
      <w:r w:rsidR="005405E4" w:rsidRPr="00E92067">
        <w:t>the</w:t>
      </w:r>
      <w:r w:rsidR="0072500D">
        <w:t xml:space="preserve"> relapsed</w:t>
      </w:r>
      <w:r w:rsidRPr="00E92067">
        <w:t xml:space="preserve"> setting</w:t>
      </w:r>
      <w:r w:rsidR="005405E4" w:rsidRPr="00E92067">
        <w:t xml:space="preserve"> following use in MRD in an earlier line of therapy</w:t>
      </w:r>
      <w:r w:rsidR="006A3330">
        <w:t>, which the PBAC considered would be addressed by limiting use of blinatumomab to once-per-lifetime</w:t>
      </w:r>
      <w:r w:rsidRPr="00E92067">
        <w:t xml:space="preserve">. </w:t>
      </w:r>
    </w:p>
    <w:p w:rsidR="00C25D9C" w:rsidRPr="00EE7BF9" w:rsidRDefault="00576972" w:rsidP="00EE7BF9">
      <w:pPr>
        <w:pStyle w:val="Heading2"/>
        <w:spacing w:before="240" w:after="120"/>
        <w:rPr>
          <w:i w:val="0"/>
        </w:rPr>
      </w:pPr>
      <w:bookmarkStart w:id="17" w:name="_Toc514245298"/>
      <w:r w:rsidRPr="00EE7BF9">
        <w:t>Financial Management – Risk Sharing Arrangements</w:t>
      </w:r>
      <w:bookmarkEnd w:id="17"/>
    </w:p>
    <w:p w:rsidR="00737EE9" w:rsidRDefault="0072500D" w:rsidP="001613D3">
      <w:pPr>
        <w:pStyle w:val="ListParagraph"/>
        <w:widowControl/>
        <w:numPr>
          <w:ilvl w:val="1"/>
          <w:numId w:val="2"/>
        </w:numPr>
      </w:pPr>
      <w:r>
        <w:t>T</w:t>
      </w:r>
      <w:r w:rsidR="008617E2" w:rsidRPr="00E92067">
        <w:t xml:space="preserve">he cover letter accompanying the submission </w:t>
      </w:r>
      <w:r w:rsidR="00393891" w:rsidRPr="00E92067">
        <w:t>stated</w:t>
      </w:r>
      <w:r w:rsidR="008617E2" w:rsidRPr="00E92067">
        <w:t xml:space="preserve"> that </w:t>
      </w:r>
      <w:r w:rsidR="00393891" w:rsidRPr="00E92067">
        <w:t>“S</w:t>
      </w:r>
      <w:r w:rsidR="008617E2" w:rsidRPr="00E92067">
        <w:t>pecial pricing and financial cap arrangements are in place for blinatumomab. It is proposed with the listing that the rebate in the blinatumomab deed would not need to be altered. Amgen is willing to agree to revised financial caps for blinatumomab which reflect forecast utilisation under the recommended restrictions which, along with the requirements of the written authority, will serve to address uncertainty and provide an absolute limit on the cost of blinatumomab to the PBS</w:t>
      </w:r>
      <w:r w:rsidR="00393891" w:rsidRPr="00E92067">
        <w:t>”</w:t>
      </w:r>
      <w:r w:rsidR="008617E2" w:rsidRPr="00E92067">
        <w:t>.</w:t>
      </w:r>
      <w:r w:rsidR="00393891" w:rsidRPr="00E92067">
        <w:t xml:space="preserve"> </w:t>
      </w:r>
    </w:p>
    <w:p w:rsidR="00576972" w:rsidRPr="00737EE9" w:rsidRDefault="00737EE9" w:rsidP="001613D3">
      <w:pPr>
        <w:pStyle w:val="ListParagraph"/>
        <w:widowControl/>
        <w:numPr>
          <w:ilvl w:val="1"/>
          <w:numId w:val="2"/>
        </w:numPr>
      </w:pPr>
      <w:r>
        <w:t>T</w:t>
      </w:r>
      <w:r w:rsidR="00B16FB2">
        <w:t xml:space="preserve">he </w:t>
      </w:r>
      <w:r w:rsidR="009B6D38">
        <w:t xml:space="preserve">PBAC </w:t>
      </w:r>
      <w:r w:rsidR="00B16FB2">
        <w:t>considered</w:t>
      </w:r>
      <w:r w:rsidR="007E2A26">
        <w:t xml:space="preserve"> that u</w:t>
      </w:r>
      <w:r w:rsidR="00393891" w:rsidRPr="00E92067">
        <w:t>se of blinatumomab in</w:t>
      </w:r>
      <w:r w:rsidR="007E2A26">
        <w:t xml:space="preserve"> the</w:t>
      </w:r>
      <w:r w:rsidR="00393891" w:rsidRPr="00E92067">
        <w:t xml:space="preserve"> MRD positive B-ALL </w:t>
      </w:r>
      <w:r w:rsidR="00A6040E" w:rsidRPr="00E92067">
        <w:t xml:space="preserve">setting </w:t>
      </w:r>
      <w:r w:rsidR="00393891" w:rsidRPr="00E92067">
        <w:t xml:space="preserve">would </w:t>
      </w:r>
      <w:r w:rsidR="00A6040E" w:rsidRPr="00E92067">
        <w:t>likely</w:t>
      </w:r>
      <w:r>
        <w:t xml:space="preserve">, over </w:t>
      </w:r>
      <w:r w:rsidRPr="00737EE9">
        <w:t>time,</w:t>
      </w:r>
      <w:r w:rsidR="00393891" w:rsidRPr="00737EE9">
        <w:t xml:space="preserve"> reduce or delay use in the</w:t>
      </w:r>
      <w:r w:rsidRPr="00737EE9">
        <w:t xml:space="preserve"> existing listing for </w:t>
      </w:r>
      <w:r w:rsidR="00393891" w:rsidRPr="00737EE9">
        <w:t>relapsed</w:t>
      </w:r>
      <w:r w:rsidR="009B6D38">
        <w:t>/refractory</w:t>
      </w:r>
      <w:r w:rsidR="00393891" w:rsidRPr="00737EE9">
        <w:t xml:space="preserve"> </w:t>
      </w:r>
      <w:r w:rsidR="00FF1BBA" w:rsidRPr="00737EE9">
        <w:t>Ph</w:t>
      </w:r>
      <w:r w:rsidRPr="00737EE9">
        <w:t>-</w:t>
      </w:r>
      <w:r w:rsidR="00FF1BBA" w:rsidRPr="00737EE9">
        <w:t xml:space="preserve"> patients</w:t>
      </w:r>
      <w:r w:rsidR="00393891" w:rsidRPr="00737EE9">
        <w:t>. The impact of</w:t>
      </w:r>
      <w:r w:rsidR="0060523C">
        <w:t xml:space="preserve"> these </w:t>
      </w:r>
      <w:r w:rsidR="003C0AE3" w:rsidRPr="00737EE9">
        <w:t xml:space="preserve">reductions would </w:t>
      </w:r>
      <w:r w:rsidR="00393891" w:rsidRPr="00737EE9">
        <w:t>need to be accounted</w:t>
      </w:r>
      <w:r w:rsidR="00FF1BBA" w:rsidRPr="00737EE9">
        <w:t xml:space="preserve"> </w:t>
      </w:r>
      <w:r w:rsidR="00A96FE5" w:rsidRPr="00737EE9">
        <w:t xml:space="preserve">for </w:t>
      </w:r>
      <w:r w:rsidR="00FF1BBA" w:rsidRPr="00737EE9">
        <w:t xml:space="preserve">(i.e. with corresponding </w:t>
      </w:r>
      <w:r w:rsidR="00393891" w:rsidRPr="00737EE9">
        <w:t>reduc</w:t>
      </w:r>
      <w:r w:rsidR="00FF1BBA" w:rsidRPr="00737EE9">
        <w:t>tions in the</w:t>
      </w:r>
      <w:r w:rsidR="00393891" w:rsidRPr="00737EE9">
        <w:t xml:space="preserve"> </w:t>
      </w:r>
      <w:r w:rsidR="007E2A26" w:rsidRPr="00737EE9">
        <w:t>risk sharing arrangement</w:t>
      </w:r>
      <w:r w:rsidR="00A6040E" w:rsidRPr="00737EE9">
        <w:t xml:space="preserve"> </w:t>
      </w:r>
      <w:r w:rsidR="00393891" w:rsidRPr="00737EE9">
        <w:t>caps</w:t>
      </w:r>
      <w:r w:rsidR="003C0AE3" w:rsidRPr="00737EE9">
        <w:t xml:space="preserve"> </w:t>
      </w:r>
      <w:r w:rsidR="00A6040E" w:rsidRPr="00737EE9">
        <w:t>in</w:t>
      </w:r>
      <w:r w:rsidR="003C0AE3" w:rsidRPr="00737EE9">
        <w:t xml:space="preserve"> the </w:t>
      </w:r>
      <w:r w:rsidR="00FF1BBA" w:rsidRPr="00737EE9">
        <w:t>relapsed/refractory</w:t>
      </w:r>
      <w:r w:rsidR="00A6040E" w:rsidRPr="00737EE9">
        <w:t xml:space="preserve"> setting</w:t>
      </w:r>
      <w:r w:rsidR="00FF1BBA" w:rsidRPr="00737EE9">
        <w:t>)</w:t>
      </w:r>
      <w:r w:rsidR="00393891" w:rsidRPr="00737EE9">
        <w:t xml:space="preserve">. </w:t>
      </w:r>
    </w:p>
    <w:p w:rsidR="007630B4" w:rsidRPr="00EE7BF9" w:rsidRDefault="007A5B21" w:rsidP="00EE7BF9">
      <w:pPr>
        <w:pStyle w:val="ListParagraph"/>
        <w:ind w:left="709"/>
        <w:rPr>
          <w:rFonts w:asciiTheme="minorHAnsi" w:hAnsiTheme="minorHAnsi"/>
          <w:i/>
        </w:rPr>
      </w:pPr>
      <w:r w:rsidRPr="0081261F">
        <w:rPr>
          <w:rFonts w:asciiTheme="minorHAnsi" w:hAnsiTheme="minorHAnsi"/>
          <w:i/>
        </w:rPr>
        <w:t>For more detail on PBAC’s view, see section 7 PBAC outcome.</w:t>
      </w:r>
    </w:p>
    <w:p w:rsidR="007A5B21" w:rsidRPr="00620CF9" w:rsidRDefault="007A5B21" w:rsidP="00E02647">
      <w:pPr>
        <w:widowControl/>
        <w:numPr>
          <w:ilvl w:val="0"/>
          <w:numId w:val="2"/>
        </w:numPr>
        <w:spacing w:before="240" w:after="120"/>
        <w:jc w:val="left"/>
        <w:outlineLvl w:val="0"/>
        <w:rPr>
          <w:rFonts w:asciiTheme="minorHAnsi" w:hAnsiTheme="minorHAnsi"/>
          <w:b/>
          <w:bCs/>
          <w:sz w:val="32"/>
          <w:szCs w:val="24"/>
        </w:rPr>
      </w:pPr>
      <w:r w:rsidRPr="00620CF9">
        <w:rPr>
          <w:rFonts w:asciiTheme="minorHAnsi" w:hAnsiTheme="minorHAnsi"/>
          <w:b/>
          <w:bCs/>
          <w:sz w:val="32"/>
          <w:szCs w:val="24"/>
        </w:rPr>
        <w:t>PBAC Outcome</w:t>
      </w:r>
    </w:p>
    <w:p w:rsidR="0060523C" w:rsidRDefault="009B1906" w:rsidP="00B51593">
      <w:pPr>
        <w:widowControl/>
        <w:numPr>
          <w:ilvl w:val="1"/>
          <w:numId w:val="2"/>
        </w:numPr>
        <w:spacing w:after="120"/>
        <w:rPr>
          <w:rFonts w:asciiTheme="minorHAnsi" w:hAnsiTheme="minorHAnsi"/>
          <w:bCs/>
          <w:szCs w:val="24"/>
          <w:lang w:val="en-GB"/>
        </w:rPr>
      </w:pPr>
      <w:r>
        <w:rPr>
          <w:rFonts w:asciiTheme="minorHAnsi" w:hAnsiTheme="minorHAnsi"/>
          <w:bCs/>
          <w:szCs w:val="24"/>
          <w:lang w:val="en-GB"/>
        </w:rPr>
        <w:t xml:space="preserve">The PBAC did not recommend the </w:t>
      </w:r>
      <w:r w:rsidR="000224BD">
        <w:rPr>
          <w:rFonts w:asciiTheme="minorHAnsi" w:hAnsiTheme="minorHAnsi"/>
          <w:bCs/>
          <w:szCs w:val="24"/>
          <w:lang w:val="en-GB"/>
        </w:rPr>
        <w:t xml:space="preserve">proposed </w:t>
      </w:r>
      <w:r w:rsidR="00A7191D" w:rsidRPr="00E92067">
        <w:t>Section 100 Authority Required (Efficient Funding of Chemotherapy</w:t>
      </w:r>
      <w:r w:rsidR="00A7191D">
        <w:t>)</w:t>
      </w:r>
      <w:r w:rsidR="00A7191D" w:rsidDel="00A7191D">
        <w:rPr>
          <w:rFonts w:asciiTheme="minorHAnsi" w:hAnsiTheme="minorHAnsi"/>
          <w:bCs/>
          <w:szCs w:val="24"/>
          <w:lang w:val="en-GB"/>
        </w:rPr>
        <w:t xml:space="preserve"> </w:t>
      </w:r>
      <w:r>
        <w:rPr>
          <w:rFonts w:asciiTheme="minorHAnsi" w:hAnsiTheme="minorHAnsi"/>
          <w:bCs/>
          <w:szCs w:val="24"/>
          <w:lang w:val="en-GB"/>
        </w:rPr>
        <w:t xml:space="preserve">listing of blinatumomab for the treatment of </w:t>
      </w:r>
      <w:r w:rsidR="00A7191D">
        <w:rPr>
          <w:rFonts w:asciiTheme="minorHAnsi" w:hAnsiTheme="minorHAnsi"/>
          <w:bCs/>
          <w:szCs w:val="24"/>
          <w:lang w:val="en-GB"/>
        </w:rPr>
        <w:t xml:space="preserve">patients with </w:t>
      </w:r>
      <w:r w:rsidR="00E75CAF">
        <w:rPr>
          <w:rFonts w:asciiTheme="minorHAnsi" w:hAnsiTheme="minorHAnsi"/>
          <w:bCs/>
          <w:szCs w:val="24"/>
        </w:rPr>
        <w:t>MRD-positive</w:t>
      </w:r>
      <w:r>
        <w:rPr>
          <w:rFonts w:asciiTheme="minorHAnsi" w:hAnsiTheme="minorHAnsi"/>
          <w:bCs/>
          <w:szCs w:val="24"/>
          <w:lang w:val="en-GB"/>
        </w:rPr>
        <w:t xml:space="preserve"> </w:t>
      </w:r>
      <w:r w:rsidR="000224BD">
        <w:rPr>
          <w:rFonts w:asciiTheme="minorHAnsi" w:hAnsiTheme="minorHAnsi"/>
          <w:bCs/>
          <w:szCs w:val="24"/>
          <w:lang w:val="en-GB"/>
        </w:rPr>
        <w:t>B-</w:t>
      </w:r>
      <w:r>
        <w:rPr>
          <w:rFonts w:asciiTheme="minorHAnsi" w:hAnsiTheme="minorHAnsi"/>
          <w:bCs/>
          <w:szCs w:val="24"/>
          <w:lang w:val="en-GB"/>
        </w:rPr>
        <w:t xml:space="preserve">ALL due to </w:t>
      </w:r>
      <w:r w:rsidR="0060523C" w:rsidRPr="0060523C">
        <w:rPr>
          <w:rFonts w:asciiTheme="minorHAnsi" w:hAnsiTheme="minorHAnsi"/>
          <w:bCs/>
          <w:szCs w:val="24"/>
          <w:lang w:val="en-GB"/>
        </w:rPr>
        <w:t xml:space="preserve">the </w:t>
      </w:r>
      <w:r w:rsidR="00B51593" w:rsidRPr="00B51593">
        <w:rPr>
          <w:rFonts w:asciiTheme="minorHAnsi" w:hAnsiTheme="minorHAnsi"/>
          <w:bCs/>
          <w:szCs w:val="24"/>
          <w:lang w:val="en-GB"/>
        </w:rPr>
        <w:t>patient population in the Australian setting not being well defined</w:t>
      </w:r>
      <w:r w:rsidR="00E75CAF">
        <w:rPr>
          <w:rFonts w:asciiTheme="minorHAnsi" w:hAnsiTheme="minorHAnsi"/>
          <w:bCs/>
          <w:szCs w:val="24"/>
          <w:lang w:val="en-GB"/>
        </w:rPr>
        <w:t xml:space="preserve">, </w:t>
      </w:r>
      <w:r w:rsidR="0060523C" w:rsidRPr="0060523C">
        <w:rPr>
          <w:rFonts w:asciiTheme="minorHAnsi" w:hAnsiTheme="minorHAnsi"/>
          <w:bCs/>
          <w:szCs w:val="24"/>
          <w:lang w:val="en-GB"/>
        </w:rPr>
        <w:t xml:space="preserve">the difficulty in estimating the incremental benefit </w:t>
      </w:r>
      <w:r w:rsidR="00E75CAF">
        <w:rPr>
          <w:rFonts w:asciiTheme="minorHAnsi" w:hAnsiTheme="minorHAnsi"/>
          <w:bCs/>
          <w:szCs w:val="24"/>
          <w:lang w:val="en-GB"/>
        </w:rPr>
        <w:t xml:space="preserve">and comparative safety </w:t>
      </w:r>
      <w:r w:rsidR="0060523C" w:rsidRPr="0060523C">
        <w:rPr>
          <w:rFonts w:asciiTheme="minorHAnsi" w:hAnsiTheme="minorHAnsi"/>
          <w:bCs/>
          <w:szCs w:val="24"/>
          <w:lang w:val="en-GB"/>
        </w:rPr>
        <w:t xml:space="preserve">versus standard </w:t>
      </w:r>
      <w:r w:rsidR="00BF7EDE">
        <w:rPr>
          <w:rFonts w:asciiTheme="minorHAnsi" w:hAnsiTheme="minorHAnsi"/>
          <w:bCs/>
          <w:szCs w:val="24"/>
          <w:lang w:val="en-GB"/>
        </w:rPr>
        <w:t xml:space="preserve">of </w:t>
      </w:r>
      <w:r w:rsidR="0060523C" w:rsidRPr="0060523C">
        <w:rPr>
          <w:rFonts w:asciiTheme="minorHAnsi" w:hAnsiTheme="minorHAnsi"/>
          <w:bCs/>
          <w:szCs w:val="24"/>
          <w:lang w:val="en-GB"/>
        </w:rPr>
        <w:t>care chemotherapy</w:t>
      </w:r>
      <w:r w:rsidR="00726032">
        <w:rPr>
          <w:rFonts w:asciiTheme="minorHAnsi" w:hAnsiTheme="minorHAnsi"/>
          <w:bCs/>
          <w:szCs w:val="24"/>
          <w:lang w:val="en-GB"/>
        </w:rPr>
        <w:t>,</w:t>
      </w:r>
      <w:r w:rsidR="00E75CAF">
        <w:rPr>
          <w:rFonts w:asciiTheme="minorHAnsi" w:hAnsiTheme="minorHAnsi"/>
          <w:bCs/>
          <w:szCs w:val="24"/>
          <w:lang w:val="en-GB"/>
        </w:rPr>
        <w:t xml:space="preserve"> and</w:t>
      </w:r>
      <w:r w:rsidR="0060523C" w:rsidRPr="0060523C">
        <w:rPr>
          <w:rFonts w:asciiTheme="minorHAnsi" w:hAnsiTheme="minorHAnsi"/>
          <w:bCs/>
          <w:szCs w:val="24"/>
          <w:lang w:val="en-GB"/>
        </w:rPr>
        <w:t xml:space="preserve"> the high and uncertain incremental cost-effectiveness ratio.</w:t>
      </w:r>
    </w:p>
    <w:p w:rsidR="00154A65" w:rsidRPr="00154A65" w:rsidRDefault="00154A65" w:rsidP="00F5216B">
      <w:pPr>
        <w:widowControl/>
        <w:numPr>
          <w:ilvl w:val="1"/>
          <w:numId w:val="2"/>
        </w:numPr>
        <w:spacing w:after="120"/>
        <w:rPr>
          <w:rFonts w:asciiTheme="minorHAnsi" w:hAnsiTheme="minorHAnsi"/>
          <w:bCs/>
          <w:szCs w:val="24"/>
        </w:rPr>
      </w:pPr>
      <w:r>
        <w:rPr>
          <w:rFonts w:asciiTheme="minorHAnsi" w:hAnsiTheme="minorHAnsi"/>
          <w:bCs/>
          <w:szCs w:val="24"/>
        </w:rPr>
        <w:t>The PBAC considered</w:t>
      </w:r>
      <w:r w:rsidR="00883683">
        <w:rPr>
          <w:rFonts w:asciiTheme="minorHAnsi" w:hAnsiTheme="minorHAnsi"/>
          <w:bCs/>
          <w:szCs w:val="24"/>
        </w:rPr>
        <w:t xml:space="preserve"> that</w:t>
      </w:r>
      <w:r>
        <w:rPr>
          <w:rFonts w:asciiTheme="minorHAnsi" w:hAnsiTheme="minorHAnsi"/>
          <w:bCs/>
          <w:szCs w:val="24"/>
        </w:rPr>
        <w:t xml:space="preserve"> there is a high clinical need for </w:t>
      </w:r>
      <w:r w:rsidR="0008662B">
        <w:rPr>
          <w:rFonts w:asciiTheme="minorHAnsi" w:hAnsiTheme="minorHAnsi"/>
          <w:bCs/>
          <w:szCs w:val="24"/>
        </w:rPr>
        <w:t>more</w:t>
      </w:r>
      <w:r>
        <w:rPr>
          <w:rFonts w:asciiTheme="minorHAnsi" w:hAnsiTheme="minorHAnsi"/>
          <w:bCs/>
          <w:szCs w:val="24"/>
        </w:rPr>
        <w:t xml:space="preserve"> effective</w:t>
      </w:r>
      <w:r w:rsidR="00883683">
        <w:rPr>
          <w:rFonts w:asciiTheme="minorHAnsi" w:hAnsiTheme="minorHAnsi"/>
          <w:bCs/>
          <w:szCs w:val="24"/>
        </w:rPr>
        <w:t xml:space="preserve"> treatment</w:t>
      </w:r>
      <w:r w:rsidR="0008662B">
        <w:rPr>
          <w:rFonts w:asciiTheme="minorHAnsi" w:hAnsiTheme="minorHAnsi"/>
          <w:bCs/>
          <w:szCs w:val="24"/>
        </w:rPr>
        <w:t>s</w:t>
      </w:r>
      <w:r w:rsidR="00883683">
        <w:rPr>
          <w:rFonts w:asciiTheme="minorHAnsi" w:hAnsiTheme="minorHAnsi"/>
          <w:bCs/>
          <w:szCs w:val="24"/>
        </w:rPr>
        <w:t xml:space="preserve"> </w:t>
      </w:r>
      <w:r w:rsidR="00302F29">
        <w:rPr>
          <w:rFonts w:asciiTheme="minorHAnsi" w:hAnsiTheme="minorHAnsi"/>
          <w:bCs/>
          <w:szCs w:val="24"/>
        </w:rPr>
        <w:t xml:space="preserve">for B-ALL, </w:t>
      </w:r>
      <w:r>
        <w:rPr>
          <w:rFonts w:asciiTheme="minorHAnsi" w:hAnsiTheme="minorHAnsi"/>
          <w:bCs/>
          <w:szCs w:val="24"/>
        </w:rPr>
        <w:t>particularly in the first</w:t>
      </w:r>
      <w:r w:rsidR="00883683">
        <w:rPr>
          <w:rFonts w:asciiTheme="minorHAnsi" w:hAnsiTheme="minorHAnsi"/>
          <w:bCs/>
          <w:szCs w:val="24"/>
        </w:rPr>
        <w:t>-</w:t>
      </w:r>
      <w:r>
        <w:rPr>
          <w:rFonts w:asciiTheme="minorHAnsi" w:hAnsiTheme="minorHAnsi"/>
          <w:bCs/>
          <w:szCs w:val="24"/>
        </w:rPr>
        <w:t xml:space="preserve">line </w:t>
      </w:r>
      <w:r w:rsidR="00883683">
        <w:rPr>
          <w:rFonts w:asciiTheme="minorHAnsi" w:hAnsiTheme="minorHAnsi"/>
          <w:bCs/>
          <w:szCs w:val="24"/>
        </w:rPr>
        <w:t>s</w:t>
      </w:r>
      <w:r>
        <w:rPr>
          <w:rFonts w:asciiTheme="minorHAnsi" w:hAnsiTheme="minorHAnsi"/>
          <w:bCs/>
          <w:szCs w:val="24"/>
        </w:rPr>
        <w:t xml:space="preserve">etting where </w:t>
      </w:r>
      <w:r w:rsidR="0060148F">
        <w:rPr>
          <w:rFonts w:asciiTheme="minorHAnsi" w:hAnsiTheme="minorHAnsi"/>
          <w:bCs/>
          <w:szCs w:val="24"/>
        </w:rPr>
        <w:t xml:space="preserve">there is the </w:t>
      </w:r>
      <w:r w:rsidR="00883683">
        <w:rPr>
          <w:rFonts w:asciiTheme="minorHAnsi" w:hAnsiTheme="minorHAnsi"/>
          <w:bCs/>
          <w:szCs w:val="24"/>
        </w:rPr>
        <w:t xml:space="preserve">greatest </w:t>
      </w:r>
      <w:r>
        <w:rPr>
          <w:rFonts w:asciiTheme="minorHAnsi" w:hAnsiTheme="minorHAnsi"/>
          <w:bCs/>
          <w:szCs w:val="24"/>
        </w:rPr>
        <w:t>potential for impact on</w:t>
      </w:r>
      <w:r w:rsidR="0060148F">
        <w:rPr>
          <w:rFonts w:asciiTheme="minorHAnsi" w:hAnsiTheme="minorHAnsi"/>
          <w:bCs/>
          <w:szCs w:val="24"/>
        </w:rPr>
        <w:t xml:space="preserve"> cure rates.</w:t>
      </w:r>
    </w:p>
    <w:p w:rsidR="00357688" w:rsidRPr="00302F29" w:rsidRDefault="009937C3" w:rsidP="00F5216B">
      <w:pPr>
        <w:widowControl/>
        <w:numPr>
          <w:ilvl w:val="1"/>
          <w:numId w:val="2"/>
        </w:numPr>
        <w:spacing w:after="120"/>
        <w:rPr>
          <w:rFonts w:asciiTheme="minorHAnsi" w:hAnsiTheme="minorHAnsi"/>
          <w:bCs/>
          <w:szCs w:val="24"/>
        </w:rPr>
      </w:pPr>
      <w:r w:rsidRPr="00302F29">
        <w:rPr>
          <w:rFonts w:asciiTheme="minorHAnsi" w:hAnsiTheme="minorHAnsi"/>
          <w:bCs/>
          <w:szCs w:val="24"/>
        </w:rPr>
        <w:t>T</w:t>
      </w:r>
      <w:r w:rsidR="00154A65" w:rsidRPr="00302F29">
        <w:rPr>
          <w:rFonts w:asciiTheme="minorHAnsi" w:hAnsiTheme="minorHAnsi"/>
          <w:bCs/>
          <w:szCs w:val="24"/>
        </w:rPr>
        <w:t xml:space="preserve">he PBAC noted that the </w:t>
      </w:r>
      <w:r w:rsidRPr="00302F29">
        <w:rPr>
          <w:rFonts w:asciiTheme="minorHAnsi" w:hAnsiTheme="minorHAnsi"/>
          <w:bCs/>
          <w:szCs w:val="24"/>
        </w:rPr>
        <w:t xml:space="preserve">submission had </w:t>
      </w:r>
      <w:r w:rsidR="00154A65" w:rsidRPr="00302F29">
        <w:rPr>
          <w:rFonts w:asciiTheme="minorHAnsi" w:hAnsiTheme="minorHAnsi"/>
          <w:bCs/>
          <w:szCs w:val="24"/>
        </w:rPr>
        <w:t xml:space="preserve">requested </w:t>
      </w:r>
      <w:r w:rsidRPr="00302F29">
        <w:rPr>
          <w:rFonts w:asciiTheme="minorHAnsi" w:hAnsiTheme="minorHAnsi"/>
          <w:bCs/>
          <w:szCs w:val="24"/>
        </w:rPr>
        <w:t xml:space="preserve">a broad </w:t>
      </w:r>
      <w:r w:rsidR="00154A65" w:rsidRPr="00302F29">
        <w:rPr>
          <w:rFonts w:asciiTheme="minorHAnsi" w:hAnsiTheme="minorHAnsi"/>
          <w:bCs/>
          <w:szCs w:val="24"/>
        </w:rPr>
        <w:t>place in therapy</w:t>
      </w:r>
      <w:r w:rsidR="00E75CAF" w:rsidRPr="00302F29">
        <w:rPr>
          <w:rFonts w:asciiTheme="minorHAnsi" w:hAnsiTheme="minorHAnsi"/>
          <w:bCs/>
          <w:szCs w:val="24"/>
        </w:rPr>
        <w:t>,</w:t>
      </w:r>
      <w:r w:rsidRPr="00302F29">
        <w:rPr>
          <w:rFonts w:asciiTheme="minorHAnsi" w:hAnsiTheme="minorHAnsi"/>
          <w:bCs/>
          <w:szCs w:val="24"/>
        </w:rPr>
        <w:t xml:space="preserve"> which </w:t>
      </w:r>
      <w:r w:rsidR="005C5E82" w:rsidRPr="00302F29">
        <w:rPr>
          <w:rFonts w:asciiTheme="minorHAnsi" w:hAnsiTheme="minorHAnsi"/>
          <w:bCs/>
          <w:szCs w:val="24"/>
        </w:rPr>
        <w:t xml:space="preserve">included </w:t>
      </w:r>
      <w:r w:rsidR="00530433" w:rsidRPr="00302F29">
        <w:rPr>
          <w:rFonts w:asciiTheme="minorHAnsi" w:hAnsiTheme="minorHAnsi"/>
          <w:bCs/>
          <w:szCs w:val="24"/>
        </w:rPr>
        <w:t>MRD-</w:t>
      </w:r>
      <w:r w:rsidR="00154A65" w:rsidRPr="00302F29">
        <w:rPr>
          <w:rFonts w:asciiTheme="minorHAnsi" w:hAnsiTheme="minorHAnsi"/>
          <w:bCs/>
          <w:szCs w:val="24"/>
        </w:rPr>
        <w:t xml:space="preserve">positive </w:t>
      </w:r>
      <w:r w:rsidR="005C5E82" w:rsidRPr="00302F29">
        <w:rPr>
          <w:rFonts w:asciiTheme="minorHAnsi" w:hAnsiTheme="minorHAnsi"/>
          <w:bCs/>
          <w:szCs w:val="24"/>
        </w:rPr>
        <w:t xml:space="preserve">patients </w:t>
      </w:r>
      <w:r w:rsidR="00154A65" w:rsidRPr="00302F29">
        <w:rPr>
          <w:rFonts w:asciiTheme="minorHAnsi" w:hAnsiTheme="minorHAnsi"/>
          <w:bCs/>
          <w:szCs w:val="24"/>
        </w:rPr>
        <w:t xml:space="preserve">in </w:t>
      </w:r>
      <w:r w:rsidR="00530433" w:rsidRPr="00302F29">
        <w:rPr>
          <w:rFonts w:asciiTheme="minorHAnsi" w:hAnsiTheme="minorHAnsi"/>
          <w:bCs/>
          <w:szCs w:val="24"/>
        </w:rPr>
        <w:t xml:space="preserve">complete haematological </w:t>
      </w:r>
      <w:r w:rsidR="00154A65" w:rsidRPr="00302F29">
        <w:rPr>
          <w:rFonts w:asciiTheme="minorHAnsi" w:hAnsiTheme="minorHAnsi"/>
          <w:bCs/>
          <w:szCs w:val="24"/>
        </w:rPr>
        <w:t>remission</w:t>
      </w:r>
      <w:r w:rsidR="00530433" w:rsidRPr="00302F29">
        <w:rPr>
          <w:rFonts w:asciiTheme="minorHAnsi" w:hAnsiTheme="minorHAnsi"/>
          <w:bCs/>
          <w:szCs w:val="24"/>
        </w:rPr>
        <w:t xml:space="preserve"> regardless of line-of-therapy or age,</w:t>
      </w:r>
      <w:r w:rsidR="00154A65" w:rsidRPr="00302F29">
        <w:rPr>
          <w:rFonts w:asciiTheme="minorHAnsi" w:hAnsiTheme="minorHAnsi"/>
          <w:bCs/>
          <w:szCs w:val="24"/>
        </w:rPr>
        <w:t xml:space="preserve"> and </w:t>
      </w:r>
      <w:r w:rsidR="005C5E82" w:rsidRPr="00302F29">
        <w:rPr>
          <w:rFonts w:asciiTheme="minorHAnsi" w:hAnsiTheme="minorHAnsi"/>
          <w:bCs/>
          <w:szCs w:val="24"/>
        </w:rPr>
        <w:t xml:space="preserve">allowed blinatumomab to be used </w:t>
      </w:r>
      <w:r w:rsidR="00543E52" w:rsidRPr="00302F29">
        <w:rPr>
          <w:rFonts w:asciiTheme="minorHAnsi" w:hAnsiTheme="minorHAnsi"/>
          <w:bCs/>
          <w:szCs w:val="24"/>
        </w:rPr>
        <w:t>multiple</w:t>
      </w:r>
      <w:r w:rsidR="00154A65" w:rsidRPr="00302F29">
        <w:rPr>
          <w:rFonts w:asciiTheme="minorHAnsi" w:hAnsiTheme="minorHAnsi"/>
          <w:bCs/>
          <w:szCs w:val="24"/>
        </w:rPr>
        <w:t xml:space="preserve"> times</w:t>
      </w:r>
      <w:r w:rsidR="00543E52">
        <w:t>.</w:t>
      </w:r>
      <w:r w:rsidR="002F5868">
        <w:t xml:space="preserve"> However, </w:t>
      </w:r>
      <w:r w:rsidR="002F5868" w:rsidRPr="00302F29">
        <w:rPr>
          <w:rFonts w:asciiTheme="minorHAnsi" w:hAnsiTheme="minorHAnsi"/>
          <w:bCs/>
          <w:szCs w:val="24"/>
        </w:rPr>
        <w:t>t</w:t>
      </w:r>
      <w:r w:rsidR="00357688" w:rsidRPr="00302F29">
        <w:rPr>
          <w:rFonts w:asciiTheme="minorHAnsi" w:hAnsiTheme="minorHAnsi"/>
          <w:bCs/>
          <w:szCs w:val="24"/>
        </w:rPr>
        <w:t xml:space="preserve">he PBAC </w:t>
      </w:r>
      <w:r w:rsidR="006B5E66" w:rsidRPr="00302F29">
        <w:rPr>
          <w:rFonts w:asciiTheme="minorHAnsi" w:hAnsiTheme="minorHAnsi"/>
          <w:bCs/>
          <w:szCs w:val="24"/>
        </w:rPr>
        <w:t>considered that use of blinatumomab should be restricted to once-per-lifetime as</w:t>
      </w:r>
      <w:r w:rsidR="00490EBB" w:rsidRPr="00302F29">
        <w:rPr>
          <w:rFonts w:asciiTheme="minorHAnsi" w:hAnsiTheme="minorHAnsi"/>
          <w:bCs/>
          <w:szCs w:val="24"/>
        </w:rPr>
        <w:t xml:space="preserve"> no evidence had been provided for re</w:t>
      </w:r>
      <w:r w:rsidR="00543E52" w:rsidRPr="00302F29">
        <w:rPr>
          <w:rFonts w:asciiTheme="minorHAnsi" w:hAnsiTheme="minorHAnsi"/>
          <w:bCs/>
          <w:szCs w:val="24"/>
        </w:rPr>
        <w:t>-</w:t>
      </w:r>
      <w:r w:rsidR="00490EBB" w:rsidRPr="00302F29">
        <w:rPr>
          <w:rFonts w:asciiTheme="minorHAnsi" w:hAnsiTheme="minorHAnsi"/>
          <w:bCs/>
          <w:szCs w:val="24"/>
        </w:rPr>
        <w:t xml:space="preserve">use of blinatumomab </w:t>
      </w:r>
      <w:r w:rsidR="00543E52" w:rsidRPr="00C65441">
        <w:t>in subsequent periods of complete remission</w:t>
      </w:r>
      <w:r w:rsidR="00E75CAF" w:rsidRPr="00302F29">
        <w:rPr>
          <w:rFonts w:asciiTheme="minorHAnsi" w:hAnsiTheme="minorHAnsi"/>
          <w:bCs/>
          <w:szCs w:val="24"/>
        </w:rPr>
        <w:t xml:space="preserve">. </w:t>
      </w:r>
      <w:r w:rsidR="002F5868" w:rsidRPr="00302F29">
        <w:rPr>
          <w:rFonts w:asciiTheme="minorHAnsi" w:hAnsiTheme="minorHAnsi"/>
          <w:bCs/>
          <w:szCs w:val="24"/>
        </w:rPr>
        <w:t>Further, t</w:t>
      </w:r>
      <w:r w:rsidR="00A7191D" w:rsidRPr="00302F29">
        <w:rPr>
          <w:rFonts w:asciiTheme="minorHAnsi" w:hAnsiTheme="minorHAnsi"/>
          <w:bCs/>
          <w:szCs w:val="24"/>
        </w:rPr>
        <w:t>he PBAC considered that t</w:t>
      </w:r>
      <w:r w:rsidR="00357688" w:rsidRPr="00302F29">
        <w:rPr>
          <w:rFonts w:asciiTheme="minorHAnsi" w:hAnsiTheme="minorHAnsi"/>
          <w:bCs/>
          <w:szCs w:val="24"/>
        </w:rPr>
        <w:t>he appropriate eligible population</w:t>
      </w:r>
      <w:r w:rsidR="00530433" w:rsidRPr="00302F29">
        <w:rPr>
          <w:rFonts w:asciiTheme="minorHAnsi" w:hAnsiTheme="minorHAnsi"/>
          <w:bCs/>
          <w:szCs w:val="24"/>
        </w:rPr>
        <w:t xml:space="preserve"> should include </w:t>
      </w:r>
      <w:r w:rsidR="00357688" w:rsidRPr="00302F29">
        <w:rPr>
          <w:rFonts w:asciiTheme="minorHAnsi" w:hAnsiTheme="minorHAnsi"/>
          <w:bCs/>
          <w:szCs w:val="24"/>
        </w:rPr>
        <w:t>patients:</w:t>
      </w:r>
    </w:p>
    <w:p w:rsidR="00B54718" w:rsidRPr="00357688" w:rsidRDefault="003700C1" w:rsidP="00E75CAF">
      <w:pPr>
        <w:pStyle w:val="ListParagraph"/>
        <w:numPr>
          <w:ilvl w:val="0"/>
          <w:numId w:val="30"/>
        </w:numPr>
        <w:ind w:left="1135" w:hanging="284"/>
        <w:contextualSpacing/>
        <w:rPr>
          <w:rFonts w:asciiTheme="minorHAnsi" w:hAnsiTheme="minorHAnsi"/>
          <w:bCs/>
          <w:szCs w:val="24"/>
        </w:rPr>
      </w:pPr>
      <w:r>
        <w:rPr>
          <w:rFonts w:asciiTheme="minorHAnsi" w:hAnsiTheme="minorHAnsi"/>
          <w:bCs/>
          <w:szCs w:val="24"/>
          <w:lang w:val="en-US"/>
        </w:rPr>
        <w:t xml:space="preserve">in any line of complete remission. The PBAC considered that the clinical data indicated that blinatumomab is </w:t>
      </w:r>
      <w:r w:rsidR="00302F29">
        <w:rPr>
          <w:rFonts w:asciiTheme="minorHAnsi" w:hAnsiTheme="minorHAnsi"/>
          <w:bCs/>
          <w:szCs w:val="24"/>
          <w:lang w:val="en-US"/>
        </w:rPr>
        <w:t xml:space="preserve">likely to be </w:t>
      </w:r>
      <w:r>
        <w:rPr>
          <w:rFonts w:asciiTheme="minorHAnsi" w:hAnsiTheme="minorHAnsi"/>
          <w:bCs/>
          <w:szCs w:val="24"/>
          <w:lang w:val="en-US"/>
        </w:rPr>
        <w:t>more effective in patients in first complete remission</w:t>
      </w:r>
      <w:r w:rsidR="00720D67">
        <w:rPr>
          <w:rFonts w:asciiTheme="minorHAnsi" w:hAnsiTheme="minorHAnsi"/>
          <w:bCs/>
          <w:szCs w:val="24"/>
          <w:lang w:val="en-US"/>
        </w:rPr>
        <w:t xml:space="preserve"> (CR1)</w:t>
      </w:r>
      <w:r w:rsidR="00E02647">
        <w:rPr>
          <w:rFonts w:asciiTheme="minorHAnsi" w:hAnsiTheme="minorHAnsi"/>
          <w:bCs/>
          <w:szCs w:val="24"/>
          <w:lang w:val="en-US"/>
        </w:rPr>
        <w:t xml:space="preserve"> than in later remissions, but</w:t>
      </w:r>
      <w:r>
        <w:rPr>
          <w:rFonts w:asciiTheme="minorHAnsi" w:hAnsiTheme="minorHAnsi"/>
          <w:bCs/>
          <w:szCs w:val="24"/>
          <w:lang w:val="en-US"/>
        </w:rPr>
        <w:t xml:space="preserve"> that, over time, blinatumomab would predominantly be </w:t>
      </w:r>
      <w:r w:rsidR="00E02647">
        <w:rPr>
          <w:rFonts w:asciiTheme="minorHAnsi" w:hAnsiTheme="minorHAnsi"/>
          <w:bCs/>
          <w:szCs w:val="24"/>
          <w:lang w:val="en-US"/>
        </w:rPr>
        <w:t xml:space="preserve">used </w:t>
      </w:r>
      <w:r>
        <w:rPr>
          <w:rFonts w:asciiTheme="minorHAnsi" w:hAnsiTheme="minorHAnsi"/>
          <w:bCs/>
          <w:szCs w:val="24"/>
          <w:lang w:val="en-US"/>
        </w:rPr>
        <w:t xml:space="preserve">in </w:t>
      </w:r>
      <w:r w:rsidR="00720D67">
        <w:rPr>
          <w:rFonts w:asciiTheme="minorHAnsi" w:hAnsiTheme="minorHAnsi"/>
          <w:bCs/>
          <w:szCs w:val="24"/>
          <w:lang w:val="en-US"/>
        </w:rPr>
        <w:t xml:space="preserve">CR1 </w:t>
      </w:r>
      <w:r>
        <w:rPr>
          <w:rFonts w:asciiTheme="minorHAnsi" w:hAnsiTheme="minorHAnsi"/>
          <w:bCs/>
          <w:szCs w:val="24"/>
          <w:lang w:val="en-US"/>
        </w:rPr>
        <w:t>(i.e. in incident patients)</w:t>
      </w:r>
      <w:r w:rsidR="005C5E82">
        <w:rPr>
          <w:rFonts w:asciiTheme="minorHAnsi" w:hAnsiTheme="minorHAnsi"/>
          <w:bCs/>
          <w:szCs w:val="24"/>
          <w:lang w:val="en-US"/>
        </w:rPr>
        <w:t>;</w:t>
      </w:r>
      <w:r>
        <w:rPr>
          <w:rFonts w:asciiTheme="minorHAnsi" w:hAnsiTheme="minorHAnsi"/>
          <w:bCs/>
          <w:szCs w:val="24"/>
          <w:lang w:val="en-US"/>
        </w:rPr>
        <w:t xml:space="preserve"> </w:t>
      </w:r>
    </w:p>
    <w:p w:rsidR="00302F29" w:rsidRPr="00302F29" w:rsidRDefault="005C5E82" w:rsidP="00E75CAF">
      <w:pPr>
        <w:pStyle w:val="ListParagraph"/>
        <w:widowControl/>
        <w:numPr>
          <w:ilvl w:val="0"/>
          <w:numId w:val="30"/>
        </w:numPr>
        <w:ind w:left="1135" w:hanging="284"/>
        <w:contextualSpacing/>
        <w:rPr>
          <w:rFonts w:asciiTheme="minorHAnsi" w:hAnsiTheme="minorHAnsi"/>
          <w:bCs/>
          <w:szCs w:val="24"/>
          <w:lang w:val="en-GB"/>
        </w:rPr>
      </w:pPr>
      <w:r>
        <w:rPr>
          <w:rFonts w:asciiTheme="minorHAnsi" w:hAnsiTheme="minorHAnsi"/>
          <w:bCs/>
          <w:szCs w:val="24"/>
          <w:lang w:val="en-US"/>
        </w:rPr>
        <w:t>of a</w:t>
      </w:r>
      <w:r w:rsidR="00B54718" w:rsidRPr="0016456A">
        <w:rPr>
          <w:rFonts w:asciiTheme="minorHAnsi" w:hAnsiTheme="minorHAnsi"/>
          <w:bCs/>
          <w:szCs w:val="24"/>
          <w:lang w:val="en-US"/>
        </w:rPr>
        <w:t>ny age</w:t>
      </w:r>
      <w:r w:rsidR="002A60A9">
        <w:rPr>
          <w:rFonts w:asciiTheme="minorHAnsi" w:hAnsiTheme="minorHAnsi"/>
          <w:bCs/>
          <w:szCs w:val="24"/>
          <w:lang w:val="en-US"/>
        </w:rPr>
        <w:t xml:space="preserve"> (i.e. including children and adolescents)</w:t>
      </w:r>
      <w:r w:rsidR="00302F29">
        <w:rPr>
          <w:rFonts w:asciiTheme="minorHAnsi" w:hAnsiTheme="minorHAnsi"/>
          <w:bCs/>
          <w:szCs w:val="24"/>
          <w:lang w:val="en-US"/>
        </w:rPr>
        <w:t>;</w:t>
      </w:r>
    </w:p>
    <w:p w:rsidR="0016456A" w:rsidRPr="0016456A" w:rsidRDefault="00302F29" w:rsidP="00E75CAF">
      <w:pPr>
        <w:pStyle w:val="ListParagraph"/>
        <w:widowControl/>
        <w:numPr>
          <w:ilvl w:val="0"/>
          <w:numId w:val="30"/>
        </w:numPr>
        <w:ind w:left="1135" w:hanging="284"/>
        <w:contextualSpacing/>
        <w:rPr>
          <w:rFonts w:asciiTheme="minorHAnsi" w:hAnsiTheme="minorHAnsi"/>
          <w:bCs/>
          <w:szCs w:val="24"/>
          <w:lang w:val="en-GB"/>
        </w:rPr>
      </w:pPr>
      <w:r>
        <w:rPr>
          <w:rFonts w:asciiTheme="minorHAnsi" w:hAnsiTheme="minorHAnsi"/>
          <w:bCs/>
          <w:szCs w:val="24"/>
          <w:lang w:val="en-US"/>
        </w:rPr>
        <w:t>regardless of</w:t>
      </w:r>
      <w:r w:rsidRPr="00B54718">
        <w:t xml:space="preserve"> </w:t>
      </w:r>
      <w:r w:rsidRPr="00C65441">
        <w:t>Philadelphia chromosome status</w:t>
      </w:r>
      <w:r w:rsidR="002A60A9">
        <w:t xml:space="preserve"> (i.e. including Ph+ patients)</w:t>
      </w:r>
      <w:r w:rsidR="005C5E82">
        <w:rPr>
          <w:rFonts w:asciiTheme="minorHAnsi" w:hAnsiTheme="minorHAnsi"/>
          <w:bCs/>
          <w:szCs w:val="24"/>
          <w:lang w:val="en-US"/>
        </w:rPr>
        <w:t>;</w:t>
      </w:r>
      <w:r w:rsidRPr="00302F29">
        <w:rPr>
          <w:rFonts w:asciiTheme="minorHAnsi" w:hAnsiTheme="minorHAnsi"/>
          <w:bCs/>
          <w:szCs w:val="24"/>
          <w:lang w:val="en-US"/>
        </w:rPr>
        <w:t xml:space="preserve"> </w:t>
      </w:r>
      <w:r>
        <w:rPr>
          <w:rFonts w:asciiTheme="minorHAnsi" w:hAnsiTheme="minorHAnsi"/>
          <w:bCs/>
          <w:szCs w:val="24"/>
          <w:lang w:val="en-US"/>
        </w:rPr>
        <w:t>and</w:t>
      </w:r>
    </w:p>
    <w:p w:rsidR="00B54718" w:rsidRPr="00357688" w:rsidRDefault="00E75CAF" w:rsidP="00E75CAF">
      <w:pPr>
        <w:pStyle w:val="ListParagraph"/>
        <w:numPr>
          <w:ilvl w:val="0"/>
          <w:numId w:val="30"/>
        </w:numPr>
        <w:ind w:left="1135" w:hanging="284"/>
        <w:contextualSpacing/>
        <w:rPr>
          <w:rFonts w:asciiTheme="minorHAnsi" w:hAnsiTheme="minorHAnsi"/>
          <w:bCs/>
          <w:szCs w:val="24"/>
        </w:rPr>
      </w:pPr>
      <w:r>
        <w:t xml:space="preserve">with an </w:t>
      </w:r>
      <w:r w:rsidR="00530433" w:rsidRPr="00C65441">
        <w:t>MRD level of ≥10</w:t>
      </w:r>
      <w:r w:rsidR="00530433" w:rsidRPr="00C65441">
        <w:rPr>
          <w:vertAlign w:val="superscript"/>
        </w:rPr>
        <w:t>-4</w:t>
      </w:r>
      <w:r w:rsidR="00530433">
        <w:rPr>
          <w:vertAlign w:val="superscript"/>
        </w:rPr>
        <w:t xml:space="preserve"> </w:t>
      </w:r>
      <w:r w:rsidR="00530433">
        <w:t xml:space="preserve">measured using </w:t>
      </w:r>
      <w:r w:rsidR="00B54718" w:rsidRPr="00357688">
        <w:rPr>
          <w:rFonts w:asciiTheme="minorHAnsi" w:hAnsiTheme="minorHAnsi"/>
          <w:bCs/>
          <w:szCs w:val="24"/>
          <w:lang w:val="en-US"/>
        </w:rPr>
        <w:t xml:space="preserve">PCR or </w:t>
      </w:r>
      <w:r w:rsidR="00530433">
        <w:rPr>
          <w:rFonts w:asciiTheme="minorHAnsi" w:hAnsiTheme="minorHAnsi"/>
          <w:bCs/>
          <w:szCs w:val="24"/>
          <w:lang w:val="en-US"/>
        </w:rPr>
        <w:t>flow cytometry (as discussed further below).</w:t>
      </w:r>
    </w:p>
    <w:p w:rsidR="00357688" w:rsidRPr="00F74C09" w:rsidRDefault="00F74C09" w:rsidP="00F74C09">
      <w:pPr>
        <w:widowControl/>
        <w:numPr>
          <w:ilvl w:val="1"/>
          <w:numId w:val="2"/>
        </w:numPr>
        <w:spacing w:after="120"/>
        <w:rPr>
          <w:rFonts w:asciiTheme="minorHAnsi" w:hAnsiTheme="minorHAnsi"/>
          <w:bCs/>
          <w:szCs w:val="24"/>
        </w:rPr>
      </w:pPr>
      <w:r w:rsidRPr="00F74C09">
        <w:rPr>
          <w:rFonts w:asciiTheme="minorHAnsi" w:hAnsiTheme="minorHAnsi"/>
          <w:bCs/>
          <w:szCs w:val="24"/>
        </w:rPr>
        <w:t>T</w:t>
      </w:r>
      <w:r w:rsidR="00357688" w:rsidRPr="00F74C09">
        <w:rPr>
          <w:rFonts w:asciiTheme="minorHAnsi" w:hAnsiTheme="minorHAnsi"/>
          <w:bCs/>
          <w:szCs w:val="24"/>
        </w:rPr>
        <w:t>he PBAC</w:t>
      </w:r>
      <w:r w:rsidR="006B5E66">
        <w:rPr>
          <w:rFonts w:asciiTheme="minorHAnsi" w:hAnsiTheme="minorHAnsi"/>
          <w:bCs/>
          <w:szCs w:val="24"/>
        </w:rPr>
        <w:t xml:space="preserve"> acknowledged </w:t>
      </w:r>
      <w:r w:rsidR="00357688" w:rsidRPr="00F74C09">
        <w:rPr>
          <w:rFonts w:asciiTheme="minorHAnsi" w:hAnsiTheme="minorHAnsi"/>
          <w:bCs/>
          <w:szCs w:val="24"/>
        </w:rPr>
        <w:t>that</w:t>
      </w:r>
      <w:r w:rsidR="00BB3D4E">
        <w:rPr>
          <w:rFonts w:asciiTheme="minorHAnsi" w:hAnsiTheme="minorHAnsi"/>
          <w:bCs/>
          <w:szCs w:val="24"/>
        </w:rPr>
        <w:t xml:space="preserve"> this would be broader than</w:t>
      </w:r>
      <w:r w:rsidRPr="00F74C09">
        <w:rPr>
          <w:rFonts w:asciiTheme="minorHAnsi" w:hAnsiTheme="minorHAnsi"/>
          <w:bCs/>
          <w:szCs w:val="24"/>
        </w:rPr>
        <w:t xml:space="preserve"> the</w:t>
      </w:r>
      <w:r w:rsidR="00BB3D4E">
        <w:rPr>
          <w:rFonts w:asciiTheme="minorHAnsi" w:hAnsiTheme="minorHAnsi"/>
          <w:bCs/>
          <w:szCs w:val="24"/>
        </w:rPr>
        <w:t xml:space="preserve"> population included in the</w:t>
      </w:r>
      <w:r w:rsidRPr="00F74C09">
        <w:rPr>
          <w:rFonts w:asciiTheme="minorHAnsi" w:hAnsiTheme="minorHAnsi"/>
          <w:bCs/>
          <w:szCs w:val="24"/>
        </w:rPr>
        <w:t xml:space="preserve"> comparative efficacy data provided in the submission</w:t>
      </w:r>
      <w:r w:rsidR="005C5E82">
        <w:rPr>
          <w:rFonts w:asciiTheme="minorHAnsi" w:hAnsiTheme="minorHAnsi"/>
          <w:bCs/>
          <w:szCs w:val="24"/>
        </w:rPr>
        <w:t xml:space="preserve"> (which only included </w:t>
      </w:r>
      <w:r w:rsidRPr="00F74C09">
        <w:rPr>
          <w:rFonts w:asciiTheme="minorHAnsi" w:hAnsiTheme="minorHAnsi"/>
          <w:bCs/>
          <w:szCs w:val="24"/>
        </w:rPr>
        <w:t>adult patients in CR1, who are Ph</w:t>
      </w:r>
      <w:r w:rsidRPr="00F74C09">
        <w:rPr>
          <w:rFonts w:asciiTheme="minorHAnsi" w:hAnsiTheme="minorHAnsi"/>
          <w:bCs/>
          <w:szCs w:val="24"/>
        </w:rPr>
        <w:noBreakHyphen/>
        <w:t xml:space="preserve">, with MRD </w:t>
      </w:r>
      <w:r w:rsidRPr="00C65441">
        <w:t>≥</w:t>
      </w:r>
      <w:r>
        <w:t> </w:t>
      </w:r>
      <w:r w:rsidRPr="00C65441">
        <w:t>10</w:t>
      </w:r>
      <w:r w:rsidRPr="00C65441">
        <w:rPr>
          <w:vertAlign w:val="superscript"/>
        </w:rPr>
        <w:t>-3</w:t>
      </w:r>
      <w:r>
        <w:rPr>
          <w:rFonts w:asciiTheme="minorHAnsi" w:hAnsiTheme="minorHAnsi"/>
          <w:bCs/>
          <w:szCs w:val="24"/>
        </w:rPr>
        <w:t>)</w:t>
      </w:r>
      <w:r w:rsidR="00BB3D4E">
        <w:rPr>
          <w:rFonts w:asciiTheme="minorHAnsi" w:hAnsiTheme="minorHAnsi"/>
          <w:bCs/>
          <w:szCs w:val="24"/>
        </w:rPr>
        <w:t>.</w:t>
      </w:r>
    </w:p>
    <w:p w:rsidR="00E02647" w:rsidRPr="00E02647" w:rsidRDefault="0016456A" w:rsidP="00F5216B">
      <w:pPr>
        <w:widowControl/>
        <w:numPr>
          <w:ilvl w:val="1"/>
          <w:numId w:val="2"/>
        </w:numPr>
        <w:spacing w:after="120"/>
        <w:rPr>
          <w:rFonts w:asciiTheme="minorHAnsi" w:hAnsiTheme="minorHAnsi"/>
          <w:bCs/>
          <w:szCs w:val="24"/>
        </w:rPr>
      </w:pPr>
      <w:r w:rsidRPr="00E02647">
        <w:rPr>
          <w:rFonts w:asciiTheme="minorHAnsi" w:hAnsiTheme="minorHAnsi"/>
          <w:bCs/>
          <w:szCs w:val="24"/>
        </w:rPr>
        <w:t>The PBAC considered that the restriction</w:t>
      </w:r>
      <w:r w:rsidR="00F74C09">
        <w:rPr>
          <w:rFonts w:asciiTheme="minorHAnsi" w:hAnsiTheme="minorHAnsi"/>
          <w:bCs/>
          <w:szCs w:val="24"/>
        </w:rPr>
        <w:t xml:space="preserve"> should </w:t>
      </w:r>
      <w:r w:rsidRPr="00E02647">
        <w:rPr>
          <w:rFonts w:asciiTheme="minorHAnsi" w:hAnsiTheme="minorHAnsi"/>
          <w:bCs/>
          <w:szCs w:val="24"/>
        </w:rPr>
        <w:t>be Authority Required (written) and would need to include proof of complete</w:t>
      </w:r>
      <w:r w:rsidR="00530433" w:rsidRPr="00E02647">
        <w:rPr>
          <w:rFonts w:asciiTheme="minorHAnsi" w:hAnsiTheme="minorHAnsi"/>
          <w:bCs/>
          <w:szCs w:val="24"/>
        </w:rPr>
        <w:t xml:space="preserve"> remission </w:t>
      </w:r>
      <w:r w:rsidRPr="00E02647">
        <w:rPr>
          <w:rFonts w:asciiTheme="minorHAnsi" w:hAnsiTheme="minorHAnsi"/>
          <w:bCs/>
          <w:szCs w:val="24"/>
        </w:rPr>
        <w:t xml:space="preserve">and MRD status. </w:t>
      </w:r>
    </w:p>
    <w:p w:rsidR="00F5216B" w:rsidRPr="005C5E82" w:rsidRDefault="00F5216B" w:rsidP="00F5216B">
      <w:pPr>
        <w:widowControl/>
        <w:numPr>
          <w:ilvl w:val="1"/>
          <w:numId w:val="2"/>
        </w:numPr>
        <w:spacing w:after="120"/>
        <w:rPr>
          <w:rFonts w:asciiTheme="minorHAnsi" w:hAnsiTheme="minorHAnsi"/>
          <w:bCs/>
          <w:szCs w:val="24"/>
          <w:lang w:val="en-GB"/>
        </w:rPr>
      </w:pPr>
      <w:r w:rsidRPr="005C5E82">
        <w:rPr>
          <w:rFonts w:asciiTheme="minorHAnsi" w:hAnsiTheme="minorHAnsi"/>
          <w:bCs/>
          <w:szCs w:val="24"/>
          <w:lang w:val="en-GB"/>
        </w:rPr>
        <w:t xml:space="preserve">The PBAC noted that MRD </w:t>
      </w:r>
      <w:r w:rsidR="00490EBB" w:rsidRPr="005C5E82">
        <w:rPr>
          <w:rFonts w:asciiTheme="minorHAnsi" w:hAnsiTheme="minorHAnsi"/>
          <w:bCs/>
          <w:szCs w:val="24"/>
          <w:lang w:val="en-GB"/>
        </w:rPr>
        <w:t xml:space="preserve">testing </w:t>
      </w:r>
      <w:r w:rsidRPr="005C5E82">
        <w:rPr>
          <w:rFonts w:asciiTheme="minorHAnsi" w:hAnsiTheme="minorHAnsi"/>
          <w:bCs/>
          <w:szCs w:val="24"/>
          <w:lang w:val="en-GB"/>
        </w:rPr>
        <w:t>is not</w:t>
      </w:r>
      <w:r w:rsidR="00056BD7" w:rsidRPr="005C5E82">
        <w:rPr>
          <w:rFonts w:asciiTheme="minorHAnsi" w:hAnsiTheme="minorHAnsi"/>
          <w:bCs/>
          <w:szCs w:val="24"/>
          <w:lang w:val="en-GB"/>
        </w:rPr>
        <w:t xml:space="preserve"> subsidised </w:t>
      </w:r>
      <w:r w:rsidR="000D07E9" w:rsidRPr="005C5E82">
        <w:rPr>
          <w:rFonts w:asciiTheme="minorHAnsi" w:hAnsiTheme="minorHAnsi"/>
          <w:bCs/>
          <w:szCs w:val="24"/>
          <w:lang w:val="en-GB"/>
        </w:rPr>
        <w:t xml:space="preserve">on the </w:t>
      </w:r>
      <w:r w:rsidR="00490EBB" w:rsidRPr="005C5E82">
        <w:rPr>
          <w:rFonts w:asciiTheme="minorHAnsi" w:hAnsiTheme="minorHAnsi"/>
          <w:bCs/>
          <w:szCs w:val="24"/>
          <w:lang w:val="en-GB"/>
        </w:rPr>
        <w:t xml:space="preserve">MBS and </w:t>
      </w:r>
      <w:r w:rsidR="00056BD7" w:rsidRPr="005C5E82">
        <w:rPr>
          <w:rFonts w:asciiTheme="minorHAnsi" w:hAnsiTheme="minorHAnsi"/>
          <w:bCs/>
          <w:szCs w:val="24"/>
          <w:lang w:val="en-GB"/>
        </w:rPr>
        <w:t xml:space="preserve">considered that access to MRD testing </w:t>
      </w:r>
      <w:r w:rsidR="006B5E66">
        <w:rPr>
          <w:rFonts w:asciiTheme="minorHAnsi" w:hAnsiTheme="minorHAnsi"/>
          <w:bCs/>
          <w:szCs w:val="24"/>
          <w:lang w:val="en-GB"/>
        </w:rPr>
        <w:t>i</w:t>
      </w:r>
      <w:r w:rsidR="00056BD7" w:rsidRPr="005C5E82">
        <w:rPr>
          <w:rFonts w:asciiTheme="minorHAnsi" w:hAnsiTheme="minorHAnsi"/>
          <w:bCs/>
          <w:szCs w:val="24"/>
          <w:lang w:val="en-GB"/>
        </w:rPr>
        <w:t>s not consistently available throughout Australia</w:t>
      </w:r>
      <w:r w:rsidR="000D07E9" w:rsidRPr="005C5E82">
        <w:rPr>
          <w:rFonts w:asciiTheme="minorHAnsi" w:hAnsiTheme="minorHAnsi"/>
          <w:bCs/>
          <w:szCs w:val="24"/>
          <w:lang w:val="en-GB"/>
        </w:rPr>
        <w:t>.</w:t>
      </w:r>
      <w:r w:rsidR="007553DB" w:rsidRPr="005C5E82">
        <w:rPr>
          <w:rFonts w:asciiTheme="minorHAnsi" w:hAnsiTheme="minorHAnsi"/>
          <w:bCs/>
          <w:szCs w:val="24"/>
          <w:lang w:val="en-GB"/>
        </w:rPr>
        <w:t xml:space="preserve"> </w:t>
      </w:r>
    </w:p>
    <w:p w:rsidR="00F5216B" w:rsidRDefault="00F5216B" w:rsidP="00F5216B">
      <w:pPr>
        <w:widowControl/>
        <w:numPr>
          <w:ilvl w:val="1"/>
          <w:numId w:val="2"/>
        </w:numPr>
        <w:spacing w:after="120"/>
        <w:rPr>
          <w:rFonts w:asciiTheme="minorHAnsi" w:hAnsiTheme="minorHAnsi"/>
          <w:bCs/>
          <w:szCs w:val="24"/>
          <w:lang w:val="en-GB"/>
        </w:rPr>
      </w:pPr>
      <w:r>
        <w:rPr>
          <w:rFonts w:asciiTheme="minorHAnsi" w:hAnsiTheme="minorHAnsi"/>
          <w:bCs/>
          <w:szCs w:val="24"/>
          <w:lang w:val="en-GB"/>
        </w:rPr>
        <w:t>The PBAC</w:t>
      </w:r>
      <w:r w:rsidR="00603888">
        <w:rPr>
          <w:rFonts w:asciiTheme="minorHAnsi" w:hAnsiTheme="minorHAnsi"/>
          <w:bCs/>
          <w:szCs w:val="24"/>
          <w:lang w:val="en-GB"/>
        </w:rPr>
        <w:t xml:space="preserve"> noted </w:t>
      </w:r>
      <w:r>
        <w:rPr>
          <w:rFonts w:asciiTheme="minorHAnsi" w:hAnsiTheme="minorHAnsi"/>
          <w:bCs/>
          <w:szCs w:val="24"/>
          <w:lang w:val="en-GB"/>
        </w:rPr>
        <w:t xml:space="preserve">that </w:t>
      </w:r>
      <w:r w:rsidR="00603888">
        <w:rPr>
          <w:rFonts w:asciiTheme="minorHAnsi" w:hAnsiTheme="minorHAnsi"/>
          <w:bCs/>
          <w:szCs w:val="24"/>
          <w:lang w:val="en-GB"/>
        </w:rPr>
        <w:t xml:space="preserve">that the key study </w:t>
      </w:r>
      <w:r w:rsidR="005C5E82">
        <w:rPr>
          <w:rFonts w:asciiTheme="minorHAnsi" w:hAnsiTheme="minorHAnsi"/>
          <w:bCs/>
          <w:szCs w:val="24"/>
          <w:lang w:val="en-GB"/>
        </w:rPr>
        <w:t xml:space="preserve">(BLAST) </w:t>
      </w:r>
      <w:r w:rsidR="00603888">
        <w:rPr>
          <w:rFonts w:asciiTheme="minorHAnsi" w:hAnsiTheme="minorHAnsi"/>
          <w:bCs/>
          <w:szCs w:val="24"/>
          <w:lang w:val="en-GB"/>
        </w:rPr>
        <w:t xml:space="preserve">recruited </w:t>
      </w:r>
      <w:r>
        <w:rPr>
          <w:rFonts w:asciiTheme="minorHAnsi" w:hAnsiTheme="minorHAnsi"/>
          <w:bCs/>
          <w:szCs w:val="24"/>
          <w:lang w:val="en-GB"/>
        </w:rPr>
        <w:t>patients with a</w:t>
      </w:r>
      <w:r w:rsidR="005C5E82">
        <w:rPr>
          <w:rFonts w:asciiTheme="minorHAnsi" w:hAnsiTheme="minorHAnsi"/>
          <w:bCs/>
          <w:szCs w:val="24"/>
          <w:lang w:val="en-GB"/>
        </w:rPr>
        <w:t>n</w:t>
      </w:r>
      <w:r>
        <w:rPr>
          <w:rFonts w:asciiTheme="minorHAnsi" w:hAnsiTheme="minorHAnsi"/>
          <w:bCs/>
          <w:szCs w:val="24"/>
          <w:lang w:val="en-GB"/>
        </w:rPr>
        <w:t xml:space="preserve"> MRD level of </w:t>
      </w:r>
      <w:r w:rsidR="008F6917" w:rsidRPr="00C65441">
        <w:t>≥</w:t>
      </w:r>
      <w:r w:rsidR="00603888">
        <w:rPr>
          <w:rFonts w:asciiTheme="minorHAnsi" w:hAnsiTheme="minorHAnsi"/>
          <w:bCs/>
          <w:szCs w:val="24"/>
          <w:lang w:val="en-GB"/>
        </w:rPr>
        <w:t xml:space="preserve"> </w:t>
      </w:r>
      <w:r>
        <w:rPr>
          <w:rFonts w:asciiTheme="minorHAnsi" w:hAnsiTheme="minorHAnsi"/>
          <w:bCs/>
          <w:szCs w:val="24"/>
          <w:lang w:val="en-GB"/>
        </w:rPr>
        <w:t>10</w:t>
      </w:r>
      <w:r>
        <w:rPr>
          <w:rFonts w:asciiTheme="minorHAnsi" w:hAnsiTheme="minorHAnsi"/>
          <w:bCs/>
          <w:szCs w:val="24"/>
          <w:vertAlign w:val="superscript"/>
          <w:lang w:val="en-GB"/>
        </w:rPr>
        <w:t>-3</w:t>
      </w:r>
      <w:r>
        <w:rPr>
          <w:rFonts w:asciiTheme="minorHAnsi" w:hAnsiTheme="minorHAnsi"/>
          <w:bCs/>
          <w:szCs w:val="24"/>
          <w:lang w:val="en-GB"/>
        </w:rPr>
        <w:t>,</w:t>
      </w:r>
      <w:r w:rsidR="005C5E82">
        <w:rPr>
          <w:rFonts w:asciiTheme="minorHAnsi" w:hAnsiTheme="minorHAnsi"/>
          <w:bCs/>
          <w:szCs w:val="24"/>
          <w:lang w:val="en-GB"/>
        </w:rPr>
        <w:t xml:space="preserve"> while </w:t>
      </w:r>
      <w:r>
        <w:rPr>
          <w:rFonts w:asciiTheme="minorHAnsi" w:hAnsiTheme="minorHAnsi"/>
          <w:bCs/>
          <w:szCs w:val="24"/>
          <w:lang w:val="en-GB"/>
        </w:rPr>
        <w:t xml:space="preserve">the </w:t>
      </w:r>
      <w:r w:rsidR="005C5E82">
        <w:rPr>
          <w:rFonts w:asciiTheme="minorHAnsi" w:hAnsiTheme="minorHAnsi"/>
          <w:bCs/>
          <w:szCs w:val="24"/>
          <w:lang w:val="en-GB"/>
        </w:rPr>
        <w:t xml:space="preserve">threshold proposed in the restriction was </w:t>
      </w:r>
      <w:r w:rsidR="00603888" w:rsidRPr="004376EB">
        <w:rPr>
          <w:rFonts w:asciiTheme="minorHAnsi" w:hAnsiTheme="minorHAnsi"/>
          <w:bCs/>
          <w:szCs w:val="24"/>
          <w:lang w:val="en-GB"/>
        </w:rPr>
        <w:t>≥</w:t>
      </w:r>
      <w:r w:rsidR="00603888">
        <w:rPr>
          <w:rFonts w:asciiTheme="minorHAnsi" w:hAnsiTheme="minorHAnsi"/>
          <w:bCs/>
          <w:szCs w:val="24"/>
          <w:lang w:val="en-GB"/>
        </w:rPr>
        <w:t xml:space="preserve"> </w:t>
      </w:r>
      <w:r>
        <w:rPr>
          <w:rFonts w:asciiTheme="minorHAnsi" w:hAnsiTheme="minorHAnsi"/>
          <w:bCs/>
          <w:szCs w:val="24"/>
          <w:lang w:val="en-GB"/>
        </w:rPr>
        <w:t>10</w:t>
      </w:r>
      <w:r>
        <w:rPr>
          <w:rFonts w:asciiTheme="minorHAnsi" w:hAnsiTheme="minorHAnsi"/>
          <w:bCs/>
          <w:szCs w:val="24"/>
          <w:vertAlign w:val="superscript"/>
          <w:lang w:val="en-GB"/>
        </w:rPr>
        <w:t>-4</w:t>
      </w:r>
      <w:r w:rsidR="007020E9">
        <w:rPr>
          <w:rFonts w:asciiTheme="minorHAnsi" w:hAnsiTheme="minorHAnsi"/>
          <w:bCs/>
          <w:szCs w:val="24"/>
          <w:lang w:val="en-GB"/>
        </w:rPr>
        <w:t xml:space="preserve">. </w:t>
      </w:r>
      <w:r w:rsidR="00603888">
        <w:rPr>
          <w:rFonts w:asciiTheme="minorHAnsi" w:hAnsiTheme="minorHAnsi"/>
          <w:bCs/>
          <w:szCs w:val="24"/>
          <w:lang w:val="en-GB"/>
        </w:rPr>
        <w:t>The PBAC</w:t>
      </w:r>
      <w:r w:rsidR="008F6917">
        <w:rPr>
          <w:rFonts w:asciiTheme="minorHAnsi" w:hAnsiTheme="minorHAnsi"/>
          <w:bCs/>
          <w:szCs w:val="24"/>
          <w:lang w:val="en-GB"/>
        </w:rPr>
        <w:t xml:space="preserve"> noted </w:t>
      </w:r>
      <w:r w:rsidR="00603888">
        <w:rPr>
          <w:rFonts w:asciiTheme="minorHAnsi" w:hAnsiTheme="minorHAnsi"/>
          <w:bCs/>
          <w:szCs w:val="24"/>
          <w:lang w:val="en-GB"/>
        </w:rPr>
        <w:t xml:space="preserve">that </w:t>
      </w:r>
      <w:r w:rsidR="00E75CAF">
        <w:rPr>
          <w:rFonts w:asciiTheme="minorHAnsi" w:hAnsiTheme="minorHAnsi"/>
          <w:bCs/>
          <w:szCs w:val="24"/>
          <w:lang w:val="en-GB"/>
        </w:rPr>
        <w:t>a</w:t>
      </w:r>
      <w:r>
        <w:rPr>
          <w:rFonts w:asciiTheme="minorHAnsi" w:hAnsiTheme="minorHAnsi"/>
          <w:bCs/>
          <w:szCs w:val="24"/>
          <w:lang w:val="en-GB"/>
        </w:rPr>
        <w:t xml:space="preserve"> </w:t>
      </w:r>
      <w:r w:rsidR="00E75CAF">
        <w:rPr>
          <w:rFonts w:asciiTheme="minorHAnsi" w:hAnsiTheme="minorHAnsi"/>
          <w:bCs/>
          <w:szCs w:val="24"/>
          <w:lang w:val="en-GB"/>
        </w:rPr>
        <w:t xml:space="preserve">threshold </w:t>
      </w:r>
      <w:r>
        <w:rPr>
          <w:rFonts w:asciiTheme="minorHAnsi" w:hAnsiTheme="minorHAnsi"/>
          <w:bCs/>
          <w:szCs w:val="24"/>
          <w:lang w:val="en-GB"/>
        </w:rPr>
        <w:t xml:space="preserve">of </w:t>
      </w:r>
      <w:r w:rsidRPr="004376EB">
        <w:rPr>
          <w:rFonts w:asciiTheme="minorHAnsi" w:hAnsiTheme="minorHAnsi"/>
          <w:bCs/>
          <w:szCs w:val="24"/>
          <w:lang w:val="en-GB"/>
        </w:rPr>
        <w:t>≥</w:t>
      </w:r>
      <w:r w:rsidR="003155C0">
        <w:rPr>
          <w:rFonts w:asciiTheme="minorHAnsi" w:hAnsiTheme="minorHAnsi"/>
          <w:bCs/>
          <w:szCs w:val="24"/>
          <w:lang w:val="en-GB"/>
        </w:rPr>
        <w:t xml:space="preserve"> </w:t>
      </w:r>
      <w:r>
        <w:rPr>
          <w:rFonts w:asciiTheme="minorHAnsi" w:hAnsiTheme="minorHAnsi"/>
          <w:bCs/>
          <w:szCs w:val="24"/>
          <w:lang w:val="en-GB"/>
        </w:rPr>
        <w:t>10</w:t>
      </w:r>
      <w:r>
        <w:rPr>
          <w:rFonts w:asciiTheme="minorHAnsi" w:hAnsiTheme="minorHAnsi"/>
          <w:bCs/>
          <w:szCs w:val="24"/>
          <w:vertAlign w:val="superscript"/>
          <w:lang w:val="en-GB"/>
        </w:rPr>
        <w:t>-4</w:t>
      </w:r>
      <w:r>
        <w:rPr>
          <w:rFonts w:asciiTheme="minorHAnsi" w:hAnsiTheme="minorHAnsi"/>
          <w:bCs/>
          <w:szCs w:val="24"/>
          <w:lang w:val="en-GB"/>
        </w:rPr>
        <w:t xml:space="preserve"> </w:t>
      </w:r>
      <w:r w:rsidR="00E75CAF">
        <w:rPr>
          <w:rFonts w:asciiTheme="minorHAnsi" w:hAnsiTheme="minorHAnsi"/>
          <w:bCs/>
          <w:szCs w:val="24"/>
          <w:lang w:val="en-GB"/>
        </w:rPr>
        <w:t>is</w:t>
      </w:r>
      <w:r w:rsidR="00603888">
        <w:rPr>
          <w:rFonts w:asciiTheme="minorHAnsi" w:hAnsiTheme="minorHAnsi"/>
          <w:bCs/>
          <w:szCs w:val="24"/>
          <w:lang w:val="en-GB"/>
        </w:rPr>
        <w:t xml:space="preserve"> </w:t>
      </w:r>
      <w:r>
        <w:rPr>
          <w:rFonts w:asciiTheme="minorHAnsi" w:hAnsiTheme="minorHAnsi"/>
          <w:bCs/>
          <w:szCs w:val="24"/>
          <w:lang w:val="en-GB"/>
        </w:rPr>
        <w:t xml:space="preserve">currently used in clinical practice to define MRD, </w:t>
      </w:r>
      <w:r w:rsidR="00603888">
        <w:rPr>
          <w:rFonts w:asciiTheme="minorHAnsi" w:hAnsiTheme="minorHAnsi"/>
          <w:bCs/>
          <w:szCs w:val="24"/>
          <w:lang w:val="en-GB"/>
        </w:rPr>
        <w:t>but</w:t>
      </w:r>
      <w:r w:rsidR="008F6917">
        <w:rPr>
          <w:rFonts w:asciiTheme="minorHAnsi" w:hAnsiTheme="minorHAnsi"/>
          <w:bCs/>
          <w:szCs w:val="24"/>
          <w:lang w:val="en-GB"/>
        </w:rPr>
        <w:t xml:space="preserve"> noted </w:t>
      </w:r>
      <w:r w:rsidR="00603888">
        <w:rPr>
          <w:rFonts w:asciiTheme="minorHAnsi" w:hAnsiTheme="minorHAnsi"/>
          <w:bCs/>
          <w:szCs w:val="24"/>
          <w:lang w:val="en-GB"/>
        </w:rPr>
        <w:t xml:space="preserve">this was based on </w:t>
      </w:r>
      <w:r w:rsidR="00164089">
        <w:rPr>
          <w:rFonts w:asciiTheme="minorHAnsi" w:hAnsiTheme="minorHAnsi"/>
          <w:bCs/>
          <w:szCs w:val="24"/>
          <w:lang w:val="en-GB"/>
        </w:rPr>
        <w:t xml:space="preserve">a </w:t>
      </w:r>
      <w:r w:rsidR="00603888">
        <w:rPr>
          <w:rFonts w:asciiTheme="minorHAnsi" w:hAnsiTheme="minorHAnsi"/>
          <w:bCs/>
          <w:szCs w:val="24"/>
          <w:lang w:val="en-GB"/>
        </w:rPr>
        <w:t xml:space="preserve">consensus </w:t>
      </w:r>
      <w:r w:rsidR="00164089">
        <w:rPr>
          <w:rFonts w:asciiTheme="minorHAnsi" w:hAnsiTheme="minorHAnsi"/>
          <w:bCs/>
          <w:szCs w:val="24"/>
          <w:lang w:val="en-GB"/>
        </w:rPr>
        <w:t xml:space="preserve">of </w:t>
      </w:r>
      <w:r w:rsidR="00603888">
        <w:rPr>
          <w:rFonts w:asciiTheme="minorHAnsi" w:hAnsiTheme="minorHAnsi"/>
          <w:bCs/>
          <w:szCs w:val="24"/>
          <w:lang w:val="en-GB"/>
        </w:rPr>
        <w:t xml:space="preserve">clinical opinion rather than </w:t>
      </w:r>
      <w:r w:rsidR="008F6917">
        <w:rPr>
          <w:rFonts w:asciiTheme="minorHAnsi" w:hAnsiTheme="minorHAnsi"/>
          <w:bCs/>
          <w:szCs w:val="24"/>
          <w:lang w:val="en-GB"/>
        </w:rPr>
        <w:t xml:space="preserve">a </w:t>
      </w:r>
      <w:r w:rsidR="00603888">
        <w:rPr>
          <w:rFonts w:asciiTheme="minorHAnsi" w:hAnsiTheme="minorHAnsi"/>
          <w:bCs/>
          <w:szCs w:val="24"/>
          <w:lang w:val="en-GB"/>
        </w:rPr>
        <w:t xml:space="preserve">strong evidence base. Notwithstanding this, the PBAC considered that an MRD level of </w:t>
      </w:r>
      <w:r w:rsidR="00603888" w:rsidRPr="004376EB">
        <w:rPr>
          <w:rFonts w:asciiTheme="minorHAnsi" w:hAnsiTheme="minorHAnsi"/>
          <w:bCs/>
          <w:szCs w:val="24"/>
          <w:lang w:val="en-GB"/>
        </w:rPr>
        <w:t>≥</w:t>
      </w:r>
      <w:r w:rsidR="003155C0">
        <w:rPr>
          <w:rFonts w:asciiTheme="minorHAnsi" w:hAnsiTheme="minorHAnsi"/>
          <w:bCs/>
          <w:szCs w:val="24"/>
          <w:lang w:val="en-GB"/>
        </w:rPr>
        <w:t xml:space="preserve"> </w:t>
      </w:r>
      <w:r w:rsidR="00603888">
        <w:rPr>
          <w:rFonts w:asciiTheme="minorHAnsi" w:hAnsiTheme="minorHAnsi"/>
          <w:bCs/>
          <w:szCs w:val="24"/>
          <w:lang w:val="en-GB"/>
        </w:rPr>
        <w:t>10</w:t>
      </w:r>
      <w:r w:rsidR="00603888">
        <w:rPr>
          <w:rFonts w:asciiTheme="minorHAnsi" w:hAnsiTheme="minorHAnsi"/>
          <w:bCs/>
          <w:szCs w:val="24"/>
          <w:vertAlign w:val="superscript"/>
          <w:lang w:val="en-GB"/>
        </w:rPr>
        <w:t>-4</w:t>
      </w:r>
      <w:r w:rsidR="00603888">
        <w:rPr>
          <w:rFonts w:asciiTheme="minorHAnsi" w:hAnsiTheme="minorHAnsi"/>
          <w:bCs/>
          <w:szCs w:val="24"/>
          <w:lang w:val="en-GB"/>
        </w:rPr>
        <w:t xml:space="preserve"> was appropriate for inclusion in the blinatumomab restriction. The PBAC also </w:t>
      </w:r>
      <w:r w:rsidR="00164089">
        <w:rPr>
          <w:rFonts w:asciiTheme="minorHAnsi" w:hAnsiTheme="minorHAnsi"/>
          <w:bCs/>
          <w:szCs w:val="24"/>
          <w:lang w:val="en-GB"/>
        </w:rPr>
        <w:t>considered</w:t>
      </w:r>
      <w:r w:rsidR="00603888">
        <w:rPr>
          <w:rFonts w:asciiTheme="minorHAnsi" w:hAnsiTheme="minorHAnsi"/>
          <w:bCs/>
          <w:szCs w:val="24"/>
          <w:lang w:val="en-GB"/>
        </w:rPr>
        <w:t xml:space="preserve"> that, as testing technology improves over time, the level of residual disease detected would decrease which may further lessen the applicability of the study data. Thus</w:t>
      </w:r>
      <w:r w:rsidR="007020E9">
        <w:rPr>
          <w:rFonts w:asciiTheme="minorHAnsi" w:hAnsiTheme="minorHAnsi"/>
          <w:bCs/>
          <w:szCs w:val="24"/>
          <w:lang w:val="en-GB"/>
        </w:rPr>
        <w:t>,</w:t>
      </w:r>
      <w:r w:rsidR="00603888">
        <w:rPr>
          <w:rFonts w:asciiTheme="minorHAnsi" w:hAnsiTheme="minorHAnsi"/>
          <w:bCs/>
          <w:szCs w:val="24"/>
          <w:lang w:val="en-GB"/>
        </w:rPr>
        <w:t xml:space="preserve"> the PBAC considered that the level of MRD should be explicitly stated in the PBS restriction. </w:t>
      </w:r>
    </w:p>
    <w:p w:rsidR="00AD1F55" w:rsidRDefault="000D07E9" w:rsidP="008A05F5">
      <w:pPr>
        <w:widowControl/>
        <w:numPr>
          <w:ilvl w:val="1"/>
          <w:numId w:val="2"/>
        </w:numPr>
        <w:spacing w:after="120"/>
        <w:rPr>
          <w:rFonts w:asciiTheme="minorHAnsi" w:hAnsiTheme="minorHAnsi"/>
          <w:bCs/>
          <w:szCs w:val="24"/>
          <w:lang w:val="en-GB"/>
        </w:rPr>
      </w:pPr>
      <w:r w:rsidRPr="005C5E82">
        <w:rPr>
          <w:rFonts w:asciiTheme="minorHAnsi" w:hAnsiTheme="minorHAnsi"/>
          <w:bCs/>
          <w:szCs w:val="24"/>
          <w:lang w:val="en-GB"/>
        </w:rPr>
        <w:t xml:space="preserve">The PBAC noted that the requested restriction recommended that </w:t>
      </w:r>
      <w:r w:rsidRPr="008A05F5">
        <w:rPr>
          <w:rFonts w:asciiTheme="minorHAnsi" w:hAnsiTheme="minorHAnsi"/>
          <w:bCs/>
          <w:szCs w:val="24"/>
          <w:lang w:val="en-GB"/>
        </w:rPr>
        <w:t>MRD should be measured using the most stringent measure available. However, there may be differences in sensitivity and analytic variability depending on the test methodology (</w:t>
      </w:r>
      <w:r w:rsidR="00F74C09" w:rsidRPr="008A05F5">
        <w:rPr>
          <w:rFonts w:asciiTheme="minorHAnsi" w:hAnsiTheme="minorHAnsi"/>
          <w:bCs/>
          <w:szCs w:val="24"/>
          <w:lang w:val="en-GB"/>
        </w:rPr>
        <w:t xml:space="preserve">with </w:t>
      </w:r>
      <w:r w:rsidRPr="008A05F5">
        <w:rPr>
          <w:rFonts w:asciiTheme="minorHAnsi" w:hAnsiTheme="minorHAnsi"/>
          <w:bCs/>
          <w:szCs w:val="24"/>
          <w:lang w:val="en-GB"/>
        </w:rPr>
        <w:t>PCR or flow cytometry</w:t>
      </w:r>
      <w:r w:rsidR="00F74C09" w:rsidRPr="008A05F5">
        <w:rPr>
          <w:rFonts w:asciiTheme="minorHAnsi" w:hAnsiTheme="minorHAnsi"/>
          <w:bCs/>
          <w:szCs w:val="24"/>
          <w:lang w:val="en-GB"/>
        </w:rPr>
        <w:t xml:space="preserve"> being the most commonly used methods in current Australian practice</w:t>
      </w:r>
      <w:r w:rsidRPr="008A05F5">
        <w:rPr>
          <w:rFonts w:asciiTheme="minorHAnsi" w:hAnsiTheme="minorHAnsi"/>
          <w:bCs/>
          <w:szCs w:val="24"/>
          <w:lang w:val="en-GB"/>
        </w:rPr>
        <w:t xml:space="preserve">) which may impact the </w:t>
      </w:r>
      <w:r w:rsidRPr="005C5E82">
        <w:rPr>
          <w:rFonts w:asciiTheme="minorHAnsi" w:hAnsiTheme="minorHAnsi"/>
          <w:bCs/>
          <w:szCs w:val="24"/>
          <w:lang w:val="en-GB"/>
        </w:rPr>
        <w:t>level of residual disease</w:t>
      </w:r>
      <w:r w:rsidR="00164089">
        <w:rPr>
          <w:rFonts w:asciiTheme="minorHAnsi" w:hAnsiTheme="minorHAnsi"/>
          <w:bCs/>
          <w:szCs w:val="24"/>
          <w:lang w:val="en-GB"/>
        </w:rPr>
        <w:t xml:space="preserve"> detected</w:t>
      </w:r>
      <w:r w:rsidRPr="005C5E82">
        <w:rPr>
          <w:rFonts w:asciiTheme="minorHAnsi" w:hAnsiTheme="minorHAnsi"/>
          <w:bCs/>
          <w:szCs w:val="24"/>
          <w:lang w:val="en-GB"/>
        </w:rPr>
        <w:t>. Thus, the PBAC considered that the methodology should also be explicitly stated in the PBS restriction.</w:t>
      </w:r>
    </w:p>
    <w:p w:rsidR="00367B4B" w:rsidRPr="00367B4B" w:rsidRDefault="00BF7EDE" w:rsidP="005C5E82">
      <w:pPr>
        <w:widowControl/>
        <w:numPr>
          <w:ilvl w:val="1"/>
          <w:numId w:val="2"/>
        </w:numPr>
        <w:spacing w:after="120"/>
        <w:rPr>
          <w:rFonts w:asciiTheme="minorHAnsi" w:hAnsiTheme="minorHAnsi"/>
          <w:bCs/>
          <w:szCs w:val="24"/>
          <w:lang w:val="en-GB"/>
        </w:rPr>
      </w:pPr>
      <w:r w:rsidRPr="00723F01">
        <w:rPr>
          <w:rFonts w:cs="Calibri"/>
          <w:snapToGrid/>
          <w:szCs w:val="24"/>
          <w:lang w:val="en-US" w:eastAsia="en-AU"/>
        </w:rPr>
        <w:t xml:space="preserve">The </w:t>
      </w:r>
      <w:r>
        <w:rPr>
          <w:rFonts w:cs="Calibri"/>
          <w:snapToGrid/>
          <w:szCs w:val="24"/>
          <w:lang w:val="en-US" w:eastAsia="en-AU"/>
        </w:rPr>
        <w:t xml:space="preserve">PBAC </w:t>
      </w:r>
      <w:r w:rsidRPr="00723F01">
        <w:rPr>
          <w:rFonts w:cs="Calibri"/>
          <w:snapToGrid/>
          <w:szCs w:val="24"/>
          <w:lang w:val="en-US" w:eastAsia="en-AU"/>
        </w:rPr>
        <w:t xml:space="preserve">considered that </w:t>
      </w:r>
      <w:r w:rsidRPr="00E92067">
        <w:rPr>
          <w:rFonts w:cs="Calibri"/>
          <w:snapToGrid/>
          <w:szCs w:val="24"/>
          <w:lang w:val="en-US" w:eastAsia="en-AU"/>
        </w:rPr>
        <w:t>standard of care</w:t>
      </w:r>
      <w:r w:rsidRPr="00723F01">
        <w:rPr>
          <w:rFonts w:cs="Calibri"/>
          <w:snapToGrid/>
          <w:szCs w:val="24"/>
          <w:lang w:val="en-US" w:eastAsia="en-AU"/>
        </w:rPr>
        <w:t xml:space="preserve"> chemotherapy, as nominated by the submission, was the appropriate comparato</w:t>
      </w:r>
      <w:r w:rsidR="002A60A9">
        <w:rPr>
          <w:rFonts w:cs="Calibri"/>
          <w:snapToGrid/>
          <w:szCs w:val="24"/>
          <w:lang w:val="en-US" w:eastAsia="en-AU"/>
        </w:rPr>
        <w:t>r</w:t>
      </w:r>
      <w:r>
        <w:rPr>
          <w:rFonts w:asciiTheme="minorHAnsi" w:hAnsiTheme="minorHAnsi"/>
          <w:bCs/>
          <w:szCs w:val="24"/>
          <w:lang w:val="en-GB"/>
        </w:rPr>
        <w:t>.</w:t>
      </w:r>
    </w:p>
    <w:p w:rsidR="00884B5B" w:rsidRPr="004D0E65" w:rsidRDefault="00B32DB4" w:rsidP="00896E5C">
      <w:pPr>
        <w:widowControl/>
        <w:numPr>
          <w:ilvl w:val="1"/>
          <w:numId w:val="2"/>
        </w:numPr>
        <w:spacing w:after="120"/>
        <w:rPr>
          <w:rFonts w:asciiTheme="minorHAnsi" w:hAnsiTheme="minorHAnsi"/>
          <w:bCs/>
          <w:szCs w:val="24"/>
          <w:lang w:val="en-GB"/>
        </w:rPr>
      </w:pPr>
      <w:r>
        <w:rPr>
          <w:rFonts w:asciiTheme="minorHAnsi" w:hAnsiTheme="minorHAnsi"/>
          <w:bCs/>
          <w:szCs w:val="24"/>
          <w:lang w:val="en-GB"/>
        </w:rPr>
        <w:t xml:space="preserve">The PBAC noted </w:t>
      </w:r>
      <w:r w:rsidRPr="004D0E65">
        <w:rPr>
          <w:rFonts w:asciiTheme="minorHAnsi" w:hAnsiTheme="minorHAnsi"/>
          <w:bCs/>
          <w:szCs w:val="24"/>
          <w:lang w:val="en-GB"/>
        </w:rPr>
        <w:t xml:space="preserve">the advice given at the sponsor hearing that </w:t>
      </w:r>
      <w:r>
        <w:rPr>
          <w:rFonts w:asciiTheme="minorHAnsi" w:hAnsiTheme="minorHAnsi"/>
          <w:bCs/>
          <w:szCs w:val="24"/>
          <w:lang w:val="en-GB"/>
        </w:rPr>
        <w:t xml:space="preserve">there are ongoing </w:t>
      </w:r>
      <w:r w:rsidRPr="004D0E65">
        <w:rPr>
          <w:rFonts w:asciiTheme="minorHAnsi" w:hAnsiTheme="minorHAnsi"/>
          <w:bCs/>
          <w:szCs w:val="24"/>
          <w:lang w:val="en-GB"/>
        </w:rPr>
        <w:t>randomised controlled trials</w:t>
      </w:r>
      <w:r>
        <w:rPr>
          <w:rFonts w:asciiTheme="minorHAnsi" w:hAnsiTheme="minorHAnsi"/>
          <w:bCs/>
          <w:szCs w:val="24"/>
          <w:lang w:val="en-GB"/>
        </w:rPr>
        <w:t xml:space="preserve"> (RCT) of blinatumomab in this patient population, and</w:t>
      </w:r>
      <w:r w:rsidRPr="00B32DB4">
        <w:rPr>
          <w:rFonts w:asciiTheme="minorHAnsi" w:hAnsiTheme="minorHAnsi"/>
          <w:bCs/>
          <w:szCs w:val="24"/>
          <w:lang w:val="en-US"/>
        </w:rPr>
        <w:t xml:space="preserve"> </w:t>
      </w:r>
      <w:r>
        <w:rPr>
          <w:rFonts w:asciiTheme="minorHAnsi" w:hAnsiTheme="minorHAnsi"/>
          <w:bCs/>
          <w:szCs w:val="24"/>
          <w:lang w:val="en-US"/>
        </w:rPr>
        <w:t xml:space="preserve">considered that it would be useful </w:t>
      </w:r>
      <w:r w:rsidRPr="0016456A">
        <w:rPr>
          <w:rFonts w:asciiTheme="minorHAnsi" w:hAnsiTheme="minorHAnsi"/>
          <w:bCs/>
          <w:szCs w:val="24"/>
          <w:lang w:val="en-US"/>
        </w:rPr>
        <w:t xml:space="preserve">to know when </w:t>
      </w:r>
      <w:r w:rsidR="002A60A9">
        <w:rPr>
          <w:rFonts w:asciiTheme="minorHAnsi" w:hAnsiTheme="minorHAnsi"/>
          <w:bCs/>
          <w:szCs w:val="24"/>
          <w:lang w:val="en-US"/>
        </w:rPr>
        <w:t xml:space="preserve">RCT </w:t>
      </w:r>
      <w:r>
        <w:rPr>
          <w:rFonts w:asciiTheme="minorHAnsi" w:hAnsiTheme="minorHAnsi"/>
          <w:bCs/>
          <w:szCs w:val="24"/>
          <w:lang w:val="en-US"/>
        </w:rPr>
        <w:t>data are expected to be available</w:t>
      </w:r>
      <w:r>
        <w:rPr>
          <w:rFonts w:asciiTheme="minorHAnsi" w:hAnsiTheme="minorHAnsi"/>
          <w:bCs/>
          <w:szCs w:val="24"/>
          <w:lang w:val="en-GB"/>
        </w:rPr>
        <w:t xml:space="preserve">. </w:t>
      </w:r>
      <w:r>
        <w:rPr>
          <w:rFonts w:asciiTheme="minorHAnsi" w:hAnsiTheme="minorHAnsi"/>
          <w:bCs/>
          <w:szCs w:val="24"/>
          <w:lang w:val="en-US"/>
        </w:rPr>
        <w:t>The PBAC acknowledged the limitations of conducting an RCT in this patient population (e.g. the difficulty in accruing patients), but</w:t>
      </w:r>
      <w:r>
        <w:rPr>
          <w:rFonts w:asciiTheme="minorHAnsi" w:hAnsiTheme="minorHAnsi"/>
          <w:bCs/>
          <w:szCs w:val="24"/>
          <w:lang w:val="en-GB"/>
        </w:rPr>
        <w:t xml:space="preserve"> considered that </w:t>
      </w:r>
      <w:r w:rsidR="006B5E66">
        <w:rPr>
          <w:rFonts w:asciiTheme="minorHAnsi" w:hAnsiTheme="minorHAnsi"/>
          <w:bCs/>
          <w:szCs w:val="24"/>
          <w:lang w:val="en-GB"/>
        </w:rPr>
        <w:t>RCT</w:t>
      </w:r>
      <w:r>
        <w:rPr>
          <w:rFonts w:asciiTheme="minorHAnsi" w:hAnsiTheme="minorHAnsi"/>
          <w:bCs/>
          <w:szCs w:val="24"/>
          <w:lang w:val="en-GB"/>
        </w:rPr>
        <w:t xml:space="preserve"> data would be</w:t>
      </w:r>
      <w:r w:rsidR="00F00B32">
        <w:rPr>
          <w:rFonts w:asciiTheme="minorHAnsi" w:hAnsiTheme="minorHAnsi"/>
          <w:bCs/>
          <w:szCs w:val="24"/>
          <w:lang w:val="en-GB"/>
        </w:rPr>
        <w:t xml:space="preserve"> particularly </w:t>
      </w:r>
      <w:r>
        <w:rPr>
          <w:rFonts w:asciiTheme="minorHAnsi" w:hAnsiTheme="minorHAnsi"/>
          <w:bCs/>
          <w:szCs w:val="24"/>
          <w:lang w:val="en-GB"/>
        </w:rPr>
        <w:t>useful in this case</w:t>
      </w:r>
      <w:r w:rsidR="00C80EB8">
        <w:rPr>
          <w:rFonts w:asciiTheme="minorHAnsi" w:hAnsiTheme="minorHAnsi"/>
          <w:bCs/>
          <w:szCs w:val="24"/>
          <w:lang w:val="en-GB"/>
        </w:rPr>
        <w:t>,</w:t>
      </w:r>
      <w:r>
        <w:rPr>
          <w:rFonts w:asciiTheme="minorHAnsi" w:hAnsiTheme="minorHAnsi"/>
          <w:bCs/>
          <w:szCs w:val="24"/>
          <w:lang w:val="en-GB"/>
        </w:rPr>
        <w:t xml:space="preserve"> given the</w:t>
      </w:r>
      <w:r w:rsidR="00BC75D6">
        <w:rPr>
          <w:rFonts w:asciiTheme="minorHAnsi" w:hAnsiTheme="minorHAnsi"/>
          <w:bCs/>
          <w:szCs w:val="24"/>
          <w:lang w:val="en-US"/>
        </w:rPr>
        <w:t xml:space="preserve"> difficult</w:t>
      </w:r>
      <w:r w:rsidR="006B5E66">
        <w:rPr>
          <w:rFonts w:asciiTheme="minorHAnsi" w:hAnsiTheme="minorHAnsi"/>
          <w:bCs/>
          <w:szCs w:val="24"/>
          <w:lang w:val="en-US"/>
        </w:rPr>
        <w:t>y</w:t>
      </w:r>
      <w:r w:rsidR="00BC75D6" w:rsidRPr="0060523C">
        <w:rPr>
          <w:rFonts w:asciiTheme="minorHAnsi" w:hAnsiTheme="minorHAnsi"/>
          <w:bCs/>
          <w:szCs w:val="24"/>
          <w:lang w:val="en-GB"/>
        </w:rPr>
        <w:t xml:space="preserve"> estimating the incremental benefit </w:t>
      </w:r>
      <w:r>
        <w:rPr>
          <w:rFonts w:asciiTheme="minorHAnsi" w:hAnsiTheme="minorHAnsi"/>
          <w:bCs/>
          <w:szCs w:val="24"/>
          <w:lang w:val="en-US"/>
        </w:rPr>
        <w:t>due to</w:t>
      </w:r>
      <w:r w:rsidR="00896E5C">
        <w:rPr>
          <w:rFonts w:asciiTheme="minorHAnsi" w:hAnsiTheme="minorHAnsi"/>
          <w:bCs/>
          <w:szCs w:val="24"/>
          <w:lang w:val="en-US"/>
        </w:rPr>
        <w:t xml:space="preserve"> the </w:t>
      </w:r>
      <w:r w:rsidR="00F00B32">
        <w:rPr>
          <w:rFonts w:asciiTheme="minorHAnsi" w:hAnsiTheme="minorHAnsi"/>
          <w:bCs/>
          <w:szCs w:val="24"/>
          <w:lang w:val="en-US"/>
        </w:rPr>
        <w:t xml:space="preserve">significant </w:t>
      </w:r>
      <w:r w:rsidR="00896E5C">
        <w:rPr>
          <w:rFonts w:asciiTheme="minorHAnsi" w:hAnsiTheme="minorHAnsi"/>
          <w:bCs/>
          <w:szCs w:val="24"/>
          <w:lang w:val="en-US"/>
        </w:rPr>
        <w:t>limitations of the indirect comparison that had been submitted.</w:t>
      </w:r>
      <w:r w:rsidR="0096282F">
        <w:rPr>
          <w:rFonts w:asciiTheme="minorHAnsi" w:hAnsiTheme="minorHAnsi"/>
          <w:bCs/>
          <w:szCs w:val="24"/>
          <w:lang w:val="en-US"/>
        </w:rPr>
        <w:t xml:space="preserve"> </w:t>
      </w:r>
    </w:p>
    <w:p w:rsidR="00A47ABB" w:rsidRDefault="00A47ABB" w:rsidP="00A47ABB">
      <w:pPr>
        <w:widowControl/>
        <w:numPr>
          <w:ilvl w:val="1"/>
          <w:numId w:val="2"/>
        </w:numPr>
        <w:spacing w:after="120"/>
        <w:rPr>
          <w:rFonts w:asciiTheme="minorHAnsi" w:hAnsiTheme="minorHAnsi"/>
          <w:bCs/>
          <w:szCs w:val="24"/>
        </w:rPr>
      </w:pPr>
      <w:r w:rsidRPr="00A47ABB">
        <w:rPr>
          <w:rFonts w:asciiTheme="minorHAnsi" w:hAnsiTheme="minorHAnsi"/>
          <w:bCs/>
          <w:szCs w:val="24"/>
        </w:rPr>
        <w:t>The PBAC noted that the comparative effectiveness was based on a propensity score indirect analysis comparing blinatumomab (based on the BLAST study) with standard of care chemotherapy (based on Study 20120148, a historical control). The PBAC noted and agreed with the key issues raised by the commentary and the ESC about the reliability of the indirect comparison</w:t>
      </w:r>
      <w:r w:rsidR="002922ED">
        <w:rPr>
          <w:rFonts w:asciiTheme="minorHAnsi" w:hAnsiTheme="minorHAnsi"/>
          <w:bCs/>
          <w:szCs w:val="24"/>
        </w:rPr>
        <w:t>, notably</w:t>
      </w:r>
      <w:r w:rsidRPr="00A47ABB">
        <w:rPr>
          <w:rFonts w:asciiTheme="minorHAnsi" w:hAnsiTheme="minorHAnsi"/>
          <w:bCs/>
          <w:szCs w:val="24"/>
        </w:rPr>
        <w:t xml:space="preserve">: </w:t>
      </w:r>
    </w:p>
    <w:p w:rsidR="00A47ABB" w:rsidRPr="00A47ABB" w:rsidRDefault="00A47ABB" w:rsidP="002922ED">
      <w:pPr>
        <w:pStyle w:val="ListParagraph"/>
        <w:numPr>
          <w:ilvl w:val="0"/>
          <w:numId w:val="30"/>
        </w:numPr>
        <w:ind w:left="1135" w:hanging="284"/>
        <w:contextualSpacing/>
        <w:rPr>
          <w:rFonts w:asciiTheme="minorHAnsi" w:hAnsiTheme="minorHAnsi"/>
          <w:bCs/>
          <w:szCs w:val="24"/>
          <w:lang w:val="en-US"/>
        </w:rPr>
      </w:pPr>
      <w:r w:rsidRPr="00A47ABB">
        <w:rPr>
          <w:rFonts w:asciiTheme="minorHAnsi" w:hAnsiTheme="minorHAnsi"/>
          <w:bCs/>
          <w:szCs w:val="24"/>
          <w:lang w:val="en-US"/>
        </w:rPr>
        <w:t>the lack of applicability of the standard of care chemotherapy arm to Australian clinical practice</w:t>
      </w:r>
      <w:r w:rsidR="002A60A9">
        <w:rPr>
          <w:rFonts w:asciiTheme="minorHAnsi" w:hAnsiTheme="minorHAnsi"/>
          <w:bCs/>
          <w:szCs w:val="24"/>
          <w:lang w:val="en-US"/>
        </w:rPr>
        <w:t xml:space="preserve">. In particular, the PBAC noted that </w:t>
      </w:r>
      <w:r w:rsidR="002A60A9" w:rsidRPr="002A60A9">
        <w:rPr>
          <w:rFonts w:asciiTheme="minorHAnsi" w:hAnsiTheme="minorHAnsi"/>
          <w:bCs/>
          <w:szCs w:val="24"/>
          <w:lang w:val="en-US"/>
        </w:rPr>
        <w:t>the majority of patients</w:t>
      </w:r>
      <w:r w:rsidR="002922ED">
        <w:rPr>
          <w:rFonts w:asciiTheme="minorHAnsi" w:hAnsiTheme="minorHAnsi"/>
          <w:bCs/>
          <w:szCs w:val="24"/>
          <w:lang w:val="en-US"/>
        </w:rPr>
        <w:t xml:space="preserve"> in the</w:t>
      </w:r>
      <w:r w:rsidR="002A60A9" w:rsidRPr="002A60A9">
        <w:rPr>
          <w:rFonts w:asciiTheme="minorHAnsi" w:hAnsiTheme="minorHAnsi"/>
          <w:bCs/>
          <w:szCs w:val="24"/>
          <w:lang w:val="en-US"/>
        </w:rPr>
        <w:t xml:space="preserve"> </w:t>
      </w:r>
      <w:r w:rsidR="002922ED" w:rsidRPr="00A47ABB">
        <w:rPr>
          <w:rFonts w:asciiTheme="minorHAnsi" w:hAnsiTheme="minorHAnsi"/>
          <w:bCs/>
          <w:szCs w:val="24"/>
        </w:rPr>
        <w:t>historical control</w:t>
      </w:r>
      <w:r w:rsidR="002922ED">
        <w:rPr>
          <w:rFonts w:asciiTheme="minorHAnsi" w:hAnsiTheme="minorHAnsi"/>
          <w:bCs/>
          <w:szCs w:val="24"/>
        </w:rPr>
        <w:t xml:space="preserve"> study</w:t>
      </w:r>
      <w:r w:rsidR="002922ED" w:rsidRPr="002A60A9">
        <w:rPr>
          <w:rFonts w:asciiTheme="minorHAnsi" w:hAnsiTheme="minorHAnsi"/>
          <w:bCs/>
          <w:szCs w:val="24"/>
          <w:lang w:val="en-US"/>
        </w:rPr>
        <w:t xml:space="preserve"> </w:t>
      </w:r>
      <w:r w:rsidR="002A60A9" w:rsidRPr="002A60A9">
        <w:rPr>
          <w:rFonts w:asciiTheme="minorHAnsi" w:hAnsiTheme="minorHAnsi"/>
          <w:bCs/>
          <w:szCs w:val="24"/>
          <w:lang w:val="en-US"/>
        </w:rPr>
        <w:t>were treated more than a decade ago</w:t>
      </w:r>
      <w:r w:rsidR="002922ED">
        <w:rPr>
          <w:rFonts w:asciiTheme="minorHAnsi" w:hAnsiTheme="minorHAnsi"/>
          <w:bCs/>
          <w:szCs w:val="24"/>
          <w:lang w:val="en-US"/>
        </w:rPr>
        <w:t>,</w:t>
      </w:r>
      <w:r w:rsidR="002A60A9" w:rsidRPr="002A60A9">
        <w:rPr>
          <w:rFonts w:asciiTheme="minorHAnsi" w:hAnsiTheme="minorHAnsi"/>
          <w:bCs/>
          <w:szCs w:val="24"/>
          <w:lang w:val="en-US"/>
        </w:rPr>
        <w:t xml:space="preserve"> limited details were provided about the treatments administered</w:t>
      </w:r>
      <w:r w:rsidR="006C3006">
        <w:rPr>
          <w:rFonts w:asciiTheme="minorHAnsi" w:hAnsiTheme="minorHAnsi"/>
          <w:bCs/>
          <w:szCs w:val="24"/>
          <w:lang w:val="en-US"/>
        </w:rPr>
        <w:t>,</w:t>
      </w:r>
      <w:r w:rsidR="002A60A9" w:rsidRPr="002A60A9">
        <w:rPr>
          <w:rFonts w:asciiTheme="minorHAnsi" w:hAnsiTheme="minorHAnsi"/>
          <w:bCs/>
          <w:szCs w:val="24"/>
          <w:lang w:val="en-US"/>
        </w:rPr>
        <w:t xml:space="preserve"> and</w:t>
      </w:r>
      <w:r w:rsidR="002922ED">
        <w:rPr>
          <w:rFonts w:asciiTheme="minorHAnsi" w:hAnsiTheme="minorHAnsi"/>
          <w:bCs/>
          <w:szCs w:val="24"/>
          <w:lang w:val="en-US"/>
        </w:rPr>
        <w:t xml:space="preserve"> the study was </w:t>
      </w:r>
      <w:r w:rsidR="002922ED">
        <w:rPr>
          <w:szCs w:val="20"/>
        </w:rPr>
        <w:t>conducted in</w:t>
      </w:r>
      <w:r w:rsidR="002922ED" w:rsidRPr="00E87EB4">
        <w:t xml:space="preserve"> </w:t>
      </w:r>
      <w:r w:rsidR="00297FC3">
        <w:t xml:space="preserve">the </w:t>
      </w:r>
      <w:r w:rsidR="002922ED" w:rsidRPr="00E87EB4">
        <w:rPr>
          <w:szCs w:val="20"/>
        </w:rPr>
        <w:t>UK, Europe and Russia</w:t>
      </w:r>
      <w:r w:rsidRPr="00A47ABB">
        <w:rPr>
          <w:rFonts w:asciiTheme="minorHAnsi" w:hAnsiTheme="minorHAnsi"/>
          <w:bCs/>
          <w:szCs w:val="24"/>
          <w:lang w:val="en-US"/>
        </w:rPr>
        <w:t xml:space="preserve">; </w:t>
      </w:r>
    </w:p>
    <w:p w:rsidR="00A47ABB" w:rsidRPr="00A47ABB" w:rsidRDefault="00A47ABB" w:rsidP="00A47ABB">
      <w:pPr>
        <w:pStyle w:val="ListParagraph"/>
        <w:numPr>
          <w:ilvl w:val="0"/>
          <w:numId w:val="30"/>
        </w:numPr>
        <w:ind w:left="1135" w:hanging="284"/>
        <w:contextualSpacing/>
        <w:rPr>
          <w:rFonts w:asciiTheme="minorHAnsi" w:hAnsiTheme="minorHAnsi"/>
          <w:bCs/>
          <w:szCs w:val="24"/>
          <w:lang w:val="en-US"/>
        </w:rPr>
      </w:pPr>
      <w:r w:rsidRPr="00A47ABB">
        <w:rPr>
          <w:rFonts w:asciiTheme="minorHAnsi" w:hAnsiTheme="minorHAnsi"/>
          <w:bCs/>
          <w:szCs w:val="24"/>
          <w:lang w:val="en-US"/>
        </w:rPr>
        <w:t xml:space="preserve">the high risk of bias of the propensity score analysis; </w:t>
      </w:r>
    </w:p>
    <w:p w:rsidR="00A47ABB" w:rsidRDefault="00A47ABB" w:rsidP="00A47ABB">
      <w:pPr>
        <w:pStyle w:val="ListParagraph"/>
        <w:numPr>
          <w:ilvl w:val="0"/>
          <w:numId w:val="30"/>
        </w:numPr>
        <w:ind w:left="1135" w:hanging="284"/>
        <w:contextualSpacing/>
        <w:rPr>
          <w:rFonts w:asciiTheme="minorHAnsi" w:hAnsiTheme="minorHAnsi"/>
          <w:bCs/>
          <w:szCs w:val="24"/>
        </w:rPr>
      </w:pPr>
      <w:r w:rsidRPr="00A47ABB">
        <w:rPr>
          <w:rFonts w:asciiTheme="minorHAnsi" w:hAnsiTheme="minorHAnsi"/>
          <w:bCs/>
          <w:szCs w:val="24"/>
          <w:lang w:val="en-US"/>
        </w:rPr>
        <w:t>the population included in the propensity score analysis was likely to be significantly different to the</w:t>
      </w:r>
      <w:r w:rsidRPr="00A47ABB">
        <w:rPr>
          <w:rFonts w:asciiTheme="minorHAnsi" w:hAnsiTheme="minorHAnsi"/>
          <w:bCs/>
          <w:szCs w:val="24"/>
        </w:rPr>
        <w:t xml:space="preserve"> PBS population; and </w:t>
      </w:r>
    </w:p>
    <w:p w:rsidR="00A47ABB" w:rsidRPr="002E46AF" w:rsidRDefault="00A47ABB" w:rsidP="002E46AF">
      <w:pPr>
        <w:pStyle w:val="ListParagraph"/>
        <w:numPr>
          <w:ilvl w:val="0"/>
          <w:numId w:val="30"/>
        </w:numPr>
        <w:ind w:left="1135" w:hanging="284"/>
        <w:contextualSpacing/>
        <w:rPr>
          <w:rFonts w:asciiTheme="minorHAnsi" w:hAnsiTheme="minorHAnsi"/>
          <w:bCs/>
          <w:szCs w:val="24"/>
        </w:rPr>
      </w:pPr>
      <w:r w:rsidRPr="002E46AF">
        <w:rPr>
          <w:rFonts w:asciiTheme="minorHAnsi" w:hAnsiTheme="minorHAnsi"/>
          <w:bCs/>
          <w:szCs w:val="24"/>
          <w:lang w:val="en-US"/>
        </w:rPr>
        <w:t>t</w:t>
      </w:r>
      <w:r w:rsidRPr="002E46AF">
        <w:rPr>
          <w:rFonts w:asciiTheme="minorHAnsi" w:hAnsiTheme="minorHAnsi"/>
          <w:bCs/>
          <w:szCs w:val="24"/>
        </w:rPr>
        <w:t xml:space="preserve">he results from the ATT method were used as the primary analysis in the submission </w:t>
      </w:r>
      <w:r w:rsidR="002A60A9" w:rsidRPr="002E46AF">
        <w:rPr>
          <w:rFonts w:asciiTheme="minorHAnsi" w:hAnsiTheme="minorHAnsi"/>
          <w:bCs/>
          <w:szCs w:val="24"/>
        </w:rPr>
        <w:t xml:space="preserve">(and economic model) </w:t>
      </w:r>
      <w:r w:rsidRPr="002E46AF">
        <w:rPr>
          <w:rFonts w:asciiTheme="minorHAnsi" w:hAnsiTheme="minorHAnsi"/>
          <w:bCs/>
          <w:szCs w:val="24"/>
        </w:rPr>
        <w:t>despite the alternative method, ATE, resulting in better-matched covariates and a small</w:t>
      </w:r>
      <w:r w:rsidR="002A60A9" w:rsidRPr="002E46AF">
        <w:rPr>
          <w:rFonts w:asciiTheme="minorHAnsi" w:hAnsiTheme="minorHAnsi"/>
          <w:bCs/>
          <w:szCs w:val="24"/>
        </w:rPr>
        <w:t>er</w:t>
      </w:r>
      <w:r w:rsidRPr="002E46AF">
        <w:rPr>
          <w:rFonts w:asciiTheme="minorHAnsi" w:hAnsiTheme="minorHAnsi"/>
          <w:bCs/>
          <w:szCs w:val="24"/>
        </w:rPr>
        <w:t xml:space="preserve"> extent of data loss. The PBAC noted that the rationale provided in the pre-PBAC response for using the ATT analyses was that it adjusts the control population so it looks similar to the treated population, which the pre-PBAC response stated was “more likely to reflect the treated population in the real-world setting”. However, the PBAC considered that this was not a reasonable premise for using the ATT analysis given that the proposed restriction is much broader than the patients selected for inclusion in the analysis.</w:t>
      </w:r>
      <w:r w:rsidR="00A04275" w:rsidRPr="002E46AF">
        <w:rPr>
          <w:rFonts w:asciiTheme="minorHAnsi" w:hAnsiTheme="minorHAnsi"/>
          <w:bCs/>
          <w:szCs w:val="24"/>
        </w:rPr>
        <w:t xml:space="preserve"> </w:t>
      </w:r>
      <w:r w:rsidR="00A04275">
        <w:t>The PBAC considered that</w:t>
      </w:r>
      <w:r w:rsidR="002E46AF">
        <w:t>, of the two methods presented, the ATE analysis would have been the more appropriate primary analysis, and to inform the economic model.</w:t>
      </w:r>
    </w:p>
    <w:p w:rsidR="00357688" w:rsidRPr="009937C3" w:rsidRDefault="008E4DE0" w:rsidP="00357688">
      <w:pPr>
        <w:widowControl/>
        <w:numPr>
          <w:ilvl w:val="1"/>
          <w:numId w:val="2"/>
        </w:numPr>
        <w:spacing w:after="120"/>
        <w:rPr>
          <w:rFonts w:asciiTheme="minorHAnsi" w:hAnsiTheme="minorHAnsi"/>
          <w:bCs/>
          <w:szCs w:val="24"/>
        </w:rPr>
      </w:pPr>
      <w:r>
        <w:rPr>
          <w:rFonts w:asciiTheme="minorHAnsi" w:hAnsiTheme="minorHAnsi"/>
          <w:bCs/>
          <w:szCs w:val="24"/>
        </w:rPr>
        <w:t>T</w:t>
      </w:r>
      <w:r w:rsidR="00357688" w:rsidRPr="009937C3">
        <w:rPr>
          <w:rFonts w:asciiTheme="minorHAnsi" w:hAnsiTheme="minorHAnsi"/>
          <w:bCs/>
          <w:szCs w:val="24"/>
        </w:rPr>
        <w:t>he PBAC considered that blinatumomab</w:t>
      </w:r>
      <w:r w:rsidR="00ED2855">
        <w:rPr>
          <w:rFonts w:asciiTheme="minorHAnsi" w:hAnsiTheme="minorHAnsi"/>
          <w:bCs/>
          <w:szCs w:val="24"/>
        </w:rPr>
        <w:t xml:space="preserve"> is effective </w:t>
      </w:r>
      <w:r w:rsidR="00357688" w:rsidRPr="009937C3">
        <w:rPr>
          <w:rFonts w:asciiTheme="minorHAnsi" w:hAnsiTheme="minorHAnsi"/>
          <w:bCs/>
          <w:szCs w:val="24"/>
        </w:rPr>
        <w:t>in eliminating MRD</w:t>
      </w:r>
      <w:r w:rsidR="0032157B">
        <w:rPr>
          <w:rFonts w:asciiTheme="minorHAnsi" w:hAnsiTheme="minorHAnsi"/>
          <w:bCs/>
          <w:szCs w:val="24"/>
        </w:rPr>
        <w:t xml:space="preserve"> and is associated with durable relapse-free survival</w:t>
      </w:r>
      <w:r w:rsidR="00357688" w:rsidRPr="009937C3">
        <w:rPr>
          <w:rFonts w:asciiTheme="minorHAnsi" w:hAnsiTheme="minorHAnsi"/>
          <w:bCs/>
          <w:szCs w:val="24"/>
        </w:rPr>
        <w:t>, especially in first</w:t>
      </w:r>
      <w:r>
        <w:rPr>
          <w:rFonts w:asciiTheme="minorHAnsi" w:hAnsiTheme="minorHAnsi"/>
          <w:bCs/>
          <w:szCs w:val="24"/>
        </w:rPr>
        <w:t>-l</w:t>
      </w:r>
      <w:r w:rsidR="00357688" w:rsidRPr="009937C3">
        <w:rPr>
          <w:rFonts w:asciiTheme="minorHAnsi" w:hAnsiTheme="minorHAnsi"/>
          <w:bCs/>
          <w:szCs w:val="24"/>
        </w:rPr>
        <w:t xml:space="preserve">ine therapy </w:t>
      </w:r>
      <w:r>
        <w:rPr>
          <w:rFonts w:asciiTheme="minorHAnsi" w:hAnsiTheme="minorHAnsi"/>
          <w:bCs/>
          <w:szCs w:val="24"/>
        </w:rPr>
        <w:t>(CR1),</w:t>
      </w:r>
      <w:r w:rsidR="007B1878">
        <w:rPr>
          <w:rFonts w:asciiTheme="minorHAnsi" w:hAnsiTheme="minorHAnsi"/>
          <w:bCs/>
          <w:szCs w:val="24"/>
          <w:lang w:val="en-US"/>
        </w:rPr>
        <w:t xml:space="preserve"> patients with an </w:t>
      </w:r>
      <w:r>
        <w:rPr>
          <w:rFonts w:asciiTheme="minorHAnsi" w:hAnsiTheme="minorHAnsi"/>
          <w:bCs/>
          <w:szCs w:val="24"/>
          <w:lang w:val="en-US"/>
        </w:rPr>
        <w:t>MRD response after Cycle</w:t>
      </w:r>
      <w:r>
        <w:rPr>
          <w:rFonts w:asciiTheme="minorHAnsi" w:hAnsiTheme="minorHAnsi"/>
          <w:bCs/>
          <w:szCs w:val="24"/>
        </w:rPr>
        <w:t xml:space="preserve"> 1 </w:t>
      </w:r>
      <w:r w:rsidR="00ED2855">
        <w:rPr>
          <w:rFonts w:asciiTheme="minorHAnsi" w:hAnsiTheme="minorHAnsi"/>
          <w:bCs/>
          <w:szCs w:val="24"/>
        </w:rPr>
        <w:t>and those who proceed to allo</w:t>
      </w:r>
      <w:r w:rsidR="008F2C7F">
        <w:rPr>
          <w:rFonts w:asciiTheme="minorHAnsi" w:hAnsiTheme="minorHAnsi"/>
          <w:bCs/>
          <w:szCs w:val="24"/>
        </w:rPr>
        <w:t>H</w:t>
      </w:r>
      <w:r w:rsidR="00ED2855">
        <w:rPr>
          <w:rFonts w:asciiTheme="minorHAnsi" w:hAnsiTheme="minorHAnsi"/>
          <w:bCs/>
          <w:szCs w:val="24"/>
        </w:rPr>
        <w:t>SCT</w:t>
      </w:r>
      <w:r w:rsidR="009937C3" w:rsidRPr="009937C3">
        <w:rPr>
          <w:rFonts w:asciiTheme="minorHAnsi" w:hAnsiTheme="minorHAnsi"/>
          <w:bCs/>
          <w:szCs w:val="24"/>
        </w:rPr>
        <w:t>. However</w:t>
      </w:r>
      <w:r>
        <w:rPr>
          <w:rFonts w:asciiTheme="minorHAnsi" w:hAnsiTheme="minorHAnsi"/>
          <w:bCs/>
          <w:szCs w:val="24"/>
        </w:rPr>
        <w:t>,</w:t>
      </w:r>
      <w:r w:rsidR="009937C3" w:rsidRPr="009937C3">
        <w:rPr>
          <w:rFonts w:asciiTheme="minorHAnsi" w:hAnsiTheme="minorHAnsi"/>
          <w:bCs/>
          <w:szCs w:val="24"/>
        </w:rPr>
        <w:t xml:space="preserve"> the PBAC considered that</w:t>
      </w:r>
      <w:r w:rsidR="00357688" w:rsidRPr="009937C3">
        <w:rPr>
          <w:rFonts w:asciiTheme="minorHAnsi" w:hAnsiTheme="minorHAnsi"/>
          <w:bCs/>
          <w:szCs w:val="24"/>
        </w:rPr>
        <w:t xml:space="preserve"> the magnitude of </w:t>
      </w:r>
      <w:r w:rsidR="002A60A9">
        <w:rPr>
          <w:rFonts w:asciiTheme="minorHAnsi" w:hAnsiTheme="minorHAnsi"/>
          <w:bCs/>
          <w:szCs w:val="24"/>
        </w:rPr>
        <w:t xml:space="preserve">any </w:t>
      </w:r>
      <w:r w:rsidR="00357688" w:rsidRPr="009937C3">
        <w:rPr>
          <w:rFonts w:asciiTheme="minorHAnsi" w:hAnsiTheme="minorHAnsi"/>
          <w:bCs/>
          <w:szCs w:val="24"/>
        </w:rPr>
        <w:t xml:space="preserve">improvement in </w:t>
      </w:r>
      <w:r w:rsidR="006B5E66">
        <w:rPr>
          <w:rFonts w:asciiTheme="minorHAnsi" w:hAnsiTheme="minorHAnsi"/>
          <w:bCs/>
          <w:szCs w:val="24"/>
        </w:rPr>
        <w:t xml:space="preserve">overall survival </w:t>
      </w:r>
      <w:r>
        <w:rPr>
          <w:rFonts w:asciiTheme="minorHAnsi" w:hAnsiTheme="minorHAnsi"/>
          <w:bCs/>
          <w:szCs w:val="24"/>
        </w:rPr>
        <w:t xml:space="preserve">could not </w:t>
      </w:r>
      <w:r w:rsidR="00357688" w:rsidRPr="009937C3">
        <w:rPr>
          <w:rFonts w:asciiTheme="minorHAnsi" w:hAnsiTheme="minorHAnsi"/>
          <w:bCs/>
          <w:szCs w:val="24"/>
        </w:rPr>
        <w:t>be determined from the data presented</w:t>
      </w:r>
      <w:r>
        <w:rPr>
          <w:rFonts w:asciiTheme="minorHAnsi" w:hAnsiTheme="minorHAnsi"/>
          <w:bCs/>
          <w:szCs w:val="24"/>
        </w:rPr>
        <w:t xml:space="preserve"> due to the immaturity of the </w:t>
      </w:r>
      <w:r w:rsidR="006B5E66">
        <w:rPr>
          <w:rFonts w:asciiTheme="minorHAnsi" w:hAnsiTheme="minorHAnsi"/>
          <w:bCs/>
          <w:szCs w:val="24"/>
        </w:rPr>
        <w:t>BLAST study data</w:t>
      </w:r>
      <w:r>
        <w:rPr>
          <w:rFonts w:asciiTheme="minorHAnsi" w:hAnsiTheme="minorHAnsi"/>
          <w:bCs/>
          <w:szCs w:val="24"/>
        </w:rPr>
        <w:t xml:space="preserve"> (</w:t>
      </w:r>
      <w:r w:rsidRPr="00F5216B">
        <w:rPr>
          <w:rFonts w:asciiTheme="minorHAnsi" w:hAnsiTheme="minorHAnsi"/>
          <w:bCs/>
          <w:szCs w:val="24"/>
          <w:lang w:val="en-GB"/>
        </w:rPr>
        <w:t>median follow-up of 18.3 months</w:t>
      </w:r>
      <w:r>
        <w:rPr>
          <w:rFonts w:asciiTheme="minorHAnsi" w:hAnsiTheme="minorHAnsi"/>
          <w:bCs/>
          <w:szCs w:val="24"/>
          <w:lang w:val="en-GB"/>
        </w:rPr>
        <w:t>)</w:t>
      </w:r>
      <w:r>
        <w:rPr>
          <w:rFonts w:asciiTheme="minorHAnsi" w:hAnsiTheme="minorHAnsi"/>
          <w:bCs/>
          <w:szCs w:val="24"/>
        </w:rPr>
        <w:t xml:space="preserve">, confounding </w:t>
      </w:r>
      <w:r w:rsidR="00357688" w:rsidRPr="009937C3">
        <w:rPr>
          <w:rFonts w:asciiTheme="minorHAnsi" w:hAnsiTheme="minorHAnsi"/>
          <w:bCs/>
          <w:szCs w:val="24"/>
        </w:rPr>
        <w:t>by allo</w:t>
      </w:r>
      <w:r w:rsidR="008F2C7F">
        <w:rPr>
          <w:rFonts w:asciiTheme="minorHAnsi" w:hAnsiTheme="minorHAnsi"/>
          <w:bCs/>
          <w:szCs w:val="24"/>
        </w:rPr>
        <w:t>H</w:t>
      </w:r>
      <w:r w:rsidR="00357688" w:rsidRPr="009937C3">
        <w:rPr>
          <w:rFonts w:asciiTheme="minorHAnsi" w:hAnsiTheme="minorHAnsi"/>
          <w:bCs/>
          <w:szCs w:val="24"/>
        </w:rPr>
        <w:t>SCT use</w:t>
      </w:r>
      <w:r w:rsidR="00ED2855">
        <w:rPr>
          <w:rFonts w:asciiTheme="minorHAnsi" w:hAnsiTheme="minorHAnsi"/>
          <w:bCs/>
          <w:szCs w:val="24"/>
        </w:rPr>
        <w:t xml:space="preserve">, </w:t>
      </w:r>
      <w:r>
        <w:rPr>
          <w:rFonts w:asciiTheme="minorHAnsi" w:hAnsiTheme="minorHAnsi"/>
          <w:bCs/>
          <w:szCs w:val="24"/>
        </w:rPr>
        <w:t xml:space="preserve">the limitations </w:t>
      </w:r>
      <w:r w:rsidR="007B1878">
        <w:rPr>
          <w:rFonts w:asciiTheme="minorHAnsi" w:hAnsiTheme="minorHAnsi"/>
          <w:bCs/>
          <w:szCs w:val="24"/>
        </w:rPr>
        <w:t xml:space="preserve">and lack of applicability </w:t>
      </w:r>
      <w:r>
        <w:rPr>
          <w:rFonts w:asciiTheme="minorHAnsi" w:hAnsiTheme="minorHAnsi"/>
          <w:bCs/>
          <w:szCs w:val="24"/>
        </w:rPr>
        <w:t>of the propensity score analysis</w:t>
      </w:r>
      <w:r w:rsidR="007B1878">
        <w:rPr>
          <w:rFonts w:asciiTheme="minorHAnsi" w:hAnsiTheme="minorHAnsi"/>
          <w:bCs/>
          <w:szCs w:val="24"/>
        </w:rPr>
        <w:t xml:space="preserve"> (outlined above)</w:t>
      </w:r>
      <w:r>
        <w:rPr>
          <w:rFonts w:asciiTheme="minorHAnsi" w:hAnsiTheme="minorHAnsi"/>
          <w:bCs/>
          <w:szCs w:val="24"/>
        </w:rPr>
        <w:t>, and the lack of statistically significant overall survival gain</w:t>
      </w:r>
      <w:r w:rsidR="007B1878">
        <w:rPr>
          <w:rFonts w:asciiTheme="minorHAnsi" w:hAnsiTheme="minorHAnsi"/>
          <w:bCs/>
          <w:szCs w:val="24"/>
        </w:rPr>
        <w:t xml:space="preserve"> reported</w:t>
      </w:r>
      <w:r>
        <w:rPr>
          <w:rFonts w:asciiTheme="minorHAnsi" w:hAnsiTheme="minorHAnsi"/>
          <w:bCs/>
          <w:szCs w:val="24"/>
        </w:rPr>
        <w:t xml:space="preserve"> in the ATE analysis</w:t>
      </w:r>
      <w:r w:rsidR="009937C3" w:rsidRPr="009937C3">
        <w:rPr>
          <w:rFonts w:asciiTheme="minorHAnsi" w:hAnsiTheme="minorHAnsi"/>
          <w:bCs/>
          <w:szCs w:val="24"/>
        </w:rPr>
        <w:t xml:space="preserve">. </w:t>
      </w:r>
    </w:p>
    <w:p w:rsidR="00DD196D" w:rsidRDefault="00DD196D" w:rsidP="00DD196D">
      <w:pPr>
        <w:widowControl/>
        <w:numPr>
          <w:ilvl w:val="1"/>
          <w:numId w:val="2"/>
        </w:numPr>
        <w:spacing w:after="120"/>
        <w:rPr>
          <w:rFonts w:asciiTheme="minorHAnsi" w:hAnsiTheme="minorHAnsi"/>
          <w:bCs/>
          <w:szCs w:val="24"/>
          <w:lang w:val="en-GB"/>
        </w:rPr>
      </w:pPr>
      <w:r>
        <w:t>Th</w:t>
      </w:r>
      <w:r>
        <w:rPr>
          <w:rFonts w:asciiTheme="minorHAnsi" w:hAnsiTheme="minorHAnsi"/>
          <w:bCs/>
          <w:szCs w:val="24"/>
          <w:lang w:val="en-GB"/>
        </w:rPr>
        <w:t>e PBAC noted that n</w:t>
      </w:r>
      <w:r>
        <w:t xml:space="preserve">o comparative adverse event data </w:t>
      </w:r>
      <w:r w:rsidR="00B60514">
        <w:t xml:space="preserve">were provided </w:t>
      </w:r>
      <w:r>
        <w:t xml:space="preserve">for the MRD population, </w:t>
      </w:r>
      <w:r w:rsidR="00456A65">
        <w:t>with th</w:t>
      </w:r>
      <w:r>
        <w:t xml:space="preserve">e submission </w:t>
      </w:r>
      <w:r w:rsidR="00456A65">
        <w:t>instead relying</w:t>
      </w:r>
      <w:r>
        <w:t xml:space="preserve"> on comparative safety outcomes </w:t>
      </w:r>
      <w:r w:rsidR="00456A65">
        <w:t>in</w:t>
      </w:r>
      <w:r>
        <w:t xml:space="preserve"> the relapsed/refractory setting. The PBAC considered these were unlikely to reflect </w:t>
      </w:r>
      <w:r w:rsidR="00B60514">
        <w:t xml:space="preserve">the </w:t>
      </w:r>
      <w:r>
        <w:t xml:space="preserve">circumstances of use in the MRD population (the relapsed/refractory setting includes longer blinatumomab treatment length, less fit patients, more aggressive chemotherapy regimens). The PBAC considered that </w:t>
      </w:r>
      <w:r w:rsidRPr="00154A65">
        <w:rPr>
          <w:rFonts w:asciiTheme="minorHAnsi" w:hAnsiTheme="minorHAnsi"/>
          <w:bCs/>
          <w:szCs w:val="24"/>
          <w:lang w:val="en-GB"/>
        </w:rPr>
        <w:t xml:space="preserve">more recent safety data for the intended population </w:t>
      </w:r>
      <w:r>
        <w:rPr>
          <w:rFonts w:asciiTheme="minorHAnsi" w:hAnsiTheme="minorHAnsi"/>
          <w:bCs/>
          <w:szCs w:val="24"/>
          <w:lang w:val="en-GB"/>
        </w:rPr>
        <w:t>would have been more informative.</w:t>
      </w:r>
    </w:p>
    <w:p w:rsidR="00456A65" w:rsidRDefault="00456A65" w:rsidP="00DD196D">
      <w:pPr>
        <w:widowControl/>
        <w:numPr>
          <w:ilvl w:val="1"/>
          <w:numId w:val="2"/>
        </w:numPr>
        <w:spacing w:after="120"/>
        <w:rPr>
          <w:rFonts w:asciiTheme="minorHAnsi" w:hAnsiTheme="minorHAnsi"/>
          <w:bCs/>
          <w:szCs w:val="24"/>
        </w:rPr>
      </w:pPr>
      <w:r>
        <w:rPr>
          <w:rFonts w:asciiTheme="minorHAnsi" w:hAnsiTheme="minorHAnsi"/>
          <w:bCs/>
          <w:szCs w:val="24"/>
        </w:rPr>
        <w:t>The PBAC considered that blinatumomab and standard of care chemotherapy have different safety profiles, with both therapies being associated with potentially life-threatening complications</w:t>
      </w:r>
      <w:r>
        <w:rPr>
          <w:rFonts w:asciiTheme="minorHAnsi" w:hAnsiTheme="minorHAnsi"/>
          <w:bCs/>
          <w:szCs w:val="24"/>
          <w:lang w:val="en-GB"/>
        </w:rPr>
        <w:t>.</w:t>
      </w:r>
    </w:p>
    <w:p w:rsidR="00B60514" w:rsidRPr="00723EAA" w:rsidRDefault="00913BF3" w:rsidP="00B60514">
      <w:pPr>
        <w:widowControl/>
        <w:numPr>
          <w:ilvl w:val="1"/>
          <w:numId w:val="2"/>
        </w:numPr>
        <w:spacing w:after="120"/>
        <w:rPr>
          <w:rFonts w:asciiTheme="minorHAnsi" w:hAnsiTheme="minorHAnsi"/>
          <w:bCs/>
          <w:szCs w:val="24"/>
          <w:lang w:val="en-GB"/>
        </w:rPr>
      </w:pPr>
      <w:r w:rsidRPr="00723EAA">
        <w:rPr>
          <w:rFonts w:asciiTheme="minorHAnsi" w:hAnsiTheme="minorHAnsi"/>
          <w:bCs/>
          <w:szCs w:val="24"/>
          <w:lang w:val="en-GB"/>
        </w:rPr>
        <w:t xml:space="preserve">The </w:t>
      </w:r>
      <w:r w:rsidR="00F5216B" w:rsidRPr="00723EAA">
        <w:rPr>
          <w:rFonts w:asciiTheme="minorHAnsi" w:hAnsiTheme="minorHAnsi"/>
          <w:bCs/>
          <w:szCs w:val="24"/>
          <w:lang w:val="en-GB"/>
        </w:rPr>
        <w:t xml:space="preserve">PBAC considered that the largest </w:t>
      </w:r>
      <w:r w:rsidR="00DD54E9" w:rsidRPr="00723EAA">
        <w:rPr>
          <w:rFonts w:asciiTheme="minorHAnsi" w:hAnsiTheme="minorHAnsi"/>
          <w:bCs/>
          <w:szCs w:val="24"/>
          <w:lang w:val="en-GB"/>
        </w:rPr>
        <w:t xml:space="preserve">source of </w:t>
      </w:r>
      <w:r w:rsidR="00F5216B" w:rsidRPr="00723EAA">
        <w:rPr>
          <w:rFonts w:asciiTheme="minorHAnsi" w:hAnsiTheme="minorHAnsi"/>
          <w:bCs/>
          <w:szCs w:val="24"/>
          <w:lang w:val="en-GB"/>
        </w:rPr>
        <w:t xml:space="preserve">uncertainty in economic model </w:t>
      </w:r>
      <w:r w:rsidR="0068213F" w:rsidRPr="00723EAA">
        <w:rPr>
          <w:rFonts w:asciiTheme="minorHAnsi" w:hAnsiTheme="minorHAnsi"/>
          <w:bCs/>
          <w:szCs w:val="24"/>
          <w:lang w:val="en-GB"/>
        </w:rPr>
        <w:t>w</w:t>
      </w:r>
      <w:r w:rsidR="00231FB0" w:rsidRPr="00723EAA">
        <w:rPr>
          <w:rFonts w:asciiTheme="minorHAnsi" w:hAnsiTheme="minorHAnsi"/>
          <w:bCs/>
          <w:szCs w:val="24"/>
          <w:lang w:val="en-GB"/>
        </w:rPr>
        <w:t>as</w:t>
      </w:r>
      <w:r w:rsidR="0068213F" w:rsidRPr="00723EAA">
        <w:rPr>
          <w:rFonts w:asciiTheme="minorHAnsi" w:hAnsiTheme="minorHAnsi"/>
          <w:bCs/>
          <w:szCs w:val="24"/>
          <w:lang w:val="en-GB"/>
        </w:rPr>
        <w:t xml:space="preserve"> the uncertainties </w:t>
      </w:r>
      <w:r w:rsidR="008B5C9D" w:rsidRPr="00723EAA">
        <w:rPr>
          <w:rFonts w:asciiTheme="minorHAnsi" w:hAnsiTheme="minorHAnsi"/>
          <w:bCs/>
          <w:szCs w:val="24"/>
          <w:lang w:val="en-GB"/>
        </w:rPr>
        <w:t>in the underpinning clinical data, noting that the</w:t>
      </w:r>
      <w:r w:rsidR="008B5C9D" w:rsidRPr="00723EAA">
        <w:rPr>
          <w:rFonts w:asciiTheme="minorHAnsi" w:hAnsiTheme="minorHAnsi"/>
          <w:bCs/>
          <w:szCs w:val="24"/>
        </w:rPr>
        <w:t xml:space="preserve"> m</w:t>
      </w:r>
      <w:r w:rsidR="00456A65" w:rsidRPr="00723EAA">
        <w:rPr>
          <w:rFonts w:asciiTheme="minorHAnsi" w:hAnsiTheme="minorHAnsi"/>
          <w:bCs/>
          <w:szCs w:val="24"/>
        </w:rPr>
        <w:t xml:space="preserve">odel </w:t>
      </w:r>
      <w:r w:rsidR="008B5C9D" w:rsidRPr="00723EAA">
        <w:rPr>
          <w:rFonts w:asciiTheme="minorHAnsi" w:hAnsiTheme="minorHAnsi"/>
          <w:bCs/>
          <w:szCs w:val="24"/>
        </w:rPr>
        <w:t>wa</w:t>
      </w:r>
      <w:r w:rsidR="00456A65" w:rsidRPr="00723EAA">
        <w:rPr>
          <w:rFonts w:asciiTheme="minorHAnsi" w:hAnsiTheme="minorHAnsi"/>
          <w:bCs/>
          <w:szCs w:val="24"/>
        </w:rPr>
        <w:t xml:space="preserve">s most sensitive to the </w:t>
      </w:r>
      <w:r w:rsidR="0068213F" w:rsidRPr="00723EAA">
        <w:rPr>
          <w:rFonts w:asciiTheme="minorHAnsi" w:hAnsiTheme="minorHAnsi"/>
          <w:bCs/>
          <w:szCs w:val="24"/>
        </w:rPr>
        <w:t xml:space="preserve">survival gains </w:t>
      </w:r>
      <w:r w:rsidR="00456A65" w:rsidRPr="00723EAA">
        <w:rPr>
          <w:rFonts w:asciiTheme="minorHAnsi" w:hAnsiTheme="minorHAnsi"/>
          <w:bCs/>
          <w:szCs w:val="24"/>
        </w:rPr>
        <w:t>associated with blinatu</w:t>
      </w:r>
      <w:r w:rsidR="0068213F" w:rsidRPr="00723EAA">
        <w:rPr>
          <w:rFonts w:asciiTheme="minorHAnsi" w:hAnsiTheme="minorHAnsi"/>
          <w:bCs/>
          <w:szCs w:val="24"/>
        </w:rPr>
        <w:t xml:space="preserve">momab </w:t>
      </w:r>
      <w:r w:rsidR="00456A65" w:rsidRPr="00723EAA">
        <w:rPr>
          <w:rFonts w:asciiTheme="minorHAnsi" w:hAnsiTheme="minorHAnsi"/>
          <w:bCs/>
          <w:szCs w:val="24"/>
        </w:rPr>
        <w:t xml:space="preserve">compared with consolidation chemotherapy. </w:t>
      </w:r>
      <w:r w:rsidRPr="00723EAA">
        <w:rPr>
          <w:rFonts w:asciiTheme="minorHAnsi" w:hAnsiTheme="minorHAnsi"/>
          <w:bCs/>
          <w:szCs w:val="24"/>
          <w:lang w:val="en-GB"/>
        </w:rPr>
        <w:t xml:space="preserve">The PBAC </w:t>
      </w:r>
      <w:r w:rsidR="009B6D38" w:rsidRPr="00723EAA">
        <w:rPr>
          <w:rFonts w:asciiTheme="minorHAnsi" w:hAnsiTheme="minorHAnsi"/>
          <w:bCs/>
          <w:szCs w:val="24"/>
          <w:lang w:val="en-GB"/>
        </w:rPr>
        <w:t xml:space="preserve">also </w:t>
      </w:r>
      <w:r w:rsidR="0068213F" w:rsidRPr="00723EAA">
        <w:rPr>
          <w:rFonts w:asciiTheme="minorHAnsi" w:hAnsiTheme="minorHAnsi"/>
          <w:bCs/>
          <w:szCs w:val="24"/>
          <w:lang w:val="en-GB"/>
        </w:rPr>
        <w:t xml:space="preserve">noted and agreed with </w:t>
      </w:r>
      <w:r w:rsidR="00844F89" w:rsidRPr="00723EAA">
        <w:rPr>
          <w:rFonts w:asciiTheme="minorHAnsi" w:hAnsiTheme="minorHAnsi"/>
          <w:bCs/>
          <w:szCs w:val="24"/>
          <w:lang w:val="en-GB"/>
        </w:rPr>
        <w:t xml:space="preserve">the </w:t>
      </w:r>
      <w:r w:rsidR="009B6D38" w:rsidRPr="00723EAA">
        <w:rPr>
          <w:rFonts w:asciiTheme="minorHAnsi" w:hAnsiTheme="minorHAnsi"/>
          <w:bCs/>
          <w:szCs w:val="24"/>
          <w:lang w:val="en-GB"/>
        </w:rPr>
        <w:t xml:space="preserve">other </w:t>
      </w:r>
      <w:r w:rsidR="00844F89" w:rsidRPr="00723EAA">
        <w:rPr>
          <w:rFonts w:asciiTheme="minorHAnsi" w:hAnsiTheme="minorHAnsi"/>
          <w:bCs/>
          <w:szCs w:val="24"/>
          <w:lang w:val="en-GB"/>
        </w:rPr>
        <w:t xml:space="preserve">issues </w:t>
      </w:r>
      <w:r w:rsidR="00735712" w:rsidRPr="00723EAA">
        <w:rPr>
          <w:rFonts w:asciiTheme="minorHAnsi" w:hAnsiTheme="minorHAnsi"/>
          <w:bCs/>
          <w:szCs w:val="24"/>
          <w:lang w:val="en-GB"/>
        </w:rPr>
        <w:t xml:space="preserve">raised by the evaluation </w:t>
      </w:r>
      <w:r w:rsidR="00A41441" w:rsidRPr="00723EAA">
        <w:rPr>
          <w:rFonts w:asciiTheme="minorHAnsi" w:hAnsiTheme="minorHAnsi"/>
          <w:bCs/>
          <w:szCs w:val="24"/>
          <w:lang w:val="en-GB"/>
        </w:rPr>
        <w:t xml:space="preserve">and </w:t>
      </w:r>
      <w:r w:rsidR="009B6D38" w:rsidRPr="00723EAA">
        <w:rPr>
          <w:rFonts w:asciiTheme="minorHAnsi" w:hAnsiTheme="minorHAnsi"/>
          <w:bCs/>
          <w:szCs w:val="24"/>
          <w:lang w:val="en-GB"/>
        </w:rPr>
        <w:t xml:space="preserve">the </w:t>
      </w:r>
      <w:r w:rsidR="00A41441" w:rsidRPr="00723EAA">
        <w:rPr>
          <w:rFonts w:asciiTheme="minorHAnsi" w:hAnsiTheme="minorHAnsi"/>
          <w:bCs/>
          <w:szCs w:val="24"/>
          <w:lang w:val="en-GB"/>
        </w:rPr>
        <w:t>E</w:t>
      </w:r>
      <w:r w:rsidR="00844F89" w:rsidRPr="00723EAA">
        <w:rPr>
          <w:rFonts w:asciiTheme="minorHAnsi" w:hAnsiTheme="minorHAnsi"/>
          <w:bCs/>
          <w:szCs w:val="24"/>
          <w:lang w:val="en-GB"/>
        </w:rPr>
        <w:t>SC</w:t>
      </w:r>
      <w:r w:rsidR="00A41441" w:rsidRPr="00723EAA">
        <w:rPr>
          <w:rFonts w:asciiTheme="minorHAnsi" w:hAnsiTheme="minorHAnsi"/>
          <w:bCs/>
          <w:szCs w:val="24"/>
          <w:lang w:val="en-GB"/>
        </w:rPr>
        <w:t xml:space="preserve"> regarding the economic evaluation</w:t>
      </w:r>
      <w:r w:rsidR="00844F89" w:rsidRPr="00723EAA">
        <w:rPr>
          <w:rFonts w:asciiTheme="minorHAnsi" w:hAnsiTheme="minorHAnsi"/>
          <w:bCs/>
          <w:szCs w:val="24"/>
          <w:lang w:val="en-GB"/>
        </w:rPr>
        <w:t xml:space="preserve">, </w:t>
      </w:r>
      <w:r w:rsidR="00A41441" w:rsidRPr="00723EAA">
        <w:rPr>
          <w:rFonts w:asciiTheme="minorHAnsi" w:hAnsiTheme="minorHAnsi"/>
          <w:bCs/>
          <w:szCs w:val="24"/>
          <w:lang w:val="en-GB"/>
        </w:rPr>
        <w:t>as outlined in the ‘Economic analysis’ section (Paragraph 6.6</w:t>
      </w:r>
      <w:r w:rsidR="002922ED" w:rsidRPr="00723EAA">
        <w:rPr>
          <w:rFonts w:asciiTheme="minorHAnsi" w:hAnsiTheme="minorHAnsi"/>
          <w:bCs/>
          <w:szCs w:val="24"/>
          <w:lang w:val="en-GB"/>
        </w:rPr>
        <w:t>0</w:t>
      </w:r>
      <w:r w:rsidR="00A41441" w:rsidRPr="00723EAA">
        <w:rPr>
          <w:rFonts w:asciiTheme="minorHAnsi" w:hAnsiTheme="minorHAnsi"/>
          <w:bCs/>
          <w:szCs w:val="24"/>
          <w:lang w:val="en-GB"/>
        </w:rPr>
        <w:t xml:space="preserve">). </w:t>
      </w:r>
    </w:p>
    <w:p w:rsidR="00913BF3" w:rsidRPr="009B6D38" w:rsidRDefault="00913BF3" w:rsidP="00C74EBA">
      <w:pPr>
        <w:widowControl/>
        <w:numPr>
          <w:ilvl w:val="1"/>
          <w:numId w:val="2"/>
        </w:numPr>
        <w:spacing w:after="120"/>
        <w:rPr>
          <w:rFonts w:asciiTheme="minorHAnsi" w:hAnsiTheme="minorHAnsi"/>
          <w:bCs/>
          <w:szCs w:val="24"/>
          <w:lang w:val="en-GB"/>
        </w:rPr>
      </w:pPr>
      <w:r w:rsidRPr="009B6D38">
        <w:rPr>
          <w:rFonts w:asciiTheme="minorHAnsi" w:hAnsiTheme="minorHAnsi"/>
          <w:bCs/>
          <w:szCs w:val="24"/>
          <w:lang w:val="en-GB"/>
        </w:rPr>
        <w:t xml:space="preserve">The PBAC </w:t>
      </w:r>
      <w:r w:rsidR="00A41441" w:rsidRPr="009B6D38">
        <w:rPr>
          <w:rFonts w:asciiTheme="minorHAnsi" w:hAnsiTheme="minorHAnsi"/>
          <w:bCs/>
          <w:szCs w:val="24"/>
          <w:lang w:val="en-GB"/>
        </w:rPr>
        <w:t xml:space="preserve">noted </w:t>
      </w:r>
      <w:r w:rsidR="00485D2E" w:rsidRPr="009B6D38">
        <w:rPr>
          <w:rFonts w:asciiTheme="minorHAnsi" w:hAnsiTheme="minorHAnsi"/>
          <w:bCs/>
          <w:szCs w:val="24"/>
          <w:lang w:val="en-GB"/>
        </w:rPr>
        <w:t xml:space="preserve">that the ICER presented in the base case of the submission was </w:t>
      </w:r>
      <w:r w:rsidR="00C74EBA" w:rsidRPr="00C74EBA">
        <w:t>$45,000/QALY – $75,000/QALY</w:t>
      </w:r>
      <w:r w:rsidR="00485D2E">
        <w:t xml:space="preserve">, which it considered was high and significantly </w:t>
      </w:r>
      <w:r w:rsidR="00B51593">
        <w:t>under</w:t>
      </w:r>
      <w:r w:rsidR="00485D2E">
        <w:t>estimated</w:t>
      </w:r>
      <w:r w:rsidR="002922ED">
        <w:t>.</w:t>
      </w:r>
    </w:p>
    <w:p w:rsidR="009B6D38" w:rsidRPr="009B6D38" w:rsidRDefault="005F1A52" w:rsidP="0016456A">
      <w:pPr>
        <w:pStyle w:val="ListParagraph"/>
        <w:numPr>
          <w:ilvl w:val="1"/>
          <w:numId w:val="2"/>
        </w:numPr>
        <w:rPr>
          <w:rFonts w:asciiTheme="minorHAnsi" w:hAnsiTheme="minorHAnsi"/>
          <w:bCs/>
          <w:szCs w:val="24"/>
          <w:lang w:val="en-GB"/>
        </w:rPr>
      </w:pPr>
      <w:r w:rsidRPr="0016456A">
        <w:rPr>
          <w:rFonts w:asciiTheme="minorHAnsi" w:hAnsiTheme="minorHAnsi"/>
          <w:bCs/>
          <w:szCs w:val="24"/>
          <w:lang w:val="en-GB"/>
        </w:rPr>
        <w:t xml:space="preserve">The </w:t>
      </w:r>
      <w:r w:rsidR="00F5216B" w:rsidRPr="0016456A">
        <w:rPr>
          <w:rFonts w:asciiTheme="minorHAnsi" w:hAnsiTheme="minorHAnsi"/>
          <w:bCs/>
          <w:szCs w:val="24"/>
          <w:lang w:val="en-GB"/>
        </w:rPr>
        <w:t>PBAC noted that the</w:t>
      </w:r>
      <w:r w:rsidR="00154A65" w:rsidRPr="0016456A">
        <w:rPr>
          <w:rFonts w:asciiTheme="minorHAnsi" w:hAnsiTheme="minorHAnsi"/>
          <w:bCs/>
          <w:szCs w:val="24"/>
          <w:lang w:val="en-GB"/>
        </w:rPr>
        <w:t xml:space="preserve"> </w:t>
      </w:r>
      <w:r w:rsidRPr="0016456A">
        <w:rPr>
          <w:rFonts w:asciiTheme="minorHAnsi" w:hAnsiTheme="minorHAnsi"/>
          <w:bCs/>
          <w:szCs w:val="24"/>
          <w:lang w:val="en-GB"/>
        </w:rPr>
        <w:t xml:space="preserve">submission estimated </w:t>
      </w:r>
      <w:r w:rsidR="00154A65" w:rsidRPr="0016456A">
        <w:rPr>
          <w:rFonts w:asciiTheme="minorHAnsi" w:hAnsiTheme="minorHAnsi"/>
          <w:bCs/>
          <w:szCs w:val="24"/>
          <w:lang w:val="en-GB"/>
        </w:rPr>
        <w:t xml:space="preserve">that </w:t>
      </w:r>
      <w:r w:rsidR="00EC14AD">
        <w:rPr>
          <w:rFonts w:asciiTheme="minorHAnsi" w:hAnsiTheme="minorHAnsi"/>
          <w:bCs/>
          <w:noProof/>
          <w:color w:val="000000"/>
          <w:szCs w:val="24"/>
          <w:highlight w:val="black"/>
          <w:lang w:val="en-GB"/>
        </w:rPr>
        <w:t>'''''</w:t>
      </w:r>
      <w:r w:rsidRPr="0016456A">
        <w:rPr>
          <w:rFonts w:asciiTheme="minorHAnsi" w:hAnsiTheme="minorHAnsi"/>
          <w:bCs/>
          <w:szCs w:val="24"/>
          <w:lang w:val="en-GB"/>
        </w:rPr>
        <w:t xml:space="preserve"> patients</w:t>
      </w:r>
      <w:r w:rsidR="009B6D38">
        <w:rPr>
          <w:rFonts w:asciiTheme="minorHAnsi" w:hAnsiTheme="minorHAnsi"/>
          <w:bCs/>
          <w:szCs w:val="24"/>
          <w:lang w:val="en-GB"/>
        </w:rPr>
        <w:t xml:space="preserve"> would use blinatumomab in Year 6 of listing</w:t>
      </w:r>
      <w:r w:rsidRPr="0016456A">
        <w:rPr>
          <w:rFonts w:asciiTheme="minorHAnsi" w:hAnsiTheme="minorHAnsi"/>
          <w:bCs/>
          <w:szCs w:val="24"/>
          <w:lang w:val="en-GB"/>
        </w:rPr>
        <w:t xml:space="preserve">, which the </w:t>
      </w:r>
      <w:r w:rsidR="009B6D38">
        <w:rPr>
          <w:rFonts w:asciiTheme="minorHAnsi" w:hAnsiTheme="minorHAnsi"/>
          <w:bCs/>
          <w:szCs w:val="24"/>
          <w:lang w:val="en-GB"/>
        </w:rPr>
        <w:t>PBAC</w:t>
      </w:r>
      <w:r w:rsidRPr="0016456A">
        <w:rPr>
          <w:rFonts w:asciiTheme="minorHAnsi" w:hAnsiTheme="minorHAnsi"/>
          <w:bCs/>
          <w:szCs w:val="24"/>
          <w:lang w:val="en-GB"/>
        </w:rPr>
        <w:t xml:space="preserve"> considered </w:t>
      </w:r>
      <w:r w:rsidR="007F7A06">
        <w:rPr>
          <w:rFonts w:asciiTheme="minorHAnsi" w:hAnsiTheme="minorHAnsi"/>
          <w:bCs/>
          <w:szCs w:val="24"/>
          <w:lang w:val="en-GB"/>
        </w:rPr>
        <w:t>was underestimated. Further, the PBAC considered that this</w:t>
      </w:r>
      <w:r w:rsidR="009B6D38">
        <w:rPr>
          <w:rFonts w:asciiTheme="minorHAnsi" w:hAnsiTheme="minorHAnsi"/>
          <w:bCs/>
          <w:szCs w:val="24"/>
          <w:lang w:val="en-GB"/>
        </w:rPr>
        <w:t xml:space="preserve"> did not seem </w:t>
      </w:r>
      <w:r w:rsidR="00490695">
        <w:rPr>
          <w:rFonts w:asciiTheme="minorHAnsi" w:hAnsiTheme="minorHAnsi"/>
          <w:bCs/>
          <w:szCs w:val="24"/>
          <w:lang w:val="en-GB"/>
        </w:rPr>
        <w:t>consistent with estimates in</w:t>
      </w:r>
      <w:r w:rsidR="009B6D38">
        <w:rPr>
          <w:rFonts w:asciiTheme="minorHAnsi" w:hAnsiTheme="minorHAnsi"/>
          <w:bCs/>
          <w:szCs w:val="24"/>
          <w:lang w:val="en-GB"/>
        </w:rPr>
        <w:t xml:space="preserve"> previous submissions for the </w:t>
      </w:r>
      <w:r w:rsidR="009B6D38" w:rsidRPr="0016456A">
        <w:rPr>
          <w:rFonts w:asciiTheme="minorHAnsi" w:hAnsiTheme="minorHAnsi"/>
          <w:bCs/>
          <w:szCs w:val="24"/>
          <w:lang w:val="en-GB"/>
        </w:rPr>
        <w:t xml:space="preserve">relapsed/refractory </w:t>
      </w:r>
      <w:r w:rsidR="009B6D38">
        <w:rPr>
          <w:rFonts w:asciiTheme="minorHAnsi" w:hAnsiTheme="minorHAnsi"/>
          <w:bCs/>
          <w:szCs w:val="24"/>
          <w:lang w:val="en-GB"/>
        </w:rPr>
        <w:t xml:space="preserve">Ph- </w:t>
      </w:r>
      <w:r w:rsidR="009B6D38" w:rsidRPr="0016456A">
        <w:rPr>
          <w:rFonts w:asciiTheme="minorHAnsi" w:hAnsiTheme="minorHAnsi"/>
          <w:bCs/>
          <w:szCs w:val="24"/>
          <w:lang w:val="en-GB"/>
        </w:rPr>
        <w:t xml:space="preserve">population </w:t>
      </w:r>
      <w:r w:rsidR="009B6D38">
        <w:rPr>
          <w:rFonts w:asciiTheme="minorHAnsi" w:hAnsiTheme="minorHAnsi"/>
          <w:bCs/>
          <w:szCs w:val="24"/>
          <w:lang w:val="en-GB"/>
        </w:rPr>
        <w:t>(which the PBAC considered</w:t>
      </w:r>
      <w:r w:rsidR="006C3006">
        <w:rPr>
          <w:rFonts w:asciiTheme="minorHAnsi" w:hAnsiTheme="minorHAnsi"/>
          <w:bCs/>
          <w:szCs w:val="24"/>
          <w:lang w:val="en-GB"/>
        </w:rPr>
        <w:t xml:space="preserve"> was likely</w:t>
      </w:r>
      <w:r w:rsidR="009B6D38">
        <w:rPr>
          <w:rFonts w:asciiTheme="minorHAnsi" w:hAnsiTheme="minorHAnsi"/>
          <w:bCs/>
          <w:szCs w:val="24"/>
          <w:lang w:val="en-GB"/>
        </w:rPr>
        <w:t xml:space="preserve"> to be a much smaller patient population) </w:t>
      </w:r>
      <w:r w:rsidR="007F7A06">
        <w:rPr>
          <w:rFonts w:asciiTheme="minorHAnsi" w:hAnsiTheme="minorHAnsi"/>
          <w:bCs/>
          <w:szCs w:val="24"/>
          <w:lang w:val="en-GB"/>
        </w:rPr>
        <w:t xml:space="preserve">which </w:t>
      </w:r>
      <w:r w:rsidR="009B6D38">
        <w:rPr>
          <w:rFonts w:asciiTheme="minorHAnsi" w:hAnsiTheme="minorHAnsi"/>
          <w:bCs/>
          <w:szCs w:val="24"/>
          <w:lang w:val="en-GB"/>
        </w:rPr>
        <w:t xml:space="preserve">estimated </w:t>
      </w:r>
      <w:r w:rsidR="007F7A06">
        <w:rPr>
          <w:rFonts w:asciiTheme="minorHAnsi" w:hAnsiTheme="minorHAnsi"/>
          <w:bCs/>
          <w:szCs w:val="24"/>
          <w:lang w:val="en-GB"/>
        </w:rPr>
        <w:t xml:space="preserve">that </w:t>
      </w:r>
      <w:r w:rsidR="00EC14AD">
        <w:rPr>
          <w:rFonts w:asciiTheme="minorHAnsi" w:hAnsiTheme="minorHAnsi"/>
          <w:bCs/>
          <w:noProof/>
          <w:color w:val="000000"/>
          <w:szCs w:val="24"/>
          <w:highlight w:val="black"/>
          <w:lang w:val="en-GB"/>
        </w:rPr>
        <w:t>''''''</w:t>
      </w:r>
      <w:r w:rsidRPr="0016456A">
        <w:rPr>
          <w:rFonts w:asciiTheme="minorHAnsi" w:hAnsiTheme="minorHAnsi"/>
          <w:bCs/>
          <w:szCs w:val="24"/>
          <w:lang w:val="en-GB"/>
        </w:rPr>
        <w:t xml:space="preserve"> patients</w:t>
      </w:r>
      <w:r w:rsidR="007F7A06" w:rsidRPr="007F7A06">
        <w:rPr>
          <w:rFonts w:asciiTheme="minorHAnsi" w:hAnsiTheme="minorHAnsi"/>
          <w:bCs/>
          <w:szCs w:val="24"/>
          <w:lang w:val="en-GB"/>
        </w:rPr>
        <w:t xml:space="preserve"> </w:t>
      </w:r>
      <w:r w:rsidR="007F7A06">
        <w:rPr>
          <w:rFonts w:asciiTheme="minorHAnsi" w:hAnsiTheme="minorHAnsi"/>
          <w:bCs/>
          <w:szCs w:val="24"/>
          <w:lang w:val="en-GB"/>
        </w:rPr>
        <w:t>would use blinatumomab</w:t>
      </w:r>
      <w:r w:rsidRPr="0016456A">
        <w:rPr>
          <w:rFonts w:asciiTheme="minorHAnsi" w:hAnsiTheme="minorHAnsi"/>
          <w:bCs/>
          <w:szCs w:val="24"/>
          <w:lang w:val="en-GB"/>
        </w:rPr>
        <w:t xml:space="preserve"> </w:t>
      </w:r>
      <w:r w:rsidR="009B6D38">
        <w:rPr>
          <w:rFonts w:asciiTheme="minorHAnsi" w:hAnsiTheme="minorHAnsi"/>
          <w:bCs/>
          <w:szCs w:val="24"/>
          <w:lang w:val="en-GB"/>
        </w:rPr>
        <w:t xml:space="preserve">in Year </w:t>
      </w:r>
      <w:r w:rsidR="00A04275">
        <w:rPr>
          <w:rFonts w:asciiTheme="minorHAnsi" w:hAnsiTheme="minorHAnsi"/>
          <w:bCs/>
          <w:szCs w:val="24"/>
          <w:lang w:val="en-GB"/>
        </w:rPr>
        <w:t>6 (Table 6, blinatumomab November 2016</w:t>
      </w:r>
      <w:r w:rsidR="00A04275" w:rsidRPr="00A04275">
        <w:rPr>
          <w:rFonts w:asciiTheme="minorHAnsi" w:hAnsiTheme="minorHAnsi"/>
          <w:bCs/>
          <w:szCs w:val="24"/>
          <w:lang w:val="en-GB"/>
        </w:rPr>
        <w:t xml:space="preserve"> </w:t>
      </w:r>
      <w:r w:rsidR="00A04275">
        <w:rPr>
          <w:rFonts w:asciiTheme="minorHAnsi" w:hAnsiTheme="minorHAnsi"/>
          <w:bCs/>
          <w:szCs w:val="24"/>
          <w:lang w:val="en-GB"/>
        </w:rPr>
        <w:t xml:space="preserve">PBAC </w:t>
      </w:r>
      <w:r w:rsidR="00C74EBA">
        <w:rPr>
          <w:rFonts w:asciiTheme="minorHAnsi" w:hAnsiTheme="minorHAnsi"/>
          <w:bCs/>
          <w:szCs w:val="24"/>
          <w:lang w:val="en-GB"/>
        </w:rPr>
        <w:t>Public Summary Document</w:t>
      </w:r>
      <w:r w:rsidR="00A04275">
        <w:rPr>
          <w:rFonts w:asciiTheme="minorHAnsi" w:hAnsiTheme="minorHAnsi"/>
          <w:bCs/>
          <w:szCs w:val="24"/>
          <w:lang w:val="en-GB"/>
        </w:rPr>
        <w:t>)</w:t>
      </w:r>
      <w:r w:rsidR="009B6D38">
        <w:rPr>
          <w:rFonts w:asciiTheme="minorHAnsi" w:hAnsiTheme="minorHAnsi"/>
          <w:bCs/>
          <w:szCs w:val="24"/>
          <w:lang w:val="en-GB"/>
        </w:rPr>
        <w:t xml:space="preserve">. </w:t>
      </w:r>
    </w:p>
    <w:p w:rsidR="0016456A" w:rsidRPr="0058318A" w:rsidRDefault="009B6D38" w:rsidP="006B3EFC">
      <w:pPr>
        <w:pStyle w:val="ListParagraph"/>
        <w:widowControl/>
        <w:numPr>
          <w:ilvl w:val="1"/>
          <w:numId w:val="2"/>
        </w:numPr>
        <w:spacing w:after="120"/>
        <w:rPr>
          <w:rFonts w:asciiTheme="minorHAnsi" w:hAnsiTheme="minorHAnsi"/>
          <w:bCs/>
          <w:szCs w:val="24"/>
          <w:lang w:val="en-GB"/>
        </w:rPr>
      </w:pPr>
      <w:r w:rsidRPr="0058318A">
        <w:rPr>
          <w:rFonts w:asciiTheme="minorHAnsi" w:hAnsiTheme="minorHAnsi"/>
          <w:bCs/>
          <w:szCs w:val="24"/>
          <w:lang w:val="en-GB"/>
        </w:rPr>
        <w:t>The PBAC noted and agreed with the issues raised by the evaluation and the ESC regarding the financial estimates, as outlined in the ‘</w:t>
      </w:r>
      <w:r w:rsidR="0058318A" w:rsidRPr="0058318A">
        <w:rPr>
          <w:rFonts w:asciiTheme="minorHAnsi" w:hAnsiTheme="minorHAnsi"/>
          <w:bCs/>
          <w:szCs w:val="24"/>
          <w:lang w:val="en-GB"/>
        </w:rPr>
        <w:t>Estimated PBS usage &amp; financial implications</w:t>
      </w:r>
      <w:r w:rsidRPr="0058318A">
        <w:rPr>
          <w:rFonts w:asciiTheme="minorHAnsi" w:hAnsiTheme="minorHAnsi"/>
          <w:bCs/>
          <w:szCs w:val="24"/>
          <w:lang w:val="en-GB"/>
        </w:rPr>
        <w:t>’ section (Paragraph 6.</w:t>
      </w:r>
      <w:r w:rsidR="0058318A" w:rsidRPr="0058318A">
        <w:rPr>
          <w:rFonts w:asciiTheme="minorHAnsi" w:hAnsiTheme="minorHAnsi"/>
          <w:bCs/>
          <w:szCs w:val="24"/>
          <w:lang w:val="en-GB"/>
        </w:rPr>
        <w:t>7</w:t>
      </w:r>
      <w:r w:rsidR="00A54B7B">
        <w:rPr>
          <w:rFonts w:asciiTheme="minorHAnsi" w:hAnsiTheme="minorHAnsi"/>
          <w:bCs/>
          <w:szCs w:val="24"/>
          <w:lang w:val="en-GB"/>
        </w:rPr>
        <w:t>1</w:t>
      </w:r>
      <w:r w:rsidRPr="0058318A">
        <w:rPr>
          <w:rFonts w:asciiTheme="minorHAnsi" w:hAnsiTheme="minorHAnsi"/>
          <w:bCs/>
          <w:szCs w:val="24"/>
          <w:lang w:val="en-GB"/>
        </w:rPr>
        <w:t>).</w:t>
      </w:r>
      <w:r w:rsidR="0058318A" w:rsidRPr="0058318A">
        <w:rPr>
          <w:rFonts w:asciiTheme="minorHAnsi" w:hAnsiTheme="minorHAnsi"/>
          <w:bCs/>
          <w:szCs w:val="24"/>
          <w:lang w:val="en-GB"/>
        </w:rPr>
        <w:t xml:space="preserve"> In particular</w:t>
      </w:r>
      <w:r w:rsidR="00B93B9A">
        <w:rPr>
          <w:rFonts w:asciiTheme="minorHAnsi" w:hAnsiTheme="minorHAnsi"/>
          <w:bCs/>
          <w:szCs w:val="24"/>
          <w:lang w:val="en-GB"/>
        </w:rPr>
        <w:t>,</w:t>
      </w:r>
      <w:r w:rsidR="0058318A" w:rsidRPr="0058318A">
        <w:rPr>
          <w:rFonts w:asciiTheme="minorHAnsi" w:hAnsiTheme="minorHAnsi"/>
          <w:bCs/>
          <w:szCs w:val="24"/>
          <w:lang w:val="en-GB"/>
        </w:rPr>
        <w:t xml:space="preserve"> the PBAC considered that the uptake rate was underestimated. </w:t>
      </w:r>
    </w:p>
    <w:p w:rsidR="005F1A52" w:rsidRDefault="0058318A" w:rsidP="006B3EFC">
      <w:pPr>
        <w:widowControl/>
        <w:numPr>
          <w:ilvl w:val="1"/>
          <w:numId w:val="2"/>
        </w:numPr>
        <w:spacing w:after="120"/>
        <w:rPr>
          <w:rFonts w:asciiTheme="minorHAnsi" w:hAnsiTheme="minorHAnsi"/>
          <w:bCs/>
          <w:szCs w:val="24"/>
          <w:lang w:val="en-GB"/>
        </w:rPr>
      </w:pPr>
      <w:r>
        <w:t>The PBAC considered that u</w:t>
      </w:r>
      <w:r w:rsidRPr="00E92067">
        <w:t>se of blinatumomab in</w:t>
      </w:r>
      <w:r>
        <w:t xml:space="preserve"> the</w:t>
      </w:r>
      <w:r w:rsidRPr="00E92067">
        <w:t xml:space="preserve"> MRD positive B-ALL setting would likely</w:t>
      </w:r>
      <w:r>
        <w:t xml:space="preserve">, over </w:t>
      </w:r>
      <w:r w:rsidRPr="00737EE9">
        <w:t xml:space="preserve">time, reduce or delay use in the existing listing for </w:t>
      </w:r>
      <w:r w:rsidR="00FF7117">
        <w:t xml:space="preserve">blinatumomab in </w:t>
      </w:r>
      <w:r w:rsidRPr="00737EE9">
        <w:t>relapsed</w:t>
      </w:r>
      <w:r>
        <w:t>/refractory</w:t>
      </w:r>
      <w:r w:rsidRPr="00737EE9">
        <w:t xml:space="preserve"> Ph- patients. </w:t>
      </w:r>
      <w:r>
        <w:t>The PBAC considered that t</w:t>
      </w:r>
      <w:r w:rsidRPr="00737EE9">
        <w:t xml:space="preserve">he impact of </w:t>
      </w:r>
      <w:r>
        <w:t xml:space="preserve">these </w:t>
      </w:r>
      <w:r w:rsidRPr="00737EE9">
        <w:t>reductions would need to be accounted for</w:t>
      </w:r>
      <w:r w:rsidR="0060523C">
        <w:t xml:space="preserve"> (</w:t>
      </w:r>
      <w:r w:rsidR="0060523C" w:rsidRPr="00737EE9">
        <w:t>i.e. with corresponding reductions in the risk sharing arrangement caps in the relapsed/refractory setting</w:t>
      </w:r>
      <w:r w:rsidR="0060523C">
        <w:t>).</w:t>
      </w:r>
    </w:p>
    <w:p w:rsidR="0060523C" w:rsidRDefault="0060523C" w:rsidP="006B3EFC">
      <w:pPr>
        <w:widowControl/>
        <w:numPr>
          <w:ilvl w:val="1"/>
          <w:numId w:val="2"/>
        </w:numPr>
        <w:spacing w:after="120"/>
        <w:rPr>
          <w:rFonts w:asciiTheme="minorHAnsi" w:hAnsiTheme="minorHAnsi"/>
          <w:bCs/>
          <w:szCs w:val="24"/>
          <w:lang w:val="en-GB"/>
        </w:rPr>
      </w:pPr>
      <w:r>
        <w:rPr>
          <w:rFonts w:asciiTheme="minorHAnsi" w:hAnsiTheme="minorHAnsi"/>
          <w:bCs/>
          <w:szCs w:val="24"/>
          <w:lang w:val="en-GB"/>
        </w:rPr>
        <w:t>The PBAC considered that any resubmission would need to be a major submission, and would need to address the following issues:</w:t>
      </w:r>
    </w:p>
    <w:p w:rsidR="009937C3" w:rsidRPr="00EE53E7" w:rsidRDefault="0060523C" w:rsidP="00EE53E7">
      <w:pPr>
        <w:pStyle w:val="ListParagraph"/>
        <w:numPr>
          <w:ilvl w:val="0"/>
          <w:numId w:val="30"/>
        </w:numPr>
        <w:ind w:left="1135" w:hanging="284"/>
        <w:contextualSpacing/>
        <w:rPr>
          <w:rFonts w:asciiTheme="minorHAnsi" w:hAnsiTheme="minorHAnsi"/>
          <w:bCs/>
          <w:szCs w:val="24"/>
          <w:lang w:val="en-US"/>
        </w:rPr>
      </w:pPr>
      <w:r w:rsidRPr="00EE53E7">
        <w:rPr>
          <w:rFonts w:asciiTheme="minorHAnsi" w:hAnsiTheme="minorHAnsi"/>
          <w:bCs/>
          <w:szCs w:val="24"/>
          <w:lang w:val="en-US"/>
        </w:rPr>
        <w:t xml:space="preserve">update the </w:t>
      </w:r>
      <w:r w:rsidR="00B93B9A" w:rsidRPr="00EE53E7">
        <w:rPr>
          <w:rFonts w:asciiTheme="minorHAnsi" w:hAnsiTheme="minorHAnsi"/>
          <w:bCs/>
          <w:szCs w:val="24"/>
          <w:lang w:val="en-US"/>
        </w:rPr>
        <w:t xml:space="preserve">proposed </w:t>
      </w:r>
      <w:r w:rsidRPr="00EE53E7">
        <w:rPr>
          <w:rFonts w:asciiTheme="minorHAnsi" w:hAnsiTheme="minorHAnsi"/>
          <w:bCs/>
          <w:szCs w:val="24"/>
          <w:lang w:val="en-US"/>
        </w:rPr>
        <w:t>restriction</w:t>
      </w:r>
      <w:r w:rsidR="00B93B9A" w:rsidRPr="00EE53E7">
        <w:rPr>
          <w:rFonts w:asciiTheme="minorHAnsi" w:hAnsiTheme="minorHAnsi"/>
          <w:bCs/>
          <w:szCs w:val="24"/>
          <w:lang w:val="en-US"/>
        </w:rPr>
        <w:t>;</w:t>
      </w:r>
      <w:r w:rsidRPr="00EE53E7">
        <w:rPr>
          <w:rFonts w:asciiTheme="minorHAnsi" w:hAnsiTheme="minorHAnsi"/>
          <w:bCs/>
          <w:szCs w:val="24"/>
          <w:lang w:val="en-US"/>
        </w:rPr>
        <w:t xml:space="preserve"> </w:t>
      </w:r>
    </w:p>
    <w:p w:rsidR="0060523C" w:rsidRPr="00EE53E7" w:rsidRDefault="0060523C" w:rsidP="00EE53E7">
      <w:pPr>
        <w:pStyle w:val="ListParagraph"/>
        <w:numPr>
          <w:ilvl w:val="0"/>
          <w:numId w:val="30"/>
        </w:numPr>
        <w:ind w:left="1135" w:hanging="284"/>
        <w:contextualSpacing/>
        <w:rPr>
          <w:rFonts w:asciiTheme="minorHAnsi" w:hAnsiTheme="minorHAnsi"/>
          <w:bCs/>
          <w:szCs w:val="24"/>
          <w:lang w:val="en-US"/>
        </w:rPr>
      </w:pPr>
      <w:r w:rsidRPr="00EE53E7">
        <w:rPr>
          <w:rFonts w:asciiTheme="minorHAnsi" w:hAnsiTheme="minorHAnsi"/>
          <w:bCs/>
          <w:szCs w:val="24"/>
          <w:lang w:val="en-US"/>
        </w:rPr>
        <w:t>address the uncertainties identified in the clinical data arising from the indirect comparison</w:t>
      </w:r>
      <w:r w:rsidR="006C3006">
        <w:rPr>
          <w:rFonts w:asciiTheme="minorHAnsi" w:hAnsiTheme="minorHAnsi"/>
          <w:bCs/>
          <w:szCs w:val="24"/>
          <w:lang w:val="en-US"/>
        </w:rPr>
        <w:t xml:space="preserve"> and i</w:t>
      </w:r>
      <w:r w:rsidRPr="00EE53E7">
        <w:rPr>
          <w:rFonts w:asciiTheme="minorHAnsi" w:hAnsiTheme="minorHAnsi"/>
          <w:bCs/>
          <w:szCs w:val="24"/>
          <w:lang w:val="en-US"/>
        </w:rPr>
        <w:t xml:space="preserve">nclude any </w:t>
      </w:r>
      <w:r w:rsidR="00C23447">
        <w:rPr>
          <w:rFonts w:asciiTheme="minorHAnsi" w:hAnsiTheme="minorHAnsi"/>
          <w:bCs/>
          <w:szCs w:val="24"/>
          <w:lang w:val="en-US"/>
        </w:rPr>
        <w:t>RCT</w:t>
      </w:r>
      <w:r w:rsidRPr="00EE53E7">
        <w:rPr>
          <w:rFonts w:asciiTheme="minorHAnsi" w:hAnsiTheme="minorHAnsi"/>
          <w:bCs/>
          <w:szCs w:val="24"/>
          <w:lang w:val="en-US"/>
        </w:rPr>
        <w:t xml:space="preserve"> data, if available</w:t>
      </w:r>
      <w:r w:rsidR="006C3006">
        <w:rPr>
          <w:rFonts w:asciiTheme="minorHAnsi" w:hAnsiTheme="minorHAnsi"/>
          <w:bCs/>
          <w:szCs w:val="24"/>
          <w:lang w:val="en-US"/>
        </w:rPr>
        <w:t>; and</w:t>
      </w:r>
    </w:p>
    <w:p w:rsidR="0060523C" w:rsidRPr="0060523C" w:rsidRDefault="0060523C" w:rsidP="00EE53E7">
      <w:pPr>
        <w:pStyle w:val="ListParagraph"/>
        <w:numPr>
          <w:ilvl w:val="0"/>
          <w:numId w:val="30"/>
        </w:numPr>
        <w:ind w:left="1135" w:hanging="284"/>
        <w:contextualSpacing/>
        <w:rPr>
          <w:rFonts w:asciiTheme="minorHAnsi" w:hAnsiTheme="minorHAnsi"/>
          <w:bCs/>
          <w:szCs w:val="24"/>
          <w:lang w:val="en-GB"/>
        </w:rPr>
      </w:pPr>
      <w:r w:rsidRPr="00EE53E7">
        <w:rPr>
          <w:rFonts w:asciiTheme="minorHAnsi" w:hAnsiTheme="minorHAnsi"/>
          <w:bCs/>
          <w:szCs w:val="24"/>
          <w:lang w:val="en-US"/>
        </w:rPr>
        <w:t>update the economic model</w:t>
      </w:r>
      <w:r>
        <w:rPr>
          <w:rFonts w:asciiTheme="minorHAnsi" w:hAnsiTheme="minorHAnsi"/>
          <w:bCs/>
          <w:szCs w:val="24"/>
          <w:lang w:val="en-GB"/>
        </w:rPr>
        <w:t xml:space="preserve"> and financial estimates as outlined above.</w:t>
      </w:r>
      <w:r w:rsidR="003C3843">
        <w:rPr>
          <w:rFonts w:asciiTheme="minorHAnsi" w:hAnsiTheme="minorHAnsi"/>
          <w:bCs/>
          <w:szCs w:val="24"/>
          <w:lang w:val="en-GB"/>
        </w:rPr>
        <w:t xml:space="preserve"> The PBAC considered that, in the absence of any RCT data, conservative assumptions would need to be applied in the economic model.</w:t>
      </w:r>
    </w:p>
    <w:p w:rsidR="008616B5" w:rsidRPr="008616B5" w:rsidRDefault="007A5B21" w:rsidP="006B3EFC">
      <w:pPr>
        <w:widowControl/>
        <w:numPr>
          <w:ilvl w:val="1"/>
          <w:numId w:val="2"/>
        </w:numPr>
        <w:spacing w:before="240" w:after="120"/>
        <w:rPr>
          <w:rFonts w:asciiTheme="minorHAnsi" w:hAnsiTheme="minorHAnsi"/>
          <w:bCs/>
          <w:szCs w:val="24"/>
          <w:lang w:val="en-GB"/>
        </w:rPr>
      </w:pPr>
      <w:r w:rsidRPr="008616B5">
        <w:rPr>
          <w:rFonts w:asciiTheme="minorHAnsi" w:hAnsiTheme="minorHAnsi"/>
          <w:bCs/>
          <w:szCs w:val="24"/>
          <w:lang w:val="en-GB"/>
        </w:rPr>
        <w:t xml:space="preserve">The PBAC noted that this submission is eligible for an Independent Review. </w:t>
      </w:r>
    </w:p>
    <w:p w:rsidR="007A5B21" w:rsidRPr="008616B5" w:rsidRDefault="007A5B21" w:rsidP="007A5B21">
      <w:pPr>
        <w:widowControl/>
        <w:spacing w:before="240" w:after="120"/>
        <w:rPr>
          <w:rFonts w:asciiTheme="minorHAnsi" w:hAnsiTheme="minorHAnsi"/>
          <w:b/>
          <w:bCs/>
          <w:szCs w:val="24"/>
          <w:lang w:val="en-GB"/>
        </w:rPr>
      </w:pPr>
      <w:r w:rsidRPr="008616B5">
        <w:rPr>
          <w:rFonts w:asciiTheme="minorHAnsi" w:hAnsiTheme="minorHAnsi"/>
          <w:b/>
          <w:bCs/>
          <w:szCs w:val="24"/>
          <w:lang w:val="en-GB"/>
        </w:rPr>
        <w:t>Outcome:</w:t>
      </w:r>
    </w:p>
    <w:p w:rsidR="007A5B21" w:rsidRPr="00600987" w:rsidRDefault="007A5B21" w:rsidP="00600987">
      <w:pPr>
        <w:widowControl/>
        <w:spacing w:after="120"/>
        <w:rPr>
          <w:rFonts w:asciiTheme="minorHAnsi" w:hAnsiTheme="minorHAnsi"/>
          <w:b/>
          <w:bCs/>
          <w:szCs w:val="24"/>
        </w:rPr>
      </w:pPr>
      <w:r w:rsidRPr="008616B5">
        <w:rPr>
          <w:rFonts w:asciiTheme="minorHAnsi" w:hAnsiTheme="minorHAnsi"/>
          <w:bCs/>
          <w:szCs w:val="24"/>
          <w:lang w:val="en-GB"/>
        </w:rPr>
        <w:t xml:space="preserve">Rejected </w:t>
      </w:r>
    </w:p>
    <w:p w:rsidR="000E15A0" w:rsidRPr="00C07617" w:rsidRDefault="000E15A0" w:rsidP="000E15A0">
      <w:pPr>
        <w:widowControl/>
        <w:numPr>
          <w:ilvl w:val="0"/>
          <w:numId w:val="2"/>
        </w:numPr>
        <w:spacing w:before="240" w:after="120"/>
        <w:jc w:val="left"/>
        <w:outlineLvl w:val="0"/>
        <w:rPr>
          <w:rFonts w:asciiTheme="minorHAnsi" w:hAnsiTheme="minorHAnsi"/>
          <w:b/>
          <w:sz w:val="32"/>
        </w:rPr>
      </w:pPr>
      <w:r w:rsidRPr="00C07617">
        <w:rPr>
          <w:rFonts w:asciiTheme="minorHAnsi" w:hAnsiTheme="minorHAnsi"/>
          <w:b/>
          <w:sz w:val="32"/>
        </w:rPr>
        <w:t>Context for Decision</w:t>
      </w:r>
    </w:p>
    <w:p w:rsidR="000E15A0" w:rsidRPr="00600987" w:rsidRDefault="000E15A0" w:rsidP="00600987">
      <w:pPr>
        <w:ind w:left="426"/>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E15A0" w:rsidRPr="00C07617" w:rsidRDefault="000E15A0" w:rsidP="000E15A0">
      <w:pPr>
        <w:widowControl/>
        <w:numPr>
          <w:ilvl w:val="0"/>
          <w:numId w:val="2"/>
        </w:numPr>
        <w:spacing w:before="240" w:after="120"/>
        <w:jc w:val="left"/>
        <w:outlineLvl w:val="0"/>
        <w:rPr>
          <w:rFonts w:asciiTheme="minorHAnsi" w:hAnsiTheme="minorHAnsi"/>
          <w:b/>
          <w:sz w:val="32"/>
        </w:rPr>
      </w:pPr>
      <w:r>
        <w:rPr>
          <w:rFonts w:asciiTheme="minorHAnsi" w:hAnsiTheme="minorHAnsi"/>
          <w:b/>
          <w:sz w:val="32"/>
        </w:rPr>
        <w:t>Sponsor’s Comment</w:t>
      </w:r>
    </w:p>
    <w:p w:rsidR="000E15A0" w:rsidRPr="00600987" w:rsidRDefault="00DD0A4E" w:rsidP="007A5B21">
      <w:pPr>
        <w:spacing w:after="120"/>
        <w:rPr>
          <w:rFonts w:asciiTheme="minorHAnsi" w:hAnsiTheme="minorHAnsi"/>
          <w:bCs/>
          <w:highlight w:val="yellow"/>
          <w:lang w:val="en-GB"/>
        </w:rPr>
      </w:pPr>
      <w:r>
        <w:t>Amgen is pleased that the PBAC acknowledged the clinical need for effective treatment for B-ALL. The elimination of MRD with blinatumomab is an important and effective treatment option for these patients. As such, Amgen will continue to work with the PBAC with the aim to make blinatumomab available for these patients.</w:t>
      </w:r>
    </w:p>
    <w:sectPr w:rsidR="000E15A0" w:rsidRPr="00600987" w:rsidSect="00E92067">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762A71" w16cid:durableId="1F146399"/>
  <w16cid:commentId w16cid:paraId="2E85F670" w16cid:durableId="1F14639A"/>
  <w16cid:commentId w16cid:paraId="77C2D6ED" w16cid:durableId="1F14639B"/>
  <w16cid:commentId w16cid:paraId="42FB7A79" w16cid:durableId="1F14639C"/>
  <w16cid:commentId w16cid:paraId="61EC5368" w16cid:durableId="1F14639D"/>
  <w16cid:commentId w16cid:paraId="6EC72378" w16cid:durableId="1F14639E"/>
  <w16cid:commentId w16cid:paraId="18E7427F" w16cid:durableId="1F1465B2"/>
  <w16cid:commentId w16cid:paraId="64D8BAC5" w16cid:durableId="1F14639F"/>
  <w16cid:commentId w16cid:paraId="084228EF" w16cid:durableId="1F1463A0"/>
  <w16cid:commentId w16cid:paraId="2CF470DF" w16cid:durableId="1F1463A1"/>
  <w16cid:commentId w16cid:paraId="107CA747" w16cid:durableId="1F1463A2"/>
  <w16cid:commentId w16cid:paraId="295F051B" w16cid:durableId="1F1463A3"/>
  <w16cid:commentId w16cid:paraId="2986BFBD" w16cid:durableId="1F1463A4"/>
  <w16cid:commentId w16cid:paraId="0C0F5471" w16cid:durableId="1F1463A5"/>
  <w16cid:commentId w16cid:paraId="02334E1F" w16cid:durableId="1F14672D"/>
  <w16cid:commentId w16cid:paraId="5329D6C4" w16cid:durableId="1F1463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E7D" w:rsidRDefault="00CD0E7D" w:rsidP="00124A51">
      <w:r>
        <w:separator/>
      </w:r>
    </w:p>
    <w:p w:rsidR="00CD0E7D" w:rsidRDefault="00CD0E7D"/>
  </w:endnote>
  <w:endnote w:type="continuationSeparator" w:id="0">
    <w:p w:rsidR="00CD0E7D" w:rsidRDefault="00CD0E7D" w:rsidP="00124A51">
      <w:r>
        <w:continuationSeparator/>
      </w:r>
    </w:p>
    <w:p w:rsidR="00CD0E7D" w:rsidRDefault="00CD0E7D"/>
  </w:endnote>
  <w:endnote w:type="continuationNotice" w:id="1">
    <w:p w:rsidR="00CD0E7D" w:rsidRDefault="00CD0E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imes New Roman"/>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E7D" w:rsidRDefault="00CD0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782641"/>
      <w:docPartObj>
        <w:docPartGallery w:val="Page Numbers (Bottom of Page)"/>
        <w:docPartUnique/>
      </w:docPartObj>
    </w:sdtPr>
    <w:sdtEndPr>
      <w:rPr>
        <w:b/>
        <w:noProof/>
      </w:rPr>
    </w:sdtEndPr>
    <w:sdtContent>
      <w:p w:rsidR="00B654DA" w:rsidRDefault="00B654DA" w:rsidP="00BF6880">
        <w:pPr>
          <w:pStyle w:val="Footer"/>
          <w:jc w:val="center"/>
        </w:pPr>
      </w:p>
      <w:p w:rsidR="00B654DA" w:rsidRPr="00BF6880" w:rsidRDefault="00B654DA" w:rsidP="00BF6880">
        <w:pPr>
          <w:pStyle w:val="Footer"/>
          <w:jc w:val="center"/>
          <w:rPr>
            <w:b/>
          </w:rPr>
        </w:pPr>
        <w:r w:rsidRPr="006C160D">
          <w:rPr>
            <w:b/>
            <w:sz w:val="20"/>
          </w:rPr>
          <w:fldChar w:fldCharType="begin"/>
        </w:r>
        <w:r w:rsidRPr="006C160D">
          <w:rPr>
            <w:b/>
            <w:sz w:val="20"/>
          </w:rPr>
          <w:instrText xml:space="preserve"> PAGE   \* MERGEFORMAT </w:instrText>
        </w:r>
        <w:r w:rsidRPr="006C160D">
          <w:rPr>
            <w:b/>
            <w:sz w:val="20"/>
          </w:rPr>
          <w:fldChar w:fldCharType="separate"/>
        </w:r>
        <w:r w:rsidR="00CD0E7D">
          <w:rPr>
            <w:b/>
            <w:noProof/>
            <w:sz w:val="20"/>
          </w:rPr>
          <w:t>5</w:t>
        </w:r>
        <w:r w:rsidRPr="006C160D">
          <w:rPr>
            <w:b/>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E7D" w:rsidRDefault="00CD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E7D" w:rsidRDefault="00CD0E7D" w:rsidP="00124A51">
      <w:r>
        <w:separator/>
      </w:r>
    </w:p>
    <w:p w:rsidR="00CD0E7D" w:rsidRDefault="00CD0E7D"/>
  </w:footnote>
  <w:footnote w:type="continuationSeparator" w:id="0">
    <w:p w:rsidR="00CD0E7D" w:rsidRDefault="00CD0E7D" w:rsidP="00124A51">
      <w:r>
        <w:continuationSeparator/>
      </w:r>
    </w:p>
    <w:p w:rsidR="00CD0E7D" w:rsidRDefault="00CD0E7D"/>
  </w:footnote>
  <w:footnote w:type="continuationNotice" w:id="1">
    <w:p w:rsidR="00CD0E7D" w:rsidRDefault="00CD0E7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E7D" w:rsidRDefault="00CD0E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4DA" w:rsidRPr="00F90A91" w:rsidRDefault="00B654DA" w:rsidP="006C160D">
    <w:pPr>
      <w:pStyle w:val="Header"/>
      <w:ind w:left="360"/>
      <w:jc w:val="center"/>
      <w:rPr>
        <w:rFonts w:asciiTheme="minorHAnsi" w:hAnsiTheme="minorHAnsi"/>
        <w:i/>
        <w:color w:val="808080"/>
        <w:sz w:val="22"/>
      </w:rPr>
    </w:pPr>
    <w:r w:rsidRPr="000E15A0">
      <w:rPr>
        <w:rFonts w:asciiTheme="minorHAnsi" w:hAnsiTheme="minorHAnsi"/>
        <w:i/>
        <w:color w:val="808080"/>
        <w:sz w:val="22"/>
      </w:rPr>
      <w:t xml:space="preserve">Public Summary Document </w:t>
    </w:r>
    <w:r w:rsidRPr="00F90A91">
      <w:rPr>
        <w:rFonts w:asciiTheme="minorHAnsi" w:hAnsiTheme="minorHAnsi"/>
        <w:i/>
        <w:color w:val="808080"/>
        <w:sz w:val="22"/>
      </w:rPr>
      <w:t xml:space="preserve">– </w:t>
    </w:r>
    <w:r>
      <w:rPr>
        <w:rFonts w:asciiTheme="minorHAnsi" w:hAnsiTheme="minorHAnsi"/>
        <w:i/>
        <w:color w:val="808080"/>
        <w:sz w:val="22"/>
      </w:rPr>
      <w:t>July 2018</w:t>
    </w:r>
    <w:r w:rsidRPr="00F90A91">
      <w:rPr>
        <w:rFonts w:asciiTheme="minorHAnsi" w:hAnsiTheme="minorHAnsi"/>
        <w:i/>
        <w:color w:val="808080"/>
        <w:sz w:val="22"/>
      </w:rPr>
      <w:t xml:space="preserve"> PBAC Meeting</w:t>
    </w:r>
  </w:p>
  <w:p w:rsidR="00B654DA" w:rsidRDefault="00B65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E7D" w:rsidRDefault="00CD0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DB6EC1"/>
    <w:multiLevelType w:val="hybridMultilevel"/>
    <w:tmpl w:val="2E40BE3A"/>
    <w:lvl w:ilvl="0" w:tplc="04090001">
      <w:start w:val="1"/>
      <w:numFmt w:val="bullet"/>
      <w:lvlText w:val=""/>
      <w:lvlJc w:val="left"/>
      <w:pPr>
        <w:ind w:left="720" w:hanging="360"/>
      </w:pPr>
      <w:rPr>
        <w:rFonts w:ascii="Symbol" w:hAnsi="Symbol" w:hint="default"/>
      </w:rPr>
    </w:lvl>
    <w:lvl w:ilvl="1" w:tplc="612430A8">
      <w:numFmt w:val="bullet"/>
      <w:lvlText w:val="•"/>
      <w:lvlJc w:val="left"/>
      <w:pPr>
        <w:ind w:left="1440" w:hanging="360"/>
      </w:pPr>
      <w:rPr>
        <w:rFonts w:ascii="Calibri" w:eastAsia="Times New Roman"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E44DB6"/>
    <w:multiLevelType w:val="hybridMultilevel"/>
    <w:tmpl w:val="F0B620F2"/>
    <w:lvl w:ilvl="0" w:tplc="6FF2335C">
      <w:start w:val="1"/>
      <w:numFmt w:val="bullet"/>
      <w:lvlText w:val="–"/>
      <w:lvlJc w:val="left"/>
      <w:pPr>
        <w:tabs>
          <w:tab w:val="num" w:pos="720"/>
        </w:tabs>
        <w:ind w:left="720" w:hanging="360"/>
      </w:pPr>
      <w:rPr>
        <w:rFonts w:ascii="Arial" w:hAnsi="Arial" w:hint="default"/>
      </w:rPr>
    </w:lvl>
    <w:lvl w:ilvl="1" w:tplc="A0742106">
      <w:start w:val="1"/>
      <w:numFmt w:val="bullet"/>
      <w:lvlText w:val="–"/>
      <w:lvlJc w:val="left"/>
      <w:pPr>
        <w:tabs>
          <w:tab w:val="num" w:pos="1440"/>
        </w:tabs>
        <w:ind w:left="1440" w:hanging="360"/>
      </w:pPr>
      <w:rPr>
        <w:rFonts w:ascii="Arial" w:hAnsi="Arial" w:hint="default"/>
      </w:rPr>
    </w:lvl>
    <w:lvl w:ilvl="2" w:tplc="4D3C7B24" w:tentative="1">
      <w:start w:val="1"/>
      <w:numFmt w:val="bullet"/>
      <w:lvlText w:val="–"/>
      <w:lvlJc w:val="left"/>
      <w:pPr>
        <w:tabs>
          <w:tab w:val="num" w:pos="2160"/>
        </w:tabs>
        <w:ind w:left="2160" w:hanging="360"/>
      </w:pPr>
      <w:rPr>
        <w:rFonts w:ascii="Arial" w:hAnsi="Arial" w:hint="default"/>
      </w:rPr>
    </w:lvl>
    <w:lvl w:ilvl="3" w:tplc="827AFBCC" w:tentative="1">
      <w:start w:val="1"/>
      <w:numFmt w:val="bullet"/>
      <w:lvlText w:val="–"/>
      <w:lvlJc w:val="left"/>
      <w:pPr>
        <w:tabs>
          <w:tab w:val="num" w:pos="2880"/>
        </w:tabs>
        <w:ind w:left="2880" w:hanging="360"/>
      </w:pPr>
      <w:rPr>
        <w:rFonts w:ascii="Arial" w:hAnsi="Arial" w:hint="default"/>
      </w:rPr>
    </w:lvl>
    <w:lvl w:ilvl="4" w:tplc="49ACC690" w:tentative="1">
      <w:start w:val="1"/>
      <w:numFmt w:val="bullet"/>
      <w:lvlText w:val="–"/>
      <w:lvlJc w:val="left"/>
      <w:pPr>
        <w:tabs>
          <w:tab w:val="num" w:pos="3600"/>
        </w:tabs>
        <w:ind w:left="3600" w:hanging="360"/>
      </w:pPr>
      <w:rPr>
        <w:rFonts w:ascii="Arial" w:hAnsi="Arial" w:hint="default"/>
      </w:rPr>
    </w:lvl>
    <w:lvl w:ilvl="5" w:tplc="262E3BBC" w:tentative="1">
      <w:start w:val="1"/>
      <w:numFmt w:val="bullet"/>
      <w:lvlText w:val="–"/>
      <w:lvlJc w:val="left"/>
      <w:pPr>
        <w:tabs>
          <w:tab w:val="num" w:pos="4320"/>
        </w:tabs>
        <w:ind w:left="4320" w:hanging="360"/>
      </w:pPr>
      <w:rPr>
        <w:rFonts w:ascii="Arial" w:hAnsi="Arial" w:hint="default"/>
      </w:rPr>
    </w:lvl>
    <w:lvl w:ilvl="6" w:tplc="158AC7A4" w:tentative="1">
      <w:start w:val="1"/>
      <w:numFmt w:val="bullet"/>
      <w:lvlText w:val="–"/>
      <w:lvlJc w:val="left"/>
      <w:pPr>
        <w:tabs>
          <w:tab w:val="num" w:pos="5040"/>
        </w:tabs>
        <w:ind w:left="5040" w:hanging="360"/>
      </w:pPr>
      <w:rPr>
        <w:rFonts w:ascii="Arial" w:hAnsi="Arial" w:hint="default"/>
      </w:rPr>
    </w:lvl>
    <w:lvl w:ilvl="7" w:tplc="6A0CCFD0" w:tentative="1">
      <w:start w:val="1"/>
      <w:numFmt w:val="bullet"/>
      <w:lvlText w:val="–"/>
      <w:lvlJc w:val="left"/>
      <w:pPr>
        <w:tabs>
          <w:tab w:val="num" w:pos="5760"/>
        </w:tabs>
        <w:ind w:left="5760" w:hanging="360"/>
      </w:pPr>
      <w:rPr>
        <w:rFonts w:ascii="Arial" w:hAnsi="Arial" w:hint="default"/>
      </w:rPr>
    </w:lvl>
    <w:lvl w:ilvl="8" w:tplc="D54076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CD7D95"/>
    <w:multiLevelType w:val="hybridMultilevel"/>
    <w:tmpl w:val="4706485C"/>
    <w:lvl w:ilvl="0" w:tplc="431C0DDE">
      <w:start w:val="1"/>
      <w:numFmt w:val="bullet"/>
      <w:lvlText w:val="–"/>
      <w:lvlJc w:val="left"/>
      <w:pPr>
        <w:tabs>
          <w:tab w:val="num" w:pos="720"/>
        </w:tabs>
        <w:ind w:left="720" w:hanging="360"/>
      </w:pPr>
      <w:rPr>
        <w:rFonts w:ascii="Arial" w:hAnsi="Arial" w:hint="default"/>
      </w:rPr>
    </w:lvl>
    <w:lvl w:ilvl="1" w:tplc="456CAC38">
      <w:start w:val="1"/>
      <w:numFmt w:val="bullet"/>
      <w:lvlText w:val="–"/>
      <w:lvlJc w:val="left"/>
      <w:pPr>
        <w:tabs>
          <w:tab w:val="num" w:pos="1440"/>
        </w:tabs>
        <w:ind w:left="1440" w:hanging="360"/>
      </w:pPr>
      <w:rPr>
        <w:rFonts w:ascii="Arial" w:hAnsi="Arial" w:hint="default"/>
      </w:rPr>
    </w:lvl>
    <w:lvl w:ilvl="2" w:tplc="55AE63E6" w:tentative="1">
      <w:start w:val="1"/>
      <w:numFmt w:val="bullet"/>
      <w:lvlText w:val="–"/>
      <w:lvlJc w:val="left"/>
      <w:pPr>
        <w:tabs>
          <w:tab w:val="num" w:pos="2160"/>
        </w:tabs>
        <w:ind w:left="2160" w:hanging="360"/>
      </w:pPr>
      <w:rPr>
        <w:rFonts w:ascii="Arial" w:hAnsi="Arial" w:hint="default"/>
      </w:rPr>
    </w:lvl>
    <w:lvl w:ilvl="3" w:tplc="C9F66248" w:tentative="1">
      <w:start w:val="1"/>
      <w:numFmt w:val="bullet"/>
      <w:lvlText w:val="–"/>
      <w:lvlJc w:val="left"/>
      <w:pPr>
        <w:tabs>
          <w:tab w:val="num" w:pos="2880"/>
        </w:tabs>
        <w:ind w:left="2880" w:hanging="360"/>
      </w:pPr>
      <w:rPr>
        <w:rFonts w:ascii="Arial" w:hAnsi="Arial" w:hint="default"/>
      </w:rPr>
    </w:lvl>
    <w:lvl w:ilvl="4" w:tplc="BCC2D850" w:tentative="1">
      <w:start w:val="1"/>
      <w:numFmt w:val="bullet"/>
      <w:lvlText w:val="–"/>
      <w:lvlJc w:val="left"/>
      <w:pPr>
        <w:tabs>
          <w:tab w:val="num" w:pos="3600"/>
        </w:tabs>
        <w:ind w:left="3600" w:hanging="360"/>
      </w:pPr>
      <w:rPr>
        <w:rFonts w:ascii="Arial" w:hAnsi="Arial" w:hint="default"/>
      </w:rPr>
    </w:lvl>
    <w:lvl w:ilvl="5" w:tplc="F57AF738" w:tentative="1">
      <w:start w:val="1"/>
      <w:numFmt w:val="bullet"/>
      <w:lvlText w:val="–"/>
      <w:lvlJc w:val="left"/>
      <w:pPr>
        <w:tabs>
          <w:tab w:val="num" w:pos="4320"/>
        </w:tabs>
        <w:ind w:left="4320" w:hanging="360"/>
      </w:pPr>
      <w:rPr>
        <w:rFonts w:ascii="Arial" w:hAnsi="Arial" w:hint="default"/>
      </w:rPr>
    </w:lvl>
    <w:lvl w:ilvl="6" w:tplc="E550E7B0" w:tentative="1">
      <w:start w:val="1"/>
      <w:numFmt w:val="bullet"/>
      <w:lvlText w:val="–"/>
      <w:lvlJc w:val="left"/>
      <w:pPr>
        <w:tabs>
          <w:tab w:val="num" w:pos="5040"/>
        </w:tabs>
        <w:ind w:left="5040" w:hanging="360"/>
      </w:pPr>
      <w:rPr>
        <w:rFonts w:ascii="Arial" w:hAnsi="Arial" w:hint="default"/>
      </w:rPr>
    </w:lvl>
    <w:lvl w:ilvl="7" w:tplc="0382DF1C" w:tentative="1">
      <w:start w:val="1"/>
      <w:numFmt w:val="bullet"/>
      <w:lvlText w:val="–"/>
      <w:lvlJc w:val="left"/>
      <w:pPr>
        <w:tabs>
          <w:tab w:val="num" w:pos="5760"/>
        </w:tabs>
        <w:ind w:left="5760" w:hanging="360"/>
      </w:pPr>
      <w:rPr>
        <w:rFonts w:ascii="Arial" w:hAnsi="Arial" w:hint="default"/>
      </w:rPr>
    </w:lvl>
    <w:lvl w:ilvl="8" w:tplc="C98A48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446899"/>
    <w:multiLevelType w:val="multilevel"/>
    <w:tmpl w:val="C8B666D0"/>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292548"/>
    <w:multiLevelType w:val="hybridMultilevel"/>
    <w:tmpl w:val="DF4E2CEA"/>
    <w:lvl w:ilvl="0" w:tplc="834683EC">
      <w:start w:val="1"/>
      <w:numFmt w:val="bullet"/>
      <w:lvlText w:val="–"/>
      <w:lvlJc w:val="left"/>
      <w:pPr>
        <w:tabs>
          <w:tab w:val="num" w:pos="720"/>
        </w:tabs>
        <w:ind w:left="720" w:hanging="360"/>
      </w:pPr>
      <w:rPr>
        <w:rFonts w:ascii="Arial" w:hAnsi="Arial" w:hint="default"/>
      </w:rPr>
    </w:lvl>
    <w:lvl w:ilvl="1" w:tplc="8898D5DC">
      <w:start w:val="1"/>
      <w:numFmt w:val="bullet"/>
      <w:lvlText w:val="–"/>
      <w:lvlJc w:val="left"/>
      <w:pPr>
        <w:tabs>
          <w:tab w:val="num" w:pos="1440"/>
        </w:tabs>
        <w:ind w:left="1440" w:hanging="360"/>
      </w:pPr>
      <w:rPr>
        <w:rFonts w:ascii="Arial" w:hAnsi="Arial" w:hint="default"/>
      </w:rPr>
    </w:lvl>
    <w:lvl w:ilvl="2" w:tplc="0E7AC6E8" w:tentative="1">
      <w:start w:val="1"/>
      <w:numFmt w:val="bullet"/>
      <w:lvlText w:val="–"/>
      <w:lvlJc w:val="left"/>
      <w:pPr>
        <w:tabs>
          <w:tab w:val="num" w:pos="2160"/>
        </w:tabs>
        <w:ind w:left="2160" w:hanging="360"/>
      </w:pPr>
      <w:rPr>
        <w:rFonts w:ascii="Arial" w:hAnsi="Arial" w:hint="default"/>
      </w:rPr>
    </w:lvl>
    <w:lvl w:ilvl="3" w:tplc="62584BD4" w:tentative="1">
      <w:start w:val="1"/>
      <w:numFmt w:val="bullet"/>
      <w:lvlText w:val="–"/>
      <w:lvlJc w:val="left"/>
      <w:pPr>
        <w:tabs>
          <w:tab w:val="num" w:pos="2880"/>
        </w:tabs>
        <w:ind w:left="2880" w:hanging="360"/>
      </w:pPr>
      <w:rPr>
        <w:rFonts w:ascii="Arial" w:hAnsi="Arial" w:hint="default"/>
      </w:rPr>
    </w:lvl>
    <w:lvl w:ilvl="4" w:tplc="621081AE" w:tentative="1">
      <w:start w:val="1"/>
      <w:numFmt w:val="bullet"/>
      <w:lvlText w:val="–"/>
      <w:lvlJc w:val="left"/>
      <w:pPr>
        <w:tabs>
          <w:tab w:val="num" w:pos="3600"/>
        </w:tabs>
        <w:ind w:left="3600" w:hanging="360"/>
      </w:pPr>
      <w:rPr>
        <w:rFonts w:ascii="Arial" w:hAnsi="Arial" w:hint="default"/>
      </w:rPr>
    </w:lvl>
    <w:lvl w:ilvl="5" w:tplc="61568306" w:tentative="1">
      <w:start w:val="1"/>
      <w:numFmt w:val="bullet"/>
      <w:lvlText w:val="–"/>
      <w:lvlJc w:val="left"/>
      <w:pPr>
        <w:tabs>
          <w:tab w:val="num" w:pos="4320"/>
        </w:tabs>
        <w:ind w:left="4320" w:hanging="360"/>
      </w:pPr>
      <w:rPr>
        <w:rFonts w:ascii="Arial" w:hAnsi="Arial" w:hint="default"/>
      </w:rPr>
    </w:lvl>
    <w:lvl w:ilvl="6" w:tplc="19EE48E8" w:tentative="1">
      <w:start w:val="1"/>
      <w:numFmt w:val="bullet"/>
      <w:lvlText w:val="–"/>
      <w:lvlJc w:val="left"/>
      <w:pPr>
        <w:tabs>
          <w:tab w:val="num" w:pos="5040"/>
        </w:tabs>
        <w:ind w:left="5040" w:hanging="360"/>
      </w:pPr>
      <w:rPr>
        <w:rFonts w:ascii="Arial" w:hAnsi="Arial" w:hint="default"/>
      </w:rPr>
    </w:lvl>
    <w:lvl w:ilvl="7" w:tplc="83141A96" w:tentative="1">
      <w:start w:val="1"/>
      <w:numFmt w:val="bullet"/>
      <w:lvlText w:val="–"/>
      <w:lvlJc w:val="left"/>
      <w:pPr>
        <w:tabs>
          <w:tab w:val="num" w:pos="5760"/>
        </w:tabs>
        <w:ind w:left="5760" w:hanging="360"/>
      </w:pPr>
      <w:rPr>
        <w:rFonts w:ascii="Arial" w:hAnsi="Arial" w:hint="default"/>
      </w:rPr>
    </w:lvl>
    <w:lvl w:ilvl="8" w:tplc="3C3C2F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5C4FAD"/>
    <w:multiLevelType w:val="hybridMultilevel"/>
    <w:tmpl w:val="B9F6A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1D15189"/>
    <w:multiLevelType w:val="hybridMultilevel"/>
    <w:tmpl w:val="557039EC"/>
    <w:lvl w:ilvl="0" w:tplc="5C8485D6">
      <w:start w:val="1"/>
      <w:numFmt w:val="bullet"/>
      <w:lvlText w:val="•"/>
      <w:lvlJc w:val="left"/>
      <w:pPr>
        <w:tabs>
          <w:tab w:val="num" w:pos="720"/>
        </w:tabs>
        <w:ind w:left="720" w:hanging="360"/>
      </w:pPr>
      <w:rPr>
        <w:rFonts w:ascii="Arial" w:hAnsi="Arial" w:hint="default"/>
      </w:rPr>
    </w:lvl>
    <w:lvl w:ilvl="1" w:tplc="D890A560" w:tentative="1">
      <w:start w:val="1"/>
      <w:numFmt w:val="bullet"/>
      <w:lvlText w:val="•"/>
      <w:lvlJc w:val="left"/>
      <w:pPr>
        <w:tabs>
          <w:tab w:val="num" w:pos="1440"/>
        </w:tabs>
        <w:ind w:left="1440" w:hanging="360"/>
      </w:pPr>
      <w:rPr>
        <w:rFonts w:ascii="Arial" w:hAnsi="Arial" w:hint="default"/>
      </w:rPr>
    </w:lvl>
    <w:lvl w:ilvl="2" w:tplc="006A2D06" w:tentative="1">
      <w:start w:val="1"/>
      <w:numFmt w:val="bullet"/>
      <w:lvlText w:val="•"/>
      <w:lvlJc w:val="left"/>
      <w:pPr>
        <w:tabs>
          <w:tab w:val="num" w:pos="2160"/>
        </w:tabs>
        <w:ind w:left="2160" w:hanging="360"/>
      </w:pPr>
      <w:rPr>
        <w:rFonts w:ascii="Arial" w:hAnsi="Arial" w:hint="default"/>
      </w:rPr>
    </w:lvl>
    <w:lvl w:ilvl="3" w:tplc="C6F2D17E" w:tentative="1">
      <w:start w:val="1"/>
      <w:numFmt w:val="bullet"/>
      <w:lvlText w:val="•"/>
      <w:lvlJc w:val="left"/>
      <w:pPr>
        <w:tabs>
          <w:tab w:val="num" w:pos="2880"/>
        </w:tabs>
        <w:ind w:left="2880" w:hanging="360"/>
      </w:pPr>
      <w:rPr>
        <w:rFonts w:ascii="Arial" w:hAnsi="Arial" w:hint="default"/>
      </w:rPr>
    </w:lvl>
    <w:lvl w:ilvl="4" w:tplc="62408E28" w:tentative="1">
      <w:start w:val="1"/>
      <w:numFmt w:val="bullet"/>
      <w:lvlText w:val="•"/>
      <w:lvlJc w:val="left"/>
      <w:pPr>
        <w:tabs>
          <w:tab w:val="num" w:pos="3600"/>
        </w:tabs>
        <w:ind w:left="3600" w:hanging="360"/>
      </w:pPr>
      <w:rPr>
        <w:rFonts w:ascii="Arial" w:hAnsi="Arial" w:hint="default"/>
      </w:rPr>
    </w:lvl>
    <w:lvl w:ilvl="5" w:tplc="18CC99F6" w:tentative="1">
      <w:start w:val="1"/>
      <w:numFmt w:val="bullet"/>
      <w:lvlText w:val="•"/>
      <w:lvlJc w:val="left"/>
      <w:pPr>
        <w:tabs>
          <w:tab w:val="num" w:pos="4320"/>
        </w:tabs>
        <w:ind w:left="4320" w:hanging="360"/>
      </w:pPr>
      <w:rPr>
        <w:rFonts w:ascii="Arial" w:hAnsi="Arial" w:hint="default"/>
      </w:rPr>
    </w:lvl>
    <w:lvl w:ilvl="6" w:tplc="2154DDD4" w:tentative="1">
      <w:start w:val="1"/>
      <w:numFmt w:val="bullet"/>
      <w:lvlText w:val="•"/>
      <w:lvlJc w:val="left"/>
      <w:pPr>
        <w:tabs>
          <w:tab w:val="num" w:pos="5040"/>
        </w:tabs>
        <w:ind w:left="5040" w:hanging="360"/>
      </w:pPr>
      <w:rPr>
        <w:rFonts w:ascii="Arial" w:hAnsi="Arial" w:hint="default"/>
      </w:rPr>
    </w:lvl>
    <w:lvl w:ilvl="7" w:tplc="880EFEE2" w:tentative="1">
      <w:start w:val="1"/>
      <w:numFmt w:val="bullet"/>
      <w:lvlText w:val="•"/>
      <w:lvlJc w:val="left"/>
      <w:pPr>
        <w:tabs>
          <w:tab w:val="num" w:pos="5760"/>
        </w:tabs>
        <w:ind w:left="5760" w:hanging="360"/>
      </w:pPr>
      <w:rPr>
        <w:rFonts w:ascii="Arial" w:hAnsi="Arial" w:hint="default"/>
      </w:rPr>
    </w:lvl>
    <w:lvl w:ilvl="8" w:tplc="C34600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9B46B91"/>
    <w:multiLevelType w:val="hybridMultilevel"/>
    <w:tmpl w:val="4BA2DA24"/>
    <w:lvl w:ilvl="0" w:tplc="0C090001">
      <w:start w:val="1"/>
      <w:numFmt w:val="bullet"/>
      <w:lvlText w:val=""/>
      <w:lvlJc w:val="left"/>
      <w:pPr>
        <w:ind w:left="1080" w:hanging="360"/>
      </w:pPr>
      <w:rPr>
        <w:rFonts w:ascii="Symbol" w:hAnsi="Symbol" w:hint="default"/>
        <w:i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BC40D31"/>
    <w:multiLevelType w:val="hybridMultilevel"/>
    <w:tmpl w:val="6716556A"/>
    <w:lvl w:ilvl="0" w:tplc="2BF6C6C4">
      <w:start w:val="1"/>
      <w:numFmt w:val="bullet"/>
      <w:lvlText w:val="–"/>
      <w:lvlJc w:val="left"/>
      <w:pPr>
        <w:tabs>
          <w:tab w:val="num" w:pos="720"/>
        </w:tabs>
        <w:ind w:left="720" w:hanging="360"/>
      </w:pPr>
      <w:rPr>
        <w:rFonts w:ascii="Arial" w:hAnsi="Arial" w:hint="default"/>
      </w:rPr>
    </w:lvl>
    <w:lvl w:ilvl="1" w:tplc="08E6A6AA">
      <w:start w:val="1"/>
      <w:numFmt w:val="bullet"/>
      <w:lvlText w:val="–"/>
      <w:lvlJc w:val="left"/>
      <w:pPr>
        <w:tabs>
          <w:tab w:val="num" w:pos="1440"/>
        </w:tabs>
        <w:ind w:left="1440" w:hanging="360"/>
      </w:pPr>
      <w:rPr>
        <w:rFonts w:ascii="Arial" w:hAnsi="Arial" w:hint="default"/>
      </w:rPr>
    </w:lvl>
    <w:lvl w:ilvl="2" w:tplc="511E5B64" w:tentative="1">
      <w:start w:val="1"/>
      <w:numFmt w:val="bullet"/>
      <w:lvlText w:val="–"/>
      <w:lvlJc w:val="left"/>
      <w:pPr>
        <w:tabs>
          <w:tab w:val="num" w:pos="2160"/>
        </w:tabs>
        <w:ind w:left="2160" w:hanging="360"/>
      </w:pPr>
      <w:rPr>
        <w:rFonts w:ascii="Arial" w:hAnsi="Arial" w:hint="default"/>
      </w:rPr>
    </w:lvl>
    <w:lvl w:ilvl="3" w:tplc="68EA4D7A" w:tentative="1">
      <w:start w:val="1"/>
      <w:numFmt w:val="bullet"/>
      <w:lvlText w:val="–"/>
      <w:lvlJc w:val="left"/>
      <w:pPr>
        <w:tabs>
          <w:tab w:val="num" w:pos="2880"/>
        </w:tabs>
        <w:ind w:left="2880" w:hanging="360"/>
      </w:pPr>
      <w:rPr>
        <w:rFonts w:ascii="Arial" w:hAnsi="Arial" w:hint="default"/>
      </w:rPr>
    </w:lvl>
    <w:lvl w:ilvl="4" w:tplc="BCCECEBE" w:tentative="1">
      <w:start w:val="1"/>
      <w:numFmt w:val="bullet"/>
      <w:lvlText w:val="–"/>
      <w:lvlJc w:val="left"/>
      <w:pPr>
        <w:tabs>
          <w:tab w:val="num" w:pos="3600"/>
        </w:tabs>
        <w:ind w:left="3600" w:hanging="360"/>
      </w:pPr>
      <w:rPr>
        <w:rFonts w:ascii="Arial" w:hAnsi="Arial" w:hint="default"/>
      </w:rPr>
    </w:lvl>
    <w:lvl w:ilvl="5" w:tplc="E16EDC2A" w:tentative="1">
      <w:start w:val="1"/>
      <w:numFmt w:val="bullet"/>
      <w:lvlText w:val="–"/>
      <w:lvlJc w:val="left"/>
      <w:pPr>
        <w:tabs>
          <w:tab w:val="num" w:pos="4320"/>
        </w:tabs>
        <w:ind w:left="4320" w:hanging="360"/>
      </w:pPr>
      <w:rPr>
        <w:rFonts w:ascii="Arial" w:hAnsi="Arial" w:hint="default"/>
      </w:rPr>
    </w:lvl>
    <w:lvl w:ilvl="6" w:tplc="B2502CC0" w:tentative="1">
      <w:start w:val="1"/>
      <w:numFmt w:val="bullet"/>
      <w:lvlText w:val="–"/>
      <w:lvlJc w:val="left"/>
      <w:pPr>
        <w:tabs>
          <w:tab w:val="num" w:pos="5040"/>
        </w:tabs>
        <w:ind w:left="5040" w:hanging="360"/>
      </w:pPr>
      <w:rPr>
        <w:rFonts w:ascii="Arial" w:hAnsi="Arial" w:hint="default"/>
      </w:rPr>
    </w:lvl>
    <w:lvl w:ilvl="7" w:tplc="064A80A4" w:tentative="1">
      <w:start w:val="1"/>
      <w:numFmt w:val="bullet"/>
      <w:lvlText w:val="–"/>
      <w:lvlJc w:val="left"/>
      <w:pPr>
        <w:tabs>
          <w:tab w:val="num" w:pos="5760"/>
        </w:tabs>
        <w:ind w:left="5760" w:hanging="360"/>
      </w:pPr>
      <w:rPr>
        <w:rFonts w:ascii="Arial" w:hAnsi="Arial" w:hint="default"/>
      </w:rPr>
    </w:lvl>
    <w:lvl w:ilvl="8" w:tplc="942E56F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E8F4087"/>
    <w:multiLevelType w:val="hybridMultilevel"/>
    <w:tmpl w:val="6DCE1354"/>
    <w:lvl w:ilvl="0" w:tplc="B5783840">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442297"/>
    <w:multiLevelType w:val="hybridMultilevel"/>
    <w:tmpl w:val="EC32BA46"/>
    <w:lvl w:ilvl="0" w:tplc="826ABD3A">
      <w:start w:val="1"/>
      <w:numFmt w:val="bullet"/>
      <w:pStyle w:val="Bulletpoints"/>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B6FA6"/>
    <w:multiLevelType w:val="hybridMultilevel"/>
    <w:tmpl w:val="E6ECA0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9778AD"/>
    <w:multiLevelType w:val="hybridMultilevel"/>
    <w:tmpl w:val="B220062A"/>
    <w:lvl w:ilvl="0" w:tplc="B80A0452">
      <w:start w:val="1"/>
      <w:numFmt w:val="bullet"/>
      <w:lvlText w:val="–"/>
      <w:lvlJc w:val="left"/>
      <w:pPr>
        <w:tabs>
          <w:tab w:val="num" w:pos="720"/>
        </w:tabs>
        <w:ind w:left="720" w:hanging="360"/>
      </w:pPr>
      <w:rPr>
        <w:rFonts w:ascii="Arial" w:hAnsi="Arial" w:hint="default"/>
      </w:rPr>
    </w:lvl>
    <w:lvl w:ilvl="1" w:tplc="06426744">
      <w:start w:val="1"/>
      <w:numFmt w:val="bullet"/>
      <w:lvlText w:val="–"/>
      <w:lvlJc w:val="left"/>
      <w:pPr>
        <w:tabs>
          <w:tab w:val="num" w:pos="1440"/>
        </w:tabs>
        <w:ind w:left="1440" w:hanging="360"/>
      </w:pPr>
      <w:rPr>
        <w:rFonts w:ascii="Arial" w:hAnsi="Arial" w:hint="default"/>
      </w:rPr>
    </w:lvl>
    <w:lvl w:ilvl="2" w:tplc="39143D50" w:tentative="1">
      <w:start w:val="1"/>
      <w:numFmt w:val="bullet"/>
      <w:lvlText w:val="–"/>
      <w:lvlJc w:val="left"/>
      <w:pPr>
        <w:tabs>
          <w:tab w:val="num" w:pos="2160"/>
        </w:tabs>
        <w:ind w:left="2160" w:hanging="360"/>
      </w:pPr>
      <w:rPr>
        <w:rFonts w:ascii="Arial" w:hAnsi="Arial" w:hint="default"/>
      </w:rPr>
    </w:lvl>
    <w:lvl w:ilvl="3" w:tplc="701EA032" w:tentative="1">
      <w:start w:val="1"/>
      <w:numFmt w:val="bullet"/>
      <w:lvlText w:val="–"/>
      <w:lvlJc w:val="left"/>
      <w:pPr>
        <w:tabs>
          <w:tab w:val="num" w:pos="2880"/>
        </w:tabs>
        <w:ind w:left="2880" w:hanging="360"/>
      </w:pPr>
      <w:rPr>
        <w:rFonts w:ascii="Arial" w:hAnsi="Arial" w:hint="default"/>
      </w:rPr>
    </w:lvl>
    <w:lvl w:ilvl="4" w:tplc="3168DE00" w:tentative="1">
      <w:start w:val="1"/>
      <w:numFmt w:val="bullet"/>
      <w:lvlText w:val="–"/>
      <w:lvlJc w:val="left"/>
      <w:pPr>
        <w:tabs>
          <w:tab w:val="num" w:pos="3600"/>
        </w:tabs>
        <w:ind w:left="3600" w:hanging="360"/>
      </w:pPr>
      <w:rPr>
        <w:rFonts w:ascii="Arial" w:hAnsi="Arial" w:hint="default"/>
      </w:rPr>
    </w:lvl>
    <w:lvl w:ilvl="5" w:tplc="58228EBA" w:tentative="1">
      <w:start w:val="1"/>
      <w:numFmt w:val="bullet"/>
      <w:lvlText w:val="–"/>
      <w:lvlJc w:val="left"/>
      <w:pPr>
        <w:tabs>
          <w:tab w:val="num" w:pos="4320"/>
        </w:tabs>
        <w:ind w:left="4320" w:hanging="360"/>
      </w:pPr>
      <w:rPr>
        <w:rFonts w:ascii="Arial" w:hAnsi="Arial" w:hint="default"/>
      </w:rPr>
    </w:lvl>
    <w:lvl w:ilvl="6" w:tplc="E22AE490" w:tentative="1">
      <w:start w:val="1"/>
      <w:numFmt w:val="bullet"/>
      <w:lvlText w:val="–"/>
      <w:lvlJc w:val="left"/>
      <w:pPr>
        <w:tabs>
          <w:tab w:val="num" w:pos="5040"/>
        </w:tabs>
        <w:ind w:left="5040" w:hanging="360"/>
      </w:pPr>
      <w:rPr>
        <w:rFonts w:ascii="Arial" w:hAnsi="Arial" w:hint="default"/>
      </w:rPr>
    </w:lvl>
    <w:lvl w:ilvl="7" w:tplc="134E130E" w:tentative="1">
      <w:start w:val="1"/>
      <w:numFmt w:val="bullet"/>
      <w:lvlText w:val="–"/>
      <w:lvlJc w:val="left"/>
      <w:pPr>
        <w:tabs>
          <w:tab w:val="num" w:pos="5760"/>
        </w:tabs>
        <w:ind w:left="5760" w:hanging="360"/>
      </w:pPr>
      <w:rPr>
        <w:rFonts w:ascii="Arial" w:hAnsi="Arial" w:hint="default"/>
      </w:rPr>
    </w:lvl>
    <w:lvl w:ilvl="8" w:tplc="6C4866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DDF06DB"/>
    <w:multiLevelType w:val="multilevel"/>
    <w:tmpl w:val="F0EE6B9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3704C5"/>
    <w:multiLevelType w:val="multilevel"/>
    <w:tmpl w:val="78723DB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5CA3927"/>
    <w:multiLevelType w:val="hybridMultilevel"/>
    <w:tmpl w:val="575E4C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6821198B"/>
    <w:multiLevelType w:val="hybridMultilevel"/>
    <w:tmpl w:val="1F3800C2"/>
    <w:lvl w:ilvl="0" w:tplc="4C6413B8">
      <w:start w:val="1"/>
      <w:numFmt w:val="bullet"/>
      <w:lvlText w:val="–"/>
      <w:lvlJc w:val="left"/>
      <w:pPr>
        <w:tabs>
          <w:tab w:val="num" w:pos="720"/>
        </w:tabs>
        <w:ind w:left="720" w:hanging="360"/>
      </w:pPr>
      <w:rPr>
        <w:rFonts w:ascii="Arial" w:hAnsi="Arial" w:hint="default"/>
      </w:rPr>
    </w:lvl>
    <w:lvl w:ilvl="1" w:tplc="EAE4B882">
      <w:start w:val="1"/>
      <w:numFmt w:val="bullet"/>
      <w:lvlText w:val="–"/>
      <w:lvlJc w:val="left"/>
      <w:pPr>
        <w:tabs>
          <w:tab w:val="num" w:pos="1440"/>
        </w:tabs>
        <w:ind w:left="1440" w:hanging="360"/>
      </w:pPr>
      <w:rPr>
        <w:rFonts w:ascii="Arial" w:hAnsi="Arial" w:hint="default"/>
      </w:rPr>
    </w:lvl>
    <w:lvl w:ilvl="2" w:tplc="C6EE1F10" w:tentative="1">
      <w:start w:val="1"/>
      <w:numFmt w:val="bullet"/>
      <w:lvlText w:val="–"/>
      <w:lvlJc w:val="left"/>
      <w:pPr>
        <w:tabs>
          <w:tab w:val="num" w:pos="2160"/>
        </w:tabs>
        <w:ind w:left="2160" w:hanging="360"/>
      </w:pPr>
      <w:rPr>
        <w:rFonts w:ascii="Arial" w:hAnsi="Arial" w:hint="default"/>
      </w:rPr>
    </w:lvl>
    <w:lvl w:ilvl="3" w:tplc="1E807C98" w:tentative="1">
      <w:start w:val="1"/>
      <w:numFmt w:val="bullet"/>
      <w:lvlText w:val="–"/>
      <w:lvlJc w:val="left"/>
      <w:pPr>
        <w:tabs>
          <w:tab w:val="num" w:pos="2880"/>
        </w:tabs>
        <w:ind w:left="2880" w:hanging="360"/>
      </w:pPr>
      <w:rPr>
        <w:rFonts w:ascii="Arial" w:hAnsi="Arial" w:hint="default"/>
      </w:rPr>
    </w:lvl>
    <w:lvl w:ilvl="4" w:tplc="4B7AD8B2" w:tentative="1">
      <w:start w:val="1"/>
      <w:numFmt w:val="bullet"/>
      <w:lvlText w:val="–"/>
      <w:lvlJc w:val="left"/>
      <w:pPr>
        <w:tabs>
          <w:tab w:val="num" w:pos="3600"/>
        </w:tabs>
        <w:ind w:left="3600" w:hanging="360"/>
      </w:pPr>
      <w:rPr>
        <w:rFonts w:ascii="Arial" w:hAnsi="Arial" w:hint="default"/>
      </w:rPr>
    </w:lvl>
    <w:lvl w:ilvl="5" w:tplc="BC42E070" w:tentative="1">
      <w:start w:val="1"/>
      <w:numFmt w:val="bullet"/>
      <w:lvlText w:val="–"/>
      <w:lvlJc w:val="left"/>
      <w:pPr>
        <w:tabs>
          <w:tab w:val="num" w:pos="4320"/>
        </w:tabs>
        <w:ind w:left="4320" w:hanging="360"/>
      </w:pPr>
      <w:rPr>
        <w:rFonts w:ascii="Arial" w:hAnsi="Arial" w:hint="default"/>
      </w:rPr>
    </w:lvl>
    <w:lvl w:ilvl="6" w:tplc="A4FCC6CE" w:tentative="1">
      <w:start w:val="1"/>
      <w:numFmt w:val="bullet"/>
      <w:lvlText w:val="–"/>
      <w:lvlJc w:val="left"/>
      <w:pPr>
        <w:tabs>
          <w:tab w:val="num" w:pos="5040"/>
        </w:tabs>
        <w:ind w:left="5040" w:hanging="360"/>
      </w:pPr>
      <w:rPr>
        <w:rFonts w:ascii="Arial" w:hAnsi="Arial" w:hint="default"/>
      </w:rPr>
    </w:lvl>
    <w:lvl w:ilvl="7" w:tplc="59F0E404" w:tentative="1">
      <w:start w:val="1"/>
      <w:numFmt w:val="bullet"/>
      <w:lvlText w:val="–"/>
      <w:lvlJc w:val="left"/>
      <w:pPr>
        <w:tabs>
          <w:tab w:val="num" w:pos="5760"/>
        </w:tabs>
        <w:ind w:left="5760" w:hanging="360"/>
      </w:pPr>
      <w:rPr>
        <w:rFonts w:ascii="Arial" w:hAnsi="Arial" w:hint="default"/>
      </w:rPr>
    </w:lvl>
    <w:lvl w:ilvl="8" w:tplc="0B8C5A0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84D033C"/>
    <w:multiLevelType w:val="multilevel"/>
    <w:tmpl w:val="A1BAE88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5A14A4"/>
    <w:multiLevelType w:val="hybridMultilevel"/>
    <w:tmpl w:val="F08022EA"/>
    <w:lvl w:ilvl="0" w:tplc="546639F6">
      <w:start w:val="2024"/>
      <w:numFmt w:val="bullet"/>
      <w:lvlText w:val="-"/>
      <w:lvlJc w:val="left"/>
      <w:pPr>
        <w:ind w:left="720" w:hanging="360"/>
      </w:pPr>
      <w:rPr>
        <w:rFonts w:ascii="Arial Narrow" w:eastAsia="Times New Roman" w:hAnsi="Arial Narro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13"/>
  </w:num>
  <w:num w:numId="4">
    <w:abstractNumId w:val="23"/>
  </w:num>
  <w:num w:numId="5">
    <w:abstractNumId w:val="18"/>
  </w:num>
  <w:num w:numId="6">
    <w:abstractNumId w:val="19"/>
  </w:num>
  <w:num w:numId="7">
    <w:abstractNumId w:val="20"/>
  </w:num>
  <w:num w:numId="8">
    <w:abstractNumId w:val="10"/>
  </w:num>
  <w:num w:numId="9">
    <w:abstractNumId w:val="5"/>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2"/>
  </w:num>
  <w:num w:numId="17">
    <w:abstractNumId w:val="7"/>
  </w:num>
  <w:num w:numId="18">
    <w:abstractNumId w:val="15"/>
  </w:num>
  <w:num w:numId="19">
    <w:abstractNumId w:val="16"/>
  </w:num>
  <w:num w:numId="20">
    <w:abstractNumId w:val="2"/>
  </w:num>
  <w:num w:numId="21">
    <w:abstractNumId w:val="0"/>
  </w:num>
  <w:num w:numId="22">
    <w:abstractNumId w:val="8"/>
  </w:num>
  <w:num w:numId="23">
    <w:abstractNumId w:val="3"/>
  </w:num>
  <w:num w:numId="24">
    <w:abstractNumId w:val="6"/>
  </w:num>
  <w:num w:numId="25">
    <w:abstractNumId w:val="4"/>
  </w:num>
  <w:num w:numId="26">
    <w:abstractNumId w:val="9"/>
  </w:num>
  <w:num w:numId="27">
    <w:abstractNumId w:val="11"/>
  </w:num>
  <w:num w:numId="28">
    <w:abstractNumId w:val="21"/>
  </w:num>
  <w:num w:numId="29">
    <w:abstractNumId w:val="17"/>
  </w:num>
  <w:num w:numId="30">
    <w:abstractNumId w:val="14"/>
  </w:num>
  <w:num w:numId="31">
    <w:abstractNumId w:val="22"/>
  </w:num>
  <w:num w:numId="32">
    <w:abstractNumId w:val="22"/>
  </w:num>
  <w:num w:numId="33">
    <w:abstractNumId w:val="22"/>
  </w:num>
  <w:num w:numId="34">
    <w:abstractNumId w:val="22"/>
  </w:num>
  <w:num w:numId="35">
    <w:abstractNumId w:val="22"/>
  </w:num>
  <w:num w:numId="36">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D2661DB-4B6D-4384-B1B1-22B3E72C45AD}"/>
    <w:docVar w:name="dgnword-eventsink" w:val="416531568"/>
  </w:docVars>
  <w:rsids>
    <w:rsidRoot w:val="00E65E79"/>
    <w:rsid w:val="00000299"/>
    <w:rsid w:val="00000790"/>
    <w:rsid w:val="0000110B"/>
    <w:rsid w:val="000023C5"/>
    <w:rsid w:val="000029F9"/>
    <w:rsid w:val="00003499"/>
    <w:rsid w:val="000039B7"/>
    <w:rsid w:val="00004192"/>
    <w:rsid w:val="0000645F"/>
    <w:rsid w:val="00006D96"/>
    <w:rsid w:val="0000761D"/>
    <w:rsid w:val="00007AAC"/>
    <w:rsid w:val="00010E7B"/>
    <w:rsid w:val="00012BB5"/>
    <w:rsid w:val="00013247"/>
    <w:rsid w:val="00015886"/>
    <w:rsid w:val="000162EF"/>
    <w:rsid w:val="000219EE"/>
    <w:rsid w:val="0002225F"/>
    <w:rsid w:val="000224BD"/>
    <w:rsid w:val="00022F02"/>
    <w:rsid w:val="00023763"/>
    <w:rsid w:val="00024647"/>
    <w:rsid w:val="00025F99"/>
    <w:rsid w:val="00027591"/>
    <w:rsid w:val="00027F5C"/>
    <w:rsid w:val="00033863"/>
    <w:rsid w:val="0003454D"/>
    <w:rsid w:val="00035031"/>
    <w:rsid w:val="00035DC0"/>
    <w:rsid w:val="00036524"/>
    <w:rsid w:val="00036829"/>
    <w:rsid w:val="00037095"/>
    <w:rsid w:val="000371C5"/>
    <w:rsid w:val="00037F8B"/>
    <w:rsid w:val="00040738"/>
    <w:rsid w:val="00040895"/>
    <w:rsid w:val="00043282"/>
    <w:rsid w:val="00043C37"/>
    <w:rsid w:val="00045017"/>
    <w:rsid w:val="00045A2B"/>
    <w:rsid w:val="0004630D"/>
    <w:rsid w:val="0004698F"/>
    <w:rsid w:val="00047871"/>
    <w:rsid w:val="0005051A"/>
    <w:rsid w:val="000539B7"/>
    <w:rsid w:val="000539D0"/>
    <w:rsid w:val="00053BE6"/>
    <w:rsid w:val="00054621"/>
    <w:rsid w:val="000546D7"/>
    <w:rsid w:val="00056BD7"/>
    <w:rsid w:val="00060602"/>
    <w:rsid w:val="00061635"/>
    <w:rsid w:val="00062F9F"/>
    <w:rsid w:val="00065712"/>
    <w:rsid w:val="00066360"/>
    <w:rsid w:val="00067258"/>
    <w:rsid w:val="00070EF5"/>
    <w:rsid w:val="00071248"/>
    <w:rsid w:val="000719A2"/>
    <w:rsid w:val="000720B9"/>
    <w:rsid w:val="000724AD"/>
    <w:rsid w:val="00073582"/>
    <w:rsid w:val="000737F7"/>
    <w:rsid w:val="0007489C"/>
    <w:rsid w:val="00075D41"/>
    <w:rsid w:val="0007620B"/>
    <w:rsid w:val="000762EB"/>
    <w:rsid w:val="000764D3"/>
    <w:rsid w:val="0007672F"/>
    <w:rsid w:val="000774F0"/>
    <w:rsid w:val="00077FBA"/>
    <w:rsid w:val="000800D8"/>
    <w:rsid w:val="000802F8"/>
    <w:rsid w:val="00080909"/>
    <w:rsid w:val="00080EA7"/>
    <w:rsid w:val="000812CA"/>
    <w:rsid w:val="0008191C"/>
    <w:rsid w:val="000821EB"/>
    <w:rsid w:val="0008258D"/>
    <w:rsid w:val="00082BFF"/>
    <w:rsid w:val="00082EDC"/>
    <w:rsid w:val="000832FF"/>
    <w:rsid w:val="00083342"/>
    <w:rsid w:val="00083CD8"/>
    <w:rsid w:val="00083E99"/>
    <w:rsid w:val="000849AA"/>
    <w:rsid w:val="000856C5"/>
    <w:rsid w:val="00085777"/>
    <w:rsid w:val="0008662B"/>
    <w:rsid w:val="00086C84"/>
    <w:rsid w:val="00090C7E"/>
    <w:rsid w:val="0009173D"/>
    <w:rsid w:val="00092600"/>
    <w:rsid w:val="0009262B"/>
    <w:rsid w:val="00093310"/>
    <w:rsid w:val="0009445C"/>
    <w:rsid w:val="000946E6"/>
    <w:rsid w:val="000950BC"/>
    <w:rsid w:val="00095FE5"/>
    <w:rsid w:val="00096284"/>
    <w:rsid w:val="000A0710"/>
    <w:rsid w:val="000A19A8"/>
    <w:rsid w:val="000A26B6"/>
    <w:rsid w:val="000A2B38"/>
    <w:rsid w:val="000A61A0"/>
    <w:rsid w:val="000A7D08"/>
    <w:rsid w:val="000B0670"/>
    <w:rsid w:val="000B0D11"/>
    <w:rsid w:val="000B0E75"/>
    <w:rsid w:val="000B53FA"/>
    <w:rsid w:val="000B5E29"/>
    <w:rsid w:val="000B694F"/>
    <w:rsid w:val="000B6CAC"/>
    <w:rsid w:val="000B7600"/>
    <w:rsid w:val="000B7612"/>
    <w:rsid w:val="000C091F"/>
    <w:rsid w:val="000C2A6D"/>
    <w:rsid w:val="000C3DF9"/>
    <w:rsid w:val="000C4C28"/>
    <w:rsid w:val="000C597A"/>
    <w:rsid w:val="000C5B22"/>
    <w:rsid w:val="000C5D74"/>
    <w:rsid w:val="000C6713"/>
    <w:rsid w:val="000C7670"/>
    <w:rsid w:val="000D06EA"/>
    <w:rsid w:val="000D07E9"/>
    <w:rsid w:val="000D1BFC"/>
    <w:rsid w:val="000D281A"/>
    <w:rsid w:val="000D2C76"/>
    <w:rsid w:val="000D326A"/>
    <w:rsid w:val="000D51FB"/>
    <w:rsid w:val="000D6166"/>
    <w:rsid w:val="000D7C2A"/>
    <w:rsid w:val="000E02BB"/>
    <w:rsid w:val="000E0BB9"/>
    <w:rsid w:val="000E135D"/>
    <w:rsid w:val="000E15A0"/>
    <w:rsid w:val="000E368C"/>
    <w:rsid w:val="000E4343"/>
    <w:rsid w:val="000E4361"/>
    <w:rsid w:val="000E48BB"/>
    <w:rsid w:val="000F00BA"/>
    <w:rsid w:val="000F18EB"/>
    <w:rsid w:val="000F316A"/>
    <w:rsid w:val="000F3C74"/>
    <w:rsid w:val="000F4BB8"/>
    <w:rsid w:val="000F4DEA"/>
    <w:rsid w:val="000F5FA3"/>
    <w:rsid w:val="000F7127"/>
    <w:rsid w:val="00100F8A"/>
    <w:rsid w:val="00103C33"/>
    <w:rsid w:val="001057FB"/>
    <w:rsid w:val="00105AE2"/>
    <w:rsid w:val="00105E20"/>
    <w:rsid w:val="00106340"/>
    <w:rsid w:val="00106B80"/>
    <w:rsid w:val="0011032E"/>
    <w:rsid w:val="00111E13"/>
    <w:rsid w:val="0011348B"/>
    <w:rsid w:val="00113559"/>
    <w:rsid w:val="001143C2"/>
    <w:rsid w:val="00115982"/>
    <w:rsid w:val="00116C53"/>
    <w:rsid w:val="001212F8"/>
    <w:rsid w:val="001214CA"/>
    <w:rsid w:val="00121799"/>
    <w:rsid w:val="001222FC"/>
    <w:rsid w:val="00122C97"/>
    <w:rsid w:val="00124A51"/>
    <w:rsid w:val="00125640"/>
    <w:rsid w:val="00126621"/>
    <w:rsid w:val="001301E9"/>
    <w:rsid w:val="00131D82"/>
    <w:rsid w:val="0013378E"/>
    <w:rsid w:val="00133D36"/>
    <w:rsid w:val="00133D6F"/>
    <w:rsid w:val="00135858"/>
    <w:rsid w:val="00137645"/>
    <w:rsid w:val="00137734"/>
    <w:rsid w:val="00137B76"/>
    <w:rsid w:val="00137BF6"/>
    <w:rsid w:val="00137DDF"/>
    <w:rsid w:val="0014015A"/>
    <w:rsid w:val="00140E99"/>
    <w:rsid w:val="0014248C"/>
    <w:rsid w:val="00142F81"/>
    <w:rsid w:val="00143A77"/>
    <w:rsid w:val="00145540"/>
    <w:rsid w:val="001456B0"/>
    <w:rsid w:val="00151D7F"/>
    <w:rsid w:val="00151FBC"/>
    <w:rsid w:val="00152DCC"/>
    <w:rsid w:val="0015332B"/>
    <w:rsid w:val="0015357F"/>
    <w:rsid w:val="00153C20"/>
    <w:rsid w:val="00154636"/>
    <w:rsid w:val="00154A65"/>
    <w:rsid w:val="001553FF"/>
    <w:rsid w:val="0015588B"/>
    <w:rsid w:val="001558C4"/>
    <w:rsid w:val="00156746"/>
    <w:rsid w:val="00157130"/>
    <w:rsid w:val="001576B1"/>
    <w:rsid w:val="00160A4C"/>
    <w:rsid w:val="00160EB8"/>
    <w:rsid w:val="001613D3"/>
    <w:rsid w:val="0016157B"/>
    <w:rsid w:val="00162913"/>
    <w:rsid w:val="00162D7A"/>
    <w:rsid w:val="00163EFF"/>
    <w:rsid w:val="00164089"/>
    <w:rsid w:val="0016456A"/>
    <w:rsid w:val="001657C2"/>
    <w:rsid w:val="001661FB"/>
    <w:rsid w:val="00172178"/>
    <w:rsid w:val="00172784"/>
    <w:rsid w:val="00172AAB"/>
    <w:rsid w:val="001734FA"/>
    <w:rsid w:val="00173565"/>
    <w:rsid w:val="00173B07"/>
    <w:rsid w:val="001747B7"/>
    <w:rsid w:val="00175EBD"/>
    <w:rsid w:val="00181D9C"/>
    <w:rsid w:val="00183992"/>
    <w:rsid w:val="00183E6F"/>
    <w:rsid w:val="00184772"/>
    <w:rsid w:val="00185F67"/>
    <w:rsid w:val="001866E4"/>
    <w:rsid w:val="00187320"/>
    <w:rsid w:val="0018752F"/>
    <w:rsid w:val="00192031"/>
    <w:rsid w:val="00193509"/>
    <w:rsid w:val="00195222"/>
    <w:rsid w:val="001975D8"/>
    <w:rsid w:val="001976E8"/>
    <w:rsid w:val="001979E9"/>
    <w:rsid w:val="001A1CA5"/>
    <w:rsid w:val="001A3624"/>
    <w:rsid w:val="001A43FA"/>
    <w:rsid w:val="001A59FB"/>
    <w:rsid w:val="001A6354"/>
    <w:rsid w:val="001A6E6F"/>
    <w:rsid w:val="001A7264"/>
    <w:rsid w:val="001A72EC"/>
    <w:rsid w:val="001A79F4"/>
    <w:rsid w:val="001A7AE8"/>
    <w:rsid w:val="001B204E"/>
    <w:rsid w:val="001B22E8"/>
    <w:rsid w:val="001B3443"/>
    <w:rsid w:val="001B4D20"/>
    <w:rsid w:val="001B5083"/>
    <w:rsid w:val="001B5BBC"/>
    <w:rsid w:val="001C0007"/>
    <w:rsid w:val="001C1142"/>
    <w:rsid w:val="001C2513"/>
    <w:rsid w:val="001C2A9B"/>
    <w:rsid w:val="001C3848"/>
    <w:rsid w:val="001C3F3E"/>
    <w:rsid w:val="001C4299"/>
    <w:rsid w:val="001C5012"/>
    <w:rsid w:val="001C5F94"/>
    <w:rsid w:val="001C6674"/>
    <w:rsid w:val="001C6E66"/>
    <w:rsid w:val="001C6E80"/>
    <w:rsid w:val="001D070A"/>
    <w:rsid w:val="001D34A8"/>
    <w:rsid w:val="001D3623"/>
    <w:rsid w:val="001D6E9F"/>
    <w:rsid w:val="001E1228"/>
    <w:rsid w:val="001E1393"/>
    <w:rsid w:val="001E238E"/>
    <w:rsid w:val="001E2483"/>
    <w:rsid w:val="001E2B1E"/>
    <w:rsid w:val="001E2EFF"/>
    <w:rsid w:val="001E30D4"/>
    <w:rsid w:val="001E4874"/>
    <w:rsid w:val="001E4F9F"/>
    <w:rsid w:val="001E52EB"/>
    <w:rsid w:val="001E61D2"/>
    <w:rsid w:val="001E6F11"/>
    <w:rsid w:val="001E6F4A"/>
    <w:rsid w:val="001E740C"/>
    <w:rsid w:val="001F1235"/>
    <w:rsid w:val="001F1CB3"/>
    <w:rsid w:val="001F286B"/>
    <w:rsid w:val="001F38B5"/>
    <w:rsid w:val="001F5397"/>
    <w:rsid w:val="001F5E89"/>
    <w:rsid w:val="001F7361"/>
    <w:rsid w:val="00200086"/>
    <w:rsid w:val="002011B0"/>
    <w:rsid w:val="00203181"/>
    <w:rsid w:val="00203783"/>
    <w:rsid w:val="0020385F"/>
    <w:rsid w:val="00203E93"/>
    <w:rsid w:val="00204864"/>
    <w:rsid w:val="00206EBE"/>
    <w:rsid w:val="00207021"/>
    <w:rsid w:val="0020732F"/>
    <w:rsid w:val="00207D00"/>
    <w:rsid w:val="002105C1"/>
    <w:rsid w:val="00210AB5"/>
    <w:rsid w:val="00211DF3"/>
    <w:rsid w:val="00212760"/>
    <w:rsid w:val="00213578"/>
    <w:rsid w:val="00217D87"/>
    <w:rsid w:val="002220A9"/>
    <w:rsid w:val="002239F7"/>
    <w:rsid w:val="00223B49"/>
    <w:rsid w:val="00224DD4"/>
    <w:rsid w:val="0022567C"/>
    <w:rsid w:val="00226EB5"/>
    <w:rsid w:val="002309CC"/>
    <w:rsid w:val="00230F03"/>
    <w:rsid w:val="00231FB0"/>
    <w:rsid w:val="0023209F"/>
    <w:rsid w:val="002323CD"/>
    <w:rsid w:val="002325E1"/>
    <w:rsid w:val="002325FB"/>
    <w:rsid w:val="00232AA5"/>
    <w:rsid w:val="002335A8"/>
    <w:rsid w:val="00234693"/>
    <w:rsid w:val="002348BB"/>
    <w:rsid w:val="002349A1"/>
    <w:rsid w:val="00235D1F"/>
    <w:rsid w:val="00235F0E"/>
    <w:rsid w:val="0023629D"/>
    <w:rsid w:val="00237255"/>
    <w:rsid w:val="0023740C"/>
    <w:rsid w:val="002405C3"/>
    <w:rsid w:val="0024092B"/>
    <w:rsid w:val="002419E5"/>
    <w:rsid w:val="002424AF"/>
    <w:rsid w:val="002439DC"/>
    <w:rsid w:val="00244DC8"/>
    <w:rsid w:val="00245023"/>
    <w:rsid w:val="002458BA"/>
    <w:rsid w:val="0024636C"/>
    <w:rsid w:val="00247704"/>
    <w:rsid w:val="00247925"/>
    <w:rsid w:val="00250DF2"/>
    <w:rsid w:val="00251D94"/>
    <w:rsid w:val="00252B48"/>
    <w:rsid w:val="00253000"/>
    <w:rsid w:val="0025304A"/>
    <w:rsid w:val="0025377E"/>
    <w:rsid w:val="00253E9C"/>
    <w:rsid w:val="00254D19"/>
    <w:rsid w:val="00254DCF"/>
    <w:rsid w:val="002552E3"/>
    <w:rsid w:val="0025534B"/>
    <w:rsid w:val="00255951"/>
    <w:rsid w:val="00255BB7"/>
    <w:rsid w:val="0025611A"/>
    <w:rsid w:val="00257541"/>
    <w:rsid w:val="00257BA1"/>
    <w:rsid w:val="00257C48"/>
    <w:rsid w:val="00260F16"/>
    <w:rsid w:val="00261E8A"/>
    <w:rsid w:val="00262A1A"/>
    <w:rsid w:val="00262A87"/>
    <w:rsid w:val="00263426"/>
    <w:rsid w:val="00263F28"/>
    <w:rsid w:val="002647B0"/>
    <w:rsid w:val="00264969"/>
    <w:rsid w:val="00264D26"/>
    <w:rsid w:val="0026720C"/>
    <w:rsid w:val="00267226"/>
    <w:rsid w:val="00267642"/>
    <w:rsid w:val="002679C7"/>
    <w:rsid w:val="00267AEA"/>
    <w:rsid w:val="002700E6"/>
    <w:rsid w:val="00270F6E"/>
    <w:rsid w:val="0027294B"/>
    <w:rsid w:val="002729E4"/>
    <w:rsid w:val="00272A30"/>
    <w:rsid w:val="00273464"/>
    <w:rsid w:val="00275C5A"/>
    <w:rsid w:val="002761A3"/>
    <w:rsid w:val="00276728"/>
    <w:rsid w:val="00277F2B"/>
    <w:rsid w:val="00280437"/>
    <w:rsid w:val="00281014"/>
    <w:rsid w:val="0028209C"/>
    <w:rsid w:val="002824CC"/>
    <w:rsid w:val="00282A4A"/>
    <w:rsid w:val="002852DF"/>
    <w:rsid w:val="0028691A"/>
    <w:rsid w:val="00291E12"/>
    <w:rsid w:val="002922ED"/>
    <w:rsid w:val="00293028"/>
    <w:rsid w:val="002961CD"/>
    <w:rsid w:val="00296474"/>
    <w:rsid w:val="00296AC3"/>
    <w:rsid w:val="00297FC3"/>
    <w:rsid w:val="002A14AB"/>
    <w:rsid w:val="002A2F50"/>
    <w:rsid w:val="002A4511"/>
    <w:rsid w:val="002A60A9"/>
    <w:rsid w:val="002A69E3"/>
    <w:rsid w:val="002A70FE"/>
    <w:rsid w:val="002B09A4"/>
    <w:rsid w:val="002B1C1F"/>
    <w:rsid w:val="002B1CC1"/>
    <w:rsid w:val="002B432F"/>
    <w:rsid w:val="002B62B3"/>
    <w:rsid w:val="002B6754"/>
    <w:rsid w:val="002B6CCE"/>
    <w:rsid w:val="002B6DE0"/>
    <w:rsid w:val="002C0095"/>
    <w:rsid w:val="002C0237"/>
    <w:rsid w:val="002C046A"/>
    <w:rsid w:val="002C2510"/>
    <w:rsid w:val="002C2775"/>
    <w:rsid w:val="002C27C1"/>
    <w:rsid w:val="002C4601"/>
    <w:rsid w:val="002C5099"/>
    <w:rsid w:val="002C5889"/>
    <w:rsid w:val="002C6DF4"/>
    <w:rsid w:val="002C71CE"/>
    <w:rsid w:val="002D1C37"/>
    <w:rsid w:val="002D5497"/>
    <w:rsid w:val="002D577C"/>
    <w:rsid w:val="002D765A"/>
    <w:rsid w:val="002E072A"/>
    <w:rsid w:val="002E12AD"/>
    <w:rsid w:val="002E15B9"/>
    <w:rsid w:val="002E2158"/>
    <w:rsid w:val="002E2386"/>
    <w:rsid w:val="002E4142"/>
    <w:rsid w:val="002E46AF"/>
    <w:rsid w:val="002E7722"/>
    <w:rsid w:val="002F07BA"/>
    <w:rsid w:val="002F0DA9"/>
    <w:rsid w:val="002F2364"/>
    <w:rsid w:val="002F41E1"/>
    <w:rsid w:val="002F4B40"/>
    <w:rsid w:val="002F5868"/>
    <w:rsid w:val="002F643C"/>
    <w:rsid w:val="002F71C0"/>
    <w:rsid w:val="00301017"/>
    <w:rsid w:val="0030155F"/>
    <w:rsid w:val="00302F29"/>
    <w:rsid w:val="00303C7B"/>
    <w:rsid w:val="003055D6"/>
    <w:rsid w:val="0030587B"/>
    <w:rsid w:val="00306D98"/>
    <w:rsid w:val="0030786C"/>
    <w:rsid w:val="00307BEC"/>
    <w:rsid w:val="0031031A"/>
    <w:rsid w:val="00310981"/>
    <w:rsid w:val="00312C97"/>
    <w:rsid w:val="00314212"/>
    <w:rsid w:val="00314250"/>
    <w:rsid w:val="00315498"/>
    <w:rsid w:val="003155C0"/>
    <w:rsid w:val="0032157B"/>
    <w:rsid w:val="00321D59"/>
    <w:rsid w:val="00322107"/>
    <w:rsid w:val="00322846"/>
    <w:rsid w:val="003250FC"/>
    <w:rsid w:val="003265C0"/>
    <w:rsid w:val="00326DA7"/>
    <w:rsid w:val="003270E4"/>
    <w:rsid w:val="003276D3"/>
    <w:rsid w:val="00327718"/>
    <w:rsid w:val="00330F5C"/>
    <w:rsid w:val="00332854"/>
    <w:rsid w:val="00333E30"/>
    <w:rsid w:val="003366C9"/>
    <w:rsid w:val="003371B0"/>
    <w:rsid w:val="0034052B"/>
    <w:rsid w:val="00340DF1"/>
    <w:rsid w:val="0034102D"/>
    <w:rsid w:val="00342AD2"/>
    <w:rsid w:val="00345674"/>
    <w:rsid w:val="00347A21"/>
    <w:rsid w:val="003517F9"/>
    <w:rsid w:val="0035183F"/>
    <w:rsid w:val="00352B3A"/>
    <w:rsid w:val="00355A9A"/>
    <w:rsid w:val="00355D97"/>
    <w:rsid w:val="0035620E"/>
    <w:rsid w:val="00356518"/>
    <w:rsid w:val="00357028"/>
    <w:rsid w:val="00357688"/>
    <w:rsid w:val="003624C4"/>
    <w:rsid w:val="003634DE"/>
    <w:rsid w:val="003645AA"/>
    <w:rsid w:val="003654AC"/>
    <w:rsid w:val="00365945"/>
    <w:rsid w:val="00365DF6"/>
    <w:rsid w:val="00367B4B"/>
    <w:rsid w:val="003700C1"/>
    <w:rsid w:val="003710CF"/>
    <w:rsid w:val="003726B8"/>
    <w:rsid w:val="003733A7"/>
    <w:rsid w:val="0037358A"/>
    <w:rsid w:val="00373EE0"/>
    <w:rsid w:val="00374B37"/>
    <w:rsid w:val="003750F6"/>
    <w:rsid w:val="003760FC"/>
    <w:rsid w:val="003803D4"/>
    <w:rsid w:val="00380B12"/>
    <w:rsid w:val="0038365C"/>
    <w:rsid w:val="0038369B"/>
    <w:rsid w:val="0038380C"/>
    <w:rsid w:val="00383B78"/>
    <w:rsid w:val="00383FCA"/>
    <w:rsid w:val="00385A9D"/>
    <w:rsid w:val="00386D8F"/>
    <w:rsid w:val="003902B1"/>
    <w:rsid w:val="00390FDA"/>
    <w:rsid w:val="00392B6E"/>
    <w:rsid w:val="00393047"/>
    <w:rsid w:val="00393891"/>
    <w:rsid w:val="00394D91"/>
    <w:rsid w:val="00396896"/>
    <w:rsid w:val="00396FD0"/>
    <w:rsid w:val="00397842"/>
    <w:rsid w:val="003979EE"/>
    <w:rsid w:val="003A0B82"/>
    <w:rsid w:val="003A1A7A"/>
    <w:rsid w:val="003A1CD5"/>
    <w:rsid w:val="003A2392"/>
    <w:rsid w:val="003A2831"/>
    <w:rsid w:val="003A3ED1"/>
    <w:rsid w:val="003A4277"/>
    <w:rsid w:val="003A6A5D"/>
    <w:rsid w:val="003B009E"/>
    <w:rsid w:val="003B5B61"/>
    <w:rsid w:val="003B6974"/>
    <w:rsid w:val="003C0A07"/>
    <w:rsid w:val="003C0AE3"/>
    <w:rsid w:val="003C0B64"/>
    <w:rsid w:val="003C1654"/>
    <w:rsid w:val="003C3843"/>
    <w:rsid w:val="003C5947"/>
    <w:rsid w:val="003C6089"/>
    <w:rsid w:val="003C70EF"/>
    <w:rsid w:val="003C75C7"/>
    <w:rsid w:val="003C7D19"/>
    <w:rsid w:val="003D07FE"/>
    <w:rsid w:val="003D080E"/>
    <w:rsid w:val="003D1828"/>
    <w:rsid w:val="003D1C39"/>
    <w:rsid w:val="003D1DE4"/>
    <w:rsid w:val="003D2260"/>
    <w:rsid w:val="003D2422"/>
    <w:rsid w:val="003D2C28"/>
    <w:rsid w:val="003D2C5D"/>
    <w:rsid w:val="003D39A1"/>
    <w:rsid w:val="003D3AF7"/>
    <w:rsid w:val="003D3B1F"/>
    <w:rsid w:val="003D3FBF"/>
    <w:rsid w:val="003D4A30"/>
    <w:rsid w:val="003D4E97"/>
    <w:rsid w:val="003D6AE1"/>
    <w:rsid w:val="003D79BB"/>
    <w:rsid w:val="003D7C98"/>
    <w:rsid w:val="003E03BE"/>
    <w:rsid w:val="003E0543"/>
    <w:rsid w:val="003E1895"/>
    <w:rsid w:val="003E3710"/>
    <w:rsid w:val="003E6438"/>
    <w:rsid w:val="003E64F6"/>
    <w:rsid w:val="003E6FE5"/>
    <w:rsid w:val="003F020C"/>
    <w:rsid w:val="003F25DC"/>
    <w:rsid w:val="003F3F02"/>
    <w:rsid w:val="003F4114"/>
    <w:rsid w:val="003F4156"/>
    <w:rsid w:val="003F5BCF"/>
    <w:rsid w:val="003F6532"/>
    <w:rsid w:val="003F7966"/>
    <w:rsid w:val="00400B29"/>
    <w:rsid w:val="0040217D"/>
    <w:rsid w:val="00402248"/>
    <w:rsid w:val="0040504B"/>
    <w:rsid w:val="004051AF"/>
    <w:rsid w:val="0040602B"/>
    <w:rsid w:val="00410708"/>
    <w:rsid w:val="00410720"/>
    <w:rsid w:val="00410EC7"/>
    <w:rsid w:val="00411448"/>
    <w:rsid w:val="00411B39"/>
    <w:rsid w:val="00413602"/>
    <w:rsid w:val="00413A1E"/>
    <w:rsid w:val="00414476"/>
    <w:rsid w:val="00414B07"/>
    <w:rsid w:val="00414B7A"/>
    <w:rsid w:val="00414C2E"/>
    <w:rsid w:val="004151CF"/>
    <w:rsid w:val="0041572F"/>
    <w:rsid w:val="00415A10"/>
    <w:rsid w:val="00416364"/>
    <w:rsid w:val="00416668"/>
    <w:rsid w:val="00420AA6"/>
    <w:rsid w:val="00420B9F"/>
    <w:rsid w:val="00422260"/>
    <w:rsid w:val="004225E3"/>
    <w:rsid w:val="00423DE0"/>
    <w:rsid w:val="0042413F"/>
    <w:rsid w:val="004268B1"/>
    <w:rsid w:val="004273D2"/>
    <w:rsid w:val="00427723"/>
    <w:rsid w:val="0043052F"/>
    <w:rsid w:val="004308D1"/>
    <w:rsid w:val="00430D94"/>
    <w:rsid w:val="0043133C"/>
    <w:rsid w:val="004319F8"/>
    <w:rsid w:val="00431CBA"/>
    <w:rsid w:val="00431E55"/>
    <w:rsid w:val="004321F6"/>
    <w:rsid w:val="00433044"/>
    <w:rsid w:val="00433BE0"/>
    <w:rsid w:val="00434B59"/>
    <w:rsid w:val="00434BD4"/>
    <w:rsid w:val="004366D2"/>
    <w:rsid w:val="004375B9"/>
    <w:rsid w:val="004376EB"/>
    <w:rsid w:val="0044071E"/>
    <w:rsid w:val="00441B9F"/>
    <w:rsid w:val="00442053"/>
    <w:rsid w:val="004428D0"/>
    <w:rsid w:val="0044422D"/>
    <w:rsid w:val="004443A7"/>
    <w:rsid w:val="0044442C"/>
    <w:rsid w:val="00445941"/>
    <w:rsid w:val="00445FC3"/>
    <w:rsid w:val="004464EB"/>
    <w:rsid w:val="00447BE6"/>
    <w:rsid w:val="00447D26"/>
    <w:rsid w:val="00455D45"/>
    <w:rsid w:val="00456A65"/>
    <w:rsid w:val="00460C73"/>
    <w:rsid w:val="00462115"/>
    <w:rsid w:val="00463A62"/>
    <w:rsid w:val="00464595"/>
    <w:rsid w:val="00464F18"/>
    <w:rsid w:val="004650C1"/>
    <w:rsid w:val="00465FAF"/>
    <w:rsid w:val="004661EB"/>
    <w:rsid w:val="00466264"/>
    <w:rsid w:val="00466FA7"/>
    <w:rsid w:val="0046783D"/>
    <w:rsid w:val="00467DF6"/>
    <w:rsid w:val="00470D99"/>
    <w:rsid w:val="004715DA"/>
    <w:rsid w:val="00471B7C"/>
    <w:rsid w:val="00471FF8"/>
    <w:rsid w:val="00472948"/>
    <w:rsid w:val="00472A79"/>
    <w:rsid w:val="00473F19"/>
    <w:rsid w:val="00475E22"/>
    <w:rsid w:val="0047648D"/>
    <w:rsid w:val="0048027D"/>
    <w:rsid w:val="0048088E"/>
    <w:rsid w:val="00480C03"/>
    <w:rsid w:val="00482720"/>
    <w:rsid w:val="0048334F"/>
    <w:rsid w:val="004835E7"/>
    <w:rsid w:val="00484529"/>
    <w:rsid w:val="0048488B"/>
    <w:rsid w:val="00484D1C"/>
    <w:rsid w:val="00485226"/>
    <w:rsid w:val="00485D2E"/>
    <w:rsid w:val="004867E2"/>
    <w:rsid w:val="00490695"/>
    <w:rsid w:val="00490EBB"/>
    <w:rsid w:val="00491563"/>
    <w:rsid w:val="00491B3A"/>
    <w:rsid w:val="00492CFD"/>
    <w:rsid w:val="00494DD5"/>
    <w:rsid w:val="0049511D"/>
    <w:rsid w:val="004951EB"/>
    <w:rsid w:val="004962D2"/>
    <w:rsid w:val="004A0032"/>
    <w:rsid w:val="004A0494"/>
    <w:rsid w:val="004A0DA1"/>
    <w:rsid w:val="004A1A80"/>
    <w:rsid w:val="004A474B"/>
    <w:rsid w:val="004A52E9"/>
    <w:rsid w:val="004A6597"/>
    <w:rsid w:val="004A7848"/>
    <w:rsid w:val="004B1C81"/>
    <w:rsid w:val="004B1CB4"/>
    <w:rsid w:val="004B1EEB"/>
    <w:rsid w:val="004B2603"/>
    <w:rsid w:val="004B2F18"/>
    <w:rsid w:val="004B37FE"/>
    <w:rsid w:val="004B3DDB"/>
    <w:rsid w:val="004B44FD"/>
    <w:rsid w:val="004B5CFC"/>
    <w:rsid w:val="004B7366"/>
    <w:rsid w:val="004B774D"/>
    <w:rsid w:val="004C00C6"/>
    <w:rsid w:val="004C0C91"/>
    <w:rsid w:val="004C0F2D"/>
    <w:rsid w:val="004C14D7"/>
    <w:rsid w:val="004C3501"/>
    <w:rsid w:val="004C4AED"/>
    <w:rsid w:val="004C5E9B"/>
    <w:rsid w:val="004D0E65"/>
    <w:rsid w:val="004D2C2D"/>
    <w:rsid w:val="004D393F"/>
    <w:rsid w:val="004D39E3"/>
    <w:rsid w:val="004D48D7"/>
    <w:rsid w:val="004D4C37"/>
    <w:rsid w:val="004D553B"/>
    <w:rsid w:val="004D7227"/>
    <w:rsid w:val="004D7414"/>
    <w:rsid w:val="004E0E7F"/>
    <w:rsid w:val="004E0EB8"/>
    <w:rsid w:val="004E1E58"/>
    <w:rsid w:val="004E2ADC"/>
    <w:rsid w:val="004E43B2"/>
    <w:rsid w:val="004E6023"/>
    <w:rsid w:val="004E65C1"/>
    <w:rsid w:val="004E7D6C"/>
    <w:rsid w:val="004F0C64"/>
    <w:rsid w:val="004F1D02"/>
    <w:rsid w:val="004F2679"/>
    <w:rsid w:val="004F2F21"/>
    <w:rsid w:val="004F477C"/>
    <w:rsid w:val="004F5B6B"/>
    <w:rsid w:val="004F6913"/>
    <w:rsid w:val="004F7865"/>
    <w:rsid w:val="004F7D59"/>
    <w:rsid w:val="004F7FA3"/>
    <w:rsid w:val="005009B4"/>
    <w:rsid w:val="00500D52"/>
    <w:rsid w:val="00500EE9"/>
    <w:rsid w:val="0050219B"/>
    <w:rsid w:val="00502B79"/>
    <w:rsid w:val="00503F17"/>
    <w:rsid w:val="005040A2"/>
    <w:rsid w:val="005053A1"/>
    <w:rsid w:val="0050592D"/>
    <w:rsid w:val="00505A6A"/>
    <w:rsid w:val="00505CA6"/>
    <w:rsid w:val="00506928"/>
    <w:rsid w:val="00510861"/>
    <w:rsid w:val="00510B40"/>
    <w:rsid w:val="0051263A"/>
    <w:rsid w:val="00512C58"/>
    <w:rsid w:val="005131ED"/>
    <w:rsid w:val="00514B38"/>
    <w:rsid w:val="005152B5"/>
    <w:rsid w:val="00515D88"/>
    <w:rsid w:val="00517376"/>
    <w:rsid w:val="0051758F"/>
    <w:rsid w:val="00517998"/>
    <w:rsid w:val="00520146"/>
    <w:rsid w:val="00521319"/>
    <w:rsid w:val="00521F54"/>
    <w:rsid w:val="00522BC8"/>
    <w:rsid w:val="0052338B"/>
    <w:rsid w:val="00523C28"/>
    <w:rsid w:val="00527394"/>
    <w:rsid w:val="00530433"/>
    <w:rsid w:val="00530FAC"/>
    <w:rsid w:val="005337E8"/>
    <w:rsid w:val="00535822"/>
    <w:rsid w:val="00535AF2"/>
    <w:rsid w:val="00536F42"/>
    <w:rsid w:val="00537182"/>
    <w:rsid w:val="005377FA"/>
    <w:rsid w:val="005405E4"/>
    <w:rsid w:val="0054100D"/>
    <w:rsid w:val="0054119E"/>
    <w:rsid w:val="00542743"/>
    <w:rsid w:val="00542C2D"/>
    <w:rsid w:val="00543E52"/>
    <w:rsid w:val="0054466D"/>
    <w:rsid w:val="00545BB8"/>
    <w:rsid w:val="005511D3"/>
    <w:rsid w:val="00551985"/>
    <w:rsid w:val="005524C7"/>
    <w:rsid w:val="00552703"/>
    <w:rsid w:val="00552BD3"/>
    <w:rsid w:val="00554E6B"/>
    <w:rsid w:val="00555109"/>
    <w:rsid w:val="00555B18"/>
    <w:rsid w:val="00557C11"/>
    <w:rsid w:val="005622BB"/>
    <w:rsid w:val="005660F2"/>
    <w:rsid w:val="0056696F"/>
    <w:rsid w:val="00567CAB"/>
    <w:rsid w:val="00567D5D"/>
    <w:rsid w:val="00567DA6"/>
    <w:rsid w:val="005719AB"/>
    <w:rsid w:val="00572269"/>
    <w:rsid w:val="00572439"/>
    <w:rsid w:val="0057244A"/>
    <w:rsid w:val="0057312E"/>
    <w:rsid w:val="005739AD"/>
    <w:rsid w:val="00573D7B"/>
    <w:rsid w:val="00575D8D"/>
    <w:rsid w:val="00576972"/>
    <w:rsid w:val="00577299"/>
    <w:rsid w:val="0058112A"/>
    <w:rsid w:val="00582925"/>
    <w:rsid w:val="0058318A"/>
    <w:rsid w:val="0058357E"/>
    <w:rsid w:val="00583699"/>
    <w:rsid w:val="00585560"/>
    <w:rsid w:val="00585CDD"/>
    <w:rsid w:val="0058636A"/>
    <w:rsid w:val="00586EAC"/>
    <w:rsid w:val="00587058"/>
    <w:rsid w:val="00587800"/>
    <w:rsid w:val="00590FDE"/>
    <w:rsid w:val="00591957"/>
    <w:rsid w:val="00592E0A"/>
    <w:rsid w:val="00593229"/>
    <w:rsid w:val="005933EF"/>
    <w:rsid w:val="00594D98"/>
    <w:rsid w:val="00595FAF"/>
    <w:rsid w:val="00597442"/>
    <w:rsid w:val="00597BF9"/>
    <w:rsid w:val="00597C1F"/>
    <w:rsid w:val="005A373D"/>
    <w:rsid w:val="005A51D9"/>
    <w:rsid w:val="005A6A8B"/>
    <w:rsid w:val="005A6F35"/>
    <w:rsid w:val="005B064C"/>
    <w:rsid w:val="005B24AD"/>
    <w:rsid w:val="005B3AB7"/>
    <w:rsid w:val="005B408D"/>
    <w:rsid w:val="005B43AE"/>
    <w:rsid w:val="005B5857"/>
    <w:rsid w:val="005B65DF"/>
    <w:rsid w:val="005C07D2"/>
    <w:rsid w:val="005C1517"/>
    <w:rsid w:val="005C1B83"/>
    <w:rsid w:val="005C2D55"/>
    <w:rsid w:val="005C346B"/>
    <w:rsid w:val="005C388B"/>
    <w:rsid w:val="005C4D99"/>
    <w:rsid w:val="005C5AD5"/>
    <w:rsid w:val="005C5E82"/>
    <w:rsid w:val="005C6802"/>
    <w:rsid w:val="005C6F3D"/>
    <w:rsid w:val="005D044D"/>
    <w:rsid w:val="005D0ABD"/>
    <w:rsid w:val="005D0F2D"/>
    <w:rsid w:val="005D130D"/>
    <w:rsid w:val="005D18AD"/>
    <w:rsid w:val="005D216D"/>
    <w:rsid w:val="005D26B4"/>
    <w:rsid w:val="005D6E53"/>
    <w:rsid w:val="005E2E2E"/>
    <w:rsid w:val="005E2F7B"/>
    <w:rsid w:val="005E3266"/>
    <w:rsid w:val="005E435E"/>
    <w:rsid w:val="005E4BFD"/>
    <w:rsid w:val="005E4DE4"/>
    <w:rsid w:val="005E5B80"/>
    <w:rsid w:val="005E66FA"/>
    <w:rsid w:val="005E6CBC"/>
    <w:rsid w:val="005E6EF3"/>
    <w:rsid w:val="005E73C0"/>
    <w:rsid w:val="005F04A8"/>
    <w:rsid w:val="005F1A52"/>
    <w:rsid w:val="005F2706"/>
    <w:rsid w:val="005F36A8"/>
    <w:rsid w:val="005F45D5"/>
    <w:rsid w:val="005F4E79"/>
    <w:rsid w:val="005F607F"/>
    <w:rsid w:val="005F6A8F"/>
    <w:rsid w:val="0060035C"/>
    <w:rsid w:val="00600987"/>
    <w:rsid w:val="00600DF9"/>
    <w:rsid w:val="0060148F"/>
    <w:rsid w:val="0060306E"/>
    <w:rsid w:val="00603888"/>
    <w:rsid w:val="00603DB0"/>
    <w:rsid w:val="00603DB9"/>
    <w:rsid w:val="0060523C"/>
    <w:rsid w:val="00606F6B"/>
    <w:rsid w:val="00607669"/>
    <w:rsid w:val="00607AFD"/>
    <w:rsid w:val="00607C3E"/>
    <w:rsid w:val="00612F97"/>
    <w:rsid w:val="0061345D"/>
    <w:rsid w:val="006155B1"/>
    <w:rsid w:val="00616731"/>
    <w:rsid w:val="00616802"/>
    <w:rsid w:val="00616922"/>
    <w:rsid w:val="00617E12"/>
    <w:rsid w:val="00617F7C"/>
    <w:rsid w:val="00620CF9"/>
    <w:rsid w:val="0062120E"/>
    <w:rsid w:val="00621477"/>
    <w:rsid w:val="006226BD"/>
    <w:rsid w:val="0062414E"/>
    <w:rsid w:val="00625BB0"/>
    <w:rsid w:val="00625D72"/>
    <w:rsid w:val="00626408"/>
    <w:rsid w:val="00627E6C"/>
    <w:rsid w:val="00627F23"/>
    <w:rsid w:val="0063158F"/>
    <w:rsid w:val="00631D6B"/>
    <w:rsid w:val="006330A1"/>
    <w:rsid w:val="00633908"/>
    <w:rsid w:val="0063479F"/>
    <w:rsid w:val="00634D47"/>
    <w:rsid w:val="00634E36"/>
    <w:rsid w:val="006353F0"/>
    <w:rsid w:val="0063599A"/>
    <w:rsid w:val="00636466"/>
    <w:rsid w:val="006364A1"/>
    <w:rsid w:val="00636753"/>
    <w:rsid w:val="00637BFD"/>
    <w:rsid w:val="00640FDA"/>
    <w:rsid w:val="00641C4E"/>
    <w:rsid w:val="00644FAB"/>
    <w:rsid w:val="006471CC"/>
    <w:rsid w:val="0064722F"/>
    <w:rsid w:val="0065079F"/>
    <w:rsid w:val="00652FA9"/>
    <w:rsid w:val="00653292"/>
    <w:rsid w:val="0065379F"/>
    <w:rsid w:val="006551CB"/>
    <w:rsid w:val="00655714"/>
    <w:rsid w:val="00655EDC"/>
    <w:rsid w:val="0065710C"/>
    <w:rsid w:val="006571A7"/>
    <w:rsid w:val="00657F8B"/>
    <w:rsid w:val="00661836"/>
    <w:rsid w:val="00661C6B"/>
    <w:rsid w:val="0066344D"/>
    <w:rsid w:val="0066377E"/>
    <w:rsid w:val="00663BB4"/>
    <w:rsid w:val="00663ED3"/>
    <w:rsid w:val="006644A1"/>
    <w:rsid w:val="00667861"/>
    <w:rsid w:val="006710A8"/>
    <w:rsid w:val="00671ACB"/>
    <w:rsid w:val="0067356B"/>
    <w:rsid w:val="00673923"/>
    <w:rsid w:val="00674B1B"/>
    <w:rsid w:val="00674E42"/>
    <w:rsid w:val="006769BC"/>
    <w:rsid w:val="00680EB6"/>
    <w:rsid w:val="00682112"/>
    <w:rsid w:val="0068213F"/>
    <w:rsid w:val="006824A3"/>
    <w:rsid w:val="00685913"/>
    <w:rsid w:val="006859CB"/>
    <w:rsid w:val="00686687"/>
    <w:rsid w:val="00686957"/>
    <w:rsid w:val="006872BA"/>
    <w:rsid w:val="0068734A"/>
    <w:rsid w:val="00691648"/>
    <w:rsid w:val="006917D7"/>
    <w:rsid w:val="0069262F"/>
    <w:rsid w:val="00694F44"/>
    <w:rsid w:val="00696C55"/>
    <w:rsid w:val="006A32A6"/>
    <w:rsid w:val="006A3330"/>
    <w:rsid w:val="006A5808"/>
    <w:rsid w:val="006A6856"/>
    <w:rsid w:val="006A7AE7"/>
    <w:rsid w:val="006A7E5F"/>
    <w:rsid w:val="006B1EFE"/>
    <w:rsid w:val="006B261B"/>
    <w:rsid w:val="006B2C90"/>
    <w:rsid w:val="006B2CA2"/>
    <w:rsid w:val="006B3763"/>
    <w:rsid w:val="006B3EFC"/>
    <w:rsid w:val="006B3FAA"/>
    <w:rsid w:val="006B5930"/>
    <w:rsid w:val="006B5E66"/>
    <w:rsid w:val="006B6951"/>
    <w:rsid w:val="006B6DD0"/>
    <w:rsid w:val="006B7793"/>
    <w:rsid w:val="006C160D"/>
    <w:rsid w:val="006C1C61"/>
    <w:rsid w:val="006C2A8E"/>
    <w:rsid w:val="006C3006"/>
    <w:rsid w:val="006C62AC"/>
    <w:rsid w:val="006C7B7B"/>
    <w:rsid w:val="006D0ACD"/>
    <w:rsid w:val="006D3C7D"/>
    <w:rsid w:val="006D479E"/>
    <w:rsid w:val="006D4EF6"/>
    <w:rsid w:val="006D5D5F"/>
    <w:rsid w:val="006D5E5B"/>
    <w:rsid w:val="006D7AE9"/>
    <w:rsid w:val="006E33E0"/>
    <w:rsid w:val="006E665E"/>
    <w:rsid w:val="006E7D93"/>
    <w:rsid w:val="006F0395"/>
    <w:rsid w:val="006F0C04"/>
    <w:rsid w:val="006F0CD6"/>
    <w:rsid w:val="006F258E"/>
    <w:rsid w:val="006F306C"/>
    <w:rsid w:val="006F4009"/>
    <w:rsid w:val="006F4C76"/>
    <w:rsid w:val="006F63A5"/>
    <w:rsid w:val="006F72A6"/>
    <w:rsid w:val="0070142B"/>
    <w:rsid w:val="00701A98"/>
    <w:rsid w:val="007020E9"/>
    <w:rsid w:val="0070276E"/>
    <w:rsid w:val="00702F8F"/>
    <w:rsid w:val="0070362B"/>
    <w:rsid w:val="00704B0D"/>
    <w:rsid w:val="00705846"/>
    <w:rsid w:val="0070655C"/>
    <w:rsid w:val="00706C47"/>
    <w:rsid w:val="007075C2"/>
    <w:rsid w:val="00710E97"/>
    <w:rsid w:val="00711A36"/>
    <w:rsid w:val="00712041"/>
    <w:rsid w:val="0071506B"/>
    <w:rsid w:val="0071529C"/>
    <w:rsid w:val="00715BB6"/>
    <w:rsid w:val="00716327"/>
    <w:rsid w:val="00716D90"/>
    <w:rsid w:val="00716ED8"/>
    <w:rsid w:val="007172AD"/>
    <w:rsid w:val="00717A29"/>
    <w:rsid w:val="007209B1"/>
    <w:rsid w:val="00720D67"/>
    <w:rsid w:val="00721D00"/>
    <w:rsid w:val="00722B1B"/>
    <w:rsid w:val="00723EAA"/>
    <w:rsid w:val="00723F01"/>
    <w:rsid w:val="00724139"/>
    <w:rsid w:val="0072416F"/>
    <w:rsid w:val="0072500D"/>
    <w:rsid w:val="00726032"/>
    <w:rsid w:val="00727829"/>
    <w:rsid w:val="00727C94"/>
    <w:rsid w:val="00730A99"/>
    <w:rsid w:val="00731234"/>
    <w:rsid w:val="00731EAE"/>
    <w:rsid w:val="00733135"/>
    <w:rsid w:val="00735033"/>
    <w:rsid w:val="00735328"/>
    <w:rsid w:val="00735712"/>
    <w:rsid w:val="007357AC"/>
    <w:rsid w:val="0073646B"/>
    <w:rsid w:val="00736582"/>
    <w:rsid w:val="0073685B"/>
    <w:rsid w:val="00736AED"/>
    <w:rsid w:val="00737EE9"/>
    <w:rsid w:val="00741F56"/>
    <w:rsid w:val="00744803"/>
    <w:rsid w:val="00747DA3"/>
    <w:rsid w:val="00750051"/>
    <w:rsid w:val="00751370"/>
    <w:rsid w:val="00751C4A"/>
    <w:rsid w:val="00752142"/>
    <w:rsid w:val="007523F9"/>
    <w:rsid w:val="00752DE9"/>
    <w:rsid w:val="007553DB"/>
    <w:rsid w:val="007573E8"/>
    <w:rsid w:val="00760C4E"/>
    <w:rsid w:val="00760CF8"/>
    <w:rsid w:val="007630B4"/>
    <w:rsid w:val="007658D7"/>
    <w:rsid w:val="00765B1A"/>
    <w:rsid w:val="00767149"/>
    <w:rsid w:val="00767E9B"/>
    <w:rsid w:val="007731A6"/>
    <w:rsid w:val="00773E5F"/>
    <w:rsid w:val="007740E8"/>
    <w:rsid w:val="007746CD"/>
    <w:rsid w:val="007749C0"/>
    <w:rsid w:val="00775E12"/>
    <w:rsid w:val="00777CA4"/>
    <w:rsid w:val="00782552"/>
    <w:rsid w:val="007843F2"/>
    <w:rsid w:val="00784473"/>
    <w:rsid w:val="00784EDC"/>
    <w:rsid w:val="00785A12"/>
    <w:rsid w:val="00795EF5"/>
    <w:rsid w:val="00797EA9"/>
    <w:rsid w:val="007A0A12"/>
    <w:rsid w:val="007A132D"/>
    <w:rsid w:val="007A14BF"/>
    <w:rsid w:val="007A181D"/>
    <w:rsid w:val="007A3C54"/>
    <w:rsid w:val="007A5B21"/>
    <w:rsid w:val="007A5CFF"/>
    <w:rsid w:val="007A6430"/>
    <w:rsid w:val="007A78A3"/>
    <w:rsid w:val="007B0D68"/>
    <w:rsid w:val="007B1878"/>
    <w:rsid w:val="007B251D"/>
    <w:rsid w:val="007B2DFD"/>
    <w:rsid w:val="007B4F58"/>
    <w:rsid w:val="007B528D"/>
    <w:rsid w:val="007B6FB7"/>
    <w:rsid w:val="007B77D1"/>
    <w:rsid w:val="007C1CD9"/>
    <w:rsid w:val="007C2B40"/>
    <w:rsid w:val="007C2D3D"/>
    <w:rsid w:val="007C361D"/>
    <w:rsid w:val="007C4B84"/>
    <w:rsid w:val="007C5031"/>
    <w:rsid w:val="007C62F4"/>
    <w:rsid w:val="007C7471"/>
    <w:rsid w:val="007D004F"/>
    <w:rsid w:val="007D0B38"/>
    <w:rsid w:val="007D2BCC"/>
    <w:rsid w:val="007D3054"/>
    <w:rsid w:val="007D31F5"/>
    <w:rsid w:val="007D5440"/>
    <w:rsid w:val="007E153A"/>
    <w:rsid w:val="007E2899"/>
    <w:rsid w:val="007E2A26"/>
    <w:rsid w:val="007E6E6A"/>
    <w:rsid w:val="007E73C8"/>
    <w:rsid w:val="007E7FB0"/>
    <w:rsid w:val="007F1017"/>
    <w:rsid w:val="007F13E3"/>
    <w:rsid w:val="007F1920"/>
    <w:rsid w:val="007F1B84"/>
    <w:rsid w:val="007F2D8A"/>
    <w:rsid w:val="007F3936"/>
    <w:rsid w:val="007F4A3F"/>
    <w:rsid w:val="007F4A61"/>
    <w:rsid w:val="007F5678"/>
    <w:rsid w:val="007F6102"/>
    <w:rsid w:val="007F61C2"/>
    <w:rsid w:val="007F6305"/>
    <w:rsid w:val="007F6C74"/>
    <w:rsid w:val="007F6F98"/>
    <w:rsid w:val="007F7A06"/>
    <w:rsid w:val="008025E2"/>
    <w:rsid w:val="00802882"/>
    <w:rsid w:val="0080317A"/>
    <w:rsid w:val="00803C93"/>
    <w:rsid w:val="00804252"/>
    <w:rsid w:val="00805142"/>
    <w:rsid w:val="00806AF9"/>
    <w:rsid w:val="00807A8B"/>
    <w:rsid w:val="00807D61"/>
    <w:rsid w:val="008100BB"/>
    <w:rsid w:val="00811383"/>
    <w:rsid w:val="008117A8"/>
    <w:rsid w:val="00812149"/>
    <w:rsid w:val="0081261F"/>
    <w:rsid w:val="00812CAC"/>
    <w:rsid w:val="00812EDC"/>
    <w:rsid w:val="0081304C"/>
    <w:rsid w:val="00813655"/>
    <w:rsid w:val="0081385F"/>
    <w:rsid w:val="00815BD2"/>
    <w:rsid w:val="008166EF"/>
    <w:rsid w:val="00816996"/>
    <w:rsid w:val="00817238"/>
    <w:rsid w:val="008179C2"/>
    <w:rsid w:val="00820F0C"/>
    <w:rsid w:val="00822B03"/>
    <w:rsid w:val="008239C8"/>
    <w:rsid w:val="00824FF0"/>
    <w:rsid w:val="00825751"/>
    <w:rsid w:val="008260D8"/>
    <w:rsid w:val="008264EB"/>
    <w:rsid w:val="00826ACD"/>
    <w:rsid w:val="008275C3"/>
    <w:rsid w:val="00832097"/>
    <w:rsid w:val="00833B05"/>
    <w:rsid w:val="00833F1B"/>
    <w:rsid w:val="008358F8"/>
    <w:rsid w:val="008362B4"/>
    <w:rsid w:val="00836A25"/>
    <w:rsid w:val="00836B42"/>
    <w:rsid w:val="00836C7A"/>
    <w:rsid w:val="008373DE"/>
    <w:rsid w:val="008375D5"/>
    <w:rsid w:val="00840CA2"/>
    <w:rsid w:val="00842E97"/>
    <w:rsid w:val="0084374F"/>
    <w:rsid w:val="00844F89"/>
    <w:rsid w:val="00845788"/>
    <w:rsid w:val="00847DF5"/>
    <w:rsid w:val="0085113F"/>
    <w:rsid w:val="00852B42"/>
    <w:rsid w:val="0085309D"/>
    <w:rsid w:val="0085333E"/>
    <w:rsid w:val="008549B3"/>
    <w:rsid w:val="0085591E"/>
    <w:rsid w:val="00856897"/>
    <w:rsid w:val="00856E9A"/>
    <w:rsid w:val="00857391"/>
    <w:rsid w:val="008574B3"/>
    <w:rsid w:val="0086075D"/>
    <w:rsid w:val="008616B5"/>
    <w:rsid w:val="008617E2"/>
    <w:rsid w:val="00862502"/>
    <w:rsid w:val="00864EAA"/>
    <w:rsid w:val="008660D4"/>
    <w:rsid w:val="008672F0"/>
    <w:rsid w:val="00870604"/>
    <w:rsid w:val="00871FA9"/>
    <w:rsid w:val="008728E9"/>
    <w:rsid w:val="00874BD7"/>
    <w:rsid w:val="008758D4"/>
    <w:rsid w:val="00875F33"/>
    <w:rsid w:val="00882874"/>
    <w:rsid w:val="00882FBB"/>
    <w:rsid w:val="00883683"/>
    <w:rsid w:val="00883787"/>
    <w:rsid w:val="008845CF"/>
    <w:rsid w:val="0088470F"/>
    <w:rsid w:val="00884B5B"/>
    <w:rsid w:val="008867F6"/>
    <w:rsid w:val="00886CD2"/>
    <w:rsid w:val="00886F5C"/>
    <w:rsid w:val="00891666"/>
    <w:rsid w:val="00892A36"/>
    <w:rsid w:val="00893239"/>
    <w:rsid w:val="00894370"/>
    <w:rsid w:val="00894489"/>
    <w:rsid w:val="008945D9"/>
    <w:rsid w:val="008963A5"/>
    <w:rsid w:val="00896573"/>
    <w:rsid w:val="00896E5C"/>
    <w:rsid w:val="008A05F5"/>
    <w:rsid w:val="008A0A1F"/>
    <w:rsid w:val="008A19C4"/>
    <w:rsid w:val="008A3363"/>
    <w:rsid w:val="008A3371"/>
    <w:rsid w:val="008A3C3E"/>
    <w:rsid w:val="008A404D"/>
    <w:rsid w:val="008A79DE"/>
    <w:rsid w:val="008A79E9"/>
    <w:rsid w:val="008B042B"/>
    <w:rsid w:val="008B0BE8"/>
    <w:rsid w:val="008B0C9B"/>
    <w:rsid w:val="008B1753"/>
    <w:rsid w:val="008B1757"/>
    <w:rsid w:val="008B5C9D"/>
    <w:rsid w:val="008B67C6"/>
    <w:rsid w:val="008B73EA"/>
    <w:rsid w:val="008B7D7E"/>
    <w:rsid w:val="008C01EF"/>
    <w:rsid w:val="008C0619"/>
    <w:rsid w:val="008C2120"/>
    <w:rsid w:val="008C280B"/>
    <w:rsid w:val="008C5CB2"/>
    <w:rsid w:val="008C61F9"/>
    <w:rsid w:val="008C7ECB"/>
    <w:rsid w:val="008D2832"/>
    <w:rsid w:val="008D3798"/>
    <w:rsid w:val="008D4536"/>
    <w:rsid w:val="008D4755"/>
    <w:rsid w:val="008D4C3D"/>
    <w:rsid w:val="008D5C18"/>
    <w:rsid w:val="008D6392"/>
    <w:rsid w:val="008D728E"/>
    <w:rsid w:val="008D74B2"/>
    <w:rsid w:val="008E09C6"/>
    <w:rsid w:val="008E0CBF"/>
    <w:rsid w:val="008E0D3C"/>
    <w:rsid w:val="008E136D"/>
    <w:rsid w:val="008E1B9E"/>
    <w:rsid w:val="008E30FD"/>
    <w:rsid w:val="008E4B03"/>
    <w:rsid w:val="008E4D0A"/>
    <w:rsid w:val="008E4DE0"/>
    <w:rsid w:val="008E50C2"/>
    <w:rsid w:val="008E523C"/>
    <w:rsid w:val="008E54B7"/>
    <w:rsid w:val="008E55AB"/>
    <w:rsid w:val="008E652C"/>
    <w:rsid w:val="008E6C44"/>
    <w:rsid w:val="008E6FFE"/>
    <w:rsid w:val="008E7E53"/>
    <w:rsid w:val="008F120A"/>
    <w:rsid w:val="008F27E0"/>
    <w:rsid w:val="008F298C"/>
    <w:rsid w:val="008F2AF6"/>
    <w:rsid w:val="008F2C7F"/>
    <w:rsid w:val="008F34DE"/>
    <w:rsid w:val="008F3C41"/>
    <w:rsid w:val="008F48EB"/>
    <w:rsid w:val="008F4F0B"/>
    <w:rsid w:val="008F54EA"/>
    <w:rsid w:val="008F6917"/>
    <w:rsid w:val="00900D91"/>
    <w:rsid w:val="00901C19"/>
    <w:rsid w:val="009046C4"/>
    <w:rsid w:val="00905925"/>
    <w:rsid w:val="009062A5"/>
    <w:rsid w:val="00911272"/>
    <w:rsid w:val="009135D6"/>
    <w:rsid w:val="00913BF3"/>
    <w:rsid w:val="00914B8E"/>
    <w:rsid w:val="00914C77"/>
    <w:rsid w:val="0091738F"/>
    <w:rsid w:val="00917727"/>
    <w:rsid w:val="00920AAE"/>
    <w:rsid w:val="00922077"/>
    <w:rsid w:val="00922310"/>
    <w:rsid w:val="00923529"/>
    <w:rsid w:val="0092369B"/>
    <w:rsid w:val="00927C56"/>
    <w:rsid w:val="0093024F"/>
    <w:rsid w:val="00930819"/>
    <w:rsid w:val="00931037"/>
    <w:rsid w:val="009315B5"/>
    <w:rsid w:val="00934049"/>
    <w:rsid w:val="009344A4"/>
    <w:rsid w:val="00934F15"/>
    <w:rsid w:val="00937EC1"/>
    <w:rsid w:val="009437E2"/>
    <w:rsid w:val="009448FB"/>
    <w:rsid w:val="00944CBE"/>
    <w:rsid w:val="00944E02"/>
    <w:rsid w:val="00946286"/>
    <w:rsid w:val="00946488"/>
    <w:rsid w:val="009467B7"/>
    <w:rsid w:val="0094687D"/>
    <w:rsid w:val="0094799B"/>
    <w:rsid w:val="00950FD7"/>
    <w:rsid w:val="009510A2"/>
    <w:rsid w:val="00953257"/>
    <w:rsid w:val="0095396C"/>
    <w:rsid w:val="00953990"/>
    <w:rsid w:val="0096282F"/>
    <w:rsid w:val="00962CB9"/>
    <w:rsid w:val="00963203"/>
    <w:rsid w:val="0096331A"/>
    <w:rsid w:val="00964312"/>
    <w:rsid w:val="00965783"/>
    <w:rsid w:val="00965B8A"/>
    <w:rsid w:val="00967DDC"/>
    <w:rsid w:val="00967E0D"/>
    <w:rsid w:val="009717AC"/>
    <w:rsid w:val="009836FA"/>
    <w:rsid w:val="00983E57"/>
    <w:rsid w:val="0098675D"/>
    <w:rsid w:val="00987772"/>
    <w:rsid w:val="009901AE"/>
    <w:rsid w:val="009916AB"/>
    <w:rsid w:val="00991840"/>
    <w:rsid w:val="00992A57"/>
    <w:rsid w:val="00993594"/>
    <w:rsid w:val="009937C3"/>
    <w:rsid w:val="00994B53"/>
    <w:rsid w:val="00994FFA"/>
    <w:rsid w:val="009951D8"/>
    <w:rsid w:val="00996A81"/>
    <w:rsid w:val="00996B1A"/>
    <w:rsid w:val="00997E78"/>
    <w:rsid w:val="009A120D"/>
    <w:rsid w:val="009A2B7B"/>
    <w:rsid w:val="009A2D6A"/>
    <w:rsid w:val="009A70F5"/>
    <w:rsid w:val="009A7F10"/>
    <w:rsid w:val="009B004D"/>
    <w:rsid w:val="009B15C9"/>
    <w:rsid w:val="009B1631"/>
    <w:rsid w:val="009B1764"/>
    <w:rsid w:val="009B1906"/>
    <w:rsid w:val="009B3957"/>
    <w:rsid w:val="009B3963"/>
    <w:rsid w:val="009B3E26"/>
    <w:rsid w:val="009B3F59"/>
    <w:rsid w:val="009B5559"/>
    <w:rsid w:val="009B56C9"/>
    <w:rsid w:val="009B5BAA"/>
    <w:rsid w:val="009B5E14"/>
    <w:rsid w:val="009B6D38"/>
    <w:rsid w:val="009B6D3B"/>
    <w:rsid w:val="009B7121"/>
    <w:rsid w:val="009B77D9"/>
    <w:rsid w:val="009C43C6"/>
    <w:rsid w:val="009C4802"/>
    <w:rsid w:val="009C4B6F"/>
    <w:rsid w:val="009C5CF6"/>
    <w:rsid w:val="009C6CEA"/>
    <w:rsid w:val="009C7B85"/>
    <w:rsid w:val="009D029A"/>
    <w:rsid w:val="009D255A"/>
    <w:rsid w:val="009D2825"/>
    <w:rsid w:val="009D5B91"/>
    <w:rsid w:val="009D6A6C"/>
    <w:rsid w:val="009D792E"/>
    <w:rsid w:val="009E0DFE"/>
    <w:rsid w:val="009E1B22"/>
    <w:rsid w:val="009E33E4"/>
    <w:rsid w:val="009E4C07"/>
    <w:rsid w:val="009E5C09"/>
    <w:rsid w:val="009E62EB"/>
    <w:rsid w:val="009E681C"/>
    <w:rsid w:val="009F4F3C"/>
    <w:rsid w:val="009F5F82"/>
    <w:rsid w:val="009F7254"/>
    <w:rsid w:val="009F770A"/>
    <w:rsid w:val="009F782C"/>
    <w:rsid w:val="00A0007D"/>
    <w:rsid w:val="00A01184"/>
    <w:rsid w:val="00A0208E"/>
    <w:rsid w:val="00A02268"/>
    <w:rsid w:val="00A03748"/>
    <w:rsid w:val="00A03D43"/>
    <w:rsid w:val="00A0421C"/>
    <w:rsid w:val="00A04275"/>
    <w:rsid w:val="00A04380"/>
    <w:rsid w:val="00A046F9"/>
    <w:rsid w:val="00A04ADF"/>
    <w:rsid w:val="00A05041"/>
    <w:rsid w:val="00A0530C"/>
    <w:rsid w:val="00A110CA"/>
    <w:rsid w:val="00A11431"/>
    <w:rsid w:val="00A11CD0"/>
    <w:rsid w:val="00A12467"/>
    <w:rsid w:val="00A13948"/>
    <w:rsid w:val="00A14497"/>
    <w:rsid w:val="00A1555B"/>
    <w:rsid w:val="00A155C5"/>
    <w:rsid w:val="00A158E3"/>
    <w:rsid w:val="00A15CBA"/>
    <w:rsid w:val="00A16AD8"/>
    <w:rsid w:val="00A21CF3"/>
    <w:rsid w:val="00A225FF"/>
    <w:rsid w:val="00A22849"/>
    <w:rsid w:val="00A232FE"/>
    <w:rsid w:val="00A24FC8"/>
    <w:rsid w:val="00A25493"/>
    <w:rsid w:val="00A257DD"/>
    <w:rsid w:val="00A2589A"/>
    <w:rsid w:val="00A25944"/>
    <w:rsid w:val="00A25E65"/>
    <w:rsid w:val="00A27AEC"/>
    <w:rsid w:val="00A30FF9"/>
    <w:rsid w:val="00A315BF"/>
    <w:rsid w:val="00A32062"/>
    <w:rsid w:val="00A320DB"/>
    <w:rsid w:val="00A3369B"/>
    <w:rsid w:val="00A340FC"/>
    <w:rsid w:val="00A35D16"/>
    <w:rsid w:val="00A35EC3"/>
    <w:rsid w:val="00A37BCD"/>
    <w:rsid w:val="00A37FF6"/>
    <w:rsid w:val="00A4051A"/>
    <w:rsid w:val="00A40685"/>
    <w:rsid w:val="00A41441"/>
    <w:rsid w:val="00A43C59"/>
    <w:rsid w:val="00A44877"/>
    <w:rsid w:val="00A47ABB"/>
    <w:rsid w:val="00A50DCC"/>
    <w:rsid w:val="00A50ECD"/>
    <w:rsid w:val="00A512D1"/>
    <w:rsid w:val="00A518F3"/>
    <w:rsid w:val="00A52245"/>
    <w:rsid w:val="00A52729"/>
    <w:rsid w:val="00A528F2"/>
    <w:rsid w:val="00A53675"/>
    <w:rsid w:val="00A54B7B"/>
    <w:rsid w:val="00A54E03"/>
    <w:rsid w:val="00A564D7"/>
    <w:rsid w:val="00A568F4"/>
    <w:rsid w:val="00A56B6A"/>
    <w:rsid w:val="00A578DC"/>
    <w:rsid w:val="00A57FCB"/>
    <w:rsid w:val="00A6040E"/>
    <w:rsid w:val="00A60E1A"/>
    <w:rsid w:val="00A621AD"/>
    <w:rsid w:val="00A64B40"/>
    <w:rsid w:val="00A6612E"/>
    <w:rsid w:val="00A66A27"/>
    <w:rsid w:val="00A6725B"/>
    <w:rsid w:val="00A67277"/>
    <w:rsid w:val="00A676DB"/>
    <w:rsid w:val="00A7050F"/>
    <w:rsid w:val="00A70605"/>
    <w:rsid w:val="00A7191D"/>
    <w:rsid w:val="00A73134"/>
    <w:rsid w:val="00A747C7"/>
    <w:rsid w:val="00A749CE"/>
    <w:rsid w:val="00A777B2"/>
    <w:rsid w:val="00A840DF"/>
    <w:rsid w:val="00A85AED"/>
    <w:rsid w:val="00A85CD9"/>
    <w:rsid w:val="00A86E8B"/>
    <w:rsid w:val="00A87164"/>
    <w:rsid w:val="00A87EC2"/>
    <w:rsid w:val="00A91015"/>
    <w:rsid w:val="00A91785"/>
    <w:rsid w:val="00A91879"/>
    <w:rsid w:val="00A93072"/>
    <w:rsid w:val="00A93953"/>
    <w:rsid w:val="00A959D8"/>
    <w:rsid w:val="00A961A4"/>
    <w:rsid w:val="00A96FE5"/>
    <w:rsid w:val="00A978CA"/>
    <w:rsid w:val="00AA012F"/>
    <w:rsid w:val="00AA0EAE"/>
    <w:rsid w:val="00AA113D"/>
    <w:rsid w:val="00AA18C4"/>
    <w:rsid w:val="00AA2AB6"/>
    <w:rsid w:val="00AA43DB"/>
    <w:rsid w:val="00AA4D10"/>
    <w:rsid w:val="00AA5392"/>
    <w:rsid w:val="00AA5540"/>
    <w:rsid w:val="00AA6C7D"/>
    <w:rsid w:val="00AA717B"/>
    <w:rsid w:val="00AA7FD6"/>
    <w:rsid w:val="00AB042A"/>
    <w:rsid w:val="00AB1A00"/>
    <w:rsid w:val="00AB1EE6"/>
    <w:rsid w:val="00AB2D34"/>
    <w:rsid w:val="00AB3249"/>
    <w:rsid w:val="00AB335A"/>
    <w:rsid w:val="00AB3430"/>
    <w:rsid w:val="00AB3ABB"/>
    <w:rsid w:val="00AB4A84"/>
    <w:rsid w:val="00AB4AD1"/>
    <w:rsid w:val="00AB5334"/>
    <w:rsid w:val="00AB6546"/>
    <w:rsid w:val="00AB7CFA"/>
    <w:rsid w:val="00AC0572"/>
    <w:rsid w:val="00AC247E"/>
    <w:rsid w:val="00AC39CF"/>
    <w:rsid w:val="00AC5B48"/>
    <w:rsid w:val="00AC6961"/>
    <w:rsid w:val="00AD1F55"/>
    <w:rsid w:val="00AD268F"/>
    <w:rsid w:val="00AD30AA"/>
    <w:rsid w:val="00AD4E31"/>
    <w:rsid w:val="00AD6217"/>
    <w:rsid w:val="00AD6418"/>
    <w:rsid w:val="00AD6502"/>
    <w:rsid w:val="00AD728A"/>
    <w:rsid w:val="00AD77C9"/>
    <w:rsid w:val="00AD7CF9"/>
    <w:rsid w:val="00AD7FE3"/>
    <w:rsid w:val="00AE13F8"/>
    <w:rsid w:val="00AE15C3"/>
    <w:rsid w:val="00AE2F50"/>
    <w:rsid w:val="00AE7FC5"/>
    <w:rsid w:val="00AF1315"/>
    <w:rsid w:val="00AF19BF"/>
    <w:rsid w:val="00AF1CA5"/>
    <w:rsid w:val="00AF21BB"/>
    <w:rsid w:val="00AF25EA"/>
    <w:rsid w:val="00AF2DC3"/>
    <w:rsid w:val="00AF56B8"/>
    <w:rsid w:val="00B01526"/>
    <w:rsid w:val="00B033E5"/>
    <w:rsid w:val="00B0361B"/>
    <w:rsid w:val="00B0395D"/>
    <w:rsid w:val="00B03A63"/>
    <w:rsid w:val="00B045A3"/>
    <w:rsid w:val="00B05F95"/>
    <w:rsid w:val="00B12E60"/>
    <w:rsid w:val="00B1457C"/>
    <w:rsid w:val="00B1674C"/>
    <w:rsid w:val="00B16FB2"/>
    <w:rsid w:val="00B1794D"/>
    <w:rsid w:val="00B201A4"/>
    <w:rsid w:val="00B206F9"/>
    <w:rsid w:val="00B20DA2"/>
    <w:rsid w:val="00B213A6"/>
    <w:rsid w:val="00B223D0"/>
    <w:rsid w:val="00B22593"/>
    <w:rsid w:val="00B23024"/>
    <w:rsid w:val="00B24CDB"/>
    <w:rsid w:val="00B24DF6"/>
    <w:rsid w:val="00B32DB4"/>
    <w:rsid w:val="00B33CC6"/>
    <w:rsid w:val="00B34FE2"/>
    <w:rsid w:val="00B357D8"/>
    <w:rsid w:val="00B37696"/>
    <w:rsid w:val="00B37B67"/>
    <w:rsid w:val="00B37BFC"/>
    <w:rsid w:val="00B40358"/>
    <w:rsid w:val="00B41614"/>
    <w:rsid w:val="00B41AF6"/>
    <w:rsid w:val="00B42851"/>
    <w:rsid w:val="00B42F80"/>
    <w:rsid w:val="00B435CB"/>
    <w:rsid w:val="00B440B4"/>
    <w:rsid w:val="00B44B1B"/>
    <w:rsid w:val="00B47900"/>
    <w:rsid w:val="00B50ABE"/>
    <w:rsid w:val="00B50DB8"/>
    <w:rsid w:val="00B51327"/>
    <w:rsid w:val="00B51593"/>
    <w:rsid w:val="00B52BAE"/>
    <w:rsid w:val="00B53654"/>
    <w:rsid w:val="00B53905"/>
    <w:rsid w:val="00B54718"/>
    <w:rsid w:val="00B54B5B"/>
    <w:rsid w:val="00B5562E"/>
    <w:rsid w:val="00B5657C"/>
    <w:rsid w:val="00B56881"/>
    <w:rsid w:val="00B57000"/>
    <w:rsid w:val="00B5773D"/>
    <w:rsid w:val="00B60514"/>
    <w:rsid w:val="00B60939"/>
    <w:rsid w:val="00B60AFD"/>
    <w:rsid w:val="00B62715"/>
    <w:rsid w:val="00B634B1"/>
    <w:rsid w:val="00B654DA"/>
    <w:rsid w:val="00B71C5D"/>
    <w:rsid w:val="00B7233F"/>
    <w:rsid w:val="00B7354E"/>
    <w:rsid w:val="00B80B27"/>
    <w:rsid w:val="00B813CC"/>
    <w:rsid w:val="00B818A4"/>
    <w:rsid w:val="00B81D3F"/>
    <w:rsid w:val="00B84117"/>
    <w:rsid w:val="00B853C7"/>
    <w:rsid w:val="00B85AA2"/>
    <w:rsid w:val="00B85CA7"/>
    <w:rsid w:val="00B8649C"/>
    <w:rsid w:val="00B87F0A"/>
    <w:rsid w:val="00B908E6"/>
    <w:rsid w:val="00B91D6C"/>
    <w:rsid w:val="00B92404"/>
    <w:rsid w:val="00B92D0B"/>
    <w:rsid w:val="00B93B9A"/>
    <w:rsid w:val="00B948B9"/>
    <w:rsid w:val="00B94945"/>
    <w:rsid w:val="00B959FA"/>
    <w:rsid w:val="00B9752F"/>
    <w:rsid w:val="00BA0BFA"/>
    <w:rsid w:val="00BA0DC0"/>
    <w:rsid w:val="00BA1B82"/>
    <w:rsid w:val="00BA1F05"/>
    <w:rsid w:val="00BA322D"/>
    <w:rsid w:val="00BA38D4"/>
    <w:rsid w:val="00BA412A"/>
    <w:rsid w:val="00BA6ED8"/>
    <w:rsid w:val="00BB0BDD"/>
    <w:rsid w:val="00BB0F93"/>
    <w:rsid w:val="00BB10F6"/>
    <w:rsid w:val="00BB2A73"/>
    <w:rsid w:val="00BB3D4E"/>
    <w:rsid w:val="00BB4ACC"/>
    <w:rsid w:val="00BB6405"/>
    <w:rsid w:val="00BB703E"/>
    <w:rsid w:val="00BB7405"/>
    <w:rsid w:val="00BC0094"/>
    <w:rsid w:val="00BC349B"/>
    <w:rsid w:val="00BC3631"/>
    <w:rsid w:val="00BC390F"/>
    <w:rsid w:val="00BC62D2"/>
    <w:rsid w:val="00BC72BB"/>
    <w:rsid w:val="00BC75D6"/>
    <w:rsid w:val="00BD0338"/>
    <w:rsid w:val="00BD0BAD"/>
    <w:rsid w:val="00BD4507"/>
    <w:rsid w:val="00BD46CC"/>
    <w:rsid w:val="00BD55A1"/>
    <w:rsid w:val="00BD68A3"/>
    <w:rsid w:val="00BD6938"/>
    <w:rsid w:val="00BD6CF3"/>
    <w:rsid w:val="00BD7004"/>
    <w:rsid w:val="00BD7DBA"/>
    <w:rsid w:val="00BE17B6"/>
    <w:rsid w:val="00BE2180"/>
    <w:rsid w:val="00BE21F2"/>
    <w:rsid w:val="00BE25F8"/>
    <w:rsid w:val="00BE39E8"/>
    <w:rsid w:val="00BE4275"/>
    <w:rsid w:val="00BE6838"/>
    <w:rsid w:val="00BE7BCD"/>
    <w:rsid w:val="00BF05DB"/>
    <w:rsid w:val="00BF0F95"/>
    <w:rsid w:val="00BF2433"/>
    <w:rsid w:val="00BF5115"/>
    <w:rsid w:val="00BF61C9"/>
    <w:rsid w:val="00BF6880"/>
    <w:rsid w:val="00BF6C94"/>
    <w:rsid w:val="00BF7BC7"/>
    <w:rsid w:val="00BF7E3C"/>
    <w:rsid w:val="00BF7EDE"/>
    <w:rsid w:val="00C00424"/>
    <w:rsid w:val="00C00434"/>
    <w:rsid w:val="00C004A2"/>
    <w:rsid w:val="00C0218B"/>
    <w:rsid w:val="00C023D6"/>
    <w:rsid w:val="00C02989"/>
    <w:rsid w:val="00C02A15"/>
    <w:rsid w:val="00C03F80"/>
    <w:rsid w:val="00C045CE"/>
    <w:rsid w:val="00C12C14"/>
    <w:rsid w:val="00C1306B"/>
    <w:rsid w:val="00C200AA"/>
    <w:rsid w:val="00C20AA9"/>
    <w:rsid w:val="00C21185"/>
    <w:rsid w:val="00C23447"/>
    <w:rsid w:val="00C237ED"/>
    <w:rsid w:val="00C23A46"/>
    <w:rsid w:val="00C24584"/>
    <w:rsid w:val="00C24632"/>
    <w:rsid w:val="00C25418"/>
    <w:rsid w:val="00C25681"/>
    <w:rsid w:val="00C25971"/>
    <w:rsid w:val="00C25D9C"/>
    <w:rsid w:val="00C25DE8"/>
    <w:rsid w:val="00C2778B"/>
    <w:rsid w:val="00C30D29"/>
    <w:rsid w:val="00C31649"/>
    <w:rsid w:val="00C328C5"/>
    <w:rsid w:val="00C336AA"/>
    <w:rsid w:val="00C36E25"/>
    <w:rsid w:val="00C40385"/>
    <w:rsid w:val="00C45E60"/>
    <w:rsid w:val="00C475AA"/>
    <w:rsid w:val="00C47B22"/>
    <w:rsid w:val="00C51595"/>
    <w:rsid w:val="00C521BD"/>
    <w:rsid w:val="00C5530B"/>
    <w:rsid w:val="00C5681F"/>
    <w:rsid w:val="00C60810"/>
    <w:rsid w:val="00C61159"/>
    <w:rsid w:val="00C6407F"/>
    <w:rsid w:val="00C64FB3"/>
    <w:rsid w:val="00C65441"/>
    <w:rsid w:val="00C65576"/>
    <w:rsid w:val="00C66165"/>
    <w:rsid w:val="00C67E79"/>
    <w:rsid w:val="00C71129"/>
    <w:rsid w:val="00C712F3"/>
    <w:rsid w:val="00C7151A"/>
    <w:rsid w:val="00C71AF1"/>
    <w:rsid w:val="00C71F60"/>
    <w:rsid w:val="00C72241"/>
    <w:rsid w:val="00C73588"/>
    <w:rsid w:val="00C74EBA"/>
    <w:rsid w:val="00C750C8"/>
    <w:rsid w:val="00C752BF"/>
    <w:rsid w:val="00C7560F"/>
    <w:rsid w:val="00C770F3"/>
    <w:rsid w:val="00C77B12"/>
    <w:rsid w:val="00C80A0E"/>
    <w:rsid w:val="00C80EB8"/>
    <w:rsid w:val="00C81A87"/>
    <w:rsid w:val="00C8213F"/>
    <w:rsid w:val="00C857CF"/>
    <w:rsid w:val="00C8622B"/>
    <w:rsid w:val="00C876A8"/>
    <w:rsid w:val="00C8797A"/>
    <w:rsid w:val="00C900B8"/>
    <w:rsid w:val="00C9067F"/>
    <w:rsid w:val="00C90879"/>
    <w:rsid w:val="00C90894"/>
    <w:rsid w:val="00C90C71"/>
    <w:rsid w:val="00C912C2"/>
    <w:rsid w:val="00C931CF"/>
    <w:rsid w:val="00C938CF"/>
    <w:rsid w:val="00C95D8B"/>
    <w:rsid w:val="00C9624D"/>
    <w:rsid w:val="00C969DA"/>
    <w:rsid w:val="00C97301"/>
    <w:rsid w:val="00CA2574"/>
    <w:rsid w:val="00CA2C77"/>
    <w:rsid w:val="00CA3A0E"/>
    <w:rsid w:val="00CA444F"/>
    <w:rsid w:val="00CA5245"/>
    <w:rsid w:val="00CA5CCA"/>
    <w:rsid w:val="00CA5FE0"/>
    <w:rsid w:val="00CA6851"/>
    <w:rsid w:val="00CA71F4"/>
    <w:rsid w:val="00CA7B09"/>
    <w:rsid w:val="00CA7FD5"/>
    <w:rsid w:val="00CB0D49"/>
    <w:rsid w:val="00CB16AD"/>
    <w:rsid w:val="00CB1A3A"/>
    <w:rsid w:val="00CB20F9"/>
    <w:rsid w:val="00CB2F2A"/>
    <w:rsid w:val="00CB3677"/>
    <w:rsid w:val="00CB4586"/>
    <w:rsid w:val="00CB5B1A"/>
    <w:rsid w:val="00CB5EC8"/>
    <w:rsid w:val="00CB6B22"/>
    <w:rsid w:val="00CB7F5F"/>
    <w:rsid w:val="00CC1B39"/>
    <w:rsid w:val="00CC3103"/>
    <w:rsid w:val="00CC32A3"/>
    <w:rsid w:val="00CC33E3"/>
    <w:rsid w:val="00CC55BF"/>
    <w:rsid w:val="00CC7D3B"/>
    <w:rsid w:val="00CD0A27"/>
    <w:rsid w:val="00CD0E7D"/>
    <w:rsid w:val="00CD137D"/>
    <w:rsid w:val="00CD386E"/>
    <w:rsid w:val="00CD42A2"/>
    <w:rsid w:val="00CD6ADC"/>
    <w:rsid w:val="00CD7F2C"/>
    <w:rsid w:val="00CE1D67"/>
    <w:rsid w:val="00CE4DD3"/>
    <w:rsid w:val="00CE6274"/>
    <w:rsid w:val="00CF0D48"/>
    <w:rsid w:val="00CF0F71"/>
    <w:rsid w:val="00CF1DAB"/>
    <w:rsid w:val="00CF2B8D"/>
    <w:rsid w:val="00CF2C1A"/>
    <w:rsid w:val="00CF456B"/>
    <w:rsid w:val="00CF59F6"/>
    <w:rsid w:val="00CF5A22"/>
    <w:rsid w:val="00CF7F32"/>
    <w:rsid w:val="00D00B91"/>
    <w:rsid w:val="00D01519"/>
    <w:rsid w:val="00D018E1"/>
    <w:rsid w:val="00D0262E"/>
    <w:rsid w:val="00D032BD"/>
    <w:rsid w:val="00D048FE"/>
    <w:rsid w:val="00D05962"/>
    <w:rsid w:val="00D05C5B"/>
    <w:rsid w:val="00D0700C"/>
    <w:rsid w:val="00D110BD"/>
    <w:rsid w:val="00D13675"/>
    <w:rsid w:val="00D141E1"/>
    <w:rsid w:val="00D16169"/>
    <w:rsid w:val="00D1703B"/>
    <w:rsid w:val="00D175DB"/>
    <w:rsid w:val="00D17D6C"/>
    <w:rsid w:val="00D20DE2"/>
    <w:rsid w:val="00D239F2"/>
    <w:rsid w:val="00D249C1"/>
    <w:rsid w:val="00D2754D"/>
    <w:rsid w:val="00D27B27"/>
    <w:rsid w:val="00D31A08"/>
    <w:rsid w:val="00D321B2"/>
    <w:rsid w:val="00D33834"/>
    <w:rsid w:val="00D33BE9"/>
    <w:rsid w:val="00D34D9C"/>
    <w:rsid w:val="00D357FF"/>
    <w:rsid w:val="00D3591F"/>
    <w:rsid w:val="00D37C90"/>
    <w:rsid w:val="00D401AA"/>
    <w:rsid w:val="00D40760"/>
    <w:rsid w:val="00D40D29"/>
    <w:rsid w:val="00D42027"/>
    <w:rsid w:val="00D424C7"/>
    <w:rsid w:val="00D42518"/>
    <w:rsid w:val="00D43B2A"/>
    <w:rsid w:val="00D441F9"/>
    <w:rsid w:val="00D472B8"/>
    <w:rsid w:val="00D47575"/>
    <w:rsid w:val="00D50BDC"/>
    <w:rsid w:val="00D52FCF"/>
    <w:rsid w:val="00D54EC5"/>
    <w:rsid w:val="00D55770"/>
    <w:rsid w:val="00D56314"/>
    <w:rsid w:val="00D56BD4"/>
    <w:rsid w:val="00D57C1B"/>
    <w:rsid w:val="00D606AD"/>
    <w:rsid w:val="00D608AD"/>
    <w:rsid w:val="00D60981"/>
    <w:rsid w:val="00D61218"/>
    <w:rsid w:val="00D6375A"/>
    <w:rsid w:val="00D6377A"/>
    <w:rsid w:val="00D6459D"/>
    <w:rsid w:val="00D64DBE"/>
    <w:rsid w:val="00D66730"/>
    <w:rsid w:val="00D669DF"/>
    <w:rsid w:val="00D673FF"/>
    <w:rsid w:val="00D70C04"/>
    <w:rsid w:val="00D70F16"/>
    <w:rsid w:val="00D71B5F"/>
    <w:rsid w:val="00D72033"/>
    <w:rsid w:val="00D7285D"/>
    <w:rsid w:val="00D73E44"/>
    <w:rsid w:val="00D7521B"/>
    <w:rsid w:val="00D76A44"/>
    <w:rsid w:val="00D77B3E"/>
    <w:rsid w:val="00D77B8F"/>
    <w:rsid w:val="00D77EDB"/>
    <w:rsid w:val="00D810F2"/>
    <w:rsid w:val="00D815EF"/>
    <w:rsid w:val="00D8170C"/>
    <w:rsid w:val="00D82EB7"/>
    <w:rsid w:val="00D82FB0"/>
    <w:rsid w:val="00D831B9"/>
    <w:rsid w:val="00D849AE"/>
    <w:rsid w:val="00D861BB"/>
    <w:rsid w:val="00D914EE"/>
    <w:rsid w:val="00D91923"/>
    <w:rsid w:val="00D92658"/>
    <w:rsid w:val="00D92CB5"/>
    <w:rsid w:val="00D93105"/>
    <w:rsid w:val="00D93753"/>
    <w:rsid w:val="00D94A5B"/>
    <w:rsid w:val="00DA3167"/>
    <w:rsid w:val="00DA4497"/>
    <w:rsid w:val="00DA4DC3"/>
    <w:rsid w:val="00DA5568"/>
    <w:rsid w:val="00DA612D"/>
    <w:rsid w:val="00DA77A5"/>
    <w:rsid w:val="00DB4121"/>
    <w:rsid w:val="00DB484F"/>
    <w:rsid w:val="00DB58D1"/>
    <w:rsid w:val="00DB6332"/>
    <w:rsid w:val="00DC01C0"/>
    <w:rsid w:val="00DC04F6"/>
    <w:rsid w:val="00DC0541"/>
    <w:rsid w:val="00DC08E3"/>
    <w:rsid w:val="00DC0D06"/>
    <w:rsid w:val="00DC24EE"/>
    <w:rsid w:val="00DC3C57"/>
    <w:rsid w:val="00DC4A73"/>
    <w:rsid w:val="00DC5501"/>
    <w:rsid w:val="00DC55E7"/>
    <w:rsid w:val="00DC6FD4"/>
    <w:rsid w:val="00DC7015"/>
    <w:rsid w:val="00DC75DD"/>
    <w:rsid w:val="00DD01CD"/>
    <w:rsid w:val="00DD0A4E"/>
    <w:rsid w:val="00DD0BE0"/>
    <w:rsid w:val="00DD1092"/>
    <w:rsid w:val="00DD196D"/>
    <w:rsid w:val="00DD273C"/>
    <w:rsid w:val="00DD3F28"/>
    <w:rsid w:val="00DD4537"/>
    <w:rsid w:val="00DD4E15"/>
    <w:rsid w:val="00DD54E9"/>
    <w:rsid w:val="00DD67FD"/>
    <w:rsid w:val="00DE04A0"/>
    <w:rsid w:val="00DE19A1"/>
    <w:rsid w:val="00DE21F8"/>
    <w:rsid w:val="00DE2BF5"/>
    <w:rsid w:val="00DE3138"/>
    <w:rsid w:val="00DE37F8"/>
    <w:rsid w:val="00DE4985"/>
    <w:rsid w:val="00DE4FCB"/>
    <w:rsid w:val="00DE64DF"/>
    <w:rsid w:val="00DE6B73"/>
    <w:rsid w:val="00DE7221"/>
    <w:rsid w:val="00DE7832"/>
    <w:rsid w:val="00DF0021"/>
    <w:rsid w:val="00DF18FC"/>
    <w:rsid w:val="00DF2BA6"/>
    <w:rsid w:val="00DF5D2B"/>
    <w:rsid w:val="00DF60C7"/>
    <w:rsid w:val="00DF648A"/>
    <w:rsid w:val="00DF743C"/>
    <w:rsid w:val="00E00315"/>
    <w:rsid w:val="00E00C22"/>
    <w:rsid w:val="00E00E8E"/>
    <w:rsid w:val="00E02647"/>
    <w:rsid w:val="00E02A2B"/>
    <w:rsid w:val="00E03D0C"/>
    <w:rsid w:val="00E05630"/>
    <w:rsid w:val="00E068BA"/>
    <w:rsid w:val="00E06DBB"/>
    <w:rsid w:val="00E07026"/>
    <w:rsid w:val="00E10149"/>
    <w:rsid w:val="00E1197E"/>
    <w:rsid w:val="00E13D96"/>
    <w:rsid w:val="00E14965"/>
    <w:rsid w:val="00E14DF8"/>
    <w:rsid w:val="00E16372"/>
    <w:rsid w:val="00E172FA"/>
    <w:rsid w:val="00E1756F"/>
    <w:rsid w:val="00E17BA9"/>
    <w:rsid w:val="00E17CC5"/>
    <w:rsid w:val="00E2081B"/>
    <w:rsid w:val="00E20E4D"/>
    <w:rsid w:val="00E20ED6"/>
    <w:rsid w:val="00E21358"/>
    <w:rsid w:val="00E2249B"/>
    <w:rsid w:val="00E22A0D"/>
    <w:rsid w:val="00E22FF9"/>
    <w:rsid w:val="00E233CE"/>
    <w:rsid w:val="00E24995"/>
    <w:rsid w:val="00E25A81"/>
    <w:rsid w:val="00E2771E"/>
    <w:rsid w:val="00E27DE6"/>
    <w:rsid w:val="00E32BEF"/>
    <w:rsid w:val="00E33708"/>
    <w:rsid w:val="00E33C62"/>
    <w:rsid w:val="00E34948"/>
    <w:rsid w:val="00E37569"/>
    <w:rsid w:val="00E37CEB"/>
    <w:rsid w:val="00E406E9"/>
    <w:rsid w:val="00E41717"/>
    <w:rsid w:val="00E41E30"/>
    <w:rsid w:val="00E43D70"/>
    <w:rsid w:val="00E44645"/>
    <w:rsid w:val="00E45479"/>
    <w:rsid w:val="00E45E91"/>
    <w:rsid w:val="00E45E96"/>
    <w:rsid w:val="00E45EC3"/>
    <w:rsid w:val="00E462C8"/>
    <w:rsid w:val="00E466F3"/>
    <w:rsid w:val="00E47B2C"/>
    <w:rsid w:val="00E50190"/>
    <w:rsid w:val="00E51560"/>
    <w:rsid w:val="00E53C75"/>
    <w:rsid w:val="00E54347"/>
    <w:rsid w:val="00E546CB"/>
    <w:rsid w:val="00E55424"/>
    <w:rsid w:val="00E55BB5"/>
    <w:rsid w:val="00E57649"/>
    <w:rsid w:val="00E57AAF"/>
    <w:rsid w:val="00E606A5"/>
    <w:rsid w:val="00E6083B"/>
    <w:rsid w:val="00E6161A"/>
    <w:rsid w:val="00E619DD"/>
    <w:rsid w:val="00E62932"/>
    <w:rsid w:val="00E64E5A"/>
    <w:rsid w:val="00E659B3"/>
    <w:rsid w:val="00E65CB0"/>
    <w:rsid w:val="00E65E79"/>
    <w:rsid w:val="00E66BA2"/>
    <w:rsid w:val="00E66BD2"/>
    <w:rsid w:val="00E67416"/>
    <w:rsid w:val="00E67C6A"/>
    <w:rsid w:val="00E7065B"/>
    <w:rsid w:val="00E70F0E"/>
    <w:rsid w:val="00E718B6"/>
    <w:rsid w:val="00E723BA"/>
    <w:rsid w:val="00E73581"/>
    <w:rsid w:val="00E7471C"/>
    <w:rsid w:val="00E75CAF"/>
    <w:rsid w:val="00E833F7"/>
    <w:rsid w:val="00E839AC"/>
    <w:rsid w:val="00E83BA8"/>
    <w:rsid w:val="00E83BDF"/>
    <w:rsid w:val="00E843D2"/>
    <w:rsid w:val="00E87A1D"/>
    <w:rsid w:val="00E87EB4"/>
    <w:rsid w:val="00E92067"/>
    <w:rsid w:val="00E92326"/>
    <w:rsid w:val="00E92423"/>
    <w:rsid w:val="00E926A5"/>
    <w:rsid w:val="00E935AC"/>
    <w:rsid w:val="00E936E0"/>
    <w:rsid w:val="00E95C51"/>
    <w:rsid w:val="00E97FF4"/>
    <w:rsid w:val="00EA17C3"/>
    <w:rsid w:val="00EA18AF"/>
    <w:rsid w:val="00EA2CAA"/>
    <w:rsid w:val="00EA2FC2"/>
    <w:rsid w:val="00EA3864"/>
    <w:rsid w:val="00EA4E53"/>
    <w:rsid w:val="00EB0F24"/>
    <w:rsid w:val="00EB15B6"/>
    <w:rsid w:val="00EB3635"/>
    <w:rsid w:val="00EB4916"/>
    <w:rsid w:val="00EB5B35"/>
    <w:rsid w:val="00EC00C9"/>
    <w:rsid w:val="00EC025A"/>
    <w:rsid w:val="00EC14AD"/>
    <w:rsid w:val="00EC25D1"/>
    <w:rsid w:val="00EC2649"/>
    <w:rsid w:val="00EC31D3"/>
    <w:rsid w:val="00EC3545"/>
    <w:rsid w:val="00EC37E0"/>
    <w:rsid w:val="00EC657D"/>
    <w:rsid w:val="00EC6CFB"/>
    <w:rsid w:val="00EC7AC4"/>
    <w:rsid w:val="00ED049B"/>
    <w:rsid w:val="00ED09A1"/>
    <w:rsid w:val="00ED09C4"/>
    <w:rsid w:val="00ED1643"/>
    <w:rsid w:val="00ED244E"/>
    <w:rsid w:val="00ED2855"/>
    <w:rsid w:val="00ED2AF4"/>
    <w:rsid w:val="00ED37D2"/>
    <w:rsid w:val="00ED4364"/>
    <w:rsid w:val="00ED57EA"/>
    <w:rsid w:val="00ED5AF2"/>
    <w:rsid w:val="00ED6718"/>
    <w:rsid w:val="00EE07D3"/>
    <w:rsid w:val="00EE22AF"/>
    <w:rsid w:val="00EE2321"/>
    <w:rsid w:val="00EE4C6E"/>
    <w:rsid w:val="00EE53E7"/>
    <w:rsid w:val="00EE65D9"/>
    <w:rsid w:val="00EE69E5"/>
    <w:rsid w:val="00EE7BF9"/>
    <w:rsid w:val="00EF0171"/>
    <w:rsid w:val="00EF126B"/>
    <w:rsid w:val="00EF1B25"/>
    <w:rsid w:val="00EF286C"/>
    <w:rsid w:val="00EF4747"/>
    <w:rsid w:val="00EF4BF8"/>
    <w:rsid w:val="00EF74B8"/>
    <w:rsid w:val="00F00B32"/>
    <w:rsid w:val="00F01B02"/>
    <w:rsid w:val="00F02253"/>
    <w:rsid w:val="00F025F2"/>
    <w:rsid w:val="00F03B52"/>
    <w:rsid w:val="00F03C2E"/>
    <w:rsid w:val="00F04A66"/>
    <w:rsid w:val="00F0516C"/>
    <w:rsid w:val="00F0664C"/>
    <w:rsid w:val="00F067A2"/>
    <w:rsid w:val="00F0696E"/>
    <w:rsid w:val="00F103AD"/>
    <w:rsid w:val="00F11F9E"/>
    <w:rsid w:val="00F1263A"/>
    <w:rsid w:val="00F1344D"/>
    <w:rsid w:val="00F14653"/>
    <w:rsid w:val="00F146E8"/>
    <w:rsid w:val="00F158AA"/>
    <w:rsid w:val="00F16181"/>
    <w:rsid w:val="00F170EE"/>
    <w:rsid w:val="00F17799"/>
    <w:rsid w:val="00F177DF"/>
    <w:rsid w:val="00F22274"/>
    <w:rsid w:val="00F24837"/>
    <w:rsid w:val="00F252C9"/>
    <w:rsid w:val="00F2575F"/>
    <w:rsid w:val="00F25FE7"/>
    <w:rsid w:val="00F2673B"/>
    <w:rsid w:val="00F2690D"/>
    <w:rsid w:val="00F27565"/>
    <w:rsid w:val="00F306CB"/>
    <w:rsid w:val="00F310D4"/>
    <w:rsid w:val="00F31D5A"/>
    <w:rsid w:val="00F33427"/>
    <w:rsid w:val="00F33DE9"/>
    <w:rsid w:val="00F35840"/>
    <w:rsid w:val="00F3619A"/>
    <w:rsid w:val="00F36E8E"/>
    <w:rsid w:val="00F40AAA"/>
    <w:rsid w:val="00F40BA7"/>
    <w:rsid w:val="00F411E6"/>
    <w:rsid w:val="00F41901"/>
    <w:rsid w:val="00F41ADD"/>
    <w:rsid w:val="00F441B9"/>
    <w:rsid w:val="00F46907"/>
    <w:rsid w:val="00F46CB6"/>
    <w:rsid w:val="00F4748E"/>
    <w:rsid w:val="00F47B7B"/>
    <w:rsid w:val="00F47DE8"/>
    <w:rsid w:val="00F5216B"/>
    <w:rsid w:val="00F52674"/>
    <w:rsid w:val="00F527D4"/>
    <w:rsid w:val="00F542C1"/>
    <w:rsid w:val="00F54B95"/>
    <w:rsid w:val="00F555E5"/>
    <w:rsid w:val="00F55E73"/>
    <w:rsid w:val="00F55EDA"/>
    <w:rsid w:val="00F56335"/>
    <w:rsid w:val="00F56433"/>
    <w:rsid w:val="00F56715"/>
    <w:rsid w:val="00F60092"/>
    <w:rsid w:val="00F6036B"/>
    <w:rsid w:val="00F62E71"/>
    <w:rsid w:val="00F63E7A"/>
    <w:rsid w:val="00F65F4B"/>
    <w:rsid w:val="00F67538"/>
    <w:rsid w:val="00F67984"/>
    <w:rsid w:val="00F70C9D"/>
    <w:rsid w:val="00F70F34"/>
    <w:rsid w:val="00F7282B"/>
    <w:rsid w:val="00F74173"/>
    <w:rsid w:val="00F749A6"/>
    <w:rsid w:val="00F74C09"/>
    <w:rsid w:val="00F74CD9"/>
    <w:rsid w:val="00F75199"/>
    <w:rsid w:val="00F76143"/>
    <w:rsid w:val="00F761BD"/>
    <w:rsid w:val="00F7725D"/>
    <w:rsid w:val="00F8051C"/>
    <w:rsid w:val="00F80A7B"/>
    <w:rsid w:val="00F80E5D"/>
    <w:rsid w:val="00F81079"/>
    <w:rsid w:val="00F815C9"/>
    <w:rsid w:val="00F818BF"/>
    <w:rsid w:val="00F83D5C"/>
    <w:rsid w:val="00F851CE"/>
    <w:rsid w:val="00F85347"/>
    <w:rsid w:val="00F86EF2"/>
    <w:rsid w:val="00F8739F"/>
    <w:rsid w:val="00F9006C"/>
    <w:rsid w:val="00F90AE1"/>
    <w:rsid w:val="00F91219"/>
    <w:rsid w:val="00F91CB1"/>
    <w:rsid w:val="00F939D4"/>
    <w:rsid w:val="00F9479C"/>
    <w:rsid w:val="00F9520B"/>
    <w:rsid w:val="00F95CCB"/>
    <w:rsid w:val="00F96993"/>
    <w:rsid w:val="00F97A78"/>
    <w:rsid w:val="00FA072E"/>
    <w:rsid w:val="00FA0B20"/>
    <w:rsid w:val="00FA24E7"/>
    <w:rsid w:val="00FA41D3"/>
    <w:rsid w:val="00FA4418"/>
    <w:rsid w:val="00FA4F1E"/>
    <w:rsid w:val="00FA5365"/>
    <w:rsid w:val="00FA6110"/>
    <w:rsid w:val="00FB1D5C"/>
    <w:rsid w:val="00FB2FCB"/>
    <w:rsid w:val="00FB3BC5"/>
    <w:rsid w:val="00FB3D07"/>
    <w:rsid w:val="00FB6AE5"/>
    <w:rsid w:val="00FB70DB"/>
    <w:rsid w:val="00FB76EA"/>
    <w:rsid w:val="00FC1074"/>
    <w:rsid w:val="00FC1884"/>
    <w:rsid w:val="00FC371D"/>
    <w:rsid w:val="00FC57AB"/>
    <w:rsid w:val="00FC5F0B"/>
    <w:rsid w:val="00FC7C41"/>
    <w:rsid w:val="00FD2100"/>
    <w:rsid w:val="00FD436C"/>
    <w:rsid w:val="00FD446D"/>
    <w:rsid w:val="00FD5491"/>
    <w:rsid w:val="00FD6394"/>
    <w:rsid w:val="00FD779F"/>
    <w:rsid w:val="00FE0E6C"/>
    <w:rsid w:val="00FE152F"/>
    <w:rsid w:val="00FE197C"/>
    <w:rsid w:val="00FE23F3"/>
    <w:rsid w:val="00FE41E1"/>
    <w:rsid w:val="00FE4F58"/>
    <w:rsid w:val="00FE70C3"/>
    <w:rsid w:val="00FF1BBA"/>
    <w:rsid w:val="00FF2187"/>
    <w:rsid w:val="00FF2403"/>
    <w:rsid w:val="00FF3A0C"/>
    <w:rsid w:val="00FF3DCF"/>
    <w:rsid w:val="00FF492C"/>
    <w:rsid w:val="00FF4A21"/>
    <w:rsid w:val="00FF5AA3"/>
    <w:rsid w:val="00FF5AD8"/>
    <w:rsid w:val="00FF6B41"/>
    <w:rsid w:val="00FF711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C54"/>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qFormat/>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34"/>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2"/>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V50Instructions">
    <w:name w:val="V5.0 Instructions"/>
    <w:basedOn w:val="Normal"/>
    <w:link w:val="V50InstructionsChar"/>
    <w:qFormat/>
    <w:rsid w:val="00ED244E"/>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ED244E"/>
    <w:rPr>
      <w:rFonts w:asciiTheme="minorHAnsi" w:eastAsiaTheme="minorHAnsi" w:hAnsiTheme="minorHAnsi" w:cstheme="minorBidi"/>
      <w:color w:val="4BACC6" w:themeColor="accent5"/>
      <w:sz w:val="24"/>
      <w:szCs w:val="22"/>
      <w:lang w:eastAsia="en-US"/>
    </w:rPr>
  </w:style>
  <w:style w:type="paragraph" w:customStyle="1" w:styleId="V50InstructionsBullets">
    <w:name w:val="V5.0 Instructions Bullets"/>
    <w:basedOn w:val="V50Instructions"/>
    <w:qFormat/>
    <w:rsid w:val="00ED244E"/>
    <w:pPr>
      <w:spacing w:before="0" w:after="0"/>
      <w:ind w:left="714" w:hanging="357"/>
    </w:pPr>
  </w:style>
  <w:style w:type="paragraph" w:customStyle="1" w:styleId="TableText0">
    <w:name w:val="Table Text"/>
    <w:basedOn w:val="Normal"/>
    <w:link w:val="TableTextChar0"/>
    <w:qFormat/>
    <w:rsid w:val="00ED244E"/>
    <w:pPr>
      <w:keepNext/>
      <w:widowControl/>
      <w:spacing w:before="40" w:after="40"/>
      <w:jc w:val="left"/>
    </w:pPr>
    <w:rPr>
      <w:rFonts w:ascii="Arial Narrow" w:eastAsiaTheme="minorHAnsi" w:hAnsi="Arial Narrow" w:cstheme="minorBidi"/>
      <w:snapToGrid/>
      <w:sz w:val="20"/>
    </w:rPr>
  </w:style>
  <w:style w:type="character" w:customStyle="1" w:styleId="TableTextChar0">
    <w:name w:val="Table Text Char"/>
    <w:link w:val="TableText0"/>
    <w:locked/>
    <w:rsid w:val="00ED244E"/>
    <w:rPr>
      <w:rFonts w:ascii="Arial Narrow" w:eastAsiaTheme="minorHAnsi" w:hAnsi="Arial Narrow" w:cstheme="minorBidi"/>
      <w:szCs w:val="22"/>
      <w:lang w:eastAsia="en-US"/>
    </w:rPr>
  </w:style>
  <w:style w:type="paragraph" w:customStyle="1" w:styleId="TableHeading0">
    <w:name w:val="Table Heading"/>
    <w:basedOn w:val="Normal"/>
    <w:qFormat/>
    <w:rsid w:val="008B042B"/>
    <w:pPr>
      <w:keepNext/>
      <w:widowControl/>
      <w:spacing w:after="60"/>
      <w:jc w:val="left"/>
    </w:pPr>
    <w:rPr>
      <w:rFonts w:ascii="Arial Narrow" w:eastAsiaTheme="minorHAnsi" w:hAnsi="Arial Narrow" w:cstheme="minorBidi"/>
      <w:b/>
      <w:snapToGrid/>
      <w:sz w:val="20"/>
    </w:rPr>
  </w:style>
  <w:style w:type="table" w:customStyle="1" w:styleId="TableGrid1">
    <w:name w:val="Table Grid1"/>
    <w:basedOn w:val="TableNormal"/>
    <w:next w:val="TableGrid"/>
    <w:uiPriority w:val="39"/>
    <w:rsid w:val="008B04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B042B"/>
    <w:rPr>
      <w:b w:val="0"/>
      <w:i/>
      <w:iCs/>
    </w:rPr>
  </w:style>
  <w:style w:type="character" w:customStyle="1" w:styleId="hitinf">
    <w:name w:val="hit_inf"/>
    <w:basedOn w:val="DefaultParagraphFont"/>
    <w:rsid w:val="00E13D96"/>
  </w:style>
  <w:style w:type="character" w:customStyle="1" w:styleId="BodyText1Char">
    <w:name w:val="Body Text1 Char"/>
    <w:link w:val="BodyText1"/>
    <w:locked/>
    <w:rsid w:val="005B65DF"/>
    <w:rPr>
      <w:rFonts w:ascii="Arial Narrow" w:hAnsi="Arial Narrow" w:cstheme="minorHAnsi"/>
      <w:b/>
      <w:shd w:val="clear" w:color="auto" w:fill="FFFFFF" w:themeFill="background1"/>
      <w:lang w:val="en-US" w:eastAsia="en-GB"/>
    </w:rPr>
  </w:style>
  <w:style w:type="paragraph" w:customStyle="1" w:styleId="BodyText1">
    <w:name w:val="Body Text1"/>
    <w:basedOn w:val="Normal"/>
    <w:link w:val="BodyText1Char"/>
    <w:autoRedefine/>
    <w:qFormat/>
    <w:rsid w:val="005B65DF"/>
    <w:pPr>
      <w:shd w:val="clear" w:color="auto" w:fill="FFFFFF" w:themeFill="background1"/>
    </w:pPr>
    <w:rPr>
      <w:rFonts w:ascii="Arial Narrow" w:hAnsi="Arial Narrow" w:cstheme="minorHAnsi"/>
      <w:b/>
      <w:snapToGrid/>
      <w:sz w:val="20"/>
      <w:szCs w:val="20"/>
      <w:shd w:val="clear" w:color="auto" w:fill="FFFFFF"/>
      <w:lang w:val="en-US" w:eastAsia="en-GB"/>
    </w:rPr>
  </w:style>
  <w:style w:type="paragraph" w:customStyle="1" w:styleId="Default">
    <w:name w:val="Default"/>
    <w:rsid w:val="00D31A08"/>
    <w:pPr>
      <w:autoSpaceDE w:val="0"/>
      <w:autoSpaceDN w:val="0"/>
      <w:adjustRightInd w:val="0"/>
    </w:pPr>
    <w:rPr>
      <w:rFonts w:ascii="Arial" w:hAnsi="Arial" w:cs="Arial"/>
      <w:color w:val="000000"/>
      <w:sz w:val="24"/>
      <w:szCs w:val="24"/>
    </w:rPr>
  </w:style>
  <w:style w:type="paragraph" w:customStyle="1" w:styleId="Tablefootnote">
    <w:name w:val="Table footnote"/>
    <w:basedOn w:val="Normal"/>
    <w:link w:val="TablefootnoteChar"/>
    <w:qFormat/>
    <w:rsid w:val="00A25944"/>
    <w:pPr>
      <w:keepNext/>
      <w:keepLines/>
      <w:widowControl/>
      <w:spacing w:after="360"/>
      <w:contextualSpacing/>
      <w:jc w:val="left"/>
    </w:pPr>
    <w:rPr>
      <w:rFonts w:ascii="Arial Narrow" w:eastAsiaTheme="minorHAnsi" w:hAnsi="Arial Narrow" w:cs="Times New Roman"/>
      <w:snapToGrid/>
      <w:sz w:val="18"/>
      <w:lang w:eastAsia="en-GB"/>
    </w:rPr>
  </w:style>
  <w:style w:type="character" w:customStyle="1" w:styleId="TablefootnoteChar">
    <w:name w:val="Table footnote Char"/>
    <w:basedOn w:val="DefaultParagraphFont"/>
    <w:link w:val="Tablefootnote"/>
    <w:rsid w:val="00A25944"/>
    <w:rPr>
      <w:rFonts w:ascii="Arial Narrow" w:eastAsiaTheme="minorHAnsi" w:hAnsi="Arial Narrow"/>
      <w:sz w:val="18"/>
      <w:szCs w:val="22"/>
      <w:lang w:eastAsia="en-GB"/>
    </w:rPr>
  </w:style>
  <w:style w:type="table" w:customStyle="1" w:styleId="ASDTable1">
    <w:name w:val="ASD Table1"/>
    <w:basedOn w:val="TableNormal"/>
    <w:next w:val="TableGrid"/>
    <w:uiPriority w:val="39"/>
    <w:rsid w:val="00A25944"/>
    <w:pPr>
      <w:jc w:val="both"/>
    </w:pPr>
    <w:rPr>
      <w:rFonts w:asciiTheme="minorHAnsi" w:eastAsiaTheme="minorEastAsia"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0">
    <w:name w:val="Heading4"/>
    <w:basedOn w:val="Normal"/>
    <w:link w:val="Heading4Char"/>
    <w:autoRedefine/>
    <w:qFormat/>
    <w:rsid w:val="00521F54"/>
    <w:pPr>
      <w:widowControl/>
      <w:tabs>
        <w:tab w:val="left" w:pos="1430"/>
      </w:tabs>
      <w:spacing w:before="200"/>
      <w:contextualSpacing/>
    </w:pPr>
    <w:rPr>
      <w:rFonts w:ascii="Arial Bold" w:hAnsi="Arial Bold" w:cs="Times New Roman"/>
      <w:b/>
      <w:bCs/>
      <w:snapToGrid/>
      <w:sz w:val="22"/>
      <w:szCs w:val="32"/>
      <w:lang w:eastAsia="en-GB"/>
    </w:rPr>
  </w:style>
  <w:style w:type="character" w:customStyle="1" w:styleId="Heading4Char">
    <w:name w:val="Heading4 Char"/>
    <w:link w:val="Heading40"/>
    <w:locked/>
    <w:rsid w:val="00521F54"/>
    <w:rPr>
      <w:rFonts w:ascii="Arial Bold" w:hAnsi="Arial Bold"/>
      <w:b/>
      <w:bCs/>
      <w:sz w:val="22"/>
      <w:szCs w:val="32"/>
      <w:lang w:eastAsia="en-GB"/>
    </w:rPr>
  </w:style>
  <w:style w:type="table" w:customStyle="1" w:styleId="ASDTable11">
    <w:name w:val="ASD Table11"/>
    <w:basedOn w:val="TableNormal"/>
    <w:next w:val="TableGrid"/>
    <w:uiPriority w:val="39"/>
    <w:rsid w:val="00521F54"/>
    <w:pPr>
      <w:jc w:val="both"/>
    </w:pPr>
    <w:rPr>
      <w:rFonts w:asciiTheme="minorHAnsi" w:eastAsiaTheme="minorEastAsia"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BodyChar">
    <w:name w:val="COMBody Char"/>
    <w:basedOn w:val="DefaultParagraphFont"/>
    <w:link w:val="COMBody"/>
    <w:locked/>
    <w:rsid w:val="00B7233F"/>
    <w:rPr>
      <w:rFonts w:ascii="Calibri" w:hAnsi="Calibri" w:cs="Arial"/>
      <w:sz w:val="24"/>
    </w:rPr>
  </w:style>
  <w:style w:type="paragraph" w:customStyle="1" w:styleId="COMBody">
    <w:name w:val="COMBody"/>
    <w:basedOn w:val="Normal"/>
    <w:link w:val="COMBodyChar"/>
    <w:qFormat/>
    <w:rsid w:val="00B7233F"/>
    <w:pPr>
      <w:snapToGrid w:val="0"/>
    </w:pPr>
    <w:rPr>
      <w:snapToGrid/>
      <w:szCs w:val="20"/>
      <w:lang w:eastAsia="en-AU"/>
    </w:rPr>
  </w:style>
  <w:style w:type="character" w:customStyle="1" w:styleId="Heading3Char">
    <w:name w:val="Heading 3 Char"/>
    <w:basedOn w:val="DefaultParagraphFont"/>
    <w:link w:val="Heading3"/>
    <w:uiPriority w:val="1"/>
    <w:rsid w:val="00AE13F8"/>
    <w:rPr>
      <w:rFonts w:ascii="Calibri" w:hAnsi="Calibri" w:cs="Arial"/>
      <w:snapToGrid w:val="0"/>
      <w:sz w:val="24"/>
      <w:szCs w:val="22"/>
      <w:u w:val="single"/>
      <w:lang w:eastAsia="en-US"/>
    </w:rPr>
  </w:style>
  <w:style w:type="table" w:customStyle="1" w:styleId="TableGridbeth2">
    <w:name w:val="Table Gridbeth2"/>
    <w:basedOn w:val="TableNormal"/>
    <w:next w:val="TableGrid"/>
    <w:uiPriority w:val="59"/>
    <w:rsid w:val="00AE13F8"/>
    <w:rPr>
      <w:rFonts w:ascii="Arial Narrow" w:hAnsi="Arial Narrow"/>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mmentarytable">
    <w:name w:val="Commentary table"/>
    <w:basedOn w:val="TableNormal"/>
    <w:uiPriority w:val="99"/>
    <w:rsid w:val="00AE13F8"/>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05F95"/>
    <w:pPr>
      <w:widowControl/>
      <w:spacing w:after="160" w:line="240" w:lineRule="exact"/>
      <w:jc w:val="left"/>
    </w:pPr>
    <w:rPr>
      <w:rFonts w:ascii="Verdana" w:eastAsia="MS Mincho" w:hAnsi="Verdana" w:cs="Verdana"/>
      <w:snapToGrid/>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2174">
      <w:bodyDiv w:val="1"/>
      <w:marLeft w:val="0"/>
      <w:marRight w:val="0"/>
      <w:marTop w:val="0"/>
      <w:marBottom w:val="0"/>
      <w:divBdr>
        <w:top w:val="none" w:sz="0" w:space="0" w:color="auto"/>
        <w:left w:val="none" w:sz="0" w:space="0" w:color="auto"/>
        <w:bottom w:val="none" w:sz="0" w:space="0" w:color="auto"/>
        <w:right w:val="none" w:sz="0" w:space="0" w:color="auto"/>
      </w:divBdr>
    </w:div>
    <w:div w:id="56362482">
      <w:bodyDiv w:val="1"/>
      <w:marLeft w:val="0"/>
      <w:marRight w:val="0"/>
      <w:marTop w:val="0"/>
      <w:marBottom w:val="0"/>
      <w:divBdr>
        <w:top w:val="none" w:sz="0" w:space="0" w:color="auto"/>
        <w:left w:val="none" w:sz="0" w:space="0" w:color="auto"/>
        <w:bottom w:val="none" w:sz="0" w:space="0" w:color="auto"/>
        <w:right w:val="none" w:sz="0" w:space="0" w:color="auto"/>
      </w:divBdr>
    </w:div>
    <w:div w:id="103810739">
      <w:bodyDiv w:val="1"/>
      <w:marLeft w:val="0"/>
      <w:marRight w:val="0"/>
      <w:marTop w:val="0"/>
      <w:marBottom w:val="0"/>
      <w:divBdr>
        <w:top w:val="none" w:sz="0" w:space="0" w:color="auto"/>
        <w:left w:val="none" w:sz="0" w:space="0" w:color="auto"/>
        <w:bottom w:val="none" w:sz="0" w:space="0" w:color="auto"/>
        <w:right w:val="none" w:sz="0" w:space="0" w:color="auto"/>
      </w:divBdr>
    </w:div>
    <w:div w:id="109707751">
      <w:bodyDiv w:val="1"/>
      <w:marLeft w:val="0"/>
      <w:marRight w:val="0"/>
      <w:marTop w:val="0"/>
      <w:marBottom w:val="0"/>
      <w:divBdr>
        <w:top w:val="none" w:sz="0" w:space="0" w:color="auto"/>
        <w:left w:val="none" w:sz="0" w:space="0" w:color="auto"/>
        <w:bottom w:val="none" w:sz="0" w:space="0" w:color="auto"/>
        <w:right w:val="none" w:sz="0" w:space="0" w:color="auto"/>
      </w:divBdr>
      <w:divsChild>
        <w:div w:id="1938366800">
          <w:marLeft w:val="1166"/>
          <w:marRight w:val="0"/>
          <w:marTop w:val="134"/>
          <w:marBottom w:val="0"/>
          <w:divBdr>
            <w:top w:val="none" w:sz="0" w:space="0" w:color="auto"/>
            <w:left w:val="none" w:sz="0" w:space="0" w:color="auto"/>
            <w:bottom w:val="none" w:sz="0" w:space="0" w:color="auto"/>
            <w:right w:val="none" w:sz="0" w:space="0" w:color="auto"/>
          </w:divBdr>
        </w:div>
      </w:divsChild>
    </w:div>
    <w:div w:id="124128210">
      <w:bodyDiv w:val="1"/>
      <w:marLeft w:val="0"/>
      <w:marRight w:val="0"/>
      <w:marTop w:val="0"/>
      <w:marBottom w:val="0"/>
      <w:divBdr>
        <w:top w:val="none" w:sz="0" w:space="0" w:color="auto"/>
        <w:left w:val="none" w:sz="0" w:space="0" w:color="auto"/>
        <w:bottom w:val="none" w:sz="0" w:space="0" w:color="auto"/>
        <w:right w:val="none" w:sz="0" w:space="0" w:color="auto"/>
      </w:divBdr>
    </w:div>
    <w:div w:id="208954220">
      <w:bodyDiv w:val="1"/>
      <w:marLeft w:val="0"/>
      <w:marRight w:val="0"/>
      <w:marTop w:val="0"/>
      <w:marBottom w:val="0"/>
      <w:divBdr>
        <w:top w:val="none" w:sz="0" w:space="0" w:color="auto"/>
        <w:left w:val="none" w:sz="0" w:space="0" w:color="auto"/>
        <w:bottom w:val="none" w:sz="0" w:space="0" w:color="auto"/>
        <w:right w:val="none" w:sz="0" w:space="0" w:color="auto"/>
      </w:divBdr>
    </w:div>
    <w:div w:id="238441934">
      <w:bodyDiv w:val="1"/>
      <w:marLeft w:val="0"/>
      <w:marRight w:val="0"/>
      <w:marTop w:val="0"/>
      <w:marBottom w:val="0"/>
      <w:divBdr>
        <w:top w:val="none" w:sz="0" w:space="0" w:color="auto"/>
        <w:left w:val="none" w:sz="0" w:space="0" w:color="auto"/>
        <w:bottom w:val="none" w:sz="0" w:space="0" w:color="auto"/>
        <w:right w:val="none" w:sz="0" w:space="0" w:color="auto"/>
      </w:divBdr>
    </w:div>
    <w:div w:id="293830394">
      <w:bodyDiv w:val="1"/>
      <w:marLeft w:val="0"/>
      <w:marRight w:val="0"/>
      <w:marTop w:val="0"/>
      <w:marBottom w:val="0"/>
      <w:divBdr>
        <w:top w:val="none" w:sz="0" w:space="0" w:color="auto"/>
        <w:left w:val="none" w:sz="0" w:space="0" w:color="auto"/>
        <w:bottom w:val="none" w:sz="0" w:space="0" w:color="auto"/>
        <w:right w:val="none" w:sz="0" w:space="0" w:color="auto"/>
      </w:divBdr>
      <w:divsChild>
        <w:div w:id="1628773532">
          <w:marLeft w:val="1166"/>
          <w:marRight w:val="0"/>
          <w:marTop w:val="134"/>
          <w:marBottom w:val="0"/>
          <w:divBdr>
            <w:top w:val="none" w:sz="0" w:space="0" w:color="auto"/>
            <w:left w:val="none" w:sz="0" w:space="0" w:color="auto"/>
            <w:bottom w:val="none" w:sz="0" w:space="0" w:color="auto"/>
            <w:right w:val="none" w:sz="0" w:space="0" w:color="auto"/>
          </w:divBdr>
        </w:div>
      </w:divsChild>
    </w:div>
    <w:div w:id="309870930">
      <w:bodyDiv w:val="1"/>
      <w:marLeft w:val="0"/>
      <w:marRight w:val="0"/>
      <w:marTop w:val="0"/>
      <w:marBottom w:val="0"/>
      <w:divBdr>
        <w:top w:val="none" w:sz="0" w:space="0" w:color="auto"/>
        <w:left w:val="none" w:sz="0" w:space="0" w:color="auto"/>
        <w:bottom w:val="none" w:sz="0" w:space="0" w:color="auto"/>
        <w:right w:val="none" w:sz="0" w:space="0" w:color="auto"/>
      </w:divBdr>
    </w:div>
    <w:div w:id="338508461">
      <w:bodyDiv w:val="1"/>
      <w:marLeft w:val="0"/>
      <w:marRight w:val="0"/>
      <w:marTop w:val="0"/>
      <w:marBottom w:val="0"/>
      <w:divBdr>
        <w:top w:val="none" w:sz="0" w:space="0" w:color="auto"/>
        <w:left w:val="none" w:sz="0" w:space="0" w:color="auto"/>
        <w:bottom w:val="none" w:sz="0" w:space="0" w:color="auto"/>
        <w:right w:val="none" w:sz="0" w:space="0" w:color="auto"/>
      </w:divBdr>
      <w:divsChild>
        <w:div w:id="120610991">
          <w:marLeft w:val="1166"/>
          <w:marRight w:val="0"/>
          <w:marTop w:val="134"/>
          <w:marBottom w:val="0"/>
          <w:divBdr>
            <w:top w:val="none" w:sz="0" w:space="0" w:color="auto"/>
            <w:left w:val="none" w:sz="0" w:space="0" w:color="auto"/>
            <w:bottom w:val="none" w:sz="0" w:space="0" w:color="auto"/>
            <w:right w:val="none" w:sz="0" w:space="0" w:color="auto"/>
          </w:divBdr>
        </w:div>
        <w:div w:id="1086225162">
          <w:marLeft w:val="1166"/>
          <w:marRight w:val="0"/>
          <w:marTop w:val="134"/>
          <w:marBottom w:val="0"/>
          <w:divBdr>
            <w:top w:val="none" w:sz="0" w:space="0" w:color="auto"/>
            <w:left w:val="none" w:sz="0" w:space="0" w:color="auto"/>
            <w:bottom w:val="none" w:sz="0" w:space="0" w:color="auto"/>
            <w:right w:val="none" w:sz="0" w:space="0" w:color="auto"/>
          </w:divBdr>
        </w:div>
        <w:div w:id="1724213295">
          <w:marLeft w:val="1166"/>
          <w:marRight w:val="0"/>
          <w:marTop w:val="134"/>
          <w:marBottom w:val="0"/>
          <w:divBdr>
            <w:top w:val="none" w:sz="0" w:space="0" w:color="auto"/>
            <w:left w:val="none" w:sz="0" w:space="0" w:color="auto"/>
            <w:bottom w:val="none" w:sz="0" w:space="0" w:color="auto"/>
            <w:right w:val="none" w:sz="0" w:space="0" w:color="auto"/>
          </w:divBdr>
        </w:div>
        <w:div w:id="1728651759">
          <w:marLeft w:val="547"/>
          <w:marRight w:val="0"/>
          <w:marTop w:val="154"/>
          <w:marBottom w:val="0"/>
          <w:divBdr>
            <w:top w:val="none" w:sz="0" w:space="0" w:color="auto"/>
            <w:left w:val="none" w:sz="0" w:space="0" w:color="auto"/>
            <w:bottom w:val="none" w:sz="0" w:space="0" w:color="auto"/>
            <w:right w:val="none" w:sz="0" w:space="0" w:color="auto"/>
          </w:divBdr>
        </w:div>
        <w:div w:id="1970865053">
          <w:marLeft w:val="1166"/>
          <w:marRight w:val="0"/>
          <w:marTop w:val="134"/>
          <w:marBottom w:val="0"/>
          <w:divBdr>
            <w:top w:val="none" w:sz="0" w:space="0" w:color="auto"/>
            <w:left w:val="none" w:sz="0" w:space="0" w:color="auto"/>
            <w:bottom w:val="none" w:sz="0" w:space="0" w:color="auto"/>
            <w:right w:val="none" w:sz="0" w:space="0" w:color="auto"/>
          </w:divBdr>
        </w:div>
      </w:divsChild>
    </w:div>
    <w:div w:id="349913173">
      <w:bodyDiv w:val="1"/>
      <w:marLeft w:val="0"/>
      <w:marRight w:val="0"/>
      <w:marTop w:val="0"/>
      <w:marBottom w:val="0"/>
      <w:divBdr>
        <w:top w:val="none" w:sz="0" w:space="0" w:color="auto"/>
        <w:left w:val="none" w:sz="0" w:space="0" w:color="auto"/>
        <w:bottom w:val="none" w:sz="0" w:space="0" w:color="auto"/>
        <w:right w:val="none" w:sz="0" w:space="0" w:color="auto"/>
      </w:divBdr>
    </w:div>
    <w:div w:id="361369552">
      <w:bodyDiv w:val="1"/>
      <w:marLeft w:val="0"/>
      <w:marRight w:val="0"/>
      <w:marTop w:val="0"/>
      <w:marBottom w:val="0"/>
      <w:divBdr>
        <w:top w:val="none" w:sz="0" w:space="0" w:color="auto"/>
        <w:left w:val="none" w:sz="0" w:space="0" w:color="auto"/>
        <w:bottom w:val="none" w:sz="0" w:space="0" w:color="auto"/>
        <w:right w:val="none" w:sz="0" w:space="0" w:color="auto"/>
      </w:divBdr>
      <w:divsChild>
        <w:div w:id="1619295438">
          <w:marLeft w:val="0"/>
          <w:marRight w:val="0"/>
          <w:marTop w:val="120"/>
          <w:marBottom w:val="120"/>
          <w:divBdr>
            <w:top w:val="none" w:sz="0" w:space="0" w:color="auto"/>
            <w:left w:val="none" w:sz="0" w:space="0" w:color="auto"/>
            <w:bottom w:val="none" w:sz="0" w:space="0" w:color="auto"/>
            <w:right w:val="none" w:sz="0" w:space="0" w:color="auto"/>
          </w:divBdr>
          <w:divsChild>
            <w:div w:id="1633948249">
              <w:marLeft w:val="0"/>
              <w:marRight w:val="0"/>
              <w:marTop w:val="0"/>
              <w:marBottom w:val="0"/>
              <w:divBdr>
                <w:top w:val="none" w:sz="0" w:space="0" w:color="auto"/>
                <w:left w:val="none" w:sz="0" w:space="0" w:color="auto"/>
                <w:bottom w:val="none" w:sz="0" w:space="0" w:color="auto"/>
                <w:right w:val="none" w:sz="0" w:space="0" w:color="auto"/>
              </w:divBdr>
              <w:divsChild>
                <w:div w:id="1889606700">
                  <w:marLeft w:val="0"/>
                  <w:marRight w:val="0"/>
                  <w:marTop w:val="0"/>
                  <w:marBottom w:val="0"/>
                  <w:divBdr>
                    <w:top w:val="single" w:sz="12" w:space="0" w:color="CCCCCC"/>
                    <w:left w:val="none" w:sz="0" w:space="2" w:color="auto"/>
                    <w:bottom w:val="none" w:sz="0" w:space="0" w:color="auto"/>
                    <w:right w:val="none" w:sz="0" w:space="2" w:color="auto"/>
                  </w:divBdr>
                  <w:divsChild>
                    <w:div w:id="12876902">
                      <w:marLeft w:val="0"/>
                      <w:marRight w:val="0"/>
                      <w:marTop w:val="0"/>
                      <w:marBottom w:val="0"/>
                      <w:divBdr>
                        <w:top w:val="none" w:sz="0" w:space="0" w:color="auto"/>
                        <w:left w:val="none" w:sz="0" w:space="0" w:color="auto"/>
                        <w:bottom w:val="none" w:sz="0" w:space="0" w:color="auto"/>
                        <w:right w:val="none" w:sz="0" w:space="0" w:color="auto"/>
                      </w:divBdr>
                      <w:divsChild>
                        <w:div w:id="1436438096">
                          <w:marLeft w:val="0"/>
                          <w:marRight w:val="0"/>
                          <w:marTop w:val="0"/>
                          <w:marBottom w:val="0"/>
                          <w:divBdr>
                            <w:top w:val="none" w:sz="0" w:space="0" w:color="auto"/>
                            <w:left w:val="none" w:sz="0" w:space="0" w:color="auto"/>
                            <w:bottom w:val="none" w:sz="0" w:space="0" w:color="auto"/>
                            <w:right w:val="none" w:sz="0" w:space="0" w:color="auto"/>
                          </w:divBdr>
                          <w:divsChild>
                            <w:div w:id="357631515">
                              <w:marLeft w:val="0"/>
                              <w:marRight w:val="0"/>
                              <w:marTop w:val="0"/>
                              <w:marBottom w:val="0"/>
                              <w:divBdr>
                                <w:top w:val="none" w:sz="0" w:space="0" w:color="auto"/>
                                <w:left w:val="none" w:sz="0" w:space="0" w:color="auto"/>
                                <w:bottom w:val="none" w:sz="0" w:space="0" w:color="auto"/>
                                <w:right w:val="none" w:sz="0" w:space="0" w:color="auto"/>
                              </w:divBdr>
                              <w:divsChild>
                                <w:div w:id="9697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832006">
      <w:bodyDiv w:val="1"/>
      <w:marLeft w:val="0"/>
      <w:marRight w:val="0"/>
      <w:marTop w:val="0"/>
      <w:marBottom w:val="0"/>
      <w:divBdr>
        <w:top w:val="none" w:sz="0" w:space="0" w:color="auto"/>
        <w:left w:val="none" w:sz="0" w:space="0" w:color="auto"/>
        <w:bottom w:val="none" w:sz="0" w:space="0" w:color="auto"/>
        <w:right w:val="none" w:sz="0" w:space="0" w:color="auto"/>
      </w:divBdr>
      <w:divsChild>
        <w:div w:id="1719429109">
          <w:marLeft w:val="1166"/>
          <w:marRight w:val="0"/>
          <w:marTop w:val="115"/>
          <w:marBottom w:val="0"/>
          <w:divBdr>
            <w:top w:val="none" w:sz="0" w:space="0" w:color="auto"/>
            <w:left w:val="none" w:sz="0" w:space="0" w:color="auto"/>
            <w:bottom w:val="none" w:sz="0" w:space="0" w:color="auto"/>
            <w:right w:val="none" w:sz="0" w:space="0" w:color="auto"/>
          </w:divBdr>
        </w:div>
        <w:div w:id="1812752569">
          <w:marLeft w:val="1166"/>
          <w:marRight w:val="0"/>
          <w:marTop w:val="115"/>
          <w:marBottom w:val="0"/>
          <w:divBdr>
            <w:top w:val="none" w:sz="0" w:space="0" w:color="auto"/>
            <w:left w:val="none" w:sz="0" w:space="0" w:color="auto"/>
            <w:bottom w:val="none" w:sz="0" w:space="0" w:color="auto"/>
            <w:right w:val="none" w:sz="0" w:space="0" w:color="auto"/>
          </w:divBdr>
        </w:div>
      </w:divsChild>
    </w:div>
    <w:div w:id="440343945">
      <w:bodyDiv w:val="1"/>
      <w:marLeft w:val="0"/>
      <w:marRight w:val="0"/>
      <w:marTop w:val="0"/>
      <w:marBottom w:val="0"/>
      <w:divBdr>
        <w:top w:val="none" w:sz="0" w:space="0" w:color="auto"/>
        <w:left w:val="none" w:sz="0" w:space="0" w:color="auto"/>
        <w:bottom w:val="none" w:sz="0" w:space="0" w:color="auto"/>
        <w:right w:val="none" w:sz="0" w:space="0" w:color="auto"/>
      </w:divBdr>
    </w:div>
    <w:div w:id="480193940">
      <w:bodyDiv w:val="1"/>
      <w:marLeft w:val="0"/>
      <w:marRight w:val="0"/>
      <w:marTop w:val="0"/>
      <w:marBottom w:val="0"/>
      <w:divBdr>
        <w:top w:val="none" w:sz="0" w:space="0" w:color="auto"/>
        <w:left w:val="none" w:sz="0" w:space="0" w:color="auto"/>
        <w:bottom w:val="none" w:sz="0" w:space="0" w:color="auto"/>
        <w:right w:val="none" w:sz="0" w:space="0" w:color="auto"/>
      </w:divBdr>
    </w:div>
    <w:div w:id="487288654">
      <w:bodyDiv w:val="1"/>
      <w:marLeft w:val="0"/>
      <w:marRight w:val="0"/>
      <w:marTop w:val="0"/>
      <w:marBottom w:val="0"/>
      <w:divBdr>
        <w:top w:val="none" w:sz="0" w:space="0" w:color="auto"/>
        <w:left w:val="none" w:sz="0" w:space="0" w:color="auto"/>
        <w:bottom w:val="none" w:sz="0" w:space="0" w:color="auto"/>
        <w:right w:val="none" w:sz="0" w:space="0" w:color="auto"/>
      </w:divBdr>
      <w:divsChild>
        <w:div w:id="1578781775">
          <w:marLeft w:val="547"/>
          <w:marRight w:val="0"/>
          <w:marTop w:val="154"/>
          <w:marBottom w:val="0"/>
          <w:divBdr>
            <w:top w:val="none" w:sz="0" w:space="0" w:color="auto"/>
            <w:left w:val="none" w:sz="0" w:space="0" w:color="auto"/>
            <w:bottom w:val="none" w:sz="0" w:space="0" w:color="auto"/>
            <w:right w:val="none" w:sz="0" w:space="0" w:color="auto"/>
          </w:divBdr>
        </w:div>
      </w:divsChild>
    </w:div>
    <w:div w:id="547423482">
      <w:bodyDiv w:val="1"/>
      <w:marLeft w:val="0"/>
      <w:marRight w:val="0"/>
      <w:marTop w:val="0"/>
      <w:marBottom w:val="0"/>
      <w:divBdr>
        <w:top w:val="none" w:sz="0" w:space="0" w:color="auto"/>
        <w:left w:val="none" w:sz="0" w:space="0" w:color="auto"/>
        <w:bottom w:val="none" w:sz="0" w:space="0" w:color="auto"/>
        <w:right w:val="none" w:sz="0" w:space="0" w:color="auto"/>
      </w:divBdr>
    </w:div>
    <w:div w:id="735906040">
      <w:bodyDiv w:val="1"/>
      <w:marLeft w:val="0"/>
      <w:marRight w:val="0"/>
      <w:marTop w:val="0"/>
      <w:marBottom w:val="0"/>
      <w:divBdr>
        <w:top w:val="none" w:sz="0" w:space="0" w:color="auto"/>
        <w:left w:val="none" w:sz="0" w:space="0" w:color="auto"/>
        <w:bottom w:val="none" w:sz="0" w:space="0" w:color="auto"/>
        <w:right w:val="none" w:sz="0" w:space="0" w:color="auto"/>
      </w:divBdr>
    </w:div>
    <w:div w:id="745492043">
      <w:bodyDiv w:val="1"/>
      <w:marLeft w:val="0"/>
      <w:marRight w:val="0"/>
      <w:marTop w:val="0"/>
      <w:marBottom w:val="0"/>
      <w:divBdr>
        <w:top w:val="none" w:sz="0" w:space="0" w:color="auto"/>
        <w:left w:val="none" w:sz="0" w:space="0" w:color="auto"/>
        <w:bottom w:val="none" w:sz="0" w:space="0" w:color="auto"/>
        <w:right w:val="none" w:sz="0" w:space="0" w:color="auto"/>
      </w:divBdr>
    </w:div>
    <w:div w:id="775759551">
      <w:bodyDiv w:val="1"/>
      <w:marLeft w:val="0"/>
      <w:marRight w:val="0"/>
      <w:marTop w:val="0"/>
      <w:marBottom w:val="0"/>
      <w:divBdr>
        <w:top w:val="none" w:sz="0" w:space="0" w:color="auto"/>
        <w:left w:val="none" w:sz="0" w:space="0" w:color="auto"/>
        <w:bottom w:val="none" w:sz="0" w:space="0" w:color="auto"/>
        <w:right w:val="none" w:sz="0" w:space="0" w:color="auto"/>
      </w:divBdr>
      <w:divsChild>
        <w:div w:id="140656278">
          <w:marLeft w:val="1166"/>
          <w:marRight w:val="0"/>
          <w:marTop w:val="134"/>
          <w:marBottom w:val="0"/>
          <w:divBdr>
            <w:top w:val="none" w:sz="0" w:space="0" w:color="auto"/>
            <w:left w:val="none" w:sz="0" w:space="0" w:color="auto"/>
            <w:bottom w:val="none" w:sz="0" w:space="0" w:color="auto"/>
            <w:right w:val="none" w:sz="0" w:space="0" w:color="auto"/>
          </w:divBdr>
        </w:div>
        <w:div w:id="841236084">
          <w:marLeft w:val="1166"/>
          <w:marRight w:val="0"/>
          <w:marTop w:val="134"/>
          <w:marBottom w:val="0"/>
          <w:divBdr>
            <w:top w:val="none" w:sz="0" w:space="0" w:color="auto"/>
            <w:left w:val="none" w:sz="0" w:space="0" w:color="auto"/>
            <w:bottom w:val="none" w:sz="0" w:space="0" w:color="auto"/>
            <w:right w:val="none" w:sz="0" w:space="0" w:color="auto"/>
          </w:divBdr>
        </w:div>
        <w:div w:id="2014646156">
          <w:marLeft w:val="1166"/>
          <w:marRight w:val="0"/>
          <w:marTop w:val="134"/>
          <w:marBottom w:val="0"/>
          <w:divBdr>
            <w:top w:val="none" w:sz="0" w:space="0" w:color="auto"/>
            <w:left w:val="none" w:sz="0" w:space="0" w:color="auto"/>
            <w:bottom w:val="none" w:sz="0" w:space="0" w:color="auto"/>
            <w:right w:val="none" w:sz="0" w:space="0" w:color="auto"/>
          </w:divBdr>
        </w:div>
        <w:div w:id="2053769538">
          <w:marLeft w:val="1166"/>
          <w:marRight w:val="0"/>
          <w:marTop w:val="134"/>
          <w:marBottom w:val="0"/>
          <w:divBdr>
            <w:top w:val="none" w:sz="0" w:space="0" w:color="auto"/>
            <w:left w:val="none" w:sz="0" w:space="0" w:color="auto"/>
            <w:bottom w:val="none" w:sz="0" w:space="0" w:color="auto"/>
            <w:right w:val="none" w:sz="0" w:space="0" w:color="auto"/>
          </w:divBdr>
        </w:div>
      </w:divsChild>
    </w:div>
    <w:div w:id="885407375">
      <w:bodyDiv w:val="1"/>
      <w:marLeft w:val="0"/>
      <w:marRight w:val="0"/>
      <w:marTop w:val="0"/>
      <w:marBottom w:val="0"/>
      <w:divBdr>
        <w:top w:val="none" w:sz="0" w:space="0" w:color="auto"/>
        <w:left w:val="none" w:sz="0" w:space="0" w:color="auto"/>
        <w:bottom w:val="none" w:sz="0" w:space="0" w:color="auto"/>
        <w:right w:val="none" w:sz="0" w:space="0" w:color="auto"/>
      </w:divBdr>
    </w:div>
    <w:div w:id="914780687">
      <w:bodyDiv w:val="1"/>
      <w:marLeft w:val="0"/>
      <w:marRight w:val="0"/>
      <w:marTop w:val="0"/>
      <w:marBottom w:val="0"/>
      <w:divBdr>
        <w:top w:val="none" w:sz="0" w:space="0" w:color="auto"/>
        <w:left w:val="none" w:sz="0" w:space="0" w:color="auto"/>
        <w:bottom w:val="none" w:sz="0" w:space="0" w:color="auto"/>
        <w:right w:val="none" w:sz="0" w:space="0" w:color="auto"/>
      </w:divBdr>
      <w:divsChild>
        <w:div w:id="26687710">
          <w:marLeft w:val="360"/>
          <w:marRight w:val="0"/>
          <w:marTop w:val="200"/>
          <w:marBottom w:val="0"/>
          <w:divBdr>
            <w:top w:val="none" w:sz="0" w:space="0" w:color="auto"/>
            <w:left w:val="none" w:sz="0" w:space="0" w:color="auto"/>
            <w:bottom w:val="none" w:sz="0" w:space="0" w:color="auto"/>
            <w:right w:val="none" w:sz="0" w:space="0" w:color="auto"/>
          </w:divBdr>
        </w:div>
      </w:divsChild>
    </w:div>
    <w:div w:id="959992275">
      <w:bodyDiv w:val="1"/>
      <w:marLeft w:val="0"/>
      <w:marRight w:val="0"/>
      <w:marTop w:val="0"/>
      <w:marBottom w:val="0"/>
      <w:divBdr>
        <w:top w:val="none" w:sz="0" w:space="0" w:color="auto"/>
        <w:left w:val="none" w:sz="0" w:space="0" w:color="auto"/>
        <w:bottom w:val="none" w:sz="0" w:space="0" w:color="auto"/>
        <w:right w:val="none" w:sz="0" w:space="0" w:color="auto"/>
      </w:divBdr>
      <w:divsChild>
        <w:div w:id="566036962">
          <w:marLeft w:val="547"/>
          <w:marRight w:val="0"/>
          <w:marTop w:val="96"/>
          <w:marBottom w:val="0"/>
          <w:divBdr>
            <w:top w:val="none" w:sz="0" w:space="0" w:color="auto"/>
            <w:left w:val="none" w:sz="0" w:space="0" w:color="auto"/>
            <w:bottom w:val="none" w:sz="0" w:space="0" w:color="auto"/>
            <w:right w:val="none" w:sz="0" w:space="0" w:color="auto"/>
          </w:divBdr>
        </w:div>
        <w:div w:id="697971710">
          <w:marLeft w:val="547"/>
          <w:marRight w:val="0"/>
          <w:marTop w:val="96"/>
          <w:marBottom w:val="0"/>
          <w:divBdr>
            <w:top w:val="none" w:sz="0" w:space="0" w:color="auto"/>
            <w:left w:val="none" w:sz="0" w:space="0" w:color="auto"/>
            <w:bottom w:val="none" w:sz="0" w:space="0" w:color="auto"/>
            <w:right w:val="none" w:sz="0" w:space="0" w:color="auto"/>
          </w:divBdr>
        </w:div>
        <w:div w:id="1137989604">
          <w:marLeft w:val="547"/>
          <w:marRight w:val="0"/>
          <w:marTop w:val="96"/>
          <w:marBottom w:val="0"/>
          <w:divBdr>
            <w:top w:val="none" w:sz="0" w:space="0" w:color="auto"/>
            <w:left w:val="none" w:sz="0" w:space="0" w:color="auto"/>
            <w:bottom w:val="none" w:sz="0" w:space="0" w:color="auto"/>
            <w:right w:val="none" w:sz="0" w:space="0" w:color="auto"/>
          </w:divBdr>
        </w:div>
        <w:div w:id="1344089721">
          <w:marLeft w:val="547"/>
          <w:marRight w:val="0"/>
          <w:marTop w:val="96"/>
          <w:marBottom w:val="0"/>
          <w:divBdr>
            <w:top w:val="none" w:sz="0" w:space="0" w:color="auto"/>
            <w:left w:val="none" w:sz="0" w:space="0" w:color="auto"/>
            <w:bottom w:val="none" w:sz="0" w:space="0" w:color="auto"/>
            <w:right w:val="none" w:sz="0" w:space="0" w:color="auto"/>
          </w:divBdr>
        </w:div>
        <w:div w:id="1359813507">
          <w:marLeft w:val="547"/>
          <w:marRight w:val="0"/>
          <w:marTop w:val="96"/>
          <w:marBottom w:val="0"/>
          <w:divBdr>
            <w:top w:val="none" w:sz="0" w:space="0" w:color="auto"/>
            <w:left w:val="none" w:sz="0" w:space="0" w:color="auto"/>
            <w:bottom w:val="none" w:sz="0" w:space="0" w:color="auto"/>
            <w:right w:val="none" w:sz="0" w:space="0" w:color="auto"/>
          </w:divBdr>
        </w:div>
      </w:divsChild>
    </w:div>
    <w:div w:id="1058015167">
      <w:bodyDiv w:val="1"/>
      <w:marLeft w:val="0"/>
      <w:marRight w:val="0"/>
      <w:marTop w:val="0"/>
      <w:marBottom w:val="0"/>
      <w:divBdr>
        <w:top w:val="none" w:sz="0" w:space="0" w:color="auto"/>
        <w:left w:val="none" w:sz="0" w:space="0" w:color="auto"/>
        <w:bottom w:val="none" w:sz="0" w:space="0" w:color="auto"/>
        <w:right w:val="none" w:sz="0" w:space="0" w:color="auto"/>
      </w:divBdr>
    </w:div>
    <w:div w:id="1068727820">
      <w:bodyDiv w:val="1"/>
      <w:marLeft w:val="0"/>
      <w:marRight w:val="0"/>
      <w:marTop w:val="0"/>
      <w:marBottom w:val="0"/>
      <w:divBdr>
        <w:top w:val="none" w:sz="0" w:space="0" w:color="auto"/>
        <w:left w:val="none" w:sz="0" w:space="0" w:color="auto"/>
        <w:bottom w:val="none" w:sz="0" w:space="0" w:color="auto"/>
        <w:right w:val="none" w:sz="0" w:space="0" w:color="auto"/>
      </w:divBdr>
      <w:divsChild>
        <w:div w:id="1487236340">
          <w:marLeft w:val="1166"/>
          <w:marRight w:val="0"/>
          <w:marTop w:val="115"/>
          <w:marBottom w:val="0"/>
          <w:divBdr>
            <w:top w:val="none" w:sz="0" w:space="0" w:color="auto"/>
            <w:left w:val="none" w:sz="0" w:space="0" w:color="auto"/>
            <w:bottom w:val="none" w:sz="0" w:space="0" w:color="auto"/>
            <w:right w:val="none" w:sz="0" w:space="0" w:color="auto"/>
          </w:divBdr>
        </w:div>
        <w:div w:id="2088529646">
          <w:marLeft w:val="1166"/>
          <w:marRight w:val="0"/>
          <w:marTop w:val="115"/>
          <w:marBottom w:val="0"/>
          <w:divBdr>
            <w:top w:val="none" w:sz="0" w:space="0" w:color="auto"/>
            <w:left w:val="none" w:sz="0" w:space="0" w:color="auto"/>
            <w:bottom w:val="none" w:sz="0" w:space="0" w:color="auto"/>
            <w:right w:val="none" w:sz="0" w:space="0" w:color="auto"/>
          </w:divBdr>
        </w:div>
      </w:divsChild>
    </w:div>
    <w:div w:id="1319529530">
      <w:bodyDiv w:val="1"/>
      <w:marLeft w:val="0"/>
      <w:marRight w:val="0"/>
      <w:marTop w:val="0"/>
      <w:marBottom w:val="0"/>
      <w:divBdr>
        <w:top w:val="none" w:sz="0" w:space="0" w:color="auto"/>
        <w:left w:val="none" w:sz="0" w:space="0" w:color="auto"/>
        <w:bottom w:val="none" w:sz="0" w:space="0" w:color="auto"/>
        <w:right w:val="none" w:sz="0" w:space="0" w:color="auto"/>
      </w:divBdr>
      <w:divsChild>
        <w:div w:id="1644850259">
          <w:marLeft w:val="547"/>
          <w:marRight w:val="0"/>
          <w:marTop w:val="106"/>
          <w:marBottom w:val="0"/>
          <w:divBdr>
            <w:top w:val="none" w:sz="0" w:space="0" w:color="auto"/>
            <w:left w:val="none" w:sz="0" w:space="0" w:color="auto"/>
            <w:bottom w:val="none" w:sz="0" w:space="0" w:color="auto"/>
            <w:right w:val="none" w:sz="0" w:space="0" w:color="auto"/>
          </w:divBdr>
        </w:div>
      </w:divsChild>
    </w:div>
    <w:div w:id="1412704443">
      <w:bodyDiv w:val="1"/>
      <w:marLeft w:val="0"/>
      <w:marRight w:val="0"/>
      <w:marTop w:val="0"/>
      <w:marBottom w:val="0"/>
      <w:divBdr>
        <w:top w:val="none" w:sz="0" w:space="0" w:color="auto"/>
        <w:left w:val="none" w:sz="0" w:space="0" w:color="auto"/>
        <w:bottom w:val="none" w:sz="0" w:space="0" w:color="auto"/>
        <w:right w:val="none" w:sz="0" w:space="0" w:color="auto"/>
      </w:divBdr>
      <w:divsChild>
        <w:div w:id="1034964553">
          <w:marLeft w:val="1166"/>
          <w:marRight w:val="0"/>
          <w:marTop w:val="115"/>
          <w:marBottom w:val="0"/>
          <w:divBdr>
            <w:top w:val="none" w:sz="0" w:space="0" w:color="auto"/>
            <w:left w:val="none" w:sz="0" w:space="0" w:color="auto"/>
            <w:bottom w:val="none" w:sz="0" w:space="0" w:color="auto"/>
            <w:right w:val="none" w:sz="0" w:space="0" w:color="auto"/>
          </w:divBdr>
        </w:div>
        <w:div w:id="1634406424">
          <w:marLeft w:val="1166"/>
          <w:marRight w:val="0"/>
          <w:marTop w:val="115"/>
          <w:marBottom w:val="0"/>
          <w:divBdr>
            <w:top w:val="none" w:sz="0" w:space="0" w:color="auto"/>
            <w:left w:val="none" w:sz="0" w:space="0" w:color="auto"/>
            <w:bottom w:val="none" w:sz="0" w:space="0" w:color="auto"/>
            <w:right w:val="none" w:sz="0" w:space="0" w:color="auto"/>
          </w:divBdr>
        </w:div>
      </w:divsChild>
    </w:div>
    <w:div w:id="1442994971">
      <w:bodyDiv w:val="1"/>
      <w:marLeft w:val="0"/>
      <w:marRight w:val="0"/>
      <w:marTop w:val="0"/>
      <w:marBottom w:val="0"/>
      <w:divBdr>
        <w:top w:val="none" w:sz="0" w:space="0" w:color="auto"/>
        <w:left w:val="none" w:sz="0" w:space="0" w:color="auto"/>
        <w:bottom w:val="none" w:sz="0" w:space="0" w:color="auto"/>
        <w:right w:val="none" w:sz="0" w:space="0" w:color="auto"/>
      </w:divBdr>
    </w:div>
    <w:div w:id="1449396534">
      <w:bodyDiv w:val="1"/>
      <w:marLeft w:val="0"/>
      <w:marRight w:val="0"/>
      <w:marTop w:val="0"/>
      <w:marBottom w:val="0"/>
      <w:divBdr>
        <w:top w:val="none" w:sz="0" w:space="0" w:color="auto"/>
        <w:left w:val="none" w:sz="0" w:space="0" w:color="auto"/>
        <w:bottom w:val="none" w:sz="0" w:space="0" w:color="auto"/>
        <w:right w:val="none" w:sz="0" w:space="0" w:color="auto"/>
      </w:divBdr>
      <w:divsChild>
        <w:div w:id="767433659">
          <w:marLeft w:val="0"/>
          <w:marRight w:val="0"/>
          <w:marTop w:val="0"/>
          <w:marBottom w:val="0"/>
          <w:divBdr>
            <w:top w:val="none" w:sz="0" w:space="0" w:color="auto"/>
            <w:left w:val="none" w:sz="0" w:space="0" w:color="auto"/>
            <w:bottom w:val="none" w:sz="0" w:space="0" w:color="auto"/>
            <w:right w:val="none" w:sz="0" w:space="0" w:color="auto"/>
          </w:divBdr>
          <w:divsChild>
            <w:div w:id="140772557">
              <w:marLeft w:val="0"/>
              <w:marRight w:val="0"/>
              <w:marTop w:val="0"/>
              <w:marBottom w:val="0"/>
              <w:divBdr>
                <w:top w:val="none" w:sz="0" w:space="0" w:color="auto"/>
                <w:left w:val="none" w:sz="0" w:space="0" w:color="auto"/>
                <w:bottom w:val="none" w:sz="0" w:space="0" w:color="auto"/>
                <w:right w:val="none" w:sz="0" w:space="0" w:color="auto"/>
              </w:divBdr>
              <w:divsChild>
                <w:div w:id="549192788">
                  <w:marLeft w:val="150"/>
                  <w:marRight w:val="150"/>
                  <w:marTop w:val="0"/>
                  <w:marBottom w:val="0"/>
                  <w:divBdr>
                    <w:top w:val="none" w:sz="0" w:space="0" w:color="auto"/>
                    <w:left w:val="none" w:sz="0" w:space="0" w:color="auto"/>
                    <w:bottom w:val="none" w:sz="0" w:space="0" w:color="auto"/>
                    <w:right w:val="none" w:sz="0" w:space="0" w:color="auto"/>
                  </w:divBdr>
                  <w:divsChild>
                    <w:div w:id="1253974119">
                      <w:marLeft w:val="0"/>
                      <w:marRight w:val="0"/>
                      <w:marTop w:val="0"/>
                      <w:marBottom w:val="0"/>
                      <w:divBdr>
                        <w:top w:val="none" w:sz="0" w:space="0" w:color="auto"/>
                        <w:left w:val="none" w:sz="0" w:space="0" w:color="auto"/>
                        <w:bottom w:val="none" w:sz="0" w:space="0" w:color="auto"/>
                        <w:right w:val="none" w:sz="0" w:space="0" w:color="auto"/>
                      </w:divBdr>
                      <w:divsChild>
                        <w:div w:id="1733886611">
                          <w:marLeft w:val="0"/>
                          <w:marRight w:val="0"/>
                          <w:marTop w:val="0"/>
                          <w:marBottom w:val="0"/>
                          <w:divBdr>
                            <w:top w:val="none" w:sz="0" w:space="0" w:color="auto"/>
                            <w:left w:val="none" w:sz="0" w:space="0" w:color="auto"/>
                            <w:bottom w:val="none" w:sz="0" w:space="0" w:color="auto"/>
                            <w:right w:val="none" w:sz="0" w:space="0" w:color="auto"/>
                          </w:divBdr>
                          <w:divsChild>
                            <w:div w:id="410851262">
                              <w:marLeft w:val="0"/>
                              <w:marRight w:val="0"/>
                              <w:marTop w:val="0"/>
                              <w:marBottom w:val="0"/>
                              <w:divBdr>
                                <w:top w:val="none" w:sz="0" w:space="0" w:color="auto"/>
                                <w:left w:val="none" w:sz="0" w:space="0" w:color="auto"/>
                                <w:bottom w:val="none" w:sz="0" w:space="0" w:color="auto"/>
                                <w:right w:val="none" w:sz="0" w:space="0" w:color="auto"/>
                              </w:divBdr>
                              <w:divsChild>
                                <w:div w:id="805927431">
                                  <w:marLeft w:val="0"/>
                                  <w:marRight w:val="0"/>
                                  <w:marTop w:val="0"/>
                                  <w:marBottom w:val="0"/>
                                  <w:divBdr>
                                    <w:top w:val="none" w:sz="0" w:space="0" w:color="auto"/>
                                    <w:left w:val="none" w:sz="0" w:space="0" w:color="auto"/>
                                    <w:bottom w:val="none" w:sz="0" w:space="0" w:color="auto"/>
                                    <w:right w:val="none" w:sz="0" w:space="0" w:color="auto"/>
                                  </w:divBdr>
                                  <w:divsChild>
                                    <w:div w:id="1231504150">
                                      <w:marLeft w:val="0"/>
                                      <w:marRight w:val="0"/>
                                      <w:marTop w:val="0"/>
                                      <w:marBottom w:val="0"/>
                                      <w:divBdr>
                                        <w:top w:val="none" w:sz="0" w:space="0" w:color="auto"/>
                                        <w:left w:val="none" w:sz="0" w:space="0" w:color="auto"/>
                                        <w:bottom w:val="none" w:sz="0" w:space="0" w:color="auto"/>
                                        <w:right w:val="none" w:sz="0" w:space="0" w:color="auto"/>
                                      </w:divBdr>
                                      <w:divsChild>
                                        <w:div w:id="1929733302">
                                          <w:marLeft w:val="0"/>
                                          <w:marRight w:val="0"/>
                                          <w:marTop w:val="0"/>
                                          <w:marBottom w:val="0"/>
                                          <w:divBdr>
                                            <w:top w:val="none" w:sz="0" w:space="0" w:color="auto"/>
                                            <w:left w:val="none" w:sz="0" w:space="0" w:color="auto"/>
                                            <w:bottom w:val="none" w:sz="0" w:space="0" w:color="auto"/>
                                            <w:right w:val="none" w:sz="0" w:space="0" w:color="auto"/>
                                          </w:divBdr>
                                          <w:divsChild>
                                            <w:div w:id="1059086376">
                                              <w:marLeft w:val="0"/>
                                              <w:marRight w:val="0"/>
                                              <w:marTop w:val="0"/>
                                              <w:marBottom w:val="0"/>
                                              <w:divBdr>
                                                <w:top w:val="none" w:sz="0" w:space="0" w:color="auto"/>
                                                <w:left w:val="none" w:sz="0" w:space="0" w:color="auto"/>
                                                <w:bottom w:val="none" w:sz="0" w:space="0" w:color="auto"/>
                                                <w:right w:val="none" w:sz="0" w:space="0" w:color="auto"/>
                                              </w:divBdr>
                                              <w:divsChild>
                                                <w:div w:id="15348764">
                                                  <w:marLeft w:val="0"/>
                                                  <w:marRight w:val="0"/>
                                                  <w:marTop w:val="0"/>
                                                  <w:marBottom w:val="0"/>
                                                  <w:divBdr>
                                                    <w:top w:val="none" w:sz="0" w:space="0" w:color="auto"/>
                                                    <w:left w:val="none" w:sz="0" w:space="0" w:color="auto"/>
                                                    <w:bottom w:val="none" w:sz="0" w:space="0" w:color="auto"/>
                                                    <w:right w:val="none" w:sz="0" w:space="0" w:color="auto"/>
                                                  </w:divBdr>
                                                  <w:divsChild>
                                                    <w:div w:id="1273512871">
                                                      <w:marLeft w:val="0"/>
                                                      <w:marRight w:val="0"/>
                                                      <w:marTop w:val="0"/>
                                                      <w:marBottom w:val="0"/>
                                                      <w:divBdr>
                                                        <w:top w:val="none" w:sz="0" w:space="0" w:color="auto"/>
                                                        <w:left w:val="none" w:sz="0" w:space="0" w:color="auto"/>
                                                        <w:bottom w:val="none" w:sz="0" w:space="0" w:color="auto"/>
                                                        <w:right w:val="none" w:sz="0" w:space="0" w:color="auto"/>
                                                      </w:divBdr>
                                                      <w:divsChild>
                                                        <w:div w:id="248924204">
                                                          <w:marLeft w:val="0"/>
                                                          <w:marRight w:val="0"/>
                                                          <w:marTop w:val="0"/>
                                                          <w:marBottom w:val="150"/>
                                                          <w:divBdr>
                                                            <w:top w:val="none" w:sz="0" w:space="0" w:color="auto"/>
                                                            <w:left w:val="none" w:sz="0" w:space="0" w:color="auto"/>
                                                            <w:bottom w:val="none" w:sz="0" w:space="0" w:color="auto"/>
                                                            <w:right w:val="none" w:sz="0" w:space="0" w:color="auto"/>
                                                          </w:divBdr>
                                                          <w:divsChild>
                                                            <w:div w:id="779884950">
                                                              <w:marLeft w:val="0"/>
                                                              <w:marRight w:val="0"/>
                                                              <w:marTop w:val="0"/>
                                                              <w:marBottom w:val="0"/>
                                                              <w:divBdr>
                                                                <w:top w:val="none" w:sz="0" w:space="0" w:color="auto"/>
                                                                <w:left w:val="none" w:sz="0" w:space="0" w:color="auto"/>
                                                                <w:bottom w:val="none" w:sz="0" w:space="0" w:color="auto"/>
                                                                <w:right w:val="none" w:sz="0" w:space="0" w:color="auto"/>
                                                              </w:divBdr>
                                                              <w:divsChild>
                                                                <w:div w:id="1986085667">
                                                                  <w:marLeft w:val="0"/>
                                                                  <w:marRight w:val="0"/>
                                                                  <w:marTop w:val="0"/>
                                                                  <w:marBottom w:val="0"/>
                                                                  <w:divBdr>
                                                                    <w:top w:val="none" w:sz="0" w:space="0" w:color="auto"/>
                                                                    <w:left w:val="none" w:sz="0" w:space="0" w:color="auto"/>
                                                                    <w:bottom w:val="none" w:sz="0" w:space="0" w:color="auto"/>
                                                                    <w:right w:val="none" w:sz="0" w:space="0" w:color="auto"/>
                                                                  </w:divBdr>
                                                                  <w:divsChild>
                                                                    <w:div w:id="1914001961">
                                                                      <w:marLeft w:val="0"/>
                                                                      <w:marRight w:val="0"/>
                                                                      <w:marTop w:val="0"/>
                                                                      <w:marBottom w:val="0"/>
                                                                      <w:divBdr>
                                                                        <w:top w:val="none" w:sz="0" w:space="0" w:color="auto"/>
                                                                        <w:left w:val="none" w:sz="0" w:space="0" w:color="auto"/>
                                                                        <w:bottom w:val="none" w:sz="0" w:space="0" w:color="auto"/>
                                                                        <w:right w:val="none" w:sz="0" w:space="0" w:color="auto"/>
                                                                      </w:divBdr>
                                                                      <w:divsChild>
                                                                        <w:div w:id="137110417">
                                                                          <w:marLeft w:val="0"/>
                                                                          <w:marRight w:val="0"/>
                                                                          <w:marTop w:val="0"/>
                                                                          <w:marBottom w:val="0"/>
                                                                          <w:divBdr>
                                                                            <w:top w:val="none" w:sz="0" w:space="0" w:color="auto"/>
                                                                            <w:left w:val="none" w:sz="0" w:space="0" w:color="auto"/>
                                                                            <w:bottom w:val="none" w:sz="0" w:space="0" w:color="auto"/>
                                                                            <w:right w:val="none" w:sz="0" w:space="0" w:color="auto"/>
                                                                          </w:divBdr>
                                                                          <w:divsChild>
                                                                            <w:div w:id="67924837">
                                                                              <w:marLeft w:val="0"/>
                                                                              <w:marRight w:val="0"/>
                                                                              <w:marTop w:val="0"/>
                                                                              <w:marBottom w:val="0"/>
                                                                              <w:divBdr>
                                                                                <w:top w:val="none" w:sz="0" w:space="0" w:color="auto"/>
                                                                                <w:left w:val="none" w:sz="0" w:space="0" w:color="auto"/>
                                                                                <w:bottom w:val="none" w:sz="0" w:space="0" w:color="auto"/>
                                                                                <w:right w:val="none" w:sz="0" w:space="0" w:color="auto"/>
                                                                              </w:divBdr>
                                                                              <w:divsChild>
                                                                                <w:div w:id="1821578952">
                                                                                  <w:marLeft w:val="0"/>
                                                                                  <w:marRight w:val="0"/>
                                                                                  <w:marTop w:val="0"/>
                                                                                  <w:marBottom w:val="0"/>
                                                                                  <w:divBdr>
                                                                                    <w:top w:val="none" w:sz="0" w:space="0" w:color="auto"/>
                                                                                    <w:left w:val="none" w:sz="0" w:space="0" w:color="auto"/>
                                                                                    <w:bottom w:val="none" w:sz="0" w:space="0" w:color="auto"/>
                                                                                    <w:right w:val="none" w:sz="0" w:space="0" w:color="auto"/>
                                                                                  </w:divBdr>
                                                                                  <w:divsChild>
                                                                                    <w:div w:id="413166345">
                                                                                      <w:marLeft w:val="0"/>
                                                                                      <w:marRight w:val="0"/>
                                                                                      <w:marTop w:val="0"/>
                                                                                      <w:marBottom w:val="150"/>
                                                                                      <w:divBdr>
                                                                                        <w:top w:val="none" w:sz="0" w:space="0" w:color="auto"/>
                                                                                        <w:left w:val="none" w:sz="0" w:space="0" w:color="auto"/>
                                                                                        <w:bottom w:val="none" w:sz="0" w:space="0" w:color="auto"/>
                                                                                        <w:right w:val="none" w:sz="0" w:space="0" w:color="auto"/>
                                                                                      </w:divBdr>
                                                                                      <w:divsChild>
                                                                                        <w:div w:id="710807737">
                                                                                          <w:marLeft w:val="0"/>
                                                                                          <w:marRight w:val="0"/>
                                                                                          <w:marTop w:val="0"/>
                                                                                          <w:marBottom w:val="0"/>
                                                                                          <w:divBdr>
                                                                                            <w:top w:val="none" w:sz="0" w:space="0" w:color="auto"/>
                                                                                            <w:left w:val="none" w:sz="0" w:space="0" w:color="auto"/>
                                                                                            <w:bottom w:val="none" w:sz="0" w:space="0" w:color="auto"/>
                                                                                            <w:right w:val="none" w:sz="0" w:space="0" w:color="auto"/>
                                                                                          </w:divBdr>
                                                                                          <w:divsChild>
                                                                                            <w:div w:id="871891395">
                                                                                              <w:marLeft w:val="0"/>
                                                                                              <w:marRight w:val="0"/>
                                                                                              <w:marTop w:val="0"/>
                                                                                              <w:marBottom w:val="0"/>
                                                                                              <w:divBdr>
                                                                                                <w:top w:val="none" w:sz="0" w:space="0" w:color="auto"/>
                                                                                                <w:left w:val="none" w:sz="0" w:space="0" w:color="auto"/>
                                                                                                <w:bottom w:val="none" w:sz="0" w:space="0" w:color="auto"/>
                                                                                                <w:right w:val="none" w:sz="0" w:space="0" w:color="auto"/>
                                                                                              </w:divBdr>
                                                                                              <w:divsChild>
                                                                                                <w:div w:id="395781624">
                                                                                                  <w:marLeft w:val="0"/>
                                                                                                  <w:marRight w:val="0"/>
                                                                                                  <w:marTop w:val="0"/>
                                                                                                  <w:marBottom w:val="0"/>
                                                                                                  <w:divBdr>
                                                                                                    <w:top w:val="none" w:sz="0" w:space="0" w:color="auto"/>
                                                                                                    <w:left w:val="none" w:sz="0" w:space="0" w:color="auto"/>
                                                                                                    <w:bottom w:val="none" w:sz="0" w:space="0" w:color="auto"/>
                                                                                                    <w:right w:val="none" w:sz="0" w:space="0" w:color="auto"/>
                                                                                                  </w:divBdr>
                                                                                                  <w:divsChild>
                                                                                                    <w:div w:id="1822844896">
                                                                                                      <w:marLeft w:val="0"/>
                                                                                                      <w:marRight w:val="0"/>
                                                                                                      <w:marTop w:val="0"/>
                                                                                                      <w:marBottom w:val="0"/>
                                                                                                      <w:divBdr>
                                                                                                        <w:top w:val="none" w:sz="0" w:space="0" w:color="auto"/>
                                                                                                        <w:left w:val="none" w:sz="0" w:space="0" w:color="auto"/>
                                                                                                        <w:bottom w:val="none" w:sz="0" w:space="0" w:color="auto"/>
                                                                                                        <w:right w:val="none" w:sz="0" w:space="0" w:color="auto"/>
                                                                                                      </w:divBdr>
                                                                                                      <w:divsChild>
                                                                                                        <w:div w:id="1618023835">
                                                                                                          <w:marLeft w:val="0"/>
                                                                                                          <w:marRight w:val="0"/>
                                                                                                          <w:marTop w:val="0"/>
                                                                                                          <w:marBottom w:val="0"/>
                                                                                                          <w:divBdr>
                                                                                                            <w:top w:val="none" w:sz="0" w:space="0" w:color="auto"/>
                                                                                                            <w:left w:val="none" w:sz="0" w:space="0" w:color="auto"/>
                                                                                                            <w:bottom w:val="none" w:sz="0" w:space="0" w:color="auto"/>
                                                                                                            <w:right w:val="none" w:sz="0" w:space="0" w:color="auto"/>
                                                                                                          </w:divBdr>
                                                                                                          <w:divsChild>
                                                                                                            <w:div w:id="1173839914">
                                                                                                              <w:marLeft w:val="0"/>
                                                                                                              <w:marRight w:val="0"/>
                                                                                                              <w:marTop w:val="0"/>
                                                                                                              <w:marBottom w:val="0"/>
                                                                                                              <w:divBdr>
                                                                                                                <w:top w:val="none" w:sz="0" w:space="0" w:color="auto"/>
                                                                                                                <w:left w:val="none" w:sz="0" w:space="0" w:color="auto"/>
                                                                                                                <w:bottom w:val="none" w:sz="0" w:space="0" w:color="auto"/>
                                                                                                                <w:right w:val="none" w:sz="0" w:space="0" w:color="auto"/>
                                                                                                              </w:divBdr>
                                                                                                              <w:divsChild>
                                                                                                                <w:div w:id="1088304333">
                                                                                                                  <w:marLeft w:val="0"/>
                                                                                                                  <w:marRight w:val="0"/>
                                                                                                                  <w:marTop w:val="0"/>
                                                                                                                  <w:marBottom w:val="0"/>
                                                                                                                  <w:divBdr>
                                                                                                                    <w:top w:val="none" w:sz="0" w:space="0" w:color="auto"/>
                                                                                                                    <w:left w:val="none" w:sz="0" w:space="0" w:color="auto"/>
                                                                                                                    <w:bottom w:val="none" w:sz="0" w:space="0" w:color="auto"/>
                                                                                                                    <w:right w:val="none" w:sz="0" w:space="0" w:color="auto"/>
                                                                                                                  </w:divBdr>
                                                                                                                  <w:divsChild>
                                                                                                                    <w:div w:id="20518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740846">
      <w:bodyDiv w:val="1"/>
      <w:marLeft w:val="0"/>
      <w:marRight w:val="0"/>
      <w:marTop w:val="0"/>
      <w:marBottom w:val="0"/>
      <w:divBdr>
        <w:top w:val="none" w:sz="0" w:space="0" w:color="auto"/>
        <w:left w:val="none" w:sz="0" w:space="0" w:color="auto"/>
        <w:bottom w:val="none" w:sz="0" w:space="0" w:color="auto"/>
        <w:right w:val="none" w:sz="0" w:space="0" w:color="auto"/>
      </w:divBdr>
      <w:divsChild>
        <w:div w:id="222571468">
          <w:marLeft w:val="1166"/>
          <w:marRight w:val="0"/>
          <w:marTop w:val="134"/>
          <w:marBottom w:val="0"/>
          <w:divBdr>
            <w:top w:val="none" w:sz="0" w:space="0" w:color="auto"/>
            <w:left w:val="none" w:sz="0" w:space="0" w:color="auto"/>
            <w:bottom w:val="none" w:sz="0" w:space="0" w:color="auto"/>
            <w:right w:val="none" w:sz="0" w:space="0" w:color="auto"/>
          </w:divBdr>
        </w:div>
      </w:divsChild>
    </w:div>
    <w:div w:id="1522282729">
      <w:bodyDiv w:val="1"/>
      <w:marLeft w:val="0"/>
      <w:marRight w:val="0"/>
      <w:marTop w:val="0"/>
      <w:marBottom w:val="0"/>
      <w:divBdr>
        <w:top w:val="none" w:sz="0" w:space="0" w:color="auto"/>
        <w:left w:val="none" w:sz="0" w:space="0" w:color="auto"/>
        <w:bottom w:val="none" w:sz="0" w:space="0" w:color="auto"/>
        <w:right w:val="none" w:sz="0" w:space="0" w:color="auto"/>
      </w:divBdr>
      <w:divsChild>
        <w:div w:id="505559857">
          <w:marLeft w:val="1166"/>
          <w:marRight w:val="0"/>
          <w:marTop w:val="134"/>
          <w:marBottom w:val="0"/>
          <w:divBdr>
            <w:top w:val="none" w:sz="0" w:space="0" w:color="auto"/>
            <w:left w:val="none" w:sz="0" w:space="0" w:color="auto"/>
            <w:bottom w:val="none" w:sz="0" w:space="0" w:color="auto"/>
            <w:right w:val="none" w:sz="0" w:space="0" w:color="auto"/>
          </w:divBdr>
        </w:div>
      </w:divsChild>
    </w:div>
    <w:div w:id="1567379743">
      <w:bodyDiv w:val="1"/>
      <w:marLeft w:val="0"/>
      <w:marRight w:val="0"/>
      <w:marTop w:val="0"/>
      <w:marBottom w:val="0"/>
      <w:divBdr>
        <w:top w:val="none" w:sz="0" w:space="0" w:color="auto"/>
        <w:left w:val="none" w:sz="0" w:space="0" w:color="auto"/>
        <w:bottom w:val="none" w:sz="0" w:space="0" w:color="auto"/>
        <w:right w:val="none" w:sz="0" w:space="0" w:color="auto"/>
      </w:divBdr>
    </w:div>
    <w:div w:id="1568492542">
      <w:bodyDiv w:val="1"/>
      <w:marLeft w:val="0"/>
      <w:marRight w:val="0"/>
      <w:marTop w:val="0"/>
      <w:marBottom w:val="0"/>
      <w:divBdr>
        <w:top w:val="none" w:sz="0" w:space="0" w:color="auto"/>
        <w:left w:val="none" w:sz="0" w:space="0" w:color="auto"/>
        <w:bottom w:val="none" w:sz="0" w:space="0" w:color="auto"/>
        <w:right w:val="none" w:sz="0" w:space="0" w:color="auto"/>
      </w:divBdr>
      <w:divsChild>
        <w:div w:id="1256085703">
          <w:marLeft w:val="1166"/>
          <w:marRight w:val="0"/>
          <w:marTop w:val="134"/>
          <w:marBottom w:val="0"/>
          <w:divBdr>
            <w:top w:val="none" w:sz="0" w:space="0" w:color="auto"/>
            <w:left w:val="none" w:sz="0" w:space="0" w:color="auto"/>
            <w:bottom w:val="none" w:sz="0" w:space="0" w:color="auto"/>
            <w:right w:val="none" w:sz="0" w:space="0" w:color="auto"/>
          </w:divBdr>
        </w:div>
        <w:div w:id="1565220870">
          <w:marLeft w:val="1166"/>
          <w:marRight w:val="0"/>
          <w:marTop w:val="134"/>
          <w:marBottom w:val="0"/>
          <w:divBdr>
            <w:top w:val="none" w:sz="0" w:space="0" w:color="auto"/>
            <w:left w:val="none" w:sz="0" w:space="0" w:color="auto"/>
            <w:bottom w:val="none" w:sz="0" w:space="0" w:color="auto"/>
            <w:right w:val="none" w:sz="0" w:space="0" w:color="auto"/>
          </w:divBdr>
        </w:div>
        <w:div w:id="1580021903">
          <w:marLeft w:val="1166"/>
          <w:marRight w:val="0"/>
          <w:marTop w:val="134"/>
          <w:marBottom w:val="0"/>
          <w:divBdr>
            <w:top w:val="none" w:sz="0" w:space="0" w:color="auto"/>
            <w:left w:val="none" w:sz="0" w:space="0" w:color="auto"/>
            <w:bottom w:val="none" w:sz="0" w:space="0" w:color="auto"/>
            <w:right w:val="none" w:sz="0" w:space="0" w:color="auto"/>
          </w:divBdr>
        </w:div>
      </w:divsChild>
    </w:div>
    <w:div w:id="1675062757">
      <w:bodyDiv w:val="1"/>
      <w:marLeft w:val="0"/>
      <w:marRight w:val="0"/>
      <w:marTop w:val="0"/>
      <w:marBottom w:val="0"/>
      <w:divBdr>
        <w:top w:val="none" w:sz="0" w:space="0" w:color="auto"/>
        <w:left w:val="none" w:sz="0" w:space="0" w:color="auto"/>
        <w:bottom w:val="none" w:sz="0" w:space="0" w:color="auto"/>
        <w:right w:val="none" w:sz="0" w:space="0" w:color="auto"/>
      </w:divBdr>
    </w:div>
    <w:div w:id="1711109300">
      <w:bodyDiv w:val="1"/>
      <w:marLeft w:val="0"/>
      <w:marRight w:val="0"/>
      <w:marTop w:val="0"/>
      <w:marBottom w:val="0"/>
      <w:divBdr>
        <w:top w:val="none" w:sz="0" w:space="0" w:color="auto"/>
        <w:left w:val="none" w:sz="0" w:space="0" w:color="auto"/>
        <w:bottom w:val="none" w:sz="0" w:space="0" w:color="auto"/>
        <w:right w:val="none" w:sz="0" w:space="0" w:color="auto"/>
      </w:divBdr>
    </w:div>
    <w:div w:id="1821460859">
      <w:bodyDiv w:val="1"/>
      <w:marLeft w:val="0"/>
      <w:marRight w:val="0"/>
      <w:marTop w:val="0"/>
      <w:marBottom w:val="0"/>
      <w:divBdr>
        <w:top w:val="none" w:sz="0" w:space="0" w:color="auto"/>
        <w:left w:val="none" w:sz="0" w:space="0" w:color="auto"/>
        <w:bottom w:val="none" w:sz="0" w:space="0" w:color="auto"/>
        <w:right w:val="none" w:sz="0" w:space="0" w:color="auto"/>
      </w:divBdr>
      <w:divsChild>
        <w:div w:id="1590966292">
          <w:marLeft w:val="547"/>
          <w:marRight w:val="0"/>
          <w:marTop w:val="134"/>
          <w:marBottom w:val="0"/>
          <w:divBdr>
            <w:top w:val="none" w:sz="0" w:space="0" w:color="auto"/>
            <w:left w:val="none" w:sz="0" w:space="0" w:color="auto"/>
            <w:bottom w:val="none" w:sz="0" w:space="0" w:color="auto"/>
            <w:right w:val="none" w:sz="0" w:space="0" w:color="auto"/>
          </w:divBdr>
        </w:div>
        <w:div w:id="1930120030">
          <w:marLeft w:val="547"/>
          <w:marRight w:val="0"/>
          <w:marTop w:val="134"/>
          <w:marBottom w:val="0"/>
          <w:divBdr>
            <w:top w:val="none" w:sz="0" w:space="0" w:color="auto"/>
            <w:left w:val="none" w:sz="0" w:space="0" w:color="auto"/>
            <w:bottom w:val="none" w:sz="0" w:space="0" w:color="auto"/>
            <w:right w:val="none" w:sz="0" w:space="0" w:color="auto"/>
          </w:divBdr>
        </w:div>
      </w:divsChild>
    </w:div>
    <w:div w:id="1823741427">
      <w:bodyDiv w:val="1"/>
      <w:marLeft w:val="0"/>
      <w:marRight w:val="0"/>
      <w:marTop w:val="0"/>
      <w:marBottom w:val="0"/>
      <w:divBdr>
        <w:top w:val="none" w:sz="0" w:space="0" w:color="auto"/>
        <w:left w:val="none" w:sz="0" w:space="0" w:color="auto"/>
        <w:bottom w:val="none" w:sz="0" w:space="0" w:color="auto"/>
        <w:right w:val="none" w:sz="0" w:space="0" w:color="auto"/>
      </w:divBdr>
    </w:div>
    <w:div w:id="1937472886">
      <w:bodyDiv w:val="1"/>
      <w:marLeft w:val="0"/>
      <w:marRight w:val="0"/>
      <w:marTop w:val="0"/>
      <w:marBottom w:val="0"/>
      <w:divBdr>
        <w:top w:val="none" w:sz="0" w:space="0" w:color="auto"/>
        <w:left w:val="none" w:sz="0" w:space="0" w:color="auto"/>
        <w:bottom w:val="none" w:sz="0" w:space="0" w:color="auto"/>
        <w:right w:val="none" w:sz="0" w:space="0" w:color="auto"/>
      </w:divBdr>
      <w:divsChild>
        <w:div w:id="1003705286">
          <w:marLeft w:val="547"/>
          <w:marRight w:val="0"/>
          <w:marTop w:val="106"/>
          <w:marBottom w:val="0"/>
          <w:divBdr>
            <w:top w:val="none" w:sz="0" w:space="0" w:color="auto"/>
            <w:left w:val="none" w:sz="0" w:space="0" w:color="auto"/>
            <w:bottom w:val="none" w:sz="0" w:space="0" w:color="auto"/>
            <w:right w:val="none" w:sz="0" w:space="0" w:color="auto"/>
          </w:divBdr>
        </w:div>
      </w:divsChild>
    </w:div>
    <w:div w:id="1962879013">
      <w:bodyDiv w:val="1"/>
      <w:marLeft w:val="0"/>
      <w:marRight w:val="0"/>
      <w:marTop w:val="0"/>
      <w:marBottom w:val="0"/>
      <w:divBdr>
        <w:top w:val="none" w:sz="0" w:space="0" w:color="auto"/>
        <w:left w:val="none" w:sz="0" w:space="0" w:color="auto"/>
        <w:bottom w:val="none" w:sz="0" w:space="0" w:color="auto"/>
        <w:right w:val="none" w:sz="0" w:space="0" w:color="auto"/>
      </w:divBdr>
      <w:divsChild>
        <w:div w:id="7804305">
          <w:marLeft w:val="1166"/>
          <w:marRight w:val="0"/>
          <w:marTop w:val="134"/>
          <w:marBottom w:val="0"/>
          <w:divBdr>
            <w:top w:val="none" w:sz="0" w:space="0" w:color="auto"/>
            <w:left w:val="none" w:sz="0" w:space="0" w:color="auto"/>
            <w:bottom w:val="none" w:sz="0" w:space="0" w:color="auto"/>
            <w:right w:val="none" w:sz="0" w:space="0" w:color="auto"/>
          </w:divBdr>
        </w:div>
      </w:divsChild>
    </w:div>
    <w:div w:id="2039817478">
      <w:bodyDiv w:val="1"/>
      <w:marLeft w:val="0"/>
      <w:marRight w:val="0"/>
      <w:marTop w:val="0"/>
      <w:marBottom w:val="0"/>
      <w:divBdr>
        <w:top w:val="none" w:sz="0" w:space="0" w:color="auto"/>
        <w:left w:val="none" w:sz="0" w:space="0" w:color="auto"/>
        <w:bottom w:val="none" w:sz="0" w:space="0" w:color="auto"/>
        <w:right w:val="none" w:sz="0" w:space="0" w:color="auto"/>
      </w:divBdr>
      <w:divsChild>
        <w:div w:id="1517383685">
          <w:marLeft w:val="547"/>
          <w:marRight w:val="0"/>
          <w:marTop w:val="96"/>
          <w:marBottom w:val="0"/>
          <w:divBdr>
            <w:top w:val="none" w:sz="0" w:space="0" w:color="auto"/>
            <w:left w:val="none" w:sz="0" w:space="0" w:color="auto"/>
            <w:bottom w:val="none" w:sz="0" w:space="0" w:color="auto"/>
            <w:right w:val="none" w:sz="0" w:space="0" w:color="auto"/>
          </w:divBdr>
        </w:div>
        <w:div w:id="1897351747">
          <w:marLeft w:val="547"/>
          <w:marRight w:val="0"/>
          <w:marTop w:val="96"/>
          <w:marBottom w:val="0"/>
          <w:divBdr>
            <w:top w:val="none" w:sz="0" w:space="0" w:color="auto"/>
            <w:left w:val="none" w:sz="0" w:space="0" w:color="auto"/>
            <w:bottom w:val="none" w:sz="0" w:space="0" w:color="auto"/>
            <w:right w:val="none" w:sz="0" w:space="0" w:color="auto"/>
          </w:divBdr>
        </w:div>
      </w:divsChild>
    </w:div>
    <w:div w:id="212588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8DBDE-09BC-4E5F-AAE8-BEE8A990A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16633</Words>
  <Characters>94813</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2019-12-12T22:58:00Z</dcterms:created>
  <dcterms:modified xsi:type="dcterms:W3CDTF">2019-12-12T22:59:00Z</dcterms:modified>
</cp:coreProperties>
</file>