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C2" w:rsidRDefault="002910CF" w:rsidP="003B7760">
      <w:pPr>
        <w:spacing w:before="0" w:after="0"/>
        <w:ind w:left="993" w:hanging="992"/>
        <w:jc w:val="left"/>
        <w:rPr>
          <w:b/>
          <w:sz w:val="36"/>
          <w:szCs w:val="36"/>
        </w:rPr>
      </w:pPr>
      <w:r w:rsidRPr="0042063A">
        <w:rPr>
          <w:b/>
          <w:sz w:val="36"/>
          <w:szCs w:val="36"/>
        </w:rPr>
        <w:t>5</w:t>
      </w:r>
      <w:r w:rsidR="00C317F3" w:rsidRPr="0042063A">
        <w:rPr>
          <w:b/>
          <w:sz w:val="36"/>
          <w:szCs w:val="36"/>
        </w:rPr>
        <w:t>.</w:t>
      </w:r>
      <w:r w:rsidRPr="0042063A">
        <w:rPr>
          <w:b/>
          <w:sz w:val="36"/>
          <w:szCs w:val="36"/>
        </w:rPr>
        <w:t>02</w:t>
      </w:r>
      <w:r w:rsidR="00FE1E26" w:rsidRPr="0042063A">
        <w:rPr>
          <w:b/>
          <w:sz w:val="36"/>
          <w:szCs w:val="36"/>
        </w:rPr>
        <w:tab/>
        <w:t>CERLIPONASE ALFA</w:t>
      </w:r>
      <w:r w:rsidR="00C25C96" w:rsidRPr="0042063A">
        <w:rPr>
          <w:b/>
          <w:sz w:val="36"/>
          <w:szCs w:val="36"/>
        </w:rPr>
        <w:t xml:space="preserve">, </w:t>
      </w:r>
    </w:p>
    <w:p w:rsidR="009E18DA" w:rsidRPr="0042063A" w:rsidRDefault="00FE1E26" w:rsidP="000002C2">
      <w:pPr>
        <w:spacing w:before="0" w:after="0"/>
        <w:ind w:left="993"/>
        <w:jc w:val="left"/>
        <w:rPr>
          <w:b/>
          <w:sz w:val="36"/>
          <w:szCs w:val="36"/>
        </w:rPr>
      </w:pPr>
      <w:r w:rsidRPr="0042063A">
        <w:rPr>
          <w:b/>
          <w:sz w:val="36"/>
          <w:szCs w:val="36"/>
        </w:rPr>
        <w:t>150mg/5mL vial for infusion,</w:t>
      </w:r>
    </w:p>
    <w:p w:rsidR="009E18DA" w:rsidRPr="0042063A" w:rsidRDefault="00FE1E26" w:rsidP="003B7760">
      <w:pPr>
        <w:spacing w:before="0" w:after="0"/>
        <w:ind w:left="993"/>
        <w:jc w:val="left"/>
        <w:rPr>
          <w:b/>
          <w:sz w:val="36"/>
          <w:szCs w:val="36"/>
        </w:rPr>
      </w:pPr>
      <w:r w:rsidRPr="0042063A">
        <w:rPr>
          <w:b/>
          <w:sz w:val="36"/>
          <w:szCs w:val="36"/>
        </w:rPr>
        <w:t>Brineura™,</w:t>
      </w:r>
    </w:p>
    <w:p w:rsidR="00FE1E26" w:rsidRPr="0042063A" w:rsidRDefault="00FE1E26" w:rsidP="003B7760">
      <w:pPr>
        <w:spacing w:before="0" w:after="0"/>
        <w:ind w:left="993"/>
        <w:jc w:val="left"/>
        <w:rPr>
          <w:b/>
          <w:sz w:val="36"/>
          <w:szCs w:val="36"/>
        </w:rPr>
      </w:pPr>
      <w:r w:rsidRPr="0042063A">
        <w:rPr>
          <w:b/>
          <w:sz w:val="36"/>
          <w:szCs w:val="36"/>
        </w:rPr>
        <w:t>Biomarin</w:t>
      </w:r>
    </w:p>
    <w:p w:rsidR="00957093" w:rsidRPr="0042063A" w:rsidRDefault="00957093" w:rsidP="00957093">
      <w:pPr>
        <w:pStyle w:val="Heading1"/>
        <w:ind w:left="709" w:hanging="709"/>
        <w:jc w:val="left"/>
      </w:pPr>
      <w:bookmarkStart w:id="0" w:name="_Toc413139271"/>
      <w:bookmarkStart w:id="1" w:name="_Toc514241617"/>
      <w:r w:rsidRPr="0042063A">
        <w:t>Purpose of application</w:t>
      </w:r>
      <w:bookmarkEnd w:id="0"/>
      <w:bookmarkEnd w:id="1"/>
    </w:p>
    <w:p w:rsidR="00957093" w:rsidRPr="0042063A" w:rsidRDefault="00957093" w:rsidP="00957093">
      <w:pPr>
        <w:pStyle w:val="ListParagraph"/>
        <w:numPr>
          <w:ilvl w:val="1"/>
          <w:numId w:val="8"/>
        </w:numPr>
        <w:spacing w:before="0" w:after="120"/>
      </w:pPr>
      <w:r w:rsidRPr="0042063A">
        <w:t>Section 100 Highly Specialised Drug listing for cerliponase alfa administered via intracerebral ventricular (ICV) injection for treatment of neuronal ceroid lipofuscinosis type 2 (CLN2</w:t>
      </w:r>
      <w:r w:rsidR="00FE1E26" w:rsidRPr="0042063A">
        <w:t>)</w:t>
      </w:r>
      <w:r w:rsidRPr="0042063A">
        <w:t xml:space="preserve"> </w:t>
      </w:r>
      <w:proofErr w:type="gramStart"/>
      <w:r w:rsidRPr="0042063A">
        <w:t>disease</w:t>
      </w:r>
      <w:proofErr w:type="gramEnd"/>
      <w:r w:rsidRPr="0042063A">
        <w:t>, a rare neurodegenerative genetic condition which is caused by deficiency of the enzyme TPP1 and usually manifests in late infancy.</w:t>
      </w:r>
      <w:r w:rsidR="00292839">
        <w:t xml:space="preserve"> </w:t>
      </w:r>
      <w:r w:rsidRPr="0042063A">
        <w:t>Patients with CLN2 disease have a short life expectancy with an average age of death between 8 and 12 years. Cerliponase alfa has not been considered by the PBAC previously.</w:t>
      </w:r>
      <w:r w:rsidR="00292839">
        <w:t xml:space="preserve"> </w:t>
      </w:r>
    </w:p>
    <w:p w:rsidR="00957093" w:rsidRPr="0042063A" w:rsidRDefault="00957093" w:rsidP="00504AC4">
      <w:pPr>
        <w:pStyle w:val="ListParagraph"/>
        <w:numPr>
          <w:ilvl w:val="1"/>
          <w:numId w:val="8"/>
        </w:numPr>
        <w:spacing w:before="0" w:after="240"/>
      </w:pPr>
      <w:r w:rsidRPr="0042063A">
        <w:t>The basis for listing is a cost-effectiveness analysis based on life years gained (LYG) and cost-utility analysis of cerliponase alfa plus standard care versus standard care alone.</w:t>
      </w:r>
      <w:r w:rsidR="00292839">
        <w:t xml:space="preserve"> </w:t>
      </w:r>
      <w:r w:rsidR="00FE1E26" w:rsidRPr="0042063A">
        <w:t xml:space="preserve">No evidence regarding improved survival with cerliponase alfa treatment is presented in the </w:t>
      </w:r>
      <w:proofErr w:type="gramStart"/>
      <w:r w:rsidR="00FE1E26" w:rsidRPr="0042063A">
        <w:t>submission,</w:t>
      </w:r>
      <w:proofErr w:type="gramEnd"/>
      <w:r w:rsidR="00FE1E26" w:rsidRPr="0042063A">
        <w:t xml:space="preserve"> rather an observed reduction in the rate of progression of disease is </w:t>
      </w:r>
      <w:r w:rsidR="00800DA1" w:rsidRPr="0042063A">
        <w:t xml:space="preserve">used to assume improved survival. Table </w:t>
      </w:r>
      <w:r w:rsidR="00800DA1" w:rsidRPr="0042063A">
        <w:rPr>
          <w:noProof/>
        </w:rPr>
        <w:t>1</w:t>
      </w:r>
      <w:r w:rsidR="00800DA1" w:rsidRPr="0042063A">
        <w:t xml:space="preserve"> </w:t>
      </w:r>
      <w:r w:rsidRPr="0042063A">
        <w:t xml:space="preserve">summarises the key components of the clinical issue addressed by the submission. </w:t>
      </w:r>
    </w:p>
    <w:p w:rsidR="00DC2004" w:rsidRPr="0042063A" w:rsidRDefault="00DC2004" w:rsidP="00DC2004">
      <w:pPr>
        <w:pStyle w:val="Caption"/>
        <w:rPr>
          <w:rFonts w:ascii="Arial Narrow" w:hAnsi="Arial Narrow"/>
        </w:rPr>
      </w:pPr>
      <w:bookmarkStart w:id="2" w:name="_Ref512275362"/>
      <w:r w:rsidRPr="0042063A">
        <w:rPr>
          <w:rFonts w:ascii="Arial Narrow" w:hAnsi="Arial Narrow"/>
        </w:rPr>
        <w:t>Table 1</w:t>
      </w:r>
      <w:bookmarkEnd w:id="2"/>
      <w:r w:rsidR="00D756D7">
        <w:rPr>
          <w:rFonts w:ascii="Arial Narrow" w:hAnsi="Arial Narrow"/>
        </w:rPr>
        <w:t>:</w:t>
      </w:r>
      <w:r w:rsidRPr="0042063A">
        <w:rPr>
          <w:rFonts w:ascii="Arial Narrow" w:hAnsi="Arial Narrow"/>
        </w:rPr>
        <w:t xml:space="preserve"> Key components of the clinical issue addressed by the submission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
      </w:tblPr>
      <w:tblGrid>
        <w:gridCol w:w="1512"/>
        <w:gridCol w:w="7570"/>
      </w:tblGrid>
      <w:tr w:rsidR="00DC2004" w:rsidRPr="0042063A" w:rsidTr="00B6250B">
        <w:trPr>
          <w:cnfStyle w:val="100000000000" w:firstRow="1" w:lastRow="0" w:firstColumn="0" w:lastColumn="0" w:oddVBand="0" w:evenVBand="0" w:oddHBand="0" w:evenHBand="0" w:firstRowFirstColumn="0" w:firstRowLastColumn="0" w:lastRowFirstColumn="0" w:lastRowLastColumn="0"/>
          <w:cantSplit/>
          <w:tblHeader/>
        </w:trPr>
        <w:tc>
          <w:tcPr>
            <w:tcW w:w="1512" w:type="dxa"/>
            <w:shd w:val="clear" w:color="auto" w:fill="auto"/>
          </w:tcPr>
          <w:p w:rsidR="00DC2004" w:rsidRPr="0042063A" w:rsidRDefault="00DC2004" w:rsidP="00B6250B">
            <w:pPr>
              <w:pStyle w:val="TableText"/>
              <w:rPr>
                <w:szCs w:val="20"/>
              </w:rPr>
            </w:pPr>
            <w:r w:rsidRPr="0042063A">
              <w:t>Component</w:t>
            </w:r>
          </w:p>
        </w:tc>
        <w:tc>
          <w:tcPr>
            <w:tcW w:w="7570" w:type="dxa"/>
            <w:shd w:val="clear" w:color="auto" w:fill="auto"/>
          </w:tcPr>
          <w:p w:rsidR="00DC2004" w:rsidRPr="0042063A" w:rsidRDefault="00DC2004" w:rsidP="00B6250B">
            <w:pPr>
              <w:pStyle w:val="TableText"/>
            </w:pPr>
            <w:r w:rsidRPr="0042063A">
              <w:t>Description</w:t>
            </w:r>
          </w:p>
        </w:tc>
      </w:tr>
      <w:tr w:rsidR="00DC2004" w:rsidRPr="0042063A" w:rsidTr="00B6250B">
        <w:trPr>
          <w:cantSplit/>
        </w:trPr>
        <w:tc>
          <w:tcPr>
            <w:tcW w:w="1512" w:type="dxa"/>
            <w:shd w:val="clear" w:color="auto" w:fill="auto"/>
          </w:tcPr>
          <w:p w:rsidR="00DC2004" w:rsidRPr="0042063A" w:rsidRDefault="00DC2004" w:rsidP="00B6250B">
            <w:pPr>
              <w:pStyle w:val="TableText"/>
              <w:keepLines/>
            </w:pPr>
            <w:r w:rsidRPr="0042063A">
              <w:t>Population</w:t>
            </w:r>
          </w:p>
        </w:tc>
        <w:tc>
          <w:tcPr>
            <w:tcW w:w="7570" w:type="dxa"/>
            <w:shd w:val="clear" w:color="auto" w:fill="auto"/>
          </w:tcPr>
          <w:p w:rsidR="00DC2004" w:rsidRPr="0042063A" w:rsidRDefault="00DC2004" w:rsidP="00B6250B">
            <w:pPr>
              <w:pStyle w:val="TableText"/>
              <w:keepLines/>
              <w:rPr>
                <w:rFonts w:ascii="Times" w:eastAsia="Times New Roman" w:hAnsi="Times" w:cs="Times New Roman"/>
              </w:rPr>
            </w:pPr>
            <w:r w:rsidRPr="0042063A">
              <w:t>Neuronal ceroid lipofuscinosis type 2 (CLN2 disease) also known as TPP1 deficiency</w:t>
            </w:r>
          </w:p>
        </w:tc>
      </w:tr>
      <w:tr w:rsidR="00DC2004" w:rsidRPr="0042063A" w:rsidTr="00B6250B">
        <w:trPr>
          <w:cantSplit/>
        </w:trPr>
        <w:tc>
          <w:tcPr>
            <w:tcW w:w="1512" w:type="dxa"/>
            <w:shd w:val="clear" w:color="auto" w:fill="auto"/>
          </w:tcPr>
          <w:p w:rsidR="00DC2004" w:rsidRPr="0042063A" w:rsidRDefault="00DC2004" w:rsidP="00B6250B">
            <w:pPr>
              <w:pStyle w:val="TableText"/>
              <w:keepLines/>
              <w:rPr>
                <w:rFonts w:ascii="Times" w:eastAsia="Times New Roman" w:hAnsi="Times" w:cs="Times New Roman"/>
              </w:rPr>
            </w:pPr>
            <w:r w:rsidRPr="0042063A">
              <w:t>Intervention</w:t>
            </w:r>
          </w:p>
        </w:tc>
        <w:tc>
          <w:tcPr>
            <w:tcW w:w="7570" w:type="dxa"/>
            <w:shd w:val="clear" w:color="auto" w:fill="auto"/>
          </w:tcPr>
          <w:p w:rsidR="00DC2004" w:rsidRPr="0042063A" w:rsidRDefault="00DC2004" w:rsidP="00B6250B">
            <w:pPr>
              <w:pStyle w:val="TableText"/>
              <w:keepLines/>
              <w:rPr>
                <w:rFonts w:ascii="Times" w:eastAsia="Times New Roman" w:hAnsi="Times" w:cs="Times New Roman"/>
              </w:rPr>
            </w:pPr>
            <w:r w:rsidRPr="0042063A">
              <w:t>Cerliponase alfa 300 mg administered every other week (in patients &gt;2 years of age, with modified dosing for those &lt; 2 years of age) via an intracerebroventricular (ICV) reservoir and catheter~</w:t>
            </w:r>
          </w:p>
        </w:tc>
      </w:tr>
      <w:tr w:rsidR="00DC2004" w:rsidRPr="0042063A" w:rsidTr="00B6250B">
        <w:trPr>
          <w:cantSplit/>
        </w:trPr>
        <w:tc>
          <w:tcPr>
            <w:tcW w:w="1512" w:type="dxa"/>
            <w:shd w:val="clear" w:color="auto" w:fill="auto"/>
          </w:tcPr>
          <w:p w:rsidR="00DC2004" w:rsidRPr="0042063A" w:rsidRDefault="00DC2004" w:rsidP="00B6250B">
            <w:pPr>
              <w:pStyle w:val="TableText"/>
              <w:keepLines/>
              <w:rPr>
                <w:rFonts w:ascii="Times" w:eastAsia="Times New Roman" w:hAnsi="Times" w:cs="Times New Roman"/>
              </w:rPr>
            </w:pPr>
            <w:r w:rsidRPr="0042063A">
              <w:t>Comparator</w:t>
            </w:r>
          </w:p>
        </w:tc>
        <w:tc>
          <w:tcPr>
            <w:tcW w:w="7570" w:type="dxa"/>
            <w:shd w:val="clear" w:color="auto" w:fill="auto"/>
          </w:tcPr>
          <w:p w:rsidR="00DC2004" w:rsidRPr="0042063A" w:rsidRDefault="00DC2004" w:rsidP="00B6250B">
            <w:pPr>
              <w:pStyle w:val="TableText"/>
              <w:keepLines/>
              <w:rPr>
                <w:rFonts w:ascii="Times" w:eastAsia="Times New Roman" w:hAnsi="Times" w:cs="Times New Roman"/>
              </w:rPr>
            </w:pPr>
            <w:r w:rsidRPr="0042063A">
              <w:t>Standard care</w:t>
            </w:r>
          </w:p>
        </w:tc>
      </w:tr>
      <w:tr w:rsidR="00DC2004" w:rsidRPr="0042063A" w:rsidTr="00B6250B">
        <w:trPr>
          <w:cantSplit/>
        </w:trPr>
        <w:tc>
          <w:tcPr>
            <w:tcW w:w="1512" w:type="dxa"/>
            <w:shd w:val="clear" w:color="auto" w:fill="auto"/>
          </w:tcPr>
          <w:p w:rsidR="00DC2004" w:rsidRPr="0042063A" w:rsidRDefault="00DC2004" w:rsidP="00B6250B">
            <w:pPr>
              <w:pStyle w:val="TableText"/>
              <w:keepLines/>
              <w:rPr>
                <w:rFonts w:ascii="Times" w:eastAsia="Times New Roman" w:hAnsi="Times" w:cs="Times New Roman"/>
              </w:rPr>
            </w:pPr>
            <w:r w:rsidRPr="0042063A">
              <w:t>Outcomes</w:t>
            </w:r>
          </w:p>
        </w:tc>
        <w:tc>
          <w:tcPr>
            <w:tcW w:w="7570" w:type="dxa"/>
            <w:shd w:val="clear" w:color="auto" w:fill="auto"/>
          </w:tcPr>
          <w:p w:rsidR="00DC2004" w:rsidRPr="0042063A" w:rsidRDefault="00DC2004" w:rsidP="00B6250B">
            <w:pPr>
              <w:pStyle w:val="TableText"/>
              <w:keepLines/>
              <w:rPr>
                <w:rFonts w:ascii="Times" w:eastAsia="Times New Roman" w:hAnsi="Times" w:cs="Times New Roman"/>
              </w:rPr>
            </w:pPr>
            <w:r w:rsidRPr="0042063A">
              <w:t xml:space="preserve">Motor-language scale score </w:t>
            </w:r>
          </w:p>
        </w:tc>
      </w:tr>
      <w:tr w:rsidR="00DC2004" w:rsidRPr="0042063A" w:rsidTr="00B6250B">
        <w:trPr>
          <w:cantSplit/>
        </w:trPr>
        <w:tc>
          <w:tcPr>
            <w:tcW w:w="1512" w:type="dxa"/>
            <w:shd w:val="clear" w:color="auto" w:fill="auto"/>
          </w:tcPr>
          <w:p w:rsidR="00DC2004" w:rsidRPr="0042063A" w:rsidRDefault="00DC2004" w:rsidP="00B6250B">
            <w:pPr>
              <w:pStyle w:val="TableText"/>
              <w:keepLines/>
              <w:rPr>
                <w:rFonts w:ascii="Times" w:eastAsia="Times New Roman" w:hAnsi="Times" w:cs="Times New Roman"/>
              </w:rPr>
            </w:pPr>
            <w:r w:rsidRPr="0042063A">
              <w:t>Clinical claim</w:t>
            </w:r>
          </w:p>
        </w:tc>
        <w:tc>
          <w:tcPr>
            <w:tcW w:w="7570" w:type="dxa"/>
            <w:shd w:val="clear" w:color="auto" w:fill="auto"/>
          </w:tcPr>
          <w:p w:rsidR="00DC2004" w:rsidRPr="0042063A" w:rsidRDefault="00DC2004" w:rsidP="00B6250B">
            <w:pPr>
              <w:pStyle w:val="TableText"/>
              <w:keepLines/>
              <w:rPr>
                <w:rFonts w:ascii="Times" w:eastAsia="Times New Roman" w:hAnsi="Times" w:cs="Times New Roman"/>
              </w:rPr>
            </w:pPr>
            <w:r w:rsidRPr="0042063A">
              <w:t xml:space="preserve">In CLN2 disease, cerliponase alfa 300 mg is superior to standard care in terms of response as assessed by the CLN2 clinical Motor-Language (ML) scale </w:t>
            </w:r>
            <w:r w:rsidRPr="00DE6DA9">
              <w:t>and inferior in safety.</w:t>
            </w:r>
          </w:p>
        </w:tc>
      </w:tr>
    </w:tbl>
    <w:p w:rsidR="00DC2004" w:rsidRPr="0042063A" w:rsidRDefault="00DC2004" w:rsidP="00DC2004">
      <w:pPr>
        <w:spacing w:before="0" w:after="120"/>
        <w:rPr>
          <w:rFonts w:ascii="Arial Narrow" w:hAnsi="Arial Narrow"/>
          <w:sz w:val="18"/>
          <w:szCs w:val="18"/>
        </w:rPr>
      </w:pPr>
      <w:r w:rsidRPr="0042063A">
        <w:rPr>
          <w:rFonts w:ascii="Arial Narrow" w:hAnsi="Arial Narrow"/>
          <w:sz w:val="18"/>
          <w:szCs w:val="18"/>
        </w:rPr>
        <w:t>Source: Table 1.1-1, p17 of the submission</w:t>
      </w:r>
    </w:p>
    <w:p w:rsidR="00957093" w:rsidRPr="0042063A" w:rsidRDefault="00957093" w:rsidP="00957093">
      <w:pPr>
        <w:pStyle w:val="Heading1"/>
        <w:ind w:left="709" w:hanging="709"/>
        <w:jc w:val="left"/>
      </w:pPr>
      <w:bookmarkStart w:id="3" w:name="_Toc413139272"/>
      <w:bookmarkStart w:id="4" w:name="_Toc514241618"/>
      <w:r w:rsidRPr="0042063A">
        <w:lastRenderedPageBreak/>
        <w:t>Requested listing</w:t>
      </w:r>
      <w:bookmarkEnd w:id="3"/>
      <w:bookmarkEnd w:id="4"/>
      <w:r w:rsidRPr="0042063A">
        <w:t xml:space="preserve"> </w:t>
      </w:r>
    </w:p>
    <w:tbl>
      <w:tblPr>
        <w:tblW w:w="5010" w:type="pct"/>
        <w:tblCellMar>
          <w:left w:w="28" w:type="dxa"/>
          <w:right w:w="28" w:type="dxa"/>
        </w:tblCellMar>
        <w:tblLook w:val="0000" w:firstRow="0" w:lastRow="0" w:firstColumn="0" w:lastColumn="0" w:noHBand="0" w:noVBand="0"/>
      </w:tblPr>
      <w:tblGrid>
        <w:gridCol w:w="27"/>
        <w:gridCol w:w="1986"/>
        <w:gridCol w:w="1376"/>
        <w:gridCol w:w="768"/>
        <w:gridCol w:w="925"/>
        <w:gridCol w:w="1660"/>
        <w:gridCol w:w="713"/>
        <w:gridCol w:w="1627"/>
        <w:gridCol w:w="18"/>
      </w:tblGrid>
      <w:tr w:rsidR="00957093" w:rsidRPr="0042063A" w:rsidTr="00BE0700">
        <w:trPr>
          <w:gridAfter w:val="1"/>
          <w:wAfter w:w="10" w:type="pct"/>
          <w:cantSplit/>
          <w:trHeight w:val="463"/>
        </w:trPr>
        <w:tc>
          <w:tcPr>
            <w:tcW w:w="1862" w:type="pct"/>
            <w:gridSpan w:val="3"/>
            <w:tcBorders>
              <w:bottom w:val="single" w:sz="4" w:space="0" w:color="auto"/>
            </w:tcBorders>
            <w:vAlign w:val="center"/>
          </w:tcPr>
          <w:p w:rsidR="00957093" w:rsidRPr="0042063A" w:rsidRDefault="00957093" w:rsidP="00BE0700">
            <w:pPr>
              <w:pStyle w:val="TableText"/>
              <w:rPr>
                <w:b/>
              </w:rPr>
            </w:pPr>
            <w:r w:rsidRPr="0042063A">
              <w:rPr>
                <w:b/>
              </w:rPr>
              <w:t>Name, Restriction,</w:t>
            </w:r>
          </w:p>
          <w:p w:rsidR="00957093" w:rsidRPr="0042063A" w:rsidRDefault="00957093" w:rsidP="00BE0700">
            <w:pPr>
              <w:pStyle w:val="TableText"/>
              <w:rPr>
                <w:b/>
              </w:rPr>
            </w:pPr>
            <w:r w:rsidRPr="0042063A">
              <w:rPr>
                <w:b/>
              </w:rPr>
              <w:t>Manner of administration and form</w:t>
            </w:r>
          </w:p>
        </w:tc>
        <w:tc>
          <w:tcPr>
            <w:tcW w:w="422" w:type="pct"/>
            <w:tcBorders>
              <w:bottom w:val="single" w:sz="4" w:space="0" w:color="auto"/>
            </w:tcBorders>
            <w:vAlign w:val="center"/>
          </w:tcPr>
          <w:p w:rsidR="00957093" w:rsidRPr="0042063A" w:rsidRDefault="00957093" w:rsidP="00BE0700">
            <w:pPr>
              <w:pStyle w:val="TableText"/>
              <w:rPr>
                <w:b/>
              </w:rPr>
            </w:pPr>
            <w:r w:rsidRPr="0042063A">
              <w:rPr>
                <w:b/>
              </w:rPr>
              <w:t>Max.</w:t>
            </w:r>
          </w:p>
          <w:p w:rsidR="00957093" w:rsidRPr="0042063A" w:rsidRDefault="009A01FF" w:rsidP="009A01FF">
            <w:pPr>
              <w:pStyle w:val="TableText"/>
              <w:rPr>
                <w:b/>
              </w:rPr>
            </w:pPr>
            <w:r w:rsidRPr="0042063A">
              <w:rPr>
                <w:b/>
              </w:rPr>
              <w:t>Qty</w:t>
            </w:r>
            <w:r w:rsidR="00292839">
              <w:rPr>
                <w:b/>
              </w:rPr>
              <w:t xml:space="preserve"> </w:t>
            </w:r>
          </w:p>
        </w:tc>
        <w:tc>
          <w:tcPr>
            <w:tcW w:w="508" w:type="pct"/>
            <w:tcBorders>
              <w:bottom w:val="single" w:sz="4" w:space="0" w:color="auto"/>
            </w:tcBorders>
            <w:vAlign w:val="center"/>
          </w:tcPr>
          <w:p w:rsidR="00957093" w:rsidRPr="0042063A" w:rsidRDefault="00957093" w:rsidP="00BE0700">
            <w:pPr>
              <w:pStyle w:val="TableText"/>
              <w:rPr>
                <w:b/>
              </w:rPr>
            </w:pPr>
            <w:r w:rsidRPr="0042063A">
              <w:rPr>
                <w:b/>
              </w:rPr>
              <w:t>№.of</w:t>
            </w:r>
          </w:p>
          <w:p w:rsidR="00957093" w:rsidRPr="0042063A" w:rsidRDefault="00957093" w:rsidP="00BE0700">
            <w:pPr>
              <w:pStyle w:val="TableText"/>
              <w:rPr>
                <w:b/>
              </w:rPr>
            </w:pPr>
            <w:r w:rsidRPr="0042063A">
              <w:rPr>
                <w:b/>
              </w:rPr>
              <w:t>Rpts</w:t>
            </w:r>
          </w:p>
        </w:tc>
        <w:tc>
          <w:tcPr>
            <w:tcW w:w="912" w:type="pct"/>
            <w:tcBorders>
              <w:bottom w:val="single" w:sz="4" w:space="0" w:color="auto"/>
            </w:tcBorders>
            <w:vAlign w:val="center"/>
          </w:tcPr>
          <w:p w:rsidR="00957093" w:rsidRPr="0042063A" w:rsidRDefault="00957093" w:rsidP="009A01FF">
            <w:pPr>
              <w:pStyle w:val="TableText"/>
              <w:rPr>
                <w:b/>
              </w:rPr>
            </w:pPr>
            <w:r w:rsidRPr="0042063A">
              <w:rPr>
                <w:b/>
              </w:rPr>
              <w:t xml:space="preserve">Dispensed Price for Max. Qty </w:t>
            </w:r>
          </w:p>
        </w:tc>
        <w:tc>
          <w:tcPr>
            <w:tcW w:w="1286" w:type="pct"/>
            <w:gridSpan w:val="2"/>
            <w:tcBorders>
              <w:bottom w:val="single" w:sz="4" w:space="0" w:color="auto"/>
            </w:tcBorders>
            <w:vAlign w:val="center"/>
          </w:tcPr>
          <w:p w:rsidR="00957093" w:rsidRPr="0042063A" w:rsidRDefault="00957093" w:rsidP="00BE0700">
            <w:pPr>
              <w:pStyle w:val="TableText"/>
              <w:rPr>
                <w:b/>
                <w:lang w:val="fr-FR"/>
              </w:rPr>
            </w:pPr>
            <w:r w:rsidRPr="0042063A">
              <w:rPr>
                <w:b/>
              </w:rPr>
              <w:t>Proprietary Name and Manufacturer</w:t>
            </w:r>
          </w:p>
        </w:tc>
      </w:tr>
      <w:tr w:rsidR="00957093" w:rsidRPr="0042063A" w:rsidTr="00BE0700">
        <w:trPr>
          <w:gridAfter w:val="1"/>
          <w:wAfter w:w="10" w:type="pct"/>
          <w:cantSplit/>
          <w:trHeight w:val="567"/>
        </w:trPr>
        <w:tc>
          <w:tcPr>
            <w:tcW w:w="1862" w:type="pct"/>
            <w:gridSpan w:val="3"/>
            <w:vAlign w:val="center"/>
          </w:tcPr>
          <w:p w:rsidR="00957093" w:rsidRPr="0042063A" w:rsidRDefault="00957093" w:rsidP="00BE0700">
            <w:pPr>
              <w:pStyle w:val="TableText"/>
            </w:pPr>
            <w:r w:rsidRPr="0042063A">
              <w:t>Cerliponase alfa</w:t>
            </w:r>
          </w:p>
          <w:p w:rsidR="00957093" w:rsidRPr="0042063A" w:rsidRDefault="00957093" w:rsidP="00BE0700">
            <w:pPr>
              <w:pStyle w:val="TableText"/>
            </w:pPr>
            <w:r w:rsidRPr="0042063A">
              <w:t>Vial for infusion, 150mg/5mL</w:t>
            </w:r>
          </w:p>
        </w:tc>
        <w:tc>
          <w:tcPr>
            <w:tcW w:w="422" w:type="pct"/>
            <w:vAlign w:val="center"/>
          </w:tcPr>
          <w:p w:rsidR="00957093" w:rsidRPr="0042063A" w:rsidRDefault="00957093" w:rsidP="00BE0700">
            <w:pPr>
              <w:pStyle w:val="TableText"/>
            </w:pPr>
          </w:p>
          <w:p w:rsidR="00957093" w:rsidRPr="0042063A" w:rsidRDefault="009A01FF" w:rsidP="00BE0700">
            <w:pPr>
              <w:pStyle w:val="TableText"/>
            </w:pPr>
            <w:r w:rsidRPr="0042063A">
              <w:t>4 units</w:t>
            </w:r>
          </w:p>
        </w:tc>
        <w:tc>
          <w:tcPr>
            <w:tcW w:w="508" w:type="pct"/>
            <w:vAlign w:val="center"/>
          </w:tcPr>
          <w:p w:rsidR="00957093" w:rsidRPr="0042063A" w:rsidRDefault="00957093" w:rsidP="00BE0700">
            <w:pPr>
              <w:pStyle w:val="TableText"/>
            </w:pPr>
          </w:p>
          <w:p w:rsidR="00957093" w:rsidRPr="0042063A" w:rsidRDefault="00957093" w:rsidP="00BE0700">
            <w:pPr>
              <w:pStyle w:val="TableText"/>
            </w:pPr>
            <w:r w:rsidRPr="0042063A">
              <w:t>5</w:t>
            </w:r>
          </w:p>
        </w:tc>
        <w:tc>
          <w:tcPr>
            <w:tcW w:w="912" w:type="pct"/>
            <w:vAlign w:val="center"/>
          </w:tcPr>
          <w:p w:rsidR="00957093" w:rsidRPr="0042063A" w:rsidRDefault="00957093" w:rsidP="009A01FF">
            <w:pPr>
              <w:pStyle w:val="TableText"/>
            </w:pPr>
            <w:r w:rsidRPr="0042063A">
              <w:t>$</w:t>
            </w:r>
            <w:r w:rsidR="006E2381">
              <w:rPr>
                <w:noProof/>
                <w:color w:val="000000"/>
                <w:highlight w:val="black"/>
              </w:rPr>
              <w:t>''''''''''''''''</w:t>
            </w:r>
            <w:r w:rsidR="008E356B">
              <w:t xml:space="preserve"> </w:t>
            </w:r>
            <w:bookmarkStart w:id="5" w:name="_GoBack"/>
            <w:r w:rsidR="008E356B">
              <w:t>(P</w:t>
            </w:r>
            <w:bookmarkEnd w:id="5"/>
            <w:r w:rsidR="008E356B">
              <w:t>ublic)</w:t>
            </w:r>
          </w:p>
          <w:p w:rsidR="009A01FF" w:rsidRPr="0042063A" w:rsidRDefault="009A01FF" w:rsidP="001F651C">
            <w:pPr>
              <w:pStyle w:val="TableText"/>
            </w:pPr>
            <w:r w:rsidRPr="0042063A">
              <w:t>$</w:t>
            </w:r>
            <w:r w:rsidR="006E2381">
              <w:rPr>
                <w:noProof/>
                <w:color w:val="000000"/>
                <w:highlight w:val="black"/>
              </w:rPr>
              <w:t>'''''''''''''''''''''</w:t>
            </w:r>
            <w:r w:rsidR="008E356B">
              <w:t xml:space="preserve"> (Private)</w:t>
            </w:r>
          </w:p>
        </w:tc>
        <w:tc>
          <w:tcPr>
            <w:tcW w:w="392" w:type="pct"/>
            <w:vAlign w:val="center"/>
          </w:tcPr>
          <w:p w:rsidR="00957093" w:rsidRPr="0042063A" w:rsidRDefault="00957093" w:rsidP="00BE0700">
            <w:pPr>
              <w:pStyle w:val="TableText"/>
            </w:pPr>
            <w:r w:rsidRPr="0042063A">
              <w:t>Brineura</w:t>
            </w:r>
          </w:p>
        </w:tc>
        <w:tc>
          <w:tcPr>
            <w:tcW w:w="894" w:type="pct"/>
            <w:vAlign w:val="center"/>
          </w:tcPr>
          <w:p w:rsidR="00957093" w:rsidRPr="0042063A" w:rsidRDefault="00957093" w:rsidP="00BE0700">
            <w:pPr>
              <w:pStyle w:val="TableText"/>
            </w:pPr>
            <w:proofErr w:type="spellStart"/>
            <w:r w:rsidRPr="0042063A">
              <w:t>Biomarin</w:t>
            </w:r>
            <w:proofErr w:type="spellEnd"/>
          </w:p>
        </w:tc>
      </w:tr>
      <w:tr w:rsidR="00957093" w:rsidRPr="0042063A" w:rsidTr="00BE0700">
        <w:tblPrEx>
          <w:tblCellMar>
            <w:left w:w="108" w:type="dxa"/>
            <w:right w:w="108" w:type="dxa"/>
          </w:tblCellMar>
        </w:tblPrEx>
        <w:trPr>
          <w:gridBefore w:val="1"/>
          <w:wBefore w:w="15" w:type="pct"/>
          <w:cantSplit/>
          <w:trHeight w:val="231"/>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Category / Program:</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Section 100 Highly Specialised Drugs Program</w:t>
            </w:r>
          </w:p>
        </w:tc>
      </w:tr>
      <w:tr w:rsidR="00957093" w:rsidRPr="0042063A" w:rsidTr="00BE0700">
        <w:tblPrEx>
          <w:tblCellMar>
            <w:left w:w="108" w:type="dxa"/>
            <w:right w:w="108" w:type="dxa"/>
          </w:tblCellMar>
        </w:tblPrEx>
        <w:trPr>
          <w:gridBefore w:val="1"/>
          <w:wBefore w:w="15" w:type="pct"/>
          <w:cantSplit/>
          <w:trHeight w:val="121"/>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eastAsia="Times New Roman" w:cs="Arial"/>
                <w:szCs w:val="20"/>
                <w:lang w:val="en-US"/>
              </w:rPr>
            </w:pPr>
            <w:r w:rsidRPr="0042063A">
              <w:rPr>
                <w:rFonts w:cs="Arial"/>
                <w:szCs w:val="20"/>
              </w:rPr>
              <w:t>PBS Indication:</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Neuronal ceroid lipofuscinosis type 2 disease</w:t>
            </w:r>
          </w:p>
        </w:tc>
      </w:tr>
      <w:tr w:rsidR="00957093" w:rsidRPr="0042063A" w:rsidTr="00BE0700">
        <w:tblPrEx>
          <w:tblCellMar>
            <w:left w:w="108" w:type="dxa"/>
            <w:right w:w="108" w:type="dxa"/>
          </w:tblCellMar>
        </w:tblPrEx>
        <w:trPr>
          <w:gridBefore w:val="1"/>
          <w:wBefore w:w="15" w:type="pct"/>
          <w:cantSplit/>
          <w:trHeight w:val="167"/>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Treatment phase:</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Initial treatment</w:t>
            </w:r>
          </w:p>
        </w:tc>
      </w:tr>
      <w:tr w:rsidR="00957093" w:rsidRPr="0042063A" w:rsidTr="00BE0700">
        <w:tblPrEx>
          <w:tblCellMar>
            <w:left w:w="108" w:type="dxa"/>
            <w:right w:w="108" w:type="dxa"/>
          </w:tblCellMar>
        </w:tblPrEx>
        <w:trPr>
          <w:gridBefore w:val="1"/>
          <w:wBefore w:w="15" w:type="pct"/>
          <w:cantSplit/>
          <w:trHeight w:val="71"/>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Restriction:</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Authority required</w:t>
            </w:r>
          </w:p>
        </w:tc>
      </w:tr>
      <w:tr w:rsidR="00957093" w:rsidRPr="0042063A" w:rsidTr="00BE0700">
        <w:tblPrEx>
          <w:tblCellMar>
            <w:left w:w="108" w:type="dxa"/>
            <w:right w:w="108" w:type="dxa"/>
          </w:tblCellMar>
        </w:tblPrEx>
        <w:trPr>
          <w:gridBefore w:val="1"/>
          <w:wBefore w:w="15"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eastAsia="Times New Roman" w:cs="Arial"/>
                <w:szCs w:val="20"/>
                <w:lang w:val="en-US"/>
              </w:rPr>
            </w:pPr>
            <w:r w:rsidRPr="0042063A">
              <w:rPr>
                <w:rFonts w:cs="Arial"/>
                <w:szCs w:val="20"/>
              </w:rPr>
              <w:t>Treatment criteria:</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Must be treated by a specialist physician with expertise in the management of patients with neuronal ceroid lipofuscinosis type 2 disease.</w:t>
            </w:r>
          </w:p>
        </w:tc>
      </w:tr>
      <w:tr w:rsidR="00957093" w:rsidRPr="0042063A" w:rsidTr="00BE0700">
        <w:tblPrEx>
          <w:tblCellMar>
            <w:left w:w="108" w:type="dxa"/>
            <w:right w:w="108" w:type="dxa"/>
          </w:tblCellMar>
        </w:tblPrEx>
        <w:trPr>
          <w:gridBefore w:val="1"/>
          <w:wBefore w:w="15"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eastAsia="Times New Roman" w:cs="Arial"/>
                <w:szCs w:val="20"/>
                <w:lang w:val="en-US"/>
              </w:rPr>
            </w:pPr>
            <w:r w:rsidRPr="0042063A">
              <w:rPr>
                <w:rFonts w:cs="Arial"/>
                <w:szCs w:val="20"/>
              </w:rPr>
              <w:t>Clinical criteria:</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spacing w:before="0" w:after="0"/>
              <w:rPr>
                <w:rFonts w:ascii="Arial Narrow" w:hAnsi="Arial Narrow" w:cs="Arial"/>
                <w:sz w:val="20"/>
                <w:szCs w:val="20"/>
              </w:rPr>
            </w:pPr>
            <w:r w:rsidRPr="0042063A">
              <w:rPr>
                <w:rFonts w:ascii="Arial Narrow" w:hAnsi="Arial Narrow" w:cs="Arial"/>
                <w:sz w:val="20"/>
                <w:szCs w:val="20"/>
              </w:rPr>
              <w:t xml:space="preserve">Patient must have a confirmed diagnosis of neuronal ceroid lipofuscinosis type 2; AND </w:t>
            </w:r>
          </w:p>
          <w:p w:rsidR="00957093" w:rsidRPr="0042063A" w:rsidRDefault="00957093" w:rsidP="00BE0700">
            <w:pPr>
              <w:pStyle w:val="TableText"/>
              <w:spacing w:before="0" w:after="0"/>
              <w:rPr>
                <w:rFonts w:cs="Arial"/>
                <w:szCs w:val="20"/>
              </w:rPr>
            </w:pPr>
            <w:r w:rsidRPr="0042063A">
              <w:rPr>
                <w:rFonts w:cs="Arial"/>
                <w:szCs w:val="20"/>
              </w:rPr>
              <w:t>Patient must not receive more than 24 weeks of treatment under this restriction</w:t>
            </w:r>
          </w:p>
        </w:tc>
      </w:tr>
      <w:tr w:rsidR="00957093" w:rsidRPr="0042063A" w:rsidTr="00BE0700">
        <w:tblPrEx>
          <w:tblCellMar>
            <w:left w:w="108" w:type="dxa"/>
            <w:right w:w="108" w:type="dxa"/>
          </w:tblCellMar>
        </w:tblPrEx>
        <w:trPr>
          <w:gridBefore w:val="1"/>
          <w:wBefore w:w="15" w:type="pct"/>
          <w:cantSplit/>
          <w:trHeight w:val="360"/>
        </w:trPr>
        <w:tc>
          <w:tcPr>
            <w:tcW w:w="1091" w:type="pct"/>
            <w:tcBorders>
              <w:top w:val="single" w:sz="4" w:space="0" w:color="auto"/>
              <w:left w:val="single" w:sz="4" w:space="0" w:color="auto"/>
              <w:bottom w:val="double" w:sz="4" w:space="0" w:color="auto"/>
              <w:right w:val="single" w:sz="4" w:space="0" w:color="auto"/>
            </w:tcBorders>
          </w:tcPr>
          <w:p w:rsidR="00957093" w:rsidRPr="0042063A" w:rsidRDefault="00957093" w:rsidP="00BE0700">
            <w:pPr>
              <w:pStyle w:val="TableText"/>
              <w:spacing w:before="0" w:after="0"/>
              <w:rPr>
                <w:rFonts w:eastAsia="Times New Roman" w:cs="Arial"/>
                <w:szCs w:val="20"/>
                <w:lang w:val="en-US"/>
              </w:rPr>
            </w:pPr>
            <w:r w:rsidRPr="0042063A">
              <w:rPr>
                <w:rFonts w:cs="Arial"/>
                <w:szCs w:val="20"/>
              </w:rPr>
              <w:t>Prescriber Instructions</w:t>
            </w:r>
          </w:p>
        </w:tc>
        <w:tc>
          <w:tcPr>
            <w:tcW w:w="3894" w:type="pct"/>
            <w:gridSpan w:val="7"/>
            <w:tcBorders>
              <w:top w:val="single" w:sz="4" w:space="0" w:color="auto"/>
              <w:left w:val="single" w:sz="4" w:space="0" w:color="auto"/>
              <w:bottom w:val="doub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 xml:space="preserve">The initial authority application must be in writing and include documented confirmed diagnosis of neuronal ceroid lipofuscinosis type 2 disease. </w:t>
            </w:r>
          </w:p>
        </w:tc>
      </w:tr>
      <w:tr w:rsidR="00957093" w:rsidRPr="0042063A" w:rsidTr="00BE0700">
        <w:tblPrEx>
          <w:tblCellMar>
            <w:left w:w="108" w:type="dxa"/>
            <w:right w:w="108" w:type="dxa"/>
          </w:tblCellMar>
        </w:tblPrEx>
        <w:trPr>
          <w:gridBefore w:val="1"/>
          <w:wBefore w:w="15" w:type="pct"/>
          <w:cantSplit/>
          <w:trHeight w:val="117"/>
        </w:trPr>
        <w:tc>
          <w:tcPr>
            <w:tcW w:w="1091" w:type="pct"/>
            <w:tcBorders>
              <w:top w:val="doub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Category / Program:</w:t>
            </w:r>
          </w:p>
        </w:tc>
        <w:tc>
          <w:tcPr>
            <w:tcW w:w="3894" w:type="pct"/>
            <w:gridSpan w:val="7"/>
            <w:tcBorders>
              <w:top w:val="doub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Section 100 Highly Specialised Drugs Program</w:t>
            </w:r>
          </w:p>
        </w:tc>
      </w:tr>
      <w:tr w:rsidR="00957093" w:rsidRPr="0042063A" w:rsidTr="00BE0700">
        <w:tblPrEx>
          <w:tblCellMar>
            <w:left w:w="108" w:type="dxa"/>
            <w:right w:w="108" w:type="dxa"/>
          </w:tblCellMar>
        </w:tblPrEx>
        <w:trPr>
          <w:gridBefore w:val="1"/>
          <w:wBefore w:w="15" w:type="pct"/>
          <w:cantSplit/>
          <w:trHeight w:val="155"/>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PBS Indication:</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Neuronal ceroid lipofuscinosis type 2 disease</w:t>
            </w:r>
          </w:p>
        </w:tc>
      </w:tr>
      <w:tr w:rsidR="00957093" w:rsidRPr="0042063A" w:rsidTr="00BE0700">
        <w:tblPrEx>
          <w:tblCellMar>
            <w:left w:w="108" w:type="dxa"/>
            <w:right w:w="108" w:type="dxa"/>
          </w:tblCellMar>
        </w:tblPrEx>
        <w:trPr>
          <w:gridBefore w:val="1"/>
          <w:wBefore w:w="15" w:type="pct"/>
          <w:cantSplit/>
          <w:trHeight w:val="155"/>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Treatment phase:</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Continuing</w:t>
            </w:r>
          </w:p>
        </w:tc>
      </w:tr>
      <w:tr w:rsidR="00957093" w:rsidRPr="0042063A" w:rsidTr="00BE0700">
        <w:tblPrEx>
          <w:tblCellMar>
            <w:left w:w="108" w:type="dxa"/>
            <w:right w:w="108" w:type="dxa"/>
          </w:tblCellMar>
        </w:tblPrEx>
        <w:trPr>
          <w:gridBefore w:val="1"/>
          <w:wBefore w:w="15" w:type="pct"/>
          <w:cantSplit/>
          <w:trHeight w:val="155"/>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Restriction:</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Authority required</w:t>
            </w:r>
          </w:p>
        </w:tc>
      </w:tr>
      <w:tr w:rsidR="00957093" w:rsidRPr="0042063A" w:rsidTr="00BE0700">
        <w:tblPrEx>
          <w:tblCellMar>
            <w:left w:w="108" w:type="dxa"/>
            <w:right w:w="108" w:type="dxa"/>
          </w:tblCellMar>
        </w:tblPrEx>
        <w:trPr>
          <w:gridBefore w:val="1"/>
          <w:wBefore w:w="15"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Treatment criteria:</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Must be treated by a specialist physician with expertise in the management of patients with neuronal ceroid lipofuscinosis type 2 disease.</w:t>
            </w:r>
          </w:p>
        </w:tc>
      </w:tr>
      <w:tr w:rsidR="00957093" w:rsidRPr="0042063A" w:rsidTr="00BE0700">
        <w:tblPrEx>
          <w:tblCellMar>
            <w:left w:w="108" w:type="dxa"/>
            <w:right w:w="108" w:type="dxa"/>
          </w:tblCellMar>
        </w:tblPrEx>
        <w:trPr>
          <w:gridBefore w:val="1"/>
          <w:wBefore w:w="15" w:type="pct"/>
          <w:cantSplit/>
          <w:trHeight w:val="360"/>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Clinical criteria:</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spacing w:before="0" w:after="0"/>
              <w:rPr>
                <w:rFonts w:ascii="Arial Narrow" w:hAnsi="Arial Narrow" w:cs="Arial"/>
                <w:sz w:val="20"/>
                <w:szCs w:val="20"/>
              </w:rPr>
            </w:pPr>
            <w:r w:rsidRPr="0042063A">
              <w:rPr>
                <w:rFonts w:ascii="Arial Narrow" w:hAnsi="Arial Narrow" w:cs="Arial"/>
                <w:sz w:val="20"/>
                <w:szCs w:val="20"/>
              </w:rPr>
              <w:t xml:space="preserve">Patient must have CLN2 disease AND </w:t>
            </w:r>
          </w:p>
          <w:p w:rsidR="00957093" w:rsidRPr="0042063A" w:rsidRDefault="00957093" w:rsidP="00BE0700">
            <w:pPr>
              <w:pStyle w:val="TableText"/>
              <w:spacing w:before="0" w:after="0"/>
              <w:rPr>
                <w:rFonts w:cs="Arial"/>
                <w:szCs w:val="20"/>
              </w:rPr>
            </w:pPr>
            <w:r w:rsidRPr="0042063A">
              <w:rPr>
                <w:rFonts w:cs="Arial"/>
                <w:szCs w:val="20"/>
              </w:rPr>
              <w:t xml:space="preserve">Patient must not have had an unreversed motor-language (ML) score = 0 for 6 months </w:t>
            </w:r>
          </w:p>
        </w:tc>
      </w:tr>
      <w:tr w:rsidR="00957093" w:rsidRPr="0042063A" w:rsidTr="00BE0700">
        <w:tblPrEx>
          <w:tblCellMar>
            <w:left w:w="108" w:type="dxa"/>
            <w:right w:w="108" w:type="dxa"/>
          </w:tblCellMar>
        </w:tblPrEx>
        <w:trPr>
          <w:gridBefore w:val="1"/>
          <w:wBefore w:w="15" w:type="pct"/>
          <w:cantSplit/>
          <w:trHeight w:val="115"/>
        </w:trPr>
        <w:tc>
          <w:tcPr>
            <w:tcW w:w="1091" w:type="pct"/>
            <w:tcBorders>
              <w:top w:val="single" w:sz="4" w:space="0" w:color="auto"/>
              <w:left w:val="single" w:sz="4" w:space="0" w:color="auto"/>
              <w:bottom w:val="single" w:sz="4" w:space="0" w:color="auto"/>
              <w:right w:val="single" w:sz="4" w:space="0" w:color="auto"/>
            </w:tcBorders>
          </w:tcPr>
          <w:p w:rsidR="00957093" w:rsidRPr="0042063A" w:rsidRDefault="00957093" w:rsidP="00BE0700">
            <w:pPr>
              <w:pStyle w:val="TableText"/>
              <w:spacing w:before="0" w:after="0"/>
              <w:rPr>
                <w:rFonts w:cs="Arial"/>
                <w:szCs w:val="20"/>
              </w:rPr>
            </w:pPr>
            <w:r w:rsidRPr="0042063A">
              <w:rPr>
                <w:rFonts w:cs="Arial"/>
                <w:szCs w:val="20"/>
              </w:rPr>
              <w:t>Prescriber Instructions</w:t>
            </w:r>
          </w:p>
        </w:tc>
        <w:tc>
          <w:tcPr>
            <w:tcW w:w="3894" w:type="pct"/>
            <w:gridSpan w:val="7"/>
            <w:tcBorders>
              <w:top w:val="single" w:sz="4" w:space="0" w:color="auto"/>
              <w:left w:val="single" w:sz="4" w:space="0" w:color="auto"/>
              <w:bottom w:val="single" w:sz="4" w:space="0" w:color="auto"/>
              <w:right w:val="single" w:sz="4" w:space="0" w:color="auto"/>
            </w:tcBorders>
          </w:tcPr>
          <w:p w:rsidR="00957093" w:rsidRPr="0042063A" w:rsidRDefault="00957093" w:rsidP="00BE0700">
            <w:pPr>
              <w:spacing w:before="0" w:after="0"/>
              <w:rPr>
                <w:rFonts w:ascii="Arial Narrow" w:hAnsi="Arial Narrow" w:cs="Arial"/>
                <w:sz w:val="20"/>
                <w:szCs w:val="20"/>
              </w:rPr>
            </w:pPr>
            <w:r w:rsidRPr="0042063A">
              <w:rPr>
                <w:rFonts w:ascii="Arial Narrow" w:hAnsi="Arial Narrow" w:cs="Arial"/>
                <w:sz w:val="20"/>
                <w:szCs w:val="20"/>
              </w:rPr>
              <w:t>Must have documented evidence of ML scores</w:t>
            </w:r>
          </w:p>
        </w:tc>
      </w:tr>
    </w:tbl>
    <w:p w:rsidR="00957093" w:rsidRPr="0042063A" w:rsidRDefault="00957093" w:rsidP="00504AC4">
      <w:pPr>
        <w:pStyle w:val="TableNotes"/>
        <w:spacing w:after="240"/>
        <w:rPr>
          <w:rFonts w:ascii="Arial Narrow" w:hAnsi="Arial Narrow"/>
          <w:sz w:val="18"/>
        </w:rPr>
      </w:pPr>
      <w:r w:rsidRPr="0042063A">
        <w:rPr>
          <w:rFonts w:ascii="Arial Narrow" w:hAnsi="Arial Narrow"/>
          <w:sz w:val="18"/>
        </w:rPr>
        <w:t>Source</w:t>
      </w:r>
      <w:r w:rsidR="00800DA1" w:rsidRPr="0042063A">
        <w:rPr>
          <w:rFonts w:ascii="Arial Narrow" w:hAnsi="Arial Narrow"/>
          <w:sz w:val="18"/>
        </w:rPr>
        <w:t>:</w:t>
      </w:r>
      <w:r w:rsidR="00800DA1" w:rsidRPr="0042063A">
        <w:t xml:space="preserve"> </w:t>
      </w:r>
      <w:r w:rsidRPr="0042063A">
        <w:rPr>
          <w:rFonts w:ascii="Arial Narrow" w:hAnsi="Arial Narrow"/>
          <w:sz w:val="18"/>
        </w:rPr>
        <w:t>Table 1.4-2 and 1.4-3, p31 of the submission</w:t>
      </w:r>
    </w:p>
    <w:p w:rsidR="008C5A42" w:rsidRPr="0042063A" w:rsidRDefault="001F651C" w:rsidP="00800DA1">
      <w:pPr>
        <w:pStyle w:val="ListParagraph"/>
        <w:numPr>
          <w:ilvl w:val="1"/>
          <w:numId w:val="2"/>
        </w:numPr>
      </w:pPr>
      <w:r w:rsidRPr="0042063A">
        <w:t>Under the proposed restriction, a</w:t>
      </w:r>
      <w:r w:rsidR="00957093" w:rsidRPr="0042063A">
        <w:t>ll patients diagnosed with CLN2 disease, irrespective of severity, are eligible for initial treatment.</w:t>
      </w:r>
      <w:r w:rsidR="00292839">
        <w:t xml:space="preserve"> </w:t>
      </w:r>
      <w:r w:rsidR="00957093" w:rsidRPr="0042063A">
        <w:t xml:space="preserve">The identification of the causative gene in CLN2 disease has allowed for an accurate diagnosis by TPP1 enzyme activity </w:t>
      </w:r>
      <w:r w:rsidR="001C5B7D" w:rsidRPr="0042063A">
        <w:t>and</w:t>
      </w:r>
      <w:r w:rsidR="00974A51" w:rsidRPr="0042063A">
        <w:t>/or</w:t>
      </w:r>
      <w:r w:rsidR="00957093" w:rsidRPr="0042063A">
        <w:t xml:space="preserve"> pathogenic mutations in the CLN2 gene, with over one hundred different mutations in the CLN2 gene reported to be pathogenic.</w:t>
      </w:r>
      <w:r w:rsidR="00AE6619" w:rsidRPr="0042063A">
        <w:t xml:space="preserve"> Specific tests for TPP1 are currently not funded by the Commonwealth. However</w:t>
      </w:r>
      <w:r w:rsidR="00790F79" w:rsidRPr="0042063A">
        <w:t xml:space="preserve"> </w:t>
      </w:r>
      <w:r w:rsidRPr="0042063A">
        <w:t xml:space="preserve">the </w:t>
      </w:r>
      <w:r w:rsidR="00790F79" w:rsidRPr="0042063A">
        <w:t xml:space="preserve">PSCR </w:t>
      </w:r>
      <w:r w:rsidR="008E356B" w:rsidRPr="0042063A">
        <w:t>confirmed</w:t>
      </w:r>
      <w:r w:rsidR="00790F79" w:rsidRPr="0042063A">
        <w:t xml:space="preserve"> that t</w:t>
      </w:r>
      <w:r w:rsidR="003F1290" w:rsidRPr="0042063A">
        <w:t xml:space="preserve">he costs for the testing of </w:t>
      </w:r>
      <w:r w:rsidR="00790F79" w:rsidRPr="0042063A">
        <w:t xml:space="preserve">TPP1 enzyme activity and </w:t>
      </w:r>
      <w:r w:rsidR="0075552D" w:rsidRPr="0042063A">
        <w:t>CLN2 genotype sequencing</w:t>
      </w:r>
      <w:r w:rsidR="003F1290" w:rsidRPr="0042063A">
        <w:t xml:space="preserve"> carried out at the National Referral Laboratory</w:t>
      </w:r>
      <w:r w:rsidR="004B680D" w:rsidRPr="0042063A">
        <w:t xml:space="preserve"> </w:t>
      </w:r>
      <w:r w:rsidR="00251417" w:rsidRPr="0042063A">
        <w:t>are</w:t>
      </w:r>
      <w:r w:rsidR="003F1290" w:rsidRPr="0042063A">
        <w:t xml:space="preserve"> </w:t>
      </w:r>
      <w:r w:rsidR="00487DCF" w:rsidRPr="0042063A">
        <w:t>met</w:t>
      </w:r>
      <w:r w:rsidR="003F1290" w:rsidRPr="0042063A">
        <w:t xml:space="preserve"> by the referring hospital laboratory.</w:t>
      </w:r>
      <w:r w:rsidR="00292839">
        <w:t xml:space="preserve"> </w:t>
      </w:r>
      <w:r w:rsidR="000012CA" w:rsidRPr="0042063A">
        <w:t xml:space="preserve">The PSCR </w:t>
      </w:r>
      <w:r w:rsidR="002716FB" w:rsidRPr="0042063A">
        <w:t>indicated that</w:t>
      </w:r>
      <w:r w:rsidR="000012CA" w:rsidRPr="0042063A">
        <w:t xml:space="preserve"> it would be appropriate for the restriction to</w:t>
      </w:r>
      <w:r w:rsidR="00E33BD3" w:rsidRPr="0042063A">
        <w:t xml:space="preserve"> </w:t>
      </w:r>
      <w:r w:rsidR="002716FB" w:rsidRPr="0042063A">
        <w:t>include criteria specifying</w:t>
      </w:r>
      <w:r w:rsidR="0075552D" w:rsidRPr="0042063A">
        <w:t xml:space="preserve"> confirmation of diagnosis by TPP1 enzyme activity testing </w:t>
      </w:r>
      <w:r w:rsidR="00484C1A">
        <w:t>and CLN2 genotype sequencing.</w:t>
      </w:r>
    </w:p>
    <w:p w:rsidR="0075552D" w:rsidRPr="0042063A" w:rsidRDefault="00A46761" w:rsidP="00800DA1">
      <w:pPr>
        <w:pStyle w:val="ListParagraph"/>
        <w:numPr>
          <w:ilvl w:val="1"/>
          <w:numId w:val="2"/>
        </w:numPr>
      </w:pPr>
      <w:r w:rsidRPr="0042063A">
        <w:t xml:space="preserve">The PSCR </w:t>
      </w:r>
      <w:r w:rsidR="001F651C" w:rsidRPr="0042063A">
        <w:t xml:space="preserve">also </w:t>
      </w:r>
      <w:r w:rsidRPr="0042063A">
        <w:t xml:space="preserve">stated it would also be appropriate for the restriction to </w:t>
      </w:r>
      <w:r w:rsidR="000F79AF" w:rsidRPr="0042063A">
        <w:t>specify that</w:t>
      </w:r>
      <w:r w:rsidR="00A44FE2" w:rsidRPr="0042063A">
        <w:t xml:space="preserve"> the patient must be treated </w:t>
      </w:r>
      <w:r w:rsidRPr="0042063A">
        <w:t>by or in conjunction with a specialist physician with expertise in the management</w:t>
      </w:r>
      <w:r w:rsidR="00484C1A">
        <w:t xml:space="preserve"> of patients with CLN2 disease.</w:t>
      </w:r>
    </w:p>
    <w:p w:rsidR="00957093" w:rsidRPr="0042063A" w:rsidRDefault="001F651C" w:rsidP="00800DA1">
      <w:pPr>
        <w:pStyle w:val="ListParagraph"/>
        <w:numPr>
          <w:ilvl w:val="1"/>
          <w:numId w:val="2"/>
        </w:numPr>
      </w:pPr>
      <w:r w:rsidRPr="0042063A">
        <w:t>Under the proposed restriction, p</w:t>
      </w:r>
      <w:r w:rsidR="00957093" w:rsidRPr="0042063A">
        <w:t>atients are eligible for continued treatment until disease progression to the point where a patient has an adapted CLN2 motor-language (ML) score of 0 for six months.</w:t>
      </w:r>
      <w:r w:rsidR="00292839">
        <w:t xml:space="preserve"> </w:t>
      </w:r>
      <w:r w:rsidR="00957093" w:rsidRPr="0042063A">
        <w:t>The ML score is a composite score from the motor and language domains of an adapted CLN2 disease rating scale, which has a total of 4 domains (motor, language, vision and seizures).</w:t>
      </w:r>
      <w:r w:rsidR="00292839">
        <w:t xml:space="preserve"> </w:t>
      </w:r>
      <w:r w:rsidR="00957093" w:rsidRPr="0042063A">
        <w:t xml:space="preserve">Each domain is scored out of </w:t>
      </w:r>
      <w:r w:rsidR="00957093" w:rsidRPr="0042063A">
        <w:lastRenderedPageBreak/>
        <w:t>3, with a maximum score of 6 possible for the ML score, which corresponds to normal motor</w:t>
      </w:r>
      <w:r w:rsidR="00691DDC" w:rsidRPr="0042063A">
        <w:t xml:space="preserve"> function</w:t>
      </w:r>
      <w:r w:rsidR="00957093" w:rsidRPr="0042063A">
        <w:t xml:space="preserve"> and language, and a minimum score of 0, which indicates the patient can no longer walk or crawl and has no intelligible words or vocalis</w:t>
      </w:r>
      <w:r w:rsidR="00800DA1" w:rsidRPr="0042063A">
        <w:t>a</w:t>
      </w:r>
      <w:r w:rsidR="00957093" w:rsidRPr="0042063A">
        <w:t>tion.</w:t>
      </w:r>
      <w:r w:rsidR="00C47B34" w:rsidRPr="0042063A">
        <w:t xml:space="preserve"> The ESC </w:t>
      </w:r>
      <w:r w:rsidR="00206262" w:rsidRPr="0042063A">
        <w:t>noted</w:t>
      </w:r>
      <w:r w:rsidR="00EE00BD" w:rsidRPr="0042063A">
        <w:t xml:space="preserve"> there was no</w:t>
      </w:r>
      <w:r w:rsidR="00173DC4" w:rsidRPr="0042063A">
        <w:t xml:space="preserve"> </w:t>
      </w:r>
      <w:r w:rsidR="00E54ECE" w:rsidRPr="0042063A">
        <w:t>specified</w:t>
      </w:r>
      <w:r w:rsidR="00CA4470" w:rsidRPr="0042063A">
        <w:t xml:space="preserve"> clinical rationale for treating </w:t>
      </w:r>
      <w:r w:rsidR="00EE00BD" w:rsidRPr="0042063A">
        <w:t xml:space="preserve">patients for an additional 6 months once patients </w:t>
      </w:r>
      <w:r w:rsidR="00852C46" w:rsidRPr="0042063A">
        <w:t xml:space="preserve">decline to an ML score of </w:t>
      </w:r>
      <w:r w:rsidR="00EE00BD" w:rsidRPr="0042063A">
        <w:t>0.</w:t>
      </w:r>
      <w:r w:rsidR="00252AF8" w:rsidRPr="0042063A">
        <w:t xml:space="preserve"> The ESC</w:t>
      </w:r>
      <w:r w:rsidR="008F73E0" w:rsidRPr="0042063A">
        <w:t xml:space="preserve"> w</w:t>
      </w:r>
      <w:r w:rsidR="00487DCF" w:rsidRPr="0042063A">
        <w:t>as</w:t>
      </w:r>
      <w:r w:rsidR="008F73E0" w:rsidRPr="0042063A">
        <w:t xml:space="preserve"> uncertain whether improvement in a patient condition and</w:t>
      </w:r>
      <w:r w:rsidR="00B226EF" w:rsidRPr="0042063A">
        <w:t xml:space="preserve"> quality of life with con</w:t>
      </w:r>
      <w:r w:rsidR="00206262" w:rsidRPr="0042063A">
        <w:t xml:space="preserve">tinued treatment once a </w:t>
      </w:r>
      <w:r w:rsidR="00852C46" w:rsidRPr="0042063A">
        <w:t>patient declines to an ML score of</w:t>
      </w:r>
      <w:r w:rsidR="00206262" w:rsidRPr="0042063A">
        <w:t xml:space="preserve"> 0 </w:t>
      </w:r>
      <w:r w:rsidR="00484C1A">
        <w:t>would be realistic.</w:t>
      </w:r>
    </w:p>
    <w:p w:rsidR="00750480" w:rsidRPr="0042063A" w:rsidRDefault="00957093" w:rsidP="00800DA1">
      <w:pPr>
        <w:pStyle w:val="ListParagraph"/>
        <w:numPr>
          <w:ilvl w:val="1"/>
          <w:numId w:val="2"/>
        </w:numPr>
      </w:pPr>
      <w:r w:rsidRPr="0042063A">
        <w:t>The requested listing is consistent with the proposed TGA listing but is broader than the clinical evidence presented.</w:t>
      </w:r>
      <w:r w:rsidR="00292839">
        <w:t xml:space="preserve"> </w:t>
      </w:r>
      <w:r w:rsidRPr="0042063A">
        <w:t xml:space="preserve">In </w:t>
      </w:r>
      <w:r w:rsidR="00800DA1" w:rsidRPr="0042063A">
        <w:t>S</w:t>
      </w:r>
      <w:r w:rsidRPr="0042063A">
        <w:t>tudy 201/202</w:t>
      </w:r>
      <w:r w:rsidR="00800DA1" w:rsidRPr="0042063A">
        <w:t xml:space="preserve"> (the primary source of evidence for the submission)</w:t>
      </w:r>
      <w:r w:rsidRPr="0042063A">
        <w:t>, only patients with stable seizure</w:t>
      </w:r>
      <w:r w:rsidR="00862DA8" w:rsidRPr="0042063A">
        <w:t>s</w:t>
      </w:r>
      <w:r w:rsidRPr="0042063A">
        <w:t>, and either asymptomatic or only have early-moderate symptoms (ML score of 3-6 at baseline) aged between 3-15 years were included</w:t>
      </w:r>
      <w:r w:rsidR="005457AE" w:rsidRPr="0042063A">
        <w:t xml:space="preserve"> in the study</w:t>
      </w:r>
      <w:r w:rsidRPr="0042063A">
        <w:t xml:space="preserve"> and were treated with cerliponase alfa.</w:t>
      </w:r>
      <w:r w:rsidR="00AB4AC9" w:rsidRPr="0042063A">
        <w:t xml:space="preserve"> The PSCR</w:t>
      </w:r>
      <w:r w:rsidR="006266CC" w:rsidRPr="0042063A">
        <w:t xml:space="preserve"> argued that at the time that patients commenced treatment with cerliponase alfa in Study 201/202, </w:t>
      </w:r>
      <w:r w:rsidR="00F35297" w:rsidRPr="0042063A">
        <w:t>the trial population was</w:t>
      </w:r>
      <w:r w:rsidR="006266CC" w:rsidRPr="0042063A">
        <w:t xml:space="preserve"> reflective of the patient population in Australia as two patients declined to an ML score of 2 and one patient declined to an ML score of 1.</w:t>
      </w:r>
      <w:r w:rsidR="00F35297" w:rsidRPr="0042063A">
        <w:t xml:space="preserve"> The PSCR also noted that the </w:t>
      </w:r>
      <w:r w:rsidR="008D4094" w:rsidRPr="0042063A">
        <w:t>inclusion criteria for Study 201/202</w:t>
      </w:r>
      <w:r w:rsidR="00F35297" w:rsidRPr="0042063A">
        <w:t xml:space="preserve"> for patients to have stable seizures</w:t>
      </w:r>
      <w:r w:rsidR="00B33CC2" w:rsidRPr="0042063A">
        <w:t xml:space="preserve"> was unlikely to have restricted the population as all patients with a diagnosis of CLN2 disease at screening were included in the main study phase. The PSCR further argued that </w:t>
      </w:r>
      <w:r w:rsidR="00ED681D" w:rsidRPr="0042063A">
        <w:t xml:space="preserve">while Study 201/202 only enrolled patients between 3-15 years, </w:t>
      </w:r>
      <w:r w:rsidR="00E86885" w:rsidRPr="0042063A">
        <w:t xml:space="preserve">and the mean age at diagnosis in Australia is unknown, it was unlikely that patients would be diagnosed prior to the age of 3 given that the mean time from first symptom onset to diagnosis is between 2 to 3 years. </w:t>
      </w:r>
      <w:r w:rsidR="003F6E01" w:rsidRPr="0042063A">
        <w:t>The ESC noted it was currently not possible to compare the Australian patient population</w:t>
      </w:r>
      <w:r w:rsidR="00B75DFC" w:rsidRPr="0042063A">
        <w:t xml:space="preserve"> with that of Study 201/202 or Study 901</w:t>
      </w:r>
      <w:r w:rsidR="003F6E01" w:rsidRPr="0042063A">
        <w:t xml:space="preserve"> as formal ML scoring is not currently used in A</w:t>
      </w:r>
      <w:r w:rsidR="00B75DFC" w:rsidRPr="0042063A">
        <w:t>ustralian clinical practice.</w:t>
      </w:r>
    </w:p>
    <w:p w:rsidR="00B6250B" w:rsidRPr="0042063A" w:rsidRDefault="00750480" w:rsidP="00800DA1">
      <w:pPr>
        <w:pStyle w:val="ListParagraph"/>
        <w:numPr>
          <w:ilvl w:val="1"/>
          <w:numId w:val="2"/>
        </w:numPr>
      </w:pPr>
      <w:r w:rsidRPr="0042063A">
        <w:t>The ESC w</w:t>
      </w:r>
      <w:r w:rsidR="00487DCF" w:rsidRPr="0042063A">
        <w:t>as</w:t>
      </w:r>
      <w:r w:rsidRPr="0042063A">
        <w:t xml:space="preserve"> uncertain whether all patients with CLN2 disease would benefit equally from treatment with cerliponase alfa given the burden of treatment (i.e requires ICV device) and severity of the disease particularly at</w:t>
      </w:r>
      <w:r w:rsidR="00484C1A">
        <w:t xml:space="preserve"> the lower end of the ML scale.</w:t>
      </w:r>
    </w:p>
    <w:p w:rsidR="00257256" w:rsidRPr="0042063A" w:rsidRDefault="00257256" w:rsidP="00257256">
      <w:pPr>
        <w:pStyle w:val="ListParagraph"/>
        <w:numPr>
          <w:ilvl w:val="1"/>
          <w:numId w:val="2"/>
        </w:numPr>
      </w:pPr>
      <w:r w:rsidRPr="0042063A">
        <w:rPr>
          <w:color w:val="000000" w:themeColor="text1"/>
        </w:rPr>
        <w:t xml:space="preserve">The PSCR stated there was currently no specific access program for cerliponase alfa in Australia. </w:t>
      </w:r>
    </w:p>
    <w:p w:rsidR="00957093" w:rsidRPr="0042063A" w:rsidRDefault="00B6250B" w:rsidP="00B6250B">
      <w:pPr>
        <w:pStyle w:val="ListParagraph"/>
        <w:ind w:left="576"/>
      </w:pPr>
      <w:r w:rsidRPr="008E356B">
        <w:rPr>
          <w:rFonts w:ascii="Calibri" w:eastAsia="Times New Roman" w:hAnsi="Calibri" w:cs="Times New Roman"/>
          <w:i/>
          <w:szCs w:val="24"/>
        </w:rPr>
        <w:t>For more detail on PBAC’s view, see section 7 PBAC outcome.</w:t>
      </w:r>
    </w:p>
    <w:p w:rsidR="00957093" w:rsidRPr="0042063A" w:rsidRDefault="00957093" w:rsidP="00750DE5">
      <w:pPr>
        <w:pStyle w:val="Heading1"/>
        <w:tabs>
          <w:tab w:val="left" w:pos="567"/>
        </w:tabs>
        <w:ind w:left="709" w:hanging="709"/>
        <w:jc w:val="left"/>
      </w:pPr>
      <w:bookmarkStart w:id="6" w:name="_Toc413139273"/>
      <w:bookmarkStart w:id="7" w:name="_Toc514241619"/>
      <w:r w:rsidRPr="0042063A">
        <w:t>Background</w:t>
      </w:r>
      <w:bookmarkEnd w:id="6"/>
      <w:bookmarkEnd w:id="7"/>
    </w:p>
    <w:p w:rsidR="00957093" w:rsidRPr="0042063A" w:rsidRDefault="00957093" w:rsidP="00957093">
      <w:pPr>
        <w:pStyle w:val="Heading2"/>
      </w:pPr>
      <w:bookmarkStart w:id="8" w:name="_Toc514241620"/>
      <w:r w:rsidRPr="0042063A">
        <w:t>Registration status</w:t>
      </w:r>
      <w:bookmarkEnd w:id="8"/>
    </w:p>
    <w:p w:rsidR="00957093" w:rsidRPr="0042063A" w:rsidRDefault="002952F6" w:rsidP="00800DA1">
      <w:pPr>
        <w:pStyle w:val="ListParagraph"/>
        <w:numPr>
          <w:ilvl w:val="1"/>
          <w:numId w:val="2"/>
        </w:numPr>
      </w:pPr>
      <w:r w:rsidRPr="008E356B">
        <w:rPr>
          <w:rFonts w:ascii="Calibri" w:eastAsia="Calibri" w:hAnsi="Calibri"/>
          <w:b/>
        </w:rPr>
        <w:t xml:space="preserve">TGA status at time of </w:t>
      </w:r>
      <w:r w:rsidR="008E356B">
        <w:rPr>
          <w:rFonts w:ascii="Calibri" w:eastAsia="Calibri" w:hAnsi="Calibri"/>
          <w:b/>
        </w:rPr>
        <w:t>PBAC</w:t>
      </w:r>
      <w:r w:rsidR="008E356B" w:rsidRPr="008E356B">
        <w:rPr>
          <w:rFonts w:ascii="Calibri" w:eastAsia="Calibri" w:hAnsi="Calibri"/>
          <w:b/>
        </w:rPr>
        <w:t xml:space="preserve"> </w:t>
      </w:r>
      <w:r w:rsidRPr="008E356B">
        <w:rPr>
          <w:rFonts w:ascii="Calibri" w:eastAsia="Calibri" w:hAnsi="Calibri"/>
          <w:b/>
        </w:rPr>
        <w:t>advice</w:t>
      </w:r>
      <w:r w:rsidRPr="008E356B">
        <w:rPr>
          <w:rFonts w:ascii="Calibri" w:eastAsia="Calibri" w:hAnsi="Calibri"/>
        </w:rPr>
        <w:t xml:space="preserve">: </w:t>
      </w:r>
      <w:r w:rsidR="00957093" w:rsidRPr="0042063A">
        <w:t>TGA status: – Cerliponase alfa was submitted under the parallel process.</w:t>
      </w:r>
      <w:r w:rsidR="00292839">
        <w:t xml:space="preserve"> </w:t>
      </w:r>
      <w:r w:rsidR="00957093" w:rsidRPr="0042063A">
        <w:t xml:space="preserve">The TGA delegate’s overview </w:t>
      </w:r>
      <w:r w:rsidR="00257256" w:rsidRPr="0042063A">
        <w:t>was</w:t>
      </w:r>
      <w:r w:rsidR="00957093" w:rsidRPr="0042063A">
        <w:t xml:space="preserve"> expected by the end of June 2018.</w:t>
      </w:r>
      <w:r w:rsidR="00292839">
        <w:t xml:space="preserve"> </w:t>
      </w:r>
      <w:r w:rsidR="00957093" w:rsidRPr="0042063A">
        <w:t xml:space="preserve">The proposed TGA indication is: “Brineura is indicated for the treatment of neuronal ceroid lipofuscinosis type 2 (CLN2) </w:t>
      </w:r>
      <w:proofErr w:type="gramStart"/>
      <w:r w:rsidR="00957093" w:rsidRPr="0042063A">
        <w:t>disease</w:t>
      </w:r>
      <w:proofErr w:type="gramEnd"/>
      <w:r w:rsidR="00957093" w:rsidRPr="0042063A">
        <w:t>, also known as tripeptidyl peptidase 1 (TPP1) deficiency.”</w:t>
      </w:r>
      <w:r w:rsidR="00292839">
        <w:t xml:space="preserve"> </w:t>
      </w:r>
      <w:r w:rsidR="00957093" w:rsidRPr="0042063A">
        <w:t xml:space="preserve">Cerliponase alfa was granted orphan drug status by </w:t>
      </w:r>
      <w:r w:rsidR="00957093" w:rsidRPr="0042063A">
        <w:lastRenderedPageBreak/>
        <w:t xml:space="preserve">the TGA (effective date 8 November 2017, lapse date 8 August </w:t>
      </w:r>
      <w:r w:rsidR="00D756D7">
        <w:t xml:space="preserve">2018) for the same indication. </w:t>
      </w:r>
    </w:p>
    <w:p w:rsidR="00957093" w:rsidRPr="0042063A" w:rsidRDefault="00957093" w:rsidP="008E356B">
      <w:pPr>
        <w:pStyle w:val="Heading1"/>
        <w:tabs>
          <w:tab w:val="left" w:pos="567"/>
        </w:tabs>
        <w:ind w:left="709" w:hanging="709"/>
        <w:jc w:val="left"/>
      </w:pPr>
      <w:bookmarkStart w:id="9" w:name="_Toc514241621"/>
      <w:r w:rsidRPr="0042063A">
        <w:t>Population and disease</w:t>
      </w:r>
      <w:bookmarkEnd w:id="9"/>
    </w:p>
    <w:p w:rsidR="00957093" w:rsidRPr="0042063A" w:rsidRDefault="0042063A" w:rsidP="008E356B">
      <w:pPr>
        <w:ind w:left="576" w:hanging="576"/>
      </w:pPr>
      <w:r>
        <w:t>4.1</w:t>
      </w:r>
      <w:r>
        <w:tab/>
      </w:r>
      <w:r w:rsidR="00957093" w:rsidRPr="0042063A">
        <w:t>CLN2 disease is a rare (35 reported cases in Australia between 2000-2016, corresponding to an incidence of 1:135,000 live births) type of neuronal ceroid lip</w:t>
      </w:r>
      <w:r w:rsidR="00075E79" w:rsidRPr="0042063A">
        <w:t>o</w:t>
      </w:r>
      <w:r w:rsidR="00957093" w:rsidRPr="0042063A">
        <w:t>fuscinosis (NCL) caused by mutation in the CLN2 gene which leads to deficient activity of the enzyme TPP1.</w:t>
      </w:r>
      <w:r w:rsidR="00292839">
        <w:t xml:space="preserve"> </w:t>
      </w:r>
      <w:r w:rsidR="00957093" w:rsidRPr="0042063A">
        <w:t xml:space="preserve">CLN2 is a neurodegenerative disease with seizures usually </w:t>
      </w:r>
      <w:r w:rsidR="00800DA1" w:rsidRPr="0042063A">
        <w:t xml:space="preserve">being </w:t>
      </w:r>
      <w:r w:rsidR="00957093" w:rsidRPr="0042063A">
        <w:t>the first symptom, followed by rapid loss of learned language over 2.5 years and loss of motor function.</w:t>
      </w:r>
      <w:r w:rsidR="00292839">
        <w:t xml:space="preserve"> </w:t>
      </w:r>
      <w:r w:rsidR="00957093" w:rsidRPr="0042063A">
        <w:t xml:space="preserve">Myoclonus/abnormal movements </w:t>
      </w:r>
      <w:r w:rsidR="00800DA1" w:rsidRPr="0042063A">
        <w:t xml:space="preserve">and loss of vision </w:t>
      </w:r>
      <w:r w:rsidR="00957093" w:rsidRPr="0042063A">
        <w:t>develop.</w:t>
      </w:r>
      <w:r w:rsidR="00292839">
        <w:t xml:space="preserve"> </w:t>
      </w:r>
      <w:r w:rsidR="00957093" w:rsidRPr="0042063A">
        <w:t>Patients eventually become blind, unable to walk or communicate and will have respiratory and feeding problems.</w:t>
      </w:r>
      <w:r w:rsidR="00292839">
        <w:t xml:space="preserve"> </w:t>
      </w:r>
      <w:r w:rsidR="00957093" w:rsidRPr="0042063A">
        <w:t>Death due to respiratory failure is likely to eventuate and the average age of death for CLN2 patients is between 8-12 years.</w:t>
      </w:r>
      <w:r w:rsidR="00292839">
        <w:t xml:space="preserve"> </w:t>
      </w:r>
    </w:p>
    <w:p w:rsidR="00957093" w:rsidRPr="0042063A" w:rsidRDefault="00957093" w:rsidP="00750DE5">
      <w:pPr>
        <w:pStyle w:val="Heading1"/>
        <w:tabs>
          <w:tab w:val="left" w:pos="567"/>
        </w:tabs>
        <w:ind w:left="709" w:hanging="709"/>
        <w:jc w:val="left"/>
      </w:pPr>
      <w:bookmarkStart w:id="10" w:name="_Toc413139275"/>
      <w:bookmarkStart w:id="11" w:name="_Toc514241622"/>
      <w:r w:rsidRPr="0042063A">
        <w:t>Comparator</w:t>
      </w:r>
      <w:bookmarkEnd w:id="10"/>
      <w:bookmarkEnd w:id="11"/>
    </w:p>
    <w:p w:rsidR="00957093" w:rsidRPr="0042063A" w:rsidRDefault="00957093" w:rsidP="002F525A">
      <w:pPr>
        <w:pStyle w:val="ListParagraph"/>
        <w:numPr>
          <w:ilvl w:val="1"/>
          <w:numId w:val="2"/>
        </w:numPr>
        <w:rPr>
          <w:lang w:val="en-GB"/>
        </w:rPr>
      </w:pPr>
      <w:r w:rsidRPr="0042063A">
        <w:t>The nominated comparator was standard care only.</w:t>
      </w:r>
      <w:r w:rsidR="00292839">
        <w:t xml:space="preserve"> </w:t>
      </w:r>
      <w:r w:rsidRPr="0042063A">
        <w:t>The main argument provided in support of this nomination was that there are no disease-modifying treatments for CLN2 disease in Australia.</w:t>
      </w:r>
      <w:r w:rsidR="00292839">
        <w:t xml:space="preserve"> </w:t>
      </w:r>
      <w:r w:rsidRPr="0042063A">
        <w:t>This is reasonable.</w:t>
      </w:r>
      <w:r w:rsidR="00292839">
        <w:t xml:space="preserve"> </w:t>
      </w:r>
    </w:p>
    <w:p w:rsidR="00957093" w:rsidRPr="0042063A" w:rsidRDefault="00957093" w:rsidP="00750DE5">
      <w:pPr>
        <w:pStyle w:val="Heading1"/>
        <w:tabs>
          <w:tab w:val="left" w:pos="567"/>
        </w:tabs>
        <w:ind w:left="709" w:hanging="709"/>
        <w:jc w:val="left"/>
      </w:pPr>
      <w:bookmarkStart w:id="12" w:name="_Toc413139276"/>
      <w:bookmarkStart w:id="13" w:name="_Toc514241623"/>
      <w:r w:rsidRPr="0042063A">
        <w:t>Consideration of the evidence</w:t>
      </w:r>
      <w:bookmarkEnd w:id="12"/>
      <w:bookmarkEnd w:id="13"/>
    </w:p>
    <w:p w:rsidR="00FC6E33" w:rsidRPr="0042063A" w:rsidRDefault="00FC6E33" w:rsidP="00FC6E33">
      <w:pPr>
        <w:pStyle w:val="Heading2"/>
      </w:pPr>
      <w:r w:rsidRPr="0042063A">
        <w:t xml:space="preserve">Sponsor hearing </w:t>
      </w:r>
    </w:p>
    <w:p w:rsidR="00257256" w:rsidRPr="0042063A" w:rsidRDefault="00C2436F" w:rsidP="00D04D8A">
      <w:pPr>
        <w:pStyle w:val="ListParagraph"/>
        <w:numPr>
          <w:ilvl w:val="1"/>
          <w:numId w:val="2"/>
        </w:numPr>
      </w:pPr>
      <w:r w:rsidRPr="0042063A">
        <w:t xml:space="preserve">The </w:t>
      </w:r>
      <w:r w:rsidR="00975C5D" w:rsidRPr="0042063A">
        <w:t xml:space="preserve">sponsor requested a hearing for this item. The clinician </w:t>
      </w:r>
      <w:r w:rsidR="001B7DC0" w:rsidRPr="0042063A">
        <w:t xml:space="preserve">presented an overview of the natural history of CLN2 disease and </w:t>
      </w:r>
      <w:r w:rsidR="00B52898" w:rsidRPr="0042063A">
        <w:t xml:space="preserve">the diagnostic pathway and affirmed that both the TPP1 enzyme activity test </w:t>
      </w:r>
      <w:r w:rsidR="00A875E1" w:rsidRPr="0042063A">
        <w:t>and CLN2</w:t>
      </w:r>
      <w:r w:rsidR="00B52898" w:rsidRPr="0042063A">
        <w:t xml:space="preserve"> gene mutational analysis are required to confirm a diagnosis of CLN2 disease.</w:t>
      </w:r>
      <w:r w:rsidR="0078224E" w:rsidRPr="0042063A">
        <w:t xml:space="preserve"> In relation to disease prognosis, the clinician indicated there was limited variability apart from a small amount of heterogeneity in age of presentation which affects time of death (i.e. earlier onset is associated with an earlier age of death).</w:t>
      </w:r>
      <w:r w:rsidR="00B52898" w:rsidRPr="0042063A">
        <w:t xml:space="preserve"> </w:t>
      </w:r>
      <w:r w:rsidR="00CF12B9" w:rsidRPr="0042063A">
        <w:t>The clinician discussed the</w:t>
      </w:r>
      <w:r w:rsidR="002E1CB6" w:rsidRPr="0042063A">
        <w:t xml:space="preserve"> effect of treatment with cerliponase alfa in the context of the trial evidence from Study 201/202</w:t>
      </w:r>
      <w:r w:rsidR="00775D3D" w:rsidRPr="0042063A">
        <w:t xml:space="preserve">, and highlighted that 87% of patients in the trial were classified as responders. </w:t>
      </w:r>
    </w:p>
    <w:p w:rsidR="00257256" w:rsidRPr="0042063A" w:rsidRDefault="00775D3D" w:rsidP="00D04D8A">
      <w:pPr>
        <w:pStyle w:val="ListParagraph"/>
        <w:numPr>
          <w:ilvl w:val="1"/>
          <w:numId w:val="2"/>
        </w:numPr>
      </w:pPr>
      <w:r w:rsidRPr="0042063A">
        <w:t>Preliminary long term data which had not been included in the submission was also presented as evidence of the long term efficacy of cerliponase alfa.</w:t>
      </w:r>
      <w:r w:rsidR="000E2669" w:rsidRPr="0042063A">
        <w:t xml:space="preserve"> On the basis of this data, the clinician claimed that cerliponase alfa halts the progression of CLN2 disease.</w:t>
      </w:r>
      <w:r w:rsidRPr="0042063A">
        <w:t xml:space="preserve"> </w:t>
      </w:r>
      <w:r w:rsidR="00273D44" w:rsidRPr="0042063A">
        <w:t xml:space="preserve">In support of the assumption in the submission that patients die from CLN2 disease only when patients decline to an ML score of 0, </w:t>
      </w:r>
      <w:r w:rsidR="00DE42AB" w:rsidRPr="0042063A">
        <w:t xml:space="preserve">the clinician noted that for most patients in the natural history </w:t>
      </w:r>
      <w:r w:rsidR="006536BE" w:rsidRPr="0042063A">
        <w:t>cohort (</w:t>
      </w:r>
      <w:r w:rsidR="00DE42AB" w:rsidRPr="0042063A">
        <w:t>Study 901), the last ML score o</w:t>
      </w:r>
      <w:r w:rsidR="007F658F" w:rsidRPr="0042063A">
        <w:t>n or known prior to death was 0. The</w:t>
      </w:r>
      <w:r w:rsidR="00F22D09" w:rsidRPr="0042063A">
        <w:t xml:space="preserve"> clinician</w:t>
      </w:r>
      <w:r w:rsidR="007F658F" w:rsidRPr="0042063A">
        <w:t xml:space="preserve"> </w:t>
      </w:r>
      <w:r w:rsidR="000F3069" w:rsidRPr="0042063A">
        <w:t>indicated</w:t>
      </w:r>
      <w:r w:rsidR="008D6FF1" w:rsidRPr="0042063A">
        <w:t xml:space="preserve"> that the benefits which </w:t>
      </w:r>
      <w:r w:rsidR="007F658F" w:rsidRPr="0042063A">
        <w:t>patients value most</w:t>
      </w:r>
      <w:r w:rsidR="00B42CCF" w:rsidRPr="0042063A">
        <w:t xml:space="preserve"> from a treatment for CLN2 disease</w:t>
      </w:r>
      <w:r w:rsidR="007F658F" w:rsidRPr="0042063A">
        <w:t xml:space="preserve"> were </w:t>
      </w:r>
      <w:r w:rsidR="000F3069" w:rsidRPr="0042063A">
        <w:t>the control of seizures</w:t>
      </w:r>
      <w:r w:rsidR="00995B73" w:rsidRPr="0042063A">
        <w:t xml:space="preserve">, </w:t>
      </w:r>
      <w:r w:rsidR="000F3069" w:rsidRPr="0042063A">
        <w:t>preservation of vision and motor function.</w:t>
      </w:r>
      <w:r w:rsidR="00446CAF" w:rsidRPr="0042063A">
        <w:t xml:space="preserve"> </w:t>
      </w:r>
    </w:p>
    <w:p w:rsidR="00D04D8A" w:rsidRPr="0042063A" w:rsidRDefault="00D13CEE" w:rsidP="00D04D8A">
      <w:pPr>
        <w:pStyle w:val="ListParagraph"/>
        <w:numPr>
          <w:ilvl w:val="1"/>
          <w:numId w:val="2"/>
        </w:numPr>
      </w:pPr>
      <w:r w:rsidRPr="0042063A">
        <w:lastRenderedPageBreak/>
        <w:t xml:space="preserve">The clinician indicated that given the severity and rarity of the disease, there is unlikely to be a large undiagnosed population with CLN2 disease. </w:t>
      </w:r>
      <w:r w:rsidR="00D24B69" w:rsidRPr="0042063A">
        <w:t xml:space="preserve">The PBAC considered the hearing was informative as it provided a clinical perspective of the diagnosis </w:t>
      </w:r>
      <w:r w:rsidR="0046028B" w:rsidRPr="0042063A">
        <w:t>of CLN2 and the disease course.</w:t>
      </w:r>
      <w:r w:rsidR="00292839">
        <w:t xml:space="preserve"> </w:t>
      </w:r>
    </w:p>
    <w:p w:rsidR="00257256" w:rsidRPr="0042063A" w:rsidRDefault="00257256" w:rsidP="00D04D8A">
      <w:pPr>
        <w:pStyle w:val="ListParagraph"/>
        <w:numPr>
          <w:ilvl w:val="1"/>
          <w:numId w:val="2"/>
        </w:numPr>
      </w:pPr>
      <w:r w:rsidRPr="0042063A">
        <w:t xml:space="preserve">The PBAC noted that there </w:t>
      </w:r>
      <w:r w:rsidR="006615F3">
        <w:t>were</w:t>
      </w:r>
      <w:r w:rsidR="006615F3" w:rsidRPr="0042063A">
        <w:t xml:space="preserve"> </w:t>
      </w:r>
      <w:r w:rsidRPr="0042063A">
        <w:t xml:space="preserve">approximately </w:t>
      </w:r>
      <w:r w:rsidR="006E2381">
        <w:rPr>
          <w:noProof/>
          <w:color w:val="000000"/>
          <w:highlight w:val="black"/>
        </w:rPr>
        <w:t>''''''</w:t>
      </w:r>
      <w:r w:rsidRPr="0042063A">
        <w:t xml:space="preserve"> patients globally with CLN2 disease receiving </w:t>
      </w:r>
      <w:r w:rsidR="002F63D1">
        <w:t>treatment</w:t>
      </w:r>
      <w:r w:rsidRPr="0042063A">
        <w:t xml:space="preserve"> though there was no specific compassionate access program for Australian patients.</w:t>
      </w:r>
    </w:p>
    <w:p w:rsidR="00FC6E33" w:rsidRPr="0042063A" w:rsidRDefault="00FC6E33" w:rsidP="00FC6E33">
      <w:pPr>
        <w:pStyle w:val="Heading2"/>
      </w:pPr>
      <w:r w:rsidRPr="0042063A">
        <w:t xml:space="preserve">Consumer comments </w:t>
      </w:r>
    </w:p>
    <w:p w:rsidR="008752A3" w:rsidRPr="0042063A" w:rsidRDefault="008752A3" w:rsidP="008752A3">
      <w:pPr>
        <w:pStyle w:val="ListParagraph"/>
        <w:numPr>
          <w:ilvl w:val="1"/>
          <w:numId w:val="2"/>
        </w:numPr>
      </w:pPr>
      <w:r w:rsidRPr="0042063A">
        <w:t xml:space="preserve">The PBAC noted and welcomed the input from individuals (446), health professionals (11) and organisations (2) via the Consumer Comments facility on the PBS website. The comments described the rapid progression, debilitating symptoms and significant </w:t>
      </w:r>
      <w:r w:rsidR="0051045D" w:rsidRPr="0042063A">
        <w:t>burden</w:t>
      </w:r>
      <w:r w:rsidRPr="0042063A">
        <w:t xml:space="preserve"> of CLN2 disease on the patient and family and emphasised that there are currently no other treatment options for these patients. The comments also described the benefits </w:t>
      </w:r>
      <w:r w:rsidR="00446434" w:rsidRPr="0042063A">
        <w:t>of treatment in</w:t>
      </w:r>
      <w:r w:rsidRPr="0042063A">
        <w:t xml:space="preserve"> children currently receiving </w:t>
      </w:r>
      <w:r w:rsidR="00446434" w:rsidRPr="0042063A">
        <w:t>cerliponase alfa</w:t>
      </w:r>
      <w:r w:rsidRPr="0042063A">
        <w:t xml:space="preserve"> </w:t>
      </w:r>
      <w:r w:rsidR="00B666FF" w:rsidRPr="0042063A">
        <w:t>including reduction of seizures</w:t>
      </w:r>
      <w:r w:rsidR="00CD7C96" w:rsidRPr="0042063A">
        <w:t xml:space="preserve"> and maintenance of mobility and speech functions. </w:t>
      </w:r>
    </w:p>
    <w:p w:rsidR="00D04D8A" w:rsidRPr="0042063A" w:rsidRDefault="00CD7C96" w:rsidP="009C4846">
      <w:pPr>
        <w:pStyle w:val="ListParagraph"/>
        <w:numPr>
          <w:ilvl w:val="1"/>
          <w:numId w:val="2"/>
        </w:numPr>
      </w:pPr>
      <w:r w:rsidRPr="0042063A">
        <w:t xml:space="preserve">Batten Disease Support and Research Association (BDSRA) Australia and BDSRA North America </w:t>
      </w:r>
      <w:r w:rsidR="00C07F79" w:rsidRPr="0042063A">
        <w:t xml:space="preserve">expressed </w:t>
      </w:r>
      <w:r w:rsidR="00AC3CB2" w:rsidRPr="0042063A">
        <w:t xml:space="preserve">their </w:t>
      </w:r>
      <w:r w:rsidR="00C07F79" w:rsidRPr="0042063A">
        <w:t xml:space="preserve">strong support for the </w:t>
      </w:r>
      <w:r w:rsidR="00245F89" w:rsidRPr="0042063A">
        <w:t xml:space="preserve">subsidisation of cerliponase alfa and </w:t>
      </w:r>
      <w:r w:rsidR="00ED7CF3" w:rsidRPr="0042063A">
        <w:t xml:space="preserve">indicated </w:t>
      </w:r>
      <w:r w:rsidR="00245F89" w:rsidRPr="0042063A">
        <w:t>the i</w:t>
      </w:r>
      <w:r w:rsidR="0051045D" w:rsidRPr="0042063A">
        <w:t>mportance of access to this treatment for</w:t>
      </w:r>
      <w:r w:rsidR="00245F89" w:rsidRPr="0042063A">
        <w:t xml:space="preserve"> families of patients diagnosed with CLN2 disease r</w:t>
      </w:r>
      <w:r w:rsidR="0051045D" w:rsidRPr="0042063A">
        <w:t>egardless of whether the treatment</w:t>
      </w:r>
      <w:r w:rsidR="00A51D58" w:rsidRPr="0042063A">
        <w:t xml:space="preserve"> </w:t>
      </w:r>
      <w:r w:rsidR="0051045D" w:rsidRPr="0042063A">
        <w:t>is curative. BDSRA Australia</w:t>
      </w:r>
      <w:r w:rsidR="00825B8A" w:rsidRPr="0042063A">
        <w:t xml:space="preserve"> p</w:t>
      </w:r>
      <w:r w:rsidR="00ED7CF3" w:rsidRPr="0042063A">
        <w:t>r</w:t>
      </w:r>
      <w:r w:rsidR="009C4846" w:rsidRPr="0042063A">
        <w:t xml:space="preserve">esented several narratives about the management of CLN2 disease </w:t>
      </w:r>
      <w:r w:rsidR="00D62FEB" w:rsidRPr="0042063A">
        <w:t xml:space="preserve">from families of children with CLN2 disease </w:t>
      </w:r>
      <w:r w:rsidR="009C4846" w:rsidRPr="0042063A">
        <w:t>with and without access to treatment to cerliponase alfa to highlight the positive impact that treatment could have on patients and their families.</w:t>
      </w:r>
      <w:r w:rsidR="00292839">
        <w:t xml:space="preserve"> </w:t>
      </w:r>
    </w:p>
    <w:p w:rsidR="00957093" w:rsidRPr="0042063A" w:rsidRDefault="00957093" w:rsidP="00957093">
      <w:pPr>
        <w:pStyle w:val="Heading2"/>
      </w:pPr>
      <w:bookmarkStart w:id="14" w:name="_Toc413139277"/>
      <w:bookmarkStart w:id="15" w:name="_Toc514241624"/>
      <w:r w:rsidRPr="0042063A">
        <w:t>Clinical trials</w:t>
      </w:r>
      <w:bookmarkEnd w:id="14"/>
      <w:bookmarkEnd w:id="15"/>
    </w:p>
    <w:p w:rsidR="00957093" w:rsidRPr="0042063A" w:rsidRDefault="00957093" w:rsidP="002F525A">
      <w:pPr>
        <w:pStyle w:val="ListParagraph"/>
        <w:numPr>
          <w:ilvl w:val="1"/>
          <w:numId w:val="2"/>
        </w:numPr>
      </w:pPr>
      <w:r w:rsidRPr="0042063A">
        <w:t xml:space="preserve">The submission is based on a 1:1 matched comparison of two single arm studies: </w:t>
      </w:r>
      <w:r w:rsidR="002F525A" w:rsidRPr="0042063A">
        <w:t>S</w:t>
      </w:r>
      <w:r w:rsidRPr="0042063A">
        <w:t xml:space="preserve">tudy 201 (and the extension </w:t>
      </w:r>
      <w:r w:rsidR="002F525A" w:rsidRPr="0042063A">
        <w:t>S</w:t>
      </w:r>
      <w:r w:rsidRPr="0042063A">
        <w:t xml:space="preserve">tudy 202, referred to as </w:t>
      </w:r>
      <w:r w:rsidR="002F525A" w:rsidRPr="0042063A">
        <w:t>S</w:t>
      </w:r>
      <w:r w:rsidRPr="0042063A">
        <w:t xml:space="preserve">tudy 201/202 herein) (n=24) and </w:t>
      </w:r>
      <w:r w:rsidR="002F525A" w:rsidRPr="0042063A">
        <w:t>S</w:t>
      </w:r>
      <w:r w:rsidRPr="0042063A">
        <w:t>tudy 901 (n=49).</w:t>
      </w:r>
      <w:r w:rsidR="00292839">
        <w:t xml:space="preserve"> </w:t>
      </w:r>
    </w:p>
    <w:p w:rsidR="00957093" w:rsidRPr="0042063A" w:rsidRDefault="00957093" w:rsidP="002F525A">
      <w:pPr>
        <w:pStyle w:val="ListParagraph"/>
        <w:numPr>
          <w:ilvl w:val="1"/>
          <w:numId w:val="2"/>
        </w:numPr>
      </w:pPr>
      <w:r w:rsidRPr="0042063A">
        <w:t>Study 201/202 enrolled and treated 24 patients with early to moderate symptoms (ML score 3-6) and aged between 3-</w:t>
      </w:r>
      <w:r w:rsidR="00922B9F" w:rsidRPr="0042063A">
        <w:t>8</w:t>
      </w:r>
      <w:r w:rsidRPr="0042063A">
        <w:t xml:space="preserve"> years with cerliponase alfa.</w:t>
      </w:r>
      <w:r w:rsidR="00292839">
        <w:t xml:space="preserve"> </w:t>
      </w:r>
      <w:r w:rsidRPr="0042063A">
        <w:t xml:space="preserve">Four different dosage regimens were used during initiation but the same maintenance dose of 300mg fortnightly was used in all patients in </w:t>
      </w:r>
      <w:r w:rsidR="002F525A" w:rsidRPr="0042063A">
        <w:t>S</w:t>
      </w:r>
      <w:r w:rsidRPr="0042063A">
        <w:t>tudy 201/202.</w:t>
      </w:r>
      <w:r w:rsidR="00292839">
        <w:t xml:space="preserve"> </w:t>
      </w:r>
      <w:r w:rsidRPr="0042063A">
        <w:t xml:space="preserve">Patients enrolled in </w:t>
      </w:r>
      <w:r w:rsidR="002F525A" w:rsidRPr="0042063A">
        <w:t>S</w:t>
      </w:r>
      <w:r w:rsidRPr="0042063A">
        <w:t>tudy 201/202 were assessed using an adapted CLN2 disease rating scale, with the motor-language (ML) domains used to measure the primary outcome (number of patients who experience fewer than 2 points decline on the ML score from baseline in 48 weeks).</w:t>
      </w:r>
      <w:r w:rsidR="00292839">
        <w:t xml:space="preserve"> </w:t>
      </w:r>
    </w:p>
    <w:p w:rsidR="00957093" w:rsidRPr="0042063A" w:rsidRDefault="00957093" w:rsidP="002F525A">
      <w:pPr>
        <w:pStyle w:val="ListParagraph"/>
        <w:numPr>
          <w:ilvl w:val="1"/>
          <w:numId w:val="2"/>
        </w:numPr>
      </w:pPr>
      <w:r w:rsidRPr="0042063A">
        <w:t>Study 901 was a longitudinal quantitative clinical registry for patients with CLN2 which has expanded over time.</w:t>
      </w:r>
      <w:r w:rsidR="00292839">
        <w:t xml:space="preserve"> </w:t>
      </w:r>
      <w:r w:rsidRPr="0042063A">
        <w:t>In 2015, the original study contained data from patients in two large cohorts in Hamburg, Germany (n=</w:t>
      </w:r>
      <w:r w:rsidR="006E2381">
        <w:rPr>
          <w:rFonts w:ascii="Calibri" w:eastAsia="Calibri" w:hAnsi="Calibri" w:cs="Arial"/>
          <w:noProof/>
          <w:color w:val="000000"/>
          <w:highlight w:val="black"/>
        </w:rPr>
        <w:t>'''''</w:t>
      </w:r>
      <w:r w:rsidRPr="0042063A">
        <w:t>) and the Weill Cornell Medical College in New York, US (n=</w:t>
      </w:r>
      <w:r w:rsidR="006E2381">
        <w:rPr>
          <w:noProof/>
          <w:color w:val="000000"/>
          <w:highlight w:val="black"/>
        </w:rPr>
        <w:t>'''''</w:t>
      </w:r>
      <w:r w:rsidRPr="0042063A">
        <w:t>).</w:t>
      </w:r>
      <w:r w:rsidR="00292839">
        <w:t xml:space="preserve"> </w:t>
      </w:r>
      <w:r w:rsidRPr="0042063A">
        <w:t xml:space="preserve">A subsequent update included patients from another </w:t>
      </w:r>
      <w:r w:rsidRPr="0042063A">
        <w:lastRenderedPageBreak/>
        <w:t>collaborative database, the DEM-CHILD (n=</w:t>
      </w:r>
      <w:r w:rsidR="006E2381">
        <w:rPr>
          <w:noProof/>
          <w:color w:val="000000"/>
          <w:highlight w:val="black"/>
        </w:rPr>
        <w:t>'''''</w:t>
      </w:r>
      <w:r w:rsidRPr="0042063A">
        <w:t>), which was formed from patients from two clinical sites (Hamburg, Germany and Verona, Italy).</w:t>
      </w:r>
      <w:r w:rsidR="00292839">
        <w:t xml:space="preserve"> </w:t>
      </w:r>
      <w:r w:rsidRPr="0042063A">
        <w:t xml:space="preserve">The data from the submission includes only the latest </w:t>
      </w:r>
      <w:r w:rsidR="002F525A" w:rsidRPr="0042063A">
        <w:t>S</w:t>
      </w:r>
      <w:r w:rsidRPr="0042063A">
        <w:t xml:space="preserve">tudy 901 update, which includes 49 patients, of which </w:t>
      </w:r>
      <w:r w:rsidR="006E2381">
        <w:rPr>
          <w:noProof/>
          <w:color w:val="000000"/>
          <w:highlight w:val="black"/>
        </w:rPr>
        <w:t>'''''</w:t>
      </w:r>
      <w:r w:rsidRPr="0042063A">
        <w:t xml:space="preserve"> were from the original Hamburg study.</w:t>
      </w:r>
      <w:r w:rsidR="00292839">
        <w:t xml:space="preserve"> </w:t>
      </w:r>
      <w:r w:rsidRPr="0042063A">
        <w:t xml:space="preserve">Patients enrolled in </w:t>
      </w:r>
      <w:r w:rsidR="002F525A" w:rsidRPr="0042063A">
        <w:t>S</w:t>
      </w:r>
      <w:r w:rsidRPr="0042063A">
        <w:t xml:space="preserve">tudy 901 were assessed using the Hamburg rating scale for CLN2, and the motor-language score from the Hamburg rating scale (HML) was assumed by the submission to be equivalent to the ML score in </w:t>
      </w:r>
      <w:r w:rsidR="002F525A" w:rsidRPr="0042063A">
        <w:t>S</w:t>
      </w:r>
      <w:r w:rsidRPr="0042063A">
        <w:t>tudy 201/202.</w:t>
      </w:r>
      <w:r w:rsidR="00292839">
        <w:t xml:space="preserve"> </w:t>
      </w:r>
      <w:r w:rsidRPr="0042063A">
        <w:t>This is likely to be reasonable as the ratings of the two scales appear comparable.</w:t>
      </w:r>
      <w:r w:rsidR="00292839">
        <w:t xml:space="preserve"> </w:t>
      </w:r>
    </w:p>
    <w:p w:rsidR="00CF776C" w:rsidRPr="0042063A" w:rsidRDefault="00CF776C" w:rsidP="002F525A">
      <w:pPr>
        <w:pStyle w:val="ListParagraph"/>
        <w:numPr>
          <w:ilvl w:val="1"/>
          <w:numId w:val="2"/>
        </w:numPr>
      </w:pPr>
      <w:r w:rsidRPr="0042063A">
        <w:t>The submission also describes two databases: the DEM-CHILD database (N=</w:t>
      </w:r>
      <w:r w:rsidR="006E2381">
        <w:rPr>
          <w:noProof/>
          <w:color w:val="000000"/>
          <w:highlight w:val="black"/>
        </w:rPr>
        <w:t>''''''</w:t>
      </w:r>
      <w:r w:rsidRPr="0042063A">
        <w:t>) and the Weill Cornell Medical College (WCMC) cohort (N=</w:t>
      </w:r>
      <w:r w:rsidR="006E2381">
        <w:rPr>
          <w:noProof/>
          <w:color w:val="000000"/>
          <w:highlight w:val="black"/>
        </w:rPr>
        <w:t>'''''</w:t>
      </w:r>
      <w:r w:rsidRPr="0042063A">
        <w:t>), which contain longitudinal data about the disease progression of patients with CLN2 treated with standard care only.</w:t>
      </w:r>
      <w:r w:rsidR="00292839">
        <w:t xml:space="preserve"> </w:t>
      </w:r>
      <w:r w:rsidRPr="0042063A">
        <w:t>Study 901 contains data from some (but not all) patients from both databases.</w:t>
      </w:r>
      <w:r w:rsidR="00292839">
        <w:t xml:space="preserve"> </w:t>
      </w:r>
      <w:r w:rsidRPr="0042063A">
        <w:t xml:space="preserve">Longitudinal data from 58 patients in DEM-CHILD database and </w:t>
      </w:r>
      <w:r w:rsidR="006E2381">
        <w:rPr>
          <w:noProof/>
          <w:color w:val="000000"/>
          <w:highlight w:val="black"/>
        </w:rPr>
        <w:t>'''''</w:t>
      </w:r>
      <w:r w:rsidRPr="0042063A">
        <w:t xml:space="preserve"> patients in the WCMC cohort was published in Nickel et al 2016.</w:t>
      </w:r>
      <w:r w:rsidR="00292839">
        <w:t xml:space="preserve"> </w:t>
      </w:r>
    </w:p>
    <w:p w:rsidR="00957093" w:rsidRPr="0042063A" w:rsidRDefault="00957093" w:rsidP="00957093">
      <w:pPr>
        <w:pStyle w:val="ListParagraph"/>
        <w:numPr>
          <w:ilvl w:val="1"/>
          <w:numId w:val="2"/>
        </w:numPr>
        <w:spacing w:before="0" w:after="120"/>
      </w:pPr>
      <w:r w:rsidRPr="0042063A">
        <w:t xml:space="preserve">Details of the trials presented in the submission are provided in </w:t>
      </w:r>
      <w:r w:rsidR="002F525A" w:rsidRPr="0042063A">
        <w:t xml:space="preserve">Table </w:t>
      </w:r>
      <w:r w:rsidR="002F525A" w:rsidRPr="0042063A">
        <w:rPr>
          <w:noProof/>
        </w:rPr>
        <w:t>2</w:t>
      </w:r>
      <w:r w:rsidRPr="0042063A">
        <w:t>.</w:t>
      </w:r>
      <w:r w:rsidR="00292839">
        <w:t xml:space="preserve"> </w:t>
      </w:r>
    </w:p>
    <w:p w:rsidR="002E394B" w:rsidRDefault="002E394B">
      <w:pPr>
        <w:spacing w:before="0" w:line="259" w:lineRule="auto"/>
        <w:jc w:val="left"/>
        <w:rPr>
          <w:rFonts w:ascii="Arial Narrow" w:hAnsi="Arial Narrow"/>
          <w:b/>
          <w:iCs/>
          <w:sz w:val="20"/>
          <w:szCs w:val="18"/>
        </w:rPr>
      </w:pPr>
      <w:bookmarkStart w:id="16" w:name="_Ref512276217"/>
      <w:r>
        <w:rPr>
          <w:rFonts w:ascii="Arial Narrow" w:hAnsi="Arial Narrow"/>
        </w:rPr>
        <w:br w:type="page"/>
      </w:r>
    </w:p>
    <w:p w:rsidR="00957093" w:rsidRPr="0042063A" w:rsidRDefault="002F525A" w:rsidP="002F525A">
      <w:pPr>
        <w:pStyle w:val="Caption"/>
      </w:pPr>
      <w:r w:rsidRPr="0042063A">
        <w:rPr>
          <w:rFonts w:ascii="Arial Narrow" w:hAnsi="Arial Narrow"/>
        </w:rPr>
        <w:lastRenderedPageBreak/>
        <w:t xml:space="preserve">Table </w:t>
      </w:r>
      <w:r w:rsidR="0000175F" w:rsidRPr="0042063A">
        <w:rPr>
          <w:rFonts w:ascii="Arial Narrow" w:hAnsi="Arial Narrow"/>
          <w:noProof/>
        </w:rPr>
        <w:t>2</w:t>
      </w:r>
      <w:bookmarkEnd w:id="16"/>
      <w:r w:rsidRPr="0042063A">
        <w:rPr>
          <w:rFonts w:ascii="Arial Narrow" w:hAnsi="Arial Narrow"/>
        </w:rPr>
        <w:t xml:space="preserve">: </w:t>
      </w:r>
      <w:r w:rsidR="00957093" w:rsidRPr="0042063A">
        <w:rPr>
          <w:rFonts w:ascii="Arial Narrow" w:hAnsi="Arial Narrow"/>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4959"/>
        <w:gridCol w:w="2390"/>
      </w:tblGrid>
      <w:tr w:rsidR="00957093" w:rsidRPr="0042063A" w:rsidTr="002F525A">
        <w:tc>
          <w:tcPr>
            <w:tcW w:w="954" w:type="pct"/>
          </w:tcPr>
          <w:p w:rsidR="00957093" w:rsidRPr="0042063A" w:rsidRDefault="00957093" w:rsidP="002F525A">
            <w:pPr>
              <w:pStyle w:val="TableText"/>
              <w:rPr>
                <w:b/>
                <w:szCs w:val="20"/>
              </w:rPr>
            </w:pPr>
            <w:r w:rsidRPr="0042063A">
              <w:rPr>
                <w:b/>
                <w:szCs w:val="20"/>
              </w:rPr>
              <w:t>Trial ID</w:t>
            </w:r>
          </w:p>
        </w:tc>
        <w:tc>
          <w:tcPr>
            <w:tcW w:w="2730" w:type="pct"/>
          </w:tcPr>
          <w:p w:rsidR="00957093" w:rsidRPr="0042063A" w:rsidRDefault="00957093" w:rsidP="002F525A">
            <w:pPr>
              <w:pStyle w:val="TableText"/>
              <w:rPr>
                <w:b/>
                <w:szCs w:val="20"/>
              </w:rPr>
            </w:pPr>
            <w:r w:rsidRPr="0042063A">
              <w:rPr>
                <w:b/>
                <w:szCs w:val="20"/>
              </w:rPr>
              <w:t>Protocol title/ Publication title</w:t>
            </w:r>
          </w:p>
        </w:tc>
        <w:tc>
          <w:tcPr>
            <w:tcW w:w="1316" w:type="pct"/>
          </w:tcPr>
          <w:p w:rsidR="00957093" w:rsidRPr="0042063A" w:rsidRDefault="00957093" w:rsidP="002F525A">
            <w:pPr>
              <w:pStyle w:val="TableText"/>
              <w:rPr>
                <w:b/>
                <w:szCs w:val="20"/>
              </w:rPr>
            </w:pPr>
            <w:r w:rsidRPr="0042063A">
              <w:rPr>
                <w:b/>
                <w:szCs w:val="20"/>
              </w:rPr>
              <w:t>Publication citation</w:t>
            </w:r>
          </w:p>
        </w:tc>
      </w:tr>
      <w:tr w:rsidR="00957093" w:rsidRPr="0042063A" w:rsidTr="002F525A">
        <w:tc>
          <w:tcPr>
            <w:tcW w:w="5000" w:type="pct"/>
            <w:gridSpan w:val="3"/>
          </w:tcPr>
          <w:p w:rsidR="00957093" w:rsidRPr="0042063A" w:rsidRDefault="00957093" w:rsidP="002F525A">
            <w:pPr>
              <w:pStyle w:val="TableText"/>
              <w:rPr>
                <w:b/>
                <w:szCs w:val="20"/>
              </w:rPr>
            </w:pPr>
            <w:r w:rsidRPr="0042063A">
              <w:rPr>
                <w:b/>
                <w:szCs w:val="20"/>
              </w:rPr>
              <w:t>Main cerliponase alfa studies</w:t>
            </w:r>
          </w:p>
        </w:tc>
      </w:tr>
      <w:tr w:rsidR="00957093" w:rsidRPr="0042063A" w:rsidTr="002F525A">
        <w:tc>
          <w:tcPr>
            <w:tcW w:w="954" w:type="pct"/>
          </w:tcPr>
          <w:p w:rsidR="00957093" w:rsidRPr="0042063A" w:rsidRDefault="00957093" w:rsidP="002F525A">
            <w:pPr>
              <w:pStyle w:val="TableText"/>
              <w:rPr>
                <w:rFonts w:cs="Arial"/>
                <w:szCs w:val="20"/>
              </w:rPr>
            </w:pPr>
            <w:r w:rsidRPr="0042063A">
              <w:rPr>
                <w:rFonts w:cs="Arial"/>
                <w:szCs w:val="20"/>
              </w:rPr>
              <w:t>Study 201</w:t>
            </w:r>
          </w:p>
        </w:tc>
        <w:tc>
          <w:tcPr>
            <w:tcW w:w="2730" w:type="pct"/>
          </w:tcPr>
          <w:p w:rsidR="00957093" w:rsidRPr="0042063A" w:rsidRDefault="00957093" w:rsidP="002F525A">
            <w:pPr>
              <w:tabs>
                <w:tab w:val="left" w:pos="416"/>
                <w:tab w:val="left" w:pos="582"/>
              </w:tabs>
              <w:spacing w:before="40" w:after="40"/>
              <w:contextualSpacing/>
              <w:jc w:val="left"/>
              <w:rPr>
                <w:rFonts w:ascii="Arial Narrow" w:hAnsi="Arial Narrow" w:cs="Arial"/>
                <w:sz w:val="20"/>
                <w:szCs w:val="20"/>
              </w:rPr>
            </w:pPr>
            <w:r w:rsidRPr="0042063A">
              <w:rPr>
                <w:rFonts w:ascii="Arial Narrow" w:hAnsi="Arial Narrow" w:cs="Arial"/>
                <w:sz w:val="20"/>
                <w:szCs w:val="20"/>
              </w:rPr>
              <w:t xml:space="preserve">A Phase 1/2 Open-Label Dose-Escalation Study to Evaluate Safety, Tolerability, Pharmacokinetics, and Efficacy of Intracerebroventricular BMN 190 in Patients with Late-Infantile Neuronal Ceroid Lipofuscinosis (CLN2) Disease. </w:t>
            </w:r>
          </w:p>
        </w:tc>
        <w:tc>
          <w:tcPr>
            <w:tcW w:w="1316" w:type="pct"/>
          </w:tcPr>
          <w:p w:rsidR="00957093" w:rsidRPr="0042063A" w:rsidRDefault="00957093" w:rsidP="002F525A">
            <w:pPr>
              <w:pStyle w:val="TableText"/>
              <w:rPr>
                <w:rFonts w:cs="Arial"/>
                <w:szCs w:val="20"/>
              </w:rPr>
            </w:pPr>
            <w:r w:rsidRPr="0042063A">
              <w:rPr>
                <w:rFonts w:cs="Arial"/>
                <w:szCs w:val="20"/>
              </w:rPr>
              <w:t>27 April 2016</w:t>
            </w:r>
          </w:p>
        </w:tc>
      </w:tr>
      <w:tr w:rsidR="00957093" w:rsidRPr="0042063A" w:rsidTr="002F525A">
        <w:tc>
          <w:tcPr>
            <w:tcW w:w="954" w:type="pct"/>
          </w:tcPr>
          <w:p w:rsidR="00957093" w:rsidRPr="0042063A" w:rsidRDefault="00957093" w:rsidP="002F525A">
            <w:pPr>
              <w:pStyle w:val="TableText"/>
              <w:rPr>
                <w:szCs w:val="20"/>
              </w:rPr>
            </w:pPr>
            <w:r w:rsidRPr="0042063A">
              <w:rPr>
                <w:rFonts w:cs="Arial"/>
                <w:szCs w:val="20"/>
              </w:rPr>
              <w:t>Study 202</w:t>
            </w:r>
          </w:p>
        </w:tc>
        <w:tc>
          <w:tcPr>
            <w:tcW w:w="2730" w:type="pct"/>
          </w:tcPr>
          <w:p w:rsidR="00957093" w:rsidRPr="0042063A" w:rsidRDefault="00957093" w:rsidP="002F525A">
            <w:pPr>
              <w:tabs>
                <w:tab w:val="left" w:pos="416"/>
                <w:tab w:val="left" w:pos="582"/>
              </w:tabs>
              <w:spacing w:before="40" w:after="40"/>
              <w:contextualSpacing/>
              <w:jc w:val="left"/>
              <w:rPr>
                <w:rFonts w:ascii="Arial Narrow" w:hAnsi="Arial Narrow"/>
                <w:sz w:val="20"/>
                <w:szCs w:val="20"/>
              </w:rPr>
            </w:pPr>
            <w:r w:rsidRPr="0042063A">
              <w:rPr>
                <w:rFonts w:ascii="Arial Narrow" w:hAnsi="Arial Narrow" w:cs="Arial"/>
                <w:sz w:val="20"/>
                <w:szCs w:val="20"/>
              </w:rPr>
              <w:t xml:space="preserve">A </w:t>
            </w:r>
            <w:proofErr w:type="spellStart"/>
            <w:r w:rsidRPr="0042063A">
              <w:rPr>
                <w:rFonts w:ascii="Arial Narrow" w:hAnsi="Arial Narrow" w:cs="Arial"/>
                <w:sz w:val="20"/>
                <w:szCs w:val="20"/>
              </w:rPr>
              <w:t>Multicenter</w:t>
            </w:r>
            <w:proofErr w:type="spellEnd"/>
            <w:r w:rsidRPr="0042063A">
              <w:rPr>
                <w:rFonts w:ascii="Arial Narrow" w:hAnsi="Arial Narrow" w:cs="Arial"/>
                <w:sz w:val="20"/>
                <w:szCs w:val="20"/>
              </w:rPr>
              <w:t xml:space="preserve">, Multinational, Extension Study to Evaluate the Long-Term Efficacy and Safety of BMN 190 in Patients with CLN2 Disease. Interim </w:t>
            </w:r>
            <w:proofErr w:type="spellStart"/>
            <w:r w:rsidRPr="0042063A">
              <w:rPr>
                <w:rFonts w:ascii="Arial Narrow" w:hAnsi="Arial Narrow" w:cs="Arial"/>
                <w:sz w:val="20"/>
                <w:szCs w:val="20"/>
              </w:rPr>
              <w:t>cutoff</w:t>
            </w:r>
            <w:proofErr w:type="spellEnd"/>
            <w:r w:rsidRPr="0042063A">
              <w:rPr>
                <w:rFonts w:ascii="Arial Narrow" w:hAnsi="Arial Narrow" w:cs="Arial"/>
                <w:sz w:val="20"/>
                <w:szCs w:val="20"/>
              </w:rPr>
              <w:t xml:space="preserve"> date: 1 November 2016.</w:t>
            </w:r>
            <w:r w:rsidR="00292839">
              <w:rPr>
                <w:rFonts w:ascii="Arial Narrow" w:hAnsi="Arial Narrow" w:cs="Arial"/>
                <w:sz w:val="20"/>
                <w:szCs w:val="20"/>
              </w:rPr>
              <w:t xml:space="preserve"> </w:t>
            </w:r>
          </w:p>
        </w:tc>
        <w:tc>
          <w:tcPr>
            <w:tcW w:w="1316" w:type="pct"/>
          </w:tcPr>
          <w:p w:rsidR="00957093" w:rsidRPr="0042063A" w:rsidRDefault="00957093" w:rsidP="002F525A">
            <w:pPr>
              <w:pStyle w:val="TableText"/>
              <w:rPr>
                <w:szCs w:val="20"/>
              </w:rPr>
            </w:pPr>
            <w:r w:rsidRPr="0042063A">
              <w:rPr>
                <w:rFonts w:cs="Arial"/>
                <w:szCs w:val="20"/>
              </w:rPr>
              <w:t>13 October 2017</w:t>
            </w:r>
          </w:p>
        </w:tc>
      </w:tr>
      <w:tr w:rsidR="00957093" w:rsidRPr="0042063A" w:rsidTr="002F525A">
        <w:tc>
          <w:tcPr>
            <w:tcW w:w="954" w:type="pct"/>
          </w:tcPr>
          <w:p w:rsidR="00957093" w:rsidRPr="0042063A" w:rsidRDefault="00957093" w:rsidP="002F525A">
            <w:pPr>
              <w:pStyle w:val="TableText"/>
              <w:rPr>
                <w:szCs w:val="20"/>
              </w:rPr>
            </w:pPr>
            <w:r w:rsidRPr="0042063A">
              <w:rPr>
                <w:rFonts w:cs="Arial"/>
                <w:szCs w:val="20"/>
              </w:rPr>
              <w:t>Study 201/202</w:t>
            </w:r>
          </w:p>
        </w:tc>
        <w:tc>
          <w:tcPr>
            <w:tcW w:w="2730" w:type="pct"/>
          </w:tcPr>
          <w:p w:rsidR="00957093" w:rsidRPr="0042063A" w:rsidRDefault="00957093" w:rsidP="002F525A">
            <w:pPr>
              <w:tabs>
                <w:tab w:val="left" w:pos="416"/>
                <w:tab w:val="left" w:pos="582"/>
              </w:tabs>
              <w:spacing w:before="40" w:after="40"/>
              <w:contextualSpacing/>
              <w:jc w:val="left"/>
              <w:rPr>
                <w:rFonts w:ascii="Arial Narrow" w:hAnsi="Arial Narrow"/>
                <w:sz w:val="20"/>
                <w:szCs w:val="20"/>
              </w:rPr>
            </w:pPr>
            <w:r w:rsidRPr="0042063A">
              <w:rPr>
                <w:rFonts w:ascii="Arial Narrow" w:hAnsi="Arial Narrow" w:cs="Arial"/>
                <w:sz w:val="20"/>
                <w:szCs w:val="20"/>
              </w:rPr>
              <w:t xml:space="preserve">Statistical analysis of data from Study 190-201/202. </w:t>
            </w:r>
          </w:p>
        </w:tc>
        <w:tc>
          <w:tcPr>
            <w:tcW w:w="1316" w:type="pct"/>
          </w:tcPr>
          <w:p w:rsidR="00957093" w:rsidRPr="0042063A" w:rsidRDefault="00957093" w:rsidP="002F525A">
            <w:pPr>
              <w:pStyle w:val="TableText"/>
              <w:rPr>
                <w:szCs w:val="20"/>
              </w:rPr>
            </w:pPr>
            <w:r w:rsidRPr="0042063A">
              <w:rPr>
                <w:rFonts w:cs="Arial"/>
                <w:szCs w:val="20"/>
              </w:rPr>
              <w:t>April 2017</w:t>
            </w:r>
          </w:p>
        </w:tc>
      </w:tr>
      <w:tr w:rsidR="00957093" w:rsidRPr="0042063A" w:rsidTr="002F525A">
        <w:tc>
          <w:tcPr>
            <w:tcW w:w="5000" w:type="pct"/>
            <w:gridSpan w:val="3"/>
          </w:tcPr>
          <w:p w:rsidR="00957093" w:rsidRPr="0042063A" w:rsidRDefault="00957093" w:rsidP="002F525A">
            <w:pPr>
              <w:tabs>
                <w:tab w:val="left" w:pos="416"/>
                <w:tab w:val="left" w:pos="582"/>
              </w:tabs>
              <w:spacing w:before="40" w:after="40"/>
              <w:contextualSpacing/>
              <w:jc w:val="left"/>
              <w:rPr>
                <w:rFonts w:ascii="Arial Narrow" w:hAnsi="Arial Narrow" w:cs="Arial"/>
                <w:b/>
                <w:sz w:val="20"/>
                <w:szCs w:val="20"/>
              </w:rPr>
            </w:pPr>
            <w:r w:rsidRPr="0042063A">
              <w:rPr>
                <w:rFonts w:ascii="Arial Narrow" w:hAnsi="Arial Narrow" w:cs="Arial"/>
                <w:b/>
                <w:sz w:val="20"/>
                <w:szCs w:val="20"/>
              </w:rPr>
              <w:t xml:space="preserve">Supplementary cerliponase alfa clinical studies </w:t>
            </w:r>
          </w:p>
        </w:tc>
      </w:tr>
      <w:tr w:rsidR="00957093" w:rsidRPr="0042063A" w:rsidTr="002F525A">
        <w:trPr>
          <w:trHeight w:val="699"/>
        </w:trPr>
        <w:tc>
          <w:tcPr>
            <w:tcW w:w="954" w:type="pct"/>
          </w:tcPr>
          <w:p w:rsidR="00957093" w:rsidRPr="0042063A" w:rsidRDefault="00957093" w:rsidP="002F525A">
            <w:pPr>
              <w:pStyle w:val="TableText"/>
              <w:rPr>
                <w:szCs w:val="20"/>
              </w:rPr>
            </w:pPr>
            <w:r w:rsidRPr="0042063A">
              <w:rPr>
                <w:rFonts w:cs="Arial"/>
                <w:szCs w:val="20"/>
              </w:rPr>
              <w:t xml:space="preserve">Study 203 </w:t>
            </w:r>
          </w:p>
        </w:tc>
        <w:tc>
          <w:tcPr>
            <w:tcW w:w="2730" w:type="pct"/>
          </w:tcPr>
          <w:p w:rsidR="00957093" w:rsidRPr="0042063A" w:rsidRDefault="00957093" w:rsidP="002F525A">
            <w:pPr>
              <w:tabs>
                <w:tab w:val="left" w:pos="416"/>
                <w:tab w:val="left" w:pos="582"/>
              </w:tabs>
              <w:spacing w:before="40" w:after="40"/>
              <w:contextualSpacing/>
              <w:jc w:val="left"/>
              <w:rPr>
                <w:rFonts w:ascii="Arial Narrow" w:hAnsi="Arial Narrow"/>
                <w:sz w:val="20"/>
                <w:szCs w:val="20"/>
              </w:rPr>
            </w:pPr>
            <w:r w:rsidRPr="0042063A">
              <w:rPr>
                <w:rFonts w:ascii="Arial Narrow" w:hAnsi="Arial Narrow" w:cs="Arial"/>
                <w:sz w:val="20"/>
                <w:szCs w:val="20"/>
              </w:rPr>
              <w:t xml:space="preserve">A Phase 2, Open-Label Study to Evaluate Safety, Tolerability, and Efficacy of Intracerebroventricular BMN 190 in Patients &lt; 18 years of age with CLN2 Disease. Interim cut-off date: 1 November 2016. </w:t>
            </w:r>
          </w:p>
        </w:tc>
        <w:tc>
          <w:tcPr>
            <w:tcW w:w="1316" w:type="pct"/>
          </w:tcPr>
          <w:p w:rsidR="00957093" w:rsidRPr="0042063A" w:rsidRDefault="00957093" w:rsidP="002F525A">
            <w:pPr>
              <w:tabs>
                <w:tab w:val="left" w:pos="416"/>
                <w:tab w:val="left" w:pos="582"/>
              </w:tabs>
              <w:spacing w:before="40" w:after="40"/>
              <w:contextualSpacing/>
              <w:rPr>
                <w:rFonts w:ascii="Arial Narrow" w:hAnsi="Arial Narrow" w:cs="Arial"/>
                <w:sz w:val="20"/>
                <w:szCs w:val="20"/>
                <w:u w:val="single"/>
              </w:rPr>
            </w:pPr>
            <w:r w:rsidRPr="0042063A">
              <w:rPr>
                <w:rFonts w:ascii="Arial Narrow" w:hAnsi="Arial Narrow" w:cs="Arial"/>
                <w:sz w:val="20"/>
                <w:szCs w:val="20"/>
              </w:rPr>
              <w:t>23 October 2017</w:t>
            </w:r>
          </w:p>
          <w:p w:rsidR="00957093" w:rsidRPr="0042063A" w:rsidRDefault="00957093" w:rsidP="002F525A">
            <w:pPr>
              <w:pStyle w:val="TableText"/>
              <w:rPr>
                <w:szCs w:val="20"/>
              </w:rPr>
            </w:pPr>
          </w:p>
        </w:tc>
      </w:tr>
      <w:tr w:rsidR="00957093" w:rsidRPr="0042063A" w:rsidTr="002F525A">
        <w:tc>
          <w:tcPr>
            <w:tcW w:w="5000" w:type="pct"/>
            <w:gridSpan w:val="3"/>
          </w:tcPr>
          <w:p w:rsidR="00957093" w:rsidRPr="0042063A" w:rsidRDefault="00957093" w:rsidP="002F525A">
            <w:pPr>
              <w:pStyle w:val="TableText"/>
              <w:jc w:val="left"/>
              <w:rPr>
                <w:b/>
                <w:szCs w:val="20"/>
              </w:rPr>
            </w:pPr>
            <w:r w:rsidRPr="0042063A">
              <w:rPr>
                <w:b/>
                <w:szCs w:val="20"/>
              </w:rPr>
              <w:t xml:space="preserve">Natural history studies </w:t>
            </w:r>
          </w:p>
        </w:tc>
      </w:tr>
      <w:tr w:rsidR="002F525A" w:rsidRPr="0042063A" w:rsidTr="002F525A">
        <w:trPr>
          <w:trHeight w:val="465"/>
        </w:trPr>
        <w:tc>
          <w:tcPr>
            <w:tcW w:w="954" w:type="pct"/>
            <w:vMerge w:val="restart"/>
          </w:tcPr>
          <w:p w:rsidR="002F525A" w:rsidRPr="0042063A" w:rsidRDefault="002F525A" w:rsidP="002F525A">
            <w:pPr>
              <w:pStyle w:val="TableText"/>
              <w:rPr>
                <w:rFonts w:cs="Arial"/>
                <w:szCs w:val="20"/>
              </w:rPr>
            </w:pPr>
            <w:r w:rsidRPr="0042063A">
              <w:rPr>
                <w:rFonts w:cs="Arial"/>
                <w:szCs w:val="20"/>
              </w:rPr>
              <w:t>Study 901</w:t>
            </w:r>
          </w:p>
        </w:tc>
        <w:tc>
          <w:tcPr>
            <w:tcW w:w="2730" w:type="pct"/>
            <w:tcBorders>
              <w:bottom w:val="nil"/>
            </w:tcBorders>
          </w:tcPr>
          <w:p w:rsidR="002F525A" w:rsidRPr="0042063A" w:rsidRDefault="002F525A" w:rsidP="002F525A">
            <w:pPr>
              <w:spacing w:before="40" w:after="40"/>
              <w:jc w:val="left"/>
              <w:rPr>
                <w:rFonts w:ascii="Arial Narrow" w:hAnsi="Arial Narrow" w:cs="Arial"/>
                <w:sz w:val="20"/>
                <w:szCs w:val="20"/>
              </w:rPr>
            </w:pPr>
            <w:r w:rsidRPr="0042063A">
              <w:rPr>
                <w:rFonts w:ascii="Arial Narrow" w:hAnsi="Arial Narrow" w:cs="Arial"/>
                <w:sz w:val="20"/>
                <w:szCs w:val="20"/>
              </w:rPr>
              <w:t xml:space="preserve">Natural History of Late-Infantile CLN2 Disease: Quantitative Assessment of Disease Characteristics, Rate of Progression, and Magnetic Resonance Imaging Findings. </w:t>
            </w:r>
          </w:p>
        </w:tc>
        <w:tc>
          <w:tcPr>
            <w:tcW w:w="1316" w:type="pct"/>
            <w:tcBorders>
              <w:bottom w:val="nil"/>
            </w:tcBorders>
          </w:tcPr>
          <w:p w:rsidR="002F525A" w:rsidRPr="0042063A" w:rsidRDefault="002F525A" w:rsidP="002F525A">
            <w:pPr>
              <w:pStyle w:val="TableText"/>
              <w:rPr>
                <w:szCs w:val="20"/>
              </w:rPr>
            </w:pPr>
            <w:r w:rsidRPr="0042063A">
              <w:rPr>
                <w:rFonts w:cs="Arial"/>
                <w:szCs w:val="20"/>
              </w:rPr>
              <w:t>30 June 2015.</w:t>
            </w:r>
          </w:p>
        </w:tc>
      </w:tr>
      <w:tr w:rsidR="002F525A" w:rsidRPr="0042063A" w:rsidTr="002F525A">
        <w:trPr>
          <w:trHeight w:val="750"/>
        </w:trPr>
        <w:tc>
          <w:tcPr>
            <w:tcW w:w="954" w:type="pct"/>
            <w:vMerge/>
          </w:tcPr>
          <w:p w:rsidR="002F525A" w:rsidRPr="0042063A" w:rsidRDefault="002F525A" w:rsidP="002F525A">
            <w:pPr>
              <w:pStyle w:val="TableText"/>
              <w:rPr>
                <w:rFonts w:cs="Arial"/>
                <w:szCs w:val="20"/>
              </w:rPr>
            </w:pPr>
          </w:p>
        </w:tc>
        <w:tc>
          <w:tcPr>
            <w:tcW w:w="2730" w:type="pct"/>
            <w:tcBorders>
              <w:top w:val="nil"/>
              <w:bottom w:val="nil"/>
            </w:tcBorders>
          </w:tcPr>
          <w:p w:rsidR="002F525A" w:rsidRPr="0042063A" w:rsidRDefault="002F525A" w:rsidP="002F525A">
            <w:pPr>
              <w:spacing w:before="40" w:after="40"/>
              <w:jc w:val="left"/>
              <w:rPr>
                <w:rFonts w:ascii="Arial Narrow" w:hAnsi="Arial Narrow" w:cs="Arial"/>
                <w:sz w:val="20"/>
                <w:szCs w:val="20"/>
              </w:rPr>
            </w:pPr>
            <w:r w:rsidRPr="0042063A">
              <w:rPr>
                <w:rFonts w:ascii="Arial Narrow" w:hAnsi="Arial Narrow" w:cs="Arial"/>
                <w:sz w:val="20"/>
                <w:szCs w:val="20"/>
              </w:rPr>
              <w:t>Updated Analysis of the Natural History of CLN2 Disease: Estimated Rate of Decline from the DEM-CHILD Multi-</w:t>
            </w:r>
            <w:proofErr w:type="spellStart"/>
            <w:r w:rsidRPr="0042063A">
              <w:rPr>
                <w:rFonts w:ascii="Arial Narrow" w:hAnsi="Arial Narrow" w:cs="Arial"/>
                <w:sz w:val="20"/>
                <w:szCs w:val="20"/>
              </w:rPr>
              <w:t>Center</w:t>
            </w:r>
            <w:proofErr w:type="spellEnd"/>
            <w:r w:rsidRPr="0042063A">
              <w:rPr>
                <w:rFonts w:ascii="Arial Narrow" w:hAnsi="Arial Narrow" w:cs="Arial"/>
                <w:sz w:val="20"/>
                <w:szCs w:val="20"/>
              </w:rPr>
              <w:t xml:space="preserve"> Clinical NCL Database (data transfer July 2015)</w:t>
            </w:r>
          </w:p>
        </w:tc>
        <w:tc>
          <w:tcPr>
            <w:tcW w:w="1316" w:type="pct"/>
            <w:tcBorders>
              <w:top w:val="nil"/>
              <w:bottom w:val="nil"/>
            </w:tcBorders>
          </w:tcPr>
          <w:p w:rsidR="002F525A" w:rsidRPr="0042063A" w:rsidRDefault="002F525A" w:rsidP="002F525A">
            <w:pPr>
              <w:pStyle w:val="TableText"/>
              <w:rPr>
                <w:rFonts w:cs="Arial"/>
                <w:szCs w:val="20"/>
              </w:rPr>
            </w:pPr>
            <w:r w:rsidRPr="0042063A">
              <w:rPr>
                <w:rFonts w:cs="Arial"/>
                <w:szCs w:val="20"/>
              </w:rPr>
              <w:t xml:space="preserve">Report date: 1 May 2016 </w:t>
            </w:r>
          </w:p>
        </w:tc>
      </w:tr>
      <w:tr w:rsidR="002F525A" w:rsidRPr="0042063A" w:rsidTr="002F525A">
        <w:trPr>
          <w:trHeight w:val="780"/>
        </w:trPr>
        <w:tc>
          <w:tcPr>
            <w:tcW w:w="954" w:type="pct"/>
            <w:vMerge/>
          </w:tcPr>
          <w:p w:rsidR="002F525A" w:rsidRPr="0042063A" w:rsidRDefault="002F525A" w:rsidP="002F525A">
            <w:pPr>
              <w:pStyle w:val="TableText"/>
              <w:rPr>
                <w:rFonts w:cs="Arial"/>
                <w:szCs w:val="20"/>
              </w:rPr>
            </w:pPr>
          </w:p>
        </w:tc>
        <w:tc>
          <w:tcPr>
            <w:tcW w:w="2730" w:type="pct"/>
            <w:tcBorders>
              <w:top w:val="nil"/>
              <w:bottom w:val="nil"/>
            </w:tcBorders>
          </w:tcPr>
          <w:p w:rsidR="002F525A" w:rsidRPr="0042063A" w:rsidRDefault="002F525A" w:rsidP="002F525A">
            <w:pPr>
              <w:spacing w:before="40" w:after="40"/>
              <w:jc w:val="left"/>
              <w:rPr>
                <w:rFonts w:ascii="Arial Narrow" w:hAnsi="Arial Narrow" w:cs="Arial"/>
                <w:sz w:val="20"/>
                <w:szCs w:val="20"/>
              </w:rPr>
            </w:pPr>
            <w:r w:rsidRPr="0042063A">
              <w:rPr>
                <w:rFonts w:ascii="Arial Narrow" w:hAnsi="Arial Narrow" w:cs="Arial"/>
                <w:sz w:val="20"/>
                <w:szCs w:val="20"/>
              </w:rPr>
              <w:t>Updated Analysis of the Natural History of CLN2 Disease: Estimated Rate of Decline from the DEM-CHILD Multi-</w:t>
            </w:r>
            <w:proofErr w:type="spellStart"/>
            <w:r w:rsidRPr="0042063A">
              <w:rPr>
                <w:rFonts w:ascii="Arial Narrow" w:hAnsi="Arial Narrow" w:cs="Arial"/>
                <w:sz w:val="20"/>
                <w:szCs w:val="20"/>
              </w:rPr>
              <w:t>Center</w:t>
            </w:r>
            <w:proofErr w:type="spellEnd"/>
            <w:r w:rsidRPr="0042063A">
              <w:rPr>
                <w:rFonts w:ascii="Arial Narrow" w:hAnsi="Arial Narrow" w:cs="Arial"/>
                <w:sz w:val="20"/>
                <w:szCs w:val="20"/>
              </w:rPr>
              <w:t xml:space="preserve"> Clinical NCL Database (data transfer: August 2016)</w:t>
            </w:r>
          </w:p>
        </w:tc>
        <w:tc>
          <w:tcPr>
            <w:tcW w:w="1316" w:type="pct"/>
            <w:tcBorders>
              <w:top w:val="nil"/>
              <w:bottom w:val="nil"/>
            </w:tcBorders>
          </w:tcPr>
          <w:p w:rsidR="002F525A" w:rsidRPr="0042063A" w:rsidRDefault="002F525A" w:rsidP="002F525A">
            <w:pPr>
              <w:pStyle w:val="TableText"/>
              <w:rPr>
                <w:rFonts w:cs="Arial"/>
                <w:szCs w:val="20"/>
              </w:rPr>
            </w:pPr>
            <w:r w:rsidRPr="0042063A">
              <w:rPr>
                <w:rFonts w:cs="Arial"/>
                <w:szCs w:val="20"/>
              </w:rPr>
              <w:t xml:space="preserve">Report date: 21 July 2017 </w:t>
            </w:r>
          </w:p>
        </w:tc>
      </w:tr>
      <w:tr w:rsidR="002F525A" w:rsidRPr="0042063A" w:rsidTr="002F525A">
        <w:trPr>
          <w:trHeight w:val="780"/>
        </w:trPr>
        <w:tc>
          <w:tcPr>
            <w:tcW w:w="954" w:type="pct"/>
          </w:tcPr>
          <w:p w:rsidR="002F525A" w:rsidRPr="0042063A" w:rsidRDefault="002F525A" w:rsidP="002F525A">
            <w:pPr>
              <w:pStyle w:val="TableText"/>
              <w:rPr>
                <w:rFonts w:cs="Arial"/>
                <w:szCs w:val="20"/>
              </w:rPr>
            </w:pPr>
            <w:r w:rsidRPr="0042063A">
              <w:rPr>
                <w:rFonts w:cs="Arial"/>
                <w:szCs w:val="20"/>
              </w:rPr>
              <w:t>Nickel et al., 2016b</w:t>
            </w:r>
          </w:p>
        </w:tc>
        <w:tc>
          <w:tcPr>
            <w:tcW w:w="2730" w:type="pct"/>
            <w:tcBorders>
              <w:top w:val="nil"/>
            </w:tcBorders>
          </w:tcPr>
          <w:p w:rsidR="002F525A" w:rsidRPr="0042063A" w:rsidRDefault="002F525A" w:rsidP="002F525A">
            <w:pPr>
              <w:spacing w:before="40" w:after="40"/>
              <w:jc w:val="left"/>
              <w:rPr>
                <w:rFonts w:ascii="Arial Narrow" w:hAnsi="Arial Narrow" w:cs="Arial"/>
                <w:sz w:val="20"/>
                <w:szCs w:val="20"/>
              </w:rPr>
            </w:pPr>
            <w:r w:rsidRPr="0042063A">
              <w:rPr>
                <w:rFonts w:ascii="Arial Narrow" w:hAnsi="Arial Narrow" w:cs="Arial"/>
                <w:sz w:val="20"/>
                <w:szCs w:val="20"/>
              </w:rPr>
              <w:t xml:space="preserve">Natural history of CLN2 disease: Quantitative assessment of disease characteristics and rate of progression in an international cohort of 137 patients </w:t>
            </w:r>
          </w:p>
        </w:tc>
        <w:tc>
          <w:tcPr>
            <w:tcW w:w="1316" w:type="pct"/>
            <w:tcBorders>
              <w:top w:val="nil"/>
            </w:tcBorders>
          </w:tcPr>
          <w:p w:rsidR="002F525A" w:rsidRPr="0042063A" w:rsidRDefault="002F525A" w:rsidP="002F525A">
            <w:pPr>
              <w:pStyle w:val="TableText"/>
              <w:rPr>
                <w:rFonts w:cs="Arial"/>
                <w:szCs w:val="20"/>
              </w:rPr>
            </w:pPr>
            <w:r w:rsidRPr="0042063A">
              <w:rPr>
                <w:rFonts w:cs="Arial"/>
                <w:szCs w:val="20"/>
              </w:rPr>
              <w:t>Not yet published, Manuscript in preparation</w:t>
            </w:r>
          </w:p>
        </w:tc>
      </w:tr>
    </w:tbl>
    <w:p w:rsidR="00957093" w:rsidRPr="0042063A" w:rsidRDefault="00957093" w:rsidP="002B0E3F">
      <w:pPr>
        <w:pStyle w:val="TableFooter"/>
      </w:pPr>
      <w:r w:rsidRPr="0042063A">
        <w:t>Source: Table 2.2-1, p4</w:t>
      </w:r>
      <w:r w:rsidR="002F525A" w:rsidRPr="0042063A">
        <w:t>2</w:t>
      </w:r>
      <w:r w:rsidRPr="0042063A">
        <w:t xml:space="preserve">, Table 2.2-2, p44 and Table 2.2-4 p47 of the submission </w:t>
      </w:r>
      <w:r w:rsidR="002B0E3F" w:rsidRPr="0042063A">
        <w:tab/>
      </w:r>
    </w:p>
    <w:p w:rsidR="00957093" w:rsidRPr="0042063A" w:rsidRDefault="00957093" w:rsidP="00957093">
      <w:pPr>
        <w:pStyle w:val="ListParagraph"/>
        <w:numPr>
          <w:ilvl w:val="1"/>
          <w:numId w:val="2"/>
        </w:numPr>
        <w:spacing w:before="0" w:after="120"/>
      </w:pPr>
      <w:r w:rsidRPr="0042063A">
        <w:t xml:space="preserve">Study 203 was a trial which enrolled and treated siblings of patients who were enrolled in </w:t>
      </w:r>
      <w:r w:rsidR="002F525A" w:rsidRPr="0042063A">
        <w:t>S</w:t>
      </w:r>
      <w:r w:rsidRPr="0042063A">
        <w:t>tudy 201/202 with cerliponase alfa.</w:t>
      </w:r>
      <w:r w:rsidR="00292839">
        <w:t xml:space="preserve"> </w:t>
      </w:r>
      <w:r w:rsidRPr="0042063A">
        <w:t xml:space="preserve">At the time of submission only </w:t>
      </w:r>
      <w:r w:rsidR="002F525A" w:rsidRPr="0042063A">
        <w:t xml:space="preserve">four </w:t>
      </w:r>
      <w:r w:rsidRPr="0042063A">
        <w:t xml:space="preserve">patients were enrolled in </w:t>
      </w:r>
      <w:r w:rsidR="002F525A" w:rsidRPr="0042063A">
        <w:t>S</w:t>
      </w:r>
      <w:r w:rsidRPr="0042063A">
        <w:t>tudy 203 and only data up to 36 weeks was available, therefore it was not utilised as part of the matched 1:1 comparison.</w:t>
      </w:r>
      <w:r w:rsidR="00292839">
        <w:t xml:space="preserve"> </w:t>
      </w:r>
      <w:r w:rsidRPr="0042063A">
        <w:t xml:space="preserve">The submission also identified 14 total studies for natural history of CLN2 disease which reported patient outcomes However only data from </w:t>
      </w:r>
      <w:r w:rsidR="002F525A" w:rsidRPr="0042063A">
        <w:t>S</w:t>
      </w:r>
      <w:r w:rsidRPr="0042063A">
        <w:t>tudy 901 was used in the submission.</w:t>
      </w:r>
      <w:r w:rsidR="00292839">
        <w:t xml:space="preserve"> </w:t>
      </w:r>
      <w:r w:rsidRPr="0042063A">
        <w:t>The submission inappropriately did not</w:t>
      </w:r>
      <w:r w:rsidR="00D6402D" w:rsidRPr="0042063A">
        <w:t xml:space="preserve"> explicitly</w:t>
      </w:r>
      <w:r w:rsidRPr="0042063A">
        <w:t xml:space="preserve"> justify the exclusion of the 13 studies</w:t>
      </w:r>
      <w:r w:rsidR="00257256" w:rsidRPr="0042063A">
        <w:t>,</w:t>
      </w:r>
      <w:r w:rsidRPr="0042063A">
        <w:t xml:space="preserve"> but it is likely because none of the 13 studies included ML score measurements.</w:t>
      </w:r>
      <w:r w:rsidR="00292839">
        <w:rPr>
          <w:i/>
        </w:rPr>
        <w:t xml:space="preserve"> </w:t>
      </w:r>
    </w:p>
    <w:p w:rsidR="00A75B73" w:rsidRPr="002E394B" w:rsidRDefault="00957093" w:rsidP="002E394B">
      <w:pPr>
        <w:pStyle w:val="ListParagraph"/>
        <w:numPr>
          <w:ilvl w:val="1"/>
          <w:numId w:val="2"/>
        </w:numPr>
        <w:spacing w:before="0" w:after="120"/>
      </w:pPr>
      <w:r w:rsidRPr="0042063A">
        <w:t xml:space="preserve">The key features of the clinical studies are summarised in </w:t>
      </w:r>
      <w:r w:rsidR="002F525A" w:rsidRPr="0042063A">
        <w:t xml:space="preserve">Table </w:t>
      </w:r>
      <w:r w:rsidR="002F525A" w:rsidRPr="0042063A">
        <w:rPr>
          <w:noProof/>
        </w:rPr>
        <w:t>3</w:t>
      </w:r>
      <w:bookmarkStart w:id="17" w:name="_Ref512276545"/>
      <w:r w:rsidR="002E394B">
        <w:t>.</w:t>
      </w:r>
    </w:p>
    <w:p w:rsidR="00957093" w:rsidRPr="0042063A" w:rsidRDefault="002F525A" w:rsidP="002F525A">
      <w:pPr>
        <w:pStyle w:val="Caption"/>
        <w:rPr>
          <w:rFonts w:ascii="Arial Narrow" w:hAnsi="Arial Narrow"/>
        </w:rPr>
      </w:pPr>
      <w:r w:rsidRPr="0042063A">
        <w:rPr>
          <w:rFonts w:ascii="Arial Narrow" w:hAnsi="Arial Narrow"/>
        </w:rPr>
        <w:lastRenderedPageBreak/>
        <w:t xml:space="preserve">Table </w:t>
      </w:r>
      <w:r w:rsidR="0000175F" w:rsidRPr="0042063A">
        <w:rPr>
          <w:rFonts w:ascii="Arial Narrow" w:hAnsi="Arial Narrow"/>
          <w:noProof/>
        </w:rPr>
        <w:t>3</w:t>
      </w:r>
      <w:bookmarkEnd w:id="17"/>
      <w:r w:rsidRPr="0042063A">
        <w:rPr>
          <w:rFonts w:ascii="Arial Narrow" w:hAnsi="Arial Narrow"/>
        </w:rPr>
        <w:t xml:space="preserve">: </w:t>
      </w:r>
      <w:r w:rsidR="00957093" w:rsidRPr="0042063A">
        <w:rPr>
          <w:rFonts w:ascii="Arial Narrow" w:hAnsi="Arial Narrow"/>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33"/>
        <w:gridCol w:w="500"/>
        <w:gridCol w:w="1404"/>
        <w:gridCol w:w="861"/>
        <w:gridCol w:w="1994"/>
        <w:gridCol w:w="1286"/>
        <w:gridCol w:w="1804"/>
      </w:tblGrid>
      <w:tr w:rsidR="00957093" w:rsidRPr="0042063A" w:rsidTr="002F525A">
        <w:tc>
          <w:tcPr>
            <w:tcW w:w="678" w:type="pct"/>
            <w:shd w:val="clear" w:color="auto" w:fill="auto"/>
            <w:vAlign w:val="center"/>
          </w:tcPr>
          <w:p w:rsidR="00957093" w:rsidRPr="0042063A" w:rsidRDefault="00957093" w:rsidP="00BE0700">
            <w:pPr>
              <w:pStyle w:val="TableText"/>
              <w:rPr>
                <w:b/>
              </w:rPr>
            </w:pPr>
            <w:r w:rsidRPr="0042063A">
              <w:rPr>
                <w:b/>
              </w:rPr>
              <w:t>Trial</w:t>
            </w:r>
          </w:p>
        </w:tc>
        <w:tc>
          <w:tcPr>
            <w:tcW w:w="275" w:type="pct"/>
            <w:shd w:val="clear" w:color="auto" w:fill="auto"/>
            <w:vAlign w:val="center"/>
          </w:tcPr>
          <w:p w:rsidR="00957093" w:rsidRPr="0042063A" w:rsidRDefault="00957093" w:rsidP="002F525A">
            <w:pPr>
              <w:pStyle w:val="TableText"/>
              <w:jc w:val="center"/>
              <w:rPr>
                <w:b/>
              </w:rPr>
            </w:pPr>
            <w:r w:rsidRPr="0042063A">
              <w:rPr>
                <w:b/>
              </w:rPr>
              <w:t>N</w:t>
            </w:r>
          </w:p>
        </w:tc>
        <w:tc>
          <w:tcPr>
            <w:tcW w:w="773" w:type="pct"/>
            <w:shd w:val="clear" w:color="auto" w:fill="auto"/>
            <w:vAlign w:val="center"/>
          </w:tcPr>
          <w:p w:rsidR="00957093" w:rsidRPr="0042063A" w:rsidRDefault="00957093" w:rsidP="002F525A">
            <w:pPr>
              <w:pStyle w:val="TableText"/>
              <w:jc w:val="center"/>
              <w:rPr>
                <w:b/>
              </w:rPr>
            </w:pPr>
            <w:r w:rsidRPr="0042063A">
              <w:rPr>
                <w:b/>
              </w:rPr>
              <w:t>Design/ duration of follow-up</w:t>
            </w:r>
          </w:p>
        </w:tc>
        <w:tc>
          <w:tcPr>
            <w:tcW w:w="474" w:type="pct"/>
            <w:shd w:val="clear" w:color="auto" w:fill="auto"/>
            <w:vAlign w:val="center"/>
          </w:tcPr>
          <w:p w:rsidR="00957093" w:rsidRPr="0042063A" w:rsidRDefault="00957093" w:rsidP="002F525A">
            <w:pPr>
              <w:pStyle w:val="TableText"/>
              <w:jc w:val="center"/>
              <w:rPr>
                <w:b/>
              </w:rPr>
            </w:pPr>
            <w:r w:rsidRPr="0042063A">
              <w:rPr>
                <w:b/>
              </w:rPr>
              <w:t>Risk of bias</w:t>
            </w:r>
          </w:p>
        </w:tc>
        <w:tc>
          <w:tcPr>
            <w:tcW w:w="1098" w:type="pct"/>
            <w:shd w:val="clear" w:color="auto" w:fill="auto"/>
            <w:vAlign w:val="center"/>
          </w:tcPr>
          <w:p w:rsidR="00957093" w:rsidRPr="0042063A" w:rsidRDefault="00957093" w:rsidP="002F525A">
            <w:pPr>
              <w:pStyle w:val="TableText"/>
              <w:jc w:val="center"/>
              <w:rPr>
                <w:b/>
              </w:rPr>
            </w:pPr>
            <w:r w:rsidRPr="0042063A">
              <w:rPr>
                <w:b/>
              </w:rPr>
              <w:t>Patient population</w:t>
            </w:r>
          </w:p>
        </w:tc>
        <w:tc>
          <w:tcPr>
            <w:tcW w:w="708" w:type="pct"/>
            <w:shd w:val="clear" w:color="auto" w:fill="auto"/>
            <w:vAlign w:val="center"/>
          </w:tcPr>
          <w:p w:rsidR="00957093" w:rsidRPr="0042063A" w:rsidRDefault="00957093" w:rsidP="002F525A">
            <w:pPr>
              <w:pStyle w:val="TableText"/>
              <w:jc w:val="center"/>
              <w:rPr>
                <w:b/>
              </w:rPr>
            </w:pPr>
            <w:r w:rsidRPr="0042063A">
              <w:rPr>
                <w:b/>
              </w:rPr>
              <w:t>Outcome(s)</w:t>
            </w:r>
          </w:p>
        </w:tc>
        <w:tc>
          <w:tcPr>
            <w:tcW w:w="993" w:type="pct"/>
            <w:shd w:val="clear" w:color="auto" w:fill="auto"/>
            <w:vAlign w:val="center"/>
          </w:tcPr>
          <w:p w:rsidR="00957093" w:rsidRPr="0042063A" w:rsidRDefault="00957093" w:rsidP="002F525A">
            <w:pPr>
              <w:pStyle w:val="TableText"/>
              <w:jc w:val="center"/>
              <w:rPr>
                <w:b/>
              </w:rPr>
            </w:pPr>
            <w:r w:rsidRPr="0042063A">
              <w:rPr>
                <w:b/>
              </w:rPr>
              <w:t>Use in modelled evaluation</w:t>
            </w:r>
          </w:p>
        </w:tc>
      </w:tr>
      <w:tr w:rsidR="00957093" w:rsidRPr="0042063A" w:rsidTr="002F525A">
        <w:tc>
          <w:tcPr>
            <w:tcW w:w="678" w:type="pct"/>
            <w:shd w:val="clear" w:color="auto" w:fill="auto"/>
            <w:vAlign w:val="center"/>
          </w:tcPr>
          <w:p w:rsidR="00957093" w:rsidRPr="0042063A" w:rsidRDefault="00957093" w:rsidP="00BE0700">
            <w:pPr>
              <w:pStyle w:val="TableText"/>
            </w:pPr>
            <w:r w:rsidRPr="0042063A">
              <w:t>Study 201/202</w:t>
            </w:r>
          </w:p>
        </w:tc>
        <w:tc>
          <w:tcPr>
            <w:tcW w:w="275"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24</w:t>
            </w:r>
          </w:p>
        </w:tc>
        <w:tc>
          <w:tcPr>
            <w:tcW w:w="773"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OL, SA, 96 weeks</w:t>
            </w:r>
          </w:p>
        </w:tc>
        <w:tc>
          <w:tcPr>
            <w:tcW w:w="474"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High</w:t>
            </w:r>
          </w:p>
        </w:tc>
        <w:tc>
          <w:tcPr>
            <w:tcW w:w="1098"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Early to moderate CLN2 disease (treated with cerliponase alfa 300mg fortnightly)</w:t>
            </w:r>
          </w:p>
        </w:tc>
        <w:tc>
          <w:tcPr>
            <w:tcW w:w="708"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Response rate</w:t>
            </w:r>
          </w:p>
        </w:tc>
        <w:tc>
          <w:tcPr>
            <w:tcW w:w="993"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Matched to study 901 to derive transition probabilities</w:t>
            </w:r>
          </w:p>
        </w:tc>
      </w:tr>
      <w:tr w:rsidR="00957093" w:rsidRPr="0042063A" w:rsidTr="002F525A">
        <w:tc>
          <w:tcPr>
            <w:tcW w:w="678" w:type="pct"/>
            <w:shd w:val="clear" w:color="auto" w:fill="auto"/>
            <w:vAlign w:val="center"/>
          </w:tcPr>
          <w:p w:rsidR="00957093" w:rsidRPr="0042063A" w:rsidRDefault="00957093" w:rsidP="00BE0700">
            <w:pPr>
              <w:pStyle w:val="TableText"/>
              <w:rPr>
                <w:rFonts w:ascii="Times" w:eastAsia="Times New Roman" w:hAnsi="Times" w:cs="Times New Roman"/>
              </w:rPr>
            </w:pPr>
            <w:r w:rsidRPr="0042063A">
              <w:t>Study 901</w:t>
            </w:r>
          </w:p>
        </w:tc>
        <w:tc>
          <w:tcPr>
            <w:tcW w:w="275"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49</w:t>
            </w:r>
          </w:p>
        </w:tc>
        <w:tc>
          <w:tcPr>
            <w:tcW w:w="773" w:type="pct"/>
            <w:shd w:val="clear" w:color="auto" w:fill="auto"/>
            <w:vAlign w:val="center"/>
          </w:tcPr>
          <w:p w:rsidR="00957093" w:rsidRPr="0042063A" w:rsidRDefault="00957093" w:rsidP="002F525A">
            <w:pPr>
              <w:pStyle w:val="TableText"/>
              <w:jc w:val="center"/>
              <w:rPr>
                <w:rFonts w:ascii="Times" w:eastAsia="Times New Roman" w:hAnsi="Times" w:cs="Times New Roman"/>
                <w:vertAlign w:val="superscript"/>
              </w:rPr>
            </w:pPr>
            <w:r w:rsidRPr="0042063A">
              <w:t>OL, SA,</w:t>
            </w:r>
            <w:r w:rsidR="00292839">
              <w:t xml:space="preserve"> </w:t>
            </w:r>
            <w:r w:rsidRPr="0042063A">
              <w:t>NR</w:t>
            </w:r>
            <w:r w:rsidRPr="0042063A">
              <w:rPr>
                <w:vertAlign w:val="superscript"/>
              </w:rPr>
              <w:t>1</w:t>
            </w:r>
          </w:p>
        </w:tc>
        <w:tc>
          <w:tcPr>
            <w:tcW w:w="474"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High</w:t>
            </w:r>
          </w:p>
        </w:tc>
        <w:tc>
          <w:tcPr>
            <w:tcW w:w="1098"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All CLN2 disease (treated with standard care)</w:t>
            </w:r>
          </w:p>
        </w:tc>
        <w:tc>
          <w:tcPr>
            <w:tcW w:w="708" w:type="pct"/>
            <w:shd w:val="clear" w:color="auto" w:fill="auto"/>
            <w:vAlign w:val="center"/>
          </w:tcPr>
          <w:p w:rsidR="00957093" w:rsidRPr="0042063A" w:rsidRDefault="00957093" w:rsidP="002F525A">
            <w:pPr>
              <w:pStyle w:val="TableText"/>
              <w:jc w:val="center"/>
              <w:rPr>
                <w:rFonts w:ascii="Times" w:eastAsia="Times New Roman" w:hAnsi="Times" w:cs="Times New Roman"/>
                <w:vertAlign w:val="superscript"/>
              </w:rPr>
            </w:pPr>
            <w:r w:rsidRPr="0042063A">
              <w:t>Estimated rate of decline</w:t>
            </w:r>
          </w:p>
        </w:tc>
        <w:tc>
          <w:tcPr>
            <w:tcW w:w="993" w:type="pct"/>
            <w:shd w:val="clear" w:color="auto" w:fill="auto"/>
            <w:vAlign w:val="center"/>
          </w:tcPr>
          <w:p w:rsidR="00957093" w:rsidRPr="0042063A" w:rsidRDefault="00957093" w:rsidP="002F525A">
            <w:pPr>
              <w:pStyle w:val="TableText"/>
              <w:jc w:val="center"/>
              <w:rPr>
                <w:rFonts w:ascii="Times" w:eastAsia="Times New Roman" w:hAnsi="Times" w:cs="Times New Roman"/>
              </w:rPr>
            </w:pPr>
            <w:r w:rsidRPr="0042063A">
              <w:t>Matched to study 201/202 to derive transition probabilities</w:t>
            </w:r>
          </w:p>
        </w:tc>
      </w:tr>
    </w:tbl>
    <w:p w:rsidR="00957093" w:rsidRPr="0042063A" w:rsidRDefault="00957093" w:rsidP="00957093">
      <w:pPr>
        <w:pStyle w:val="TableFooter"/>
      </w:pPr>
      <w:r w:rsidRPr="0042063A">
        <w:t xml:space="preserve">OL=open label; SA = single arm; NR = not reported </w:t>
      </w:r>
    </w:p>
    <w:p w:rsidR="00957093" w:rsidRPr="0042063A" w:rsidRDefault="00957093" w:rsidP="00957093">
      <w:pPr>
        <w:pStyle w:val="TableFooter"/>
      </w:pPr>
      <w:r w:rsidRPr="0042063A">
        <w:rPr>
          <w:vertAlign w:val="superscript"/>
        </w:rPr>
        <w:t>1</w:t>
      </w:r>
      <w:r w:rsidRPr="0042063A">
        <w:t xml:space="preserve">Was a study of patient database, no estimated follow up period reported but patients were followed up till death, which is a matter of years in patients with CLN2 disease. </w:t>
      </w:r>
    </w:p>
    <w:p w:rsidR="00957093" w:rsidRPr="0042063A" w:rsidRDefault="00957093" w:rsidP="00957093">
      <w:pPr>
        <w:pStyle w:val="TableFooter"/>
      </w:pPr>
      <w:r w:rsidRPr="0042063A">
        <w:t>Source: compiled during the evaluation</w:t>
      </w:r>
    </w:p>
    <w:p w:rsidR="00257256" w:rsidRPr="0042063A" w:rsidRDefault="00957093" w:rsidP="002F525A">
      <w:pPr>
        <w:pStyle w:val="ListParagraph"/>
        <w:numPr>
          <w:ilvl w:val="1"/>
          <w:numId w:val="2"/>
        </w:numPr>
      </w:pPr>
      <w:r w:rsidRPr="0042063A">
        <w:t xml:space="preserve">Patients enrolled in </w:t>
      </w:r>
      <w:r w:rsidR="002F525A" w:rsidRPr="0042063A">
        <w:t>S</w:t>
      </w:r>
      <w:r w:rsidRPr="0042063A">
        <w:t xml:space="preserve">tudy 201/202 were matched in a 1:1 ratio with patients enrolled in </w:t>
      </w:r>
      <w:r w:rsidR="002F525A" w:rsidRPr="0042063A">
        <w:t>S</w:t>
      </w:r>
      <w:r w:rsidRPr="0042063A">
        <w:t xml:space="preserve">tudy 901 based on two criteria: </w:t>
      </w:r>
      <w:r w:rsidR="002F525A" w:rsidRPr="0042063A">
        <w:t>(</w:t>
      </w:r>
      <w:proofErr w:type="spellStart"/>
      <w:r w:rsidR="002F525A" w:rsidRPr="0042063A">
        <w:t>i</w:t>
      </w:r>
      <w:proofErr w:type="spellEnd"/>
      <w:r w:rsidR="002F525A" w:rsidRPr="0042063A">
        <w:t xml:space="preserve">) </w:t>
      </w:r>
      <w:r w:rsidRPr="0042063A">
        <w:t xml:space="preserve">patients must have the same ML score just prior to the first dose of </w:t>
      </w:r>
      <w:r w:rsidR="00257256" w:rsidRPr="0042063A">
        <w:t xml:space="preserve">fortnightly administered </w:t>
      </w:r>
      <w:r w:rsidRPr="0042063A">
        <w:t xml:space="preserve">cerliponase alfa 300mg in </w:t>
      </w:r>
      <w:r w:rsidR="002F525A" w:rsidRPr="0042063A">
        <w:t>S</w:t>
      </w:r>
      <w:r w:rsidRPr="0042063A">
        <w:t>tudy 201/202 and baseline HML score (</w:t>
      </w:r>
      <w:r w:rsidR="002F525A" w:rsidRPr="0042063A">
        <w:t>S</w:t>
      </w:r>
      <w:r w:rsidRPr="0042063A">
        <w:t xml:space="preserve">tudy 901), and </w:t>
      </w:r>
      <w:r w:rsidR="002F525A" w:rsidRPr="0042063A">
        <w:t xml:space="preserve">(ii) </w:t>
      </w:r>
      <w:r w:rsidRPr="0042063A">
        <w:t>both patients’ age at baseline must be within 12 months.</w:t>
      </w:r>
      <w:r w:rsidR="00292839">
        <w:t xml:space="preserve"> </w:t>
      </w:r>
      <w:r w:rsidRPr="0042063A">
        <w:t xml:space="preserve">Using these criteria, the submission claimed that 21 out of 23 patients from </w:t>
      </w:r>
      <w:r w:rsidR="002F525A" w:rsidRPr="0042063A">
        <w:t>S</w:t>
      </w:r>
      <w:r w:rsidRPr="0042063A">
        <w:t xml:space="preserve">tudy 201/202 were matched to patients in </w:t>
      </w:r>
      <w:r w:rsidR="002F525A" w:rsidRPr="0042063A">
        <w:t>S</w:t>
      </w:r>
      <w:r w:rsidRPr="0042063A">
        <w:t>tudy 901.</w:t>
      </w:r>
      <w:r w:rsidR="00292839">
        <w:t xml:space="preserve"> </w:t>
      </w:r>
    </w:p>
    <w:p w:rsidR="00957093" w:rsidRPr="0042063A" w:rsidRDefault="00957093" w:rsidP="002F525A">
      <w:pPr>
        <w:pStyle w:val="ListParagraph"/>
        <w:numPr>
          <w:ilvl w:val="1"/>
          <w:numId w:val="2"/>
        </w:numPr>
      </w:pPr>
      <w:r w:rsidRPr="0042063A">
        <w:t>There were inconsistencies with the number of patients reported in 1:1 matching.</w:t>
      </w:r>
      <w:r w:rsidR="00292839">
        <w:t xml:space="preserve"> </w:t>
      </w:r>
      <w:r w:rsidRPr="0042063A">
        <w:t>In the NICE assessment of cerliponase alfa in the UK, the same 1:1 matched comparison was conducted between the same studies, but 22 patients were reported</w:t>
      </w:r>
      <w:r w:rsidR="002F525A" w:rsidRPr="0042063A">
        <w:t>ly</w:t>
      </w:r>
      <w:r w:rsidRPr="0042063A">
        <w:t xml:space="preserve"> matched instead of 21.</w:t>
      </w:r>
      <w:r w:rsidR="00292839">
        <w:t xml:space="preserve"> </w:t>
      </w:r>
      <w:r w:rsidRPr="0042063A">
        <w:t xml:space="preserve">Moreover, when the submission used patient level data from the matched comparison to estimate the transition probabilities in the economic evaluation (Appendix 21 of the submission), </w:t>
      </w:r>
      <w:r w:rsidR="006E2381">
        <w:rPr>
          <w:rFonts w:ascii="Calibri" w:eastAsia="Calibri" w:hAnsi="Calibri" w:cs="Arial"/>
          <w:noProof/>
          <w:color w:val="000000"/>
          <w:highlight w:val="black"/>
        </w:rPr>
        <w:t xml:space="preserve">'''''' </w:t>
      </w:r>
      <w:r w:rsidRPr="0042063A">
        <w:t xml:space="preserve">matched pairs were identified. </w:t>
      </w:r>
      <w:r w:rsidR="00E73417" w:rsidRPr="0042063A">
        <w:t xml:space="preserve">The PSCR </w:t>
      </w:r>
      <w:r w:rsidR="00736473" w:rsidRPr="0042063A">
        <w:t>stated that the discrepancy</w:t>
      </w:r>
      <w:r w:rsidR="0009457F" w:rsidRPr="0042063A">
        <w:t xml:space="preserve"> between the number of matched pairs in the NICE assessment and the submission was due to an update of the DEM-CHILD database between the 72-week data analysis used in the NICE evaluation and the 96-week data analysis in the submission which resulted in a new set of patients and an additional patient from Study 201/202 being unmatched in the 96-week data analysis. </w:t>
      </w:r>
      <w:r w:rsidR="00C60A63" w:rsidRPr="0042063A">
        <w:t>The PSCR further explained that</w:t>
      </w:r>
      <w:r w:rsidR="00420092" w:rsidRPr="0042063A">
        <w:t xml:space="preserve"> the discrepancy in </w:t>
      </w:r>
      <w:r w:rsidR="00100DDD" w:rsidRPr="0042063A">
        <w:t xml:space="preserve">the </w:t>
      </w:r>
      <w:r w:rsidR="00420092" w:rsidRPr="0042063A">
        <w:t>number of matched pairs in the</w:t>
      </w:r>
      <w:r w:rsidR="00E57D4A" w:rsidRPr="0042063A">
        <w:t xml:space="preserve"> 1:1</w:t>
      </w:r>
      <w:r w:rsidR="00420092" w:rsidRPr="0042063A">
        <w:t xml:space="preserve"> matched comparison</w:t>
      </w:r>
      <w:r w:rsidR="00E57D4A" w:rsidRPr="0042063A">
        <w:t xml:space="preserve"> and the matched comparison</w:t>
      </w:r>
      <w:r w:rsidR="00420092" w:rsidRPr="0042063A">
        <w:t xml:space="preserve"> used to estimate the transition probabilities was due to</w:t>
      </w:r>
      <w:r w:rsidR="00C60A63" w:rsidRPr="0042063A">
        <w:t xml:space="preserve"> more than one patient from Study 201/202 </w:t>
      </w:r>
      <w:r w:rsidR="00420092" w:rsidRPr="0042063A">
        <w:t>being</w:t>
      </w:r>
      <w:r w:rsidR="00C60A63" w:rsidRPr="0042063A">
        <w:t xml:space="preserve"> matched to the same patient in Study 901 </w:t>
      </w:r>
      <w:r w:rsidR="00420092" w:rsidRPr="0042063A">
        <w:t>in some instances.</w:t>
      </w:r>
    </w:p>
    <w:p w:rsidR="00117A67" w:rsidRPr="0042063A" w:rsidRDefault="00117A67" w:rsidP="002F525A">
      <w:pPr>
        <w:pStyle w:val="ListParagraph"/>
        <w:numPr>
          <w:ilvl w:val="1"/>
          <w:numId w:val="2"/>
        </w:numPr>
      </w:pPr>
      <w:r w:rsidRPr="0042063A">
        <w:t>The 1:1 matching did not consider other characteristics such as residual TPP1 activity or uncommon genotype in CLN2 mutation which are likely to be more prognostic of CLN2 disease progression than baseline age.</w:t>
      </w:r>
      <w:r w:rsidR="00292839">
        <w:t xml:space="preserve"> </w:t>
      </w:r>
      <w:r w:rsidR="002436FF" w:rsidRPr="0042063A">
        <w:t>T</w:t>
      </w:r>
      <w:r w:rsidRPr="0042063A">
        <w:t>here were twice as many patients with uncommon genotypes (</w:t>
      </w:r>
      <w:r w:rsidR="006E2381">
        <w:rPr>
          <w:rFonts w:ascii="Calibri" w:eastAsia="Calibri" w:hAnsi="Calibri" w:cs="Arial"/>
          <w:noProof/>
          <w:color w:val="000000"/>
          <w:highlight w:val="black"/>
        </w:rPr>
        <w:t>''''''</w:t>
      </w:r>
      <w:r w:rsidRPr="0042063A">
        <w:t>) in Study 201/202 than there were in Study 901 (</w:t>
      </w:r>
      <w:r w:rsidR="006E2381">
        <w:rPr>
          <w:noProof/>
          <w:color w:val="000000"/>
          <w:highlight w:val="black"/>
        </w:rPr>
        <w:t>'''''''''''</w:t>
      </w:r>
      <w:r w:rsidRPr="0042063A">
        <w:t xml:space="preserve">), </w:t>
      </w:r>
      <w:r w:rsidR="00683D4F" w:rsidRPr="0042063A">
        <w:t>which may bias</w:t>
      </w:r>
      <w:r w:rsidRPr="0042063A">
        <w:t xml:space="preserve"> the results in favour of cerliponase alfa as Nickel et al 2016 noted that uncommon genotypes are potentially associated with delayed onset or prolonged course of disease (i.e. slower rate of decline).</w:t>
      </w:r>
      <w:r w:rsidR="00A97731" w:rsidRPr="0042063A">
        <w:t xml:space="preserve"> The PSCR </w:t>
      </w:r>
      <w:r w:rsidR="009A10A2" w:rsidRPr="0042063A">
        <w:t xml:space="preserve">presented results from Schulz </w:t>
      </w:r>
      <w:r w:rsidR="009A10A2" w:rsidRPr="0042063A">
        <w:lastRenderedPageBreak/>
        <w:t>et al., 2018</w:t>
      </w:r>
      <w:r w:rsidR="00D308D4" w:rsidRPr="0042063A">
        <w:rPr>
          <w:rStyle w:val="FootnoteReference"/>
        </w:rPr>
        <w:footnoteReference w:id="1"/>
      </w:r>
      <w:r w:rsidR="009A10A2" w:rsidRPr="0042063A">
        <w:t xml:space="preserve"> of an additional 1:1 match</w:t>
      </w:r>
      <w:r w:rsidR="00B415F1" w:rsidRPr="0042063A">
        <w:t>ed</w:t>
      </w:r>
      <w:r w:rsidR="009A10A2" w:rsidRPr="0042063A">
        <w:t xml:space="preserve"> comparison </w:t>
      </w:r>
      <w:r w:rsidR="00B415F1" w:rsidRPr="0042063A">
        <w:t>adjusted for genotype. In the 1:1</w:t>
      </w:r>
      <w:r w:rsidR="00364FCD" w:rsidRPr="0042063A">
        <w:t xml:space="preserve"> matched comparison adjusted for genotype,</w:t>
      </w:r>
      <w:r w:rsidR="00292839">
        <w:t xml:space="preserve"> </w:t>
      </w:r>
      <w:r w:rsidR="00364FCD" w:rsidRPr="0042063A">
        <w:t xml:space="preserve">the mean rate of decline in ML score per 48 weeks was an incremental difference of 1.70 points (cerliponase alfa: 0.20 ± 0.67; standard care: 1.90 ± 1.23) compared with an incremental difference </w:t>
      </w:r>
      <w:r w:rsidR="00364FCD" w:rsidRPr="00080E98">
        <w:t xml:space="preserve">of </w:t>
      </w:r>
      <w:r w:rsidR="006E2381">
        <w:rPr>
          <w:noProof/>
          <w:color w:val="000000"/>
          <w:highlight w:val="black"/>
        </w:rPr>
        <w:t>'''''</w:t>
      </w:r>
      <w:r w:rsidR="00292839">
        <w:t xml:space="preserve"> </w:t>
      </w:r>
      <w:r w:rsidR="00364FCD" w:rsidRPr="0042063A">
        <w:t>points in the</w:t>
      </w:r>
      <w:r w:rsidR="00D5653B" w:rsidRPr="0042063A">
        <w:t xml:space="preserve"> unadjusted</w:t>
      </w:r>
      <w:r w:rsidR="00364FCD" w:rsidRPr="0042063A">
        <w:t xml:space="preserve"> 1:1 matched comparison in the submission.</w:t>
      </w:r>
      <w:r w:rsidR="00D5653B" w:rsidRPr="0042063A">
        <w:t xml:space="preserve"> </w:t>
      </w:r>
      <w:r w:rsidR="00B415F1" w:rsidRPr="0042063A">
        <w:t>The PSCR noted that these results did not differ significantly from the results of the 1:1 matched comparison in the submission.</w:t>
      </w:r>
      <w:r w:rsidR="00292839">
        <w:t xml:space="preserve"> </w:t>
      </w:r>
    </w:p>
    <w:p w:rsidR="004C64AD" w:rsidRPr="0042063A" w:rsidRDefault="004C64AD" w:rsidP="00345D0E">
      <w:pPr>
        <w:pStyle w:val="ListParagraph"/>
        <w:numPr>
          <w:ilvl w:val="1"/>
          <w:numId w:val="2"/>
        </w:numPr>
      </w:pPr>
      <w:r w:rsidRPr="0042063A">
        <w:t xml:space="preserve">Although the 1:1 matching of patients in Studies 201/202 and 901 </w:t>
      </w:r>
      <w:r w:rsidR="00683D4F" w:rsidRPr="0042063A">
        <w:t xml:space="preserve">aimed </w:t>
      </w:r>
      <w:r w:rsidRPr="0042063A">
        <w:t>to emulate a randomised trial, the exclusion of 13 natural history studies (where it is acknowledged there may be some overlap in the patients enrolled in each) and/or more than half the patients in Study 901 (all patients with CLN2 disease which is more likely to reflect the requested PBS population than those enrolled in Study 201/202 (patients with early-to-moderate progression of CLN2 disease) may bias the estimates of the natural progression of this rare disease.</w:t>
      </w:r>
      <w:r w:rsidR="00292839">
        <w:t xml:space="preserve"> </w:t>
      </w:r>
      <w:r w:rsidRPr="0042063A">
        <w:t>A more appropriate approach may have been to provide an estimate of the natural progression of CLN2 disease using all available data, in addition to the 1:1 matching to assess and quantify any potential bias.</w:t>
      </w:r>
      <w:r w:rsidR="004E4ED5" w:rsidRPr="0042063A">
        <w:t xml:space="preserve"> Although noting that the exclusion of data was based on earlier </w:t>
      </w:r>
      <w:r w:rsidR="00DC355B" w:rsidRPr="0042063A">
        <w:t xml:space="preserve">Food and Drug Administration </w:t>
      </w:r>
      <w:r w:rsidR="004E4ED5" w:rsidRPr="0042063A">
        <w:t>advice,</w:t>
      </w:r>
      <w:r w:rsidRPr="0042063A">
        <w:t xml:space="preserve"> </w:t>
      </w:r>
      <w:r w:rsidR="004E4ED5" w:rsidRPr="0042063A">
        <w:t>t</w:t>
      </w:r>
      <w:r w:rsidR="00C91FE5" w:rsidRPr="0042063A">
        <w:t>he ESC considered that the exclusion of additional data may not have been appropriate in the context of the small population size</w:t>
      </w:r>
      <w:r w:rsidR="00047198" w:rsidRPr="0042063A">
        <w:t xml:space="preserve"> and matched comparison</w:t>
      </w:r>
      <w:r w:rsidR="00484C1A">
        <w:t>.</w:t>
      </w:r>
    </w:p>
    <w:p w:rsidR="00957093" w:rsidRPr="0042063A" w:rsidRDefault="00957093" w:rsidP="00957093">
      <w:pPr>
        <w:pStyle w:val="Heading2"/>
      </w:pPr>
      <w:bookmarkStart w:id="18" w:name="_Toc514241625"/>
      <w:r w:rsidRPr="0042063A">
        <w:t>Comparative effectiveness</w:t>
      </w:r>
      <w:bookmarkEnd w:id="18"/>
      <w:r w:rsidRPr="0042063A">
        <w:t xml:space="preserve"> </w:t>
      </w:r>
    </w:p>
    <w:p w:rsidR="00A87CD8" w:rsidRPr="0042063A" w:rsidRDefault="00957093" w:rsidP="002B0E3F">
      <w:pPr>
        <w:pStyle w:val="ListParagraph"/>
        <w:numPr>
          <w:ilvl w:val="1"/>
          <w:numId w:val="2"/>
        </w:numPr>
        <w:spacing w:before="0" w:after="240" w:line="259" w:lineRule="auto"/>
        <w:ind w:left="578" w:hanging="578"/>
        <w:jc w:val="left"/>
      </w:pPr>
      <w:r w:rsidRPr="0042063A">
        <w:t xml:space="preserve">The primary outcome in </w:t>
      </w:r>
      <w:r w:rsidR="00345D0E" w:rsidRPr="0042063A">
        <w:t>S</w:t>
      </w:r>
      <w:r w:rsidRPr="0042063A">
        <w:t xml:space="preserve">tudy 201/202 was a responder analysis, where a responder was defined </w:t>
      </w:r>
      <w:r w:rsidR="00683D4F" w:rsidRPr="0042063A">
        <w:t xml:space="preserve">by </w:t>
      </w:r>
      <w:r w:rsidRPr="0042063A">
        <w:t xml:space="preserve">an absence of an unreversed 2-point decline or score of 0 on the ML </w:t>
      </w:r>
      <w:r w:rsidR="00C917EA" w:rsidRPr="0042063A">
        <w:t xml:space="preserve">scale </w:t>
      </w:r>
      <w:r w:rsidRPr="0042063A">
        <w:t>(either adapted CLN2 rating scale or Hamburg rating scale) per 48 weeks.</w:t>
      </w:r>
      <w:r w:rsidR="00292839">
        <w:t xml:space="preserve"> </w:t>
      </w:r>
      <w:r w:rsidRPr="0042063A">
        <w:t>The responder analys</w:t>
      </w:r>
      <w:r w:rsidR="00DE0B63" w:rsidRPr="0042063A">
        <w:t>i</w:t>
      </w:r>
      <w:r w:rsidRPr="0042063A">
        <w:t xml:space="preserve">s was not an outcome in </w:t>
      </w:r>
      <w:r w:rsidR="00345D0E" w:rsidRPr="0042063A">
        <w:t>S</w:t>
      </w:r>
      <w:r w:rsidRPr="0042063A">
        <w:t>tudy 901.</w:t>
      </w:r>
      <w:r w:rsidR="00292839">
        <w:t xml:space="preserve"> </w:t>
      </w:r>
      <w:r w:rsidRPr="0042063A">
        <w:t>Instead, the submission estimate</w:t>
      </w:r>
      <w:r w:rsidR="00683D4F" w:rsidRPr="0042063A">
        <w:t>d</w:t>
      </w:r>
      <w:r w:rsidRPr="0042063A">
        <w:t xml:space="preserve"> the response rate</w:t>
      </w:r>
      <w:r w:rsidR="00C917EA" w:rsidRPr="0042063A">
        <w:t xml:space="preserve"> (a different definition of ‘responder’ was used)</w:t>
      </w:r>
      <w:r w:rsidRPr="0042063A">
        <w:t xml:space="preserve"> in patients from </w:t>
      </w:r>
      <w:r w:rsidR="00345D0E" w:rsidRPr="0042063A">
        <w:t>S</w:t>
      </w:r>
      <w:r w:rsidRPr="0042063A">
        <w:t>tudy 901 in the matched 1:1 comparison using patient level data.</w:t>
      </w:r>
      <w:r w:rsidR="00292839">
        <w:t xml:space="preserve"> </w:t>
      </w:r>
      <w:r w:rsidRPr="0042063A">
        <w:t xml:space="preserve">The responder analysis in </w:t>
      </w:r>
      <w:r w:rsidR="00345D0E" w:rsidRPr="0042063A">
        <w:t>S</w:t>
      </w:r>
      <w:r w:rsidRPr="0042063A">
        <w:t xml:space="preserve">tudy 201/202 is presented in </w:t>
      </w:r>
      <w:r w:rsidR="00345D0E" w:rsidRPr="0042063A">
        <w:t xml:space="preserve">Table </w:t>
      </w:r>
      <w:r w:rsidR="00345D0E" w:rsidRPr="0042063A">
        <w:rPr>
          <w:noProof/>
        </w:rPr>
        <w:t>4</w:t>
      </w:r>
      <w:r w:rsidR="00683D4F" w:rsidRPr="0042063A">
        <w:t xml:space="preserve"> </w:t>
      </w:r>
      <w:r w:rsidRPr="0042063A">
        <w:t xml:space="preserve">and the responder analysis in the 1:1 matched comparison is presented </w:t>
      </w:r>
      <w:r w:rsidRPr="0042063A">
        <w:rPr>
          <w:rFonts w:ascii="Calibri" w:hAnsi="Calibri"/>
        </w:rPr>
        <w:t xml:space="preserve">in </w:t>
      </w:r>
      <w:r w:rsidR="00345D0E" w:rsidRPr="0042063A">
        <w:rPr>
          <w:rFonts w:ascii="Calibri" w:hAnsi="Calibri"/>
        </w:rPr>
        <w:t xml:space="preserve">Table </w:t>
      </w:r>
      <w:r w:rsidR="00345D0E" w:rsidRPr="0042063A">
        <w:rPr>
          <w:rFonts w:ascii="Calibri" w:hAnsi="Calibri"/>
          <w:noProof/>
        </w:rPr>
        <w:t>5</w:t>
      </w:r>
      <w:r w:rsidRPr="0042063A">
        <w:t>.</w:t>
      </w:r>
    </w:p>
    <w:p w:rsidR="002E394B" w:rsidRDefault="002E394B">
      <w:pPr>
        <w:spacing w:before="0" w:line="259" w:lineRule="auto"/>
        <w:jc w:val="left"/>
        <w:rPr>
          <w:rFonts w:ascii="Arial Narrow" w:hAnsi="Arial Narrow"/>
          <w:b/>
          <w:iCs/>
          <w:sz w:val="20"/>
          <w:szCs w:val="18"/>
        </w:rPr>
      </w:pPr>
      <w:bookmarkStart w:id="19" w:name="_Ref512276932"/>
      <w:r>
        <w:rPr>
          <w:rFonts w:ascii="Arial Narrow" w:hAnsi="Arial Narrow"/>
        </w:rPr>
        <w:br w:type="page"/>
      </w:r>
    </w:p>
    <w:p w:rsidR="00957093" w:rsidRPr="0042063A" w:rsidRDefault="00345D0E" w:rsidP="00345D0E">
      <w:pPr>
        <w:pStyle w:val="Caption"/>
      </w:pPr>
      <w:r w:rsidRPr="0042063A">
        <w:rPr>
          <w:rFonts w:ascii="Arial Narrow" w:hAnsi="Arial Narrow"/>
        </w:rPr>
        <w:lastRenderedPageBreak/>
        <w:t xml:space="preserve">Table </w:t>
      </w:r>
      <w:r w:rsidR="0000175F" w:rsidRPr="0042063A">
        <w:rPr>
          <w:rFonts w:ascii="Arial Narrow" w:hAnsi="Arial Narrow"/>
          <w:noProof/>
        </w:rPr>
        <w:t>4</w:t>
      </w:r>
      <w:bookmarkEnd w:id="19"/>
      <w:r w:rsidR="00957093" w:rsidRPr="0042063A">
        <w:t xml:space="preserve">: </w:t>
      </w:r>
      <w:r w:rsidR="00957093" w:rsidRPr="0042063A">
        <w:rPr>
          <w:rFonts w:ascii="Arial Narrow" w:hAnsi="Arial Narrow"/>
        </w:rPr>
        <w:t>Responder analysis (absence of an unreversed 2-point decline in ML or score of 0)</w:t>
      </w:r>
      <w:r w:rsidR="00957093" w:rsidRPr="0042063A">
        <w:t xml:space="preserve">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Caption w:val="Table 4: Responder analysis (absence of an unreversed 2-point decline in ML or score of 0) "/>
      </w:tblPr>
      <w:tblGrid>
        <w:gridCol w:w="1951"/>
        <w:gridCol w:w="567"/>
        <w:gridCol w:w="1276"/>
        <w:gridCol w:w="1701"/>
        <w:gridCol w:w="567"/>
        <w:gridCol w:w="1276"/>
        <w:gridCol w:w="1678"/>
      </w:tblGrid>
      <w:tr w:rsidR="00957093" w:rsidRPr="0042063A" w:rsidTr="00484C1A">
        <w:trPr>
          <w:cnfStyle w:val="100000000000" w:firstRow="1" w:lastRow="0" w:firstColumn="0" w:lastColumn="0" w:oddVBand="0" w:evenVBand="0" w:oddHBand="0" w:evenHBand="0" w:firstRowFirstColumn="0" w:firstRowLastColumn="0" w:lastRowFirstColumn="0" w:lastRowLastColumn="0"/>
          <w:tblHeader/>
        </w:trPr>
        <w:tc>
          <w:tcPr>
            <w:tcW w:w="1951" w:type="dxa"/>
            <w:vMerge w:val="restart"/>
            <w:shd w:val="clear" w:color="auto" w:fill="auto"/>
            <w:vAlign w:val="center"/>
          </w:tcPr>
          <w:p w:rsidR="00957093" w:rsidRPr="0042063A" w:rsidRDefault="00957093" w:rsidP="00BE0700">
            <w:pPr>
              <w:spacing w:before="40" w:after="40"/>
              <w:rPr>
                <w:rFonts w:ascii="Arial Narrow" w:hAnsi="Arial Narrow" w:cs="Arial"/>
                <w:sz w:val="20"/>
                <w:szCs w:val="20"/>
              </w:rPr>
            </w:pPr>
            <w:r w:rsidRPr="0042063A">
              <w:rPr>
                <w:rFonts w:ascii="Arial Narrow" w:hAnsi="Arial Narrow" w:cs="Arial"/>
                <w:sz w:val="20"/>
                <w:szCs w:val="20"/>
              </w:rPr>
              <w:t xml:space="preserve">Population </w:t>
            </w:r>
          </w:p>
        </w:tc>
        <w:tc>
          <w:tcPr>
            <w:tcW w:w="3544" w:type="dxa"/>
            <w:gridSpan w:val="3"/>
            <w:shd w:val="clear" w:color="auto" w:fill="auto"/>
            <w:vAlign w:val="center"/>
          </w:tcPr>
          <w:p w:rsidR="00957093" w:rsidRPr="0042063A" w:rsidRDefault="00957093" w:rsidP="00BE0700">
            <w:pPr>
              <w:spacing w:before="40" w:after="40"/>
              <w:jc w:val="center"/>
              <w:rPr>
                <w:rFonts w:ascii="Arial Narrow" w:hAnsi="Arial Narrow" w:cs="Arial"/>
                <w:sz w:val="20"/>
                <w:szCs w:val="20"/>
              </w:rPr>
            </w:pPr>
            <w:r w:rsidRPr="0042063A">
              <w:rPr>
                <w:rFonts w:ascii="Arial Narrow" w:hAnsi="Arial Narrow" w:cs="Arial"/>
                <w:sz w:val="20"/>
                <w:szCs w:val="20"/>
              </w:rPr>
              <w:t>48 weeks (Study 201)</w:t>
            </w:r>
          </w:p>
        </w:tc>
        <w:tc>
          <w:tcPr>
            <w:tcW w:w="3521" w:type="dxa"/>
            <w:gridSpan w:val="3"/>
            <w:shd w:val="clear" w:color="auto" w:fill="auto"/>
            <w:vAlign w:val="center"/>
          </w:tcPr>
          <w:p w:rsidR="00957093" w:rsidRPr="0042063A" w:rsidRDefault="00957093" w:rsidP="00BE0700">
            <w:pPr>
              <w:spacing w:before="40" w:after="40"/>
              <w:jc w:val="center"/>
              <w:rPr>
                <w:rFonts w:ascii="Arial Narrow" w:hAnsi="Arial Narrow" w:cs="Arial"/>
                <w:sz w:val="20"/>
                <w:szCs w:val="20"/>
              </w:rPr>
            </w:pPr>
            <w:r w:rsidRPr="0042063A">
              <w:rPr>
                <w:rFonts w:ascii="Arial Narrow" w:hAnsi="Arial Narrow" w:cs="Arial"/>
                <w:sz w:val="20"/>
                <w:szCs w:val="20"/>
              </w:rPr>
              <w:t>96 weeks (Study 202)</w:t>
            </w:r>
          </w:p>
        </w:tc>
      </w:tr>
      <w:tr w:rsidR="00957093" w:rsidRPr="0042063A" w:rsidTr="00484C1A">
        <w:trPr>
          <w:cnfStyle w:val="100000000000" w:firstRow="1" w:lastRow="0" w:firstColumn="0" w:lastColumn="0" w:oddVBand="0" w:evenVBand="0" w:oddHBand="0" w:evenHBand="0" w:firstRowFirstColumn="0" w:firstRowLastColumn="0" w:lastRowFirstColumn="0" w:lastRowLastColumn="0"/>
          <w:tblHeader/>
        </w:trPr>
        <w:tc>
          <w:tcPr>
            <w:tcW w:w="1951" w:type="dxa"/>
            <w:vMerge/>
            <w:shd w:val="clear" w:color="auto" w:fill="auto"/>
            <w:vAlign w:val="center"/>
          </w:tcPr>
          <w:p w:rsidR="00957093" w:rsidRPr="0042063A" w:rsidRDefault="00957093" w:rsidP="00BE0700">
            <w:pPr>
              <w:spacing w:before="40" w:after="40"/>
              <w:rPr>
                <w:rFonts w:ascii="Arial Narrow" w:hAnsi="Arial Narrow" w:cs="Arial"/>
                <w:sz w:val="20"/>
                <w:szCs w:val="20"/>
              </w:rPr>
            </w:pPr>
          </w:p>
        </w:tc>
        <w:tc>
          <w:tcPr>
            <w:tcW w:w="567" w:type="dxa"/>
            <w:shd w:val="clear" w:color="auto" w:fill="auto"/>
            <w:vAlign w:val="center"/>
          </w:tcPr>
          <w:p w:rsidR="00957093" w:rsidRPr="0042063A" w:rsidRDefault="00487DCF" w:rsidP="00BE0700">
            <w:pPr>
              <w:spacing w:before="40" w:after="40"/>
              <w:jc w:val="center"/>
              <w:rPr>
                <w:rFonts w:ascii="Arial Narrow" w:hAnsi="Arial Narrow" w:cs="Arial"/>
                <w:b w:val="0"/>
                <w:sz w:val="20"/>
                <w:szCs w:val="20"/>
              </w:rPr>
            </w:pPr>
            <w:r w:rsidRPr="0042063A">
              <w:rPr>
                <w:rFonts w:ascii="Arial Narrow" w:hAnsi="Arial Narrow" w:cs="Arial"/>
                <w:sz w:val="20"/>
                <w:szCs w:val="20"/>
              </w:rPr>
              <w:t>N</w:t>
            </w:r>
          </w:p>
        </w:tc>
        <w:tc>
          <w:tcPr>
            <w:tcW w:w="1276" w:type="dxa"/>
            <w:shd w:val="clear" w:color="auto" w:fill="auto"/>
            <w:vAlign w:val="center"/>
          </w:tcPr>
          <w:p w:rsidR="00957093" w:rsidRPr="0042063A" w:rsidRDefault="00957093" w:rsidP="00BE0700">
            <w:pPr>
              <w:spacing w:before="40" w:after="40"/>
              <w:jc w:val="center"/>
              <w:rPr>
                <w:rFonts w:ascii="Arial Narrow" w:hAnsi="Arial Narrow" w:cs="Arial"/>
                <w:b w:val="0"/>
                <w:sz w:val="20"/>
                <w:szCs w:val="20"/>
              </w:rPr>
            </w:pPr>
            <w:r w:rsidRPr="0042063A">
              <w:rPr>
                <w:rFonts w:ascii="Arial Narrow" w:hAnsi="Arial Narrow" w:cs="Arial"/>
                <w:sz w:val="20"/>
                <w:szCs w:val="20"/>
              </w:rPr>
              <w:t>% (95% CI)</w:t>
            </w:r>
          </w:p>
        </w:tc>
        <w:tc>
          <w:tcPr>
            <w:tcW w:w="1701" w:type="dxa"/>
            <w:shd w:val="clear" w:color="auto" w:fill="auto"/>
            <w:vAlign w:val="center"/>
          </w:tcPr>
          <w:p w:rsidR="00957093" w:rsidRPr="0042063A" w:rsidRDefault="00957093" w:rsidP="00BE0700">
            <w:pPr>
              <w:spacing w:before="40" w:after="40"/>
              <w:jc w:val="center"/>
              <w:rPr>
                <w:rFonts w:ascii="Arial Narrow" w:hAnsi="Arial Narrow" w:cs="Arial"/>
                <w:b w:val="0"/>
                <w:sz w:val="20"/>
                <w:szCs w:val="20"/>
                <w:vertAlign w:val="superscript"/>
              </w:rPr>
            </w:pPr>
            <w:r w:rsidRPr="0042063A">
              <w:rPr>
                <w:rFonts w:ascii="Arial Narrow" w:hAnsi="Arial Narrow" w:cs="Arial"/>
                <w:sz w:val="20"/>
                <w:szCs w:val="20"/>
              </w:rPr>
              <w:t>1-sided p-value</w:t>
            </w:r>
            <w:r w:rsidRPr="0042063A">
              <w:rPr>
                <w:rFonts w:ascii="Arial Narrow" w:hAnsi="Arial Narrow" w:cs="Arial"/>
                <w:sz w:val="20"/>
                <w:szCs w:val="20"/>
                <w:vertAlign w:val="superscript"/>
              </w:rPr>
              <w:t>1</w:t>
            </w:r>
          </w:p>
        </w:tc>
        <w:tc>
          <w:tcPr>
            <w:tcW w:w="567" w:type="dxa"/>
            <w:shd w:val="clear" w:color="auto" w:fill="auto"/>
            <w:vAlign w:val="center"/>
          </w:tcPr>
          <w:p w:rsidR="00957093" w:rsidRPr="0042063A" w:rsidRDefault="00957093" w:rsidP="00BE0700">
            <w:pPr>
              <w:spacing w:before="40" w:after="40"/>
              <w:jc w:val="center"/>
              <w:rPr>
                <w:rFonts w:ascii="Arial Narrow" w:hAnsi="Arial Narrow" w:cs="Arial"/>
                <w:b w:val="0"/>
                <w:sz w:val="20"/>
                <w:szCs w:val="20"/>
              </w:rPr>
            </w:pPr>
            <w:r w:rsidRPr="0042063A">
              <w:rPr>
                <w:rFonts w:ascii="Arial Narrow" w:hAnsi="Arial Narrow" w:cs="Arial"/>
                <w:sz w:val="20"/>
                <w:szCs w:val="20"/>
              </w:rPr>
              <w:t>n</w:t>
            </w:r>
          </w:p>
        </w:tc>
        <w:tc>
          <w:tcPr>
            <w:tcW w:w="1276" w:type="dxa"/>
            <w:shd w:val="clear" w:color="auto" w:fill="auto"/>
            <w:vAlign w:val="center"/>
          </w:tcPr>
          <w:p w:rsidR="00957093" w:rsidRPr="0042063A" w:rsidRDefault="00957093" w:rsidP="00BE0700">
            <w:pPr>
              <w:spacing w:before="40" w:after="40"/>
              <w:jc w:val="center"/>
              <w:rPr>
                <w:rFonts w:ascii="Arial Narrow" w:hAnsi="Arial Narrow" w:cs="Arial"/>
                <w:b w:val="0"/>
                <w:sz w:val="20"/>
                <w:szCs w:val="20"/>
              </w:rPr>
            </w:pPr>
            <w:r w:rsidRPr="0042063A">
              <w:rPr>
                <w:rFonts w:ascii="Arial Narrow" w:hAnsi="Arial Narrow" w:cs="Arial"/>
                <w:sz w:val="20"/>
                <w:szCs w:val="20"/>
              </w:rPr>
              <w:t>% (95% CI)</w:t>
            </w:r>
          </w:p>
        </w:tc>
        <w:tc>
          <w:tcPr>
            <w:tcW w:w="1678" w:type="dxa"/>
            <w:shd w:val="clear" w:color="auto" w:fill="auto"/>
            <w:vAlign w:val="center"/>
          </w:tcPr>
          <w:p w:rsidR="00957093" w:rsidRPr="0042063A" w:rsidRDefault="00957093" w:rsidP="00BE0700">
            <w:pPr>
              <w:spacing w:before="40" w:after="40"/>
              <w:jc w:val="center"/>
              <w:rPr>
                <w:rFonts w:ascii="Arial Narrow" w:hAnsi="Arial Narrow" w:cs="Arial"/>
                <w:b w:val="0"/>
                <w:sz w:val="20"/>
                <w:szCs w:val="20"/>
                <w:vertAlign w:val="superscript"/>
              </w:rPr>
            </w:pPr>
            <w:r w:rsidRPr="0042063A">
              <w:rPr>
                <w:rFonts w:ascii="Arial Narrow" w:hAnsi="Arial Narrow" w:cs="Arial"/>
                <w:sz w:val="20"/>
                <w:szCs w:val="20"/>
              </w:rPr>
              <w:t>1-sided p-value</w:t>
            </w:r>
            <w:r w:rsidRPr="0042063A">
              <w:rPr>
                <w:rFonts w:ascii="Arial Narrow" w:hAnsi="Arial Narrow" w:cs="Arial"/>
                <w:sz w:val="20"/>
                <w:szCs w:val="20"/>
                <w:vertAlign w:val="superscript"/>
              </w:rPr>
              <w:t>1</w:t>
            </w:r>
          </w:p>
        </w:tc>
      </w:tr>
      <w:tr w:rsidR="00957093" w:rsidRPr="0042063A" w:rsidTr="00BE0700">
        <w:tc>
          <w:tcPr>
            <w:tcW w:w="9016" w:type="dxa"/>
            <w:gridSpan w:val="7"/>
            <w:shd w:val="clear" w:color="auto" w:fill="auto"/>
            <w:vAlign w:val="center"/>
          </w:tcPr>
          <w:p w:rsidR="00957093" w:rsidRPr="0042063A" w:rsidRDefault="00957093" w:rsidP="00BE0700">
            <w:pPr>
              <w:spacing w:before="40" w:after="40"/>
              <w:rPr>
                <w:rFonts w:ascii="Arial Narrow" w:hAnsi="Arial Narrow" w:cs="Arial"/>
                <w:sz w:val="20"/>
                <w:szCs w:val="20"/>
              </w:rPr>
            </w:pPr>
            <w:r w:rsidRPr="0042063A">
              <w:rPr>
                <w:rFonts w:ascii="Arial Narrow" w:hAnsi="Arial Narrow" w:cs="Arial"/>
                <w:sz w:val="20"/>
                <w:szCs w:val="20"/>
              </w:rPr>
              <w:t>Primary analysis</w:t>
            </w:r>
          </w:p>
        </w:tc>
      </w:tr>
      <w:tr w:rsidR="00957093" w:rsidRPr="0042063A" w:rsidTr="00BE0700">
        <w:tc>
          <w:tcPr>
            <w:tcW w:w="1951" w:type="dxa"/>
            <w:shd w:val="clear" w:color="auto" w:fill="auto"/>
            <w:vAlign w:val="center"/>
          </w:tcPr>
          <w:p w:rsidR="00957093" w:rsidRPr="0042063A" w:rsidRDefault="00957093" w:rsidP="00BE0700">
            <w:pPr>
              <w:spacing w:before="40" w:after="40"/>
              <w:rPr>
                <w:rFonts w:ascii="Arial Narrow" w:hAnsi="Arial Narrow" w:cs="Arial"/>
                <w:sz w:val="20"/>
                <w:szCs w:val="20"/>
              </w:rPr>
            </w:pPr>
            <w:r w:rsidRPr="0042063A">
              <w:rPr>
                <w:rFonts w:ascii="Arial Narrow" w:hAnsi="Arial Narrow" w:cs="Arial"/>
                <w:sz w:val="20"/>
                <w:szCs w:val="20"/>
              </w:rPr>
              <w:t>ITT</w:t>
            </w:r>
            <w:r w:rsidRPr="0042063A">
              <w:rPr>
                <w:rFonts w:ascii="Arial Narrow" w:hAnsi="Arial Narrow" w:cs="Arial"/>
                <w:sz w:val="20"/>
                <w:szCs w:val="20"/>
                <w:vertAlign w:val="superscript"/>
              </w:rPr>
              <w:t>2</w:t>
            </w:r>
            <w:r w:rsidRPr="0042063A">
              <w:rPr>
                <w:rFonts w:ascii="Arial Narrow" w:hAnsi="Arial Narrow" w:cs="Arial"/>
                <w:sz w:val="20"/>
                <w:szCs w:val="20"/>
              </w:rPr>
              <w:t xml:space="preserve"> (N = 23)</w:t>
            </w:r>
          </w:p>
        </w:tc>
        <w:tc>
          <w:tcPr>
            <w:tcW w:w="567" w:type="dxa"/>
            <w:shd w:val="clear" w:color="auto" w:fill="auto"/>
            <w:vAlign w:val="center"/>
          </w:tcPr>
          <w:p w:rsidR="00957093" w:rsidRPr="0042063A" w:rsidRDefault="00957093" w:rsidP="00BE0700">
            <w:pPr>
              <w:spacing w:before="40" w:after="40"/>
              <w:jc w:val="center"/>
              <w:rPr>
                <w:rFonts w:ascii="Arial Narrow" w:hAnsi="Arial Narrow" w:cs="Arial"/>
                <w:sz w:val="20"/>
                <w:szCs w:val="20"/>
              </w:rPr>
            </w:pPr>
            <w:r w:rsidRPr="0042063A">
              <w:rPr>
                <w:rFonts w:ascii="Arial Narrow" w:hAnsi="Arial Narrow" w:cs="Arial"/>
                <w:sz w:val="20"/>
                <w:szCs w:val="20"/>
              </w:rPr>
              <w:t>20</w:t>
            </w:r>
          </w:p>
        </w:tc>
        <w:tc>
          <w:tcPr>
            <w:tcW w:w="1276" w:type="dxa"/>
            <w:shd w:val="clear" w:color="auto" w:fill="auto"/>
            <w:vAlign w:val="center"/>
          </w:tcPr>
          <w:p w:rsidR="00957093" w:rsidRPr="0042063A" w:rsidRDefault="00957093" w:rsidP="00BE0700">
            <w:pPr>
              <w:spacing w:before="40" w:after="40"/>
              <w:jc w:val="center"/>
              <w:rPr>
                <w:rFonts w:ascii="Arial Narrow" w:hAnsi="Arial Narrow" w:cs="Arial"/>
                <w:sz w:val="20"/>
                <w:szCs w:val="20"/>
              </w:rPr>
            </w:pPr>
            <w:r w:rsidRPr="0042063A">
              <w:rPr>
                <w:rFonts w:ascii="Arial Narrow" w:hAnsi="Arial Narrow" w:cs="Arial"/>
                <w:sz w:val="20"/>
                <w:szCs w:val="20"/>
              </w:rPr>
              <w:t>87 (66, 97)</w:t>
            </w:r>
          </w:p>
        </w:tc>
        <w:tc>
          <w:tcPr>
            <w:tcW w:w="1701" w:type="dxa"/>
            <w:shd w:val="clear" w:color="auto" w:fill="auto"/>
            <w:vAlign w:val="center"/>
          </w:tcPr>
          <w:p w:rsidR="00957093" w:rsidRPr="0042063A" w:rsidRDefault="00957093" w:rsidP="00BE0700">
            <w:pPr>
              <w:spacing w:before="40" w:after="40"/>
              <w:jc w:val="center"/>
              <w:rPr>
                <w:rFonts w:ascii="Arial Narrow" w:hAnsi="Arial Narrow" w:cs="Arial"/>
                <w:sz w:val="20"/>
                <w:szCs w:val="20"/>
              </w:rPr>
            </w:pPr>
            <w:r w:rsidRPr="0042063A">
              <w:rPr>
                <w:rFonts w:ascii="Arial Narrow" w:hAnsi="Arial Narrow" w:cs="Arial"/>
                <w:sz w:val="20"/>
                <w:szCs w:val="20"/>
              </w:rPr>
              <w:t>0.0002</w:t>
            </w:r>
          </w:p>
        </w:tc>
        <w:tc>
          <w:tcPr>
            <w:tcW w:w="567" w:type="dxa"/>
            <w:shd w:val="clear" w:color="auto" w:fill="auto"/>
            <w:vAlign w:val="center"/>
          </w:tcPr>
          <w:p w:rsidR="00957093" w:rsidRPr="006E2381" w:rsidRDefault="006E2381" w:rsidP="00BE0700">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shd w:val="clear" w:color="auto" w:fill="auto"/>
            <w:vAlign w:val="center"/>
          </w:tcPr>
          <w:p w:rsidR="00957093" w:rsidRPr="0042063A" w:rsidRDefault="006E2381" w:rsidP="00BE0700">
            <w:pPr>
              <w:spacing w:before="40" w:after="40"/>
              <w:jc w:val="center"/>
              <w:rPr>
                <w:rFonts w:ascii="Arial Narrow" w:hAnsi="Arial Narrow" w:cs="Arial"/>
                <w:sz w:val="20"/>
                <w:szCs w:val="20"/>
              </w:rPr>
            </w:pPr>
            <w:r>
              <w:rPr>
                <w:rFonts w:ascii="Arial Narrow" w:hAnsi="Arial Narrow" w:cs="Arial"/>
                <w:noProof/>
                <w:color w:val="000000"/>
                <w:sz w:val="20"/>
                <w:szCs w:val="20"/>
                <w:highlight w:val="black"/>
              </w:rPr>
              <w:t>''''''</w:t>
            </w:r>
            <w:r w:rsidR="00957093" w:rsidRPr="0042063A">
              <w:rPr>
                <w:rFonts w:ascii="Arial Narrow" w:hAnsi="Arial Narrow" w:cs="Arial"/>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sz w:val="20"/>
                <w:szCs w:val="20"/>
              </w:rPr>
              <w:t>)</w:t>
            </w:r>
          </w:p>
        </w:tc>
        <w:tc>
          <w:tcPr>
            <w:tcW w:w="1678" w:type="dxa"/>
            <w:shd w:val="clear" w:color="auto" w:fill="auto"/>
            <w:vAlign w:val="center"/>
          </w:tcPr>
          <w:p w:rsidR="00957093" w:rsidRPr="006E2381" w:rsidRDefault="006E2381" w:rsidP="00BE0700">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57093" w:rsidRPr="0042063A" w:rsidTr="00BE0700">
        <w:tc>
          <w:tcPr>
            <w:tcW w:w="9016" w:type="dxa"/>
            <w:gridSpan w:val="7"/>
            <w:shd w:val="clear" w:color="auto" w:fill="auto"/>
            <w:vAlign w:val="center"/>
          </w:tcPr>
          <w:p w:rsidR="00957093" w:rsidRPr="0042063A" w:rsidRDefault="00957093" w:rsidP="00BE0700">
            <w:pPr>
              <w:spacing w:before="40" w:after="40"/>
              <w:rPr>
                <w:rFonts w:ascii="Arial Narrow" w:hAnsi="Arial Narrow" w:cs="Arial"/>
                <w:sz w:val="20"/>
                <w:szCs w:val="20"/>
                <w:vertAlign w:val="superscript"/>
              </w:rPr>
            </w:pPr>
            <w:r w:rsidRPr="0042063A">
              <w:rPr>
                <w:rFonts w:ascii="Arial Narrow" w:hAnsi="Arial Narrow" w:cs="Arial"/>
                <w:sz w:val="20"/>
                <w:szCs w:val="20"/>
              </w:rPr>
              <w:t>Sensitivity analysis</w:t>
            </w:r>
            <w:r w:rsidRPr="0042063A">
              <w:rPr>
                <w:rFonts w:ascii="Arial Narrow" w:hAnsi="Arial Narrow" w:cs="Arial"/>
                <w:sz w:val="20"/>
                <w:szCs w:val="20"/>
                <w:vertAlign w:val="superscript"/>
              </w:rPr>
              <w:t>3</w:t>
            </w:r>
          </w:p>
        </w:tc>
      </w:tr>
      <w:tr w:rsidR="00957093" w:rsidRPr="0042063A" w:rsidTr="00BE0700">
        <w:tc>
          <w:tcPr>
            <w:tcW w:w="1951" w:type="dxa"/>
            <w:shd w:val="clear" w:color="auto" w:fill="auto"/>
            <w:vAlign w:val="center"/>
          </w:tcPr>
          <w:p w:rsidR="00957093" w:rsidRPr="0042063A" w:rsidRDefault="00957093" w:rsidP="00BE0700">
            <w:pPr>
              <w:spacing w:before="40" w:after="40"/>
              <w:rPr>
                <w:rFonts w:ascii="Arial Narrow" w:hAnsi="Arial Narrow" w:cs="Arial"/>
                <w:sz w:val="20"/>
                <w:szCs w:val="20"/>
              </w:rPr>
            </w:pPr>
            <w:r w:rsidRPr="0042063A">
              <w:rPr>
                <w:rFonts w:ascii="Arial Narrow" w:hAnsi="Arial Narrow" w:cs="Arial"/>
                <w:sz w:val="20"/>
                <w:szCs w:val="20"/>
              </w:rPr>
              <w:t>Efficacy (N = 21)</w:t>
            </w:r>
          </w:p>
        </w:tc>
        <w:tc>
          <w:tcPr>
            <w:tcW w:w="567" w:type="dxa"/>
            <w:shd w:val="clear" w:color="auto" w:fill="auto"/>
            <w:vAlign w:val="center"/>
          </w:tcPr>
          <w:p w:rsidR="00957093" w:rsidRPr="006E2381" w:rsidRDefault="006E2381" w:rsidP="00BE0700">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shd w:val="clear" w:color="auto" w:fill="auto"/>
            <w:vAlign w:val="center"/>
          </w:tcPr>
          <w:p w:rsidR="00957093" w:rsidRPr="0042063A" w:rsidRDefault="006E2381" w:rsidP="00BE0700">
            <w:pPr>
              <w:spacing w:before="40" w:after="40"/>
              <w:jc w:val="center"/>
              <w:rPr>
                <w:rFonts w:ascii="Arial Narrow" w:hAnsi="Arial Narrow" w:cs="Arial"/>
                <w:sz w:val="20"/>
                <w:szCs w:val="20"/>
              </w:rPr>
            </w:pPr>
            <w:r>
              <w:rPr>
                <w:rFonts w:ascii="Arial Narrow" w:hAnsi="Arial Narrow" w:cs="Arial"/>
                <w:noProof/>
                <w:color w:val="000000"/>
                <w:sz w:val="20"/>
                <w:szCs w:val="20"/>
                <w:highlight w:val="black"/>
              </w:rPr>
              <w:t>'''''</w:t>
            </w:r>
            <w:r w:rsidR="00957093" w:rsidRPr="0042063A">
              <w:rPr>
                <w:rFonts w:ascii="Arial Narrow" w:hAnsi="Arial Narrow" w:cs="Arial"/>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sz w:val="20"/>
                <w:szCs w:val="20"/>
              </w:rPr>
              <w:t>)</w:t>
            </w:r>
          </w:p>
        </w:tc>
        <w:tc>
          <w:tcPr>
            <w:tcW w:w="1701" w:type="dxa"/>
            <w:shd w:val="clear" w:color="auto" w:fill="auto"/>
            <w:vAlign w:val="center"/>
          </w:tcPr>
          <w:p w:rsidR="00957093" w:rsidRPr="006E2381" w:rsidRDefault="006E2381" w:rsidP="00BE0700">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567" w:type="dxa"/>
            <w:shd w:val="clear" w:color="auto" w:fill="auto"/>
            <w:vAlign w:val="center"/>
          </w:tcPr>
          <w:p w:rsidR="00957093" w:rsidRPr="006E2381" w:rsidRDefault="006E2381" w:rsidP="00BE0700">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276" w:type="dxa"/>
            <w:shd w:val="clear" w:color="auto" w:fill="auto"/>
            <w:vAlign w:val="center"/>
          </w:tcPr>
          <w:p w:rsidR="00957093" w:rsidRPr="0042063A" w:rsidRDefault="006E2381" w:rsidP="00BE0700">
            <w:pPr>
              <w:spacing w:before="40" w:after="40"/>
              <w:jc w:val="center"/>
              <w:rPr>
                <w:rFonts w:ascii="Arial Narrow" w:hAnsi="Arial Narrow" w:cs="Arial"/>
                <w:sz w:val="20"/>
                <w:szCs w:val="20"/>
              </w:rPr>
            </w:pPr>
            <w:r>
              <w:rPr>
                <w:rFonts w:ascii="Arial Narrow" w:hAnsi="Arial Narrow" w:cs="Arial"/>
                <w:noProof/>
                <w:color w:val="000000"/>
                <w:sz w:val="20"/>
                <w:szCs w:val="20"/>
                <w:highlight w:val="black"/>
              </w:rPr>
              <w:t>'''''''</w:t>
            </w:r>
            <w:r w:rsidR="00957093" w:rsidRPr="0042063A">
              <w:rPr>
                <w:rFonts w:ascii="Arial Narrow" w:hAnsi="Arial Narrow" w:cs="Arial"/>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sz w:val="20"/>
                <w:szCs w:val="20"/>
              </w:rPr>
              <w:t>)</w:t>
            </w:r>
          </w:p>
        </w:tc>
        <w:tc>
          <w:tcPr>
            <w:tcW w:w="1678" w:type="dxa"/>
            <w:shd w:val="clear" w:color="auto" w:fill="auto"/>
            <w:vAlign w:val="center"/>
          </w:tcPr>
          <w:p w:rsidR="00957093" w:rsidRPr="006E2381" w:rsidRDefault="006E2381" w:rsidP="00BE0700">
            <w:pPr>
              <w:spacing w:before="40" w:after="40"/>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bl>
    <w:p w:rsidR="00957093" w:rsidRPr="0042063A" w:rsidRDefault="00957093" w:rsidP="00957093">
      <w:pPr>
        <w:pStyle w:val="TableNotes"/>
        <w:tabs>
          <w:tab w:val="left" w:pos="284"/>
        </w:tabs>
        <w:spacing w:after="0"/>
        <w:rPr>
          <w:rFonts w:ascii="Arial Narrow" w:hAnsi="Arial Narrow"/>
          <w:sz w:val="18"/>
        </w:rPr>
      </w:pPr>
      <w:r w:rsidRPr="0042063A">
        <w:rPr>
          <w:rFonts w:ascii="Arial Narrow" w:hAnsi="Arial Narrow"/>
          <w:sz w:val="18"/>
          <w:vertAlign w:val="superscript"/>
        </w:rPr>
        <w:t>1</w:t>
      </w:r>
      <w:r w:rsidRPr="0042063A">
        <w:rPr>
          <w:rFonts w:ascii="Arial Narrow" w:hAnsi="Arial Narrow"/>
          <w:sz w:val="18"/>
          <w:vertAlign w:val="superscript"/>
        </w:rPr>
        <w:tab/>
      </w:r>
      <w:r w:rsidRPr="0042063A">
        <w:rPr>
          <w:rFonts w:ascii="Arial Narrow" w:hAnsi="Arial Narrow"/>
          <w:sz w:val="18"/>
        </w:rPr>
        <w:t>Tested against a null hypothesis that the responder rate would be ≤50%.</w:t>
      </w:r>
      <w:r w:rsidR="00292839">
        <w:rPr>
          <w:rFonts w:ascii="Arial Narrow" w:hAnsi="Arial Narrow"/>
          <w:sz w:val="18"/>
        </w:rPr>
        <w:t xml:space="preserve"> </w:t>
      </w:r>
    </w:p>
    <w:p w:rsidR="00957093" w:rsidRPr="0042063A" w:rsidRDefault="00957093" w:rsidP="00957093">
      <w:pPr>
        <w:pStyle w:val="TableNotes"/>
        <w:tabs>
          <w:tab w:val="left" w:pos="284"/>
        </w:tabs>
        <w:spacing w:after="0"/>
        <w:rPr>
          <w:rFonts w:ascii="Arial Narrow" w:hAnsi="Arial Narrow"/>
          <w:sz w:val="18"/>
        </w:rPr>
      </w:pPr>
      <w:r w:rsidRPr="0042063A">
        <w:rPr>
          <w:rFonts w:ascii="Arial Narrow" w:hAnsi="Arial Narrow"/>
          <w:sz w:val="18"/>
          <w:vertAlign w:val="superscript"/>
        </w:rPr>
        <w:t>2</w:t>
      </w:r>
      <w:r w:rsidRPr="0042063A">
        <w:rPr>
          <w:rFonts w:ascii="Arial Narrow" w:hAnsi="Arial Narrow"/>
          <w:sz w:val="18"/>
          <w:vertAlign w:val="superscript"/>
        </w:rPr>
        <w:tab/>
      </w:r>
      <w:r w:rsidRPr="0042063A">
        <w:rPr>
          <w:rFonts w:ascii="Arial Narrow" w:hAnsi="Arial Narrow"/>
          <w:sz w:val="18"/>
        </w:rPr>
        <w:t xml:space="preserve">ITT population excluded one patient who discontinued treatment after a single dose </w:t>
      </w:r>
    </w:p>
    <w:p w:rsidR="00957093" w:rsidRPr="0042063A" w:rsidRDefault="00957093" w:rsidP="00957093">
      <w:pPr>
        <w:pStyle w:val="TableNotes"/>
        <w:tabs>
          <w:tab w:val="left" w:pos="284"/>
        </w:tabs>
        <w:spacing w:after="0"/>
        <w:ind w:left="709" w:hanging="709"/>
        <w:rPr>
          <w:rFonts w:ascii="Arial Narrow" w:hAnsi="Arial Narrow"/>
          <w:sz w:val="18"/>
        </w:rPr>
      </w:pPr>
      <w:r w:rsidRPr="0042063A">
        <w:rPr>
          <w:rFonts w:ascii="Arial Narrow" w:hAnsi="Arial Narrow"/>
          <w:sz w:val="18"/>
          <w:vertAlign w:val="superscript"/>
        </w:rPr>
        <w:t>3</w:t>
      </w:r>
      <w:r w:rsidRPr="0042063A">
        <w:rPr>
          <w:rFonts w:ascii="Arial Narrow" w:hAnsi="Arial Narrow"/>
          <w:sz w:val="18"/>
          <w:vertAlign w:val="superscript"/>
        </w:rPr>
        <w:tab/>
      </w:r>
      <w:r w:rsidRPr="0042063A">
        <w:rPr>
          <w:rFonts w:ascii="Arial Narrow" w:hAnsi="Arial Narrow"/>
          <w:sz w:val="18"/>
        </w:rPr>
        <w:t>Sensitivity analysis excludes two patients who maintained a ML score of 6 throughout the 96 weeks of Study 201/202</w:t>
      </w:r>
    </w:p>
    <w:p w:rsidR="00957093" w:rsidRPr="0042063A" w:rsidRDefault="00957093" w:rsidP="00957093">
      <w:pPr>
        <w:pStyle w:val="TableNotes"/>
        <w:spacing w:after="240"/>
        <w:rPr>
          <w:rFonts w:ascii="Arial Narrow" w:hAnsi="Arial Narrow"/>
          <w:sz w:val="18"/>
        </w:rPr>
      </w:pPr>
      <w:r w:rsidRPr="0042063A">
        <w:rPr>
          <w:rFonts w:ascii="Arial Narrow" w:hAnsi="Arial Narrow"/>
          <w:sz w:val="18"/>
        </w:rPr>
        <w:t>Source: Table 2.5-2, p83 of the submission</w:t>
      </w:r>
    </w:p>
    <w:p w:rsidR="00957093" w:rsidRPr="0042063A" w:rsidRDefault="00345D0E" w:rsidP="00345D0E">
      <w:pPr>
        <w:pStyle w:val="Caption"/>
        <w:rPr>
          <w:rFonts w:ascii="Arial Narrow" w:hAnsi="Arial Narrow"/>
        </w:rPr>
      </w:pPr>
      <w:bookmarkStart w:id="20" w:name="_Ref512276973"/>
      <w:r w:rsidRPr="0042063A">
        <w:rPr>
          <w:rFonts w:ascii="Arial Narrow" w:hAnsi="Arial Narrow"/>
        </w:rPr>
        <w:t xml:space="preserve">Table </w:t>
      </w:r>
      <w:r w:rsidR="0000175F" w:rsidRPr="0042063A">
        <w:rPr>
          <w:rFonts w:ascii="Arial Narrow" w:hAnsi="Arial Narrow"/>
          <w:noProof/>
        </w:rPr>
        <w:t>5</w:t>
      </w:r>
      <w:bookmarkEnd w:id="20"/>
      <w:r w:rsidR="00957093" w:rsidRPr="0042063A">
        <w:rPr>
          <w:rFonts w:ascii="Arial Narrow" w:hAnsi="Arial Narrow"/>
        </w:rPr>
        <w:t xml:space="preserve">: Responder (fewer than 2 points decrease in motor language score in 48 weeks) analysis in 1:1 matched comparison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Responder (fewer than 2 points decrease in motor language score in 48 weeks) analysis in 1:1 matched comparison "/>
      </w:tblPr>
      <w:tblGrid>
        <w:gridCol w:w="2830"/>
        <w:gridCol w:w="1546"/>
        <w:gridCol w:w="1547"/>
        <w:gridCol w:w="1546"/>
        <w:gridCol w:w="1547"/>
      </w:tblGrid>
      <w:tr w:rsidR="00957093" w:rsidRPr="0042063A" w:rsidTr="00484C1A">
        <w:trPr>
          <w:cnfStyle w:val="100000000000" w:firstRow="1" w:lastRow="0" w:firstColumn="0" w:lastColumn="0" w:oddVBand="0" w:evenVBand="0" w:oddHBand="0" w:evenHBand="0" w:firstRowFirstColumn="0" w:firstRowLastColumn="0" w:lastRowFirstColumn="0" w:lastRowLastColumn="0"/>
          <w:tblHeader/>
        </w:trPr>
        <w:tc>
          <w:tcPr>
            <w:tcW w:w="2830" w:type="dxa"/>
            <w:shd w:val="clear" w:color="auto" w:fill="auto"/>
            <w:vAlign w:val="bottom"/>
          </w:tcPr>
          <w:p w:rsidR="00957093" w:rsidRPr="0042063A" w:rsidRDefault="00957093" w:rsidP="00BE0700">
            <w:pPr>
              <w:pStyle w:val="V50Instructions"/>
              <w:spacing w:before="40" w:after="40"/>
              <w:rPr>
                <w:rFonts w:ascii="Arial Narrow" w:hAnsi="Arial Narrow" w:cs="Arial"/>
                <w:color w:val="auto"/>
                <w:sz w:val="20"/>
                <w:szCs w:val="20"/>
              </w:rPr>
            </w:pPr>
            <w:r w:rsidRPr="0042063A">
              <w:rPr>
                <w:rFonts w:ascii="Arial Narrow" w:eastAsia="Calibri" w:hAnsi="Arial Narrow" w:cs="Arial"/>
                <w:color w:val="auto"/>
                <w:sz w:val="20"/>
                <w:szCs w:val="20"/>
              </w:rPr>
              <w:t>Response</w:t>
            </w:r>
          </w:p>
        </w:tc>
        <w:tc>
          <w:tcPr>
            <w:tcW w:w="1546" w:type="dxa"/>
            <w:shd w:val="clear" w:color="auto" w:fill="auto"/>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eastAsia="Calibri" w:hAnsi="Arial Narrow" w:cs="Arial"/>
                <w:color w:val="auto"/>
                <w:sz w:val="20"/>
                <w:szCs w:val="20"/>
              </w:rPr>
              <w:t>Study 901</w:t>
            </w:r>
          </w:p>
        </w:tc>
        <w:tc>
          <w:tcPr>
            <w:tcW w:w="1547" w:type="dxa"/>
            <w:shd w:val="clear" w:color="auto" w:fill="auto"/>
            <w:vAlign w:val="center"/>
          </w:tcPr>
          <w:p w:rsidR="00957093" w:rsidRPr="0042063A" w:rsidRDefault="00957093" w:rsidP="00BE0700">
            <w:pPr>
              <w:spacing w:before="40" w:after="40"/>
              <w:jc w:val="center"/>
              <w:rPr>
                <w:rFonts w:ascii="Arial Narrow" w:hAnsi="Arial Narrow" w:cs="Arial"/>
                <w:sz w:val="20"/>
                <w:szCs w:val="20"/>
              </w:rPr>
            </w:pPr>
            <w:r w:rsidRPr="0042063A">
              <w:rPr>
                <w:rFonts w:ascii="Arial Narrow" w:eastAsia="Calibri" w:hAnsi="Arial Narrow" w:cs="Arial"/>
                <w:sz w:val="20"/>
                <w:szCs w:val="20"/>
              </w:rPr>
              <w:t>Study 201/202</w:t>
            </w:r>
          </w:p>
        </w:tc>
        <w:tc>
          <w:tcPr>
            <w:tcW w:w="1546" w:type="dxa"/>
            <w:shd w:val="clear" w:color="auto" w:fill="auto"/>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eastAsia="Calibri" w:hAnsi="Arial Narrow" w:cs="Arial"/>
                <w:color w:val="auto"/>
                <w:sz w:val="20"/>
                <w:szCs w:val="20"/>
              </w:rPr>
              <w:t>Rate Difference</w:t>
            </w:r>
          </w:p>
        </w:tc>
        <w:tc>
          <w:tcPr>
            <w:tcW w:w="1547" w:type="dxa"/>
            <w:shd w:val="clear" w:color="auto" w:fill="auto"/>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eastAsia="Calibri" w:hAnsi="Arial Narrow" w:cs="Arial"/>
                <w:color w:val="auto"/>
                <w:sz w:val="20"/>
                <w:szCs w:val="20"/>
              </w:rPr>
              <w:t>2-sided p-value</w:t>
            </w:r>
          </w:p>
        </w:tc>
      </w:tr>
      <w:tr w:rsidR="00957093" w:rsidRPr="0042063A" w:rsidTr="00BE0700">
        <w:tc>
          <w:tcPr>
            <w:tcW w:w="9016" w:type="dxa"/>
            <w:gridSpan w:val="5"/>
          </w:tcPr>
          <w:p w:rsidR="00957093" w:rsidRPr="0042063A" w:rsidRDefault="00957093" w:rsidP="00BE0700">
            <w:pPr>
              <w:pStyle w:val="V50Instructions"/>
              <w:spacing w:before="40" w:after="40"/>
              <w:rPr>
                <w:rFonts w:ascii="Arial Narrow" w:eastAsia="Calibri" w:hAnsi="Arial Narrow" w:cs="Arial"/>
                <w:b/>
                <w:color w:val="auto"/>
                <w:sz w:val="20"/>
                <w:szCs w:val="20"/>
              </w:rPr>
            </w:pPr>
            <w:r w:rsidRPr="0042063A">
              <w:rPr>
                <w:rFonts w:ascii="Arial Narrow" w:eastAsia="Calibri" w:hAnsi="Arial Narrow" w:cs="Arial"/>
                <w:b/>
                <w:color w:val="auto"/>
                <w:sz w:val="20"/>
                <w:szCs w:val="20"/>
              </w:rPr>
              <w:t>1:1 matched population</w:t>
            </w:r>
          </w:p>
        </w:tc>
      </w:tr>
      <w:tr w:rsidR="00957093" w:rsidRPr="0042063A" w:rsidTr="00BE0700">
        <w:tc>
          <w:tcPr>
            <w:tcW w:w="9016" w:type="dxa"/>
            <w:gridSpan w:val="5"/>
          </w:tcPr>
          <w:p w:rsidR="00957093" w:rsidRPr="0042063A" w:rsidRDefault="00957093" w:rsidP="00BE0700">
            <w:pPr>
              <w:pStyle w:val="V50Instructions"/>
              <w:spacing w:before="40" w:after="40"/>
              <w:rPr>
                <w:rFonts w:ascii="Arial Narrow" w:hAnsi="Arial Narrow" w:cs="Arial"/>
                <w:color w:val="auto"/>
                <w:sz w:val="20"/>
                <w:szCs w:val="20"/>
              </w:rPr>
            </w:pPr>
            <w:r w:rsidRPr="0042063A">
              <w:rPr>
                <w:rFonts w:ascii="Arial Narrow" w:eastAsia="Calibri" w:hAnsi="Arial Narrow" w:cs="Arial"/>
                <w:b/>
                <w:color w:val="auto"/>
                <w:sz w:val="20"/>
                <w:szCs w:val="20"/>
              </w:rPr>
              <w:t>Primary analysis</w:t>
            </w:r>
          </w:p>
        </w:tc>
      </w:tr>
      <w:tr w:rsidR="00957093" w:rsidRPr="0042063A" w:rsidTr="00BE0700">
        <w:tc>
          <w:tcPr>
            <w:tcW w:w="2830" w:type="dxa"/>
          </w:tcPr>
          <w:p w:rsidR="00957093" w:rsidRPr="0042063A" w:rsidRDefault="00957093" w:rsidP="00BE0700">
            <w:pPr>
              <w:pStyle w:val="V50Instructions"/>
              <w:spacing w:before="40" w:after="40"/>
              <w:rPr>
                <w:rFonts w:ascii="Arial Narrow" w:hAnsi="Arial Narrow" w:cs="Arial"/>
                <w:color w:val="auto"/>
                <w:sz w:val="20"/>
                <w:szCs w:val="20"/>
              </w:rPr>
            </w:pPr>
            <w:r w:rsidRPr="0042063A">
              <w:rPr>
                <w:rFonts w:ascii="Arial Narrow" w:eastAsia="Calibri" w:hAnsi="Arial Narrow" w:cs="Arial"/>
                <w:color w:val="auto"/>
                <w:sz w:val="20"/>
                <w:szCs w:val="20"/>
              </w:rPr>
              <w:t>ITT (N = 21)</w:t>
            </w:r>
          </w:p>
        </w:tc>
        <w:tc>
          <w:tcPr>
            <w:tcW w:w="1546"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c>
          <w:tcPr>
            <w:tcW w:w="1547"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c>
          <w:tcPr>
            <w:tcW w:w="1546"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c>
          <w:tcPr>
            <w:tcW w:w="1547" w:type="dxa"/>
            <w:vAlign w:val="center"/>
          </w:tcPr>
          <w:p w:rsidR="00957093" w:rsidRPr="006E2381" w:rsidRDefault="006E2381" w:rsidP="00BE0700">
            <w:pPr>
              <w:pStyle w:val="V50Instructions"/>
              <w:spacing w:before="40" w:after="40"/>
              <w:jc w:val="center"/>
              <w:rPr>
                <w:rFonts w:ascii="Arial Narrow" w:hAnsi="Arial Narrow" w:cs="Arial"/>
                <w:color w:val="auto"/>
                <w:sz w:val="20"/>
                <w:szCs w:val="20"/>
                <w:highlight w:val="black"/>
              </w:rPr>
            </w:pPr>
            <w:r>
              <w:rPr>
                <w:rFonts w:ascii="Arial Narrow" w:eastAsia="Calibri" w:hAnsi="Arial Narrow" w:cs="Arial"/>
                <w:noProof/>
                <w:color w:val="000000"/>
                <w:sz w:val="20"/>
                <w:szCs w:val="20"/>
                <w:highlight w:val="black"/>
              </w:rPr>
              <w:t>'''''''''''''''''</w:t>
            </w:r>
          </w:p>
        </w:tc>
      </w:tr>
      <w:tr w:rsidR="00957093" w:rsidRPr="0042063A" w:rsidTr="00BE0700">
        <w:tc>
          <w:tcPr>
            <w:tcW w:w="9016" w:type="dxa"/>
            <w:gridSpan w:val="5"/>
          </w:tcPr>
          <w:p w:rsidR="00957093" w:rsidRPr="0042063A" w:rsidRDefault="00957093" w:rsidP="00BE0700">
            <w:pPr>
              <w:pStyle w:val="V50Instructions"/>
              <w:spacing w:before="40" w:after="40"/>
              <w:rPr>
                <w:rFonts w:ascii="Arial Narrow" w:hAnsi="Arial Narrow" w:cs="Arial"/>
                <w:color w:val="auto"/>
                <w:sz w:val="20"/>
                <w:szCs w:val="20"/>
                <w:vertAlign w:val="superscript"/>
              </w:rPr>
            </w:pPr>
            <w:r w:rsidRPr="0042063A">
              <w:rPr>
                <w:rFonts w:ascii="Arial Narrow" w:eastAsia="Calibri" w:hAnsi="Arial Narrow" w:cs="Arial"/>
                <w:b/>
                <w:color w:val="auto"/>
                <w:sz w:val="20"/>
                <w:szCs w:val="20"/>
              </w:rPr>
              <w:t>Sensitivity analyses</w:t>
            </w:r>
            <w:r w:rsidRPr="0042063A">
              <w:rPr>
                <w:rFonts w:ascii="Arial Narrow" w:eastAsia="Calibri" w:hAnsi="Arial Narrow" w:cs="Arial"/>
                <w:b/>
                <w:color w:val="auto"/>
                <w:sz w:val="20"/>
                <w:szCs w:val="20"/>
                <w:vertAlign w:val="superscript"/>
              </w:rPr>
              <w:t>1</w:t>
            </w:r>
          </w:p>
        </w:tc>
      </w:tr>
      <w:tr w:rsidR="00957093" w:rsidRPr="0042063A" w:rsidTr="00BE0700">
        <w:tc>
          <w:tcPr>
            <w:tcW w:w="2830" w:type="dxa"/>
          </w:tcPr>
          <w:p w:rsidR="00957093" w:rsidRPr="0042063A" w:rsidRDefault="00957093" w:rsidP="00BE0700">
            <w:pPr>
              <w:pStyle w:val="V50Instructions"/>
              <w:spacing w:before="40" w:after="40"/>
              <w:rPr>
                <w:rFonts w:ascii="Arial Narrow" w:hAnsi="Arial Narrow" w:cs="Arial"/>
                <w:color w:val="auto"/>
                <w:sz w:val="20"/>
                <w:szCs w:val="20"/>
              </w:rPr>
            </w:pPr>
            <w:r w:rsidRPr="0042063A">
              <w:rPr>
                <w:rFonts w:ascii="Arial Narrow" w:eastAsia="Calibri" w:hAnsi="Arial Narrow" w:cs="Arial"/>
                <w:color w:val="auto"/>
                <w:sz w:val="20"/>
                <w:szCs w:val="20"/>
              </w:rPr>
              <w:t xml:space="preserve">Efficacy (N = </w:t>
            </w:r>
            <w:r w:rsidR="006E2381">
              <w:rPr>
                <w:rFonts w:ascii="Arial Narrow" w:eastAsia="Calibri" w:hAnsi="Arial Narrow" w:cs="Arial"/>
                <w:noProof/>
                <w:color w:val="000000"/>
                <w:sz w:val="20"/>
                <w:szCs w:val="20"/>
                <w:highlight w:val="black"/>
              </w:rPr>
              <w:t>'''''</w:t>
            </w:r>
            <w:r w:rsidRPr="0042063A">
              <w:rPr>
                <w:rFonts w:ascii="Arial Narrow" w:eastAsia="Calibri" w:hAnsi="Arial Narrow" w:cs="Arial"/>
                <w:color w:val="auto"/>
                <w:sz w:val="20"/>
                <w:szCs w:val="20"/>
              </w:rPr>
              <w:t>)</w:t>
            </w:r>
          </w:p>
        </w:tc>
        <w:tc>
          <w:tcPr>
            <w:tcW w:w="1546"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c>
          <w:tcPr>
            <w:tcW w:w="1547"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c>
          <w:tcPr>
            <w:tcW w:w="1546"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c>
          <w:tcPr>
            <w:tcW w:w="1547" w:type="dxa"/>
            <w:vAlign w:val="center"/>
          </w:tcPr>
          <w:p w:rsidR="00957093" w:rsidRPr="006E2381" w:rsidRDefault="006E2381" w:rsidP="00BE0700">
            <w:pPr>
              <w:pStyle w:val="V50Instructions"/>
              <w:spacing w:before="40" w:after="40"/>
              <w:jc w:val="center"/>
              <w:rPr>
                <w:rFonts w:ascii="Arial Narrow" w:hAnsi="Arial Narrow" w:cs="Arial"/>
                <w:color w:val="auto"/>
                <w:sz w:val="20"/>
                <w:szCs w:val="20"/>
                <w:highlight w:val="black"/>
              </w:rPr>
            </w:pPr>
            <w:r>
              <w:rPr>
                <w:rFonts w:ascii="Arial Narrow" w:eastAsia="Calibri" w:hAnsi="Arial Narrow" w:cs="Arial"/>
                <w:noProof/>
                <w:color w:val="000000"/>
                <w:sz w:val="20"/>
                <w:szCs w:val="20"/>
                <w:highlight w:val="black"/>
              </w:rPr>
              <w:t>'''''''''''''''''</w:t>
            </w:r>
          </w:p>
        </w:tc>
      </w:tr>
      <w:tr w:rsidR="00957093" w:rsidRPr="0042063A" w:rsidTr="00BE0700">
        <w:tc>
          <w:tcPr>
            <w:tcW w:w="9016" w:type="dxa"/>
            <w:gridSpan w:val="5"/>
          </w:tcPr>
          <w:p w:rsidR="00957093" w:rsidRPr="0042063A" w:rsidRDefault="00957093" w:rsidP="00BE0700">
            <w:pPr>
              <w:pStyle w:val="V50Instructions"/>
              <w:spacing w:before="40" w:after="40"/>
              <w:rPr>
                <w:rFonts w:ascii="Arial Narrow" w:eastAsia="Calibri" w:hAnsi="Arial Narrow" w:cs="Arial"/>
                <w:b/>
                <w:color w:val="auto"/>
                <w:sz w:val="20"/>
                <w:szCs w:val="20"/>
              </w:rPr>
            </w:pPr>
            <w:r w:rsidRPr="0042063A">
              <w:rPr>
                <w:rFonts w:ascii="Arial Narrow" w:eastAsia="Calibri" w:hAnsi="Arial Narrow" w:cs="Arial"/>
                <w:b/>
                <w:color w:val="auto"/>
                <w:sz w:val="20"/>
                <w:szCs w:val="20"/>
              </w:rPr>
              <w:t>Responder analysis over 1000 replications using 1:1 matching</w:t>
            </w:r>
          </w:p>
        </w:tc>
      </w:tr>
      <w:tr w:rsidR="00957093" w:rsidRPr="0042063A" w:rsidTr="00BE0700">
        <w:tc>
          <w:tcPr>
            <w:tcW w:w="2830" w:type="dxa"/>
            <w:vAlign w:val="center"/>
          </w:tcPr>
          <w:p w:rsidR="00957093" w:rsidRPr="0042063A" w:rsidRDefault="00957093" w:rsidP="00BE0700">
            <w:pPr>
              <w:pStyle w:val="V50Instructions"/>
              <w:spacing w:before="40" w:after="40"/>
              <w:rPr>
                <w:rFonts w:ascii="Arial Narrow" w:eastAsia="Calibri" w:hAnsi="Arial Narrow" w:cs="Arial"/>
                <w:color w:val="auto"/>
                <w:sz w:val="20"/>
                <w:szCs w:val="20"/>
              </w:rPr>
            </w:pPr>
            <w:r w:rsidRPr="0042063A">
              <w:rPr>
                <w:rFonts w:ascii="Arial Narrow" w:eastAsia="Calibri" w:hAnsi="Arial Narrow" w:cs="Arial"/>
                <w:b/>
                <w:color w:val="auto"/>
                <w:sz w:val="20"/>
                <w:szCs w:val="20"/>
              </w:rPr>
              <w:t>Distribution of Response Rates (%)</w:t>
            </w:r>
          </w:p>
        </w:tc>
        <w:tc>
          <w:tcPr>
            <w:tcW w:w="1546" w:type="dxa"/>
            <w:vAlign w:val="center"/>
          </w:tcPr>
          <w:p w:rsidR="00957093" w:rsidRPr="0042063A" w:rsidRDefault="00957093" w:rsidP="00BE0700">
            <w:pPr>
              <w:pStyle w:val="V50Instructions"/>
              <w:spacing w:before="40" w:after="40"/>
              <w:jc w:val="center"/>
              <w:rPr>
                <w:rFonts w:ascii="Arial Narrow" w:eastAsia="Calibri" w:hAnsi="Arial Narrow" w:cs="Arial"/>
                <w:color w:val="auto"/>
                <w:sz w:val="20"/>
                <w:szCs w:val="20"/>
              </w:rPr>
            </w:pPr>
          </w:p>
        </w:tc>
        <w:tc>
          <w:tcPr>
            <w:tcW w:w="1547" w:type="dxa"/>
            <w:vAlign w:val="center"/>
          </w:tcPr>
          <w:p w:rsidR="00957093" w:rsidRPr="0042063A" w:rsidRDefault="00957093" w:rsidP="00BE0700">
            <w:pPr>
              <w:pStyle w:val="V50Instructions"/>
              <w:spacing w:before="40" w:after="40"/>
              <w:jc w:val="center"/>
              <w:rPr>
                <w:rFonts w:ascii="Arial Narrow" w:eastAsia="Calibri" w:hAnsi="Arial Narrow" w:cs="Arial"/>
                <w:color w:val="auto"/>
                <w:sz w:val="20"/>
                <w:szCs w:val="20"/>
              </w:rPr>
            </w:pPr>
          </w:p>
        </w:tc>
        <w:tc>
          <w:tcPr>
            <w:tcW w:w="1546" w:type="dxa"/>
            <w:vAlign w:val="center"/>
          </w:tcPr>
          <w:p w:rsidR="00957093" w:rsidRPr="0042063A" w:rsidRDefault="00957093" w:rsidP="00BE0700">
            <w:pPr>
              <w:pStyle w:val="V50Instructions"/>
              <w:spacing w:before="40" w:after="40"/>
              <w:jc w:val="center"/>
              <w:rPr>
                <w:rFonts w:ascii="Arial Narrow" w:eastAsia="Calibri" w:hAnsi="Arial Narrow" w:cs="Arial"/>
                <w:color w:val="auto"/>
                <w:sz w:val="20"/>
                <w:szCs w:val="20"/>
              </w:rPr>
            </w:pPr>
            <w:r w:rsidRPr="0042063A">
              <w:rPr>
                <w:rFonts w:ascii="Arial Narrow" w:eastAsia="Calibri" w:hAnsi="Arial Narrow" w:cs="Arial"/>
                <w:b/>
                <w:color w:val="auto"/>
                <w:sz w:val="20"/>
                <w:szCs w:val="20"/>
              </w:rPr>
              <w:t>Study 901 – Study 201/202</w:t>
            </w:r>
          </w:p>
        </w:tc>
        <w:tc>
          <w:tcPr>
            <w:tcW w:w="1547" w:type="dxa"/>
            <w:vAlign w:val="center"/>
          </w:tcPr>
          <w:p w:rsidR="00957093" w:rsidRPr="0042063A" w:rsidRDefault="00957093" w:rsidP="00BE0700">
            <w:pPr>
              <w:pStyle w:val="V50Instructions"/>
              <w:spacing w:before="40" w:after="40"/>
              <w:jc w:val="center"/>
              <w:rPr>
                <w:rFonts w:ascii="Arial Narrow" w:eastAsia="Calibri" w:hAnsi="Arial Narrow" w:cs="Arial"/>
                <w:color w:val="auto"/>
                <w:sz w:val="20"/>
                <w:szCs w:val="20"/>
              </w:rPr>
            </w:pPr>
            <w:r w:rsidRPr="0042063A">
              <w:rPr>
                <w:rFonts w:ascii="Arial Narrow" w:eastAsia="Calibri" w:hAnsi="Arial Narrow" w:cs="Arial"/>
                <w:b/>
                <w:color w:val="auto"/>
                <w:sz w:val="20"/>
                <w:szCs w:val="20"/>
              </w:rPr>
              <w:t>1-sided p-value</w:t>
            </w:r>
          </w:p>
        </w:tc>
      </w:tr>
      <w:tr w:rsidR="00957093" w:rsidRPr="0042063A" w:rsidTr="00BE0700">
        <w:tc>
          <w:tcPr>
            <w:tcW w:w="2830" w:type="dxa"/>
            <w:vAlign w:val="bottom"/>
          </w:tcPr>
          <w:p w:rsidR="00957093" w:rsidRPr="0042063A" w:rsidRDefault="00771D13" w:rsidP="00BE0700">
            <w:pPr>
              <w:pStyle w:val="V50Instructions"/>
              <w:spacing w:before="40" w:after="40"/>
              <w:rPr>
                <w:rFonts w:ascii="Arial Narrow" w:eastAsia="Calibri" w:hAnsi="Arial Narrow" w:cs="Arial"/>
                <w:color w:val="auto"/>
                <w:sz w:val="20"/>
                <w:szCs w:val="20"/>
              </w:rPr>
            </w:pPr>
            <w:r w:rsidRPr="0042063A">
              <w:rPr>
                <w:rFonts w:ascii="Arial Narrow" w:eastAsia="Calibri" w:hAnsi="Arial Narrow" w:cs="Arial"/>
                <w:color w:val="auto"/>
                <w:sz w:val="20"/>
                <w:szCs w:val="20"/>
              </w:rPr>
              <w:t>N</w:t>
            </w:r>
          </w:p>
        </w:tc>
        <w:tc>
          <w:tcPr>
            <w:tcW w:w="1546" w:type="dxa"/>
            <w:vAlign w:val="center"/>
          </w:tcPr>
          <w:p w:rsidR="00957093" w:rsidRPr="006E2381" w:rsidRDefault="006E2381" w:rsidP="00BE0700">
            <w:pPr>
              <w:pStyle w:val="V50Instructions"/>
              <w:spacing w:before="40" w:after="40"/>
              <w:jc w:val="center"/>
              <w:rPr>
                <w:rFonts w:ascii="Arial Narrow" w:eastAsia="Calibri" w:hAnsi="Arial Narrow" w:cs="Arial"/>
                <w:color w:val="auto"/>
                <w:sz w:val="20"/>
                <w:szCs w:val="20"/>
                <w:highlight w:val="black"/>
              </w:rPr>
            </w:pPr>
            <w:r>
              <w:rPr>
                <w:rFonts w:ascii="Arial Narrow" w:eastAsia="Calibri" w:hAnsi="Arial Narrow" w:cs="Arial"/>
                <w:noProof/>
                <w:color w:val="000000"/>
                <w:sz w:val="20"/>
                <w:szCs w:val="20"/>
                <w:highlight w:val="black"/>
              </w:rPr>
              <w:t>''''''''''''</w:t>
            </w:r>
          </w:p>
        </w:tc>
        <w:tc>
          <w:tcPr>
            <w:tcW w:w="1547" w:type="dxa"/>
            <w:vAlign w:val="center"/>
          </w:tcPr>
          <w:p w:rsidR="00957093" w:rsidRPr="006E2381" w:rsidRDefault="006E2381" w:rsidP="00BE0700">
            <w:pPr>
              <w:pStyle w:val="V50Instructions"/>
              <w:spacing w:before="40" w:after="40"/>
              <w:jc w:val="center"/>
              <w:rPr>
                <w:rFonts w:ascii="Arial Narrow" w:eastAsia="Calibri" w:hAnsi="Arial Narrow" w:cs="Arial"/>
                <w:color w:val="auto"/>
                <w:sz w:val="20"/>
                <w:szCs w:val="20"/>
                <w:highlight w:val="black"/>
              </w:rPr>
            </w:pPr>
            <w:r>
              <w:rPr>
                <w:rFonts w:ascii="Arial Narrow" w:eastAsia="Calibri" w:hAnsi="Arial Narrow" w:cs="Arial"/>
                <w:noProof/>
                <w:color w:val="000000"/>
                <w:sz w:val="20"/>
                <w:szCs w:val="20"/>
                <w:highlight w:val="black"/>
              </w:rPr>
              <w:t>'''''''''''</w:t>
            </w:r>
          </w:p>
        </w:tc>
        <w:tc>
          <w:tcPr>
            <w:tcW w:w="1546" w:type="dxa"/>
            <w:vAlign w:val="center"/>
          </w:tcPr>
          <w:p w:rsidR="00957093" w:rsidRPr="006E2381" w:rsidRDefault="006E2381" w:rsidP="00BE0700">
            <w:pPr>
              <w:pStyle w:val="V50Instructions"/>
              <w:spacing w:before="40" w:after="40"/>
              <w:jc w:val="center"/>
              <w:rPr>
                <w:rFonts w:ascii="Arial Narrow" w:eastAsia="Calibri" w:hAnsi="Arial Narrow" w:cs="Arial"/>
                <w:color w:val="auto"/>
                <w:sz w:val="20"/>
                <w:szCs w:val="20"/>
                <w:highlight w:val="black"/>
              </w:rPr>
            </w:pPr>
            <w:r>
              <w:rPr>
                <w:rFonts w:ascii="Arial Narrow" w:eastAsia="Calibri" w:hAnsi="Arial Narrow" w:cs="Arial"/>
                <w:noProof/>
                <w:color w:val="000000"/>
                <w:sz w:val="20"/>
                <w:szCs w:val="20"/>
                <w:highlight w:val="black"/>
              </w:rPr>
              <w:t>'''''''''''''</w:t>
            </w:r>
          </w:p>
        </w:tc>
        <w:tc>
          <w:tcPr>
            <w:tcW w:w="1547" w:type="dxa"/>
            <w:vAlign w:val="center"/>
          </w:tcPr>
          <w:p w:rsidR="00957093" w:rsidRPr="006E2381" w:rsidRDefault="006E2381" w:rsidP="00BE0700">
            <w:pPr>
              <w:pStyle w:val="V50Instructions"/>
              <w:spacing w:before="40" w:after="40"/>
              <w:jc w:val="center"/>
              <w:rPr>
                <w:rFonts w:ascii="Arial Narrow" w:eastAsia="Calibri" w:hAnsi="Arial Narrow" w:cs="Arial"/>
                <w:color w:val="auto"/>
                <w:sz w:val="20"/>
                <w:szCs w:val="20"/>
                <w:highlight w:val="black"/>
              </w:rPr>
            </w:pPr>
            <w:r>
              <w:rPr>
                <w:rFonts w:ascii="Arial Narrow" w:eastAsia="Calibri" w:hAnsi="Arial Narrow" w:cs="Arial"/>
                <w:noProof/>
                <w:color w:val="000000"/>
                <w:sz w:val="20"/>
                <w:szCs w:val="20"/>
                <w:highlight w:val="black"/>
              </w:rPr>
              <w:t>'''''''''''''</w:t>
            </w:r>
          </w:p>
        </w:tc>
      </w:tr>
      <w:tr w:rsidR="00957093" w:rsidRPr="0042063A" w:rsidTr="00BE0700">
        <w:tc>
          <w:tcPr>
            <w:tcW w:w="2830" w:type="dxa"/>
            <w:vAlign w:val="bottom"/>
          </w:tcPr>
          <w:p w:rsidR="00957093" w:rsidRPr="0042063A" w:rsidRDefault="00957093" w:rsidP="00BE0700">
            <w:pPr>
              <w:pStyle w:val="V50Instructions"/>
              <w:spacing w:before="40" w:after="40"/>
              <w:rPr>
                <w:rFonts w:ascii="Arial Narrow" w:eastAsia="Calibri" w:hAnsi="Arial Narrow" w:cs="Arial"/>
                <w:color w:val="auto"/>
                <w:sz w:val="20"/>
                <w:szCs w:val="20"/>
              </w:rPr>
            </w:pPr>
            <w:r w:rsidRPr="0042063A">
              <w:rPr>
                <w:rFonts w:ascii="Arial Narrow" w:eastAsia="Calibri" w:hAnsi="Arial Narrow" w:cs="Arial"/>
                <w:color w:val="auto"/>
                <w:sz w:val="20"/>
                <w:szCs w:val="20"/>
              </w:rPr>
              <w:t>Mean (SD)</w:t>
            </w:r>
          </w:p>
        </w:tc>
        <w:tc>
          <w:tcPr>
            <w:tcW w:w="1546" w:type="dxa"/>
            <w:vAlign w:val="center"/>
          </w:tcPr>
          <w:p w:rsidR="00957093" w:rsidRPr="0042063A" w:rsidRDefault="006E2381" w:rsidP="00BE0700">
            <w:pPr>
              <w:pStyle w:val="V50Instructions"/>
              <w:spacing w:before="40" w:after="40"/>
              <w:jc w:val="center"/>
              <w:rPr>
                <w:rFonts w:ascii="Arial Narrow" w:eastAsia="Calibri"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c>
          <w:tcPr>
            <w:tcW w:w="1547" w:type="dxa"/>
            <w:vAlign w:val="center"/>
          </w:tcPr>
          <w:p w:rsidR="00957093" w:rsidRPr="0042063A" w:rsidRDefault="006E2381" w:rsidP="00BE0700">
            <w:pPr>
              <w:pStyle w:val="V50Instructions"/>
              <w:spacing w:before="40" w:after="40"/>
              <w:jc w:val="center"/>
              <w:rPr>
                <w:rFonts w:ascii="Arial Narrow" w:eastAsia="Calibri"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c>
          <w:tcPr>
            <w:tcW w:w="1546" w:type="dxa"/>
            <w:vAlign w:val="center"/>
          </w:tcPr>
          <w:p w:rsidR="00957093" w:rsidRPr="0042063A" w:rsidRDefault="006E2381" w:rsidP="00BE0700">
            <w:pPr>
              <w:pStyle w:val="V50Instructions"/>
              <w:spacing w:before="40" w:after="40"/>
              <w:jc w:val="center"/>
              <w:rPr>
                <w:rFonts w:ascii="Arial Narrow" w:eastAsia="Calibri"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c>
          <w:tcPr>
            <w:tcW w:w="1547" w:type="dxa"/>
            <w:vAlign w:val="center"/>
          </w:tcPr>
          <w:p w:rsidR="00957093" w:rsidRPr="0042063A" w:rsidRDefault="006E2381" w:rsidP="00BE0700">
            <w:pPr>
              <w:pStyle w:val="V50Instructions"/>
              <w:spacing w:before="40" w:after="40"/>
              <w:jc w:val="center"/>
              <w:rPr>
                <w:rFonts w:ascii="Arial Narrow" w:eastAsia="Calibri"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w:t>
            </w:r>
          </w:p>
        </w:tc>
      </w:tr>
      <w:tr w:rsidR="00957093" w:rsidRPr="0042063A" w:rsidTr="00BE0700">
        <w:tc>
          <w:tcPr>
            <w:tcW w:w="2830" w:type="dxa"/>
            <w:vAlign w:val="bottom"/>
          </w:tcPr>
          <w:p w:rsidR="00957093" w:rsidRPr="0042063A" w:rsidRDefault="00957093" w:rsidP="00BE0700">
            <w:pPr>
              <w:pStyle w:val="V50Instructions"/>
              <w:spacing w:before="40" w:after="40"/>
              <w:rPr>
                <w:rFonts w:ascii="Arial Narrow" w:eastAsia="Calibri" w:hAnsi="Arial Narrow" w:cs="Arial"/>
                <w:color w:val="auto"/>
                <w:sz w:val="20"/>
                <w:szCs w:val="20"/>
              </w:rPr>
            </w:pPr>
            <w:r w:rsidRPr="0042063A">
              <w:rPr>
                <w:rFonts w:ascii="Arial Narrow" w:eastAsia="Calibri" w:hAnsi="Arial Narrow" w:cs="Arial"/>
                <w:color w:val="auto"/>
                <w:sz w:val="20"/>
                <w:szCs w:val="20"/>
              </w:rPr>
              <w:t>Median</w:t>
            </w:r>
          </w:p>
        </w:tc>
        <w:tc>
          <w:tcPr>
            <w:tcW w:w="1546" w:type="dxa"/>
            <w:vAlign w:val="center"/>
          </w:tcPr>
          <w:p w:rsidR="00957093" w:rsidRPr="006E2381" w:rsidRDefault="006E2381" w:rsidP="00BE0700">
            <w:pPr>
              <w:pStyle w:val="V50Instructions"/>
              <w:spacing w:before="40" w:after="40"/>
              <w:jc w:val="center"/>
              <w:rPr>
                <w:rFonts w:ascii="Arial Narrow" w:eastAsia="Calibri" w:hAnsi="Arial Narrow" w:cs="Arial"/>
                <w:color w:val="auto"/>
                <w:sz w:val="20"/>
                <w:szCs w:val="20"/>
                <w:highlight w:val="black"/>
              </w:rPr>
            </w:pPr>
            <w:r>
              <w:rPr>
                <w:rFonts w:ascii="Arial Narrow" w:eastAsia="Calibri" w:hAnsi="Arial Narrow" w:cs="Arial"/>
                <w:noProof/>
                <w:color w:val="000000"/>
                <w:sz w:val="20"/>
                <w:szCs w:val="20"/>
                <w:highlight w:val="black"/>
              </w:rPr>
              <w:t>''''''''''</w:t>
            </w:r>
          </w:p>
        </w:tc>
        <w:tc>
          <w:tcPr>
            <w:tcW w:w="1547" w:type="dxa"/>
            <w:vAlign w:val="center"/>
          </w:tcPr>
          <w:p w:rsidR="00957093" w:rsidRPr="006E2381" w:rsidRDefault="006E2381" w:rsidP="00BE0700">
            <w:pPr>
              <w:pStyle w:val="V50Instructions"/>
              <w:spacing w:before="40" w:after="40"/>
              <w:jc w:val="center"/>
              <w:rPr>
                <w:rFonts w:ascii="Arial Narrow" w:eastAsia="Calibri" w:hAnsi="Arial Narrow" w:cs="Arial"/>
                <w:color w:val="auto"/>
                <w:sz w:val="20"/>
                <w:szCs w:val="20"/>
                <w:highlight w:val="black"/>
              </w:rPr>
            </w:pPr>
            <w:r>
              <w:rPr>
                <w:rFonts w:ascii="Arial Narrow" w:eastAsia="Calibri" w:hAnsi="Arial Narrow" w:cs="Arial"/>
                <w:noProof/>
                <w:color w:val="000000"/>
                <w:sz w:val="20"/>
                <w:szCs w:val="20"/>
                <w:highlight w:val="black"/>
              </w:rPr>
              <w:t>''''''''''''''</w:t>
            </w:r>
          </w:p>
        </w:tc>
        <w:tc>
          <w:tcPr>
            <w:tcW w:w="1546" w:type="dxa"/>
            <w:vAlign w:val="center"/>
          </w:tcPr>
          <w:p w:rsidR="00957093" w:rsidRPr="006E2381" w:rsidRDefault="006E2381" w:rsidP="00BE0700">
            <w:pPr>
              <w:pStyle w:val="V50Instructions"/>
              <w:spacing w:before="40" w:after="40"/>
              <w:jc w:val="center"/>
              <w:rPr>
                <w:rFonts w:ascii="Arial Narrow" w:eastAsia="Calibri" w:hAnsi="Arial Narrow" w:cs="Arial"/>
                <w:color w:val="auto"/>
                <w:sz w:val="20"/>
                <w:szCs w:val="20"/>
                <w:highlight w:val="black"/>
              </w:rPr>
            </w:pPr>
            <w:r>
              <w:rPr>
                <w:rFonts w:ascii="Arial Narrow" w:eastAsia="Calibri" w:hAnsi="Arial Narrow" w:cs="Arial"/>
                <w:noProof/>
                <w:color w:val="000000"/>
                <w:sz w:val="20"/>
                <w:szCs w:val="20"/>
                <w:highlight w:val="black"/>
              </w:rPr>
              <w:t>'''''''''''''</w:t>
            </w:r>
          </w:p>
        </w:tc>
        <w:tc>
          <w:tcPr>
            <w:tcW w:w="1547" w:type="dxa"/>
            <w:vAlign w:val="center"/>
          </w:tcPr>
          <w:p w:rsidR="00957093" w:rsidRPr="006E2381" w:rsidRDefault="006E2381" w:rsidP="00BE0700">
            <w:pPr>
              <w:pStyle w:val="V50Instructions"/>
              <w:spacing w:before="40" w:after="40"/>
              <w:jc w:val="center"/>
              <w:rPr>
                <w:rFonts w:ascii="Arial Narrow" w:eastAsia="Calibri" w:hAnsi="Arial Narrow" w:cs="Arial"/>
                <w:color w:val="auto"/>
                <w:sz w:val="20"/>
                <w:szCs w:val="20"/>
                <w:highlight w:val="black"/>
              </w:rPr>
            </w:pPr>
            <w:r>
              <w:rPr>
                <w:rFonts w:ascii="Arial Narrow" w:eastAsia="Calibri" w:hAnsi="Arial Narrow" w:cs="Arial"/>
                <w:noProof/>
                <w:color w:val="000000"/>
                <w:sz w:val="20"/>
                <w:szCs w:val="20"/>
                <w:highlight w:val="black"/>
              </w:rPr>
              <w:t>'''''''''''''</w:t>
            </w:r>
          </w:p>
        </w:tc>
      </w:tr>
      <w:tr w:rsidR="00957093" w:rsidRPr="0042063A" w:rsidTr="00BE0700">
        <w:tc>
          <w:tcPr>
            <w:tcW w:w="2830" w:type="dxa"/>
            <w:vAlign w:val="bottom"/>
          </w:tcPr>
          <w:p w:rsidR="00957093" w:rsidRPr="0042063A" w:rsidRDefault="00957093" w:rsidP="00BE0700">
            <w:pPr>
              <w:pStyle w:val="V50Instructions"/>
              <w:spacing w:before="40" w:after="40"/>
              <w:rPr>
                <w:rFonts w:ascii="Arial Narrow" w:eastAsia="Calibri" w:hAnsi="Arial Narrow" w:cs="Arial"/>
                <w:color w:val="auto"/>
                <w:sz w:val="20"/>
                <w:szCs w:val="20"/>
              </w:rPr>
            </w:pPr>
            <w:r w:rsidRPr="0042063A">
              <w:rPr>
                <w:rFonts w:ascii="Arial Narrow" w:eastAsia="Calibri" w:hAnsi="Arial Narrow" w:cs="Arial"/>
                <w:color w:val="auto"/>
                <w:sz w:val="20"/>
                <w:szCs w:val="20"/>
              </w:rPr>
              <w:t>25</w:t>
            </w:r>
            <w:r w:rsidRPr="0042063A">
              <w:rPr>
                <w:rFonts w:ascii="Arial Narrow" w:eastAsia="Calibri" w:hAnsi="Arial Narrow" w:cs="Arial"/>
                <w:color w:val="auto"/>
                <w:sz w:val="20"/>
                <w:szCs w:val="20"/>
                <w:vertAlign w:val="superscript"/>
              </w:rPr>
              <w:t>th</w:t>
            </w:r>
            <w:r w:rsidRPr="0042063A">
              <w:rPr>
                <w:rFonts w:ascii="Arial Narrow" w:eastAsia="Calibri" w:hAnsi="Arial Narrow" w:cs="Arial"/>
                <w:color w:val="auto"/>
                <w:sz w:val="20"/>
                <w:szCs w:val="20"/>
              </w:rPr>
              <w:t>, 75</w:t>
            </w:r>
            <w:r w:rsidRPr="0042063A">
              <w:rPr>
                <w:rFonts w:ascii="Arial Narrow" w:eastAsia="Calibri" w:hAnsi="Arial Narrow" w:cs="Arial"/>
                <w:color w:val="auto"/>
                <w:sz w:val="20"/>
                <w:szCs w:val="20"/>
                <w:vertAlign w:val="superscript"/>
              </w:rPr>
              <w:t>th</w:t>
            </w:r>
            <w:r w:rsidRPr="0042063A">
              <w:rPr>
                <w:rFonts w:ascii="Arial Narrow" w:eastAsia="Calibri" w:hAnsi="Arial Narrow" w:cs="Arial"/>
                <w:color w:val="auto"/>
                <w:sz w:val="20"/>
                <w:szCs w:val="20"/>
              </w:rPr>
              <w:t xml:space="preserve"> Percentile</w:t>
            </w:r>
          </w:p>
        </w:tc>
        <w:tc>
          <w:tcPr>
            <w:tcW w:w="1546" w:type="dxa"/>
            <w:vAlign w:val="center"/>
          </w:tcPr>
          <w:p w:rsidR="00957093" w:rsidRPr="0042063A" w:rsidRDefault="006E2381" w:rsidP="00BE0700">
            <w:pPr>
              <w:pStyle w:val="V50Instructions"/>
              <w:spacing w:before="40" w:after="40"/>
              <w:jc w:val="center"/>
              <w:rPr>
                <w:rFonts w:ascii="Arial Narrow" w:eastAsia="Calibri"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p>
        </w:tc>
        <w:tc>
          <w:tcPr>
            <w:tcW w:w="1547" w:type="dxa"/>
            <w:vAlign w:val="center"/>
          </w:tcPr>
          <w:p w:rsidR="00957093" w:rsidRPr="0042063A" w:rsidRDefault="006E2381" w:rsidP="00BE0700">
            <w:pPr>
              <w:pStyle w:val="V50Instructions"/>
              <w:spacing w:before="40" w:after="40"/>
              <w:jc w:val="center"/>
              <w:rPr>
                <w:rFonts w:ascii="Arial Narrow" w:eastAsia="Calibri"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p>
        </w:tc>
        <w:tc>
          <w:tcPr>
            <w:tcW w:w="1546" w:type="dxa"/>
            <w:vAlign w:val="center"/>
          </w:tcPr>
          <w:p w:rsidR="00957093" w:rsidRPr="006E2381" w:rsidRDefault="006E2381" w:rsidP="00BE0700">
            <w:pPr>
              <w:pStyle w:val="V50Instructions"/>
              <w:spacing w:before="40" w:after="40"/>
              <w:jc w:val="center"/>
              <w:rPr>
                <w:rFonts w:ascii="Arial Narrow" w:eastAsia="Calibri" w:hAnsi="Arial Narrow" w:cs="Arial"/>
                <w:color w:val="auto"/>
                <w:sz w:val="20"/>
                <w:szCs w:val="20"/>
                <w:highlight w:val="black"/>
              </w:rPr>
            </w:pPr>
            <w:r>
              <w:rPr>
                <w:rFonts w:ascii="Arial Narrow" w:eastAsia="Calibri" w:hAnsi="Arial Narrow" w:cs="Arial"/>
                <w:noProof/>
                <w:color w:val="000000"/>
                <w:sz w:val="20"/>
                <w:szCs w:val="20"/>
                <w:highlight w:val="black"/>
              </w:rPr>
              <w:t>''''''''''''' ''''''''''''</w:t>
            </w:r>
          </w:p>
        </w:tc>
        <w:tc>
          <w:tcPr>
            <w:tcW w:w="1547" w:type="dxa"/>
            <w:vAlign w:val="center"/>
          </w:tcPr>
          <w:p w:rsidR="00957093" w:rsidRPr="0042063A" w:rsidRDefault="006E2381" w:rsidP="00BE0700">
            <w:pPr>
              <w:pStyle w:val="V50Instructions"/>
              <w:spacing w:before="40" w:after="40"/>
              <w:jc w:val="center"/>
              <w:rPr>
                <w:rFonts w:ascii="Arial Narrow" w:eastAsia="Calibri" w:hAnsi="Arial Narrow" w:cs="Arial"/>
                <w:color w:val="auto"/>
                <w:sz w:val="20"/>
                <w:szCs w:val="20"/>
              </w:rPr>
            </w:pPr>
            <w:r>
              <w:rPr>
                <w:rFonts w:ascii="Arial Narrow" w:eastAsia="Calibri" w:hAnsi="Arial Narrow" w:cs="Arial"/>
                <w:noProof/>
                <w:color w:val="000000"/>
                <w:sz w:val="20"/>
                <w:szCs w:val="20"/>
                <w:highlight w:val="black"/>
              </w:rPr>
              <w:t>''''''''''''''''''</w:t>
            </w:r>
            <w:r w:rsidR="00957093" w:rsidRPr="0042063A">
              <w:rPr>
                <w:rFonts w:ascii="Arial Narrow" w:eastAsia="Calibri" w:hAnsi="Arial Narrow" w:cs="Arial"/>
                <w:color w:val="auto"/>
                <w:sz w:val="20"/>
                <w:szCs w:val="20"/>
              </w:rPr>
              <w:t xml:space="preserve">, </w:t>
            </w:r>
            <w:r>
              <w:rPr>
                <w:rFonts w:ascii="Arial Narrow" w:eastAsia="Calibri" w:hAnsi="Arial Narrow" w:cs="Arial"/>
                <w:noProof/>
                <w:color w:val="000000"/>
                <w:sz w:val="20"/>
                <w:szCs w:val="20"/>
                <w:highlight w:val="black"/>
              </w:rPr>
              <w:t>'''''''''''''''''</w:t>
            </w:r>
          </w:p>
        </w:tc>
      </w:tr>
    </w:tbl>
    <w:p w:rsidR="00957093" w:rsidRPr="0042063A" w:rsidRDefault="00957093" w:rsidP="00957093">
      <w:pPr>
        <w:pStyle w:val="TableNotes"/>
        <w:tabs>
          <w:tab w:val="left" w:pos="284"/>
        </w:tabs>
        <w:spacing w:after="0"/>
        <w:rPr>
          <w:rFonts w:ascii="Arial Narrow" w:hAnsi="Arial Narrow"/>
          <w:sz w:val="18"/>
        </w:rPr>
      </w:pPr>
      <w:r w:rsidRPr="0042063A">
        <w:rPr>
          <w:rFonts w:ascii="Arial Narrow" w:hAnsi="Arial Narrow"/>
          <w:sz w:val="18"/>
          <w:vertAlign w:val="superscript"/>
        </w:rPr>
        <w:t>1</w:t>
      </w:r>
      <w:r w:rsidRPr="0042063A">
        <w:rPr>
          <w:rFonts w:ascii="Arial Narrow" w:hAnsi="Arial Narrow"/>
          <w:sz w:val="18"/>
          <w:vertAlign w:val="superscript"/>
        </w:rPr>
        <w:tab/>
      </w:r>
      <w:r w:rsidRPr="0042063A">
        <w:rPr>
          <w:rFonts w:ascii="Arial Narrow" w:hAnsi="Arial Narrow"/>
          <w:sz w:val="18"/>
        </w:rPr>
        <w:t>Efficacy matched population excluded 2 patients with ML scale scores of 6 with no decline</w:t>
      </w:r>
    </w:p>
    <w:p w:rsidR="00957093" w:rsidRPr="0042063A" w:rsidRDefault="00957093" w:rsidP="00345D0E">
      <w:pPr>
        <w:pStyle w:val="TableNotes"/>
        <w:spacing w:after="240"/>
        <w:rPr>
          <w:rFonts w:ascii="Arial Narrow" w:hAnsi="Arial Narrow"/>
          <w:sz w:val="18"/>
        </w:rPr>
      </w:pPr>
      <w:r w:rsidRPr="0042063A">
        <w:rPr>
          <w:rFonts w:ascii="Arial Narrow" w:hAnsi="Arial Narrow"/>
          <w:sz w:val="18"/>
        </w:rPr>
        <w:t xml:space="preserve">Source: Table 2.6-1, p106 and Table 2.6-2, p107 of the submission </w:t>
      </w:r>
    </w:p>
    <w:p w:rsidR="00957093" w:rsidRPr="0042063A" w:rsidRDefault="00FD5A74">
      <w:pPr>
        <w:pStyle w:val="ListParagraph"/>
        <w:numPr>
          <w:ilvl w:val="1"/>
          <w:numId w:val="2"/>
        </w:numPr>
        <w:spacing w:before="0" w:after="120"/>
      </w:pPr>
      <w:r w:rsidRPr="0042063A">
        <w:t>There wa</w:t>
      </w:r>
      <w:r w:rsidR="00957093" w:rsidRPr="0042063A">
        <w:t xml:space="preserve">s an important </w:t>
      </w:r>
      <w:r w:rsidR="00627AF8" w:rsidRPr="0042063A">
        <w:t xml:space="preserve">difference </w:t>
      </w:r>
      <w:r w:rsidR="00957093" w:rsidRPr="0042063A">
        <w:t>in the results presented in the matched comparison and the results in the individual studies.</w:t>
      </w:r>
      <w:r w:rsidR="00292839">
        <w:t xml:space="preserve"> </w:t>
      </w:r>
      <w:r w:rsidR="00957093" w:rsidRPr="0042063A">
        <w:t>Only 20/23 (87%) patients in Study 201/202 were classified as responders however in the matched comparison</w:t>
      </w:r>
      <w:r w:rsidR="00FE7097" w:rsidRPr="0042063A">
        <w:t>,</w:t>
      </w:r>
      <w:r w:rsidR="00957093" w:rsidRPr="0042063A">
        <w:t xml:space="preserve"> this is reported as </w:t>
      </w:r>
      <w:r w:rsidR="006E2381">
        <w:rPr>
          <w:noProof/>
          <w:color w:val="000000"/>
          <w:highlight w:val="black"/>
        </w:rPr>
        <w:t>'''''</w:t>
      </w:r>
      <w:r w:rsidR="00957093" w:rsidRPr="0042063A">
        <w:t>/</w:t>
      </w:r>
      <w:r w:rsidR="00957093" w:rsidRPr="00080E98">
        <w:t>21 (</w:t>
      </w:r>
      <w:proofErr w:type="gramStart"/>
      <w:r w:rsidR="006E2381">
        <w:rPr>
          <w:rFonts w:ascii="Calibri" w:eastAsia="Calibri" w:hAnsi="Calibri" w:cs="Arial"/>
          <w:noProof/>
          <w:color w:val="000000"/>
          <w:highlight w:val="black"/>
        </w:rPr>
        <w:t>''''''''</w:t>
      </w:r>
      <w:r w:rsidR="00957093" w:rsidRPr="00080E98">
        <w:t>%</w:t>
      </w:r>
      <w:proofErr w:type="gramEnd"/>
      <w:r w:rsidR="00957093" w:rsidRPr="00080E98">
        <w:t>).</w:t>
      </w:r>
      <w:r w:rsidR="00292839">
        <w:t xml:space="preserve"> </w:t>
      </w:r>
      <w:r w:rsidR="00BE0700" w:rsidRPr="0042063A">
        <w:t xml:space="preserve">It should be noted that despite the responder analysis being the primary outcome in </w:t>
      </w:r>
      <w:r w:rsidR="00345D0E" w:rsidRPr="0042063A">
        <w:t>S</w:t>
      </w:r>
      <w:r w:rsidR="00BE0700" w:rsidRPr="0042063A">
        <w:t>tudy 201/202 and the outcome upon which the clinical claim is based, it is NOT used directly to inform the economic evaluation.</w:t>
      </w:r>
      <w:r w:rsidR="00292839">
        <w:t xml:space="preserve"> </w:t>
      </w:r>
      <w:r w:rsidR="00BE0700" w:rsidRPr="0042063A">
        <w:t>Instead, patient level data was used to construct transition probabilities through health states.</w:t>
      </w:r>
      <w:r w:rsidR="00423E30" w:rsidRPr="0042063A">
        <w:t xml:space="preserve"> </w:t>
      </w:r>
      <w:r w:rsidR="003A6A36">
        <w:t xml:space="preserve">The PSCR </w:t>
      </w:r>
      <w:r w:rsidR="00F344B6" w:rsidRPr="0042063A">
        <w:t xml:space="preserve">stated that a responder was defined as a patient who did not experience a 2-point decline or ML score of 0 </w:t>
      </w:r>
      <w:r w:rsidR="0023505A" w:rsidRPr="0042063A">
        <w:t>over a 48-week period</w:t>
      </w:r>
      <w:r w:rsidR="00F344B6" w:rsidRPr="0042063A">
        <w:t xml:space="preserve">. In contrast, a responder in the 1:1 matched comparison </w:t>
      </w:r>
      <w:r w:rsidR="00D01335" w:rsidRPr="0042063A">
        <w:t>was defined as a patient who experienced a rate of decline less than 2 points over a 48-week period.</w:t>
      </w:r>
      <w:r w:rsidR="004254C9" w:rsidRPr="0042063A">
        <w:t xml:space="preserve"> The ESC request</w:t>
      </w:r>
      <w:r w:rsidR="005C5891" w:rsidRPr="0042063A">
        <w:t xml:space="preserve">ed that the sponsor further clarify the difference between the two definitions of a responder including confirmation whether a responder in Study 201/202 may not be a responder in the 1:1 matched comparison. </w:t>
      </w:r>
      <w:r w:rsidR="001220F8" w:rsidRPr="0042063A">
        <w:t xml:space="preserve">The Pre-PBAC Response </w:t>
      </w:r>
      <w:r w:rsidR="00003A91" w:rsidRPr="0042063A">
        <w:t xml:space="preserve">clarified that based on the </w:t>
      </w:r>
      <w:r w:rsidR="00003A91" w:rsidRPr="0042063A">
        <w:lastRenderedPageBreak/>
        <w:t>definition of responder in the 1:1 matched population</w:t>
      </w:r>
      <w:r w:rsidR="003F1CAE" w:rsidRPr="0042063A">
        <w:t xml:space="preserve"> (patient with a rate of decline less than 2 points per 48 weeks)</w:t>
      </w:r>
      <w:r w:rsidR="00003A91" w:rsidRPr="0042063A">
        <w:t>, all patients who were considered responders i</w:t>
      </w:r>
      <w:r w:rsidR="00C81D59" w:rsidRPr="0042063A">
        <w:t xml:space="preserve">n Study 201/202 (patients who did not experience a 2 point rate of decline from baseline or score of 0) </w:t>
      </w:r>
      <w:r w:rsidR="00003A91" w:rsidRPr="0042063A">
        <w:t xml:space="preserve">would also be considered responders in the 1:1 matched comparison. </w:t>
      </w:r>
      <w:r w:rsidR="003F1CAE" w:rsidRPr="0042063A">
        <w:t>However, patients in Study 201/202 who were considered non-responders based on the 2-point decline from baseline in the first 48 weeks may be considered a responder in the 1:1 matched comparison</w:t>
      </w:r>
      <w:r w:rsidR="000277C7" w:rsidRPr="0042063A">
        <w:t>.</w:t>
      </w:r>
    </w:p>
    <w:p w:rsidR="00957093" w:rsidRPr="0042063A" w:rsidRDefault="00957093" w:rsidP="00345D0E">
      <w:pPr>
        <w:pStyle w:val="ListParagraph"/>
        <w:numPr>
          <w:ilvl w:val="1"/>
          <w:numId w:val="2"/>
        </w:numPr>
        <w:spacing w:before="0" w:after="240"/>
        <w:ind w:left="578" w:hanging="578"/>
      </w:pPr>
      <w:r w:rsidRPr="0042063A">
        <w:t xml:space="preserve">Additionally, the rate of decline in ML score was also estimated for patients in </w:t>
      </w:r>
      <w:r w:rsidR="00345D0E" w:rsidRPr="0042063A">
        <w:t>S</w:t>
      </w:r>
      <w:r w:rsidRPr="0042063A">
        <w:t xml:space="preserve">tudy 201/202 and </w:t>
      </w:r>
      <w:r w:rsidR="00345D0E" w:rsidRPr="0042063A">
        <w:t>S</w:t>
      </w:r>
      <w:r w:rsidRPr="0042063A">
        <w:t>tudy 901</w:t>
      </w:r>
      <w:r w:rsidR="004E5886">
        <w:t xml:space="preserve"> </w:t>
      </w:r>
      <w:r w:rsidR="00955B71" w:rsidRPr="0042063A">
        <w:t>(</w:t>
      </w:r>
      <w:r w:rsidR="00345D0E" w:rsidRPr="0042063A">
        <w:t xml:space="preserve">see </w:t>
      </w:r>
      <w:r w:rsidR="00345D0E" w:rsidRPr="0042063A">
        <w:rPr>
          <w:rFonts w:ascii="Calibri" w:hAnsi="Calibri"/>
        </w:rPr>
        <w:t xml:space="preserve">Table </w:t>
      </w:r>
      <w:r w:rsidR="00345D0E" w:rsidRPr="0042063A">
        <w:rPr>
          <w:rFonts w:ascii="Calibri" w:hAnsi="Calibri"/>
          <w:noProof/>
        </w:rPr>
        <w:t>6</w:t>
      </w:r>
      <w:r w:rsidR="00955B71" w:rsidRPr="0042063A">
        <w:rPr>
          <w:rFonts w:ascii="Calibri" w:hAnsi="Calibri"/>
        </w:rPr>
        <w:t>)</w:t>
      </w:r>
      <w:r w:rsidRPr="0042063A">
        <w:rPr>
          <w:rFonts w:ascii="Calibri" w:hAnsi="Calibri"/>
        </w:rPr>
        <w:t>.</w:t>
      </w:r>
      <w:r w:rsidR="00292839">
        <w:t xml:space="preserve"> </w:t>
      </w:r>
      <w:r w:rsidR="00BE0700" w:rsidRPr="0042063A">
        <w:t>In a previous data cut (April 2016) of Study 901, results from a mixed-effect model repeated measures (MMRM) with unstructured variance and linear trend and adjustment by age of diagnosis was presented.</w:t>
      </w:r>
      <w:r w:rsidR="00292839">
        <w:t xml:space="preserve"> </w:t>
      </w:r>
      <w:r w:rsidR="00BE0700" w:rsidRPr="0042063A">
        <w:t>The MMRM allows for non-uniformity in the interval between ML scores to be used and adjusts for the multiple measurements from the same patient and is considered to be a more sophisticated approach given the data than the simple linear regression presented as the base case in the submission.</w:t>
      </w:r>
      <w:r w:rsidR="00292839">
        <w:t xml:space="preserve"> </w:t>
      </w:r>
      <w:r w:rsidR="00BE0700" w:rsidRPr="0042063A">
        <w:t>However no analysis with the MMRM in the latest data cut off (July 2017) in Study 901 was reported in the submission or attached report.</w:t>
      </w:r>
      <w:r w:rsidR="00292839">
        <w:t xml:space="preserve"> </w:t>
      </w:r>
    </w:p>
    <w:p w:rsidR="00957093" w:rsidRPr="0042063A" w:rsidRDefault="00345D0E" w:rsidP="00345D0E">
      <w:pPr>
        <w:pStyle w:val="Caption"/>
        <w:rPr>
          <w:rFonts w:ascii="Arial Narrow" w:hAnsi="Arial Narrow"/>
        </w:rPr>
      </w:pPr>
      <w:bookmarkStart w:id="21" w:name="_Ref512277181"/>
      <w:r w:rsidRPr="0042063A">
        <w:rPr>
          <w:rFonts w:ascii="Arial Narrow" w:hAnsi="Arial Narrow"/>
        </w:rPr>
        <w:t xml:space="preserve">Table </w:t>
      </w:r>
      <w:r w:rsidR="0000175F" w:rsidRPr="0042063A">
        <w:rPr>
          <w:rFonts w:ascii="Arial Narrow" w:hAnsi="Arial Narrow"/>
          <w:noProof/>
        </w:rPr>
        <w:t>6</w:t>
      </w:r>
      <w:bookmarkEnd w:id="21"/>
      <w:r w:rsidR="00957093" w:rsidRPr="0042063A">
        <w:rPr>
          <w:rFonts w:ascii="Arial Narrow" w:hAnsi="Arial Narrow"/>
        </w:rPr>
        <w:t xml:space="preserve">: Rate of decline of HML scale score in Study 901 using different methods at different data points </w:t>
      </w: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Rate of decline of HML scale score in Study 901 using different methods at different data points "/>
      </w:tblPr>
      <w:tblGrid>
        <w:gridCol w:w="5114"/>
        <w:gridCol w:w="1871"/>
        <w:gridCol w:w="2082"/>
      </w:tblGrid>
      <w:tr w:rsidR="00957093" w:rsidRPr="0042063A" w:rsidTr="00484C1A">
        <w:trPr>
          <w:cnfStyle w:val="100000000000" w:firstRow="1" w:lastRow="0" w:firstColumn="0" w:lastColumn="0" w:oddVBand="0" w:evenVBand="0" w:oddHBand="0" w:evenHBand="0" w:firstRowFirstColumn="0" w:firstRowLastColumn="0" w:lastRowFirstColumn="0" w:lastRowLastColumn="0"/>
          <w:tblHeader/>
        </w:trPr>
        <w:tc>
          <w:tcPr>
            <w:tcW w:w="5114" w:type="dxa"/>
            <w:shd w:val="clear" w:color="auto" w:fill="auto"/>
          </w:tcPr>
          <w:p w:rsidR="00957093" w:rsidRPr="0042063A" w:rsidRDefault="00957093" w:rsidP="00957093">
            <w:pPr>
              <w:pStyle w:val="V50Instructions"/>
              <w:spacing w:before="40" w:after="40"/>
              <w:rPr>
                <w:rFonts w:ascii="Arial Narrow" w:hAnsi="Arial Narrow" w:cs="Arial"/>
                <w:color w:val="auto"/>
                <w:sz w:val="20"/>
                <w:szCs w:val="20"/>
              </w:rPr>
            </w:pPr>
            <w:r w:rsidRPr="0042063A">
              <w:rPr>
                <w:rFonts w:ascii="Arial Narrow" w:hAnsi="Arial Narrow" w:cs="Arial"/>
                <w:color w:val="auto"/>
                <w:sz w:val="20"/>
                <w:szCs w:val="20"/>
              </w:rPr>
              <w:t xml:space="preserve">Study, time and method </w:t>
            </w:r>
            <w:r w:rsidR="00BE0700" w:rsidRPr="0042063A">
              <w:rPr>
                <w:rFonts w:ascii="Arial Narrow" w:hAnsi="Arial Narrow" w:cs="Arial"/>
                <w:color w:val="auto"/>
                <w:sz w:val="20"/>
                <w:szCs w:val="20"/>
              </w:rPr>
              <w:t>of estimati</w:t>
            </w:r>
            <w:r w:rsidRPr="0042063A">
              <w:rPr>
                <w:rFonts w:ascii="Arial Narrow" w:hAnsi="Arial Narrow" w:cs="Arial"/>
                <w:color w:val="auto"/>
                <w:sz w:val="20"/>
                <w:szCs w:val="20"/>
              </w:rPr>
              <w:t>on</w:t>
            </w:r>
          </w:p>
        </w:tc>
        <w:tc>
          <w:tcPr>
            <w:tcW w:w="1871" w:type="dxa"/>
            <w:shd w:val="clear" w:color="auto" w:fill="auto"/>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hAnsi="Arial Narrow" w:cs="Arial"/>
                <w:color w:val="auto"/>
                <w:sz w:val="20"/>
                <w:szCs w:val="20"/>
              </w:rPr>
              <w:t>Mean (SD)</w:t>
            </w:r>
          </w:p>
        </w:tc>
        <w:tc>
          <w:tcPr>
            <w:tcW w:w="2082" w:type="dxa"/>
            <w:shd w:val="clear" w:color="auto" w:fill="auto"/>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hAnsi="Arial Narrow" w:cs="Arial"/>
                <w:color w:val="auto"/>
                <w:sz w:val="20"/>
                <w:szCs w:val="20"/>
              </w:rPr>
              <w:t>(95% CI)</w:t>
            </w:r>
          </w:p>
        </w:tc>
      </w:tr>
      <w:tr w:rsidR="00957093" w:rsidRPr="0042063A" w:rsidTr="00BE0700">
        <w:trPr>
          <w:trHeight w:val="70"/>
        </w:trPr>
        <w:tc>
          <w:tcPr>
            <w:tcW w:w="5114" w:type="dxa"/>
          </w:tcPr>
          <w:p w:rsidR="00957093" w:rsidRPr="0042063A" w:rsidRDefault="00957093" w:rsidP="00BE0700">
            <w:pPr>
              <w:pStyle w:val="V50Instructions"/>
              <w:spacing w:before="40" w:after="40"/>
              <w:ind w:left="1246" w:hanging="1246"/>
              <w:rPr>
                <w:rFonts w:ascii="Arial Narrow" w:hAnsi="Arial Narrow" w:cs="Arial"/>
                <w:color w:val="auto"/>
                <w:sz w:val="20"/>
                <w:szCs w:val="20"/>
              </w:rPr>
            </w:pPr>
            <w:r w:rsidRPr="0042063A">
              <w:rPr>
                <w:rFonts w:ascii="Arial Narrow" w:hAnsi="Arial Narrow" w:cs="Arial"/>
                <w:color w:val="auto"/>
                <w:sz w:val="20"/>
                <w:szCs w:val="20"/>
              </w:rPr>
              <w:t>Study 201/202 – 48 weeks simple linear regression</w:t>
            </w:r>
            <w:r w:rsidR="00BE0700" w:rsidRPr="0042063A">
              <w:rPr>
                <w:rFonts w:ascii="Arial Narrow" w:hAnsi="Arial Narrow" w:cs="Arial"/>
                <w:color w:val="auto"/>
                <w:sz w:val="20"/>
                <w:szCs w:val="20"/>
              </w:rPr>
              <w:t xml:space="preserve"> (N=23)</w:t>
            </w:r>
          </w:p>
        </w:tc>
        <w:tc>
          <w:tcPr>
            <w:tcW w:w="1871"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hAnsi="Arial Narrow" w:cs="Arial"/>
                <w:color w:val="auto"/>
                <w:sz w:val="20"/>
                <w:szCs w:val="20"/>
              </w:rPr>
              <w:t>0.40 (NR)</w:t>
            </w:r>
          </w:p>
        </w:tc>
        <w:tc>
          <w:tcPr>
            <w:tcW w:w="2082"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hAnsi="Arial Narrow" w:cs="Arial"/>
                <w:color w:val="auto"/>
                <w:sz w:val="20"/>
                <w:szCs w:val="20"/>
              </w:rPr>
              <w:t>0.05, 0.75</w:t>
            </w:r>
          </w:p>
        </w:tc>
      </w:tr>
      <w:tr w:rsidR="00957093" w:rsidRPr="0042063A" w:rsidTr="00BE0700">
        <w:trPr>
          <w:trHeight w:val="70"/>
        </w:trPr>
        <w:tc>
          <w:tcPr>
            <w:tcW w:w="5114" w:type="dxa"/>
          </w:tcPr>
          <w:p w:rsidR="00957093" w:rsidRPr="0042063A" w:rsidRDefault="00957093" w:rsidP="00BE0700">
            <w:pPr>
              <w:pStyle w:val="V50Instructions"/>
              <w:spacing w:before="40" w:after="40"/>
              <w:ind w:left="1246" w:hanging="1246"/>
              <w:rPr>
                <w:rFonts w:ascii="Arial Narrow" w:hAnsi="Arial Narrow" w:cs="Arial"/>
                <w:color w:val="auto"/>
                <w:sz w:val="20"/>
                <w:szCs w:val="20"/>
              </w:rPr>
            </w:pPr>
            <w:r w:rsidRPr="0042063A">
              <w:rPr>
                <w:rFonts w:ascii="Arial Narrow" w:hAnsi="Arial Narrow" w:cs="Arial"/>
                <w:color w:val="auto"/>
                <w:sz w:val="20"/>
                <w:szCs w:val="20"/>
              </w:rPr>
              <w:t>Study 201/202 – 96 weeks simple linear regression</w:t>
            </w:r>
            <w:r w:rsidR="00BE0700" w:rsidRPr="0042063A">
              <w:rPr>
                <w:rFonts w:ascii="Arial Narrow" w:hAnsi="Arial Narrow" w:cs="Arial"/>
                <w:color w:val="auto"/>
                <w:sz w:val="20"/>
                <w:szCs w:val="20"/>
              </w:rPr>
              <w:t xml:space="preserve"> (N=23)</w:t>
            </w:r>
          </w:p>
        </w:tc>
        <w:tc>
          <w:tcPr>
            <w:tcW w:w="1871"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p>
        </w:tc>
        <w:tc>
          <w:tcPr>
            <w:tcW w:w="2082"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p>
        </w:tc>
      </w:tr>
      <w:tr w:rsidR="00957093" w:rsidRPr="0042063A" w:rsidTr="00BE0700">
        <w:tc>
          <w:tcPr>
            <w:tcW w:w="9067" w:type="dxa"/>
            <w:gridSpan w:val="3"/>
            <w:shd w:val="clear" w:color="auto" w:fill="auto"/>
          </w:tcPr>
          <w:p w:rsidR="00957093" w:rsidRPr="0042063A" w:rsidRDefault="00957093" w:rsidP="00BE0700">
            <w:pPr>
              <w:pStyle w:val="V50Instructions"/>
              <w:spacing w:before="40" w:after="40"/>
              <w:rPr>
                <w:rFonts w:ascii="Arial Narrow" w:hAnsi="Arial Narrow" w:cs="Arial"/>
                <w:color w:val="auto"/>
                <w:sz w:val="20"/>
                <w:szCs w:val="20"/>
              </w:rPr>
            </w:pPr>
            <w:r w:rsidRPr="0042063A">
              <w:rPr>
                <w:rFonts w:ascii="Arial Narrow" w:hAnsi="Arial Narrow" w:cs="Arial"/>
                <w:color w:val="auto"/>
                <w:sz w:val="20"/>
                <w:szCs w:val="20"/>
              </w:rPr>
              <w:t>Study 901 - Data cut from July 2017 (N=49)</w:t>
            </w:r>
          </w:p>
        </w:tc>
      </w:tr>
      <w:tr w:rsidR="00957093" w:rsidRPr="0042063A" w:rsidTr="00BE0700">
        <w:tc>
          <w:tcPr>
            <w:tcW w:w="5114" w:type="dxa"/>
          </w:tcPr>
          <w:p w:rsidR="00957093" w:rsidRPr="0042063A" w:rsidRDefault="00957093" w:rsidP="00957093">
            <w:pPr>
              <w:pStyle w:val="V50Instructions"/>
              <w:spacing w:before="40" w:after="40"/>
              <w:ind w:firstLine="254"/>
              <w:rPr>
                <w:rFonts w:ascii="Arial Narrow" w:hAnsi="Arial Narrow" w:cs="Arial"/>
                <w:color w:val="auto"/>
                <w:sz w:val="20"/>
                <w:szCs w:val="20"/>
              </w:rPr>
            </w:pPr>
            <w:r w:rsidRPr="0042063A">
              <w:rPr>
                <w:rFonts w:ascii="Arial Narrow" w:hAnsi="Arial Narrow" w:cs="Arial"/>
                <w:color w:val="auto"/>
                <w:sz w:val="20"/>
                <w:szCs w:val="20"/>
              </w:rPr>
              <w:t>Estimation by first point/last point algorithm</w:t>
            </w:r>
          </w:p>
        </w:tc>
        <w:tc>
          <w:tcPr>
            <w:tcW w:w="1871"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w:t>
            </w:r>
          </w:p>
        </w:tc>
        <w:tc>
          <w:tcPr>
            <w:tcW w:w="2082"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p>
        </w:tc>
      </w:tr>
      <w:tr w:rsidR="00957093" w:rsidRPr="0042063A" w:rsidTr="00BE0700">
        <w:tc>
          <w:tcPr>
            <w:tcW w:w="5114" w:type="dxa"/>
          </w:tcPr>
          <w:p w:rsidR="00957093" w:rsidRPr="0042063A" w:rsidRDefault="00957093" w:rsidP="00957093">
            <w:pPr>
              <w:pStyle w:val="V50Instructions"/>
              <w:spacing w:before="40" w:after="40"/>
              <w:ind w:firstLine="254"/>
              <w:rPr>
                <w:rFonts w:ascii="Arial Narrow" w:hAnsi="Arial Narrow" w:cs="Arial"/>
                <w:color w:val="auto"/>
                <w:sz w:val="20"/>
                <w:szCs w:val="20"/>
              </w:rPr>
            </w:pPr>
            <w:r w:rsidRPr="0042063A">
              <w:rPr>
                <w:rFonts w:ascii="Arial Narrow" w:hAnsi="Arial Narrow" w:cs="Arial"/>
                <w:color w:val="auto"/>
                <w:sz w:val="20"/>
                <w:szCs w:val="20"/>
              </w:rPr>
              <w:t>Simple linear regression</w:t>
            </w:r>
          </w:p>
        </w:tc>
        <w:tc>
          <w:tcPr>
            <w:tcW w:w="1871"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w:t>
            </w:r>
          </w:p>
        </w:tc>
        <w:tc>
          <w:tcPr>
            <w:tcW w:w="2082" w:type="dxa"/>
            <w:vAlign w:val="center"/>
          </w:tcPr>
          <w:p w:rsidR="00957093" w:rsidRPr="006E2381" w:rsidRDefault="006E2381" w:rsidP="00BE0700">
            <w:pPr>
              <w:pStyle w:val="V50Instructions"/>
              <w:spacing w:before="40" w:after="40"/>
              <w:jc w:val="center"/>
              <w:rPr>
                <w:rFonts w:ascii="Arial Narrow" w:hAnsi="Arial Narrow" w:cs="Arial"/>
                <w:color w:val="auto"/>
                <w:sz w:val="20"/>
                <w:szCs w:val="20"/>
                <w:highlight w:val="black"/>
              </w:rPr>
            </w:pPr>
            <w:r>
              <w:rPr>
                <w:rFonts w:ascii="Arial Narrow" w:hAnsi="Arial Narrow" w:cs="Arial"/>
                <w:noProof/>
                <w:color w:val="000000"/>
                <w:sz w:val="20"/>
                <w:szCs w:val="20"/>
                <w:highlight w:val="black"/>
              </w:rPr>
              <w:t>'''''''''</w:t>
            </w:r>
          </w:p>
        </w:tc>
      </w:tr>
      <w:tr w:rsidR="00957093" w:rsidRPr="0042063A" w:rsidTr="00BE0700">
        <w:tc>
          <w:tcPr>
            <w:tcW w:w="9067" w:type="dxa"/>
            <w:gridSpan w:val="3"/>
          </w:tcPr>
          <w:p w:rsidR="00957093" w:rsidRPr="0042063A" w:rsidRDefault="00957093" w:rsidP="00BE0700">
            <w:pPr>
              <w:pStyle w:val="V50Instructions"/>
              <w:spacing w:before="40" w:after="40"/>
              <w:rPr>
                <w:rFonts w:ascii="Arial Narrow" w:hAnsi="Arial Narrow" w:cs="Arial"/>
                <w:color w:val="auto"/>
                <w:sz w:val="20"/>
                <w:szCs w:val="20"/>
              </w:rPr>
            </w:pPr>
            <w:r w:rsidRPr="0042063A">
              <w:rPr>
                <w:rFonts w:ascii="Arial Narrow" w:hAnsi="Arial Narrow" w:cs="Arial"/>
                <w:color w:val="auto"/>
                <w:sz w:val="20"/>
                <w:szCs w:val="20"/>
              </w:rPr>
              <w:t>Study 901- Data cut from April 2016 (N=41)</w:t>
            </w:r>
          </w:p>
        </w:tc>
      </w:tr>
      <w:tr w:rsidR="00957093" w:rsidRPr="0042063A" w:rsidTr="00BE0700">
        <w:tc>
          <w:tcPr>
            <w:tcW w:w="5114" w:type="dxa"/>
          </w:tcPr>
          <w:p w:rsidR="00957093" w:rsidRPr="0042063A" w:rsidRDefault="00957093" w:rsidP="00957093">
            <w:pPr>
              <w:pStyle w:val="V50Instructions"/>
              <w:spacing w:before="40" w:after="40"/>
              <w:ind w:firstLine="254"/>
              <w:rPr>
                <w:rFonts w:ascii="Arial Narrow" w:hAnsi="Arial Narrow" w:cs="Arial"/>
                <w:color w:val="auto"/>
                <w:sz w:val="20"/>
                <w:szCs w:val="20"/>
              </w:rPr>
            </w:pPr>
            <w:r w:rsidRPr="0042063A">
              <w:rPr>
                <w:rFonts w:ascii="Arial Narrow" w:hAnsi="Arial Narrow" w:cs="Arial"/>
                <w:color w:val="auto"/>
                <w:sz w:val="20"/>
                <w:szCs w:val="20"/>
              </w:rPr>
              <w:t>Simple linear regression</w:t>
            </w:r>
          </w:p>
        </w:tc>
        <w:tc>
          <w:tcPr>
            <w:tcW w:w="1871"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hAnsi="Arial Narrow" w:cs="Arial"/>
                <w:color w:val="auto"/>
                <w:sz w:val="20"/>
                <w:szCs w:val="20"/>
              </w:rPr>
              <w:t>2.09 (0.966)</w:t>
            </w:r>
          </w:p>
        </w:tc>
        <w:tc>
          <w:tcPr>
            <w:tcW w:w="2082"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997D69">
              <w:rPr>
                <w:rFonts w:ascii="Arial Narrow" w:hAnsi="Arial Narrow" w:cs="Arial"/>
                <w:color w:val="auto"/>
                <w:sz w:val="20"/>
                <w:szCs w:val="20"/>
              </w:rPr>
              <w:t>1.79</w:t>
            </w:r>
            <w:r w:rsidRPr="0042063A">
              <w:rPr>
                <w:rFonts w:ascii="Arial Narrow" w:hAnsi="Arial Narrow" w:cs="Arial"/>
                <w:color w:val="auto"/>
                <w:sz w:val="20"/>
                <w:szCs w:val="20"/>
              </w:rPr>
              <w:t xml:space="preserve">, </w:t>
            </w:r>
            <w:r w:rsidRPr="00997D69">
              <w:rPr>
                <w:rFonts w:ascii="Arial Narrow" w:hAnsi="Arial Narrow" w:cs="Arial"/>
                <w:color w:val="auto"/>
                <w:sz w:val="20"/>
                <w:szCs w:val="20"/>
              </w:rPr>
              <w:t>2.40</w:t>
            </w:r>
          </w:p>
        </w:tc>
      </w:tr>
      <w:tr w:rsidR="00957093" w:rsidRPr="0042063A" w:rsidTr="00BE0700">
        <w:tc>
          <w:tcPr>
            <w:tcW w:w="9067" w:type="dxa"/>
            <w:gridSpan w:val="3"/>
          </w:tcPr>
          <w:p w:rsidR="00957093" w:rsidRPr="0042063A" w:rsidRDefault="00957093" w:rsidP="00957093">
            <w:pPr>
              <w:pStyle w:val="V50Instructions"/>
              <w:spacing w:before="40" w:after="40"/>
              <w:ind w:firstLine="254"/>
              <w:rPr>
                <w:rFonts w:ascii="Arial Narrow" w:hAnsi="Arial Narrow" w:cs="Arial"/>
                <w:color w:val="auto"/>
                <w:sz w:val="20"/>
                <w:szCs w:val="20"/>
              </w:rPr>
            </w:pPr>
            <w:r w:rsidRPr="0042063A">
              <w:rPr>
                <w:rFonts w:ascii="Arial Narrow" w:hAnsi="Arial Narrow" w:cs="Arial"/>
                <w:color w:val="auto"/>
                <w:sz w:val="20"/>
                <w:szCs w:val="20"/>
              </w:rPr>
              <w:t>Mixed-effect model repeated measures (MMRM)</w:t>
            </w:r>
          </w:p>
        </w:tc>
      </w:tr>
      <w:tr w:rsidR="00957093" w:rsidRPr="0042063A" w:rsidTr="00BE0700">
        <w:tc>
          <w:tcPr>
            <w:tcW w:w="5114" w:type="dxa"/>
          </w:tcPr>
          <w:p w:rsidR="00957093" w:rsidRPr="0042063A" w:rsidRDefault="00957093" w:rsidP="00BE0700">
            <w:pPr>
              <w:pStyle w:val="V50Instructions"/>
              <w:spacing w:before="40" w:after="40"/>
              <w:ind w:left="1246"/>
              <w:rPr>
                <w:rFonts w:ascii="Arial Narrow" w:hAnsi="Arial Narrow" w:cs="Arial"/>
                <w:color w:val="auto"/>
                <w:sz w:val="20"/>
                <w:szCs w:val="20"/>
              </w:rPr>
            </w:pPr>
            <w:r w:rsidRPr="0042063A">
              <w:rPr>
                <w:rFonts w:ascii="Arial Narrow" w:hAnsi="Arial Narrow" w:cs="Arial"/>
                <w:color w:val="auto"/>
                <w:sz w:val="20"/>
                <w:szCs w:val="20"/>
              </w:rPr>
              <w:t>Post diagnosis, 0-72 months – AR variance</w:t>
            </w:r>
          </w:p>
        </w:tc>
        <w:tc>
          <w:tcPr>
            <w:tcW w:w="1871"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hAnsi="Arial Narrow" w:cs="Arial"/>
                <w:color w:val="auto"/>
                <w:sz w:val="20"/>
                <w:szCs w:val="20"/>
              </w:rPr>
              <w:t>1.286 (NR)</w:t>
            </w:r>
          </w:p>
        </w:tc>
        <w:tc>
          <w:tcPr>
            <w:tcW w:w="2082"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hAnsi="Arial Narrow" w:cs="Arial"/>
                <w:color w:val="auto"/>
                <w:sz w:val="20"/>
                <w:szCs w:val="20"/>
              </w:rPr>
              <w:t>1.03, 1.54</w:t>
            </w:r>
          </w:p>
        </w:tc>
      </w:tr>
      <w:tr w:rsidR="00957093" w:rsidRPr="0042063A" w:rsidTr="00BE0700">
        <w:tc>
          <w:tcPr>
            <w:tcW w:w="5114" w:type="dxa"/>
          </w:tcPr>
          <w:p w:rsidR="00957093" w:rsidRPr="0042063A" w:rsidRDefault="00957093" w:rsidP="00BE0700">
            <w:pPr>
              <w:pStyle w:val="V50Instructions"/>
              <w:spacing w:before="40" w:after="40"/>
              <w:ind w:left="1246"/>
              <w:rPr>
                <w:rFonts w:ascii="Arial Narrow" w:hAnsi="Arial Narrow" w:cs="Arial"/>
                <w:color w:val="auto"/>
                <w:sz w:val="20"/>
                <w:szCs w:val="20"/>
              </w:rPr>
            </w:pPr>
            <w:r w:rsidRPr="0042063A">
              <w:rPr>
                <w:rFonts w:ascii="Arial Narrow" w:hAnsi="Arial Narrow" w:cs="Arial"/>
                <w:color w:val="auto"/>
                <w:sz w:val="20"/>
                <w:szCs w:val="20"/>
              </w:rPr>
              <w:t>Post diagnosis, 0-30 months – UN variance</w:t>
            </w:r>
          </w:p>
        </w:tc>
        <w:tc>
          <w:tcPr>
            <w:tcW w:w="1871"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hAnsi="Arial Narrow" w:cs="Arial"/>
                <w:color w:val="auto"/>
                <w:sz w:val="20"/>
                <w:szCs w:val="20"/>
              </w:rPr>
              <w:t>1.457 (NR)</w:t>
            </w:r>
          </w:p>
        </w:tc>
        <w:tc>
          <w:tcPr>
            <w:tcW w:w="2082"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r w:rsidRPr="0042063A">
              <w:rPr>
                <w:rFonts w:ascii="Arial Narrow" w:hAnsi="Arial Narrow" w:cs="Arial"/>
                <w:color w:val="auto"/>
                <w:sz w:val="20"/>
                <w:szCs w:val="20"/>
              </w:rPr>
              <w:t>1.12, 1.79</w:t>
            </w:r>
          </w:p>
        </w:tc>
      </w:tr>
      <w:tr w:rsidR="00957093" w:rsidRPr="0042063A" w:rsidTr="00BE0700">
        <w:tc>
          <w:tcPr>
            <w:tcW w:w="5114" w:type="dxa"/>
          </w:tcPr>
          <w:p w:rsidR="00957093" w:rsidRPr="0042063A" w:rsidRDefault="00957093" w:rsidP="00BE0700">
            <w:pPr>
              <w:pStyle w:val="V50Instructions"/>
              <w:spacing w:before="40" w:after="40"/>
              <w:ind w:left="1246"/>
              <w:rPr>
                <w:rFonts w:ascii="Arial Narrow" w:hAnsi="Arial Narrow" w:cs="Arial"/>
                <w:color w:val="auto"/>
                <w:sz w:val="20"/>
                <w:szCs w:val="20"/>
              </w:rPr>
            </w:pPr>
            <w:r w:rsidRPr="0042063A">
              <w:rPr>
                <w:rFonts w:ascii="Arial Narrow" w:hAnsi="Arial Narrow" w:cs="Arial"/>
                <w:color w:val="auto"/>
                <w:sz w:val="20"/>
                <w:szCs w:val="20"/>
              </w:rPr>
              <w:t>Follow up from age 36-144 months – AR variance</w:t>
            </w:r>
          </w:p>
        </w:tc>
        <w:tc>
          <w:tcPr>
            <w:tcW w:w="1871"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w:t>
            </w:r>
          </w:p>
        </w:tc>
        <w:tc>
          <w:tcPr>
            <w:tcW w:w="2082"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p>
        </w:tc>
      </w:tr>
      <w:tr w:rsidR="00957093" w:rsidRPr="0042063A" w:rsidTr="00BE0700">
        <w:trPr>
          <w:trHeight w:val="70"/>
        </w:trPr>
        <w:tc>
          <w:tcPr>
            <w:tcW w:w="5114" w:type="dxa"/>
          </w:tcPr>
          <w:p w:rsidR="00957093" w:rsidRPr="0042063A" w:rsidRDefault="00957093" w:rsidP="00BE0700">
            <w:pPr>
              <w:pStyle w:val="V50Instructions"/>
              <w:spacing w:before="40" w:after="40"/>
              <w:ind w:left="1246"/>
              <w:rPr>
                <w:rFonts w:ascii="Arial Narrow" w:hAnsi="Arial Narrow" w:cs="Arial"/>
                <w:color w:val="auto"/>
                <w:sz w:val="20"/>
                <w:szCs w:val="20"/>
              </w:rPr>
            </w:pPr>
            <w:r w:rsidRPr="0042063A">
              <w:rPr>
                <w:rFonts w:ascii="Arial Narrow" w:hAnsi="Arial Narrow" w:cs="Arial"/>
                <w:color w:val="auto"/>
                <w:sz w:val="20"/>
                <w:szCs w:val="20"/>
              </w:rPr>
              <w:t>Follow up from age 36-72 months – UN variance</w:t>
            </w:r>
          </w:p>
        </w:tc>
        <w:tc>
          <w:tcPr>
            <w:tcW w:w="1871"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w:t>
            </w:r>
          </w:p>
        </w:tc>
        <w:tc>
          <w:tcPr>
            <w:tcW w:w="2082"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p>
        </w:tc>
      </w:tr>
      <w:tr w:rsidR="00957093" w:rsidRPr="0042063A" w:rsidTr="00BE0700">
        <w:trPr>
          <w:trHeight w:val="70"/>
        </w:trPr>
        <w:tc>
          <w:tcPr>
            <w:tcW w:w="5114" w:type="dxa"/>
          </w:tcPr>
          <w:p w:rsidR="00957093" w:rsidRPr="0042063A" w:rsidRDefault="00957093" w:rsidP="00957093">
            <w:pPr>
              <w:pStyle w:val="V50Instructions"/>
              <w:spacing w:before="40" w:after="40"/>
              <w:ind w:left="1246" w:hanging="1246"/>
              <w:rPr>
                <w:rFonts w:ascii="Arial Narrow" w:hAnsi="Arial Narrow" w:cs="Arial"/>
                <w:color w:val="auto"/>
                <w:sz w:val="20"/>
                <w:szCs w:val="20"/>
              </w:rPr>
            </w:pPr>
            <w:r w:rsidRPr="0042063A">
              <w:rPr>
                <w:rFonts w:ascii="Arial Narrow" w:hAnsi="Arial Narrow" w:cs="Arial"/>
                <w:color w:val="auto"/>
                <w:sz w:val="20"/>
                <w:szCs w:val="20"/>
              </w:rPr>
              <w:t>Matched 1:1 comparison</w:t>
            </w:r>
          </w:p>
        </w:tc>
        <w:tc>
          <w:tcPr>
            <w:tcW w:w="1871"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p>
        </w:tc>
        <w:tc>
          <w:tcPr>
            <w:tcW w:w="2082" w:type="dxa"/>
            <w:vAlign w:val="center"/>
          </w:tcPr>
          <w:p w:rsidR="00957093" w:rsidRPr="0042063A" w:rsidRDefault="00957093" w:rsidP="00BE0700">
            <w:pPr>
              <w:pStyle w:val="V50Instructions"/>
              <w:spacing w:before="40" w:after="40"/>
              <w:jc w:val="center"/>
              <w:rPr>
                <w:rFonts w:ascii="Arial Narrow" w:hAnsi="Arial Narrow" w:cs="Arial"/>
                <w:color w:val="auto"/>
                <w:sz w:val="20"/>
                <w:szCs w:val="20"/>
              </w:rPr>
            </w:pPr>
          </w:p>
        </w:tc>
      </w:tr>
      <w:tr w:rsidR="00957093" w:rsidRPr="0042063A" w:rsidTr="00BE0700">
        <w:trPr>
          <w:trHeight w:val="70"/>
        </w:trPr>
        <w:tc>
          <w:tcPr>
            <w:tcW w:w="5114" w:type="dxa"/>
          </w:tcPr>
          <w:p w:rsidR="00957093" w:rsidRPr="0042063A" w:rsidRDefault="00957093" w:rsidP="00BE0700">
            <w:pPr>
              <w:pStyle w:val="V50Instructions"/>
              <w:spacing w:before="40" w:after="40"/>
              <w:ind w:left="1246" w:hanging="992"/>
              <w:rPr>
                <w:rFonts w:ascii="Arial Narrow" w:hAnsi="Arial Narrow" w:cs="Arial"/>
                <w:color w:val="auto"/>
                <w:sz w:val="20"/>
                <w:szCs w:val="20"/>
              </w:rPr>
            </w:pPr>
            <w:r w:rsidRPr="0042063A">
              <w:rPr>
                <w:rFonts w:ascii="Arial Narrow" w:hAnsi="Arial Narrow" w:cs="Arial"/>
                <w:color w:val="auto"/>
                <w:sz w:val="20"/>
                <w:szCs w:val="20"/>
              </w:rPr>
              <w:t>Study 201/202 (N=21)</w:t>
            </w:r>
            <w:r w:rsidR="00BE0700" w:rsidRPr="0042063A">
              <w:rPr>
                <w:rFonts w:ascii="Arial Narrow" w:hAnsi="Arial Narrow" w:cs="Arial"/>
                <w:color w:val="auto"/>
                <w:sz w:val="20"/>
                <w:szCs w:val="20"/>
              </w:rPr>
              <w:t xml:space="preserve"> simple linear regression</w:t>
            </w:r>
          </w:p>
        </w:tc>
        <w:tc>
          <w:tcPr>
            <w:tcW w:w="1871"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w:t>
            </w:r>
          </w:p>
        </w:tc>
        <w:tc>
          <w:tcPr>
            <w:tcW w:w="2082"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p>
        </w:tc>
      </w:tr>
      <w:tr w:rsidR="00957093" w:rsidRPr="0042063A" w:rsidTr="00BE0700">
        <w:trPr>
          <w:trHeight w:val="70"/>
        </w:trPr>
        <w:tc>
          <w:tcPr>
            <w:tcW w:w="5114" w:type="dxa"/>
          </w:tcPr>
          <w:p w:rsidR="00957093" w:rsidRPr="0042063A" w:rsidRDefault="00957093" w:rsidP="00BE0700">
            <w:pPr>
              <w:pStyle w:val="V50Instructions"/>
              <w:spacing w:before="40" w:after="40"/>
              <w:ind w:left="1246" w:hanging="992"/>
              <w:rPr>
                <w:rFonts w:ascii="Arial Narrow" w:hAnsi="Arial Narrow" w:cs="Arial"/>
                <w:color w:val="auto"/>
                <w:sz w:val="20"/>
                <w:szCs w:val="20"/>
              </w:rPr>
            </w:pPr>
            <w:r w:rsidRPr="0042063A">
              <w:rPr>
                <w:rFonts w:ascii="Arial Narrow" w:hAnsi="Arial Narrow" w:cs="Arial"/>
                <w:color w:val="auto"/>
                <w:sz w:val="20"/>
                <w:szCs w:val="20"/>
              </w:rPr>
              <w:t>Study 901 (N=21)</w:t>
            </w:r>
            <w:r w:rsidR="00BE0700" w:rsidRPr="0042063A">
              <w:rPr>
                <w:rFonts w:ascii="Arial Narrow" w:hAnsi="Arial Narrow" w:cs="Arial"/>
                <w:color w:val="auto"/>
                <w:sz w:val="20"/>
                <w:szCs w:val="20"/>
              </w:rPr>
              <w:t xml:space="preserve"> simple linear regression</w:t>
            </w:r>
          </w:p>
        </w:tc>
        <w:tc>
          <w:tcPr>
            <w:tcW w:w="1871"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w:t>
            </w:r>
          </w:p>
        </w:tc>
        <w:tc>
          <w:tcPr>
            <w:tcW w:w="2082" w:type="dxa"/>
            <w:vAlign w:val="center"/>
          </w:tcPr>
          <w:p w:rsidR="00957093" w:rsidRPr="0042063A" w:rsidRDefault="006E2381" w:rsidP="00BE0700">
            <w:pPr>
              <w:pStyle w:val="V50Instructions"/>
              <w:spacing w:before="40" w:after="40"/>
              <w:jc w:val="center"/>
              <w:rPr>
                <w:rFonts w:ascii="Arial Narrow" w:hAnsi="Arial Narrow" w:cs="Arial"/>
                <w:color w:val="auto"/>
                <w:sz w:val="20"/>
                <w:szCs w:val="20"/>
              </w:rPr>
            </w:pPr>
            <w:r>
              <w:rPr>
                <w:rFonts w:ascii="Arial Narrow" w:hAnsi="Arial Narrow" w:cs="Arial"/>
                <w:noProof/>
                <w:color w:val="000000"/>
                <w:sz w:val="20"/>
                <w:szCs w:val="20"/>
                <w:highlight w:val="black"/>
              </w:rPr>
              <w:t>'''''''''''</w:t>
            </w:r>
            <w:r w:rsidR="00957093" w:rsidRPr="0042063A">
              <w:rPr>
                <w:rFonts w:ascii="Arial Narrow" w:hAnsi="Arial Narrow" w:cs="Arial"/>
                <w:color w:val="auto"/>
                <w:sz w:val="20"/>
                <w:szCs w:val="20"/>
              </w:rPr>
              <w:t xml:space="preserve">, </w:t>
            </w:r>
            <w:r>
              <w:rPr>
                <w:rFonts w:ascii="Arial Narrow" w:hAnsi="Arial Narrow" w:cs="Arial"/>
                <w:noProof/>
                <w:color w:val="000000"/>
                <w:sz w:val="20"/>
                <w:szCs w:val="20"/>
                <w:highlight w:val="black"/>
              </w:rPr>
              <w:t>''''''''''</w:t>
            </w:r>
          </w:p>
        </w:tc>
      </w:tr>
    </w:tbl>
    <w:p w:rsidR="00957093" w:rsidRPr="0042063A" w:rsidRDefault="00957093" w:rsidP="00957093">
      <w:pPr>
        <w:pStyle w:val="TableNotes"/>
        <w:spacing w:after="0"/>
        <w:rPr>
          <w:rFonts w:ascii="Arial Narrow" w:hAnsi="Arial Narrow"/>
          <w:sz w:val="18"/>
        </w:rPr>
      </w:pPr>
      <w:r w:rsidRPr="0042063A">
        <w:rPr>
          <w:rFonts w:ascii="Arial Narrow" w:hAnsi="Arial Narrow"/>
          <w:sz w:val="18"/>
        </w:rPr>
        <w:t xml:space="preserve">AR = heterogeneous autoregressive, UN = unstructured, NR = not reported </w:t>
      </w:r>
    </w:p>
    <w:p w:rsidR="00957093" w:rsidRPr="0042063A" w:rsidRDefault="00957093" w:rsidP="00957093">
      <w:pPr>
        <w:pStyle w:val="TableNotes"/>
        <w:spacing w:after="0"/>
        <w:rPr>
          <w:rFonts w:ascii="Arial Narrow" w:hAnsi="Arial Narrow"/>
          <w:sz w:val="18"/>
        </w:rPr>
      </w:pPr>
      <w:r w:rsidRPr="0042063A">
        <w:rPr>
          <w:rFonts w:ascii="Arial Narrow" w:hAnsi="Arial Narrow"/>
          <w:sz w:val="18"/>
        </w:rPr>
        <w:t xml:space="preserve">Source: Table 2.5-5, p87, Table 2.5-13, p95 </w:t>
      </w:r>
      <w:r w:rsidR="00BE0700" w:rsidRPr="0042063A">
        <w:rPr>
          <w:rFonts w:ascii="Arial Narrow" w:hAnsi="Arial Narrow"/>
          <w:sz w:val="18"/>
        </w:rPr>
        <w:t xml:space="preserve">and table 2.6-4, p108 </w:t>
      </w:r>
      <w:r w:rsidRPr="0042063A">
        <w:rPr>
          <w:rFonts w:ascii="Arial Narrow" w:hAnsi="Arial Narrow"/>
          <w:sz w:val="18"/>
        </w:rPr>
        <w:t>of the submission, Table 9.1, p27 and Table 9.2, p29190-901 supplemental report final 20 Apr2016, Appendix 11 of the submission</w:t>
      </w:r>
    </w:p>
    <w:p w:rsidR="00331103" w:rsidRPr="0042063A" w:rsidRDefault="00331103" w:rsidP="00957093">
      <w:pPr>
        <w:pStyle w:val="TableNotes"/>
        <w:spacing w:after="0"/>
        <w:rPr>
          <w:rFonts w:ascii="Arial Narrow" w:hAnsi="Arial Narrow"/>
          <w:sz w:val="18"/>
        </w:rPr>
      </w:pPr>
    </w:p>
    <w:p w:rsidR="004C64AD" w:rsidRPr="0042063A" w:rsidRDefault="004C64AD" w:rsidP="00AD0F5A">
      <w:pPr>
        <w:pStyle w:val="ListParagraph"/>
        <w:numPr>
          <w:ilvl w:val="1"/>
          <w:numId w:val="2"/>
        </w:numPr>
        <w:spacing w:before="0" w:after="120"/>
      </w:pPr>
      <w:r w:rsidRPr="0042063A">
        <w:t>The MMRM provides substantially lower estimates of rate of decline (between 1.3 to 1.5 points at the April 2016 data cut) compared to a linear regression or first point/last point algorithm (2.09 points at the April 2016 data cut) in the HML score in Study 901.</w:t>
      </w:r>
      <w:r w:rsidR="00292839">
        <w:t xml:space="preserve"> </w:t>
      </w:r>
      <w:r w:rsidRPr="0042063A">
        <w:lastRenderedPageBreak/>
        <w:t>In the NICE evaluation of cerliponase alfa (NICE evaluation consultation document for cerliponase alfa section 4.6, p10), NICE considered the mixed effects model was more appropriate to estimate the rate of decline in CLN2 score in the natural history population as it used all the data points available in Study 901.</w:t>
      </w:r>
      <w:r w:rsidR="00997D69">
        <w:t xml:space="preserve"> The PSCR </w:t>
      </w:r>
      <w:r w:rsidR="00B4355A" w:rsidRPr="0042063A">
        <w:t>claimed that linear analysis is the most appropriate approach for estimating the rate of</w:t>
      </w:r>
      <w:r w:rsidR="00292839">
        <w:t xml:space="preserve"> </w:t>
      </w:r>
      <w:r w:rsidR="00B4355A" w:rsidRPr="0042063A">
        <w:t xml:space="preserve">decline in </w:t>
      </w:r>
      <w:r w:rsidR="00784C52" w:rsidRPr="0042063A">
        <w:t>H</w:t>
      </w:r>
      <w:r w:rsidR="00B4355A" w:rsidRPr="0042063A">
        <w:t>ML score since this analysis is informed by observed data only, whereas the MMRM relies on assumptions that are not consistent with the observed data.</w:t>
      </w:r>
      <w:r w:rsidR="00535974" w:rsidRPr="0042063A">
        <w:t xml:space="preserve"> The ESC noted that both</w:t>
      </w:r>
      <w:r w:rsidR="00C8461E" w:rsidRPr="0042063A">
        <w:t xml:space="preserve"> the</w:t>
      </w:r>
      <w:r w:rsidR="00535974" w:rsidRPr="0042063A">
        <w:t xml:space="preserve"> linear regression analysis and </w:t>
      </w:r>
      <w:r w:rsidR="008F3D5E" w:rsidRPr="0042063A">
        <w:t>MMRM assume that the outcome variable</w:t>
      </w:r>
      <w:r w:rsidR="009C743C" w:rsidRPr="0042063A">
        <w:t xml:space="preserve"> (</w:t>
      </w:r>
      <w:r w:rsidR="008157C2" w:rsidRPr="0042063A">
        <w:t>H</w:t>
      </w:r>
      <w:r w:rsidR="009C743C" w:rsidRPr="0042063A">
        <w:t>ML score)</w:t>
      </w:r>
      <w:r w:rsidR="008F3D5E" w:rsidRPr="0042063A">
        <w:t xml:space="preserve"> is continuous and approximately normally distributed which may not</w:t>
      </w:r>
      <w:r w:rsidR="00802C43" w:rsidRPr="0042063A">
        <w:t xml:space="preserve"> accurately describe the </w:t>
      </w:r>
      <w:r w:rsidR="00784C52" w:rsidRPr="0042063A">
        <w:t>H</w:t>
      </w:r>
      <w:r w:rsidR="00802C43" w:rsidRPr="0042063A">
        <w:t>ML rating scale.</w:t>
      </w:r>
      <w:r w:rsidR="00FC2B71" w:rsidRPr="0042063A">
        <w:t xml:space="preserve"> As such, the ESC considered that estimating the rate of decline using either method is uncertain.</w:t>
      </w:r>
      <w:r w:rsidR="00C8461E" w:rsidRPr="0042063A">
        <w:t xml:space="preserve"> </w:t>
      </w:r>
      <w:r w:rsidR="00AD0F5A" w:rsidRPr="0042063A">
        <w:t>The ESC considered that the sponsor may wish to provide further information to inform the PBAC’s considerations in relation to this matter, including the rationale for choosing each method and whether any alternative approaches were, or could be, explored. This might include for example the suitability of the model in reflecting the apparent different slopes of estimated effect across different HML scores.</w:t>
      </w:r>
      <w:r w:rsidR="0070120E">
        <w:t xml:space="preserve"> The Pre-PBAC Response </w:t>
      </w:r>
      <w:r w:rsidR="0007560F" w:rsidRPr="0042063A">
        <w:t xml:space="preserve">presented </w:t>
      </w:r>
      <w:r w:rsidR="008F0D88" w:rsidRPr="0042063A">
        <w:t>examples of individual patient ML scale profiles from Study 901 to support that the decline in ML score</w:t>
      </w:r>
      <w:r w:rsidR="007978C5" w:rsidRPr="0042063A">
        <w:t xml:space="preserve"> between 5 and 1</w:t>
      </w:r>
      <w:r w:rsidR="008F0D88" w:rsidRPr="0042063A">
        <w:t xml:space="preserve"> is lin</w:t>
      </w:r>
      <w:r w:rsidR="007978C5" w:rsidRPr="0042063A">
        <w:t xml:space="preserve">ear for most patients. On this basis, the pre-PBAC Response argued that the use of the first/last point algorithm </w:t>
      </w:r>
      <w:r w:rsidR="001B4A42" w:rsidRPr="0042063A">
        <w:t xml:space="preserve">and linear regression to estimate the rate of decline is supported. </w:t>
      </w:r>
    </w:p>
    <w:p w:rsidR="00BE0700" w:rsidRPr="0042063A" w:rsidRDefault="00345D0E" w:rsidP="0076720D">
      <w:pPr>
        <w:pStyle w:val="ListParagraph"/>
        <w:numPr>
          <w:ilvl w:val="1"/>
          <w:numId w:val="2"/>
        </w:numPr>
        <w:spacing w:before="0" w:after="240"/>
        <w:ind w:left="578" w:hanging="578"/>
        <w:rPr>
          <w:i/>
        </w:rPr>
      </w:pPr>
      <w:r w:rsidRPr="0042063A">
        <w:rPr>
          <w:rFonts w:ascii="Calibri" w:hAnsi="Calibri"/>
        </w:rPr>
        <w:t xml:space="preserve">Figure </w:t>
      </w:r>
      <w:r w:rsidRPr="0042063A">
        <w:rPr>
          <w:rFonts w:ascii="Calibri" w:hAnsi="Calibri"/>
          <w:noProof/>
        </w:rPr>
        <w:t>1</w:t>
      </w:r>
      <w:r w:rsidRPr="0042063A">
        <w:rPr>
          <w:rFonts w:ascii="Calibri" w:hAnsi="Calibri"/>
        </w:rPr>
        <w:t xml:space="preserve"> </w:t>
      </w:r>
      <w:proofErr w:type="gramStart"/>
      <w:r w:rsidR="00BE0700" w:rsidRPr="0042063A">
        <w:rPr>
          <w:rFonts w:ascii="Calibri" w:hAnsi="Calibri"/>
        </w:rPr>
        <w:t>s</w:t>
      </w:r>
      <w:r w:rsidR="00BE0700" w:rsidRPr="0042063A">
        <w:t>hows</w:t>
      </w:r>
      <w:proofErr w:type="gramEnd"/>
      <w:r w:rsidR="00BE0700" w:rsidRPr="0042063A">
        <w:t xml:space="preserve"> the time to first unreversed 2 point ML/HML score decline in the matched 1:1 c</w:t>
      </w:r>
      <w:r w:rsidR="00331103" w:rsidRPr="0042063A">
        <w:t>omparison and is a graphical re</w:t>
      </w:r>
      <w:r w:rsidR="00BE0700" w:rsidRPr="0042063A">
        <w:t>presentation of the rate of decline in ML score between the two studies.</w:t>
      </w:r>
    </w:p>
    <w:p w:rsidR="00331103" w:rsidRPr="0042063A" w:rsidRDefault="00345D0E" w:rsidP="00345D0E">
      <w:pPr>
        <w:pStyle w:val="Caption"/>
        <w:rPr>
          <w:rFonts w:ascii="Arial Narrow" w:hAnsi="Arial Narrow"/>
        </w:rPr>
      </w:pPr>
      <w:bookmarkStart w:id="22" w:name="_Ref512277263"/>
      <w:r w:rsidRPr="0042063A">
        <w:rPr>
          <w:rFonts w:ascii="Arial Narrow" w:hAnsi="Arial Narrow"/>
        </w:rPr>
        <w:t xml:space="preserve">Figure </w:t>
      </w:r>
      <w:r w:rsidR="0076720D" w:rsidRPr="0042063A">
        <w:rPr>
          <w:rFonts w:ascii="Arial Narrow" w:hAnsi="Arial Narrow"/>
          <w:noProof/>
        </w:rPr>
        <w:t>1</w:t>
      </w:r>
      <w:bookmarkEnd w:id="22"/>
      <w:r w:rsidR="00331103" w:rsidRPr="0042063A">
        <w:rPr>
          <w:rFonts w:ascii="Arial Narrow" w:hAnsi="Arial Narrow"/>
        </w:rPr>
        <w:t>: Time to first unreversed 2 point ML/HML score decline in matched 1:1 comparison</w:t>
      </w:r>
    </w:p>
    <w:p w:rsidR="00331103" w:rsidRPr="0042063A" w:rsidRDefault="006E2381" w:rsidP="00331103">
      <w:pPr>
        <w:spacing w:before="0" w:after="0"/>
        <w:jc w:val="center"/>
        <w:rPr>
          <w:rFonts w:ascii="Arial" w:hAnsi="Arial" w:cs="Arial"/>
          <w:sz w:val="20"/>
          <w:szCs w:val="20"/>
        </w:rPr>
      </w:pPr>
      <w:r>
        <w:rPr>
          <w:rFonts w:ascii="Arial" w:hAnsi="Arial" w:cs="Arial"/>
          <w:noProof/>
          <w:sz w:val="20"/>
          <w:szCs w:val="20"/>
          <w:lang w:eastAsia="en-AU"/>
        </w:rPr>
        <w:drawing>
          <wp:inline distT="0" distB="0" distL="0" distR="0">
            <wp:extent cx="5588000" cy="2661285"/>
            <wp:effectExtent l="0" t="0" r="0" b="5715"/>
            <wp:docPr id="2" name="Picture 2" title="Figure 1: Time to first unreversed 2 point ML/HML score decline in matched 1:1 comparis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88000" cy="2661285"/>
                    </a:xfrm>
                    <a:prstGeom prst="rect">
                      <a:avLst/>
                    </a:prstGeom>
                  </pic:spPr>
                </pic:pic>
              </a:graphicData>
            </a:graphic>
          </wp:inline>
        </w:drawing>
      </w:r>
    </w:p>
    <w:p w:rsidR="00331103" w:rsidRPr="0042063A" w:rsidRDefault="00331103" w:rsidP="00331103">
      <w:pPr>
        <w:pStyle w:val="TableNotes"/>
        <w:spacing w:after="0"/>
        <w:rPr>
          <w:rFonts w:ascii="Arial Narrow" w:hAnsi="Arial Narrow"/>
          <w:sz w:val="18"/>
        </w:rPr>
      </w:pPr>
      <w:r w:rsidRPr="0042063A">
        <w:rPr>
          <w:rFonts w:ascii="Arial Narrow" w:hAnsi="Arial Narrow"/>
          <w:sz w:val="18"/>
        </w:rPr>
        <w:t>Study 201/202 (blue solid line) and Study 901 (red dotted line)</w:t>
      </w:r>
    </w:p>
    <w:p w:rsidR="00331103" w:rsidRPr="0042063A" w:rsidRDefault="00331103" w:rsidP="00331103">
      <w:pPr>
        <w:pStyle w:val="TableNotes"/>
        <w:spacing w:after="0"/>
        <w:rPr>
          <w:rFonts w:ascii="Arial Narrow" w:hAnsi="Arial Narrow"/>
          <w:sz w:val="18"/>
        </w:rPr>
      </w:pPr>
      <w:r w:rsidRPr="0042063A">
        <w:rPr>
          <w:rFonts w:ascii="Arial Narrow" w:hAnsi="Arial Narrow"/>
          <w:sz w:val="18"/>
        </w:rPr>
        <w:t>Source: Figure 2.6-1, p106 of the submission</w:t>
      </w:r>
    </w:p>
    <w:p w:rsidR="00331103" w:rsidRPr="0042063A" w:rsidRDefault="00331103" w:rsidP="00331103">
      <w:pPr>
        <w:pStyle w:val="ListParagraph"/>
        <w:spacing w:before="0" w:after="120"/>
        <w:ind w:left="576"/>
        <w:rPr>
          <w:i/>
        </w:rPr>
      </w:pPr>
    </w:p>
    <w:p w:rsidR="00331103" w:rsidRPr="0042063A" w:rsidRDefault="00331103" w:rsidP="00331103">
      <w:pPr>
        <w:pStyle w:val="ListParagraph"/>
        <w:numPr>
          <w:ilvl w:val="1"/>
          <w:numId w:val="2"/>
        </w:numPr>
        <w:spacing w:before="0" w:after="120"/>
      </w:pPr>
      <w:r w:rsidRPr="0042063A">
        <w:lastRenderedPageBreak/>
        <w:t>Overall, the</w:t>
      </w:r>
      <w:r w:rsidR="002436FF" w:rsidRPr="0042063A">
        <w:t xml:space="preserve"> evaluation considered that</w:t>
      </w:r>
      <w:r w:rsidRPr="0042063A">
        <w:t xml:space="preserve"> rate of decline reported in </w:t>
      </w:r>
      <w:r w:rsidR="0076720D" w:rsidRPr="0042063A">
        <w:t>S</w:t>
      </w:r>
      <w:r w:rsidRPr="0042063A">
        <w:t xml:space="preserve">tudy 201/202 compared to </w:t>
      </w:r>
      <w:r w:rsidR="0076720D" w:rsidRPr="0042063A">
        <w:t>S</w:t>
      </w:r>
      <w:r w:rsidRPr="0042063A">
        <w:t>tudy 901 support</w:t>
      </w:r>
      <w:r w:rsidR="002436FF" w:rsidRPr="0042063A">
        <w:t>ed</w:t>
      </w:r>
      <w:r w:rsidRPr="0042063A">
        <w:t xml:space="preserve"> the clinical claim that treatment with cerliponase alfa is likely to slow the disease progression of CLN2 disease as measured by performance on the ML score.</w:t>
      </w:r>
      <w:r w:rsidR="00292839">
        <w:t xml:space="preserve"> </w:t>
      </w:r>
      <w:r w:rsidRPr="0042063A">
        <w:t xml:space="preserve">However, the exact magnitude of benefit is unknown, as both </w:t>
      </w:r>
      <w:r w:rsidR="0076720D" w:rsidRPr="0042063A">
        <w:t>S</w:t>
      </w:r>
      <w:r w:rsidRPr="0042063A">
        <w:t xml:space="preserve">tudy 201/202 and </w:t>
      </w:r>
      <w:r w:rsidR="0076720D" w:rsidRPr="0042063A">
        <w:t>S</w:t>
      </w:r>
      <w:r w:rsidRPr="0042063A">
        <w:t xml:space="preserve">tudy 901 </w:t>
      </w:r>
      <w:r w:rsidR="00926775" w:rsidRPr="0042063A">
        <w:t>have a</w:t>
      </w:r>
      <w:r w:rsidRPr="0042063A">
        <w:t xml:space="preserve"> high risk of bias</w:t>
      </w:r>
      <w:r w:rsidR="00C87694" w:rsidRPr="0042063A">
        <w:t xml:space="preserve"> given the single arm, open label design</w:t>
      </w:r>
      <w:r w:rsidRPr="0042063A">
        <w:t xml:space="preserve">, and the rate of decline in </w:t>
      </w:r>
      <w:r w:rsidR="0076720D" w:rsidRPr="0042063A">
        <w:t>S</w:t>
      </w:r>
      <w:r w:rsidRPr="0042063A">
        <w:t>tudy 901 varies depending on the data cut and also the method of estimation.</w:t>
      </w:r>
    </w:p>
    <w:p w:rsidR="00CD474D" w:rsidRPr="0042063A" w:rsidRDefault="00331103" w:rsidP="004C64AD">
      <w:pPr>
        <w:pStyle w:val="ListParagraph"/>
        <w:numPr>
          <w:ilvl w:val="1"/>
          <w:numId w:val="2"/>
        </w:numPr>
        <w:spacing w:before="0" w:after="120"/>
      </w:pPr>
      <w:r w:rsidRPr="0042063A">
        <w:t xml:space="preserve">Health related quality of life (HRQoL) data was collected </w:t>
      </w:r>
      <w:r w:rsidR="00CD474D" w:rsidRPr="0042063A">
        <w:t xml:space="preserve">in </w:t>
      </w:r>
      <w:r w:rsidR="0076720D" w:rsidRPr="0042063A">
        <w:t>S</w:t>
      </w:r>
      <w:r w:rsidR="00CD474D" w:rsidRPr="0042063A">
        <w:t>tudy 201/202 with the PedsQL, a HRQoL instrument designed for use in children, and a CLN2 disease based QoL survey.</w:t>
      </w:r>
      <w:r w:rsidR="00292839">
        <w:t xml:space="preserve"> </w:t>
      </w:r>
      <w:r w:rsidR="00CD474D" w:rsidRPr="0042063A">
        <w:t xml:space="preserve">EQ-5D data was collected in </w:t>
      </w:r>
      <w:r w:rsidR="0076720D" w:rsidRPr="0042063A">
        <w:t>S</w:t>
      </w:r>
      <w:r w:rsidR="00CD474D" w:rsidRPr="0042063A">
        <w:t>tudy 202 only, but the exact results were not presented.</w:t>
      </w:r>
      <w:r w:rsidR="00292839">
        <w:t xml:space="preserve"> </w:t>
      </w:r>
      <w:r w:rsidR="00412DAD" w:rsidRPr="0042063A">
        <w:t>It is difficult to draw conclusions based on the HRQoL data in Study 201/202 due to the lack of a comparative treatment.</w:t>
      </w:r>
      <w:r w:rsidR="00292839">
        <w:t xml:space="preserve"> </w:t>
      </w:r>
      <w:r w:rsidR="00412DAD" w:rsidRPr="0042063A">
        <w:t>However there is a trend of an increase in HRQoL at 48 weeks which is unexplained, but a decrease in HRQoL at 97 weeks, which likely reflects the degenerative nature of CLN2 disease.</w:t>
      </w:r>
      <w:r w:rsidR="00292839">
        <w:t xml:space="preserve"> </w:t>
      </w:r>
      <w:r w:rsidR="00412DAD" w:rsidRPr="0042063A">
        <w:t>In the base case of the economic evaluation, the submission uses the results from the PedsQL parent report for toddlers mapped using an algorithm from Khan et al 2014 to the EQ-5D to inform the utilities.</w:t>
      </w:r>
      <w:r w:rsidR="000A5CBF" w:rsidRPr="0042063A">
        <w:t xml:space="preserve"> </w:t>
      </w:r>
    </w:p>
    <w:p w:rsidR="00CF776C" w:rsidRPr="0042063A" w:rsidRDefault="004C64AD" w:rsidP="006B11EE">
      <w:pPr>
        <w:pStyle w:val="ListParagraph"/>
        <w:numPr>
          <w:ilvl w:val="1"/>
          <w:numId w:val="2"/>
        </w:numPr>
        <w:spacing w:before="0" w:after="120"/>
      </w:pPr>
      <w:r w:rsidRPr="0042063A">
        <w:t xml:space="preserve">Only data up to 96 weeks was </w:t>
      </w:r>
      <w:r w:rsidR="002436FF" w:rsidRPr="0042063A">
        <w:t>presented</w:t>
      </w:r>
      <w:r w:rsidRPr="0042063A">
        <w:t xml:space="preserve"> for </w:t>
      </w:r>
      <w:r w:rsidR="0076720D" w:rsidRPr="0042063A">
        <w:t>S</w:t>
      </w:r>
      <w:r w:rsidRPr="0042063A">
        <w:t>tudy 201/202</w:t>
      </w:r>
      <w:r w:rsidR="002436FF" w:rsidRPr="0042063A">
        <w:t xml:space="preserve"> in the submission</w:t>
      </w:r>
      <w:r w:rsidRPr="0042063A">
        <w:t>, and no deaths have been reported in the study thus far, hence no data on mortality could be presented</w:t>
      </w:r>
      <w:r w:rsidR="005D384E" w:rsidRPr="0042063A">
        <w:t xml:space="preserve"> for </w:t>
      </w:r>
      <w:r w:rsidR="0076720D" w:rsidRPr="0042063A">
        <w:t>S</w:t>
      </w:r>
      <w:r w:rsidR="005D384E" w:rsidRPr="0042063A">
        <w:t>tudy 201/202</w:t>
      </w:r>
      <w:r w:rsidRPr="0042063A">
        <w:t>.</w:t>
      </w:r>
      <w:r w:rsidR="00292839">
        <w:t xml:space="preserve"> </w:t>
      </w:r>
      <w:r w:rsidR="005D384E" w:rsidRPr="0042063A">
        <w:t xml:space="preserve">Mortality from patients enrolled in </w:t>
      </w:r>
      <w:r w:rsidR="0076720D" w:rsidRPr="0042063A">
        <w:t>S</w:t>
      </w:r>
      <w:r w:rsidR="005D384E" w:rsidRPr="0042063A">
        <w:t xml:space="preserve">tudy 901 were similarly not presented separately; </w:t>
      </w:r>
      <w:r w:rsidR="00CF776C" w:rsidRPr="0042063A">
        <w:t>instead, the submission presented mortality results from</w:t>
      </w:r>
      <w:r w:rsidR="005D384E" w:rsidRPr="0042063A">
        <w:t xml:space="preserve"> Nickel et al 2016, which includes the</w:t>
      </w:r>
      <w:r w:rsidR="00CF776C" w:rsidRPr="0042063A">
        <w:t xml:space="preserve"> patients enrolled in </w:t>
      </w:r>
      <w:r w:rsidR="0076720D" w:rsidRPr="0042063A">
        <w:t>S</w:t>
      </w:r>
      <w:r w:rsidR="00CF776C" w:rsidRPr="0042063A">
        <w:t>tudy 901 as well as other patients with CLN2 disease who were part of the DEM-CHILD or WCMC databases.</w:t>
      </w:r>
      <w:r w:rsidR="00292839">
        <w:t xml:space="preserve"> </w:t>
      </w:r>
      <w:r w:rsidR="00CF776C" w:rsidRPr="0042063A">
        <w:t xml:space="preserve">This is shown </w:t>
      </w:r>
      <w:r w:rsidR="00CF776C" w:rsidRPr="0042063A">
        <w:rPr>
          <w:rFonts w:ascii="Calibri" w:hAnsi="Calibri"/>
        </w:rPr>
        <w:t xml:space="preserve">in </w:t>
      </w:r>
      <w:r w:rsidR="0076720D" w:rsidRPr="0042063A">
        <w:rPr>
          <w:rFonts w:ascii="Calibri" w:hAnsi="Calibri"/>
        </w:rPr>
        <w:t xml:space="preserve">Figure </w:t>
      </w:r>
      <w:r w:rsidR="0076720D" w:rsidRPr="0042063A">
        <w:rPr>
          <w:rFonts w:ascii="Calibri" w:hAnsi="Calibri"/>
          <w:noProof/>
        </w:rPr>
        <w:t>2</w:t>
      </w:r>
      <w:r w:rsidR="00CF776C" w:rsidRPr="0042063A">
        <w:t xml:space="preserve">. </w:t>
      </w:r>
    </w:p>
    <w:p w:rsidR="00CF776C" w:rsidRPr="0042063A" w:rsidRDefault="0076720D" w:rsidP="0076720D">
      <w:pPr>
        <w:pStyle w:val="Caption"/>
        <w:rPr>
          <w:rFonts w:ascii="Arial Narrow" w:hAnsi="Arial Narrow"/>
        </w:rPr>
      </w:pPr>
      <w:bookmarkStart w:id="23" w:name="_Ref512277435"/>
      <w:r w:rsidRPr="0042063A">
        <w:rPr>
          <w:rFonts w:ascii="Arial Narrow" w:hAnsi="Arial Narrow"/>
        </w:rPr>
        <w:t xml:space="preserve">Figure </w:t>
      </w:r>
      <w:r w:rsidRPr="0042063A">
        <w:rPr>
          <w:rFonts w:ascii="Arial Narrow" w:hAnsi="Arial Narrow"/>
          <w:noProof/>
        </w:rPr>
        <w:t>2</w:t>
      </w:r>
      <w:bookmarkEnd w:id="23"/>
      <w:r w:rsidR="00CF776C" w:rsidRPr="0042063A">
        <w:rPr>
          <w:rFonts w:ascii="Arial Narrow" w:hAnsi="Arial Narrow"/>
        </w:rPr>
        <w:t>: Overall survival from onset of first symptom in Nickel et al 2016</w:t>
      </w:r>
    </w:p>
    <w:p w:rsidR="00CF776C" w:rsidRPr="0042063A" w:rsidRDefault="006E2381" w:rsidP="00CF776C">
      <w:pPr>
        <w:pStyle w:val="V50Instructions"/>
        <w:spacing w:before="0" w:after="0"/>
        <w:jc w:val="center"/>
        <w:rPr>
          <w:rFonts w:ascii="Arial" w:hAnsi="Arial" w:cs="Arial"/>
          <w:i/>
          <w:color w:val="auto"/>
          <w:sz w:val="20"/>
          <w:szCs w:val="20"/>
        </w:rPr>
      </w:pPr>
      <w:r>
        <w:rPr>
          <w:rFonts w:ascii="Arial" w:hAnsi="Arial" w:cs="Arial"/>
          <w:i/>
          <w:noProof/>
          <w:color w:val="auto"/>
          <w:sz w:val="20"/>
          <w:szCs w:val="20"/>
          <w:lang w:eastAsia="en-AU"/>
        </w:rPr>
        <w:drawing>
          <wp:inline distT="0" distB="0" distL="0" distR="0">
            <wp:extent cx="3889375" cy="2834640"/>
            <wp:effectExtent l="0" t="0" r="0" b="3810"/>
            <wp:docPr id="1" name="Picture 1" title="Figure 2: Overall survival from onset of first symptom in Nickel et al 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89375" cy="2834640"/>
                    </a:xfrm>
                    <a:prstGeom prst="rect">
                      <a:avLst/>
                    </a:prstGeom>
                  </pic:spPr>
                </pic:pic>
              </a:graphicData>
            </a:graphic>
          </wp:inline>
        </w:drawing>
      </w:r>
    </w:p>
    <w:p w:rsidR="00CF776C" w:rsidRPr="009226B8" w:rsidRDefault="00CF776C" w:rsidP="00CF776C">
      <w:pPr>
        <w:pStyle w:val="TableNotes"/>
        <w:rPr>
          <w:rStyle w:val="TableNoteChar"/>
          <w:rFonts w:eastAsiaTheme="minorHAnsi"/>
        </w:rPr>
      </w:pPr>
      <w:r w:rsidRPr="0042063A">
        <w:rPr>
          <w:rStyle w:val="TableNoteChar"/>
          <w:rFonts w:eastAsiaTheme="minorHAnsi"/>
        </w:rPr>
        <w:t>Source: Figure 2, Nickel et al 2016b</w:t>
      </w:r>
    </w:p>
    <w:p w:rsidR="00624315" w:rsidRPr="0042063A" w:rsidRDefault="00624315" w:rsidP="00772501">
      <w:pPr>
        <w:pStyle w:val="Heading2"/>
      </w:pPr>
      <w:bookmarkStart w:id="24" w:name="_Toc514241626"/>
      <w:bookmarkStart w:id="25" w:name="_Toc413139281"/>
      <w:r w:rsidRPr="0042063A">
        <w:lastRenderedPageBreak/>
        <w:t>Benefits and harms</w:t>
      </w:r>
      <w:bookmarkEnd w:id="24"/>
    </w:p>
    <w:p w:rsidR="00386D1A" w:rsidRPr="0042063A" w:rsidRDefault="00FE2431" w:rsidP="00412DAD">
      <w:pPr>
        <w:pStyle w:val="ListParagraph"/>
        <w:numPr>
          <w:ilvl w:val="1"/>
          <w:numId w:val="2"/>
        </w:numPr>
        <w:spacing w:before="0" w:after="120"/>
      </w:pPr>
      <w:r w:rsidRPr="0042063A">
        <w:t xml:space="preserve">The naïve indirect comparison presented in the submission did not allow for a comparison of the benefits and harms of </w:t>
      </w:r>
      <w:r w:rsidR="00412DAD" w:rsidRPr="0042063A">
        <w:t xml:space="preserve">cerliponase </w:t>
      </w:r>
      <w:r w:rsidR="00117A67" w:rsidRPr="0042063A">
        <w:t xml:space="preserve">alfa </w:t>
      </w:r>
      <w:r w:rsidR="00412DAD" w:rsidRPr="0042063A">
        <w:t>and standard care</w:t>
      </w:r>
      <w:r w:rsidRPr="0042063A">
        <w:t>.</w:t>
      </w:r>
      <w:r w:rsidR="00292839">
        <w:t xml:space="preserve"> </w:t>
      </w:r>
      <w:r w:rsidRPr="0042063A">
        <w:t>Accordingly, a benefits/harms table has not been presented.</w:t>
      </w:r>
    </w:p>
    <w:p w:rsidR="00C317F3" w:rsidRPr="0042063A" w:rsidRDefault="008058E8" w:rsidP="00772501">
      <w:pPr>
        <w:pStyle w:val="Heading2"/>
      </w:pPr>
      <w:bookmarkStart w:id="26" w:name="_Toc514241627"/>
      <w:bookmarkEnd w:id="25"/>
      <w:r w:rsidRPr="0042063A">
        <w:t>Interpretation of clinical evidence</w:t>
      </w:r>
      <w:bookmarkEnd w:id="26"/>
    </w:p>
    <w:p w:rsidR="00117A67" w:rsidRPr="0042063A" w:rsidRDefault="00117A67" w:rsidP="00117A67">
      <w:pPr>
        <w:pStyle w:val="ListParagraph"/>
        <w:numPr>
          <w:ilvl w:val="1"/>
          <w:numId w:val="2"/>
        </w:numPr>
        <w:spacing w:before="0" w:after="120"/>
      </w:pPr>
      <w:r w:rsidRPr="0042063A">
        <w:t xml:space="preserve">The </w:t>
      </w:r>
      <w:r w:rsidR="00FA7D84" w:rsidRPr="0042063A">
        <w:t>submission claimed</w:t>
      </w:r>
      <w:r w:rsidRPr="0042063A">
        <w:t xml:space="preserve"> that cerliponase alfa plus standard care i</w:t>
      </w:r>
      <w:r w:rsidR="004C64AD" w:rsidRPr="0042063A">
        <w:t>s superior in terms of efficacy compared with standard care alone/no treatment</w:t>
      </w:r>
      <w:r w:rsidRPr="0042063A">
        <w:t xml:space="preserve"> based on responder analyses (response defined as an absence of an unreversed 2-point decline in ML score or ML score of 0</w:t>
      </w:r>
      <w:r w:rsidR="004C64AD" w:rsidRPr="0042063A">
        <w:t>)</w:t>
      </w:r>
      <w:r w:rsidRPr="0042063A">
        <w:t>.</w:t>
      </w:r>
      <w:r w:rsidR="00292839">
        <w:t xml:space="preserve"> </w:t>
      </w:r>
      <w:r w:rsidRPr="0042063A">
        <w:t>Cerliponase alfa is associated with increased toxicity when compared with standard care.</w:t>
      </w:r>
      <w:r w:rsidR="00292839">
        <w:t xml:space="preserve"> </w:t>
      </w:r>
      <w:r w:rsidRPr="0042063A">
        <w:t>Nonetheless, cerliponase alfa has an acceptable safety profile considering the severity of CLN2 disease.</w:t>
      </w:r>
      <w:r w:rsidR="00292839">
        <w:t xml:space="preserve"> </w:t>
      </w:r>
    </w:p>
    <w:p w:rsidR="006714F0" w:rsidRPr="0042063A" w:rsidRDefault="00772B50" w:rsidP="009226B8">
      <w:pPr>
        <w:pStyle w:val="ListParagraph"/>
        <w:numPr>
          <w:ilvl w:val="1"/>
          <w:numId w:val="2"/>
        </w:numPr>
        <w:spacing w:before="0" w:after="120"/>
      </w:pPr>
      <w:r w:rsidRPr="0042063A">
        <w:t xml:space="preserve">The PBAC acknowledged that the evidence presented </w:t>
      </w:r>
      <w:r w:rsidR="00DA06ED" w:rsidRPr="0042063A">
        <w:t xml:space="preserve">indicated that </w:t>
      </w:r>
      <w:r w:rsidR="00BD0EA7" w:rsidRPr="0042063A">
        <w:t>treatment with cerliponase alfa slows progression of CLN2 disease. However, the PBAC were uncertain of the magnitude of benefit given the issues raised above</w:t>
      </w:r>
      <w:r w:rsidR="00EC7564" w:rsidRPr="0042063A">
        <w:t>.</w:t>
      </w:r>
      <w:r w:rsidR="009E35FA" w:rsidRPr="0042063A">
        <w:t xml:space="preserve"> </w:t>
      </w:r>
      <w:r w:rsidR="00C962EB" w:rsidRPr="0042063A">
        <w:t xml:space="preserve">Further, the PBAC considered there was insufficient evidence in the submission to support that the treatment benefit in terms of ML score would equate to a survival benefit. </w:t>
      </w:r>
    </w:p>
    <w:p w:rsidR="00117A67" w:rsidRPr="0042063A" w:rsidRDefault="005B0149" w:rsidP="006D6F59">
      <w:pPr>
        <w:pStyle w:val="ListParagraph"/>
        <w:numPr>
          <w:ilvl w:val="1"/>
          <w:numId w:val="2"/>
        </w:numPr>
        <w:spacing w:before="0" w:after="120"/>
      </w:pPr>
      <w:r w:rsidRPr="0042063A">
        <w:t>The PBAC</w:t>
      </w:r>
      <w:r w:rsidR="00957B98" w:rsidRPr="0042063A">
        <w:t xml:space="preserve"> considered the claim of inferior safety over standard care was reasonable </w:t>
      </w:r>
      <w:r w:rsidR="00577934" w:rsidRPr="0042063A">
        <w:t xml:space="preserve">given the administration method of cerliponase alfa. </w:t>
      </w:r>
      <w:r w:rsidR="00B5409B" w:rsidRPr="0042063A">
        <w:t>The PBAC agreed that based on the data available, there were no major safety signals however</w:t>
      </w:r>
      <w:r w:rsidR="006D6F59" w:rsidRPr="0042063A">
        <w:t>,</w:t>
      </w:r>
      <w:r w:rsidR="00B5409B" w:rsidRPr="0042063A">
        <w:t xml:space="preserve"> noted that the long term safety of cerliponase alfa is uncertain. </w:t>
      </w:r>
    </w:p>
    <w:p w:rsidR="00C317F3" w:rsidRPr="0042063A" w:rsidRDefault="00C317F3" w:rsidP="00772501">
      <w:pPr>
        <w:pStyle w:val="Heading2"/>
      </w:pPr>
      <w:bookmarkStart w:id="27" w:name="_Toc413139282"/>
      <w:bookmarkStart w:id="28" w:name="_Toc514241628"/>
      <w:r w:rsidRPr="0042063A">
        <w:t>Economic analysis</w:t>
      </w:r>
      <w:bookmarkEnd w:id="27"/>
      <w:bookmarkEnd w:id="28"/>
    </w:p>
    <w:p w:rsidR="00C317F3" w:rsidRPr="0042063A" w:rsidRDefault="00FD5A74" w:rsidP="0076720D">
      <w:pPr>
        <w:pStyle w:val="ListParagraph"/>
        <w:numPr>
          <w:ilvl w:val="1"/>
          <w:numId w:val="2"/>
        </w:numPr>
        <w:spacing w:before="0" w:after="240"/>
        <w:ind w:left="578" w:hanging="578"/>
      </w:pPr>
      <w:r w:rsidRPr="0042063A">
        <w:t xml:space="preserve">The submission presented a stepped economic evaluation, with </w:t>
      </w:r>
      <w:proofErr w:type="gramStart"/>
      <w:r w:rsidRPr="0042063A">
        <w:t>a modelled</w:t>
      </w:r>
      <w:proofErr w:type="gramEnd"/>
      <w:r w:rsidRPr="0042063A">
        <w:t xml:space="preserve"> cost effectiveness (life years gained) and cost utility analysis.</w:t>
      </w:r>
      <w:r w:rsidR="00292839">
        <w:t xml:space="preserve"> </w:t>
      </w:r>
      <w:r w:rsidRPr="0042063A">
        <w:t xml:space="preserve">A summary of the economic evaluation is presented </w:t>
      </w:r>
      <w:r w:rsidRPr="0042063A">
        <w:rPr>
          <w:rFonts w:ascii="Calibri" w:hAnsi="Calibri"/>
        </w:rPr>
        <w:t xml:space="preserve">in </w:t>
      </w:r>
      <w:r w:rsidR="0076720D" w:rsidRPr="0042063A">
        <w:rPr>
          <w:rFonts w:ascii="Calibri" w:hAnsi="Calibri"/>
        </w:rPr>
        <w:t xml:space="preserve">Table </w:t>
      </w:r>
      <w:r w:rsidR="0076720D" w:rsidRPr="0042063A">
        <w:rPr>
          <w:rFonts w:ascii="Calibri" w:hAnsi="Calibri"/>
          <w:noProof/>
        </w:rPr>
        <w:t>7</w:t>
      </w:r>
      <w:r w:rsidR="0076720D" w:rsidRPr="0042063A">
        <w:rPr>
          <w:rFonts w:ascii="Calibri" w:hAnsi="Calibri"/>
        </w:rPr>
        <w:t xml:space="preserve"> </w:t>
      </w:r>
      <w:r w:rsidR="00887CE2" w:rsidRPr="0042063A">
        <w:t xml:space="preserve">and </w:t>
      </w:r>
      <w:r w:rsidR="0076720D" w:rsidRPr="0042063A">
        <w:t xml:space="preserve">Figure </w:t>
      </w:r>
      <w:r w:rsidR="0076720D" w:rsidRPr="0042063A">
        <w:rPr>
          <w:noProof/>
        </w:rPr>
        <w:t>3</w:t>
      </w:r>
      <w:r w:rsidRPr="0042063A">
        <w:t>.</w:t>
      </w:r>
    </w:p>
    <w:p w:rsidR="00C317F3" w:rsidRPr="0042063A" w:rsidRDefault="0076720D" w:rsidP="0076720D">
      <w:pPr>
        <w:pStyle w:val="Caption"/>
        <w:rPr>
          <w:rFonts w:ascii="Arial Narrow" w:hAnsi="Arial Narrow"/>
        </w:rPr>
      </w:pPr>
      <w:bookmarkStart w:id="29" w:name="_Ref512277598"/>
      <w:r w:rsidRPr="0042063A">
        <w:rPr>
          <w:rFonts w:ascii="Arial Narrow" w:hAnsi="Arial Narrow"/>
        </w:rPr>
        <w:lastRenderedPageBreak/>
        <w:t xml:space="preserve">Table </w:t>
      </w:r>
      <w:r w:rsidR="0000175F" w:rsidRPr="0042063A">
        <w:rPr>
          <w:rFonts w:ascii="Arial Narrow" w:hAnsi="Arial Narrow"/>
          <w:noProof/>
        </w:rPr>
        <w:t>7</w:t>
      </w:r>
      <w:bookmarkEnd w:id="29"/>
      <w:r w:rsidR="00C317F3" w:rsidRPr="0042063A">
        <w:rPr>
          <w:rFonts w:ascii="Arial Narrow" w:hAnsi="Arial Narrow"/>
        </w:rPr>
        <w:t>: Summary of model structure and rationale</w:t>
      </w:r>
      <w:r w:rsidR="00CF776C" w:rsidRPr="0042063A">
        <w:rPr>
          <w:rFonts w:ascii="Arial Narrow" w:hAnsi="Arial Narrow"/>
          <w:b w:val="0"/>
          <w:color w:val="4472C4" w:themeColor="accent5"/>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6"/>
        <w:gridCol w:w="6786"/>
      </w:tblGrid>
      <w:tr w:rsidR="00C317F3" w:rsidRPr="0042063A" w:rsidTr="00DF16C0">
        <w:trPr>
          <w:tblHeader/>
        </w:trPr>
        <w:tc>
          <w:tcPr>
            <w:tcW w:w="1264" w:type="pct"/>
            <w:shd w:val="clear" w:color="auto" w:fill="auto"/>
            <w:vAlign w:val="center"/>
          </w:tcPr>
          <w:p w:rsidR="00C317F3" w:rsidRPr="0042063A" w:rsidRDefault="00C317F3" w:rsidP="0076720D">
            <w:pPr>
              <w:pStyle w:val="TableText"/>
              <w:jc w:val="left"/>
              <w:rPr>
                <w:b/>
              </w:rPr>
            </w:pPr>
            <w:r w:rsidRPr="0042063A">
              <w:rPr>
                <w:b/>
              </w:rPr>
              <w:t>Component</w:t>
            </w:r>
          </w:p>
        </w:tc>
        <w:tc>
          <w:tcPr>
            <w:tcW w:w="3736" w:type="pct"/>
            <w:shd w:val="clear" w:color="auto" w:fill="auto"/>
            <w:vAlign w:val="center"/>
          </w:tcPr>
          <w:p w:rsidR="00C317F3" w:rsidRPr="0042063A" w:rsidRDefault="00C317F3" w:rsidP="0076720D">
            <w:pPr>
              <w:pStyle w:val="TableText"/>
              <w:jc w:val="left"/>
              <w:rPr>
                <w:b/>
              </w:rPr>
            </w:pPr>
            <w:r w:rsidRPr="0042063A">
              <w:rPr>
                <w:b/>
              </w:rPr>
              <w:t>Summary</w:t>
            </w:r>
          </w:p>
        </w:tc>
      </w:tr>
      <w:tr w:rsidR="00C317F3" w:rsidRPr="0042063A" w:rsidTr="00DF16C0">
        <w:tc>
          <w:tcPr>
            <w:tcW w:w="1264" w:type="pct"/>
            <w:shd w:val="clear" w:color="auto" w:fill="auto"/>
            <w:vAlign w:val="center"/>
          </w:tcPr>
          <w:p w:rsidR="00C317F3" w:rsidRPr="0042063A" w:rsidRDefault="00C317F3" w:rsidP="0076720D">
            <w:pPr>
              <w:pStyle w:val="TableText"/>
              <w:jc w:val="left"/>
            </w:pPr>
            <w:r w:rsidRPr="0042063A">
              <w:t>Time horizon</w:t>
            </w:r>
          </w:p>
        </w:tc>
        <w:tc>
          <w:tcPr>
            <w:tcW w:w="3736" w:type="pct"/>
            <w:shd w:val="clear" w:color="auto" w:fill="auto"/>
            <w:vAlign w:val="center"/>
          </w:tcPr>
          <w:p w:rsidR="00C317F3" w:rsidRPr="0042063A" w:rsidRDefault="00FD5A74" w:rsidP="0076720D">
            <w:pPr>
              <w:pStyle w:val="TableText"/>
              <w:jc w:val="left"/>
              <w:rPr>
                <w:rFonts w:ascii="Times" w:eastAsia="Times New Roman" w:hAnsi="Times" w:cs="Times New Roman"/>
                <w:i/>
              </w:rPr>
            </w:pPr>
            <w:r w:rsidRPr="0042063A">
              <w:t>95</w:t>
            </w:r>
            <w:r w:rsidR="00C317F3" w:rsidRPr="0042063A">
              <w:t xml:space="preserve"> years i</w:t>
            </w:r>
            <w:r w:rsidRPr="0042063A">
              <w:t>n the model base case versus 96</w:t>
            </w:r>
            <w:r w:rsidR="00C317F3" w:rsidRPr="0042063A">
              <w:t xml:space="preserve"> </w:t>
            </w:r>
            <w:r w:rsidR="00C317F3" w:rsidRPr="0042063A">
              <w:rPr>
                <w:u w:val="single"/>
              </w:rPr>
              <w:t>weeks</w:t>
            </w:r>
            <w:r w:rsidR="00C317F3" w:rsidRPr="0042063A">
              <w:t xml:space="preserve"> in </w:t>
            </w:r>
            <w:r w:rsidRPr="0042063A">
              <w:t>study 201/202</w:t>
            </w:r>
            <w:r w:rsidR="00EF4A2E" w:rsidRPr="0042063A">
              <w:t>.</w:t>
            </w:r>
            <w:r w:rsidR="00292839">
              <w:t xml:space="preserve"> </w:t>
            </w:r>
            <w:r w:rsidR="00EF4A2E" w:rsidRPr="0042063A">
              <w:t>Submission assumed transition probabilities at 96 weeks was extrapolated to beyond 96 weeks.</w:t>
            </w:r>
            <w:r w:rsidR="00292839">
              <w:rPr>
                <w:i/>
              </w:rPr>
              <w:t xml:space="preserve"> </w:t>
            </w:r>
          </w:p>
        </w:tc>
      </w:tr>
      <w:tr w:rsidR="00C317F3" w:rsidRPr="0042063A" w:rsidTr="00DF16C0">
        <w:tc>
          <w:tcPr>
            <w:tcW w:w="1264" w:type="pct"/>
            <w:shd w:val="clear" w:color="auto" w:fill="auto"/>
            <w:vAlign w:val="center"/>
          </w:tcPr>
          <w:p w:rsidR="00C317F3" w:rsidRPr="0042063A" w:rsidRDefault="00C317F3" w:rsidP="0076720D">
            <w:pPr>
              <w:pStyle w:val="TableText"/>
              <w:jc w:val="left"/>
              <w:rPr>
                <w:rFonts w:ascii="Times" w:eastAsia="Times New Roman" w:hAnsi="Times" w:cs="Times New Roman"/>
              </w:rPr>
            </w:pPr>
            <w:r w:rsidRPr="0042063A">
              <w:t>Outcomes</w:t>
            </w:r>
          </w:p>
        </w:tc>
        <w:tc>
          <w:tcPr>
            <w:tcW w:w="3736" w:type="pct"/>
            <w:shd w:val="clear" w:color="auto" w:fill="auto"/>
            <w:vAlign w:val="center"/>
          </w:tcPr>
          <w:p w:rsidR="00C317F3" w:rsidRPr="0042063A" w:rsidRDefault="00FD5A74" w:rsidP="0076720D">
            <w:pPr>
              <w:pStyle w:val="TableText"/>
              <w:jc w:val="left"/>
              <w:rPr>
                <w:rFonts w:ascii="Times" w:eastAsia="Times New Roman" w:hAnsi="Times" w:cs="Times New Roman"/>
              </w:rPr>
            </w:pPr>
            <w:r w:rsidRPr="0042063A">
              <w:t xml:space="preserve">LYG and QALY gained </w:t>
            </w:r>
          </w:p>
        </w:tc>
      </w:tr>
      <w:tr w:rsidR="00C317F3" w:rsidRPr="0042063A" w:rsidTr="00DF16C0">
        <w:tc>
          <w:tcPr>
            <w:tcW w:w="1264" w:type="pct"/>
            <w:shd w:val="clear" w:color="auto" w:fill="auto"/>
            <w:vAlign w:val="center"/>
          </w:tcPr>
          <w:p w:rsidR="00C317F3" w:rsidRPr="0042063A" w:rsidRDefault="00C317F3" w:rsidP="0076720D">
            <w:pPr>
              <w:pStyle w:val="TableText"/>
              <w:jc w:val="left"/>
              <w:rPr>
                <w:rFonts w:ascii="Times" w:eastAsia="Times New Roman" w:hAnsi="Times" w:cs="Times New Roman"/>
              </w:rPr>
            </w:pPr>
            <w:r w:rsidRPr="0042063A">
              <w:t>Methods used to generate results</w:t>
            </w:r>
          </w:p>
        </w:tc>
        <w:tc>
          <w:tcPr>
            <w:tcW w:w="3736" w:type="pct"/>
            <w:shd w:val="clear" w:color="auto" w:fill="auto"/>
            <w:vAlign w:val="center"/>
          </w:tcPr>
          <w:p w:rsidR="00C317F3" w:rsidRPr="0042063A" w:rsidRDefault="00FD5A74" w:rsidP="0076720D">
            <w:pPr>
              <w:pStyle w:val="TableText"/>
              <w:jc w:val="left"/>
              <w:rPr>
                <w:rFonts w:ascii="Times" w:eastAsia="Times New Roman" w:hAnsi="Times" w:cs="Times New Roman"/>
              </w:rPr>
            </w:pPr>
            <w:r w:rsidRPr="0042063A">
              <w:t xml:space="preserve">Markov model </w:t>
            </w:r>
          </w:p>
        </w:tc>
      </w:tr>
      <w:tr w:rsidR="00C317F3" w:rsidRPr="0042063A" w:rsidTr="00DF16C0">
        <w:tc>
          <w:tcPr>
            <w:tcW w:w="1264" w:type="pct"/>
            <w:shd w:val="clear" w:color="auto" w:fill="auto"/>
            <w:vAlign w:val="center"/>
          </w:tcPr>
          <w:p w:rsidR="00C317F3" w:rsidRPr="0042063A" w:rsidRDefault="00C317F3" w:rsidP="0076720D">
            <w:pPr>
              <w:pStyle w:val="TableText"/>
              <w:jc w:val="left"/>
              <w:rPr>
                <w:rFonts w:ascii="Times" w:eastAsia="Times New Roman" w:hAnsi="Times" w:cs="Times New Roman"/>
              </w:rPr>
            </w:pPr>
            <w:r w:rsidRPr="0042063A">
              <w:t>Health states</w:t>
            </w:r>
          </w:p>
        </w:tc>
        <w:tc>
          <w:tcPr>
            <w:tcW w:w="3736" w:type="pct"/>
            <w:shd w:val="clear" w:color="auto" w:fill="auto"/>
            <w:vAlign w:val="center"/>
          </w:tcPr>
          <w:p w:rsidR="00C317F3" w:rsidRPr="0042063A" w:rsidRDefault="00FD5A74" w:rsidP="0076720D">
            <w:pPr>
              <w:pStyle w:val="TableText"/>
              <w:jc w:val="left"/>
              <w:rPr>
                <w:rFonts w:ascii="Times" w:eastAsia="Times New Roman" w:hAnsi="Times" w:cs="Times New Roman"/>
              </w:rPr>
            </w:pPr>
            <w:r w:rsidRPr="0042063A">
              <w:rPr>
                <w:szCs w:val="20"/>
              </w:rPr>
              <w:t>A total of 8 health states: 7 individual health states for each ML score (6 to 0) and death as an absorbing health state.</w:t>
            </w:r>
          </w:p>
        </w:tc>
      </w:tr>
      <w:tr w:rsidR="003A537E" w:rsidRPr="0042063A" w:rsidTr="00DF16C0">
        <w:tc>
          <w:tcPr>
            <w:tcW w:w="1264" w:type="pct"/>
            <w:shd w:val="clear" w:color="auto" w:fill="auto"/>
            <w:vAlign w:val="center"/>
          </w:tcPr>
          <w:p w:rsidR="003A537E" w:rsidRPr="0042063A" w:rsidRDefault="003A537E" w:rsidP="0076720D">
            <w:pPr>
              <w:pStyle w:val="TableText"/>
              <w:jc w:val="left"/>
              <w:rPr>
                <w:rFonts w:ascii="Times" w:eastAsia="Times New Roman" w:hAnsi="Times" w:cs="Times New Roman"/>
              </w:rPr>
            </w:pPr>
            <w:r w:rsidRPr="0042063A">
              <w:t>Utilities</w:t>
            </w:r>
          </w:p>
        </w:tc>
        <w:tc>
          <w:tcPr>
            <w:tcW w:w="3736" w:type="pct"/>
            <w:shd w:val="clear" w:color="auto" w:fill="auto"/>
            <w:vAlign w:val="center"/>
          </w:tcPr>
          <w:p w:rsidR="003A537E" w:rsidRPr="0042063A" w:rsidRDefault="00FD5A74" w:rsidP="0076720D">
            <w:pPr>
              <w:pStyle w:val="TableText"/>
              <w:jc w:val="left"/>
              <w:rPr>
                <w:i/>
              </w:rPr>
            </w:pPr>
            <w:proofErr w:type="gramStart"/>
            <w:r w:rsidRPr="0042063A">
              <w:t>PedsQL results from study 201/202 was</w:t>
            </w:r>
            <w:proofErr w:type="gramEnd"/>
            <w:r w:rsidRPr="0042063A">
              <w:t xml:space="preserve"> mapped to EQ-5D using algorithm from Khan et al 2014</w:t>
            </w:r>
            <w:r w:rsidR="00D60162" w:rsidRPr="0042063A">
              <w:t xml:space="preserve"> in the base case</w:t>
            </w:r>
            <w:r w:rsidRPr="0042063A">
              <w:t>.</w:t>
            </w:r>
            <w:r w:rsidR="00292839">
              <w:t xml:space="preserve"> </w:t>
            </w:r>
            <w:r w:rsidRPr="0042063A">
              <w:t>Khan et al 2014 was a study which used mapped results from the PedsQL filled out by 559 children in England aged 11-15 to the youth version of the EQ-5D</w:t>
            </w:r>
            <w:r w:rsidRPr="0042063A">
              <w:rPr>
                <w:i/>
              </w:rPr>
              <w:t>.</w:t>
            </w:r>
          </w:p>
          <w:p w:rsidR="00A86C3F" w:rsidRPr="0042063A" w:rsidRDefault="00A86C3F" w:rsidP="0076720D">
            <w:pPr>
              <w:pStyle w:val="TableText"/>
              <w:jc w:val="left"/>
              <w:rPr>
                <w:rFonts w:ascii="Times" w:eastAsia="Times New Roman" w:hAnsi="Times" w:cs="Times New Roman"/>
                <w:i/>
              </w:rPr>
            </w:pPr>
            <w:proofErr w:type="gramStart"/>
            <w:r w:rsidRPr="0042063A">
              <w:t>Disutility for adverse events related to cerliponase alfa were</w:t>
            </w:r>
            <w:proofErr w:type="gramEnd"/>
            <w:r w:rsidRPr="0042063A">
              <w:t xml:space="preserve"> sourced from literature.</w:t>
            </w:r>
            <w:r w:rsidR="00292839">
              <w:t xml:space="preserve"> </w:t>
            </w:r>
            <w:r w:rsidR="00D60162" w:rsidRPr="0042063A">
              <w:t>Details on why and how the specific published studies were chosen were not provided by the submission.</w:t>
            </w:r>
            <w:r w:rsidR="00292839">
              <w:t xml:space="preserve"> </w:t>
            </w:r>
          </w:p>
        </w:tc>
      </w:tr>
      <w:tr w:rsidR="00C317F3" w:rsidRPr="0042063A" w:rsidTr="00DF16C0">
        <w:tc>
          <w:tcPr>
            <w:tcW w:w="1264" w:type="pct"/>
            <w:shd w:val="clear" w:color="auto" w:fill="auto"/>
            <w:vAlign w:val="center"/>
          </w:tcPr>
          <w:p w:rsidR="00C317F3" w:rsidRPr="0042063A" w:rsidRDefault="00C317F3" w:rsidP="0076720D">
            <w:pPr>
              <w:pStyle w:val="TableText"/>
              <w:jc w:val="left"/>
              <w:rPr>
                <w:rFonts w:ascii="Times" w:eastAsia="Times New Roman" w:hAnsi="Times" w:cs="Times New Roman"/>
              </w:rPr>
            </w:pPr>
            <w:r w:rsidRPr="0042063A">
              <w:t>Cycle length</w:t>
            </w:r>
          </w:p>
        </w:tc>
        <w:tc>
          <w:tcPr>
            <w:tcW w:w="3736" w:type="pct"/>
            <w:shd w:val="clear" w:color="auto" w:fill="auto"/>
            <w:vAlign w:val="center"/>
          </w:tcPr>
          <w:p w:rsidR="00C317F3" w:rsidRPr="0042063A" w:rsidRDefault="00EF4A2E" w:rsidP="0076720D">
            <w:pPr>
              <w:pStyle w:val="TableText"/>
              <w:jc w:val="left"/>
              <w:rPr>
                <w:rFonts w:ascii="Times" w:eastAsia="Times New Roman" w:hAnsi="Times" w:cs="Times New Roman"/>
                <w:i/>
              </w:rPr>
            </w:pPr>
            <w:r w:rsidRPr="0042063A">
              <w:t>2 weeks.</w:t>
            </w:r>
            <w:r w:rsidR="00292839">
              <w:t xml:space="preserve"> </w:t>
            </w:r>
            <w:r w:rsidRPr="0042063A">
              <w:t>Submission claim</w:t>
            </w:r>
            <w:r w:rsidR="00453F48" w:rsidRPr="0042063A">
              <w:t>ed</w:t>
            </w:r>
            <w:r w:rsidRPr="0042063A">
              <w:t xml:space="preserve"> that this is consistent with the dosage frequency for cerliponase alfa.</w:t>
            </w:r>
            <w:r w:rsidR="00292839">
              <w:t xml:space="preserve"> </w:t>
            </w:r>
            <w:r w:rsidRPr="0042063A">
              <w:t>However this required interpolation of ML score measurements from both study 201/202 and study 901 as the interval between ML score readings were greater than 2 weeks.</w:t>
            </w:r>
            <w:r w:rsidR="00292839">
              <w:t xml:space="preserve"> </w:t>
            </w:r>
            <w:r w:rsidRPr="0042063A">
              <w:t xml:space="preserve"> </w:t>
            </w:r>
          </w:p>
        </w:tc>
      </w:tr>
      <w:tr w:rsidR="00C317F3" w:rsidRPr="0042063A" w:rsidTr="00DF16C0">
        <w:tc>
          <w:tcPr>
            <w:tcW w:w="1264" w:type="pct"/>
            <w:shd w:val="clear" w:color="auto" w:fill="auto"/>
            <w:vAlign w:val="center"/>
          </w:tcPr>
          <w:p w:rsidR="00C317F3" w:rsidRPr="0042063A" w:rsidRDefault="00C317F3" w:rsidP="0076720D">
            <w:pPr>
              <w:pStyle w:val="TableText"/>
              <w:jc w:val="left"/>
              <w:rPr>
                <w:rFonts w:ascii="Times" w:eastAsia="Times New Roman" w:hAnsi="Times" w:cs="Times New Roman"/>
              </w:rPr>
            </w:pPr>
            <w:r w:rsidRPr="0042063A">
              <w:t>Transition probabilities</w:t>
            </w:r>
          </w:p>
        </w:tc>
        <w:tc>
          <w:tcPr>
            <w:tcW w:w="3736" w:type="pct"/>
            <w:shd w:val="clear" w:color="auto" w:fill="auto"/>
            <w:vAlign w:val="center"/>
          </w:tcPr>
          <w:p w:rsidR="00FD5A74" w:rsidRPr="0042063A" w:rsidRDefault="00FD5A74" w:rsidP="0076720D">
            <w:pPr>
              <w:pStyle w:val="TableText"/>
              <w:keepNext w:val="0"/>
              <w:jc w:val="left"/>
              <w:rPr>
                <w:i/>
                <w:szCs w:val="20"/>
              </w:rPr>
            </w:pPr>
            <w:r w:rsidRPr="0042063A">
              <w:rPr>
                <w:szCs w:val="20"/>
                <w:u w:val="single"/>
              </w:rPr>
              <w:t>Transitions between ML score health states</w:t>
            </w:r>
            <w:proofErr w:type="gramStart"/>
            <w:r w:rsidRPr="0042063A">
              <w:rPr>
                <w:szCs w:val="20"/>
              </w:rPr>
              <w:t>:</w:t>
            </w:r>
            <w:proofErr w:type="gramEnd"/>
            <w:r w:rsidRPr="0042063A">
              <w:rPr>
                <w:szCs w:val="20"/>
              </w:rPr>
              <w:br/>
              <w:t>Observed transitions in the 1:1 matched population analysis of Studies 201/202 and 901 in 24-week intervals up to 96 weeks.</w:t>
            </w:r>
            <w:r w:rsidR="00292839">
              <w:rPr>
                <w:szCs w:val="20"/>
              </w:rPr>
              <w:t xml:space="preserve"> </w:t>
            </w:r>
            <w:r w:rsidR="00EF4A2E" w:rsidRPr="0042063A">
              <w:rPr>
                <w:szCs w:val="20"/>
              </w:rPr>
              <w:t xml:space="preserve">The methods </w:t>
            </w:r>
            <w:r w:rsidR="00453F48" w:rsidRPr="0042063A">
              <w:rPr>
                <w:szCs w:val="20"/>
              </w:rPr>
              <w:t xml:space="preserve">used </w:t>
            </w:r>
            <w:r w:rsidR="00EF4A2E" w:rsidRPr="0042063A">
              <w:rPr>
                <w:szCs w:val="20"/>
              </w:rPr>
              <w:t xml:space="preserve">to estimate transition probabilities in the submission </w:t>
            </w:r>
            <w:r w:rsidR="00453F48" w:rsidRPr="0042063A">
              <w:rPr>
                <w:szCs w:val="20"/>
              </w:rPr>
              <w:t xml:space="preserve">were </w:t>
            </w:r>
            <w:r w:rsidR="00EF4A2E" w:rsidRPr="0042063A">
              <w:rPr>
                <w:szCs w:val="20"/>
              </w:rPr>
              <w:t>potentially inconsistent and arbitrary (see</w:t>
            </w:r>
            <w:r w:rsidR="0076720D" w:rsidRPr="0042063A">
              <w:rPr>
                <w:szCs w:val="20"/>
              </w:rPr>
              <w:t xml:space="preserve"> paragraphs</w:t>
            </w:r>
            <w:r w:rsidR="00EF4A2E" w:rsidRPr="0042063A">
              <w:rPr>
                <w:szCs w:val="20"/>
              </w:rPr>
              <w:t xml:space="preserve"> </w:t>
            </w:r>
            <w:r w:rsidR="00CF776C" w:rsidRPr="0042063A">
              <w:rPr>
                <w:szCs w:val="20"/>
              </w:rPr>
              <w:t>6.22 and 6.23</w:t>
            </w:r>
            <w:r w:rsidR="00EF4A2E" w:rsidRPr="0042063A">
              <w:rPr>
                <w:szCs w:val="20"/>
              </w:rPr>
              <w:t>)</w:t>
            </w:r>
            <w:r w:rsidR="003B7EF9" w:rsidRPr="0042063A">
              <w:rPr>
                <w:szCs w:val="20"/>
              </w:rPr>
              <w:t>.</w:t>
            </w:r>
          </w:p>
          <w:p w:rsidR="00FD5A74" w:rsidRPr="0042063A" w:rsidRDefault="00FD5A74" w:rsidP="0076720D">
            <w:pPr>
              <w:pStyle w:val="TableText"/>
              <w:keepNext w:val="0"/>
              <w:jc w:val="left"/>
              <w:rPr>
                <w:szCs w:val="20"/>
              </w:rPr>
            </w:pPr>
            <w:r w:rsidRPr="0042063A">
              <w:rPr>
                <w:szCs w:val="20"/>
                <w:u w:val="single"/>
              </w:rPr>
              <w:t>Mortality</w:t>
            </w:r>
            <w:r w:rsidRPr="0042063A">
              <w:rPr>
                <w:szCs w:val="20"/>
              </w:rPr>
              <w:t xml:space="preserve">: </w:t>
            </w:r>
            <w:r w:rsidRPr="0042063A">
              <w:rPr>
                <w:szCs w:val="20"/>
              </w:rPr>
              <w:br/>
              <w:t>Disease-related mortality: Estimated from the manuscript by Nickel M et al, 2016 by estimating the time from a mean ML score of 0 to death for a cohort of CLN2 patients. Applied to the health state membership of ML score of 0.</w:t>
            </w:r>
            <w:r w:rsidR="00292839">
              <w:rPr>
                <w:szCs w:val="20"/>
              </w:rPr>
              <w:t xml:space="preserve"> </w:t>
            </w:r>
            <w:r w:rsidR="00EF4A2E" w:rsidRPr="0042063A">
              <w:rPr>
                <w:szCs w:val="20"/>
              </w:rPr>
              <w:t xml:space="preserve">This may not be appropriate (see </w:t>
            </w:r>
            <w:r w:rsidR="0076720D" w:rsidRPr="0042063A">
              <w:rPr>
                <w:szCs w:val="20"/>
              </w:rPr>
              <w:t xml:space="preserve">paragraph </w:t>
            </w:r>
            <w:r w:rsidR="00EF4A2E" w:rsidRPr="0042063A">
              <w:rPr>
                <w:szCs w:val="20"/>
              </w:rPr>
              <w:t>6.2</w:t>
            </w:r>
            <w:r w:rsidR="00CF776C" w:rsidRPr="0042063A">
              <w:rPr>
                <w:szCs w:val="20"/>
              </w:rPr>
              <w:t>4</w:t>
            </w:r>
            <w:r w:rsidR="00EF4A2E" w:rsidRPr="0042063A">
              <w:rPr>
                <w:szCs w:val="20"/>
              </w:rPr>
              <w:t>)</w:t>
            </w:r>
          </w:p>
          <w:p w:rsidR="00C317F3" w:rsidRPr="0042063A" w:rsidRDefault="00FD5A74" w:rsidP="0076720D">
            <w:pPr>
              <w:pStyle w:val="TableText"/>
              <w:jc w:val="left"/>
              <w:rPr>
                <w:rFonts w:ascii="Times" w:eastAsia="Times New Roman" w:hAnsi="Times" w:cs="Times New Roman"/>
                <w:i/>
              </w:rPr>
            </w:pPr>
            <w:r w:rsidRPr="0042063A">
              <w:rPr>
                <w:szCs w:val="20"/>
              </w:rPr>
              <w:t>Age-related mortality: Estimated from Australian life tables and assuming an equal gender distribution. Applied to the health state membership for all ML scores.</w:t>
            </w:r>
            <w:r w:rsidR="00292839">
              <w:rPr>
                <w:szCs w:val="20"/>
              </w:rPr>
              <w:t xml:space="preserve"> </w:t>
            </w:r>
            <w:r w:rsidR="00EF4A2E" w:rsidRPr="0042063A">
              <w:rPr>
                <w:szCs w:val="20"/>
              </w:rPr>
              <w:t>It may not be reasonable to assume that patients with CLN2 would have the same baseline mortality as the general population.</w:t>
            </w:r>
            <w:r w:rsidR="00292839">
              <w:rPr>
                <w:i/>
                <w:szCs w:val="20"/>
              </w:rPr>
              <w:t xml:space="preserve"> </w:t>
            </w:r>
            <w:r w:rsidR="00EF4A2E" w:rsidRPr="0042063A">
              <w:rPr>
                <w:i/>
                <w:szCs w:val="20"/>
              </w:rPr>
              <w:t xml:space="preserve"> </w:t>
            </w:r>
          </w:p>
        </w:tc>
      </w:tr>
    </w:tbl>
    <w:p w:rsidR="00FD5A74" w:rsidRPr="0042063A" w:rsidRDefault="00FD5A74" w:rsidP="00772501">
      <w:pPr>
        <w:pStyle w:val="TableFooter"/>
      </w:pPr>
      <w:r w:rsidRPr="0042063A">
        <w:t>Abbreviation: LYG = life years gained, QALY = quality adjusted life years</w:t>
      </w:r>
    </w:p>
    <w:p w:rsidR="00C317F3" w:rsidRPr="0042063A" w:rsidRDefault="00C317F3" w:rsidP="00772501">
      <w:pPr>
        <w:pStyle w:val="TableFooter"/>
      </w:pPr>
      <w:r w:rsidRPr="0042063A">
        <w:t xml:space="preserve">Source: </w:t>
      </w:r>
      <w:r w:rsidR="00B80B83" w:rsidRPr="0042063A">
        <w:t>reference sections/tables/spreadsheets within the submission</w:t>
      </w:r>
    </w:p>
    <w:p w:rsidR="00887CE2" w:rsidRPr="0042063A" w:rsidRDefault="0076720D" w:rsidP="00080E98">
      <w:pPr>
        <w:pStyle w:val="Caption"/>
        <w:keepLines/>
        <w:rPr>
          <w:rFonts w:ascii="Arial Narrow" w:hAnsi="Arial Narrow"/>
        </w:rPr>
      </w:pPr>
      <w:bookmarkStart w:id="30" w:name="_Ref512277656"/>
      <w:r w:rsidRPr="0042063A">
        <w:rPr>
          <w:rFonts w:ascii="Arial Narrow" w:hAnsi="Arial Narrow"/>
        </w:rPr>
        <w:lastRenderedPageBreak/>
        <w:t xml:space="preserve">Figure </w:t>
      </w:r>
      <w:r w:rsidRPr="0042063A">
        <w:rPr>
          <w:rFonts w:ascii="Arial Narrow" w:hAnsi="Arial Narrow"/>
          <w:noProof/>
        </w:rPr>
        <w:t>3</w:t>
      </w:r>
      <w:bookmarkEnd w:id="30"/>
      <w:r w:rsidR="00887CE2" w:rsidRPr="0042063A">
        <w:rPr>
          <w:rFonts w:ascii="Arial Narrow" w:hAnsi="Arial Narrow"/>
        </w:rPr>
        <w:t>: Model structure for economic evaluation</w:t>
      </w:r>
    </w:p>
    <w:p w:rsidR="00887CE2" w:rsidRPr="0042063A" w:rsidRDefault="00887CE2" w:rsidP="00080E98">
      <w:pPr>
        <w:pStyle w:val="V50Instructions"/>
        <w:keepNext/>
        <w:keepLines/>
        <w:spacing w:before="0" w:after="0"/>
        <w:jc w:val="center"/>
        <w:rPr>
          <w:rFonts w:ascii="Arial" w:hAnsi="Arial" w:cs="Arial"/>
          <w:color w:val="auto"/>
          <w:sz w:val="20"/>
          <w:szCs w:val="20"/>
        </w:rPr>
      </w:pPr>
      <w:r w:rsidRPr="008E356B">
        <w:rPr>
          <w:rFonts w:ascii="Arial" w:hAnsi="Arial" w:cs="Arial"/>
          <w:noProof/>
          <w:color w:val="auto"/>
          <w:sz w:val="20"/>
          <w:szCs w:val="20"/>
          <w:lang w:eastAsia="en-AU"/>
        </w:rPr>
        <w:drawing>
          <wp:inline distT="0" distB="0" distL="0" distR="0" wp14:anchorId="6A86A217" wp14:editId="4A053B2D">
            <wp:extent cx="5724525" cy="2143125"/>
            <wp:effectExtent l="0" t="0" r="9525" b="9525"/>
            <wp:docPr id="7" name="Picture 7" title="Figure 3: Model structure for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143125"/>
                    </a:xfrm>
                    <a:prstGeom prst="rect">
                      <a:avLst/>
                    </a:prstGeom>
                    <a:noFill/>
                    <a:ln>
                      <a:noFill/>
                    </a:ln>
                  </pic:spPr>
                </pic:pic>
              </a:graphicData>
            </a:graphic>
          </wp:inline>
        </w:drawing>
      </w:r>
    </w:p>
    <w:p w:rsidR="00BB3E9A" w:rsidRPr="0042063A" w:rsidRDefault="00BB3E9A" w:rsidP="00080E98">
      <w:pPr>
        <w:pStyle w:val="TableNotes"/>
        <w:keepNext/>
        <w:keepLines/>
        <w:spacing w:after="0"/>
        <w:rPr>
          <w:rFonts w:ascii="Arial Narrow" w:hAnsi="Arial Narrow"/>
          <w:sz w:val="18"/>
        </w:rPr>
      </w:pPr>
      <w:r w:rsidRPr="0042063A">
        <w:rPr>
          <w:rFonts w:ascii="Arial Narrow" w:hAnsi="Arial Narrow"/>
          <w:sz w:val="18"/>
        </w:rPr>
        <w:t>Score refers to ML score</w:t>
      </w:r>
    </w:p>
    <w:p w:rsidR="00887CE2" w:rsidRPr="0042063A" w:rsidRDefault="00887CE2" w:rsidP="00080E98">
      <w:pPr>
        <w:pStyle w:val="TableNotes"/>
        <w:keepNext/>
        <w:keepLines/>
        <w:spacing w:after="0"/>
        <w:rPr>
          <w:rFonts w:ascii="Arial Narrow" w:hAnsi="Arial Narrow"/>
          <w:sz w:val="18"/>
        </w:rPr>
      </w:pPr>
      <w:r w:rsidRPr="0042063A">
        <w:rPr>
          <w:rFonts w:ascii="Arial Narrow" w:hAnsi="Arial Narrow"/>
          <w:sz w:val="18"/>
        </w:rPr>
        <w:t>Source: Edited from Figure 3.2-1, p135 of the submission during evaluation</w:t>
      </w:r>
    </w:p>
    <w:p w:rsidR="00EF4A2E" w:rsidRPr="0042063A" w:rsidRDefault="00EF4A2E" w:rsidP="00EF4A2E">
      <w:pPr>
        <w:pStyle w:val="ListParagraph"/>
        <w:numPr>
          <w:ilvl w:val="1"/>
          <w:numId w:val="2"/>
        </w:numPr>
      </w:pPr>
      <w:r w:rsidRPr="0042063A">
        <w:t>There were discrepancies between the method and rules for determining the transition probabilities in the main body of the submission and Appendix 21 of the submission.</w:t>
      </w:r>
      <w:r w:rsidR="00292839">
        <w:t xml:space="preserve"> </w:t>
      </w:r>
      <w:r w:rsidRPr="0042063A">
        <w:t>For example, in the main body of the submission it was claimed that there were four periods: 0-24 weeks, 24-48 weeks, 48 to 72 weeks and 72 to 96 weeks.</w:t>
      </w:r>
      <w:r w:rsidR="00292839">
        <w:t xml:space="preserve"> </w:t>
      </w:r>
      <w:r w:rsidRPr="0042063A">
        <w:t>However in Appendix 21 of the submission (comment in cell B13) it was stated that data was to be divided into three periods (0-24 weeks, 24-48 weeks and 48 to 96 weeks).</w:t>
      </w:r>
      <w:r w:rsidR="00292839">
        <w:t xml:space="preserve"> </w:t>
      </w:r>
      <w:r w:rsidRPr="0042063A">
        <w:t>Moreover, the actual transition probabilities used in the submission did not in fact come from the stated time periods.</w:t>
      </w:r>
      <w:r w:rsidR="00292839">
        <w:t xml:space="preserve"> </w:t>
      </w:r>
      <w:r w:rsidRPr="0042063A">
        <w:t>The transition probabilities for patients treated with cerliponase alfa were informed by data from the 0-24 weeks, 24-48 weeks and 48+ weeks (time period 48-72 weeks, 72-96 weeks and 96+ weeks all have the same transition probability) time periods whereas the transition probabilities for patients treated with standard care w</w:t>
      </w:r>
      <w:r w:rsidR="008A7523" w:rsidRPr="0042063A">
        <w:t>ere</w:t>
      </w:r>
      <w:r w:rsidRPr="0042063A">
        <w:t xml:space="preserve"> informed by data from the 0+ weeks (all time point</w:t>
      </w:r>
      <w:r w:rsidR="00C007AB" w:rsidRPr="0042063A">
        <w:t>s</w:t>
      </w:r>
      <w:r w:rsidRPr="0042063A">
        <w:t>) time period (all time periods in standard care have the same transition probability).</w:t>
      </w:r>
      <w:r w:rsidR="00292839">
        <w:t xml:space="preserve"> </w:t>
      </w:r>
      <w:r w:rsidRPr="0042063A">
        <w:t>No justification for the choice of these specific time periods was provided in the submission.</w:t>
      </w:r>
      <w:r w:rsidR="00292839">
        <w:t xml:space="preserve"> </w:t>
      </w:r>
      <w:r w:rsidRPr="0042063A">
        <w:t>It may be inappropriate to use different time periods to inform the transition probabilities for different treatment groups.</w:t>
      </w:r>
    </w:p>
    <w:p w:rsidR="00EF4A2E" w:rsidRPr="0042063A" w:rsidRDefault="00EF4A2E" w:rsidP="00EF4A2E">
      <w:pPr>
        <w:pStyle w:val="ListParagraph"/>
        <w:numPr>
          <w:ilvl w:val="1"/>
          <w:numId w:val="2"/>
        </w:numPr>
      </w:pPr>
      <w:r w:rsidRPr="0042063A">
        <w:t>Additionally, the submission combined observations between consecutive ML scores (ML score = 6 was combine with ML score =5 and ML score = 4 was combined with ML score = 3 and ML score = 2) in order to boost the number of observations for each transition to make up for small number of patients with each ML score.</w:t>
      </w:r>
      <w:r w:rsidR="00292839">
        <w:t xml:space="preserve"> </w:t>
      </w:r>
      <w:r w:rsidRPr="0042063A">
        <w:t>The combination of ML scores appears to be arbitrary and not justified by the submission</w:t>
      </w:r>
      <w:r w:rsidR="00C007AB" w:rsidRPr="0042063A">
        <w:t>.</w:t>
      </w:r>
      <w:r w:rsidR="00CE60ED" w:rsidRPr="0042063A">
        <w:t xml:space="preserve"> The ESC noted that</w:t>
      </w:r>
      <w:r w:rsidR="006E1C50" w:rsidRPr="0042063A">
        <w:t xml:space="preserve"> </w:t>
      </w:r>
      <w:r w:rsidR="00CE60ED" w:rsidRPr="0042063A">
        <w:t>the sample size</w:t>
      </w:r>
      <w:r w:rsidR="006E1C50" w:rsidRPr="0042063A">
        <w:t>s</w:t>
      </w:r>
      <w:r w:rsidR="00CE60ED" w:rsidRPr="0042063A">
        <w:t xml:space="preserve"> of </w:t>
      </w:r>
      <w:r w:rsidR="006E1C50" w:rsidRPr="0042063A">
        <w:t xml:space="preserve">the </w:t>
      </w:r>
      <w:r w:rsidR="00CE60ED" w:rsidRPr="0042063A">
        <w:t>individual group</w:t>
      </w:r>
      <w:r w:rsidR="006E1C50" w:rsidRPr="0042063A">
        <w:t>s of observations</w:t>
      </w:r>
      <w:r w:rsidR="00CE60ED" w:rsidRPr="0042063A">
        <w:t xml:space="preserve"> was</w:t>
      </w:r>
      <w:r w:rsidR="00DD58F3" w:rsidRPr="0042063A">
        <w:t xml:space="preserve"> still</w:t>
      </w:r>
      <w:r w:rsidR="00CE60ED" w:rsidRPr="0042063A">
        <w:t xml:space="preserve"> likely t</w:t>
      </w:r>
      <w:r w:rsidR="006E1C50" w:rsidRPr="0042063A">
        <w:t>o be small</w:t>
      </w:r>
      <w:r w:rsidR="00F902BF" w:rsidRPr="0042063A">
        <w:t xml:space="preserve"> and therefore considered the resulting transition probabilities to be highly uncertain</w:t>
      </w:r>
      <w:r w:rsidR="00491DE1" w:rsidRPr="0042063A">
        <w:t>.</w:t>
      </w:r>
      <w:r w:rsidR="00491DE1" w:rsidRPr="0042063A">
        <w:rPr>
          <w:i/>
        </w:rPr>
        <w:t xml:space="preserve"> </w:t>
      </w:r>
    </w:p>
    <w:p w:rsidR="002C0199" w:rsidRPr="0042063A" w:rsidRDefault="002C0199" w:rsidP="002C0199">
      <w:pPr>
        <w:pStyle w:val="ListParagraph"/>
        <w:numPr>
          <w:ilvl w:val="1"/>
          <w:numId w:val="2"/>
        </w:numPr>
      </w:pPr>
      <w:r w:rsidRPr="0042063A">
        <w:t xml:space="preserve">Extrapolation of the 96 weeks 1:1 matched comparison between Studies 201/202 and 901 to a lifetime using 48+ </w:t>
      </w:r>
      <w:proofErr w:type="gramStart"/>
      <w:r w:rsidRPr="0042063A">
        <w:t>weeks</w:t>
      </w:r>
      <w:proofErr w:type="gramEnd"/>
      <w:r w:rsidRPr="0042063A">
        <w:t xml:space="preserve"> transition probabilities is likely to be optimistic given there is no efficacy data for cerliponase alfa after 96 weeks. It may have been more </w:t>
      </w:r>
      <w:r w:rsidRPr="0042063A">
        <w:lastRenderedPageBreak/>
        <w:t>conservative to assume the same rate of disease progression/transition probabilities for both treatment arms after 96 weeks.</w:t>
      </w:r>
      <w:r w:rsidR="0021542B" w:rsidRPr="0042063A">
        <w:rPr>
          <w:i/>
        </w:rPr>
        <w:t xml:space="preserve"> </w:t>
      </w:r>
      <w:r w:rsidR="0021542B" w:rsidRPr="0042063A">
        <w:t xml:space="preserve">The ESC considered </w:t>
      </w:r>
      <w:r w:rsidR="00C565A4" w:rsidRPr="0042063A">
        <w:t>that</w:t>
      </w:r>
      <w:r w:rsidR="0021542B" w:rsidRPr="0042063A">
        <w:t xml:space="preserve"> a constant rate of progression throughout the disease course</w:t>
      </w:r>
      <w:r w:rsidR="00C565A4" w:rsidRPr="0042063A">
        <w:t xml:space="preserve"> was not adequately supported by the evidence in the submission</w:t>
      </w:r>
      <w:r w:rsidR="0021542B" w:rsidRPr="0042063A">
        <w:t xml:space="preserve"> and considered it would be more likely that the rate of progression increases once </w:t>
      </w:r>
      <w:r w:rsidR="00FF6507" w:rsidRPr="0042063A">
        <w:t>patients begin to decline</w:t>
      </w:r>
      <w:r w:rsidR="0021542B" w:rsidRPr="0042063A">
        <w:t>.</w:t>
      </w:r>
      <w:r w:rsidR="00EB4B51" w:rsidRPr="0042063A">
        <w:t xml:space="preserve"> The ESC advised it would have been more appropriate to assume the same </w:t>
      </w:r>
      <w:r w:rsidR="00EF1D3E" w:rsidRPr="0042063A">
        <w:t>transition probabilities for patient</w:t>
      </w:r>
      <w:r w:rsidR="00325D1E" w:rsidRPr="0042063A">
        <w:t xml:space="preserve">s in the cerliponase alfa as the standard care arm after patients in the cerliponase alfa arm complete a transition to a </w:t>
      </w:r>
      <w:r w:rsidR="00DC355B" w:rsidRPr="0042063A">
        <w:t xml:space="preserve">worse </w:t>
      </w:r>
      <w:r w:rsidR="00325D1E" w:rsidRPr="0042063A">
        <w:t>health state.</w:t>
      </w:r>
      <w:r w:rsidR="005F7ED7" w:rsidRPr="0042063A">
        <w:t xml:space="preserve"> The Pre-PBAC Response </w:t>
      </w:r>
      <w:r w:rsidR="00A06FCE" w:rsidRPr="0042063A">
        <w:t xml:space="preserve">argued </w:t>
      </w:r>
      <w:r w:rsidR="00A440A3" w:rsidRPr="0042063A">
        <w:t>that the evidence presented in the submission indicates that cerliponase alfa slows progression of CLN2 disease noting that the mean rate of decline in ML score in Study 201/202</w:t>
      </w:r>
      <w:r w:rsidR="00C946B5" w:rsidRPr="0042063A">
        <w:t xml:space="preserve"> at 48 weeks of 0.40 points was reduced to </w:t>
      </w:r>
      <w:r w:rsidR="006E2381">
        <w:rPr>
          <w:noProof/>
          <w:color w:val="000000"/>
          <w:highlight w:val="black"/>
        </w:rPr>
        <w:t xml:space="preserve">'''''''' </w:t>
      </w:r>
      <w:r w:rsidR="00C946B5" w:rsidRPr="0042063A">
        <w:t xml:space="preserve">points at 96 weeks. The Pre-PBAC Response </w:t>
      </w:r>
      <w:r w:rsidR="00A74CCC" w:rsidRPr="0042063A">
        <w:t xml:space="preserve">contended assuming the same transition probabilities for patients in the cerliponase alfa as the standard care arm after patients in the cerliponase alfa arm complete a transition to a worse health state would be </w:t>
      </w:r>
      <w:r w:rsidR="003414B0" w:rsidRPr="0042063A">
        <w:t>inappropriate</w:t>
      </w:r>
      <w:r w:rsidR="00A74CCC" w:rsidRPr="0042063A">
        <w:t>.</w:t>
      </w:r>
    </w:p>
    <w:p w:rsidR="00EF4A2E" w:rsidRPr="0042063A" w:rsidRDefault="005D384E" w:rsidP="005D384E">
      <w:pPr>
        <w:pStyle w:val="ListParagraph"/>
        <w:numPr>
          <w:ilvl w:val="1"/>
          <w:numId w:val="2"/>
        </w:numPr>
      </w:pPr>
      <w:r w:rsidRPr="0042063A">
        <w:t>The economic evaluation presented in the submission is not based around responders in the ML score but around increase</w:t>
      </w:r>
      <w:r w:rsidR="008A1ADB" w:rsidRPr="0042063A">
        <w:t>d</w:t>
      </w:r>
      <w:r w:rsidRPr="0042063A">
        <w:t xml:space="preserve"> survival and Q</w:t>
      </w:r>
      <w:r w:rsidR="00997D69">
        <w:t>ALY gains.</w:t>
      </w:r>
      <w:r w:rsidR="00292839">
        <w:t xml:space="preserve"> </w:t>
      </w:r>
      <w:r w:rsidR="00997D69">
        <w:t>The submission</w:t>
      </w:r>
      <w:r w:rsidRPr="0042063A">
        <w:t xml:space="preserve"> state</w:t>
      </w:r>
      <w:r w:rsidR="0047362C" w:rsidRPr="0042063A">
        <w:t>d</w:t>
      </w:r>
      <w:r w:rsidRPr="0042063A">
        <w:t xml:space="preserve"> that as no patients died in Study 201/202 or Study 203, it was not possible to estimate overall survival in patients treated with cerliponase alfa</w:t>
      </w:r>
      <w:r w:rsidR="00997D69">
        <w:t>.</w:t>
      </w:r>
      <w:r w:rsidR="00292839">
        <w:t xml:space="preserve"> </w:t>
      </w:r>
      <w:r w:rsidR="00997D69">
        <w:t>Instead, the submission</w:t>
      </w:r>
      <w:r w:rsidRPr="0042063A">
        <w:t xml:space="preserve"> argue</w:t>
      </w:r>
      <w:r w:rsidR="0047362C" w:rsidRPr="0042063A">
        <w:t>d</w:t>
      </w:r>
      <w:r w:rsidRPr="0042063A">
        <w:t xml:space="preserve"> that CLN2 disease-related mortality occurs almost exclusively from an ML score of 0, and that slowing the decline in motor and language function and increasing the time to an ML score of 0 is a surrogate for improved survival.</w:t>
      </w:r>
      <w:r w:rsidR="00292839">
        <w:t xml:space="preserve"> </w:t>
      </w:r>
      <w:r w:rsidRPr="0042063A">
        <w:t>In the NICE evaluation consultation document for cerliponase alfa, it was postulated (Section 4.12, p16 of the NICE evaluation consultation document) that “while death usually occurs because of complications from neurological degeneration, the expression of TPP1 is not limited to the central nervous system and untreated accumulation of ceroid lipofuscin may lead to pancreatic, intestinal, cardiac and hepatic impairment.“ though it was also acknowledged that “without longer-term data, the effect of CLN2 on mortality due to affects in other body systems was completely unknown”.</w:t>
      </w:r>
      <w:r w:rsidR="00292839">
        <w:t xml:space="preserve"> </w:t>
      </w:r>
      <w:r w:rsidRPr="0042063A">
        <w:t>Overall, any assumption</w:t>
      </w:r>
      <w:r w:rsidR="008A7523" w:rsidRPr="0042063A">
        <w:t>s</w:t>
      </w:r>
      <w:r w:rsidRPr="0042063A">
        <w:t xml:space="preserve"> about long-term disease stabilisation and mortality are associated with substantial uncertainty given the lack of data</w:t>
      </w:r>
      <w:r w:rsidR="008A7523" w:rsidRPr="0042063A">
        <w:t xml:space="preserve"> beyond 96 weeks</w:t>
      </w:r>
      <w:r w:rsidRPr="0042063A">
        <w:t>.</w:t>
      </w:r>
      <w:r w:rsidR="00292839">
        <w:t xml:space="preserve"> </w:t>
      </w:r>
      <w:r w:rsidR="007A6E61" w:rsidRPr="0042063A">
        <w:t xml:space="preserve">The use of </w:t>
      </w:r>
      <w:r w:rsidRPr="0042063A">
        <w:t>increasing the time to progress to an ML score of 0 used as a proxy for improved survival</w:t>
      </w:r>
      <w:r w:rsidR="007A6E61" w:rsidRPr="0042063A">
        <w:t xml:space="preserve"> requires consideration.</w:t>
      </w:r>
      <w:r w:rsidR="00292839">
        <w:t xml:space="preserve"> </w:t>
      </w:r>
      <w:r w:rsidR="00887CE2" w:rsidRPr="0042063A">
        <w:t xml:space="preserve">Background mortality based on age and gender was applied </w:t>
      </w:r>
      <w:r w:rsidR="0047362C" w:rsidRPr="0042063A">
        <w:t xml:space="preserve">in </w:t>
      </w:r>
      <w:r w:rsidR="00887CE2" w:rsidRPr="0042063A">
        <w:t>each cycle independently of ML score.</w:t>
      </w:r>
      <w:r w:rsidR="00CB7634" w:rsidRPr="0042063A">
        <w:t xml:space="preserve"> </w:t>
      </w:r>
      <w:r w:rsidR="00A0678B" w:rsidRPr="0042063A">
        <w:t>The ESC considered there was insufficient evidence in the submission to determine whether the assumption</w:t>
      </w:r>
      <w:r w:rsidR="00080AEE" w:rsidRPr="0042063A">
        <w:t xml:space="preserve"> in the model</w:t>
      </w:r>
      <w:r w:rsidR="00A0678B" w:rsidRPr="0042063A">
        <w:t xml:space="preserve"> that </w:t>
      </w:r>
      <w:r w:rsidR="00080AEE" w:rsidRPr="0042063A">
        <w:t>dea</w:t>
      </w:r>
      <w:r w:rsidR="00A0678B" w:rsidRPr="0042063A">
        <w:t>th occurs</w:t>
      </w:r>
      <w:r w:rsidR="00080AEE" w:rsidRPr="0042063A">
        <w:t xml:space="preserve"> only from an ML score of 0 was appropriate.</w:t>
      </w:r>
      <w:r w:rsidR="00EC1C7E" w:rsidRPr="0042063A">
        <w:t xml:space="preserve"> </w:t>
      </w:r>
      <w:r w:rsidR="00B97D79" w:rsidRPr="0042063A">
        <w:t xml:space="preserve">The Pre-PBAC Response argued that based on data that most </w:t>
      </w:r>
      <w:r w:rsidR="00B97D79" w:rsidRPr="00080E98">
        <w:t>patients (</w:t>
      </w:r>
      <w:r w:rsidR="006E2381">
        <w:rPr>
          <w:rFonts w:ascii="Calibri" w:eastAsia="Calibri" w:hAnsi="Calibri" w:cs="Arial"/>
          <w:noProof/>
          <w:color w:val="000000"/>
          <w:highlight w:val="black"/>
        </w:rPr>
        <w:t>''''''</w:t>
      </w:r>
      <w:r w:rsidR="00B97D79" w:rsidRPr="0042063A">
        <w:t>%) who died had a last recorded ML score of 0</w:t>
      </w:r>
      <w:r w:rsidR="00593FBD" w:rsidRPr="0042063A">
        <w:t xml:space="preserve"> in Study 901</w:t>
      </w:r>
      <w:r w:rsidR="00B97D79" w:rsidRPr="0042063A">
        <w:t>, the assumption that death occurs from an ML score of 0 is reasonable. Further, the Pre-PBAC Response</w:t>
      </w:r>
      <w:r w:rsidR="006032BF" w:rsidRPr="0042063A">
        <w:t xml:space="preserve"> claimed that this assumption has been reviewed and considered appropriate by Australian clinicians with experience in managing patients with CLN2.</w:t>
      </w:r>
      <w:r w:rsidR="00B97D79" w:rsidRPr="0042063A">
        <w:t xml:space="preserve"> </w:t>
      </w:r>
    </w:p>
    <w:p w:rsidR="00EF4A2E" w:rsidRPr="0042063A" w:rsidRDefault="00CF776C" w:rsidP="00CF776C">
      <w:pPr>
        <w:pStyle w:val="ListParagraph"/>
        <w:numPr>
          <w:ilvl w:val="1"/>
          <w:numId w:val="2"/>
        </w:numPr>
        <w:spacing w:before="0" w:after="120"/>
      </w:pPr>
      <w:r w:rsidRPr="0042063A">
        <w:t>The model presented in the submission is similar to</w:t>
      </w:r>
      <w:r w:rsidR="008A7523" w:rsidRPr="0042063A">
        <w:t xml:space="preserve"> the</w:t>
      </w:r>
      <w:r w:rsidRPr="0042063A">
        <w:t xml:space="preserve"> published economic evaluation by NICE.</w:t>
      </w:r>
      <w:r w:rsidR="00292839">
        <w:t xml:space="preserve"> </w:t>
      </w:r>
      <w:r w:rsidRPr="0042063A">
        <w:t xml:space="preserve">The structure and underlying assumptions of the NICE model do </w:t>
      </w:r>
      <w:r w:rsidRPr="0042063A">
        <w:lastRenderedPageBreak/>
        <w:t>not appear to differ significantly with the current submission however</w:t>
      </w:r>
      <w:r w:rsidR="00A85662" w:rsidRPr="0042063A">
        <w:t>,</w:t>
      </w:r>
      <w:r w:rsidRPr="0042063A">
        <w:t xml:space="preserve"> there are SIGNIFICANT discrepancies in the modelled outcome, with the NICE model reporting greater than </w:t>
      </w:r>
      <w:r w:rsidR="006E2381">
        <w:rPr>
          <w:noProof/>
          <w:color w:val="000000"/>
          <w:highlight w:val="black"/>
        </w:rPr>
        <w:t>'''</w:t>
      </w:r>
      <w:r w:rsidRPr="0042063A">
        <w:t xml:space="preserve"> times the incremental life year gain compared with the submission (40.04 incremental LYG vs </w:t>
      </w:r>
      <w:r w:rsidR="006E2381">
        <w:rPr>
          <w:noProof/>
          <w:color w:val="000000"/>
          <w:highlight w:val="black"/>
        </w:rPr>
        <w:t>'''''''''</w:t>
      </w:r>
      <w:r w:rsidRPr="00080E98">
        <w:t xml:space="preserve"> incremental</w:t>
      </w:r>
      <w:r w:rsidRPr="0042063A">
        <w:t xml:space="preserve"> LYG).</w:t>
      </w:r>
      <w:r w:rsidR="00292839">
        <w:t xml:space="preserve"> </w:t>
      </w:r>
    </w:p>
    <w:p w:rsidR="00CF776C" w:rsidRPr="0042063A" w:rsidRDefault="00CF776C" w:rsidP="00740740">
      <w:pPr>
        <w:pStyle w:val="ListParagraph"/>
        <w:numPr>
          <w:ilvl w:val="1"/>
          <w:numId w:val="2"/>
        </w:numPr>
        <w:spacing w:before="0" w:after="0"/>
        <w:ind w:left="578" w:hanging="578"/>
      </w:pPr>
      <w:r w:rsidRPr="0042063A">
        <w:t>There are several plausible reasons for this discrepancy:</w:t>
      </w:r>
    </w:p>
    <w:p w:rsidR="00CF776C" w:rsidRPr="0042063A" w:rsidRDefault="00CF776C" w:rsidP="00BC4138">
      <w:pPr>
        <w:pStyle w:val="ListParagraph"/>
        <w:numPr>
          <w:ilvl w:val="1"/>
          <w:numId w:val="11"/>
        </w:numPr>
        <w:spacing w:before="0" w:after="0"/>
        <w:ind w:left="1134" w:hanging="425"/>
      </w:pPr>
      <w:r w:rsidRPr="0042063A">
        <w:t>The NICE model has an ‘early stabiliser’</w:t>
      </w:r>
      <w:r w:rsidR="00586F65" w:rsidRPr="0042063A">
        <w:t xml:space="preserve"> (will maintain ML score after 16 weeks of treatment)</w:t>
      </w:r>
      <w:r w:rsidRPr="0042063A">
        <w:t xml:space="preserve"> and ‘late stabiliser’</w:t>
      </w:r>
      <w:r w:rsidR="0093782C" w:rsidRPr="0042063A">
        <w:t xml:space="preserve"> (decline by 1 health state every 80 weeks but will maintain ML score after 96 weeks of treatment) </w:t>
      </w:r>
      <w:r w:rsidRPr="0042063A">
        <w:t>cohort</w:t>
      </w:r>
      <w:r w:rsidR="00887CE2" w:rsidRPr="0042063A">
        <w:t xml:space="preserve"> for patients treated with cerliponase alfa, whereas there is only one cohort in the </w:t>
      </w:r>
      <w:r w:rsidR="008A7523" w:rsidRPr="0042063A">
        <w:t xml:space="preserve">PBAC </w:t>
      </w:r>
      <w:r w:rsidR="00887CE2" w:rsidRPr="0042063A">
        <w:t>submission</w:t>
      </w:r>
      <w:r w:rsidRPr="0042063A">
        <w:t>;</w:t>
      </w:r>
    </w:p>
    <w:p w:rsidR="00CF776C" w:rsidRPr="0042063A" w:rsidRDefault="00CF776C" w:rsidP="00740740">
      <w:pPr>
        <w:pStyle w:val="ListParagraph"/>
        <w:numPr>
          <w:ilvl w:val="1"/>
          <w:numId w:val="11"/>
        </w:numPr>
        <w:spacing w:before="0" w:after="0"/>
        <w:ind w:left="1134" w:hanging="425"/>
      </w:pPr>
      <w:r w:rsidRPr="0042063A">
        <w:t>The NICE model used a lower discount rate (1.5%</w:t>
      </w:r>
      <w:r w:rsidR="00887CE2" w:rsidRPr="0042063A">
        <w:t xml:space="preserve"> annually</w:t>
      </w:r>
      <w:r w:rsidRPr="0042063A">
        <w:t xml:space="preserve">) than the </w:t>
      </w:r>
      <w:r w:rsidR="008A7523" w:rsidRPr="0042063A">
        <w:t xml:space="preserve">PBAC </w:t>
      </w:r>
      <w:r w:rsidRPr="0042063A">
        <w:t>submission</w:t>
      </w:r>
      <w:r w:rsidR="00887CE2" w:rsidRPr="0042063A">
        <w:t xml:space="preserve"> (5% annually)</w:t>
      </w:r>
      <w:r w:rsidRPr="0042063A">
        <w:t xml:space="preserve">; </w:t>
      </w:r>
    </w:p>
    <w:p w:rsidR="00CF776C" w:rsidRPr="0042063A" w:rsidRDefault="00CF776C" w:rsidP="00740740">
      <w:pPr>
        <w:pStyle w:val="ListParagraph"/>
        <w:numPr>
          <w:ilvl w:val="1"/>
          <w:numId w:val="11"/>
        </w:numPr>
        <w:spacing w:before="0" w:after="0"/>
        <w:ind w:left="1134" w:hanging="425"/>
      </w:pPr>
      <w:r w:rsidRPr="0042063A">
        <w:t>There is a difference in the initial ML score distribution;</w:t>
      </w:r>
    </w:p>
    <w:p w:rsidR="00CF776C" w:rsidRPr="0042063A" w:rsidRDefault="00CF776C" w:rsidP="00740740">
      <w:pPr>
        <w:pStyle w:val="ListParagraph"/>
        <w:numPr>
          <w:ilvl w:val="1"/>
          <w:numId w:val="11"/>
        </w:numPr>
        <w:spacing w:before="0" w:after="0"/>
        <w:ind w:left="1134" w:hanging="425"/>
      </w:pPr>
      <w:r w:rsidRPr="0042063A">
        <w:t xml:space="preserve">Baseline mortality could be different between the two models; and </w:t>
      </w:r>
    </w:p>
    <w:p w:rsidR="00CF776C" w:rsidRPr="0042063A" w:rsidRDefault="00CF776C" w:rsidP="00740740">
      <w:pPr>
        <w:pStyle w:val="ListParagraph"/>
        <w:numPr>
          <w:ilvl w:val="1"/>
          <w:numId w:val="11"/>
        </w:numPr>
        <w:spacing w:before="0"/>
        <w:ind w:left="1134" w:hanging="425"/>
      </w:pPr>
      <w:r w:rsidRPr="0042063A">
        <w:t>The NICE model has more health states (two additional health states beyond ML score = 0; ML score = 0 + vision loss, and ML score = 0 + vision loss + palliative care).</w:t>
      </w:r>
    </w:p>
    <w:p w:rsidR="00CF776C" w:rsidRPr="0042063A" w:rsidRDefault="00CF776C" w:rsidP="00887CE2">
      <w:pPr>
        <w:pStyle w:val="ListParagraph"/>
        <w:numPr>
          <w:ilvl w:val="1"/>
          <w:numId w:val="2"/>
        </w:numPr>
        <w:spacing w:before="0" w:after="120"/>
      </w:pPr>
      <w:r w:rsidRPr="0042063A">
        <w:t xml:space="preserve">Adjusting the current submission’s model to have a discount rate of 1.5% and to have the same initial ML score distribution to the NICE model, the incremental LYG increases from </w:t>
      </w:r>
      <w:r w:rsidR="006E2381">
        <w:rPr>
          <w:noProof/>
          <w:color w:val="000000"/>
          <w:highlight w:val="black"/>
        </w:rPr>
        <w:t>''''''''</w:t>
      </w:r>
      <w:r w:rsidRPr="0042063A">
        <w:t xml:space="preserve"> in the base case to </w:t>
      </w:r>
      <w:r w:rsidR="006E2381">
        <w:rPr>
          <w:noProof/>
          <w:color w:val="000000"/>
          <w:highlight w:val="black"/>
        </w:rPr>
        <w:t>''''''''''</w:t>
      </w:r>
      <w:r w:rsidRPr="00080E98">
        <w:t>,</w:t>
      </w:r>
      <w:r w:rsidRPr="0042063A">
        <w:t xml:space="preserve"> which is closer to, but still significantly lower than, the 40.04 years in the NICE model.</w:t>
      </w:r>
      <w:r w:rsidR="00292839">
        <w:t xml:space="preserve"> </w:t>
      </w:r>
      <w:r w:rsidR="00887CE2" w:rsidRPr="0042063A">
        <w:t>I</w:t>
      </w:r>
      <w:r w:rsidRPr="0042063A">
        <w:t>t is likely that the assumption behind the ‘early stabiliser’ and ‘late stabiliser’ cohorts in the NICE model, which assumes that 74% of patients treated with cerliponase alfa would maintain their ML score after 16 weeks of treatment, is the key driver for this difference in modelled outcome.</w:t>
      </w:r>
      <w:r w:rsidR="00292839">
        <w:t xml:space="preserve"> </w:t>
      </w:r>
    </w:p>
    <w:p w:rsidR="00CF776C" w:rsidRPr="0042063A" w:rsidRDefault="00CF776C" w:rsidP="00740740">
      <w:pPr>
        <w:pStyle w:val="ListParagraph"/>
        <w:numPr>
          <w:ilvl w:val="1"/>
          <w:numId w:val="2"/>
        </w:numPr>
        <w:spacing w:before="0" w:after="0"/>
        <w:ind w:left="578" w:hanging="578"/>
      </w:pPr>
      <w:r w:rsidRPr="0042063A">
        <w:t xml:space="preserve">Despite these differences, there were several comments by NICE </w:t>
      </w:r>
      <w:r w:rsidR="003B7EF9" w:rsidRPr="0042063A">
        <w:t xml:space="preserve">Evidence Review Group </w:t>
      </w:r>
      <w:r w:rsidRPr="0042063A">
        <w:t>(NICE public committee slides Model slide 3) which were applicable to the current model:</w:t>
      </w:r>
    </w:p>
    <w:p w:rsidR="00CF776C" w:rsidRPr="0042063A" w:rsidRDefault="00CF776C" w:rsidP="00740740">
      <w:pPr>
        <w:pStyle w:val="ListParagraph"/>
        <w:numPr>
          <w:ilvl w:val="1"/>
          <w:numId w:val="11"/>
        </w:numPr>
        <w:spacing w:before="0" w:after="0"/>
        <w:ind w:left="1134" w:hanging="425"/>
      </w:pPr>
      <w:r w:rsidRPr="0042063A">
        <w:t>Some patients progressed through the ‘memoryless’ model too quickly;</w:t>
      </w:r>
    </w:p>
    <w:p w:rsidR="00CF776C" w:rsidRPr="0042063A" w:rsidRDefault="00CF776C" w:rsidP="00740740">
      <w:pPr>
        <w:pStyle w:val="ListParagraph"/>
        <w:numPr>
          <w:ilvl w:val="1"/>
          <w:numId w:val="11"/>
        </w:numPr>
        <w:spacing w:before="0" w:after="0"/>
        <w:ind w:left="1134" w:hanging="425"/>
      </w:pPr>
      <w:r w:rsidRPr="0042063A">
        <w:t xml:space="preserve">Model structure does not account for progressive vision loss; and </w:t>
      </w:r>
    </w:p>
    <w:p w:rsidR="00CF776C" w:rsidRPr="0042063A" w:rsidRDefault="00CF776C" w:rsidP="00740740">
      <w:pPr>
        <w:pStyle w:val="ListParagraph"/>
        <w:numPr>
          <w:ilvl w:val="1"/>
          <w:numId w:val="11"/>
        </w:numPr>
        <w:spacing w:before="0"/>
        <w:ind w:left="1134" w:hanging="425"/>
      </w:pPr>
      <w:r w:rsidRPr="0042063A">
        <w:t xml:space="preserve">Extra-neurological progression symptoms </w:t>
      </w:r>
      <w:r w:rsidR="00D634E4" w:rsidRPr="0042063A">
        <w:t xml:space="preserve">are </w:t>
      </w:r>
      <w:r w:rsidRPr="0042063A">
        <w:t>not included.</w:t>
      </w:r>
    </w:p>
    <w:p w:rsidR="00133DE6" w:rsidRPr="0042063A" w:rsidRDefault="009A07B6" w:rsidP="009A07B6">
      <w:pPr>
        <w:pStyle w:val="ListParagraph"/>
        <w:numPr>
          <w:ilvl w:val="1"/>
          <w:numId w:val="2"/>
        </w:numPr>
        <w:spacing w:before="0" w:after="120"/>
      </w:pPr>
      <w:r w:rsidRPr="0042063A">
        <w:t>The submission also assume</w:t>
      </w:r>
      <w:r w:rsidR="00D634E4" w:rsidRPr="0042063A">
        <w:t>d</w:t>
      </w:r>
      <w:r w:rsidRPr="0042063A">
        <w:t xml:space="preserve"> that patients stop treatment with cerliponase alfa once they reach health state 7 (ML score = 0).</w:t>
      </w:r>
      <w:r w:rsidR="00292839">
        <w:t xml:space="preserve"> </w:t>
      </w:r>
      <w:r w:rsidRPr="0042063A">
        <w:t>This is inappropriate, as the requested restriction allows patients to continue on cerliponase alfa for six months even if ML score does not improve from 0.</w:t>
      </w:r>
      <w:r w:rsidR="00292839">
        <w:t xml:space="preserve"> </w:t>
      </w:r>
      <w:r w:rsidRPr="0042063A">
        <w:t xml:space="preserve">This will underestimate the total cost of cerliponase alfa. </w:t>
      </w:r>
    </w:p>
    <w:p w:rsidR="00C46CB6" w:rsidRPr="0042063A" w:rsidRDefault="005073C8" w:rsidP="009A07B6">
      <w:pPr>
        <w:pStyle w:val="ListParagraph"/>
        <w:numPr>
          <w:ilvl w:val="1"/>
          <w:numId w:val="2"/>
        </w:numPr>
        <w:spacing w:before="0" w:after="120"/>
      </w:pPr>
      <w:r w:rsidRPr="0042063A">
        <w:t>The ESC noted the</w:t>
      </w:r>
      <w:r w:rsidR="00133DE6" w:rsidRPr="0042063A">
        <w:t xml:space="preserve"> ut</w:t>
      </w:r>
      <w:r w:rsidR="00B43A6F" w:rsidRPr="0042063A">
        <w:t>ilities applied to each health state were derived by mapping PedsQL data collected in Study 201/202 to EQ-5D-5L using the algorithm in Khan et al., 2014, a study which used mapped results from PedsQL filled out by children (11-15 years) older than the</w:t>
      </w:r>
      <w:r w:rsidR="00F01532" w:rsidRPr="0042063A">
        <w:t xml:space="preserve"> population in</w:t>
      </w:r>
      <w:r w:rsidR="00B43A6F" w:rsidRPr="0042063A">
        <w:t xml:space="preserve"> Study 201/202 to EQ-5D-Y</w:t>
      </w:r>
      <w:r w:rsidR="00F836D9" w:rsidRPr="0042063A">
        <w:t>, a version of EQ-5D adapted for youths</w:t>
      </w:r>
      <w:r w:rsidR="00B43A6F" w:rsidRPr="0042063A">
        <w:t>.</w:t>
      </w:r>
      <w:r w:rsidR="00F836D9" w:rsidRPr="0042063A">
        <w:t xml:space="preserve"> </w:t>
      </w:r>
      <w:r w:rsidR="000E5BC0" w:rsidRPr="0042063A">
        <w:t xml:space="preserve">The </w:t>
      </w:r>
      <w:r w:rsidR="00F836D9" w:rsidRPr="0042063A">
        <w:t xml:space="preserve">ESC considered this method of deriving utilities to be uncertain and advised that it </w:t>
      </w:r>
      <w:r w:rsidR="00F0654B" w:rsidRPr="0042063A">
        <w:t xml:space="preserve">would have been more appropriate to use the utility </w:t>
      </w:r>
      <w:r w:rsidR="00F0654B" w:rsidRPr="0042063A">
        <w:lastRenderedPageBreak/>
        <w:t>values from the NICE model</w:t>
      </w:r>
      <w:r w:rsidR="00982EF1" w:rsidRPr="0042063A">
        <w:t xml:space="preserve"> (see Table </w:t>
      </w:r>
      <w:r w:rsidR="00084161" w:rsidRPr="0042063A">
        <w:t>8</w:t>
      </w:r>
      <w:r w:rsidR="00982EF1" w:rsidRPr="0042063A">
        <w:t xml:space="preserve"> below)</w:t>
      </w:r>
      <w:r w:rsidR="00EF691F" w:rsidRPr="0042063A">
        <w:t xml:space="preserve"> which were based on EQ-5D-5L responses from 33 individuals </w:t>
      </w:r>
      <w:r w:rsidR="00EF691F" w:rsidRPr="0042063A">
        <w:rPr>
          <w:rFonts w:ascii="Calibri" w:eastAsia="Calibri" w:hAnsi="Calibri" w:cs="Arial"/>
        </w:rPr>
        <w:t>(caregivers or siblings of patients with self-reported CLN2)</w:t>
      </w:r>
      <w:r w:rsidR="00292839">
        <w:t xml:space="preserve"> </w:t>
      </w:r>
      <w:r w:rsidRPr="0042063A">
        <w:t>in the base case analysis</w:t>
      </w:r>
      <w:r w:rsidR="009E42FB" w:rsidRPr="0042063A">
        <w:t xml:space="preserve">. The ESC further advised that </w:t>
      </w:r>
      <w:r w:rsidR="002550F7" w:rsidRPr="0042063A">
        <w:t>although the utility values from the NICE model differed for patients treated with cerliponase alfa and standard care in each health state, it would be more appropriate to apply the same utility value for patients treated with cerliponase alfa and standard care in each health state. The ESC noted that the</w:t>
      </w:r>
      <w:r w:rsidR="00982EF1" w:rsidRPr="0042063A">
        <w:t xml:space="preserve"> utility value for the health state ML=2 for patients treated with cerliponase alfa is higher than that </w:t>
      </w:r>
      <w:r w:rsidR="005C7101" w:rsidRPr="0042063A">
        <w:t>for the health state ML=3 and requested that the sponsor confirm whether this is an error.</w:t>
      </w:r>
      <w:r w:rsidR="00292839">
        <w:t xml:space="preserve"> </w:t>
      </w:r>
    </w:p>
    <w:p w:rsidR="00C46CB6" w:rsidRPr="0042063A" w:rsidRDefault="00C46CB6" w:rsidP="00080E98">
      <w:pPr>
        <w:keepNext/>
        <w:keepLines/>
        <w:spacing w:before="0" w:after="0"/>
        <w:rPr>
          <w:rFonts w:ascii="Arial Narrow" w:hAnsi="Arial Narrow"/>
          <w:b/>
          <w:sz w:val="20"/>
        </w:rPr>
      </w:pPr>
      <w:r w:rsidRPr="0042063A">
        <w:rPr>
          <w:rFonts w:ascii="Arial Narrow" w:hAnsi="Arial Narrow"/>
          <w:b/>
          <w:sz w:val="20"/>
        </w:rPr>
        <w:t>Table</w:t>
      </w:r>
      <w:r w:rsidR="00084161" w:rsidRPr="0042063A">
        <w:rPr>
          <w:rFonts w:ascii="Arial Narrow" w:hAnsi="Arial Narrow"/>
          <w:b/>
          <w:sz w:val="20"/>
        </w:rPr>
        <w:t xml:space="preserve"> 8</w:t>
      </w:r>
      <w:r w:rsidRPr="0042063A">
        <w:rPr>
          <w:rFonts w:ascii="Arial Narrow" w:hAnsi="Arial Narrow"/>
          <w:b/>
          <w:sz w:val="20"/>
        </w:rPr>
        <w:t xml:space="preserve">: Utility values used in the NICE model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8: Utility values used in the NICE model "/>
      </w:tblPr>
      <w:tblGrid>
        <w:gridCol w:w="1229"/>
        <w:gridCol w:w="1229"/>
        <w:gridCol w:w="1230"/>
      </w:tblGrid>
      <w:tr w:rsidR="00672446" w:rsidRPr="0042063A" w:rsidTr="00484C1A">
        <w:trPr>
          <w:cnfStyle w:val="100000000000" w:firstRow="1" w:lastRow="0" w:firstColumn="0" w:lastColumn="0" w:oddVBand="0" w:evenVBand="0" w:oddHBand="0" w:evenHBand="0" w:firstRowFirstColumn="0" w:firstRowLastColumn="0" w:lastRowFirstColumn="0" w:lastRowLastColumn="0"/>
          <w:tblHeader/>
        </w:trPr>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ML</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CA</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SC</w:t>
            </w:r>
          </w:p>
        </w:tc>
      </w:tr>
      <w:tr w:rsidR="00672446" w:rsidRPr="0042063A" w:rsidTr="00915161">
        <w:tc>
          <w:tcPr>
            <w:tcW w:w="1229" w:type="dxa"/>
            <w:shd w:val="clear" w:color="auto" w:fill="auto"/>
          </w:tcPr>
          <w:p w:rsidR="00672446" w:rsidRPr="0042063A" w:rsidRDefault="00672446" w:rsidP="00080E98">
            <w:pPr>
              <w:keepNext/>
              <w:keepLines/>
              <w:tabs>
                <w:tab w:val="left" w:pos="765"/>
              </w:tabs>
              <w:spacing w:before="0"/>
              <w:rPr>
                <w:rFonts w:ascii="Arial Narrow" w:eastAsia="Calibri" w:hAnsi="Arial Narrow" w:cs="Arial"/>
                <w:sz w:val="20"/>
                <w:szCs w:val="20"/>
              </w:rPr>
            </w:pPr>
            <w:r w:rsidRPr="0042063A">
              <w:rPr>
                <w:rFonts w:ascii="Arial Narrow" w:eastAsia="Calibri" w:hAnsi="Arial Narrow" w:cs="Arial"/>
                <w:sz w:val="20"/>
                <w:szCs w:val="20"/>
              </w:rPr>
              <w:t>6</w:t>
            </w:r>
            <w:r w:rsidR="00080E98">
              <w:rPr>
                <w:rFonts w:ascii="Arial Narrow" w:eastAsia="Calibri" w:hAnsi="Arial Narrow" w:cs="Arial"/>
                <w:sz w:val="20"/>
                <w:szCs w:val="20"/>
              </w:rPr>
              <w:tab/>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0.985</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1.00</w:t>
            </w:r>
          </w:p>
        </w:tc>
      </w:tr>
      <w:tr w:rsidR="00672446" w:rsidRPr="0042063A" w:rsidTr="00915161">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5</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0.762</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0.731</w:t>
            </w:r>
          </w:p>
        </w:tc>
      </w:tr>
      <w:tr w:rsidR="00672446" w:rsidRPr="0042063A" w:rsidTr="00915161">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4</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0.629</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0.553</w:t>
            </w:r>
          </w:p>
        </w:tc>
      </w:tr>
      <w:tr w:rsidR="00672446" w:rsidRPr="0042063A" w:rsidTr="00915161">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3</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0.464</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0.341</w:t>
            </w:r>
          </w:p>
        </w:tc>
      </w:tr>
      <w:tr w:rsidR="00672446" w:rsidRPr="0042063A" w:rsidTr="00915161">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2</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w:t>
            </w:r>
            <w:r w:rsidR="00940DA5">
              <w:rPr>
                <w:rFonts w:ascii="Arial Narrow" w:eastAsia="Calibri" w:hAnsi="Arial Narrow" w:cs="Arial"/>
                <w:sz w:val="20"/>
                <w:szCs w:val="20"/>
              </w:rPr>
              <w:t>3</w:t>
            </w:r>
            <w:r w:rsidRPr="0042063A">
              <w:rPr>
                <w:rFonts w:ascii="Arial Narrow" w:eastAsia="Calibri" w:hAnsi="Arial Narrow" w:cs="Arial"/>
                <w:sz w:val="20"/>
                <w:szCs w:val="20"/>
              </w:rPr>
              <w:t>66</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0.131</w:t>
            </w:r>
          </w:p>
        </w:tc>
      </w:tr>
      <w:tr w:rsidR="00672446" w:rsidRPr="0042063A" w:rsidTr="00915161">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1</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0.218</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0.064</w:t>
            </w:r>
          </w:p>
        </w:tc>
      </w:tr>
      <w:tr w:rsidR="00672446" w:rsidRPr="0042063A" w:rsidTr="00915161">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0</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-0.163</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-0.358</w:t>
            </w:r>
          </w:p>
        </w:tc>
      </w:tr>
      <w:tr w:rsidR="00672446" w:rsidRPr="0042063A" w:rsidTr="00915161">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0+VS</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-0.198</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-0.326</w:t>
            </w:r>
          </w:p>
        </w:tc>
      </w:tr>
      <w:tr w:rsidR="00672446" w:rsidRPr="0042063A" w:rsidTr="00915161">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0+VS+PC</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-0.211</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-0.389</w:t>
            </w:r>
          </w:p>
        </w:tc>
      </w:tr>
      <w:tr w:rsidR="00672446" w:rsidRPr="0042063A" w:rsidTr="00915161">
        <w:tc>
          <w:tcPr>
            <w:tcW w:w="1229" w:type="dxa"/>
            <w:shd w:val="clear" w:color="auto" w:fill="auto"/>
          </w:tcPr>
          <w:p w:rsidR="00672446" w:rsidRPr="0042063A" w:rsidRDefault="00672446" w:rsidP="00080E98">
            <w:pPr>
              <w:keepNext/>
              <w:keepLines/>
              <w:spacing w:before="0"/>
              <w:rPr>
                <w:rFonts w:ascii="Arial Narrow" w:eastAsia="Calibri" w:hAnsi="Arial Narrow" w:cs="Arial"/>
                <w:sz w:val="20"/>
                <w:szCs w:val="20"/>
              </w:rPr>
            </w:pPr>
            <w:r w:rsidRPr="0042063A">
              <w:rPr>
                <w:rFonts w:ascii="Arial Narrow" w:eastAsia="Calibri" w:hAnsi="Arial Narrow" w:cs="Arial"/>
                <w:sz w:val="20"/>
                <w:szCs w:val="20"/>
              </w:rPr>
              <w:t>Dead</w:t>
            </w:r>
          </w:p>
        </w:tc>
        <w:tc>
          <w:tcPr>
            <w:tcW w:w="1229"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w:t>
            </w:r>
          </w:p>
        </w:tc>
        <w:tc>
          <w:tcPr>
            <w:tcW w:w="1230" w:type="dxa"/>
            <w:shd w:val="clear" w:color="auto" w:fill="auto"/>
            <w:vAlign w:val="center"/>
          </w:tcPr>
          <w:p w:rsidR="00672446" w:rsidRPr="0042063A" w:rsidRDefault="00672446" w:rsidP="00080E98">
            <w:pPr>
              <w:keepNext/>
              <w:keepLines/>
              <w:spacing w:before="0"/>
              <w:jc w:val="center"/>
              <w:rPr>
                <w:rFonts w:ascii="Arial Narrow" w:eastAsia="Calibri" w:hAnsi="Arial Narrow" w:cs="Arial"/>
                <w:sz w:val="20"/>
                <w:szCs w:val="20"/>
              </w:rPr>
            </w:pPr>
            <w:r w:rsidRPr="0042063A">
              <w:rPr>
                <w:rFonts w:ascii="Arial Narrow" w:eastAsia="Calibri" w:hAnsi="Arial Narrow" w:cs="Arial"/>
                <w:sz w:val="20"/>
                <w:szCs w:val="20"/>
              </w:rPr>
              <w:t>0</w:t>
            </w:r>
          </w:p>
        </w:tc>
      </w:tr>
    </w:tbl>
    <w:p w:rsidR="00722D28" w:rsidRPr="0042063A" w:rsidRDefault="00722D28" w:rsidP="00080E98">
      <w:pPr>
        <w:keepNext/>
        <w:keepLines/>
        <w:spacing w:before="0" w:after="0"/>
        <w:rPr>
          <w:rFonts w:ascii="Arial Narrow" w:hAnsi="Arial Narrow"/>
          <w:sz w:val="18"/>
        </w:rPr>
      </w:pPr>
      <w:r w:rsidRPr="0042063A">
        <w:rPr>
          <w:rFonts w:ascii="Arial Narrow" w:hAnsi="Arial Narrow"/>
          <w:sz w:val="18"/>
        </w:rPr>
        <w:t xml:space="preserve">Abbreviation: </w:t>
      </w:r>
      <w:r w:rsidR="00B00832" w:rsidRPr="0042063A">
        <w:rPr>
          <w:rFonts w:ascii="Arial Narrow" w:hAnsi="Arial Narrow"/>
          <w:sz w:val="18"/>
        </w:rPr>
        <w:t xml:space="preserve">ML = motor-language, PC = palliative care, VS = vision loss </w:t>
      </w:r>
    </w:p>
    <w:p w:rsidR="009A07B6" w:rsidRPr="0042063A" w:rsidRDefault="00672446" w:rsidP="00080E98">
      <w:pPr>
        <w:keepNext/>
        <w:keepLines/>
        <w:spacing w:before="0" w:after="120"/>
        <w:rPr>
          <w:rFonts w:ascii="Arial Narrow" w:hAnsi="Arial Narrow"/>
          <w:sz w:val="18"/>
        </w:rPr>
      </w:pPr>
      <w:r w:rsidRPr="0042063A">
        <w:rPr>
          <w:rFonts w:ascii="Arial Narrow" w:hAnsi="Arial Narrow"/>
          <w:sz w:val="18"/>
        </w:rPr>
        <w:t>Sou</w:t>
      </w:r>
      <w:r w:rsidR="00722D28" w:rsidRPr="0042063A">
        <w:rPr>
          <w:rFonts w:ascii="Arial Narrow" w:hAnsi="Arial Narrow"/>
          <w:sz w:val="18"/>
        </w:rPr>
        <w:t>r</w:t>
      </w:r>
      <w:r w:rsidRPr="0042063A">
        <w:rPr>
          <w:rFonts w:ascii="Arial Narrow" w:hAnsi="Arial Narrow"/>
          <w:sz w:val="18"/>
        </w:rPr>
        <w:t xml:space="preserve">ce: p127 of the submission </w:t>
      </w:r>
    </w:p>
    <w:p w:rsidR="00D94488" w:rsidRPr="009226B8" w:rsidRDefault="00D94488" w:rsidP="009226B8">
      <w:pPr>
        <w:pStyle w:val="ListParagraph"/>
        <w:numPr>
          <w:ilvl w:val="1"/>
          <w:numId w:val="2"/>
        </w:numPr>
        <w:spacing w:before="0" w:after="120"/>
      </w:pPr>
      <w:r w:rsidRPr="0042063A">
        <w:t>The Pre-PBAC Response noted that the ESC was incorrect in stating that the utilities from the NICE model were based on EQ-5D-5L responses from 33 individuals (caregivers or siblings of patients with self-reported CLN2). The Pre-PBAC Response confirmed that the utilities from the NICE model were</w:t>
      </w:r>
      <w:r w:rsidR="002B306F" w:rsidRPr="0042063A">
        <w:t xml:space="preserve"> EQ-5D-3L values converted from EQ-5D-5L values</w:t>
      </w:r>
      <w:r w:rsidR="003553C4" w:rsidRPr="0042063A">
        <w:t xml:space="preserve"> </w:t>
      </w:r>
      <w:r w:rsidRPr="0042063A">
        <w:t xml:space="preserve">from a UK utility study which used the EQ-5D-5L instrument to elicit preferences from a survey of </w:t>
      </w:r>
      <w:r w:rsidR="002B306F" w:rsidRPr="0042063A">
        <w:t xml:space="preserve">8 </w:t>
      </w:r>
      <w:r w:rsidRPr="0042063A">
        <w:t>clinicians experienced in the treatment of patients with CLN2 disease</w:t>
      </w:r>
      <w:r w:rsidR="002B306F" w:rsidRPr="0042063A">
        <w:t xml:space="preserve">. </w:t>
      </w:r>
    </w:p>
    <w:p w:rsidR="00452F3F" w:rsidRPr="0042063A" w:rsidRDefault="00452F3F" w:rsidP="00452F3F">
      <w:pPr>
        <w:pStyle w:val="ListParagraph"/>
        <w:numPr>
          <w:ilvl w:val="1"/>
          <w:numId w:val="2"/>
        </w:numPr>
        <w:spacing w:before="0" w:after="120"/>
      </w:pPr>
      <w:r w:rsidRPr="0042063A">
        <w:t>The submission also used costings from Round 19 (</w:t>
      </w:r>
      <w:r w:rsidR="00C4364D" w:rsidRPr="0042063A">
        <w:t xml:space="preserve">financial year </w:t>
      </w:r>
      <w:r w:rsidRPr="0042063A">
        <w:t>2014-2015) of</w:t>
      </w:r>
      <w:r w:rsidR="00C4364D" w:rsidRPr="0042063A">
        <w:t xml:space="preserve"> the</w:t>
      </w:r>
      <w:r w:rsidRPr="0042063A">
        <w:t xml:space="preserve"> </w:t>
      </w:r>
      <w:r w:rsidR="00C4364D" w:rsidRPr="0042063A">
        <w:t xml:space="preserve">National Hospital Cost Data Collection, Public Hospitals Cost Report </w:t>
      </w:r>
      <w:r w:rsidRPr="0042063A">
        <w:t>to inform the costs for inserting an ICV device and feeding tube.</w:t>
      </w:r>
      <w:r w:rsidR="00292839">
        <w:t xml:space="preserve"> </w:t>
      </w:r>
      <w:r w:rsidRPr="0042063A">
        <w:t>The Round 20 (</w:t>
      </w:r>
      <w:r w:rsidR="00C4364D" w:rsidRPr="0042063A">
        <w:t xml:space="preserve">financial year </w:t>
      </w:r>
      <w:r w:rsidRPr="0042063A">
        <w:t>2015-2016) data is now available, and a sensitivity analysis using these more recent estimates was conducted during the evaluation.</w:t>
      </w:r>
    </w:p>
    <w:p w:rsidR="00CF776C" w:rsidRPr="0042063A" w:rsidRDefault="00887CE2" w:rsidP="00887CE2">
      <w:pPr>
        <w:pStyle w:val="ListParagraph"/>
        <w:numPr>
          <w:ilvl w:val="1"/>
          <w:numId w:val="2"/>
        </w:numPr>
        <w:spacing w:before="0" w:after="120"/>
      </w:pPr>
      <w:r w:rsidRPr="0042063A">
        <w:t xml:space="preserve">The key drivers of the model </w:t>
      </w:r>
      <w:r w:rsidR="00C4364D" w:rsidRPr="0042063A">
        <w:t xml:space="preserve">are </w:t>
      </w:r>
      <w:r w:rsidRPr="0042063A">
        <w:t xml:space="preserve">presented </w:t>
      </w:r>
      <w:r w:rsidRPr="0042063A">
        <w:rPr>
          <w:rFonts w:ascii="Calibri" w:hAnsi="Calibri"/>
        </w:rPr>
        <w:t xml:space="preserve">in </w:t>
      </w:r>
      <w:r w:rsidR="00740740" w:rsidRPr="0042063A">
        <w:rPr>
          <w:rFonts w:ascii="Calibri" w:hAnsi="Calibri"/>
        </w:rPr>
        <w:t xml:space="preserve">Table </w:t>
      </w:r>
      <w:r w:rsidR="00740740" w:rsidRPr="0042063A">
        <w:rPr>
          <w:rFonts w:ascii="Calibri" w:hAnsi="Calibri"/>
          <w:noProof/>
        </w:rPr>
        <w:t>8</w:t>
      </w:r>
      <w:r w:rsidRPr="0042063A">
        <w:t>.</w:t>
      </w:r>
      <w:r w:rsidR="00292839">
        <w:t xml:space="preserve"> </w:t>
      </w:r>
      <w:r w:rsidR="00452F3F" w:rsidRPr="0042063A">
        <w:t xml:space="preserve">Overall, the </w:t>
      </w:r>
      <w:r w:rsidR="006861A5" w:rsidRPr="0042063A">
        <w:t>incremental costs</w:t>
      </w:r>
      <w:r w:rsidR="00452F3F" w:rsidRPr="0042063A">
        <w:t xml:space="preserve"> of the economic evaluation is </w:t>
      </w:r>
      <w:r w:rsidR="006861A5" w:rsidRPr="0042063A">
        <w:t xml:space="preserve">largely driven </w:t>
      </w:r>
      <w:r w:rsidR="00452F3F" w:rsidRPr="0042063A">
        <w:t>by the drug cost for cerliponase alfa, whilst the</w:t>
      </w:r>
      <w:r w:rsidR="00EE39AE" w:rsidRPr="0042063A">
        <w:t xml:space="preserve"> incremental</w:t>
      </w:r>
      <w:r w:rsidR="00452F3F" w:rsidRPr="0042063A">
        <w:t xml:space="preserve"> outcome (LYG and QALY) is largely driven by the difference in transition probabilities based on the 1:1 matched comparison of </w:t>
      </w:r>
      <w:r w:rsidR="00740740" w:rsidRPr="0042063A">
        <w:t>S</w:t>
      </w:r>
      <w:r w:rsidR="00452F3F" w:rsidRPr="0042063A">
        <w:t>tud</w:t>
      </w:r>
      <w:r w:rsidR="00740740" w:rsidRPr="0042063A">
        <w:t>ies</w:t>
      </w:r>
      <w:r w:rsidR="00452F3F" w:rsidRPr="0042063A">
        <w:t xml:space="preserve"> 201/202 and 901 and the extrapolation of treatment effect beyond 96 weeks for patients treated with cerliponase alfa.</w:t>
      </w:r>
      <w:r w:rsidR="00292839">
        <w:t xml:space="preserve"> </w:t>
      </w:r>
    </w:p>
    <w:p w:rsidR="00E37424" w:rsidRPr="0042063A" w:rsidRDefault="00740740" w:rsidP="00740740">
      <w:pPr>
        <w:pStyle w:val="Caption"/>
        <w:rPr>
          <w:rFonts w:ascii="Arial Narrow" w:hAnsi="Arial Narrow"/>
        </w:rPr>
      </w:pPr>
      <w:bookmarkStart w:id="31" w:name="_Ref512278033"/>
      <w:r w:rsidRPr="0042063A">
        <w:rPr>
          <w:rFonts w:ascii="Arial Narrow" w:hAnsi="Arial Narrow"/>
        </w:rPr>
        <w:lastRenderedPageBreak/>
        <w:t xml:space="preserve">Table </w:t>
      </w:r>
      <w:bookmarkEnd w:id="31"/>
      <w:r w:rsidR="00084161" w:rsidRPr="0042063A">
        <w:rPr>
          <w:rFonts w:ascii="Arial Narrow" w:hAnsi="Arial Narrow"/>
        </w:rPr>
        <w:t>9</w:t>
      </w:r>
      <w:r w:rsidR="00E37424" w:rsidRPr="0042063A">
        <w:rPr>
          <w:rFonts w:ascii="Arial Narrow" w:hAnsi="Arial Narrow"/>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50"/>
        <w:gridCol w:w="4783"/>
        <w:gridCol w:w="2449"/>
      </w:tblGrid>
      <w:tr w:rsidR="00E37424" w:rsidRPr="0042063A" w:rsidTr="007606F8">
        <w:trPr>
          <w:tblHeader/>
        </w:trPr>
        <w:tc>
          <w:tcPr>
            <w:tcW w:w="1019" w:type="pct"/>
            <w:shd w:val="clear" w:color="auto" w:fill="auto"/>
            <w:vAlign w:val="center"/>
          </w:tcPr>
          <w:p w:rsidR="00E37424" w:rsidRPr="0042063A" w:rsidRDefault="00E37424" w:rsidP="00772501">
            <w:pPr>
              <w:pStyle w:val="TableText"/>
              <w:rPr>
                <w:b/>
              </w:rPr>
            </w:pPr>
            <w:r w:rsidRPr="0042063A">
              <w:rPr>
                <w:b/>
              </w:rPr>
              <w:t>Description</w:t>
            </w:r>
          </w:p>
        </w:tc>
        <w:tc>
          <w:tcPr>
            <w:tcW w:w="2633" w:type="pct"/>
            <w:shd w:val="clear" w:color="auto" w:fill="auto"/>
            <w:vAlign w:val="center"/>
          </w:tcPr>
          <w:p w:rsidR="00E37424" w:rsidRPr="0042063A" w:rsidRDefault="00E37424" w:rsidP="00772501">
            <w:pPr>
              <w:pStyle w:val="TableText"/>
              <w:rPr>
                <w:b/>
              </w:rPr>
            </w:pPr>
            <w:r w:rsidRPr="0042063A">
              <w:rPr>
                <w:b/>
              </w:rPr>
              <w:t>Method/Value</w:t>
            </w:r>
          </w:p>
        </w:tc>
        <w:tc>
          <w:tcPr>
            <w:tcW w:w="1348" w:type="pct"/>
            <w:shd w:val="clear" w:color="auto" w:fill="auto"/>
            <w:vAlign w:val="center"/>
          </w:tcPr>
          <w:p w:rsidR="00E37424" w:rsidRPr="0042063A" w:rsidRDefault="00E37424" w:rsidP="00772501">
            <w:pPr>
              <w:pStyle w:val="TableText"/>
              <w:rPr>
                <w:b/>
              </w:rPr>
            </w:pPr>
            <w:r w:rsidRPr="0042063A">
              <w:rPr>
                <w:b/>
              </w:rPr>
              <w:t>Impact</w:t>
            </w:r>
          </w:p>
        </w:tc>
      </w:tr>
      <w:tr w:rsidR="00887CE2" w:rsidRPr="0042063A" w:rsidTr="007606F8">
        <w:tc>
          <w:tcPr>
            <w:tcW w:w="1019" w:type="pct"/>
            <w:shd w:val="clear" w:color="auto" w:fill="auto"/>
            <w:vAlign w:val="center"/>
          </w:tcPr>
          <w:p w:rsidR="00887CE2" w:rsidRPr="0042063A" w:rsidRDefault="00887CE2" w:rsidP="00740740">
            <w:pPr>
              <w:pStyle w:val="TableText"/>
              <w:jc w:val="left"/>
            </w:pPr>
            <w:r w:rsidRPr="0042063A">
              <w:t>Cost of cerlipon</w:t>
            </w:r>
            <w:r w:rsidR="00740740" w:rsidRPr="0042063A">
              <w:t>a</w:t>
            </w:r>
            <w:r w:rsidRPr="0042063A">
              <w:t>se alfa</w:t>
            </w:r>
          </w:p>
        </w:tc>
        <w:tc>
          <w:tcPr>
            <w:tcW w:w="2633" w:type="pct"/>
            <w:shd w:val="clear" w:color="auto" w:fill="auto"/>
            <w:vAlign w:val="center"/>
          </w:tcPr>
          <w:p w:rsidR="00887CE2" w:rsidRPr="0042063A" w:rsidRDefault="00887CE2" w:rsidP="00740740">
            <w:pPr>
              <w:pStyle w:val="TableText"/>
              <w:jc w:val="left"/>
            </w:pPr>
            <w:r w:rsidRPr="0042063A">
              <w:t>Taken from requested DPMQ ($</w:t>
            </w:r>
            <w:r w:rsidR="006E2381">
              <w:rPr>
                <w:noProof/>
                <w:color w:val="000000"/>
                <w:highlight w:val="black"/>
              </w:rPr>
              <w:t>'''''''''''''''</w:t>
            </w:r>
            <w:r w:rsidRPr="0042063A">
              <w:t xml:space="preserve"> per fortnight)</w:t>
            </w:r>
          </w:p>
        </w:tc>
        <w:tc>
          <w:tcPr>
            <w:tcW w:w="1348" w:type="pct"/>
            <w:shd w:val="clear" w:color="auto" w:fill="auto"/>
            <w:vAlign w:val="center"/>
          </w:tcPr>
          <w:p w:rsidR="00887CE2" w:rsidRPr="0042063A" w:rsidRDefault="00887CE2" w:rsidP="00740740">
            <w:pPr>
              <w:pStyle w:val="TableText"/>
              <w:jc w:val="left"/>
            </w:pPr>
            <w:r w:rsidRPr="0042063A">
              <w:t xml:space="preserve">High. Responsible for </w:t>
            </w:r>
            <w:r w:rsidR="006E2381">
              <w:rPr>
                <w:noProof/>
                <w:color w:val="000000"/>
                <w:highlight w:val="black"/>
              </w:rPr>
              <w:t>'''''''''''</w:t>
            </w:r>
            <w:r w:rsidRPr="0042063A">
              <w:t xml:space="preserve">% of all incremental costs. </w:t>
            </w:r>
          </w:p>
        </w:tc>
      </w:tr>
      <w:tr w:rsidR="00E37424" w:rsidRPr="0042063A" w:rsidTr="007606F8">
        <w:tc>
          <w:tcPr>
            <w:tcW w:w="1019" w:type="pct"/>
            <w:shd w:val="clear" w:color="auto" w:fill="auto"/>
            <w:vAlign w:val="center"/>
          </w:tcPr>
          <w:p w:rsidR="00E37424" w:rsidRPr="0042063A" w:rsidRDefault="00200296" w:rsidP="00740740">
            <w:pPr>
              <w:pStyle w:val="TableText"/>
              <w:jc w:val="left"/>
            </w:pPr>
            <w:r w:rsidRPr="0042063A">
              <w:t>Extrapolation</w:t>
            </w:r>
          </w:p>
        </w:tc>
        <w:tc>
          <w:tcPr>
            <w:tcW w:w="2633" w:type="pct"/>
            <w:shd w:val="clear" w:color="auto" w:fill="auto"/>
            <w:vAlign w:val="center"/>
          </w:tcPr>
          <w:p w:rsidR="00200296" w:rsidRPr="0042063A" w:rsidRDefault="00200296" w:rsidP="00740740">
            <w:pPr>
              <w:pStyle w:val="TableText"/>
              <w:jc w:val="left"/>
            </w:pPr>
            <w:r w:rsidRPr="0042063A">
              <w:t xml:space="preserve">Treatment effect continued beyond </w:t>
            </w:r>
            <w:r w:rsidR="00BB3E9A" w:rsidRPr="0042063A">
              <w:t>9</w:t>
            </w:r>
            <w:r w:rsidRPr="0042063A">
              <w:t xml:space="preserve">6 </w:t>
            </w:r>
            <w:r w:rsidR="00BB3E9A" w:rsidRPr="0042063A">
              <w:t>weeks</w:t>
            </w:r>
            <w:r w:rsidRPr="0042063A">
              <w:t xml:space="preserve"> </w:t>
            </w:r>
            <w:r w:rsidR="00BB3E9A" w:rsidRPr="0042063A">
              <w:t xml:space="preserve">(study 201/202) </w:t>
            </w:r>
            <w:r w:rsidRPr="0042063A">
              <w:t xml:space="preserve">for up to </w:t>
            </w:r>
            <w:r w:rsidR="00BB3E9A" w:rsidRPr="0042063A">
              <w:t>9</w:t>
            </w:r>
            <w:r w:rsidR="00E37424" w:rsidRPr="0042063A">
              <w:t>5 years</w:t>
            </w:r>
            <w:r w:rsidR="007606F8" w:rsidRPr="0042063A">
              <w:t>.</w:t>
            </w:r>
            <w:r w:rsidR="00292839">
              <w:t xml:space="preserve"> </w:t>
            </w:r>
          </w:p>
        </w:tc>
        <w:tc>
          <w:tcPr>
            <w:tcW w:w="1348" w:type="pct"/>
            <w:shd w:val="clear" w:color="auto" w:fill="auto"/>
            <w:vAlign w:val="center"/>
          </w:tcPr>
          <w:p w:rsidR="00E37424" w:rsidRPr="0042063A" w:rsidRDefault="007606F8" w:rsidP="00740740">
            <w:pPr>
              <w:pStyle w:val="TableText"/>
              <w:jc w:val="left"/>
            </w:pPr>
            <w:r w:rsidRPr="0042063A">
              <w:t xml:space="preserve">High. Assuming 96+ weeks transition to be the same as standard care for both treatment arms leads to increase in ICER by </w:t>
            </w:r>
            <w:r w:rsidR="006E2381">
              <w:rPr>
                <w:noProof/>
                <w:color w:val="000000"/>
                <w:highlight w:val="black"/>
              </w:rPr>
              <w:t>''''''</w:t>
            </w:r>
            <w:r w:rsidRPr="0042063A">
              <w:t xml:space="preserve">% in LYG and </w:t>
            </w:r>
            <w:r w:rsidR="006E2381">
              <w:rPr>
                <w:noProof/>
                <w:color w:val="000000"/>
                <w:highlight w:val="black"/>
              </w:rPr>
              <w:t>'''''</w:t>
            </w:r>
            <w:r w:rsidRPr="0042063A">
              <w:t>% in QALY. F</w:t>
            </w:r>
            <w:r w:rsidR="00BB3E9A" w:rsidRPr="0042063A">
              <w:t>avours cerliponase alfa</w:t>
            </w:r>
          </w:p>
        </w:tc>
      </w:tr>
      <w:tr w:rsidR="00A86C3F" w:rsidRPr="0042063A" w:rsidTr="007606F8">
        <w:tc>
          <w:tcPr>
            <w:tcW w:w="1019" w:type="pct"/>
            <w:shd w:val="clear" w:color="auto" w:fill="auto"/>
            <w:vAlign w:val="center"/>
          </w:tcPr>
          <w:p w:rsidR="00A86C3F" w:rsidRPr="0042063A" w:rsidRDefault="00A86C3F" w:rsidP="00740740">
            <w:pPr>
              <w:pStyle w:val="TableText"/>
              <w:jc w:val="left"/>
            </w:pPr>
            <w:r w:rsidRPr="0042063A">
              <w:t>Transition probabilities</w:t>
            </w:r>
          </w:p>
        </w:tc>
        <w:tc>
          <w:tcPr>
            <w:tcW w:w="2633" w:type="pct"/>
            <w:shd w:val="clear" w:color="auto" w:fill="auto"/>
            <w:vAlign w:val="center"/>
          </w:tcPr>
          <w:p w:rsidR="00A86C3F" w:rsidRPr="0042063A" w:rsidRDefault="00A86C3F" w:rsidP="00740740">
            <w:pPr>
              <w:pStyle w:val="TableText"/>
              <w:jc w:val="left"/>
            </w:pPr>
            <w:r w:rsidRPr="0042063A">
              <w:t>Patients treated with cerliponase alfa + standard care in general have a higher probability to maintain or improve their ML score/health state (and therefore lower probability to worsen) compared to patients treated with standard care only.</w:t>
            </w:r>
            <w:r w:rsidR="00292839">
              <w:t xml:space="preserve"> </w:t>
            </w:r>
            <w:r w:rsidRPr="0042063A">
              <w:t>This differential in transition probability is likely to be the key driver in the outcomes in the economic model, as death from CLN2 disease is assumed to only be possible when patients decline to ML score = 0, and patients in higher ML score health states also have higher utility</w:t>
            </w:r>
          </w:p>
        </w:tc>
        <w:tc>
          <w:tcPr>
            <w:tcW w:w="1348" w:type="pct"/>
            <w:shd w:val="clear" w:color="auto" w:fill="auto"/>
            <w:vAlign w:val="center"/>
          </w:tcPr>
          <w:p w:rsidR="00A86C3F" w:rsidRPr="0042063A" w:rsidRDefault="00A86C3F" w:rsidP="00740740">
            <w:pPr>
              <w:pStyle w:val="TableText"/>
              <w:jc w:val="left"/>
            </w:pPr>
            <w:r w:rsidRPr="0042063A">
              <w:t>High. Responsible for both QALY and LYG observed. Favours cerliponase alfa.</w:t>
            </w:r>
            <w:r w:rsidR="00292839">
              <w:t xml:space="preserve"> </w:t>
            </w:r>
            <w:r w:rsidRPr="0042063A">
              <w:t>Magnitude of effect may not be supported by data which has high risk of bias and short duration (only up to 96 weeks).</w:t>
            </w:r>
            <w:r w:rsidR="00292839">
              <w:t xml:space="preserve"> </w:t>
            </w:r>
          </w:p>
        </w:tc>
      </w:tr>
      <w:tr w:rsidR="007606F8" w:rsidRPr="0042063A" w:rsidTr="007606F8">
        <w:tc>
          <w:tcPr>
            <w:tcW w:w="1019" w:type="pct"/>
            <w:shd w:val="clear" w:color="auto" w:fill="auto"/>
            <w:vAlign w:val="center"/>
          </w:tcPr>
          <w:p w:rsidR="007606F8" w:rsidRPr="0042063A" w:rsidRDefault="007606F8" w:rsidP="00740740">
            <w:pPr>
              <w:pStyle w:val="TableText"/>
              <w:jc w:val="left"/>
            </w:pPr>
            <w:r w:rsidRPr="0042063A">
              <w:t>Utility values</w:t>
            </w:r>
          </w:p>
        </w:tc>
        <w:tc>
          <w:tcPr>
            <w:tcW w:w="2633" w:type="pct"/>
            <w:shd w:val="clear" w:color="auto" w:fill="auto"/>
            <w:vAlign w:val="center"/>
          </w:tcPr>
          <w:p w:rsidR="007606F8" w:rsidRPr="0042063A" w:rsidRDefault="007606F8" w:rsidP="000E4FA1">
            <w:pPr>
              <w:pStyle w:val="TableText"/>
              <w:jc w:val="left"/>
            </w:pPr>
            <w:r w:rsidRPr="0042063A">
              <w:t xml:space="preserve">There were </w:t>
            </w:r>
            <w:r w:rsidR="00B82D6D" w:rsidRPr="0042063A">
              <w:t xml:space="preserve">other </w:t>
            </w:r>
            <w:r w:rsidRPr="0042063A">
              <w:t>potential sources of utilit</w:t>
            </w:r>
            <w:r w:rsidR="00F844E9" w:rsidRPr="0042063A">
              <w:t>ies</w:t>
            </w:r>
            <w:r w:rsidRPr="0042063A">
              <w:t xml:space="preserve"> which could </w:t>
            </w:r>
            <w:r w:rsidR="00F844E9" w:rsidRPr="0042063A">
              <w:t xml:space="preserve">have </w:t>
            </w:r>
            <w:r w:rsidR="00C25C96" w:rsidRPr="0042063A">
              <w:t>been</w:t>
            </w:r>
            <w:r w:rsidRPr="0042063A">
              <w:t xml:space="preserve"> applied to the different health states in the model.</w:t>
            </w:r>
            <w:r w:rsidR="00292839">
              <w:t xml:space="preserve"> </w:t>
            </w:r>
            <w:r w:rsidRPr="0042063A">
              <w:t xml:space="preserve">In the base case, the submission nominated the </w:t>
            </w:r>
            <w:r w:rsidR="00901CD1" w:rsidRPr="0042063A">
              <w:t xml:space="preserve">results of </w:t>
            </w:r>
            <w:r w:rsidRPr="0042063A">
              <w:t>PedsQL</w:t>
            </w:r>
            <w:r w:rsidR="00901CD1" w:rsidRPr="0042063A">
              <w:t xml:space="preserve"> mapped to EQ-5D-Y</w:t>
            </w:r>
            <w:r w:rsidRPr="0042063A">
              <w:t xml:space="preserve"> from </w:t>
            </w:r>
            <w:r w:rsidR="00B82D6D" w:rsidRPr="0042063A">
              <w:t>S</w:t>
            </w:r>
            <w:r w:rsidRPr="0042063A">
              <w:t>tudy 201/202 as the source of utilit</w:t>
            </w:r>
            <w:r w:rsidR="00901CD1" w:rsidRPr="0042063A">
              <w:t>ies</w:t>
            </w:r>
            <w:r w:rsidRPr="0042063A">
              <w:t>, but also presented a sensitivity analysis using the utilities</w:t>
            </w:r>
            <w:r w:rsidR="00B82D6D" w:rsidRPr="0042063A">
              <w:t xml:space="preserve"> from the NICE model</w:t>
            </w:r>
            <w:r w:rsidR="0026780A" w:rsidRPr="0042063A">
              <w:t>. The utilities from the NICE model</w:t>
            </w:r>
            <w:r w:rsidR="00B82D6D" w:rsidRPr="0042063A">
              <w:t xml:space="preserve"> were</w:t>
            </w:r>
            <w:r w:rsidR="00795967" w:rsidRPr="0042063A">
              <w:t xml:space="preserve"> derived</w:t>
            </w:r>
            <w:r w:rsidR="0026780A" w:rsidRPr="0042063A">
              <w:t xml:space="preserve"> be converting </w:t>
            </w:r>
            <w:r w:rsidR="00795967" w:rsidRPr="0042063A">
              <w:t>utilities</w:t>
            </w:r>
            <w:r w:rsidRPr="0042063A">
              <w:t xml:space="preserve"> elicited from a UK </w:t>
            </w:r>
            <w:r w:rsidR="00D60162" w:rsidRPr="0042063A">
              <w:t>utility study</w:t>
            </w:r>
            <w:r w:rsidRPr="0042063A">
              <w:t xml:space="preserve"> which included results from </w:t>
            </w:r>
            <w:r w:rsidR="009A07B6" w:rsidRPr="0042063A">
              <w:t xml:space="preserve">8 </w:t>
            </w:r>
            <w:r w:rsidRPr="0042063A">
              <w:t>CLN2 experts</w:t>
            </w:r>
            <w:r w:rsidR="009A07B6" w:rsidRPr="0042063A">
              <w:t xml:space="preserve"> in the UK</w:t>
            </w:r>
            <w:r w:rsidR="00795967" w:rsidRPr="0042063A">
              <w:t xml:space="preserve"> to EQ-5D-3L values</w:t>
            </w:r>
            <w:r w:rsidRPr="0042063A">
              <w:t>.</w:t>
            </w:r>
            <w:r w:rsidR="00292839">
              <w:t xml:space="preserve"> </w:t>
            </w:r>
            <w:r w:rsidRPr="0042063A">
              <w:t>Whilst there was little difference in the ICER between using utility results from PedsQL and the UK Delphi results, applying the utility value</w:t>
            </w:r>
            <w:r w:rsidR="0018325D" w:rsidRPr="0042063A">
              <w:t>s</w:t>
            </w:r>
            <w:r w:rsidRPr="0042063A">
              <w:t xml:space="preserve"> from the NICE model (for health state</w:t>
            </w:r>
            <w:r w:rsidR="0018325D" w:rsidRPr="0042063A">
              <w:t>s</w:t>
            </w:r>
            <w:r w:rsidRPr="0042063A">
              <w:t xml:space="preserve"> 1 to 7 only) led to an increase of </w:t>
            </w:r>
            <w:r w:rsidR="006E2381">
              <w:rPr>
                <w:noProof/>
                <w:color w:val="000000"/>
                <w:highlight w:val="black"/>
              </w:rPr>
              <w:t>''''''</w:t>
            </w:r>
            <w:r w:rsidRPr="0042063A">
              <w:t xml:space="preserve">% (from approximately </w:t>
            </w:r>
            <w:r w:rsidR="000E4FA1">
              <w:t xml:space="preserve">more than $200,000 </w:t>
            </w:r>
            <w:r w:rsidRPr="0042063A">
              <w:t xml:space="preserve">per QALY to approximately </w:t>
            </w:r>
            <w:r w:rsidR="000E4FA1">
              <w:t>more than $200,000</w:t>
            </w:r>
            <w:r w:rsidRPr="0042063A">
              <w:t xml:space="preserve"> per QALY).</w:t>
            </w:r>
            <w:r w:rsidR="00292839">
              <w:t xml:space="preserve"> </w:t>
            </w:r>
          </w:p>
        </w:tc>
        <w:tc>
          <w:tcPr>
            <w:tcW w:w="1348" w:type="pct"/>
            <w:shd w:val="clear" w:color="auto" w:fill="auto"/>
            <w:vAlign w:val="center"/>
          </w:tcPr>
          <w:p w:rsidR="007606F8" w:rsidRPr="0042063A" w:rsidRDefault="007606F8" w:rsidP="00740740">
            <w:pPr>
              <w:pStyle w:val="TableText"/>
              <w:jc w:val="left"/>
            </w:pPr>
            <w:r w:rsidRPr="0042063A">
              <w:t>Potentially high (up to 50% difference in cost per QALY gained).</w:t>
            </w:r>
            <w:r w:rsidR="00292839">
              <w:t xml:space="preserve"> </w:t>
            </w:r>
            <w:r w:rsidRPr="0042063A">
              <w:t>Favours either cerliponase alfa or standard care depending on perspective.</w:t>
            </w:r>
            <w:r w:rsidR="00292839">
              <w:t xml:space="preserve"> </w:t>
            </w:r>
          </w:p>
        </w:tc>
      </w:tr>
    </w:tbl>
    <w:p w:rsidR="00E37424" w:rsidRPr="0042063A" w:rsidRDefault="00E37424" w:rsidP="00772501">
      <w:pPr>
        <w:pStyle w:val="TableFooter"/>
      </w:pPr>
      <w:r w:rsidRPr="0042063A">
        <w:t>Source: compiled during the evaluation</w:t>
      </w:r>
      <w:r w:rsidR="00B80B83" w:rsidRPr="0042063A">
        <w:t xml:space="preserve"> </w:t>
      </w:r>
    </w:p>
    <w:p w:rsidR="00BB3E9A" w:rsidRPr="0042063A" w:rsidRDefault="00A86C3F" w:rsidP="00A86C3F">
      <w:pPr>
        <w:pStyle w:val="ListParagraph"/>
        <w:numPr>
          <w:ilvl w:val="1"/>
          <w:numId w:val="2"/>
        </w:numPr>
        <w:spacing w:before="0" w:after="120"/>
      </w:pPr>
      <w:r w:rsidRPr="0042063A">
        <w:t>The submission also nominated two methods for estimating disease related mortality.</w:t>
      </w:r>
      <w:r w:rsidR="00292839">
        <w:t xml:space="preserve"> </w:t>
      </w:r>
      <w:r w:rsidRPr="0042063A">
        <w:t xml:space="preserve">One method involves regression of data from Nickel et al 2016, and an alternative method which maps the estimated ML score for patients treated with standard care in the economic model to the survival at the corresponding ML score reported in Nickel et al 2016 over time, and then adjusting the disease related mortality for the modelled patients such that the area under the curve for both the mapped and actual </w:t>
      </w:r>
      <w:r w:rsidR="00563E18">
        <w:t xml:space="preserve">survival curves were the same. </w:t>
      </w:r>
      <w:r w:rsidRPr="0042063A">
        <w:t>It is unclear which method of estimating disease related mortality is more appropriate.</w:t>
      </w:r>
      <w:r w:rsidR="00292839">
        <w:t xml:space="preserve"> </w:t>
      </w:r>
      <w:r w:rsidR="001F334F" w:rsidRPr="0042063A">
        <w:t>However, the</w:t>
      </w:r>
      <w:r w:rsidR="00740740" w:rsidRPr="0042063A">
        <w:t xml:space="preserve"> method of estimation does not have a significant impact on</w:t>
      </w:r>
      <w:r w:rsidRPr="0042063A">
        <w:t xml:space="preserve"> the ICER.</w:t>
      </w:r>
      <w:r w:rsidR="00292839">
        <w:t xml:space="preserve"> </w:t>
      </w:r>
    </w:p>
    <w:p w:rsidR="00A86C3F" w:rsidRPr="0042063A" w:rsidRDefault="00D60162" w:rsidP="00740740">
      <w:pPr>
        <w:pStyle w:val="ListParagraph"/>
        <w:numPr>
          <w:ilvl w:val="1"/>
          <w:numId w:val="2"/>
        </w:numPr>
        <w:spacing w:before="0" w:after="240"/>
        <w:ind w:left="578" w:hanging="578"/>
      </w:pPr>
      <w:r w:rsidRPr="0042063A">
        <w:t xml:space="preserve">The results of the stepped economic evaluation </w:t>
      </w:r>
      <w:r w:rsidR="003418FE" w:rsidRPr="0042063A">
        <w:t>are</w:t>
      </w:r>
      <w:r w:rsidRPr="0042063A">
        <w:t xml:space="preserve"> summarised </w:t>
      </w:r>
      <w:r w:rsidRPr="0042063A">
        <w:rPr>
          <w:rFonts w:ascii="Calibri" w:hAnsi="Calibri"/>
        </w:rPr>
        <w:t xml:space="preserve">in </w:t>
      </w:r>
      <w:r w:rsidR="00740740" w:rsidRPr="0042063A">
        <w:rPr>
          <w:rFonts w:ascii="Calibri" w:hAnsi="Calibri"/>
        </w:rPr>
        <w:t xml:space="preserve">Table </w:t>
      </w:r>
      <w:r w:rsidR="00740740" w:rsidRPr="0042063A">
        <w:rPr>
          <w:rFonts w:ascii="Calibri" w:hAnsi="Calibri"/>
          <w:noProof/>
        </w:rPr>
        <w:t>9</w:t>
      </w:r>
      <w:r w:rsidRPr="0042063A">
        <w:t>.</w:t>
      </w:r>
      <w:r w:rsidR="00292839">
        <w:t xml:space="preserve"> </w:t>
      </w:r>
      <w:r w:rsidRPr="0042063A">
        <w:t>The first step, a cost per responder analysis, was not presented by the submission.</w:t>
      </w:r>
      <w:r w:rsidR="00292839">
        <w:t xml:space="preserve"> </w:t>
      </w:r>
      <w:r w:rsidRPr="0042063A">
        <w:t xml:space="preserve">Instead, </w:t>
      </w:r>
      <w:proofErr w:type="gramStart"/>
      <w:r w:rsidRPr="0042063A">
        <w:t>results for the cost per responder analysis was</w:t>
      </w:r>
      <w:proofErr w:type="gramEnd"/>
      <w:r w:rsidRPr="0042063A">
        <w:t xml:space="preserve"> conducted during the evaluation using values from the submission.</w:t>
      </w:r>
      <w:r w:rsidR="00292839">
        <w:t xml:space="preserve"> </w:t>
      </w:r>
      <w:r w:rsidRPr="0042063A">
        <w:t xml:space="preserve">Moreover, the submission inappropriately </w:t>
      </w:r>
      <w:r w:rsidR="00770F2B" w:rsidRPr="0042063A">
        <w:t>applied</w:t>
      </w:r>
      <w:r w:rsidRPr="0042063A">
        <w:t xml:space="preserve"> </w:t>
      </w:r>
      <w:r w:rsidRPr="0042063A">
        <w:lastRenderedPageBreak/>
        <w:t>discounting from cycle 1 onwards.</w:t>
      </w:r>
      <w:r w:rsidR="00292839">
        <w:t xml:space="preserve"> </w:t>
      </w:r>
      <w:r w:rsidRPr="0042063A">
        <w:t>This has been corrected during the evaluation such that there was no discounting from week 0 to week 50 (cycle 1 to 26).</w:t>
      </w:r>
      <w:r w:rsidR="00292839">
        <w:t xml:space="preserve"> </w:t>
      </w:r>
    </w:p>
    <w:p w:rsidR="00C317F3" w:rsidRPr="0042063A" w:rsidRDefault="00740740" w:rsidP="00740740">
      <w:pPr>
        <w:pStyle w:val="Caption"/>
        <w:rPr>
          <w:rFonts w:ascii="Arial Narrow" w:hAnsi="Arial Narrow"/>
        </w:rPr>
      </w:pPr>
      <w:bookmarkStart w:id="32" w:name="_Ref512278242"/>
      <w:r w:rsidRPr="0042063A">
        <w:rPr>
          <w:rFonts w:ascii="Arial Narrow" w:hAnsi="Arial Narrow"/>
        </w:rPr>
        <w:t xml:space="preserve">Table </w:t>
      </w:r>
      <w:bookmarkEnd w:id="32"/>
      <w:r w:rsidR="00084161" w:rsidRPr="0042063A">
        <w:rPr>
          <w:rFonts w:ascii="Arial Narrow" w:hAnsi="Arial Narrow"/>
        </w:rPr>
        <w:t>10</w:t>
      </w:r>
      <w:r w:rsidR="00C317F3" w:rsidRPr="0042063A">
        <w:rPr>
          <w:rFonts w:ascii="Arial Narrow" w:hAnsi="Arial Narrow"/>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8"/>
        <w:gridCol w:w="2314"/>
        <w:gridCol w:w="1522"/>
      </w:tblGrid>
      <w:tr w:rsidR="00C317F3" w:rsidRPr="0042063A" w:rsidTr="000E4C1E">
        <w:trPr>
          <w:tblHeader/>
        </w:trPr>
        <w:tc>
          <w:tcPr>
            <w:tcW w:w="1529" w:type="pct"/>
            <w:vAlign w:val="center"/>
          </w:tcPr>
          <w:p w:rsidR="00C317F3" w:rsidRPr="0042063A" w:rsidRDefault="00C317F3" w:rsidP="00772501">
            <w:pPr>
              <w:pStyle w:val="TableText"/>
              <w:rPr>
                <w:b/>
              </w:rPr>
            </w:pPr>
            <w:r w:rsidRPr="0042063A">
              <w:rPr>
                <w:b/>
              </w:rPr>
              <w:t>Step and component</w:t>
            </w:r>
          </w:p>
        </w:tc>
        <w:tc>
          <w:tcPr>
            <w:tcW w:w="1359" w:type="pct"/>
            <w:vAlign w:val="center"/>
          </w:tcPr>
          <w:p w:rsidR="00C317F3" w:rsidRPr="0042063A" w:rsidRDefault="00D60162" w:rsidP="000E4C1E">
            <w:pPr>
              <w:pStyle w:val="TableText"/>
              <w:jc w:val="center"/>
              <w:rPr>
                <w:b/>
              </w:rPr>
            </w:pPr>
            <w:r w:rsidRPr="0042063A">
              <w:rPr>
                <w:b/>
              </w:rPr>
              <w:t>Cerliponase alfa</w:t>
            </w:r>
          </w:p>
        </w:tc>
        <w:tc>
          <w:tcPr>
            <w:tcW w:w="1274" w:type="pct"/>
            <w:vAlign w:val="center"/>
          </w:tcPr>
          <w:p w:rsidR="00C317F3" w:rsidRPr="0042063A" w:rsidRDefault="00D60162" w:rsidP="000E4C1E">
            <w:pPr>
              <w:pStyle w:val="TableText"/>
              <w:jc w:val="center"/>
              <w:rPr>
                <w:b/>
              </w:rPr>
            </w:pPr>
            <w:r w:rsidRPr="0042063A">
              <w:rPr>
                <w:b/>
              </w:rPr>
              <w:t>Standard care</w:t>
            </w:r>
          </w:p>
        </w:tc>
        <w:tc>
          <w:tcPr>
            <w:tcW w:w="838" w:type="pct"/>
            <w:vAlign w:val="center"/>
          </w:tcPr>
          <w:p w:rsidR="00C317F3" w:rsidRPr="0042063A" w:rsidRDefault="00C317F3" w:rsidP="000E4C1E">
            <w:pPr>
              <w:pStyle w:val="TableText"/>
              <w:jc w:val="center"/>
              <w:rPr>
                <w:b/>
              </w:rPr>
            </w:pPr>
            <w:r w:rsidRPr="0042063A">
              <w:rPr>
                <w:b/>
              </w:rPr>
              <w:t>Increment</w:t>
            </w:r>
          </w:p>
        </w:tc>
      </w:tr>
      <w:tr w:rsidR="00C317F3" w:rsidRPr="0042063A" w:rsidTr="00DF16C0">
        <w:tc>
          <w:tcPr>
            <w:tcW w:w="5000" w:type="pct"/>
            <w:gridSpan w:val="4"/>
            <w:vAlign w:val="center"/>
          </w:tcPr>
          <w:p w:rsidR="00C317F3" w:rsidRPr="0042063A" w:rsidRDefault="00C317F3" w:rsidP="00772501">
            <w:pPr>
              <w:pStyle w:val="TableText"/>
              <w:rPr>
                <w:b/>
                <w:snapToGrid w:val="0"/>
              </w:rPr>
            </w:pPr>
            <w:r w:rsidRPr="0042063A">
              <w:rPr>
                <w:b/>
                <w:snapToGrid w:val="0"/>
              </w:rPr>
              <w:t xml:space="preserve">Step 1: </w:t>
            </w:r>
            <w:r w:rsidR="00D60162" w:rsidRPr="0042063A">
              <w:rPr>
                <w:b/>
                <w:snapToGrid w:val="0"/>
              </w:rPr>
              <w:t>Responder (&lt;2 point decrease in ML score every 48 weeks) at 96 weeks of treatment</w:t>
            </w:r>
          </w:p>
        </w:tc>
      </w:tr>
      <w:tr w:rsidR="00C317F3" w:rsidRPr="0042063A" w:rsidTr="000E4C1E">
        <w:tc>
          <w:tcPr>
            <w:tcW w:w="1529" w:type="pct"/>
            <w:vAlign w:val="center"/>
          </w:tcPr>
          <w:p w:rsidR="00C317F3" w:rsidRPr="0042063A" w:rsidRDefault="00C317F3" w:rsidP="00772501">
            <w:pPr>
              <w:pStyle w:val="TableText"/>
              <w:rPr>
                <w:rFonts w:ascii="Times" w:eastAsia="Times New Roman" w:hAnsi="Times" w:cs="Times New Roman"/>
              </w:rPr>
            </w:pPr>
            <w:r w:rsidRPr="0042063A">
              <w:t>Costs</w:t>
            </w:r>
          </w:p>
        </w:tc>
        <w:tc>
          <w:tcPr>
            <w:tcW w:w="1359" w:type="pct"/>
            <w:vAlign w:val="center"/>
          </w:tcPr>
          <w:p w:rsidR="00C317F3"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c>
          <w:tcPr>
            <w:tcW w:w="1274" w:type="pct"/>
            <w:vAlign w:val="center"/>
          </w:tcPr>
          <w:p w:rsidR="00C317F3"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c>
          <w:tcPr>
            <w:tcW w:w="838" w:type="pct"/>
            <w:vAlign w:val="center"/>
          </w:tcPr>
          <w:p w:rsidR="00C317F3"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r>
      <w:tr w:rsidR="00C317F3" w:rsidRPr="0042063A" w:rsidTr="000E4C1E">
        <w:tc>
          <w:tcPr>
            <w:tcW w:w="1529" w:type="pct"/>
            <w:vAlign w:val="center"/>
          </w:tcPr>
          <w:p w:rsidR="00C317F3" w:rsidRPr="0042063A" w:rsidRDefault="00D60162" w:rsidP="00772501">
            <w:pPr>
              <w:pStyle w:val="TableText"/>
              <w:rPr>
                <w:rFonts w:ascii="Times" w:eastAsia="Times New Roman" w:hAnsi="Times" w:cs="Times New Roman"/>
              </w:rPr>
            </w:pPr>
            <w:r w:rsidRPr="0042063A">
              <w:t>Number of responders</w:t>
            </w:r>
          </w:p>
        </w:tc>
        <w:tc>
          <w:tcPr>
            <w:tcW w:w="1359" w:type="pct"/>
            <w:vAlign w:val="center"/>
          </w:tcPr>
          <w:p w:rsidR="00C317F3" w:rsidRPr="0042063A" w:rsidRDefault="006E2381" w:rsidP="000E4C1E">
            <w:pPr>
              <w:pStyle w:val="TableText"/>
              <w:jc w:val="center"/>
              <w:rPr>
                <w:rFonts w:ascii="Times" w:eastAsia="Times New Roman" w:hAnsi="Times" w:cs="Times New Roman"/>
              </w:rPr>
            </w:pPr>
            <w:r>
              <w:rPr>
                <w:noProof/>
                <w:color w:val="000000"/>
                <w:highlight w:val="black"/>
              </w:rPr>
              <w:t>'''''''</w:t>
            </w:r>
            <w:r w:rsidR="00D60162" w:rsidRPr="0042063A">
              <w:t>/</w:t>
            </w:r>
            <w:r w:rsidR="00D60162" w:rsidRPr="00B921E1">
              <w:t>21</w:t>
            </w:r>
            <w:r w:rsidR="00D60162" w:rsidRPr="0042063A">
              <w:t xml:space="preserve"> (</w:t>
            </w:r>
            <w:proofErr w:type="gramStart"/>
            <w:r>
              <w:rPr>
                <w:noProof/>
                <w:color w:val="000000"/>
                <w:highlight w:val="black"/>
              </w:rPr>
              <w:t>''''''''''</w:t>
            </w:r>
            <w:r w:rsidR="00D60162" w:rsidRPr="0042063A">
              <w:t>%</w:t>
            </w:r>
            <w:proofErr w:type="gramEnd"/>
            <w:r w:rsidR="00D816BD">
              <w:t>)</w:t>
            </w:r>
          </w:p>
        </w:tc>
        <w:tc>
          <w:tcPr>
            <w:tcW w:w="1274" w:type="pct"/>
            <w:vAlign w:val="center"/>
          </w:tcPr>
          <w:p w:rsidR="00C317F3" w:rsidRPr="0042063A" w:rsidRDefault="006E2381" w:rsidP="000E4C1E">
            <w:pPr>
              <w:pStyle w:val="TableText"/>
              <w:jc w:val="center"/>
              <w:rPr>
                <w:rFonts w:ascii="Times" w:eastAsia="Times New Roman" w:hAnsi="Times" w:cs="Times New Roman"/>
              </w:rPr>
            </w:pPr>
            <w:r>
              <w:rPr>
                <w:noProof/>
                <w:color w:val="000000"/>
                <w:highlight w:val="black"/>
              </w:rPr>
              <w:t>''''''</w:t>
            </w:r>
            <w:r w:rsidR="00D60162" w:rsidRPr="0042063A">
              <w:t>/21 (</w:t>
            </w:r>
            <w:proofErr w:type="gramStart"/>
            <w:r>
              <w:rPr>
                <w:noProof/>
                <w:color w:val="000000"/>
                <w:highlight w:val="black"/>
              </w:rPr>
              <w:t>''''''''''</w:t>
            </w:r>
            <w:r w:rsidR="00D60162" w:rsidRPr="0042063A">
              <w:t>%</w:t>
            </w:r>
            <w:proofErr w:type="gramEnd"/>
            <w:r w:rsidR="00D60162" w:rsidRPr="0042063A">
              <w:t>)</w:t>
            </w:r>
          </w:p>
        </w:tc>
        <w:tc>
          <w:tcPr>
            <w:tcW w:w="838" w:type="pct"/>
            <w:vAlign w:val="center"/>
          </w:tcPr>
          <w:p w:rsidR="00C317F3" w:rsidRPr="0042063A" w:rsidRDefault="006E2381" w:rsidP="000E4C1E">
            <w:pPr>
              <w:pStyle w:val="TableText"/>
              <w:jc w:val="center"/>
            </w:pPr>
            <w:r>
              <w:rPr>
                <w:noProof/>
                <w:color w:val="000000"/>
                <w:highlight w:val="black"/>
              </w:rPr>
              <w:t>''''''''''</w:t>
            </w:r>
            <w:r w:rsidR="00D60162" w:rsidRPr="0042063A">
              <w:t>%</w:t>
            </w:r>
          </w:p>
        </w:tc>
      </w:tr>
      <w:tr w:rsidR="00C317F3" w:rsidRPr="0042063A" w:rsidTr="000E4C1E">
        <w:tc>
          <w:tcPr>
            <w:tcW w:w="4162" w:type="pct"/>
            <w:gridSpan w:val="3"/>
            <w:vAlign w:val="center"/>
          </w:tcPr>
          <w:p w:rsidR="00C317F3" w:rsidRPr="0042063A" w:rsidRDefault="00C317F3" w:rsidP="00D60162">
            <w:pPr>
              <w:pStyle w:val="TableText"/>
              <w:rPr>
                <w:rFonts w:ascii="Times" w:eastAsia="Times New Roman" w:hAnsi="Times" w:cs="Times New Roman"/>
                <w:snapToGrid w:val="0"/>
              </w:rPr>
            </w:pPr>
            <w:r w:rsidRPr="0042063A">
              <w:t xml:space="preserve">Incremental cost/extra </w:t>
            </w:r>
            <w:r w:rsidR="00D60162" w:rsidRPr="0042063A">
              <w:t>responder</w:t>
            </w:r>
            <w:r w:rsidRPr="0042063A">
              <w:t xml:space="preserve"> gained</w:t>
            </w:r>
          </w:p>
        </w:tc>
        <w:tc>
          <w:tcPr>
            <w:tcW w:w="838" w:type="pct"/>
            <w:vAlign w:val="center"/>
          </w:tcPr>
          <w:p w:rsidR="00C317F3"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r>
      <w:tr w:rsidR="00C317F3" w:rsidRPr="0042063A" w:rsidTr="00DF16C0">
        <w:tc>
          <w:tcPr>
            <w:tcW w:w="5000" w:type="pct"/>
            <w:gridSpan w:val="4"/>
            <w:vAlign w:val="center"/>
          </w:tcPr>
          <w:p w:rsidR="00C317F3" w:rsidRPr="0042063A" w:rsidRDefault="00C317F3" w:rsidP="00D60162">
            <w:pPr>
              <w:pStyle w:val="TableText"/>
              <w:rPr>
                <w:b/>
                <w:snapToGrid w:val="0"/>
              </w:rPr>
            </w:pPr>
            <w:r w:rsidRPr="0042063A">
              <w:rPr>
                <w:b/>
                <w:snapToGrid w:val="0"/>
              </w:rPr>
              <w:t xml:space="preserve">Step 2: </w:t>
            </w:r>
            <w:r w:rsidRPr="0042063A">
              <w:rPr>
                <w:b/>
              </w:rPr>
              <w:t xml:space="preserve">trial evidence transformed from surrogate to </w:t>
            </w:r>
            <w:r w:rsidR="00D60162" w:rsidRPr="0042063A">
              <w:rPr>
                <w:b/>
              </w:rPr>
              <w:t>life year gained (LYG)</w:t>
            </w:r>
          </w:p>
        </w:tc>
      </w:tr>
      <w:tr w:rsidR="00C317F3" w:rsidRPr="0042063A" w:rsidTr="000E4C1E">
        <w:tc>
          <w:tcPr>
            <w:tcW w:w="1529" w:type="pct"/>
            <w:vAlign w:val="center"/>
          </w:tcPr>
          <w:p w:rsidR="00C317F3" w:rsidRPr="0042063A" w:rsidRDefault="00C317F3" w:rsidP="00772501">
            <w:pPr>
              <w:pStyle w:val="TableText"/>
              <w:rPr>
                <w:rFonts w:ascii="Times" w:eastAsia="Times New Roman" w:hAnsi="Times" w:cs="Times New Roman"/>
              </w:rPr>
            </w:pPr>
            <w:r w:rsidRPr="0042063A">
              <w:t>Costs</w:t>
            </w:r>
          </w:p>
        </w:tc>
        <w:tc>
          <w:tcPr>
            <w:tcW w:w="1359" w:type="pct"/>
            <w:vAlign w:val="center"/>
          </w:tcPr>
          <w:p w:rsidR="00C317F3"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c>
          <w:tcPr>
            <w:tcW w:w="1274" w:type="pct"/>
            <w:vAlign w:val="center"/>
          </w:tcPr>
          <w:p w:rsidR="00C317F3"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c>
          <w:tcPr>
            <w:tcW w:w="838" w:type="pct"/>
            <w:vAlign w:val="center"/>
          </w:tcPr>
          <w:p w:rsidR="00C317F3"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r>
      <w:tr w:rsidR="00C317F3" w:rsidRPr="0042063A" w:rsidTr="000E4C1E">
        <w:tc>
          <w:tcPr>
            <w:tcW w:w="1529" w:type="pct"/>
            <w:vAlign w:val="center"/>
          </w:tcPr>
          <w:p w:rsidR="00C317F3" w:rsidRPr="0042063A" w:rsidRDefault="00D60162" w:rsidP="00772501">
            <w:pPr>
              <w:pStyle w:val="TableText"/>
              <w:rPr>
                <w:rFonts w:ascii="Times" w:eastAsia="Times New Roman" w:hAnsi="Times" w:cs="Times New Roman"/>
              </w:rPr>
            </w:pPr>
            <w:r w:rsidRPr="0042063A">
              <w:t>LYG</w:t>
            </w:r>
          </w:p>
        </w:tc>
        <w:tc>
          <w:tcPr>
            <w:tcW w:w="1359" w:type="pct"/>
            <w:vAlign w:val="center"/>
          </w:tcPr>
          <w:p w:rsidR="00C317F3" w:rsidRPr="006E2381" w:rsidRDefault="006E2381" w:rsidP="000E4C1E">
            <w:pPr>
              <w:pStyle w:val="TableText"/>
              <w:jc w:val="center"/>
              <w:rPr>
                <w:rFonts w:ascii="Times" w:eastAsia="Times New Roman" w:hAnsi="Times" w:cs="Times New Roman"/>
                <w:i/>
                <w:highlight w:val="black"/>
              </w:rPr>
            </w:pPr>
            <w:r>
              <w:rPr>
                <w:i/>
                <w:noProof/>
                <w:color w:val="000000"/>
                <w:highlight w:val="black"/>
              </w:rPr>
              <w:t>''''''''''''</w:t>
            </w:r>
          </w:p>
        </w:tc>
        <w:tc>
          <w:tcPr>
            <w:tcW w:w="1274" w:type="pct"/>
            <w:vAlign w:val="center"/>
          </w:tcPr>
          <w:p w:rsidR="00C317F3" w:rsidRPr="006E2381" w:rsidRDefault="006E2381" w:rsidP="000E4C1E">
            <w:pPr>
              <w:pStyle w:val="TableText"/>
              <w:jc w:val="center"/>
              <w:rPr>
                <w:rFonts w:ascii="Times" w:eastAsia="Times New Roman" w:hAnsi="Times" w:cs="Times New Roman"/>
                <w:i/>
                <w:highlight w:val="black"/>
              </w:rPr>
            </w:pPr>
            <w:r>
              <w:rPr>
                <w:i/>
                <w:noProof/>
                <w:color w:val="000000"/>
                <w:highlight w:val="black"/>
              </w:rPr>
              <w:t>''''''''''</w:t>
            </w:r>
          </w:p>
        </w:tc>
        <w:tc>
          <w:tcPr>
            <w:tcW w:w="838" w:type="pct"/>
            <w:vAlign w:val="center"/>
          </w:tcPr>
          <w:p w:rsidR="00C317F3" w:rsidRPr="006E2381" w:rsidRDefault="006E2381" w:rsidP="000E4C1E">
            <w:pPr>
              <w:pStyle w:val="TableText"/>
              <w:jc w:val="center"/>
              <w:rPr>
                <w:i/>
                <w:highlight w:val="black"/>
              </w:rPr>
            </w:pPr>
            <w:r>
              <w:rPr>
                <w:i/>
                <w:noProof/>
                <w:color w:val="000000"/>
                <w:highlight w:val="black"/>
              </w:rPr>
              <w:t>''''''''''''</w:t>
            </w:r>
          </w:p>
        </w:tc>
      </w:tr>
      <w:tr w:rsidR="00C317F3" w:rsidRPr="0042063A" w:rsidTr="000E4C1E">
        <w:tc>
          <w:tcPr>
            <w:tcW w:w="4162" w:type="pct"/>
            <w:gridSpan w:val="3"/>
            <w:vAlign w:val="center"/>
          </w:tcPr>
          <w:p w:rsidR="00C317F3" w:rsidRPr="0042063A" w:rsidRDefault="00C317F3" w:rsidP="00D60162">
            <w:pPr>
              <w:pStyle w:val="TableText"/>
              <w:rPr>
                <w:rFonts w:ascii="Times" w:eastAsia="Times New Roman" w:hAnsi="Times" w:cs="Times New Roman"/>
                <w:snapToGrid w:val="0"/>
              </w:rPr>
            </w:pPr>
            <w:r w:rsidRPr="0042063A">
              <w:t xml:space="preserve">Incremental cost/extra </w:t>
            </w:r>
            <w:r w:rsidR="00D60162" w:rsidRPr="0042063A">
              <w:t>LYG</w:t>
            </w:r>
          </w:p>
        </w:tc>
        <w:tc>
          <w:tcPr>
            <w:tcW w:w="838" w:type="pct"/>
            <w:vAlign w:val="center"/>
          </w:tcPr>
          <w:p w:rsidR="00C317F3"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r>
      <w:tr w:rsidR="00C317F3" w:rsidRPr="0042063A" w:rsidTr="00DF16C0">
        <w:tc>
          <w:tcPr>
            <w:tcW w:w="5000" w:type="pct"/>
            <w:gridSpan w:val="4"/>
            <w:vAlign w:val="center"/>
          </w:tcPr>
          <w:p w:rsidR="00C317F3" w:rsidRPr="0042063A" w:rsidRDefault="00C317F3" w:rsidP="00D60162">
            <w:pPr>
              <w:pStyle w:val="TableText"/>
              <w:rPr>
                <w:b/>
                <w:snapToGrid w:val="0"/>
              </w:rPr>
            </w:pPr>
            <w:r w:rsidRPr="0042063A">
              <w:rPr>
                <w:b/>
                <w:snapToGrid w:val="0"/>
              </w:rPr>
              <w:t>Step 3</w:t>
            </w:r>
            <w:r w:rsidR="00D60162" w:rsidRPr="0042063A">
              <w:rPr>
                <w:b/>
                <w:snapToGrid w:val="0"/>
              </w:rPr>
              <w:t>a</w:t>
            </w:r>
            <w:r w:rsidRPr="0042063A">
              <w:rPr>
                <w:b/>
                <w:snapToGrid w:val="0"/>
              </w:rPr>
              <w:t xml:space="preserve">: trial evidence transformed to </w:t>
            </w:r>
            <w:r w:rsidR="00D60162" w:rsidRPr="0042063A">
              <w:rPr>
                <w:b/>
                <w:snapToGrid w:val="0"/>
              </w:rPr>
              <w:t xml:space="preserve">quality adjusted life year (QALY) gained using PedsQL </w:t>
            </w:r>
          </w:p>
        </w:tc>
      </w:tr>
      <w:tr w:rsidR="00D60162" w:rsidRPr="0042063A" w:rsidTr="000E4C1E">
        <w:tc>
          <w:tcPr>
            <w:tcW w:w="1529" w:type="pct"/>
            <w:vAlign w:val="center"/>
          </w:tcPr>
          <w:p w:rsidR="00D60162" w:rsidRPr="0042063A" w:rsidRDefault="00D60162" w:rsidP="00D60162">
            <w:pPr>
              <w:pStyle w:val="TableText"/>
              <w:rPr>
                <w:rFonts w:ascii="Times" w:eastAsia="Times New Roman" w:hAnsi="Times" w:cs="Times New Roman"/>
              </w:rPr>
            </w:pPr>
            <w:r w:rsidRPr="0042063A">
              <w:t>Costs</w:t>
            </w:r>
          </w:p>
        </w:tc>
        <w:tc>
          <w:tcPr>
            <w:tcW w:w="1359" w:type="pct"/>
            <w:vAlign w:val="center"/>
          </w:tcPr>
          <w:p w:rsidR="00D60162"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c>
          <w:tcPr>
            <w:tcW w:w="1274" w:type="pct"/>
            <w:vAlign w:val="center"/>
          </w:tcPr>
          <w:p w:rsidR="00D60162"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c>
          <w:tcPr>
            <w:tcW w:w="838" w:type="pct"/>
            <w:vAlign w:val="center"/>
          </w:tcPr>
          <w:p w:rsidR="00D60162"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r>
      <w:tr w:rsidR="00C317F3" w:rsidRPr="0042063A" w:rsidTr="000E4C1E">
        <w:tc>
          <w:tcPr>
            <w:tcW w:w="1529" w:type="pct"/>
            <w:vAlign w:val="center"/>
          </w:tcPr>
          <w:p w:rsidR="00C317F3" w:rsidRPr="0042063A" w:rsidRDefault="00D60162" w:rsidP="00772501">
            <w:pPr>
              <w:pStyle w:val="TableText"/>
              <w:rPr>
                <w:rFonts w:ascii="Times" w:eastAsia="Times New Roman" w:hAnsi="Times" w:cs="Times New Roman"/>
              </w:rPr>
            </w:pPr>
            <w:r w:rsidRPr="0042063A">
              <w:t>QALY</w:t>
            </w:r>
          </w:p>
        </w:tc>
        <w:tc>
          <w:tcPr>
            <w:tcW w:w="1359" w:type="pct"/>
            <w:vAlign w:val="center"/>
          </w:tcPr>
          <w:p w:rsidR="00C317F3" w:rsidRPr="006E2381" w:rsidRDefault="006E2381" w:rsidP="000E4C1E">
            <w:pPr>
              <w:pStyle w:val="TableText"/>
              <w:jc w:val="center"/>
              <w:rPr>
                <w:rFonts w:ascii="Times" w:eastAsia="Times New Roman" w:hAnsi="Times" w:cs="Times New Roman"/>
                <w:i/>
                <w:highlight w:val="black"/>
              </w:rPr>
            </w:pPr>
            <w:r>
              <w:rPr>
                <w:i/>
                <w:noProof/>
                <w:color w:val="000000"/>
                <w:highlight w:val="black"/>
              </w:rPr>
              <w:t>''''''''''''</w:t>
            </w:r>
          </w:p>
        </w:tc>
        <w:tc>
          <w:tcPr>
            <w:tcW w:w="1274" w:type="pct"/>
            <w:vAlign w:val="center"/>
          </w:tcPr>
          <w:p w:rsidR="00C317F3" w:rsidRPr="006E2381" w:rsidRDefault="006E2381" w:rsidP="000E4C1E">
            <w:pPr>
              <w:pStyle w:val="TableText"/>
              <w:jc w:val="center"/>
              <w:rPr>
                <w:rFonts w:ascii="Times" w:eastAsia="Times New Roman" w:hAnsi="Times" w:cs="Times New Roman"/>
                <w:i/>
                <w:highlight w:val="black"/>
              </w:rPr>
            </w:pPr>
            <w:r>
              <w:rPr>
                <w:i/>
                <w:noProof/>
                <w:color w:val="000000"/>
                <w:highlight w:val="black"/>
              </w:rPr>
              <w:t>'''''''''''</w:t>
            </w:r>
          </w:p>
        </w:tc>
        <w:tc>
          <w:tcPr>
            <w:tcW w:w="838" w:type="pct"/>
            <w:vAlign w:val="center"/>
          </w:tcPr>
          <w:p w:rsidR="00C317F3" w:rsidRPr="006E2381" w:rsidRDefault="006E2381" w:rsidP="000E4C1E">
            <w:pPr>
              <w:pStyle w:val="TableText"/>
              <w:jc w:val="center"/>
              <w:rPr>
                <w:i/>
                <w:highlight w:val="black"/>
              </w:rPr>
            </w:pPr>
            <w:r>
              <w:rPr>
                <w:i/>
                <w:noProof/>
                <w:color w:val="000000"/>
                <w:highlight w:val="black"/>
              </w:rPr>
              <w:t>'''''''''''</w:t>
            </w:r>
          </w:p>
        </w:tc>
      </w:tr>
      <w:tr w:rsidR="00C317F3" w:rsidRPr="0042063A" w:rsidTr="000E4C1E">
        <w:tc>
          <w:tcPr>
            <w:tcW w:w="4162" w:type="pct"/>
            <w:gridSpan w:val="3"/>
            <w:vAlign w:val="center"/>
          </w:tcPr>
          <w:p w:rsidR="00C317F3" w:rsidRPr="0042063A" w:rsidRDefault="00C317F3" w:rsidP="009A07B6">
            <w:pPr>
              <w:pStyle w:val="TableText"/>
              <w:rPr>
                <w:rFonts w:ascii="Times" w:eastAsia="Times New Roman" w:hAnsi="Times" w:cs="Times New Roman"/>
              </w:rPr>
            </w:pPr>
            <w:r w:rsidRPr="0042063A">
              <w:t xml:space="preserve">Incremental cost/extra </w:t>
            </w:r>
            <w:r w:rsidR="009A07B6" w:rsidRPr="0042063A">
              <w:t>QALY</w:t>
            </w:r>
            <w:r w:rsidRPr="0042063A">
              <w:t xml:space="preserve"> gained</w:t>
            </w:r>
          </w:p>
        </w:tc>
        <w:tc>
          <w:tcPr>
            <w:tcW w:w="838" w:type="pct"/>
            <w:vAlign w:val="center"/>
          </w:tcPr>
          <w:p w:rsidR="00C317F3" w:rsidRPr="0042063A" w:rsidRDefault="009A07B6"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r>
      <w:tr w:rsidR="00C317F3" w:rsidRPr="0042063A" w:rsidTr="00DF16C0">
        <w:tc>
          <w:tcPr>
            <w:tcW w:w="5000" w:type="pct"/>
            <w:gridSpan w:val="4"/>
            <w:vAlign w:val="center"/>
          </w:tcPr>
          <w:p w:rsidR="00C317F3" w:rsidRPr="0042063A" w:rsidRDefault="00D60162" w:rsidP="009A07B6">
            <w:pPr>
              <w:pStyle w:val="TableText"/>
              <w:rPr>
                <w:b/>
                <w:snapToGrid w:val="0"/>
              </w:rPr>
            </w:pPr>
            <w:r w:rsidRPr="0042063A">
              <w:rPr>
                <w:b/>
                <w:snapToGrid w:val="0"/>
              </w:rPr>
              <w:t>Step 3b</w:t>
            </w:r>
            <w:r w:rsidR="00C317F3" w:rsidRPr="0042063A">
              <w:rPr>
                <w:b/>
                <w:snapToGrid w:val="0"/>
              </w:rPr>
              <w:t xml:space="preserve">: </w:t>
            </w:r>
            <w:r w:rsidRPr="0042063A">
              <w:rPr>
                <w:b/>
                <w:snapToGrid w:val="0"/>
              </w:rPr>
              <w:t xml:space="preserve">trial evidence transformed to </w:t>
            </w:r>
            <w:r w:rsidR="009A07B6" w:rsidRPr="0042063A">
              <w:rPr>
                <w:b/>
                <w:snapToGrid w:val="0"/>
              </w:rPr>
              <w:t>QALY</w:t>
            </w:r>
            <w:r w:rsidRPr="0042063A">
              <w:rPr>
                <w:b/>
                <w:snapToGrid w:val="0"/>
              </w:rPr>
              <w:t xml:space="preserve"> gained using UK utility study </w:t>
            </w:r>
          </w:p>
        </w:tc>
      </w:tr>
      <w:tr w:rsidR="00D60162" w:rsidRPr="0042063A" w:rsidTr="000E4C1E">
        <w:tc>
          <w:tcPr>
            <w:tcW w:w="1529" w:type="pct"/>
            <w:vAlign w:val="center"/>
          </w:tcPr>
          <w:p w:rsidR="00D60162" w:rsidRPr="0042063A" w:rsidRDefault="00D60162" w:rsidP="00D60162">
            <w:pPr>
              <w:pStyle w:val="TableText"/>
              <w:rPr>
                <w:rFonts w:ascii="Times" w:eastAsia="Times New Roman" w:hAnsi="Times" w:cs="Times New Roman"/>
              </w:rPr>
            </w:pPr>
            <w:r w:rsidRPr="0042063A">
              <w:t>Costs</w:t>
            </w:r>
          </w:p>
        </w:tc>
        <w:tc>
          <w:tcPr>
            <w:tcW w:w="1359" w:type="pct"/>
            <w:vAlign w:val="center"/>
          </w:tcPr>
          <w:p w:rsidR="00D60162"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c>
          <w:tcPr>
            <w:tcW w:w="1274" w:type="pct"/>
            <w:vAlign w:val="center"/>
          </w:tcPr>
          <w:p w:rsidR="00D60162"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c>
          <w:tcPr>
            <w:tcW w:w="838" w:type="pct"/>
            <w:vAlign w:val="center"/>
          </w:tcPr>
          <w:p w:rsidR="00D60162" w:rsidRPr="0042063A" w:rsidRDefault="00D60162"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r>
      <w:tr w:rsidR="00C317F3" w:rsidRPr="0042063A" w:rsidTr="000E4C1E">
        <w:tc>
          <w:tcPr>
            <w:tcW w:w="1529" w:type="pct"/>
            <w:vAlign w:val="center"/>
          </w:tcPr>
          <w:p w:rsidR="00C317F3" w:rsidRPr="0042063A" w:rsidRDefault="009A07B6" w:rsidP="00772501">
            <w:pPr>
              <w:pStyle w:val="TableText"/>
              <w:rPr>
                <w:rFonts w:ascii="Times" w:eastAsia="Times New Roman" w:hAnsi="Times" w:cs="Times New Roman"/>
              </w:rPr>
            </w:pPr>
            <w:r w:rsidRPr="0042063A">
              <w:t>QALY</w:t>
            </w:r>
          </w:p>
        </w:tc>
        <w:tc>
          <w:tcPr>
            <w:tcW w:w="1359" w:type="pct"/>
            <w:vAlign w:val="center"/>
          </w:tcPr>
          <w:p w:rsidR="00C317F3" w:rsidRPr="006E2381" w:rsidRDefault="006E2381" w:rsidP="000E4C1E">
            <w:pPr>
              <w:pStyle w:val="TableText"/>
              <w:jc w:val="center"/>
              <w:rPr>
                <w:rFonts w:ascii="Times" w:eastAsia="Times New Roman" w:hAnsi="Times" w:cs="Times New Roman"/>
                <w:i/>
                <w:highlight w:val="black"/>
              </w:rPr>
            </w:pPr>
            <w:r>
              <w:rPr>
                <w:i/>
                <w:noProof/>
                <w:color w:val="000000"/>
                <w:highlight w:val="black"/>
              </w:rPr>
              <w:t>''''''''''</w:t>
            </w:r>
          </w:p>
        </w:tc>
        <w:tc>
          <w:tcPr>
            <w:tcW w:w="1274" w:type="pct"/>
            <w:vAlign w:val="center"/>
          </w:tcPr>
          <w:p w:rsidR="00C317F3" w:rsidRPr="006E2381" w:rsidRDefault="006E2381" w:rsidP="000E4C1E">
            <w:pPr>
              <w:pStyle w:val="TableText"/>
              <w:jc w:val="center"/>
              <w:rPr>
                <w:rFonts w:ascii="Times" w:eastAsia="Times New Roman" w:hAnsi="Times" w:cs="Times New Roman"/>
                <w:i/>
                <w:highlight w:val="black"/>
              </w:rPr>
            </w:pPr>
            <w:r>
              <w:rPr>
                <w:i/>
                <w:noProof/>
                <w:color w:val="000000"/>
                <w:highlight w:val="black"/>
              </w:rPr>
              <w:t>'''''''''''</w:t>
            </w:r>
          </w:p>
        </w:tc>
        <w:tc>
          <w:tcPr>
            <w:tcW w:w="838" w:type="pct"/>
            <w:vAlign w:val="center"/>
          </w:tcPr>
          <w:p w:rsidR="00C317F3" w:rsidRPr="006E2381" w:rsidRDefault="006E2381" w:rsidP="000E4C1E">
            <w:pPr>
              <w:pStyle w:val="TableText"/>
              <w:jc w:val="center"/>
              <w:rPr>
                <w:i/>
                <w:highlight w:val="black"/>
              </w:rPr>
            </w:pPr>
            <w:r>
              <w:rPr>
                <w:i/>
                <w:noProof/>
                <w:color w:val="000000"/>
                <w:highlight w:val="black"/>
              </w:rPr>
              <w:t>''''''''''</w:t>
            </w:r>
          </w:p>
        </w:tc>
      </w:tr>
      <w:tr w:rsidR="00C317F3" w:rsidRPr="0042063A" w:rsidTr="000E4C1E">
        <w:tc>
          <w:tcPr>
            <w:tcW w:w="4162" w:type="pct"/>
            <w:gridSpan w:val="3"/>
            <w:vAlign w:val="center"/>
          </w:tcPr>
          <w:p w:rsidR="00C317F3" w:rsidRPr="0042063A" w:rsidRDefault="00C317F3" w:rsidP="009A07B6">
            <w:pPr>
              <w:pStyle w:val="TableText"/>
              <w:rPr>
                <w:rFonts w:ascii="Times" w:eastAsia="Times New Roman" w:hAnsi="Times" w:cs="Times New Roman"/>
              </w:rPr>
            </w:pPr>
            <w:r w:rsidRPr="0042063A">
              <w:t xml:space="preserve">Incremental cost/extra </w:t>
            </w:r>
            <w:r w:rsidR="009A07B6" w:rsidRPr="0042063A">
              <w:t xml:space="preserve">QALY </w:t>
            </w:r>
            <w:r w:rsidRPr="0042063A">
              <w:t>gained</w:t>
            </w:r>
          </w:p>
        </w:tc>
        <w:tc>
          <w:tcPr>
            <w:tcW w:w="838" w:type="pct"/>
            <w:vAlign w:val="center"/>
          </w:tcPr>
          <w:p w:rsidR="00C317F3" w:rsidRPr="0042063A" w:rsidRDefault="009A07B6" w:rsidP="000E4C1E">
            <w:pPr>
              <w:pStyle w:val="TableText"/>
              <w:jc w:val="center"/>
              <w:rPr>
                <w:rFonts w:ascii="Times" w:eastAsia="Times New Roman" w:hAnsi="Times" w:cs="Times New Roman"/>
                <w:i/>
              </w:rPr>
            </w:pPr>
            <w:r w:rsidRPr="0042063A">
              <w:rPr>
                <w:i/>
              </w:rPr>
              <w:t>$</w:t>
            </w:r>
            <w:r w:rsidR="006E2381">
              <w:rPr>
                <w:i/>
                <w:noProof/>
                <w:color w:val="000000"/>
                <w:highlight w:val="black"/>
              </w:rPr>
              <w:t>''''''''''''''''''''''''''</w:t>
            </w:r>
          </w:p>
        </w:tc>
      </w:tr>
    </w:tbl>
    <w:p w:rsidR="009A07B6" w:rsidRPr="0042063A" w:rsidRDefault="009A07B6" w:rsidP="009A07B6">
      <w:pPr>
        <w:pStyle w:val="TableNote"/>
        <w:spacing w:before="0" w:line="240" w:lineRule="auto"/>
        <w:ind w:left="0" w:firstLine="0"/>
      </w:pPr>
      <w:r w:rsidRPr="0042063A">
        <w:t>Note that values differ from results presented in table 3.8-3 of the submission as the results above indicate no discounting from week 0- 50</w:t>
      </w:r>
    </w:p>
    <w:p w:rsidR="009A07B6" w:rsidRPr="0042063A" w:rsidRDefault="009A07B6" w:rsidP="009A07B6">
      <w:pPr>
        <w:pStyle w:val="TableNote"/>
        <w:spacing w:before="0" w:line="240" w:lineRule="auto"/>
        <w:ind w:left="0" w:firstLine="0"/>
      </w:pPr>
      <w:r w:rsidRPr="0042063A">
        <w:t xml:space="preserve">Text in italics indicate values calculated during evaluation </w:t>
      </w:r>
    </w:p>
    <w:p w:rsidR="009A07B6" w:rsidRPr="0042063A" w:rsidRDefault="009A07B6" w:rsidP="009A07B6">
      <w:pPr>
        <w:pStyle w:val="TableNote"/>
        <w:spacing w:before="0" w:line="240" w:lineRule="auto"/>
        <w:ind w:left="0" w:firstLine="0"/>
      </w:pPr>
      <w:r w:rsidRPr="0042063A">
        <w:t>Source: Constructed during evaluation Brineura (cerliponase alfa) Economic Evaluation .</w:t>
      </w:r>
      <w:proofErr w:type="spellStart"/>
      <w:r w:rsidRPr="0042063A">
        <w:t>xlsx</w:t>
      </w:r>
      <w:proofErr w:type="spellEnd"/>
      <w:r w:rsidRPr="0042063A">
        <w:t xml:space="preserve"> </w:t>
      </w:r>
    </w:p>
    <w:p w:rsidR="009A07B6" w:rsidRDefault="009A07B6" w:rsidP="009A07B6">
      <w:pPr>
        <w:pStyle w:val="TableNote"/>
        <w:spacing w:before="0" w:line="240" w:lineRule="auto"/>
      </w:pPr>
    </w:p>
    <w:p w:rsidR="00E82FEF" w:rsidRDefault="00E82FEF" w:rsidP="00E82FEF">
      <w:pPr>
        <w:rPr>
          <w:color w:val="000000" w:themeColor="text1"/>
        </w:rPr>
      </w:pPr>
      <w:r>
        <w:rPr>
          <w:color w:val="000000" w:themeColor="text1"/>
        </w:rPr>
        <w:t xml:space="preserve">The redacted table shows </w:t>
      </w:r>
      <w:r w:rsidR="00560251">
        <w:rPr>
          <w:color w:val="000000" w:themeColor="text1"/>
        </w:rPr>
        <w:t>ICERS</w:t>
      </w:r>
      <w:r w:rsidR="00B35E3E">
        <w:rPr>
          <w:color w:val="000000" w:themeColor="text1"/>
        </w:rPr>
        <w:t xml:space="preserve"> </w:t>
      </w:r>
      <w:r>
        <w:rPr>
          <w:color w:val="000000" w:themeColor="text1"/>
        </w:rPr>
        <w:t>in the range of more than $200,000/QALY.</w:t>
      </w:r>
    </w:p>
    <w:p w:rsidR="00E82FEF" w:rsidRPr="0042063A" w:rsidRDefault="00E82FEF" w:rsidP="009A07B6">
      <w:pPr>
        <w:pStyle w:val="TableNote"/>
        <w:spacing w:before="0" w:line="240" w:lineRule="auto"/>
      </w:pPr>
    </w:p>
    <w:p w:rsidR="00ED5217" w:rsidRPr="0042063A" w:rsidRDefault="00BC663E" w:rsidP="009A07B6">
      <w:pPr>
        <w:pStyle w:val="ListParagraph"/>
        <w:numPr>
          <w:ilvl w:val="1"/>
          <w:numId w:val="2"/>
        </w:numPr>
        <w:spacing w:before="0" w:after="120"/>
      </w:pPr>
      <w:r w:rsidRPr="0042063A">
        <w:t>The ESC w</w:t>
      </w:r>
      <w:r w:rsidR="00FF6507" w:rsidRPr="0042063A">
        <w:t>as</w:t>
      </w:r>
      <w:r w:rsidRPr="0042063A">
        <w:t xml:space="preserve"> uncertain whether a </w:t>
      </w:r>
      <w:r w:rsidR="006E2381">
        <w:rPr>
          <w:noProof/>
          <w:color w:val="000000"/>
          <w:highlight w:val="black"/>
        </w:rPr>
        <w:t>'''''''''</w:t>
      </w:r>
      <w:r w:rsidR="00991A73">
        <w:rPr>
          <w:rFonts w:ascii="Calibri" w:eastAsia="Calibri" w:hAnsi="Calibri" w:cs="Arial"/>
        </w:rPr>
        <w:t xml:space="preserve"> </w:t>
      </w:r>
      <w:r w:rsidRPr="0042063A">
        <w:t xml:space="preserve">incremental LYG was plausible given the limited long term data and </w:t>
      </w:r>
      <w:r w:rsidR="00294E7D" w:rsidRPr="0042063A">
        <w:t>uncertainty around the method used to estimate the rate of decline in Study 901 (see paragraph</w:t>
      </w:r>
      <w:r w:rsidR="00C83423" w:rsidRPr="0042063A">
        <w:t xml:space="preserve"> 6.16</w:t>
      </w:r>
      <w:r w:rsidR="00484C1A">
        <w:t>).</w:t>
      </w:r>
    </w:p>
    <w:p w:rsidR="009A07B6" w:rsidRPr="0042063A" w:rsidRDefault="009A07B6" w:rsidP="009A07B6">
      <w:pPr>
        <w:pStyle w:val="ListParagraph"/>
        <w:numPr>
          <w:ilvl w:val="1"/>
          <w:numId w:val="2"/>
        </w:numPr>
        <w:spacing w:before="0" w:after="120"/>
      </w:pPr>
      <w:r w:rsidRPr="0042063A">
        <w:t>Utilising the UK utility study data results in potentially implausible utility outcomes in patients treated with standard care, in which the aggregate utility for these patients over the remainder of their life in the model is negative.</w:t>
      </w:r>
      <w:r w:rsidR="00292839">
        <w:t xml:space="preserve"> </w:t>
      </w:r>
    </w:p>
    <w:p w:rsidR="009A07B6" w:rsidRPr="0042063A" w:rsidRDefault="009A07B6" w:rsidP="00740740">
      <w:pPr>
        <w:pStyle w:val="ListParagraph"/>
        <w:numPr>
          <w:ilvl w:val="1"/>
          <w:numId w:val="2"/>
        </w:numPr>
        <w:spacing w:before="0" w:after="240"/>
        <w:ind w:left="578" w:hanging="578"/>
      </w:pPr>
      <w:r w:rsidRPr="0042063A">
        <w:t xml:space="preserve">Key univariate sensitivity </w:t>
      </w:r>
      <w:r w:rsidR="00740740" w:rsidRPr="0042063A">
        <w:t xml:space="preserve">analyses </w:t>
      </w:r>
      <w:r w:rsidRPr="0042063A">
        <w:t xml:space="preserve">conducted by the submission and during </w:t>
      </w:r>
      <w:r w:rsidR="00740740" w:rsidRPr="0042063A">
        <w:t xml:space="preserve">the </w:t>
      </w:r>
      <w:r w:rsidRPr="0042063A">
        <w:t xml:space="preserve">evaluation </w:t>
      </w:r>
      <w:r w:rsidR="00740740" w:rsidRPr="0042063A">
        <w:t>are</w:t>
      </w:r>
      <w:r w:rsidRPr="0042063A">
        <w:t xml:space="preserve"> </w:t>
      </w:r>
      <w:r w:rsidRPr="0042063A">
        <w:rPr>
          <w:rFonts w:ascii="Calibri" w:hAnsi="Calibri"/>
        </w:rPr>
        <w:t xml:space="preserve">summarised in </w:t>
      </w:r>
      <w:r w:rsidR="00740740" w:rsidRPr="0042063A">
        <w:rPr>
          <w:rFonts w:ascii="Calibri" w:hAnsi="Calibri"/>
        </w:rPr>
        <w:t xml:space="preserve">Table </w:t>
      </w:r>
      <w:r w:rsidR="00740740" w:rsidRPr="0042063A">
        <w:rPr>
          <w:rFonts w:ascii="Calibri" w:hAnsi="Calibri"/>
          <w:noProof/>
        </w:rPr>
        <w:t>10</w:t>
      </w:r>
      <w:r w:rsidRPr="0042063A">
        <w:t>.</w:t>
      </w:r>
      <w:r w:rsidR="00292839">
        <w:t xml:space="preserve"> </w:t>
      </w:r>
    </w:p>
    <w:p w:rsidR="002B0E3F" w:rsidRPr="0042063A" w:rsidRDefault="002B0E3F">
      <w:pPr>
        <w:spacing w:before="0" w:line="259" w:lineRule="auto"/>
        <w:jc w:val="left"/>
        <w:rPr>
          <w:rFonts w:ascii="Arial Narrow" w:hAnsi="Arial Narrow"/>
          <w:b/>
          <w:iCs/>
          <w:sz w:val="20"/>
          <w:szCs w:val="18"/>
        </w:rPr>
      </w:pPr>
      <w:bookmarkStart w:id="33" w:name="_Ref512278334"/>
      <w:r w:rsidRPr="0042063A">
        <w:rPr>
          <w:rFonts w:ascii="Arial Narrow" w:hAnsi="Arial Narrow"/>
        </w:rPr>
        <w:br w:type="page"/>
      </w:r>
    </w:p>
    <w:p w:rsidR="009A07B6" w:rsidRPr="0042063A" w:rsidRDefault="00740740" w:rsidP="00740740">
      <w:pPr>
        <w:pStyle w:val="Caption"/>
        <w:rPr>
          <w:rFonts w:ascii="Arial Narrow" w:hAnsi="Arial Narrow"/>
        </w:rPr>
      </w:pPr>
      <w:r w:rsidRPr="0042063A">
        <w:rPr>
          <w:rFonts w:ascii="Arial Narrow" w:hAnsi="Arial Narrow"/>
        </w:rPr>
        <w:lastRenderedPageBreak/>
        <w:t xml:space="preserve">Table </w:t>
      </w:r>
      <w:bookmarkEnd w:id="33"/>
      <w:r w:rsidR="00084161" w:rsidRPr="0042063A">
        <w:rPr>
          <w:rFonts w:ascii="Arial Narrow" w:hAnsi="Arial Narrow"/>
        </w:rPr>
        <w:t>11</w:t>
      </w:r>
      <w:r w:rsidR="009A07B6" w:rsidRPr="0042063A">
        <w:rPr>
          <w:rFonts w:ascii="Arial Narrow" w:hAnsi="Arial Narrow"/>
        </w:rPr>
        <w:t>: Results of univariate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1"/>
        <w:gridCol w:w="1085"/>
        <w:gridCol w:w="1282"/>
        <w:gridCol w:w="1449"/>
        <w:gridCol w:w="1449"/>
        <w:gridCol w:w="1446"/>
      </w:tblGrid>
      <w:tr w:rsidR="009A07B6" w:rsidRPr="0042063A" w:rsidTr="008E0970">
        <w:trPr>
          <w:tblHeader/>
        </w:trPr>
        <w:tc>
          <w:tcPr>
            <w:tcW w:w="1305"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left"/>
              <w:rPr>
                <w:b/>
                <w:szCs w:val="20"/>
              </w:rPr>
            </w:pPr>
            <w:r w:rsidRPr="0042063A">
              <w:rPr>
                <w:b/>
                <w:szCs w:val="20"/>
              </w:rPr>
              <w:t>Univariate analyses</w:t>
            </w:r>
          </w:p>
        </w:tc>
        <w:tc>
          <w:tcPr>
            <w:tcW w:w="597"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szCs w:val="20"/>
              </w:rPr>
            </w:pPr>
            <w:r w:rsidRPr="0042063A">
              <w:rPr>
                <w:b/>
                <w:szCs w:val="20"/>
              </w:rPr>
              <w:t>Incremental costs</w:t>
            </w:r>
          </w:p>
        </w:tc>
        <w:tc>
          <w:tcPr>
            <w:tcW w:w="706"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szCs w:val="20"/>
              </w:rPr>
            </w:pPr>
            <w:r w:rsidRPr="0042063A">
              <w:rPr>
                <w:b/>
                <w:szCs w:val="20"/>
              </w:rPr>
              <w:t>Incremental life year gained</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szCs w:val="20"/>
              </w:rPr>
            </w:pPr>
            <w:r w:rsidRPr="0042063A">
              <w:rPr>
                <w:b/>
                <w:szCs w:val="20"/>
              </w:rPr>
              <w:t>Incremental QALY gain</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szCs w:val="20"/>
              </w:rPr>
            </w:pPr>
            <w:r w:rsidRPr="0042063A">
              <w:rPr>
                <w:b/>
                <w:szCs w:val="20"/>
              </w:rPr>
              <w:t>ICER (LYG)</w:t>
            </w:r>
          </w:p>
        </w:tc>
        <w:tc>
          <w:tcPr>
            <w:tcW w:w="796"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szCs w:val="20"/>
              </w:rPr>
            </w:pPr>
            <w:r w:rsidRPr="0042063A">
              <w:rPr>
                <w:b/>
                <w:szCs w:val="20"/>
              </w:rPr>
              <w:t>ICER (QALY)</w:t>
            </w:r>
          </w:p>
        </w:tc>
      </w:tr>
      <w:tr w:rsidR="009A07B6"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left"/>
              <w:rPr>
                <w:b/>
                <w:szCs w:val="20"/>
              </w:rPr>
            </w:pPr>
            <w:r w:rsidRPr="0042063A">
              <w:rPr>
                <w:b/>
                <w:szCs w:val="20"/>
              </w:rPr>
              <w:t>Base case</w:t>
            </w:r>
          </w:p>
        </w:tc>
        <w:tc>
          <w:tcPr>
            <w:tcW w:w="597"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szCs w:val="20"/>
              </w:rPr>
            </w:pPr>
            <w:r w:rsidRPr="0042063A">
              <w:rPr>
                <w:b/>
                <w:szCs w:val="20"/>
              </w:rPr>
              <w:t>$</w:t>
            </w:r>
            <w:r w:rsidR="006E2381">
              <w:rPr>
                <w:b/>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b/>
                <w:szCs w:val="20"/>
                <w:highlight w:val="black"/>
              </w:rPr>
            </w:pPr>
            <w:r>
              <w:rPr>
                <w:b/>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b/>
                <w:szCs w:val="20"/>
                <w:highlight w:val="black"/>
              </w:rPr>
            </w:pPr>
            <w:r>
              <w:rPr>
                <w:b/>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szCs w:val="20"/>
              </w:rPr>
            </w:pPr>
            <w:r w:rsidRPr="0042063A">
              <w:rPr>
                <w:b/>
                <w:szCs w:val="20"/>
              </w:rPr>
              <w:t>$</w:t>
            </w:r>
            <w:r w:rsidR="006E2381">
              <w:rPr>
                <w:b/>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szCs w:val="20"/>
              </w:rPr>
            </w:pPr>
            <w:r w:rsidRPr="0042063A">
              <w:rPr>
                <w:b/>
                <w:szCs w:val="20"/>
              </w:rPr>
              <w:t>$</w:t>
            </w:r>
            <w:r w:rsidR="006E2381">
              <w:rPr>
                <w:b/>
                <w:noProof/>
                <w:color w:val="000000"/>
                <w:szCs w:val="20"/>
                <w:highlight w:val="black"/>
              </w:rPr>
              <w:t>''''''''''''''''''''</w:t>
            </w:r>
          </w:p>
        </w:tc>
      </w:tr>
      <w:tr w:rsidR="009A07B6"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left"/>
              <w:rPr>
                <w:b/>
                <w:szCs w:val="20"/>
              </w:rPr>
            </w:pPr>
            <w:r w:rsidRPr="0042063A">
              <w:rPr>
                <w:b/>
                <w:szCs w:val="20"/>
              </w:rPr>
              <w:t>Base case with corrected discounting (no discounting in weeks 0-50)</w:t>
            </w:r>
          </w:p>
        </w:tc>
        <w:tc>
          <w:tcPr>
            <w:tcW w:w="597"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i/>
                <w:szCs w:val="20"/>
              </w:rPr>
            </w:pPr>
            <w:r w:rsidRPr="0042063A">
              <w:rPr>
                <w:b/>
                <w:i/>
                <w:szCs w:val="20"/>
              </w:rPr>
              <w:t>$</w:t>
            </w:r>
            <w:r w:rsidR="006E2381">
              <w:rPr>
                <w:b/>
                <w:i/>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b/>
                <w:i/>
                <w:szCs w:val="20"/>
                <w:highlight w:val="black"/>
              </w:rPr>
            </w:pPr>
            <w:r>
              <w:rPr>
                <w:b/>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b/>
                <w:i/>
                <w:szCs w:val="20"/>
                <w:highlight w:val="black"/>
              </w:rPr>
            </w:pPr>
            <w:r>
              <w:rPr>
                <w:b/>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i/>
                <w:szCs w:val="20"/>
              </w:rPr>
            </w:pPr>
            <w:r w:rsidRPr="0042063A">
              <w:rPr>
                <w:b/>
                <w:i/>
                <w:szCs w:val="20"/>
              </w:rPr>
              <w:t>$</w:t>
            </w:r>
            <w:r w:rsidR="006E2381">
              <w:rPr>
                <w:b/>
                <w:i/>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b/>
                <w:i/>
                <w:szCs w:val="20"/>
              </w:rPr>
            </w:pPr>
            <w:r w:rsidRPr="0042063A">
              <w:rPr>
                <w:b/>
                <w:i/>
                <w:szCs w:val="20"/>
              </w:rPr>
              <w:t>$</w:t>
            </w:r>
            <w:r w:rsidR="006E2381">
              <w:rPr>
                <w:b/>
                <w:i/>
                <w:noProof/>
                <w:color w:val="000000"/>
                <w:szCs w:val="20"/>
                <w:highlight w:val="black"/>
              </w:rPr>
              <w:t>'''''''''''''''''''</w:t>
            </w:r>
          </w:p>
        </w:tc>
      </w:tr>
      <w:tr w:rsidR="009A07B6"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left"/>
              <w:rPr>
                <w:rFonts w:eastAsia="Times New Roman" w:cs="Times New Roman"/>
                <w:szCs w:val="20"/>
              </w:rPr>
            </w:pPr>
            <w:r w:rsidRPr="0042063A">
              <w:rPr>
                <w:rFonts w:cstheme="minorHAnsi"/>
                <w:szCs w:val="20"/>
              </w:rPr>
              <w:t>Survival – Nickel et al 2016 (vs Matched AUC)</w:t>
            </w:r>
          </w:p>
        </w:tc>
        <w:tc>
          <w:tcPr>
            <w:tcW w:w="597"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i/>
                <w:szCs w:val="20"/>
              </w:rPr>
            </w:pPr>
            <w:r w:rsidRPr="0042063A">
              <w:rPr>
                <w:rFonts w:cs="Calibri"/>
                <w:i/>
                <w:szCs w:val="20"/>
              </w:rPr>
              <w:t>$</w:t>
            </w:r>
            <w:r w:rsidR="006E2381">
              <w:rPr>
                <w:rFonts w:cs="Calibri"/>
                <w:i/>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i/>
                <w:szCs w:val="20"/>
              </w:rPr>
            </w:pPr>
            <w:r w:rsidRPr="0042063A">
              <w:rPr>
                <w:i/>
                <w:szCs w:val="20"/>
              </w:rPr>
              <w:t>$</w:t>
            </w:r>
            <w:r w:rsidR="006E2381">
              <w:rPr>
                <w:i/>
                <w:noProof/>
                <w:color w:val="000000"/>
                <w:szCs w:val="20"/>
                <w:highlight w:val="black"/>
              </w:rPr>
              <w:t>'''''''''''''''''''''''</w:t>
            </w:r>
          </w:p>
        </w:tc>
      </w:tr>
      <w:tr w:rsidR="009A07B6"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left"/>
              <w:rPr>
                <w:szCs w:val="20"/>
              </w:rPr>
            </w:pPr>
            <w:r w:rsidRPr="0042063A">
              <w:rPr>
                <w:rFonts w:cstheme="minorHAnsi"/>
                <w:szCs w:val="20"/>
              </w:rPr>
              <w:t>Discount rate: 0%</w:t>
            </w:r>
          </w:p>
        </w:tc>
        <w:tc>
          <w:tcPr>
            <w:tcW w:w="597"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szCs w:val="20"/>
              </w:rPr>
            </w:pPr>
            <w:r w:rsidRPr="0042063A">
              <w:rPr>
                <w:szCs w:val="20"/>
              </w:rPr>
              <w:t>$</w:t>
            </w:r>
            <w:r w:rsidR="006E2381">
              <w:rPr>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szCs w:val="20"/>
                <w:highlight w:val="black"/>
              </w:rPr>
            </w:pPr>
            <w:r>
              <w:rPr>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rFonts w:cs="Calibri"/>
                <w:szCs w:val="20"/>
                <w:highlight w:val="black"/>
              </w:rPr>
            </w:pPr>
            <w:r>
              <w:rPr>
                <w:rFonts w:cs="Calibr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rFonts w:cs="Calibri"/>
                <w:szCs w:val="20"/>
              </w:rPr>
            </w:pPr>
            <w:r w:rsidRPr="0042063A">
              <w:rPr>
                <w:rFonts w:cs="Calibri"/>
                <w:szCs w:val="20"/>
              </w:rPr>
              <w:t>$</w:t>
            </w:r>
            <w:r w:rsidR="006E2381">
              <w:rPr>
                <w:rFonts w:cs="Calibri"/>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szCs w:val="20"/>
              </w:rPr>
            </w:pPr>
            <w:r w:rsidRPr="0042063A">
              <w:rPr>
                <w:szCs w:val="20"/>
              </w:rPr>
              <w:t>$</w:t>
            </w:r>
            <w:r w:rsidR="006E2381">
              <w:rPr>
                <w:noProof/>
                <w:color w:val="000000"/>
                <w:szCs w:val="20"/>
                <w:highlight w:val="black"/>
              </w:rPr>
              <w:t>''''''''''''''''''''''</w:t>
            </w:r>
          </w:p>
        </w:tc>
      </w:tr>
      <w:tr w:rsidR="008E0970"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left"/>
              <w:rPr>
                <w:rFonts w:cstheme="minorHAnsi"/>
                <w:i/>
                <w:szCs w:val="20"/>
              </w:rPr>
            </w:pPr>
            <w:r w:rsidRPr="0042063A">
              <w:rPr>
                <w:rFonts w:cstheme="minorHAnsi"/>
                <w:i/>
                <w:szCs w:val="20"/>
              </w:rPr>
              <w:t>Assume all patients start at ML score = 6 (baseline distributed as in Study 201/202)</w:t>
            </w:r>
          </w:p>
        </w:tc>
        <w:tc>
          <w:tcPr>
            <w:tcW w:w="597"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8E0970"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8E0970"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r>
      <w:tr w:rsidR="009A07B6"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left"/>
              <w:rPr>
                <w:rFonts w:cstheme="minorHAnsi"/>
                <w:i/>
                <w:szCs w:val="20"/>
              </w:rPr>
            </w:pPr>
            <w:r w:rsidRPr="0042063A">
              <w:rPr>
                <w:rFonts w:cstheme="minorHAnsi"/>
                <w:i/>
                <w:szCs w:val="20"/>
              </w:rPr>
              <w:t>Assume patients don’t stop cerliponase till death (base case stop when ML score =0)</w:t>
            </w:r>
            <w:r w:rsidR="008E0970" w:rsidRPr="0042063A">
              <w:rPr>
                <w:rFonts w:cstheme="minorHAnsi"/>
                <w:i/>
                <w:szCs w:val="20"/>
              </w:rPr>
              <w:t xml:space="preserve"> see 6.29</w:t>
            </w:r>
          </w:p>
        </w:tc>
        <w:tc>
          <w:tcPr>
            <w:tcW w:w="597"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rFonts w:cs="Calibri"/>
                <w:i/>
                <w:szCs w:val="20"/>
                <w:highlight w:val="black"/>
                <w:vertAlign w:val="superscript"/>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r>
      <w:tr w:rsidR="009A07B6"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left"/>
              <w:rPr>
                <w:rFonts w:cstheme="minorHAnsi"/>
                <w:i/>
                <w:szCs w:val="20"/>
              </w:rPr>
            </w:pPr>
            <w:r w:rsidRPr="0042063A">
              <w:rPr>
                <w:rFonts w:cstheme="minorHAnsi"/>
                <w:i/>
                <w:szCs w:val="20"/>
              </w:rPr>
              <w:t>Using round 20 costs for ICV and feeding tube insertion</w:t>
            </w:r>
            <w:r w:rsidRPr="0042063A">
              <w:rPr>
                <w:rFonts w:cstheme="minorHAnsi"/>
                <w:i/>
                <w:szCs w:val="20"/>
                <w:vertAlign w:val="superscript"/>
              </w:rPr>
              <w:t>3</w:t>
            </w:r>
            <w:r w:rsidR="008E0970" w:rsidRPr="0042063A">
              <w:rPr>
                <w:rFonts w:cstheme="minorHAnsi"/>
                <w:i/>
                <w:szCs w:val="20"/>
                <w:vertAlign w:val="superscript"/>
              </w:rPr>
              <w:t xml:space="preserve"> </w:t>
            </w:r>
            <w:r w:rsidR="008E0970" w:rsidRPr="0042063A">
              <w:rPr>
                <w:rFonts w:cstheme="minorHAnsi"/>
                <w:i/>
                <w:szCs w:val="20"/>
              </w:rPr>
              <w:t>(base case round 19 costs) see 6.30</w:t>
            </w:r>
          </w:p>
        </w:tc>
        <w:tc>
          <w:tcPr>
            <w:tcW w:w="597"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9A07B6" w:rsidRPr="0042063A" w:rsidRDefault="009A07B6"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r>
      <w:tr w:rsidR="008E0970" w:rsidRPr="0042063A" w:rsidTr="008E0970">
        <w:tc>
          <w:tcPr>
            <w:tcW w:w="5000" w:type="pct"/>
            <w:gridSpan w:val="6"/>
            <w:tcBorders>
              <w:top w:val="single" w:sz="4" w:space="0" w:color="auto"/>
              <w:left w:val="single" w:sz="4" w:space="0" w:color="auto"/>
              <w:bottom w:val="single" w:sz="4" w:space="0" w:color="auto"/>
              <w:right w:val="single" w:sz="4" w:space="0" w:color="auto"/>
            </w:tcBorders>
            <w:vAlign w:val="center"/>
          </w:tcPr>
          <w:p w:rsidR="008E0970" w:rsidRPr="006E2381" w:rsidRDefault="008E0970" w:rsidP="008E0970">
            <w:pPr>
              <w:pStyle w:val="TableText"/>
              <w:keepNext w:val="0"/>
              <w:widowControl w:val="0"/>
              <w:jc w:val="left"/>
              <w:rPr>
                <w:rFonts w:cs="Calibri"/>
                <w:b/>
                <w:i/>
                <w:szCs w:val="20"/>
              </w:rPr>
            </w:pPr>
            <w:r w:rsidRPr="00640F4B">
              <w:rPr>
                <w:rFonts w:cs="Calibri"/>
                <w:b/>
                <w:i/>
                <w:szCs w:val="20"/>
              </w:rPr>
              <w:t>Key drivers (</w:t>
            </w:r>
            <w:r w:rsidR="00BA77D4" w:rsidRPr="00640F4B">
              <w:rPr>
                <w:rFonts w:cs="Calibri"/>
                <w:b/>
                <w:i/>
                <w:szCs w:val="20"/>
              </w:rPr>
              <w:t xml:space="preserve">discussed in table </w:t>
            </w:r>
            <w:r w:rsidRPr="00640F4B">
              <w:rPr>
                <w:rFonts w:cs="Calibri"/>
                <w:b/>
                <w:i/>
                <w:szCs w:val="20"/>
              </w:rPr>
              <w:t>8)</w:t>
            </w:r>
          </w:p>
        </w:tc>
      </w:tr>
      <w:tr w:rsidR="008E0970"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left"/>
              <w:rPr>
                <w:rFonts w:cstheme="minorHAnsi"/>
                <w:i/>
                <w:szCs w:val="20"/>
              </w:rPr>
            </w:pPr>
            <w:r w:rsidRPr="0042063A">
              <w:rPr>
                <w:rFonts w:cstheme="minorHAnsi"/>
                <w:i/>
                <w:szCs w:val="20"/>
              </w:rPr>
              <w:t>Lowering cost of cerliponase alfa by 90%</w:t>
            </w:r>
          </w:p>
        </w:tc>
        <w:tc>
          <w:tcPr>
            <w:tcW w:w="597"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8E0970" w:rsidRPr="006E2381" w:rsidRDefault="006E2381" w:rsidP="008E0970">
            <w:pPr>
              <w:pStyle w:val="TableText"/>
              <w:keepNext w:val="0"/>
              <w:widowControl w:val="0"/>
              <w:jc w:val="center"/>
              <w:rPr>
                <w:rFonts w:cs="Calibri"/>
                <w:szCs w:val="20"/>
                <w:highlight w:val="black"/>
              </w:rPr>
            </w:pPr>
            <w:r>
              <w:rPr>
                <w:rFonts w:cs="Calibr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8E0970" w:rsidRPr="006E2381" w:rsidRDefault="006E2381" w:rsidP="008E0970">
            <w:pPr>
              <w:pStyle w:val="TableText"/>
              <w:keepNext w:val="0"/>
              <w:widowControl w:val="0"/>
              <w:jc w:val="center"/>
              <w:rPr>
                <w:rFonts w:cs="Calibri"/>
                <w:szCs w:val="20"/>
                <w:highlight w:val="black"/>
              </w:rPr>
            </w:pPr>
            <w:r>
              <w:rPr>
                <w:rFonts w:cs="Calibr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r>
      <w:tr w:rsidR="008E0970"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left"/>
              <w:rPr>
                <w:rFonts w:cstheme="minorHAnsi"/>
                <w:i/>
                <w:szCs w:val="20"/>
              </w:rPr>
            </w:pPr>
            <w:r w:rsidRPr="0042063A">
              <w:rPr>
                <w:rFonts w:cstheme="minorHAnsi"/>
                <w:i/>
                <w:szCs w:val="20"/>
              </w:rPr>
              <w:t>Assume 96+ week transition to be same as standard care in both treatment arms</w:t>
            </w:r>
          </w:p>
        </w:tc>
        <w:tc>
          <w:tcPr>
            <w:tcW w:w="597"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8E0970"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8E0970"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r>
      <w:tr w:rsidR="008E0970" w:rsidRPr="0042063A" w:rsidTr="008E0970">
        <w:tc>
          <w:tcPr>
            <w:tcW w:w="1305"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left"/>
              <w:rPr>
                <w:rFonts w:cstheme="minorHAnsi"/>
                <w:i/>
                <w:szCs w:val="20"/>
              </w:rPr>
            </w:pPr>
            <w:r w:rsidRPr="0042063A">
              <w:rPr>
                <w:rFonts w:cstheme="minorHAnsi"/>
                <w:i/>
                <w:szCs w:val="20"/>
              </w:rPr>
              <w:t>Using utility values from NICE</w:t>
            </w:r>
            <w:r w:rsidRPr="0042063A">
              <w:rPr>
                <w:rFonts w:cstheme="minorHAnsi"/>
                <w:i/>
                <w:szCs w:val="20"/>
                <w:vertAlign w:val="superscript"/>
              </w:rPr>
              <w:t>2</w:t>
            </w:r>
            <w:r w:rsidRPr="0042063A">
              <w:rPr>
                <w:rFonts w:cstheme="minorHAnsi"/>
                <w:i/>
                <w:szCs w:val="20"/>
              </w:rPr>
              <w:t xml:space="preserve"> </w:t>
            </w:r>
          </w:p>
        </w:tc>
        <w:tc>
          <w:tcPr>
            <w:tcW w:w="597"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06" w:type="pct"/>
            <w:tcBorders>
              <w:top w:val="single" w:sz="4" w:space="0" w:color="auto"/>
              <w:left w:val="single" w:sz="4" w:space="0" w:color="auto"/>
              <w:bottom w:val="single" w:sz="4" w:space="0" w:color="auto"/>
              <w:right w:val="single" w:sz="4" w:space="0" w:color="auto"/>
            </w:tcBorders>
            <w:vAlign w:val="center"/>
          </w:tcPr>
          <w:p w:rsidR="008E0970"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8E0970" w:rsidRPr="006E2381" w:rsidRDefault="006E2381" w:rsidP="008E0970">
            <w:pPr>
              <w:pStyle w:val="TableText"/>
              <w:keepNext w:val="0"/>
              <w:widowControl w:val="0"/>
              <w:jc w:val="center"/>
              <w:rPr>
                <w:rFonts w:cs="Calibri"/>
                <w:i/>
                <w:szCs w:val="20"/>
                <w:highlight w:val="black"/>
              </w:rPr>
            </w:pPr>
            <w:r>
              <w:rPr>
                <w:rFonts w:cs="Calibri"/>
                <w:i/>
                <w:noProof/>
                <w:color w:val="000000"/>
                <w:szCs w:val="20"/>
                <w:highlight w:val="black"/>
              </w:rPr>
              <w:t>''''''''''</w:t>
            </w:r>
          </w:p>
        </w:tc>
        <w:tc>
          <w:tcPr>
            <w:tcW w:w="798"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8E0970">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c>
          <w:tcPr>
            <w:tcW w:w="796" w:type="pct"/>
            <w:tcBorders>
              <w:top w:val="single" w:sz="4" w:space="0" w:color="auto"/>
              <w:left w:val="single" w:sz="4" w:space="0" w:color="auto"/>
              <w:bottom w:val="single" w:sz="4" w:space="0" w:color="auto"/>
              <w:right w:val="single" w:sz="4" w:space="0" w:color="auto"/>
            </w:tcBorders>
            <w:vAlign w:val="center"/>
          </w:tcPr>
          <w:p w:rsidR="008E0970" w:rsidRPr="0042063A" w:rsidRDefault="008E0970" w:rsidP="00EC3A7B">
            <w:pPr>
              <w:pStyle w:val="TableText"/>
              <w:keepNext w:val="0"/>
              <w:widowControl w:val="0"/>
              <w:jc w:val="center"/>
              <w:rPr>
                <w:rFonts w:cs="Calibri"/>
                <w:i/>
                <w:szCs w:val="20"/>
              </w:rPr>
            </w:pPr>
            <w:r w:rsidRPr="0042063A">
              <w:rPr>
                <w:rFonts w:cs="Calibri"/>
                <w:i/>
                <w:szCs w:val="20"/>
              </w:rPr>
              <w:t>$</w:t>
            </w:r>
            <w:r w:rsidR="006E2381">
              <w:rPr>
                <w:rFonts w:cs="Calibri"/>
                <w:i/>
                <w:noProof/>
                <w:color w:val="000000"/>
                <w:szCs w:val="20"/>
                <w:highlight w:val="black"/>
              </w:rPr>
              <w:t>''''''''''''''''''''''</w:t>
            </w:r>
          </w:p>
        </w:tc>
      </w:tr>
    </w:tbl>
    <w:p w:rsidR="009A07B6" w:rsidRPr="0042063A" w:rsidRDefault="009A07B6" w:rsidP="009A07B6">
      <w:pPr>
        <w:pStyle w:val="TableNote"/>
        <w:tabs>
          <w:tab w:val="clear" w:pos="144"/>
          <w:tab w:val="right" w:pos="426"/>
        </w:tabs>
        <w:spacing w:before="0" w:line="240" w:lineRule="auto"/>
        <w:ind w:left="284" w:hanging="284"/>
      </w:pPr>
      <w:r w:rsidRPr="0042063A">
        <w:rPr>
          <w:vertAlign w:val="superscript"/>
        </w:rPr>
        <w:t>1</w:t>
      </w:r>
      <w:r w:rsidRPr="0042063A">
        <w:rPr>
          <w:vertAlign w:val="superscript"/>
        </w:rPr>
        <w:tab/>
      </w:r>
      <w:r w:rsidRPr="0042063A">
        <w:t>Slight difference to base case due to more adverse events from longer cerliponase alfa treatment and higher disutility in cerliponase alfa treatment arm</w:t>
      </w:r>
    </w:p>
    <w:p w:rsidR="009A07B6" w:rsidRPr="0042063A" w:rsidRDefault="009A07B6" w:rsidP="009A07B6">
      <w:pPr>
        <w:pStyle w:val="TableNote"/>
        <w:tabs>
          <w:tab w:val="clear" w:pos="144"/>
          <w:tab w:val="right" w:pos="426"/>
        </w:tabs>
        <w:spacing w:before="0" w:line="240" w:lineRule="auto"/>
        <w:ind w:left="284" w:hanging="284"/>
      </w:pPr>
      <w:r w:rsidRPr="0042063A">
        <w:rPr>
          <w:vertAlign w:val="superscript"/>
        </w:rPr>
        <w:t>2</w:t>
      </w:r>
      <w:r w:rsidRPr="0042063A">
        <w:rPr>
          <w:vertAlign w:val="superscript"/>
        </w:rPr>
        <w:tab/>
      </w:r>
      <w:r w:rsidRPr="0042063A">
        <w:t xml:space="preserve">See Table </w:t>
      </w:r>
      <w:r w:rsidR="00C133FB" w:rsidRPr="0042063A">
        <w:t xml:space="preserve">3.3-2, p129 of the submission. </w:t>
      </w:r>
    </w:p>
    <w:p w:rsidR="009A07B6" w:rsidRPr="0042063A" w:rsidRDefault="009A07B6" w:rsidP="009A07B6">
      <w:pPr>
        <w:pStyle w:val="TableNote"/>
        <w:tabs>
          <w:tab w:val="clear" w:pos="144"/>
          <w:tab w:val="right" w:pos="426"/>
        </w:tabs>
        <w:spacing w:before="0" w:line="240" w:lineRule="auto"/>
        <w:ind w:left="284" w:hanging="284"/>
        <w:rPr>
          <w:i/>
        </w:rPr>
      </w:pPr>
      <w:r w:rsidRPr="0042063A">
        <w:rPr>
          <w:vertAlign w:val="superscript"/>
        </w:rPr>
        <w:t>3</w:t>
      </w:r>
      <w:r w:rsidRPr="0042063A">
        <w:rPr>
          <w:vertAlign w:val="superscript"/>
        </w:rPr>
        <w:tab/>
      </w:r>
      <w:r w:rsidRPr="0042063A">
        <w:t>Base case $</w:t>
      </w:r>
      <w:r w:rsidR="006E2381">
        <w:rPr>
          <w:noProof/>
          <w:color w:val="000000"/>
          <w:highlight w:val="black"/>
        </w:rPr>
        <w:t>'''''''''''''''''''''''</w:t>
      </w:r>
      <w:r w:rsidRPr="0042063A">
        <w:t xml:space="preserve"> and $</w:t>
      </w:r>
      <w:r w:rsidR="006E2381">
        <w:rPr>
          <w:noProof/>
          <w:color w:val="000000"/>
          <w:highlight w:val="black"/>
        </w:rPr>
        <w:t>''''''''''''''''</w:t>
      </w:r>
      <w:r w:rsidRPr="0042063A">
        <w:t xml:space="preserve"> for ICV and feeding tube insertion respectively.</w:t>
      </w:r>
      <w:r w:rsidR="00292839">
        <w:t xml:space="preserve"> </w:t>
      </w:r>
      <w:r w:rsidRPr="0042063A">
        <w:t>Round 20 estimates are $</w:t>
      </w:r>
      <w:r w:rsidR="006E2381">
        <w:rPr>
          <w:noProof/>
          <w:color w:val="000000"/>
          <w:highlight w:val="black"/>
        </w:rPr>
        <w:t>'''''''''''''''</w:t>
      </w:r>
      <w:r w:rsidRPr="0042063A">
        <w:t xml:space="preserve"> and $</w:t>
      </w:r>
      <w:r w:rsidR="006E2381">
        <w:rPr>
          <w:noProof/>
          <w:color w:val="000000"/>
          <w:highlight w:val="black"/>
        </w:rPr>
        <w:t>''''''''''''''''</w:t>
      </w:r>
      <w:r w:rsidRPr="0042063A">
        <w:t xml:space="preserve"> respectively.</w:t>
      </w:r>
      <w:r w:rsidR="00292839">
        <w:t xml:space="preserve"> </w:t>
      </w:r>
      <w:r w:rsidR="00452F3F" w:rsidRPr="0042063A">
        <w:t>Cost of feeding tube based on AR-DRG G47A.</w:t>
      </w:r>
      <w:r w:rsidR="007E79E9" w:rsidRPr="0042063A">
        <w:t xml:space="preserve"> </w:t>
      </w:r>
      <w:r w:rsidR="007E79E9" w:rsidRPr="0042063A">
        <w:rPr>
          <w:i/>
        </w:rPr>
        <w:t>The sponsor clarified that the cost of a feeding tube should have been $</w:t>
      </w:r>
      <w:r w:rsidR="007E79E9" w:rsidRPr="00307E22">
        <w:rPr>
          <w:i/>
        </w:rPr>
        <w:t>9,726</w:t>
      </w:r>
      <w:r w:rsidR="007E79E9" w:rsidRPr="0042063A">
        <w:rPr>
          <w:i/>
        </w:rPr>
        <w:t xml:space="preserve"> based on AR-DRG G46A.</w:t>
      </w:r>
    </w:p>
    <w:p w:rsidR="009A07B6" w:rsidRPr="0042063A" w:rsidRDefault="009A07B6" w:rsidP="009A07B6">
      <w:pPr>
        <w:pStyle w:val="TableNote"/>
        <w:spacing w:before="0" w:line="240" w:lineRule="auto"/>
      </w:pPr>
      <w:r w:rsidRPr="0042063A">
        <w:t xml:space="preserve">Text in italics indicate analyses conducted and values calculated during evaluation </w:t>
      </w:r>
    </w:p>
    <w:p w:rsidR="009A07B6" w:rsidRPr="0042063A" w:rsidRDefault="009A07B6" w:rsidP="009A07B6">
      <w:pPr>
        <w:pStyle w:val="TableNote"/>
        <w:spacing w:before="0" w:line="240" w:lineRule="auto"/>
      </w:pPr>
      <w:r w:rsidRPr="0042063A">
        <w:t>Abbreviation: AUC = area under curve, ML = motor language, ICER = incremental cost effectiveness ratio,</w:t>
      </w:r>
      <w:r w:rsidR="00A34816" w:rsidRPr="0042063A">
        <w:t xml:space="preserve"> </w:t>
      </w:r>
      <w:r w:rsidR="00A34816" w:rsidRPr="0042063A">
        <w:rPr>
          <w:szCs w:val="18"/>
        </w:rPr>
        <w:t>ICV = intracerebral ventricular,</w:t>
      </w:r>
      <w:r w:rsidRPr="0042063A">
        <w:t xml:space="preserve"> QALY = quality adjusted life year, LYG = life year gain </w:t>
      </w:r>
    </w:p>
    <w:p w:rsidR="009A07B6" w:rsidRPr="0042063A" w:rsidRDefault="009A07B6" w:rsidP="00740740">
      <w:pPr>
        <w:pStyle w:val="TableNote"/>
        <w:spacing w:before="0" w:after="240" w:line="240" w:lineRule="auto"/>
      </w:pPr>
      <w:r w:rsidRPr="0042063A">
        <w:t>Source: Table 3.8-3, p158 of the submission, Brineura (cerliponase alfa) Economic Evaluation .</w:t>
      </w:r>
      <w:proofErr w:type="spellStart"/>
      <w:r w:rsidRPr="0042063A">
        <w:t>xlsx</w:t>
      </w:r>
      <w:proofErr w:type="spellEnd"/>
      <w:r w:rsidRPr="0042063A">
        <w:t xml:space="preserve"> </w:t>
      </w:r>
    </w:p>
    <w:p w:rsidR="00E14600" w:rsidRDefault="00E14600" w:rsidP="00AF05B2">
      <w:pPr>
        <w:spacing w:before="0" w:after="240"/>
      </w:pPr>
      <w:r>
        <w:rPr>
          <w:color w:val="000000" w:themeColor="text1"/>
        </w:rPr>
        <w:t>The redacted table shows ICERs in the range</w:t>
      </w:r>
      <w:r w:rsidR="00D15BAF">
        <w:rPr>
          <w:color w:val="000000" w:themeColor="text1"/>
        </w:rPr>
        <w:t>s</w:t>
      </w:r>
      <w:r>
        <w:rPr>
          <w:color w:val="000000" w:themeColor="text1"/>
        </w:rPr>
        <w:t xml:space="preserve"> of </w:t>
      </w:r>
      <w:r w:rsidR="005D24AD">
        <w:rPr>
          <w:color w:val="000000" w:themeColor="text1"/>
        </w:rPr>
        <w:t xml:space="preserve">$105,000/LYG - $200,000/LYG and more than $200,000/LYG; and </w:t>
      </w:r>
      <w:r w:rsidR="00D15BAF">
        <w:rPr>
          <w:color w:val="000000" w:themeColor="text1"/>
        </w:rPr>
        <w:t xml:space="preserve">$105,000/QALY - $200,000/QALY and </w:t>
      </w:r>
      <w:r>
        <w:rPr>
          <w:color w:val="000000" w:themeColor="text1"/>
        </w:rPr>
        <w:t>more than $200,000/QALY.</w:t>
      </w:r>
    </w:p>
    <w:p w:rsidR="00843130" w:rsidRPr="0042063A" w:rsidRDefault="00CA2EB2" w:rsidP="00A34816">
      <w:pPr>
        <w:pStyle w:val="ListParagraph"/>
        <w:numPr>
          <w:ilvl w:val="1"/>
          <w:numId w:val="2"/>
        </w:numPr>
        <w:spacing w:before="0" w:after="120"/>
      </w:pPr>
      <w:r w:rsidRPr="0042063A">
        <w:t>The ESC considered that the</w:t>
      </w:r>
      <w:r w:rsidR="00827683" w:rsidRPr="0042063A">
        <w:rPr>
          <w:rFonts w:cs="Calibri"/>
          <w:szCs w:val="20"/>
        </w:rPr>
        <w:t xml:space="preserve"> base cas</w:t>
      </w:r>
      <w:r w:rsidR="004B31E9" w:rsidRPr="0042063A">
        <w:rPr>
          <w:rFonts w:cs="Calibri"/>
          <w:szCs w:val="20"/>
        </w:rPr>
        <w:t>e</w:t>
      </w:r>
      <w:r w:rsidRPr="0042063A">
        <w:rPr>
          <w:rFonts w:cs="Calibri"/>
          <w:szCs w:val="20"/>
        </w:rPr>
        <w:t xml:space="preserve"> should</w:t>
      </w:r>
      <w:r w:rsidR="00FF7B04" w:rsidRPr="0042063A">
        <w:rPr>
          <w:rFonts w:cs="Calibri"/>
          <w:szCs w:val="20"/>
        </w:rPr>
        <w:t xml:space="preserve"> be informed by the utilities in the NICE model</w:t>
      </w:r>
      <w:r w:rsidR="004B31E9" w:rsidRPr="0042063A">
        <w:rPr>
          <w:rFonts w:cs="Calibri"/>
          <w:szCs w:val="20"/>
        </w:rPr>
        <w:t>. However the ESC advised that</w:t>
      </w:r>
      <w:r w:rsidR="00827683" w:rsidRPr="0042063A">
        <w:rPr>
          <w:rFonts w:cs="Calibri"/>
          <w:szCs w:val="20"/>
        </w:rPr>
        <w:t xml:space="preserve"> </w:t>
      </w:r>
      <w:r w:rsidR="004B31E9" w:rsidRPr="0042063A">
        <w:t>it would be more appropriate to apply the same utility value for patients treated with cerliponase alfa and standard care in each health state (see paragraph</w:t>
      </w:r>
      <w:r w:rsidR="0088701C" w:rsidRPr="0042063A">
        <w:t xml:space="preserve"> 6.33</w:t>
      </w:r>
      <w:r w:rsidR="004B31E9" w:rsidRPr="0042063A">
        <w:t>).</w:t>
      </w:r>
      <w:r w:rsidR="00FF7B04" w:rsidRPr="0042063A">
        <w:t xml:space="preserve"> The ESC noted that when the utility values</w:t>
      </w:r>
      <w:r w:rsidR="005E1C17" w:rsidRPr="0042063A">
        <w:t xml:space="preserve"> for cerliponase alfa</w:t>
      </w:r>
      <w:r w:rsidR="00827683" w:rsidRPr="0042063A">
        <w:rPr>
          <w:rFonts w:cs="Calibri"/>
          <w:szCs w:val="20"/>
        </w:rPr>
        <w:t xml:space="preserve"> </w:t>
      </w:r>
      <w:r w:rsidR="005E1C17" w:rsidRPr="0042063A">
        <w:rPr>
          <w:rFonts w:cs="Calibri"/>
          <w:szCs w:val="20"/>
        </w:rPr>
        <w:t xml:space="preserve">from the NICE model were applied to both treatment arms, the ICER increased to </w:t>
      </w:r>
      <w:r w:rsidR="00E14600">
        <w:rPr>
          <w:rFonts w:cs="Calibri"/>
          <w:szCs w:val="20"/>
        </w:rPr>
        <w:t xml:space="preserve">more than $200,000 </w:t>
      </w:r>
      <w:r w:rsidR="005E1C17" w:rsidRPr="0042063A">
        <w:rPr>
          <w:rFonts w:cs="Calibri"/>
          <w:szCs w:val="20"/>
        </w:rPr>
        <w:t xml:space="preserve">per QALY gained. </w:t>
      </w:r>
    </w:p>
    <w:p w:rsidR="00452F3F" w:rsidRPr="0042063A" w:rsidRDefault="008E0970" w:rsidP="00A34816">
      <w:pPr>
        <w:pStyle w:val="ListParagraph"/>
        <w:numPr>
          <w:ilvl w:val="1"/>
          <w:numId w:val="2"/>
        </w:numPr>
        <w:spacing w:before="0" w:after="120"/>
      </w:pPr>
      <w:r w:rsidRPr="0042063A">
        <w:lastRenderedPageBreak/>
        <w:t>Some of t</w:t>
      </w:r>
      <w:r w:rsidR="00452F3F" w:rsidRPr="0042063A">
        <w:t xml:space="preserve">he sensitivity analyses shown in </w:t>
      </w:r>
      <w:r w:rsidR="00740740" w:rsidRPr="0042063A">
        <w:t xml:space="preserve">Table </w:t>
      </w:r>
      <w:r w:rsidR="00740740" w:rsidRPr="0042063A">
        <w:rPr>
          <w:noProof/>
        </w:rPr>
        <w:t>10</w:t>
      </w:r>
      <w:r w:rsidR="00740740" w:rsidRPr="0042063A">
        <w:t xml:space="preserve"> </w:t>
      </w:r>
      <w:r w:rsidR="00452F3F" w:rsidRPr="0042063A">
        <w:t xml:space="preserve">correspond to the drivers described </w:t>
      </w:r>
      <w:r w:rsidR="00452F3F" w:rsidRPr="0042063A">
        <w:rPr>
          <w:rFonts w:ascii="Calibri" w:hAnsi="Calibri"/>
        </w:rPr>
        <w:t xml:space="preserve">in </w:t>
      </w:r>
      <w:r w:rsidR="00740740" w:rsidRPr="0042063A">
        <w:rPr>
          <w:rFonts w:ascii="Calibri" w:hAnsi="Calibri"/>
        </w:rPr>
        <w:t xml:space="preserve">Table </w:t>
      </w:r>
      <w:r w:rsidR="00740740" w:rsidRPr="0042063A">
        <w:rPr>
          <w:rFonts w:ascii="Calibri" w:hAnsi="Calibri"/>
          <w:noProof/>
        </w:rPr>
        <w:t>8</w:t>
      </w:r>
      <w:r w:rsidR="00740740" w:rsidRPr="0042063A">
        <w:rPr>
          <w:rFonts w:ascii="Calibri" w:hAnsi="Calibri"/>
        </w:rPr>
        <w:t xml:space="preserve"> </w:t>
      </w:r>
      <w:r w:rsidR="00452F3F" w:rsidRPr="0042063A">
        <w:t xml:space="preserve">and updated </w:t>
      </w:r>
      <w:r w:rsidR="00A34816" w:rsidRPr="0042063A">
        <w:t>Australian Refined Diagnosis Related Group (</w:t>
      </w:r>
      <w:r w:rsidR="00452F3F" w:rsidRPr="0042063A">
        <w:t>AR-DRG</w:t>
      </w:r>
      <w:r w:rsidR="00A34816" w:rsidRPr="0042063A">
        <w:t>)</w:t>
      </w:r>
      <w:r w:rsidR="00452F3F" w:rsidRPr="0042063A">
        <w:t xml:space="preserve"> costs.</w:t>
      </w:r>
      <w:r w:rsidR="00292839">
        <w:t xml:space="preserve"> </w:t>
      </w:r>
      <w:r w:rsidR="00452F3F" w:rsidRPr="0042063A">
        <w:t xml:space="preserve">The undiscounted analysis shows that the economic model predicts an absolute increase in life expectancy by an additional </w:t>
      </w:r>
      <w:r w:rsidR="006E2381">
        <w:rPr>
          <w:noProof/>
          <w:color w:val="000000"/>
          <w:highlight w:val="black"/>
        </w:rPr>
        <w:t>'''''</w:t>
      </w:r>
      <w:r w:rsidR="00452F3F" w:rsidRPr="0042063A">
        <w:t xml:space="preserve"> years in patients treated with cerliponase alfa compared to patients treated with standard care.</w:t>
      </w:r>
      <w:r w:rsidR="00292839">
        <w:t xml:space="preserve"> </w:t>
      </w:r>
      <w:r w:rsidRPr="0042063A">
        <w:t>Assuming that early diagnosis is possible such that all patients begin treatment at ML score = 6</w:t>
      </w:r>
      <w:r w:rsidR="00A34816" w:rsidRPr="0042063A">
        <w:t>,</w:t>
      </w:r>
      <w:r w:rsidRPr="0042063A">
        <w:t xml:space="preserve"> leads to a marginal decrease in ICER</w:t>
      </w:r>
      <w:r w:rsidR="00A34816" w:rsidRPr="0042063A">
        <w:t xml:space="preserve"> to </w:t>
      </w:r>
      <w:r w:rsidR="00E14600">
        <w:t>more than $200,000</w:t>
      </w:r>
      <w:r w:rsidR="005C6A80">
        <w:t>/QALY</w:t>
      </w:r>
      <w:r w:rsidRPr="0042063A">
        <w:t>.</w:t>
      </w:r>
      <w:r w:rsidR="00292839">
        <w:t xml:space="preserve"> </w:t>
      </w:r>
    </w:p>
    <w:p w:rsidR="00452F3F" w:rsidRPr="0042063A" w:rsidRDefault="00452F3F" w:rsidP="008E0970">
      <w:pPr>
        <w:pStyle w:val="ListParagraph"/>
        <w:numPr>
          <w:ilvl w:val="1"/>
          <w:numId w:val="2"/>
        </w:numPr>
        <w:spacing w:before="0" w:after="120"/>
      </w:pPr>
      <w:r w:rsidRPr="0042063A">
        <w:t>Overall, given the high cost of cerliponase alfa, it is likely impossible to demonstrate cost</w:t>
      </w:r>
      <w:r w:rsidR="00545EA7" w:rsidRPr="0042063A">
        <w:t>-</w:t>
      </w:r>
      <w:r w:rsidRPr="0042063A">
        <w:t>effectiveness.</w:t>
      </w:r>
      <w:r w:rsidR="00292839">
        <w:t xml:space="preserve"> </w:t>
      </w:r>
      <w:r w:rsidRPr="0042063A">
        <w:t xml:space="preserve">For example, in order to achieve an ICER of </w:t>
      </w:r>
      <w:r w:rsidR="009D3A2A">
        <w:t>$</w:t>
      </w:r>
      <w:r w:rsidR="00E721FF">
        <w:t>75,000</w:t>
      </w:r>
      <w:r w:rsidR="00C76C02">
        <w:t>/LYG</w:t>
      </w:r>
      <w:r w:rsidR="00E721FF">
        <w:t xml:space="preserve"> - </w:t>
      </w:r>
      <w:r w:rsidR="009D3A2A">
        <w:t>105,000</w:t>
      </w:r>
      <w:r w:rsidR="00C76C02">
        <w:t>/LYG</w:t>
      </w:r>
      <w:r w:rsidRPr="0042063A">
        <w:t xml:space="preserve">, </w:t>
      </w:r>
      <w:r w:rsidR="006E2381">
        <w:rPr>
          <w:noProof/>
          <w:color w:val="000000"/>
          <w:highlight w:val="black"/>
        </w:rPr>
        <w:t>'''''</w:t>
      </w:r>
      <w:r w:rsidRPr="0042063A">
        <w:t xml:space="preserve"> LYG would be required at the requested price for cerliponase alfa, or a price reduction in excess of </w:t>
      </w:r>
      <w:r w:rsidR="006E2381">
        <w:rPr>
          <w:noProof/>
          <w:color w:val="000000"/>
          <w:highlight w:val="black"/>
        </w:rPr>
        <w:t>'''''</w:t>
      </w:r>
      <w:r w:rsidRPr="0042063A">
        <w:t>%.</w:t>
      </w:r>
    </w:p>
    <w:p w:rsidR="00C317F3" w:rsidRPr="0042063A" w:rsidRDefault="008E0970" w:rsidP="00772501">
      <w:pPr>
        <w:pStyle w:val="Heading2"/>
      </w:pPr>
      <w:bookmarkStart w:id="34" w:name="_Toc413139283"/>
      <w:bookmarkStart w:id="35" w:name="_Toc514241629"/>
      <w:r w:rsidRPr="0042063A">
        <w:t>Drug cost/patient</w:t>
      </w:r>
      <w:r w:rsidR="00C317F3" w:rsidRPr="0042063A">
        <w:t>/year</w:t>
      </w:r>
      <w:bookmarkEnd w:id="34"/>
      <w:r w:rsidRPr="0042063A">
        <w:t>: $</w:t>
      </w:r>
      <w:bookmarkEnd w:id="35"/>
      <w:r w:rsidR="006E2381">
        <w:rPr>
          <w:noProof/>
          <w:color w:val="000000"/>
          <w:highlight w:val="black"/>
        </w:rPr>
        <w:t xml:space="preserve">'''''''''''''''' </w:t>
      </w:r>
    </w:p>
    <w:p w:rsidR="008E0970" w:rsidRPr="0042063A" w:rsidRDefault="00B06BA6" w:rsidP="008E0970">
      <w:pPr>
        <w:pStyle w:val="ListParagraph"/>
        <w:numPr>
          <w:ilvl w:val="1"/>
          <w:numId w:val="2"/>
        </w:numPr>
        <w:spacing w:before="0" w:after="120"/>
      </w:pPr>
      <w:r w:rsidRPr="0042063A">
        <w:t>The cost per patient per year was estimated to be $</w:t>
      </w:r>
      <w:r w:rsidR="006E2381">
        <w:rPr>
          <w:noProof/>
          <w:color w:val="000000"/>
          <w:highlight w:val="black"/>
        </w:rPr>
        <w:t>''''''''''''''''</w:t>
      </w:r>
      <w:r w:rsidRPr="0042063A">
        <w:t xml:space="preserve"> based on 26 fortnightly doses of 300mg cerliponase alfa per year at $</w:t>
      </w:r>
      <w:r w:rsidR="006E2381">
        <w:rPr>
          <w:noProof/>
          <w:color w:val="000000"/>
          <w:highlight w:val="black"/>
        </w:rPr>
        <w:t>''''''''''''''</w:t>
      </w:r>
      <w:r w:rsidRPr="0042063A">
        <w:t xml:space="preserve"> per dose.</w:t>
      </w:r>
      <w:r w:rsidR="003E0864" w:rsidRPr="0042063A">
        <w:t xml:space="preserve"> </w:t>
      </w:r>
      <w:r w:rsidR="008E0970" w:rsidRPr="0042063A">
        <w:t xml:space="preserve">The economic evaluation assumes only </w:t>
      </w:r>
      <w:r w:rsidR="006E2381">
        <w:rPr>
          <w:noProof/>
          <w:color w:val="000000"/>
          <w:highlight w:val="black"/>
        </w:rPr>
        <w:t>'''''</w:t>
      </w:r>
      <w:r w:rsidR="008E0970" w:rsidRPr="0042063A">
        <w:t>% compliance, and hence a lower drug cost ($</w:t>
      </w:r>
      <w:r w:rsidR="006E2381">
        <w:rPr>
          <w:noProof/>
          <w:color w:val="000000"/>
          <w:highlight w:val="black"/>
        </w:rPr>
        <w:t>''''''''''''''</w:t>
      </w:r>
      <w:r w:rsidR="008E0970" w:rsidRPr="0042063A">
        <w:t>) was applied in the economic evaluation.</w:t>
      </w:r>
      <w:r w:rsidR="00292839">
        <w:t xml:space="preserve"> </w:t>
      </w:r>
      <w:r w:rsidR="008E0970" w:rsidRPr="0042063A">
        <w:t>Treatment with cerliponase alfa is assumed to continue until patient declines to an ML score = 0 in the economic model, though the requested restriction allows patients to continue on cerliponase alfa for six months even if ML score does not improve from 0.</w:t>
      </w:r>
      <w:r w:rsidR="00292839">
        <w:t xml:space="preserve"> </w:t>
      </w:r>
      <w:r w:rsidR="008E0970" w:rsidRPr="0042063A">
        <w:t xml:space="preserve">The drug cost does not include the cost of ICV device insertion. </w:t>
      </w:r>
      <w:r w:rsidR="00540B2C" w:rsidRPr="0042063A">
        <w:t xml:space="preserve">The </w:t>
      </w:r>
      <w:r w:rsidR="00BC4138" w:rsidRPr="0042063A">
        <w:t>PBAC considered</w:t>
      </w:r>
      <w:r w:rsidR="00540B2C" w:rsidRPr="0042063A">
        <w:t xml:space="preserve"> it would have been appropriate to include </w:t>
      </w:r>
      <w:r w:rsidR="00862ECC" w:rsidRPr="0042063A">
        <w:t>costs for the 6 months of treatment once a patient declines to an ML score of 0</w:t>
      </w:r>
      <w:r w:rsidR="00027587" w:rsidRPr="0042063A">
        <w:t xml:space="preserve"> consistent with the proposed restriction</w:t>
      </w:r>
      <w:r w:rsidR="00862ECC" w:rsidRPr="0042063A">
        <w:t>.</w:t>
      </w:r>
      <w:r w:rsidR="00292839">
        <w:rPr>
          <w:i/>
        </w:rPr>
        <w:t xml:space="preserve"> </w:t>
      </w:r>
    </w:p>
    <w:p w:rsidR="00C317F3" w:rsidRPr="0042063A" w:rsidRDefault="00C317F3" w:rsidP="00772501">
      <w:pPr>
        <w:pStyle w:val="Heading2"/>
      </w:pPr>
      <w:bookmarkStart w:id="36" w:name="_Toc413139284"/>
      <w:bookmarkStart w:id="37" w:name="_Toc514241630"/>
      <w:r w:rsidRPr="0042063A">
        <w:t>Estimated PBS usage &amp; financial implications</w:t>
      </w:r>
      <w:bookmarkEnd w:id="36"/>
      <w:bookmarkEnd w:id="37"/>
    </w:p>
    <w:p w:rsidR="00C317F3" w:rsidRPr="0042063A" w:rsidRDefault="00C317F3" w:rsidP="0000175F">
      <w:pPr>
        <w:pStyle w:val="ListParagraph"/>
        <w:numPr>
          <w:ilvl w:val="1"/>
          <w:numId w:val="2"/>
        </w:numPr>
        <w:spacing w:before="0" w:after="240"/>
        <w:ind w:left="578" w:hanging="578"/>
      </w:pPr>
      <w:r w:rsidRPr="0042063A">
        <w:t xml:space="preserve">This submission </w:t>
      </w:r>
      <w:r w:rsidR="00BA77D4" w:rsidRPr="0042063A">
        <w:t>was not</w:t>
      </w:r>
      <w:r w:rsidRPr="0042063A">
        <w:t xml:space="preserve"> considered by DUSC. </w:t>
      </w:r>
      <w:r w:rsidR="008E0970" w:rsidRPr="0042063A">
        <w:t>The submission takes an epidemiological approach to estimate the financial impact of listing cerliponase alfa on the PBS.</w:t>
      </w:r>
      <w:r w:rsidR="00292839">
        <w:t xml:space="preserve"> </w:t>
      </w:r>
      <w:r w:rsidR="008E0970" w:rsidRPr="0042063A">
        <w:t xml:space="preserve">The estimated financial impact is summarised in </w:t>
      </w:r>
      <w:r w:rsidR="0000175F" w:rsidRPr="0042063A">
        <w:t xml:space="preserve">Table </w:t>
      </w:r>
      <w:r w:rsidR="0000175F" w:rsidRPr="0042063A">
        <w:rPr>
          <w:noProof/>
        </w:rPr>
        <w:t>11</w:t>
      </w:r>
      <w:r w:rsidR="008E0970" w:rsidRPr="0042063A">
        <w:t>.</w:t>
      </w:r>
    </w:p>
    <w:p w:rsidR="002B0E3F" w:rsidRPr="0042063A" w:rsidRDefault="002B0E3F">
      <w:pPr>
        <w:spacing w:before="0" w:line="259" w:lineRule="auto"/>
        <w:jc w:val="left"/>
        <w:rPr>
          <w:rFonts w:ascii="Arial Narrow" w:hAnsi="Arial Narrow"/>
          <w:b/>
          <w:iCs/>
          <w:sz w:val="20"/>
          <w:szCs w:val="18"/>
        </w:rPr>
      </w:pPr>
      <w:bookmarkStart w:id="38" w:name="_Ref512278594"/>
      <w:r w:rsidRPr="0042063A">
        <w:rPr>
          <w:rFonts w:ascii="Arial Narrow" w:hAnsi="Arial Narrow"/>
        </w:rPr>
        <w:br w:type="page"/>
      </w:r>
    </w:p>
    <w:p w:rsidR="00C317F3" w:rsidRPr="0042063A" w:rsidRDefault="0000175F" w:rsidP="0000175F">
      <w:pPr>
        <w:pStyle w:val="Caption"/>
        <w:rPr>
          <w:rFonts w:ascii="Arial Narrow" w:hAnsi="Arial Narrow"/>
        </w:rPr>
      </w:pPr>
      <w:r w:rsidRPr="0042063A">
        <w:rPr>
          <w:rFonts w:ascii="Arial Narrow" w:hAnsi="Arial Narrow"/>
        </w:rPr>
        <w:lastRenderedPageBreak/>
        <w:t xml:space="preserve">Table </w:t>
      </w:r>
      <w:bookmarkEnd w:id="38"/>
      <w:r w:rsidR="00084161" w:rsidRPr="0042063A">
        <w:rPr>
          <w:rFonts w:ascii="Arial Narrow" w:hAnsi="Arial Narrow"/>
        </w:rPr>
        <w:t>12</w:t>
      </w:r>
      <w:r w:rsidR="00C317F3" w:rsidRPr="0042063A">
        <w:rPr>
          <w:rFonts w:ascii="Arial Narrow" w:hAnsi="Arial Narrow"/>
        </w:rPr>
        <w:t>: Estimated use and financial implications</w:t>
      </w:r>
      <w:r w:rsidR="008E0970" w:rsidRPr="0042063A">
        <w:rPr>
          <w:rFonts w:ascii="Arial Narrow" w:hAnsi="Arial Narrow"/>
        </w:rPr>
        <w:t xml:space="preserve"> of listing cerliponase alfa on the PBS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17"/>
        <w:gridCol w:w="962"/>
        <w:gridCol w:w="966"/>
        <w:gridCol w:w="966"/>
        <w:gridCol w:w="1044"/>
        <w:gridCol w:w="1044"/>
        <w:gridCol w:w="1005"/>
      </w:tblGrid>
      <w:tr w:rsidR="008E0970" w:rsidRPr="0042063A" w:rsidTr="00186D12">
        <w:trPr>
          <w:tblHeader/>
        </w:trPr>
        <w:tc>
          <w:tcPr>
            <w:tcW w:w="1821" w:type="pct"/>
            <w:shd w:val="clear" w:color="auto" w:fill="auto"/>
            <w:vAlign w:val="center"/>
          </w:tcPr>
          <w:p w:rsidR="008E0970" w:rsidRPr="0042063A" w:rsidRDefault="008E0970" w:rsidP="008E0970">
            <w:pPr>
              <w:pStyle w:val="TableText"/>
            </w:pPr>
          </w:p>
        </w:tc>
        <w:tc>
          <w:tcPr>
            <w:tcW w:w="476" w:type="pct"/>
            <w:shd w:val="clear" w:color="auto" w:fill="auto"/>
            <w:vAlign w:val="center"/>
          </w:tcPr>
          <w:p w:rsidR="008E0970" w:rsidRPr="0042063A" w:rsidRDefault="008E0970" w:rsidP="008E0970">
            <w:pPr>
              <w:pStyle w:val="TableText"/>
              <w:jc w:val="center"/>
              <w:rPr>
                <w:b/>
              </w:rPr>
            </w:pPr>
            <w:r w:rsidRPr="0042063A">
              <w:rPr>
                <w:b/>
                <w:szCs w:val="20"/>
              </w:rPr>
              <w:t>2019</w:t>
            </w:r>
          </w:p>
        </w:tc>
        <w:tc>
          <w:tcPr>
            <w:tcW w:w="536" w:type="pct"/>
            <w:shd w:val="clear" w:color="auto" w:fill="auto"/>
            <w:vAlign w:val="center"/>
          </w:tcPr>
          <w:p w:rsidR="008E0970" w:rsidRPr="0042063A" w:rsidRDefault="008E0970" w:rsidP="008E0970">
            <w:pPr>
              <w:pStyle w:val="TableText"/>
              <w:jc w:val="center"/>
              <w:rPr>
                <w:b/>
              </w:rPr>
            </w:pPr>
            <w:r w:rsidRPr="0042063A">
              <w:rPr>
                <w:b/>
                <w:szCs w:val="20"/>
              </w:rPr>
              <w:t>2020</w:t>
            </w:r>
          </w:p>
        </w:tc>
        <w:tc>
          <w:tcPr>
            <w:tcW w:w="495" w:type="pct"/>
            <w:shd w:val="clear" w:color="auto" w:fill="auto"/>
            <w:vAlign w:val="center"/>
          </w:tcPr>
          <w:p w:rsidR="008E0970" w:rsidRPr="0042063A" w:rsidRDefault="008E0970" w:rsidP="008E0970">
            <w:pPr>
              <w:pStyle w:val="TableText"/>
              <w:jc w:val="center"/>
              <w:rPr>
                <w:b/>
              </w:rPr>
            </w:pPr>
            <w:r w:rsidRPr="0042063A">
              <w:rPr>
                <w:b/>
                <w:szCs w:val="20"/>
              </w:rPr>
              <w:t>2021</w:t>
            </w:r>
          </w:p>
        </w:tc>
        <w:tc>
          <w:tcPr>
            <w:tcW w:w="555" w:type="pct"/>
            <w:shd w:val="clear" w:color="auto" w:fill="auto"/>
            <w:vAlign w:val="center"/>
          </w:tcPr>
          <w:p w:rsidR="008E0970" w:rsidRPr="0042063A" w:rsidRDefault="008E0970" w:rsidP="008E0970">
            <w:pPr>
              <w:pStyle w:val="TableText"/>
              <w:jc w:val="center"/>
              <w:rPr>
                <w:b/>
              </w:rPr>
            </w:pPr>
            <w:r w:rsidRPr="0042063A">
              <w:rPr>
                <w:b/>
                <w:szCs w:val="20"/>
              </w:rPr>
              <w:t>2022</w:t>
            </w:r>
          </w:p>
        </w:tc>
        <w:tc>
          <w:tcPr>
            <w:tcW w:w="554" w:type="pct"/>
            <w:shd w:val="clear" w:color="auto" w:fill="auto"/>
            <w:vAlign w:val="center"/>
          </w:tcPr>
          <w:p w:rsidR="008E0970" w:rsidRPr="0042063A" w:rsidRDefault="008E0970" w:rsidP="008E0970">
            <w:pPr>
              <w:pStyle w:val="TableText"/>
              <w:jc w:val="center"/>
              <w:rPr>
                <w:b/>
              </w:rPr>
            </w:pPr>
            <w:r w:rsidRPr="0042063A">
              <w:rPr>
                <w:b/>
                <w:szCs w:val="20"/>
              </w:rPr>
              <w:t>2023</w:t>
            </w:r>
          </w:p>
        </w:tc>
        <w:tc>
          <w:tcPr>
            <w:tcW w:w="563" w:type="pct"/>
            <w:vAlign w:val="center"/>
          </w:tcPr>
          <w:p w:rsidR="008E0970" w:rsidRPr="0042063A" w:rsidRDefault="008E0970" w:rsidP="008E0970">
            <w:pPr>
              <w:pStyle w:val="TableText"/>
              <w:jc w:val="center"/>
              <w:rPr>
                <w:b/>
              </w:rPr>
            </w:pPr>
            <w:r w:rsidRPr="0042063A">
              <w:rPr>
                <w:b/>
                <w:szCs w:val="20"/>
              </w:rPr>
              <w:t>2024</w:t>
            </w:r>
          </w:p>
        </w:tc>
      </w:tr>
      <w:tr w:rsidR="00E37424" w:rsidRPr="0042063A" w:rsidTr="00E37424">
        <w:tc>
          <w:tcPr>
            <w:tcW w:w="5000" w:type="pct"/>
            <w:gridSpan w:val="7"/>
            <w:shd w:val="clear" w:color="auto" w:fill="auto"/>
            <w:vAlign w:val="center"/>
          </w:tcPr>
          <w:p w:rsidR="00E37424" w:rsidRPr="0042063A" w:rsidRDefault="00E37424" w:rsidP="00772501">
            <w:pPr>
              <w:pStyle w:val="TableText"/>
              <w:rPr>
                <w:b/>
                <w:bCs/>
                <w:color w:val="000000"/>
              </w:rPr>
            </w:pPr>
            <w:r w:rsidRPr="0042063A">
              <w:rPr>
                <w:b/>
                <w:bCs/>
                <w:color w:val="000000"/>
              </w:rPr>
              <w:t>Estimated extent of use</w:t>
            </w:r>
          </w:p>
        </w:tc>
      </w:tr>
      <w:tr w:rsidR="008E0970" w:rsidRPr="0042063A" w:rsidTr="00186D12">
        <w:tc>
          <w:tcPr>
            <w:tcW w:w="1821" w:type="pct"/>
            <w:shd w:val="clear" w:color="auto" w:fill="auto"/>
            <w:vAlign w:val="center"/>
          </w:tcPr>
          <w:p w:rsidR="008E0970" w:rsidRPr="0042063A" w:rsidRDefault="008E0970" w:rsidP="008E0970">
            <w:pPr>
              <w:pStyle w:val="TableText"/>
              <w:rPr>
                <w:rFonts w:ascii="Times" w:eastAsia="Times New Roman" w:hAnsi="Times" w:cs="Times New Roman"/>
              </w:rPr>
            </w:pPr>
            <w:r w:rsidRPr="0042063A">
              <w:t>Number of patients treated</w:t>
            </w:r>
          </w:p>
        </w:tc>
        <w:tc>
          <w:tcPr>
            <w:tcW w:w="476"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536"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495"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555"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554"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563" w:type="pct"/>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r>
      <w:tr w:rsidR="008E0970" w:rsidRPr="0042063A" w:rsidTr="00186D12">
        <w:tc>
          <w:tcPr>
            <w:tcW w:w="1821" w:type="pct"/>
            <w:shd w:val="clear" w:color="auto" w:fill="auto"/>
            <w:vAlign w:val="center"/>
          </w:tcPr>
          <w:p w:rsidR="008E0970" w:rsidRPr="0042063A" w:rsidRDefault="008E0970" w:rsidP="008E0970">
            <w:pPr>
              <w:pStyle w:val="TableText"/>
              <w:rPr>
                <w:rFonts w:ascii="Times" w:eastAsia="Times New Roman" w:hAnsi="Times" w:cs="Times New Roman"/>
              </w:rPr>
            </w:pPr>
            <w:r w:rsidRPr="0042063A">
              <w:t xml:space="preserve">Number of scripts </w:t>
            </w:r>
            <w:proofErr w:type="spellStart"/>
            <w:r w:rsidRPr="0042063A">
              <w:t>dispensed</w:t>
            </w:r>
            <w:r w:rsidRPr="0042063A">
              <w:rPr>
                <w:vertAlign w:val="superscript"/>
              </w:rPr>
              <w:t>a</w:t>
            </w:r>
            <w:proofErr w:type="spellEnd"/>
          </w:p>
        </w:tc>
        <w:tc>
          <w:tcPr>
            <w:tcW w:w="476"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536"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495"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555"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554" w:type="pct"/>
            <w:shd w:val="clear" w:color="auto" w:fill="auto"/>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c>
          <w:tcPr>
            <w:tcW w:w="563" w:type="pct"/>
            <w:vAlign w:val="center"/>
          </w:tcPr>
          <w:p w:rsidR="008E0970" w:rsidRPr="006E2381" w:rsidRDefault="006E2381" w:rsidP="0000175F">
            <w:pPr>
              <w:pStyle w:val="TableText"/>
              <w:jc w:val="center"/>
              <w:rPr>
                <w:bCs/>
                <w:color w:val="000000"/>
                <w:highlight w:val="black"/>
              </w:rPr>
            </w:pPr>
            <w:r>
              <w:rPr>
                <w:noProof/>
                <w:color w:val="000000"/>
                <w:szCs w:val="20"/>
                <w:highlight w:val="black"/>
              </w:rPr>
              <w:t>''''''''''</w:t>
            </w:r>
          </w:p>
        </w:tc>
      </w:tr>
      <w:tr w:rsidR="008E0970" w:rsidRPr="0042063A" w:rsidTr="00E37424">
        <w:tc>
          <w:tcPr>
            <w:tcW w:w="5000" w:type="pct"/>
            <w:gridSpan w:val="7"/>
            <w:shd w:val="clear" w:color="auto" w:fill="auto"/>
            <w:vAlign w:val="center"/>
          </w:tcPr>
          <w:p w:rsidR="008E0970" w:rsidRPr="0042063A" w:rsidRDefault="008E0970" w:rsidP="00186D12">
            <w:pPr>
              <w:pStyle w:val="TableText"/>
              <w:rPr>
                <w:b/>
                <w:bCs/>
                <w:color w:val="000000"/>
              </w:rPr>
            </w:pPr>
            <w:r w:rsidRPr="0042063A">
              <w:rPr>
                <w:b/>
                <w:bCs/>
                <w:color w:val="000000"/>
              </w:rPr>
              <w:t xml:space="preserve">Estimated financial implications of </w:t>
            </w:r>
            <w:r w:rsidR="00186D12" w:rsidRPr="0042063A">
              <w:rPr>
                <w:b/>
                <w:bCs/>
                <w:color w:val="000000"/>
              </w:rPr>
              <w:t>cerliponase alfa</w:t>
            </w:r>
          </w:p>
        </w:tc>
      </w:tr>
      <w:tr w:rsidR="00186D12" w:rsidRPr="0042063A" w:rsidTr="00186D12">
        <w:tc>
          <w:tcPr>
            <w:tcW w:w="1821" w:type="pct"/>
            <w:shd w:val="clear" w:color="auto" w:fill="auto"/>
            <w:vAlign w:val="center"/>
          </w:tcPr>
          <w:p w:rsidR="00186D12" w:rsidRPr="0042063A" w:rsidRDefault="00186D12" w:rsidP="00186D12">
            <w:pPr>
              <w:pStyle w:val="TableText"/>
              <w:rPr>
                <w:rFonts w:ascii="Times" w:eastAsia="Times New Roman" w:hAnsi="Times" w:cs="Times New Roman"/>
              </w:rPr>
            </w:pPr>
            <w:r w:rsidRPr="0042063A">
              <w:rPr>
                <w:sz w:val="19"/>
                <w:szCs w:val="19"/>
              </w:rPr>
              <w:t>Cost to PBS/RPBS</w:t>
            </w:r>
          </w:p>
        </w:tc>
        <w:tc>
          <w:tcPr>
            <w:tcW w:w="476"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36"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495"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55"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54"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63" w:type="pct"/>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r>
      <w:tr w:rsidR="00186D12" w:rsidRPr="0042063A" w:rsidTr="00186D12">
        <w:tc>
          <w:tcPr>
            <w:tcW w:w="1821" w:type="pct"/>
            <w:shd w:val="clear" w:color="auto" w:fill="auto"/>
            <w:vAlign w:val="center"/>
          </w:tcPr>
          <w:p w:rsidR="00186D12" w:rsidRPr="0042063A" w:rsidRDefault="00186D12" w:rsidP="00186D12">
            <w:pPr>
              <w:pStyle w:val="TableText"/>
              <w:rPr>
                <w:sz w:val="19"/>
                <w:szCs w:val="19"/>
              </w:rPr>
            </w:pPr>
            <w:proofErr w:type="spellStart"/>
            <w:r w:rsidRPr="0042063A">
              <w:rPr>
                <w:sz w:val="19"/>
                <w:szCs w:val="19"/>
              </w:rPr>
              <w:t>Copayments</w:t>
            </w:r>
            <w:proofErr w:type="spellEnd"/>
          </w:p>
        </w:tc>
        <w:tc>
          <w:tcPr>
            <w:tcW w:w="476" w:type="pct"/>
            <w:shd w:val="clear" w:color="auto" w:fill="auto"/>
            <w:vAlign w:val="center"/>
          </w:tcPr>
          <w:p w:rsidR="00186D12" w:rsidRPr="0042063A" w:rsidRDefault="00186D12" w:rsidP="0000175F">
            <w:pPr>
              <w:pStyle w:val="TableText"/>
              <w:jc w:val="center"/>
              <w:rPr>
                <w:bCs/>
                <w:color w:val="000000"/>
              </w:rPr>
            </w:pPr>
            <w:r w:rsidRPr="0042063A">
              <w:rPr>
                <w:bCs/>
                <w:color w:val="000000"/>
              </w:rPr>
              <w:t>$0</w:t>
            </w:r>
          </w:p>
        </w:tc>
        <w:tc>
          <w:tcPr>
            <w:tcW w:w="536" w:type="pct"/>
            <w:shd w:val="clear" w:color="auto" w:fill="auto"/>
            <w:vAlign w:val="center"/>
          </w:tcPr>
          <w:p w:rsidR="00186D12" w:rsidRPr="0042063A" w:rsidRDefault="00186D12" w:rsidP="0000175F">
            <w:pPr>
              <w:pStyle w:val="TableText"/>
              <w:jc w:val="center"/>
              <w:rPr>
                <w:bCs/>
                <w:color w:val="000000"/>
              </w:rPr>
            </w:pPr>
            <w:r w:rsidRPr="0042063A">
              <w:rPr>
                <w:bCs/>
                <w:color w:val="000000"/>
              </w:rPr>
              <w:t>$0</w:t>
            </w:r>
          </w:p>
        </w:tc>
        <w:tc>
          <w:tcPr>
            <w:tcW w:w="495" w:type="pct"/>
            <w:shd w:val="clear" w:color="auto" w:fill="auto"/>
            <w:vAlign w:val="center"/>
          </w:tcPr>
          <w:p w:rsidR="00186D12" w:rsidRPr="0042063A" w:rsidRDefault="00186D12" w:rsidP="0000175F">
            <w:pPr>
              <w:pStyle w:val="TableText"/>
              <w:jc w:val="center"/>
              <w:rPr>
                <w:bCs/>
                <w:color w:val="000000"/>
              </w:rPr>
            </w:pPr>
            <w:r w:rsidRPr="0042063A">
              <w:rPr>
                <w:bCs/>
                <w:color w:val="000000"/>
              </w:rPr>
              <w:t>$0</w:t>
            </w:r>
          </w:p>
        </w:tc>
        <w:tc>
          <w:tcPr>
            <w:tcW w:w="555" w:type="pct"/>
            <w:shd w:val="clear" w:color="auto" w:fill="auto"/>
            <w:vAlign w:val="center"/>
          </w:tcPr>
          <w:p w:rsidR="00186D12" w:rsidRPr="0042063A" w:rsidRDefault="00186D12" w:rsidP="0000175F">
            <w:pPr>
              <w:pStyle w:val="TableText"/>
              <w:jc w:val="center"/>
              <w:rPr>
                <w:bCs/>
                <w:color w:val="000000"/>
              </w:rPr>
            </w:pPr>
            <w:r w:rsidRPr="0042063A">
              <w:rPr>
                <w:bCs/>
                <w:color w:val="000000"/>
              </w:rPr>
              <w:t>$0</w:t>
            </w:r>
          </w:p>
        </w:tc>
        <w:tc>
          <w:tcPr>
            <w:tcW w:w="554" w:type="pct"/>
            <w:shd w:val="clear" w:color="auto" w:fill="auto"/>
            <w:vAlign w:val="center"/>
          </w:tcPr>
          <w:p w:rsidR="00186D12" w:rsidRPr="0042063A" w:rsidRDefault="00186D12" w:rsidP="0000175F">
            <w:pPr>
              <w:pStyle w:val="TableText"/>
              <w:jc w:val="center"/>
              <w:rPr>
                <w:bCs/>
                <w:color w:val="000000"/>
              </w:rPr>
            </w:pPr>
            <w:r w:rsidRPr="0042063A">
              <w:rPr>
                <w:bCs/>
                <w:color w:val="000000"/>
              </w:rPr>
              <w:t>$0</w:t>
            </w:r>
          </w:p>
        </w:tc>
        <w:tc>
          <w:tcPr>
            <w:tcW w:w="563" w:type="pct"/>
          </w:tcPr>
          <w:p w:rsidR="00186D12" w:rsidRPr="0042063A" w:rsidRDefault="00186D12" w:rsidP="0000175F">
            <w:pPr>
              <w:pStyle w:val="TableText"/>
              <w:jc w:val="center"/>
              <w:rPr>
                <w:bCs/>
                <w:color w:val="000000"/>
              </w:rPr>
            </w:pPr>
            <w:r w:rsidRPr="0042063A">
              <w:rPr>
                <w:bCs/>
                <w:color w:val="000000"/>
              </w:rPr>
              <w:t>$0</w:t>
            </w:r>
          </w:p>
        </w:tc>
      </w:tr>
      <w:tr w:rsidR="00186D12" w:rsidRPr="0042063A" w:rsidTr="00186D12">
        <w:tc>
          <w:tcPr>
            <w:tcW w:w="1821" w:type="pct"/>
            <w:shd w:val="clear" w:color="auto" w:fill="auto"/>
            <w:vAlign w:val="center"/>
          </w:tcPr>
          <w:p w:rsidR="00186D12" w:rsidRPr="0042063A" w:rsidRDefault="00186D12" w:rsidP="00186D12">
            <w:pPr>
              <w:pStyle w:val="TableText"/>
              <w:rPr>
                <w:sz w:val="19"/>
                <w:szCs w:val="19"/>
              </w:rPr>
            </w:pPr>
            <w:r w:rsidRPr="0042063A">
              <w:rPr>
                <w:sz w:val="19"/>
                <w:szCs w:val="19"/>
              </w:rPr>
              <w:t xml:space="preserve">Cost to PBS/RPBS less </w:t>
            </w:r>
            <w:proofErr w:type="spellStart"/>
            <w:r w:rsidRPr="0042063A">
              <w:rPr>
                <w:sz w:val="19"/>
                <w:szCs w:val="19"/>
              </w:rPr>
              <w:t>copayments</w:t>
            </w:r>
            <w:proofErr w:type="spellEnd"/>
          </w:p>
        </w:tc>
        <w:tc>
          <w:tcPr>
            <w:tcW w:w="476" w:type="pct"/>
            <w:shd w:val="clear" w:color="auto" w:fill="auto"/>
            <w:vAlign w:val="center"/>
          </w:tcPr>
          <w:p w:rsidR="00186D12" w:rsidRPr="0042063A" w:rsidRDefault="00186D12" w:rsidP="0000175F">
            <w:pPr>
              <w:pStyle w:val="TableText"/>
              <w:jc w:val="center"/>
              <w:rPr>
                <w:bCs/>
                <w:color w:val="000000"/>
              </w:rPr>
            </w:pPr>
            <w:r w:rsidRPr="0042063A">
              <w:rPr>
                <w:szCs w:val="20"/>
              </w:rPr>
              <w:t>$6</w:t>
            </w:r>
            <w:r w:rsidR="006E2381">
              <w:rPr>
                <w:noProof/>
                <w:color w:val="000000"/>
                <w:szCs w:val="20"/>
                <w:highlight w:val="black"/>
              </w:rPr>
              <w:t>'''''''''''''''''''''''</w:t>
            </w:r>
          </w:p>
        </w:tc>
        <w:tc>
          <w:tcPr>
            <w:tcW w:w="536"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495"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55"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54"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63" w:type="pct"/>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r>
      <w:tr w:rsidR="00186D12" w:rsidRPr="0042063A" w:rsidTr="00607758">
        <w:tc>
          <w:tcPr>
            <w:tcW w:w="5000" w:type="pct"/>
            <w:gridSpan w:val="7"/>
            <w:shd w:val="clear" w:color="auto" w:fill="auto"/>
            <w:vAlign w:val="center"/>
          </w:tcPr>
          <w:p w:rsidR="00186D12" w:rsidRPr="0042063A" w:rsidRDefault="00186D12" w:rsidP="00186D12">
            <w:pPr>
              <w:pStyle w:val="TableText"/>
              <w:rPr>
                <w:bCs/>
                <w:color w:val="000000"/>
              </w:rPr>
            </w:pPr>
            <w:r w:rsidRPr="0042063A">
              <w:rPr>
                <w:b/>
                <w:bCs/>
                <w:color w:val="000000"/>
              </w:rPr>
              <w:t xml:space="preserve">Estimated financial implications for other drugs </w:t>
            </w:r>
          </w:p>
        </w:tc>
      </w:tr>
      <w:tr w:rsidR="00186D12" w:rsidRPr="0042063A" w:rsidTr="00186D12">
        <w:tc>
          <w:tcPr>
            <w:tcW w:w="1821" w:type="pct"/>
            <w:shd w:val="clear" w:color="auto" w:fill="auto"/>
            <w:vAlign w:val="center"/>
          </w:tcPr>
          <w:p w:rsidR="00186D12" w:rsidRPr="0042063A" w:rsidRDefault="00186D12" w:rsidP="00186D12">
            <w:pPr>
              <w:pStyle w:val="TableText"/>
              <w:rPr>
                <w:sz w:val="19"/>
                <w:szCs w:val="19"/>
                <w:vertAlign w:val="superscript"/>
              </w:rPr>
            </w:pPr>
            <w:r w:rsidRPr="0042063A">
              <w:rPr>
                <w:sz w:val="19"/>
                <w:szCs w:val="19"/>
              </w:rPr>
              <w:t xml:space="preserve">Additional Cost of </w:t>
            </w:r>
            <w:proofErr w:type="spellStart"/>
            <w:r w:rsidRPr="0042063A">
              <w:rPr>
                <w:sz w:val="19"/>
                <w:szCs w:val="19"/>
              </w:rPr>
              <w:t>coadministered</w:t>
            </w:r>
            <w:proofErr w:type="spellEnd"/>
            <w:r w:rsidRPr="0042063A">
              <w:rPr>
                <w:sz w:val="19"/>
                <w:szCs w:val="19"/>
              </w:rPr>
              <w:t xml:space="preserve"> </w:t>
            </w:r>
            <w:proofErr w:type="spellStart"/>
            <w:r w:rsidRPr="0042063A">
              <w:rPr>
                <w:sz w:val="19"/>
                <w:szCs w:val="19"/>
              </w:rPr>
              <w:t>drugs</w:t>
            </w:r>
            <w:r w:rsidRPr="0042063A">
              <w:rPr>
                <w:sz w:val="19"/>
                <w:szCs w:val="19"/>
                <w:vertAlign w:val="superscript"/>
              </w:rPr>
              <w:t>b</w:t>
            </w:r>
            <w:proofErr w:type="spellEnd"/>
          </w:p>
        </w:tc>
        <w:tc>
          <w:tcPr>
            <w:tcW w:w="476" w:type="pct"/>
            <w:shd w:val="clear" w:color="auto" w:fill="auto"/>
            <w:vAlign w:val="bottom"/>
          </w:tcPr>
          <w:p w:rsidR="00186D12" w:rsidRPr="0042063A" w:rsidRDefault="00186D12" w:rsidP="0000175F">
            <w:pPr>
              <w:pStyle w:val="TableText"/>
              <w:jc w:val="center"/>
              <w:rPr>
                <w:szCs w:val="20"/>
              </w:rPr>
            </w:pPr>
            <w:r w:rsidRPr="0042063A">
              <w:rPr>
                <w:szCs w:val="20"/>
              </w:rPr>
              <w:t>$</w:t>
            </w:r>
            <w:r w:rsidR="006E2381">
              <w:rPr>
                <w:noProof/>
                <w:color w:val="000000"/>
                <w:szCs w:val="20"/>
                <w:highlight w:val="black"/>
              </w:rPr>
              <w:t>''''''''''</w:t>
            </w:r>
          </w:p>
        </w:tc>
        <w:tc>
          <w:tcPr>
            <w:tcW w:w="536" w:type="pct"/>
            <w:shd w:val="clear" w:color="auto" w:fill="auto"/>
            <w:vAlign w:val="bottom"/>
          </w:tcPr>
          <w:p w:rsidR="00186D12" w:rsidRPr="0042063A" w:rsidRDefault="00186D12" w:rsidP="0000175F">
            <w:pPr>
              <w:pStyle w:val="TableText"/>
              <w:jc w:val="center"/>
              <w:rPr>
                <w:szCs w:val="20"/>
              </w:rPr>
            </w:pPr>
            <w:r w:rsidRPr="0042063A">
              <w:rPr>
                <w:szCs w:val="20"/>
              </w:rPr>
              <w:t>$</w:t>
            </w:r>
            <w:r w:rsidR="006E2381">
              <w:rPr>
                <w:noProof/>
                <w:color w:val="000000"/>
                <w:szCs w:val="20"/>
                <w:highlight w:val="black"/>
              </w:rPr>
              <w:t>'''''''''</w:t>
            </w:r>
          </w:p>
        </w:tc>
        <w:tc>
          <w:tcPr>
            <w:tcW w:w="495" w:type="pct"/>
            <w:shd w:val="clear" w:color="auto" w:fill="auto"/>
            <w:vAlign w:val="bottom"/>
          </w:tcPr>
          <w:p w:rsidR="00186D12" w:rsidRPr="0042063A" w:rsidRDefault="00186D12" w:rsidP="0000175F">
            <w:pPr>
              <w:pStyle w:val="TableText"/>
              <w:jc w:val="center"/>
              <w:rPr>
                <w:szCs w:val="20"/>
              </w:rPr>
            </w:pPr>
            <w:r w:rsidRPr="0042063A">
              <w:rPr>
                <w:szCs w:val="20"/>
              </w:rPr>
              <w:t>$</w:t>
            </w:r>
            <w:r w:rsidR="006E2381">
              <w:rPr>
                <w:noProof/>
                <w:color w:val="000000"/>
                <w:szCs w:val="20"/>
                <w:highlight w:val="black"/>
              </w:rPr>
              <w:t>'''''''''</w:t>
            </w:r>
          </w:p>
        </w:tc>
        <w:tc>
          <w:tcPr>
            <w:tcW w:w="555" w:type="pct"/>
            <w:shd w:val="clear" w:color="auto" w:fill="auto"/>
            <w:vAlign w:val="bottom"/>
          </w:tcPr>
          <w:p w:rsidR="00186D12" w:rsidRPr="0042063A" w:rsidRDefault="00186D12" w:rsidP="0000175F">
            <w:pPr>
              <w:pStyle w:val="TableText"/>
              <w:jc w:val="center"/>
              <w:rPr>
                <w:szCs w:val="20"/>
              </w:rPr>
            </w:pPr>
            <w:r w:rsidRPr="0042063A">
              <w:rPr>
                <w:szCs w:val="20"/>
              </w:rPr>
              <w:t>$</w:t>
            </w:r>
            <w:r w:rsidR="006E2381">
              <w:rPr>
                <w:noProof/>
                <w:color w:val="000000"/>
                <w:szCs w:val="20"/>
                <w:highlight w:val="black"/>
              </w:rPr>
              <w:t>''''''''</w:t>
            </w:r>
          </w:p>
        </w:tc>
        <w:tc>
          <w:tcPr>
            <w:tcW w:w="554" w:type="pct"/>
            <w:shd w:val="clear" w:color="auto" w:fill="auto"/>
            <w:vAlign w:val="bottom"/>
          </w:tcPr>
          <w:p w:rsidR="00186D12" w:rsidRPr="0042063A" w:rsidRDefault="00186D12" w:rsidP="0000175F">
            <w:pPr>
              <w:pStyle w:val="TableText"/>
              <w:jc w:val="center"/>
              <w:rPr>
                <w:szCs w:val="20"/>
              </w:rPr>
            </w:pPr>
            <w:r w:rsidRPr="0042063A">
              <w:rPr>
                <w:szCs w:val="20"/>
              </w:rPr>
              <w:t>$</w:t>
            </w:r>
            <w:r w:rsidR="006E2381">
              <w:rPr>
                <w:noProof/>
                <w:color w:val="000000"/>
                <w:szCs w:val="20"/>
                <w:highlight w:val="black"/>
              </w:rPr>
              <w:t>''''''''''</w:t>
            </w:r>
          </w:p>
        </w:tc>
        <w:tc>
          <w:tcPr>
            <w:tcW w:w="563" w:type="pct"/>
            <w:vAlign w:val="bottom"/>
          </w:tcPr>
          <w:p w:rsidR="00186D12" w:rsidRPr="0042063A" w:rsidRDefault="00186D12" w:rsidP="0000175F">
            <w:pPr>
              <w:pStyle w:val="TableText"/>
              <w:jc w:val="center"/>
              <w:rPr>
                <w:szCs w:val="20"/>
              </w:rPr>
            </w:pPr>
            <w:r w:rsidRPr="0042063A">
              <w:rPr>
                <w:szCs w:val="20"/>
              </w:rPr>
              <w:t>$</w:t>
            </w:r>
            <w:r w:rsidR="006E2381">
              <w:rPr>
                <w:noProof/>
                <w:color w:val="000000"/>
                <w:szCs w:val="20"/>
                <w:highlight w:val="black"/>
              </w:rPr>
              <w:t>'''''''''</w:t>
            </w:r>
          </w:p>
        </w:tc>
      </w:tr>
      <w:tr w:rsidR="00186D12" w:rsidRPr="0042063A" w:rsidTr="00186D12">
        <w:tc>
          <w:tcPr>
            <w:tcW w:w="1821" w:type="pct"/>
            <w:shd w:val="clear" w:color="auto" w:fill="auto"/>
            <w:vAlign w:val="center"/>
          </w:tcPr>
          <w:p w:rsidR="00186D12" w:rsidRPr="0042063A" w:rsidRDefault="00186D12" w:rsidP="00186D12">
            <w:pPr>
              <w:pStyle w:val="TableText"/>
              <w:rPr>
                <w:sz w:val="19"/>
                <w:szCs w:val="19"/>
              </w:rPr>
            </w:pPr>
            <w:r w:rsidRPr="0042063A">
              <w:rPr>
                <w:szCs w:val="20"/>
              </w:rPr>
              <w:t xml:space="preserve">Reduction in standard care </w:t>
            </w:r>
            <w:proofErr w:type="spellStart"/>
            <w:r w:rsidRPr="0042063A">
              <w:rPr>
                <w:szCs w:val="20"/>
              </w:rPr>
              <w:t>medication</w:t>
            </w:r>
            <w:r w:rsidRPr="0042063A">
              <w:rPr>
                <w:szCs w:val="20"/>
                <w:vertAlign w:val="superscript"/>
              </w:rPr>
              <w:t>c</w:t>
            </w:r>
            <w:proofErr w:type="spellEnd"/>
          </w:p>
        </w:tc>
        <w:tc>
          <w:tcPr>
            <w:tcW w:w="476"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36"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495"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55"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54" w:type="pct"/>
            <w:shd w:val="clear" w:color="auto" w:fill="auto"/>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c>
          <w:tcPr>
            <w:tcW w:w="563" w:type="pct"/>
            <w:vAlign w:val="center"/>
          </w:tcPr>
          <w:p w:rsidR="00186D12" w:rsidRPr="0042063A" w:rsidRDefault="00186D12" w:rsidP="0000175F">
            <w:pPr>
              <w:pStyle w:val="TableText"/>
              <w:jc w:val="center"/>
              <w:rPr>
                <w:bCs/>
                <w:color w:val="000000"/>
              </w:rPr>
            </w:pPr>
            <w:r w:rsidRPr="0042063A">
              <w:rPr>
                <w:szCs w:val="20"/>
              </w:rPr>
              <w:t>-$</w:t>
            </w:r>
            <w:r w:rsidR="006E2381">
              <w:rPr>
                <w:noProof/>
                <w:color w:val="000000"/>
                <w:szCs w:val="20"/>
                <w:highlight w:val="black"/>
              </w:rPr>
              <w:t>''''''''''''''</w:t>
            </w:r>
          </w:p>
        </w:tc>
      </w:tr>
      <w:tr w:rsidR="00186D12" w:rsidRPr="0042063A" w:rsidTr="00186D12">
        <w:tc>
          <w:tcPr>
            <w:tcW w:w="1821" w:type="pct"/>
            <w:shd w:val="clear" w:color="auto" w:fill="auto"/>
            <w:vAlign w:val="center"/>
          </w:tcPr>
          <w:p w:rsidR="00186D12" w:rsidRPr="0042063A" w:rsidRDefault="00186D12" w:rsidP="00186D12">
            <w:pPr>
              <w:pStyle w:val="TableText"/>
              <w:rPr>
                <w:sz w:val="19"/>
                <w:szCs w:val="19"/>
                <w:vertAlign w:val="superscript"/>
              </w:rPr>
            </w:pPr>
            <w:r w:rsidRPr="0042063A">
              <w:rPr>
                <w:sz w:val="19"/>
                <w:szCs w:val="19"/>
              </w:rPr>
              <w:t xml:space="preserve">Net cost to </w:t>
            </w:r>
            <w:proofErr w:type="spellStart"/>
            <w:r w:rsidRPr="0042063A">
              <w:rPr>
                <w:sz w:val="19"/>
                <w:szCs w:val="19"/>
              </w:rPr>
              <w:t>PBS</w:t>
            </w:r>
            <w:r w:rsidRPr="0042063A">
              <w:rPr>
                <w:sz w:val="19"/>
                <w:szCs w:val="19"/>
                <w:vertAlign w:val="superscript"/>
              </w:rPr>
              <w:t>d</w:t>
            </w:r>
            <w:proofErr w:type="spellEnd"/>
          </w:p>
        </w:tc>
        <w:tc>
          <w:tcPr>
            <w:tcW w:w="476"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36"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495"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55"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54"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63" w:type="pct"/>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r>
      <w:tr w:rsidR="00186D12" w:rsidRPr="0042063A" w:rsidTr="00607758">
        <w:tc>
          <w:tcPr>
            <w:tcW w:w="5000" w:type="pct"/>
            <w:gridSpan w:val="7"/>
            <w:shd w:val="clear" w:color="auto" w:fill="auto"/>
            <w:vAlign w:val="center"/>
          </w:tcPr>
          <w:p w:rsidR="00186D12" w:rsidRPr="0042063A" w:rsidRDefault="00186D12" w:rsidP="00186D12">
            <w:pPr>
              <w:pStyle w:val="TableText"/>
              <w:rPr>
                <w:b/>
                <w:bCs/>
                <w:color w:val="000000"/>
              </w:rPr>
            </w:pPr>
            <w:r w:rsidRPr="0042063A">
              <w:rPr>
                <w:b/>
                <w:bCs/>
                <w:color w:val="000000"/>
              </w:rPr>
              <w:t>Net financial implications</w:t>
            </w:r>
            <w:r w:rsidRPr="0042063A">
              <w:rPr>
                <w:b/>
                <w:bCs/>
                <w:color w:val="4472C4" w:themeColor="accent5"/>
              </w:rPr>
              <w:t xml:space="preserve"> </w:t>
            </w:r>
          </w:p>
        </w:tc>
      </w:tr>
      <w:tr w:rsidR="00186D12" w:rsidRPr="0042063A" w:rsidTr="00186D12">
        <w:tc>
          <w:tcPr>
            <w:tcW w:w="1821" w:type="pct"/>
            <w:shd w:val="clear" w:color="auto" w:fill="auto"/>
            <w:vAlign w:val="center"/>
          </w:tcPr>
          <w:p w:rsidR="00186D12" w:rsidRPr="0042063A" w:rsidRDefault="00186D12" w:rsidP="00186D12">
            <w:pPr>
              <w:pStyle w:val="TableText"/>
              <w:rPr>
                <w:sz w:val="19"/>
                <w:szCs w:val="19"/>
              </w:rPr>
            </w:pPr>
            <w:r w:rsidRPr="0042063A">
              <w:rPr>
                <w:sz w:val="19"/>
                <w:szCs w:val="19"/>
              </w:rPr>
              <w:t>Net cost to PBS/RPBS</w:t>
            </w:r>
          </w:p>
        </w:tc>
        <w:tc>
          <w:tcPr>
            <w:tcW w:w="476"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r w:rsidRPr="0042063A">
              <w:rPr>
                <w:b/>
                <w:szCs w:val="20"/>
              </w:rPr>
              <w:t>7</w:t>
            </w:r>
          </w:p>
        </w:tc>
        <w:tc>
          <w:tcPr>
            <w:tcW w:w="536"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495"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55"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54"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63" w:type="pct"/>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r>
      <w:tr w:rsidR="00186D12" w:rsidRPr="0042063A" w:rsidTr="00186D12">
        <w:tc>
          <w:tcPr>
            <w:tcW w:w="1821" w:type="pct"/>
            <w:shd w:val="clear" w:color="auto" w:fill="auto"/>
            <w:vAlign w:val="center"/>
          </w:tcPr>
          <w:p w:rsidR="00186D12" w:rsidRPr="0042063A" w:rsidRDefault="00186D12" w:rsidP="00186D12">
            <w:pPr>
              <w:pStyle w:val="TableText"/>
              <w:rPr>
                <w:rFonts w:ascii="Times" w:eastAsia="Times New Roman" w:hAnsi="Times" w:cs="Times New Roman"/>
                <w:vertAlign w:val="superscript"/>
              </w:rPr>
            </w:pPr>
            <w:r w:rsidRPr="0042063A">
              <w:rPr>
                <w:sz w:val="19"/>
                <w:szCs w:val="19"/>
              </w:rPr>
              <w:t xml:space="preserve">Net cost to hospital </w:t>
            </w:r>
            <w:proofErr w:type="spellStart"/>
            <w:r w:rsidRPr="0042063A">
              <w:rPr>
                <w:sz w:val="19"/>
                <w:szCs w:val="19"/>
              </w:rPr>
              <w:t>budget</w:t>
            </w:r>
            <w:r w:rsidRPr="0042063A">
              <w:rPr>
                <w:sz w:val="19"/>
                <w:szCs w:val="19"/>
                <w:vertAlign w:val="superscript"/>
              </w:rPr>
              <w:t>e</w:t>
            </w:r>
            <w:proofErr w:type="spellEnd"/>
          </w:p>
        </w:tc>
        <w:tc>
          <w:tcPr>
            <w:tcW w:w="476"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36"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495"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55"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54"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63" w:type="pct"/>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r>
      <w:tr w:rsidR="00186D12" w:rsidRPr="0042063A" w:rsidTr="00186D12">
        <w:tc>
          <w:tcPr>
            <w:tcW w:w="1821" w:type="pct"/>
            <w:shd w:val="clear" w:color="auto" w:fill="auto"/>
            <w:vAlign w:val="center"/>
          </w:tcPr>
          <w:p w:rsidR="00186D12" w:rsidRPr="0042063A" w:rsidRDefault="00186D12" w:rsidP="00186D12">
            <w:pPr>
              <w:pStyle w:val="TableText"/>
              <w:rPr>
                <w:sz w:val="19"/>
                <w:szCs w:val="19"/>
                <w:vertAlign w:val="superscript"/>
              </w:rPr>
            </w:pPr>
            <w:r w:rsidRPr="0042063A">
              <w:rPr>
                <w:sz w:val="19"/>
                <w:szCs w:val="19"/>
              </w:rPr>
              <w:t xml:space="preserve">Net cost to </w:t>
            </w:r>
            <w:proofErr w:type="spellStart"/>
            <w:r w:rsidRPr="0042063A">
              <w:rPr>
                <w:sz w:val="19"/>
                <w:szCs w:val="19"/>
              </w:rPr>
              <w:t>MBS</w:t>
            </w:r>
            <w:r w:rsidRPr="0042063A">
              <w:rPr>
                <w:sz w:val="19"/>
                <w:szCs w:val="19"/>
                <w:vertAlign w:val="superscript"/>
              </w:rPr>
              <w:t>f</w:t>
            </w:r>
            <w:proofErr w:type="spellEnd"/>
          </w:p>
        </w:tc>
        <w:tc>
          <w:tcPr>
            <w:tcW w:w="476"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36"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495"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55"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54" w:type="pct"/>
            <w:shd w:val="clear" w:color="auto" w:fill="auto"/>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c>
          <w:tcPr>
            <w:tcW w:w="563" w:type="pct"/>
            <w:vAlign w:val="center"/>
          </w:tcPr>
          <w:p w:rsidR="00186D12" w:rsidRPr="0042063A" w:rsidRDefault="00186D12" w:rsidP="0000175F">
            <w:pPr>
              <w:pStyle w:val="TableText"/>
              <w:jc w:val="center"/>
              <w:rPr>
                <w:bCs/>
                <w:color w:val="000000"/>
              </w:rPr>
            </w:pPr>
            <w:r w:rsidRPr="0042063A">
              <w:rPr>
                <w:b/>
                <w:szCs w:val="20"/>
              </w:rPr>
              <w:t>$</w:t>
            </w:r>
            <w:r w:rsidR="006E2381">
              <w:rPr>
                <w:b/>
                <w:noProof/>
                <w:color w:val="000000"/>
                <w:szCs w:val="20"/>
                <w:highlight w:val="black"/>
              </w:rPr>
              <w:t>'''''''''''''</w:t>
            </w:r>
          </w:p>
        </w:tc>
      </w:tr>
      <w:tr w:rsidR="00186D12" w:rsidRPr="0042063A" w:rsidTr="00186D12">
        <w:tc>
          <w:tcPr>
            <w:tcW w:w="1821" w:type="pct"/>
            <w:shd w:val="clear" w:color="auto" w:fill="auto"/>
          </w:tcPr>
          <w:p w:rsidR="00186D12" w:rsidRPr="0042063A" w:rsidRDefault="00186D12" w:rsidP="00186D12">
            <w:pPr>
              <w:pStyle w:val="TableText"/>
              <w:rPr>
                <w:sz w:val="19"/>
                <w:szCs w:val="19"/>
              </w:rPr>
            </w:pPr>
            <w:r w:rsidRPr="0042063A">
              <w:rPr>
                <w:b/>
                <w:szCs w:val="20"/>
              </w:rPr>
              <w:t xml:space="preserve">Total cost to health </w:t>
            </w:r>
            <w:proofErr w:type="spellStart"/>
            <w:r w:rsidRPr="0042063A">
              <w:rPr>
                <w:b/>
                <w:szCs w:val="20"/>
              </w:rPr>
              <w:t>budget</w:t>
            </w:r>
            <w:r w:rsidRPr="0042063A">
              <w:rPr>
                <w:b/>
                <w:szCs w:val="20"/>
                <w:vertAlign w:val="superscript"/>
              </w:rPr>
              <w:t>g</w:t>
            </w:r>
            <w:proofErr w:type="spellEnd"/>
          </w:p>
        </w:tc>
        <w:tc>
          <w:tcPr>
            <w:tcW w:w="476" w:type="pct"/>
            <w:shd w:val="clear" w:color="auto" w:fill="auto"/>
            <w:vAlign w:val="center"/>
          </w:tcPr>
          <w:p w:rsidR="00186D12" w:rsidRPr="0042063A" w:rsidRDefault="00186D12" w:rsidP="0000175F">
            <w:pPr>
              <w:pStyle w:val="TableText"/>
              <w:jc w:val="center"/>
              <w:rPr>
                <w:b/>
                <w:szCs w:val="20"/>
              </w:rPr>
            </w:pPr>
            <w:r w:rsidRPr="0042063A">
              <w:rPr>
                <w:b/>
                <w:szCs w:val="20"/>
              </w:rPr>
              <w:t>$</w:t>
            </w:r>
            <w:r w:rsidR="006E2381">
              <w:rPr>
                <w:b/>
                <w:noProof/>
                <w:color w:val="000000"/>
                <w:szCs w:val="20"/>
                <w:highlight w:val="black"/>
              </w:rPr>
              <w:t>'''''''''''''''''''</w:t>
            </w:r>
          </w:p>
        </w:tc>
        <w:tc>
          <w:tcPr>
            <w:tcW w:w="536" w:type="pct"/>
            <w:shd w:val="clear" w:color="auto" w:fill="auto"/>
            <w:vAlign w:val="center"/>
          </w:tcPr>
          <w:p w:rsidR="00186D12" w:rsidRPr="0042063A" w:rsidRDefault="00186D12" w:rsidP="0000175F">
            <w:pPr>
              <w:pStyle w:val="TableText"/>
              <w:jc w:val="center"/>
              <w:rPr>
                <w:b/>
                <w:szCs w:val="20"/>
              </w:rPr>
            </w:pPr>
            <w:r w:rsidRPr="0042063A">
              <w:rPr>
                <w:b/>
                <w:szCs w:val="20"/>
              </w:rPr>
              <w:t>$</w:t>
            </w:r>
            <w:r w:rsidR="006E2381">
              <w:rPr>
                <w:b/>
                <w:noProof/>
                <w:color w:val="000000"/>
                <w:szCs w:val="20"/>
                <w:highlight w:val="black"/>
              </w:rPr>
              <w:t>'''''''''''''''''''''</w:t>
            </w:r>
          </w:p>
        </w:tc>
        <w:tc>
          <w:tcPr>
            <w:tcW w:w="495" w:type="pct"/>
            <w:shd w:val="clear" w:color="auto" w:fill="auto"/>
            <w:vAlign w:val="center"/>
          </w:tcPr>
          <w:p w:rsidR="00186D12" w:rsidRPr="0042063A" w:rsidRDefault="00186D12" w:rsidP="0000175F">
            <w:pPr>
              <w:pStyle w:val="TableText"/>
              <w:jc w:val="center"/>
              <w:rPr>
                <w:b/>
                <w:szCs w:val="20"/>
              </w:rPr>
            </w:pPr>
            <w:r w:rsidRPr="0042063A">
              <w:rPr>
                <w:b/>
                <w:szCs w:val="20"/>
              </w:rPr>
              <w:t>$</w:t>
            </w:r>
            <w:r w:rsidR="006E2381">
              <w:rPr>
                <w:b/>
                <w:noProof/>
                <w:color w:val="000000"/>
                <w:szCs w:val="20"/>
                <w:highlight w:val="black"/>
              </w:rPr>
              <w:t>'''''''''''''''''</w:t>
            </w:r>
          </w:p>
        </w:tc>
        <w:tc>
          <w:tcPr>
            <w:tcW w:w="555" w:type="pct"/>
            <w:shd w:val="clear" w:color="auto" w:fill="auto"/>
            <w:vAlign w:val="center"/>
          </w:tcPr>
          <w:p w:rsidR="00186D12" w:rsidRPr="0042063A" w:rsidRDefault="00186D12" w:rsidP="0000175F">
            <w:pPr>
              <w:pStyle w:val="TableText"/>
              <w:jc w:val="center"/>
              <w:rPr>
                <w:b/>
                <w:szCs w:val="20"/>
              </w:rPr>
            </w:pPr>
            <w:r w:rsidRPr="0042063A">
              <w:rPr>
                <w:b/>
                <w:szCs w:val="20"/>
              </w:rPr>
              <w:t>$</w:t>
            </w:r>
            <w:r w:rsidR="006E2381">
              <w:rPr>
                <w:b/>
                <w:noProof/>
                <w:color w:val="000000"/>
                <w:szCs w:val="20"/>
                <w:highlight w:val="black"/>
              </w:rPr>
              <w:t>'''''''''''''''''''''''</w:t>
            </w:r>
          </w:p>
        </w:tc>
        <w:tc>
          <w:tcPr>
            <w:tcW w:w="554" w:type="pct"/>
            <w:shd w:val="clear" w:color="auto" w:fill="auto"/>
            <w:vAlign w:val="center"/>
          </w:tcPr>
          <w:p w:rsidR="00186D12" w:rsidRPr="0042063A" w:rsidRDefault="00186D12" w:rsidP="0000175F">
            <w:pPr>
              <w:pStyle w:val="TableText"/>
              <w:jc w:val="center"/>
              <w:rPr>
                <w:b/>
                <w:szCs w:val="20"/>
              </w:rPr>
            </w:pPr>
            <w:r w:rsidRPr="0042063A">
              <w:rPr>
                <w:b/>
                <w:szCs w:val="20"/>
              </w:rPr>
              <w:t>$</w:t>
            </w:r>
            <w:r w:rsidR="006E2381">
              <w:rPr>
                <w:b/>
                <w:noProof/>
                <w:color w:val="000000"/>
                <w:szCs w:val="20"/>
                <w:highlight w:val="black"/>
              </w:rPr>
              <w:t>'''''''''''''''''''''</w:t>
            </w:r>
          </w:p>
        </w:tc>
        <w:tc>
          <w:tcPr>
            <w:tcW w:w="563" w:type="pct"/>
            <w:vAlign w:val="center"/>
          </w:tcPr>
          <w:p w:rsidR="00186D12" w:rsidRPr="0042063A" w:rsidRDefault="00186D12" w:rsidP="0000175F">
            <w:pPr>
              <w:pStyle w:val="TableText"/>
              <w:jc w:val="center"/>
              <w:rPr>
                <w:b/>
                <w:szCs w:val="20"/>
              </w:rPr>
            </w:pPr>
            <w:r w:rsidRPr="0042063A">
              <w:rPr>
                <w:b/>
                <w:szCs w:val="20"/>
              </w:rPr>
              <w:t>$</w:t>
            </w:r>
            <w:r w:rsidR="006E2381">
              <w:rPr>
                <w:b/>
                <w:noProof/>
                <w:color w:val="000000"/>
                <w:szCs w:val="20"/>
                <w:highlight w:val="black"/>
              </w:rPr>
              <w:t>''''''''''''''''''''</w:t>
            </w:r>
          </w:p>
        </w:tc>
      </w:tr>
    </w:tbl>
    <w:p w:rsidR="00C317F3" w:rsidRPr="0042063A" w:rsidRDefault="00C317F3" w:rsidP="008E0970">
      <w:pPr>
        <w:pStyle w:val="TableFooter"/>
      </w:pPr>
      <w:proofErr w:type="gramStart"/>
      <w:r w:rsidRPr="0042063A">
        <w:rPr>
          <w:vertAlign w:val="superscript"/>
        </w:rPr>
        <w:t>a</w:t>
      </w:r>
      <w:proofErr w:type="gramEnd"/>
      <w:r w:rsidR="008E0970" w:rsidRPr="0042063A">
        <w:t xml:space="preserve"> </w:t>
      </w:r>
      <w:r w:rsidR="006E2381">
        <w:rPr>
          <w:noProof/>
          <w:color w:val="000000"/>
          <w:highlight w:val="black"/>
        </w:rPr>
        <w:t>''''''</w:t>
      </w:r>
      <w:r w:rsidR="008E0970" w:rsidRPr="0042063A">
        <w:t>% compliance and 13 scripts assumed (each script contains medication for 2 fortnightly administrations) per year, for an expected 12.87 scripts per year per patient.</w:t>
      </w:r>
    </w:p>
    <w:p w:rsidR="00186D12" w:rsidRPr="0042063A" w:rsidRDefault="008E0970" w:rsidP="008E0970">
      <w:pPr>
        <w:pStyle w:val="TableFooter"/>
      </w:pPr>
      <w:proofErr w:type="spellStart"/>
      <w:proofErr w:type="gramStart"/>
      <w:r w:rsidRPr="0042063A">
        <w:rPr>
          <w:vertAlign w:val="superscript"/>
        </w:rPr>
        <w:t>b</w:t>
      </w:r>
      <w:r w:rsidR="00186D12" w:rsidRPr="0042063A">
        <w:t>Include</w:t>
      </w:r>
      <w:proofErr w:type="spellEnd"/>
      <w:proofErr w:type="gramEnd"/>
      <w:r w:rsidR="00186D12" w:rsidRPr="0042063A">
        <w:t xml:space="preserve"> </w:t>
      </w:r>
      <w:proofErr w:type="spellStart"/>
      <w:r w:rsidR="00186D12" w:rsidRPr="0042063A">
        <w:t>loratadine</w:t>
      </w:r>
      <w:proofErr w:type="spellEnd"/>
      <w:r w:rsidR="00186D12" w:rsidRPr="0042063A">
        <w:t>, paracetamol and metoclopramide, used both as premedication and to treat adverse events</w:t>
      </w:r>
    </w:p>
    <w:p w:rsidR="008E0970" w:rsidRPr="0042063A" w:rsidRDefault="00186D12" w:rsidP="008E0970">
      <w:pPr>
        <w:pStyle w:val="TableFooter"/>
      </w:pPr>
      <w:r w:rsidRPr="0042063A">
        <w:rPr>
          <w:vertAlign w:val="superscript"/>
        </w:rPr>
        <w:t>c</w:t>
      </w:r>
      <w:r w:rsidRPr="0042063A">
        <w:t xml:space="preserve"> Total cost for medications used to treat progressive disease related to CLN2 (Standard care) which will no longer be required due to patient not progressing as rapidly when treated with cerliponase alfa (estimated by applying rate of decline</w:t>
      </w:r>
      <w:r w:rsidR="00BA77D4" w:rsidRPr="0042063A">
        <w:t xml:space="preserve"> in table </w:t>
      </w:r>
      <w:r w:rsidRPr="0042063A">
        <w:t>6)</w:t>
      </w:r>
    </w:p>
    <w:p w:rsidR="00186D12" w:rsidRPr="0042063A" w:rsidRDefault="00186D12" w:rsidP="008E0970">
      <w:pPr>
        <w:pStyle w:val="TableFooter"/>
      </w:pPr>
      <w:proofErr w:type="spellStart"/>
      <w:proofErr w:type="gramStart"/>
      <w:r w:rsidRPr="0042063A">
        <w:rPr>
          <w:vertAlign w:val="superscript"/>
        </w:rPr>
        <w:t>d</w:t>
      </w:r>
      <w:r w:rsidRPr="0042063A">
        <w:t>Cost</w:t>
      </w:r>
      <w:proofErr w:type="spellEnd"/>
      <w:proofErr w:type="gramEnd"/>
      <w:r w:rsidRPr="0042063A">
        <w:t xml:space="preserve"> of cerliponase alfa plus cost of </w:t>
      </w:r>
      <w:proofErr w:type="spellStart"/>
      <w:r w:rsidRPr="0042063A">
        <w:t>coadministered</w:t>
      </w:r>
      <w:proofErr w:type="spellEnd"/>
      <w:r w:rsidRPr="0042063A">
        <w:t xml:space="preserve"> drugs and savings from reduction in progressive disease/standard care medication</w:t>
      </w:r>
    </w:p>
    <w:p w:rsidR="00186D12" w:rsidRPr="0042063A" w:rsidRDefault="00186D12" w:rsidP="008E0970">
      <w:pPr>
        <w:pStyle w:val="TableFooter"/>
      </w:pPr>
      <w:proofErr w:type="spellStart"/>
      <w:proofErr w:type="gramStart"/>
      <w:r w:rsidRPr="0042063A">
        <w:rPr>
          <w:vertAlign w:val="superscript"/>
        </w:rPr>
        <w:t>e</w:t>
      </w:r>
      <w:r w:rsidRPr="0042063A">
        <w:t>Includes</w:t>
      </w:r>
      <w:proofErr w:type="spellEnd"/>
      <w:proofErr w:type="gramEnd"/>
      <w:r w:rsidRPr="0042063A">
        <w:t xml:space="preserve"> costs for ICV device insertion and feeding tube insertion and replaced every 2 years based on round 19 costs</w:t>
      </w:r>
    </w:p>
    <w:p w:rsidR="00186D12" w:rsidRPr="0042063A" w:rsidRDefault="00186D12" w:rsidP="008E0970">
      <w:pPr>
        <w:pStyle w:val="TableFooter"/>
      </w:pPr>
      <w:proofErr w:type="spellStart"/>
      <w:proofErr w:type="gramStart"/>
      <w:r w:rsidRPr="0042063A">
        <w:rPr>
          <w:vertAlign w:val="superscript"/>
        </w:rPr>
        <w:t>f</w:t>
      </w:r>
      <w:r w:rsidRPr="0042063A">
        <w:t>Costs</w:t>
      </w:r>
      <w:proofErr w:type="spellEnd"/>
      <w:proofErr w:type="gramEnd"/>
      <w:r w:rsidRPr="0042063A">
        <w:t xml:space="preserve"> for administration of cerliponase alfa and savings from reduced visits to health care professionals for disease monitoring due to less severe disease</w:t>
      </w:r>
    </w:p>
    <w:p w:rsidR="00186D12" w:rsidRPr="0042063A" w:rsidRDefault="00186D12" w:rsidP="00186D12">
      <w:pPr>
        <w:pStyle w:val="TableFooter"/>
      </w:pPr>
      <w:proofErr w:type="spellStart"/>
      <w:proofErr w:type="gramStart"/>
      <w:r w:rsidRPr="0042063A">
        <w:rPr>
          <w:vertAlign w:val="superscript"/>
        </w:rPr>
        <w:t>g</w:t>
      </w:r>
      <w:r w:rsidRPr="0042063A">
        <w:t>Net</w:t>
      </w:r>
      <w:proofErr w:type="spellEnd"/>
      <w:proofErr w:type="gramEnd"/>
      <w:r w:rsidRPr="0042063A">
        <w:t xml:space="preserve"> cost to PBS/RPBS + net cost to hospital budget + net cost to MBS. </w:t>
      </w:r>
    </w:p>
    <w:p w:rsidR="00186D12" w:rsidRPr="0042063A" w:rsidRDefault="00186D12" w:rsidP="00186D12">
      <w:pPr>
        <w:pStyle w:val="TableFooter"/>
      </w:pPr>
      <w:r w:rsidRPr="0042063A">
        <w:t>Source: Table 4.2-1, p176, Table 4.2-2, p177, Table 4.2-5, p179, Table 4.3-4, p185, Table 4.5-3, p188 of the submission</w:t>
      </w:r>
    </w:p>
    <w:p w:rsidR="00F60ABD" w:rsidRDefault="00F60ABD" w:rsidP="00F60ABD">
      <w:pPr>
        <w:spacing w:before="0" w:after="120"/>
      </w:pPr>
      <w:r w:rsidRPr="00184A79">
        <w:rPr>
          <w:rFonts w:cs="Arial"/>
          <w:szCs w:val="24"/>
        </w:rPr>
        <w:t xml:space="preserve">The redacted table shows that at year </w:t>
      </w:r>
      <w:r>
        <w:rPr>
          <w:rFonts w:cs="Arial"/>
          <w:szCs w:val="24"/>
        </w:rPr>
        <w:t>6</w:t>
      </w:r>
      <w:r w:rsidRPr="00184A79">
        <w:rPr>
          <w:rFonts w:cs="Arial"/>
          <w:szCs w:val="24"/>
        </w:rPr>
        <w:t>, the e</w:t>
      </w:r>
      <w:r>
        <w:rPr>
          <w:rFonts w:cs="Arial"/>
          <w:szCs w:val="24"/>
        </w:rPr>
        <w:t xml:space="preserve">stimated number of patients was less than 10,000 </w:t>
      </w:r>
      <w:r w:rsidRPr="00184A79">
        <w:rPr>
          <w:rFonts w:cs="Arial"/>
          <w:szCs w:val="24"/>
        </w:rPr>
        <w:t xml:space="preserve">and the </w:t>
      </w:r>
      <w:r>
        <w:rPr>
          <w:rFonts w:cs="Arial"/>
          <w:szCs w:val="24"/>
        </w:rPr>
        <w:t xml:space="preserve">total cost to the health budget </w:t>
      </w:r>
      <w:r w:rsidRPr="00184A79">
        <w:rPr>
          <w:rFonts w:cs="Arial"/>
          <w:szCs w:val="24"/>
        </w:rPr>
        <w:t>would be</w:t>
      </w:r>
      <w:r>
        <w:rPr>
          <w:rFonts w:cs="Arial"/>
          <w:szCs w:val="24"/>
        </w:rPr>
        <w:t xml:space="preserve"> $10 - $20 million</w:t>
      </w:r>
      <w:r w:rsidRPr="00184A79">
        <w:rPr>
          <w:rFonts w:cs="Arial"/>
          <w:szCs w:val="24"/>
        </w:rPr>
        <w:t>.</w:t>
      </w:r>
    </w:p>
    <w:p w:rsidR="00E73270" w:rsidRPr="0042063A" w:rsidRDefault="00E73270" w:rsidP="00E73270">
      <w:pPr>
        <w:pStyle w:val="ListParagraph"/>
        <w:numPr>
          <w:ilvl w:val="1"/>
          <w:numId w:val="2"/>
        </w:numPr>
        <w:spacing w:before="0" w:after="120"/>
      </w:pPr>
      <w:r w:rsidRPr="0042063A">
        <w:t xml:space="preserve">The submission underestimated the percentage of patients requiring ICV device replacement due to infection per year. In the financial estimates it was assumed that there was a </w:t>
      </w:r>
      <w:r w:rsidR="006E2381">
        <w:rPr>
          <w:noProof/>
          <w:color w:val="000000"/>
          <w:highlight w:val="black"/>
        </w:rPr>
        <w:t>'''''''''</w:t>
      </w:r>
      <w:r w:rsidRPr="0042063A">
        <w:t>% chance of</w:t>
      </w:r>
      <w:r w:rsidR="00354B65" w:rsidRPr="0042063A">
        <w:t xml:space="preserve"> per year of</w:t>
      </w:r>
      <w:r w:rsidRPr="0042063A">
        <w:t xml:space="preserve"> needing an ICV device replacement, which is a significantly lower percentage compared to the economic evaluation which applied a </w:t>
      </w:r>
      <w:r w:rsidR="006E2381">
        <w:rPr>
          <w:noProof/>
          <w:color w:val="000000"/>
          <w:highlight w:val="black"/>
        </w:rPr>
        <w:t>''''''''</w:t>
      </w:r>
      <w:r w:rsidRPr="0042063A">
        <w:t>% chance (</w:t>
      </w:r>
      <w:r w:rsidR="006E2381">
        <w:rPr>
          <w:noProof/>
          <w:color w:val="000000"/>
          <w:highlight w:val="black"/>
        </w:rPr>
        <w:t>''''''''</w:t>
      </w:r>
      <w:r w:rsidRPr="0042063A">
        <w:t xml:space="preserve">% risk of infection every administration and </w:t>
      </w:r>
      <w:r w:rsidR="006E2381">
        <w:rPr>
          <w:noProof/>
          <w:color w:val="000000"/>
          <w:highlight w:val="black"/>
        </w:rPr>
        <w:t>'''''</w:t>
      </w:r>
      <w:r w:rsidRPr="0042063A">
        <w:t xml:space="preserve">% requiring replacement) </w:t>
      </w:r>
      <w:r w:rsidRPr="0042063A">
        <w:rPr>
          <w:u w:val="single"/>
        </w:rPr>
        <w:t>every 2 weeks</w:t>
      </w:r>
      <w:r w:rsidRPr="0042063A">
        <w:t xml:space="preserve">, equal to </w:t>
      </w:r>
      <w:r w:rsidR="006E2381">
        <w:rPr>
          <w:noProof/>
          <w:color w:val="000000"/>
          <w:highlight w:val="black"/>
        </w:rPr>
        <w:t>'''''''''''</w:t>
      </w:r>
      <w:r w:rsidRPr="0042063A">
        <w:t>%</w:t>
      </w:r>
      <w:r w:rsidR="00354B65" w:rsidRPr="0042063A">
        <w:t xml:space="preserve"> chance</w:t>
      </w:r>
      <w:r w:rsidR="00000AB8">
        <w:t xml:space="preserve"> per year.</w:t>
      </w:r>
      <w:r w:rsidRPr="0042063A">
        <w:t xml:space="preserve"> However changing this percentage and updating</w:t>
      </w:r>
      <w:r w:rsidR="00354B65" w:rsidRPr="0042063A">
        <w:t xml:space="preserve"> the costs for inserting an ICV device and feeding tube</w:t>
      </w:r>
      <w:r w:rsidRPr="0042063A">
        <w:t xml:space="preserve"> to </w:t>
      </w:r>
      <w:r w:rsidR="009E1A6F" w:rsidRPr="0042063A">
        <w:t xml:space="preserve">Public Hospitals Cost Report </w:t>
      </w:r>
      <w:r w:rsidR="00354B65" w:rsidRPr="0042063A">
        <w:t>R</w:t>
      </w:r>
      <w:r w:rsidRPr="0042063A">
        <w:t>ound 20 costs did not substantially increase the financial estimates</w:t>
      </w:r>
      <w:r w:rsidR="0000175F" w:rsidRPr="0042063A">
        <w:t xml:space="preserve"> </w:t>
      </w:r>
      <w:r w:rsidRPr="0042063A">
        <w:t>(less than $10</w:t>
      </w:r>
      <w:r w:rsidR="008629E4">
        <w:t xml:space="preserve"> million </w:t>
      </w:r>
      <w:r w:rsidRPr="0042063A">
        <w:t>per year in difference)</w:t>
      </w:r>
      <w:r w:rsidR="0000175F" w:rsidRPr="0042063A">
        <w:t>.</w:t>
      </w:r>
      <w:r w:rsidR="007E79E9" w:rsidRPr="0042063A">
        <w:rPr>
          <w:i/>
        </w:rPr>
        <w:t xml:space="preserve"> </w:t>
      </w:r>
      <w:r w:rsidR="007E79E9" w:rsidRPr="0042063A">
        <w:t xml:space="preserve">The </w:t>
      </w:r>
      <w:r w:rsidR="0070120E">
        <w:t>Pre-Sub-Committee Response (</w:t>
      </w:r>
      <w:r w:rsidR="007E79E9" w:rsidRPr="0042063A">
        <w:t>PSCR</w:t>
      </w:r>
      <w:r w:rsidR="0070120E">
        <w:t>)</w:t>
      </w:r>
      <w:r w:rsidR="007E79E9" w:rsidRPr="0042063A">
        <w:t xml:space="preserve"> clarified that the DRG for a feeding tube is G46A which is associated with a cost of $</w:t>
      </w:r>
      <w:r w:rsidR="007E79E9" w:rsidRPr="008D4A8F">
        <w:t>9,726</w:t>
      </w:r>
      <w:r w:rsidR="007E79E9" w:rsidRPr="0042063A">
        <w:t xml:space="preserve"> instead of the value $</w:t>
      </w:r>
      <w:r w:rsidR="007E79E9" w:rsidRPr="008D4A8F">
        <w:t>10,545</w:t>
      </w:r>
      <w:r w:rsidR="007E79E9" w:rsidRPr="0042063A">
        <w:t xml:space="preserve"> used in the submission.</w:t>
      </w:r>
      <w:r w:rsidR="007E79E9" w:rsidRPr="0042063A">
        <w:rPr>
          <w:i/>
        </w:rPr>
        <w:t xml:space="preserve"> </w:t>
      </w:r>
    </w:p>
    <w:p w:rsidR="0064666E" w:rsidRPr="0042063A" w:rsidRDefault="0064666E" w:rsidP="00E73270">
      <w:pPr>
        <w:pStyle w:val="ListParagraph"/>
        <w:numPr>
          <w:ilvl w:val="1"/>
          <w:numId w:val="2"/>
        </w:numPr>
        <w:spacing w:before="0" w:after="120"/>
      </w:pPr>
      <w:r w:rsidRPr="0042063A">
        <w:lastRenderedPageBreak/>
        <w:t xml:space="preserve">The ESC noted </w:t>
      </w:r>
      <w:r w:rsidR="000332E1" w:rsidRPr="0042063A">
        <w:t xml:space="preserve">that while the assumption of </w:t>
      </w:r>
      <w:r w:rsidR="006E2381">
        <w:rPr>
          <w:noProof/>
          <w:color w:val="000000"/>
          <w:highlight w:val="black"/>
        </w:rPr>
        <w:t>'''''</w:t>
      </w:r>
      <w:r w:rsidR="000332E1" w:rsidRPr="0042063A">
        <w:t>% compliance is conservative, it does not account for the impact of ICV treatment which is likely to be significant especially for patients with low ML scores.</w:t>
      </w:r>
      <w:r w:rsidR="00292839">
        <w:t xml:space="preserve"> </w:t>
      </w:r>
    </w:p>
    <w:p w:rsidR="00C467FC" w:rsidRPr="0042063A" w:rsidRDefault="00C467FC" w:rsidP="00C467FC">
      <w:pPr>
        <w:pStyle w:val="ListParagraph"/>
        <w:numPr>
          <w:ilvl w:val="1"/>
          <w:numId w:val="2"/>
        </w:numPr>
        <w:spacing w:before="0" w:after="120"/>
      </w:pPr>
      <w:r w:rsidRPr="0042063A">
        <w:t>Ultimately, although the submission has accounted for cost-offsets which are likely to be delayed rather than eliminated, the ‘savings’ from these offsets are significantly smaller in magnitude compared to the drug and administration (e.g. ICV device insertion, fortnightly administration costs) costs for cerliponase alfa.</w:t>
      </w:r>
      <w:r w:rsidR="00872B17" w:rsidRPr="0042063A">
        <w:rPr>
          <w:i/>
        </w:rPr>
        <w:t xml:space="preserve"> </w:t>
      </w:r>
    </w:p>
    <w:p w:rsidR="00E73270" w:rsidRPr="0042063A" w:rsidRDefault="00E73270" w:rsidP="00E73270">
      <w:pPr>
        <w:pStyle w:val="ListParagraph"/>
        <w:numPr>
          <w:ilvl w:val="1"/>
          <w:numId w:val="2"/>
        </w:numPr>
        <w:spacing w:before="0" w:after="120"/>
      </w:pPr>
      <w:r w:rsidRPr="0042063A">
        <w:t>It should also be noted that, if cerliponase alfa increases life expectancy as claimed, the number of patients will continue to rise and will</w:t>
      </w:r>
      <w:r w:rsidR="001416C6" w:rsidRPr="0042063A">
        <w:rPr>
          <w:rFonts w:ascii="Calibri" w:eastAsia="Calibri" w:hAnsi="Calibri" w:cs="Arial"/>
        </w:rPr>
        <w:t xml:space="preserve"> not plateau until the first incident patient discontinues treatment, which may be a significant number of years as the economic model predicts an undiscounted life year gain of </w:t>
      </w:r>
      <w:r w:rsidR="006E2381">
        <w:rPr>
          <w:rFonts w:ascii="Calibri" w:eastAsia="Calibri" w:hAnsi="Calibri" w:cs="Arial"/>
          <w:noProof/>
          <w:color w:val="000000"/>
          <w:highlight w:val="black"/>
        </w:rPr>
        <w:t>''''''</w:t>
      </w:r>
      <w:r w:rsidR="001416C6" w:rsidRPr="0042063A">
        <w:rPr>
          <w:rFonts w:ascii="Calibri" w:eastAsia="Calibri" w:hAnsi="Calibri" w:cs="Arial"/>
        </w:rPr>
        <w:t xml:space="preserve"> years for patients treated with cerliponase alfa – therefore it likely, that the cost of listing cerliponase alfa will increase by approximately </w:t>
      </w:r>
      <w:r w:rsidR="008D4A8F">
        <w:rPr>
          <w:rFonts w:ascii="Calibri" w:eastAsia="Calibri" w:hAnsi="Calibri" w:cs="Arial"/>
        </w:rPr>
        <w:t xml:space="preserve">less than $10 million </w:t>
      </w:r>
      <w:r w:rsidR="001416C6" w:rsidRPr="0042063A">
        <w:rPr>
          <w:rFonts w:ascii="Calibri" w:eastAsia="Calibri" w:hAnsi="Calibri" w:cs="Arial"/>
        </w:rPr>
        <w:t xml:space="preserve">per year (assuming approximately </w:t>
      </w:r>
      <w:r w:rsidR="006E2381">
        <w:rPr>
          <w:rFonts w:ascii="Calibri" w:eastAsia="Calibri" w:hAnsi="Calibri" w:cs="Arial"/>
          <w:noProof/>
          <w:color w:val="000000"/>
          <w:highlight w:val="black"/>
        </w:rPr>
        <w:t>'''''''''''</w:t>
      </w:r>
      <w:r w:rsidR="001416C6" w:rsidRPr="0042063A">
        <w:rPr>
          <w:rFonts w:ascii="Calibri" w:eastAsia="Calibri" w:hAnsi="Calibri" w:cs="Arial"/>
        </w:rPr>
        <w:t xml:space="preserve"> incident patients per year and </w:t>
      </w:r>
      <w:r w:rsidR="0057368B">
        <w:rPr>
          <w:rFonts w:ascii="Calibri" w:eastAsia="Calibri" w:hAnsi="Calibri" w:cs="Arial"/>
        </w:rPr>
        <w:t xml:space="preserve">less than </w:t>
      </w:r>
      <w:r w:rsidR="001416C6" w:rsidRPr="0042063A">
        <w:rPr>
          <w:rFonts w:ascii="Calibri" w:eastAsia="Calibri" w:hAnsi="Calibri" w:cs="Arial"/>
        </w:rPr>
        <w:t>$</w:t>
      </w:r>
      <w:r w:rsidR="0057368B">
        <w:rPr>
          <w:rFonts w:ascii="Calibri" w:eastAsia="Calibri" w:hAnsi="Calibri" w:cs="Arial"/>
        </w:rPr>
        <w:t>10 million</w:t>
      </w:r>
      <w:r w:rsidR="001416C6" w:rsidRPr="0042063A">
        <w:rPr>
          <w:rFonts w:ascii="Calibri" w:eastAsia="Calibri" w:hAnsi="Calibri" w:cs="Arial"/>
        </w:rPr>
        <w:t xml:space="preserve"> per year for drug costs alone), potentially all until Year </w:t>
      </w:r>
      <w:r w:rsidR="006E2381">
        <w:rPr>
          <w:rFonts w:ascii="Calibri" w:eastAsia="Calibri" w:hAnsi="Calibri" w:cs="Arial"/>
          <w:noProof/>
          <w:color w:val="000000"/>
          <w:highlight w:val="black"/>
        </w:rPr>
        <w:t>''''''</w:t>
      </w:r>
      <w:r w:rsidR="00BD4CDF" w:rsidRPr="0042063A">
        <w:rPr>
          <w:rFonts w:ascii="Calibri" w:eastAsia="Calibri" w:hAnsi="Calibri" w:cs="Arial"/>
        </w:rPr>
        <w:t xml:space="preserve"> of listing</w:t>
      </w:r>
      <w:r w:rsidR="00BD4CDF" w:rsidRPr="0042063A">
        <w:t>.</w:t>
      </w:r>
      <w:r w:rsidR="00BD4CDF" w:rsidRPr="0042063A">
        <w:rPr>
          <w:rFonts w:ascii="Calibri" w:eastAsia="Calibri" w:hAnsi="Calibri" w:cs="Arial"/>
        </w:rPr>
        <w:t xml:space="preserve"> </w:t>
      </w:r>
      <w:r w:rsidRPr="0042063A">
        <w:t>Moreover, the cost of caring for disabled adults may also be greater than the cost of caring for disabled children, which has not been considered in the submission.</w:t>
      </w:r>
      <w:r w:rsidR="00292839">
        <w:t xml:space="preserve"> </w:t>
      </w:r>
    </w:p>
    <w:p w:rsidR="00AA63BB" w:rsidRPr="0042063A" w:rsidRDefault="00B6250B" w:rsidP="002B0E3F">
      <w:pPr>
        <w:spacing w:after="0"/>
        <w:ind w:left="567"/>
        <w:contextualSpacing/>
        <w:rPr>
          <w:rFonts w:ascii="Calibri" w:eastAsia="Times New Roman" w:hAnsi="Calibri" w:cs="Times New Roman"/>
          <w:i/>
          <w:szCs w:val="24"/>
        </w:rPr>
      </w:pPr>
      <w:r w:rsidRPr="0042063A">
        <w:rPr>
          <w:rFonts w:ascii="Calibri" w:eastAsia="Times New Roman" w:hAnsi="Calibri" w:cs="Times New Roman"/>
          <w:i/>
          <w:szCs w:val="24"/>
        </w:rPr>
        <w:t>For more detail on PBAC’s view, see section 7 PBAC outcome.</w:t>
      </w:r>
    </w:p>
    <w:p w:rsidR="00787876" w:rsidRPr="0042063A" w:rsidRDefault="00787876" w:rsidP="002B0E3F">
      <w:pPr>
        <w:spacing w:after="0"/>
        <w:ind w:left="567"/>
        <w:contextualSpacing/>
        <w:rPr>
          <w:rFonts w:ascii="Calibri" w:eastAsia="Times New Roman" w:hAnsi="Calibri" w:cs="Times New Roman"/>
          <w:i/>
          <w:szCs w:val="24"/>
        </w:rPr>
      </w:pPr>
    </w:p>
    <w:p w:rsidR="00787876" w:rsidRPr="0042063A" w:rsidRDefault="00787876" w:rsidP="00750DE5">
      <w:pPr>
        <w:pStyle w:val="Heading1"/>
        <w:tabs>
          <w:tab w:val="left" w:pos="567"/>
        </w:tabs>
        <w:ind w:left="709" w:hanging="709"/>
        <w:jc w:val="left"/>
      </w:pPr>
      <w:r w:rsidRPr="0042063A">
        <w:t xml:space="preserve">PBAC Outcome </w:t>
      </w:r>
    </w:p>
    <w:p w:rsidR="00787876" w:rsidRPr="0042063A" w:rsidRDefault="00F354AA" w:rsidP="00F354AA">
      <w:pPr>
        <w:pStyle w:val="ListParagraph"/>
        <w:numPr>
          <w:ilvl w:val="1"/>
          <w:numId w:val="2"/>
        </w:numPr>
        <w:spacing w:before="0" w:after="240"/>
      </w:pPr>
      <w:r w:rsidRPr="0042063A">
        <w:t>The PBAC did not recommend the listing of cerliponase alfa for the treatment of neuronal ceroid lipo</w:t>
      </w:r>
      <w:r w:rsidR="007534CB" w:rsidRPr="0042063A">
        <w:t xml:space="preserve">fuscinosis type 2 (CLN2) </w:t>
      </w:r>
      <w:proofErr w:type="gramStart"/>
      <w:r w:rsidR="007534CB" w:rsidRPr="0042063A">
        <w:t>disease</w:t>
      </w:r>
      <w:proofErr w:type="gramEnd"/>
      <w:r w:rsidR="007534CB" w:rsidRPr="0042063A">
        <w:t xml:space="preserve"> on</w:t>
      </w:r>
      <w:r w:rsidR="00DE6997" w:rsidRPr="0042063A">
        <w:t xml:space="preserve"> the basis of unacceptable high cost-effectiveness at the proposed price and </w:t>
      </w:r>
      <w:r w:rsidR="00300F59" w:rsidRPr="0042063A">
        <w:t xml:space="preserve">uncertainty </w:t>
      </w:r>
      <w:r w:rsidR="00FC7207" w:rsidRPr="0042063A">
        <w:t xml:space="preserve">that the </w:t>
      </w:r>
      <w:r w:rsidR="00CF39DB" w:rsidRPr="0042063A">
        <w:t>treatment effect</w:t>
      </w:r>
      <w:r w:rsidR="00482AED" w:rsidRPr="0042063A">
        <w:t xml:space="preserve"> observed</w:t>
      </w:r>
      <w:r w:rsidR="00FC7207" w:rsidRPr="0042063A">
        <w:t xml:space="preserve"> in the trial would equate to a survival benefit</w:t>
      </w:r>
      <w:r w:rsidR="00DE6997" w:rsidRPr="0042063A">
        <w:t xml:space="preserve">. </w:t>
      </w:r>
      <w:r w:rsidR="00A2052F" w:rsidRPr="0042063A">
        <w:t>T</w:t>
      </w:r>
      <w:r w:rsidR="000473F5" w:rsidRPr="0042063A">
        <w:t xml:space="preserve">he </w:t>
      </w:r>
      <w:r w:rsidR="005D008B" w:rsidRPr="0042063A">
        <w:t>PBAC considered that</w:t>
      </w:r>
      <w:r w:rsidR="00CD1AC0" w:rsidRPr="0042063A">
        <w:t xml:space="preserve"> the primary outcome of motor language (ML)</w:t>
      </w:r>
      <w:r w:rsidR="00DC2ACF" w:rsidRPr="0042063A">
        <w:t xml:space="preserve"> score </w:t>
      </w:r>
      <w:r w:rsidR="00304FC0" w:rsidRPr="0042063A">
        <w:t>alone</w:t>
      </w:r>
      <w:r w:rsidR="00DC2ACF" w:rsidRPr="0042063A">
        <w:t xml:space="preserve"> was not adequate to</w:t>
      </w:r>
      <w:r w:rsidR="00557965" w:rsidRPr="0042063A">
        <w:t xml:space="preserve"> derive an</w:t>
      </w:r>
      <w:r w:rsidR="00DC2ACF" w:rsidRPr="0042063A">
        <w:t xml:space="preserve"> </w:t>
      </w:r>
      <w:r w:rsidR="00304FC0" w:rsidRPr="0042063A">
        <w:t>inform</w:t>
      </w:r>
      <w:r w:rsidR="00557965" w:rsidRPr="0042063A">
        <w:t xml:space="preserve">ative model of survival benefit. </w:t>
      </w:r>
    </w:p>
    <w:p w:rsidR="00875BDD" w:rsidRPr="0042063A" w:rsidRDefault="001157BA" w:rsidP="007234B4">
      <w:pPr>
        <w:pStyle w:val="ListParagraph"/>
        <w:numPr>
          <w:ilvl w:val="1"/>
          <w:numId w:val="2"/>
        </w:numPr>
        <w:spacing w:before="0" w:after="240"/>
      </w:pPr>
      <w:r w:rsidRPr="0042063A">
        <w:t xml:space="preserve">The PBAC </w:t>
      </w:r>
      <w:r w:rsidR="00583EC7" w:rsidRPr="0042063A">
        <w:t xml:space="preserve">acknowledged the </w:t>
      </w:r>
      <w:r w:rsidR="00DE6997" w:rsidRPr="0042063A">
        <w:t xml:space="preserve">many </w:t>
      </w:r>
      <w:r w:rsidR="00583EC7" w:rsidRPr="0042063A">
        <w:t>consumer comments received</w:t>
      </w:r>
      <w:r w:rsidR="007234B4" w:rsidRPr="0042063A">
        <w:t xml:space="preserve"> </w:t>
      </w:r>
      <w:r w:rsidR="002D1E28" w:rsidRPr="0042063A">
        <w:t>from</w:t>
      </w:r>
      <w:r w:rsidR="003B6953" w:rsidRPr="0042063A">
        <w:t xml:space="preserve"> health professionals,</w:t>
      </w:r>
      <w:r w:rsidR="002D1E28" w:rsidRPr="0042063A">
        <w:t xml:space="preserve"> </w:t>
      </w:r>
      <w:r w:rsidR="00894380" w:rsidRPr="0042063A">
        <w:t xml:space="preserve">families and carers on behalf </w:t>
      </w:r>
      <w:r w:rsidR="00C214E6" w:rsidRPr="0042063A">
        <w:t>of patients with CLN2 disease</w:t>
      </w:r>
      <w:r w:rsidR="007234B4" w:rsidRPr="0042063A">
        <w:t xml:space="preserve"> </w:t>
      </w:r>
      <w:r w:rsidR="003B6953" w:rsidRPr="0042063A">
        <w:t>and</w:t>
      </w:r>
      <w:r w:rsidR="007234B4" w:rsidRPr="0042063A">
        <w:t xml:space="preserve"> the correspondence from Batten Disease Support and Research Association (BDSRA) Australia and BDSRA North America</w:t>
      </w:r>
      <w:r w:rsidR="00C214E6" w:rsidRPr="0042063A">
        <w:t xml:space="preserve">. </w:t>
      </w:r>
      <w:r w:rsidR="00096BD1" w:rsidRPr="0042063A">
        <w:t xml:space="preserve">The PBAC acknowledged the high and urgent clinical need </w:t>
      </w:r>
      <w:r w:rsidR="00875BDD" w:rsidRPr="0042063A">
        <w:t>for treatments for CLN2 disease, partic</w:t>
      </w:r>
      <w:r w:rsidR="00C93327" w:rsidRPr="0042063A">
        <w:t>ularly given the severity of this rare</w:t>
      </w:r>
      <w:r w:rsidR="00EA747F" w:rsidRPr="0042063A">
        <w:t xml:space="preserve"> condition. </w:t>
      </w:r>
      <w:r w:rsidR="0058545E" w:rsidRPr="0042063A">
        <w:t>The PBAC noted</w:t>
      </w:r>
      <w:r w:rsidR="00606B28" w:rsidRPr="0042063A">
        <w:t xml:space="preserve"> that</w:t>
      </w:r>
      <w:r w:rsidR="00ED79AB" w:rsidRPr="0042063A">
        <w:t xml:space="preserve"> in addition to symptoms relating to speech and motor function,</w:t>
      </w:r>
      <w:r w:rsidR="00606B28" w:rsidRPr="0042063A">
        <w:t xml:space="preserve"> the comments indicated that vision loss and seizures </w:t>
      </w:r>
      <w:r w:rsidR="00D752F4" w:rsidRPr="0042063A">
        <w:t xml:space="preserve">associated with CLN2 disease were equally debilitating. The PBAC noted the </w:t>
      </w:r>
      <w:r w:rsidR="00995B73" w:rsidRPr="0042063A">
        <w:t xml:space="preserve">sponsor hearing also indicated that preservation of vision and seizure </w:t>
      </w:r>
      <w:proofErr w:type="gramStart"/>
      <w:r w:rsidR="00995B73" w:rsidRPr="0042063A">
        <w:t>control were</w:t>
      </w:r>
      <w:proofErr w:type="gramEnd"/>
      <w:r w:rsidR="00AD0C76" w:rsidRPr="0042063A">
        <w:t xml:space="preserve"> important to patients.</w:t>
      </w:r>
      <w:r w:rsidR="00292839">
        <w:t xml:space="preserve"> </w:t>
      </w:r>
    </w:p>
    <w:p w:rsidR="00C93327" w:rsidRPr="0042063A" w:rsidRDefault="008C761D" w:rsidP="000E0E8C">
      <w:pPr>
        <w:pStyle w:val="ListParagraph"/>
        <w:numPr>
          <w:ilvl w:val="1"/>
          <w:numId w:val="2"/>
        </w:numPr>
      </w:pPr>
      <w:r w:rsidRPr="0042063A">
        <w:t xml:space="preserve">The PBAC </w:t>
      </w:r>
      <w:r w:rsidR="00420038" w:rsidRPr="0042063A">
        <w:t>considered</w:t>
      </w:r>
      <w:r w:rsidR="00401C84" w:rsidRPr="0042063A">
        <w:t xml:space="preserve"> that as all</w:t>
      </w:r>
      <w:r w:rsidR="000E0E8C" w:rsidRPr="0042063A">
        <w:t xml:space="preserve"> testing of TPP1 enzyme activity and CLN2 genotype sequencing</w:t>
      </w:r>
      <w:r w:rsidR="008D1FAE" w:rsidRPr="0042063A">
        <w:t xml:space="preserve"> in Australia</w:t>
      </w:r>
      <w:r w:rsidR="000E0E8C" w:rsidRPr="0042063A">
        <w:t xml:space="preserve"> </w:t>
      </w:r>
      <w:r w:rsidR="00A451C4" w:rsidRPr="0042063A">
        <w:t>is</w:t>
      </w:r>
      <w:r w:rsidR="000E0E8C" w:rsidRPr="0042063A">
        <w:t xml:space="preserve"> currently carried </w:t>
      </w:r>
      <w:r w:rsidR="00401C84" w:rsidRPr="0042063A">
        <w:t>out by</w:t>
      </w:r>
      <w:r w:rsidR="000E0E8C" w:rsidRPr="0042063A">
        <w:t xml:space="preserve"> the National Referral Laboratory</w:t>
      </w:r>
      <w:r w:rsidR="00401C84" w:rsidRPr="0042063A">
        <w:t xml:space="preserve"> (South Australia) following referral from a hospital laboratory, there was unlikely to be </w:t>
      </w:r>
      <w:r w:rsidR="00401C84" w:rsidRPr="0042063A">
        <w:lastRenderedPageBreak/>
        <w:t>an issue</w:t>
      </w:r>
      <w:r w:rsidR="00B55E10" w:rsidRPr="0042063A">
        <w:t xml:space="preserve"> of access, </w:t>
      </w:r>
      <w:r w:rsidR="00401C84" w:rsidRPr="0042063A">
        <w:t xml:space="preserve">as patients could </w:t>
      </w:r>
      <w:r w:rsidR="008E7B29" w:rsidRPr="0042063A">
        <w:t>access testing</w:t>
      </w:r>
      <w:r w:rsidR="00B55E10" w:rsidRPr="0042063A">
        <w:t xml:space="preserve"> through</w:t>
      </w:r>
      <w:r w:rsidR="00401C84" w:rsidRPr="0042063A">
        <w:t xml:space="preserve"> any hospital</w:t>
      </w:r>
      <w:r w:rsidR="008D1FAE" w:rsidRPr="0042063A">
        <w:t>.</w:t>
      </w:r>
      <w:r w:rsidR="000E0E8C" w:rsidRPr="0042063A">
        <w:t xml:space="preserve"> </w:t>
      </w:r>
      <w:r w:rsidR="00EA747F" w:rsidRPr="0042063A">
        <w:t>Further, t</w:t>
      </w:r>
      <w:r w:rsidR="008D1FAE" w:rsidRPr="0042063A">
        <w:t xml:space="preserve">he PBAC noted that given the prevalence of genetic carriers </w:t>
      </w:r>
      <w:r w:rsidR="00F35B27" w:rsidRPr="0042063A">
        <w:t xml:space="preserve">for CLN2 disease, there would unlikely be a </w:t>
      </w:r>
      <w:r w:rsidR="00A451C4" w:rsidRPr="0042063A">
        <w:t>significant</w:t>
      </w:r>
      <w:r w:rsidR="00F35B27" w:rsidRPr="0042063A">
        <w:t xml:space="preserve"> increase in testing if cerliponase a</w:t>
      </w:r>
      <w:r w:rsidR="00401C84" w:rsidRPr="0042063A">
        <w:t>lfa was subsidised</w:t>
      </w:r>
      <w:r w:rsidR="00EA747F" w:rsidRPr="0042063A">
        <w:t xml:space="preserve">. </w:t>
      </w:r>
    </w:p>
    <w:p w:rsidR="0063590D" w:rsidRPr="0042063A" w:rsidRDefault="0063590D" w:rsidP="0063590D">
      <w:pPr>
        <w:pStyle w:val="ListParagraph"/>
        <w:numPr>
          <w:ilvl w:val="1"/>
          <w:numId w:val="2"/>
        </w:numPr>
      </w:pPr>
      <w:r w:rsidRPr="0042063A">
        <w:t xml:space="preserve">The PBAC considered that the nominated main comparator of standard care was appropriate. </w:t>
      </w:r>
    </w:p>
    <w:p w:rsidR="00A12D9C" w:rsidRPr="0042063A" w:rsidRDefault="008329F7" w:rsidP="000F3B15">
      <w:pPr>
        <w:pStyle w:val="ListParagraph"/>
        <w:numPr>
          <w:ilvl w:val="1"/>
          <w:numId w:val="2"/>
        </w:numPr>
      </w:pPr>
      <w:r w:rsidRPr="0042063A">
        <w:t>The PBAC noted the submission was primarily based on a 1:1 matched comparison</w:t>
      </w:r>
      <w:r w:rsidR="00A7093B" w:rsidRPr="0042063A">
        <w:t xml:space="preserve"> (n=21</w:t>
      </w:r>
      <w:r w:rsidR="002803CD" w:rsidRPr="0042063A">
        <w:t>)</w:t>
      </w:r>
      <w:r w:rsidRPr="0042063A">
        <w:t xml:space="preserve"> of </w:t>
      </w:r>
      <w:r w:rsidR="00B61E13" w:rsidRPr="0042063A">
        <w:t xml:space="preserve">the single arm Study 201 and its extension Study 202, and a natural history study (Study 901). </w:t>
      </w:r>
      <w:r w:rsidR="00360029" w:rsidRPr="0042063A">
        <w:t>The PBAC noted that the submission presented efficacy data from Study 201/202 up to 96 weeks to support efficacy of treatment over a life-time</w:t>
      </w:r>
      <w:r w:rsidR="006D5E6A" w:rsidRPr="0042063A">
        <w:t xml:space="preserve"> though follow-up for Study 201/202 was</w:t>
      </w:r>
      <w:r w:rsidR="00F7678D" w:rsidRPr="0042063A">
        <w:t xml:space="preserve"> currently</w:t>
      </w:r>
      <w:r w:rsidR="006D5E6A" w:rsidRPr="0042063A">
        <w:t xml:space="preserve"> ongoing</w:t>
      </w:r>
      <w:r w:rsidR="00360029" w:rsidRPr="0042063A">
        <w:t xml:space="preserve">. </w:t>
      </w:r>
      <w:r w:rsidR="007665AA" w:rsidRPr="0042063A">
        <w:t xml:space="preserve">The PBAC further noted </w:t>
      </w:r>
      <w:r w:rsidR="004E5F69" w:rsidRPr="0042063A">
        <w:t>that the primary outcome</w:t>
      </w:r>
      <w:r w:rsidR="00257B49" w:rsidRPr="0042063A">
        <w:t xml:space="preserve"> from</w:t>
      </w:r>
      <w:r w:rsidR="001F5764" w:rsidRPr="0042063A">
        <w:t xml:space="preserve"> Study 201/202</w:t>
      </w:r>
      <w:r w:rsidR="0079615B" w:rsidRPr="0042063A">
        <w:t xml:space="preserve"> </w:t>
      </w:r>
      <w:r w:rsidR="004E5F69" w:rsidRPr="0042063A">
        <w:t>was a responder analysis defined by an absence of an unreversed 2-point decline or score of 0 on the</w:t>
      </w:r>
      <w:r w:rsidR="007665AA" w:rsidRPr="0042063A">
        <w:t xml:space="preserve"> </w:t>
      </w:r>
      <w:r w:rsidR="00895762" w:rsidRPr="0042063A">
        <w:t>Motor-L</w:t>
      </w:r>
      <w:r w:rsidR="007665AA" w:rsidRPr="0042063A">
        <w:t>anguage (ML) scale score,</w:t>
      </w:r>
      <w:r w:rsidR="00257B49" w:rsidRPr="0042063A">
        <w:t xml:space="preserve"> </w:t>
      </w:r>
      <w:r w:rsidR="007665AA" w:rsidRPr="0042063A">
        <w:t>a composite score from the motor and language domains of the adapted CLN2 disease rating scale</w:t>
      </w:r>
      <w:r w:rsidR="001F5764" w:rsidRPr="0042063A">
        <w:t xml:space="preserve"> (</w:t>
      </w:r>
      <w:r w:rsidR="004B7FDE" w:rsidRPr="0042063A">
        <w:t>used in Study 201/202</w:t>
      </w:r>
      <w:r w:rsidR="001F5764" w:rsidRPr="0042063A">
        <w:t>)</w:t>
      </w:r>
      <w:r w:rsidR="007665AA" w:rsidRPr="0042063A">
        <w:t xml:space="preserve"> which consists of 4 domains including motor, language, vision and seizures. </w:t>
      </w:r>
    </w:p>
    <w:p w:rsidR="00420038" w:rsidRPr="0042063A" w:rsidRDefault="00B11FC8" w:rsidP="000E0E8C">
      <w:pPr>
        <w:pStyle w:val="ListParagraph"/>
        <w:numPr>
          <w:ilvl w:val="1"/>
          <w:numId w:val="2"/>
        </w:numPr>
      </w:pPr>
      <w:r w:rsidRPr="0042063A">
        <w:t xml:space="preserve">The </w:t>
      </w:r>
      <w:r w:rsidR="00743D91" w:rsidRPr="0042063A">
        <w:t xml:space="preserve">PBAC noted </w:t>
      </w:r>
      <w:r w:rsidR="00FC7640" w:rsidRPr="0042063A">
        <w:t>the submission</w:t>
      </w:r>
      <w:r w:rsidR="00D41215" w:rsidRPr="0042063A">
        <w:t xml:space="preserve">’s claim of </w:t>
      </w:r>
      <w:r w:rsidR="00572E12" w:rsidRPr="0042063A">
        <w:t xml:space="preserve">superior </w:t>
      </w:r>
      <w:r w:rsidR="00D41215" w:rsidRPr="0042063A">
        <w:t>efficacy over standard care</w:t>
      </w:r>
      <w:r w:rsidR="00572E12" w:rsidRPr="0042063A">
        <w:t xml:space="preserve"> was based on a responder analysis in the 1:1 matched </w:t>
      </w:r>
      <w:proofErr w:type="gramStart"/>
      <w:r w:rsidR="00572E12" w:rsidRPr="0042063A">
        <w:t>comparison,</w:t>
      </w:r>
      <w:proofErr w:type="gramEnd"/>
      <w:r w:rsidR="00572E12" w:rsidRPr="0042063A">
        <w:t xml:space="preserve"> where a responder was defined as a patient with a rate of decline less than 2 points per 48 weeks. </w:t>
      </w:r>
      <w:r w:rsidR="00874658" w:rsidRPr="0042063A">
        <w:t xml:space="preserve">The PBAC noted that based on the definition of responder in the 1:1 matched comparison, </w:t>
      </w:r>
      <w:r w:rsidR="006E2381">
        <w:rPr>
          <w:noProof/>
          <w:color w:val="000000"/>
          <w:highlight w:val="black"/>
        </w:rPr>
        <w:t>'''''''</w:t>
      </w:r>
      <w:r w:rsidR="00874658" w:rsidRPr="0042063A">
        <w:t>% (</w:t>
      </w:r>
      <w:r w:rsidR="006E2381">
        <w:rPr>
          <w:noProof/>
          <w:color w:val="000000"/>
          <w:highlight w:val="black"/>
        </w:rPr>
        <w:t>''''''</w:t>
      </w:r>
      <w:r w:rsidR="00874658" w:rsidRPr="0042063A">
        <w:t>/21) of the patients</w:t>
      </w:r>
      <w:r w:rsidR="009226B8">
        <w:t xml:space="preserve"> from</w:t>
      </w:r>
      <w:r w:rsidR="00874658" w:rsidRPr="0042063A">
        <w:t xml:space="preserve"> Study 201/202</w:t>
      </w:r>
      <w:r w:rsidR="009226B8">
        <w:t xml:space="preserve"> in the matched comparison</w:t>
      </w:r>
      <w:r w:rsidR="00874658" w:rsidRPr="0042063A">
        <w:t xml:space="preserve"> were classified as responders compared to </w:t>
      </w:r>
      <w:r w:rsidR="006E2381">
        <w:rPr>
          <w:noProof/>
          <w:color w:val="000000"/>
          <w:highlight w:val="black"/>
        </w:rPr>
        <w:t>'''''</w:t>
      </w:r>
      <w:r w:rsidR="00874658" w:rsidRPr="0042063A">
        <w:t>% (</w:t>
      </w:r>
      <w:r w:rsidR="006E2381">
        <w:rPr>
          <w:noProof/>
          <w:color w:val="000000"/>
          <w:highlight w:val="black"/>
        </w:rPr>
        <w:t>'''''</w:t>
      </w:r>
      <w:r w:rsidR="004447C8" w:rsidRPr="0042063A">
        <w:t>/21) of patients</w:t>
      </w:r>
      <w:r w:rsidR="005A6ED6">
        <w:t xml:space="preserve"> from </w:t>
      </w:r>
      <w:r w:rsidR="004447C8" w:rsidRPr="0042063A">
        <w:t>Study 901.</w:t>
      </w:r>
      <w:r w:rsidR="000C7ADF" w:rsidRPr="0042063A">
        <w:t xml:space="preserve"> The PBAC considered that </w:t>
      </w:r>
      <w:r w:rsidR="004447C8" w:rsidRPr="0042063A">
        <w:t>data from the 1:1 matched comparison was indicative of a treatment benefit of cerl</w:t>
      </w:r>
      <w:r w:rsidR="000C7ADF" w:rsidRPr="0042063A">
        <w:t>iponase alfa</w:t>
      </w:r>
      <w:r w:rsidR="003F720A" w:rsidRPr="0042063A">
        <w:t xml:space="preserve"> in terms of slowing progression. However, the </w:t>
      </w:r>
      <w:r w:rsidR="002762E1" w:rsidRPr="0042063A">
        <w:t>Committee</w:t>
      </w:r>
      <w:r w:rsidR="000C7ADF" w:rsidRPr="0042063A">
        <w:t xml:space="preserve"> noted that based on the</w:t>
      </w:r>
      <w:r w:rsidR="00420038" w:rsidRPr="0042063A">
        <w:t xml:space="preserve"> different</w:t>
      </w:r>
      <w:r w:rsidR="000C7ADF" w:rsidRPr="0042063A">
        <w:t xml:space="preserve"> definition of a responder</w:t>
      </w:r>
      <w:r w:rsidR="00420038" w:rsidRPr="0042063A">
        <w:t xml:space="preserve"> used</w:t>
      </w:r>
      <w:r w:rsidR="000C7ADF" w:rsidRPr="0042063A">
        <w:t xml:space="preserve"> in Study 201/202, only 87% (20/23) </w:t>
      </w:r>
      <w:r w:rsidR="00420038" w:rsidRPr="0042063A">
        <w:t xml:space="preserve">of </w:t>
      </w:r>
      <w:r w:rsidR="000C7ADF" w:rsidRPr="0042063A">
        <w:t>patients</w:t>
      </w:r>
      <w:r w:rsidR="001D6657">
        <w:t xml:space="preserve"> in Study 201/202</w:t>
      </w:r>
      <w:r w:rsidR="000C7ADF" w:rsidRPr="0042063A">
        <w:t xml:space="preserve"> were classified as responders</w:t>
      </w:r>
      <w:r w:rsidR="00420038" w:rsidRPr="0042063A">
        <w:t>.</w:t>
      </w:r>
      <w:r w:rsidR="00FB1465" w:rsidRPr="0042063A">
        <w:t xml:space="preserve"> </w:t>
      </w:r>
    </w:p>
    <w:p w:rsidR="00B11FC8" w:rsidRPr="0042063A" w:rsidRDefault="00C41707" w:rsidP="000E0E8C">
      <w:pPr>
        <w:pStyle w:val="ListParagraph"/>
        <w:numPr>
          <w:ilvl w:val="1"/>
          <w:numId w:val="2"/>
        </w:numPr>
      </w:pPr>
      <w:r w:rsidRPr="0042063A">
        <w:t>The PBAC considered the magnitude of be</w:t>
      </w:r>
      <w:r w:rsidR="00A70BD1" w:rsidRPr="0042063A">
        <w:t>nefit in ML score to be uncertain given</w:t>
      </w:r>
      <w:r w:rsidR="00463476" w:rsidRPr="0042063A">
        <w:t xml:space="preserve"> the small sample size from which </w:t>
      </w:r>
      <w:r w:rsidR="000512A3" w:rsidRPr="0042063A">
        <w:t>the treatment effect</w:t>
      </w:r>
      <w:r w:rsidR="00463476" w:rsidRPr="0042063A">
        <w:t xml:space="preserve"> was estimated and </w:t>
      </w:r>
      <w:r w:rsidR="00A70BD1" w:rsidRPr="0042063A">
        <w:t>the risk of bias in both Study 201/202 and Study 901 due to the single arm open label design</w:t>
      </w:r>
      <w:r w:rsidR="00420038" w:rsidRPr="0042063A">
        <w:t>s</w:t>
      </w:r>
      <w:r w:rsidR="00463476" w:rsidRPr="0042063A">
        <w:t xml:space="preserve">. </w:t>
      </w:r>
      <w:r w:rsidR="00BF4EFB" w:rsidRPr="0042063A">
        <w:t xml:space="preserve">Further, the PBAC </w:t>
      </w:r>
      <w:r w:rsidR="00FB1465" w:rsidRPr="0042063A">
        <w:t xml:space="preserve">noted that the comparability between patients in Study 901 and the Australian patient population was unknown. </w:t>
      </w:r>
    </w:p>
    <w:p w:rsidR="005F6011" w:rsidRPr="0042063A" w:rsidRDefault="00037263" w:rsidP="000E0E8C">
      <w:pPr>
        <w:pStyle w:val="ListParagraph"/>
        <w:numPr>
          <w:ilvl w:val="1"/>
          <w:numId w:val="2"/>
        </w:numPr>
      </w:pPr>
      <w:r w:rsidRPr="0042063A">
        <w:t xml:space="preserve">The PBAC </w:t>
      </w:r>
      <w:r w:rsidR="00A02EF3" w:rsidRPr="0042063A">
        <w:t>noted</w:t>
      </w:r>
      <w:r w:rsidR="006D590B" w:rsidRPr="0042063A">
        <w:t xml:space="preserve"> that the</w:t>
      </w:r>
      <w:r w:rsidR="00F47BEE" w:rsidRPr="0042063A">
        <w:t xml:space="preserve"> </w:t>
      </w:r>
      <w:r w:rsidR="001D7373" w:rsidRPr="0042063A">
        <w:t>ML</w:t>
      </w:r>
      <w:r w:rsidR="00F47BEE" w:rsidRPr="0042063A">
        <w:t xml:space="preserve"> scale score</w:t>
      </w:r>
      <w:r w:rsidR="003029CC" w:rsidRPr="0042063A">
        <w:t xml:space="preserve"> consisting of only motor and language domains,</w:t>
      </w:r>
      <w:r w:rsidR="00F47BEE" w:rsidRPr="0042063A">
        <w:t xml:space="preserve"> does not captu</w:t>
      </w:r>
      <w:r w:rsidR="00A02EF3" w:rsidRPr="0042063A">
        <w:t xml:space="preserve">re the full </w:t>
      </w:r>
      <w:r w:rsidR="0008510E" w:rsidRPr="0042063A">
        <w:t xml:space="preserve">extent of </w:t>
      </w:r>
      <w:r w:rsidR="007969D3" w:rsidRPr="0042063A">
        <w:t xml:space="preserve">CLN2 disease </w:t>
      </w:r>
      <w:r w:rsidR="009A3A74" w:rsidRPr="0042063A">
        <w:t>severity</w:t>
      </w:r>
      <w:r w:rsidR="00777A2B" w:rsidRPr="0042063A">
        <w:t xml:space="preserve"> or progression</w:t>
      </w:r>
      <w:r w:rsidR="009A3A74" w:rsidRPr="0042063A">
        <w:t xml:space="preserve"> </w:t>
      </w:r>
      <w:r w:rsidR="007969D3" w:rsidRPr="0042063A">
        <w:t xml:space="preserve">and </w:t>
      </w:r>
      <w:r w:rsidR="0097446A" w:rsidRPr="0042063A">
        <w:t>therefore</w:t>
      </w:r>
      <w:r w:rsidR="007969D3" w:rsidRPr="0042063A">
        <w:t xml:space="preserve">, considered </w:t>
      </w:r>
      <w:r w:rsidR="00D23DC0" w:rsidRPr="0042063A">
        <w:t>t</w:t>
      </w:r>
      <w:r w:rsidR="0097446A" w:rsidRPr="0042063A">
        <w:t xml:space="preserve">he primary outcome of responder analysis based on ML score to be inadequate </w:t>
      </w:r>
      <w:r w:rsidR="00420038" w:rsidRPr="0042063A">
        <w:t xml:space="preserve">for </w:t>
      </w:r>
      <w:r w:rsidR="0097446A" w:rsidRPr="0042063A">
        <w:t>providing an informative estimate of the magnitude of treatment benefit with cerliponase alfa.</w:t>
      </w:r>
      <w:r w:rsidR="006A2023" w:rsidRPr="0042063A">
        <w:t xml:space="preserve"> </w:t>
      </w:r>
      <w:r w:rsidR="00234067" w:rsidRPr="0042063A">
        <w:t xml:space="preserve">The PBAC </w:t>
      </w:r>
      <w:r w:rsidR="00FF0D71" w:rsidRPr="0042063A">
        <w:t xml:space="preserve">noted that the progression and severity of CLN2 disease </w:t>
      </w:r>
      <w:r w:rsidR="00C93418" w:rsidRPr="0042063A">
        <w:t>could be measured by three</w:t>
      </w:r>
      <w:r w:rsidR="00420038" w:rsidRPr="0042063A">
        <w:t xml:space="preserve"> different</w:t>
      </w:r>
      <w:r w:rsidR="00C93418" w:rsidRPr="0042063A">
        <w:t xml:space="preserve"> four domain scales including the Hamburg rating scale (motor, language, vision, seizures), the Weill Cornell rating scale (</w:t>
      </w:r>
      <w:r w:rsidR="00185DD9" w:rsidRPr="0042063A">
        <w:t>motor, language, gait, feeding) and adapted CLN2 rating scale (an adaptation of the Hamburg rating scale)</w:t>
      </w:r>
      <w:r w:rsidR="00CC580D" w:rsidRPr="0042063A">
        <w:t xml:space="preserve">. </w:t>
      </w:r>
      <w:r w:rsidR="00321360" w:rsidRPr="0042063A">
        <w:t>The PBAC</w:t>
      </w:r>
      <w:r w:rsidR="00CC580D" w:rsidRPr="0042063A">
        <w:t xml:space="preserve"> noted </w:t>
      </w:r>
      <w:r w:rsidR="00D00929" w:rsidRPr="0042063A">
        <w:t>that the change from baseline in adapted CLN2 clinical rating score varied significantly depend</w:t>
      </w:r>
      <w:r w:rsidR="003A6D96" w:rsidRPr="0042063A">
        <w:t>ing</w:t>
      </w:r>
      <w:r w:rsidR="00D00929" w:rsidRPr="0042063A">
        <w:t xml:space="preserve"> on the number of domains</w:t>
      </w:r>
      <w:r w:rsidR="003A6D96" w:rsidRPr="0042063A">
        <w:t xml:space="preserve"> </w:t>
      </w:r>
      <w:r w:rsidR="003A6D96" w:rsidRPr="0042063A">
        <w:lastRenderedPageBreak/>
        <w:t>included in the score.</w:t>
      </w:r>
      <w:r w:rsidR="00321360" w:rsidRPr="0042063A">
        <w:t xml:space="preserve"> </w:t>
      </w:r>
      <w:r w:rsidR="006A2023" w:rsidRPr="0042063A">
        <w:t>On this basis</w:t>
      </w:r>
      <w:r w:rsidR="005F6011" w:rsidRPr="0042063A">
        <w:t xml:space="preserve"> and given the </w:t>
      </w:r>
      <w:r w:rsidR="000E7BD4" w:rsidRPr="0042063A">
        <w:t>significance of</w:t>
      </w:r>
      <w:r w:rsidR="005F6011" w:rsidRPr="0042063A">
        <w:t xml:space="preserve"> symptoms</w:t>
      </w:r>
      <w:r w:rsidR="00420038" w:rsidRPr="0042063A">
        <w:t xml:space="preserve"> </w:t>
      </w:r>
      <w:r w:rsidR="005F6011" w:rsidRPr="0042063A">
        <w:t>in addition to those of language and motor function, the PBAC considered</w:t>
      </w:r>
      <w:r w:rsidR="006B6036" w:rsidRPr="0042063A">
        <w:t xml:space="preserve"> that an outcome consisting of at least all four domains in the adapted CLN2 rating scale used in Study 201/202 </w:t>
      </w:r>
      <w:r w:rsidR="006D6FBB" w:rsidRPr="0042063A">
        <w:t xml:space="preserve">would be required to </w:t>
      </w:r>
      <w:r w:rsidR="00420038" w:rsidRPr="0042063A">
        <w:t>in</w:t>
      </w:r>
      <w:r w:rsidR="006D6FBB" w:rsidRPr="0042063A">
        <w:t xml:space="preserve">form a view on the </w:t>
      </w:r>
      <w:r w:rsidR="00F0754D" w:rsidRPr="0042063A">
        <w:t xml:space="preserve">magnitude </w:t>
      </w:r>
      <w:r w:rsidR="006D6FBB" w:rsidRPr="0042063A">
        <w:t>of treatment benefit with cerliponase alfa.</w:t>
      </w:r>
      <w:r w:rsidR="005C7B36" w:rsidRPr="0042063A">
        <w:t xml:space="preserve"> </w:t>
      </w:r>
      <w:r w:rsidR="00E5495F" w:rsidRPr="0042063A">
        <w:t xml:space="preserve">The PBAC noted the ESC’s </w:t>
      </w:r>
      <w:r w:rsidR="009A26D3" w:rsidRPr="0042063A">
        <w:t>concerns around the method</w:t>
      </w:r>
      <w:r w:rsidR="009C3995" w:rsidRPr="0042063A">
        <w:t>ology</w:t>
      </w:r>
      <w:r w:rsidR="009A26D3" w:rsidRPr="0042063A">
        <w:t xml:space="preserve"> used to estimate the rate of decline of patients in Stud</w:t>
      </w:r>
      <w:r w:rsidR="00410D96" w:rsidRPr="0042063A">
        <w:t>y 201/202 and Study 901</w:t>
      </w:r>
      <w:r w:rsidR="00420038" w:rsidRPr="0042063A">
        <w:t>,</w:t>
      </w:r>
      <w:r w:rsidR="00410D96" w:rsidRPr="0042063A">
        <w:t xml:space="preserve"> however, considered</w:t>
      </w:r>
      <w:r w:rsidR="001B2A8B" w:rsidRPr="0042063A">
        <w:t xml:space="preserve"> that</w:t>
      </w:r>
      <w:r w:rsidR="009C3995" w:rsidRPr="0042063A">
        <w:t xml:space="preserve"> more importantly,</w:t>
      </w:r>
      <w:r w:rsidR="001B2A8B" w:rsidRPr="0042063A">
        <w:t xml:space="preserve"> </w:t>
      </w:r>
      <w:r w:rsidR="009C3995" w:rsidRPr="0042063A">
        <w:t>an outcome measure which reflects the full extent of CLN2 disease should be used in estimating the rate of decline.</w:t>
      </w:r>
      <w:r w:rsidR="00306CA6" w:rsidRPr="0042063A">
        <w:t xml:space="preserve"> </w:t>
      </w:r>
      <w:r w:rsidR="001032F8" w:rsidRPr="0042063A">
        <w:t>In particular, the PBAC considered there was insufficient evidence that a treatment benefit based</w:t>
      </w:r>
      <w:r w:rsidR="009E35FA" w:rsidRPr="0042063A">
        <w:t xml:space="preserve"> only</w:t>
      </w:r>
      <w:r w:rsidR="001032F8" w:rsidRPr="0042063A">
        <w:t xml:space="preserve"> on ML score could be </w:t>
      </w:r>
      <w:r w:rsidR="009E35FA" w:rsidRPr="0042063A">
        <w:t>used to derive a reliable estimate of survival benefit.</w:t>
      </w:r>
      <w:r w:rsidR="00292839">
        <w:t xml:space="preserve"> </w:t>
      </w:r>
    </w:p>
    <w:p w:rsidR="00F97411" w:rsidRPr="0042063A" w:rsidRDefault="00A5307D" w:rsidP="000E0E8C">
      <w:pPr>
        <w:pStyle w:val="ListParagraph"/>
        <w:numPr>
          <w:ilvl w:val="1"/>
          <w:numId w:val="2"/>
        </w:numPr>
      </w:pPr>
      <w:r w:rsidRPr="0042063A">
        <w:t>The PBAC noted that the</w:t>
      </w:r>
      <w:r w:rsidR="005958AD" w:rsidRPr="0042063A">
        <w:t xml:space="preserve"> longer term follow up</w:t>
      </w:r>
      <w:r w:rsidRPr="0042063A">
        <w:t xml:space="preserve"> data of change in ML score</w:t>
      </w:r>
      <w:r w:rsidR="007E6F91" w:rsidRPr="0042063A">
        <w:t xml:space="preserve"> from Study 201/202 presented during</w:t>
      </w:r>
      <w:r w:rsidR="005958AD" w:rsidRPr="0042063A">
        <w:t xml:space="preserve"> the sponsor hearing</w:t>
      </w:r>
      <w:r w:rsidRPr="0042063A">
        <w:t xml:space="preserve"> was supportive of </w:t>
      </w:r>
      <w:r w:rsidR="00536489" w:rsidRPr="0042063A">
        <w:t xml:space="preserve">the treatment effect of cerliponase alfa being maintained </w:t>
      </w:r>
      <w:r w:rsidR="009E6CCF" w:rsidRPr="0042063A">
        <w:t xml:space="preserve">past 96 weeks. </w:t>
      </w:r>
    </w:p>
    <w:p w:rsidR="005B194B" w:rsidRPr="0042063A" w:rsidRDefault="00B12326" w:rsidP="000E0E8C">
      <w:pPr>
        <w:pStyle w:val="ListParagraph"/>
        <w:numPr>
          <w:ilvl w:val="1"/>
          <w:numId w:val="2"/>
        </w:numPr>
      </w:pPr>
      <w:r w:rsidRPr="0042063A">
        <w:t xml:space="preserve">The PBAC </w:t>
      </w:r>
      <w:r w:rsidR="005B194B" w:rsidRPr="0042063A">
        <w:t xml:space="preserve">considered </w:t>
      </w:r>
      <w:r w:rsidRPr="0042063A">
        <w:t xml:space="preserve">the base case ICER presented in the submission was unacceptably high </w:t>
      </w:r>
      <w:r w:rsidR="00B7241E" w:rsidRPr="0042063A">
        <w:t xml:space="preserve">at </w:t>
      </w:r>
      <w:r w:rsidR="007F1952">
        <w:t>more than $200,000</w:t>
      </w:r>
      <w:r w:rsidR="00B7241E" w:rsidRPr="0042063A">
        <w:t xml:space="preserve"> per QALY gained </w:t>
      </w:r>
      <w:r w:rsidR="00353F83" w:rsidRPr="0042063A">
        <w:t>largely due to the</w:t>
      </w:r>
      <w:r w:rsidR="00B7241E" w:rsidRPr="0042063A">
        <w:t xml:space="preserve"> </w:t>
      </w:r>
      <w:r w:rsidR="00A50A9D" w:rsidRPr="0042063A">
        <w:t>cost of cerliponase alfa</w:t>
      </w:r>
      <w:r w:rsidR="00B7241E" w:rsidRPr="0042063A">
        <w:t xml:space="preserve">. The PBAC </w:t>
      </w:r>
      <w:r w:rsidR="005F5DD4" w:rsidRPr="0042063A">
        <w:t>considered that given the high cost of cerliponase</w:t>
      </w:r>
      <w:r w:rsidR="00B77699" w:rsidRPr="0042063A">
        <w:t xml:space="preserve"> alfa</w:t>
      </w:r>
      <w:r w:rsidR="004E48AA" w:rsidRPr="0042063A">
        <w:t>,</w:t>
      </w:r>
      <w:r w:rsidR="00B77699" w:rsidRPr="0042063A">
        <w:t xml:space="preserve"> it w</w:t>
      </w:r>
      <w:r w:rsidR="005B194B" w:rsidRPr="0042063A">
        <w:t>ould</w:t>
      </w:r>
      <w:r w:rsidR="00B77699" w:rsidRPr="0042063A">
        <w:t xml:space="preserve"> likely not</w:t>
      </w:r>
      <w:r w:rsidR="005B194B" w:rsidRPr="0042063A">
        <w:t xml:space="preserve"> be</w:t>
      </w:r>
      <w:r w:rsidR="00B77699" w:rsidRPr="0042063A">
        <w:t xml:space="preserve"> possible to demonstrate cost-effectiveness</w:t>
      </w:r>
      <w:r w:rsidR="005B194B" w:rsidRPr="0042063A">
        <w:t xml:space="preserve">, </w:t>
      </w:r>
      <w:r w:rsidR="001D6657" w:rsidRPr="0042063A">
        <w:t>as the</w:t>
      </w:r>
      <w:r w:rsidR="00B77699" w:rsidRPr="0042063A">
        <w:t xml:space="preserve"> ICER per QALY gained remained </w:t>
      </w:r>
      <w:r w:rsidR="003210F0">
        <w:t xml:space="preserve">between the range of </w:t>
      </w:r>
      <w:r w:rsidR="007F1952">
        <w:t>$</w:t>
      </w:r>
      <w:r w:rsidR="00C76F19">
        <w:t>75</w:t>
      </w:r>
      <w:r w:rsidR="007F1952">
        <w:t>,000/QALY - $</w:t>
      </w:r>
      <w:r w:rsidR="00C76F19">
        <w:t>105</w:t>
      </w:r>
      <w:r w:rsidR="007F1952">
        <w:t xml:space="preserve">,000/QALY </w:t>
      </w:r>
      <w:r w:rsidR="005B194B" w:rsidRPr="0042063A">
        <w:t xml:space="preserve">even </w:t>
      </w:r>
      <w:r w:rsidR="00B77699" w:rsidRPr="0042063A">
        <w:t>when the cost of cerli</w:t>
      </w:r>
      <w:r w:rsidR="00A15FEC" w:rsidRPr="0042063A">
        <w:t xml:space="preserve">ponase alfa was reduced by </w:t>
      </w:r>
      <w:r w:rsidR="006E2381">
        <w:rPr>
          <w:noProof/>
          <w:color w:val="000000"/>
          <w:highlight w:val="black"/>
        </w:rPr>
        <w:t>'''''</w:t>
      </w:r>
      <w:r w:rsidR="00A15FEC" w:rsidRPr="0042063A">
        <w:t xml:space="preserve">%. </w:t>
      </w:r>
    </w:p>
    <w:p w:rsidR="00356D9F" w:rsidRPr="0042063A" w:rsidRDefault="00D4339C" w:rsidP="000E0E8C">
      <w:pPr>
        <w:pStyle w:val="ListParagraph"/>
        <w:numPr>
          <w:ilvl w:val="1"/>
          <w:numId w:val="2"/>
        </w:numPr>
      </w:pPr>
      <w:r w:rsidRPr="0042063A">
        <w:t>Further, the PBAC considered that the ICER presented in the submission was highly uncertain due to the following issues:</w:t>
      </w:r>
    </w:p>
    <w:p w:rsidR="00D4339C" w:rsidRPr="0042063A" w:rsidRDefault="006B7AEF" w:rsidP="00D4339C">
      <w:pPr>
        <w:pStyle w:val="ListParagraph"/>
        <w:numPr>
          <w:ilvl w:val="0"/>
          <w:numId w:val="42"/>
        </w:numPr>
      </w:pPr>
      <w:r w:rsidRPr="0042063A">
        <w:t>The economic analysis</w:t>
      </w:r>
      <w:r w:rsidR="00A71835" w:rsidRPr="0042063A">
        <w:t xml:space="preserve"> inappropriately</w:t>
      </w:r>
      <w:r w:rsidRPr="0042063A">
        <w:t xml:space="preserve"> </w:t>
      </w:r>
      <w:r w:rsidR="00912C3B" w:rsidRPr="0042063A">
        <w:t>modelled increased survival using transition probabilities based on ML score</w:t>
      </w:r>
      <w:r w:rsidR="005B194B" w:rsidRPr="0042063A">
        <w:t>,</w:t>
      </w:r>
      <w:r w:rsidR="00912C3B" w:rsidRPr="0042063A">
        <w:t xml:space="preserve"> given </w:t>
      </w:r>
      <w:r w:rsidR="005B194B" w:rsidRPr="0042063A">
        <w:t>ML</w:t>
      </w:r>
      <w:r w:rsidR="00912C3B" w:rsidRPr="0042063A">
        <w:t xml:space="preserve"> does not capture the full extent of CLN2 disease severity</w:t>
      </w:r>
      <w:r w:rsidR="00777A2B" w:rsidRPr="0042063A">
        <w:t xml:space="preserve"> and progression</w:t>
      </w:r>
      <w:r w:rsidR="00912C3B" w:rsidRPr="0042063A">
        <w:t xml:space="preserve"> (see paragraph 7.7).</w:t>
      </w:r>
    </w:p>
    <w:p w:rsidR="00912C3B" w:rsidRPr="0042063A" w:rsidRDefault="001B0878" w:rsidP="00D4339C">
      <w:pPr>
        <w:pStyle w:val="ListParagraph"/>
        <w:numPr>
          <w:ilvl w:val="0"/>
          <w:numId w:val="42"/>
        </w:numPr>
      </w:pPr>
      <w:r w:rsidRPr="0042063A">
        <w:t>There is a lack of</w:t>
      </w:r>
      <w:r w:rsidR="00777A2B" w:rsidRPr="0042063A">
        <w:t xml:space="preserve"> </w:t>
      </w:r>
      <w:r w:rsidR="005B194B" w:rsidRPr="0042063A">
        <w:t xml:space="preserve">definitive </w:t>
      </w:r>
      <w:r w:rsidR="00777A2B" w:rsidRPr="0042063A">
        <w:t>clinical</w:t>
      </w:r>
      <w:r w:rsidRPr="0042063A">
        <w:t xml:space="preserve"> data to support </w:t>
      </w:r>
      <w:r w:rsidR="0087021C" w:rsidRPr="0042063A">
        <w:t>that treatment with cerliponase alfa results in a survival gain. The modelled survival gain is based only on the surrogate of increased time to an ML score of 0.</w:t>
      </w:r>
      <w:r w:rsidR="00292839">
        <w:t xml:space="preserve"> </w:t>
      </w:r>
    </w:p>
    <w:p w:rsidR="00C07D5D" w:rsidRPr="0042063A" w:rsidRDefault="001C345B" w:rsidP="00C53E5C">
      <w:pPr>
        <w:pStyle w:val="ListParagraph"/>
        <w:numPr>
          <w:ilvl w:val="0"/>
          <w:numId w:val="42"/>
        </w:numPr>
      </w:pPr>
      <w:r w:rsidRPr="0042063A">
        <w:t xml:space="preserve">The transition probabilities </w:t>
      </w:r>
      <w:r w:rsidR="00F45895" w:rsidRPr="0042063A">
        <w:t>in the</w:t>
      </w:r>
      <w:r w:rsidRPr="0042063A">
        <w:t xml:space="preserve"> cerliponase alfa arm</w:t>
      </w:r>
      <w:r w:rsidR="00F45895" w:rsidRPr="0042063A">
        <w:t xml:space="preserve"> of the model</w:t>
      </w:r>
      <w:r w:rsidRPr="0042063A">
        <w:t xml:space="preserve"> are derived from</w:t>
      </w:r>
      <w:r w:rsidR="00F45895" w:rsidRPr="0042063A">
        <w:t xml:space="preserve"> a small sample size of</w:t>
      </w:r>
      <w:r w:rsidRPr="0042063A">
        <w:t xml:space="preserve"> individual patient </w:t>
      </w:r>
      <w:r w:rsidR="00483516" w:rsidRPr="0042063A">
        <w:t>data from Study 201/202 in the 1:1 matched comparison</w:t>
      </w:r>
      <w:r w:rsidR="00F45895" w:rsidRPr="0042063A">
        <w:t xml:space="preserve"> of Study 201/202 to Study 901. </w:t>
      </w:r>
      <w:r w:rsidR="00CB43C3" w:rsidRPr="0042063A">
        <w:t>The PBAC noted</w:t>
      </w:r>
      <w:r w:rsidR="00292839">
        <w:t xml:space="preserve"> </w:t>
      </w:r>
      <w:r w:rsidR="007B3651" w:rsidRPr="0042063A">
        <w:t>the sample sizes of the individual groups of observations</w:t>
      </w:r>
      <w:r w:rsidR="00CB43C3" w:rsidRPr="0042063A">
        <w:t xml:space="preserve"> were</w:t>
      </w:r>
      <w:r w:rsidR="00292839">
        <w:t xml:space="preserve"> </w:t>
      </w:r>
      <w:r w:rsidR="007B3651" w:rsidRPr="0042063A">
        <w:t>combined in the submission to increase the number of observations for each transition</w:t>
      </w:r>
      <w:r w:rsidR="00D70CC2">
        <w:t>,</w:t>
      </w:r>
      <w:r w:rsidR="00CB43C3" w:rsidRPr="0042063A">
        <w:t xml:space="preserve"> however noted that these groups of observations was still likely to be small.</w:t>
      </w:r>
      <w:r w:rsidR="00292839">
        <w:t xml:space="preserve"> </w:t>
      </w:r>
    </w:p>
    <w:p w:rsidR="00C07D5D" w:rsidRPr="0042063A" w:rsidRDefault="009A1C06" w:rsidP="001D6657">
      <w:pPr>
        <w:pStyle w:val="ListParagraph"/>
        <w:numPr>
          <w:ilvl w:val="1"/>
          <w:numId w:val="2"/>
        </w:numPr>
      </w:pPr>
      <w:r w:rsidRPr="0042063A">
        <w:t xml:space="preserve">The PBAC considered </w:t>
      </w:r>
      <w:r w:rsidR="003E653F" w:rsidRPr="0042063A">
        <w:t>on the basis of the issues above</w:t>
      </w:r>
      <w:r w:rsidRPr="0042063A">
        <w:t xml:space="preserve">, the modelled incremental LYG of </w:t>
      </w:r>
      <w:r w:rsidR="006E2381">
        <w:rPr>
          <w:noProof/>
          <w:color w:val="000000"/>
          <w:highlight w:val="black"/>
        </w:rPr>
        <w:t>''''''''</w:t>
      </w:r>
      <w:r w:rsidRPr="0042063A">
        <w:t xml:space="preserve"> years was </w:t>
      </w:r>
      <w:r w:rsidR="00CD2AB7" w:rsidRPr="0042063A">
        <w:t>highly uncertain.</w:t>
      </w:r>
      <w:r w:rsidR="00292839">
        <w:t xml:space="preserve"> </w:t>
      </w:r>
    </w:p>
    <w:p w:rsidR="00420038" w:rsidRPr="0042063A" w:rsidRDefault="00AD051A" w:rsidP="001D6657">
      <w:pPr>
        <w:pStyle w:val="ListParagraph"/>
        <w:numPr>
          <w:ilvl w:val="1"/>
          <w:numId w:val="2"/>
        </w:numPr>
        <w:ind w:left="567"/>
      </w:pPr>
      <w:r w:rsidRPr="0042063A">
        <w:t>The PBAC considered that the claim of inferior safety compared to standard care was appropriate given the</w:t>
      </w:r>
      <w:r w:rsidR="00991788" w:rsidRPr="0042063A">
        <w:t xml:space="preserve"> administration of cerliponase alfa is via</w:t>
      </w:r>
      <w:r w:rsidRPr="0042063A">
        <w:t xml:space="preserve"> intracerebral ventricular </w:t>
      </w:r>
      <w:r w:rsidR="00991788" w:rsidRPr="0042063A">
        <w:lastRenderedPageBreak/>
        <w:t xml:space="preserve">device. The PBAC noted that no major safety signals in the context of the severity of CLN2 disease was reported in Study 201/202 however, the long term safety of cerliponase alfa beyond 96 weeks is unknown. </w:t>
      </w:r>
    </w:p>
    <w:p w:rsidR="00557965" w:rsidRPr="0042063A" w:rsidRDefault="001A3C86" w:rsidP="001D6657">
      <w:pPr>
        <w:pStyle w:val="ListParagraph"/>
        <w:numPr>
          <w:ilvl w:val="1"/>
          <w:numId w:val="2"/>
        </w:numPr>
      </w:pPr>
      <w:r w:rsidRPr="0042063A">
        <w:t xml:space="preserve">The PBAC noted </w:t>
      </w:r>
      <w:r w:rsidR="00875BDD" w:rsidRPr="0042063A">
        <w:t xml:space="preserve">the submission requested </w:t>
      </w:r>
      <w:r w:rsidRPr="0042063A">
        <w:t xml:space="preserve">that cerliponase alfa be considered for inclusion on the Life Saving Drugs Program (LSDP) if rejected by the PBAC for PBS listing. The PBAC further noted that the Commonwealth Chief Medical Officer (CMO) advises the Minister on drugs proposed to be included on the LSDP. </w:t>
      </w:r>
    </w:p>
    <w:p w:rsidR="002E49D0" w:rsidRPr="0042063A" w:rsidRDefault="002E49D0" w:rsidP="00F354AA">
      <w:pPr>
        <w:pStyle w:val="ListParagraph"/>
        <w:numPr>
          <w:ilvl w:val="1"/>
          <w:numId w:val="2"/>
        </w:numPr>
        <w:spacing w:before="0" w:after="240"/>
      </w:pPr>
      <w:r w:rsidRPr="0042063A">
        <w:t xml:space="preserve">The PBAC </w:t>
      </w:r>
      <w:r w:rsidR="002123BD">
        <w:t>considered</w:t>
      </w:r>
      <w:r w:rsidRPr="0042063A">
        <w:t xml:space="preserve"> that if cerliponase alfa was to be </w:t>
      </w:r>
      <w:r w:rsidR="00F73B35">
        <w:t xml:space="preserve">further </w:t>
      </w:r>
      <w:r w:rsidRPr="0042063A">
        <w:t xml:space="preserve">considered for </w:t>
      </w:r>
      <w:r w:rsidR="00F73B35">
        <w:t>public subsidy</w:t>
      </w:r>
      <w:r w:rsidRPr="0042063A">
        <w:t xml:space="preserve">, it </w:t>
      </w:r>
      <w:r w:rsidR="00F73B35">
        <w:t>would</w:t>
      </w:r>
      <w:r w:rsidR="00F73B35" w:rsidRPr="0042063A">
        <w:t xml:space="preserve"> </w:t>
      </w:r>
      <w:r w:rsidRPr="0042063A">
        <w:t xml:space="preserve">be relevant </w:t>
      </w:r>
      <w:r w:rsidR="006E07DC" w:rsidRPr="0042063A">
        <w:t>to obtain further information on the following</w:t>
      </w:r>
      <w:r w:rsidRPr="0042063A">
        <w:t>:</w:t>
      </w:r>
    </w:p>
    <w:p w:rsidR="00660031" w:rsidRPr="0042063A" w:rsidRDefault="00C2683E" w:rsidP="002E49D0">
      <w:pPr>
        <w:pStyle w:val="ListParagraph"/>
        <w:numPr>
          <w:ilvl w:val="0"/>
          <w:numId w:val="43"/>
        </w:numPr>
        <w:spacing w:before="0" w:after="240"/>
      </w:pPr>
      <w:r w:rsidRPr="0042063A">
        <w:t xml:space="preserve">There are approximately </w:t>
      </w:r>
      <w:r w:rsidR="006E2381">
        <w:rPr>
          <w:noProof/>
          <w:color w:val="000000"/>
          <w:highlight w:val="black"/>
        </w:rPr>
        <w:t>''''''''</w:t>
      </w:r>
      <w:r w:rsidRPr="0042063A">
        <w:t xml:space="preserve"> patients with CLN2 disease globally who are currently on treatment with cerliponase alfa</w:t>
      </w:r>
      <w:r w:rsidR="0077279A" w:rsidRPr="0042063A">
        <w:t>.</w:t>
      </w:r>
      <w:r w:rsidR="00AD6157" w:rsidRPr="0042063A">
        <w:t xml:space="preserve"> </w:t>
      </w:r>
      <w:r w:rsidR="00660031" w:rsidRPr="0042063A">
        <w:t>Based on this</w:t>
      </w:r>
      <w:r w:rsidR="00AD6157" w:rsidRPr="0042063A">
        <w:t xml:space="preserve"> larger and more </w:t>
      </w:r>
      <w:r w:rsidR="00825086" w:rsidRPr="0042063A">
        <w:t>diverse</w:t>
      </w:r>
      <w:r w:rsidR="00660031" w:rsidRPr="0042063A">
        <w:t xml:space="preserve"> patient population, a more informative model of disease progression and survival could be derived.</w:t>
      </w:r>
      <w:r w:rsidR="00825086" w:rsidRPr="0042063A">
        <w:t xml:space="preserve"> </w:t>
      </w:r>
      <w:r w:rsidR="00681C05" w:rsidRPr="0042063A">
        <w:t xml:space="preserve">The model should also account for all relevant baseline covariates and </w:t>
      </w:r>
      <w:r w:rsidR="008E1A43" w:rsidRPr="0042063A">
        <w:t>outcomes related</w:t>
      </w:r>
      <w:r w:rsidR="00681C05" w:rsidRPr="0042063A">
        <w:t xml:space="preserve"> to the progression of CLN2 disease given there were several outcomes measured in the trials in addition to ML score</w:t>
      </w:r>
      <w:r w:rsidR="008E1A43" w:rsidRPr="0042063A">
        <w:t xml:space="preserve"> which as noted above, does not capture the full extent of CLN2 disease</w:t>
      </w:r>
      <w:r w:rsidR="00681C05" w:rsidRPr="0042063A">
        <w:t xml:space="preserve">. </w:t>
      </w:r>
    </w:p>
    <w:p w:rsidR="002E49D0" w:rsidRPr="0042063A" w:rsidRDefault="00176CBC" w:rsidP="002E49D0">
      <w:pPr>
        <w:pStyle w:val="ListParagraph"/>
        <w:numPr>
          <w:ilvl w:val="0"/>
          <w:numId w:val="43"/>
        </w:numPr>
        <w:spacing w:before="0" w:after="240"/>
      </w:pPr>
      <w:r w:rsidRPr="0042063A">
        <w:t>There are cur</w:t>
      </w:r>
      <w:r w:rsidR="002D6088" w:rsidRPr="0042063A">
        <w:t xml:space="preserve">rently </w:t>
      </w:r>
      <w:r w:rsidR="006E2381">
        <w:rPr>
          <w:noProof/>
          <w:color w:val="000000"/>
          <w:highlight w:val="black"/>
        </w:rPr>
        <w:t>'''</w:t>
      </w:r>
      <w:r w:rsidR="002D6088" w:rsidRPr="0042063A">
        <w:t xml:space="preserve"> known patients with CLN2 disease in Australia</w:t>
      </w:r>
      <w:r w:rsidR="00927FA5" w:rsidRPr="0042063A">
        <w:t xml:space="preserve"> of which there </w:t>
      </w:r>
      <w:r w:rsidR="006E2381">
        <w:rPr>
          <w:noProof/>
          <w:color w:val="000000"/>
          <w:highlight w:val="black"/>
        </w:rPr>
        <w:t>''' '''</w:t>
      </w:r>
      <w:r w:rsidR="00E7192A" w:rsidRPr="0042063A">
        <w:t xml:space="preserve"> patient who has decided not to receive t</w:t>
      </w:r>
      <w:r w:rsidR="007172DB" w:rsidRPr="0042063A">
        <w:t>reatment with cerliponase alfa. Given the severity and prog</w:t>
      </w:r>
      <w:r w:rsidR="00DD3622" w:rsidRPr="0042063A">
        <w:t>ressive nature of CLN2 disease and administration procedure of cerliponase alfa, it may be clinically appropriate for some patients not to receive treatment. Consultation with clinicians experienced in the management of pati</w:t>
      </w:r>
      <w:r w:rsidR="00B0472C" w:rsidRPr="0042063A">
        <w:t xml:space="preserve">ents with CLN2 disease would provide more clarity around the conditions which may render a patient </w:t>
      </w:r>
      <w:r w:rsidR="00C6781B" w:rsidRPr="0042063A">
        <w:t>not suitable for t</w:t>
      </w:r>
      <w:r w:rsidR="00484C1A">
        <w:t>reatment with cerliponase alfa.</w:t>
      </w:r>
    </w:p>
    <w:p w:rsidR="00630A81" w:rsidRPr="0042063A" w:rsidRDefault="00630A81" w:rsidP="00630A81">
      <w:pPr>
        <w:pStyle w:val="ListParagraph"/>
        <w:numPr>
          <w:ilvl w:val="1"/>
          <w:numId w:val="2"/>
        </w:numPr>
      </w:pPr>
      <w:r w:rsidRPr="0042063A">
        <w:t>The PBAC considered</w:t>
      </w:r>
      <w:r w:rsidR="005B194B" w:rsidRPr="0042063A">
        <w:t xml:space="preserve"> that at the proposed price,</w:t>
      </w:r>
      <w:r w:rsidRPr="0042063A">
        <w:t xml:space="preserve"> the financial impact of listing cerliponase </w:t>
      </w:r>
      <w:r w:rsidR="001D6657" w:rsidRPr="0042063A">
        <w:t>alfa of</w:t>
      </w:r>
      <w:r w:rsidRPr="0042063A">
        <w:t xml:space="preserve"> </w:t>
      </w:r>
      <w:r w:rsidR="00800CAE">
        <w:t xml:space="preserve">less than $10 </w:t>
      </w:r>
      <w:r w:rsidRPr="0042063A">
        <w:t xml:space="preserve">million in Year 1 increasing to </w:t>
      </w:r>
      <w:r w:rsidR="00800CAE">
        <w:t xml:space="preserve">$10 - $20 </w:t>
      </w:r>
      <w:r w:rsidRPr="0042063A">
        <w:t xml:space="preserve">million in Year 6 </w:t>
      </w:r>
      <w:r w:rsidR="005B194B" w:rsidRPr="0042063A">
        <w:t xml:space="preserve">is </w:t>
      </w:r>
      <w:r w:rsidRPr="0042063A">
        <w:t>substantial. The PBAC agreed with the ESC that the cost-offsets</w:t>
      </w:r>
      <w:r w:rsidR="00420038" w:rsidRPr="0042063A">
        <w:t xml:space="preserve"> </w:t>
      </w:r>
      <w:r w:rsidR="00556815">
        <w:t>claimed</w:t>
      </w:r>
      <w:r w:rsidRPr="0042063A">
        <w:t xml:space="preserve"> in the financial estimates were more likely to be delayed costs</w:t>
      </w:r>
      <w:r w:rsidR="005B194B" w:rsidRPr="0042063A">
        <w:t xml:space="preserve"> rather than true offsets</w:t>
      </w:r>
      <w:r w:rsidRPr="0042063A">
        <w:t xml:space="preserve"> given cerliponase alfa is not a cure for CLN2 disease. However, the PBAC noted that the estimated savings from these cost-offsets were not significant in the context of the costs for cerliponase alfa and its administration. </w:t>
      </w:r>
    </w:p>
    <w:p w:rsidR="00300F59" w:rsidRPr="0042063A" w:rsidRDefault="00300F59" w:rsidP="00F354AA">
      <w:pPr>
        <w:pStyle w:val="ListParagraph"/>
        <w:numPr>
          <w:ilvl w:val="1"/>
          <w:numId w:val="2"/>
        </w:numPr>
        <w:spacing w:before="0" w:after="240"/>
      </w:pPr>
      <w:r w:rsidRPr="0042063A">
        <w:t xml:space="preserve">The PBAC noted that this submission is eligible for an Independent Review. </w:t>
      </w:r>
    </w:p>
    <w:p w:rsidR="00792299" w:rsidRPr="0042063A" w:rsidRDefault="00792299" w:rsidP="00792299">
      <w:pPr>
        <w:spacing w:before="240"/>
        <w:rPr>
          <w:rFonts w:cs="Arial"/>
          <w:b/>
          <w:bCs/>
          <w:snapToGrid w:val="0"/>
          <w:lang w:val="en-GB"/>
        </w:rPr>
      </w:pPr>
      <w:r w:rsidRPr="0042063A">
        <w:rPr>
          <w:rFonts w:cs="Arial"/>
          <w:b/>
          <w:bCs/>
          <w:snapToGrid w:val="0"/>
          <w:lang w:val="en-GB"/>
        </w:rPr>
        <w:t>Outcome:</w:t>
      </w:r>
    </w:p>
    <w:p w:rsidR="00787876" w:rsidRDefault="00792299" w:rsidP="00015CD9">
      <w:pPr>
        <w:rPr>
          <w:rFonts w:cs="Arial"/>
          <w:bCs/>
          <w:snapToGrid w:val="0"/>
          <w:lang w:val="en-GB"/>
        </w:rPr>
      </w:pPr>
      <w:r w:rsidRPr="0042063A">
        <w:rPr>
          <w:rFonts w:cs="Arial"/>
          <w:bCs/>
          <w:snapToGrid w:val="0"/>
          <w:lang w:val="en-GB"/>
        </w:rPr>
        <w:t xml:space="preserve">Rejected </w:t>
      </w:r>
    </w:p>
    <w:p w:rsidR="00F90BB0" w:rsidRPr="00F90BB0" w:rsidRDefault="00F90BB0" w:rsidP="00F90BB0">
      <w:pPr>
        <w:pStyle w:val="Heading1"/>
        <w:tabs>
          <w:tab w:val="left" w:pos="567"/>
        </w:tabs>
        <w:ind w:left="709" w:hanging="709"/>
        <w:jc w:val="left"/>
      </w:pPr>
      <w:r w:rsidRPr="00C07617">
        <w:lastRenderedPageBreak/>
        <w:t>Context for Decision</w:t>
      </w:r>
    </w:p>
    <w:p w:rsidR="00F90BB0" w:rsidRPr="00C07617" w:rsidRDefault="00F90BB0" w:rsidP="005151AE">
      <w:pPr>
        <w:spacing w:after="0"/>
        <w:ind w:left="567"/>
        <w:rPr>
          <w:rFonts w:cs="Arial"/>
        </w:rPr>
      </w:pPr>
      <w:r w:rsidRPr="00C07617">
        <w:rPr>
          <w:rFonts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90BB0" w:rsidRPr="00F90BB0" w:rsidRDefault="00F90BB0" w:rsidP="00F90BB0">
      <w:pPr>
        <w:pStyle w:val="Heading1"/>
        <w:tabs>
          <w:tab w:val="left" w:pos="567"/>
        </w:tabs>
        <w:ind w:left="709" w:hanging="709"/>
        <w:jc w:val="left"/>
      </w:pPr>
      <w:r>
        <w:t>Sponsor’s Comment</w:t>
      </w:r>
    </w:p>
    <w:p w:rsidR="0057368B" w:rsidRPr="005151AE" w:rsidRDefault="0057368B" w:rsidP="0057368B">
      <w:pPr>
        <w:spacing w:after="120"/>
        <w:ind w:left="567"/>
        <w:rPr>
          <w:rFonts w:cs="Arial"/>
          <w:bCs/>
        </w:rPr>
      </w:pPr>
      <w:proofErr w:type="spellStart"/>
      <w:r>
        <w:t>BioMarin</w:t>
      </w:r>
      <w:proofErr w:type="spellEnd"/>
      <w:r>
        <w:t xml:space="preserve"> would like to recognise the input received from patients, families and health care professionals. </w:t>
      </w:r>
      <w:proofErr w:type="spellStart"/>
      <w:r>
        <w:t>BioMarin</w:t>
      </w:r>
      <w:proofErr w:type="spellEnd"/>
      <w:r>
        <w:t xml:space="preserve"> would also like to thank the PBAC for its consideration of CLN2, an ultra-rare disease affecting only 1 in 135,000 children. </w:t>
      </w:r>
      <w:proofErr w:type="spellStart"/>
      <w:r w:rsidRPr="004A42DD">
        <w:rPr>
          <w:rFonts w:cs="Arial"/>
          <w:bCs/>
        </w:rPr>
        <w:t>BioMarin</w:t>
      </w:r>
      <w:proofErr w:type="spellEnd"/>
      <w:r w:rsidRPr="004A42DD">
        <w:rPr>
          <w:rFonts w:cs="Arial"/>
          <w:bCs/>
        </w:rPr>
        <w:t xml:space="preserve"> </w:t>
      </w:r>
      <w:r>
        <w:rPr>
          <w:rFonts w:cs="Arial"/>
          <w:bCs/>
        </w:rPr>
        <w:t>looks</w:t>
      </w:r>
      <w:r w:rsidRPr="004A42DD">
        <w:rPr>
          <w:rFonts w:cs="Arial"/>
          <w:bCs/>
        </w:rPr>
        <w:t xml:space="preserve"> forward to working with the Life Saving Drugs Program to </w:t>
      </w:r>
      <w:r>
        <w:rPr>
          <w:rFonts w:cs="Arial"/>
          <w:bCs/>
        </w:rPr>
        <w:t xml:space="preserve">make cerliponase alfa available </w:t>
      </w:r>
      <w:r w:rsidRPr="004A42DD">
        <w:rPr>
          <w:rFonts w:cs="Arial"/>
          <w:bCs/>
        </w:rPr>
        <w:t xml:space="preserve">to </w:t>
      </w:r>
      <w:r>
        <w:rPr>
          <w:rFonts w:cs="Arial"/>
          <w:bCs/>
        </w:rPr>
        <w:t xml:space="preserve">Australian patients with </w:t>
      </w:r>
      <w:r w:rsidRPr="004A42DD">
        <w:rPr>
          <w:rFonts w:cs="Arial"/>
          <w:bCs/>
        </w:rPr>
        <w:t>CLN2</w:t>
      </w:r>
      <w:r>
        <w:rPr>
          <w:rFonts w:cs="Arial"/>
          <w:bCs/>
        </w:rPr>
        <w:t>.</w:t>
      </w:r>
      <w:r w:rsidRPr="004A42DD">
        <w:rPr>
          <w:rFonts w:cs="Arial"/>
          <w:bCs/>
        </w:rPr>
        <w:t xml:space="preserve"> </w:t>
      </w:r>
    </w:p>
    <w:p w:rsidR="00F90BB0" w:rsidRPr="005151AE" w:rsidRDefault="00F90BB0" w:rsidP="0057368B">
      <w:pPr>
        <w:spacing w:after="120"/>
        <w:ind w:left="567"/>
        <w:rPr>
          <w:rFonts w:cs="Arial"/>
          <w:bCs/>
        </w:rPr>
      </w:pPr>
    </w:p>
    <w:sectPr w:rsidR="00F90BB0" w:rsidRPr="005151AE" w:rsidSect="00AD68A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1A" w:rsidRDefault="00484C1A" w:rsidP="00BA3306">
      <w:pPr>
        <w:spacing w:before="0" w:after="0"/>
      </w:pPr>
      <w:r>
        <w:separator/>
      </w:r>
    </w:p>
  </w:endnote>
  <w:endnote w:type="continuationSeparator" w:id="0">
    <w:p w:rsidR="00484C1A" w:rsidRDefault="00484C1A"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A" w:rsidRDefault="00484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A" w:rsidRDefault="00484C1A" w:rsidP="00DE5D95">
    <w:pPr>
      <w:tabs>
        <w:tab w:val="center" w:pos="4153"/>
        <w:tab w:val="right" w:pos="8306"/>
      </w:tabs>
      <w:spacing w:before="0" w:after="120"/>
      <w:ind w:left="360"/>
      <w:jc w:val="center"/>
      <w:rPr>
        <w:rFonts w:ascii="Calibri" w:eastAsia="Times New Roman" w:hAnsi="Calibri" w:cs="Arial"/>
        <w:b/>
        <w:sz w:val="20"/>
        <w:szCs w:val="24"/>
      </w:rPr>
    </w:pPr>
  </w:p>
  <w:p w:rsidR="00484C1A" w:rsidRPr="00DE5D95" w:rsidRDefault="00484C1A" w:rsidP="00DE5D95">
    <w:pPr>
      <w:tabs>
        <w:tab w:val="center" w:pos="4153"/>
        <w:tab w:val="right" w:pos="8306"/>
      </w:tabs>
      <w:spacing w:before="0" w:after="120"/>
      <w:ind w:left="360"/>
      <w:jc w:val="center"/>
      <w:rPr>
        <w:rFonts w:ascii="Calibri" w:eastAsia="Times New Roman" w:hAnsi="Calibri" w:cs="Arial"/>
        <w:b/>
        <w:sz w:val="20"/>
        <w:szCs w:val="24"/>
      </w:rPr>
    </w:pPr>
    <w:r w:rsidRPr="00B6250B">
      <w:rPr>
        <w:rFonts w:ascii="Calibri" w:eastAsia="Times New Roman" w:hAnsi="Calibri" w:cs="Arial"/>
        <w:b/>
        <w:sz w:val="20"/>
        <w:szCs w:val="24"/>
      </w:rPr>
      <w:fldChar w:fldCharType="begin"/>
    </w:r>
    <w:r w:rsidRPr="00B6250B">
      <w:rPr>
        <w:rFonts w:ascii="Calibri" w:eastAsia="Times New Roman" w:hAnsi="Calibri" w:cs="Arial"/>
        <w:b/>
        <w:sz w:val="20"/>
        <w:szCs w:val="24"/>
      </w:rPr>
      <w:instrText xml:space="preserve"> PAGE   \* MERGEFORMAT </w:instrText>
    </w:r>
    <w:r w:rsidRPr="00B6250B">
      <w:rPr>
        <w:rFonts w:ascii="Calibri" w:eastAsia="Times New Roman" w:hAnsi="Calibri" w:cs="Arial"/>
        <w:b/>
        <w:sz w:val="20"/>
        <w:szCs w:val="24"/>
      </w:rPr>
      <w:fldChar w:fldCharType="separate"/>
    </w:r>
    <w:r w:rsidR="0070120E">
      <w:rPr>
        <w:rFonts w:ascii="Calibri" w:eastAsia="Times New Roman" w:hAnsi="Calibri" w:cs="Arial"/>
        <w:b/>
        <w:noProof/>
        <w:sz w:val="20"/>
        <w:szCs w:val="24"/>
      </w:rPr>
      <w:t>2</w:t>
    </w:r>
    <w:r w:rsidRPr="00B6250B">
      <w:rPr>
        <w:rFonts w:ascii="Calibri" w:eastAsia="Times New Roman" w:hAnsi="Calibri" w:cs="Arial"/>
        <w:b/>
        <w:noProof/>
        <w:sz w:val="20"/>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A" w:rsidRDefault="00484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1A" w:rsidRDefault="00484C1A" w:rsidP="00BA3306">
      <w:pPr>
        <w:spacing w:before="0" w:after="0"/>
      </w:pPr>
      <w:r>
        <w:separator/>
      </w:r>
    </w:p>
  </w:footnote>
  <w:footnote w:type="continuationSeparator" w:id="0">
    <w:p w:rsidR="00484C1A" w:rsidRDefault="00484C1A" w:rsidP="00BA3306">
      <w:pPr>
        <w:spacing w:before="0" w:after="0"/>
      </w:pPr>
      <w:r>
        <w:continuationSeparator/>
      </w:r>
    </w:p>
  </w:footnote>
  <w:footnote w:id="1">
    <w:p w:rsidR="00484C1A" w:rsidRDefault="00484C1A">
      <w:pPr>
        <w:pStyle w:val="FootnoteText"/>
      </w:pPr>
      <w:r>
        <w:rPr>
          <w:rStyle w:val="FootnoteReference"/>
        </w:rPr>
        <w:footnoteRef/>
      </w:r>
      <w:r>
        <w:t xml:space="preserve"> Schulz A., </w:t>
      </w:r>
      <w:proofErr w:type="spellStart"/>
      <w:r>
        <w:t>Ajayi</w:t>
      </w:r>
      <w:proofErr w:type="spellEnd"/>
      <w:r>
        <w:t xml:space="preserve"> T., </w:t>
      </w:r>
      <w:proofErr w:type="spellStart"/>
      <w:r>
        <w:t>Specchio</w:t>
      </w:r>
      <w:proofErr w:type="spellEnd"/>
      <w:r>
        <w:t xml:space="preserve"> N., de Los Reyes E., </w:t>
      </w:r>
      <w:proofErr w:type="spellStart"/>
      <w:r>
        <w:t>Gissen</w:t>
      </w:r>
      <w:proofErr w:type="spellEnd"/>
      <w:r>
        <w:t xml:space="preserve"> P., </w:t>
      </w:r>
      <w:proofErr w:type="spellStart"/>
      <w:r>
        <w:t>Ballon</w:t>
      </w:r>
      <w:proofErr w:type="spellEnd"/>
      <w:r>
        <w:t xml:space="preserve"> D., Dyke J., </w:t>
      </w:r>
      <w:proofErr w:type="spellStart"/>
      <w:r>
        <w:t>Cahan</w:t>
      </w:r>
      <w:proofErr w:type="spellEnd"/>
      <w:r>
        <w:t xml:space="preserve"> H., </w:t>
      </w:r>
      <w:proofErr w:type="spellStart"/>
      <w:r>
        <w:t>Slasor</w:t>
      </w:r>
      <w:proofErr w:type="spellEnd"/>
      <w:r>
        <w:t xml:space="preserve"> P. Jacoby D. &amp; </w:t>
      </w:r>
      <w:proofErr w:type="spellStart"/>
      <w:r>
        <w:t>Kohlschutter</w:t>
      </w:r>
      <w:proofErr w:type="spellEnd"/>
      <w:r>
        <w:t xml:space="preserve"> A, 2018. </w:t>
      </w:r>
      <w:proofErr w:type="gramStart"/>
      <w:r>
        <w:t>Study of Intraventricular Cerliponase Alfa for CLN2 Disease.</w:t>
      </w:r>
      <w:proofErr w:type="gramEnd"/>
      <w:r>
        <w:t xml:space="preserve"> NEJM</w:t>
      </w:r>
      <w:proofErr w:type="gramStart"/>
      <w:r>
        <w:t>;378</w:t>
      </w:r>
      <w:proofErr w:type="gramEnd"/>
      <w:r>
        <w:t xml:space="preserve">: 1898-1907.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A" w:rsidRDefault="00484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A" w:rsidRPr="006615CB" w:rsidRDefault="00484C1A" w:rsidP="00AD68A3">
    <w:pPr>
      <w:tabs>
        <w:tab w:val="center" w:pos="4153"/>
        <w:tab w:val="right" w:pos="8306"/>
      </w:tabs>
      <w:spacing w:before="0" w:after="0"/>
      <w:ind w:left="357"/>
      <w:jc w:val="center"/>
      <w:rPr>
        <w:rFonts w:ascii="Calibri" w:eastAsia="Times New Roman" w:hAnsi="Calibri" w:cs="Arial"/>
        <w:i/>
        <w:color w:val="808080"/>
        <w:sz w:val="22"/>
        <w:szCs w:val="24"/>
      </w:rPr>
    </w:pPr>
    <w:r>
      <w:rPr>
        <w:rFonts w:ascii="Calibri" w:eastAsia="Times New Roman" w:hAnsi="Calibri" w:cs="Arial"/>
        <w:i/>
        <w:color w:val="808080"/>
        <w:sz w:val="22"/>
        <w:szCs w:val="24"/>
      </w:rPr>
      <w:t>Public Summary Document</w:t>
    </w:r>
    <w:r w:rsidRPr="006615CB">
      <w:rPr>
        <w:rFonts w:ascii="Calibri" w:eastAsia="Times New Roman" w:hAnsi="Calibri" w:cs="Arial"/>
        <w:i/>
        <w:color w:val="808080"/>
        <w:sz w:val="22"/>
        <w:szCs w:val="24"/>
      </w:rPr>
      <w:t xml:space="preserve"> – </w:t>
    </w:r>
    <w:r>
      <w:rPr>
        <w:rFonts w:ascii="Calibri" w:eastAsia="Times New Roman" w:hAnsi="Calibri" w:cs="Arial"/>
        <w:i/>
        <w:color w:val="808080"/>
        <w:sz w:val="22"/>
        <w:szCs w:val="24"/>
      </w:rPr>
      <w:t>July 2018</w:t>
    </w:r>
    <w:r w:rsidRPr="006615CB">
      <w:rPr>
        <w:rFonts w:ascii="Calibri" w:eastAsia="Times New Roman" w:hAnsi="Calibri" w:cs="Arial"/>
        <w:i/>
        <w:color w:val="808080"/>
        <w:sz w:val="22"/>
        <w:szCs w:val="24"/>
      </w:rPr>
      <w:t xml:space="preserve"> PBAC Meeting</w:t>
    </w:r>
  </w:p>
  <w:p w:rsidR="00484C1A" w:rsidRPr="006615CB" w:rsidRDefault="00484C1A" w:rsidP="006615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1A" w:rsidRDefault="00484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58"/>
    <w:multiLevelType w:val="hybridMultilevel"/>
    <w:tmpl w:val="182CA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B30D4D"/>
    <w:multiLevelType w:val="multilevel"/>
    <w:tmpl w:val="EF0400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745C6"/>
    <w:multiLevelType w:val="multilevel"/>
    <w:tmpl w:val="3378D4FA"/>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C32D6D"/>
    <w:multiLevelType w:val="hybridMultilevel"/>
    <w:tmpl w:val="D5E2F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A55010"/>
    <w:multiLevelType w:val="multilevel"/>
    <w:tmpl w:val="006C9AF4"/>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B1442A"/>
    <w:multiLevelType w:val="hybridMultilevel"/>
    <w:tmpl w:val="C6BCA3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6F5D8D"/>
    <w:multiLevelType w:val="hybridMultilevel"/>
    <w:tmpl w:val="7BF4B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8692D01"/>
    <w:multiLevelType w:val="hybridMultilevel"/>
    <w:tmpl w:val="5AF616C4"/>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9">
    <w:nsid w:val="1E170FB2"/>
    <w:multiLevelType w:val="hybridMultilevel"/>
    <w:tmpl w:val="AFF6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4E6825"/>
    <w:multiLevelType w:val="multilevel"/>
    <w:tmpl w:val="D688CA7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1D6F86"/>
    <w:multiLevelType w:val="hybridMultilevel"/>
    <w:tmpl w:val="7F6CC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0DE70C2"/>
    <w:multiLevelType w:val="multilevel"/>
    <w:tmpl w:val="120CB73A"/>
    <w:lvl w:ilvl="0">
      <w:start w:val="4"/>
      <w:numFmt w:val="decimal"/>
      <w:lvlText w:val="%1"/>
      <w:lvlJc w:val="left"/>
      <w:pPr>
        <w:ind w:left="840" w:hanging="840"/>
      </w:pPr>
      <w:rPr>
        <w:rFonts w:hint="default"/>
      </w:rPr>
    </w:lvl>
    <w:lvl w:ilvl="1">
      <w:start w:val="2"/>
      <w:numFmt w:val="decimal"/>
      <w:lvlText w:val="%1.%2"/>
      <w:lvlJc w:val="left"/>
      <w:pPr>
        <w:ind w:left="960" w:hanging="840"/>
      </w:pPr>
      <w:rPr>
        <w:rFonts w:hint="default"/>
      </w:rPr>
    </w:lvl>
    <w:lvl w:ilvl="2">
      <w:start w:val="4"/>
      <w:numFmt w:val="decimal"/>
      <w:lvlText w:val="%1.%2-%3"/>
      <w:lvlJc w:val="left"/>
      <w:pPr>
        <w:ind w:left="1080" w:hanging="840"/>
      </w:pPr>
      <w:rPr>
        <w:rFonts w:hint="default"/>
      </w:rPr>
    </w:lvl>
    <w:lvl w:ilvl="3">
      <w:start w:val="5"/>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B76C6"/>
    <w:multiLevelType w:val="hybridMultilevel"/>
    <w:tmpl w:val="E26E3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DF943E7"/>
    <w:multiLevelType w:val="hybridMultilevel"/>
    <w:tmpl w:val="8C3C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3403EF"/>
    <w:multiLevelType w:val="hybridMultilevel"/>
    <w:tmpl w:val="AF363C14"/>
    <w:lvl w:ilvl="0" w:tplc="0A7E083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095639F"/>
    <w:multiLevelType w:val="hybridMultilevel"/>
    <w:tmpl w:val="F3F0D294"/>
    <w:lvl w:ilvl="0" w:tplc="53AC7E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8777A2"/>
    <w:multiLevelType w:val="hybridMultilevel"/>
    <w:tmpl w:val="751E8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397191"/>
    <w:multiLevelType w:val="hybridMultilevel"/>
    <w:tmpl w:val="BE76535C"/>
    <w:lvl w:ilvl="0" w:tplc="27D0C51E">
      <w:start w:val="10"/>
      <w:numFmt w:val="bullet"/>
      <w:lvlText w:val="-"/>
      <w:lvlJc w:val="left"/>
      <w:pPr>
        <w:ind w:left="673" w:hanging="360"/>
      </w:pPr>
      <w:rPr>
        <w:rFonts w:ascii="Calibri" w:eastAsiaTheme="minorHAnsi" w:hAnsi="Calibri" w:cstheme="minorBidi"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22">
    <w:nsid w:val="4C72082D"/>
    <w:multiLevelType w:val="hybridMultilevel"/>
    <w:tmpl w:val="C0F27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E8B7E8B"/>
    <w:multiLevelType w:val="hybridMultilevel"/>
    <w:tmpl w:val="38D844FC"/>
    <w:lvl w:ilvl="0" w:tplc="97DC4D4E">
      <w:start w:val="10"/>
      <w:numFmt w:val="bullet"/>
      <w:lvlText w:val="-"/>
      <w:lvlJc w:val="left"/>
      <w:pPr>
        <w:ind w:left="673" w:hanging="360"/>
      </w:pPr>
      <w:rPr>
        <w:rFonts w:ascii="Calibri" w:eastAsiaTheme="minorHAnsi" w:hAnsi="Calibri" w:cstheme="minorBidi" w:hint="default"/>
        <w:i/>
        <w:color w:val="0070C0"/>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24">
    <w:nsid w:val="4EE853AF"/>
    <w:multiLevelType w:val="hybridMultilevel"/>
    <w:tmpl w:val="4E380A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1DE0802"/>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D846B8D"/>
    <w:multiLevelType w:val="multilevel"/>
    <w:tmpl w:val="DBF858EC"/>
    <w:lvl w:ilvl="0">
      <w:start w:val="4"/>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7871A3"/>
    <w:multiLevelType w:val="hybridMultilevel"/>
    <w:tmpl w:val="61DA7A86"/>
    <w:lvl w:ilvl="0" w:tplc="E1644B14">
      <w:start w:val="1"/>
      <w:numFmt w:val="decimal"/>
      <w:lvlText w:val="%1."/>
      <w:lvlJc w:val="left"/>
      <w:pPr>
        <w:ind w:left="1080" w:hanging="360"/>
      </w:pPr>
      <w:rPr>
        <w:rFonts w:hint="default"/>
        <w:i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EF91405"/>
    <w:multiLevelType w:val="multilevel"/>
    <w:tmpl w:val="4434F0D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84D033C"/>
    <w:multiLevelType w:val="multilevel"/>
    <w:tmpl w:val="13CA770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94356EE"/>
    <w:multiLevelType w:val="multilevel"/>
    <w:tmpl w:val="D36677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AA8504A"/>
    <w:multiLevelType w:val="hybridMultilevel"/>
    <w:tmpl w:val="FD52BEB4"/>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7">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E253302"/>
    <w:multiLevelType w:val="hybridMultilevel"/>
    <w:tmpl w:val="1962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DE3CCB"/>
    <w:multiLevelType w:val="hybridMultilevel"/>
    <w:tmpl w:val="F2261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0"/>
  </w:num>
  <w:num w:numId="4">
    <w:abstractNumId w:val="39"/>
  </w:num>
  <w:num w:numId="5">
    <w:abstractNumId w:val="4"/>
  </w:num>
  <w:num w:numId="6">
    <w:abstractNumId w:val="16"/>
  </w:num>
  <w:num w:numId="7">
    <w:abstractNumId w:val="2"/>
  </w:num>
  <w:num w:numId="8">
    <w:abstractNumId w:val="34"/>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7"/>
  </w:num>
  <w:num w:numId="13">
    <w:abstractNumId w:val="38"/>
  </w:num>
  <w:num w:numId="14">
    <w:abstractNumId w:val="37"/>
  </w:num>
  <w:num w:numId="15">
    <w:abstractNumId w:val="30"/>
  </w:num>
  <w:num w:numId="16">
    <w:abstractNumId w:val="1"/>
  </w:num>
  <w:num w:numId="17">
    <w:abstractNumId w:val="32"/>
  </w:num>
  <w:num w:numId="18">
    <w:abstractNumId w:val="5"/>
  </w:num>
  <w:num w:numId="19">
    <w:abstractNumId w:val="35"/>
  </w:num>
  <w:num w:numId="20">
    <w:abstractNumId w:val="33"/>
  </w:num>
  <w:num w:numId="21">
    <w:abstractNumId w:val="15"/>
  </w:num>
  <w:num w:numId="22">
    <w:abstractNumId w:val="12"/>
  </w:num>
  <w:num w:numId="23">
    <w:abstractNumId w:val="7"/>
  </w:num>
  <w:num w:numId="24">
    <w:abstractNumId w:val="17"/>
  </w:num>
  <w:num w:numId="25">
    <w:abstractNumId w:val="24"/>
  </w:num>
  <w:num w:numId="26">
    <w:abstractNumId w:val="9"/>
  </w:num>
  <w:num w:numId="27">
    <w:abstractNumId w:val="31"/>
  </w:num>
  <w:num w:numId="28">
    <w:abstractNumId w:val="3"/>
  </w:num>
  <w:num w:numId="29">
    <w:abstractNumId w:val="25"/>
  </w:num>
  <w:num w:numId="30">
    <w:abstractNumId w:val="13"/>
  </w:num>
  <w:num w:numId="31">
    <w:abstractNumId w:val="28"/>
  </w:num>
  <w:num w:numId="32">
    <w:abstractNumId w:val="40"/>
  </w:num>
  <w:num w:numId="33">
    <w:abstractNumId w:val="18"/>
  </w:num>
  <w:num w:numId="34">
    <w:abstractNumId w:val="10"/>
    <w:lvlOverride w:ilvl="0">
      <w:startOverride w:val="3"/>
    </w:lvlOverride>
    <w:lvlOverride w:ilvl="1">
      <w:startOverride w:val="2"/>
    </w:lvlOverride>
  </w:num>
  <w:num w:numId="35">
    <w:abstractNumId w:val="19"/>
  </w:num>
  <w:num w:numId="36">
    <w:abstractNumId w:val="0"/>
  </w:num>
  <w:num w:numId="37">
    <w:abstractNumId w:val="23"/>
  </w:num>
  <w:num w:numId="38">
    <w:abstractNumId w:val="21"/>
  </w:num>
  <w:num w:numId="39">
    <w:abstractNumId w:val="6"/>
  </w:num>
  <w:num w:numId="40">
    <w:abstractNumId w:val="22"/>
  </w:num>
  <w:num w:numId="41">
    <w:abstractNumId w:val="26"/>
  </w:num>
  <w:num w:numId="42">
    <w:abstractNumId w:val="8"/>
  </w:num>
  <w:num w:numId="43">
    <w:abstractNumId w:val="36"/>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2C2"/>
    <w:rsid w:val="00000AB8"/>
    <w:rsid w:val="000012CA"/>
    <w:rsid w:val="0000175F"/>
    <w:rsid w:val="00001AB4"/>
    <w:rsid w:val="00002873"/>
    <w:rsid w:val="00003008"/>
    <w:rsid w:val="00003A91"/>
    <w:rsid w:val="00004A62"/>
    <w:rsid w:val="00004D4F"/>
    <w:rsid w:val="00005886"/>
    <w:rsid w:val="00005DDD"/>
    <w:rsid w:val="0001066F"/>
    <w:rsid w:val="00013222"/>
    <w:rsid w:val="00014343"/>
    <w:rsid w:val="00014525"/>
    <w:rsid w:val="00014DB1"/>
    <w:rsid w:val="00015CD9"/>
    <w:rsid w:val="00015E4F"/>
    <w:rsid w:val="00016E66"/>
    <w:rsid w:val="00020420"/>
    <w:rsid w:val="0002095B"/>
    <w:rsid w:val="000254E1"/>
    <w:rsid w:val="0002592C"/>
    <w:rsid w:val="00027587"/>
    <w:rsid w:val="000277C7"/>
    <w:rsid w:val="00027829"/>
    <w:rsid w:val="00027FE3"/>
    <w:rsid w:val="00030076"/>
    <w:rsid w:val="000326E5"/>
    <w:rsid w:val="000332E1"/>
    <w:rsid w:val="00034404"/>
    <w:rsid w:val="00034D66"/>
    <w:rsid w:val="00035976"/>
    <w:rsid w:val="0003694F"/>
    <w:rsid w:val="00037263"/>
    <w:rsid w:val="0004043E"/>
    <w:rsid w:val="000461CF"/>
    <w:rsid w:val="00046D68"/>
    <w:rsid w:val="00047198"/>
    <w:rsid w:val="000473F5"/>
    <w:rsid w:val="000512A3"/>
    <w:rsid w:val="0005174C"/>
    <w:rsid w:val="00051C7F"/>
    <w:rsid w:val="00057F71"/>
    <w:rsid w:val="00060B7D"/>
    <w:rsid w:val="00060CCA"/>
    <w:rsid w:val="000611DC"/>
    <w:rsid w:val="00062067"/>
    <w:rsid w:val="00065C62"/>
    <w:rsid w:val="00065CDE"/>
    <w:rsid w:val="00065F4A"/>
    <w:rsid w:val="00070B05"/>
    <w:rsid w:val="00071437"/>
    <w:rsid w:val="00074447"/>
    <w:rsid w:val="0007560F"/>
    <w:rsid w:val="00075E79"/>
    <w:rsid w:val="00076492"/>
    <w:rsid w:val="0007718D"/>
    <w:rsid w:val="00080AD9"/>
    <w:rsid w:val="00080AEE"/>
    <w:rsid w:val="00080E98"/>
    <w:rsid w:val="00080FF3"/>
    <w:rsid w:val="0008352C"/>
    <w:rsid w:val="00083C08"/>
    <w:rsid w:val="00084161"/>
    <w:rsid w:val="0008458D"/>
    <w:rsid w:val="000847FE"/>
    <w:rsid w:val="0008510E"/>
    <w:rsid w:val="00086133"/>
    <w:rsid w:val="0008794E"/>
    <w:rsid w:val="000905B4"/>
    <w:rsid w:val="000926AC"/>
    <w:rsid w:val="00092E0B"/>
    <w:rsid w:val="0009457F"/>
    <w:rsid w:val="00096BD1"/>
    <w:rsid w:val="000973FF"/>
    <w:rsid w:val="000A1174"/>
    <w:rsid w:val="000A1317"/>
    <w:rsid w:val="000A2502"/>
    <w:rsid w:val="000A2694"/>
    <w:rsid w:val="000A2EF1"/>
    <w:rsid w:val="000A3E54"/>
    <w:rsid w:val="000A4086"/>
    <w:rsid w:val="000A4101"/>
    <w:rsid w:val="000A4140"/>
    <w:rsid w:val="000A49AD"/>
    <w:rsid w:val="000A5CBF"/>
    <w:rsid w:val="000A6DE5"/>
    <w:rsid w:val="000A6FBD"/>
    <w:rsid w:val="000A799D"/>
    <w:rsid w:val="000B00DB"/>
    <w:rsid w:val="000B3216"/>
    <w:rsid w:val="000B4CEF"/>
    <w:rsid w:val="000B53F4"/>
    <w:rsid w:val="000B53F6"/>
    <w:rsid w:val="000B56CD"/>
    <w:rsid w:val="000B5FE7"/>
    <w:rsid w:val="000B6B69"/>
    <w:rsid w:val="000C0142"/>
    <w:rsid w:val="000C4DE5"/>
    <w:rsid w:val="000C6A40"/>
    <w:rsid w:val="000C6A75"/>
    <w:rsid w:val="000C7A56"/>
    <w:rsid w:val="000C7ADF"/>
    <w:rsid w:val="000D0023"/>
    <w:rsid w:val="000D2E92"/>
    <w:rsid w:val="000D2F6F"/>
    <w:rsid w:val="000D46A6"/>
    <w:rsid w:val="000D6925"/>
    <w:rsid w:val="000D7DFD"/>
    <w:rsid w:val="000E0042"/>
    <w:rsid w:val="000E0E8C"/>
    <w:rsid w:val="000E1179"/>
    <w:rsid w:val="000E11BA"/>
    <w:rsid w:val="000E2669"/>
    <w:rsid w:val="000E4C1E"/>
    <w:rsid w:val="000E4FA1"/>
    <w:rsid w:val="000E5BC0"/>
    <w:rsid w:val="000E63A0"/>
    <w:rsid w:val="000E6F77"/>
    <w:rsid w:val="000E7A8D"/>
    <w:rsid w:val="000E7BD4"/>
    <w:rsid w:val="000E7D93"/>
    <w:rsid w:val="000F0D13"/>
    <w:rsid w:val="000F2534"/>
    <w:rsid w:val="000F3069"/>
    <w:rsid w:val="000F3652"/>
    <w:rsid w:val="000F3B15"/>
    <w:rsid w:val="000F4F80"/>
    <w:rsid w:val="000F63B8"/>
    <w:rsid w:val="000F69A9"/>
    <w:rsid w:val="000F79AF"/>
    <w:rsid w:val="00100DDD"/>
    <w:rsid w:val="00102EB2"/>
    <w:rsid w:val="0010306A"/>
    <w:rsid w:val="001032F8"/>
    <w:rsid w:val="001058D8"/>
    <w:rsid w:val="00111686"/>
    <w:rsid w:val="00111BCD"/>
    <w:rsid w:val="00112CED"/>
    <w:rsid w:val="00113D5C"/>
    <w:rsid w:val="001157BA"/>
    <w:rsid w:val="00115967"/>
    <w:rsid w:val="00115D00"/>
    <w:rsid w:val="00117A67"/>
    <w:rsid w:val="00120389"/>
    <w:rsid w:val="00120451"/>
    <w:rsid w:val="001220F8"/>
    <w:rsid w:val="00123788"/>
    <w:rsid w:val="00124547"/>
    <w:rsid w:val="00126D62"/>
    <w:rsid w:val="0012701F"/>
    <w:rsid w:val="001279AE"/>
    <w:rsid w:val="00130486"/>
    <w:rsid w:val="0013092C"/>
    <w:rsid w:val="0013315B"/>
    <w:rsid w:val="00133790"/>
    <w:rsid w:val="00133DE6"/>
    <w:rsid w:val="00135457"/>
    <w:rsid w:val="00136E76"/>
    <w:rsid w:val="001372C7"/>
    <w:rsid w:val="00140762"/>
    <w:rsid w:val="0014124E"/>
    <w:rsid w:val="001416C6"/>
    <w:rsid w:val="00141F1B"/>
    <w:rsid w:val="001428DC"/>
    <w:rsid w:val="0014581E"/>
    <w:rsid w:val="001468C6"/>
    <w:rsid w:val="00146C47"/>
    <w:rsid w:val="0015250D"/>
    <w:rsid w:val="00152DCF"/>
    <w:rsid w:val="00154A37"/>
    <w:rsid w:val="00154B89"/>
    <w:rsid w:val="00155917"/>
    <w:rsid w:val="00163344"/>
    <w:rsid w:val="0016336B"/>
    <w:rsid w:val="00164173"/>
    <w:rsid w:val="00165A49"/>
    <w:rsid w:val="00170DC8"/>
    <w:rsid w:val="00171C16"/>
    <w:rsid w:val="00171D52"/>
    <w:rsid w:val="001722AD"/>
    <w:rsid w:val="00173577"/>
    <w:rsid w:val="00173DC4"/>
    <w:rsid w:val="00173F9F"/>
    <w:rsid w:val="0017638E"/>
    <w:rsid w:val="00176AA5"/>
    <w:rsid w:val="00176CBC"/>
    <w:rsid w:val="0017720E"/>
    <w:rsid w:val="00177893"/>
    <w:rsid w:val="00180E51"/>
    <w:rsid w:val="00182058"/>
    <w:rsid w:val="0018310E"/>
    <w:rsid w:val="0018325D"/>
    <w:rsid w:val="00184221"/>
    <w:rsid w:val="00184E80"/>
    <w:rsid w:val="00184EFF"/>
    <w:rsid w:val="001858C1"/>
    <w:rsid w:val="00185DD9"/>
    <w:rsid w:val="00186307"/>
    <w:rsid w:val="001865B2"/>
    <w:rsid w:val="00186D12"/>
    <w:rsid w:val="00186EBC"/>
    <w:rsid w:val="00192BF4"/>
    <w:rsid w:val="00193545"/>
    <w:rsid w:val="00195DA4"/>
    <w:rsid w:val="001A0142"/>
    <w:rsid w:val="001A02B2"/>
    <w:rsid w:val="001A13CE"/>
    <w:rsid w:val="001A153C"/>
    <w:rsid w:val="001A1882"/>
    <w:rsid w:val="001A215E"/>
    <w:rsid w:val="001A2FF3"/>
    <w:rsid w:val="001A3C86"/>
    <w:rsid w:val="001A3C99"/>
    <w:rsid w:val="001B00CE"/>
    <w:rsid w:val="001B05D3"/>
    <w:rsid w:val="001B0878"/>
    <w:rsid w:val="001B15EF"/>
    <w:rsid w:val="001B2A8B"/>
    <w:rsid w:val="001B3140"/>
    <w:rsid w:val="001B4A42"/>
    <w:rsid w:val="001B6389"/>
    <w:rsid w:val="001B70B6"/>
    <w:rsid w:val="001B7363"/>
    <w:rsid w:val="001B7DC0"/>
    <w:rsid w:val="001C04CC"/>
    <w:rsid w:val="001C051E"/>
    <w:rsid w:val="001C1690"/>
    <w:rsid w:val="001C270B"/>
    <w:rsid w:val="001C345B"/>
    <w:rsid w:val="001C4E49"/>
    <w:rsid w:val="001C4F2B"/>
    <w:rsid w:val="001C525A"/>
    <w:rsid w:val="001C5B7D"/>
    <w:rsid w:val="001C6784"/>
    <w:rsid w:val="001D2527"/>
    <w:rsid w:val="001D2894"/>
    <w:rsid w:val="001D2D28"/>
    <w:rsid w:val="001D30CC"/>
    <w:rsid w:val="001D5CC3"/>
    <w:rsid w:val="001D5DE3"/>
    <w:rsid w:val="001D6657"/>
    <w:rsid w:val="001D7373"/>
    <w:rsid w:val="001E0D2D"/>
    <w:rsid w:val="001E4361"/>
    <w:rsid w:val="001E5918"/>
    <w:rsid w:val="001E69CF"/>
    <w:rsid w:val="001E7A23"/>
    <w:rsid w:val="001F0181"/>
    <w:rsid w:val="001F04D6"/>
    <w:rsid w:val="001F073C"/>
    <w:rsid w:val="001F2912"/>
    <w:rsid w:val="001F318E"/>
    <w:rsid w:val="001F334F"/>
    <w:rsid w:val="001F5764"/>
    <w:rsid w:val="001F5DBE"/>
    <w:rsid w:val="001F651C"/>
    <w:rsid w:val="002001C6"/>
    <w:rsid w:val="00200296"/>
    <w:rsid w:val="002009B8"/>
    <w:rsid w:val="0020130B"/>
    <w:rsid w:val="00201ADB"/>
    <w:rsid w:val="00204F8C"/>
    <w:rsid w:val="002058E5"/>
    <w:rsid w:val="00206262"/>
    <w:rsid w:val="00207F30"/>
    <w:rsid w:val="00210FAA"/>
    <w:rsid w:val="002110DF"/>
    <w:rsid w:val="00211636"/>
    <w:rsid w:val="00212100"/>
    <w:rsid w:val="00212349"/>
    <w:rsid w:val="002123AF"/>
    <w:rsid w:val="002123BD"/>
    <w:rsid w:val="0021542B"/>
    <w:rsid w:val="00215854"/>
    <w:rsid w:val="0021729F"/>
    <w:rsid w:val="002210F1"/>
    <w:rsid w:val="00221120"/>
    <w:rsid w:val="00221A06"/>
    <w:rsid w:val="00221DD8"/>
    <w:rsid w:val="00222ACD"/>
    <w:rsid w:val="00222FB1"/>
    <w:rsid w:val="002234A6"/>
    <w:rsid w:val="00223F14"/>
    <w:rsid w:val="00224098"/>
    <w:rsid w:val="00224602"/>
    <w:rsid w:val="002255D9"/>
    <w:rsid w:val="002257F1"/>
    <w:rsid w:val="00227DE0"/>
    <w:rsid w:val="00231EAF"/>
    <w:rsid w:val="002326F0"/>
    <w:rsid w:val="00233CB9"/>
    <w:rsid w:val="00234067"/>
    <w:rsid w:val="0023505A"/>
    <w:rsid w:val="00235267"/>
    <w:rsid w:val="00236ADD"/>
    <w:rsid w:val="00237D79"/>
    <w:rsid w:val="00240130"/>
    <w:rsid w:val="002403D4"/>
    <w:rsid w:val="002425EA"/>
    <w:rsid w:val="00242C0B"/>
    <w:rsid w:val="00242EA0"/>
    <w:rsid w:val="00242EBA"/>
    <w:rsid w:val="00243685"/>
    <w:rsid w:val="002436FF"/>
    <w:rsid w:val="002444CC"/>
    <w:rsid w:val="00245F46"/>
    <w:rsid w:val="00245F89"/>
    <w:rsid w:val="002474BF"/>
    <w:rsid w:val="00247FEB"/>
    <w:rsid w:val="00250637"/>
    <w:rsid w:val="00251151"/>
    <w:rsid w:val="00251417"/>
    <w:rsid w:val="00252AF8"/>
    <w:rsid w:val="00253A96"/>
    <w:rsid w:val="002542CE"/>
    <w:rsid w:val="002550F7"/>
    <w:rsid w:val="0025613F"/>
    <w:rsid w:val="00257256"/>
    <w:rsid w:val="00257B49"/>
    <w:rsid w:val="00260F40"/>
    <w:rsid w:val="0026181E"/>
    <w:rsid w:val="00261DC6"/>
    <w:rsid w:val="00262B6C"/>
    <w:rsid w:val="00263337"/>
    <w:rsid w:val="00264623"/>
    <w:rsid w:val="0026780A"/>
    <w:rsid w:val="002716FB"/>
    <w:rsid w:val="00272E89"/>
    <w:rsid w:val="00272F00"/>
    <w:rsid w:val="00273228"/>
    <w:rsid w:val="00273C92"/>
    <w:rsid w:val="00273D44"/>
    <w:rsid w:val="002759A7"/>
    <w:rsid w:val="00275DC6"/>
    <w:rsid w:val="002762E1"/>
    <w:rsid w:val="00276588"/>
    <w:rsid w:val="00277BD5"/>
    <w:rsid w:val="002803CD"/>
    <w:rsid w:val="00280916"/>
    <w:rsid w:val="00280B5B"/>
    <w:rsid w:val="00280D78"/>
    <w:rsid w:val="00281C4D"/>
    <w:rsid w:val="00282D1F"/>
    <w:rsid w:val="002836DF"/>
    <w:rsid w:val="00290C0E"/>
    <w:rsid w:val="002910CF"/>
    <w:rsid w:val="00291F91"/>
    <w:rsid w:val="00292839"/>
    <w:rsid w:val="002928F4"/>
    <w:rsid w:val="0029382F"/>
    <w:rsid w:val="00293FD8"/>
    <w:rsid w:val="00294E7D"/>
    <w:rsid w:val="002952F6"/>
    <w:rsid w:val="002958DE"/>
    <w:rsid w:val="00296240"/>
    <w:rsid w:val="002A1538"/>
    <w:rsid w:val="002A28FD"/>
    <w:rsid w:val="002A3C80"/>
    <w:rsid w:val="002A4503"/>
    <w:rsid w:val="002A47A1"/>
    <w:rsid w:val="002B0E3F"/>
    <w:rsid w:val="002B1E66"/>
    <w:rsid w:val="002B2D97"/>
    <w:rsid w:val="002B306F"/>
    <w:rsid w:val="002B4387"/>
    <w:rsid w:val="002B4941"/>
    <w:rsid w:val="002B4ABA"/>
    <w:rsid w:val="002B5D74"/>
    <w:rsid w:val="002B6D96"/>
    <w:rsid w:val="002B7ADB"/>
    <w:rsid w:val="002C0199"/>
    <w:rsid w:val="002C1D2F"/>
    <w:rsid w:val="002C4C95"/>
    <w:rsid w:val="002C5EF7"/>
    <w:rsid w:val="002C7B97"/>
    <w:rsid w:val="002D16EC"/>
    <w:rsid w:val="002D1E28"/>
    <w:rsid w:val="002D2FCA"/>
    <w:rsid w:val="002D34C2"/>
    <w:rsid w:val="002D4A67"/>
    <w:rsid w:val="002D6088"/>
    <w:rsid w:val="002D60AE"/>
    <w:rsid w:val="002D74F6"/>
    <w:rsid w:val="002D7823"/>
    <w:rsid w:val="002D7C34"/>
    <w:rsid w:val="002E142F"/>
    <w:rsid w:val="002E1CB6"/>
    <w:rsid w:val="002E29E4"/>
    <w:rsid w:val="002E394B"/>
    <w:rsid w:val="002E42FD"/>
    <w:rsid w:val="002E49D0"/>
    <w:rsid w:val="002E4A0E"/>
    <w:rsid w:val="002E4C2D"/>
    <w:rsid w:val="002E58B1"/>
    <w:rsid w:val="002E5DEA"/>
    <w:rsid w:val="002E7113"/>
    <w:rsid w:val="002E724A"/>
    <w:rsid w:val="002F0CC4"/>
    <w:rsid w:val="002F311E"/>
    <w:rsid w:val="002F34D8"/>
    <w:rsid w:val="002F3560"/>
    <w:rsid w:val="002F525A"/>
    <w:rsid w:val="002F60FE"/>
    <w:rsid w:val="002F62B3"/>
    <w:rsid w:val="002F63D1"/>
    <w:rsid w:val="002F71B8"/>
    <w:rsid w:val="0030057F"/>
    <w:rsid w:val="00300F59"/>
    <w:rsid w:val="00301EA1"/>
    <w:rsid w:val="00302300"/>
    <w:rsid w:val="003029CC"/>
    <w:rsid w:val="00302FCC"/>
    <w:rsid w:val="00304FC0"/>
    <w:rsid w:val="003062AE"/>
    <w:rsid w:val="00306CA6"/>
    <w:rsid w:val="00307E22"/>
    <w:rsid w:val="00314DF9"/>
    <w:rsid w:val="00315514"/>
    <w:rsid w:val="00315D37"/>
    <w:rsid w:val="003210F0"/>
    <w:rsid w:val="00321360"/>
    <w:rsid w:val="00324D8C"/>
    <w:rsid w:val="003253C8"/>
    <w:rsid w:val="00325D1E"/>
    <w:rsid w:val="00326B6E"/>
    <w:rsid w:val="00330599"/>
    <w:rsid w:val="00331103"/>
    <w:rsid w:val="00331A73"/>
    <w:rsid w:val="00333155"/>
    <w:rsid w:val="003334F0"/>
    <w:rsid w:val="003341EF"/>
    <w:rsid w:val="00334ACF"/>
    <w:rsid w:val="00335CB5"/>
    <w:rsid w:val="00336068"/>
    <w:rsid w:val="0033706C"/>
    <w:rsid w:val="00340B15"/>
    <w:rsid w:val="00340B81"/>
    <w:rsid w:val="003414B0"/>
    <w:rsid w:val="003418FE"/>
    <w:rsid w:val="00341A14"/>
    <w:rsid w:val="003423D8"/>
    <w:rsid w:val="003453FA"/>
    <w:rsid w:val="00345D0E"/>
    <w:rsid w:val="0034637B"/>
    <w:rsid w:val="003470E1"/>
    <w:rsid w:val="00350EB2"/>
    <w:rsid w:val="00351381"/>
    <w:rsid w:val="00352253"/>
    <w:rsid w:val="00352B9F"/>
    <w:rsid w:val="003530A6"/>
    <w:rsid w:val="0035331D"/>
    <w:rsid w:val="00353627"/>
    <w:rsid w:val="00353F83"/>
    <w:rsid w:val="00354B65"/>
    <w:rsid w:val="003550FA"/>
    <w:rsid w:val="003553C4"/>
    <w:rsid w:val="003558C6"/>
    <w:rsid w:val="00355F72"/>
    <w:rsid w:val="00356D9F"/>
    <w:rsid w:val="00357163"/>
    <w:rsid w:val="00357657"/>
    <w:rsid w:val="00360029"/>
    <w:rsid w:val="00360D34"/>
    <w:rsid w:val="00363290"/>
    <w:rsid w:val="003639A6"/>
    <w:rsid w:val="00364219"/>
    <w:rsid w:val="00364E92"/>
    <w:rsid w:val="00364FCD"/>
    <w:rsid w:val="003679AE"/>
    <w:rsid w:val="00370CAE"/>
    <w:rsid w:val="00372931"/>
    <w:rsid w:val="00380185"/>
    <w:rsid w:val="0038040F"/>
    <w:rsid w:val="00381359"/>
    <w:rsid w:val="0038281C"/>
    <w:rsid w:val="00383F12"/>
    <w:rsid w:val="00384E6C"/>
    <w:rsid w:val="003851FE"/>
    <w:rsid w:val="00385A64"/>
    <w:rsid w:val="003869DC"/>
    <w:rsid w:val="00386BC4"/>
    <w:rsid w:val="00386D1A"/>
    <w:rsid w:val="003879C4"/>
    <w:rsid w:val="00387F32"/>
    <w:rsid w:val="0039426E"/>
    <w:rsid w:val="00394718"/>
    <w:rsid w:val="00394AF0"/>
    <w:rsid w:val="00396D26"/>
    <w:rsid w:val="00397170"/>
    <w:rsid w:val="00397C35"/>
    <w:rsid w:val="003A3433"/>
    <w:rsid w:val="003A48F8"/>
    <w:rsid w:val="003A537E"/>
    <w:rsid w:val="003A5CA9"/>
    <w:rsid w:val="003A5CD3"/>
    <w:rsid w:val="003A660F"/>
    <w:rsid w:val="003A6A36"/>
    <w:rsid w:val="003A6D96"/>
    <w:rsid w:val="003A7C7E"/>
    <w:rsid w:val="003B095E"/>
    <w:rsid w:val="003B1147"/>
    <w:rsid w:val="003B4A19"/>
    <w:rsid w:val="003B6306"/>
    <w:rsid w:val="003B6953"/>
    <w:rsid w:val="003B7760"/>
    <w:rsid w:val="003B7C39"/>
    <w:rsid w:val="003B7EF9"/>
    <w:rsid w:val="003C0BF9"/>
    <w:rsid w:val="003C0EAF"/>
    <w:rsid w:val="003C1A9F"/>
    <w:rsid w:val="003C263F"/>
    <w:rsid w:val="003C3843"/>
    <w:rsid w:val="003C4AAE"/>
    <w:rsid w:val="003C5E4A"/>
    <w:rsid w:val="003C5F28"/>
    <w:rsid w:val="003C641F"/>
    <w:rsid w:val="003D11A9"/>
    <w:rsid w:val="003D288A"/>
    <w:rsid w:val="003D2A37"/>
    <w:rsid w:val="003D40A8"/>
    <w:rsid w:val="003D475D"/>
    <w:rsid w:val="003D69EF"/>
    <w:rsid w:val="003D7F8C"/>
    <w:rsid w:val="003E0219"/>
    <w:rsid w:val="003E026E"/>
    <w:rsid w:val="003E0864"/>
    <w:rsid w:val="003E0AD1"/>
    <w:rsid w:val="003E0EDB"/>
    <w:rsid w:val="003E1C8D"/>
    <w:rsid w:val="003E1DE7"/>
    <w:rsid w:val="003E2943"/>
    <w:rsid w:val="003E6475"/>
    <w:rsid w:val="003E653F"/>
    <w:rsid w:val="003F07FE"/>
    <w:rsid w:val="003F105A"/>
    <w:rsid w:val="003F1284"/>
    <w:rsid w:val="003F1290"/>
    <w:rsid w:val="003F1CAE"/>
    <w:rsid w:val="003F283D"/>
    <w:rsid w:val="003F2B07"/>
    <w:rsid w:val="003F4367"/>
    <w:rsid w:val="003F49FA"/>
    <w:rsid w:val="003F6199"/>
    <w:rsid w:val="003F6E01"/>
    <w:rsid w:val="003F720A"/>
    <w:rsid w:val="00400A16"/>
    <w:rsid w:val="004018D6"/>
    <w:rsid w:val="00401C84"/>
    <w:rsid w:val="004033BF"/>
    <w:rsid w:val="00405405"/>
    <w:rsid w:val="00407891"/>
    <w:rsid w:val="00410D96"/>
    <w:rsid w:val="00411D7E"/>
    <w:rsid w:val="00412DAD"/>
    <w:rsid w:val="0041326E"/>
    <w:rsid w:val="00420038"/>
    <w:rsid w:val="00420092"/>
    <w:rsid w:val="0042063A"/>
    <w:rsid w:val="00421450"/>
    <w:rsid w:val="0042227E"/>
    <w:rsid w:val="00423E30"/>
    <w:rsid w:val="00424368"/>
    <w:rsid w:val="00425319"/>
    <w:rsid w:val="004254C9"/>
    <w:rsid w:val="00427E55"/>
    <w:rsid w:val="004302AC"/>
    <w:rsid w:val="004303AE"/>
    <w:rsid w:val="00432486"/>
    <w:rsid w:val="00433DCC"/>
    <w:rsid w:val="00436433"/>
    <w:rsid w:val="00437BB5"/>
    <w:rsid w:val="0044017E"/>
    <w:rsid w:val="004434E3"/>
    <w:rsid w:val="004447C8"/>
    <w:rsid w:val="00446434"/>
    <w:rsid w:val="00446CAF"/>
    <w:rsid w:val="00450732"/>
    <w:rsid w:val="00451403"/>
    <w:rsid w:val="004517BA"/>
    <w:rsid w:val="00452D36"/>
    <w:rsid w:val="00452F3F"/>
    <w:rsid w:val="00453BAE"/>
    <w:rsid w:val="00453D59"/>
    <w:rsid w:val="00453F48"/>
    <w:rsid w:val="00454493"/>
    <w:rsid w:val="004572D3"/>
    <w:rsid w:val="0046028B"/>
    <w:rsid w:val="004619BB"/>
    <w:rsid w:val="004620F5"/>
    <w:rsid w:val="00463476"/>
    <w:rsid w:val="0046366B"/>
    <w:rsid w:val="00464985"/>
    <w:rsid w:val="00465D3F"/>
    <w:rsid w:val="0046621E"/>
    <w:rsid w:val="00470BED"/>
    <w:rsid w:val="00471B5E"/>
    <w:rsid w:val="00472D4D"/>
    <w:rsid w:val="0047362C"/>
    <w:rsid w:val="0047624E"/>
    <w:rsid w:val="00477621"/>
    <w:rsid w:val="0048204E"/>
    <w:rsid w:val="004821BB"/>
    <w:rsid w:val="00482AED"/>
    <w:rsid w:val="00483516"/>
    <w:rsid w:val="00484A56"/>
    <w:rsid w:val="00484C1A"/>
    <w:rsid w:val="004859B1"/>
    <w:rsid w:val="00486597"/>
    <w:rsid w:val="00487DCF"/>
    <w:rsid w:val="004913CF"/>
    <w:rsid w:val="004919DD"/>
    <w:rsid w:val="00491DE1"/>
    <w:rsid w:val="004922BF"/>
    <w:rsid w:val="004933D2"/>
    <w:rsid w:val="00494F7C"/>
    <w:rsid w:val="00497F3C"/>
    <w:rsid w:val="004A048C"/>
    <w:rsid w:val="004A0E8B"/>
    <w:rsid w:val="004A18B3"/>
    <w:rsid w:val="004A2D4F"/>
    <w:rsid w:val="004A2DF5"/>
    <w:rsid w:val="004A3697"/>
    <w:rsid w:val="004A4EF3"/>
    <w:rsid w:val="004A67F5"/>
    <w:rsid w:val="004B31E9"/>
    <w:rsid w:val="004B3C00"/>
    <w:rsid w:val="004B4185"/>
    <w:rsid w:val="004B5E85"/>
    <w:rsid w:val="004B626F"/>
    <w:rsid w:val="004B680D"/>
    <w:rsid w:val="004B6FBF"/>
    <w:rsid w:val="004B7FDE"/>
    <w:rsid w:val="004C0DA3"/>
    <w:rsid w:val="004C19AD"/>
    <w:rsid w:val="004C5C29"/>
    <w:rsid w:val="004C64AD"/>
    <w:rsid w:val="004D026D"/>
    <w:rsid w:val="004D1006"/>
    <w:rsid w:val="004D45DF"/>
    <w:rsid w:val="004D59ED"/>
    <w:rsid w:val="004E0C0B"/>
    <w:rsid w:val="004E0CA9"/>
    <w:rsid w:val="004E102D"/>
    <w:rsid w:val="004E2125"/>
    <w:rsid w:val="004E48AA"/>
    <w:rsid w:val="004E4ED5"/>
    <w:rsid w:val="004E5886"/>
    <w:rsid w:val="004E5F69"/>
    <w:rsid w:val="004F24FB"/>
    <w:rsid w:val="004F29BC"/>
    <w:rsid w:val="004F2D11"/>
    <w:rsid w:val="004F3688"/>
    <w:rsid w:val="004F3AAE"/>
    <w:rsid w:val="004F4415"/>
    <w:rsid w:val="004F48A0"/>
    <w:rsid w:val="004F4BDE"/>
    <w:rsid w:val="004F57C6"/>
    <w:rsid w:val="004F6163"/>
    <w:rsid w:val="004F667B"/>
    <w:rsid w:val="004F67A2"/>
    <w:rsid w:val="004F6F09"/>
    <w:rsid w:val="004F72B7"/>
    <w:rsid w:val="004F7CAC"/>
    <w:rsid w:val="00502567"/>
    <w:rsid w:val="00502C4E"/>
    <w:rsid w:val="005036E9"/>
    <w:rsid w:val="00504804"/>
    <w:rsid w:val="00504AC4"/>
    <w:rsid w:val="00504F68"/>
    <w:rsid w:val="005073C8"/>
    <w:rsid w:val="00507713"/>
    <w:rsid w:val="00507886"/>
    <w:rsid w:val="00507E95"/>
    <w:rsid w:val="0051045D"/>
    <w:rsid w:val="00511320"/>
    <w:rsid w:val="00512AEF"/>
    <w:rsid w:val="00512BBF"/>
    <w:rsid w:val="005143F9"/>
    <w:rsid w:val="005147C5"/>
    <w:rsid w:val="00514A27"/>
    <w:rsid w:val="00514D68"/>
    <w:rsid w:val="005151AE"/>
    <w:rsid w:val="00515A33"/>
    <w:rsid w:val="00515C8C"/>
    <w:rsid w:val="00516566"/>
    <w:rsid w:val="005218C3"/>
    <w:rsid w:val="0052426B"/>
    <w:rsid w:val="00531C11"/>
    <w:rsid w:val="00535974"/>
    <w:rsid w:val="00535C74"/>
    <w:rsid w:val="005361AB"/>
    <w:rsid w:val="00536489"/>
    <w:rsid w:val="00540B2C"/>
    <w:rsid w:val="0054168C"/>
    <w:rsid w:val="0054192E"/>
    <w:rsid w:val="00541D43"/>
    <w:rsid w:val="00542068"/>
    <w:rsid w:val="00543AB0"/>
    <w:rsid w:val="00543AF9"/>
    <w:rsid w:val="00544F74"/>
    <w:rsid w:val="00545067"/>
    <w:rsid w:val="005457AE"/>
    <w:rsid w:val="00545EA7"/>
    <w:rsid w:val="00545FCD"/>
    <w:rsid w:val="005520BD"/>
    <w:rsid w:val="00553087"/>
    <w:rsid w:val="00553511"/>
    <w:rsid w:val="0055512D"/>
    <w:rsid w:val="0055532F"/>
    <w:rsid w:val="005558A9"/>
    <w:rsid w:val="00556815"/>
    <w:rsid w:val="00556C9D"/>
    <w:rsid w:val="00557965"/>
    <w:rsid w:val="00560251"/>
    <w:rsid w:val="00561D24"/>
    <w:rsid w:val="0056303C"/>
    <w:rsid w:val="00563E18"/>
    <w:rsid w:val="00566601"/>
    <w:rsid w:val="00570B3F"/>
    <w:rsid w:val="00572E12"/>
    <w:rsid w:val="00573040"/>
    <w:rsid w:val="0057368B"/>
    <w:rsid w:val="00576ADE"/>
    <w:rsid w:val="00576FA3"/>
    <w:rsid w:val="00577934"/>
    <w:rsid w:val="00577CFD"/>
    <w:rsid w:val="00577DEF"/>
    <w:rsid w:val="00583EC7"/>
    <w:rsid w:val="0058545E"/>
    <w:rsid w:val="00585E6A"/>
    <w:rsid w:val="00586AC5"/>
    <w:rsid w:val="00586F65"/>
    <w:rsid w:val="00587023"/>
    <w:rsid w:val="0058733C"/>
    <w:rsid w:val="00587BB8"/>
    <w:rsid w:val="005900DF"/>
    <w:rsid w:val="00591A4E"/>
    <w:rsid w:val="005924A7"/>
    <w:rsid w:val="00593FBD"/>
    <w:rsid w:val="005948F6"/>
    <w:rsid w:val="005958AD"/>
    <w:rsid w:val="00595D51"/>
    <w:rsid w:val="00596591"/>
    <w:rsid w:val="005975C8"/>
    <w:rsid w:val="00597621"/>
    <w:rsid w:val="00597972"/>
    <w:rsid w:val="00597FAF"/>
    <w:rsid w:val="005A15B9"/>
    <w:rsid w:val="005A6ED6"/>
    <w:rsid w:val="005B0149"/>
    <w:rsid w:val="005B120E"/>
    <w:rsid w:val="005B194B"/>
    <w:rsid w:val="005B2578"/>
    <w:rsid w:val="005B7E0D"/>
    <w:rsid w:val="005C181B"/>
    <w:rsid w:val="005C249B"/>
    <w:rsid w:val="005C29B0"/>
    <w:rsid w:val="005C3BD2"/>
    <w:rsid w:val="005C5197"/>
    <w:rsid w:val="005C5891"/>
    <w:rsid w:val="005C6285"/>
    <w:rsid w:val="005C6A80"/>
    <w:rsid w:val="005C7101"/>
    <w:rsid w:val="005C7B36"/>
    <w:rsid w:val="005C7BCC"/>
    <w:rsid w:val="005D008B"/>
    <w:rsid w:val="005D20F7"/>
    <w:rsid w:val="005D24AD"/>
    <w:rsid w:val="005D34BC"/>
    <w:rsid w:val="005D384E"/>
    <w:rsid w:val="005D3CE4"/>
    <w:rsid w:val="005D4F48"/>
    <w:rsid w:val="005D5BA1"/>
    <w:rsid w:val="005D5DF3"/>
    <w:rsid w:val="005D622E"/>
    <w:rsid w:val="005D6D34"/>
    <w:rsid w:val="005E0046"/>
    <w:rsid w:val="005E0DB6"/>
    <w:rsid w:val="005E1C17"/>
    <w:rsid w:val="005E3C8B"/>
    <w:rsid w:val="005E499E"/>
    <w:rsid w:val="005E49B2"/>
    <w:rsid w:val="005E70B0"/>
    <w:rsid w:val="005E7817"/>
    <w:rsid w:val="005F0AE8"/>
    <w:rsid w:val="005F11B2"/>
    <w:rsid w:val="005F16AF"/>
    <w:rsid w:val="005F2A6B"/>
    <w:rsid w:val="005F39D7"/>
    <w:rsid w:val="005F40C1"/>
    <w:rsid w:val="005F47D0"/>
    <w:rsid w:val="005F4F98"/>
    <w:rsid w:val="005F5DD4"/>
    <w:rsid w:val="005F6011"/>
    <w:rsid w:val="005F7ED7"/>
    <w:rsid w:val="006024D3"/>
    <w:rsid w:val="006032BF"/>
    <w:rsid w:val="00604104"/>
    <w:rsid w:val="00604FEA"/>
    <w:rsid w:val="00605FDD"/>
    <w:rsid w:val="00606B28"/>
    <w:rsid w:val="00606EF9"/>
    <w:rsid w:val="0060706A"/>
    <w:rsid w:val="006070C4"/>
    <w:rsid w:val="0060744F"/>
    <w:rsid w:val="00607758"/>
    <w:rsid w:val="00610D5E"/>
    <w:rsid w:val="006110E8"/>
    <w:rsid w:val="00613467"/>
    <w:rsid w:val="00614B8C"/>
    <w:rsid w:val="00616E2A"/>
    <w:rsid w:val="0061777F"/>
    <w:rsid w:val="0062026D"/>
    <w:rsid w:val="00621C1D"/>
    <w:rsid w:val="00621C7B"/>
    <w:rsid w:val="00622C13"/>
    <w:rsid w:val="00622C8B"/>
    <w:rsid w:val="006241D2"/>
    <w:rsid w:val="00624315"/>
    <w:rsid w:val="0062545B"/>
    <w:rsid w:val="0062552A"/>
    <w:rsid w:val="006266CC"/>
    <w:rsid w:val="00627AF8"/>
    <w:rsid w:val="00630A81"/>
    <w:rsid w:val="00630C21"/>
    <w:rsid w:val="00630CE6"/>
    <w:rsid w:val="00631026"/>
    <w:rsid w:val="006332BE"/>
    <w:rsid w:val="00634486"/>
    <w:rsid w:val="0063590D"/>
    <w:rsid w:val="00636D67"/>
    <w:rsid w:val="00636F1A"/>
    <w:rsid w:val="00636FA7"/>
    <w:rsid w:val="006408C3"/>
    <w:rsid w:val="00640F4B"/>
    <w:rsid w:val="006435C0"/>
    <w:rsid w:val="0064620D"/>
    <w:rsid w:val="0064666E"/>
    <w:rsid w:val="006506FF"/>
    <w:rsid w:val="0065175D"/>
    <w:rsid w:val="00652DE5"/>
    <w:rsid w:val="006536BE"/>
    <w:rsid w:val="0065399F"/>
    <w:rsid w:val="006542AB"/>
    <w:rsid w:val="00657111"/>
    <w:rsid w:val="006573E2"/>
    <w:rsid w:val="00657754"/>
    <w:rsid w:val="00660031"/>
    <w:rsid w:val="00660C7F"/>
    <w:rsid w:val="00661286"/>
    <w:rsid w:val="006615CB"/>
    <w:rsid w:val="006615F3"/>
    <w:rsid w:val="0066196E"/>
    <w:rsid w:val="00662DFF"/>
    <w:rsid w:val="00664356"/>
    <w:rsid w:val="00664A0F"/>
    <w:rsid w:val="00664E45"/>
    <w:rsid w:val="006662F6"/>
    <w:rsid w:val="00666F87"/>
    <w:rsid w:val="0067137B"/>
    <w:rsid w:val="006714F0"/>
    <w:rsid w:val="006720A4"/>
    <w:rsid w:val="00672120"/>
    <w:rsid w:val="00672446"/>
    <w:rsid w:val="00672524"/>
    <w:rsid w:val="00672686"/>
    <w:rsid w:val="00672E3A"/>
    <w:rsid w:val="00674119"/>
    <w:rsid w:val="0067495D"/>
    <w:rsid w:val="00676183"/>
    <w:rsid w:val="00676F8D"/>
    <w:rsid w:val="00681C05"/>
    <w:rsid w:val="00683D4F"/>
    <w:rsid w:val="00685023"/>
    <w:rsid w:val="00685D8D"/>
    <w:rsid w:val="006861A5"/>
    <w:rsid w:val="00686552"/>
    <w:rsid w:val="00691913"/>
    <w:rsid w:val="00691DDC"/>
    <w:rsid w:val="00692686"/>
    <w:rsid w:val="0069271A"/>
    <w:rsid w:val="00692DA1"/>
    <w:rsid w:val="00692FB3"/>
    <w:rsid w:val="00693EBA"/>
    <w:rsid w:val="00694EBE"/>
    <w:rsid w:val="006A138B"/>
    <w:rsid w:val="006A2023"/>
    <w:rsid w:val="006A23CA"/>
    <w:rsid w:val="006A261A"/>
    <w:rsid w:val="006A3D64"/>
    <w:rsid w:val="006A48A8"/>
    <w:rsid w:val="006B11EE"/>
    <w:rsid w:val="006B140A"/>
    <w:rsid w:val="006B4D9A"/>
    <w:rsid w:val="006B570D"/>
    <w:rsid w:val="006B5887"/>
    <w:rsid w:val="006B5B26"/>
    <w:rsid w:val="006B6036"/>
    <w:rsid w:val="006B7AEF"/>
    <w:rsid w:val="006C15D4"/>
    <w:rsid w:val="006C2A43"/>
    <w:rsid w:val="006C3646"/>
    <w:rsid w:val="006C4906"/>
    <w:rsid w:val="006C4DE2"/>
    <w:rsid w:val="006C66E8"/>
    <w:rsid w:val="006C6B2A"/>
    <w:rsid w:val="006C7669"/>
    <w:rsid w:val="006D20F8"/>
    <w:rsid w:val="006D2186"/>
    <w:rsid w:val="006D3271"/>
    <w:rsid w:val="006D3568"/>
    <w:rsid w:val="006D460A"/>
    <w:rsid w:val="006D590B"/>
    <w:rsid w:val="006D5E6A"/>
    <w:rsid w:val="006D6F59"/>
    <w:rsid w:val="006D6FBB"/>
    <w:rsid w:val="006E07DC"/>
    <w:rsid w:val="006E0A64"/>
    <w:rsid w:val="006E14FC"/>
    <w:rsid w:val="006E17DA"/>
    <w:rsid w:val="006E1C50"/>
    <w:rsid w:val="006E2381"/>
    <w:rsid w:val="006E28C6"/>
    <w:rsid w:val="006E31B8"/>
    <w:rsid w:val="006E3346"/>
    <w:rsid w:val="006E6DA3"/>
    <w:rsid w:val="006E7302"/>
    <w:rsid w:val="006E74D1"/>
    <w:rsid w:val="006F161E"/>
    <w:rsid w:val="006F21CC"/>
    <w:rsid w:val="0070120E"/>
    <w:rsid w:val="00701438"/>
    <w:rsid w:val="007062DE"/>
    <w:rsid w:val="00707082"/>
    <w:rsid w:val="00707562"/>
    <w:rsid w:val="00711809"/>
    <w:rsid w:val="00712308"/>
    <w:rsid w:val="00712C73"/>
    <w:rsid w:val="00713764"/>
    <w:rsid w:val="00716DBF"/>
    <w:rsid w:val="007172DB"/>
    <w:rsid w:val="00717467"/>
    <w:rsid w:val="00721321"/>
    <w:rsid w:val="007217B6"/>
    <w:rsid w:val="00722D28"/>
    <w:rsid w:val="007234B4"/>
    <w:rsid w:val="00723AB1"/>
    <w:rsid w:val="00723E1E"/>
    <w:rsid w:val="007250E6"/>
    <w:rsid w:val="00731908"/>
    <w:rsid w:val="00732EF7"/>
    <w:rsid w:val="00736473"/>
    <w:rsid w:val="00736607"/>
    <w:rsid w:val="00737B66"/>
    <w:rsid w:val="0074000C"/>
    <w:rsid w:val="00740740"/>
    <w:rsid w:val="007407A1"/>
    <w:rsid w:val="00741C0B"/>
    <w:rsid w:val="00743D91"/>
    <w:rsid w:val="00747138"/>
    <w:rsid w:val="00747333"/>
    <w:rsid w:val="007476C7"/>
    <w:rsid w:val="007479B3"/>
    <w:rsid w:val="00747B4F"/>
    <w:rsid w:val="00750480"/>
    <w:rsid w:val="007509A6"/>
    <w:rsid w:val="00750B5A"/>
    <w:rsid w:val="00750DE5"/>
    <w:rsid w:val="00751984"/>
    <w:rsid w:val="00753016"/>
    <w:rsid w:val="00753392"/>
    <w:rsid w:val="007534CB"/>
    <w:rsid w:val="0075552D"/>
    <w:rsid w:val="007606F8"/>
    <w:rsid w:val="00761CD8"/>
    <w:rsid w:val="007633B0"/>
    <w:rsid w:val="0076391D"/>
    <w:rsid w:val="00764679"/>
    <w:rsid w:val="007665AA"/>
    <w:rsid w:val="0076720D"/>
    <w:rsid w:val="00770626"/>
    <w:rsid w:val="00770BA3"/>
    <w:rsid w:val="00770F2B"/>
    <w:rsid w:val="00771028"/>
    <w:rsid w:val="007715D2"/>
    <w:rsid w:val="00771D13"/>
    <w:rsid w:val="00772501"/>
    <w:rsid w:val="0077279A"/>
    <w:rsid w:val="00772B50"/>
    <w:rsid w:val="00772C70"/>
    <w:rsid w:val="00775D3D"/>
    <w:rsid w:val="00775DC7"/>
    <w:rsid w:val="00777A2B"/>
    <w:rsid w:val="0078212E"/>
    <w:rsid w:val="0078224E"/>
    <w:rsid w:val="00782C54"/>
    <w:rsid w:val="00783EC9"/>
    <w:rsid w:val="007847FA"/>
    <w:rsid w:val="007849E9"/>
    <w:rsid w:val="00784C52"/>
    <w:rsid w:val="0078618D"/>
    <w:rsid w:val="007862FE"/>
    <w:rsid w:val="00786637"/>
    <w:rsid w:val="00787876"/>
    <w:rsid w:val="00787EAB"/>
    <w:rsid w:val="00790910"/>
    <w:rsid w:val="00790F79"/>
    <w:rsid w:val="007917BA"/>
    <w:rsid w:val="00791DE1"/>
    <w:rsid w:val="00791F89"/>
    <w:rsid w:val="00792002"/>
    <w:rsid w:val="00792299"/>
    <w:rsid w:val="007922F4"/>
    <w:rsid w:val="00793290"/>
    <w:rsid w:val="00793996"/>
    <w:rsid w:val="00794BE8"/>
    <w:rsid w:val="0079568A"/>
    <w:rsid w:val="00795967"/>
    <w:rsid w:val="00795D0D"/>
    <w:rsid w:val="0079615B"/>
    <w:rsid w:val="0079693E"/>
    <w:rsid w:val="007969D3"/>
    <w:rsid w:val="00796A81"/>
    <w:rsid w:val="007978C5"/>
    <w:rsid w:val="007A3543"/>
    <w:rsid w:val="007A3A8C"/>
    <w:rsid w:val="007A63E1"/>
    <w:rsid w:val="007A678B"/>
    <w:rsid w:val="007A6E61"/>
    <w:rsid w:val="007A7A83"/>
    <w:rsid w:val="007B0A86"/>
    <w:rsid w:val="007B0E0C"/>
    <w:rsid w:val="007B21EC"/>
    <w:rsid w:val="007B3651"/>
    <w:rsid w:val="007B393B"/>
    <w:rsid w:val="007B716D"/>
    <w:rsid w:val="007C1031"/>
    <w:rsid w:val="007C1CA0"/>
    <w:rsid w:val="007C26E5"/>
    <w:rsid w:val="007C6BD1"/>
    <w:rsid w:val="007C720A"/>
    <w:rsid w:val="007D0195"/>
    <w:rsid w:val="007D1092"/>
    <w:rsid w:val="007D210F"/>
    <w:rsid w:val="007D2621"/>
    <w:rsid w:val="007D75C5"/>
    <w:rsid w:val="007E03CC"/>
    <w:rsid w:val="007E3021"/>
    <w:rsid w:val="007E3562"/>
    <w:rsid w:val="007E6F91"/>
    <w:rsid w:val="007E79E9"/>
    <w:rsid w:val="007E7CA5"/>
    <w:rsid w:val="007F00AE"/>
    <w:rsid w:val="007F08CA"/>
    <w:rsid w:val="007F09E1"/>
    <w:rsid w:val="007F0A1C"/>
    <w:rsid w:val="007F0F8F"/>
    <w:rsid w:val="007F1952"/>
    <w:rsid w:val="007F1A8C"/>
    <w:rsid w:val="007F2904"/>
    <w:rsid w:val="007F29EF"/>
    <w:rsid w:val="007F3B6E"/>
    <w:rsid w:val="007F3FEA"/>
    <w:rsid w:val="007F5419"/>
    <w:rsid w:val="007F658F"/>
    <w:rsid w:val="007F7AFC"/>
    <w:rsid w:val="008001DD"/>
    <w:rsid w:val="00800CAE"/>
    <w:rsid w:val="00800D0C"/>
    <w:rsid w:val="00800DA1"/>
    <w:rsid w:val="00800EC2"/>
    <w:rsid w:val="0080172B"/>
    <w:rsid w:val="00802C43"/>
    <w:rsid w:val="008058E8"/>
    <w:rsid w:val="00806434"/>
    <w:rsid w:val="00806CC3"/>
    <w:rsid w:val="008072C7"/>
    <w:rsid w:val="00807962"/>
    <w:rsid w:val="00810785"/>
    <w:rsid w:val="00810FC2"/>
    <w:rsid w:val="00811076"/>
    <w:rsid w:val="00811415"/>
    <w:rsid w:val="00813288"/>
    <w:rsid w:val="008151C1"/>
    <w:rsid w:val="008157C2"/>
    <w:rsid w:val="00820205"/>
    <w:rsid w:val="00820DAF"/>
    <w:rsid w:val="00821A29"/>
    <w:rsid w:val="008230BB"/>
    <w:rsid w:val="00823233"/>
    <w:rsid w:val="00824426"/>
    <w:rsid w:val="00825086"/>
    <w:rsid w:val="00825B8A"/>
    <w:rsid w:val="008267C7"/>
    <w:rsid w:val="00827683"/>
    <w:rsid w:val="00830E52"/>
    <w:rsid w:val="008313FE"/>
    <w:rsid w:val="008317DE"/>
    <w:rsid w:val="008324E3"/>
    <w:rsid w:val="00832507"/>
    <w:rsid w:val="008329F7"/>
    <w:rsid w:val="00834DD9"/>
    <w:rsid w:val="00836E8D"/>
    <w:rsid w:val="0084061A"/>
    <w:rsid w:val="0084264E"/>
    <w:rsid w:val="00843130"/>
    <w:rsid w:val="00843609"/>
    <w:rsid w:val="008441AB"/>
    <w:rsid w:val="00845946"/>
    <w:rsid w:val="008476A0"/>
    <w:rsid w:val="00847E29"/>
    <w:rsid w:val="00851E93"/>
    <w:rsid w:val="0085267C"/>
    <w:rsid w:val="0085284E"/>
    <w:rsid w:val="00852C46"/>
    <w:rsid w:val="00852F38"/>
    <w:rsid w:val="0085407A"/>
    <w:rsid w:val="00854C36"/>
    <w:rsid w:val="00855BF1"/>
    <w:rsid w:val="00856C34"/>
    <w:rsid w:val="00857E9F"/>
    <w:rsid w:val="00860E8D"/>
    <w:rsid w:val="008618AC"/>
    <w:rsid w:val="008629E4"/>
    <w:rsid w:val="00862DA8"/>
    <w:rsid w:val="00862ECC"/>
    <w:rsid w:val="00864BCC"/>
    <w:rsid w:val="00865DC1"/>
    <w:rsid w:val="00866096"/>
    <w:rsid w:val="00866202"/>
    <w:rsid w:val="008662AC"/>
    <w:rsid w:val="00867BDF"/>
    <w:rsid w:val="00870089"/>
    <w:rsid w:val="0087021C"/>
    <w:rsid w:val="00872B17"/>
    <w:rsid w:val="00872CFB"/>
    <w:rsid w:val="00873489"/>
    <w:rsid w:val="00874285"/>
    <w:rsid w:val="00874658"/>
    <w:rsid w:val="008750F9"/>
    <w:rsid w:val="008752A3"/>
    <w:rsid w:val="00875341"/>
    <w:rsid w:val="0087536F"/>
    <w:rsid w:val="0087593E"/>
    <w:rsid w:val="00875BDD"/>
    <w:rsid w:val="0087622E"/>
    <w:rsid w:val="008769DE"/>
    <w:rsid w:val="008800AF"/>
    <w:rsid w:val="00880A40"/>
    <w:rsid w:val="00881863"/>
    <w:rsid w:val="008847A7"/>
    <w:rsid w:val="0088614E"/>
    <w:rsid w:val="008869F4"/>
    <w:rsid w:val="0088701C"/>
    <w:rsid w:val="008878BA"/>
    <w:rsid w:val="00887CE2"/>
    <w:rsid w:val="0089024D"/>
    <w:rsid w:val="00891AD5"/>
    <w:rsid w:val="0089384B"/>
    <w:rsid w:val="00893EEF"/>
    <w:rsid w:val="00894380"/>
    <w:rsid w:val="00895762"/>
    <w:rsid w:val="00896067"/>
    <w:rsid w:val="00897559"/>
    <w:rsid w:val="008A1ADB"/>
    <w:rsid w:val="008A2204"/>
    <w:rsid w:val="008A3C58"/>
    <w:rsid w:val="008A4880"/>
    <w:rsid w:val="008A4A7F"/>
    <w:rsid w:val="008A52B1"/>
    <w:rsid w:val="008A5BE9"/>
    <w:rsid w:val="008A6711"/>
    <w:rsid w:val="008A7523"/>
    <w:rsid w:val="008B5B32"/>
    <w:rsid w:val="008B68E5"/>
    <w:rsid w:val="008B73A9"/>
    <w:rsid w:val="008C0318"/>
    <w:rsid w:val="008C0F1C"/>
    <w:rsid w:val="008C3306"/>
    <w:rsid w:val="008C528E"/>
    <w:rsid w:val="008C5A42"/>
    <w:rsid w:val="008C6FEC"/>
    <w:rsid w:val="008C761D"/>
    <w:rsid w:val="008D189E"/>
    <w:rsid w:val="008D1D3D"/>
    <w:rsid w:val="008D1FAE"/>
    <w:rsid w:val="008D4094"/>
    <w:rsid w:val="008D4191"/>
    <w:rsid w:val="008D45F7"/>
    <w:rsid w:val="008D4A8F"/>
    <w:rsid w:val="008D51F4"/>
    <w:rsid w:val="008D6FF1"/>
    <w:rsid w:val="008D708C"/>
    <w:rsid w:val="008D78FF"/>
    <w:rsid w:val="008E0970"/>
    <w:rsid w:val="008E1363"/>
    <w:rsid w:val="008E143C"/>
    <w:rsid w:val="008E1A43"/>
    <w:rsid w:val="008E356B"/>
    <w:rsid w:val="008E4A8D"/>
    <w:rsid w:val="008E5B97"/>
    <w:rsid w:val="008E6C96"/>
    <w:rsid w:val="008E7B29"/>
    <w:rsid w:val="008F0B29"/>
    <w:rsid w:val="008F0D88"/>
    <w:rsid w:val="008F3A12"/>
    <w:rsid w:val="008F3D5E"/>
    <w:rsid w:val="008F629B"/>
    <w:rsid w:val="008F73E0"/>
    <w:rsid w:val="008F79A0"/>
    <w:rsid w:val="008F7B2A"/>
    <w:rsid w:val="00901CD1"/>
    <w:rsid w:val="009022DA"/>
    <w:rsid w:val="00912C3B"/>
    <w:rsid w:val="00912E67"/>
    <w:rsid w:val="00914DA7"/>
    <w:rsid w:val="00915161"/>
    <w:rsid w:val="00915F63"/>
    <w:rsid w:val="009177E9"/>
    <w:rsid w:val="00917CCB"/>
    <w:rsid w:val="009226B8"/>
    <w:rsid w:val="00922B9F"/>
    <w:rsid w:val="009230CD"/>
    <w:rsid w:val="0092606A"/>
    <w:rsid w:val="00926775"/>
    <w:rsid w:val="0092693C"/>
    <w:rsid w:val="00927FA5"/>
    <w:rsid w:val="00933027"/>
    <w:rsid w:val="009331CF"/>
    <w:rsid w:val="009334AC"/>
    <w:rsid w:val="00936A33"/>
    <w:rsid w:val="0093751E"/>
    <w:rsid w:val="0093782C"/>
    <w:rsid w:val="00940DA5"/>
    <w:rsid w:val="00941EFD"/>
    <w:rsid w:val="00942010"/>
    <w:rsid w:val="0094320A"/>
    <w:rsid w:val="0094380B"/>
    <w:rsid w:val="0094398D"/>
    <w:rsid w:val="00944541"/>
    <w:rsid w:val="0094768A"/>
    <w:rsid w:val="009501C4"/>
    <w:rsid w:val="0095170D"/>
    <w:rsid w:val="009524F5"/>
    <w:rsid w:val="00952BE3"/>
    <w:rsid w:val="0095307F"/>
    <w:rsid w:val="00955526"/>
    <w:rsid w:val="00955B71"/>
    <w:rsid w:val="00957093"/>
    <w:rsid w:val="00957AEF"/>
    <w:rsid w:val="00957B98"/>
    <w:rsid w:val="00957E35"/>
    <w:rsid w:val="00960032"/>
    <w:rsid w:val="00960435"/>
    <w:rsid w:val="00961C48"/>
    <w:rsid w:val="00963724"/>
    <w:rsid w:val="00965326"/>
    <w:rsid w:val="00965902"/>
    <w:rsid w:val="00965C8D"/>
    <w:rsid w:val="009662CE"/>
    <w:rsid w:val="00966524"/>
    <w:rsid w:val="00966556"/>
    <w:rsid w:val="00966C09"/>
    <w:rsid w:val="00967706"/>
    <w:rsid w:val="0097035C"/>
    <w:rsid w:val="009705A4"/>
    <w:rsid w:val="0097446A"/>
    <w:rsid w:val="009744FD"/>
    <w:rsid w:val="009747CF"/>
    <w:rsid w:val="00974A51"/>
    <w:rsid w:val="00975C5D"/>
    <w:rsid w:val="00980F9D"/>
    <w:rsid w:val="009813A5"/>
    <w:rsid w:val="00981EB9"/>
    <w:rsid w:val="00982EF1"/>
    <w:rsid w:val="00984441"/>
    <w:rsid w:val="009844CF"/>
    <w:rsid w:val="00984574"/>
    <w:rsid w:val="0098480E"/>
    <w:rsid w:val="00984DD8"/>
    <w:rsid w:val="00985CBF"/>
    <w:rsid w:val="00986CDB"/>
    <w:rsid w:val="00990289"/>
    <w:rsid w:val="0099085F"/>
    <w:rsid w:val="00991788"/>
    <w:rsid w:val="00991A73"/>
    <w:rsid w:val="009925DB"/>
    <w:rsid w:val="00993CC9"/>
    <w:rsid w:val="00994FE4"/>
    <w:rsid w:val="00995B73"/>
    <w:rsid w:val="00997D69"/>
    <w:rsid w:val="009A01FF"/>
    <w:rsid w:val="009A078B"/>
    <w:rsid w:val="009A07B6"/>
    <w:rsid w:val="009A098E"/>
    <w:rsid w:val="009A10A2"/>
    <w:rsid w:val="009A1C06"/>
    <w:rsid w:val="009A26D3"/>
    <w:rsid w:val="009A2B5A"/>
    <w:rsid w:val="009A3A74"/>
    <w:rsid w:val="009A4DD4"/>
    <w:rsid w:val="009A6F74"/>
    <w:rsid w:val="009B04A8"/>
    <w:rsid w:val="009B2216"/>
    <w:rsid w:val="009B34AB"/>
    <w:rsid w:val="009B376D"/>
    <w:rsid w:val="009B37B5"/>
    <w:rsid w:val="009B4D5F"/>
    <w:rsid w:val="009B5ED9"/>
    <w:rsid w:val="009B5EEB"/>
    <w:rsid w:val="009B7721"/>
    <w:rsid w:val="009C3995"/>
    <w:rsid w:val="009C405C"/>
    <w:rsid w:val="009C4846"/>
    <w:rsid w:val="009C6B28"/>
    <w:rsid w:val="009C743C"/>
    <w:rsid w:val="009D0E64"/>
    <w:rsid w:val="009D1558"/>
    <w:rsid w:val="009D1BAF"/>
    <w:rsid w:val="009D1DA0"/>
    <w:rsid w:val="009D25CB"/>
    <w:rsid w:val="009D3628"/>
    <w:rsid w:val="009D3A2A"/>
    <w:rsid w:val="009D4C2A"/>
    <w:rsid w:val="009D6914"/>
    <w:rsid w:val="009E18DA"/>
    <w:rsid w:val="009E1A6F"/>
    <w:rsid w:val="009E1C22"/>
    <w:rsid w:val="009E2481"/>
    <w:rsid w:val="009E322B"/>
    <w:rsid w:val="009E35FA"/>
    <w:rsid w:val="009E42FB"/>
    <w:rsid w:val="009E68EE"/>
    <w:rsid w:val="009E6CCF"/>
    <w:rsid w:val="009F071C"/>
    <w:rsid w:val="009F1196"/>
    <w:rsid w:val="009F3631"/>
    <w:rsid w:val="009F3790"/>
    <w:rsid w:val="009F559C"/>
    <w:rsid w:val="009F6234"/>
    <w:rsid w:val="009F6965"/>
    <w:rsid w:val="009F73E2"/>
    <w:rsid w:val="009F7CEB"/>
    <w:rsid w:val="009F7E43"/>
    <w:rsid w:val="00A00C37"/>
    <w:rsid w:val="00A018C8"/>
    <w:rsid w:val="00A02EF3"/>
    <w:rsid w:val="00A02F76"/>
    <w:rsid w:val="00A040FD"/>
    <w:rsid w:val="00A0426A"/>
    <w:rsid w:val="00A04C0D"/>
    <w:rsid w:val="00A05CE6"/>
    <w:rsid w:val="00A0678B"/>
    <w:rsid w:val="00A0688B"/>
    <w:rsid w:val="00A06ABF"/>
    <w:rsid w:val="00A06FCE"/>
    <w:rsid w:val="00A07A7F"/>
    <w:rsid w:val="00A1054B"/>
    <w:rsid w:val="00A10A03"/>
    <w:rsid w:val="00A12983"/>
    <w:rsid w:val="00A12D9C"/>
    <w:rsid w:val="00A13393"/>
    <w:rsid w:val="00A15FEC"/>
    <w:rsid w:val="00A16D42"/>
    <w:rsid w:val="00A17165"/>
    <w:rsid w:val="00A1734E"/>
    <w:rsid w:val="00A2038F"/>
    <w:rsid w:val="00A2052F"/>
    <w:rsid w:val="00A2061C"/>
    <w:rsid w:val="00A20A99"/>
    <w:rsid w:val="00A20B1A"/>
    <w:rsid w:val="00A222D1"/>
    <w:rsid w:val="00A22A39"/>
    <w:rsid w:val="00A24077"/>
    <w:rsid w:val="00A24289"/>
    <w:rsid w:val="00A24D46"/>
    <w:rsid w:val="00A26B9B"/>
    <w:rsid w:val="00A26F51"/>
    <w:rsid w:val="00A27F11"/>
    <w:rsid w:val="00A31578"/>
    <w:rsid w:val="00A31CD3"/>
    <w:rsid w:val="00A34816"/>
    <w:rsid w:val="00A3596E"/>
    <w:rsid w:val="00A35AD3"/>
    <w:rsid w:val="00A35FB8"/>
    <w:rsid w:val="00A362CE"/>
    <w:rsid w:val="00A40D5F"/>
    <w:rsid w:val="00A41E5D"/>
    <w:rsid w:val="00A42666"/>
    <w:rsid w:val="00A43256"/>
    <w:rsid w:val="00A440A3"/>
    <w:rsid w:val="00A44FE2"/>
    <w:rsid w:val="00A451C4"/>
    <w:rsid w:val="00A46761"/>
    <w:rsid w:val="00A47F19"/>
    <w:rsid w:val="00A50A9D"/>
    <w:rsid w:val="00A51D58"/>
    <w:rsid w:val="00A52F26"/>
    <w:rsid w:val="00A5307D"/>
    <w:rsid w:val="00A535FB"/>
    <w:rsid w:val="00A57861"/>
    <w:rsid w:val="00A6041F"/>
    <w:rsid w:val="00A6374D"/>
    <w:rsid w:val="00A66387"/>
    <w:rsid w:val="00A66AA3"/>
    <w:rsid w:val="00A7093B"/>
    <w:rsid w:val="00A70BD1"/>
    <w:rsid w:val="00A7132E"/>
    <w:rsid w:val="00A71835"/>
    <w:rsid w:val="00A7396E"/>
    <w:rsid w:val="00A74CCC"/>
    <w:rsid w:val="00A75B73"/>
    <w:rsid w:val="00A77D20"/>
    <w:rsid w:val="00A8136F"/>
    <w:rsid w:val="00A81F82"/>
    <w:rsid w:val="00A841B0"/>
    <w:rsid w:val="00A84867"/>
    <w:rsid w:val="00A85662"/>
    <w:rsid w:val="00A85A2B"/>
    <w:rsid w:val="00A86949"/>
    <w:rsid w:val="00A86AD0"/>
    <w:rsid w:val="00A86B9F"/>
    <w:rsid w:val="00A86C3F"/>
    <w:rsid w:val="00A875E1"/>
    <w:rsid w:val="00A87CD8"/>
    <w:rsid w:val="00A9020E"/>
    <w:rsid w:val="00A90243"/>
    <w:rsid w:val="00A91400"/>
    <w:rsid w:val="00A93543"/>
    <w:rsid w:val="00A94EFC"/>
    <w:rsid w:val="00A97678"/>
    <w:rsid w:val="00A97731"/>
    <w:rsid w:val="00A97DFF"/>
    <w:rsid w:val="00AA1681"/>
    <w:rsid w:val="00AA2FA1"/>
    <w:rsid w:val="00AA3E05"/>
    <w:rsid w:val="00AA404D"/>
    <w:rsid w:val="00AA47FE"/>
    <w:rsid w:val="00AA51C1"/>
    <w:rsid w:val="00AA6156"/>
    <w:rsid w:val="00AA63BB"/>
    <w:rsid w:val="00AA73AC"/>
    <w:rsid w:val="00AA7B77"/>
    <w:rsid w:val="00AB0193"/>
    <w:rsid w:val="00AB187A"/>
    <w:rsid w:val="00AB19EC"/>
    <w:rsid w:val="00AB2552"/>
    <w:rsid w:val="00AB4AC9"/>
    <w:rsid w:val="00AB514A"/>
    <w:rsid w:val="00AB5593"/>
    <w:rsid w:val="00AB5F81"/>
    <w:rsid w:val="00AB6A03"/>
    <w:rsid w:val="00AB7045"/>
    <w:rsid w:val="00AC1827"/>
    <w:rsid w:val="00AC3116"/>
    <w:rsid w:val="00AC3CB2"/>
    <w:rsid w:val="00AC3DA6"/>
    <w:rsid w:val="00AC4F17"/>
    <w:rsid w:val="00AC4F64"/>
    <w:rsid w:val="00AC50E3"/>
    <w:rsid w:val="00AC6787"/>
    <w:rsid w:val="00AC7BB9"/>
    <w:rsid w:val="00AD051A"/>
    <w:rsid w:val="00AD06D9"/>
    <w:rsid w:val="00AD0C76"/>
    <w:rsid w:val="00AD0F5A"/>
    <w:rsid w:val="00AD1E3F"/>
    <w:rsid w:val="00AD4584"/>
    <w:rsid w:val="00AD51C9"/>
    <w:rsid w:val="00AD6157"/>
    <w:rsid w:val="00AD648A"/>
    <w:rsid w:val="00AD68A3"/>
    <w:rsid w:val="00AD7481"/>
    <w:rsid w:val="00AE049C"/>
    <w:rsid w:val="00AE2A68"/>
    <w:rsid w:val="00AE513E"/>
    <w:rsid w:val="00AE6619"/>
    <w:rsid w:val="00AE7AA8"/>
    <w:rsid w:val="00AF05B2"/>
    <w:rsid w:val="00AF0DF9"/>
    <w:rsid w:val="00AF4BE4"/>
    <w:rsid w:val="00AF65F0"/>
    <w:rsid w:val="00B00832"/>
    <w:rsid w:val="00B02043"/>
    <w:rsid w:val="00B02B05"/>
    <w:rsid w:val="00B0472C"/>
    <w:rsid w:val="00B05A6C"/>
    <w:rsid w:val="00B06BA6"/>
    <w:rsid w:val="00B07A90"/>
    <w:rsid w:val="00B1002E"/>
    <w:rsid w:val="00B11EA0"/>
    <w:rsid w:val="00B11FC8"/>
    <w:rsid w:val="00B12326"/>
    <w:rsid w:val="00B14D4D"/>
    <w:rsid w:val="00B17FDB"/>
    <w:rsid w:val="00B216F0"/>
    <w:rsid w:val="00B21BB1"/>
    <w:rsid w:val="00B226EF"/>
    <w:rsid w:val="00B23AB7"/>
    <w:rsid w:val="00B24DF4"/>
    <w:rsid w:val="00B25D68"/>
    <w:rsid w:val="00B26BFE"/>
    <w:rsid w:val="00B2777B"/>
    <w:rsid w:val="00B27A7F"/>
    <w:rsid w:val="00B3023E"/>
    <w:rsid w:val="00B32639"/>
    <w:rsid w:val="00B33CC2"/>
    <w:rsid w:val="00B342D0"/>
    <w:rsid w:val="00B34D19"/>
    <w:rsid w:val="00B35DCB"/>
    <w:rsid w:val="00B35E3E"/>
    <w:rsid w:val="00B403FC"/>
    <w:rsid w:val="00B415F1"/>
    <w:rsid w:val="00B42CCF"/>
    <w:rsid w:val="00B4355A"/>
    <w:rsid w:val="00B43A6F"/>
    <w:rsid w:val="00B52898"/>
    <w:rsid w:val="00B539FB"/>
    <w:rsid w:val="00B5409B"/>
    <w:rsid w:val="00B55E10"/>
    <w:rsid w:val="00B56B15"/>
    <w:rsid w:val="00B60185"/>
    <w:rsid w:val="00B61E13"/>
    <w:rsid w:val="00B6250B"/>
    <w:rsid w:val="00B62679"/>
    <w:rsid w:val="00B6367E"/>
    <w:rsid w:val="00B638C5"/>
    <w:rsid w:val="00B63B06"/>
    <w:rsid w:val="00B648EC"/>
    <w:rsid w:val="00B64B9A"/>
    <w:rsid w:val="00B6631E"/>
    <w:rsid w:val="00B666FF"/>
    <w:rsid w:val="00B66C37"/>
    <w:rsid w:val="00B66CDD"/>
    <w:rsid w:val="00B67119"/>
    <w:rsid w:val="00B71675"/>
    <w:rsid w:val="00B71B62"/>
    <w:rsid w:val="00B7241E"/>
    <w:rsid w:val="00B731CA"/>
    <w:rsid w:val="00B75BC0"/>
    <w:rsid w:val="00B75DFC"/>
    <w:rsid w:val="00B77001"/>
    <w:rsid w:val="00B77699"/>
    <w:rsid w:val="00B777B1"/>
    <w:rsid w:val="00B7796D"/>
    <w:rsid w:val="00B80058"/>
    <w:rsid w:val="00B80B83"/>
    <w:rsid w:val="00B81A5A"/>
    <w:rsid w:val="00B82D6D"/>
    <w:rsid w:val="00B84DDB"/>
    <w:rsid w:val="00B863A0"/>
    <w:rsid w:val="00B86B32"/>
    <w:rsid w:val="00B90E4F"/>
    <w:rsid w:val="00B915D3"/>
    <w:rsid w:val="00B91CE1"/>
    <w:rsid w:val="00B91D4C"/>
    <w:rsid w:val="00B91DB2"/>
    <w:rsid w:val="00B91EF4"/>
    <w:rsid w:val="00B921E1"/>
    <w:rsid w:val="00B922FC"/>
    <w:rsid w:val="00B93DF2"/>
    <w:rsid w:val="00B93F57"/>
    <w:rsid w:val="00B94E8D"/>
    <w:rsid w:val="00B97D79"/>
    <w:rsid w:val="00BA01AB"/>
    <w:rsid w:val="00BA0B46"/>
    <w:rsid w:val="00BA174A"/>
    <w:rsid w:val="00BA211A"/>
    <w:rsid w:val="00BA3306"/>
    <w:rsid w:val="00BA5C66"/>
    <w:rsid w:val="00BA73EE"/>
    <w:rsid w:val="00BA77D4"/>
    <w:rsid w:val="00BA7FBA"/>
    <w:rsid w:val="00BB3125"/>
    <w:rsid w:val="00BB3E9A"/>
    <w:rsid w:val="00BB52EF"/>
    <w:rsid w:val="00BC0D01"/>
    <w:rsid w:val="00BC4138"/>
    <w:rsid w:val="00BC4779"/>
    <w:rsid w:val="00BC4FB9"/>
    <w:rsid w:val="00BC663E"/>
    <w:rsid w:val="00BC7ADA"/>
    <w:rsid w:val="00BC7FCB"/>
    <w:rsid w:val="00BD03EC"/>
    <w:rsid w:val="00BD0EA7"/>
    <w:rsid w:val="00BD48EE"/>
    <w:rsid w:val="00BD4CDF"/>
    <w:rsid w:val="00BD7F1F"/>
    <w:rsid w:val="00BE0700"/>
    <w:rsid w:val="00BE1E4E"/>
    <w:rsid w:val="00BE3CAA"/>
    <w:rsid w:val="00BE3E5F"/>
    <w:rsid w:val="00BE583A"/>
    <w:rsid w:val="00BE5E62"/>
    <w:rsid w:val="00BE70D6"/>
    <w:rsid w:val="00BF0176"/>
    <w:rsid w:val="00BF30CD"/>
    <w:rsid w:val="00BF4A06"/>
    <w:rsid w:val="00BF4CE5"/>
    <w:rsid w:val="00BF4EFB"/>
    <w:rsid w:val="00BF59A3"/>
    <w:rsid w:val="00C007AB"/>
    <w:rsid w:val="00C01444"/>
    <w:rsid w:val="00C02900"/>
    <w:rsid w:val="00C03642"/>
    <w:rsid w:val="00C03AB0"/>
    <w:rsid w:val="00C04F76"/>
    <w:rsid w:val="00C06276"/>
    <w:rsid w:val="00C06418"/>
    <w:rsid w:val="00C07417"/>
    <w:rsid w:val="00C07BBA"/>
    <w:rsid w:val="00C07D5D"/>
    <w:rsid w:val="00C07F79"/>
    <w:rsid w:val="00C104C2"/>
    <w:rsid w:val="00C11033"/>
    <w:rsid w:val="00C12361"/>
    <w:rsid w:val="00C133FB"/>
    <w:rsid w:val="00C16944"/>
    <w:rsid w:val="00C208CC"/>
    <w:rsid w:val="00C214E6"/>
    <w:rsid w:val="00C21580"/>
    <w:rsid w:val="00C23A12"/>
    <w:rsid w:val="00C23FEA"/>
    <w:rsid w:val="00C2436F"/>
    <w:rsid w:val="00C2543E"/>
    <w:rsid w:val="00C25C96"/>
    <w:rsid w:val="00C2661D"/>
    <w:rsid w:val="00C2683E"/>
    <w:rsid w:val="00C2748F"/>
    <w:rsid w:val="00C3032B"/>
    <w:rsid w:val="00C317F3"/>
    <w:rsid w:val="00C32129"/>
    <w:rsid w:val="00C3586B"/>
    <w:rsid w:val="00C37073"/>
    <w:rsid w:val="00C3779C"/>
    <w:rsid w:val="00C415E4"/>
    <w:rsid w:val="00C4163A"/>
    <w:rsid w:val="00C41707"/>
    <w:rsid w:val="00C4364D"/>
    <w:rsid w:val="00C44C37"/>
    <w:rsid w:val="00C46368"/>
    <w:rsid w:val="00C467FC"/>
    <w:rsid w:val="00C46AE5"/>
    <w:rsid w:val="00C46CB6"/>
    <w:rsid w:val="00C47654"/>
    <w:rsid w:val="00C47B34"/>
    <w:rsid w:val="00C50213"/>
    <w:rsid w:val="00C520A5"/>
    <w:rsid w:val="00C52ACF"/>
    <w:rsid w:val="00C53E5C"/>
    <w:rsid w:val="00C54B13"/>
    <w:rsid w:val="00C565A4"/>
    <w:rsid w:val="00C5770B"/>
    <w:rsid w:val="00C57ACA"/>
    <w:rsid w:val="00C57E4D"/>
    <w:rsid w:val="00C60A63"/>
    <w:rsid w:val="00C626E2"/>
    <w:rsid w:val="00C628C8"/>
    <w:rsid w:val="00C6394F"/>
    <w:rsid w:val="00C64810"/>
    <w:rsid w:val="00C6664C"/>
    <w:rsid w:val="00C6781B"/>
    <w:rsid w:val="00C71326"/>
    <w:rsid w:val="00C72186"/>
    <w:rsid w:val="00C73CDE"/>
    <w:rsid w:val="00C7519E"/>
    <w:rsid w:val="00C75DD5"/>
    <w:rsid w:val="00C76C02"/>
    <w:rsid w:val="00C76F19"/>
    <w:rsid w:val="00C777D3"/>
    <w:rsid w:val="00C81A12"/>
    <w:rsid w:val="00C81C3B"/>
    <w:rsid w:val="00C81D59"/>
    <w:rsid w:val="00C828E9"/>
    <w:rsid w:val="00C83423"/>
    <w:rsid w:val="00C8461E"/>
    <w:rsid w:val="00C846BE"/>
    <w:rsid w:val="00C84779"/>
    <w:rsid w:val="00C8712E"/>
    <w:rsid w:val="00C87694"/>
    <w:rsid w:val="00C917EA"/>
    <w:rsid w:val="00C91FE5"/>
    <w:rsid w:val="00C92D1D"/>
    <w:rsid w:val="00C93327"/>
    <w:rsid w:val="00C93418"/>
    <w:rsid w:val="00C939BE"/>
    <w:rsid w:val="00C9405C"/>
    <w:rsid w:val="00C946B5"/>
    <w:rsid w:val="00C962EB"/>
    <w:rsid w:val="00C963DE"/>
    <w:rsid w:val="00CA0C26"/>
    <w:rsid w:val="00CA12F8"/>
    <w:rsid w:val="00CA1994"/>
    <w:rsid w:val="00CA2EB2"/>
    <w:rsid w:val="00CA43B8"/>
    <w:rsid w:val="00CA4470"/>
    <w:rsid w:val="00CA7825"/>
    <w:rsid w:val="00CB07A8"/>
    <w:rsid w:val="00CB14A1"/>
    <w:rsid w:val="00CB1AD0"/>
    <w:rsid w:val="00CB43C3"/>
    <w:rsid w:val="00CB5389"/>
    <w:rsid w:val="00CB74F2"/>
    <w:rsid w:val="00CB7596"/>
    <w:rsid w:val="00CB760B"/>
    <w:rsid w:val="00CB7634"/>
    <w:rsid w:val="00CC10E1"/>
    <w:rsid w:val="00CC117C"/>
    <w:rsid w:val="00CC1A0D"/>
    <w:rsid w:val="00CC2ADA"/>
    <w:rsid w:val="00CC2F92"/>
    <w:rsid w:val="00CC3323"/>
    <w:rsid w:val="00CC38C9"/>
    <w:rsid w:val="00CC580D"/>
    <w:rsid w:val="00CC6DBA"/>
    <w:rsid w:val="00CC7554"/>
    <w:rsid w:val="00CD12E3"/>
    <w:rsid w:val="00CD16A9"/>
    <w:rsid w:val="00CD1AC0"/>
    <w:rsid w:val="00CD2AB7"/>
    <w:rsid w:val="00CD3C15"/>
    <w:rsid w:val="00CD43D0"/>
    <w:rsid w:val="00CD44E4"/>
    <w:rsid w:val="00CD474D"/>
    <w:rsid w:val="00CD5BFA"/>
    <w:rsid w:val="00CD6327"/>
    <w:rsid w:val="00CD6F77"/>
    <w:rsid w:val="00CD7C96"/>
    <w:rsid w:val="00CE0478"/>
    <w:rsid w:val="00CE19E7"/>
    <w:rsid w:val="00CE2B78"/>
    <w:rsid w:val="00CE31F1"/>
    <w:rsid w:val="00CE3C74"/>
    <w:rsid w:val="00CE4D55"/>
    <w:rsid w:val="00CE5214"/>
    <w:rsid w:val="00CE5642"/>
    <w:rsid w:val="00CE57F9"/>
    <w:rsid w:val="00CE60ED"/>
    <w:rsid w:val="00CE6317"/>
    <w:rsid w:val="00CE6A3E"/>
    <w:rsid w:val="00CE74A3"/>
    <w:rsid w:val="00CF12B9"/>
    <w:rsid w:val="00CF1716"/>
    <w:rsid w:val="00CF378D"/>
    <w:rsid w:val="00CF3889"/>
    <w:rsid w:val="00CF39DB"/>
    <w:rsid w:val="00CF4BE4"/>
    <w:rsid w:val="00CF53C7"/>
    <w:rsid w:val="00CF55EE"/>
    <w:rsid w:val="00CF5C52"/>
    <w:rsid w:val="00CF776C"/>
    <w:rsid w:val="00D0010A"/>
    <w:rsid w:val="00D00929"/>
    <w:rsid w:val="00D01335"/>
    <w:rsid w:val="00D02590"/>
    <w:rsid w:val="00D034DD"/>
    <w:rsid w:val="00D03D0C"/>
    <w:rsid w:val="00D04324"/>
    <w:rsid w:val="00D04952"/>
    <w:rsid w:val="00D04D8A"/>
    <w:rsid w:val="00D05DE5"/>
    <w:rsid w:val="00D0647D"/>
    <w:rsid w:val="00D06A16"/>
    <w:rsid w:val="00D1078F"/>
    <w:rsid w:val="00D10887"/>
    <w:rsid w:val="00D10E00"/>
    <w:rsid w:val="00D10E60"/>
    <w:rsid w:val="00D1187F"/>
    <w:rsid w:val="00D11A1C"/>
    <w:rsid w:val="00D12CD2"/>
    <w:rsid w:val="00D13726"/>
    <w:rsid w:val="00D13CEE"/>
    <w:rsid w:val="00D14CF8"/>
    <w:rsid w:val="00D14D23"/>
    <w:rsid w:val="00D14FCD"/>
    <w:rsid w:val="00D15BAF"/>
    <w:rsid w:val="00D15D8B"/>
    <w:rsid w:val="00D17984"/>
    <w:rsid w:val="00D20E1E"/>
    <w:rsid w:val="00D2102E"/>
    <w:rsid w:val="00D22BCD"/>
    <w:rsid w:val="00D23DC0"/>
    <w:rsid w:val="00D23E37"/>
    <w:rsid w:val="00D2404F"/>
    <w:rsid w:val="00D24B69"/>
    <w:rsid w:val="00D24DAD"/>
    <w:rsid w:val="00D25916"/>
    <w:rsid w:val="00D30156"/>
    <w:rsid w:val="00D308D4"/>
    <w:rsid w:val="00D31AB7"/>
    <w:rsid w:val="00D32770"/>
    <w:rsid w:val="00D329E6"/>
    <w:rsid w:val="00D33248"/>
    <w:rsid w:val="00D33C3F"/>
    <w:rsid w:val="00D34A26"/>
    <w:rsid w:val="00D361EB"/>
    <w:rsid w:val="00D37972"/>
    <w:rsid w:val="00D37C98"/>
    <w:rsid w:val="00D40896"/>
    <w:rsid w:val="00D41215"/>
    <w:rsid w:val="00D41534"/>
    <w:rsid w:val="00D4339C"/>
    <w:rsid w:val="00D442DD"/>
    <w:rsid w:val="00D44E67"/>
    <w:rsid w:val="00D451FC"/>
    <w:rsid w:val="00D46B57"/>
    <w:rsid w:val="00D47FE8"/>
    <w:rsid w:val="00D50AE6"/>
    <w:rsid w:val="00D50D56"/>
    <w:rsid w:val="00D52EA4"/>
    <w:rsid w:val="00D5371F"/>
    <w:rsid w:val="00D53911"/>
    <w:rsid w:val="00D5467E"/>
    <w:rsid w:val="00D5653B"/>
    <w:rsid w:val="00D60162"/>
    <w:rsid w:val="00D62FEB"/>
    <w:rsid w:val="00D634E4"/>
    <w:rsid w:val="00D63C48"/>
    <w:rsid w:val="00D63D0C"/>
    <w:rsid w:val="00D6402D"/>
    <w:rsid w:val="00D64289"/>
    <w:rsid w:val="00D644E2"/>
    <w:rsid w:val="00D65766"/>
    <w:rsid w:val="00D6667B"/>
    <w:rsid w:val="00D673BD"/>
    <w:rsid w:val="00D6775C"/>
    <w:rsid w:val="00D70005"/>
    <w:rsid w:val="00D70CC2"/>
    <w:rsid w:val="00D71400"/>
    <w:rsid w:val="00D72C23"/>
    <w:rsid w:val="00D73C73"/>
    <w:rsid w:val="00D752F4"/>
    <w:rsid w:val="00D75442"/>
    <w:rsid w:val="00D756D7"/>
    <w:rsid w:val="00D7684D"/>
    <w:rsid w:val="00D7753C"/>
    <w:rsid w:val="00D816BD"/>
    <w:rsid w:val="00D829AC"/>
    <w:rsid w:val="00D82F40"/>
    <w:rsid w:val="00D8435D"/>
    <w:rsid w:val="00D84FB8"/>
    <w:rsid w:val="00D93702"/>
    <w:rsid w:val="00D94488"/>
    <w:rsid w:val="00D94779"/>
    <w:rsid w:val="00D95394"/>
    <w:rsid w:val="00D970E7"/>
    <w:rsid w:val="00DA01E0"/>
    <w:rsid w:val="00DA032B"/>
    <w:rsid w:val="00DA0456"/>
    <w:rsid w:val="00DA06ED"/>
    <w:rsid w:val="00DA0B28"/>
    <w:rsid w:val="00DA2624"/>
    <w:rsid w:val="00DA2C00"/>
    <w:rsid w:val="00DA3BFB"/>
    <w:rsid w:val="00DA5579"/>
    <w:rsid w:val="00DA55BB"/>
    <w:rsid w:val="00DA5D7A"/>
    <w:rsid w:val="00DA73EE"/>
    <w:rsid w:val="00DA7825"/>
    <w:rsid w:val="00DB0E4C"/>
    <w:rsid w:val="00DB0F4A"/>
    <w:rsid w:val="00DB1F8C"/>
    <w:rsid w:val="00DB36D4"/>
    <w:rsid w:val="00DB393D"/>
    <w:rsid w:val="00DC12D5"/>
    <w:rsid w:val="00DC1743"/>
    <w:rsid w:val="00DC1F73"/>
    <w:rsid w:val="00DC2004"/>
    <w:rsid w:val="00DC2078"/>
    <w:rsid w:val="00DC2ACF"/>
    <w:rsid w:val="00DC34D0"/>
    <w:rsid w:val="00DC355B"/>
    <w:rsid w:val="00DC378F"/>
    <w:rsid w:val="00DC4CC9"/>
    <w:rsid w:val="00DC5337"/>
    <w:rsid w:val="00DC7746"/>
    <w:rsid w:val="00DD0B4F"/>
    <w:rsid w:val="00DD1197"/>
    <w:rsid w:val="00DD3049"/>
    <w:rsid w:val="00DD3622"/>
    <w:rsid w:val="00DD58F3"/>
    <w:rsid w:val="00DE0B3D"/>
    <w:rsid w:val="00DE0B63"/>
    <w:rsid w:val="00DE30E2"/>
    <w:rsid w:val="00DE3A9A"/>
    <w:rsid w:val="00DE404F"/>
    <w:rsid w:val="00DE42AB"/>
    <w:rsid w:val="00DE5D95"/>
    <w:rsid w:val="00DE6421"/>
    <w:rsid w:val="00DE6997"/>
    <w:rsid w:val="00DE6DA9"/>
    <w:rsid w:val="00DF0FC1"/>
    <w:rsid w:val="00DF16C0"/>
    <w:rsid w:val="00DF1C21"/>
    <w:rsid w:val="00DF548B"/>
    <w:rsid w:val="00DF7123"/>
    <w:rsid w:val="00DF71CE"/>
    <w:rsid w:val="00E038E1"/>
    <w:rsid w:val="00E0567B"/>
    <w:rsid w:val="00E0581D"/>
    <w:rsid w:val="00E05FBC"/>
    <w:rsid w:val="00E070F6"/>
    <w:rsid w:val="00E10B7D"/>
    <w:rsid w:val="00E14600"/>
    <w:rsid w:val="00E15FE8"/>
    <w:rsid w:val="00E161DD"/>
    <w:rsid w:val="00E17BD0"/>
    <w:rsid w:val="00E21357"/>
    <w:rsid w:val="00E227EA"/>
    <w:rsid w:val="00E23660"/>
    <w:rsid w:val="00E23F7C"/>
    <w:rsid w:val="00E26BA3"/>
    <w:rsid w:val="00E2761D"/>
    <w:rsid w:val="00E31A1E"/>
    <w:rsid w:val="00E33BD3"/>
    <w:rsid w:val="00E34484"/>
    <w:rsid w:val="00E37424"/>
    <w:rsid w:val="00E37EF1"/>
    <w:rsid w:val="00E4041E"/>
    <w:rsid w:val="00E413CB"/>
    <w:rsid w:val="00E42FD3"/>
    <w:rsid w:val="00E44308"/>
    <w:rsid w:val="00E45180"/>
    <w:rsid w:val="00E451C2"/>
    <w:rsid w:val="00E45305"/>
    <w:rsid w:val="00E4634C"/>
    <w:rsid w:val="00E46AC9"/>
    <w:rsid w:val="00E53DB6"/>
    <w:rsid w:val="00E5495F"/>
    <w:rsid w:val="00E54ECE"/>
    <w:rsid w:val="00E54FB3"/>
    <w:rsid w:val="00E55904"/>
    <w:rsid w:val="00E55E72"/>
    <w:rsid w:val="00E57D4A"/>
    <w:rsid w:val="00E62011"/>
    <w:rsid w:val="00E644B1"/>
    <w:rsid w:val="00E64994"/>
    <w:rsid w:val="00E65D8C"/>
    <w:rsid w:val="00E66614"/>
    <w:rsid w:val="00E66D55"/>
    <w:rsid w:val="00E70C42"/>
    <w:rsid w:val="00E7192A"/>
    <w:rsid w:val="00E721FF"/>
    <w:rsid w:val="00E73270"/>
    <w:rsid w:val="00E73417"/>
    <w:rsid w:val="00E74ABC"/>
    <w:rsid w:val="00E773DF"/>
    <w:rsid w:val="00E8269B"/>
    <w:rsid w:val="00E82FEF"/>
    <w:rsid w:val="00E84391"/>
    <w:rsid w:val="00E8452A"/>
    <w:rsid w:val="00E84D50"/>
    <w:rsid w:val="00E86885"/>
    <w:rsid w:val="00E930FA"/>
    <w:rsid w:val="00E93517"/>
    <w:rsid w:val="00E953A3"/>
    <w:rsid w:val="00E96C0E"/>
    <w:rsid w:val="00E9757C"/>
    <w:rsid w:val="00E97860"/>
    <w:rsid w:val="00EA0082"/>
    <w:rsid w:val="00EA0AFB"/>
    <w:rsid w:val="00EA1B29"/>
    <w:rsid w:val="00EA2E9C"/>
    <w:rsid w:val="00EA4518"/>
    <w:rsid w:val="00EA4A14"/>
    <w:rsid w:val="00EA5B85"/>
    <w:rsid w:val="00EA66E6"/>
    <w:rsid w:val="00EA6D51"/>
    <w:rsid w:val="00EA747F"/>
    <w:rsid w:val="00EA7893"/>
    <w:rsid w:val="00EA7A71"/>
    <w:rsid w:val="00EB0BA7"/>
    <w:rsid w:val="00EB1BB1"/>
    <w:rsid w:val="00EB2B92"/>
    <w:rsid w:val="00EB354E"/>
    <w:rsid w:val="00EB3D2C"/>
    <w:rsid w:val="00EB3F3E"/>
    <w:rsid w:val="00EB426B"/>
    <w:rsid w:val="00EB4B51"/>
    <w:rsid w:val="00EB5E6D"/>
    <w:rsid w:val="00EC04F8"/>
    <w:rsid w:val="00EC082D"/>
    <w:rsid w:val="00EC1C7E"/>
    <w:rsid w:val="00EC20A8"/>
    <w:rsid w:val="00EC3A7B"/>
    <w:rsid w:val="00EC6C88"/>
    <w:rsid w:val="00EC7564"/>
    <w:rsid w:val="00ED05C2"/>
    <w:rsid w:val="00ED18EA"/>
    <w:rsid w:val="00ED2432"/>
    <w:rsid w:val="00ED297C"/>
    <w:rsid w:val="00ED2ADC"/>
    <w:rsid w:val="00ED5217"/>
    <w:rsid w:val="00ED681D"/>
    <w:rsid w:val="00ED79AB"/>
    <w:rsid w:val="00ED7B39"/>
    <w:rsid w:val="00ED7CF3"/>
    <w:rsid w:val="00EE006E"/>
    <w:rsid w:val="00EE00BD"/>
    <w:rsid w:val="00EE137D"/>
    <w:rsid w:val="00EE2D06"/>
    <w:rsid w:val="00EE39AE"/>
    <w:rsid w:val="00EE5E35"/>
    <w:rsid w:val="00EE79A1"/>
    <w:rsid w:val="00EE7A58"/>
    <w:rsid w:val="00EF0109"/>
    <w:rsid w:val="00EF1D3E"/>
    <w:rsid w:val="00EF3278"/>
    <w:rsid w:val="00EF36B2"/>
    <w:rsid w:val="00EF4A2E"/>
    <w:rsid w:val="00EF4C3D"/>
    <w:rsid w:val="00EF6302"/>
    <w:rsid w:val="00EF691F"/>
    <w:rsid w:val="00EF699B"/>
    <w:rsid w:val="00F01532"/>
    <w:rsid w:val="00F04748"/>
    <w:rsid w:val="00F049EC"/>
    <w:rsid w:val="00F05406"/>
    <w:rsid w:val="00F0654B"/>
    <w:rsid w:val="00F0754D"/>
    <w:rsid w:val="00F16D27"/>
    <w:rsid w:val="00F22D09"/>
    <w:rsid w:val="00F23561"/>
    <w:rsid w:val="00F25021"/>
    <w:rsid w:val="00F26B4B"/>
    <w:rsid w:val="00F26F97"/>
    <w:rsid w:val="00F2706C"/>
    <w:rsid w:val="00F27A77"/>
    <w:rsid w:val="00F3094A"/>
    <w:rsid w:val="00F32D23"/>
    <w:rsid w:val="00F344B6"/>
    <w:rsid w:val="00F34544"/>
    <w:rsid w:val="00F35297"/>
    <w:rsid w:val="00F354AA"/>
    <w:rsid w:val="00F35B27"/>
    <w:rsid w:val="00F407DD"/>
    <w:rsid w:val="00F40C1F"/>
    <w:rsid w:val="00F419C5"/>
    <w:rsid w:val="00F41A3E"/>
    <w:rsid w:val="00F42C60"/>
    <w:rsid w:val="00F448CD"/>
    <w:rsid w:val="00F44EFB"/>
    <w:rsid w:val="00F45895"/>
    <w:rsid w:val="00F46EE1"/>
    <w:rsid w:val="00F47BEE"/>
    <w:rsid w:val="00F540C2"/>
    <w:rsid w:val="00F56314"/>
    <w:rsid w:val="00F57AB1"/>
    <w:rsid w:val="00F57DA9"/>
    <w:rsid w:val="00F6024D"/>
    <w:rsid w:val="00F60ABD"/>
    <w:rsid w:val="00F61008"/>
    <w:rsid w:val="00F61119"/>
    <w:rsid w:val="00F6158A"/>
    <w:rsid w:val="00F617A2"/>
    <w:rsid w:val="00F62948"/>
    <w:rsid w:val="00F6782F"/>
    <w:rsid w:val="00F713AA"/>
    <w:rsid w:val="00F7229C"/>
    <w:rsid w:val="00F72306"/>
    <w:rsid w:val="00F726E2"/>
    <w:rsid w:val="00F729F5"/>
    <w:rsid w:val="00F72B42"/>
    <w:rsid w:val="00F733F3"/>
    <w:rsid w:val="00F73A39"/>
    <w:rsid w:val="00F73B35"/>
    <w:rsid w:val="00F752A7"/>
    <w:rsid w:val="00F75D3A"/>
    <w:rsid w:val="00F7678D"/>
    <w:rsid w:val="00F77CBF"/>
    <w:rsid w:val="00F77D6C"/>
    <w:rsid w:val="00F80139"/>
    <w:rsid w:val="00F80B1E"/>
    <w:rsid w:val="00F836D9"/>
    <w:rsid w:val="00F844E9"/>
    <w:rsid w:val="00F86BE8"/>
    <w:rsid w:val="00F87C31"/>
    <w:rsid w:val="00F902BF"/>
    <w:rsid w:val="00F90BB0"/>
    <w:rsid w:val="00F91660"/>
    <w:rsid w:val="00F9212E"/>
    <w:rsid w:val="00F9436F"/>
    <w:rsid w:val="00F947F7"/>
    <w:rsid w:val="00F94884"/>
    <w:rsid w:val="00F9497A"/>
    <w:rsid w:val="00F95272"/>
    <w:rsid w:val="00F97411"/>
    <w:rsid w:val="00F97462"/>
    <w:rsid w:val="00F9783F"/>
    <w:rsid w:val="00FA0329"/>
    <w:rsid w:val="00FA15F4"/>
    <w:rsid w:val="00FA44FF"/>
    <w:rsid w:val="00FA773E"/>
    <w:rsid w:val="00FA7D84"/>
    <w:rsid w:val="00FB0513"/>
    <w:rsid w:val="00FB1465"/>
    <w:rsid w:val="00FB2F1C"/>
    <w:rsid w:val="00FB366A"/>
    <w:rsid w:val="00FB3F11"/>
    <w:rsid w:val="00FB41B7"/>
    <w:rsid w:val="00FB4206"/>
    <w:rsid w:val="00FB49AE"/>
    <w:rsid w:val="00FB57DB"/>
    <w:rsid w:val="00FB6238"/>
    <w:rsid w:val="00FC06E3"/>
    <w:rsid w:val="00FC22AB"/>
    <w:rsid w:val="00FC2B71"/>
    <w:rsid w:val="00FC4287"/>
    <w:rsid w:val="00FC594B"/>
    <w:rsid w:val="00FC6506"/>
    <w:rsid w:val="00FC6E33"/>
    <w:rsid w:val="00FC7207"/>
    <w:rsid w:val="00FC7640"/>
    <w:rsid w:val="00FD0DA5"/>
    <w:rsid w:val="00FD280A"/>
    <w:rsid w:val="00FD3D9C"/>
    <w:rsid w:val="00FD5A74"/>
    <w:rsid w:val="00FD7841"/>
    <w:rsid w:val="00FD7BBB"/>
    <w:rsid w:val="00FD7D21"/>
    <w:rsid w:val="00FE0EE6"/>
    <w:rsid w:val="00FE1E26"/>
    <w:rsid w:val="00FE2431"/>
    <w:rsid w:val="00FE2EE4"/>
    <w:rsid w:val="00FE4C58"/>
    <w:rsid w:val="00FE6746"/>
    <w:rsid w:val="00FE7097"/>
    <w:rsid w:val="00FF0D71"/>
    <w:rsid w:val="00FF10A4"/>
    <w:rsid w:val="00FF2550"/>
    <w:rsid w:val="00FF299C"/>
    <w:rsid w:val="00FF362F"/>
    <w:rsid w:val="00FF3DCC"/>
    <w:rsid w:val="00FF610D"/>
    <w:rsid w:val="00FF6507"/>
    <w:rsid w:val="00FF7550"/>
    <w:rsid w:val="00FF77BF"/>
    <w:rsid w:val="00FF7B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67"/>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2"/>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8"/>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9"/>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paragraph" w:styleId="TableofFigures">
    <w:name w:val="table of figures"/>
    <w:basedOn w:val="Normal"/>
    <w:next w:val="Normal"/>
    <w:uiPriority w:val="99"/>
    <w:unhideWhenUsed/>
    <w:rsid w:val="008C6FEC"/>
    <w:pPr>
      <w:tabs>
        <w:tab w:val="right" w:leader="dot" w:pos="9016"/>
      </w:tabs>
      <w:spacing w:before="40" w:after="0"/>
    </w:pPr>
    <w:rPr>
      <w:rFonts w:ascii="Calibri" w:hAnsi="Calibri"/>
      <w:noProof/>
      <w:sz w:val="20"/>
    </w:rPr>
  </w:style>
  <w:style w:type="paragraph" w:customStyle="1" w:styleId="xSpace">
    <w:name w:val="xSpace"/>
    <w:basedOn w:val="BodyText"/>
    <w:rsid w:val="00235267"/>
    <w:pPr>
      <w:widowControl/>
    </w:pPr>
    <w:rPr>
      <w:rFonts w:ascii="Times New Roman" w:hAnsi="Times New Roman" w:cs="Times New Roman"/>
      <w:snapToGrid/>
      <w:szCs w:val="24"/>
      <w:lang w:val="en-US"/>
    </w:rPr>
  </w:style>
  <w:style w:type="paragraph" w:customStyle="1" w:styleId="Synopsis">
    <w:name w:val="Synopsis"/>
    <w:basedOn w:val="BodyText"/>
    <w:link w:val="SynopsisChar"/>
    <w:rsid w:val="00235267"/>
    <w:pPr>
      <w:keepLines/>
      <w:widowControl/>
      <w:spacing w:before="40" w:after="40"/>
    </w:pPr>
    <w:rPr>
      <w:rFonts w:ascii="Times New Roman" w:hAnsi="Times New Roman" w:cs="Times New Roman"/>
      <w:snapToGrid/>
      <w:szCs w:val="24"/>
      <w:lang w:val="en-US"/>
    </w:rPr>
  </w:style>
  <w:style w:type="character" w:customStyle="1" w:styleId="SynopsisChar">
    <w:name w:val="Synopsis Char"/>
    <w:link w:val="Synopsis"/>
    <w:rsid w:val="00235267"/>
    <w:rPr>
      <w:rFonts w:ascii="Times New Roman" w:eastAsia="Times New Roman" w:hAnsi="Times New Roman" w:cs="Times New Roman"/>
      <w:szCs w:val="24"/>
      <w:lang w:val="en-US"/>
    </w:rPr>
  </w:style>
  <w:style w:type="paragraph" w:customStyle="1" w:styleId="TableCellCenter">
    <w:name w:val="Table Cell Center"/>
    <w:basedOn w:val="BodyText"/>
    <w:qFormat/>
    <w:rsid w:val="00C9405C"/>
    <w:pPr>
      <w:widowControl/>
      <w:spacing w:before="40" w:after="40"/>
      <w:jc w:val="center"/>
    </w:pPr>
    <w:rPr>
      <w:rFonts w:ascii="Times New Roman" w:hAnsi="Times New Roman" w:cs="Times New Roman"/>
      <w:snapToGrid/>
      <w:sz w:val="20"/>
      <w:szCs w:val="24"/>
      <w:lang w:val="en-US"/>
    </w:rPr>
  </w:style>
  <w:style w:type="paragraph" w:customStyle="1" w:styleId="TableCellLeft">
    <w:name w:val="Table Cell Left"/>
    <w:basedOn w:val="BodyText"/>
    <w:link w:val="TableCellLeftChar"/>
    <w:qFormat/>
    <w:rsid w:val="00C9405C"/>
    <w:pPr>
      <w:widowControl/>
      <w:spacing w:before="40" w:after="40"/>
    </w:pPr>
    <w:rPr>
      <w:rFonts w:ascii="Times New Roman" w:hAnsi="Times New Roman" w:cs="Times New Roman"/>
      <w:snapToGrid/>
      <w:sz w:val="20"/>
      <w:szCs w:val="24"/>
      <w:lang w:val="en-US"/>
    </w:rPr>
  </w:style>
  <w:style w:type="character" w:customStyle="1" w:styleId="TableCellLeftChar">
    <w:name w:val="Table Cell Left Char"/>
    <w:link w:val="TableCellLeft"/>
    <w:locked/>
    <w:rsid w:val="00C9405C"/>
    <w:rPr>
      <w:rFonts w:ascii="Times New Roman" w:eastAsia="Times New Roman" w:hAnsi="Times New Roman" w:cs="Times New Roman"/>
      <w:sz w:val="20"/>
      <w:szCs w:val="24"/>
      <w:lang w:val="en-US"/>
    </w:rPr>
  </w:style>
  <w:style w:type="paragraph" w:customStyle="1" w:styleId="TableNote">
    <w:name w:val="Table Note"/>
    <w:basedOn w:val="BodyText"/>
    <w:link w:val="TableNoteChar"/>
    <w:qFormat/>
    <w:rsid w:val="003E1DE7"/>
    <w:pPr>
      <w:widowControl/>
      <w:tabs>
        <w:tab w:val="right" w:pos="144"/>
      </w:tabs>
      <w:spacing w:before="40" w:line="288" w:lineRule="auto"/>
      <w:ind w:left="113" w:hanging="113"/>
    </w:pPr>
    <w:rPr>
      <w:rFonts w:ascii="Arial Narrow" w:hAnsi="Arial Narrow" w:cs="Times New Roman"/>
      <w:snapToGrid/>
      <w:sz w:val="18"/>
      <w:szCs w:val="24"/>
      <w:lang w:val="en-US"/>
    </w:rPr>
  </w:style>
  <w:style w:type="character" w:customStyle="1" w:styleId="TableNoteChar">
    <w:name w:val="Table Note Char"/>
    <w:link w:val="TableNote"/>
    <w:rsid w:val="003E1DE7"/>
    <w:rPr>
      <w:rFonts w:ascii="Arial Narrow" w:eastAsia="Times New Roman" w:hAnsi="Arial Narrow" w:cs="Times New Roman"/>
      <w:sz w:val="18"/>
      <w:szCs w:val="24"/>
      <w:lang w:val="en-US"/>
    </w:rPr>
  </w:style>
  <w:style w:type="table" w:customStyle="1" w:styleId="TableGrid7">
    <w:name w:val="Table Grid7"/>
    <w:basedOn w:val="TableNormal"/>
    <w:next w:val="TableGrid"/>
    <w:uiPriority w:val="59"/>
    <w:rsid w:val="003B4A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qFormat/>
    <w:rsid w:val="00EB0BA7"/>
    <w:pPr>
      <w:spacing w:before="0" w:after="0" w:line="360" w:lineRule="auto"/>
    </w:pPr>
    <w:rPr>
      <w:rFonts w:eastAsia="Times New Roman" w:cs="Times New Roman"/>
      <w:sz w:val="22"/>
      <w:szCs w:val="20"/>
      <w:lang w:val="en-US"/>
    </w:rPr>
  </w:style>
  <w:style w:type="character" w:customStyle="1" w:styleId="SyneviNormalChar">
    <w:name w:val="Synevi Normal Char"/>
    <w:basedOn w:val="DefaultParagraphFont"/>
    <w:link w:val="SyneviNormal"/>
    <w:rsid w:val="00EB0BA7"/>
    <w:rPr>
      <w:rFonts w:eastAsia="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Table Grid" w:semiHidden="0" w:uiPriority="5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67"/>
    <w:pPr>
      <w:spacing w:before="120" w:line="240" w:lineRule="auto"/>
      <w:jc w:val="both"/>
    </w:pPr>
    <w:rPr>
      <w:sz w:val="24"/>
    </w:rPr>
  </w:style>
  <w:style w:type="paragraph" w:styleId="Heading1">
    <w:name w:val="heading 1"/>
    <w:basedOn w:val="Normal"/>
    <w:next w:val="Normal"/>
    <w:link w:val="Heading1Char"/>
    <w:uiPriority w:val="1"/>
    <w:qFormat/>
    <w:rsid w:val="00E4041E"/>
    <w:pPr>
      <w:keepNext/>
      <w:keepLines/>
      <w:numPr>
        <w:numId w:val="2"/>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3"/>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rsid w:val="00C317F3"/>
    <w:pPr>
      <w:spacing w:before="0" w:after="0"/>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8"/>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locked/>
    <w:rsid w:val="0095170D"/>
    <w:rPr>
      <w:sz w:val="24"/>
    </w:rPr>
  </w:style>
  <w:style w:type="numbering" w:customStyle="1" w:styleId="Headings">
    <w:name w:val="Headings"/>
    <w:uiPriority w:val="99"/>
    <w:rsid w:val="00C317F3"/>
    <w:pPr>
      <w:numPr>
        <w:numId w:val="9"/>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1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pPr>
    <w:rPr>
      <w:rFonts w:ascii="Calibri" w:hAnsi="Calibri"/>
    </w:rPr>
  </w:style>
  <w:style w:type="paragraph" w:styleId="TableofFigures">
    <w:name w:val="table of figures"/>
    <w:basedOn w:val="Normal"/>
    <w:next w:val="Normal"/>
    <w:uiPriority w:val="99"/>
    <w:unhideWhenUsed/>
    <w:rsid w:val="008C6FEC"/>
    <w:pPr>
      <w:tabs>
        <w:tab w:val="right" w:leader="dot" w:pos="9016"/>
      </w:tabs>
      <w:spacing w:before="40" w:after="0"/>
    </w:pPr>
    <w:rPr>
      <w:rFonts w:ascii="Calibri" w:hAnsi="Calibri"/>
      <w:noProof/>
      <w:sz w:val="20"/>
    </w:rPr>
  </w:style>
  <w:style w:type="paragraph" w:customStyle="1" w:styleId="xSpace">
    <w:name w:val="xSpace"/>
    <w:basedOn w:val="BodyText"/>
    <w:rsid w:val="00235267"/>
    <w:pPr>
      <w:widowControl/>
    </w:pPr>
    <w:rPr>
      <w:rFonts w:ascii="Times New Roman" w:hAnsi="Times New Roman" w:cs="Times New Roman"/>
      <w:snapToGrid/>
      <w:szCs w:val="24"/>
      <w:lang w:val="en-US"/>
    </w:rPr>
  </w:style>
  <w:style w:type="paragraph" w:customStyle="1" w:styleId="Synopsis">
    <w:name w:val="Synopsis"/>
    <w:basedOn w:val="BodyText"/>
    <w:link w:val="SynopsisChar"/>
    <w:rsid w:val="00235267"/>
    <w:pPr>
      <w:keepLines/>
      <w:widowControl/>
      <w:spacing w:before="40" w:after="40"/>
    </w:pPr>
    <w:rPr>
      <w:rFonts w:ascii="Times New Roman" w:hAnsi="Times New Roman" w:cs="Times New Roman"/>
      <w:snapToGrid/>
      <w:szCs w:val="24"/>
      <w:lang w:val="en-US"/>
    </w:rPr>
  </w:style>
  <w:style w:type="character" w:customStyle="1" w:styleId="SynopsisChar">
    <w:name w:val="Synopsis Char"/>
    <w:link w:val="Synopsis"/>
    <w:rsid w:val="00235267"/>
    <w:rPr>
      <w:rFonts w:ascii="Times New Roman" w:eastAsia="Times New Roman" w:hAnsi="Times New Roman" w:cs="Times New Roman"/>
      <w:szCs w:val="24"/>
      <w:lang w:val="en-US"/>
    </w:rPr>
  </w:style>
  <w:style w:type="paragraph" w:customStyle="1" w:styleId="TableCellCenter">
    <w:name w:val="Table Cell Center"/>
    <w:basedOn w:val="BodyText"/>
    <w:qFormat/>
    <w:rsid w:val="00C9405C"/>
    <w:pPr>
      <w:widowControl/>
      <w:spacing w:before="40" w:after="40"/>
      <w:jc w:val="center"/>
    </w:pPr>
    <w:rPr>
      <w:rFonts w:ascii="Times New Roman" w:hAnsi="Times New Roman" w:cs="Times New Roman"/>
      <w:snapToGrid/>
      <w:sz w:val="20"/>
      <w:szCs w:val="24"/>
      <w:lang w:val="en-US"/>
    </w:rPr>
  </w:style>
  <w:style w:type="paragraph" w:customStyle="1" w:styleId="TableCellLeft">
    <w:name w:val="Table Cell Left"/>
    <w:basedOn w:val="BodyText"/>
    <w:link w:val="TableCellLeftChar"/>
    <w:qFormat/>
    <w:rsid w:val="00C9405C"/>
    <w:pPr>
      <w:widowControl/>
      <w:spacing w:before="40" w:after="40"/>
    </w:pPr>
    <w:rPr>
      <w:rFonts w:ascii="Times New Roman" w:hAnsi="Times New Roman" w:cs="Times New Roman"/>
      <w:snapToGrid/>
      <w:sz w:val="20"/>
      <w:szCs w:val="24"/>
      <w:lang w:val="en-US"/>
    </w:rPr>
  </w:style>
  <w:style w:type="character" w:customStyle="1" w:styleId="TableCellLeftChar">
    <w:name w:val="Table Cell Left Char"/>
    <w:link w:val="TableCellLeft"/>
    <w:locked/>
    <w:rsid w:val="00C9405C"/>
    <w:rPr>
      <w:rFonts w:ascii="Times New Roman" w:eastAsia="Times New Roman" w:hAnsi="Times New Roman" w:cs="Times New Roman"/>
      <w:sz w:val="20"/>
      <w:szCs w:val="24"/>
      <w:lang w:val="en-US"/>
    </w:rPr>
  </w:style>
  <w:style w:type="paragraph" w:customStyle="1" w:styleId="TableNote">
    <w:name w:val="Table Note"/>
    <w:basedOn w:val="BodyText"/>
    <w:link w:val="TableNoteChar"/>
    <w:qFormat/>
    <w:rsid w:val="003E1DE7"/>
    <w:pPr>
      <w:widowControl/>
      <w:tabs>
        <w:tab w:val="right" w:pos="144"/>
      </w:tabs>
      <w:spacing w:before="40" w:line="288" w:lineRule="auto"/>
      <w:ind w:left="113" w:hanging="113"/>
    </w:pPr>
    <w:rPr>
      <w:rFonts w:ascii="Arial Narrow" w:hAnsi="Arial Narrow" w:cs="Times New Roman"/>
      <w:snapToGrid/>
      <w:sz w:val="18"/>
      <w:szCs w:val="24"/>
      <w:lang w:val="en-US"/>
    </w:rPr>
  </w:style>
  <w:style w:type="character" w:customStyle="1" w:styleId="TableNoteChar">
    <w:name w:val="Table Note Char"/>
    <w:link w:val="TableNote"/>
    <w:rsid w:val="003E1DE7"/>
    <w:rPr>
      <w:rFonts w:ascii="Arial Narrow" w:eastAsia="Times New Roman" w:hAnsi="Arial Narrow" w:cs="Times New Roman"/>
      <w:sz w:val="18"/>
      <w:szCs w:val="24"/>
      <w:lang w:val="en-US"/>
    </w:rPr>
  </w:style>
  <w:style w:type="table" w:customStyle="1" w:styleId="TableGrid7">
    <w:name w:val="Table Grid7"/>
    <w:basedOn w:val="TableNormal"/>
    <w:next w:val="TableGrid"/>
    <w:uiPriority w:val="59"/>
    <w:rsid w:val="003B4A1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qFormat/>
    <w:rsid w:val="00EB0BA7"/>
    <w:pPr>
      <w:spacing w:before="0" w:after="0" w:line="360" w:lineRule="auto"/>
    </w:pPr>
    <w:rPr>
      <w:rFonts w:eastAsia="Times New Roman" w:cs="Times New Roman"/>
      <w:sz w:val="22"/>
      <w:szCs w:val="20"/>
      <w:lang w:val="en-US"/>
    </w:rPr>
  </w:style>
  <w:style w:type="character" w:customStyle="1" w:styleId="SyneviNormalChar">
    <w:name w:val="Synevi Normal Char"/>
    <w:basedOn w:val="DefaultParagraphFont"/>
    <w:link w:val="SyneviNormal"/>
    <w:rsid w:val="00EB0BA7"/>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270904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1057122827">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84B7-B142-43FA-B688-E4D3FBB3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11056</Words>
  <Characters>63022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2018-10-10T01:06:00Z</dcterms:created>
  <dcterms:modified xsi:type="dcterms:W3CDTF">2018-10-18T02:21:00Z</dcterms:modified>
</cp:coreProperties>
</file>