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16" w:rsidRDefault="003A2F08" w:rsidP="00150ABE">
      <w:pPr>
        <w:ind w:left="992" w:hanging="992"/>
        <w:jc w:val="left"/>
        <w:rPr>
          <w:b/>
          <w:sz w:val="36"/>
          <w:szCs w:val="36"/>
        </w:rPr>
      </w:pPr>
      <w:r w:rsidRPr="00150ABE">
        <w:rPr>
          <w:b/>
          <w:sz w:val="36"/>
          <w:szCs w:val="36"/>
        </w:rPr>
        <w:t>6.03</w:t>
      </w:r>
      <w:r w:rsidR="00150ABE">
        <w:rPr>
          <w:b/>
          <w:sz w:val="36"/>
          <w:szCs w:val="36"/>
        </w:rPr>
        <w:tab/>
      </w:r>
      <w:r w:rsidR="006A3942" w:rsidRPr="00150ABE">
        <w:rPr>
          <w:b/>
          <w:sz w:val="36"/>
          <w:szCs w:val="36"/>
        </w:rPr>
        <w:t>DENOSUMAB</w:t>
      </w:r>
      <w:r w:rsidR="00B60939" w:rsidRPr="00150ABE">
        <w:rPr>
          <w:b/>
          <w:sz w:val="36"/>
          <w:szCs w:val="36"/>
        </w:rPr>
        <w:t xml:space="preserve">, </w:t>
      </w:r>
      <w:r w:rsidR="006A3942" w:rsidRPr="00150ABE">
        <w:rPr>
          <w:b/>
          <w:sz w:val="36"/>
          <w:szCs w:val="36"/>
        </w:rPr>
        <w:t>injection</w:t>
      </w:r>
      <w:r w:rsidR="00B60939" w:rsidRPr="00150ABE">
        <w:rPr>
          <w:b/>
          <w:sz w:val="36"/>
          <w:szCs w:val="36"/>
        </w:rPr>
        <w:t xml:space="preserve">, </w:t>
      </w:r>
      <w:r w:rsidR="006A3942" w:rsidRPr="00150ABE">
        <w:rPr>
          <w:b/>
          <w:sz w:val="36"/>
          <w:szCs w:val="36"/>
        </w:rPr>
        <w:t>120 mg in 1.7 mL vial</w:t>
      </w:r>
      <w:r w:rsidR="00B60939" w:rsidRPr="00150ABE">
        <w:rPr>
          <w:b/>
          <w:sz w:val="36"/>
          <w:szCs w:val="36"/>
        </w:rPr>
        <w:t xml:space="preserve">, </w:t>
      </w:r>
      <w:proofErr w:type="spellStart"/>
      <w:r w:rsidR="006A3942" w:rsidRPr="00150ABE">
        <w:rPr>
          <w:b/>
          <w:sz w:val="36"/>
          <w:szCs w:val="36"/>
        </w:rPr>
        <w:t>X</w:t>
      </w:r>
      <w:r w:rsidR="00946780">
        <w:rPr>
          <w:b/>
          <w:sz w:val="36"/>
          <w:szCs w:val="36"/>
        </w:rPr>
        <w:t>geva</w:t>
      </w:r>
      <w:proofErr w:type="spellEnd"/>
      <w:r w:rsidR="00B60939" w:rsidRPr="00150ABE">
        <w:rPr>
          <w:b/>
          <w:sz w:val="36"/>
          <w:szCs w:val="36"/>
        </w:rPr>
        <w:t xml:space="preserve">®, </w:t>
      </w:r>
    </w:p>
    <w:p w:rsidR="00B60939" w:rsidRDefault="006A3942" w:rsidP="001A7E16">
      <w:pPr>
        <w:ind w:left="992"/>
        <w:jc w:val="left"/>
        <w:rPr>
          <w:b/>
          <w:sz w:val="36"/>
          <w:szCs w:val="36"/>
        </w:rPr>
      </w:pPr>
      <w:r w:rsidRPr="00150ABE">
        <w:rPr>
          <w:b/>
          <w:sz w:val="36"/>
          <w:szCs w:val="36"/>
        </w:rPr>
        <w:t>Amgen</w:t>
      </w:r>
      <w:r w:rsidR="00F07F4A">
        <w:rPr>
          <w:b/>
          <w:sz w:val="36"/>
          <w:szCs w:val="36"/>
        </w:rPr>
        <w:t xml:space="preserve"> Australia Pty Ltd</w:t>
      </w:r>
    </w:p>
    <w:p w:rsidR="00B60939" w:rsidRPr="00D56BF2" w:rsidRDefault="00B50DB8" w:rsidP="00B60939">
      <w:pPr>
        <w:pStyle w:val="PBACHeading1"/>
        <w:numPr>
          <w:ilvl w:val="0"/>
          <w:numId w:val="29"/>
        </w:numPr>
        <w:spacing w:before="240" w:after="120"/>
        <w:outlineLvl w:val="0"/>
        <w:rPr>
          <w:rFonts w:asciiTheme="minorHAnsi" w:hAnsiTheme="minorHAnsi"/>
          <w:szCs w:val="32"/>
        </w:rPr>
      </w:pPr>
      <w:bookmarkStart w:id="0" w:name="_Toc514234380"/>
      <w:r w:rsidRPr="004D1C86">
        <w:rPr>
          <w:rFonts w:asciiTheme="minorHAnsi" w:hAnsiTheme="minorHAnsi"/>
          <w:szCs w:val="32"/>
        </w:rPr>
        <w:t>Purpose of Application</w:t>
      </w:r>
      <w:bookmarkEnd w:id="0"/>
    </w:p>
    <w:p w:rsidR="002C2775" w:rsidRPr="00150ABE" w:rsidRDefault="00BB2374" w:rsidP="006D7E46">
      <w:pPr>
        <w:pStyle w:val="ListParagraph"/>
        <w:widowControl/>
        <w:numPr>
          <w:ilvl w:val="1"/>
          <w:numId w:val="29"/>
        </w:numPr>
        <w:spacing w:after="120"/>
      </w:pPr>
      <w:r w:rsidRPr="00150ABE">
        <w:t>The submission requested an extension of the current Section 85 Streamlined Authority Required listing for denosumab to include treatment of patients with multiple myeloma. Denosumab is currently listed on the PBS for treatment of giant cell tumour of bone and bone metastases from breast and castrate-resistant prostate cancer.</w:t>
      </w:r>
    </w:p>
    <w:p w:rsidR="00C2778B" w:rsidRPr="00150ABE" w:rsidRDefault="00F07F4A" w:rsidP="006D7E46">
      <w:pPr>
        <w:pStyle w:val="ListParagraph"/>
        <w:widowControl/>
        <w:numPr>
          <w:ilvl w:val="1"/>
          <w:numId w:val="29"/>
        </w:numPr>
        <w:spacing w:after="120"/>
      </w:pPr>
      <w:r>
        <w:t>The submission requested PBS listing</w:t>
      </w:r>
      <w:r w:rsidR="00BB2374" w:rsidRPr="00150ABE">
        <w:t xml:space="preserve"> on the basis of a cost-effectiveness analysis compared with zoledronic acid. </w:t>
      </w:r>
    </w:p>
    <w:p w:rsidR="00BB2374" w:rsidRPr="00150ABE" w:rsidRDefault="00BB2374" w:rsidP="00BB2374">
      <w:r w:rsidRPr="00150ABE">
        <w:rPr>
          <w:rStyle w:val="CommentReference"/>
        </w:rPr>
        <w:t>Table 1:  Key components of the clinical issue addressed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BB2374" w:rsidRPr="00150ABE" w:rsidTr="00BB2374">
        <w:tc>
          <w:tcPr>
            <w:tcW w:w="1668" w:type="dxa"/>
            <w:vAlign w:val="center"/>
          </w:tcPr>
          <w:p w:rsidR="00BB2374" w:rsidRPr="00150ABE" w:rsidRDefault="00BB2374" w:rsidP="00BB2374">
            <w:pPr>
              <w:pStyle w:val="Tabletext"/>
              <w:rPr>
                <w:b/>
              </w:rPr>
            </w:pPr>
            <w:r w:rsidRPr="00150ABE">
              <w:rPr>
                <w:b/>
              </w:rPr>
              <w:t>Component</w:t>
            </w:r>
          </w:p>
        </w:tc>
        <w:tc>
          <w:tcPr>
            <w:tcW w:w="7488" w:type="dxa"/>
            <w:vAlign w:val="center"/>
          </w:tcPr>
          <w:p w:rsidR="00BB2374" w:rsidRPr="00150ABE" w:rsidRDefault="00BB2374" w:rsidP="00BB2374">
            <w:pPr>
              <w:pStyle w:val="Tabletext"/>
              <w:jc w:val="center"/>
              <w:rPr>
                <w:b/>
              </w:rPr>
            </w:pPr>
            <w:r w:rsidRPr="00150ABE">
              <w:rPr>
                <w:b/>
              </w:rPr>
              <w:t>Description</w:t>
            </w:r>
          </w:p>
        </w:tc>
      </w:tr>
      <w:tr w:rsidR="00BB2374" w:rsidRPr="00150ABE" w:rsidTr="00BB2374">
        <w:tc>
          <w:tcPr>
            <w:tcW w:w="1668" w:type="dxa"/>
            <w:vAlign w:val="center"/>
          </w:tcPr>
          <w:p w:rsidR="00BB2374" w:rsidRPr="00150ABE" w:rsidRDefault="00BB2374" w:rsidP="00BB2374">
            <w:pPr>
              <w:pStyle w:val="Tabletext"/>
            </w:pPr>
            <w:r w:rsidRPr="00150ABE">
              <w:t>Population</w:t>
            </w:r>
          </w:p>
        </w:tc>
        <w:tc>
          <w:tcPr>
            <w:tcW w:w="7488" w:type="dxa"/>
            <w:vAlign w:val="center"/>
          </w:tcPr>
          <w:p w:rsidR="00BB2374" w:rsidRPr="00150ABE" w:rsidRDefault="00BB2374" w:rsidP="00BB2374">
            <w:pPr>
              <w:pStyle w:val="Tabletext"/>
            </w:pPr>
            <w:r w:rsidRPr="00150ABE">
              <w:t>Patients with bone lesions due to multiple myeloma</w:t>
            </w:r>
          </w:p>
        </w:tc>
      </w:tr>
      <w:tr w:rsidR="00BB2374" w:rsidRPr="00150ABE" w:rsidTr="00BB2374">
        <w:tc>
          <w:tcPr>
            <w:tcW w:w="1668" w:type="dxa"/>
            <w:vAlign w:val="center"/>
          </w:tcPr>
          <w:p w:rsidR="00BB2374" w:rsidRPr="00150ABE" w:rsidRDefault="00BB2374" w:rsidP="00BB2374">
            <w:pPr>
              <w:pStyle w:val="Tabletext"/>
            </w:pPr>
            <w:r w:rsidRPr="00150ABE">
              <w:t>Intervention</w:t>
            </w:r>
          </w:p>
        </w:tc>
        <w:tc>
          <w:tcPr>
            <w:tcW w:w="7488" w:type="dxa"/>
            <w:vAlign w:val="center"/>
          </w:tcPr>
          <w:p w:rsidR="00BB2374" w:rsidRPr="00150ABE" w:rsidRDefault="00BB2374" w:rsidP="00BB2374">
            <w:pPr>
              <w:pStyle w:val="Tabletext"/>
            </w:pPr>
            <w:r w:rsidRPr="00150ABE">
              <w:t xml:space="preserve">Denosumab 120 mg subcutaneous injection every 4 weeks </w:t>
            </w:r>
          </w:p>
        </w:tc>
      </w:tr>
      <w:tr w:rsidR="00BB2374" w:rsidRPr="00150ABE" w:rsidTr="00BB2374">
        <w:tc>
          <w:tcPr>
            <w:tcW w:w="1668" w:type="dxa"/>
            <w:vAlign w:val="center"/>
          </w:tcPr>
          <w:p w:rsidR="00BB2374" w:rsidRPr="00150ABE" w:rsidRDefault="00BB2374" w:rsidP="00BB2374">
            <w:pPr>
              <w:pStyle w:val="Tabletext"/>
            </w:pPr>
            <w:r w:rsidRPr="00150ABE">
              <w:t>Comparator</w:t>
            </w:r>
          </w:p>
        </w:tc>
        <w:tc>
          <w:tcPr>
            <w:tcW w:w="7488" w:type="dxa"/>
            <w:vAlign w:val="center"/>
          </w:tcPr>
          <w:p w:rsidR="00BB2374" w:rsidRPr="00150ABE" w:rsidRDefault="00BB2374" w:rsidP="00BB2374">
            <w:pPr>
              <w:pStyle w:val="Tabletext"/>
            </w:pPr>
            <w:r w:rsidRPr="00150ABE">
              <w:t>Zoledronic acid 4 mg intravenous infusion every 3-4 weeks</w:t>
            </w:r>
          </w:p>
        </w:tc>
      </w:tr>
      <w:tr w:rsidR="00BB2374" w:rsidRPr="00150ABE" w:rsidTr="00BB2374">
        <w:tc>
          <w:tcPr>
            <w:tcW w:w="1668" w:type="dxa"/>
            <w:vAlign w:val="center"/>
          </w:tcPr>
          <w:p w:rsidR="00BB2374" w:rsidRPr="00150ABE" w:rsidRDefault="00BB2374" w:rsidP="00BB2374">
            <w:pPr>
              <w:pStyle w:val="Tabletext"/>
            </w:pPr>
            <w:r w:rsidRPr="00150ABE">
              <w:t>Outcomes</w:t>
            </w:r>
          </w:p>
        </w:tc>
        <w:tc>
          <w:tcPr>
            <w:tcW w:w="7488" w:type="dxa"/>
            <w:vAlign w:val="center"/>
          </w:tcPr>
          <w:p w:rsidR="00BB2374" w:rsidRPr="00150ABE" w:rsidRDefault="00D42D63" w:rsidP="00BB2374">
            <w:pPr>
              <w:pStyle w:val="Tabletext"/>
            </w:pPr>
            <w:r w:rsidRPr="00150ABE">
              <w:t xml:space="preserve">Prevention of skeletal </w:t>
            </w:r>
            <w:r w:rsidR="00BB2374" w:rsidRPr="00150ABE">
              <w:t>related events, improved progression-free survival and reduced incidence of renal adverse events</w:t>
            </w:r>
          </w:p>
        </w:tc>
      </w:tr>
      <w:tr w:rsidR="00BB2374" w:rsidRPr="00150ABE" w:rsidTr="00BB2374">
        <w:tc>
          <w:tcPr>
            <w:tcW w:w="1668" w:type="dxa"/>
            <w:vAlign w:val="center"/>
          </w:tcPr>
          <w:p w:rsidR="00BB2374" w:rsidRPr="00150ABE" w:rsidRDefault="00BB2374" w:rsidP="00BB2374">
            <w:pPr>
              <w:pStyle w:val="Tabletext"/>
            </w:pPr>
            <w:r w:rsidRPr="00150ABE">
              <w:t>Clinical claim</w:t>
            </w:r>
          </w:p>
        </w:tc>
        <w:tc>
          <w:tcPr>
            <w:tcW w:w="7488" w:type="dxa"/>
            <w:vAlign w:val="center"/>
          </w:tcPr>
          <w:p w:rsidR="00BB2374" w:rsidRPr="00150ABE" w:rsidRDefault="00BB2374" w:rsidP="00BB2374">
            <w:pPr>
              <w:pStyle w:val="Tabletext"/>
            </w:pPr>
            <w:r w:rsidRPr="00150ABE">
              <w:t>Denosumab is non-inferior to zoledronic acid in terms of prevention of skeletal-related events.</w:t>
            </w:r>
          </w:p>
          <w:p w:rsidR="00BB2374" w:rsidRPr="00150ABE" w:rsidRDefault="00BB2374" w:rsidP="00BB2374">
            <w:pPr>
              <w:pStyle w:val="Tabletext"/>
            </w:pPr>
            <w:r w:rsidRPr="00150ABE">
              <w:t>Denosumab is superior to zoledronic acid in terms of progression-free survival.</w:t>
            </w:r>
          </w:p>
          <w:p w:rsidR="00BB2374" w:rsidRPr="00150ABE" w:rsidRDefault="00BB2374" w:rsidP="00BB2374">
            <w:pPr>
              <w:pStyle w:val="Tabletext"/>
            </w:pPr>
            <w:r w:rsidRPr="00150ABE">
              <w:t>Denosumab is similar to zoledronic acid in terms of comparative safety but associated with a lower incidence of renal adverse events.</w:t>
            </w:r>
          </w:p>
        </w:tc>
      </w:tr>
    </w:tbl>
    <w:p w:rsidR="00BB2374" w:rsidRDefault="00BB2374" w:rsidP="00BB2374">
      <w:pPr>
        <w:pStyle w:val="TableFooter"/>
      </w:pPr>
      <w:r w:rsidRPr="00150ABE">
        <w:t>Source: Table 1.1-1, p12 of the submission</w:t>
      </w:r>
    </w:p>
    <w:p w:rsidR="00F07F4A" w:rsidRDefault="00F07F4A">
      <w:pPr>
        <w:widowControl/>
        <w:jc w:val="left"/>
        <w:rPr>
          <w:rFonts w:ascii="Arial Narrow" w:hAnsi="Arial Narrow"/>
          <w:sz w:val="18"/>
        </w:rPr>
      </w:pPr>
      <w:r>
        <w:br w:type="page"/>
      </w:r>
    </w:p>
    <w:p w:rsidR="006D74C6" w:rsidRPr="00150ABE" w:rsidRDefault="006D74C6" w:rsidP="00BB2374">
      <w:pPr>
        <w:pStyle w:val="TableFooter"/>
      </w:pPr>
    </w:p>
    <w:p w:rsidR="00BB2374" w:rsidRPr="0093259D" w:rsidRDefault="00B50DB8" w:rsidP="00BB2374">
      <w:pPr>
        <w:pStyle w:val="PBACHeading1"/>
        <w:numPr>
          <w:ilvl w:val="0"/>
          <w:numId w:val="29"/>
        </w:numPr>
        <w:spacing w:before="240" w:after="120"/>
        <w:outlineLvl w:val="0"/>
        <w:rPr>
          <w:rFonts w:asciiTheme="minorHAnsi" w:hAnsiTheme="minorHAnsi"/>
          <w:szCs w:val="32"/>
        </w:rPr>
      </w:pPr>
      <w:bookmarkStart w:id="1" w:name="_Toc514234381"/>
      <w:r w:rsidRPr="004D1C86">
        <w:rPr>
          <w:rFonts w:asciiTheme="minorHAnsi" w:hAnsiTheme="minorHAnsi"/>
          <w:szCs w:val="32"/>
        </w:rPr>
        <w:t>Requested listing</w:t>
      </w:r>
      <w:bookmarkEnd w:id="1"/>
    </w:p>
    <w:tbl>
      <w:tblPr>
        <w:tblW w:w="9245" w:type="dxa"/>
        <w:tblBorders>
          <w:top w:val="single" w:sz="4" w:space="0" w:color="auto"/>
          <w:bottom w:val="single" w:sz="4" w:space="0" w:color="auto"/>
          <w:insideH w:val="single" w:sz="4" w:space="0" w:color="auto"/>
        </w:tblBorders>
        <w:tblLook w:val="04A0" w:firstRow="1" w:lastRow="0" w:firstColumn="1" w:lastColumn="0" w:noHBand="0" w:noVBand="1"/>
      </w:tblPr>
      <w:tblGrid>
        <w:gridCol w:w="2196"/>
        <w:gridCol w:w="610"/>
        <w:gridCol w:w="665"/>
        <w:gridCol w:w="1296"/>
        <w:gridCol w:w="800"/>
        <w:gridCol w:w="1908"/>
        <w:gridCol w:w="1764"/>
        <w:gridCol w:w="6"/>
      </w:tblGrid>
      <w:tr w:rsidR="00BB2374" w:rsidRPr="00150ABE" w:rsidTr="00BB2374">
        <w:trPr>
          <w:gridAfter w:val="1"/>
          <w:wAfter w:w="5" w:type="pct"/>
        </w:trPr>
        <w:tc>
          <w:tcPr>
            <w:tcW w:w="0" w:type="auto"/>
          </w:tcPr>
          <w:p w:rsidR="00BB2374" w:rsidRPr="00150ABE" w:rsidRDefault="00BB2374" w:rsidP="00BB2374">
            <w:pPr>
              <w:pStyle w:val="Tabletext"/>
              <w:rPr>
                <w:b/>
                <w:bCs/>
              </w:rPr>
            </w:pPr>
            <w:r w:rsidRPr="00150ABE">
              <w:rPr>
                <w:b/>
              </w:rPr>
              <w:t>Name, restriction, manner of administration, form</w:t>
            </w:r>
          </w:p>
        </w:tc>
        <w:tc>
          <w:tcPr>
            <w:tcW w:w="0" w:type="auto"/>
            <w:gridSpan w:val="2"/>
          </w:tcPr>
          <w:p w:rsidR="00BB2374" w:rsidRPr="00150ABE" w:rsidRDefault="00BB2374" w:rsidP="00BB2374">
            <w:pPr>
              <w:pStyle w:val="Tabletext"/>
              <w:jc w:val="center"/>
              <w:rPr>
                <w:b/>
                <w:bCs/>
              </w:rPr>
            </w:pPr>
            <w:r w:rsidRPr="00150ABE">
              <w:rPr>
                <w:b/>
              </w:rPr>
              <w:t>Maximum quantity (packs)</w:t>
            </w:r>
          </w:p>
        </w:tc>
        <w:tc>
          <w:tcPr>
            <w:tcW w:w="0" w:type="auto"/>
          </w:tcPr>
          <w:p w:rsidR="00BB2374" w:rsidRPr="00150ABE" w:rsidRDefault="00BB2374" w:rsidP="00BB2374">
            <w:pPr>
              <w:pStyle w:val="Tabletext"/>
              <w:jc w:val="center"/>
              <w:rPr>
                <w:b/>
                <w:bCs/>
              </w:rPr>
            </w:pPr>
            <w:r w:rsidRPr="00150ABE">
              <w:rPr>
                <w:b/>
              </w:rPr>
              <w:t>Maximum quantity (units)</w:t>
            </w:r>
          </w:p>
        </w:tc>
        <w:tc>
          <w:tcPr>
            <w:tcW w:w="0" w:type="auto"/>
          </w:tcPr>
          <w:p w:rsidR="00BB2374" w:rsidRPr="00150ABE" w:rsidRDefault="00BB2374" w:rsidP="00BB2374">
            <w:pPr>
              <w:pStyle w:val="Tabletext"/>
              <w:rPr>
                <w:b/>
                <w:bCs/>
              </w:rPr>
            </w:pPr>
            <w:r w:rsidRPr="00150ABE">
              <w:rPr>
                <w:b/>
              </w:rPr>
              <w:t>No. of repeats</w:t>
            </w:r>
          </w:p>
        </w:tc>
        <w:tc>
          <w:tcPr>
            <w:tcW w:w="0" w:type="auto"/>
          </w:tcPr>
          <w:p w:rsidR="00BB2374" w:rsidRPr="00150ABE" w:rsidRDefault="00BB2374" w:rsidP="00BB2374">
            <w:pPr>
              <w:pStyle w:val="Tabletext"/>
              <w:rPr>
                <w:b/>
                <w:bCs/>
              </w:rPr>
            </w:pPr>
            <w:r w:rsidRPr="00150ABE">
              <w:rPr>
                <w:b/>
              </w:rPr>
              <w:t>Dispensed price for maximum quantity</w:t>
            </w:r>
          </w:p>
        </w:tc>
        <w:tc>
          <w:tcPr>
            <w:tcW w:w="0" w:type="auto"/>
          </w:tcPr>
          <w:p w:rsidR="00BB2374" w:rsidRPr="00150ABE" w:rsidRDefault="00BB2374" w:rsidP="00BB2374">
            <w:pPr>
              <w:pStyle w:val="Tabletext"/>
              <w:rPr>
                <w:b/>
                <w:bCs/>
              </w:rPr>
            </w:pPr>
            <w:r w:rsidRPr="00150ABE">
              <w:rPr>
                <w:b/>
              </w:rPr>
              <w:t>Proprietary name and manufacturer</w:t>
            </w:r>
          </w:p>
        </w:tc>
      </w:tr>
      <w:tr w:rsidR="00BB2374" w:rsidRPr="00150ABE" w:rsidTr="00BB2374">
        <w:trPr>
          <w:gridAfter w:val="1"/>
          <w:wAfter w:w="5" w:type="pct"/>
        </w:trPr>
        <w:tc>
          <w:tcPr>
            <w:tcW w:w="0" w:type="auto"/>
          </w:tcPr>
          <w:p w:rsidR="00BB2374" w:rsidRPr="00150ABE" w:rsidRDefault="00BB2374" w:rsidP="00BB2374">
            <w:pPr>
              <w:pStyle w:val="Tabletext"/>
            </w:pPr>
            <w:r w:rsidRPr="00150ABE">
              <w:rPr>
                <w:smallCaps/>
              </w:rPr>
              <w:t>Denosumab</w:t>
            </w:r>
          </w:p>
          <w:p w:rsidR="00BB2374" w:rsidRPr="00150ABE" w:rsidRDefault="00BB2374" w:rsidP="00BB2374">
            <w:pPr>
              <w:pStyle w:val="Tabletext"/>
              <w:rPr>
                <w:b/>
                <w:bCs/>
              </w:rPr>
            </w:pPr>
            <w:r w:rsidRPr="00150ABE">
              <w:t xml:space="preserve">120 mg/1.7 mL injection, 1.7 mL vial </w:t>
            </w:r>
          </w:p>
        </w:tc>
        <w:tc>
          <w:tcPr>
            <w:tcW w:w="0" w:type="auto"/>
            <w:gridSpan w:val="2"/>
          </w:tcPr>
          <w:p w:rsidR="00BB2374" w:rsidRPr="00150ABE" w:rsidRDefault="00BB2374" w:rsidP="00BB2374">
            <w:pPr>
              <w:pStyle w:val="Tabletext"/>
              <w:jc w:val="center"/>
              <w:rPr>
                <w:rFonts w:ascii="Times" w:hAnsi="Times"/>
              </w:rPr>
            </w:pPr>
            <w:r w:rsidRPr="00150ABE">
              <w:t>1</w:t>
            </w:r>
          </w:p>
        </w:tc>
        <w:tc>
          <w:tcPr>
            <w:tcW w:w="0" w:type="auto"/>
          </w:tcPr>
          <w:p w:rsidR="00BB2374" w:rsidRPr="00150ABE" w:rsidRDefault="00BB2374" w:rsidP="00BB2374">
            <w:pPr>
              <w:pStyle w:val="Tabletext"/>
              <w:jc w:val="center"/>
              <w:rPr>
                <w:rFonts w:ascii="Times" w:hAnsi="Times"/>
              </w:rPr>
            </w:pPr>
            <w:r w:rsidRPr="00150ABE">
              <w:t>1</w:t>
            </w:r>
          </w:p>
        </w:tc>
        <w:tc>
          <w:tcPr>
            <w:tcW w:w="0" w:type="auto"/>
          </w:tcPr>
          <w:p w:rsidR="00BB2374" w:rsidRPr="00150ABE" w:rsidRDefault="00BB2374" w:rsidP="00BB2374">
            <w:pPr>
              <w:pStyle w:val="Tabletext"/>
              <w:jc w:val="center"/>
              <w:rPr>
                <w:rFonts w:ascii="Times" w:hAnsi="Times"/>
              </w:rPr>
            </w:pPr>
            <w:r w:rsidRPr="00150ABE">
              <w:t>5</w:t>
            </w:r>
          </w:p>
        </w:tc>
        <w:tc>
          <w:tcPr>
            <w:tcW w:w="0" w:type="auto"/>
          </w:tcPr>
          <w:p w:rsidR="00BB2374" w:rsidRPr="00150ABE" w:rsidRDefault="00BB2374" w:rsidP="00BB2374">
            <w:pPr>
              <w:pStyle w:val="Tabletext"/>
              <w:rPr>
                <w:rFonts w:ascii="Times" w:hAnsi="Times"/>
              </w:rPr>
            </w:pPr>
            <w:r w:rsidRPr="00150ABE">
              <w:t>$</w:t>
            </w:r>
            <w:r w:rsidR="00604FF7">
              <w:rPr>
                <w:noProof/>
                <w:color w:val="000000"/>
                <w:highlight w:val="black"/>
              </w:rPr>
              <w:t>'''''''''''''''</w:t>
            </w:r>
          </w:p>
          <w:p w:rsidR="00BB2374" w:rsidRPr="00150ABE" w:rsidRDefault="00BB2374" w:rsidP="00BB2374">
            <w:pPr>
              <w:pStyle w:val="Tabletext"/>
              <w:rPr>
                <w:rFonts w:ascii="Times" w:hAnsi="Times"/>
              </w:rPr>
            </w:pPr>
          </w:p>
        </w:tc>
        <w:tc>
          <w:tcPr>
            <w:tcW w:w="0" w:type="auto"/>
          </w:tcPr>
          <w:p w:rsidR="00BB2374" w:rsidRPr="00150ABE" w:rsidRDefault="00BB2374" w:rsidP="00BB2374">
            <w:pPr>
              <w:pStyle w:val="Tabletext"/>
            </w:pPr>
            <w:proofErr w:type="spellStart"/>
            <w:r w:rsidRPr="00150ABE">
              <w:t>Xgeva</w:t>
            </w:r>
            <w:proofErr w:type="spellEnd"/>
            <w:r w:rsidRPr="00150ABE">
              <w:rPr>
                <w:vertAlign w:val="superscript"/>
              </w:rPr>
              <w:t>®</w:t>
            </w:r>
          </w:p>
          <w:p w:rsidR="00BB2374" w:rsidRPr="00150ABE" w:rsidRDefault="00BB2374" w:rsidP="00BB2374">
            <w:pPr>
              <w:pStyle w:val="Tabletext"/>
              <w:rPr>
                <w:rFonts w:ascii="Times" w:hAnsi="Times"/>
              </w:rPr>
            </w:pPr>
            <w:r w:rsidRPr="00150ABE">
              <w:t>Amgen</w:t>
            </w:r>
          </w:p>
        </w:tc>
      </w:tr>
      <w:tr w:rsidR="00BB2374" w:rsidRPr="00150ABE" w:rsidTr="00BB2374">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143"/>
        </w:trPr>
        <w:tc>
          <w:tcPr>
            <w:tcW w:w="1522" w:type="pct"/>
            <w:gridSpan w:val="2"/>
            <w:tcBorders>
              <w:top w:val="single" w:sz="4" w:space="0" w:color="auto"/>
              <w:left w:val="single" w:sz="4" w:space="0" w:color="auto"/>
              <w:bottom w:val="single" w:sz="4" w:space="0" w:color="auto"/>
              <w:right w:val="single" w:sz="4" w:space="0" w:color="auto"/>
            </w:tcBorders>
          </w:tcPr>
          <w:p w:rsidR="00BB2374" w:rsidRPr="00150ABE" w:rsidRDefault="00BB2374" w:rsidP="00BB2374">
            <w:pPr>
              <w:rPr>
                <w:rFonts w:ascii="Arial Narrow" w:hAnsi="Arial Narrow"/>
                <w:b/>
                <w:sz w:val="20"/>
                <w:szCs w:val="20"/>
              </w:rPr>
            </w:pPr>
            <w:r w:rsidRPr="00150ABE">
              <w:rPr>
                <w:rFonts w:ascii="Arial Narrow" w:hAnsi="Arial Narrow"/>
                <w:b/>
                <w:sz w:val="20"/>
                <w:szCs w:val="20"/>
              </w:rPr>
              <w:t>Category / Program</w:t>
            </w:r>
          </w:p>
        </w:tc>
        <w:tc>
          <w:tcPr>
            <w:tcW w:w="3477" w:type="pct"/>
            <w:gridSpan w:val="6"/>
            <w:tcBorders>
              <w:top w:val="single" w:sz="4" w:space="0" w:color="auto"/>
              <w:left w:val="single" w:sz="4" w:space="0" w:color="auto"/>
              <w:bottom w:val="single" w:sz="4" w:space="0" w:color="auto"/>
              <w:right w:val="single" w:sz="4" w:space="0" w:color="auto"/>
            </w:tcBorders>
          </w:tcPr>
          <w:p w:rsidR="00BB2374" w:rsidRPr="00150ABE" w:rsidRDefault="00BB2374" w:rsidP="00BB2374">
            <w:pPr>
              <w:rPr>
                <w:rFonts w:ascii="Arial Narrow" w:hAnsi="Arial Narrow"/>
                <w:sz w:val="20"/>
                <w:szCs w:val="20"/>
              </w:rPr>
            </w:pPr>
            <w:r w:rsidRPr="00150ABE">
              <w:rPr>
                <w:rFonts w:ascii="Arial Narrow" w:hAnsi="Arial Narrow"/>
                <w:sz w:val="20"/>
                <w:szCs w:val="20"/>
              </w:rPr>
              <w:t>GENERAL – General Schedule (Code GE)</w:t>
            </w:r>
          </w:p>
        </w:tc>
      </w:tr>
      <w:tr w:rsidR="00BB2374" w:rsidRPr="00150ABE" w:rsidTr="00BB2374">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1522" w:type="pct"/>
            <w:gridSpan w:val="2"/>
            <w:tcBorders>
              <w:top w:val="single" w:sz="4" w:space="0" w:color="auto"/>
              <w:left w:val="single" w:sz="4" w:space="0" w:color="auto"/>
              <w:bottom w:val="single" w:sz="4" w:space="0" w:color="auto"/>
              <w:right w:val="single" w:sz="4" w:space="0" w:color="auto"/>
            </w:tcBorders>
          </w:tcPr>
          <w:p w:rsidR="00BB2374" w:rsidRPr="00150ABE" w:rsidRDefault="00BB2374" w:rsidP="00BB2374">
            <w:pPr>
              <w:rPr>
                <w:rFonts w:ascii="Arial Narrow" w:hAnsi="Arial Narrow"/>
                <w:b/>
                <w:sz w:val="20"/>
                <w:szCs w:val="20"/>
              </w:rPr>
            </w:pPr>
            <w:r w:rsidRPr="00150ABE">
              <w:rPr>
                <w:rFonts w:ascii="Arial Narrow" w:hAnsi="Arial Narrow"/>
                <w:b/>
                <w:sz w:val="20"/>
                <w:szCs w:val="20"/>
              </w:rPr>
              <w:t>Prescriber type:</w:t>
            </w:r>
          </w:p>
        </w:tc>
        <w:tc>
          <w:tcPr>
            <w:tcW w:w="3477" w:type="pct"/>
            <w:gridSpan w:val="6"/>
            <w:tcBorders>
              <w:top w:val="single" w:sz="4" w:space="0" w:color="auto"/>
              <w:left w:val="single" w:sz="4" w:space="0" w:color="auto"/>
              <w:bottom w:val="single" w:sz="4" w:space="0" w:color="auto"/>
              <w:right w:val="single" w:sz="4" w:space="0" w:color="auto"/>
            </w:tcBorders>
          </w:tcPr>
          <w:p w:rsidR="00BB2374" w:rsidRPr="00150ABE" w:rsidRDefault="00BB2374" w:rsidP="00BB2374">
            <w:pPr>
              <w:rPr>
                <w:rFonts w:ascii="Arial Narrow" w:hAnsi="Arial Narrow"/>
                <w:sz w:val="20"/>
                <w:szCs w:val="20"/>
              </w:rPr>
            </w:pPr>
            <w:r w:rsidRPr="00150ABE">
              <w:rPr>
                <w:rFonts w:ascii="Arial Narrow" w:hAnsi="Arial Narrow"/>
                <w:sz w:val="20"/>
                <w:szCs w:val="20"/>
              </w:rPr>
              <w:fldChar w:fldCharType="begin">
                <w:ffData>
                  <w:name w:val="Check1"/>
                  <w:enabled/>
                  <w:calcOnExit w:val="0"/>
                  <w:checkBox>
                    <w:sizeAuto/>
                    <w:default w:val="0"/>
                  </w:checkBox>
                </w:ffData>
              </w:fldChar>
            </w:r>
            <w:r w:rsidRPr="00150ABE">
              <w:rPr>
                <w:rFonts w:ascii="Arial Narrow" w:hAnsi="Arial Narrow"/>
                <w:sz w:val="20"/>
                <w:szCs w:val="20"/>
              </w:rPr>
              <w:instrText xml:space="preserve"> FORMCHECKBOX </w:instrText>
            </w:r>
            <w:r w:rsidR="00D56BF2">
              <w:rPr>
                <w:rFonts w:ascii="Arial Narrow" w:hAnsi="Arial Narrow"/>
                <w:sz w:val="20"/>
                <w:szCs w:val="20"/>
              </w:rPr>
            </w:r>
            <w:r w:rsidR="00D56BF2">
              <w:rPr>
                <w:rFonts w:ascii="Arial Narrow" w:hAnsi="Arial Narrow"/>
                <w:sz w:val="20"/>
                <w:szCs w:val="20"/>
              </w:rPr>
              <w:fldChar w:fldCharType="separate"/>
            </w:r>
            <w:r w:rsidRPr="00150ABE">
              <w:rPr>
                <w:rFonts w:ascii="Arial Narrow" w:hAnsi="Arial Narrow"/>
                <w:sz w:val="20"/>
                <w:szCs w:val="20"/>
              </w:rPr>
              <w:fldChar w:fldCharType="end"/>
            </w:r>
            <w:r w:rsidRPr="00150ABE">
              <w:rPr>
                <w:rFonts w:ascii="Arial Narrow" w:hAnsi="Arial Narrow"/>
                <w:sz w:val="20"/>
                <w:szCs w:val="20"/>
              </w:rPr>
              <w:t xml:space="preserve">Dental  </w:t>
            </w:r>
            <w:r w:rsidRPr="00150ABE">
              <w:rPr>
                <w:rFonts w:ascii="Arial Narrow" w:hAnsi="Arial Narrow"/>
                <w:sz w:val="20"/>
                <w:szCs w:val="20"/>
              </w:rPr>
              <w:fldChar w:fldCharType="begin">
                <w:ffData>
                  <w:name w:val=""/>
                  <w:enabled/>
                  <w:calcOnExit w:val="0"/>
                  <w:checkBox>
                    <w:sizeAuto/>
                    <w:default w:val="1"/>
                  </w:checkBox>
                </w:ffData>
              </w:fldChar>
            </w:r>
            <w:r w:rsidRPr="00150ABE">
              <w:rPr>
                <w:rFonts w:ascii="Arial Narrow" w:hAnsi="Arial Narrow"/>
                <w:sz w:val="20"/>
                <w:szCs w:val="20"/>
              </w:rPr>
              <w:instrText xml:space="preserve"> FORMCHECKBOX </w:instrText>
            </w:r>
            <w:r w:rsidR="00D56BF2">
              <w:rPr>
                <w:rFonts w:ascii="Arial Narrow" w:hAnsi="Arial Narrow"/>
                <w:sz w:val="20"/>
                <w:szCs w:val="20"/>
              </w:rPr>
            </w:r>
            <w:r w:rsidR="00D56BF2">
              <w:rPr>
                <w:rFonts w:ascii="Arial Narrow" w:hAnsi="Arial Narrow"/>
                <w:sz w:val="20"/>
                <w:szCs w:val="20"/>
              </w:rPr>
              <w:fldChar w:fldCharType="separate"/>
            </w:r>
            <w:r w:rsidRPr="00150ABE">
              <w:rPr>
                <w:rFonts w:ascii="Arial Narrow" w:hAnsi="Arial Narrow"/>
                <w:sz w:val="20"/>
                <w:szCs w:val="20"/>
              </w:rPr>
              <w:fldChar w:fldCharType="end"/>
            </w:r>
            <w:r w:rsidRPr="00150ABE">
              <w:rPr>
                <w:rFonts w:ascii="Arial Narrow" w:hAnsi="Arial Narrow"/>
                <w:sz w:val="20"/>
                <w:szCs w:val="20"/>
              </w:rPr>
              <w:t xml:space="preserve">Medical Practitioners  </w:t>
            </w:r>
            <w:r w:rsidRPr="00150ABE">
              <w:rPr>
                <w:rFonts w:ascii="Arial Narrow" w:hAnsi="Arial Narrow"/>
                <w:sz w:val="20"/>
                <w:szCs w:val="20"/>
              </w:rPr>
              <w:fldChar w:fldCharType="begin">
                <w:ffData>
                  <w:name w:val=""/>
                  <w:enabled/>
                  <w:calcOnExit w:val="0"/>
                  <w:checkBox>
                    <w:sizeAuto/>
                    <w:default w:val="1"/>
                  </w:checkBox>
                </w:ffData>
              </w:fldChar>
            </w:r>
            <w:r w:rsidRPr="00150ABE">
              <w:rPr>
                <w:rFonts w:ascii="Arial Narrow" w:hAnsi="Arial Narrow"/>
                <w:sz w:val="20"/>
                <w:szCs w:val="20"/>
              </w:rPr>
              <w:instrText xml:space="preserve"> FORMCHECKBOX </w:instrText>
            </w:r>
            <w:r w:rsidR="00D56BF2">
              <w:rPr>
                <w:rFonts w:ascii="Arial Narrow" w:hAnsi="Arial Narrow"/>
                <w:sz w:val="20"/>
                <w:szCs w:val="20"/>
              </w:rPr>
            </w:r>
            <w:r w:rsidR="00D56BF2">
              <w:rPr>
                <w:rFonts w:ascii="Arial Narrow" w:hAnsi="Arial Narrow"/>
                <w:sz w:val="20"/>
                <w:szCs w:val="20"/>
              </w:rPr>
              <w:fldChar w:fldCharType="separate"/>
            </w:r>
            <w:r w:rsidRPr="00150ABE">
              <w:rPr>
                <w:rFonts w:ascii="Arial Narrow" w:hAnsi="Arial Narrow"/>
                <w:sz w:val="20"/>
                <w:szCs w:val="20"/>
              </w:rPr>
              <w:fldChar w:fldCharType="end"/>
            </w:r>
            <w:r w:rsidRPr="00150ABE">
              <w:rPr>
                <w:rFonts w:ascii="Arial Narrow" w:hAnsi="Arial Narrow"/>
                <w:sz w:val="20"/>
                <w:szCs w:val="20"/>
              </w:rPr>
              <w:t xml:space="preserve">Nurse practitioners  </w:t>
            </w:r>
            <w:r w:rsidRPr="00150ABE">
              <w:rPr>
                <w:rFonts w:ascii="Arial Narrow" w:hAnsi="Arial Narrow"/>
                <w:sz w:val="20"/>
                <w:szCs w:val="20"/>
              </w:rPr>
              <w:fldChar w:fldCharType="begin">
                <w:ffData>
                  <w:name w:val=""/>
                  <w:enabled/>
                  <w:calcOnExit w:val="0"/>
                  <w:checkBox>
                    <w:sizeAuto/>
                    <w:default w:val="0"/>
                  </w:checkBox>
                </w:ffData>
              </w:fldChar>
            </w:r>
            <w:r w:rsidRPr="00150ABE">
              <w:rPr>
                <w:rFonts w:ascii="Arial Narrow" w:hAnsi="Arial Narrow"/>
                <w:sz w:val="20"/>
                <w:szCs w:val="20"/>
              </w:rPr>
              <w:instrText xml:space="preserve"> FORMCHECKBOX </w:instrText>
            </w:r>
            <w:r w:rsidR="00D56BF2">
              <w:rPr>
                <w:rFonts w:ascii="Arial Narrow" w:hAnsi="Arial Narrow"/>
                <w:sz w:val="20"/>
                <w:szCs w:val="20"/>
              </w:rPr>
            </w:r>
            <w:r w:rsidR="00D56BF2">
              <w:rPr>
                <w:rFonts w:ascii="Arial Narrow" w:hAnsi="Arial Narrow"/>
                <w:sz w:val="20"/>
                <w:szCs w:val="20"/>
              </w:rPr>
              <w:fldChar w:fldCharType="separate"/>
            </w:r>
            <w:r w:rsidRPr="00150ABE">
              <w:rPr>
                <w:rFonts w:ascii="Arial Narrow" w:hAnsi="Arial Narrow"/>
                <w:sz w:val="20"/>
                <w:szCs w:val="20"/>
              </w:rPr>
              <w:fldChar w:fldCharType="end"/>
            </w:r>
            <w:r w:rsidRPr="00150ABE">
              <w:rPr>
                <w:rFonts w:ascii="Arial Narrow" w:hAnsi="Arial Narrow"/>
                <w:sz w:val="20"/>
                <w:szCs w:val="20"/>
              </w:rPr>
              <w:t>Optometrists</w:t>
            </w:r>
          </w:p>
          <w:p w:rsidR="00BB2374" w:rsidRPr="00150ABE" w:rsidRDefault="00BB2374" w:rsidP="00BB2374">
            <w:pPr>
              <w:rPr>
                <w:rFonts w:ascii="Arial Narrow" w:hAnsi="Arial Narrow"/>
                <w:sz w:val="20"/>
                <w:szCs w:val="20"/>
              </w:rPr>
            </w:pPr>
            <w:r w:rsidRPr="00150ABE">
              <w:rPr>
                <w:rFonts w:ascii="Arial Narrow" w:hAnsi="Arial Narrow"/>
                <w:sz w:val="20"/>
                <w:szCs w:val="20"/>
              </w:rPr>
              <w:fldChar w:fldCharType="begin">
                <w:ffData>
                  <w:name w:val="Check5"/>
                  <w:enabled/>
                  <w:calcOnExit w:val="0"/>
                  <w:checkBox>
                    <w:sizeAuto/>
                    <w:default w:val="0"/>
                  </w:checkBox>
                </w:ffData>
              </w:fldChar>
            </w:r>
            <w:r w:rsidRPr="00150ABE">
              <w:rPr>
                <w:rFonts w:ascii="Arial Narrow" w:hAnsi="Arial Narrow"/>
                <w:sz w:val="20"/>
                <w:szCs w:val="20"/>
              </w:rPr>
              <w:instrText xml:space="preserve"> FORMCHECKBOX </w:instrText>
            </w:r>
            <w:r w:rsidR="00D56BF2">
              <w:rPr>
                <w:rFonts w:ascii="Arial Narrow" w:hAnsi="Arial Narrow"/>
                <w:sz w:val="20"/>
                <w:szCs w:val="20"/>
              </w:rPr>
            </w:r>
            <w:r w:rsidR="00D56BF2">
              <w:rPr>
                <w:rFonts w:ascii="Arial Narrow" w:hAnsi="Arial Narrow"/>
                <w:sz w:val="20"/>
                <w:szCs w:val="20"/>
              </w:rPr>
              <w:fldChar w:fldCharType="separate"/>
            </w:r>
            <w:r w:rsidRPr="00150ABE">
              <w:rPr>
                <w:rFonts w:ascii="Arial Narrow" w:hAnsi="Arial Narrow"/>
                <w:sz w:val="20"/>
                <w:szCs w:val="20"/>
              </w:rPr>
              <w:fldChar w:fldCharType="end"/>
            </w:r>
            <w:r w:rsidRPr="00150ABE">
              <w:rPr>
                <w:rFonts w:ascii="Arial Narrow" w:hAnsi="Arial Narrow"/>
                <w:sz w:val="20"/>
                <w:szCs w:val="20"/>
              </w:rPr>
              <w:t>Midwives</w:t>
            </w:r>
          </w:p>
        </w:tc>
      </w:tr>
      <w:tr w:rsidR="00BB2374" w:rsidRPr="00150ABE" w:rsidTr="00BB2374">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159"/>
        </w:trPr>
        <w:tc>
          <w:tcPr>
            <w:tcW w:w="1522" w:type="pct"/>
            <w:gridSpan w:val="2"/>
            <w:tcBorders>
              <w:top w:val="single" w:sz="4" w:space="0" w:color="auto"/>
              <w:left w:val="single" w:sz="4" w:space="0" w:color="auto"/>
              <w:bottom w:val="single" w:sz="4" w:space="0" w:color="auto"/>
              <w:right w:val="single" w:sz="4" w:space="0" w:color="auto"/>
            </w:tcBorders>
          </w:tcPr>
          <w:p w:rsidR="00BB2374" w:rsidRPr="00150ABE" w:rsidRDefault="00BB2374" w:rsidP="00BB2374">
            <w:pPr>
              <w:rPr>
                <w:rFonts w:ascii="Arial Narrow" w:hAnsi="Arial Narrow"/>
                <w:b/>
                <w:sz w:val="20"/>
                <w:szCs w:val="20"/>
              </w:rPr>
            </w:pPr>
            <w:r w:rsidRPr="00150ABE">
              <w:rPr>
                <w:rFonts w:ascii="Arial Narrow" w:hAnsi="Arial Narrow"/>
                <w:b/>
                <w:sz w:val="20"/>
                <w:szCs w:val="20"/>
              </w:rPr>
              <w:t>Condition:</w:t>
            </w:r>
          </w:p>
        </w:tc>
        <w:tc>
          <w:tcPr>
            <w:tcW w:w="3477" w:type="pct"/>
            <w:gridSpan w:val="6"/>
            <w:tcBorders>
              <w:top w:val="single" w:sz="4" w:space="0" w:color="auto"/>
              <w:left w:val="single" w:sz="4" w:space="0" w:color="auto"/>
              <w:bottom w:val="single" w:sz="4" w:space="0" w:color="auto"/>
              <w:right w:val="single" w:sz="4" w:space="0" w:color="auto"/>
            </w:tcBorders>
          </w:tcPr>
          <w:p w:rsidR="00BB2374" w:rsidRPr="00150ABE" w:rsidRDefault="00BB2374" w:rsidP="00BB2374">
            <w:pPr>
              <w:rPr>
                <w:rFonts w:ascii="Arial Narrow" w:hAnsi="Arial Narrow"/>
                <w:sz w:val="20"/>
                <w:szCs w:val="20"/>
              </w:rPr>
            </w:pPr>
            <w:r w:rsidRPr="00150ABE">
              <w:rPr>
                <w:rFonts w:ascii="Arial Narrow" w:hAnsi="Arial Narrow"/>
                <w:sz w:val="20"/>
                <w:szCs w:val="20"/>
              </w:rPr>
              <w:t>Multiple Myeloma</w:t>
            </w:r>
          </w:p>
        </w:tc>
      </w:tr>
      <w:tr w:rsidR="00BB2374" w:rsidRPr="00150ABE" w:rsidTr="00BB2374">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1522" w:type="pct"/>
            <w:gridSpan w:val="2"/>
            <w:tcBorders>
              <w:top w:val="single" w:sz="4" w:space="0" w:color="auto"/>
              <w:left w:val="single" w:sz="4" w:space="0" w:color="auto"/>
              <w:bottom w:val="single" w:sz="4" w:space="0" w:color="auto"/>
              <w:right w:val="single" w:sz="4" w:space="0" w:color="auto"/>
            </w:tcBorders>
          </w:tcPr>
          <w:p w:rsidR="00BB2374" w:rsidRPr="00150ABE" w:rsidRDefault="00BB2374" w:rsidP="00BB2374">
            <w:pPr>
              <w:rPr>
                <w:rFonts w:ascii="Arial Narrow" w:hAnsi="Arial Narrow"/>
                <w:b/>
                <w:sz w:val="20"/>
                <w:szCs w:val="20"/>
              </w:rPr>
            </w:pPr>
            <w:r w:rsidRPr="00150ABE">
              <w:rPr>
                <w:rFonts w:ascii="Arial Narrow" w:hAnsi="Arial Narrow"/>
                <w:b/>
                <w:sz w:val="20"/>
                <w:szCs w:val="20"/>
              </w:rPr>
              <w:t>Restriction Level / Method:</w:t>
            </w:r>
          </w:p>
          <w:p w:rsidR="00BB2374" w:rsidRPr="00150ABE" w:rsidRDefault="00BB2374" w:rsidP="00BB2374">
            <w:pPr>
              <w:rPr>
                <w:rFonts w:ascii="Arial Narrow" w:hAnsi="Arial Narrow"/>
                <w:sz w:val="20"/>
                <w:szCs w:val="20"/>
              </w:rPr>
            </w:pPr>
          </w:p>
        </w:tc>
        <w:tc>
          <w:tcPr>
            <w:tcW w:w="3477" w:type="pct"/>
            <w:gridSpan w:val="6"/>
            <w:tcBorders>
              <w:top w:val="single" w:sz="4" w:space="0" w:color="auto"/>
              <w:left w:val="single" w:sz="4" w:space="0" w:color="auto"/>
              <w:bottom w:val="single" w:sz="4" w:space="0" w:color="auto"/>
              <w:right w:val="single" w:sz="4" w:space="0" w:color="auto"/>
            </w:tcBorders>
          </w:tcPr>
          <w:p w:rsidR="00BB2374" w:rsidRPr="00150ABE" w:rsidRDefault="00BB2374" w:rsidP="00BB2374">
            <w:pPr>
              <w:rPr>
                <w:rFonts w:ascii="Arial Narrow" w:hAnsi="Arial Narrow"/>
                <w:sz w:val="20"/>
                <w:szCs w:val="20"/>
              </w:rPr>
            </w:pPr>
            <w:r w:rsidRPr="00150ABE">
              <w:rPr>
                <w:rFonts w:ascii="Arial Narrow" w:hAnsi="Arial Narrow"/>
                <w:sz w:val="20"/>
                <w:szCs w:val="20"/>
              </w:rPr>
              <w:fldChar w:fldCharType="begin">
                <w:ffData>
                  <w:name w:val="Check1"/>
                  <w:enabled/>
                  <w:calcOnExit w:val="0"/>
                  <w:checkBox>
                    <w:sizeAuto/>
                    <w:default w:val="0"/>
                  </w:checkBox>
                </w:ffData>
              </w:fldChar>
            </w:r>
            <w:r w:rsidRPr="00150ABE">
              <w:rPr>
                <w:rFonts w:ascii="Arial Narrow" w:hAnsi="Arial Narrow"/>
                <w:sz w:val="20"/>
                <w:szCs w:val="20"/>
              </w:rPr>
              <w:instrText xml:space="preserve"> FORMCHECKBOX </w:instrText>
            </w:r>
            <w:r w:rsidR="00D56BF2">
              <w:rPr>
                <w:rFonts w:ascii="Arial Narrow" w:hAnsi="Arial Narrow"/>
                <w:sz w:val="20"/>
                <w:szCs w:val="20"/>
              </w:rPr>
            </w:r>
            <w:r w:rsidR="00D56BF2">
              <w:rPr>
                <w:rFonts w:ascii="Arial Narrow" w:hAnsi="Arial Narrow"/>
                <w:sz w:val="20"/>
                <w:szCs w:val="20"/>
              </w:rPr>
              <w:fldChar w:fldCharType="separate"/>
            </w:r>
            <w:r w:rsidRPr="00150ABE">
              <w:rPr>
                <w:rFonts w:ascii="Arial Narrow" w:hAnsi="Arial Narrow"/>
                <w:sz w:val="20"/>
                <w:szCs w:val="20"/>
              </w:rPr>
              <w:fldChar w:fldCharType="end"/>
            </w:r>
            <w:r w:rsidRPr="00150ABE">
              <w:rPr>
                <w:rFonts w:ascii="Arial Narrow" w:hAnsi="Arial Narrow"/>
                <w:sz w:val="20"/>
                <w:szCs w:val="20"/>
              </w:rPr>
              <w:t>Restricted benefit</w:t>
            </w:r>
          </w:p>
          <w:p w:rsidR="00BB2374" w:rsidRPr="00150ABE" w:rsidRDefault="00BB2374" w:rsidP="00BB2374">
            <w:pPr>
              <w:rPr>
                <w:rFonts w:ascii="Arial Narrow" w:hAnsi="Arial Narrow"/>
                <w:sz w:val="20"/>
                <w:szCs w:val="20"/>
              </w:rPr>
            </w:pPr>
            <w:r w:rsidRPr="00150ABE">
              <w:rPr>
                <w:rFonts w:ascii="Arial Narrow" w:hAnsi="Arial Narrow"/>
                <w:sz w:val="20"/>
                <w:szCs w:val="20"/>
              </w:rPr>
              <w:fldChar w:fldCharType="begin">
                <w:ffData>
                  <w:name w:val=""/>
                  <w:enabled/>
                  <w:calcOnExit w:val="0"/>
                  <w:checkBox>
                    <w:sizeAuto/>
                    <w:default w:val="0"/>
                  </w:checkBox>
                </w:ffData>
              </w:fldChar>
            </w:r>
            <w:r w:rsidRPr="00150ABE">
              <w:rPr>
                <w:rFonts w:ascii="Arial Narrow" w:hAnsi="Arial Narrow"/>
                <w:sz w:val="20"/>
                <w:szCs w:val="20"/>
              </w:rPr>
              <w:instrText xml:space="preserve"> FORMCHECKBOX </w:instrText>
            </w:r>
            <w:r w:rsidR="00D56BF2">
              <w:rPr>
                <w:rFonts w:ascii="Arial Narrow" w:hAnsi="Arial Narrow"/>
                <w:sz w:val="20"/>
                <w:szCs w:val="20"/>
              </w:rPr>
            </w:r>
            <w:r w:rsidR="00D56BF2">
              <w:rPr>
                <w:rFonts w:ascii="Arial Narrow" w:hAnsi="Arial Narrow"/>
                <w:sz w:val="20"/>
                <w:szCs w:val="20"/>
              </w:rPr>
              <w:fldChar w:fldCharType="separate"/>
            </w:r>
            <w:r w:rsidRPr="00150ABE">
              <w:rPr>
                <w:rFonts w:ascii="Arial Narrow" w:hAnsi="Arial Narrow"/>
                <w:sz w:val="20"/>
                <w:szCs w:val="20"/>
              </w:rPr>
              <w:fldChar w:fldCharType="end"/>
            </w:r>
            <w:r w:rsidRPr="00150ABE">
              <w:rPr>
                <w:rFonts w:ascii="Arial Narrow" w:hAnsi="Arial Narrow"/>
                <w:sz w:val="20"/>
                <w:szCs w:val="20"/>
              </w:rPr>
              <w:t>Authority Required - In Writing</w:t>
            </w:r>
          </w:p>
          <w:p w:rsidR="00BB2374" w:rsidRPr="00150ABE" w:rsidRDefault="00BB2374" w:rsidP="00BB2374">
            <w:pPr>
              <w:rPr>
                <w:rFonts w:ascii="Arial Narrow" w:hAnsi="Arial Narrow"/>
                <w:sz w:val="20"/>
                <w:szCs w:val="20"/>
              </w:rPr>
            </w:pPr>
            <w:r w:rsidRPr="00150ABE">
              <w:rPr>
                <w:rFonts w:ascii="Arial Narrow" w:hAnsi="Arial Narrow"/>
                <w:sz w:val="20"/>
                <w:szCs w:val="20"/>
              </w:rPr>
              <w:fldChar w:fldCharType="begin">
                <w:ffData>
                  <w:name w:val="Check3"/>
                  <w:enabled/>
                  <w:calcOnExit w:val="0"/>
                  <w:checkBox>
                    <w:sizeAuto/>
                    <w:default w:val="0"/>
                  </w:checkBox>
                </w:ffData>
              </w:fldChar>
            </w:r>
            <w:r w:rsidRPr="00150ABE">
              <w:rPr>
                <w:rFonts w:ascii="Arial Narrow" w:hAnsi="Arial Narrow"/>
                <w:sz w:val="20"/>
                <w:szCs w:val="20"/>
              </w:rPr>
              <w:instrText xml:space="preserve"> FORMCHECKBOX </w:instrText>
            </w:r>
            <w:r w:rsidR="00D56BF2">
              <w:rPr>
                <w:rFonts w:ascii="Arial Narrow" w:hAnsi="Arial Narrow"/>
                <w:sz w:val="20"/>
                <w:szCs w:val="20"/>
              </w:rPr>
            </w:r>
            <w:r w:rsidR="00D56BF2">
              <w:rPr>
                <w:rFonts w:ascii="Arial Narrow" w:hAnsi="Arial Narrow"/>
                <w:sz w:val="20"/>
                <w:szCs w:val="20"/>
              </w:rPr>
              <w:fldChar w:fldCharType="separate"/>
            </w:r>
            <w:r w:rsidRPr="00150ABE">
              <w:rPr>
                <w:rFonts w:ascii="Arial Narrow" w:hAnsi="Arial Narrow"/>
                <w:sz w:val="20"/>
                <w:szCs w:val="20"/>
              </w:rPr>
              <w:fldChar w:fldCharType="end"/>
            </w:r>
            <w:r w:rsidRPr="00150ABE">
              <w:rPr>
                <w:rFonts w:ascii="Arial Narrow" w:hAnsi="Arial Narrow"/>
                <w:sz w:val="20"/>
                <w:szCs w:val="20"/>
              </w:rPr>
              <w:t>Authority Required - Telephone</w:t>
            </w:r>
          </w:p>
          <w:p w:rsidR="00BB2374" w:rsidRPr="00150ABE" w:rsidRDefault="00BB2374" w:rsidP="00BB2374">
            <w:pPr>
              <w:rPr>
                <w:rFonts w:ascii="Arial Narrow" w:hAnsi="Arial Narrow"/>
                <w:sz w:val="20"/>
                <w:szCs w:val="20"/>
              </w:rPr>
            </w:pPr>
            <w:r w:rsidRPr="00150ABE">
              <w:rPr>
                <w:rFonts w:ascii="Arial Narrow" w:hAnsi="Arial Narrow"/>
                <w:sz w:val="20"/>
                <w:szCs w:val="20"/>
              </w:rPr>
              <w:fldChar w:fldCharType="begin">
                <w:ffData>
                  <w:name w:val=""/>
                  <w:enabled/>
                  <w:calcOnExit w:val="0"/>
                  <w:checkBox>
                    <w:sizeAuto/>
                    <w:default w:val="0"/>
                  </w:checkBox>
                </w:ffData>
              </w:fldChar>
            </w:r>
            <w:r w:rsidRPr="00150ABE">
              <w:rPr>
                <w:rFonts w:ascii="Arial Narrow" w:hAnsi="Arial Narrow"/>
                <w:sz w:val="20"/>
                <w:szCs w:val="20"/>
              </w:rPr>
              <w:instrText xml:space="preserve"> FORMCHECKBOX </w:instrText>
            </w:r>
            <w:r w:rsidR="00D56BF2">
              <w:rPr>
                <w:rFonts w:ascii="Arial Narrow" w:hAnsi="Arial Narrow"/>
                <w:sz w:val="20"/>
                <w:szCs w:val="20"/>
              </w:rPr>
            </w:r>
            <w:r w:rsidR="00D56BF2">
              <w:rPr>
                <w:rFonts w:ascii="Arial Narrow" w:hAnsi="Arial Narrow"/>
                <w:sz w:val="20"/>
                <w:szCs w:val="20"/>
              </w:rPr>
              <w:fldChar w:fldCharType="separate"/>
            </w:r>
            <w:r w:rsidRPr="00150ABE">
              <w:rPr>
                <w:rFonts w:ascii="Arial Narrow" w:hAnsi="Arial Narrow"/>
                <w:sz w:val="20"/>
                <w:szCs w:val="20"/>
              </w:rPr>
              <w:fldChar w:fldCharType="end"/>
            </w:r>
            <w:r w:rsidRPr="00150ABE">
              <w:rPr>
                <w:rFonts w:ascii="Arial Narrow" w:hAnsi="Arial Narrow"/>
                <w:sz w:val="20"/>
                <w:szCs w:val="20"/>
              </w:rPr>
              <w:t>Authority Required – Emergency</w:t>
            </w:r>
          </w:p>
          <w:p w:rsidR="00BB2374" w:rsidRPr="00150ABE" w:rsidRDefault="00BB2374" w:rsidP="00BB2374">
            <w:pPr>
              <w:rPr>
                <w:rFonts w:ascii="Arial Narrow" w:hAnsi="Arial Narrow"/>
                <w:sz w:val="20"/>
                <w:szCs w:val="20"/>
              </w:rPr>
            </w:pPr>
            <w:r w:rsidRPr="00150ABE">
              <w:rPr>
                <w:rFonts w:ascii="Arial Narrow" w:hAnsi="Arial Narrow"/>
                <w:sz w:val="20"/>
                <w:szCs w:val="20"/>
              </w:rPr>
              <w:fldChar w:fldCharType="begin">
                <w:ffData>
                  <w:name w:val="Check5"/>
                  <w:enabled/>
                  <w:calcOnExit w:val="0"/>
                  <w:checkBox>
                    <w:sizeAuto/>
                    <w:default w:val="0"/>
                  </w:checkBox>
                </w:ffData>
              </w:fldChar>
            </w:r>
            <w:r w:rsidRPr="00150ABE">
              <w:rPr>
                <w:rFonts w:ascii="Arial Narrow" w:hAnsi="Arial Narrow"/>
                <w:sz w:val="20"/>
                <w:szCs w:val="20"/>
              </w:rPr>
              <w:instrText xml:space="preserve"> FORMCHECKBOX </w:instrText>
            </w:r>
            <w:r w:rsidR="00D56BF2">
              <w:rPr>
                <w:rFonts w:ascii="Arial Narrow" w:hAnsi="Arial Narrow"/>
                <w:sz w:val="20"/>
                <w:szCs w:val="20"/>
              </w:rPr>
            </w:r>
            <w:r w:rsidR="00D56BF2">
              <w:rPr>
                <w:rFonts w:ascii="Arial Narrow" w:hAnsi="Arial Narrow"/>
                <w:sz w:val="20"/>
                <w:szCs w:val="20"/>
              </w:rPr>
              <w:fldChar w:fldCharType="separate"/>
            </w:r>
            <w:r w:rsidRPr="00150ABE">
              <w:rPr>
                <w:rFonts w:ascii="Arial Narrow" w:hAnsi="Arial Narrow"/>
                <w:sz w:val="20"/>
                <w:szCs w:val="20"/>
              </w:rPr>
              <w:fldChar w:fldCharType="end"/>
            </w:r>
            <w:r w:rsidRPr="00150ABE">
              <w:rPr>
                <w:rFonts w:ascii="Arial Narrow" w:hAnsi="Arial Narrow"/>
                <w:sz w:val="20"/>
                <w:szCs w:val="20"/>
              </w:rPr>
              <w:t>Authority Required - Electronic</w:t>
            </w:r>
          </w:p>
          <w:p w:rsidR="00BB2374" w:rsidRPr="00150ABE" w:rsidRDefault="00BB2374" w:rsidP="00BB2374">
            <w:pPr>
              <w:rPr>
                <w:rFonts w:ascii="Arial Narrow" w:hAnsi="Arial Narrow"/>
                <w:sz w:val="20"/>
                <w:szCs w:val="20"/>
              </w:rPr>
            </w:pPr>
            <w:r w:rsidRPr="00150ABE">
              <w:rPr>
                <w:rFonts w:ascii="Arial Narrow" w:hAnsi="Arial Narrow"/>
                <w:sz w:val="20"/>
                <w:szCs w:val="20"/>
              </w:rPr>
              <w:fldChar w:fldCharType="begin">
                <w:ffData>
                  <w:name w:val=""/>
                  <w:enabled/>
                  <w:calcOnExit w:val="0"/>
                  <w:checkBox>
                    <w:sizeAuto/>
                    <w:default w:val="1"/>
                  </w:checkBox>
                </w:ffData>
              </w:fldChar>
            </w:r>
            <w:r w:rsidRPr="00150ABE">
              <w:rPr>
                <w:rFonts w:ascii="Arial Narrow" w:hAnsi="Arial Narrow"/>
                <w:sz w:val="20"/>
                <w:szCs w:val="20"/>
              </w:rPr>
              <w:instrText xml:space="preserve"> FORMCHECKBOX </w:instrText>
            </w:r>
            <w:r w:rsidR="00D56BF2">
              <w:rPr>
                <w:rFonts w:ascii="Arial Narrow" w:hAnsi="Arial Narrow"/>
                <w:sz w:val="20"/>
                <w:szCs w:val="20"/>
              </w:rPr>
            </w:r>
            <w:r w:rsidR="00D56BF2">
              <w:rPr>
                <w:rFonts w:ascii="Arial Narrow" w:hAnsi="Arial Narrow"/>
                <w:sz w:val="20"/>
                <w:szCs w:val="20"/>
              </w:rPr>
              <w:fldChar w:fldCharType="separate"/>
            </w:r>
            <w:r w:rsidRPr="00150ABE">
              <w:rPr>
                <w:rFonts w:ascii="Arial Narrow" w:hAnsi="Arial Narrow"/>
                <w:sz w:val="20"/>
                <w:szCs w:val="20"/>
              </w:rPr>
              <w:fldChar w:fldCharType="end"/>
            </w:r>
            <w:r w:rsidRPr="00150ABE">
              <w:rPr>
                <w:rFonts w:ascii="Arial Narrow" w:hAnsi="Arial Narrow"/>
                <w:sz w:val="20"/>
                <w:szCs w:val="20"/>
              </w:rPr>
              <w:t>Streamlined</w:t>
            </w:r>
          </w:p>
        </w:tc>
      </w:tr>
      <w:tr w:rsidR="00BB2374" w:rsidRPr="00150ABE" w:rsidTr="00BB2374">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1522" w:type="pct"/>
            <w:gridSpan w:val="2"/>
            <w:tcBorders>
              <w:top w:val="single" w:sz="4" w:space="0" w:color="auto"/>
              <w:left w:val="single" w:sz="4" w:space="0" w:color="auto"/>
              <w:bottom w:val="single" w:sz="4" w:space="0" w:color="auto"/>
              <w:right w:val="single" w:sz="4" w:space="0" w:color="auto"/>
            </w:tcBorders>
          </w:tcPr>
          <w:p w:rsidR="00BB2374" w:rsidRPr="00150ABE" w:rsidRDefault="00BB2374" w:rsidP="00BB2374">
            <w:pPr>
              <w:rPr>
                <w:rFonts w:ascii="Arial Narrow" w:hAnsi="Arial Narrow"/>
                <w:b/>
                <w:sz w:val="20"/>
                <w:szCs w:val="20"/>
              </w:rPr>
            </w:pPr>
            <w:r w:rsidRPr="00150ABE">
              <w:rPr>
                <w:rFonts w:ascii="Arial Narrow" w:hAnsi="Arial Narrow"/>
                <w:b/>
                <w:sz w:val="20"/>
                <w:szCs w:val="20"/>
              </w:rPr>
              <w:t>Administrative Advice</w:t>
            </w:r>
          </w:p>
          <w:p w:rsidR="00BB2374" w:rsidRPr="00150ABE" w:rsidRDefault="00BB2374" w:rsidP="00BB2374">
            <w:pPr>
              <w:rPr>
                <w:rFonts w:ascii="Arial Narrow" w:hAnsi="Arial Narrow"/>
                <w:sz w:val="20"/>
                <w:szCs w:val="20"/>
              </w:rPr>
            </w:pPr>
          </w:p>
        </w:tc>
        <w:tc>
          <w:tcPr>
            <w:tcW w:w="3477" w:type="pct"/>
            <w:gridSpan w:val="6"/>
            <w:tcBorders>
              <w:top w:val="single" w:sz="4" w:space="0" w:color="auto"/>
              <w:left w:val="single" w:sz="4" w:space="0" w:color="auto"/>
              <w:bottom w:val="single" w:sz="4" w:space="0" w:color="auto"/>
              <w:right w:val="single" w:sz="4" w:space="0" w:color="auto"/>
            </w:tcBorders>
          </w:tcPr>
          <w:p w:rsidR="00BB2374" w:rsidRPr="00150ABE" w:rsidRDefault="00BB2374" w:rsidP="00BB2374">
            <w:pPr>
              <w:tabs>
                <w:tab w:val="num" w:pos="720"/>
              </w:tabs>
              <w:rPr>
                <w:rFonts w:ascii="Arial Narrow" w:hAnsi="Arial Narrow"/>
                <w:b/>
                <w:sz w:val="20"/>
                <w:szCs w:val="20"/>
              </w:rPr>
            </w:pPr>
            <w:r w:rsidRPr="00150ABE">
              <w:rPr>
                <w:rFonts w:ascii="Arial Narrow" w:hAnsi="Arial Narrow"/>
                <w:b/>
                <w:sz w:val="20"/>
                <w:szCs w:val="20"/>
              </w:rPr>
              <w:t xml:space="preserve">Continuing therapy only </w:t>
            </w:r>
          </w:p>
          <w:p w:rsidR="00BB2374" w:rsidRPr="00150ABE" w:rsidRDefault="00BB2374" w:rsidP="00BB2374">
            <w:pPr>
              <w:rPr>
                <w:rFonts w:ascii="Arial Narrow" w:hAnsi="Arial Narrow"/>
                <w:sz w:val="20"/>
                <w:szCs w:val="20"/>
              </w:rPr>
            </w:pPr>
            <w:r w:rsidRPr="00150ABE">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F07F4A" w:rsidRDefault="00F07F4A" w:rsidP="006D7E46">
      <w:pPr>
        <w:pStyle w:val="ListParagraph"/>
        <w:widowControl/>
        <w:spacing w:after="120"/>
        <w:ind w:left="720"/>
      </w:pPr>
    </w:p>
    <w:p w:rsidR="00591957" w:rsidRPr="00150ABE" w:rsidRDefault="00226EF0" w:rsidP="006D7E46">
      <w:pPr>
        <w:pStyle w:val="ListParagraph"/>
        <w:widowControl/>
        <w:numPr>
          <w:ilvl w:val="1"/>
          <w:numId w:val="29"/>
        </w:numPr>
        <w:spacing w:after="120"/>
      </w:pPr>
      <w:r w:rsidRPr="00F07F4A">
        <w:t>The</w:t>
      </w:r>
      <w:r w:rsidRPr="00150ABE">
        <w:t xml:space="preserve"> requested restriction </w:t>
      </w:r>
      <w:r w:rsidR="00F07F4A">
        <w:t>wa</w:t>
      </w:r>
      <w:r w:rsidR="00900431" w:rsidRPr="00150ABE">
        <w:t>s the same as for zoled</w:t>
      </w:r>
      <w:r w:rsidR="00A15B71" w:rsidRPr="00150ABE">
        <w:t xml:space="preserve">ronic acid but </w:t>
      </w:r>
      <w:r w:rsidR="00F07F4A">
        <w:t>wa</w:t>
      </w:r>
      <w:r w:rsidRPr="00150ABE">
        <w:t xml:space="preserve">s broader than the proposed extension to the TGA indication for the prevention of skeletal related events (SREs) in patients with multiple myeloma. The use of denosumab for the treatment of multiple myeloma for indications other than for the prevention of SREs </w:t>
      </w:r>
      <w:r w:rsidR="00F07F4A">
        <w:t>wa</w:t>
      </w:r>
      <w:r w:rsidRPr="00150ABE">
        <w:t>s not covered by the requested TGA indication.</w:t>
      </w:r>
    </w:p>
    <w:p w:rsidR="004E43B2" w:rsidRDefault="00226EF0" w:rsidP="006D7E46">
      <w:pPr>
        <w:pStyle w:val="ListParagraph"/>
        <w:widowControl/>
        <w:numPr>
          <w:ilvl w:val="1"/>
          <w:numId w:val="29"/>
        </w:numPr>
        <w:spacing w:after="120"/>
      </w:pPr>
      <w:r w:rsidRPr="00150ABE">
        <w:t xml:space="preserve">The requested restriction </w:t>
      </w:r>
      <w:r w:rsidR="00F07F4A">
        <w:t>wa</w:t>
      </w:r>
      <w:r w:rsidRPr="00150ABE">
        <w:t xml:space="preserve">s also broader than the proposed target population of patients with bone lesions due to multiple myeloma and the clinical evidence that only included newly diagnosed patients and excluded patients with severe renal impairment. </w:t>
      </w:r>
    </w:p>
    <w:p w:rsidR="00A64BDC" w:rsidRPr="00F90A91" w:rsidRDefault="00A64BDC" w:rsidP="00A64BDC">
      <w:pPr>
        <w:pStyle w:val="ListParagraph"/>
        <w:rPr>
          <w:rFonts w:asciiTheme="minorHAnsi" w:hAnsiTheme="minorHAnsi"/>
          <w:i/>
        </w:rPr>
      </w:pPr>
      <w:r w:rsidRPr="00001B4E">
        <w:rPr>
          <w:rFonts w:asciiTheme="minorHAnsi" w:hAnsiTheme="minorHAnsi"/>
          <w:i/>
        </w:rPr>
        <w:t>For more detail on PBAC’s view, see section 7 PBAC outcome.</w:t>
      </w:r>
    </w:p>
    <w:p w:rsidR="00FF4C97" w:rsidRPr="004D1C86" w:rsidRDefault="00B50DB8" w:rsidP="004D1C86">
      <w:pPr>
        <w:pStyle w:val="PBACHeading1"/>
        <w:numPr>
          <w:ilvl w:val="0"/>
          <w:numId w:val="29"/>
        </w:numPr>
        <w:spacing w:before="240" w:after="120"/>
        <w:outlineLvl w:val="0"/>
        <w:rPr>
          <w:rFonts w:asciiTheme="minorHAnsi" w:hAnsiTheme="minorHAnsi"/>
          <w:szCs w:val="32"/>
        </w:rPr>
      </w:pPr>
      <w:bookmarkStart w:id="2" w:name="_Toc514234382"/>
      <w:r w:rsidRPr="004D1C86">
        <w:rPr>
          <w:rFonts w:asciiTheme="minorHAnsi" w:hAnsiTheme="minorHAnsi"/>
          <w:szCs w:val="32"/>
        </w:rPr>
        <w:t>Background</w:t>
      </w:r>
      <w:bookmarkEnd w:id="2"/>
    </w:p>
    <w:p w:rsidR="00B60939" w:rsidRPr="004D1C86" w:rsidRDefault="00591957" w:rsidP="004D1C86">
      <w:pPr>
        <w:pStyle w:val="Heading2"/>
        <w:keepNext/>
        <w:keepLines/>
        <w:widowControl/>
        <w:spacing w:before="240" w:after="120"/>
        <w:jc w:val="left"/>
        <w:rPr>
          <w:rFonts w:asciiTheme="minorHAnsi" w:eastAsiaTheme="majorEastAsia" w:hAnsiTheme="minorHAnsi" w:cstheme="majorBidi"/>
          <w:i w:val="0"/>
          <w:snapToGrid/>
          <w:szCs w:val="28"/>
        </w:rPr>
      </w:pPr>
      <w:r w:rsidRPr="004D1C86">
        <w:rPr>
          <w:rFonts w:asciiTheme="minorHAnsi" w:eastAsiaTheme="majorEastAsia" w:hAnsiTheme="minorHAnsi" w:cstheme="majorBidi"/>
          <w:i w:val="0"/>
          <w:snapToGrid/>
          <w:szCs w:val="28"/>
        </w:rPr>
        <w:t>Registration status</w:t>
      </w:r>
    </w:p>
    <w:p w:rsidR="000E3C74" w:rsidRDefault="00B60939" w:rsidP="000E3C74">
      <w:pPr>
        <w:pStyle w:val="ListParagraph"/>
        <w:widowControl/>
        <w:numPr>
          <w:ilvl w:val="1"/>
          <w:numId w:val="29"/>
        </w:numPr>
        <w:spacing w:after="120"/>
      </w:pPr>
      <w:r w:rsidRPr="0082135A">
        <w:t>The submission</w:t>
      </w:r>
      <w:r w:rsidRPr="0078360B">
        <w:t xml:space="preserve"> was made under </w:t>
      </w:r>
      <w:r w:rsidR="00226EF0" w:rsidRPr="0078360B">
        <w:t xml:space="preserve">the </w:t>
      </w:r>
      <w:r w:rsidRPr="0078360B">
        <w:t xml:space="preserve">TGA/PBAC Parallel Process. </w:t>
      </w:r>
      <w:r w:rsidR="00A573B2">
        <w:t xml:space="preserve">A positive TGA Delegate’s Overview was received with the pre-PBAC response in late June 2018. The TGA </w:t>
      </w:r>
      <w:r w:rsidR="000E3C74">
        <w:t>Delegate supported the application to extend the indications of denosumab (</w:t>
      </w:r>
      <w:proofErr w:type="spellStart"/>
      <w:r w:rsidR="000E3C74">
        <w:t>Xgeva</w:t>
      </w:r>
      <w:proofErr w:type="spellEnd"/>
      <w:r w:rsidR="000E3C74">
        <w:t>) to include (underlined):</w:t>
      </w:r>
    </w:p>
    <w:p w:rsidR="0078360B" w:rsidRDefault="000E3C74" w:rsidP="000E3C74">
      <w:pPr>
        <w:pStyle w:val="ListParagraph"/>
        <w:widowControl/>
        <w:numPr>
          <w:ilvl w:val="0"/>
          <w:numId w:val="37"/>
        </w:numPr>
        <w:spacing w:after="120"/>
      </w:pPr>
      <w:r>
        <w:t xml:space="preserve">Prevention of skeletal related events </w:t>
      </w:r>
      <w:r w:rsidRPr="000E3C74">
        <w:rPr>
          <w:u w:val="single"/>
        </w:rPr>
        <w:t>in patients with multiple myeloma and</w:t>
      </w:r>
      <w:r>
        <w:t xml:space="preserve"> in patients with bone metastases from solid tumours.</w:t>
      </w:r>
    </w:p>
    <w:p w:rsidR="00A64BDC" w:rsidRPr="00F90A91" w:rsidRDefault="00A64BDC" w:rsidP="00A64BDC">
      <w:pPr>
        <w:pStyle w:val="ListParagraph"/>
        <w:rPr>
          <w:rFonts w:asciiTheme="minorHAnsi" w:hAnsiTheme="minorHAnsi"/>
          <w:i/>
        </w:rPr>
      </w:pPr>
      <w:r w:rsidRPr="000E3C74">
        <w:rPr>
          <w:rFonts w:asciiTheme="minorHAnsi" w:hAnsiTheme="minorHAnsi"/>
          <w:i/>
        </w:rPr>
        <w:lastRenderedPageBreak/>
        <w:t>For more detail on PBAC’s view, see section 7 PBAC outcome.</w:t>
      </w:r>
    </w:p>
    <w:p w:rsidR="00B50DB8" w:rsidRPr="004D1C86" w:rsidRDefault="00203181" w:rsidP="004D1C86">
      <w:pPr>
        <w:pStyle w:val="PBACHeading1"/>
        <w:numPr>
          <w:ilvl w:val="0"/>
          <w:numId w:val="29"/>
        </w:numPr>
        <w:spacing w:before="240" w:after="120"/>
        <w:outlineLvl w:val="0"/>
        <w:rPr>
          <w:rFonts w:asciiTheme="minorHAnsi" w:hAnsiTheme="minorHAnsi"/>
          <w:szCs w:val="32"/>
        </w:rPr>
      </w:pPr>
      <w:bookmarkStart w:id="3" w:name="_Toc514234383"/>
      <w:r w:rsidRPr="004D1C86">
        <w:rPr>
          <w:rFonts w:asciiTheme="minorHAnsi" w:hAnsiTheme="minorHAnsi"/>
          <w:szCs w:val="32"/>
        </w:rPr>
        <w:t xml:space="preserve">Population and </w:t>
      </w:r>
      <w:r w:rsidR="008E0D3C" w:rsidRPr="004D1C86">
        <w:rPr>
          <w:rFonts w:asciiTheme="minorHAnsi" w:hAnsiTheme="minorHAnsi"/>
          <w:szCs w:val="32"/>
        </w:rPr>
        <w:t>d</w:t>
      </w:r>
      <w:r w:rsidRPr="004D1C86">
        <w:rPr>
          <w:rFonts w:asciiTheme="minorHAnsi" w:hAnsiTheme="minorHAnsi"/>
          <w:szCs w:val="32"/>
        </w:rPr>
        <w:t>isease</w:t>
      </w:r>
      <w:bookmarkEnd w:id="3"/>
    </w:p>
    <w:p w:rsidR="00F41279" w:rsidRPr="00150ABE" w:rsidRDefault="00A47255" w:rsidP="004D1C86">
      <w:pPr>
        <w:pStyle w:val="ListParagraph"/>
        <w:numPr>
          <w:ilvl w:val="1"/>
          <w:numId w:val="29"/>
        </w:numPr>
      </w:pPr>
      <w:r w:rsidRPr="00150ABE">
        <w:t xml:space="preserve">Multiple myeloma (MM) is a type of cancer arising from plasma cells which are normally found in the bone marrow. </w:t>
      </w:r>
      <w:r w:rsidR="00F41279" w:rsidRPr="00150ABE">
        <w:t xml:space="preserve">MM is most common in people aged 60 years and older, and men are affected more often than women. MM is considered a relapsing and remitting disease and treatment will be recommended during active phases until the disease has stopped progressing or is no longer detectable. MM is a heterogeneous disease, with some patients progressing rapidly despite multiple lines of therapy and others not requiring therapy for a number of </w:t>
      </w:r>
      <w:proofErr w:type="gramStart"/>
      <w:r w:rsidR="00F41279" w:rsidRPr="00150ABE">
        <w:t>years.</w:t>
      </w:r>
      <w:proofErr w:type="gramEnd"/>
      <w:r w:rsidR="00F41279" w:rsidRPr="00150ABE">
        <w:t xml:space="preserve"> Although MM remains an incurable disease, survival for these patients has improved over time to a 5-year survival rate of approximately 50% (Cancer in Australia, AIHW 2017).</w:t>
      </w:r>
    </w:p>
    <w:p w:rsidR="00F41279" w:rsidRPr="00133D2E" w:rsidRDefault="00A47255" w:rsidP="00F07F4A">
      <w:pPr>
        <w:pStyle w:val="ListParagraph"/>
        <w:widowControl/>
        <w:numPr>
          <w:ilvl w:val="1"/>
          <w:numId w:val="29"/>
        </w:numPr>
      </w:pPr>
      <w:r w:rsidRPr="00150ABE">
        <w:t xml:space="preserve">The uncontrolled growth of abnormal plasma cells can affect multiple places </w:t>
      </w:r>
      <w:r w:rsidR="00F41279" w:rsidRPr="00150ABE">
        <w:t>in the body, leading to bone</w:t>
      </w:r>
      <w:r w:rsidRPr="00150ABE">
        <w:t xml:space="preserve"> destruction, bone marrow failure, increased plasma viscosity, suppression of normal immunoglobulin production and renal insufficiency. </w:t>
      </w:r>
      <w:r w:rsidR="00F41279" w:rsidRPr="00150ABE">
        <w:t>Bon</w:t>
      </w:r>
      <w:r w:rsidRPr="00150ABE">
        <w:t>e destruc</w:t>
      </w:r>
      <w:r w:rsidR="00F41279" w:rsidRPr="00150ABE">
        <w:t>tion</w:t>
      </w:r>
      <w:r w:rsidRPr="00150ABE">
        <w:t xml:space="preserve"> is mediated by</w:t>
      </w:r>
      <w:r w:rsidR="00F41279" w:rsidRPr="00150ABE">
        <w:t xml:space="preserve"> osteoclasts, a type of bone cell that breaks down bone tissue which is activated by </w:t>
      </w:r>
      <w:r w:rsidR="00F07F4A">
        <w:t>the r</w:t>
      </w:r>
      <w:r w:rsidR="00F07F4A" w:rsidRPr="00F07F4A">
        <w:t xml:space="preserve">eceptor activator of nuclear factor kappa-Β </w:t>
      </w:r>
      <w:r w:rsidR="00F07F4A" w:rsidRPr="00150ABE">
        <w:t>ligand</w:t>
      </w:r>
      <w:r w:rsidR="00F07F4A">
        <w:t xml:space="preserve"> (</w:t>
      </w:r>
      <w:r w:rsidR="00F41279" w:rsidRPr="00150ABE">
        <w:t>RANK</w:t>
      </w:r>
      <w:r w:rsidR="00F07F4A">
        <w:t>L)</w:t>
      </w:r>
      <w:r w:rsidR="00F41279" w:rsidRPr="00150ABE">
        <w:t>. In multiple myeloma, RANK</w:t>
      </w:r>
      <w:r w:rsidR="00F07F4A">
        <w:t>L</w:t>
      </w:r>
      <w:r w:rsidR="00F41279" w:rsidRPr="00150ABE">
        <w:t xml:space="preserve"> is </w:t>
      </w:r>
      <w:proofErr w:type="spellStart"/>
      <w:r w:rsidR="00F41279" w:rsidRPr="00150ABE">
        <w:t>hypersecreted</w:t>
      </w:r>
      <w:proofErr w:type="spellEnd"/>
      <w:r w:rsidR="00F41279" w:rsidRPr="00150ABE">
        <w:t xml:space="preserve"> by bone marrow cells, osteocytes and myeloma cells and therefore, increases activation of osteoclasts.</w:t>
      </w:r>
      <w:r w:rsidR="00560FB0">
        <w:t xml:space="preserve"> </w:t>
      </w:r>
      <w:r w:rsidR="00560FB0" w:rsidRPr="00133D2E">
        <w:t xml:space="preserve">The </w:t>
      </w:r>
      <w:r w:rsidR="00332C7F">
        <w:t>Pre-Sub-Committee Response (</w:t>
      </w:r>
      <w:r w:rsidR="00560FB0" w:rsidRPr="00133D2E">
        <w:t>PSCR</w:t>
      </w:r>
      <w:r w:rsidR="00332C7F">
        <w:t>)</w:t>
      </w:r>
      <w:r w:rsidR="00560FB0" w:rsidRPr="00133D2E">
        <w:t xml:space="preserve"> </w:t>
      </w:r>
      <w:r w:rsidR="00F07F4A" w:rsidRPr="00133D2E">
        <w:t>note</w:t>
      </w:r>
      <w:r w:rsidR="00F07F4A">
        <w:t>d that</w:t>
      </w:r>
      <w:r w:rsidR="00F07F4A" w:rsidRPr="00133D2E">
        <w:t xml:space="preserve"> </w:t>
      </w:r>
      <w:r w:rsidR="00560FB0" w:rsidRPr="00133D2E">
        <w:t>denosumab may directly prevent RANKL-mediated myeloma cell growth and reactivation of dormant myeloma cells, which may slow the progression of disease.</w:t>
      </w:r>
    </w:p>
    <w:p w:rsidR="00A47255" w:rsidRPr="00150ABE" w:rsidRDefault="00F41279" w:rsidP="004D1C86">
      <w:pPr>
        <w:pStyle w:val="ListParagraph"/>
        <w:widowControl/>
        <w:numPr>
          <w:ilvl w:val="1"/>
          <w:numId w:val="29"/>
        </w:numPr>
      </w:pPr>
      <w:r w:rsidRPr="00150ABE">
        <w:t xml:space="preserve">Myeloma bone disease typically manifests through the development of bone lesions. This process is characterised by the development of bone pain, spinal cord compression and pathologic fractures which are some of the most common complications in this disease. Radiation therapy or bone </w:t>
      </w:r>
      <w:proofErr w:type="gramStart"/>
      <w:r w:rsidRPr="00150ABE">
        <w:t>surgery are</w:t>
      </w:r>
      <w:proofErr w:type="gramEnd"/>
      <w:r w:rsidRPr="00150ABE">
        <w:t xml:space="preserve"> used to manage these complications.</w:t>
      </w:r>
    </w:p>
    <w:p w:rsidR="009D0CE6" w:rsidRPr="00150ABE" w:rsidRDefault="00001FA3" w:rsidP="004D1C86">
      <w:pPr>
        <w:pStyle w:val="ListParagraph"/>
        <w:widowControl/>
        <w:numPr>
          <w:ilvl w:val="1"/>
          <w:numId w:val="29"/>
        </w:numPr>
      </w:pPr>
      <w:r w:rsidRPr="00150ABE">
        <w:t xml:space="preserve">The target population for denosumab in the submission is patients with bone lesions due to multiple myeloma. </w:t>
      </w:r>
      <w:r w:rsidR="009D0CE6" w:rsidRPr="00150ABE">
        <w:t xml:space="preserve">The submission positioned </w:t>
      </w:r>
      <w:r w:rsidR="00EA3DFD" w:rsidRPr="00150ABE">
        <w:t xml:space="preserve">subcutaneous (SC) </w:t>
      </w:r>
      <w:r w:rsidR="009D0CE6" w:rsidRPr="00150ABE">
        <w:t xml:space="preserve">denosumab </w:t>
      </w:r>
      <w:r w:rsidR="00984FFB" w:rsidRPr="00150ABE">
        <w:t>as an alternative to intravenous (IV)</w:t>
      </w:r>
      <w:r w:rsidR="009D0CE6" w:rsidRPr="00150ABE">
        <w:t xml:space="preserve"> bisphosphonates and as a treatment option in the subpopulation who are unsuitable for </w:t>
      </w:r>
      <w:r w:rsidR="00984FFB" w:rsidRPr="00150ABE">
        <w:t>IV</w:t>
      </w:r>
      <w:r w:rsidR="009D0CE6" w:rsidRPr="00150ABE">
        <w:t xml:space="preserve"> bisphosphonates due to severe renal impairment (creatinine clearance &lt;30 mL/min). </w:t>
      </w:r>
      <w:r w:rsidR="0016244F" w:rsidRPr="00150ABE">
        <w:t xml:space="preserve">The definition of patients unsuitable for IV bisphosphonates based on renal function alone was not completely consistent with Australian and international guidelines. </w:t>
      </w:r>
      <w:r w:rsidR="008318AE" w:rsidRPr="00150ABE">
        <w:t xml:space="preserve">Although IV zoledronic acid is not recommended in patients with severe renal impairment, low dose IV </w:t>
      </w:r>
      <w:proofErr w:type="spellStart"/>
      <w:r w:rsidR="008318AE" w:rsidRPr="00150ABE">
        <w:t>pamidronate</w:t>
      </w:r>
      <w:proofErr w:type="spellEnd"/>
      <w:r w:rsidR="008318AE" w:rsidRPr="00150ABE">
        <w:t xml:space="preserve"> remains an option in cases of significant disease and oral </w:t>
      </w:r>
      <w:proofErr w:type="spellStart"/>
      <w:r w:rsidR="008318AE" w:rsidRPr="00150ABE">
        <w:t>clodronate</w:t>
      </w:r>
      <w:proofErr w:type="spellEnd"/>
      <w:r w:rsidR="008318AE" w:rsidRPr="00150ABE">
        <w:t xml:space="preserve"> can still be used with dose adjustment in patients with creatinine clearance of 10-30 mL/min.</w:t>
      </w:r>
      <w:r w:rsidR="00EA3DFD" w:rsidRPr="00150ABE">
        <w:t xml:space="preserve"> No dose adjustments are necessary for denosumab in renal impairment. </w:t>
      </w:r>
    </w:p>
    <w:p w:rsidR="00B377A0" w:rsidRPr="00150ABE" w:rsidRDefault="00977EB7" w:rsidP="004D1C86">
      <w:pPr>
        <w:pStyle w:val="ListParagraph"/>
        <w:widowControl/>
        <w:numPr>
          <w:ilvl w:val="1"/>
          <w:numId w:val="29"/>
        </w:numPr>
      </w:pPr>
      <w:r w:rsidRPr="00150ABE">
        <w:t xml:space="preserve">The proposed algorithm described continuous monthly administration of IV bisphosphonates for 1-2 years followed by a review of therapy based on risk of </w:t>
      </w:r>
      <w:r w:rsidR="00D9075A">
        <w:t>SREs</w:t>
      </w:r>
      <w:r w:rsidRPr="00150ABE">
        <w:t xml:space="preserve">. </w:t>
      </w:r>
      <w:r w:rsidRPr="00150ABE">
        <w:lastRenderedPageBreak/>
        <w:t xml:space="preserve">Consequently, some patients may spend a period of time on 3-monthly dosing or cease therapy and reinitiate upon disease relapse. </w:t>
      </w:r>
    </w:p>
    <w:p w:rsidR="008318AE" w:rsidRPr="00133D2E" w:rsidRDefault="0016244F" w:rsidP="004D1C86">
      <w:pPr>
        <w:pStyle w:val="ListParagraph"/>
        <w:widowControl/>
        <w:numPr>
          <w:ilvl w:val="1"/>
          <w:numId w:val="29"/>
        </w:numPr>
      </w:pPr>
      <w:r w:rsidRPr="00150ABE">
        <w:t xml:space="preserve">The algorithm </w:t>
      </w:r>
      <w:r w:rsidR="00B377A0" w:rsidRPr="00150ABE">
        <w:t xml:space="preserve">in the submission </w:t>
      </w:r>
      <w:r w:rsidRPr="00150ABE">
        <w:t xml:space="preserve">did not </w:t>
      </w:r>
      <w:r w:rsidR="00B377A0" w:rsidRPr="00150ABE">
        <w:t>clearly describe the pattern of use of denosumab beyond 1-2 years of treatment</w:t>
      </w:r>
      <w:r w:rsidR="00977EB7" w:rsidRPr="00150ABE">
        <w:t xml:space="preserve">. </w:t>
      </w:r>
      <w:r w:rsidR="00B377A0" w:rsidRPr="00150ABE">
        <w:t>The</w:t>
      </w:r>
      <w:r w:rsidR="00977EB7" w:rsidRPr="00150ABE">
        <w:t xml:space="preserve"> differences in drug profile between </w:t>
      </w:r>
      <w:r w:rsidR="00B377A0" w:rsidRPr="00150ABE">
        <w:t xml:space="preserve">IV </w:t>
      </w:r>
      <w:r w:rsidR="00977EB7" w:rsidRPr="00150ABE">
        <w:t>bisphosphonat</w:t>
      </w:r>
      <w:r w:rsidR="00B377A0" w:rsidRPr="00150ABE">
        <w:t xml:space="preserve">es and denosumab (e.g. long-acting versus short-acting) suggest less flexibility with the dosing regimen of denosumab. </w:t>
      </w:r>
      <w:r w:rsidR="00D17FD5" w:rsidRPr="00150ABE">
        <w:t>Due to recent safety signals associated with rebound osteoclast activity, international guidelines recommend administration of at least one dose of IV bisphosphonate upon cessation of denosumab (</w:t>
      </w:r>
      <w:proofErr w:type="spellStart"/>
      <w:r w:rsidR="00D17FD5" w:rsidRPr="00150ABE">
        <w:t>UpToDate</w:t>
      </w:r>
      <w:proofErr w:type="spellEnd"/>
      <w:r w:rsidR="00D17FD5" w:rsidRPr="00150ABE">
        <w:t>, Feb 2018 – The use of osteoclast inhibitors in patients with multiple myeloma). There was limited data to indicate optimal duration of therapy with denosumab.</w:t>
      </w:r>
      <w:r w:rsidR="009E2929">
        <w:t xml:space="preserve"> </w:t>
      </w:r>
      <w:r w:rsidR="009E2929" w:rsidRPr="00133D2E">
        <w:t xml:space="preserve">The ESC noted the optimal duration of therapy is unknown, however it could be assumed that treatment would likely be continuous. </w:t>
      </w:r>
    </w:p>
    <w:p w:rsidR="00977EB7" w:rsidRPr="00665EEE" w:rsidRDefault="00B377A0" w:rsidP="004D1C86">
      <w:pPr>
        <w:pStyle w:val="ListParagraph"/>
        <w:widowControl/>
        <w:numPr>
          <w:ilvl w:val="1"/>
          <w:numId w:val="29"/>
        </w:numPr>
      </w:pPr>
      <w:r w:rsidRPr="00150ABE">
        <w:t>T</w:t>
      </w:r>
      <w:r w:rsidR="00977EB7" w:rsidRPr="00150ABE">
        <w:t xml:space="preserve">he submission noted that IV bisphosphonates are generally preferred over oral </w:t>
      </w:r>
      <w:r w:rsidRPr="00150ABE">
        <w:t xml:space="preserve">bisphosphonates due to improved efficacy, and that oral </w:t>
      </w:r>
      <w:proofErr w:type="spellStart"/>
      <w:r w:rsidRPr="00150ABE">
        <w:t>clodronate</w:t>
      </w:r>
      <w:proofErr w:type="spellEnd"/>
      <w:r w:rsidRPr="00150ABE">
        <w:t xml:space="preserve"> is recommended only for patients unable to attend hospitals for infusions based on Australian bisphosphonate guidelines for the treatment of myeloma bone disease (Lee et al 2017). </w:t>
      </w:r>
      <w:r w:rsidR="00EA3DFD" w:rsidRPr="00150ABE">
        <w:t xml:space="preserve">There may be a preference to use </w:t>
      </w:r>
      <w:r w:rsidR="00D77413" w:rsidRPr="00150ABE">
        <w:t>subcutaneous</w:t>
      </w:r>
      <w:r w:rsidR="00EA3DFD" w:rsidRPr="00150ABE">
        <w:t xml:space="preserve"> denosumab in some patients as it does not require hospital attendance and may be preferred in those with stable disease. </w:t>
      </w:r>
      <w:r w:rsidR="009E2929" w:rsidRPr="00133D2E">
        <w:t xml:space="preserve">The preference will also extend to those who prefer to use a </w:t>
      </w:r>
      <w:r w:rsidR="00D77413" w:rsidRPr="00133D2E">
        <w:t>subcutaneous</w:t>
      </w:r>
      <w:r w:rsidR="009E2929" w:rsidRPr="00133D2E">
        <w:t xml:space="preserve"> injection over IV infusion, which reduces nursing time and can </w:t>
      </w:r>
      <w:r w:rsidR="009E2929" w:rsidRPr="00665EEE">
        <w:t xml:space="preserve">potentially be </w:t>
      </w:r>
      <w:r w:rsidR="00133D2E" w:rsidRPr="00665EEE">
        <w:t>self-administered</w:t>
      </w:r>
      <w:r w:rsidR="009E2929" w:rsidRPr="00665EEE">
        <w:t>.</w:t>
      </w:r>
    </w:p>
    <w:p w:rsidR="00A64BDC" w:rsidRPr="00F90A91" w:rsidRDefault="00A64BDC" w:rsidP="00A64BDC">
      <w:pPr>
        <w:pStyle w:val="ListParagraph"/>
        <w:rPr>
          <w:rFonts w:asciiTheme="minorHAnsi" w:hAnsiTheme="minorHAnsi"/>
          <w:i/>
        </w:rPr>
      </w:pPr>
      <w:bookmarkStart w:id="4" w:name="_Toc514234384"/>
      <w:r w:rsidRPr="00665EEE">
        <w:rPr>
          <w:rFonts w:asciiTheme="minorHAnsi" w:hAnsiTheme="minorHAnsi"/>
          <w:i/>
        </w:rPr>
        <w:t>For more detail on PBAC’s view, see section 7 PBAC outcome.</w:t>
      </w:r>
    </w:p>
    <w:p w:rsidR="00B50DB8" w:rsidRPr="004D1C86" w:rsidRDefault="00B50DB8" w:rsidP="004D1C86">
      <w:pPr>
        <w:pStyle w:val="PBACHeading1"/>
        <w:numPr>
          <w:ilvl w:val="0"/>
          <w:numId w:val="29"/>
        </w:numPr>
        <w:spacing w:before="240" w:after="120"/>
        <w:outlineLvl w:val="0"/>
        <w:rPr>
          <w:rFonts w:asciiTheme="minorHAnsi" w:hAnsiTheme="minorHAnsi"/>
          <w:szCs w:val="32"/>
        </w:rPr>
      </w:pPr>
      <w:r w:rsidRPr="004D1C86">
        <w:rPr>
          <w:rFonts w:asciiTheme="minorHAnsi" w:hAnsiTheme="minorHAnsi"/>
          <w:szCs w:val="32"/>
        </w:rPr>
        <w:t>Comparator</w:t>
      </w:r>
      <w:bookmarkEnd w:id="4"/>
    </w:p>
    <w:p w:rsidR="005A32CF" w:rsidRPr="005A32CF" w:rsidRDefault="004662A0" w:rsidP="004D1C86">
      <w:pPr>
        <w:pStyle w:val="ListParagraph"/>
        <w:widowControl/>
        <w:numPr>
          <w:ilvl w:val="1"/>
          <w:numId w:val="29"/>
        </w:numPr>
        <w:rPr>
          <w:i/>
        </w:rPr>
      </w:pPr>
      <w:r w:rsidRPr="00150ABE">
        <w:t xml:space="preserve">The submission nominated zoledronic acid as the main comparator. </w:t>
      </w:r>
      <w:r w:rsidR="004B4BD2" w:rsidRPr="00150ABE">
        <w:t xml:space="preserve">The submission argued that zoledronic acid is the most commonly used bisphosphonate in patients with multiple myeloma based on a 10% Medicare sample analysis of 2014-2015 utilisation data. Based on the analysis, the most commonly used therapy was zoledronic acid (70%), followed by </w:t>
      </w:r>
      <w:proofErr w:type="spellStart"/>
      <w:r w:rsidR="004B4BD2" w:rsidRPr="00150ABE">
        <w:t>pamidronate</w:t>
      </w:r>
      <w:proofErr w:type="spellEnd"/>
      <w:r w:rsidR="004B4BD2" w:rsidRPr="00150ABE">
        <w:t xml:space="preserve"> (17%) and </w:t>
      </w:r>
      <w:proofErr w:type="spellStart"/>
      <w:r w:rsidR="004B4BD2" w:rsidRPr="00150ABE">
        <w:t>clodronate</w:t>
      </w:r>
      <w:proofErr w:type="spellEnd"/>
      <w:r w:rsidR="004B4BD2" w:rsidRPr="00150ABE">
        <w:t xml:space="preserve"> (13%).  Although there were limitations with the analysis (older data with adjustments due to </w:t>
      </w:r>
      <w:r w:rsidR="00984FFB" w:rsidRPr="00150ABE">
        <w:t xml:space="preserve">the </w:t>
      </w:r>
      <w:r w:rsidR="004B4BD2" w:rsidRPr="00150ABE">
        <w:t xml:space="preserve">high proportion of invalid indications), it is likely that zoledronic acid is the most commonly used </w:t>
      </w:r>
      <w:r w:rsidR="00984FFB" w:rsidRPr="00150ABE">
        <w:t xml:space="preserve">bisphosphonate </w:t>
      </w:r>
      <w:r w:rsidR="004B4BD2" w:rsidRPr="00150ABE">
        <w:t>treatment in the overall myeloma population.</w:t>
      </w:r>
      <w:r w:rsidR="005A32CF">
        <w:t xml:space="preserve"> </w:t>
      </w:r>
    </w:p>
    <w:p w:rsidR="004B4BD2" w:rsidRPr="00150ABE" w:rsidRDefault="00536E8E" w:rsidP="004D1C86">
      <w:pPr>
        <w:pStyle w:val="ListParagraph"/>
        <w:widowControl/>
        <w:numPr>
          <w:ilvl w:val="1"/>
          <w:numId w:val="29"/>
        </w:numPr>
      </w:pPr>
      <w:r w:rsidRPr="00150ABE">
        <w:t xml:space="preserve">In the proposed algorithm, the submission assumed that some patients would be unsuitable for intravenous (IV) bisphosphonates due to severe renal impairment, and have no available treatment options. The use of zoledronic acid is not recommended in patients with severe renal impairment (creatinine clearance &lt;30 mL/min). However, Australian guidelines for bisphosphonates for the treatment of myeloma bone disease (Lee et al 2017) suggest </w:t>
      </w:r>
      <w:proofErr w:type="spellStart"/>
      <w:r w:rsidRPr="00150ABE">
        <w:t>pamidronate</w:t>
      </w:r>
      <w:proofErr w:type="spellEnd"/>
      <w:r w:rsidRPr="00150ABE">
        <w:t xml:space="preserve"> or </w:t>
      </w:r>
      <w:proofErr w:type="spellStart"/>
      <w:r w:rsidRPr="00150ABE">
        <w:t>clodronate</w:t>
      </w:r>
      <w:proofErr w:type="spellEnd"/>
      <w:r w:rsidRPr="00150ABE">
        <w:t xml:space="preserve"> as treatment options in these patients, which should be considered as alternative comparators in the subpopulation with severe renal impairment. </w:t>
      </w:r>
    </w:p>
    <w:p w:rsidR="00AD30FA" w:rsidRPr="00150ABE" w:rsidRDefault="00AD30FA" w:rsidP="004D1C86">
      <w:pPr>
        <w:pStyle w:val="ListParagraph"/>
        <w:widowControl/>
        <w:numPr>
          <w:ilvl w:val="1"/>
          <w:numId w:val="29"/>
        </w:numPr>
        <w:spacing w:after="0"/>
      </w:pPr>
      <w:r w:rsidRPr="00150ABE">
        <w:lastRenderedPageBreak/>
        <w:t xml:space="preserve">The submission further argued that zoledronic acid was accepted by the PBAC as an appropriate comparator when denosumab was considered for bone metastases in patients with breast and prostate cancer in the context of a superiority claim versus zoledronic acid in terms of efficacy (denosumab PSD, July 2011). However, the PBAC also considered </w:t>
      </w:r>
      <w:proofErr w:type="spellStart"/>
      <w:r w:rsidRPr="00150ABE">
        <w:t>pamidronate</w:t>
      </w:r>
      <w:proofErr w:type="spellEnd"/>
      <w:r w:rsidRPr="00150ABE">
        <w:t xml:space="preserve"> as an alternative comparator in more recent denosumab submissions for hypercalcaemia of malignancy:</w:t>
      </w:r>
    </w:p>
    <w:p w:rsidR="00AD30FA" w:rsidRPr="00150ABE" w:rsidRDefault="00AD30FA" w:rsidP="00AD30FA">
      <w:pPr>
        <w:pStyle w:val="ListParagraph"/>
        <w:widowControl/>
        <w:numPr>
          <w:ilvl w:val="0"/>
          <w:numId w:val="26"/>
        </w:numPr>
        <w:spacing w:after="0"/>
        <w:ind w:left="1077" w:hanging="357"/>
      </w:pPr>
      <w:r w:rsidRPr="00150ABE">
        <w:t xml:space="preserve">The PBAC accepted zoledronic acid as an appropriate comparator but also noted that </w:t>
      </w:r>
      <w:proofErr w:type="spellStart"/>
      <w:r w:rsidRPr="00150ABE">
        <w:t>pamidronate</w:t>
      </w:r>
      <w:proofErr w:type="spellEnd"/>
      <w:r w:rsidRPr="00150ABE">
        <w:t xml:space="preserve"> would also be replace</w:t>
      </w:r>
      <w:r w:rsidR="00151FB8" w:rsidRPr="00150ABE">
        <w:t>d</w:t>
      </w:r>
      <w:r w:rsidRPr="00150ABE">
        <w:t xml:space="preserve"> in practice, albeit to a lesser extent, </w:t>
      </w:r>
      <w:r w:rsidR="00151FB8" w:rsidRPr="00150ABE">
        <w:t>and was therefore</w:t>
      </w:r>
      <w:r w:rsidRPr="00150ABE">
        <w:t xml:space="preserve"> also a relevant comparator (paragraph 7.2, denosumab PSD, March 2016). This was considered</w:t>
      </w:r>
      <w:r w:rsidR="0084313D" w:rsidRPr="00150ABE">
        <w:t xml:space="preserve"> in the context of a superior efficacy</w:t>
      </w:r>
      <w:r w:rsidRPr="00150ABE">
        <w:t xml:space="preserve"> claim and non-inferior safety claim for denosumab compared with zoledronic acid that were not adequately supported by the data (paragraphs 6.22 and 6.23, denosumab PSD, March 2016) </w:t>
      </w:r>
    </w:p>
    <w:p w:rsidR="00AD30FA" w:rsidRPr="00150ABE" w:rsidRDefault="00AD30FA" w:rsidP="00AD30FA">
      <w:pPr>
        <w:pStyle w:val="ListParagraph"/>
        <w:widowControl/>
        <w:numPr>
          <w:ilvl w:val="0"/>
          <w:numId w:val="26"/>
        </w:numPr>
        <w:spacing w:after="0"/>
        <w:ind w:left="1077" w:hanging="357"/>
      </w:pPr>
      <w:r w:rsidRPr="00150ABE">
        <w:t xml:space="preserve">The PBAC considered that </w:t>
      </w:r>
      <w:proofErr w:type="spellStart"/>
      <w:r w:rsidRPr="00150ABE">
        <w:t>pamidronate</w:t>
      </w:r>
      <w:proofErr w:type="spellEnd"/>
      <w:r w:rsidRPr="00150ABE">
        <w:t xml:space="preserve"> was the most reasonable comparator when denosumab was considered for the treatment of bisphosphonate-refractory hypercalcaemia of malignancy given the very poor quality of data presented for the comparison of denosumab and zoledronic acid (paragraph 7.4, denosumab PSD, July 2016). </w:t>
      </w:r>
    </w:p>
    <w:p w:rsidR="0084313D" w:rsidRPr="00150ABE" w:rsidRDefault="0084313D" w:rsidP="0084313D">
      <w:pPr>
        <w:pStyle w:val="ListParagraph"/>
        <w:widowControl/>
        <w:spacing w:after="0"/>
        <w:ind w:left="1077"/>
        <w:rPr>
          <w:sz w:val="16"/>
        </w:rPr>
      </w:pPr>
    </w:p>
    <w:p w:rsidR="00A64BDC" w:rsidRPr="00F90A91" w:rsidRDefault="00A64BDC" w:rsidP="00A64BDC">
      <w:pPr>
        <w:pStyle w:val="ListParagraph"/>
        <w:rPr>
          <w:rFonts w:asciiTheme="minorHAnsi" w:hAnsiTheme="minorHAnsi"/>
          <w:i/>
        </w:rPr>
      </w:pPr>
      <w:bookmarkStart w:id="5" w:name="_Toc514234385"/>
      <w:r w:rsidRPr="00E639CD">
        <w:rPr>
          <w:rFonts w:asciiTheme="minorHAnsi" w:hAnsiTheme="minorHAnsi"/>
          <w:i/>
        </w:rPr>
        <w:t>For more detail on PBAC’s view, see section 7 PBAC outcome.</w:t>
      </w:r>
    </w:p>
    <w:p w:rsidR="00B50DB8" w:rsidRPr="004D1C86" w:rsidRDefault="00BD6CF3" w:rsidP="004D1C86">
      <w:pPr>
        <w:pStyle w:val="PBACHeading1"/>
        <w:numPr>
          <w:ilvl w:val="0"/>
          <w:numId w:val="29"/>
        </w:numPr>
        <w:spacing w:before="240" w:after="120"/>
        <w:ind w:left="709" w:hanging="709"/>
        <w:outlineLvl w:val="0"/>
        <w:rPr>
          <w:rFonts w:asciiTheme="minorHAnsi" w:hAnsiTheme="minorHAnsi"/>
          <w:szCs w:val="32"/>
        </w:rPr>
      </w:pPr>
      <w:r w:rsidRPr="004D1C86">
        <w:rPr>
          <w:rFonts w:asciiTheme="minorHAnsi" w:hAnsiTheme="minorHAnsi"/>
          <w:szCs w:val="32"/>
        </w:rPr>
        <w:t>C</w:t>
      </w:r>
      <w:r w:rsidR="00B50DB8" w:rsidRPr="004D1C86">
        <w:rPr>
          <w:rFonts w:asciiTheme="minorHAnsi" w:hAnsiTheme="minorHAnsi"/>
          <w:szCs w:val="32"/>
        </w:rPr>
        <w:t>onsideration of the evidence</w:t>
      </w:r>
      <w:bookmarkEnd w:id="5"/>
    </w:p>
    <w:p w:rsidR="00A64BDC" w:rsidRPr="006D7E46" w:rsidRDefault="00A64BDC" w:rsidP="00D56BF2">
      <w:pPr>
        <w:pStyle w:val="Heading2"/>
        <w:spacing w:before="240" w:after="120"/>
        <w:rPr>
          <w:b w:val="0"/>
          <w:i w:val="0"/>
        </w:rPr>
      </w:pPr>
      <w:bookmarkStart w:id="6" w:name="_Toc514234386"/>
      <w:r w:rsidRPr="006D7E46">
        <w:t>Sponsor hearing</w:t>
      </w:r>
    </w:p>
    <w:p w:rsidR="00A64BDC" w:rsidRPr="0082135A" w:rsidRDefault="0082135A" w:rsidP="00A64BDC">
      <w:pPr>
        <w:pStyle w:val="ListParagraph"/>
        <w:widowControl/>
        <w:numPr>
          <w:ilvl w:val="1"/>
          <w:numId w:val="29"/>
        </w:numPr>
        <w:rPr>
          <w:rFonts w:asciiTheme="minorHAnsi" w:hAnsiTheme="minorHAnsi"/>
          <w:bCs/>
        </w:rPr>
      </w:pPr>
      <w:r w:rsidRPr="0082135A">
        <w:rPr>
          <w:rFonts w:asciiTheme="minorHAnsi" w:hAnsiTheme="minorHAnsi"/>
          <w:bCs/>
        </w:rPr>
        <w:t>T</w:t>
      </w:r>
      <w:r w:rsidR="00A64BDC" w:rsidRPr="0082135A">
        <w:rPr>
          <w:rFonts w:asciiTheme="minorHAnsi" w:hAnsiTheme="minorHAnsi"/>
          <w:bCs/>
        </w:rPr>
        <w:t>he</w:t>
      </w:r>
      <w:r w:rsidRPr="0082135A">
        <w:rPr>
          <w:rFonts w:asciiTheme="minorHAnsi" w:hAnsiTheme="minorHAnsi"/>
          <w:bCs/>
        </w:rPr>
        <w:t>re was no hearing for this item</w:t>
      </w:r>
      <w:r w:rsidR="00A64BDC" w:rsidRPr="0082135A">
        <w:rPr>
          <w:rFonts w:asciiTheme="minorHAnsi" w:hAnsiTheme="minorHAnsi"/>
          <w:bCs/>
        </w:rPr>
        <w:t>.</w:t>
      </w:r>
    </w:p>
    <w:p w:rsidR="00A64BDC" w:rsidRPr="006D7E46" w:rsidRDefault="00A64BDC" w:rsidP="00D56BF2">
      <w:pPr>
        <w:pStyle w:val="Heading2"/>
        <w:spacing w:before="240" w:after="120"/>
        <w:rPr>
          <w:b w:val="0"/>
          <w:i w:val="0"/>
        </w:rPr>
      </w:pPr>
      <w:r w:rsidRPr="006D7E46">
        <w:t>Consumer comments</w:t>
      </w:r>
    </w:p>
    <w:p w:rsidR="00A64BDC" w:rsidRPr="00995152" w:rsidRDefault="00A64BDC" w:rsidP="00995152">
      <w:pPr>
        <w:pStyle w:val="ListParagraph"/>
        <w:widowControl/>
        <w:numPr>
          <w:ilvl w:val="1"/>
          <w:numId w:val="29"/>
        </w:numPr>
        <w:rPr>
          <w:rFonts w:asciiTheme="minorHAnsi" w:hAnsiTheme="minorHAnsi"/>
          <w:bCs/>
        </w:rPr>
      </w:pPr>
      <w:r w:rsidRPr="00995152">
        <w:rPr>
          <w:rFonts w:asciiTheme="minorHAnsi" w:hAnsiTheme="minorHAnsi"/>
          <w:bCs/>
        </w:rPr>
        <w:t>The PBAC noted and welcom</w:t>
      </w:r>
      <w:r w:rsidR="0082135A" w:rsidRPr="00995152">
        <w:rPr>
          <w:rFonts w:asciiTheme="minorHAnsi" w:hAnsiTheme="minorHAnsi"/>
          <w:bCs/>
        </w:rPr>
        <w:t>ed the input from individuals (96</w:t>
      </w:r>
      <w:r w:rsidRPr="00995152">
        <w:rPr>
          <w:rFonts w:asciiTheme="minorHAnsi" w:hAnsiTheme="minorHAnsi"/>
          <w:bCs/>
        </w:rPr>
        <w:t>), health care professionals (</w:t>
      </w:r>
      <w:r w:rsidR="0082135A" w:rsidRPr="00995152">
        <w:rPr>
          <w:rFonts w:asciiTheme="minorHAnsi" w:hAnsiTheme="minorHAnsi"/>
          <w:bCs/>
        </w:rPr>
        <w:t>4</w:t>
      </w:r>
      <w:r w:rsidR="000C64D3">
        <w:rPr>
          <w:rFonts w:asciiTheme="minorHAnsi" w:hAnsiTheme="minorHAnsi"/>
          <w:bCs/>
        </w:rPr>
        <w:t>) and organisations (2</w:t>
      </w:r>
      <w:r w:rsidRPr="00995152">
        <w:rPr>
          <w:rFonts w:asciiTheme="minorHAnsi" w:hAnsiTheme="minorHAnsi"/>
          <w:bCs/>
        </w:rPr>
        <w:t xml:space="preserve">) via the Consumer Comments facility on the PBS website.  The comments described a range of benefits of treatment with </w:t>
      </w:r>
      <w:r w:rsidR="002A5BEC" w:rsidRPr="00995152">
        <w:rPr>
          <w:rFonts w:asciiTheme="minorHAnsi" w:hAnsiTheme="minorHAnsi"/>
          <w:bCs/>
        </w:rPr>
        <w:t>deno</w:t>
      </w:r>
      <w:r w:rsidR="00612017" w:rsidRPr="00995152">
        <w:rPr>
          <w:rFonts w:asciiTheme="minorHAnsi" w:hAnsiTheme="minorHAnsi"/>
          <w:bCs/>
        </w:rPr>
        <w:t>s</w:t>
      </w:r>
      <w:r w:rsidR="002A5BEC" w:rsidRPr="00995152">
        <w:rPr>
          <w:rFonts w:asciiTheme="minorHAnsi" w:hAnsiTheme="minorHAnsi"/>
          <w:bCs/>
        </w:rPr>
        <w:t>umab</w:t>
      </w:r>
      <w:r w:rsidRPr="00995152">
        <w:rPr>
          <w:rFonts w:asciiTheme="minorHAnsi" w:hAnsiTheme="minorHAnsi"/>
          <w:bCs/>
        </w:rPr>
        <w:t xml:space="preserve"> </w:t>
      </w:r>
      <w:r w:rsidR="00612017" w:rsidRPr="00995152">
        <w:rPr>
          <w:rFonts w:asciiTheme="minorHAnsi" w:hAnsiTheme="minorHAnsi"/>
          <w:bCs/>
        </w:rPr>
        <w:t xml:space="preserve">compared to zoledronic acid </w:t>
      </w:r>
      <w:r w:rsidRPr="00995152">
        <w:rPr>
          <w:rFonts w:asciiTheme="minorHAnsi" w:hAnsiTheme="minorHAnsi"/>
          <w:bCs/>
        </w:rPr>
        <w:t>including</w:t>
      </w:r>
      <w:r w:rsidR="00612017" w:rsidRPr="00995152">
        <w:rPr>
          <w:rFonts w:asciiTheme="minorHAnsi" w:hAnsiTheme="minorHAnsi"/>
          <w:bCs/>
        </w:rPr>
        <w:t xml:space="preserve"> less administrative burden, </w:t>
      </w:r>
      <w:r w:rsidR="00995152" w:rsidRPr="00995152">
        <w:rPr>
          <w:rFonts w:asciiTheme="minorHAnsi" w:hAnsiTheme="minorHAnsi"/>
          <w:bCs/>
        </w:rPr>
        <w:t>a different side effect profile p</w:t>
      </w:r>
      <w:r w:rsidR="00BC075A" w:rsidRPr="00995152">
        <w:rPr>
          <w:rFonts w:asciiTheme="minorHAnsi" w:hAnsiTheme="minorHAnsi"/>
          <w:bCs/>
        </w:rPr>
        <w:t xml:space="preserve">erceived </w:t>
      </w:r>
      <w:r w:rsidR="00995152" w:rsidRPr="00995152">
        <w:rPr>
          <w:rFonts w:asciiTheme="minorHAnsi" w:hAnsiTheme="minorHAnsi"/>
          <w:bCs/>
        </w:rPr>
        <w:t xml:space="preserve">to be </w:t>
      </w:r>
      <w:r w:rsidR="00BC075A" w:rsidRPr="00995152">
        <w:rPr>
          <w:rFonts w:asciiTheme="minorHAnsi" w:hAnsiTheme="minorHAnsi"/>
          <w:bCs/>
        </w:rPr>
        <w:t xml:space="preserve">more favourable particularly </w:t>
      </w:r>
      <w:r w:rsidR="00995152" w:rsidRPr="00995152">
        <w:rPr>
          <w:rFonts w:asciiTheme="minorHAnsi" w:hAnsiTheme="minorHAnsi"/>
          <w:bCs/>
        </w:rPr>
        <w:t>with respect to</w:t>
      </w:r>
      <w:r w:rsidR="00BC075A" w:rsidRPr="00995152">
        <w:rPr>
          <w:rFonts w:asciiTheme="minorHAnsi" w:hAnsiTheme="minorHAnsi"/>
          <w:bCs/>
        </w:rPr>
        <w:t xml:space="preserve"> renal toxicity</w:t>
      </w:r>
      <w:r w:rsidR="00D56BF2">
        <w:rPr>
          <w:rFonts w:asciiTheme="minorHAnsi" w:hAnsiTheme="minorHAnsi"/>
          <w:bCs/>
        </w:rPr>
        <w:t>.</w:t>
      </w:r>
    </w:p>
    <w:p w:rsidR="00612017" w:rsidRPr="00612017" w:rsidRDefault="00A64BDC" w:rsidP="00612017">
      <w:pPr>
        <w:pStyle w:val="ListParagraph"/>
        <w:widowControl/>
        <w:numPr>
          <w:ilvl w:val="1"/>
          <w:numId w:val="29"/>
        </w:numPr>
      </w:pPr>
      <w:r w:rsidRPr="000C64D3">
        <w:rPr>
          <w:rFonts w:asciiTheme="minorHAnsi" w:hAnsiTheme="minorHAnsi"/>
          <w:bCs/>
        </w:rPr>
        <w:t xml:space="preserve">The PBAC noted the advice received from </w:t>
      </w:r>
      <w:r w:rsidR="000C64D3" w:rsidRPr="000C64D3">
        <w:rPr>
          <w:rFonts w:asciiTheme="minorHAnsi" w:hAnsiTheme="minorHAnsi"/>
          <w:bCs/>
        </w:rPr>
        <w:t xml:space="preserve">Myeloma Australia which advised current treatments for bone disease are associated with renal toxicity and are therefore not suitable for patients with renal disease. Denosumab was considered safe for </w:t>
      </w:r>
      <w:proofErr w:type="spellStart"/>
      <w:r w:rsidR="000C64D3" w:rsidRPr="000C64D3">
        <w:rPr>
          <w:rFonts w:asciiTheme="minorHAnsi" w:hAnsiTheme="minorHAnsi"/>
          <w:bCs/>
        </w:rPr>
        <w:t>renally</w:t>
      </w:r>
      <w:proofErr w:type="spellEnd"/>
      <w:r w:rsidR="000C64D3" w:rsidRPr="000C64D3">
        <w:rPr>
          <w:rFonts w:asciiTheme="minorHAnsi" w:hAnsiTheme="minorHAnsi"/>
          <w:bCs/>
        </w:rPr>
        <w:t xml:space="preserve"> impaired patients, free from significant side effects, whilst improving progression free survival.</w:t>
      </w:r>
      <w:r w:rsidR="000C64D3">
        <w:rPr>
          <w:rFonts w:asciiTheme="minorHAnsi" w:hAnsiTheme="minorHAnsi"/>
          <w:bCs/>
        </w:rPr>
        <w:t xml:space="preserve"> The </w:t>
      </w:r>
      <w:r w:rsidR="000C64D3" w:rsidRPr="000C64D3">
        <w:rPr>
          <w:rFonts w:asciiTheme="minorHAnsi" w:hAnsiTheme="minorHAnsi"/>
          <w:bCs/>
        </w:rPr>
        <w:t>Myeloma Australia Medical and Scientific Advisory Group</w:t>
      </w:r>
      <w:r w:rsidR="00416CFF">
        <w:rPr>
          <w:rFonts w:asciiTheme="minorHAnsi" w:hAnsiTheme="minorHAnsi"/>
          <w:bCs/>
        </w:rPr>
        <w:t xml:space="preserve"> (MSAG)</w:t>
      </w:r>
      <w:r w:rsidR="000C64D3" w:rsidRPr="000C64D3">
        <w:rPr>
          <w:rFonts w:asciiTheme="minorHAnsi" w:hAnsiTheme="minorHAnsi"/>
          <w:bCs/>
        </w:rPr>
        <w:t xml:space="preserve"> </w:t>
      </w:r>
      <w:r w:rsidR="006B1608">
        <w:rPr>
          <w:rFonts w:asciiTheme="minorHAnsi" w:hAnsiTheme="minorHAnsi"/>
          <w:bCs/>
        </w:rPr>
        <w:t>summarised the benefits of den</w:t>
      </w:r>
      <w:r w:rsidR="00612017" w:rsidRPr="000C64D3">
        <w:rPr>
          <w:rFonts w:asciiTheme="minorHAnsi" w:hAnsiTheme="minorHAnsi"/>
          <w:bCs/>
        </w:rPr>
        <w:t>o</w:t>
      </w:r>
      <w:r w:rsidR="006B1608">
        <w:rPr>
          <w:rFonts w:asciiTheme="minorHAnsi" w:hAnsiTheme="minorHAnsi"/>
          <w:bCs/>
        </w:rPr>
        <w:t>s</w:t>
      </w:r>
      <w:r w:rsidR="00612017" w:rsidRPr="000C64D3">
        <w:rPr>
          <w:rFonts w:asciiTheme="minorHAnsi" w:hAnsiTheme="minorHAnsi"/>
          <w:bCs/>
        </w:rPr>
        <w:t xml:space="preserve">umab as being: </w:t>
      </w:r>
    </w:p>
    <w:p w:rsidR="00612017" w:rsidRPr="00612017" w:rsidRDefault="00612017" w:rsidP="00612017">
      <w:pPr>
        <w:pStyle w:val="Default"/>
        <w:numPr>
          <w:ilvl w:val="0"/>
          <w:numId w:val="40"/>
        </w:numPr>
        <w:rPr>
          <w:rFonts w:asciiTheme="minorHAnsi" w:hAnsiTheme="minorHAnsi"/>
          <w:bCs/>
        </w:rPr>
      </w:pPr>
      <w:r w:rsidRPr="00612017">
        <w:rPr>
          <w:rFonts w:asciiTheme="minorHAnsi" w:hAnsiTheme="minorHAnsi"/>
          <w:bCs/>
        </w:rPr>
        <w:t xml:space="preserve">not </w:t>
      </w:r>
      <w:proofErr w:type="spellStart"/>
      <w:r w:rsidRPr="00612017">
        <w:rPr>
          <w:rFonts w:asciiTheme="minorHAnsi" w:hAnsiTheme="minorHAnsi"/>
          <w:bCs/>
        </w:rPr>
        <w:t>renally</w:t>
      </w:r>
      <w:proofErr w:type="spellEnd"/>
      <w:r w:rsidRPr="00612017">
        <w:rPr>
          <w:rFonts w:asciiTheme="minorHAnsi" w:hAnsiTheme="minorHAnsi"/>
          <w:bCs/>
        </w:rPr>
        <w:t xml:space="preserve"> cleared and can be used in </w:t>
      </w:r>
      <w:proofErr w:type="spellStart"/>
      <w:r w:rsidRPr="00612017">
        <w:rPr>
          <w:rFonts w:asciiTheme="minorHAnsi" w:hAnsiTheme="minorHAnsi"/>
          <w:bCs/>
        </w:rPr>
        <w:t>renally</w:t>
      </w:r>
      <w:proofErr w:type="spellEnd"/>
      <w:r w:rsidRPr="00612017">
        <w:rPr>
          <w:rFonts w:asciiTheme="minorHAnsi" w:hAnsiTheme="minorHAnsi"/>
          <w:bCs/>
        </w:rPr>
        <w:t xml:space="preserve"> insufficient patients </w:t>
      </w:r>
    </w:p>
    <w:p w:rsidR="00612017" w:rsidRPr="00612017" w:rsidRDefault="00612017" w:rsidP="00612017">
      <w:pPr>
        <w:pStyle w:val="Default"/>
        <w:numPr>
          <w:ilvl w:val="0"/>
          <w:numId w:val="40"/>
        </w:numPr>
        <w:rPr>
          <w:rFonts w:asciiTheme="minorHAnsi" w:hAnsiTheme="minorHAnsi"/>
          <w:bCs/>
        </w:rPr>
      </w:pPr>
      <w:r w:rsidRPr="00612017">
        <w:rPr>
          <w:rFonts w:asciiTheme="minorHAnsi" w:hAnsiTheme="minorHAnsi"/>
          <w:bCs/>
        </w:rPr>
        <w:t xml:space="preserve">associated with improved progression free survival (PFS) </w:t>
      </w:r>
    </w:p>
    <w:p w:rsidR="000C64D3" w:rsidRDefault="00612017" w:rsidP="00612017">
      <w:pPr>
        <w:pStyle w:val="Default"/>
        <w:numPr>
          <w:ilvl w:val="0"/>
          <w:numId w:val="40"/>
        </w:numPr>
        <w:rPr>
          <w:rFonts w:asciiTheme="minorHAnsi" w:hAnsiTheme="minorHAnsi"/>
          <w:bCs/>
        </w:rPr>
      </w:pPr>
      <w:proofErr w:type="gramStart"/>
      <w:r w:rsidRPr="00612017">
        <w:rPr>
          <w:rFonts w:asciiTheme="minorHAnsi" w:hAnsiTheme="minorHAnsi"/>
          <w:bCs/>
        </w:rPr>
        <w:lastRenderedPageBreak/>
        <w:t>not</w:t>
      </w:r>
      <w:proofErr w:type="gramEnd"/>
      <w:r w:rsidRPr="00612017">
        <w:rPr>
          <w:rFonts w:asciiTheme="minorHAnsi" w:hAnsiTheme="minorHAnsi"/>
          <w:bCs/>
        </w:rPr>
        <w:t xml:space="preserve"> associated with significant adverse events. </w:t>
      </w:r>
    </w:p>
    <w:p w:rsidR="000C64D3" w:rsidRDefault="000C64D3" w:rsidP="000C64D3">
      <w:pPr>
        <w:pStyle w:val="Default"/>
        <w:ind w:left="720"/>
        <w:rPr>
          <w:rFonts w:asciiTheme="minorHAnsi" w:hAnsiTheme="minorHAnsi"/>
          <w:bCs/>
        </w:rPr>
      </w:pPr>
    </w:p>
    <w:p w:rsidR="00612017" w:rsidRPr="00D56BF2" w:rsidRDefault="00A64BDC" w:rsidP="00D56BF2">
      <w:pPr>
        <w:pStyle w:val="Default"/>
        <w:ind w:left="720"/>
        <w:jc w:val="both"/>
        <w:rPr>
          <w:rFonts w:asciiTheme="minorHAnsi" w:hAnsiTheme="minorHAnsi"/>
          <w:bCs/>
        </w:rPr>
      </w:pPr>
      <w:r w:rsidRPr="000C64D3">
        <w:rPr>
          <w:rFonts w:asciiTheme="minorHAnsi" w:hAnsiTheme="minorHAnsi"/>
          <w:bCs/>
        </w:rPr>
        <w:t xml:space="preserve">The PBAC noted that </w:t>
      </w:r>
      <w:r w:rsidR="00612017" w:rsidRPr="000C64D3">
        <w:rPr>
          <w:rFonts w:asciiTheme="minorHAnsi" w:hAnsiTheme="minorHAnsi"/>
          <w:bCs/>
        </w:rPr>
        <w:t>the claim of improved progression-free survival was</w:t>
      </w:r>
      <w:r w:rsidRPr="000C64D3">
        <w:rPr>
          <w:rFonts w:asciiTheme="minorHAnsi" w:hAnsiTheme="minorHAnsi"/>
          <w:bCs/>
        </w:rPr>
        <w:t xml:space="preserve"> not </w:t>
      </w:r>
      <w:r w:rsidR="00612017" w:rsidRPr="000C64D3">
        <w:rPr>
          <w:rFonts w:asciiTheme="minorHAnsi" w:hAnsiTheme="minorHAnsi"/>
          <w:bCs/>
        </w:rPr>
        <w:t xml:space="preserve">adequately </w:t>
      </w:r>
      <w:r w:rsidRPr="000C64D3">
        <w:rPr>
          <w:rFonts w:asciiTheme="minorHAnsi" w:hAnsiTheme="minorHAnsi"/>
          <w:bCs/>
        </w:rPr>
        <w:t>support</w:t>
      </w:r>
      <w:r w:rsidR="00612017" w:rsidRPr="000C64D3">
        <w:rPr>
          <w:rFonts w:asciiTheme="minorHAnsi" w:hAnsiTheme="minorHAnsi"/>
          <w:bCs/>
        </w:rPr>
        <w:t>ed</w:t>
      </w:r>
      <w:r w:rsidRPr="000C64D3">
        <w:rPr>
          <w:rFonts w:asciiTheme="minorHAnsi" w:hAnsiTheme="minorHAnsi"/>
          <w:bCs/>
        </w:rPr>
        <w:t xml:space="preserve"> </w:t>
      </w:r>
      <w:r w:rsidR="00612017" w:rsidRPr="000C64D3">
        <w:rPr>
          <w:rFonts w:asciiTheme="minorHAnsi" w:hAnsiTheme="minorHAnsi"/>
          <w:bCs/>
        </w:rPr>
        <w:t xml:space="preserve">by </w:t>
      </w:r>
      <w:r w:rsidRPr="000C64D3">
        <w:rPr>
          <w:rFonts w:asciiTheme="minorHAnsi" w:hAnsiTheme="minorHAnsi"/>
          <w:bCs/>
        </w:rPr>
        <w:t>the evide</w:t>
      </w:r>
      <w:r w:rsidR="00612017" w:rsidRPr="000C64D3">
        <w:rPr>
          <w:rFonts w:asciiTheme="minorHAnsi" w:hAnsiTheme="minorHAnsi"/>
          <w:bCs/>
        </w:rPr>
        <w:t>nce provided in the submission.</w:t>
      </w:r>
    </w:p>
    <w:p w:rsidR="00B60939" w:rsidRPr="00150ABE" w:rsidRDefault="00B60939" w:rsidP="00D56BF2">
      <w:pPr>
        <w:pStyle w:val="Heading2"/>
        <w:spacing w:before="240" w:after="120"/>
      </w:pPr>
      <w:r w:rsidRPr="006D7E46">
        <w:t>Clinical trials</w:t>
      </w:r>
      <w:bookmarkEnd w:id="6"/>
    </w:p>
    <w:p w:rsidR="00862502" w:rsidRPr="00150ABE" w:rsidRDefault="00101E14" w:rsidP="004D1C86">
      <w:pPr>
        <w:pStyle w:val="ListParagraph"/>
        <w:widowControl/>
        <w:numPr>
          <w:ilvl w:val="1"/>
          <w:numId w:val="29"/>
        </w:numPr>
      </w:pPr>
      <w:r w:rsidRPr="00150ABE">
        <w:rPr>
          <w:rFonts w:cs="Calibri"/>
          <w:snapToGrid/>
          <w:szCs w:val="24"/>
          <w:lang w:val="en-US" w:eastAsia="en-AU"/>
        </w:rPr>
        <w:t>The submission was</w:t>
      </w:r>
      <w:r w:rsidR="00A73134" w:rsidRPr="00150ABE">
        <w:rPr>
          <w:rFonts w:cs="Calibri"/>
          <w:snapToGrid/>
          <w:szCs w:val="24"/>
          <w:lang w:val="en-US" w:eastAsia="en-AU"/>
        </w:rPr>
        <w:t xml:space="preserve"> ba</w:t>
      </w:r>
      <w:r w:rsidRPr="00150ABE">
        <w:rPr>
          <w:rFonts w:cs="Calibri"/>
          <w:snapToGrid/>
          <w:szCs w:val="24"/>
          <w:lang w:val="en-US" w:eastAsia="en-AU"/>
        </w:rPr>
        <w:t>sed on one head-to-head trial</w:t>
      </w:r>
      <w:r w:rsidR="00A73134" w:rsidRPr="00150ABE">
        <w:rPr>
          <w:rFonts w:cs="Calibri"/>
          <w:snapToGrid/>
          <w:szCs w:val="24"/>
          <w:lang w:val="en-US" w:eastAsia="en-AU"/>
        </w:rPr>
        <w:t xml:space="preserve"> comparing </w:t>
      </w:r>
      <w:r w:rsidRPr="00150ABE">
        <w:rPr>
          <w:rFonts w:cs="Calibri"/>
          <w:snapToGrid/>
          <w:szCs w:val="24"/>
          <w:lang w:val="en-US" w:eastAsia="en-AU"/>
        </w:rPr>
        <w:t>denosumab to zoledronic acid (Study 482).</w:t>
      </w:r>
    </w:p>
    <w:p w:rsidR="00862502" w:rsidRPr="00150ABE" w:rsidRDefault="00A73134" w:rsidP="004D1C86">
      <w:pPr>
        <w:pStyle w:val="ListParagraph"/>
        <w:widowControl/>
        <w:numPr>
          <w:ilvl w:val="1"/>
          <w:numId w:val="29"/>
        </w:numPr>
      </w:pPr>
      <w:r w:rsidRPr="00150ABE">
        <w:rPr>
          <w:rFonts w:cs="Calibri"/>
          <w:snapToGrid/>
          <w:szCs w:val="24"/>
          <w:lang w:val="en-US" w:eastAsia="en-AU"/>
        </w:rPr>
        <w:t xml:space="preserve">Details of the </w:t>
      </w:r>
      <w:r w:rsidR="00101E14" w:rsidRPr="00150ABE">
        <w:rPr>
          <w:rFonts w:cs="Calibri"/>
          <w:snapToGrid/>
          <w:szCs w:val="24"/>
          <w:lang w:val="en-US" w:eastAsia="en-AU"/>
        </w:rPr>
        <w:t xml:space="preserve">Study 482 </w:t>
      </w:r>
      <w:r w:rsidRPr="00150ABE">
        <w:rPr>
          <w:rFonts w:cs="Calibri"/>
          <w:snapToGrid/>
          <w:szCs w:val="24"/>
          <w:lang w:val="en-US" w:eastAsia="en-AU"/>
        </w:rPr>
        <w:t xml:space="preserve">trial are provided in the table below.  </w:t>
      </w:r>
    </w:p>
    <w:p w:rsidR="008E0D3C" w:rsidRPr="00150ABE" w:rsidRDefault="00101E14" w:rsidP="008E0D3C">
      <w:pPr>
        <w:rPr>
          <w:rStyle w:val="CommentReference"/>
        </w:rPr>
      </w:pPr>
      <w:r w:rsidRPr="00150ABE">
        <w:rPr>
          <w:rStyle w:val="CommentReference"/>
        </w:rPr>
        <w:t>Table 2:  Trial</w:t>
      </w:r>
      <w:r w:rsidR="008E0D3C" w:rsidRPr="00150ABE">
        <w:rPr>
          <w:rStyle w:val="CommentReference"/>
        </w:rPr>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4"/>
        <w:gridCol w:w="5092"/>
        <w:gridCol w:w="2547"/>
      </w:tblGrid>
      <w:tr w:rsidR="008E0D3C" w:rsidRPr="00150ABE" w:rsidTr="00101E14">
        <w:trPr>
          <w:tblHeader/>
        </w:trPr>
        <w:tc>
          <w:tcPr>
            <w:tcW w:w="795" w:type="pct"/>
            <w:tcBorders>
              <w:bottom w:val="single" w:sz="4" w:space="0" w:color="auto"/>
            </w:tcBorders>
            <w:vAlign w:val="center"/>
          </w:tcPr>
          <w:p w:rsidR="008E0D3C" w:rsidRPr="00150ABE" w:rsidRDefault="008E0D3C" w:rsidP="00B41614">
            <w:pPr>
              <w:pStyle w:val="Tabletext"/>
              <w:rPr>
                <w:b/>
              </w:rPr>
            </w:pPr>
            <w:r w:rsidRPr="00150ABE">
              <w:rPr>
                <w:b/>
              </w:rPr>
              <w:t>Trial ID</w:t>
            </w:r>
          </w:p>
        </w:tc>
        <w:tc>
          <w:tcPr>
            <w:tcW w:w="2803" w:type="pct"/>
            <w:vAlign w:val="center"/>
          </w:tcPr>
          <w:p w:rsidR="008E0D3C" w:rsidRPr="00150ABE" w:rsidRDefault="008E0D3C" w:rsidP="00B41614">
            <w:pPr>
              <w:pStyle w:val="Tabletext"/>
              <w:jc w:val="center"/>
              <w:rPr>
                <w:b/>
              </w:rPr>
            </w:pPr>
            <w:r w:rsidRPr="00150ABE">
              <w:rPr>
                <w:b/>
              </w:rPr>
              <w:t>Protocol title/ Publication title</w:t>
            </w:r>
          </w:p>
        </w:tc>
        <w:tc>
          <w:tcPr>
            <w:tcW w:w="1402" w:type="pct"/>
            <w:vAlign w:val="center"/>
          </w:tcPr>
          <w:p w:rsidR="008E0D3C" w:rsidRPr="00150ABE" w:rsidRDefault="008E0D3C" w:rsidP="00B41614">
            <w:pPr>
              <w:pStyle w:val="Tabletext"/>
              <w:jc w:val="center"/>
              <w:rPr>
                <w:b/>
              </w:rPr>
            </w:pPr>
            <w:r w:rsidRPr="00150ABE">
              <w:rPr>
                <w:b/>
              </w:rPr>
              <w:t>Publication citation</w:t>
            </w:r>
          </w:p>
        </w:tc>
      </w:tr>
      <w:tr w:rsidR="00101E14" w:rsidRPr="00150ABE" w:rsidTr="00101E14">
        <w:tc>
          <w:tcPr>
            <w:tcW w:w="795" w:type="pct"/>
            <w:vMerge w:val="restart"/>
            <w:vAlign w:val="center"/>
          </w:tcPr>
          <w:p w:rsidR="00101E14" w:rsidRPr="00150ABE" w:rsidRDefault="00101E14" w:rsidP="00101E14">
            <w:pPr>
              <w:pStyle w:val="Tabletext"/>
            </w:pPr>
            <w:r w:rsidRPr="00150ABE">
              <w:rPr>
                <w:szCs w:val="20"/>
              </w:rPr>
              <w:t>Study 482</w:t>
            </w:r>
          </w:p>
        </w:tc>
        <w:tc>
          <w:tcPr>
            <w:tcW w:w="2803" w:type="pct"/>
            <w:tcBorders>
              <w:bottom w:val="single" w:sz="4" w:space="0" w:color="auto"/>
            </w:tcBorders>
            <w:vAlign w:val="center"/>
          </w:tcPr>
          <w:p w:rsidR="00101E14" w:rsidRPr="00150ABE" w:rsidRDefault="00101E14" w:rsidP="00101E14">
            <w:pPr>
              <w:pStyle w:val="Tabletext"/>
              <w:rPr>
                <w:szCs w:val="18"/>
                <w:lang w:eastAsia="en-AU"/>
              </w:rPr>
            </w:pPr>
            <w:proofErr w:type="spellStart"/>
            <w:r w:rsidRPr="00150ABE">
              <w:rPr>
                <w:szCs w:val="20"/>
              </w:rPr>
              <w:t>Raje</w:t>
            </w:r>
            <w:proofErr w:type="spellEnd"/>
            <w:r w:rsidRPr="00150ABE">
              <w:rPr>
                <w:szCs w:val="20"/>
              </w:rPr>
              <w:t xml:space="preserve"> N, </w:t>
            </w:r>
            <w:proofErr w:type="spellStart"/>
            <w:r w:rsidRPr="00150ABE">
              <w:rPr>
                <w:szCs w:val="20"/>
              </w:rPr>
              <w:t>Terpos</w:t>
            </w:r>
            <w:proofErr w:type="spellEnd"/>
            <w:r w:rsidRPr="00150ABE">
              <w:rPr>
                <w:szCs w:val="20"/>
              </w:rPr>
              <w:t xml:space="preserve"> E, </w:t>
            </w:r>
            <w:proofErr w:type="spellStart"/>
            <w:r w:rsidRPr="00150ABE">
              <w:rPr>
                <w:szCs w:val="20"/>
              </w:rPr>
              <w:t>Willenbacher</w:t>
            </w:r>
            <w:proofErr w:type="spellEnd"/>
            <w:r w:rsidRPr="00150ABE">
              <w:rPr>
                <w:szCs w:val="20"/>
              </w:rPr>
              <w:t xml:space="preserve"> W, et al (2018). Denosumab versus zoledronic acid in bone disease treatment of newly diagnosed multiple myeloma: an international, double-blind, double-dummy, randomised, controlled, phase 3 study</w:t>
            </w:r>
          </w:p>
        </w:tc>
        <w:tc>
          <w:tcPr>
            <w:tcW w:w="1402" w:type="pct"/>
            <w:tcBorders>
              <w:bottom w:val="single" w:sz="4" w:space="0" w:color="auto"/>
            </w:tcBorders>
            <w:vAlign w:val="center"/>
          </w:tcPr>
          <w:p w:rsidR="00101E14" w:rsidRPr="00150ABE" w:rsidRDefault="00101E14" w:rsidP="00101E14">
            <w:pPr>
              <w:pStyle w:val="Tabletext"/>
              <w:rPr>
                <w:szCs w:val="18"/>
                <w:lang w:eastAsia="en-AU"/>
              </w:rPr>
            </w:pPr>
            <w:r w:rsidRPr="00150ABE">
              <w:rPr>
                <w:szCs w:val="20"/>
              </w:rPr>
              <w:t>Lancet Oncology, 19:370-81</w:t>
            </w:r>
          </w:p>
        </w:tc>
      </w:tr>
      <w:tr w:rsidR="00101E14" w:rsidRPr="00150ABE" w:rsidTr="00101E14">
        <w:tc>
          <w:tcPr>
            <w:tcW w:w="795" w:type="pct"/>
            <w:vMerge/>
            <w:tcBorders>
              <w:bottom w:val="single" w:sz="4" w:space="0" w:color="auto"/>
            </w:tcBorders>
            <w:vAlign w:val="center"/>
          </w:tcPr>
          <w:p w:rsidR="00101E14" w:rsidRPr="00150ABE" w:rsidRDefault="00101E14" w:rsidP="00101E14">
            <w:pPr>
              <w:pStyle w:val="Tabletext"/>
            </w:pPr>
          </w:p>
        </w:tc>
        <w:tc>
          <w:tcPr>
            <w:tcW w:w="2803" w:type="pct"/>
            <w:tcBorders>
              <w:top w:val="single" w:sz="4" w:space="0" w:color="auto"/>
              <w:bottom w:val="single" w:sz="4" w:space="0" w:color="auto"/>
            </w:tcBorders>
            <w:vAlign w:val="center"/>
          </w:tcPr>
          <w:p w:rsidR="00101E14" w:rsidRPr="00150ABE" w:rsidRDefault="00101E14" w:rsidP="00101E14">
            <w:pPr>
              <w:pStyle w:val="Tabletext"/>
              <w:rPr>
                <w:szCs w:val="18"/>
                <w:lang w:val="en-US" w:eastAsia="en-AU"/>
              </w:rPr>
            </w:pPr>
            <w:r w:rsidRPr="00150ABE">
              <w:rPr>
                <w:szCs w:val="20"/>
                <w:lang w:eastAsia="en-AU"/>
              </w:rPr>
              <w:t xml:space="preserve">Clinical Study Report (2017). A Randomized, Double-Blind, </w:t>
            </w:r>
            <w:proofErr w:type="spellStart"/>
            <w:r w:rsidRPr="00150ABE">
              <w:rPr>
                <w:szCs w:val="20"/>
                <w:lang w:eastAsia="en-AU"/>
              </w:rPr>
              <w:t>Multicenter</w:t>
            </w:r>
            <w:proofErr w:type="spellEnd"/>
            <w:r w:rsidRPr="00150ABE">
              <w:rPr>
                <w:szCs w:val="20"/>
                <w:lang w:eastAsia="en-AU"/>
              </w:rPr>
              <w:t xml:space="preserve"> Study of Denosumab Compared With Zoledronic Acid in the Treatment of Bone Disease in Subjects With Newly Diagnosed Multiple Myeloma</w:t>
            </w:r>
          </w:p>
        </w:tc>
        <w:tc>
          <w:tcPr>
            <w:tcW w:w="1402" w:type="pct"/>
            <w:tcBorders>
              <w:top w:val="single" w:sz="4" w:space="0" w:color="auto"/>
              <w:bottom w:val="single" w:sz="4" w:space="0" w:color="auto"/>
            </w:tcBorders>
            <w:vAlign w:val="center"/>
          </w:tcPr>
          <w:p w:rsidR="00101E14" w:rsidRPr="00150ABE" w:rsidRDefault="00101E14" w:rsidP="00101E14">
            <w:pPr>
              <w:pStyle w:val="Tabletext"/>
              <w:rPr>
                <w:szCs w:val="18"/>
                <w:lang w:val="en-US" w:eastAsia="en-AU"/>
              </w:rPr>
            </w:pPr>
            <w:r w:rsidRPr="00150ABE">
              <w:rPr>
                <w:szCs w:val="20"/>
                <w:lang w:eastAsia="en-AU"/>
              </w:rPr>
              <w:t>Internal study report</w:t>
            </w:r>
          </w:p>
        </w:tc>
      </w:tr>
    </w:tbl>
    <w:p w:rsidR="008E0D3C" w:rsidRPr="00150ABE" w:rsidRDefault="008E0D3C" w:rsidP="008E0D3C">
      <w:pPr>
        <w:pStyle w:val="TableFooter"/>
        <w:rPr>
          <w:sz w:val="20"/>
        </w:rPr>
      </w:pPr>
      <w:r w:rsidRPr="00150ABE">
        <w:t>So</w:t>
      </w:r>
      <w:r w:rsidR="00101E14" w:rsidRPr="00150ABE">
        <w:t>urce: Table 2.2-1, p21 of the submission</w:t>
      </w:r>
    </w:p>
    <w:p w:rsidR="00862502" w:rsidRPr="00150ABE" w:rsidRDefault="00862502" w:rsidP="008F120A">
      <w:pPr>
        <w:widowControl/>
      </w:pPr>
    </w:p>
    <w:p w:rsidR="007F1017" w:rsidRPr="00150ABE" w:rsidRDefault="008F120A" w:rsidP="004D1C86">
      <w:pPr>
        <w:pStyle w:val="ListParagraph"/>
        <w:widowControl/>
        <w:numPr>
          <w:ilvl w:val="1"/>
          <w:numId w:val="29"/>
        </w:numPr>
      </w:pPr>
      <w:r w:rsidRPr="00150ABE">
        <w:t xml:space="preserve">The key features of </w:t>
      </w:r>
      <w:r w:rsidR="00101E14" w:rsidRPr="00150ABE">
        <w:t>Study 482</w:t>
      </w:r>
      <w:r w:rsidRPr="00150ABE">
        <w:t xml:space="preserve"> are summarised in the table below.  </w:t>
      </w:r>
    </w:p>
    <w:p w:rsidR="007F1017" w:rsidRPr="00150ABE" w:rsidRDefault="00101E14" w:rsidP="00045017">
      <w:pPr>
        <w:rPr>
          <w:rStyle w:val="CommentReference"/>
        </w:rPr>
      </w:pPr>
      <w:r w:rsidRPr="00150ABE">
        <w:rPr>
          <w:rStyle w:val="CommentReference"/>
        </w:rPr>
        <w:t>Table 3</w:t>
      </w:r>
      <w:r w:rsidR="007F1017" w:rsidRPr="00150ABE">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0"/>
        <w:gridCol w:w="708"/>
        <w:gridCol w:w="1971"/>
        <w:gridCol w:w="1006"/>
        <w:gridCol w:w="2125"/>
        <w:gridCol w:w="1134"/>
        <w:gridCol w:w="1259"/>
      </w:tblGrid>
      <w:tr w:rsidR="00A752D7" w:rsidRPr="00150ABE" w:rsidTr="00D42D63">
        <w:tc>
          <w:tcPr>
            <w:tcW w:w="484" w:type="pct"/>
            <w:shd w:val="clear" w:color="auto" w:fill="auto"/>
            <w:vAlign w:val="center"/>
          </w:tcPr>
          <w:p w:rsidR="007F1017" w:rsidRPr="00150ABE" w:rsidRDefault="007F1017" w:rsidP="00B41614">
            <w:pPr>
              <w:pStyle w:val="Tabletext"/>
              <w:rPr>
                <w:b/>
                <w:lang w:val="en-US"/>
              </w:rPr>
            </w:pPr>
            <w:r w:rsidRPr="00150ABE">
              <w:rPr>
                <w:b/>
                <w:lang w:val="en-US"/>
              </w:rPr>
              <w:t>Trial</w:t>
            </w:r>
          </w:p>
        </w:tc>
        <w:tc>
          <w:tcPr>
            <w:tcW w:w="390" w:type="pct"/>
            <w:shd w:val="clear" w:color="auto" w:fill="auto"/>
            <w:vAlign w:val="center"/>
          </w:tcPr>
          <w:p w:rsidR="007F1017" w:rsidRPr="00150ABE" w:rsidRDefault="007F1017" w:rsidP="00B41614">
            <w:pPr>
              <w:pStyle w:val="Tabletext"/>
              <w:jc w:val="center"/>
              <w:rPr>
                <w:b/>
                <w:lang w:val="en-US"/>
              </w:rPr>
            </w:pPr>
            <w:r w:rsidRPr="00150ABE">
              <w:rPr>
                <w:b/>
                <w:lang w:val="en-US"/>
              </w:rPr>
              <w:t>N</w:t>
            </w:r>
          </w:p>
        </w:tc>
        <w:tc>
          <w:tcPr>
            <w:tcW w:w="1085" w:type="pct"/>
            <w:shd w:val="clear" w:color="auto" w:fill="auto"/>
            <w:vAlign w:val="center"/>
          </w:tcPr>
          <w:p w:rsidR="007F1017" w:rsidRPr="00150ABE" w:rsidRDefault="007F1017" w:rsidP="00B41614">
            <w:pPr>
              <w:pStyle w:val="Tabletext"/>
              <w:jc w:val="center"/>
              <w:rPr>
                <w:b/>
                <w:lang w:val="en-US"/>
              </w:rPr>
            </w:pPr>
            <w:r w:rsidRPr="00150ABE">
              <w:rPr>
                <w:b/>
                <w:lang w:val="en-US"/>
              </w:rPr>
              <w:t>Design/ duration</w:t>
            </w:r>
          </w:p>
        </w:tc>
        <w:tc>
          <w:tcPr>
            <w:tcW w:w="554" w:type="pct"/>
            <w:shd w:val="clear" w:color="auto" w:fill="auto"/>
            <w:vAlign w:val="center"/>
          </w:tcPr>
          <w:p w:rsidR="007F1017" w:rsidRPr="00150ABE" w:rsidRDefault="007F1017" w:rsidP="00B41614">
            <w:pPr>
              <w:pStyle w:val="Tabletext"/>
              <w:jc w:val="center"/>
              <w:rPr>
                <w:b/>
                <w:lang w:val="en-US"/>
              </w:rPr>
            </w:pPr>
            <w:r w:rsidRPr="00150ABE">
              <w:rPr>
                <w:b/>
                <w:lang w:val="en-US"/>
              </w:rPr>
              <w:t>Risk of bias</w:t>
            </w:r>
          </w:p>
        </w:tc>
        <w:tc>
          <w:tcPr>
            <w:tcW w:w="1170" w:type="pct"/>
            <w:shd w:val="clear" w:color="auto" w:fill="auto"/>
            <w:vAlign w:val="center"/>
          </w:tcPr>
          <w:p w:rsidR="007F1017" w:rsidRPr="00150ABE" w:rsidRDefault="007F1017" w:rsidP="00B41614">
            <w:pPr>
              <w:pStyle w:val="Tabletext"/>
              <w:jc w:val="center"/>
              <w:rPr>
                <w:b/>
                <w:lang w:val="en-US"/>
              </w:rPr>
            </w:pPr>
            <w:r w:rsidRPr="00150ABE">
              <w:rPr>
                <w:b/>
                <w:lang w:val="en-US"/>
              </w:rPr>
              <w:t>Patient population</w:t>
            </w:r>
          </w:p>
        </w:tc>
        <w:tc>
          <w:tcPr>
            <w:tcW w:w="624" w:type="pct"/>
            <w:shd w:val="clear" w:color="auto" w:fill="auto"/>
            <w:vAlign w:val="center"/>
          </w:tcPr>
          <w:p w:rsidR="007F1017" w:rsidRPr="00150ABE" w:rsidRDefault="0088516C" w:rsidP="00B41614">
            <w:pPr>
              <w:pStyle w:val="Tabletext"/>
              <w:jc w:val="center"/>
              <w:rPr>
                <w:b/>
                <w:lang w:val="en-US"/>
              </w:rPr>
            </w:pPr>
            <w:r w:rsidRPr="00150ABE">
              <w:rPr>
                <w:b/>
                <w:lang w:val="en-US"/>
              </w:rPr>
              <w:t>Outcomes</w:t>
            </w:r>
          </w:p>
        </w:tc>
        <w:tc>
          <w:tcPr>
            <w:tcW w:w="693" w:type="pct"/>
            <w:shd w:val="clear" w:color="auto" w:fill="auto"/>
            <w:vAlign w:val="center"/>
          </w:tcPr>
          <w:p w:rsidR="007F1017" w:rsidRPr="00150ABE" w:rsidRDefault="007F1017" w:rsidP="00B41614">
            <w:pPr>
              <w:pStyle w:val="Tabletext"/>
              <w:jc w:val="center"/>
              <w:rPr>
                <w:b/>
                <w:lang w:val="en-US"/>
              </w:rPr>
            </w:pPr>
            <w:r w:rsidRPr="00150ABE">
              <w:rPr>
                <w:b/>
                <w:lang w:val="en-US"/>
              </w:rPr>
              <w:t>Use in modelled evaluation</w:t>
            </w:r>
          </w:p>
        </w:tc>
      </w:tr>
      <w:tr w:rsidR="007F1017" w:rsidRPr="00150ABE" w:rsidTr="00B41614">
        <w:tc>
          <w:tcPr>
            <w:tcW w:w="5000" w:type="pct"/>
            <w:gridSpan w:val="7"/>
            <w:shd w:val="clear" w:color="auto" w:fill="auto"/>
            <w:vAlign w:val="center"/>
          </w:tcPr>
          <w:p w:rsidR="007F1017" w:rsidRPr="00150ABE" w:rsidRDefault="00101E14" w:rsidP="00101E14">
            <w:pPr>
              <w:pStyle w:val="Tabletext"/>
              <w:rPr>
                <w:b/>
                <w:lang w:val="en-US"/>
              </w:rPr>
            </w:pPr>
            <w:r w:rsidRPr="00150ABE">
              <w:rPr>
                <w:b/>
                <w:lang w:val="en-US"/>
              </w:rPr>
              <w:t>Denosumab vs. zoledronic acid</w:t>
            </w:r>
          </w:p>
        </w:tc>
      </w:tr>
      <w:tr w:rsidR="00A752D7" w:rsidRPr="00150ABE" w:rsidTr="00D42D63">
        <w:tc>
          <w:tcPr>
            <w:tcW w:w="484" w:type="pct"/>
            <w:shd w:val="clear" w:color="auto" w:fill="auto"/>
            <w:vAlign w:val="center"/>
          </w:tcPr>
          <w:p w:rsidR="007F1017" w:rsidRPr="00150ABE" w:rsidRDefault="00101E14" w:rsidP="00B41614">
            <w:pPr>
              <w:pStyle w:val="Tabletext"/>
              <w:rPr>
                <w:lang w:val="en-US"/>
              </w:rPr>
            </w:pPr>
            <w:r w:rsidRPr="00150ABE">
              <w:rPr>
                <w:lang w:val="en-US"/>
              </w:rPr>
              <w:t>Study 482</w:t>
            </w:r>
          </w:p>
        </w:tc>
        <w:tc>
          <w:tcPr>
            <w:tcW w:w="390" w:type="pct"/>
            <w:shd w:val="clear" w:color="auto" w:fill="auto"/>
            <w:vAlign w:val="center"/>
          </w:tcPr>
          <w:p w:rsidR="007F1017" w:rsidRPr="00150ABE" w:rsidRDefault="00B36D79" w:rsidP="00B41614">
            <w:pPr>
              <w:pStyle w:val="Tabletext"/>
              <w:jc w:val="center"/>
              <w:rPr>
                <w:lang w:val="en-US"/>
              </w:rPr>
            </w:pPr>
            <w:r w:rsidRPr="00150ABE">
              <w:rPr>
                <w:lang w:val="en-US"/>
              </w:rPr>
              <w:t>1718</w:t>
            </w:r>
          </w:p>
        </w:tc>
        <w:tc>
          <w:tcPr>
            <w:tcW w:w="1085" w:type="pct"/>
            <w:shd w:val="clear" w:color="auto" w:fill="auto"/>
            <w:vAlign w:val="center"/>
          </w:tcPr>
          <w:p w:rsidR="007F1017" w:rsidRPr="00150ABE" w:rsidRDefault="00B36D79" w:rsidP="00C7151A">
            <w:pPr>
              <w:pStyle w:val="Tabletext"/>
              <w:jc w:val="center"/>
              <w:rPr>
                <w:lang w:val="en-US"/>
              </w:rPr>
            </w:pPr>
            <w:r w:rsidRPr="00150ABE">
              <w:rPr>
                <w:lang w:val="en-US"/>
              </w:rPr>
              <w:t>Multi-</w:t>
            </w:r>
            <w:proofErr w:type="spellStart"/>
            <w:r w:rsidRPr="00150ABE">
              <w:rPr>
                <w:lang w:val="en-US"/>
              </w:rPr>
              <w:t>centre</w:t>
            </w:r>
            <w:proofErr w:type="spellEnd"/>
            <w:r w:rsidRPr="00150ABE">
              <w:rPr>
                <w:lang w:val="en-US"/>
              </w:rPr>
              <w:t xml:space="preserve">, </w:t>
            </w:r>
            <w:r w:rsidR="002D7928" w:rsidRPr="00150ABE">
              <w:rPr>
                <w:lang w:val="en-US"/>
              </w:rPr>
              <w:t xml:space="preserve">double-blind, double-dummy, randomised controlled trial </w:t>
            </w:r>
            <w:r w:rsidR="00A752D7" w:rsidRPr="00150ABE">
              <w:rPr>
                <w:lang w:val="en-US"/>
              </w:rPr>
              <w:t>(max follow-up 45 months) + open-label extension (additional max follow-up 24 months)</w:t>
            </w:r>
          </w:p>
        </w:tc>
        <w:tc>
          <w:tcPr>
            <w:tcW w:w="554" w:type="pct"/>
            <w:shd w:val="clear" w:color="auto" w:fill="auto"/>
            <w:vAlign w:val="center"/>
          </w:tcPr>
          <w:p w:rsidR="007F1017" w:rsidRPr="00150ABE" w:rsidRDefault="00A752D7" w:rsidP="00B41614">
            <w:pPr>
              <w:pStyle w:val="Tabletext"/>
              <w:jc w:val="center"/>
              <w:rPr>
                <w:lang w:val="en-US"/>
              </w:rPr>
            </w:pPr>
            <w:r w:rsidRPr="00150ABE">
              <w:rPr>
                <w:lang w:val="en-US"/>
              </w:rPr>
              <w:t>Low (SRE)/ High (PFS)</w:t>
            </w:r>
          </w:p>
        </w:tc>
        <w:tc>
          <w:tcPr>
            <w:tcW w:w="1170" w:type="pct"/>
            <w:shd w:val="clear" w:color="auto" w:fill="auto"/>
            <w:vAlign w:val="center"/>
          </w:tcPr>
          <w:p w:rsidR="007F1017" w:rsidRPr="00150ABE" w:rsidRDefault="00A752D7" w:rsidP="00B41614">
            <w:pPr>
              <w:pStyle w:val="Tabletext"/>
              <w:jc w:val="center"/>
              <w:rPr>
                <w:lang w:val="en-US"/>
              </w:rPr>
            </w:pPr>
            <w:r w:rsidRPr="00150ABE">
              <w:rPr>
                <w:lang w:val="en-US"/>
              </w:rPr>
              <w:t>Patients with newly diagnosed multiple myeloma and ≥1 lytic bone lesion who did not have severe renal impairment (creatinine clearance &lt;30 mL/min)</w:t>
            </w:r>
          </w:p>
        </w:tc>
        <w:tc>
          <w:tcPr>
            <w:tcW w:w="624" w:type="pct"/>
            <w:shd w:val="clear" w:color="auto" w:fill="auto"/>
            <w:vAlign w:val="center"/>
          </w:tcPr>
          <w:p w:rsidR="007F1017" w:rsidRPr="00150ABE" w:rsidRDefault="00A752D7" w:rsidP="00A752D7">
            <w:pPr>
              <w:pStyle w:val="Tabletext"/>
              <w:jc w:val="center"/>
              <w:rPr>
                <w:lang w:val="en-US"/>
              </w:rPr>
            </w:pPr>
            <w:r w:rsidRPr="00150ABE">
              <w:rPr>
                <w:lang w:val="en-US"/>
              </w:rPr>
              <w:t>Time to first on-study SRE (primary), OS (secondary), PFS (exploratory)</w:t>
            </w:r>
          </w:p>
        </w:tc>
        <w:tc>
          <w:tcPr>
            <w:tcW w:w="693" w:type="pct"/>
            <w:shd w:val="clear" w:color="auto" w:fill="auto"/>
            <w:vAlign w:val="center"/>
          </w:tcPr>
          <w:p w:rsidR="007F1017" w:rsidRPr="00150ABE" w:rsidRDefault="00A752D7" w:rsidP="00B41614">
            <w:pPr>
              <w:pStyle w:val="Tabletext"/>
              <w:jc w:val="center"/>
              <w:rPr>
                <w:lang w:val="en-US"/>
              </w:rPr>
            </w:pPr>
            <w:r w:rsidRPr="00150ABE">
              <w:rPr>
                <w:lang w:val="en-US"/>
              </w:rPr>
              <w:t xml:space="preserve">SRE outcomes not used. OS and PFS used in the economic model. </w:t>
            </w:r>
          </w:p>
        </w:tc>
      </w:tr>
    </w:tbl>
    <w:p w:rsidR="00045017" w:rsidRPr="00150ABE" w:rsidRDefault="00A752D7" w:rsidP="00045017">
      <w:pPr>
        <w:pStyle w:val="TableFooter"/>
      </w:pPr>
      <w:r w:rsidRPr="00150ABE">
        <w:t>Source: Table 1, pp1-2, Appendix 1, Tables 2.2-1 and 2.3-1, pp21-23, Table 2.4-1, p24 and Table 2.4-2, pp24-25 of the submission</w:t>
      </w:r>
    </w:p>
    <w:p w:rsidR="00A752D7" w:rsidRPr="00150ABE" w:rsidRDefault="00A752D7" w:rsidP="00045017">
      <w:pPr>
        <w:pStyle w:val="TableFooter"/>
        <w:rPr>
          <w:sz w:val="20"/>
        </w:rPr>
      </w:pPr>
      <w:r w:rsidRPr="00150ABE">
        <w:t xml:space="preserve">Abbreviations: </w:t>
      </w:r>
      <w:r w:rsidR="0088516C" w:rsidRPr="00150ABE">
        <w:t xml:space="preserve">OS, overall survival; </w:t>
      </w:r>
      <w:r w:rsidRPr="00150ABE">
        <w:t>PFS, progression-free survival; SRE, skeletal related event</w:t>
      </w:r>
    </w:p>
    <w:p w:rsidR="007F1017" w:rsidRPr="00150ABE" w:rsidRDefault="007F1017" w:rsidP="007F1017"/>
    <w:p w:rsidR="0096150C" w:rsidRPr="00150ABE" w:rsidRDefault="005063D8" w:rsidP="0096150C">
      <w:pPr>
        <w:pStyle w:val="ListParagraph"/>
        <w:widowControl/>
        <w:numPr>
          <w:ilvl w:val="1"/>
          <w:numId w:val="29"/>
        </w:numPr>
      </w:pPr>
      <w:r w:rsidRPr="00150ABE">
        <w:t xml:space="preserve">Study 482 was primarily designed as a non-inferiority trial comparing denosumab with zoledronic acid when used for the prevention of </w:t>
      </w:r>
      <w:r w:rsidR="00D9075A">
        <w:t>SRE</w:t>
      </w:r>
      <w:r w:rsidRPr="00150ABE">
        <w:t xml:space="preserve">s in patients with multiple myeloma who have evidence of bone disease. The risk of bias for Study 482 was low when considering </w:t>
      </w:r>
      <w:r w:rsidR="00D9075A">
        <w:t>SREs</w:t>
      </w:r>
      <w:r w:rsidRPr="00150ABE">
        <w:t xml:space="preserve"> but high when considering progression-free survival</w:t>
      </w:r>
      <w:r w:rsidR="00BC075A">
        <w:t xml:space="preserve">. In this study, </w:t>
      </w:r>
      <w:r w:rsidR="00BC075A" w:rsidRPr="00150ABE">
        <w:t>progression-free survival</w:t>
      </w:r>
      <w:r w:rsidRPr="00150ABE">
        <w:t xml:space="preserve"> was an exploratory outcome that was non-centrally assessed and </w:t>
      </w:r>
      <w:r w:rsidR="0088516C" w:rsidRPr="00150ABE">
        <w:t xml:space="preserve">therefore </w:t>
      </w:r>
      <w:r w:rsidRPr="00150ABE">
        <w:t xml:space="preserve">did not meet regulatory requirements. </w:t>
      </w:r>
      <w:r w:rsidR="00FF4C97" w:rsidRPr="00150ABE">
        <w:t>Statistical a</w:t>
      </w:r>
      <w:r w:rsidRPr="00150ABE">
        <w:t xml:space="preserve">nalysis for </w:t>
      </w:r>
      <w:r w:rsidR="00BC075A" w:rsidRPr="00150ABE">
        <w:t>progression-free survival</w:t>
      </w:r>
      <w:r w:rsidRPr="00150ABE">
        <w:t xml:space="preserve"> was descriptive only without adjustment for multiplicity.</w:t>
      </w:r>
    </w:p>
    <w:p w:rsidR="00B60939" w:rsidRPr="00150ABE" w:rsidRDefault="00B60939" w:rsidP="00D56BF2">
      <w:pPr>
        <w:pStyle w:val="Heading2"/>
        <w:keepNext/>
        <w:keepLines/>
        <w:spacing w:before="240" w:after="120"/>
      </w:pPr>
      <w:bookmarkStart w:id="7" w:name="_Toc514234387"/>
      <w:r w:rsidRPr="006D7E46">
        <w:lastRenderedPageBreak/>
        <w:t>Comparative effectiveness</w:t>
      </w:r>
      <w:bookmarkEnd w:id="7"/>
    </w:p>
    <w:p w:rsidR="002C2775" w:rsidRPr="00150ABE" w:rsidRDefault="005063D8" w:rsidP="0093259D">
      <w:pPr>
        <w:pStyle w:val="ListParagraph"/>
        <w:keepNext/>
        <w:keepLines/>
        <w:widowControl/>
        <w:numPr>
          <w:ilvl w:val="1"/>
          <w:numId w:val="29"/>
        </w:numPr>
      </w:pPr>
      <w:r w:rsidRPr="00150ABE">
        <w:t xml:space="preserve">The primary outcome of time to first on-study </w:t>
      </w:r>
      <w:r w:rsidR="00D9075A">
        <w:t>SRE</w:t>
      </w:r>
      <w:r w:rsidRPr="00150ABE">
        <w:t xml:space="preserve"> from Study 482 is summarised in Figure 1 and Table 4 below.</w:t>
      </w:r>
    </w:p>
    <w:p w:rsidR="005063D8" w:rsidRPr="00150ABE" w:rsidRDefault="005063D8" w:rsidP="005063D8">
      <w:pPr>
        <w:pStyle w:val="TableHeading0"/>
        <w:spacing w:after="0"/>
      </w:pPr>
      <w:r w:rsidRPr="00150ABE">
        <w:t>Figure 1: Kaplan-Meier estimates of time to first on-study SRE from Study 482 (Full Analysis Set)</w:t>
      </w:r>
    </w:p>
    <w:p w:rsidR="005063D8" w:rsidRPr="00150ABE" w:rsidRDefault="005063D8" w:rsidP="005063D8">
      <w:pPr>
        <w:pStyle w:val="TableHeading0"/>
      </w:pPr>
      <w:r w:rsidRPr="00150ABE">
        <w:rPr>
          <w:noProof/>
          <w:lang w:eastAsia="en-AU"/>
        </w:rPr>
        <w:drawing>
          <wp:inline distT="0" distB="0" distL="0" distR="0" wp14:anchorId="49C31647" wp14:editId="2368A1E6">
            <wp:extent cx="4754880" cy="3490178"/>
            <wp:effectExtent l="0" t="0" r="7620" b="0"/>
            <wp:docPr id="5" name="Picture 5" title="Figure 1: Kaplan-Meier estimates of time to first on-study SRE from Study 482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me to first SRE kaplan meier.JPG"/>
                    <pic:cNvPicPr/>
                  </pic:nvPicPr>
                  <pic:blipFill>
                    <a:blip r:embed="rId9">
                      <a:extLst>
                        <a:ext uri="{28A0092B-C50C-407E-A947-70E740481C1C}">
                          <a14:useLocalDpi xmlns:a14="http://schemas.microsoft.com/office/drawing/2010/main" val="0"/>
                        </a:ext>
                      </a:extLst>
                    </a:blip>
                    <a:stretch>
                      <a:fillRect/>
                    </a:stretch>
                  </pic:blipFill>
                  <pic:spPr>
                    <a:xfrm>
                      <a:off x="0" y="0"/>
                      <a:ext cx="4769030" cy="3500565"/>
                    </a:xfrm>
                    <a:prstGeom prst="rect">
                      <a:avLst/>
                    </a:prstGeom>
                  </pic:spPr>
                </pic:pic>
              </a:graphicData>
            </a:graphic>
          </wp:inline>
        </w:drawing>
      </w:r>
    </w:p>
    <w:p w:rsidR="005063D8" w:rsidRPr="00150ABE" w:rsidRDefault="005063D8" w:rsidP="005063D8">
      <w:pPr>
        <w:pStyle w:val="TableFooter"/>
      </w:pPr>
      <w:r w:rsidRPr="00150ABE">
        <w:t xml:space="preserve">Source: Figure 2, p375 of the </w:t>
      </w:r>
      <w:proofErr w:type="spellStart"/>
      <w:r w:rsidRPr="00150ABE">
        <w:t>Raje</w:t>
      </w:r>
      <w:proofErr w:type="spellEnd"/>
      <w:r w:rsidRPr="00150ABE">
        <w:t xml:space="preserve"> et al 2018 publication</w:t>
      </w:r>
    </w:p>
    <w:p w:rsidR="005063D8" w:rsidRPr="00150ABE" w:rsidRDefault="005063D8" w:rsidP="005063D8">
      <w:pPr>
        <w:pStyle w:val="TableFooter"/>
      </w:pPr>
      <w:r w:rsidRPr="00150ABE">
        <w:t>Abbreviations: HR, hazard ratio; SRE, skeletal related event</w:t>
      </w:r>
    </w:p>
    <w:p w:rsidR="005063D8" w:rsidRPr="00150ABE" w:rsidRDefault="005063D8" w:rsidP="005063D8">
      <w:pPr>
        <w:widowControl/>
      </w:pPr>
    </w:p>
    <w:p w:rsidR="005063D8" w:rsidRPr="00150ABE" w:rsidRDefault="005063D8" w:rsidP="005063D8">
      <w:pPr>
        <w:pStyle w:val="BodyText"/>
        <w:keepNext/>
        <w:rPr>
          <w:rFonts w:ascii="Arial Narrow" w:hAnsi="Arial Narrow"/>
          <w:b/>
          <w:sz w:val="20"/>
        </w:rPr>
      </w:pPr>
      <w:r w:rsidRPr="00150ABE">
        <w:rPr>
          <w:rFonts w:ascii="Arial Narrow" w:hAnsi="Arial Narrow"/>
          <w:b/>
          <w:sz w:val="20"/>
        </w:rPr>
        <w:t>Table 4: Time to first on-study SRE from Study 482</w:t>
      </w:r>
    </w:p>
    <w:tbl>
      <w:tblPr>
        <w:tblStyle w:val="TableGrid2"/>
        <w:tblW w:w="0" w:type="auto"/>
        <w:tblInd w:w="136" w:type="dxa"/>
        <w:tblLook w:val="04A0" w:firstRow="1" w:lastRow="0" w:firstColumn="1" w:lastColumn="0" w:noHBand="0" w:noVBand="1"/>
        <w:tblCaption w:val="Table 4: Time to first on-study SRE from Study 482"/>
      </w:tblPr>
      <w:tblGrid>
        <w:gridCol w:w="3962"/>
        <w:gridCol w:w="2399"/>
        <w:gridCol w:w="2400"/>
      </w:tblGrid>
      <w:tr w:rsidR="005063D8" w:rsidRPr="00150ABE" w:rsidTr="00D56BF2">
        <w:trPr>
          <w:tblHeader/>
        </w:trPr>
        <w:tc>
          <w:tcPr>
            <w:tcW w:w="3962" w:type="dxa"/>
            <w:vAlign w:val="center"/>
          </w:tcPr>
          <w:p w:rsidR="005063D8" w:rsidRPr="00150ABE" w:rsidRDefault="005063D8" w:rsidP="00391975">
            <w:pPr>
              <w:keepNext/>
              <w:widowControl/>
              <w:rPr>
                <w:rFonts w:ascii="Arial Narrow" w:hAnsi="Arial Narrow"/>
                <w:b/>
                <w:sz w:val="20"/>
                <w:szCs w:val="20"/>
              </w:rPr>
            </w:pPr>
          </w:p>
        </w:tc>
        <w:tc>
          <w:tcPr>
            <w:tcW w:w="2399" w:type="dxa"/>
            <w:vAlign w:val="center"/>
          </w:tcPr>
          <w:p w:rsidR="005063D8" w:rsidRPr="00150ABE" w:rsidRDefault="005063D8" w:rsidP="00391975">
            <w:pPr>
              <w:keepNext/>
              <w:widowControl/>
              <w:jc w:val="center"/>
              <w:rPr>
                <w:rFonts w:ascii="Arial Narrow" w:hAnsi="Arial Narrow"/>
                <w:b/>
                <w:sz w:val="20"/>
                <w:szCs w:val="20"/>
              </w:rPr>
            </w:pPr>
            <w:r w:rsidRPr="00150ABE">
              <w:rPr>
                <w:rFonts w:ascii="Arial Narrow" w:hAnsi="Arial Narrow"/>
                <w:b/>
                <w:sz w:val="20"/>
                <w:szCs w:val="20"/>
              </w:rPr>
              <w:t>Denosumab 120 mg</w:t>
            </w:r>
          </w:p>
          <w:p w:rsidR="005063D8" w:rsidRPr="00150ABE" w:rsidRDefault="005063D8" w:rsidP="00391975">
            <w:pPr>
              <w:keepNext/>
              <w:widowControl/>
              <w:jc w:val="center"/>
              <w:rPr>
                <w:rFonts w:ascii="Arial Narrow" w:hAnsi="Arial Narrow"/>
                <w:b/>
                <w:sz w:val="20"/>
                <w:szCs w:val="20"/>
              </w:rPr>
            </w:pPr>
            <w:r w:rsidRPr="00150ABE">
              <w:rPr>
                <w:rFonts w:ascii="Arial Narrow" w:hAnsi="Arial Narrow"/>
                <w:b/>
                <w:sz w:val="20"/>
                <w:szCs w:val="20"/>
              </w:rPr>
              <w:t>N=859</w:t>
            </w:r>
          </w:p>
        </w:tc>
        <w:tc>
          <w:tcPr>
            <w:tcW w:w="2400" w:type="dxa"/>
            <w:vAlign w:val="center"/>
          </w:tcPr>
          <w:p w:rsidR="005063D8" w:rsidRPr="00150ABE" w:rsidRDefault="005063D8" w:rsidP="00391975">
            <w:pPr>
              <w:keepNext/>
              <w:widowControl/>
              <w:jc w:val="center"/>
              <w:rPr>
                <w:rFonts w:ascii="Arial Narrow" w:hAnsi="Arial Narrow"/>
                <w:b/>
                <w:sz w:val="20"/>
                <w:szCs w:val="20"/>
              </w:rPr>
            </w:pPr>
            <w:r w:rsidRPr="00150ABE">
              <w:rPr>
                <w:rFonts w:ascii="Arial Narrow" w:hAnsi="Arial Narrow"/>
                <w:b/>
                <w:sz w:val="20"/>
                <w:szCs w:val="20"/>
              </w:rPr>
              <w:t>Zoledronic acid 4 mg</w:t>
            </w:r>
          </w:p>
          <w:p w:rsidR="005063D8" w:rsidRPr="00150ABE" w:rsidRDefault="005063D8" w:rsidP="00391975">
            <w:pPr>
              <w:keepNext/>
              <w:widowControl/>
              <w:jc w:val="center"/>
              <w:rPr>
                <w:rFonts w:ascii="Arial Narrow" w:hAnsi="Arial Narrow"/>
                <w:b/>
                <w:sz w:val="20"/>
                <w:szCs w:val="20"/>
              </w:rPr>
            </w:pPr>
            <w:r w:rsidRPr="00150ABE">
              <w:rPr>
                <w:rFonts w:ascii="Arial Narrow" w:hAnsi="Arial Narrow"/>
                <w:b/>
                <w:sz w:val="20"/>
                <w:szCs w:val="20"/>
              </w:rPr>
              <w:t>N=859</w:t>
            </w:r>
          </w:p>
        </w:tc>
      </w:tr>
      <w:tr w:rsidR="005063D8" w:rsidRPr="00150ABE" w:rsidTr="00391975">
        <w:tc>
          <w:tcPr>
            <w:tcW w:w="3962" w:type="dxa"/>
            <w:vAlign w:val="center"/>
          </w:tcPr>
          <w:p w:rsidR="005063D8" w:rsidRPr="00150ABE" w:rsidRDefault="005063D8" w:rsidP="00391975">
            <w:pPr>
              <w:keepNext/>
              <w:widowControl/>
              <w:rPr>
                <w:rFonts w:ascii="Arial Narrow" w:hAnsi="Arial Narrow"/>
                <w:sz w:val="20"/>
                <w:szCs w:val="20"/>
              </w:rPr>
            </w:pPr>
            <w:r w:rsidRPr="00150ABE">
              <w:rPr>
                <w:rFonts w:ascii="Arial Narrow" w:hAnsi="Arial Narrow"/>
                <w:sz w:val="20"/>
                <w:szCs w:val="20"/>
              </w:rPr>
              <w:t>Patients with SRE (%)</w:t>
            </w:r>
          </w:p>
        </w:tc>
        <w:tc>
          <w:tcPr>
            <w:tcW w:w="2399" w:type="dxa"/>
            <w:vAlign w:val="center"/>
          </w:tcPr>
          <w:p w:rsidR="005063D8" w:rsidRPr="00150ABE" w:rsidRDefault="005063D8" w:rsidP="00391975">
            <w:pPr>
              <w:keepNext/>
              <w:widowControl/>
              <w:jc w:val="center"/>
              <w:rPr>
                <w:rFonts w:ascii="Arial Narrow" w:hAnsi="Arial Narrow"/>
                <w:sz w:val="20"/>
                <w:szCs w:val="20"/>
              </w:rPr>
            </w:pPr>
            <w:r w:rsidRPr="00150ABE">
              <w:rPr>
                <w:rFonts w:ascii="Arial Narrow" w:hAnsi="Arial Narrow"/>
                <w:sz w:val="20"/>
                <w:szCs w:val="20"/>
              </w:rPr>
              <w:t>376 (43.8)</w:t>
            </w:r>
          </w:p>
        </w:tc>
        <w:tc>
          <w:tcPr>
            <w:tcW w:w="2400" w:type="dxa"/>
            <w:vAlign w:val="center"/>
          </w:tcPr>
          <w:p w:rsidR="005063D8" w:rsidRPr="00150ABE" w:rsidRDefault="005063D8" w:rsidP="00391975">
            <w:pPr>
              <w:keepNext/>
              <w:widowControl/>
              <w:jc w:val="center"/>
              <w:rPr>
                <w:rFonts w:ascii="Arial Narrow" w:hAnsi="Arial Narrow"/>
                <w:sz w:val="20"/>
                <w:szCs w:val="20"/>
              </w:rPr>
            </w:pPr>
            <w:r w:rsidRPr="00150ABE">
              <w:rPr>
                <w:rFonts w:ascii="Arial Narrow" w:hAnsi="Arial Narrow"/>
                <w:sz w:val="20"/>
                <w:szCs w:val="20"/>
              </w:rPr>
              <w:t>383 (44.6)</w:t>
            </w:r>
          </w:p>
        </w:tc>
      </w:tr>
      <w:tr w:rsidR="005063D8" w:rsidRPr="00150ABE" w:rsidTr="00391975">
        <w:tc>
          <w:tcPr>
            <w:tcW w:w="3962" w:type="dxa"/>
            <w:vAlign w:val="center"/>
          </w:tcPr>
          <w:p w:rsidR="005063D8" w:rsidRPr="00150ABE" w:rsidRDefault="005063D8" w:rsidP="00391975">
            <w:pPr>
              <w:keepNext/>
              <w:widowControl/>
              <w:rPr>
                <w:rFonts w:ascii="Arial Narrow" w:hAnsi="Arial Narrow"/>
                <w:sz w:val="20"/>
                <w:szCs w:val="20"/>
              </w:rPr>
            </w:pPr>
            <w:r w:rsidRPr="00150ABE">
              <w:rPr>
                <w:rFonts w:ascii="Arial Narrow" w:hAnsi="Arial Narrow"/>
                <w:sz w:val="20"/>
                <w:szCs w:val="20"/>
              </w:rPr>
              <w:t>- Spinal cord compressions (%)</w:t>
            </w:r>
          </w:p>
        </w:tc>
        <w:tc>
          <w:tcPr>
            <w:tcW w:w="2399" w:type="dxa"/>
            <w:vAlign w:val="center"/>
          </w:tcPr>
          <w:p w:rsidR="005063D8" w:rsidRPr="00150ABE" w:rsidRDefault="005063D8" w:rsidP="00391975">
            <w:pPr>
              <w:keepNext/>
              <w:widowControl/>
              <w:jc w:val="center"/>
              <w:rPr>
                <w:rFonts w:ascii="Arial Narrow" w:hAnsi="Arial Narrow"/>
                <w:sz w:val="20"/>
                <w:szCs w:val="20"/>
              </w:rPr>
            </w:pPr>
            <w:r w:rsidRPr="00150ABE">
              <w:rPr>
                <w:rFonts w:ascii="Arial Narrow" w:hAnsi="Arial Narrow"/>
                <w:sz w:val="20"/>
                <w:szCs w:val="20"/>
              </w:rPr>
              <w:t>3 (0.8)</w:t>
            </w:r>
          </w:p>
        </w:tc>
        <w:tc>
          <w:tcPr>
            <w:tcW w:w="2400" w:type="dxa"/>
            <w:vAlign w:val="center"/>
          </w:tcPr>
          <w:p w:rsidR="005063D8" w:rsidRPr="00150ABE" w:rsidRDefault="005063D8" w:rsidP="00391975">
            <w:pPr>
              <w:keepNext/>
              <w:widowControl/>
              <w:jc w:val="center"/>
              <w:rPr>
                <w:rFonts w:ascii="Arial Narrow" w:hAnsi="Arial Narrow"/>
                <w:sz w:val="20"/>
                <w:szCs w:val="20"/>
              </w:rPr>
            </w:pPr>
            <w:r w:rsidRPr="00150ABE">
              <w:rPr>
                <w:rFonts w:ascii="Arial Narrow" w:hAnsi="Arial Narrow"/>
                <w:sz w:val="20"/>
                <w:szCs w:val="20"/>
              </w:rPr>
              <w:t>3 (0.8)</w:t>
            </w:r>
          </w:p>
        </w:tc>
      </w:tr>
      <w:tr w:rsidR="005063D8" w:rsidRPr="00150ABE" w:rsidTr="00391975">
        <w:tc>
          <w:tcPr>
            <w:tcW w:w="3962" w:type="dxa"/>
            <w:vAlign w:val="center"/>
          </w:tcPr>
          <w:p w:rsidR="005063D8" w:rsidRPr="00150ABE" w:rsidRDefault="005063D8" w:rsidP="00391975">
            <w:pPr>
              <w:keepNext/>
              <w:widowControl/>
              <w:rPr>
                <w:rFonts w:ascii="Arial Narrow" w:hAnsi="Arial Narrow"/>
                <w:sz w:val="20"/>
                <w:szCs w:val="20"/>
              </w:rPr>
            </w:pPr>
            <w:r w:rsidRPr="00150ABE">
              <w:rPr>
                <w:rFonts w:ascii="Arial Narrow" w:hAnsi="Arial Narrow"/>
                <w:sz w:val="20"/>
                <w:szCs w:val="20"/>
              </w:rPr>
              <w:t>- Surgery to bone (%)</w:t>
            </w:r>
          </w:p>
        </w:tc>
        <w:tc>
          <w:tcPr>
            <w:tcW w:w="2399" w:type="dxa"/>
            <w:vAlign w:val="center"/>
          </w:tcPr>
          <w:p w:rsidR="005063D8" w:rsidRPr="00150ABE" w:rsidRDefault="005063D8" w:rsidP="00391975">
            <w:pPr>
              <w:keepNext/>
              <w:widowControl/>
              <w:jc w:val="center"/>
              <w:rPr>
                <w:rFonts w:ascii="Arial Narrow" w:hAnsi="Arial Narrow"/>
                <w:sz w:val="20"/>
                <w:szCs w:val="20"/>
              </w:rPr>
            </w:pPr>
            <w:r w:rsidRPr="00150ABE">
              <w:rPr>
                <w:rFonts w:ascii="Arial Narrow" w:hAnsi="Arial Narrow"/>
                <w:sz w:val="20"/>
                <w:szCs w:val="20"/>
              </w:rPr>
              <w:t>21 (5.6)</w:t>
            </w:r>
          </w:p>
        </w:tc>
        <w:tc>
          <w:tcPr>
            <w:tcW w:w="2400" w:type="dxa"/>
            <w:vAlign w:val="center"/>
          </w:tcPr>
          <w:p w:rsidR="005063D8" w:rsidRPr="00150ABE" w:rsidRDefault="005063D8" w:rsidP="00391975">
            <w:pPr>
              <w:keepNext/>
              <w:widowControl/>
              <w:jc w:val="center"/>
              <w:rPr>
                <w:rFonts w:ascii="Arial Narrow" w:hAnsi="Arial Narrow"/>
                <w:sz w:val="20"/>
                <w:szCs w:val="20"/>
              </w:rPr>
            </w:pPr>
            <w:r w:rsidRPr="00150ABE">
              <w:rPr>
                <w:rFonts w:ascii="Arial Narrow" w:hAnsi="Arial Narrow"/>
                <w:sz w:val="20"/>
                <w:szCs w:val="20"/>
              </w:rPr>
              <w:t>26 (6.8)</w:t>
            </w:r>
          </w:p>
        </w:tc>
      </w:tr>
      <w:tr w:rsidR="005063D8" w:rsidRPr="00150ABE" w:rsidTr="00391975">
        <w:tc>
          <w:tcPr>
            <w:tcW w:w="3962" w:type="dxa"/>
            <w:vAlign w:val="center"/>
          </w:tcPr>
          <w:p w:rsidR="005063D8" w:rsidRPr="00150ABE" w:rsidRDefault="005063D8" w:rsidP="00391975">
            <w:pPr>
              <w:keepNext/>
              <w:widowControl/>
              <w:rPr>
                <w:rFonts w:ascii="Arial Narrow" w:hAnsi="Arial Narrow"/>
                <w:sz w:val="20"/>
                <w:szCs w:val="20"/>
              </w:rPr>
            </w:pPr>
            <w:r w:rsidRPr="00150ABE">
              <w:rPr>
                <w:rFonts w:ascii="Arial Narrow" w:hAnsi="Arial Narrow"/>
                <w:sz w:val="20"/>
                <w:szCs w:val="20"/>
              </w:rPr>
              <w:t>- Pathological fractures (%)</w:t>
            </w:r>
          </w:p>
        </w:tc>
        <w:tc>
          <w:tcPr>
            <w:tcW w:w="2399" w:type="dxa"/>
            <w:vAlign w:val="center"/>
          </w:tcPr>
          <w:p w:rsidR="005063D8" w:rsidRPr="00150ABE" w:rsidRDefault="005063D8" w:rsidP="00391975">
            <w:pPr>
              <w:keepNext/>
              <w:widowControl/>
              <w:jc w:val="center"/>
              <w:rPr>
                <w:rFonts w:ascii="Arial Narrow" w:hAnsi="Arial Narrow"/>
                <w:sz w:val="20"/>
                <w:szCs w:val="20"/>
              </w:rPr>
            </w:pPr>
            <w:r w:rsidRPr="00150ABE">
              <w:rPr>
                <w:rFonts w:ascii="Arial Narrow" w:hAnsi="Arial Narrow"/>
                <w:sz w:val="20"/>
                <w:szCs w:val="20"/>
              </w:rPr>
              <w:t>323 (85.9)</w:t>
            </w:r>
          </w:p>
        </w:tc>
        <w:tc>
          <w:tcPr>
            <w:tcW w:w="2400" w:type="dxa"/>
            <w:vAlign w:val="center"/>
          </w:tcPr>
          <w:p w:rsidR="005063D8" w:rsidRPr="00150ABE" w:rsidRDefault="005063D8" w:rsidP="00391975">
            <w:pPr>
              <w:keepNext/>
              <w:widowControl/>
              <w:jc w:val="center"/>
              <w:rPr>
                <w:rFonts w:ascii="Arial Narrow" w:hAnsi="Arial Narrow"/>
                <w:sz w:val="20"/>
                <w:szCs w:val="20"/>
              </w:rPr>
            </w:pPr>
            <w:r w:rsidRPr="00150ABE">
              <w:rPr>
                <w:rFonts w:ascii="Arial Narrow" w:hAnsi="Arial Narrow"/>
                <w:sz w:val="20"/>
                <w:szCs w:val="20"/>
              </w:rPr>
              <w:t>314 (82.0)</w:t>
            </w:r>
          </w:p>
        </w:tc>
      </w:tr>
      <w:tr w:rsidR="005063D8" w:rsidRPr="00150ABE" w:rsidTr="00391975">
        <w:tc>
          <w:tcPr>
            <w:tcW w:w="3962" w:type="dxa"/>
            <w:vAlign w:val="center"/>
          </w:tcPr>
          <w:p w:rsidR="005063D8" w:rsidRPr="00150ABE" w:rsidRDefault="005063D8" w:rsidP="00391975">
            <w:pPr>
              <w:keepNext/>
              <w:widowControl/>
              <w:rPr>
                <w:rFonts w:ascii="Arial Narrow" w:hAnsi="Arial Narrow"/>
                <w:sz w:val="20"/>
                <w:szCs w:val="20"/>
              </w:rPr>
            </w:pPr>
            <w:r w:rsidRPr="00150ABE">
              <w:rPr>
                <w:rFonts w:ascii="Arial Narrow" w:hAnsi="Arial Narrow"/>
                <w:sz w:val="20"/>
                <w:szCs w:val="20"/>
              </w:rPr>
              <w:t>- Radiation to bone (%)</w:t>
            </w:r>
          </w:p>
        </w:tc>
        <w:tc>
          <w:tcPr>
            <w:tcW w:w="2399" w:type="dxa"/>
            <w:vAlign w:val="center"/>
          </w:tcPr>
          <w:p w:rsidR="005063D8" w:rsidRPr="00150ABE" w:rsidRDefault="005063D8" w:rsidP="00391975">
            <w:pPr>
              <w:keepNext/>
              <w:widowControl/>
              <w:jc w:val="center"/>
              <w:rPr>
                <w:rFonts w:ascii="Arial Narrow" w:hAnsi="Arial Narrow"/>
                <w:sz w:val="20"/>
                <w:szCs w:val="20"/>
              </w:rPr>
            </w:pPr>
            <w:r w:rsidRPr="00150ABE">
              <w:rPr>
                <w:rFonts w:ascii="Arial Narrow" w:hAnsi="Arial Narrow"/>
                <w:sz w:val="20"/>
                <w:szCs w:val="20"/>
              </w:rPr>
              <w:t>29 (7.7)</w:t>
            </w:r>
          </w:p>
        </w:tc>
        <w:tc>
          <w:tcPr>
            <w:tcW w:w="2400" w:type="dxa"/>
            <w:vAlign w:val="center"/>
          </w:tcPr>
          <w:p w:rsidR="005063D8" w:rsidRPr="00150ABE" w:rsidRDefault="005063D8" w:rsidP="00391975">
            <w:pPr>
              <w:keepNext/>
              <w:widowControl/>
              <w:jc w:val="center"/>
              <w:rPr>
                <w:rFonts w:ascii="Arial Narrow" w:hAnsi="Arial Narrow"/>
                <w:sz w:val="20"/>
                <w:szCs w:val="20"/>
              </w:rPr>
            </w:pPr>
            <w:r w:rsidRPr="00150ABE">
              <w:rPr>
                <w:rFonts w:ascii="Arial Narrow" w:hAnsi="Arial Narrow"/>
                <w:sz w:val="20"/>
                <w:szCs w:val="20"/>
              </w:rPr>
              <w:t>40 (10.4)</w:t>
            </w:r>
          </w:p>
        </w:tc>
      </w:tr>
      <w:tr w:rsidR="005063D8" w:rsidRPr="00150ABE" w:rsidTr="00391975">
        <w:tc>
          <w:tcPr>
            <w:tcW w:w="3962" w:type="dxa"/>
            <w:vAlign w:val="center"/>
          </w:tcPr>
          <w:p w:rsidR="005063D8" w:rsidRPr="00150ABE" w:rsidRDefault="005063D8" w:rsidP="00391975">
            <w:pPr>
              <w:keepNext/>
              <w:widowControl/>
              <w:rPr>
                <w:rFonts w:ascii="Arial Narrow" w:hAnsi="Arial Narrow"/>
                <w:sz w:val="20"/>
                <w:szCs w:val="20"/>
              </w:rPr>
            </w:pPr>
            <w:r w:rsidRPr="00150ABE">
              <w:rPr>
                <w:rFonts w:ascii="Arial Narrow" w:hAnsi="Arial Narrow"/>
                <w:sz w:val="20"/>
                <w:szCs w:val="20"/>
              </w:rPr>
              <w:t>Median time to event, months (95% CI)</w:t>
            </w:r>
          </w:p>
        </w:tc>
        <w:tc>
          <w:tcPr>
            <w:tcW w:w="2399" w:type="dxa"/>
            <w:vAlign w:val="center"/>
          </w:tcPr>
          <w:p w:rsidR="005063D8" w:rsidRPr="00150ABE" w:rsidRDefault="005063D8" w:rsidP="00391975">
            <w:pPr>
              <w:keepNext/>
              <w:widowControl/>
              <w:jc w:val="center"/>
              <w:rPr>
                <w:rFonts w:ascii="Arial Narrow" w:hAnsi="Arial Narrow"/>
                <w:sz w:val="20"/>
                <w:szCs w:val="20"/>
              </w:rPr>
            </w:pPr>
            <w:r w:rsidRPr="00150ABE">
              <w:rPr>
                <w:rFonts w:ascii="Arial Narrow" w:hAnsi="Arial Narrow"/>
                <w:sz w:val="20"/>
                <w:szCs w:val="20"/>
              </w:rPr>
              <w:t>22.8 (14.7, NE)</w:t>
            </w:r>
          </w:p>
        </w:tc>
        <w:tc>
          <w:tcPr>
            <w:tcW w:w="2400" w:type="dxa"/>
            <w:vAlign w:val="center"/>
          </w:tcPr>
          <w:p w:rsidR="005063D8" w:rsidRPr="00150ABE" w:rsidRDefault="005063D8" w:rsidP="00391975">
            <w:pPr>
              <w:keepNext/>
              <w:widowControl/>
              <w:jc w:val="center"/>
              <w:rPr>
                <w:rFonts w:ascii="Arial Narrow" w:hAnsi="Arial Narrow"/>
                <w:sz w:val="20"/>
                <w:szCs w:val="20"/>
              </w:rPr>
            </w:pPr>
            <w:r w:rsidRPr="00150ABE">
              <w:rPr>
                <w:rFonts w:ascii="Arial Narrow" w:hAnsi="Arial Narrow"/>
                <w:sz w:val="20"/>
                <w:szCs w:val="20"/>
              </w:rPr>
              <w:t>24.0 (16.6, 33.3)</w:t>
            </w:r>
          </w:p>
        </w:tc>
      </w:tr>
      <w:tr w:rsidR="005063D8" w:rsidRPr="00150ABE" w:rsidTr="00391975">
        <w:tc>
          <w:tcPr>
            <w:tcW w:w="3962" w:type="dxa"/>
            <w:vAlign w:val="center"/>
          </w:tcPr>
          <w:p w:rsidR="005063D8" w:rsidRPr="00150ABE" w:rsidRDefault="005063D8" w:rsidP="00391975">
            <w:pPr>
              <w:keepNext/>
              <w:widowControl/>
              <w:rPr>
                <w:rFonts w:ascii="Arial Narrow" w:hAnsi="Arial Narrow"/>
                <w:sz w:val="20"/>
                <w:szCs w:val="20"/>
              </w:rPr>
            </w:pPr>
            <w:r w:rsidRPr="00150ABE">
              <w:rPr>
                <w:rFonts w:ascii="Arial Narrow" w:hAnsi="Arial Narrow"/>
                <w:sz w:val="20"/>
                <w:szCs w:val="20"/>
              </w:rPr>
              <w:t>Hazard Ratio (95% CI)</w:t>
            </w:r>
          </w:p>
        </w:tc>
        <w:tc>
          <w:tcPr>
            <w:tcW w:w="4799" w:type="dxa"/>
            <w:gridSpan w:val="2"/>
            <w:vAlign w:val="center"/>
          </w:tcPr>
          <w:p w:rsidR="005063D8" w:rsidRPr="00150ABE" w:rsidRDefault="005063D8" w:rsidP="00391975">
            <w:pPr>
              <w:keepNext/>
              <w:widowControl/>
              <w:jc w:val="center"/>
              <w:rPr>
                <w:rFonts w:ascii="Arial Narrow" w:hAnsi="Arial Narrow"/>
                <w:sz w:val="20"/>
                <w:szCs w:val="20"/>
              </w:rPr>
            </w:pPr>
            <w:r w:rsidRPr="00150ABE">
              <w:rPr>
                <w:rFonts w:ascii="Arial Narrow" w:hAnsi="Arial Narrow"/>
                <w:sz w:val="20"/>
                <w:szCs w:val="20"/>
              </w:rPr>
              <w:t>0.98 (0.85, 1.14)</w:t>
            </w:r>
          </w:p>
        </w:tc>
      </w:tr>
      <w:tr w:rsidR="005063D8" w:rsidRPr="00150ABE" w:rsidTr="00391975">
        <w:tc>
          <w:tcPr>
            <w:tcW w:w="3962" w:type="dxa"/>
            <w:vAlign w:val="center"/>
          </w:tcPr>
          <w:p w:rsidR="005063D8" w:rsidRPr="00150ABE" w:rsidRDefault="005063D8" w:rsidP="00391975">
            <w:pPr>
              <w:keepNext/>
              <w:widowControl/>
              <w:rPr>
                <w:rFonts w:ascii="Arial Narrow" w:hAnsi="Arial Narrow"/>
                <w:sz w:val="20"/>
                <w:szCs w:val="20"/>
              </w:rPr>
            </w:pPr>
            <w:r w:rsidRPr="00150ABE">
              <w:rPr>
                <w:rFonts w:ascii="Arial Narrow" w:hAnsi="Arial Narrow"/>
                <w:sz w:val="20"/>
                <w:szCs w:val="20"/>
              </w:rPr>
              <w:t xml:space="preserve">p-value, </w:t>
            </w:r>
            <w:proofErr w:type="spellStart"/>
            <w:r w:rsidRPr="00150ABE">
              <w:rPr>
                <w:rFonts w:ascii="Arial Narrow" w:hAnsi="Arial Narrow"/>
                <w:sz w:val="20"/>
                <w:szCs w:val="20"/>
              </w:rPr>
              <w:t>noninferiority</w:t>
            </w:r>
            <w:proofErr w:type="spellEnd"/>
          </w:p>
        </w:tc>
        <w:tc>
          <w:tcPr>
            <w:tcW w:w="4799" w:type="dxa"/>
            <w:gridSpan w:val="2"/>
            <w:vAlign w:val="center"/>
          </w:tcPr>
          <w:p w:rsidR="005063D8" w:rsidRPr="00150ABE" w:rsidRDefault="005063D8" w:rsidP="00391975">
            <w:pPr>
              <w:keepNext/>
              <w:widowControl/>
              <w:jc w:val="center"/>
              <w:rPr>
                <w:rFonts w:ascii="Arial Narrow" w:hAnsi="Arial Narrow"/>
                <w:sz w:val="20"/>
                <w:szCs w:val="20"/>
              </w:rPr>
            </w:pPr>
            <w:r w:rsidRPr="00150ABE">
              <w:rPr>
                <w:rFonts w:ascii="Arial Narrow" w:hAnsi="Arial Narrow"/>
                <w:sz w:val="20"/>
                <w:szCs w:val="20"/>
              </w:rPr>
              <w:t>0.010</w:t>
            </w:r>
          </w:p>
        </w:tc>
      </w:tr>
      <w:tr w:rsidR="005063D8" w:rsidRPr="00150ABE" w:rsidTr="00391975">
        <w:tc>
          <w:tcPr>
            <w:tcW w:w="3962" w:type="dxa"/>
            <w:vAlign w:val="center"/>
          </w:tcPr>
          <w:p w:rsidR="005063D8" w:rsidRPr="00150ABE" w:rsidRDefault="005063D8" w:rsidP="00391975">
            <w:pPr>
              <w:keepNext/>
              <w:widowControl/>
              <w:rPr>
                <w:rFonts w:ascii="Arial Narrow" w:hAnsi="Arial Narrow"/>
                <w:sz w:val="20"/>
                <w:szCs w:val="20"/>
              </w:rPr>
            </w:pPr>
            <w:r w:rsidRPr="00150ABE">
              <w:rPr>
                <w:rFonts w:ascii="Arial Narrow" w:hAnsi="Arial Narrow"/>
                <w:sz w:val="20"/>
                <w:szCs w:val="20"/>
              </w:rPr>
              <w:t>p-value, superiority</w:t>
            </w:r>
          </w:p>
        </w:tc>
        <w:tc>
          <w:tcPr>
            <w:tcW w:w="4799" w:type="dxa"/>
            <w:gridSpan w:val="2"/>
            <w:vAlign w:val="center"/>
          </w:tcPr>
          <w:p w:rsidR="005063D8" w:rsidRPr="00150ABE" w:rsidRDefault="005063D8" w:rsidP="00391975">
            <w:pPr>
              <w:keepNext/>
              <w:widowControl/>
              <w:jc w:val="center"/>
              <w:rPr>
                <w:rFonts w:ascii="Arial Narrow" w:hAnsi="Arial Narrow"/>
                <w:sz w:val="20"/>
                <w:szCs w:val="20"/>
              </w:rPr>
            </w:pPr>
            <w:r w:rsidRPr="00150ABE">
              <w:rPr>
                <w:rFonts w:ascii="Arial Narrow" w:hAnsi="Arial Narrow"/>
                <w:sz w:val="20"/>
                <w:szCs w:val="20"/>
              </w:rPr>
              <w:t>0.82</w:t>
            </w:r>
          </w:p>
        </w:tc>
      </w:tr>
      <w:tr w:rsidR="005063D8" w:rsidRPr="00150ABE" w:rsidTr="00391975">
        <w:tc>
          <w:tcPr>
            <w:tcW w:w="3962" w:type="dxa"/>
            <w:vAlign w:val="center"/>
          </w:tcPr>
          <w:p w:rsidR="005063D8" w:rsidRPr="00150ABE" w:rsidRDefault="005063D8" w:rsidP="00391975">
            <w:pPr>
              <w:keepNext/>
              <w:widowControl/>
              <w:rPr>
                <w:rFonts w:ascii="Arial Narrow" w:hAnsi="Arial Narrow"/>
                <w:sz w:val="20"/>
                <w:szCs w:val="20"/>
              </w:rPr>
            </w:pPr>
            <w:r w:rsidRPr="00150ABE">
              <w:rPr>
                <w:rFonts w:ascii="Arial Narrow" w:hAnsi="Arial Narrow"/>
                <w:sz w:val="20"/>
                <w:szCs w:val="20"/>
              </w:rPr>
              <w:t>p-value, superiority (adjusted for multiplicity)</w:t>
            </w:r>
          </w:p>
        </w:tc>
        <w:tc>
          <w:tcPr>
            <w:tcW w:w="4799" w:type="dxa"/>
            <w:gridSpan w:val="2"/>
            <w:vAlign w:val="center"/>
          </w:tcPr>
          <w:p w:rsidR="005063D8" w:rsidRPr="00150ABE" w:rsidRDefault="005063D8" w:rsidP="00391975">
            <w:pPr>
              <w:keepNext/>
              <w:widowControl/>
              <w:jc w:val="center"/>
              <w:rPr>
                <w:rFonts w:ascii="Arial Narrow" w:hAnsi="Arial Narrow"/>
                <w:sz w:val="20"/>
                <w:szCs w:val="20"/>
              </w:rPr>
            </w:pPr>
            <w:r w:rsidRPr="00150ABE">
              <w:rPr>
                <w:rFonts w:ascii="Arial Narrow" w:hAnsi="Arial Narrow"/>
                <w:sz w:val="20"/>
                <w:szCs w:val="20"/>
              </w:rPr>
              <w:t>0.84</w:t>
            </w:r>
          </w:p>
        </w:tc>
      </w:tr>
    </w:tbl>
    <w:p w:rsidR="005063D8" w:rsidRPr="00150ABE" w:rsidRDefault="005063D8" w:rsidP="005063D8">
      <w:pPr>
        <w:pStyle w:val="TableFooter"/>
        <w:keepNext/>
      </w:pPr>
      <w:r w:rsidRPr="00150ABE">
        <w:t>Source: Table 2.5-1, p26 of the submission</w:t>
      </w:r>
    </w:p>
    <w:p w:rsidR="005063D8" w:rsidRPr="00150ABE" w:rsidRDefault="005063D8" w:rsidP="005063D8">
      <w:pPr>
        <w:pStyle w:val="TableFooter"/>
        <w:keepNext/>
      </w:pPr>
      <w:r w:rsidRPr="00150ABE">
        <w:t>Abbreviations: CI, confidence interval; NE, not estimable; SRE, skeletal related event</w:t>
      </w:r>
    </w:p>
    <w:p w:rsidR="005063D8" w:rsidRPr="00150ABE" w:rsidRDefault="005063D8" w:rsidP="005063D8">
      <w:pPr>
        <w:widowControl/>
      </w:pPr>
    </w:p>
    <w:p w:rsidR="005063D8" w:rsidRPr="00150ABE" w:rsidRDefault="005063D8" w:rsidP="004D1C86">
      <w:pPr>
        <w:pStyle w:val="ListParagraph"/>
        <w:widowControl/>
        <w:numPr>
          <w:ilvl w:val="1"/>
          <w:numId w:val="29"/>
        </w:numPr>
      </w:pPr>
      <w:r w:rsidRPr="00150ABE">
        <w:t>The</w:t>
      </w:r>
      <w:r w:rsidR="00647265" w:rsidRPr="00150ABE">
        <w:t>re</w:t>
      </w:r>
      <w:r w:rsidRPr="00150ABE">
        <w:t xml:space="preserve"> was </w:t>
      </w:r>
      <w:r w:rsidR="00647265" w:rsidRPr="00150ABE">
        <w:t xml:space="preserve">no statistically significant difference in the risk of developing a first on-study SRE when comparing denosumab with zoledronic acid (HR 0.98; 95% CI 0.85, 1.14). The </w:t>
      </w:r>
      <w:proofErr w:type="spellStart"/>
      <w:r w:rsidR="00647265" w:rsidRPr="00150ABE">
        <w:t>noninferiority</w:t>
      </w:r>
      <w:proofErr w:type="spellEnd"/>
      <w:r w:rsidR="00647265" w:rsidRPr="00150ABE">
        <w:t xml:space="preserve"> margin was met for the fixed margin (upper limit of CI does not exceed 1.28) and synthesis approach (p=0.010). The median time to first SRE was </w:t>
      </w:r>
      <w:r w:rsidR="00647265" w:rsidRPr="00150ABE">
        <w:lastRenderedPageBreak/>
        <w:t>similar between denosumab and zoledronic acid, with 60% of all first SREs occurring within the first 3 months of the study and 81% occurring in the first 6 months of the study.</w:t>
      </w:r>
    </w:p>
    <w:p w:rsidR="00647265" w:rsidRPr="00150ABE" w:rsidRDefault="00647265" w:rsidP="004D1C86">
      <w:pPr>
        <w:pStyle w:val="ListParagraph"/>
        <w:widowControl/>
        <w:numPr>
          <w:ilvl w:val="1"/>
          <w:numId w:val="29"/>
        </w:numPr>
      </w:pPr>
      <w:r w:rsidRPr="00150ABE">
        <w:t>Results for overall survival (secondary outcome) and progression-free survival (exploratory outcome) from Study 482 are summarised in Figure 2 and Table 5 below.</w:t>
      </w:r>
    </w:p>
    <w:p w:rsidR="00647265" w:rsidRPr="00150ABE" w:rsidRDefault="00647265" w:rsidP="00647265">
      <w:pPr>
        <w:pStyle w:val="TableHeading0"/>
        <w:spacing w:after="0"/>
      </w:pPr>
      <w:r w:rsidRPr="00150ABE">
        <w:lastRenderedPageBreak/>
        <w:t>Figure 2: Kaplan-Meier estimates of overall survival (A); and progression-free survival (B) of Study 482</w:t>
      </w:r>
    </w:p>
    <w:p w:rsidR="00647265" w:rsidRPr="00150ABE" w:rsidRDefault="00647265" w:rsidP="00647265">
      <w:pPr>
        <w:pStyle w:val="BodyText"/>
      </w:pPr>
      <w:r w:rsidRPr="00150ABE">
        <w:rPr>
          <w:noProof/>
          <w:snapToGrid/>
          <w:lang w:eastAsia="en-AU"/>
        </w:rPr>
        <w:drawing>
          <wp:inline distT="0" distB="0" distL="0" distR="0" wp14:anchorId="3202E025" wp14:editId="4400E49C">
            <wp:extent cx="5013960" cy="6699207"/>
            <wp:effectExtent l="0" t="0" r="0" b="6985"/>
            <wp:docPr id="14" name="Picture 14" title="Figure 2: Kaplan-Meier estimates of overall survival (A); and progression-free survival (B) of Study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S and PFS kaplan meier.JPG"/>
                    <pic:cNvPicPr/>
                  </pic:nvPicPr>
                  <pic:blipFill>
                    <a:blip r:embed="rId10">
                      <a:extLst>
                        <a:ext uri="{28A0092B-C50C-407E-A947-70E740481C1C}">
                          <a14:useLocalDpi xmlns:a14="http://schemas.microsoft.com/office/drawing/2010/main" val="0"/>
                        </a:ext>
                      </a:extLst>
                    </a:blip>
                    <a:stretch>
                      <a:fillRect/>
                    </a:stretch>
                  </pic:blipFill>
                  <pic:spPr>
                    <a:xfrm>
                      <a:off x="0" y="0"/>
                      <a:ext cx="5040412" cy="6734550"/>
                    </a:xfrm>
                    <a:prstGeom prst="rect">
                      <a:avLst/>
                    </a:prstGeom>
                  </pic:spPr>
                </pic:pic>
              </a:graphicData>
            </a:graphic>
          </wp:inline>
        </w:drawing>
      </w:r>
    </w:p>
    <w:p w:rsidR="00647265" w:rsidRPr="00150ABE" w:rsidRDefault="00647265" w:rsidP="00647265">
      <w:pPr>
        <w:pStyle w:val="TableFooter"/>
      </w:pPr>
      <w:r w:rsidRPr="00150ABE">
        <w:t xml:space="preserve">Source: Figure 3, p376 of the </w:t>
      </w:r>
      <w:proofErr w:type="spellStart"/>
      <w:r w:rsidRPr="00150ABE">
        <w:t>Raje</w:t>
      </w:r>
      <w:proofErr w:type="spellEnd"/>
      <w:r w:rsidRPr="00150ABE">
        <w:t xml:space="preserve"> et al 2018 publication</w:t>
      </w:r>
    </w:p>
    <w:p w:rsidR="00647265" w:rsidRPr="00150ABE" w:rsidRDefault="00647265" w:rsidP="00647265">
      <w:pPr>
        <w:pStyle w:val="TableFooter"/>
      </w:pPr>
      <w:r w:rsidRPr="00150ABE">
        <w:t>Abbreviations: CI, confidence interval; HR, hazard ratio</w:t>
      </w:r>
    </w:p>
    <w:p w:rsidR="00647265" w:rsidRPr="00150ABE" w:rsidRDefault="00647265" w:rsidP="00647265">
      <w:pPr>
        <w:widowControl/>
      </w:pPr>
    </w:p>
    <w:p w:rsidR="00647265" w:rsidRPr="00150ABE" w:rsidRDefault="00647265" w:rsidP="00647265">
      <w:pPr>
        <w:pStyle w:val="TableHeading0"/>
        <w:spacing w:after="0"/>
      </w:pPr>
      <w:r w:rsidRPr="00150ABE">
        <w:lastRenderedPageBreak/>
        <w:t>Table 5: Overall survival and progression-free survival results from Study 482</w:t>
      </w:r>
    </w:p>
    <w:tbl>
      <w:tblPr>
        <w:tblStyle w:val="TableGrid2"/>
        <w:tblW w:w="0" w:type="auto"/>
        <w:tblInd w:w="136" w:type="dxa"/>
        <w:tblLook w:val="04A0" w:firstRow="1" w:lastRow="0" w:firstColumn="1" w:lastColumn="0" w:noHBand="0" w:noVBand="1"/>
        <w:tblCaption w:val="Table 5: Overall survival and progression-free survival results from Study 482"/>
      </w:tblPr>
      <w:tblGrid>
        <w:gridCol w:w="3962"/>
        <w:gridCol w:w="2399"/>
        <w:gridCol w:w="2400"/>
      </w:tblGrid>
      <w:tr w:rsidR="00647265" w:rsidRPr="00150ABE" w:rsidTr="00D56BF2">
        <w:trPr>
          <w:tblHeader/>
        </w:trPr>
        <w:tc>
          <w:tcPr>
            <w:tcW w:w="3962" w:type="dxa"/>
            <w:vAlign w:val="center"/>
          </w:tcPr>
          <w:p w:rsidR="00647265" w:rsidRPr="00150ABE" w:rsidRDefault="00647265" w:rsidP="00391975">
            <w:pPr>
              <w:keepNext/>
              <w:widowControl/>
              <w:rPr>
                <w:rFonts w:ascii="Arial Narrow" w:hAnsi="Arial Narrow"/>
                <w:b/>
                <w:sz w:val="20"/>
                <w:szCs w:val="20"/>
              </w:rPr>
            </w:pPr>
          </w:p>
        </w:tc>
        <w:tc>
          <w:tcPr>
            <w:tcW w:w="2399" w:type="dxa"/>
            <w:vAlign w:val="center"/>
          </w:tcPr>
          <w:p w:rsidR="00647265" w:rsidRPr="00150ABE" w:rsidRDefault="00647265" w:rsidP="00391975">
            <w:pPr>
              <w:keepNext/>
              <w:widowControl/>
              <w:jc w:val="center"/>
              <w:rPr>
                <w:rFonts w:ascii="Arial Narrow" w:hAnsi="Arial Narrow"/>
                <w:b/>
                <w:sz w:val="20"/>
                <w:szCs w:val="20"/>
              </w:rPr>
            </w:pPr>
            <w:r w:rsidRPr="00150ABE">
              <w:rPr>
                <w:rFonts w:ascii="Arial Narrow" w:hAnsi="Arial Narrow"/>
                <w:b/>
                <w:sz w:val="20"/>
                <w:szCs w:val="20"/>
              </w:rPr>
              <w:t>Denosumab 120 mg</w:t>
            </w:r>
          </w:p>
          <w:p w:rsidR="00647265" w:rsidRPr="00150ABE" w:rsidRDefault="00647265" w:rsidP="00391975">
            <w:pPr>
              <w:keepNext/>
              <w:widowControl/>
              <w:jc w:val="center"/>
              <w:rPr>
                <w:rFonts w:ascii="Arial Narrow" w:hAnsi="Arial Narrow"/>
                <w:b/>
                <w:sz w:val="20"/>
                <w:szCs w:val="20"/>
              </w:rPr>
            </w:pPr>
            <w:r w:rsidRPr="00150ABE">
              <w:rPr>
                <w:rFonts w:ascii="Arial Narrow" w:hAnsi="Arial Narrow"/>
                <w:b/>
                <w:sz w:val="20"/>
                <w:szCs w:val="20"/>
              </w:rPr>
              <w:t>N=859</w:t>
            </w:r>
          </w:p>
        </w:tc>
        <w:tc>
          <w:tcPr>
            <w:tcW w:w="2400" w:type="dxa"/>
            <w:vAlign w:val="center"/>
          </w:tcPr>
          <w:p w:rsidR="00647265" w:rsidRPr="00150ABE" w:rsidRDefault="00647265" w:rsidP="00391975">
            <w:pPr>
              <w:keepNext/>
              <w:widowControl/>
              <w:jc w:val="center"/>
              <w:rPr>
                <w:rFonts w:ascii="Arial Narrow" w:hAnsi="Arial Narrow"/>
                <w:b/>
                <w:sz w:val="20"/>
                <w:szCs w:val="20"/>
              </w:rPr>
            </w:pPr>
            <w:r w:rsidRPr="00150ABE">
              <w:rPr>
                <w:rFonts w:ascii="Arial Narrow" w:hAnsi="Arial Narrow"/>
                <w:b/>
                <w:sz w:val="20"/>
                <w:szCs w:val="20"/>
              </w:rPr>
              <w:t>Zoledronic acid 4 mg</w:t>
            </w:r>
          </w:p>
          <w:p w:rsidR="00647265" w:rsidRPr="00150ABE" w:rsidRDefault="00647265" w:rsidP="00391975">
            <w:pPr>
              <w:keepNext/>
              <w:widowControl/>
              <w:jc w:val="center"/>
              <w:rPr>
                <w:rFonts w:ascii="Arial Narrow" w:hAnsi="Arial Narrow"/>
                <w:b/>
                <w:sz w:val="20"/>
                <w:szCs w:val="20"/>
              </w:rPr>
            </w:pPr>
            <w:r w:rsidRPr="00150ABE">
              <w:rPr>
                <w:rFonts w:ascii="Arial Narrow" w:hAnsi="Arial Narrow"/>
                <w:b/>
                <w:sz w:val="20"/>
                <w:szCs w:val="20"/>
              </w:rPr>
              <w:t>N=859</w:t>
            </w:r>
          </w:p>
        </w:tc>
      </w:tr>
      <w:tr w:rsidR="00647265" w:rsidRPr="00150ABE" w:rsidTr="00391975">
        <w:tc>
          <w:tcPr>
            <w:tcW w:w="8761" w:type="dxa"/>
            <w:gridSpan w:val="3"/>
            <w:vAlign w:val="center"/>
          </w:tcPr>
          <w:p w:rsidR="00647265" w:rsidRPr="00150ABE" w:rsidRDefault="00647265" w:rsidP="00391975">
            <w:pPr>
              <w:keepNext/>
              <w:widowControl/>
              <w:jc w:val="left"/>
              <w:rPr>
                <w:rFonts w:ascii="Arial Narrow" w:hAnsi="Arial Narrow"/>
                <w:b/>
                <w:sz w:val="20"/>
                <w:szCs w:val="20"/>
              </w:rPr>
            </w:pPr>
            <w:r w:rsidRPr="00150ABE">
              <w:rPr>
                <w:rFonts w:ascii="Arial Narrow" w:hAnsi="Arial Narrow"/>
                <w:b/>
                <w:sz w:val="20"/>
                <w:szCs w:val="20"/>
              </w:rPr>
              <w:t>Overall survival</w:t>
            </w:r>
          </w:p>
        </w:tc>
      </w:tr>
      <w:tr w:rsidR="00647265" w:rsidRPr="00150ABE" w:rsidTr="00391975">
        <w:tc>
          <w:tcPr>
            <w:tcW w:w="3962" w:type="dxa"/>
            <w:vAlign w:val="center"/>
          </w:tcPr>
          <w:p w:rsidR="00647265" w:rsidRPr="00150ABE" w:rsidRDefault="00647265" w:rsidP="00391975">
            <w:pPr>
              <w:keepNext/>
              <w:widowControl/>
              <w:rPr>
                <w:rFonts w:ascii="Arial Narrow" w:hAnsi="Arial Narrow"/>
                <w:sz w:val="20"/>
                <w:szCs w:val="20"/>
              </w:rPr>
            </w:pPr>
            <w:r w:rsidRPr="00150ABE">
              <w:rPr>
                <w:rFonts w:ascii="Arial Narrow" w:hAnsi="Arial Narrow"/>
                <w:sz w:val="20"/>
                <w:szCs w:val="20"/>
              </w:rPr>
              <w:t>Deaths (%)</w:t>
            </w:r>
          </w:p>
        </w:tc>
        <w:tc>
          <w:tcPr>
            <w:tcW w:w="2399" w:type="dxa"/>
            <w:vAlign w:val="center"/>
          </w:tcPr>
          <w:p w:rsidR="00647265" w:rsidRPr="00150ABE" w:rsidRDefault="00647265" w:rsidP="00391975">
            <w:pPr>
              <w:keepNext/>
              <w:widowControl/>
              <w:jc w:val="center"/>
              <w:rPr>
                <w:rFonts w:ascii="Arial Narrow" w:hAnsi="Arial Narrow"/>
                <w:sz w:val="20"/>
                <w:szCs w:val="20"/>
              </w:rPr>
            </w:pPr>
            <w:r w:rsidRPr="00150ABE">
              <w:rPr>
                <w:rFonts w:ascii="Arial Narrow" w:hAnsi="Arial Narrow"/>
                <w:sz w:val="20"/>
                <w:szCs w:val="20"/>
              </w:rPr>
              <w:t>121 (14.1)</w:t>
            </w:r>
          </w:p>
        </w:tc>
        <w:tc>
          <w:tcPr>
            <w:tcW w:w="2400" w:type="dxa"/>
            <w:vAlign w:val="center"/>
          </w:tcPr>
          <w:p w:rsidR="00647265" w:rsidRPr="00150ABE" w:rsidRDefault="00647265" w:rsidP="00391975">
            <w:pPr>
              <w:keepNext/>
              <w:widowControl/>
              <w:jc w:val="center"/>
              <w:rPr>
                <w:rFonts w:ascii="Arial Narrow" w:hAnsi="Arial Narrow"/>
                <w:sz w:val="20"/>
                <w:szCs w:val="20"/>
              </w:rPr>
            </w:pPr>
            <w:r w:rsidRPr="00150ABE">
              <w:rPr>
                <w:rFonts w:ascii="Arial Narrow" w:hAnsi="Arial Narrow"/>
                <w:sz w:val="20"/>
                <w:szCs w:val="20"/>
              </w:rPr>
              <w:t>129 (15.0)</w:t>
            </w:r>
          </w:p>
        </w:tc>
      </w:tr>
      <w:tr w:rsidR="00647265" w:rsidRPr="00150ABE" w:rsidTr="00391975">
        <w:tc>
          <w:tcPr>
            <w:tcW w:w="3962" w:type="dxa"/>
            <w:vAlign w:val="center"/>
          </w:tcPr>
          <w:p w:rsidR="00647265" w:rsidRPr="00150ABE" w:rsidRDefault="00647265" w:rsidP="00391975">
            <w:pPr>
              <w:keepNext/>
              <w:widowControl/>
              <w:rPr>
                <w:rFonts w:ascii="Arial Narrow" w:hAnsi="Arial Narrow"/>
                <w:sz w:val="20"/>
                <w:szCs w:val="20"/>
              </w:rPr>
            </w:pPr>
            <w:r w:rsidRPr="00150ABE">
              <w:rPr>
                <w:rFonts w:ascii="Arial Narrow" w:hAnsi="Arial Narrow"/>
                <w:sz w:val="20"/>
                <w:szCs w:val="20"/>
              </w:rPr>
              <w:t>Median, months (95% CI)</w:t>
            </w:r>
          </w:p>
        </w:tc>
        <w:tc>
          <w:tcPr>
            <w:tcW w:w="2399" w:type="dxa"/>
            <w:vAlign w:val="center"/>
          </w:tcPr>
          <w:p w:rsidR="00647265" w:rsidRPr="00150ABE" w:rsidRDefault="00647265" w:rsidP="00391975">
            <w:pPr>
              <w:keepNext/>
              <w:widowControl/>
              <w:jc w:val="center"/>
              <w:rPr>
                <w:rFonts w:ascii="Arial Narrow" w:hAnsi="Arial Narrow"/>
                <w:sz w:val="20"/>
                <w:szCs w:val="20"/>
              </w:rPr>
            </w:pPr>
            <w:r w:rsidRPr="00150ABE">
              <w:rPr>
                <w:rFonts w:ascii="Arial Narrow" w:hAnsi="Arial Narrow"/>
                <w:sz w:val="20"/>
                <w:szCs w:val="20"/>
              </w:rPr>
              <w:t>49.5 (NE)</w:t>
            </w:r>
          </w:p>
        </w:tc>
        <w:tc>
          <w:tcPr>
            <w:tcW w:w="2400" w:type="dxa"/>
            <w:vAlign w:val="center"/>
          </w:tcPr>
          <w:p w:rsidR="00647265" w:rsidRPr="00150ABE" w:rsidRDefault="00647265" w:rsidP="00391975">
            <w:pPr>
              <w:keepNext/>
              <w:widowControl/>
              <w:jc w:val="center"/>
              <w:rPr>
                <w:rFonts w:ascii="Arial Narrow" w:hAnsi="Arial Narrow"/>
                <w:sz w:val="20"/>
                <w:szCs w:val="20"/>
              </w:rPr>
            </w:pPr>
            <w:r w:rsidRPr="00150ABE">
              <w:rPr>
                <w:rFonts w:ascii="Arial Narrow" w:hAnsi="Arial Narrow"/>
                <w:sz w:val="20"/>
                <w:szCs w:val="20"/>
              </w:rPr>
              <w:t>NE</w:t>
            </w:r>
          </w:p>
        </w:tc>
      </w:tr>
      <w:tr w:rsidR="00647265" w:rsidRPr="00150ABE" w:rsidTr="00391975">
        <w:tc>
          <w:tcPr>
            <w:tcW w:w="3962" w:type="dxa"/>
            <w:vAlign w:val="center"/>
          </w:tcPr>
          <w:p w:rsidR="00647265" w:rsidRPr="00150ABE" w:rsidRDefault="00647265" w:rsidP="00391975">
            <w:pPr>
              <w:keepNext/>
              <w:widowControl/>
              <w:rPr>
                <w:rFonts w:ascii="Arial Narrow" w:hAnsi="Arial Narrow"/>
                <w:sz w:val="20"/>
                <w:szCs w:val="20"/>
                <w:vertAlign w:val="superscript"/>
              </w:rPr>
            </w:pPr>
            <w:r w:rsidRPr="00150ABE">
              <w:rPr>
                <w:rFonts w:ascii="Arial Narrow" w:hAnsi="Arial Narrow"/>
                <w:sz w:val="20"/>
                <w:szCs w:val="20"/>
              </w:rPr>
              <w:t>Hazard Ratio (95% CI)</w:t>
            </w:r>
            <w:r w:rsidRPr="00150ABE">
              <w:rPr>
                <w:rFonts w:ascii="Arial Narrow" w:hAnsi="Arial Narrow"/>
                <w:sz w:val="20"/>
                <w:szCs w:val="20"/>
                <w:vertAlign w:val="superscript"/>
              </w:rPr>
              <w:t>a</w:t>
            </w:r>
          </w:p>
        </w:tc>
        <w:tc>
          <w:tcPr>
            <w:tcW w:w="4799" w:type="dxa"/>
            <w:gridSpan w:val="2"/>
            <w:vAlign w:val="center"/>
          </w:tcPr>
          <w:p w:rsidR="00647265" w:rsidRPr="00150ABE" w:rsidRDefault="00647265" w:rsidP="00391975">
            <w:pPr>
              <w:keepNext/>
              <w:widowControl/>
              <w:jc w:val="center"/>
              <w:rPr>
                <w:rFonts w:ascii="Arial Narrow" w:hAnsi="Arial Narrow"/>
                <w:sz w:val="20"/>
                <w:szCs w:val="20"/>
              </w:rPr>
            </w:pPr>
            <w:r w:rsidRPr="00150ABE">
              <w:rPr>
                <w:rFonts w:ascii="Arial Narrow" w:hAnsi="Arial Narrow"/>
                <w:sz w:val="20"/>
                <w:szCs w:val="20"/>
              </w:rPr>
              <w:t>0.90 (0.70, 1.16), p=0.41</w:t>
            </w:r>
          </w:p>
        </w:tc>
      </w:tr>
      <w:tr w:rsidR="00647265" w:rsidRPr="00150ABE" w:rsidTr="00391975">
        <w:tc>
          <w:tcPr>
            <w:tcW w:w="8761" w:type="dxa"/>
            <w:gridSpan w:val="3"/>
            <w:vAlign w:val="center"/>
          </w:tcPr>
          <w:p w:rsidR="00647265" w:rsidRPr="00150ABE" w:rsidRDefault="00647265" w:rsidP="00391975">
            <w:pPr>
              <w:keepNext/>
              <w:widowControl/>
              <w:jc w:val="left"/>
              <w:rPr>
                <w:rFonts w:ascii="Arial Narrow" w:hAnsi="Arial Narrow"/>
                <w:b/>
                <w:sz w:val="20"/>
                <w:szCs w:val="20"/>
              </w:rPr>
            </w:pPr>
            <w:r w:rsidRPr="00150ABE">
              <w:rPr>
                <w:rFonts w:ascii="Arial Narrow" w:hAnsi="Arial Narrow"/>
                <w:b/>
                <w:sz w:val="20"/>
                <w:szCs w:val="20"/>
              </w:rPr>
              <w:t>Progression-free survival</w:t>
            </w:r>
          </w:p>
        </w:tc>
      </w:tr>
      <w:tr w:rsidR="00647265" w:rsidRPr="00150ABE" w:rsidTr="00391975">
        <w:tc>
          <w:tcPr>
            <w:tcW w:w="3962" w:type="dxa"/>
            <w:vAlign w:val="center"/>
          </w:tcPr>
          <w:p w:rsidR="00647265" w:rsidRPr="00150ABE" w:rsidRDefault="00647265" w:rsidP="00391975">
            <w:pPr>
              <w:keepNext/>
              <w:widowControl/>
              <w:rPr>
                <w:rFonts w:ascii="Arial Narrow" w:hAnsi="Arial Narrow"/>
                <w:sz w:val="20"/>
                <w:szCs w:val="20"/>
              </w:rPr>
            </w:pPr>
            <w:r w:rsidRPr="00150ABE">
              <w:rPr>
                <w:rFonts w:ascii="Arial Narrow" w:hAnsi="Arial Narrow"/>
                <w:sz w:val="20"/>
                <w:szCs w:val="20"/>
              </w:rPr>
              <w:t>Disease progression or death (%)</w:t>
            </w:r>
          </w:p>
        </w:tc>
        <w:tc>
          <w:tcPr>
            <w:tcW w:w="2399" w:type="dxa"/>
            <w:vAlign w:val="center"/>
          </w:tcPr>
          <w:p w:rsidR="00647265" w:rsidRPr="00150ABE" w:rsidRDefault="00647265" w:rsidP="00391975">
            <w:pPr>
              <w:keepNext/>
              <w:widowControl/>
              <w:jc w:val="center"/>
              <w:rPr>
                <w:rFonts w:ascii="Arial Narrow" w:hAnsi="Arial Narrow"/>
                <w:sz w:val="20"/>
                <w:szCs w:val="20"/>
              </w:rPr>
            </w:pPr>
            <w:r w:rsidRPr="00150ABE">
              <w:rPr>
                <w:rFonts w:ascii="Arial Narrow" w:hAnsi="Arial Narrow"/>
                <w:sz w:val="20"/>
                <w:szCs w:val="20"/>
              </w:rPr>
              <w:t>219 (25.5)</w:t>
            </w:r>
          </w:p>
        </w:tc>
        <w:tc>
          <w:tcPr>
            <w:tcW w:w="2400" w:type="dxa"/>
            <w:vAlign w:val="center"/>
          </w:tcPr>
          <w:p w:rsidR="00647265" w:rsidRPr="00150ABE" w:rsidRDefault="00647265" w:rsidP="00391975">
            <w:pPr>
              <w:keepNext/>
              <w:widowControl/>
              <w:jc w:val="center"/>
              <w:rPr>
                <w:rFonts w:ascii="Arial Narrow" w:hAnsi="Arial Narrow"/>
                <w:sz w:val="20"/>
                <w:szCs w:val="20"/>
              </w:rPr>
            </w:pPr>
            <w:r w:rsidRPr="00150ABE">
              <w:rPr>
                <w:rFonts w:ascii="Arial Narrow" w:hAnsi="Arial Narrow"/>
                <w:sz w:val="20"/>
                <w:szCs w:val="20"/>
              </w:rPr>
              <w:t>260 (30.3)</w:t>
            </w:r>
          </w:p>
        </w:tc>
      </w:tr>
      <w:tr w:rsidR="00647265" w:rsidRPr="00150ABE" w:rsidTr="00391975">
        <w:tc>
          <w:tcPr>
            <w:tcW w:w="3962" w:type="dxa"/>
            <w:vAlign w:val="center"/>
          </w:tcPr>
          <w:p w:rsidR="00647265" w:rsidRPr="00150ABE" w:rsidRDefault="00647265" w:rsidP="00391975">
            <w:pPr>
              <w:keepNext/>
              <w:widowControl/>
              <w:rPr>
                <w:rFonts w:ascii="Arial Narrow" w:hAnsi="Arial Narrow"/>
                <w:sz w:val="20"/>
                <w:szCs w:val="20"/>
              </w:rPr>
            </w:pPr>
            <w:r w:rsidRPr="00150ABE">
              <w:rPr>
                <w:rFonts w:ascii="Arial Narrow" w:hAnsi="Arial Narrow"/>
                <w:sz w:val="20"/>
                <w:szCs w:val="20"/>
              </w:rPr>
              <w:t>Median, months (95% CI)</w:t>
            </w:r>
          </w:p>
        </w:tc>
        <w:tc>
          <w:tcPr>
            <w:tcW w:w="2399" w:type="dxa"/>
            <w:vAlign w:val="center"/>
          </w:tcPr>
          <w:p w:rsidR="00647265" w:rsidRPr="00150ABE" w:rsidRDefault="00647265" w:rsidP="00391975">
            <w:pPr>
              <w:keepNext/>
              <w:widowControl/>
              <w:jc w:val="center"/>
              <w:rPr>
                <w:rFonts w:ascii="Arial Narrow" w:hAnsi="Arial Narrow"/>
                <w:sz w:val="20"/>
                <w:szCs w:val="20"/>
              </w:rPr>
            </w:pPr>
            <w:r w:rsidRPr="00150ABE">
              <w:rPr>
                <w:rFonts w:ascii="Arial Narrow" w:hAnsi="Arial Narrow"/>
                <w:sz w:val="20"/>
                <w:szCs w:val="20"/>
              </w:rPr>
              <w:t>46.1 (34.3, NE)</w:t>
            </w:r>
          </w:p>
        </w:tc>
        <w:tc>
          <w:tcPr>
            <w:tcW w:w="2400" w:type="dxa"/>
            <w:vAlign w:val="center"/>
          </w:tcPr>
          <w:p w:rsidR="00647265" w:rsidRPr="00150ABE" w:rsidRDefault="00647265" w:rsidP="00391975">
            <w:pPr>
              <w:keepNext/>
              <w:widowControl/>
              <w:jc w:val="center"/>
              <w:rPr>
                <w:rFonts w:ascii="Arial Narrow" w:hAnsi="Arial Narrow"/>
                <w:sz w:val="20"/>
                <w:szCs w:val="20"/>
              </w:rPr>
            </w:pPr>
            <w:r w:rsidRPr="00150ABE">
              <w:rPr>
                <w:rFonts w:ascii="Arial Narrow" w:hAnsi="Arial Narrow"/>
                <w:sz w:val="20"/>
                <w:szCs w:val="20"/>
              </w:rPr>
              <w:t>35.4 (30.2, NE)</w:t>
            </w:r>
          </w:p>
        </w:tc>
      </w:tr>
      <w:tr w:rsidR="00647265" w:rsidRPr="00150ABE" w:rsidTr="00391975">
        <w:tc>
          <w:tcPr>
            <w:tcW w:w="3962" w:type="dxa"/>
            <w:vAlign w:val="center"/>
          </w:tcPr>
          <w:p w:rsidR="00647265" w:rsidRPr="00150ABE" w:rsidRDefault="00647265" w:rsidP="00391975">
            <w:pPr>
              <w:keepNext/>
              <w:widowControl/>
              <w:rPr>
                <w:rFonts w:ascii="Arial Narrow" w:hAnsi="Arial Narrow"/>
                <w:sz w:val="20"/>
                <w:szCs w:val="20"/>
              </w:rPr>
            </w:pPr>
            <w:r w:rsidRPr="00150ABE">
              <w:rPr>
                <w:rFonts w:ascii="Arial Narrow" w:hAnsi="Arial Narrow"/>
                <w:sz w:val="20"/>
                <w:szCs w:val="20"/>
              </w:rPr>
              <w:t>Hazard Ratio ( 95% CI)</w:t>
            </w:r>
            <w:r w:rsidRPr="00150ABE">
              <w:rPr>
                <w:rFonts w:ascii="Arial Narrow" w:hAnsi="Arial Narrow"/>
                <w:sz w:val="20"/>
                <w:szCs w:val="20"/>
                <w:vertAlign w:val="superscript"/>
              </w:rPr>
              <w:t>a</w:t>
            </w:r>
          </w:p>
        </w:tc>
        <w:tc>
          <w:tcPr>
            <w:tcW w:w="4799" w:type="dxa"/>
            <w:gridSpan w:val="2"/>
            <w:vAlign w:val="center"/>
          </w:tcPr>
          <w:p w:rsidR="00647265" w:rsidRPr="00150ABE" w:rsidRDefault="00647265" w:rsidP="00391975">
            <w:pPr>
              <w:keepNext/>
              <w:widowControl/>
              <w:jc w:val="center"/>
              <w:rPr>
                <w:rFonts w:ascii="Arial Narrow" w:hAnsi="Arial Narrow"/>
                <w:sz w:val="20"/>
                <w:szCs w:val="20"/>
              </w:rPr>
            </w:pPr>
            <w:r w:rsidRPr="00150ABE">
              <w:rPr>
                <w:rFonts w:ascii="Arial Narrow" w:hAnsi="Arial Narrow"/>
                <w:sz w:val="20"/>
                <w:szCs w:val="20"/>
              </w:rPr>
              <w:t>0.82 (0.68, 0.99), p=0.036</w:t>
            </w:r>
          </w:p>
        </w:tc>
      </w:tr>
    </w:tbl>
    <w:p w:rsidR="00647265" w:rsidRPr="00150ABE" w:rsidRDefault="00647265" w:rsidP="00647265">
      <w:pPr>
        <w:pStyle w:val="TableFooter"/>
      </w:pPr>
      <w:r w:rsidRPr="00150ABE">
        <w:t>Source: Table 2.5-7, p33</w:t>
      </w:r>
    </w:p>
    <w:p w:rsidR="00647265" w:rsidRPr="00150ABE" w:rsidRDefault="00647265" w:rsidP="00647265">
      <w:pPr>
        <w:pStyle w:val="TableFooter"/>
      </w:pPr>
      <w:r w:rsidRPr="00150ABE">
        <w:t>Abbreviations: CI, confidence interval; NE, not estimable</w:t>
      </w:r>
    </w:p>
    <w:p w:rsidR="00647265" w:rsidRPr="00150ABE" w:rsidRDefault="00647265" w:rsidP="00647265">
      <w:pPr>
        <w:pStyle w:val="TableFooter"/>
        <w:rPr>
          <w:snapToGrid/>
          <w:lang w:eastAsia="en-AU"/>
        </w:rPr>
      </w:pPr>
      <w:r w:rsidRPr="00150ABE">
        <w:rPr>
          <w:vertAlign w:val="superscript"/>
        </w:rPr>
        <w:t xml:space="preserve">a </w:t>
      </w:r>
      <w:r w:rsidRPr="00150ABE">
        <w:rPr>
          <w:snapToGrid/>
          <w:lang w:eastAsia="en-AU"/>
        </w:rPr>
        <w:t>Based on Cox proportional hazards model with treatment groups, age, geographic region (North America, Europe, or other), race group, risk per cytogenetic based prognosis, baseline creatinine clearance (≤ 60 vs &gt; 60 mL/min), baseline ECOG (≤ 1 vs 2) as the independent variables and stratified by the randomisation stratification factors</w:t>
      </w:r>
    </w:p>
    <w:p w:rsidR="00647265" w:rsidRPr="00150ABE" w:rsidRDefault="00647265" w:rsidP="00647265">
      <w:pPr>
        <w:widowControl/>
      </w:pPr>
    </w:p>
    <w:p w:rsidR="00E56BF5" w:rsidRPr="00150ABE" w:rsidRDefault="00FF4C97" w:rsidP="004D1C86">
      <w:pPr>
        <w:pStyle w:val="ListParagraph"/>
        <w:widowControl/>
        <w:numPr>
          <w:ilvl w:val="1"/>
          <w:numId w:val="29"/>
        </w:numPr>
      </w:pPr>
      <w:r w:rsidRPr="00150ABE">
        <w:t>There was no statistically significant difference in overall s</w:t>
      </w:r>
      <w:r w:rsidR="00E56BF5" w:rsidRPr="00150ABE">
        <w:t>urvival between treatment arms. The overall survival data were not mature with only 14.6%</w:t>
      </w:r>
      <w:r w:rsidR="004D7D7D" w:rsidRPr="00150ABE">
        <w:t xml:space="preserve"> of subjects having died by the primary analysis cut-off (19 July 2016). </w:t>
      </w:r>
    </w:p>
    <w:p w:rsidR="00647265" w:rsidRPr="00133D2E" w:rsidRDefault="00FF4C97" w:rsidP="004D1C86">
      <w:pPr>
        <w:pStyle w:val="ListParagraph"/>
        <w:widowControl/>
        <w:numPr>
          <w:ilvl w:val="1"/>
          <w:numId w:val="29"/>
        </w:numPr>
      </w:pPr>
      <w:r w:rsidRPr="00133D2E">
        <w:t>An</w:t>
      </w:r>
      <w:r w:rsidR="00372219" w:rsidRPr="00133D2E">
        <w:t xml:space="preserve"> 18% reduction in the risk of progression or death </w:t>
      </w:r>
      <w:r w:rsidRPr="00133D2E">
        <w:t>was observed in those receiving denosumab compared with zoledronic acid</w:t>
      </w:r>
      <w:r w:rsidR="00372219" w:rsidRPr="00133D2E">
        <w:t xml:space="preserve"> (HR 0.82, 95% CI 0.68, 0.99)</w:t>
      </w:r>
      <w:r w:rsidRPr="00133D2E">
        <w:t>.</w:t>
      </w:r>
      <w:r w:rsidR="00372219" w:rsidRPr="00133D2E">
        <w:t xml:space="preserve"> The estimated increase in median progression free survival was 10.7 months, however this estimate </w:t>
      </w:r>
      <w:r w:rsidR="007A2902">
        <w:t>wa</w:t>
      </w:r>
      <w:r w:rsidR="007A2902" w:rsidRPr="00133D2E">
        <w:t xml:space="preserve">s </w:t>
      </w:r>
      <w:r w:rsidR="00372219" w:rsidRPr="00133D2E">
        <w:t xml:space="preserve">considered unreliable given the observed number of events. </w:t>
      </w:r>
      <w:r w:rsidRPr="00133D2E">
        <w:t xml:space="preserve"> </w:t>
      </w:r>
      <w:r w:rsidR="007A2902">
        <w:t>The evaluation considered that t</w:t>
      </w:r>
      <w:r w:rsidR="007A2902" w:rsidRPr="00133D2E">
        <w:t xml:space="preserve">hese </w:t>
      </w:r>
      <w:r w:rsidR="00E56BF5" w:rsidRPr="00133D2E">
        <w:t>r</w:t>
      </w:r>
      <w:r w:rsidRPr="00133D2E">
        <w:t xml:space="preserve">esults </w:t>
      </w:r>
      <w:r w:rsidR="007A2902" w:rsidRPr="00133D2E">
        <w:t>m</w:t>
      </w:r>
      <w:r w:rsidR="007A2902">
        <w:t>ight</w:t>
      </w:r>
      <w:r w:rsidR="007A2902" w:rsidRPr="00133D2E">
        <w:t xml:space="preserve"> </w:t>
      </w:r>
      <w:r w:rsidRPr="00133D2E">
        <w:t>not be robust as the outcome was an exploratory endpoint; there was a high risk of bias as the outcome was not centrally assessed; and the observed effect was of marginal statistical significance (upper limit of confidence interval close to 1) that was not adjusted for multiplicity.</w:t>
      </w:r>
      <w:r w:rsidR="00372219" w:rsidRPr="00133D2E">
        <w:t xml:space="preserve"> The cut-off for the primary analysis was mid-2016 and </w:t>
      </w:r>
      <w:r w:rsidR="00007A68">
        <w:t xml:space="preserve">the </w:t>
      </w:r>
      <w:r w:rsidR="00372219" w:rsidRPr="00133D2E">
        <w:t>pre</w:t>
      </w:r>
      <w:r w:rsidR="00007A68">
        <w:t>-</w:t>
      </w:r>
      <w:r w:rsidR="00332C7F">
        <w:t xml:space="preserve">PBAC response </w:t>
      </w:r>
      <w:r w:rsidR="00007A68">
        <w:t>indicated that no further analysis from the double-blind period would be forthcoming, with the final analysis of the open-label follow-up for survival and safety outcomes to become available at the end of 2019.</w:t>
      </w:r>
    </w:p>
    <w:p w:rsidR="0030516B" w:rsidRPr="00133D2E" w:rsidRDefault="002C701C" w:rsidP="004D1C86">
      <w:pPr>
        <w:pStyle w:val="ListParagraph"/>
        <w:widowControl/>
        <w:numPr>
          <w:ilvl w:val="1"/>
          <w:numId w:val="29"/>
        </w:numPr>
      </w:pPr>
      <w:r>
        <w:t>The evaluation was concerned</w:t>
      </w:r>
      <w:r w:rsidR="00F91A12" w:rsidRPr="00150ABE">
        <w:t xml:space="preserve"> with the applicability of survival outcomes from the trial to the target Australian population, with the trial publication noting particularly long progression-free survival that could be </w:t>
      </w:r>
      <w:r w:rsidR="007A2902">
        <w:t>attributed</w:t>
      </w:r>
      <w:r w:rsidR="007A2902" w:rsidRPr="00150ABE">
        <w:t xml:space="preserve"> </w:t>
      </w:r>
      <w:r w:rsidR="00F91A12" w:rsidRPr="00150ABE">
        <w:t xml:space="preserve">to the high proportion of patients </w:t>
      </w:r>
      <w:r w:rsidR="007A2902">
        <w:t>with</w:t>
      </w:r>
      <w:r w:rsidR="00F91A12" w:rsidRPr="00150ABE">
        <w:t xml:space="preserve"> early</w:t>
      </w:r>
      <w:r w:rsidR="007A2902">
        <w:t>-</w:t>
      </w:r>
      <w:r w:rsidR="007A2902" w:rsidRPr="00150ABE">
        <w:t xml:space="preserve">stage </w:t>
      </w:r>
      <w:r w:rsidR="00F91A12" w:rsidRPr="00150ABE">
        <w:t>disease</w:t>
      </w:r>
      <w:r w:rsidR="007A2902">
        <w:t>,</w:t>
      </w:r>
      <w:r w:rsidR="00F91A12" w:rsidRPr="00150ABE">
        <w:t xml:space="preserve"> and the use of combination regimens in first-line treatment which </w:t>
      </w:r>
      <w:r w:rsidR="007A2902">
        <w:t>are</w:t>
      </w:r>
      <w:r w:rsidR="007A2902" w:rsidRPr="00150ABE">
        <w:t xml:space="preserve"> </w:t>
      </w:r>
      <w:r w:rsidR="00F91A12" w:rsidRPr="00150ABE">
        <w:t>not currently subsidised by the PBS (</w:t>
      </w:r>
      <w:proofErr w:type="spellStart"/>
      <w:r w:rsidR="00F91A12" w:rsidRPr="00150ABE">
        <w:t>Raje</w:t>
      </w:r>
      <w:proofErr w:type="spellEnd"/>
      <w:r w:rsidR="00F91A12" w:rsidRPr="00150ABE">
        <w:t xml:space="preserve"> et al 2018).</w:t>
      </w:r>
      <w:r w:rsidR="00A1226C">
        <w:t xml:space="preserve"> </w:t>
      </w:r>
      <w:r w:rsidR="00A1226C" w:rsidRPr="00133D2E">
        <w:t xml:space="preserve">The ESC agreed </w:t>
      </w:r>
      <w:r>
        <w:t>with the evaluation on these</w:t>
      </w:r>
      <w:r w:rsidR="00A1226C" w:rsidRPr="00133D2E">
        <w:t xml:space="preserve"> applicability issue</w:t>
      </w:r>
      <w:r w:rsidR="0030516B" w:rsidRPr="00133D2E">
        <w:t>s</w:t>
      </w:r>
      <w:r w:rsidR="00A1226C" w:rsidRPr="00133D2E">
        <w:t xml:space="preserve">, noting </w:t>
      </w:r>
      <w:r w:rsidR="0030516B" w:rsidRPr="00133D2E">
        <w:t>for first-line therapies,</w:t>
      </w:r>
      <w:r w:rsidR="00A1226C" w:rsidRPr="00133D2E">
        <w:t xml:space="preserve"> “</w:t>
      </w:r>
      <w:r w:rsidR="00A1226C" w:rsidRPr="00133D2E">
        <w:rPr>
          <w:lang w:val="en-US"/>
        </w:rPr>
        <w:t xml:space="preserve">1712 (&gt;99%) received front-line </w:t>
      </w:r>
      <w:proofErr w:type="spellStart"/>
      <w:r w:rsidR="00A1226C" w:rsidRPr="00133D2E">
        <w:rPr>
          <w:lang w:val="en-US"/>
        </w:rPr>
        <w:t>antimyeloma</w:t>
      </w:r>
      <w:proofErr w:type="spellEnd"/>
      <w:r w:rsidR="00A1226C" w:rsidRPr="00133D2E">
        <w:rPr>
          <w:lang w:val="en-US"/>
        </w:rPr>
        <w:t xml:space="preserve"> therapy, with 893 (52%) receiving a proteasome inhibitor (441 in the denosumab group vs 452 in the zoledronic acid group), 287 (17%) receiving an immunomodulatory drug (133 vs 154), 463 (27%) receiving both (248 vs 215), and 69 (4%) receiving other therapies (33 vs 36). Maintenance therapy was given to 320 (19%) patients (158 vs 162)” </w:t>
      </w:r>
      <w:proofErr w:type="spellStart"/>
      <w:r w:rsidR="00A1226C" w:rsidRPr="00133D2E">
        <w:rPr>
          <w:lang w:val="en-US"/>
        </w:rPr>
        <w:t>Raje</w:t>
      </w:r>
      <w:proofErr w:type="spellEnd"/>
      <w:r w:rsidR="00A1226C" w:rsidRPr="00133D2E">
        <w:rPr>
          <w:lang w:val="en-US"/>
        </w:rPr>
        <w:t xml:space="preserve"> et al 2018</w:t>
      </w:r>
      <w:r w:rsidR="0030516B" w:rsidRPr="00133D2E">
        <w:rPr>
          <w:lang w:val="en-US"/>
        </w:rPr>
        <w:t>, p7</w:t>
      </w:r>
      <w:r w:rsidR="00A1226C" w:rsidRPr="00133D2E">
        <w:rPr>
          <w:lang w:val="en-US"/>
        </w:rPr>
        <w:t>.</w:t>
      </w:r>
      <w:r w:rsidR="0030516B" w:rsidRPr="00133D2E">
        <w:rPr>
          <w:lang w:val="en-US"/>
        </w:rPr>
        <w:t xml:space="preserve"> Further noted in the </w:t>
      </w:r>
      <w:proofErr w:type="spellStart"/>
      <w:r w:rsidR="0030516B" w:rsidRPr="00133D2E">
        <w:rPr>
          <w:lang w:val="en-US"/>
        </w:rPr>
        <w:t>Raje</w:t>
      </w:r>
      <w:proofErr w:type="spellEnd"/>
      <w:r w:rsidR="0030516B" w:rsidRPr="00133D2E">
        <w:rPr>
          <w:lang w:val="en-US"/>
        </w:rPr>
        <w:t xml:space="preserve"> et al 2018 publication, </w:t>
      </w:r>
      <w:r w:rsidR="0030516B" w:rsidRPr="00133D2E">
        <w:t>patients treated with denosumab had approximately one month longer median cumulative exposure to treatment versus</w:t>
      </w:r>
      <w:r w:rsidR="002D01C0" w:rsidRPr="00133D2E">
        <w:t xml:space="preserve"> zole</w:t>
      </w:r>
      <w:r w:rsidR="0030516B" w:rsidRPr="00133D2E">
        <w:t>dronic acid and this may have resulted in a reduced anti-</w:t>
      </w:r>
      <w:r w:rsidR="0030516B" w:rsidRPr="00133D2E">
        <w:lastRenderedPageBreak/>
        <w:t>myeloma effect. This was due to increased withhold</w:t>
      </w:r>
      <w:r w:rsidR="002D01C0" w:rsidRPr="00133D2E">
        <w:t>ing and dose delays in the zole</w:t>
      </w:r>
      <w:r w:rsidR="0030516B" w:rsidRPr="00133D2E">
        <w:t>dronic acid group.</w:t>
      </w:r>
    </w:p>
    <w:p w:rsidR="00FE70C3" w:rsidRPr="00150ABE" w:rsidRDefault="00FF4C97" w:rsidP="004D1C86">
      <w:pPr>
        <w:pStyle w:val="ListParagraph"/>
        <w:widowControl/>
        <w:numPr>
          <w:ilvl w:val="1"/>
          <w:numId w:val="29"/>
        </w:numPr>
        <w:rPr>
          <w:rStyle w:val="CommentReference"/>
          <w:rFonts w:ascii="Calibri" w:hAnsi="Calibri"/>
          <w:b w:val="0"/>
          <w:sz w:val="24"/>
          <w:szCs w:val="22"/>
        </w:rPr>
      </w:pPr>
      <w:r w:rsidRPr="00150ABE">
        <w:t>Exploratory quality of life and pain outcomes were also assessed in Study 482 (analgesic score, Brief Pain Inventory – Short Form questionnaire, EQ-5D-3L, EORTC QLQ-C30 and QLQ-MY20). In the trial, both arms showed improvements in analgesic and pain scores at Week 113 compared to baseline. Consistent with measures of pain, both treatment arms showed improvement in health related quality of life outcomes from baseline to Week 113 in the trial. There was no statistically significant difference between treatment arms in terms of pain or quality of life except for one specific domain that favoured denosumab (Future Perspective; includes worry about death/health in future and thinking about illness which is part of the EORTC QLQ-MY20 instrument specific to multiple myeloma).</w:t>
      </w:r>
    </w:p>
    <w:p w:rsidR="00B60939" w:rsidRPr="00150ABE" w:rsidRDefault="00B60939" w:rsidP="00D56BF2">
      <w:pPr>
        <w:pStyle w:val="Heading2"/>
        <w:spacing w:before="240" w:after="120"/>
      </w:pPr>
      <w:bookmarkStart w:id="8" w:name="_Toc514234388"/>
      <w:r w:rsidRPr="006D7E46">
        <w:t>Comparative harms</w:t>
      </w:r>
      <w:bookmarkEnd w:id="8"/>
    </w:p>
    <w:p w:rsidR="00245788" w:rsidRPr="00150ABE" w:rsidRDefault="00245788" w:rsidP="004D1C86">
      <w:pPr>
        <w:pStyle w:val="ListParagraph"/>
        <w:widowControl/>
        <w:numPr>
          <w:ilvl w:val="1"/>
          <w:numId w:val="29"/>
        </w:numPr>
      </w:pPr>
      <w:r w:rsidRPr="00150ABE">
        <w:t>The overall incidence of adverse events was similar between denosumab and zoledronic acid. The most frequently reported adverse events for both treatment arms were diarrhoea, nausea, constipation, anaemia, fatigue, back pain and pyrexia.</w:t>
      </w:r>
    </w:p>
    <w:p w:rsidR="005D26B4" w:rsidRPr="00150ABE" w:rsidRDefault="004D7D7D" w:rsidP="004D1C86">
      <w:pPr>
        <w:pStyle w:val="ListParagraph"/>
        <w:widowControl/>
        <w:numPr>
          <w:ilvl w:val="1"/>
          <w:numId w:val="29"/>
        </w:numPr>
      </w:pPr>
      <w:r w:rsidRPr="00150ABE">
        <w:t>For adverse events of interest, denosumab was more commonly associate</w:t>
      </w:r>
      <w:r w:rsidR="00EF406A" w:rsidRPr="00150ABE">
        <w:t xml:space="preserve">d with osteonecrosis of the jaw, infections and infestations, hypersensitivity events and </w:t>
      </w:r>
      <w:r w:rsidRPr="00150ABE">
        <w:t>hypocalcaemia whereas zoledronic acid was more commonly associated with acute phase reactions (flu-like syndrome including pyrexia, chills, flushing, pain, arthralgia and myalgia) and renal toxicity.</w:t>
      </w:r>
      <w:r w:rsidR="00110FE2" w:rsidRPr="00150ABE">
        <w:t xml:space="preserve"> These events are consistent with those seen in other indications for these therapies.</w:t>
      </w:r>
    </w:p>
    <w:p w:rsidR="004151CF" w:rsidRPr="00150ABE" w:rsidRDefault="007F1017" w:rsidP="00D56BF2">
      <w:pPr>
        <w:pStyle w:val="Heading2"/>
        <w:spacing w:before="240" w:after="120"/>
      </w:pPr>
      <w:bookmarkStart w:id="9" w:name="_Toc514234389"/>
      <w:r w:rsidRPr="006D7E46">
        <w:t>Benefits/harms</w:t>
      </w:r>
      <w:bookmarkEnd w:id="9"/>
    </w:p>
    <w:p w:rsidR="00B66AA1" w:rsidRPr="00150ABE" w:rsidRDefault="00B66AA1" w:rsidP="004D1C86">
      <w:pPr>
        <w:pStyle w:val="ListParagraph"/>
        <w:widowControl/>
        <w:numPr>
          <w:ilvl w:val="1"/>
          <w:numId w:val="29"/>
        </w:numPr>
      </w:pPr>
      <w:r w:rsidRPr="00150ABE">
        <w:t>A summary of the comparative benefits and harms for denosumab versus zoledronic acid is presented in the table below.</w:t>
      </w:r>
    </w:p>
    <w:p w:rsidR="00444065" w:rsidRDefault="00444065">
      <w:pPr>
        <w:widowControl/>
        <w:jc w:val="left"/>
        <w:rPr>
          <w:rStyle w:val="CommentReference"/>
          <w:rFonts w:eastAsiaTheme="minorHAnsi" w:cstheme="minorBidi"/>
          <w:snapToGrid/>
        </w:rPr>
      </w:pPr>
      <w:r>
        <w:rPr>
          <w:rStyle w:val="CommentReference"/>
          <w:b w:val="0"/>
        </w:rPr>
        <w:br w:type="page"/>
      </w:r>
    </w:p>
    <w:p w:rsidR="00B66AA1" w:rsidRPr="00150ABE" w:rsidRDefault="003D1DE1" w:rsidP="00B66AA1">
      <w:pPr>
        <w:pStyle w:val="TableHeading0"/>
        <w:spacing w:after="0"/>
        <w:rPr>
          <w:b w:val="0"/>
        </w:rPr>
      </w:pPr>
      <w:r w:rsidRPr="00150ABE">
        <w:rPr>
          <w:rStyle w:val="CommentReference"/>
          <w:b/>
        </w:rPr>
        <w:lastRenderedPageBreak/>
        <w:t>Table 6</w:t>
      </w:r>
      <w:r w:rsidR="00B66AA1" w:rsidRPr="00150ABE">
        <w:rPr>
          <w:rStyle w:val="CommentReference"/>
          <w:b/>
        </w:rPr>
        <w:t>: Summary of comparative benefits and harms for denosumab and zoledronic acid</w:t>
      </w:r>
    </w:p>
    <w:tbl>
      <w:tblPr>
        <w:tblStyle w:val="TableGrid"/>
        <w:tblW w:w="4979" w:type="pct"/>
        <w:tblInd w:w="56" w:type="dxa"/>
        <w:tblLayout w:type="fixed"/>
        <w:tblCellMar>
          <w:left w:w="28" w:type="dxa"/>
          <w:right w:w="28" w:type="dxa"/>
        </w:tblCellMar>
        <w:tblLook w:val="04A0" w:firstRow="1" w:lastRow="0" w:firstColumn="1" w:lastColumn="0" w:noHBand="0" w:noVBand="1"/>
        <w:tblCaption w:val="Table 6: Summary of comparative benefits and harms for denosumab and zoledronic acid"/>
      </w:tblPr>
      <w:tblGrid>
        <w:gridCol w:w="2513"/>
        <w:gridCol w:w="1713"/>
        <w:gridCol w:w="1559"/>
        <w:gridCol w:w="1702"/>
        <w:gridCol w:w="1558"/>
      </w:tblGrid>
      <w:tr w:rsidR="00B66AA1" w:rsidRPr="00150ABE" w:rsidTr="00D56BF2">
        <w:trPr>
          <w:tblHeader/>
        </w:trPr>
        <w:tc>
          <w:tcPr>
            <w:tcW w:w="1389" w:type="pct"/>
            <w:shd w:val="clear" w:color="auto" w:fill="auto"/>
            <w:vAlign w:val="center"/>
          </w:tcPr>
          <w:p w:rsidR="00B66AA1" w:rsidRPr="00150ABE" w:rsidRDefault="00B66AA1" w:rsidP="00391975">
            <w:pPr>
              <w:widowControl/>
              <w:jc w:val="left"/>
              <w:rPr>
                <w:rFonts w:ascii="Arial Narrow" w:hAnsi="Arial Narrow"/>
                <w:b/>
                <w:color w:val="000000"/>
                <w:sz w:val="20"/>
              </w:rPr>
            </w:pPr>
            <w:r w:rsidRPr="00150ABE">
              <w:rPr>
                <w:rFonts w:ascii="Arial Narrow" w:hAnsi="Arial Narrow"/>
                <w:b/>
                <w:color w:val="000000"/>
                <w:sz w:val="20"/>
              </w:rPr>
              <w:t>Benefits</w:t>
            </w:r>
          </w:p>
        </w:tc>
        <w:tc>
          <w:tcPr>
            <w:tcW w:w="947" w:type="pct"/>
            <w:vAlign w:val="center"/>
          </w:tcPr>
          <w:p w:rsidR="00B66AA1" w:rsidRPr="00150ABE" w:rsidRDefault="00B66AA1" w:rsidP="00391975">
            <w:pPr>
              <w:widowControl/>
              <w:jc w:val="center"/>
              <w:rPr>
                <w:rFonts w:ascii="Arial Narrow" w:hAnsi="Arial Narrow"/>
                <w:b/>
                <w:color w:val="000000"/>
                <w:sz w:val="20"/>
              </w:rPr>
            </w:pPr>
            <w:r w:rsidRPr="00150ABE">
              <w:rPr>
                <w:rFonts w:ascii="Arial Narrow" w:hAnsi="Arial Narrow"/>
                <w:b/>
                <w:color w:val="000000"/>
                <w:sz w:val="20"/>
              </w:rPr>
              <w:t>Denosumab</w:t>
            </w:r>
          </w:p>
        </w:tc>
        <w:tc>
          <w:tcPr>
            <w:tcW w:w="862" w:type="pct"/>
            <w:vAlign w:val="center"/>
          </w:tcPr>
          <w:p w:rsidR="00B66AA1" w:rsidRPr="00150ABE" w:rsidRDefault="00B66AA1" w:rsidP="00391975">
            <w:pPr>
              <w:widowControl/>
              <w:jc w:val="center"/>
              <w:rPr>
                <w:rFonts w:ascii="Arial Narrow" w:hAnsi="Arial Narrow"/>
                <w:b/>
                <w:color w:val="000000"/>
                <w:sz w:val="20"/>
              </w:rPr>
            </w:pPr>
            <w:r w:rsidRPr="00150ABE">
              <w:rPr>
                <w:rFonts w:ascii="Arial Narrow" w:hAnsi="Arial Narrow"/>
                <w:b/>
                <w:color w:val="000000"/>
                <w:sz w:val="20"/>
              </w:rPr>
              <w:t>Zoledronic acid</w:t>
            </w:r>
          </w:p>
        </w:tc>
        <w:tc>
          <w:tcPr>
            <w:tcW w:w="941" w:type="pct"/>
            <w:vAlign w:val="center"/>
          </w:tcPr>
          <w:p w:rsidR="00B66AA1" w:rsidRPr="00150ABE" w:rsidRDefault="00B66AA1" w:rsidP="00391975">
            <w:pPr>
              <w:widowControl/>
              <w:jc w:val="center"/>
              <w:rPr>
                <w:rFonts w:ascii="Arial Narrow" w:hAnsi="Arial Narrow"/>
                <w:b/>
                <w:color w:val="000000"/>
                <w:sz w:val="20"/>
              </w:rPr>
            </w:pPr>
            <w:r w:rsidRPr="00150ABE">
              <w:rPr>
                <w:rFonts w:ascii="Arial Narrow" w:hAnsi="Arial Narrow"/>
                <w:b/>
                <w:color w:val="000000"/>
                <w:sz w:val="20"/>
              </w:rPr>
              <w:t>Absolute Difference</w:t>
            </w:r>
          </w:p>
        </w:tc>
        <w:tc>
          <w:tcPr>
            <w:tcW w:w="861" w:type="pct"/>
            <w:vAlign w:val="center"/>
          </w:tcPr>
          <w:p w:rsidR="00B66AA1" w:rsidRPr="00150ABE" w:rsidRDefault="00B66AA1" w:rsidP="00391975">
            <w:pPr>
              <w:widowControl/>
              <w:jc w:val="center"/>
              <w:rPr>
                <w:rFonts w:ascii="Arial Narrow" w:hAnsi="Arial Narrow"/>
                <w:b/>
                <w:color w:val="000000"/>
                <w:sz w:val="20"/>
              </w:rPr>
            </w:pPr>
            <w:r w:rsidRPr="00150ABE">
              <w:rPr>
                <w:rFonts w:ascii="Arial Narrow" w:hAnsi="Arial Narrow"/>
                <w:b/>
                <w:color w:val="000000"/>
                <w:sz w:val="20"/>
              </w:rPr>
              <w:t>HR (95% CI)</w:t>
            </w:r>
          </w:p>
        </w:tc>
      </w:tr>
      <w:tr w:rsidR="00B66AA1" w:rsidRPr="00150ABE" w:rsidTr="00391975">
        <w:tc>
          <w:tcPr>
            <w:tcW w:w="5000" w:type="pct"/>
            <w:gridSpan w:val="5"/>
            <w:shd w:val="clear" w:color="auto" w:fill="auto"/>
            <w:vAlign w:val="center"/>
          </w:tcPr>
          <w:p w:rsidR="00B66AA1" w:rsidRPr="00150ABE" w:rsidRDefault="00B66AA1" w:rsidP="00391975">
            <w:pPr>
              <w:widowControl/>
              <w:jc w:val="left"/>
              <w:rPr>
                <w:rFonts w:ascii="Arial Narrow" w:hAnsi="Arial Narrow"/>
                <w:b/>
                <w:sz w:val="20"/>
              </w:rPr>
            </w:pPr>
            <w:r w:rsidRPr="00150ABE">
              <w:rPr>
                <w:rFonts w:ascii="Arial Narrow" w:hAnsi="Arial Narrow"/>
                <w:b/>
                <w:color w:val="000000"/>
                <w:sz w:val="20"/>
              </w:rPr>
              <w:t>Skeletal related events</w:t>
            </w:r>
          </w:p>
        </w:tc>
      </w:tr>
      <w:tr w:rsidR="00B66AA1" w:rsidRPr="00150ABE" w:rsidTr="00391975">
        <w:tc>
          <w:tcPr>
            <w:tcW w:w="1389" w:type="pct"/>
            <w:shd w:val="clear" w:color="auto" w:fill="auto"/>
            <w:vAlign w:val="center"/>
          </w:tcPr>
          <w:p w:rsidR="00B66AA1" w:rsidRPr="00150ABE" w:rsidRDefault="00B66AA1" w:rsidP="00391975">
            <w:pPr>
              <w:widowControl/>
              <w:rPr>
                <w:rFonts w:ascii="Arial Narrow" w:hAnsi="Arial Narrow"/>
                <w:color w:val="000000"/>
                <w:sz w:val="20"/>
              </w:rPr>
            </w:pPr>
            <w:r w:rsidRPr="00150ABE">
              <w:rPr>
                <w:rFonts w:ascii="Arial Narrow" w:hAnsi="Arial Narrow"/>
                <w:color w:val="000000"/>
                <w:sz w:val="20"/>
              </w:rPr>
              <w:t>Patients with events</w:t>
            </w:r>
          </w:p>
        </w:tc>
        <w:tc>
          <w:tcPr>
            <w:tcW w:w="947" w:type="pct"/>
            <w:vAlign w:val="center"/>
          </w:tcPr>
          <w:p w:rsidR="00B66AA1" w:rsidRPr="00150ABE" w:rsidRDefault="00B66AA1" w:rsidP="00391975">
            <w:pPr>
              <w:widowControl/>
              <w:jc w:val="center"/>
              <w:rPr>
                <w:rFonts w:ascii="Arial Narrow" w:hAnsi="Arial Narrow"/>
                <w:sz w:val="20"/>
              </w:rPr>
            </w:pPr>
            <w:r w:rsidRPr="00150ABE">
              <w:rPr>
                <w:rFonts w:ascii="Arial Narrow" w:hAnsi="Arial Narrow"/>
                <w:sz w:val="20"/>
              </w:rPr>
              <w:t>376 (43.8)</w:t>
            </w:r>
          </w:p>
        </w:tc>
        <w:tc>
          <w:tcPr>
            <w:tcW w:w="862" w:type="pct"/>
            <w:vAlign w:val="center"/>
          </w:tcPr>
          <w:p w:rsidR="00B66AA1" w:rsidRPr="00150ABE" w:rsidRDefault="00B66AA1" w:rsidP="00391975">
            <w:pPr>
              <w:widowControl/>
              <w:jc w:val="center"/>
              <w:rPr>
                <w:rFonts w:ascii="Arial Narrow" w:hAnsi="Arial Narrow"/>
                <w:sz w:val="20"/>
              </w:rPr>
            </w:pPr>
            <w:r w:rsidRPr="00150ABE">
              <w:rPr>
                <w:rFonts w:ascii="Arial Narrow" w:hAnsi="Arial Narrow"/>
                <w:sz w:val="20"/>
              </w:rPr>
              <w:t>383 (44.6)</w:t>
            </w:r>
          </w:p>
        </w:tc>
        <w:tc>
          <w:tcPr>
            <w:tcW w:w="941" w:type="pct"/>
            <w:vMerge w:val="restart"/>
            <w:vAlign w:val="center"/>
          </w:tcPr>
          <w:p w:rsidR="00B66AA1" w:rsidRPr="00150ABE" w:rsidRDefault="00B66AA1" w:rsidP="00391975">
            <w:pPr>
              <w:jc w:val="center"/>
              <w:rPr>
                <w:rFonts w:ascii="Arial Narrow" w:hAnsi="Arial Narrow"/>
                <w:color w:val="000000"/>
                <w:sz w:val="20"/>
              </w:rPr>
            </w:pPr>
            <w:r w:rsidRPr="00150ABE">
              <w:rPr>
                <w:rFonts w:ascii="Arial Narrow" w:hAnsi="Arial Narrow"/>
                <w:color w:val="000000"/>
                <w:sz w:val="20"/>
              </w:rPr>
              <w:t>No difference</w:t>
            </w:r>
          </w:p>
        </w:tc>
        <w:tc>
          <w:tcPr>
            <w:tcW w:w="861" w:type="pct"/>
            <w:vMerge w:val="restart"/>
            <w:vAlign w:val="center"/>
          </w:tcPr>
          <w:p w:rsidR="00B66AA1" w:rsidRPr="00150ABE" w:rsidRDefault="00B66AA1" w:rsidP="00391975">
            <w:pPr>
              <w:widowControl/>
              <w:jc w:val="center"/>
              <w:rPr>
                <w:rFonts w:ascii="Arial Narrow" w:hAnsi="Arial Narrow"/>
                <w:color w:val="000000"/>
                <w:sz w:val="20"/>
              </w:rPr>
            </w:pPr>
            <w:r w:rsidRPr="00150ABE">
              <w:rPr>
                <w:rFonts w:ascii="Arial Narrow" w:hAnsi="Arial Narrow"/>
                <w:color w:val="000000"/>
                <w:sz w:val="20"/>
              </w:rPr>
              <w:t>0.98 (0.85, 1.14)</w:t>
            </w:r>
          </w:p>
        </w:tc>
      </w:tr>
      <w:tr w:rsidR="00B66AA1" w:rsidRPr="00150ABE" w:rsidTr="00391975">
        <w:tc>
          <w:tcPr>
            <w:tcW w:w="1389" w:type="pct"/>
            <w:shd w:val="clear" w:color="auto" w:fill="auto"/>
            <w:vAlign w:val="center"/>
          </w:tcPr>
          <w:p w:rsidR="00B66AA1" w:rsidRPr="00150ABE" w:rsidRDefault="00B66AA1" w:rsidP="00391975">
            <w:pPr>
              <w:widowControl/>
              <w:rPr>
                <w:rFonts w:ascii="Arial Narrow" w:hAnsi="Arial Narrow"/>
                <w:color w:val="000000"/>
                <w:sz w:val="20"/>
              </w:rPr>
            </w:pPr>
            <w:r w:rsidRPr="00150ABE">
              <w:rPr>
                <w:rFonts w:ascii="Arial Narrow" w:hAnsi="Arial Narrow"/>
                <w:color w:val="000000"/>
                <w:sz w:val="20"/>
              </w:rPr>
              <w:t>Median time to event (months)</w:t>
            </w:r>
          </w:p>
        </w:tc>
        <w:tc>
          <w:tcPr>
            <w:tcW w:w="947" w:type="pct"/>
            <w:vAlign w:val="center"/>
          </w:tcPr>
          <w:p w:rsidR="00B66AA1" w:rsidRPr="00150ABE" w:rsidRDefault="00B66AA1" w:rsidP="00391975">
            <w:pPr>
              <w:widowControl/>
              <w:jc w:val="center"/>
              <w:rPr>
                <w:rFonts w:ascii="Arial Narrow" w:hAnsi="Arial Narrow"/>
                <w:sz w:val="20"/>
              </w:rPr>
            </w:pPr>
            <w:r w:rsidRPr="00150ABE">
              <w:rPr>
                <w:rFonts w:ascii="Arial Narrow" w:hAnsi="Arial Narrow"/>
                <w:sz w:val="20"/>
              </w:rPr>
              <w:t>22.8 (14.7, NE)</w:t>
            </w:r>
          </w:p>
        </w:tc>
        <w:tc>
          <w:tcPr>
            <w:tcW w:w="862" w:type="pct"/>
            <w:vAlign w:val="center"/>
          </w:tcPr>
          <w:p w:rsidR="00B66AA1" w:rsidRPr="00150ABE" w:rsidRDefault="00B66AA1" w:rsidP="00391975">
            <w:pPr>
              <w:widowControl/>
              <w:jc w:val="center"/>
              <w:rPr>
                <w:rFonts w:ascii="Arial Narrow" w:hAnsi="Arial Narrow"/>
                <w:sz w:val="20"/>
              </w:rPr>
            </w:pPr>
            <w:r w:rsidRPr="00150ABE">
              <w:rPr>
                <w:rFonts w:ascii="Arial Narrow" w:hAnsi="Arial Narrow"/>
                <w:sz w:val="20"/>
              </w:rPr>
              <w:t>24.0 (16.6, 33.3)</w:t>
            </w:r>
          </w:p>
        </w:tc>
        <w:tc>
          <w:tcPr>
            <w:tcW w:w="941" w:type="pct"/>
            <w:vMerge/>
            <w:vAlign w:val="center"/>
          </w:tcPr>
          <w:p w:rsidR="00B66AA1" w:rsidRPr="00150ABE" w:rsidRDefault="00B66AA1" w:rsidP="00391975">
            <w:pPr>
              <w:jc w:val="center"/>
              <w:rPr>
                <w:rFonts w:ascii="Arial Narrow" w:hAnsi="Arial Narrow"/>
                <w:color w:val="000000"/>
                <w:sz w:val="20"/>
              </w:rPr>
            </w:pPr>
          </w:p>
        </w:tc>
        <w:tc>
          <w:tcPr>
            <w:tcW w:w="861" w:type="pct"/>
            <w:vMerge/>
            <w:vAlign w:val="center"/>
          </w:tcPr>
          <w:p w:rsidR="00B66AA1" w:rsidRPr="00150ABE" w:rsidRDefault="00B66AA1" w:rsidP="00391975">
            <w:pPr>
              <w:widowControl/>
              <w:jc w:val="center"/>
              <w:rPr>
                <w:rFonts w:ascii="Arial Narrow" w:hAnsi="Arial Narrow"/>
                <w:color w:val="000000"/>
                <w:sz w:val="20"/>
              </w:rPr>
            </w:pPr>
          </w:p>
        </w:tc>
      </w:tr>
      <w:tr w:rsidR="00B66AA1" w:rsidRPr="00150ABE" w:rsidTr="00391975">
        <w:tc>
          <w:tcPr>
            <w:tcW w:w="5000" w:type="pct"/>
            <w:gridSpan w:val="5"/>
            <w:shd w:val="clear" w:color="auto" w:fill="auto"/>
            <w:vAlign w:val="center"/>
          </w:tcPr>
          <w:p w:rsidR="00B66AA1" w:rsidRPr="00150ABE" w:rsidRDefault="00B66AA1" w:rsidP="00391975">
            <w:pPr>
              <w:widowControl/>
              <w:jc w:val="left"/>
              <w:rPr>
                <w:rFonts w:ascii="Arial Narrow" w:hAnsi="Arial Narrow"/>
                <w:color w:val="000000"/>
                <w:sz w:val="20"/>
              </w:rPr>
            </w:pPr>
          </w:p>
        </w:tc>
      </w:tr>
      <w:tr w:rsidR="00B66AA1" w:rsidRPr="00150ABE" w:rsidTr="00391975">
        <w:tc>
          <w:tcPr>
            <w:tcW w:w="1389" w:type="pct"/>
            <w:vMerge w:val="restart"/>
            <w:shd w:val="clear" w:color="auto" w:fill="auto"/>
            <w:vAlign w:val="center"/>
          </w:tcPr>
          <w:p w:rsidR="00B66AA1" w:rsidRPr="00150ABE" w:rsidRDefault="00B66AA1" w:rsidP="00391975">
            <w:pPr>
              <w:widowControl/>
              <w:rPr>
                <w:rFonts w:ascii="Arial Narrow" w:hAnsi="Arial Narrow"/>
                <w:b/>
                <w:color w:val="000000"/>
                <w:sz w:val="20"/>
              </w:rPr>
            </w:pPr>
            <w:r w:rsidRPr="00150ABE">
              <w:rPr>
                <w:rFonts w:ascii="Arial Narrow" w:hAnsi="Arial Narrow"/>
                <w:b/>
                <w:color w:val="000000"/>
                <w:sz w:val="20"/>
              </w:rPr>
              <w:t>Harms</w:t>
            </w:r>
          </w:p>
        </w:tc>
        <w:tc>
          <w:tcPr>
            <w:tcW w:w="947" w:type="pct"/>
            <w:vMerge w:val="restart"/>
            <w:vAlign w:val="center"/>
          </w:tcPr>
          <w:p w:rsidR="00B66AA1" w:rsidRPr="00150ABE" w:rsidRDefault="00B66AA1" w:rsidP="00391975">
            <w:pPr>
              <w:widowControl/>
              <w:jc w:val="center"/>
              <w:rPr>
                <w:rFonts w:ascii="Arial Narrow" w:hAnsi="Arial Narrow"/>
                <w:b/>
                <w:sz w:val="20"/>
              </w:rPr>
            </w:pPr>
            <w:r w:rsidRPr="00150ABE">
              <w:rPr>
                <w:rFonts w:ascii="Arial Narrow" w:hAnsi="Arial Narrow"/>
                <w:b/>
                <w:sz w:val="20"/>
              </w:rPr>
              <w:t>Denosumab</w:t>
            </w:r>
          </w:p>
        </w:tc>
        <w:tc>
          <w:tcPr>
            <w:tcW w:w="862" w:type="pct"/>
            <w:vMerge w:val="restart"/>
            <w:vAlign w:val="center"/>
          </w:tcPr>
          <w:p w:rsidR="00B66AA1" w:rsidRPr="00150ABE" w:rsidRDefault="00B66AA1" w:rsidP="00391975">
            <w:pPr>
              <w:widowControl/>
              <w:jc w:val="center"/>
              <w:rPr>
                <w:rFonts w:ascii="Arial Narrow" w:hAnsi="Arial Narrow"/>
                <w:b/>
                <w:sz w:val="20"/>
              </w:rPr>
            </w:pPr>
            <w:r w:rsidRPr="00150ABE">
              <w:rPr>
                <w:rFonts w:ascii="Arial Narrow" w:hAnsi="Arial Narrow"/>
                <w:b/>
                <w:sz w:val="20"/>
              </w:rPr>
              <w:t>Zoledronic acid</w:t>
            </w:r>
          </w:p>
        </w:tc>
        <w:tc>
          <w:tcPr>
            <w:tcW w:w="1802" w:type="pct"/>
            <w:gridSpan w:val="2"/>
            <w:vAlign w:val="center"/>
          </w:tcPr>
          <w:p w:rsidR="00B66AA1" w:rsidRPr="00150ABE" w:rsidRDefault="00B66AA1" w:rsidP="00391975">
            <w:pPr>
              <w:widowControl/>
              <w:jc w:val="center"/>
              <w:rPr>
                <w:rFonts w:ascii="Arial Narrow" w:hAnsi="Arial Narrow"/>
                <w:b/>
                <w:color w:val="000000"/>
                <w:sz w:val="20"/>
              </w:rPr>
            </w:pPr>
            <w:r w:rsidRPr="00150ABE">
              <w:rPr>
                <w:rFonts w:ascii="Arial Narrow" w:hAnsi="Arial Narrow"/>
                <w:b/>
                <w:color w:val="000000"/>
                <w:sz w:val="20"/>
              </w:rPr>
              <w:t>Fatal or life-threatening</w:t>
            </w:r>
          </w:p>
        </w:tc>
      </w:tr>
      <w:tr w:rsidR="00B66AA1" w:rsidRPr="00150ABE" w:rsidTr="00391975">
        <w:tc>
          <w:tcPr>
            <w:tcW w:w="1389" w:type="pct"/>
            <w:vMerge/>
            <w:shd w:val="clear" w:color="auto" w:fill="auto"/>
            <w:vAlign w:val="center"/>
          </w:tcPr>
          <w:p w:rsidR="00B66AA1" w:rsidRPr="00150ABE" w:rsidRDefault="00B66AA1" w:rsidP="00391975">
            <w:pPr>
              <w:widowControl/>
              <w:rPr>
                <w:rFonts w:ascii="Arial Narrow" w:hAnsi="Arial Narrow"/>
                <w:b/>
                <w:color w:val="000000"/>
                <w:sz w:val="20"/>
              </w:rPr>
            </w:pPr>
          </w:p>
        </w:tc>
        <w:tc>
          <w:tcPr>
            <w:tcW w:w="947" w:type="pct"/>
            <w:vMerge/>
            <w:vAlign w:val="center"/>
          </w:tcPr>
          <w:p w:rsidR="00B66AA1" w:rsidRPr="00150ABE" w:rsidRDefault="00B66AA1" w:rsidP="00391975">
            <w:pPr>
              <w:widowControl/>
              <w:jc w:val="center"/>
              <w:rPr>
                <w:rFonts w:ascii="Arial Narrow" w:hAnsi="Arial Narrow"/>
                <w:b/>
                <w:sz w:val="20"/>
              </w:rPr>
            </w:pPr>
          </w:p>
        </w:tc>
        <w:tc>
          <w:tcPr>
            <w:tcW w:w="862" w:type="pct"/>
            <w:vMerge/>
            <w:vAlign w:val="center"/>
          </w:tcPr>
          <w:p w:rsidR="00B66AA1" w:rsidRPr="00150ABE" w:rsidRDefault="00B66AA1" w:rsidP="00391975">
            <w:pPr>
              <w:widowControl/>
              <w:jc w:val="center"/>
              <w:rPr>
                <w:rFonts w:ascii="Arial Narrow" w:hAnsi="Arial Narrow"/>
                <w:b/>
                <w:sz w:val="20"/>
              </w:rPr>
            </w:pPr>
          </w:p>
        </w:tc>
        <w:tc>
          <w:tcPr>
            <w:tcW w:w="941" w:type="pct"/>
            <w:vAlign w:val="center"/>
          </w:tcPr>
          <w:p w:rsidR="00B66AA1" w:rsidRPr="00150ABE" w:rsidRDefault="00B66AA1" w:rsidP="00391975">
            <w:pPr>
              <w:widowControl/>
              <w:jc w:val="center"/>
              <w:rPr>
                <w:rFonts w:ascii="Arial Narrow" w:hAnsi="Arial Narrow"/>
                <w:b/>
                <w:sz w:val="20"/>
              </w:rPr>
            </w:pPr>
            <w:r w:rsidRPr="00150ABE">
              <w:rPr>
                <w:rFonts w:ascii="Arial Narrow" w:hAnsi="Arial Narrow"/>
                <w:b/>
                <w:sz w:val="20"/>
              </w:rPr>
              <w:t>Denosumab</w:t>
            </w:r>
          </w:p>
        </w:tc>
        <w:tc>
          <w:tcPr>
            <w:tcW w:w="861" w:type="pct"/>
            <w:vAlign w:val="center"/>
          </w:tcPr>
          <w:p w:rsidR="00B66AA1" w:rsidRPr="00150ABE" w:rsidRDefault="00B66AA1" w:rsidP="00391975">
            <w:pPr>
              <w:widowControl/>
              <w:jc w:val="center"/>
              <w:rPr>
                <w:rFonts w:ascii="Arial Narrow" w:hAnsi="Arial Narrow"/>
                <w:b/>
                <w:sz w:val="20"/>
              </w:rPr>
            </w:pPr>
            <w:r w:rsidRPr="00150ABE">
              <w:rPr>
                <w:rFonts w:ascii="Arial Narrow" w:hAnsi="Arial Narrow"/>
                <w:b/>
                <w:sz w:val="20"/>
              </w:rPr>
              <w:t>Zoledronic acid</w:t>
            </w:r>
          </w:p>
        </w:tc>
      </w:tr>
      <w:tr w:rsidR="00B66AA1" w:rsidRPr="00150ABE" w:rsidTr="00391975">
        <w:tc>
          <w:tcPr>
            <w:tcW w:w="1389" w:type="pct"/>
            <w:shd w:val="clear" w:color="auto" w:fill="auto"/>
            <w:vAlign w:val="center"/>
          </w:tcPr>
          <w:p w:rsidR="00B66AA1" w:rsidRPr="00150ABE" w:rsidRDefault="00B66AA1" w:rsidP="00391975">
            <w:pPr>
              <w:widowControl/>
              <w:rPr>
                <w:rFonts w:ascii="Arial Narrow" w:hAnsi="Arial Narrow"/>
                <w:color w:val="000000"/>
                <w:sz w:val="20"/>
              </w:rPr>
            </w:pPr>
            <w:r w:rsidRPr="00150ABE">
              <w:rPr>
                <w:rFonts w:ascii="Arial Narrow" w:hAnsi="Arial Narrow"/>
                <w:color w:val="000000"/>
                <w:sz w:val="20"/>
              </w:rPr>
              <w:t xml:space="preserve">Any adverse event </w:t>
            </w:r>
          </w:p>
        </w:tc>
        <w:tc>
          <w:tcPr>
            <w:tcW w:w="947" w:type="pct"/>
          </w:tcPr>
          <w:p w:rsidR="00B66AA1" w:rsidRPr="00150ABE" w:rsidRDefault="00FF213C" w:rsidP="00391975">
            <w:pPr>
              <w:widowControl/>
              <w:jc w:val="center"/>
              <w:rPr>
                <w:rFonts w:ascii="Arial Narrow" w:hAnsi="Arial Narrow"/>
                <w:sz w:val="20"/>
              </w:rPr>
            </w:pPr>
            <w:r w:rsidRPr="00150ABE">
              <w:rPr>
                <w:rFonts w:ascii="Arial Narrow" w:hAnsi="Arial Narrow"/>
                <w:sz w:val="20"/>
              </w:rPr>
              <w:t>816/850 (96.0)</w:t>
            </w:r>
          </w:p>
        </w:tc>
        <w:tc>
          <w:tcPr>
            <w:tcW w:w="862" w:type="pct"/>
          </w:tcPr>
          <w:p w:rsidR="00B66AA1" w:rsidRPr="00150ABE" w:rsidRDefault="00FF213C" w:rsidP="00391975">
            <w:pPr>
              <w:widowControl/>
              <w:jc w:val="center"/>
              <w:rPr>
                <w:rFonts w:ascii="Arial Narrow" w:hAnsi="Arial Narrow"/>
                <w:sz w:val="20"/>
              </w:rPr>
            </w:pPr>
            <w:r w:rsidRPr="00150ABE">
              <w:rPr>
                <w:rFonts w:ascii="Arial Narrow" w:hAnsi="Arial Narrow"/>
                <w:sz w:val="20"/>
              </w:rPr>
              <w:t>825/852 (96.8)</w:t>
            </w:r>
          </w:p>
        </w:tc>
        <w:tc>
          <w:tcPr>
            <w:tcW w:w="941" w:type="pct"/>
          </w:tcPr>
          <w:p w:rsidR="00B66AA1" w:rsidRPr="00150ABE" w:rsidRDefault="00EF406A" w:rsidP="00391975">
            <w:pPr>
              <w:widowControl/>
              <w:jc w:val="center"/>
              <w:rPr>
                <w:rFonts w:ascii="Arial Narrow" w:hAnsi="Arial Narrow"/>
                <w:sz w:val="20"/>
              </w:rPr>
            </w:pPr>
            <w:r w:rsidRPr="00150ABE">
              <w:rPr>
                <w:rFonts w:ascii="Arial Narrow" w:hAnsi="Arial Narrow"/>
                <w:sz w:val="20"/>
              </w:rPr>
              <w:t>391/850 (46.0)</w:t>
            </w:r>
          </w:p>
        </w:tc>
        <w:tc>
          <w:tcPr>
            <w:tcW w:w="861" w:type="pct"/>
          </w:tcPr>
          <w:p w:rsidR="00B66AA1" w:rsidRPr="00150ABE" w:rsidRDefault="00EF406A" w:rsidP="00391975">
            <w:pPr>
              <w:widowControl/>
              <w:jc w:val="center"/>
              <w:rPr>
                <w:rFonts w:ascii="Arial Narrow" w:hAnsi="Arial Narrow"/>
                <w:sz w:val="20"/>
              </w:rPr>
            </w:pPr>
            <w:r w:rsidRPr="00150ABE">
              <w:rPr>
                <w:rFonts w:ascii="Arial Narrow" w:hAnsi="Arial Narrow"/>
                <w:sz w:val="20"/>
              </w:rPr>
              <w:t>403/852 (47.3)</w:t>
            </w:r>
          </w:p>
        </w:tc>
      </w:tr>
      <w:tr w:rsidR="00D1051E" w:rsidRPr="00150ABE" w:rsidTr="00391975">
        <w:tc>
          <w:tcPr>
            <w:tcW w:w="1389" w:type="pct"/>
            <w:shd w:val="clear" w:color="auto" w:fill="auto"/>
            <w:vAlign w:val="center"/>
          </w:tcPr>
          <w:p w:rsidR="00D1051E" w:rsidRPr="00150ABE" w:rsidRDefault="00D1051E" w:rsidP="00391975">
            <w:pPr>
              <w:widowControl/>
              <w:rPr>
                <w:rFonts w:ascii="Arial Narrow" w:hAnsi="Arial Narrow"/>
                <w:color w:val="000000"/>
                <w:sz w:val="20"/>
              </w:rPr>
            </w:pPr>
            <w:r w:rsidRPr="00150ABE">
              <w:rPr>
                <w:rFonts w:ascii="Arial Narrow" w:hAnsi="Arial Narrow"/>
                <w:color w:val="000000"/>
                <w:sz w:val="20"/>
              </w:rPr>
              <w:t>Hypersensitivity</w:t>
            </w:r>
          </w:p>
        </w:tc>
        <w:tc>
          <w:tcPr>
            <w:tcW w:w="947" w:type="pct"/>
          </w:tcPr>
          <w:p w:rsidR="00D1051E" w:rsidRPr="00150ABE" w:rsidRDefault="00D1051E" w:rsidP="00391975">
            <w:pPr>
              <w:widowControl/>
              <w:jc w:val="center"/>
              <w:rPr>
                <w:rFonts w:ascii="Arial Narrow" w:hAnsi="Arial Narrow"/>
                <w:sz w:val="20"/>
              </w:rPr>
            </w:pPr>
            <w:r w:rsidRPr="00150ABE">
              <w:rPr>
                <w:rFonts w:ascii="Arial Narrow" w:hAnsi="Arial Narrow"/>
                <w:sz w:val="20"/>
              </w:rPr>
              <w:t>219/850 (25.8)</w:t>
            </w:r>
          </w:p>
        </w:tc>
        <w:tc>
          <w:tcPr>
            <w:tcW w:w="862" w:type="pct"/>
          </w:tcPr>
          <w:p w:rsidR="00D1051E" w:rsidRPr="00150ABE" w:rsidRDefault="00D1051E" w:rsidP="00391975">
            <w:pPr>
              <w:widowControl/>
              <w:jc w:val="center"/>
              <w:rPr>
                <w:rFonts w:ascii="Arial Narrow" w:hAnsi="Arial Narrow"/>
                <w:sz w:val="20"/>
              </w:rPr>
            </w:pPr>
            <w:r w:rsidRPr="00150ABE">
              <w:rPr>
                <w:rFonts w:ascii="Arial Narrow" w:hAnsi="Arial Narrow"/>
                <w:sz w:val="20"/>
              </w:rPr>
              <w:t>189/852 (22.2)</w:t>
            </w:r>
          </w:p>
        </w:tc>
        <w:tc>
          <w:tcPr>
            <w:tcW w:w="941" w:type="pct"/>
          </w:tcPr>
          <w:p w:rsidR="00D1051E" w:rsidRPr="00150ABE" w:rsidRDefault="00A624B4" w:rsidP="00391975">
            <w:pPr>
              <w:widowControl/>
              <w:jc w:val="center"/>
              <w:rPr>
                <w:rFonts w:ascii="Arial Narrow" w:hAnsi="Arial Narrow"/>
                <w:sz w:val="20"/>
              </w:rPr>
            </w:pPr>
            <w:r w:rsidRPr="00150ABE">
              <w:rPr>
                <w:rFonts w:ascii="Arial Narrow" w:hAnsi="Arial Narrow"/>
                <w:sz w:val="20"/>
              </w:rPr>
              <w:t>5/850 (0.6)</w:t>
            </w:r>
          </w:p>
        </w:tc>
        <w:tc>
          <w:tcPr>
            <w:tcW w:w="861" w:type="pct"/>
          </w:tcPr>
          <w:p w:rsidR="00D1051E" w:rsidRPr="00150ABE" w:rsidRDefault="00A624B4" w:rsidP="00391975">
            <w:pPr>
              <w:widowControl/>
              <w:jc w:val="center"/>
              <w:rPr>
                <w:rFonts w:ascii="Arial Narrow" w:hAnsi="Arial Narrow"/>
                <w:sz w:val="20"/>
              </w:rPr>
            </w:pPr>
            <w:r w:rsidRPr="00150ABE">
              <w:rPr>
                <w:rFonts w:ascii="Arial Narrow" w:hAnsi="Arial Narrow"/>
                <w:sz w:val="20"/>
              </w:rPr>
              <w:t>9/852 (1.1)</w:t>
            </w:r>
          </w:p>
        </w:tc>
      </w:tr>
      <w:tr w:rsidR="00B66AA1" w:rsidRPr="00150ABE" w:rsidTr="00391975">
        <w:tc>
          <w:tcPr>
            <w:tcW w:w="1389" w:type="pct"/>
            <w:shd w:val="clear" w:color="auto" w:fill="auto"/>
            <w:vAlign w:val="center"/>
          </w:tcPr>
          <w:p w:rsidR="00B66AA1" w:rsidRPr="00150ABE" w:rsidRDefault="00B66AA1" w:rsidP="00391975">
            <w:pPr>
              <w:widowControl/>
              <w:rPr>
                <w:rFonts w:ascii="Arial Narrow" w:hAnsi="Arial Narrow"/>
                <w:color w:val="000000"/>
                <w:sz w:val="20"/>
              </w:rPr>
            </w:pPr>
            <w:r w:rsidRPr="00150ABE">
              <w:rPr>
                <w:rFonts w:ascii="Arial Narrow" w:hAnsi="Arial Narrow"/>
                <w:color w:val="000000"/>
                <w:sz w:val="20"/>
              </w:rPr>
              <w:t>Hypocalcaemia</w:t>
            </w:r>
          </w:p>
        </w:tc>
        <w:tc>
          <w:tcPr>
            <w:tcW w:w="947" w:type="pct"/>
          </w:tcPr>
          <w:p w:rsidR="00B66AA1" w:rsidRPr="00150ABE" w:rsidRDefault="00B66AA1" w:rsidP="00391975">
            <w:pPr>
              <w:widowControl/>
              <w:jc w:val="center"/>
              <w:rPr>
                <w:rFonts w:ascii="Arial Narrow" w:hAnsi="Arial Narrow"/>
                <w:sz w:val="20"/>
              </w:rPr>
            </w:pPr>
            <w:r w:rsidRPr="00150ABE">
              <w:rPr>
                <w:rFonts w:ascii="Arial Narrow" w:hAnsi="Arial Narrow"/>
                <w:sz w:val="20"/>
              </w:rPr>
              <w:t>144/850 (16.9)</w:t>
            </w:r>
          </w:p>
        </w:tc>
        <w:tc>
          <w:tcPr>
            <w:tcW w:w="862" w:type="pct"/>
          </w:tcPr>
          <w:p w:rsidR="00B66AA1" w:rsidRPr="00150ABE" w:rsidRDefault="00B66AA1" w:rsidP="00391975">
            <w:pPr>
              <w:widowControl/>
              <w:jc w:val="center"/>
              <w:rPr>
                <w:rFonts w:ascii="Arial Narrow" w:hAnsi="Arial Narrow"/>
                <w:sz w:val="20"/>
              </w:rPr>
            </w:pPr>
            <w:r w:rsidRPr="00150ABE">
              <w:rPr>
                <w:rFonts w:ascii="Arial Narrow" w:hAnsi="Arial Narrow"/>
                <w:sz w:val="20"/>
              </w:rPr>
              <w:t>106/852 (12.4)</w:t>
            </w:r>
          </w:p>
        </w:tc>
        <w:tc>
          <w:tcPr>
            <w:tcW w:w="941" w:type="pct"/>
          </w:tcPr>
          <w:p w:rsidR="00B66AA1" w:rsidRPr="00150ABE" w:rsidRDefault="00B66AA1" w:rsidP="00391975">
            <w:pPr>
              <w:widowControl/>
              <w:jc w:val="center"/>
              <w:rPr>
                <w:rFonts w:ascii="Arial Narrow" w:hAnsi="Arial Narrow"/>
                <w:sz w:val="20"/>
              </w:rPr>
            </w:pPr>
            <w:r w:rsidRPr="00150ABE">
              <w:rPr>
                <w:rFonts w:ascii="Arial Narrow" w:hAnsi="Arial Narrow"/>
                <w:sz w:val="20"/>
              </w:rPr>
              <w:t>8/850 (0.9)</w:t>
            </w:r>
          </w:p>
        </w:tc>
        <w:tc>
          <w:tcPr>
            <w:tcW w:w="861" w:type="pct"/>
          </w:tcPr>
          <w:p w:rsidR="00B66AA1" w:rsidRPr="00150ABE" w:rsidRDefault="00B66AA1" w:rsidP="00391975">
            <w:pPr>
              <w:widowControl/>
              <w:jc w:val="center"/>
              <w:rPr>
                <w:rFonts w:ascii="Arial Narrow" w:hAnsi="Arial Narrow"/>
                <w:sz w:val="20"/>
              </w:rPr>
            </w:pPr>
            <w:r w:rsidRPr="00150ABE">
              <w:rPr>
                <w:rFonts w:ascii="Arial Narrow" w:hAnsi="Arial Narrow"/>
                <w:sz w:val="20"/>
              </w:rPr>
              <w:t>2/852 (0.2)</w:t>
            </w:r>
          </w:p>
        </w:tc>
      </w:tr>
      <w:tr w:rsidR="00A624B4" w:rsidRPr="00150ABE" w:rsidTr="00391975">
        <w:tc>
          <w:tcPr>
            <w:tcW w:w="1389" w:type="pct"/>
            <w:shd w:val="clear" w:color="auto" w:fill="auto"/>
            <w:vAlign w:val="center"/>
          </w:tcPr>
          <w:p w:rsidR="00A624B4" w:rsidRPr="00150ABE" w:rsidRDefault="00A624B4" w:rsidP="00391975">
            <w:pPr>
              <w:widowControl/>
              <w:rPr>
                <w:rFonts w:ascii="Arial Narrow" w:hAnsi="Arial Narrow"/>
                <w:color w:val="000000"/>
                <w:sz w:val="20"/>
              </w:rPr>
            </w:pPr>
            <w:r w:rsidRPr="00150ABE">
              <w:rPr>
                <w:rFonts w:ascii="Arial Narrow" w:hAnsi="Arial Narrow"/>
                <w:color w:val="000000"/>
                <w:sz w:val="20"/>
              </w:rPr>
              <w:t>Infections and infestations</w:t>
            </w:r>
          </w:p>
        </w:tc>
        <w:tc>
          <w:tcPr>
            <w:tcW w:w="947" w:type="pct"/>
          </w:tcPr>
          <w:p w:rsidR="00A624B4" w:rsidRPr="00150ABE" w:rsidRDefault="00A624B4" w:rsidP="00391975">
            <w:pPr>
              <w:widowControl/>
              <w:jc w:val="center"/>
              <w:rPr>
                <w:rFonts w:ascii="Arial Narrow" w:hAnsi="Arial Narrow"/>
                <w:sz w:val="20"/>
              </w:rPr>
            </w:pPr>
            <w:r w:rsidRPr="00150ABE">
              <w:rPr>
                <w:rFonts w:ascii="Arial Narrow" w:hAnsi="Arial Narrow"/>
                <w:sz w:val="20"/>
              </w:rPr>
              <w:t>537/850 (63.2)</w:t>
            </w:r>
          </w:p>
        </w:tc>
        <w:tc>
          <w:tcPr>
            <w:tcW w:w="862" w:type="pct"/>
          </w:tcPr>
          <w:p w:rsidR="00A624B4" w:rsidRPr="00150ABE" w:rsidRDefault="00A624B4" w:rsidP="00391975">
            <w:pPr>
              <w:widowControl/>
              <w:jc w:val="center"/>
              <w:rPr>
                <w:rFonts w:ascii="Arial Narrow" w:hAnsi="Arial Narrow"/>
                <w:sz w:val="20"/>
              </w:rPr>
            </w:pPr>
            <w:r w:rsidRPr="00150ABE">
              <w:rPr>
                <w:rFonts w:ascii="Arial Narrow" w:hAnsi="Arial Narrow"/>
                <w:sz w:val="20"/>
              </w:rPr>
              <w:t>500/852 (58.7)</w:t>
            </w:r>
          </w:p>
        </w:tc>
        <w:tc>
          <w:tcPr>
            <w:tcW w:w="941" w:type="pct"/>
          </w:tcPr>
          <w:p w:rsidR="00A624B4" w:rsidRPr="00150ABE" w:rsidRDefault="00A624B4" w:rsidP="00391975">
            <w:pPr>
              <w:widowControl/>
              <w:jc w:val="center"/>
              <w:rPr>
                <w:rFonts w:ascii="Arial Narrow" w:hAnsi="Arial Narrow"/>
                <w:sz w:val="20"/>
              </w:rPr>
            </w:pPr>
            <w:r w:rsidRPr="00150ABE">
              <w:rPr>
                <w:rFonts w:ascii="Arial Narrow" w:hAnsi="Arial Narrow"/>
                <w:sz w:val="20"/>
              </w:rPr>
              <w:t>165/850 (19.4)</w:t>
            </w:r>
          </w:p>
        </w:tc>
        <w:tc>
          <w:tcPr>
            <w:tcW w:w="861" w:type="pct"/>
          </w:tcPr>
          <w:p w:rsidR="00A624B4" w:rsidRPr="00150ABE" w:rsidRDefault="00A624B4" w:rsidP="00391975">
            <w:pPr>
              <w:widowControl/>
              <w:jc w:val="center"/>
              <w:rPr>
                <w:rFonts w:ascii="Arial Narrow" w:hAnsi="Arial Narrow"/>
                <w:sz w:val="20"/>
              </w:rPr>
            </w:pPr>
            <w:r w:rsidRPr="00150ABE">
              <w:rPr>
                <w:rFonts w:ascii="Arial Narrow" w:hAnsi="Arial Narrow"/>
                <w:sz w:val="20"/>
              </w:rPr>
              <w:t>163/852 (19.1)</w:t>
            </w:r>
          </w:p>
        </w:tc>
      </w:tr>
      <w:tr w:rsidR="00B66AA1" w:rsidRPr="00150ABE" w:rsidTr="00391975">
        <w:tc>
          <w:tcPr>
            <w:tcW w:w="1389" w:type="pct"/>
            <w:shd w:val="clear" w:color="auto" w:fill="auto"/>
            <w:vAlign w:val="center"/>
          </w:tcPr>
          <w:p w:rsidR="00B66AA1" w:rsidRPr="00150ABE" w:rsidRDefault="00B66AA1" w:rsidP="00391975">
            <w:pPr>
              <w:widowControl/>
              <w:rPr>
                <w:rFonts w:ascii="Arial Narrow" w:hAnsi="Arial Narrow"/>
                <w:color w:val="000000"/>
                <w:sz w:val="20"/>
              </w:rPr>
            </w:pPr>
            <w:r w:rsidRPr="00150ABE">
              <w:rPr>
                <w:rFonts w:ascii="Arial Narrow" w:hAnsi="Arial Narrow"/>
                <w:color w:val="000000"/>
                <w:sz w:val="20"/>
              </w:rPr>
              <w:t>Osteonecrosis of the jaw</w:t>
            </w:r>
          </w:p>
        </w:tc>
        <w:tc>
          <w:tcPr>
            <w:tcW w:w="947" w:type="pct"/>
          </w:tcPr>
          <w:p w:rsidR="00B66AA1" w:rsidRPr="00150ABE" w:rsidRDefault="00B66AA1" w:rsidP="00391975">
            <w:pPr>
              <w:widowControl/>
              <w:jc w:val="center"/>
              <w:rPr>
                <w:rFonts w:ascii="Arial Narrow" w:hAnsi="Arial Narrow"/>
                <w:sz w:val="20"/>
              </w:rPr>
            </w:pPr>
            <w:r w:rsidRPr="00150ABE">
              <w:rPr>
                <w:rFonts w:ascii="Arial Narrow" w:hAnsi="Arial Narrow"/>
                <w:sz w:val="20"/>
              </w:rPr>
              <w:t>35/850 (4.1)</w:t>
            </w:r>
          </w:p>
        </w:tc>
        <w:tc>
          <w:tcPr>
            <w:tcW w:w="862" w:type="pct"/>
          </w:tcPr>
          <w:p w:rsidR="00B66AA1" w:rsidRPr="00150ABE" w:rsidRDefault="00B66AA1" w:rsidP="00391975">
            <w:pPr>
              <w:widowControl/>
              <w:jc w:val="center"/>
              <w:rPr>
                <w:rFonts w:ascii="Arial Narrow" w:hAnsi="Arial Narrow"/>
                <w:sz w:val="20"/>
              </w:rPr>
            </w:pPr>
            <w:r w:rsidRPr="00150ABE">
              <w:rPr>
                <w:rFonts w:ascii="Arial Narrow" w:hAnsi="Arial Narrow"/>
                <w:sz w:val="20"/>
              </w:rPr>
              <w:t>24/852 (2.8)</w:t>
            </w:r>
          </w:p>
        </w:tc>
        <w:tc>
          <w:tcPr>
            <w:tcW w:w="941" w:type="pct"/>
          </w:tcPr>
          <w:p w:rsidR="00B66AA1" w:rsidRPr="00150ABE" w:rsidRDefault="00B66AA1" w:rsidP="00391975">
            <w:pPr>
              <w:widowControl/>
              <w:jc w:val="center"/>
              <w:rPr>
                <w:rFonts w:ascii="Arial Narrow" w:hAnsi="Arial Narrow"/>
                <w:sz w:val="20"/>
              </w:rPr>
            </w:pPr>
            <w:r w:rsidRPr="00150ABE">
              <w:rPr>
                <w:rFonts w:ascii="Arial Narrow" w:hAnsi="Arial Narrow"/>
                <w:sz w:val="20"/>
              </w:rPr>
              <w:t>6/850 (0.7)</w:t>
            </w:r>
          </w:p>
        </w:tc>
        <w:tc>
          <w:tcPr>
            <w:tcW w:w="861" w:type="pct"/>
          </w:tcPr>
          <w:p w:rsidR="00B66AA1" w:rsidRPr="00150ABE" w:rsidRDefault="00B66AA1" w:rsidP="00391975">
            <w:pPr>
              <w:widowControl/>
              <w:jc w:val="center"/>
              <w:rPr>
                <w:rFonts w:ascii="Arial Narrow" w:hAnsi="Arial Narrow"/>
                <w:sz w:val="20"/>
              </w:rPr>
            </w:pPr>
            <w:r w:rsidRPr="00150ABE">
              <w:rPr>
                <w:rFonts w:ascii="Arial Narrow" w:hAnsi="Arial Narrow"/>
                <w:sz w:val="20"/>
              </w:rPr>
              <w:t>2/852 (0.2)</w:t>
            </w:r>
          </w:p>
        </w:tc>
      </w:tr>
      <w:tr w:rsidR="00B66AA1" w:rsidRPr="00150ABE" w:rsidTr="00391975">
        <w:tc>
          <w:tcPr>
            <w:tcW w:w="1389" w:type="pct"/>
            <w:shd w:val="clear" w:color="auto" w:fill="auto"/>
            <w:vAlign w:val="center"/>
          </w:tcPr>
          <w:p w:rsidR="00B66AA1" w:rsidRPr="00150ABE" w:rsidRDefault="00B66AA1" w:rsidP="00391975">
            <w:pPr>
              <w:widowControl/>
              <w:rPr>
                <w:rFonts w:ascii="Arial Narrow" w:hAnsi="Arial Narrow"/>
                <w:color w:val="000000"/>
                <w:sz w:val="20"/>
              </w:rPr>
            </w:pPr>
            <w:r w:rsidRPr="00150ABE">
              <w:rPr>
                <w:rFonts w:ascii="Arial Narrow" w:hAnsi="Arial Narrow"/>
                <w:color w:val="000000"/>
                <w:sz w:val="20"/>
              </w:rPr>
              <w:t>Renal toxicity</w:t>
            </w:r>
          </w:p>
        </w:tc>
        <w:tc>
          <w:tcPr>
            <w:tcW w:w="947" w:type="pct"/>
            <w:vAlign w:val="center"/>
          </w:tcPr>
          <w:p w:rsidR="00B66AA1" w:rsidRPr="00150ABE" w:rsidRDefault="00B66AA1" w:rsidP="00391975">
            <w:pPr>
              <w:widowControl/>
              <w:jc w:val="center"/>
              <w:rPr>
                <w:rFonts w:ascii="Arial Narrow" w:hAnsi="Arial Narrow"/>
                <w:sz w:val="20"/>
              </w:rPr>
            </w:pPr>
            <w:r w:rsidRPr="00150ABE">
              <w:rPr>
                <w:rFonts w:ascii="Arial Narrow" w:hAnsi="Arial Narrow"/>
                <w:sz w:val="20"/>
              </w:rPr>
              <w:t>85/850 (10.0)</w:t>
            </w:r>
          </w:p>
        </w:tc>
        <w:tc>
          <w:tcPr>
            <w:tcW w:w="862" w:type="pct"/>
            <w:vAlign w:val="center"/>
          </w:tcPr>
          <w:p w:rsidR="00B66AA1" w:rsidRPr="00150ABE" w:rsidRDefault="00B66AA1" w:rsidP="00391975">
            <w:pPr>
              <w:widowControl/>
              <w:jc w:val="center"/>
              <w:rPr>
                <w:rFonts w:ascii="Arial Narrow" w:hAnsi="Arial Narrow"/>
                <w:sz w:val="20"/>
              </w:rPr>
            </w:pPr>
            <w:r w:rsidRPr="00150ABE">
              <w:rPr>
                <w:rFonts w:ascii="Arial Narrow" w:hAnsi="Arial Narrow"/>
                <w:sz w:val="20"/>
              </w:rPr>
              <w:t>146/852 (17.1)</w:t>
            </w:r>
          </w:p>
        </w:tc>
        <w:tc>
          <w:tcPr>
            <w:tcW w:w="941" w:type="pct"/>
            <w:vAlign w:val="center"/>
          </w:tcPr>
          <w:p w:rsidR="00B66AA1" w:rsidRPr="00150ABE" w:rsidRDefault="00B66AA1" w:rsidP="00391975">
            <w:pPr>
              <w:widowControl/>
              <w:jc w:val="center"/>
              <w:rPr>
                <w:rFonts w:ascii="Arial Narrow" w:hAnsi="Arial Narrow"/>
                <w:sz w:val="20"/>
              </w:rPr>
            </w:pPr>
            <w:r w:rsidRPr="00150ABE">
              <w:rPr>
                <w:rFonts w:ascii="Arial Narrow" w:hAnsi="Arial Narrow"/>
                <w:sz w:val="20"/>
              </w:rPr>
              <w:t>23/850 (2.7)</w:t>
            </w:r>
          </w:p>
        </w:tc>
        <w:tc>
          <w:tcPr>
            <w:tcW w:w="861" w:type="pct"/>
            <w:vAlign w:val="center"/>
          </w:tcPr>
          <w:p w:rsidR="00B66AA1" w:rsidRPr="00150ABE" w:rsidRDefault="00B66AA1" w:rsidP="00391975">
            <w:pPr>
              <w:widowControl/>
              <w:jc w:val="center"/>
              <w:rPr>
                <w:rFonts w:ascii="Arial Narrow" w:hAnsi="Arial Narrow"/>
                <w:sz w:val="20"/>
              </w:rPr>
            </w:pPr>
            <w:r w:rsidRPr="00150ABE">
              <w:rPr>
                <w:rFonts w:ascii="Arial Narrow" w:hAnsi="Arial Narrow"/>
                <w:sz w:val="20"/>
              </w:rPr>
              <w:t>30/852 (3.5)</w:t>
            </w:r>
          </w:p>
        </w:tc>
      </w:tr>
      <w:tr w:rsidR="00B66AA1" w:rsidRPr="00150ABE" w:rsidTr="00391975">
        <w:tc>
          <w:tcPr>
            <w:tcW w:w="1389" w:type="pct"/>
            <w:shd w:val="clear" w:color="auto" w:fill="auto"/>
            <w:vAlign w:val="center"/>
          </w:tcPr>
          <w:p w:rsidR="00B66AA1" w:rsidRPr="00150ABE" w:rsidRDefault="00B66AA1" w:rsidP="00391975">
            <w:pPr>
              <w:widowControl/>
              <w:rPr>
                <w:rFonts w:ascii="Arial Narrow" w:hAnsi="Arial Narrow"/>
                <w:color w:val="000000"/>
                <w:sz w:val="20"/>
              </w:rPr>
            </w:pPr>
            <w:r w:rsidRPr="00150ABE">
              <w:rPr>
                <w:rFonts w:ascii="Arial Narrow" w:hAnsi="Arial Narrow"/>
                <w:color w:val="000000"/>
                <w:sz w:val="20"/>
              </w:rPr>
              <w:t>Acute phase reactions</w:t>
            </w:r>
          </w:p>
        </w:tc>
        <w:tc>
          <w:tcPr>
            <w:tcW w:w="947" w:type="pct"/>
          </w:tcPr>
          <w:p w:rsidR="00B66AA1" w:rsidRPr="00150ABE" w:rsidRDefault="00B66AA1" w:rsidP="00391975">
            <w:pPr>
              <w:widowControl/>
              <w:jc w:val="center"/>
              <w:rPr>
                <w:rFonts w:ascii="Arial Narrow" w:hAnsi="Arial Narrow"/>
                <w:sz w:val="20"/>
              </w:rPr>
            </w:pPr>
            <w:r w:rsidRPr="00150ABE">
              <w:rPr>
                <w:rFonts w:ascii="Arial Narrow" w:hAnsi="Arial Narrow"/>
                <w:sz w:val="20"/>
              </w:rPr>
              <w:t>46/850 (5.4)</w:t>
            </w:r>
          </w:p>
        </w:tc>
        <w:tc>
          <w:tcPr>
            <w:tcW w:w="862" w:type="pct"/>
          </w:tcPr>
          <w:p w:rsidR="00B66AA1" w:rsidRPr="00150ABE" w:rsidRDefault="00B66AA1" w:rsidP="00391975">
            <w:pPr>
              <w:widowControl/>
              <w:jc w:val="center"/>
              <w:rPr>
                <w:rFonts w:ascii="Arial Narrow" w:hAnsi="Arial Narrow"/>
                <w:sz w:val="20"/>
              </w:rPr>
            </w:pPr>
            <w:r w:rsidRPr="00150ABE">
              <w:rPr>
                <w:rFonts w:ascii="Arial Narrow" w:hAnsi="Arial Narrow"/>
                <w:sz w:val="20"/>
              </w:rPr>
              <w:t>74/852 (8.7)</w:t>
            </w:r>
          </w:p>
        </w:tc>
        <w:tc>
          <w:tcPr>
            <w:tcW w:w="941" w:type="pct"/>
            <w:vAlign w:val="center"/>
          </w:tcPr>
          <w:p w:rsidR="00B66AA1" w:rsidRPr="00150ABE" w:rsidRDefault="00B66AA1" w:rsidP="00391975">
            <w:pPr>
              <w:widowControl/>
              <w:jc w:val="center"/>
              <w:rPr>
                <w:rFonts w:ascii="Arial Narrow" w:hAnsi="Arial Narrow"/>
                <w:sz w:val="20"/>
              </w:rPr>
            </w:pPr>
            <w:r w:rsidRPr="00150ABE">
              <w:rPr>
                <w:rFonts w:ascii="Arial Narrow" w:hAnsi="Arial Narrow"/>
                <w:sz w:val="20"/>
              </w:rPr>
              <w:t>NR</w:t>
            </w:r>
          </w:p>
        </w:tc>
        <w:tc>
          <w:tcPr>
            <w:tcW w:w="861" w:type="pct"/>
            <w:vAlign w:val="center"/>
          </w:tcPr>
          <w:p w:rsidR="00B66AA1" w:rsidRPr="00150ABE" w:rsidRDefault="00B66AA1" w:rsidP="00391975">
            <w:pPr>
              <w:widowControl/>
              <w:jc w:val="center"/>
              <w:rPr>
                <w:rFonts w:ascii="Arial Narrow" w:hAnsi="Arial Narrow"/>
                <w:sz w:val="20"/>
              </w:rPr>
            </w:pPr>
            <w:r w:rsidRPr="00150ABE">
              <w:rPr>
                <w:rFonts w:ascii="Arial Narrow" w:hAnsi="Arial Narrow"/>
                <w:sz w:val="20"/>
              </w:rPr>
              <w:t>NR</w:t>
            </w:r>
          </w:p>
        </w:tc>
      </w:tr>
    </w:tbl>
    <w:p w:rsidR="00B66AA1" w:rsidRPr="00150ABE" w:rsidRDefault="00B66AA1" w:rsidP="00B66AA1">
      <w:pPr>
        <w:pStyle w:val="TableFooter"/>
        <w:keepNext/>
      </w:pPr>
      <w:r w:rsidRPr="00150ABE">
        <w:t xml:space="preserve">Source: Table 2.5-1, p26, Table 2.5-7, p33, Table 2.5-10, pp36-37 of the submission; Table 12-6, p100, Table 14-6.11.3, p1578, Table 14-6.11.4, p1579 of the Study 482 trial report and </w:t>
      </w:r>
      <w:proofErr w:type="spellStart"/>
      <w:r w:rsidRPr="00150ABE">
        <w:t>Raje</w:t>
      </w:r>
      <w:proofErr w:type="spellEnd"/>
      <w:r w:rsidRPr="00150ABE">
        <w:t xml:space="preserve"> 2018 publication</w:t>
      </w:r>
    </w:p>
    <w:p w:rsidR="00B66AA1" w:rsidRPr="00150ABE" w:rsidRDefault="00B66AA1" w:rsidP="00B66AA1">
      <w:pPr>
        <w:pStyle w:val="TableFooter"/>
      </w:pPr>
      <w:r w:rsidRPr="00150ABE">
        <w:t>Abbreviations: CI, confidence interval; HR, hazard ratio; NE, not estimable; NR, not reported; OS, overall survival; PFS, progression-free survival</w:t>
      </w:r>
    </w:p>
    <w:p w:rsidR="00B66AA1" w:rsidRPr="00150ABE" w:rsidRDefault="00B66AA1" w:rsidP="00B66AA1">
      <w:pPr>
        <w:widowControl/>
      </w:pPr>
      <w:r w:rsidRPr="00150ABE">
        <w:t xml:space="preserve"> </w:t>
      </w:r>
    </w:p>
    <w:p w:rsidR="00B66AA1" w:rsidRPr="00133D2E" w:rsidRDefault="00B66AA1" w:rsidP="004D1C86">
      <w:pPr>
        <w:pStyle w:val="ListParagraph"/>
        <w:numPr>
          <w:ilvl w:val="1"/>
          <w:numId w:val="29"/>
        </w:numPr>
      </w:pPr>
      <w:r w:rsidRPr="00150ABE">
        <w:t xml:space="preserve">On the basis of the direct evidence presented in the submission, there was no difference in the incidence of skeletal related events or overall survival. </w:t>
      </w:r>
      <w:r w:rsidR="006409D2" w:rsidRPr="00133D2E">
        <w:t xml:space="preserve">The ESC considered the submission’s claim of an increase in progression free survival with denosumab compared with zoledronic acid to be inadequately supported. </w:t>
      </w:r>
    </w:p>
    <w:p w:rsidR="00B66AA1" w:rsidRPr="00150ABE" w:rsidRDefault="00FF213C" w:rsidP="004D1C86">
      <w:pPr>
        <w:pStyle w:val="ListParagraph"/>
        <w:numPr>
          <w:ilvl w:val="1"/>
          <w:numId w:val="29"/>
        </w:numPr>
        <w:spacing w:after="0"/>
      </w:pPr>
      <w:r w:rsidRPr="00150ABE">
        <w:t xml:space="preserve">On the basis of the direct evidence presented in the submission, the incidence of any adverse event and </w:t>
      </w:r>
      <w:r w:rsidR="0088516C" w:rsidRPr="00150ABE">
        <w:t>any serious adverse event</w:t>
      </w:r>
      <w:r w:rsidRPr="00150ABE">
        <w:t xml:space="preserve"> (fatal or life-threatening) were similar between denosumab and zoledronic acid. However</w:t>
      </w:r>
      <w:r w:rsidR="00B66AA1" w:rsidRPr="00150ABE">
        <w:t xml:space="preserve">, </w:t>
      </w:r>
      <w:r w:rsidRPr="00150ABE">
        <w:t>there were differences in the incidence of adverse events of interest. F</w:t>
      </w:r>
      <w:r w:rsidR="00B66AA1" w:rsidRPr="00150ABE">
        <w:t>or every 100 patients treated with denosumab compared with zoledronic acid over a maximum follow-up period of 45 months, approximately:</w:t>
      </w:r>
    </w:p>
    <w:p w:rsidR="003D1DE1" w:rsidRPr="00150ABE" w:rsidRDefault="003D1DE1" w:rsidP="00B66AA1">
      <w:pPr>
        <w:pStyle w:val="ListParagraph"/>
        <w:numPr>
          <w:ilvl w:val="0"/>
          <w:numId w:val="20"/>
        </w:numPr>
        <w:spacing w:after="0"/>
      </w:pPr>
      <w:r w:rsidRPr="00150ABE">
        <w:t>3 additional patients would have hypersensitivity</w:t>
      </w:r>
      <w:r w:rsidR="0088516C" w:rsidRPr="00150ABE">
        <w:t>;</w:t>
      </w:r>
    </w:p>
    <w:p w:rsidR="00B66AA1" w:rsidRPr="00150ABE" w:rsidRDefault="00B66AA1" w:rsidP="00B66AA1">
      <w:pPr>
        <w:pStyle w:val="ListParagraph"/>
        <w:numPr>
          <w:ilvl w:val="0"/>
          <w:numId w:val="20"/>
        </w:numPr>
        <w:spacing w:after="0"/>
      </w:pPr>
      <w:r w:rsidRPr="00150ABE">
        <w:t>3 additional patients would have hypocalcaemia</w:t>
      </w:r>
      <w:r w:rsidR="0088516C" w:rsidRPr="00150ABE">
        <w:t>;</w:t>
      </w:r>
    </w:p>
    <w:p w:rsidR="003D1DE1" w:rsidRPr="00150ABE" w:rsidRDefault="003D1DE1" w:rsidP="00B66AA1">
      <w:pPr>
        <w:pStyle w:val="ListParagraph"/>
        <w:numPr>
          <w:ilvl w:val="0"/>
          <w:numId w:val="20"/>
        </w:numPr>
        <w:spacing w:after="0"/>
      </w:pPr>
      <w:r w:rsidRPr="00150ABE">
        <w:t>4 additional patients would have an infection or infestation</w:t>
      </w:r>
      <w:r w:rsidR="0088516C" w:rsidRPr="00150ABE">
        <w:t>;</w:t>
      </w:r>
    </w:p>
    <w:p w:rsidR="00B66AA1" w:rsidRPr="00150ABE" w:rsidRDefault="00B66AA1" w:rsidP="00B66AA1">
      <w:pPr>
        <w:pStyle w:val="ListParagraph"/>
        <w:numPr>
          <w:ilvl w:val="0"/>
          <w:numId w:val="20"/>
        </w:numPr>
        <w:spacing w:after="0"/>
      </w:pPr>
      <w:r w:rsidRPr="00150ABE">
        <w:t>1 additional patient would have osteonecrosis of the jaw</w:t>
      </w:r>
      <w:r w:rsidR="0088516C" w:rsidRPr="00150ABE">
        <w:t>;</w:t>
      </w:r>
    </w:p>
    <w:p w:rsidR="00B66AA1" w:rsidRPr="00150ABE" w:rsidRDefault="00B66AA1" w:rsidP="00B66AA1">
      <w:pPr>
        <w:pStyle w:val="ListParagraph"/>
        <w:numPr>
          <w:ilvl w:val="0"/>
          <w:numId w:val="20"/>
        </w:numPr>
        <w:spacing w:after="0"/>
      </w:pPr>
      <w:r w:rsidRPr="00150ABE">
        <w:t>7 fewer patients would have renal toxicity</w:t>
      </w:r>
      <w:r w:rsidR="0088516C" w:rsidRPr="00150ABE">
        <w:t>;</w:t>
      </w:r>
    </w:p>
    <w:p w:rsidR="00B66AA1" w:rsidRPr="00150ABE" w:rsidRDefault="00B66AA1" w:rsidP="00B66AA1">
      <w:pPr>
        <w:pStyle w:val="ListParagraph"/>
        <w:numPr>
          <w:ilvl w:val="0"/>
          <w:numId w:val="20"/>
        </w:numPr>
        <w:spacing w:after="0"/>
      </w:pPr>
      <w:r w:rsidRPr="00150ABE">
        <w:t>4 fewer patients would have acute phase reactions</w:t>
      </w:r>
      <w:r w:rsidR="0088516C" w:rsidRPr="00150ABE">
        <w:t>.</w:t>
      </w:r>
    </w:p>
    <w:p w:rsidR="00B66AA1" w:rsidRPr="00150ABE" w:rsidRDefault="00B66AA1" w:rsidP="00B66AA1">
      <w:pPr>
        <w:pStyle w:val="ListParagraph"/>
        <w:spacing w:after="0"/>
        <w:ind w:left="1440"/>
      </w:pPr>
    </w:p>
    <w:p w:rsidR="00B60939" w:rsidRPr="00150ABE" w:rsidRDefault="00B60939" w:rsidP="00D56BF2">
      <w:pPr>
        <w:pStyle w:val="Heading2"/>
        <w:spacing w:before="240" w:after="120"/>
      </w:pPr>
      <w:bookmarkStart w:id="10" w:name="_Toc514234390"/>
      <w:r w:rsidRPr="006D7E46">
        <w:t>Clinical claim</w:t>
      </w:r>
      <w:bookmarkEnd w:id="10"/>
    </w:p>
    <w:p w:rsidR="00B60939" w:rsidRPr="00150ABE" w:rsidRDefault="00EF406A" w:rsidP="004D1C86">
      <w:pPr>
        <w:pStyle w:val="ListParagraph"/>
        <w:widowControl/>
        <w:numPr>
          <w:ilvl w:val="1"/>
          <w:numId w:val="29"/>
        </w:numPr>
      </w:pPr>
      <w:r w:rsidRPr="00150ABE">
        <w:t xml:space="preserve">The submission described denosumab as non-inferior in terms of prevention of </w:t>
      </w:r>
      <w:r w:rsidR="00D9075A">
        <w:t>SREs</w:t>
      </w:r>
      <w:r w:rsidRPr="00150ABE">
        <w:t xml:space="preserve"> compared to zoledronic acid. </w:t>
      </w:r>
    </w:p>
    <w:p w:rsidR="00EF406A" w:rsidRPr="00150ABE" w:rsidRDefault="00EF406A" w:rsidP="004D1C86">
      <w:pPr>
        <w:pStyle w:val="ListParagraph"/>
        <w:widowControl/>
        <w:numPr>
          <w:ilvl w:val="1"/>
          <w:numId w:val="29"/>
        </w:numPr>
      </w:pPr>
      <w:r w:rsidRPr="00150ABE">
        <w:t>The submission described denosumab as superior in terms of progression-free survival compared to zoledronic acid.</w:t>
      </w:r>
      <w:r w:rsidR="006409D2">
        <w:t xml:space="preserve"> </w:t>
      </w:r>
      <w:r w:rsidR="00FF4689" w:rsidRPr="00133D2E">
        <w:t xml:space="preserve">The ESC did not consider the </w:t>
      </w:r>
      <w:r w:rsidR="008B0A09" w:rsidRPr="00133D2E">
        <w:t>claim of superior</w:t>
      </w:r>
      <w:r w:rsidR="008B0A09" w:rsidRPr="00150ABE">
        <w:t xml:space="preserve"> efficacy in terms of progression-free survival was adequately supported by the data presented in the submission. There were major limitations associated with results </w:t>
      </w:r>
      <w:r w:rsidR="008B0A09" w:rsidRPr="00150ABE">
        <w:lastRenderedPageBreak/>
        <w:t>based on an exploratory outcome that was non-centrally assessed and of marginal statistical significance (HR 0.82, 95% CI: 0.68, 0.99) with no adjustment for multiplicity.</w:t>
      </w:r>
    </w:p>
    <w:p w:rsidR="008B0A09" w:rsidRPr="00150ABE" w:rsidRDefault="008B0A09" w:rsidP="004D1C86">
      <w:pPr>
        <w:pStyle w:val="ListParagraph"/>
        <w:widowControl/>
        <w:numPr>
          <w:ilvl w:val="1"/>
          <w:numId w:val="29"/>
        </w:numPr>
      </w:pPr>
      <w:r w:rsidRPr="00150ABE">
        <w:t xml:space="preserve">The submission described denosumab as similar in terms of safety compared with zoledronic acid but associated with a lower incidence of renal adverse </w:t>
      </w:r>
      <w:r w:rsidRPr="00133D2E">
        <w:t xml:space="preserve">events.  </w:t>
      </w:r>
      <w:r w:rsidR="00FF4689" w:rsidRPr="00133D2E">
        <w:t xml:space="preserve">The ESC noted </w:t>
      </w:r>
      <w:r w:rsidRPr="00133D2E">
        <w:t>overall incidence of adverse events was similar between denosumab and</w:t>
      </w:r>
      <w:r w:rsidRPr="00150ABE">
        <w:t xml:space="preserve"> zoledronic acid. However, denosumab was more commonly associated with hypocalcaemia, hypersensitivity reactions, infections and infestations, and osteonecrosis of the jaw while zoledronic acid was more commonly associated with renal adverse events and acute phase reactions.</w:t>
      </w:r>
    </w:p>
    <w:p w:rsidR="008B0A09" w:rsidRPr="004A4ECB" w:rsidRDefault="008B0A09" w:rsidP="004D1C86">
      <w:pPr>
        <w:pStyle w:val="ListParagraph"/>
        <w:widowControl/>
        <w:numPr>
          <w:ilvl w:val="1"/>
          <w:numId w:val="29"/>
        </w:numPr>
      </w:pPr>
      <w:r w:rsidRPr="00150ABE">
        <w:t>The risk-benefit profile of denosumab in patients with severe renal impairment was unclear. The pivotal trial excluded patients with severe impairment (creatinine clearance &lt;30 mL/min). Although denosumab is not significantly affected by renal function, treatment with denosumab is associated with increased incidence of hypocalcaemia which is of greater risk in patients with renal impairment.</w:t>
      </w:r>
      <w:r w:rsidR="00E72D1D" w:rsidRPr="00E72D1D">
        <w:rPr>
          <w:i/>
          <w:szCs w:val="24"/>
        </w:rPr>
        <w:t xml:space="preserve"> </w:t>
      </w:r>
      <w:r w:rsidR="00E72D1D" w:rsidRPr="00133D2E">
        <w:rPr>
          <w:szCs w:val="24"/>
        </w:rPr>
        <w:t xml:space="preserve">The Pre-sub-committee response noted some patients with moderate renal impairment (baseline </w:t>
      </w:r>
      <w:proofErr w:type="spellStart"/>
      <w:r w:rsidR="00E72D1D" w:rsidRPr="00133D2E">
        <w:rPr>
          <w:szCs w:val="24"/>
        </w:rPr>
        <w:t>CrCl</w:t>
      </w:r>
      <w:proofErr w:type="spellEnd"/>
      <w:r w:rsidR="00E72D1D" w:rsidRPr="00133D2E">
        <w:rPr>
          <w:szCs w:val="24"/>
        </w:rPr>
        <w:t xml:space="preserve"> &lt;60</w:t>
      </w:r>
      <w:r w:rsidR="00A30407">
        <w:rPr>
          <w:szCs w:val="24"/>
        </w:rPr>
        <w:t>ml/min</w:t>
      </w:r>
      <w:r w:rsidR="00E72D1D" w:rsidRPr="00133D2E">
        <w:rPr>
          <w:szCs w:val="24"/>
        </w:rPr>
        <w:t xml:space="preserve">) were enrolled in the trial and the incidence of renal events </w:t>
      </w:r>
      <w:r w:rsidR="00E72D1D" w:rsidRPr="004A4ECB">
        <w:rPr>
          <w:szCs w:val="24"/>
        </w:rPr>
        <w:t>in this group was 26.4% in the zoledronic acid arm and 12.9% in the denosumab arm.</w:t>
      </w:r>
    </w:p>
    <w:p w:rsidR="00BA4654" w:rsidRPr="004A4ECB" w:rsidRDefault="00BA4654" w:rsidP="00BA4654">
      <w:pPr>
        <w:pStyle w:val="ListParagraph"/>
        <w:widowControl/>
        <w:numPr>
          <w:ilvl w:val="1"/>
          <w:numId w:val="29"/>
        </w:numPr>
        <w:spacing w:after="120"/>
        <w:rPr>
          <w:rFonts w:asciiTheme="minorHAnsi" w:hAnsiTheme="minorHAnsi"/>
          <w:szCs w:val="20"/>
        </w:rPr>
      </w:pPr>
      <w:r w:rsidRPr="004A4ECB">
        <w:rPr>
          <w:rFonts w:asciiTheme="minorHAnsi" w:hAnsiTheme="minorHAnsi"/>
          <w:szCs w:val="20"/>
        </w:rPr>
        <w:t xml:space="preserve">The PBAC considered that the claim of superior comparative effectiveness </w:t>
      </w:r>
      <w:r w:rsidR="004A4ECB" w:rsidRPr="004A4ECB">
        <w:rPr>
          <w:rFonts w:asciiTheme="minorHAnsi" w:hAnsiTheme="minorHAnsi"/>
          <w:szCs w:val="20"/>
        </w:rPr>
        <w:t xml:space="preserve">based on PFS </w:t>
      </w:r>
      <w:r w:rsidRPr="004A4ECB">
        <w:rPr>
          <w:rFonts w:asciiTheme="minorHAnsi" w:hAnsiTheme="minorHAnsi"/>
          <w:szCs w:val="20"/>
        </w:rPr>
        <w:t>was not adequately supported by the data.</w:t>
      </w:r>
      <w:r w:rsidR="004A4ECB" w:rsidRPr="004A4ECB">
        <w:rPr>
          <w:rFonts w:asciiTheme="minorHAnsi" w:hAnsiTheme="minorHAnsi"/>
          <w:szCs w:val="20"/>
        </w:rPr>
        <w:t xml:space="preserve"> The PBAC considered that the claim of non-inferior effectiveness based on SREs was adequately supported by the data.</w:t>
      </w:r>
    </w:p>
    <w:p w:rsidR="00BA4654" w:rsidRPr="004A4ECB" w:rsidRDefault="00BA4654" w:rsidP="001377E2">
      <w:pPr>
        <w:pStyle w:val="ListParagraph"/>
        <w:widowControl/>
        <w:numPr>
          <w:ilvl w:val="1"/>
          <w:numId w:val="29"/>
        </w:numPr>
        <w:spacing w:before="120" w:afterLines="160" w:after="384"/>
        <w:rPr>
          <w:rFonts w:asciiTheme="minorHAnsi" w:hAnsiTheme="minorHAnsi"/>
          <w:szCs w:val="20"/>
        </w:rPr>
      </w:pPr>
      <w:r w:rsidRPr="004A4ECB">
        <w:rPr>
          <w:rFonts w:asciiTheme="minorHAnsi" w:hAnsiTheme="minorHAnsi"/>
          <w:szCs w:val="20"/>
        </w:rPr>
        <w:t xml:space="preserve">The PBAC considered that the claim of </w:t>
      </w:r>
      <w:r w:rsidR="004A4ECB" w:rsidRPr="004A4ECB">
        <w:rPr>
          <w:rFonts w:asciiTheme="minorHAnsi" w:hAnsiTheme="minorHAnsi"/>
          <w:szCs w:val="20"/>
        </w:rPr>
        <w:t>similar</w:t>
      </w:r>
      <w:r w:rsidRPr="004A4ECB">
        <w:rPr>
          <w:rFonts w:asciiTheme="minorHAnsi" w:hAnsiTheme="minorHAnsi"/>
          <w:szCs w:val="20"/>
        </w:rPr>
        <w:t xml:space="preserve"> co</w:t>
      </w:r>
      <w:r w:rsidR="004A4ECB" w:rsidRPr="004A4ECB">
        <w:rPr>
          <w:rFonts w:asciiTheme="minorHAnsi" w:hAnsiTheme="minorHAnsi"/>
          <w:szCs w:val="20"/>
        </w:rPr>
        <w:t>mparative safety was reasonable</w:t>
      </w:r>
      <w:r w:rsidRPr="004A4ECB">
        <w:rPr>
          <w:rFonts w:asciiTheme="minorHAnsi" w:hAnsiTheme="minorHAnsi"/>
          <w:szCs w:val="20"/>
        </w:rPr>
        <w:t>.</w:t>
      </w:r>
    </w:p>
    <w:p w:rsidR="00B60939" w:rsidRPr="006D7E46" w:rsidRDefault="00B60939" w:rsidP="001377E2">
      <w:pPr>
        <w:pStyle w:val="Heading2"/>
        <w:spacing w:before="120" w:afterLines="160" w:after="384"/>
      </w:pPr>
      <w:bookmarkStart w:id="11" w:name="_Toc514234391"/>
      <w:r w:rsidRPr="006D7E46">
        <w:t>Economic analysis</w:t>
      </w:r>
      <w:bookmarkEnd w:id="11"/>
      <w:r w:rsidR="00491B3A" w:rsidRPr="006D7E46">
        <w:t xml:space="preserve"> </w:t>
      </w:r>
    </w:p>
    <w:p w:rsidR="00275C5A" w:rsidRPr="00150ABE" w:rsidRDefault="003D1DE1" w:rsidP="001377E2">
      <w:pPr>
        <w:pStyle w:val="ListParagraph"/>
        <w:widowControl/>
        <w:numPr>
          <w:ilvl w:val="1"/>
          <w:numId w:val="29"/>
        </w:numPr>
        <w:spacing w:afterLines="160" w:after="384"/>
      </w:pPr>
      <w:r w:rsidRPr="00150ABE">
        <w:t xml:space="preserve">The submission presented a modelled economic evaluation assessing the cost-effectiveness of denosumab compared with zoledronic acid based on the whole trial population with newly diagnosed symptomatic multiple myeloma (≥1 bone lesion) who are receiving </w:t>
      </w:r>
      <w:proofErr w:type="spellStart"/>
      <w:r w:rsidRPr="00150ABE">
        <w:t>antimyeloma</w:t>
      </w:r>
      <w:proofErr w:type="spellEnd"/>
      <w:r w:rsidRPr="00150ABE">
        <w:t xml:space="preserve"> treatment. The comparison was based on the denosumab and zoledronic acid trial arms from Study 482. </w:t>
      </w:r>
    </w:p>
    <w:p w:rsidR="00275C5A" w:rsidRPr="00150ABE" w:rsidRDefault="00275C5A" w:rsidP="00017FFE">
      <w:pPr>
        <w:keepNext/>
        <w:rPr>
          <w:rStyle w:val="CommentReference"/>
        </w:rPr>
      </w:pPr>
      <w:r w:rsidRPr="00150ABE">
        <w:rPr>
          <w:rStyle w:val="CommentReference"/>
        </w:rPr>
        <w:lastRenderedPageBreak/>
        <w:t xml:space="preserve">Table </w:t>
      </w:r>
      <w:r w:rsidR="003D1DE1" w:rsidRPr="00150ABE">
        <w:rPr>
          <w:rStyle w:val="CommentReference"/>
        </w:rPr>
        <w:t>7</w:t>
      </w:r>
      <w:r w:rsidRPr="00150ABE">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1"/>
        <w:gridCol w:w="6362"/>
      </w:tblGrid>
      <w:tr w:rsidR="003D1DE1" w:rsidRPr="00150ABE" w:rsidTr="003D1DE1">
        <w:tc>
          <w:tcPr>
            <w:tcW w:w="1498" w:type="pct"/>
            <w:vAlign w:val="center"/>
          </w:tcPr>
          <w:p w:rsidR="003D1DE1" w:rsidRPr="00150ABE" w:rsidRDefault="003D1DE1" w:rsidP="00017FFE">
            <w:pPr>
              <w:pStyle w:val="Tabletext"/>
              <w:keepNext/>
              <w:rPr>
                <w:b/>
              </w:rPr>
            </w:pPr>
            <w:r w:rsidRPr="00150ABE">
              <w:rPr>
                <w:b/>
              </w:rPr>
              <w:t>Component</w:t>
            </w:r>
          </w:p>
        </w:tc>
        <w:tc>
          <w:tcPr>
            <w:tcW w:w="3502" w:type="pct"/>
          </w:tcPr>
          <w:p w:rsidR="003D1DE1" w:rsidRPr="00150ABE" w:rsidRDefault="003D1DE1" w:rsidP="00017FFE">
            <w:pPr>
              <w:pStyle w:val="Tabletext"/>
              <w:keepNext/>
              <w:jc w:val="center"/>
              <w:rPr>
                <w:b/>
              </w:rPr>
            </w:pPr>
            <w:r w:rsidRPr="00150ABE">
              <w:rPr>
                <w:b/>
              </w:rPr>
              <w:t>Description</w:t>
            </w:r>
          </w:p>
        </w:tc>
      </w:tr>
      <w:tr w:rsidR="003D1DE1" w:rsidRPr="00150ABE" w:rsidTr="003D1DE1">
        <w:tc>
          <w:tcPr>
            <w:tcW w:w="1498" w:type="pct"/>
            <w:vAlign w:val="center"/>
          </w:tcPr>
          <w:p w:rsidR="003D1DE1" w:rsidRPr="00150ABE" w:rsidRDefault="003D1DE1" w:rsidP="00017FFE">
            <w:pPr>
              <w:pStyle w:val="Tabletext"/>
              <w:keepNext/>
            </w:pPr>
            <w:r w:rsidRPr="00150ABE">
              <w:t>Type of analysis</w:t>
            </w:r>
          </w:p>
        </w:tc>
        <w:tc>
          <w:tcPr>
            <w:tcW w:w="3502" w:type="pct"/>
          </w:tcPr>
          <w:p w:rsidR="003D1DE1" w:rsidRPr="00150ABE" w:rsidRDefault="003D1DE1" w:rsidP="00017FFE">
            <w:pPr>
              <w:pStyle w:val="Tabletext"/>
              <w:keepNext/>
            </w:pPr>
            <w:r w:rsidRPr="00150ABE">
              <w:t>Cost-utility analysis</w:t>
            </w:r>
          </w:p>
        </w:tc>
      </w:tr>
      <w:tr w:rsidR="003D1DE1" w:rsidRPr="00150ABE" w:rsidTr="003D1DE1">
        <w:tc>
          <w:tcPr>
            <w:tcW w:w="1498" w:type="pct"/>
            <w:vAlign w:val="center"/>
          </w:tcPr>
          <w:p w:rsidR="003D1DE1" w:rsidRPr="00150ABE" w:rsidRDefault="003D1DE1" w:rsidP="00017FFE">
            <w:pPr>
              <w:pStyle w:val="Tabletext"/>
              <w:keepNext/>
            </w:pPr>
            <w:r w:rsidRPr="00150ABE">
              <w:t>Methods used to generate results</w:t>
            </w:r>
          </w:p>
        </w:tc>
        <w:tc>
          <w:tcPr>
            <w:tcW w:w="3502" w:type="pct"/>
          </w:tcPr>
          <w:p w:rsidR="003D1DE1" w:rsidRPr="00150ABE" w:rsidRDefault="003D1DE1" w:rsidP="00017FFE">
            <w:pPr>
              <w:pStyle w:val="Tabletext"/>
              <w:keepNext/>
            </w:pPr>
            <w:r w:rsidRPr="00150ABE">
              <w:t>Cohort expected value, partitioned survival model</w:t>
            </w:r>
          </w:p>
        </w:tc>
      </w:tr>
      <w:tr w:rsidR="003D1DE1" w:rsidRPr="00150ABE" w:rsidTr="003D1DE1">
        <w:tc>
          <w:tcPr>
            <w:tcW w:w="1498" w:type="pct"/>
            <w:vAlign w:val="center"/>
          </w:tcPr>
          <w:p w:rsidR="003D1DE1" w:rsidRPr="00150ABE" w:rsidRDefault="003D1DE1" w:rsidP="00017FFE">
            <w:pPr>
              <w:pStyle w:val="Tabletext"/>
              <w:keepNext/>
            </w:pPr>
            <w:r w:rsidRPr="00150ABE">
              <w:t>Time horizon</w:t>
            </w:r>
          </w:p>
        </w:tc>
        <w:tc>
          <w:tcPr>
            <w:tcW w:w="3502" w:type="pct"/>
          </w:tcPr>
          <w:p w:rsidR="003D1DE1" w:rsidRPr="00150ABE" w:rsidRDefault="003D1DE1" w:rsidP="00017FFE">
            <w:pPr>
              <w:pStyle w:val="Tabletext"/>
              <w:keepNext/>
            </w:pPr>
            <w:r w:rsidRPr="00150ABE">
              <w:t>20 years in the model base case vs. max</w:t>
            </w:r>
            <w:r w:rsidR="00992CFB" w:rsidRPr="00150ABE">
              <w:t>imum</w:t>
            </w:r>
            <w:r w:rsidRPr="00150ABE">
              <w:t xml:space="preserve"> follow-up of 45 months in the key trial</w:t>
            </w:r>
          </w:p>
        </w:tc>
      </w:tr>
      <w:tr w:rsidR="003D1DE1" w:rsidRPr="00150ABE" w:rsidTr="003D1DE1">
        <w:tc>
          <w:tcPr>
            <w:tcW w:w="1498" w:type="pct"/>
            <w:vAlign w:val="center"/>
          </w:tcPr>
          <w:p w:rsidR="003D1DE1" w:rsidRPr="00150ABE" w:rsidRDefault="003D1DE1" w:rsidP="00017FFE">
            <w:pPr>
              <w:pStyle w:val="Tabletext"/>
              <w:keepNext/>
            </w:pPr>
            <w:r w:rsidRPr="00150ABE">
              <w:t>Cycle length</w:t>
            </w:r>
          </w:p>
        </w:tc>
        <w:tc>
          <w:tcPr>
            <w:tcW w:w="3502" w:type="pct"/>
          </w:tcPr>
          <w:p w:rsidR="003D1DE1" w:rsidRPr="00150ABE" w:rsidRDefault="003D1DE1" w:rsidP="00017FFE">
            <w:pPr>
              <w:pStyle w:val="Tabletext"/>
              <w:keepNext/>
            </w:pPr>
            <w:r w:rsidRPr="00150ABE">
              <w:t>28 days</w:t>
            </w:r>
          </w:p>
        </w:tc>
      </w:tr>
      <w:tr w:rsidR="003D1DE1" w:rsidRPr="00150ABE" w:rsidTr="003D1DE1">
        <w:tc>
          <w:tcPr>
            <w:tcW w:w="1498" w:type="pct"/>
            <w:vAlign w:val="center"/>
          </w:tcPr>
          <w:p w:rsidR="003D1DE1" w:rsidRPr="00150ABE" w:rsidRDefault="003D1DE1" w:rsidP="00017FFE">
            <w:pPr>
              <w:pStyle w:val="Tabletext"/>
              <w:keepNext/>
            </w:pPr>
            <w:r w:rsidRPr="00150ABE">
              <w:t>Discounting</w:t>
            </w:r>
          </w:p>
        </w:tc>
        <w:tc>
          <w:tcPr>
            <w:tcW w:w="3502" w:type="pct"/>
          </w:tcPr>
          <w:p w:rsidR="003D1DE1" w:rsidRPr="00150ABE" w:rsidRDefault="003D1DE1" w:rsidP="00017FFE">
            <w:pPr>
              <w:pStyle w:val="Tabletext"/>
              <w:keepNext/>
            </w:pPr>
            <w:r w:rsidRPr="00150ABE">
              <w:t>5% for costs and outcomes, applied per 28-day cycle</w:t>
            </w:r>
          </w:p>
        </w:tc>
      </w:tr>
      <w:tr w:rsidR="003D1DE1" w:rsidRPr="00150ABE" w:rsidTr="003D1DE1">
        <w:tc>
          <w:tcPr>
            <w:tcW w:w="1498" w:type="pct"/>
            <w:vAlign w:val="center"/>
          </w:tcPr>
          <w:p w:rsidR="003D1DE1" w:rsidRPr="00150ABE" w:rsidRDefault="003D1DE1" w:rsidP="00017FFE">
            <w:pPr>
              <w:pStyle w:val="Tabletext"/>
              <w:keepNext/>
            </w:pPr>
            <w:r w:rsidRPr="00150ABE">
              <w:t>Population</w:t>
            </w:r>
          </w:p>
        </w:tc>
        <w:tc>
          <w:tcPr>
            <w:tcW w:w="3502" w:type="pct"/>
          </w:tcPr>
          <w:p w:rsidR="003D1DE1" w:rsidRPr="00150ABE" w:rsidRDefault="003D1DE1" w:rsidP="00017FFE">
            <w:pPr>
              <w:pStyle w:val="Tabletext"/>
              <w:keepNext/>
            </w:pPr>
            <w:r w:rsidRPr="00150ABE">
              <w:t xml:space="preserve">Study 482 trial population; newly diagnosed multiple myeloma patients with bone lesions who are receiving </w:t>
            </w:r>
            <w:proofErr w:type="spellStart"/>
            <w:r w:rsidRPr="00150ABE">
              <w:t>antimyeloma</w:t>
            </w:r>
            <w:proofErr w:type="spellEnd"/>
            <w:r w:rsidRPr="00150ABE">
              <w:t xml:space="preserve"> treatment</w:t>
            </w:r>
          </w:p>
        </w:tc>
      </w:tr>
      <w:tr w:rsidR="003D1DE1" w:rsidRPr="00150ABE" w:rsidTr="003D1DE1">
        <w:tc>
          <w:tcPr>
            <w:tcW w:w="1498" w:type="pct"/>
            <w:vAlign w:val="center"/>
          </w:tcPr>
          <w:p w:rsidR="003D1DE1" w:rsidRPr="00150ABE" w:rsidRDefault="003D1DE1" w:rsidP="00017FFE">
            <w:pPr>
              <w:pStyle w:val="Tabletext"/>
              <w:keepNext/>
            </w:pPr>
            <w:r w:rsidRPr="00150ABE">
              <w:t>Health states</w:t>
            </w:r>
          </w:p>
        </w:tc>
        <w:tc>
          <w:tcPr>
            <w:tcW w:w="3502" w:type="pct"/>
          </w:tcPr>
          <w:p w:rsidR="003D1DE1" w:rsidRPr="00150ABE" w:rsidRDefault="003D1DE1" w:rsidP="00017FFE">
            <w:pPr>
              <w:pStyle w:val="Tabletext"/>
              <w:keepNext/>
            </w:pPr>
            <w:r w:rsidRPr="00150ABE">
              <w:t>On treatment, off treatment, pre-progression, post-progression, death</w:t>
            </w:r>
          </w:p>
        </w:tc>
      </w:tr>
      <w:tr w:rsidR="003D1DE1" w:rsidRPr="00150ABE" w:rsidTr="003D1DE1">
        <w:tc>
          <w:tcPr>
            <w:tcW w:w="1498" w:type="pct"/>
            <w:vAlign w:val="center"/>
          </w:tcPr>
          <w:p w:rsidR="003D1DE1" w:rsidRPr="00150ABE" w:rsidRDefault="003D1DE1" w:rsidP="00017FFE">
            <w:pPr>
              <w:pStyle w:val="Tabletext"/>
              <w:keepNext/>
            </w:pPr>
            <w:r w:rsidRPr="00150ABE">
              <w:t>Outcomes</w:t>
            </w:r>
          </w:p>
        </w:tc>
        <w:tc>
          <w:tcPr>
            <w:tcW w:w="3502" w:type="pct"/>
          </w:tcPr>
          <w:p w:rsidR="003D1DE1" w:rsidRPr="00150ABE" w:rsidRDefault="003D1DE1" w:rsidP="00017FFE">
            <w:pPr>
              <w:pStyle w:val="Tabletext"/>
              <w:keepNext/>
            </w:pPr>
            <w:r w:rsidRPr="00150ABE">
              <w:t>Months of progression-free survival, quality-adjusted life years</w:t>
            </w:r>
          </w:p>
        </w:tc>
      </w:tr>
      <w:tr w:rsidR="003D1DE1" w:rsidRPr="00150ABE" w:rsidTr="003D1DE1">
        <w:tc>
          <w:tcPr>
            <w:tcW w:w="1498" w:type="pct"/>
            <w:vAlign w:val="center"/>
          </w:tcPr>
          <w:p w:rsidR="003D1DE1" w:rsidRPr="00150ABE" w:rsidRDefault="003D1DE1" w:rsidP="00017FFE">
            <w:pPr>
              <w:pStyle w:val="Tabletext"/>
              <w:keepNext/>
            </w:pPr>
            <w:r w:rsidRPr="00150ABE">
              <w:t>Extrapolation method</w:t>
            </w:r>
          </w:p>
        </w:tc>
        <w:tc>
          <w:tcPr>
            <w:tcW w:w="3502" w:type="pct"/>
          </w:tcPr>
          <w:p w:rsidR="003D1DE1" w:rsidRPr="00150ABE" w:rsidRDefault="003D1DE1" w:rsidP="00017FFE">
            <w:pPr>
              <w:pStyle w:val="Tabletext"/>
              <w:keepNext/>
            </w:pPr>
            <w:r w:rsidRPr="00150ABE">
              <w:t>Overall survival was extrapolated using a Weibull curve based on pooled data from both trial arms in Study 482 (same curve for both arms in the model).</w:t>
            </w:r>
          </w:p>
          <w:p w:rsidR="003D1DE1" w:rsidRPr="00150ABE" w:rsidRDefault="003D1DE1" w:rsidP="00017FFE">
            <w:pPr>
              <w:pStyle w:val="Tabletext"/>
              <w:keepNext/>
            </w:pPr>
            <w:r w:rsidRPr="00150ABE">
              <w:t>Progression-free survival curves were extrapolated using a generalised gamma curve based on individual arms in Study 482 (separate curves for each arm in the model).</w:t>
            </w:r>
          </w:p>
          <w:p w:rsidR="003D1DE1" w:rsidRPr="00150ABE" w:rsidRDefault="003D1DE1" w:rsidP="00017FFE">
            <w:pPr>
              <w:pStyle w:val="Tabletext"/>
              <w:keepNext/>
            </w:pPr>
            <w:r w:rsidRPr="00150ABE">
              <w:t xml:space="preserve">Time on treatment was extrapolated using a Weibull curve based on pooled data from both trial arms in Study 482 (same curve for both arms in the model). </w:t>
            </w:r>
          </w:p>
        </w:tc>
      </w:tr>
      <w:tr w:rsidR="003D1DE1" w:rsidRPr="00150ABE" w:rsidTr="003D1DE1">
        <w:tc>
          <w:tcPr>
            <w:tcW w:w="1498" w:type="pct"/>
            <w:vAlign w:val="center"/>
          </w:tcPr>
          <w:p w:rsidR="003D1DE1" w:rsidRPr="00150ABE" w:rsidRDefault="003D1DE1" w:rsidP="00017FFE">
            <w:pPr>
              <w:pStyle w:val="Tabletext"/>
              <w:keepNext/>
            </w:pPr>
            <w:r w:rsidRPr="00150ABE">
              <w:t>Software package</w:t>
            </w:r>
          </w:p>
        </w:tc>
        <w:tc>
          <w:tcPr>
            <w:tcW w:w="3502" w:type="pct"/>
          </w:tcPr>
          <w:p w:rsidR="003D1DE1" w:rsidRPr="00150ABE" w:rsidRDefault="003D1DE1" w:rsidP="00017FFE">
            <w:pPr>
              <w:pStyle w:val="Tabletext"/>
              <w:keepNext/>
            </w:pPr>
            <w:r w:rsidRPr="00150ABE">
              <w:t>Excel 2010</w:t>
            </w:r>
          </w:p>
        </w:tc>
      </w:tr>
    </w:tbl>
    <w:p w:rsidR="003D1DE1" w:rsidRPr="00150ABE" w:rsidRDefault="003D1DE1" w:rsidP="00017FFE">
      <w:pPr>
        <w:pStyle w:val="TableFooter"/>
        <w:keepNext/>
        <w:rPr>
          <w:sz w:val="20"/>
        </w:rPr>
      </w:pPr>
      <w:r w:rsidRPr="00150ABE">
        <w:t>Source: Table 3.1-1, p43 and ‘XGEVA MM economic model’ Excel workbook, Appendix 7 of the submission</w:t>
      </w:r>
    </w:p>
    <w:p w:rsidR="003D1DE1" w:rsidRPr="00150ABE" w:rsidRDefault="003D1DE1" w:rsidP="003270E4">
      <w:pPr>
        <w:rPr>
          <w:rStyle w:val="CommentReference"/>
        </w:rPr>
      </w:pPr>
    </w:p>
    <w:p w:rsidR="00CA177F" w:rsidRPr="00133D2E" w:rsidRDefault="0010115C" w:rsidP="004D1C86">
      <w:pPr>
        <w:pStyle w:val="ListParagraph"/>
        <w:widowControl/>
        <w:numPr>
          <w:ilvl w:val="1"/>
          <w:numId w:val="29"/>
        </w:numPr>
      </w:pPr>
      <w:r w:rsidRPr="00C4039A">
        <w:t>The ESC considered the</w:t>
      </w:r>
      <w:r>
        <w:t xml:space="preserve"> </w:t>
      </w:r>
      <w:r w:rsidR="003D1DE1" w:rsidRPr="00150ABE">
        <w:t>submission did not adequately justify a cost-utility analysis comparing denosumab with zoledronic acid given the clinical evidence presented supported a non-inferiority claim between treatments for the prevention of skeletal related events and lack of robust evidence to support the submission’s claim of superiority in terms of progression-free survival. It may have been more appropriate to present a cost-minimisation analysis.</w:t>
      </w:r>
      <w:r w:rsidR="00CA177F">
        <w:t xml:space="preserve"> </w:t>
      </w:r>
      <w:r w:rsidR="00CA177F" w:rsidRPr="00133D2E">
        <w:t xml:space="preserve">The ESC noted from the PSCR that the sponsor </w:t>
      </w:r>
      <w:r w:rsidR="00A34F67" w:rsidRPr="00133D2E">
        <w:rPr>
          <w:szCs w:val="24"/>
        </w:rPr>
        <w:t>is willing to reduce the price of denosumab to address the economic issues and secure a listing in multiple myeloma however,</w:t>
      </w:r>
      <w:r w:rsidR="00A34F67" w:rsidRPr="00133D2E">
        <w:t xml:space="preserve"> </w:t>
      </w:r>
      <w:r w:rsidR="00CA177F" w:rsidRPr="00133D2E">
        <w:t>would not be able to move forward with a listing at a price based on a cost-minimisation recommendation.</w:t>
      </w:r>
    </w:p>
    <w:p w:rsidR="001C4DCA" w:rsidRPr="00150ABE" w:rsidRDefault="0010115C" w:rsidP="004D1C86">
      <w:pPr>
        <w:pStyle w:val="ListParagraph"/>
        <w:widowControl/>
        <w:numPr>
          <w:ilvl w:val="1"/>
          <w:numId w:val="29"/>
        </w:numPr>
      </w:pPr>
      <w:r w:rsidRPr="00133D2E">
        <w:t xml:space="preserve">The model structure had three </w:t>
      </w:r>
      <w:r w:rsidR="00A34F67" w:rsidRPr="00133D2E">
        <w:t>health states</w:t>
      </w:r>
      <w:r w:rsidRPr="00133D2E">
        <w:t xml:space="preserve">; on/off treatment, progressed/not </w:t>
      </w:r>
      <w:proofErr w:type="gramStart"/>
      <w:r w:rsidRPr="00133D2E">
        <w:t>progressed</w:t>
      </w:r>
      <w:proofErr w:type="gramEnd"/>
      <w:r w:rsidRPr="00133D2E">
        <w:t xml:space="preserve"> disease and the absorbing state of death. </w:t>
      </w:r>
      <w:r w:rsidR="001C4DCA" w:rsidRPr="00133D2E">
        <w:t>The submission</w:t>
      </w:r>
      <w:r w:rsidR="001C4DCA" w:rsidRPr="00150ABE">
        <w:t xml:space="preserve"> stated that the health states were modelled </w:t>
      </w:r>
      <w:proofErr w:type="gramStart"/>
      <w:r w:rsidR="001C4DCA" w:rsidRPr="00150ABE">
        <w:t>independently,</w:t>
      </w:r>
      <w:proofErr w:type="gramEnd"/>
      <w:r w:rsidR="001C4DCA" w:rsidRPr="00150ABE">
        <w:t xml:space="preserve"> however, they were not mu</w:t>
      </w:r>
      <w:r w:rsidR="0088516C" w:rsidRPr="00150ABE">
        <w:t>tually exclusive. There was no</w:t>
      </w:r>
      <w:r w:rsidR="001C4DCA" w:rsidRPr="00150ABE">
        <w:t xml:space="preserve"> direct relationship between the on/off treatment states and the pre/post-progression states. The model structure implicitly assumes no treatment effect on the risk of disease progression which appears inconsistent with the submission’s claim of improved progression-free survival associated with denosumab treatment. The impact of this structural uncertainty is unclear as it was not possible to derive the proportions of patients in mutually exclusive states (e.g. pre-progression on treatment or pre-progression off treatment).</w:t>
      </w:r>
    </w:p>
    <w:p w:rsidR="00275C5A" w:rsidRPr="00150ABE" w:rsidRDefault="003D1DE1" w:rsidP="004D1C86">
      <w:pPr>
        <w:pStyle w:val="ListParagraph"/>
        <w:widowControl/>
        <w:numPr>
          <w:ilvl w:val="1"/>
          <w:numId w:val="29"/>
        </w:numPr>
      </w:pPr>
      <w:r w:rsidRPr="00150ABE">
        <w:t>Key issues with the economic model in the submission are summarised in the following table.</w:t>
      </w:r>
    </w:p>
    <w:p w:rsidR="00D110BD" w:rsidRPr="00150ABE" w:rsidRDefault="00D110BD" w:rsidP="00D56BF2">
      <w:pPr>
        <w:keepNext/>
        <w:keepLines/>
        <w:spacing w:before="120"/>
        <w:rPr>
          <w:rStyle w:val="CommentReference"/>
        </w:rPr>
      </w:pPr>
      <w:r w:rsidRPr="00150ABE">
        <w:rPr>
          <w:rStyle w:val="CommentReference"/>
        </w:rPr>
        <w:lastRenderedPageBreak/>
        <w:t xml:space="preserve">Table </w:t>
      </w:r>
      <w:r w:rsidR="003D1DE1" w:rsidRPr="00150ABE">
        <w:rPr>
          <w:rStyle w:val="CommentReference"/>
        </w:rPr>
        <w:t>8</w:t>
      </w:r>
      <w:r w:rsidRPr="00150ABE">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5"/>
        <w:gridCol w:w="6661"/>
        <w:gridCol w:w="1117"/>
      </w:tblGrid>
      <w:tr w:rsidR="00537182" w:rsidRPr="00150ABE" w:rsidTr="00E27F0A">
        <w:trPr>
          <w:tblHeader/>
        </w:trPr>
        <w:tc>
          <w:tcPr>
            <w:tcW w:w="718" w:type="pct"/>
            <w:shd w:val="clear" w:color="auto" w:fill="auto"/>
            <w:vAlign w:val="center"/>
          </w:tcPr>
          <w:p w:rsidR="00D110BD" w:rsidRPr="00150ABE" w:rsidRDefault="00D110BD" w:rsidP="00D56BF2">
            <w:pPr>
              <w:pStyle w:val="Tabletext"/>
              <w:keepNext/>
              <w:keepLines/>
              <w:spacing w:before="120"/>
              <w:rPr>
                <w:b/>
                <w:lang w:val="en-US"/>
              </w:rPr>
            </w:pPr>
            <w:r w:rsidRPr="00150ABE">
              <w:rPr>
                <w:b/>
                <w:lang w:val="en-US"/>
              </w:rPr>
              <w:t>Description</w:t>
            </w:r>
          </w:p>
        </w:tc>
        <w:tc>
          <w:tcPr>
            <w:tcW w:w="3667" w:type="pct"/>
            <w:shd w:val="clear" w:color="auto" w:fill="auto"/>
            <w:vAlign w:val="center"/>
          </w:tcPr>
          <w:p w:rsidR="00D110BD" w:rsidRPr="00150ABE" w:rsidRDefault="00D110BD" w:rsidP="00D56BF2">
            <w:pPr>
              <w:pStyle w:val="Tabletext"/>
              <w:keepNext/>
              <w:keepLines/>
              <w:spacing w:before="120"/>
              <w:jc w:val="center"/>
              <w:rPr>
                <w:b/>
                <w:lang w:val="en-US"/>
              </w:rPr>
            </w:pPr>
            <w:r w:rsidRPr="00150ABE">
              <w:rPr>
                <w:b/>
                <w:lang w:val="en-US"/>
              </w:rPr>
              <w:t>Method/Value</w:t>
            </w:r>
          </w:p>
        </w:tc>
        <w:tc>
          <w:tcPr>
            <w:tcW w:w="615" w:type="pct"/>
            <w:shd w:val="clear" w:color="auto" w:fill="auto"/>
            <w:vAlign w:val="center"/>
          </w:tcPr>
          <w:p w:rsidR="00D110BD" w:rsidRPr="00150ABE" w:rsidRDefault="00D110BD" w:rsidP="00D56BF2">
            <w:pPr>
              <w:pStyle w:val="Tabletext"/>
              <w:keepNext/>
              <w:keepLines/>
              <w:spacing w:before="120"/>
              <w:jc w:val="center"/>
              <w:rPr>
                <w:b/>
                <w:lang w:val="en-US"/>
              </w:rPr>
            </w:pPr>
            <w:r w:rsidRPr="00150ABE">
              <w:rPr>
                <w:b/>
                <w:lang w:val="en-US"/>
              </w:rPr>
              <w:t>Impact</w:t>
            </w:r>
          </w:p>
        </w:tc>
      </w:tr>
      <w:tr w:rsidR="00537182" w:rsidRPr="00150ABE" w:rsidTr="00E27F0A">
        <w:tc>
          <w:tcPr>
            <w:tcW w:w="718" w:type="pct"/>
            <w:shd w:val="clear" w:color="auto" w:fill="auto"/>
            <w:vAlign w:val="center"/>
          </w:tcPr>
          <w:p w:rsidR="00D110BD" w:rsidRPr="00150ABE" w:rsidRDefault="00CD7E5F" w:rsidP="00D56BF2">
            <w:pPr>
              <w:pStyle w:val="Tabletext"/>
              <w:keepNext/>
              <w:keepLines/>
              <w:spacing w:before="120"/>
              <w:rPr>
                <w:lang w:val="en-US"/>
              </w:rPr>
            </w:pPr>
            <w:r w:rsidRPr="00150ABE">
              <w:rPr>
                <w:lang w:val="en-US"/>
              </w:rPr>
              <w:t>Progression-free survival</w:t>
            </w:r>
          </w:p>
        </w:tc>
        <w:tc>
          <w:tcPr>
            <w:tcW w:w="3667" w:type="pct"/>
            <w:shd w:val="clear" w:color="auto" w:fill="auto"/>
            <w:vAlign w:val="center"/>
          </w:tcPr>
          <w:p w:rsidR="00106B80" w:rsidRPr="00150ABE" w:rsidRDefault="008920D4" w:rsidP="00D56BF2">
            <w:pPr>
              <w:pStyle w:val="Tabletext"/>
              <w:keepNext/>
              <w:keepLines/>
              <w:spacing w:before="120"/>
              <w:rPr>
                <w:lang w:val="en-US"/>
              </w:rPr>
            </w:pPr>
            <w:r w:rsidRPr="00150ABE">
              <w:rPr>
                <w:lang w:val="en-US"/>
              </w:rPr>
              <w:t xml:space="preserve">Modelled estimate of 8.3 months incremental gain in PFS associated with denosumab. </w:t>
            </w:r>
            <w:r w:rsidR="006E34C2" w:rsidRPr="00150ABE">
              <w:rPr>
                <w:lang w:val="en-US"/>
              </w:rPr>
              <w:t xml:space="preserve">It was unclear whether the incremental PFS from the trial could be directly applied in the model given </w:t>
            </w:r>
            <w:r w:rsidR="006A526A" w:rsidRPr="00150ABE">
              <w:rPr>
                <w:lang w:val="en-US"/>
              </w:rPr>
              <w:t>the outcome was of marginal statistical significance, not adjusted for multiplicity and subject to high risk of bias</w:t>
            </w:r>
            <w:r w:rsidR="006A526A" w:rsidRPr="00133D2E">
              <w:rPr>
                <w:lang w:val="en-US"/>
              </w:rPr>
              <w:t xml:space="preserve">. </w:t>
            </w:r>
            <w:r w:rsidR="003D2BF8" w:rsidRPr="00133D2E">
              <w:rPr>
                <w:lang w:val="en-US"/>
              </w:rPr>
              <w:t>The ESC did not consider the modelled approach based on this PFS outcome was appropriate.</w:t>
            </w:r>
            <w:r w:rsidR="003D2BF8">
              <w:rPr>
                <w:i/>
                <w:lang w:val="en-US"/>
              </w:rPr>
              <w:t xml:space="preserve"> </w:t>
            </w:r>
            <w:r w:rsidR="006A526A" w:rsidRPr="00150ABE">
              <w:rPr>
                <w:lang w:val="en-US"/>
              </w:rPr>
              <w:t xml:space="preserve">There were major concerns with the applicability of </w:t>
            </w:r>
            <w:r w:rsidR="00013AB5" w:rsidRPr="00150ABE">
              <w:rPr>
                <w:lang w:val="en-US"/>
              </w:rPr>
              <w:t xml:space="preserve">trial data to the target population </w:t>
            </w:r>
            <w:r w:rsidR="006A526A" w:rsidRPr="00150ABE">
              <w:rPr>
                <w:lang w:val="en-US"/>
              </w:rPr>
              <w:t xml:space="preserve">(e.g. dosing regimens and duration of therapy </w:t>
            </w:r>
            <w:r w:rsidR="00013AB5" w:rsidRPr="00150ABE">
              <w:rPr>
                <w:lang w:val="en-US"/>
              </w:rPr>
              <w:t xml:space="preserve">for bone disease treatments </w:t>
            </w:r>
            <w:r w:rsidR="006A526A" w:rsidRPr="00150ABE">
              <w:rPr>
                <w:lang w:val="en-US"/>
              </w:rPr>
              <w:t>beyond 1-2 years</w:t>
            </w:r>
            <w:r w:rsidR="00013AB5" w:rsidRPr="00150ABE">
              <w:rPr>
                <w:lang w:val="en-US"/>
              </w:rPr>
              <w:t xml:space="preserve">, background </w:t>
            </w:r>
            <w:proofErr w:type="spellStart"/>
            <w:r w:rsidR="00013AB5" w:rsidRPr="00150ABE">
              <w:rPr>
                <w:lang w:val="en-US"/>
              </w:rPr>
              <w:t>antimyeloma</w:t>
            </w:r>
            <w:proofErr w:type="spellEnd"/>
            <w:r w:rsidR="00013AB5" w:rsidRPr="00150ABE">
              <w:rPr>
                <w:lang w:val="en-US"/>
              </w:rPr>
              <w:t xml:space="preserve"> treatment regimens not used in Australian practice</w:t>
            </w:r>
            <w:r w:rsidR="006A526A" w:rsidRPr="00150ABE">
              <w:rPr>
                <w:lang w:val="en-US"/>
              </w:rPr>
              <w:t>).</w:t>
            </w:r>
          </w:p>
        </w:tc>
        <w:tc>
          <w:tcPr>
            <w:tcW w:w="615" w:type="pct"/>
            <w:shd w:val="clear" w:color="auto" w:fill="auto"/>
            <w:vAlign w:val="center"/>
          </w:tcPr>
          <w:p w:rsidR="00D110BD" w:rsidRPr="00150ABE" w:rsidRDefault="006A526A" w:rsidP="00D56BF2">
            <w:pPr>
              <w:pStyle w:val="Tabletext"/>
              <w:keepNext/>
              <w:keepLines/>
              <w:spacing w:before="120"/>
              <w:rPr>
                <w:lang w:val="en-US"/>
              </w:rPr>
            </w:pPr>
            <w:r w:rsidRPr="00150ABE">
              <w:rPr>
                <w:lang w:val="en-US"/>
              </w:rPr>
              <w:t>High, favours denosumab</w:t>
            </w:r>
          </w:p>
        </w:tc>
      </w:tr>
      <w:tr w:rsidR="00CD7E5F" w:rsidRPr="00150ABE" w:rsidTr="00E27F0A">
        <w:tc>
          <w:tcPr>
            <w:tcW w:w="718" w:type="pct"/>
            <w:shd w:val="clear" w:color="auto" w:fill="auto"/>
            <w:vAlign w:val="center"/>
          </w:tcPr>
          <w:p w:rsidR="00CD7E5F" w:rsidRPr="00150ABE" w:rsidRDefault="00CD7E5F" w:rsidP="003D1DE4">
            <w:pPr>
              <w:pStyle w:val="Tabletext"/>
              <w:rPr>
                <w:lang w:val="en-US"/>
              </w:rPr>
            </w:pPr>
            <w:r w:rsidRPr="00150ABE">
              <w:rPr>
                <w:lang w:val="en-US"/>
              </w:rPr>
              <w:t>Time horizon</w:t>
            </w:r>
          </w:p>
        </w:tc>
        <w:tc>
          <w:tcPr>
            <w:tcW w:w="3667" w:type="pct"/>
            <w:shd w:val="clear" w:color="auto" w:fill="auto"/>
            <w:vAlign w:val="center"/>
          </w:tcPr>
          <w:p w:rsidR="006E34C2" w:rsidRPr="00150ABE" w:rsidRDefault="001C4DCA" w:rsidP="003D1DE4">
            <w:pPr>
              <w:pStyle w:val="Tabletext"/>
              <w:rPr>
                <w:lang w:val="en-US"/>
              </w:rPr>
            </w:pPr>
            <w:r w:rsidRPr="00150ABE">
              <w:rPr>
                <w:lang w:val="en-US"/>
              </w:rPr>
              <w:t xml:space="preserve">20 years. The </w:t>
            </w:r>
            <w:r w:rsidR="006E34C2" w:rsidRPr="00150ABE">
              <w:rPr>
                <w:lang w:val="en-US"/>
              </w:rPr>
              <w:t>submission claimed this was reasonable based on previous PBAC considerations of first-line myeloma treatments that included 15 year time horizons (</w:t>
            </w:r>
            <w:r w:rsidR="006E34C2" w:rsidRPr="00150ABE">
              <w:t>lenalidomide PSD, November 2015; thalidomide PSD, March 2009).</w:t>
            </w:r>
          </w:p>
          <w:p w:rsidR="00CD7E5F" w:rsidRPr="00150ABE" w:rsidRDefault="006E34C2" w:rsidP="00013AB5">
            <w:pPr>
              <w:pStyle w:val="Tabletext"/>
            </w:pPr>
            <w:r w:rsidRPr="00150ABE">
              <w:t>The submission also noted that the population in Study 482 was younger than the trial population considered in the November 2015 lenalidomide submission. While it is possible that a longer time horizon (e.g. 15 years) is appropriate for younger patients, this was previously</w:t>
            </w:r>
            <w:r w:rsidR="00013AB5" w:rsidRPr="00150ABE">
              <w:t xml:space="preserve"> considered in the context of improved overall </w:t>
            </w:r>
            <w:r w:rsidRPr="00150ABE">
              <w:t>su</w:t>
            </w:r>
            <w:r w:rsidR="00E27F0A" w:rsidRPr="00150ABE">
              <w:t>rvival. The submission claimed</w:t>
            </w:r>
            <w:r w:rsidR="00013AB5" w:rsidRPr="00150ABE">
              <w:t xml:space="preserve"> no survival advantage for denosumab compared to zoledronic acid. </w:t>
            </w:r>
          </w:p>
        </w:tc>
        <w:tc>
          <w:tcPr>
            <w:tcW w:w="615" w:type="pct"/>
            <w:shd w:val="clear" w:color="auto" w:fill="auto"/>
            <w:vAlign w:val="center"/>
          </w:tcPr>
          <w:p w:rsidR="00CD7E5F" w:rsidRPr="00150ABE" w:rsidRDefault="006E34C2" w:rsidP="003D1DE4">
            <w:pPr>
              <w:pStyle w:val="Tabletext"/>
              <w:rPr>
                <w:lang w:val="en-US"/>
              </w:rPr>
            </w:pPr>
            <w:r w:rsidRPr="00150ABE">
              <w:rPr>
                <w:lang w:val="en-US"/>
              </w:rPr>
              <w:t>High, favours denosumab</w:t>
            </w:r>
          </w:p>
        </w:tc>
      </w:tr>
      <w:tr w:rsidR="00537182" w:rsidRPr="00150ABE" w:rsidTr="00E27F0A">
        <w:tc>
          <w:tcPr>
            <w:tcW w:w="718" w:type="pct"/>
            <w:shd w:val="clear" w:color="auto" w:fill="auto"/>
            <w:vAlign w:val="center"/>
          </w:tcPr>
          <w:p w:rsidR="00D110BD" w:rsidRPr="00150ABE" w:rsidRDefault="00106B80" w:rsidP="003D1DE4">
            <w:pPr>
              <w:pStyle w:val="Tabletext"/>
              <w:rPr>
                <w:lang w:val="en-US"/>
              </w:rPr>
            </w:pPr>
            <w:r w:rsidRPr="00150ABE">
              <w:rPr>
                <w:lang w:val="en-US"/>
              </w:rPr>
              <w:t>Utilities</w:t>
            </w:r>
          </w:p>
        </w:tc>
        <w:tc>
          <w:tcPr>
            <w:tcW w:w="3667" w:type="pct"/>
            <w:shd w:val="clear" w:color="auto" w:fill="auto"/>
            <w:vAlign w:val="center"/>
          </w:tcPr>
          <w:p w:rsidR="00A804D9" w:rsidRPr="00150ABE" w:rsidRDefault="006A526A" w:rsidP="00A804D9">
            <w:pPr>
              <w:pStyle w:val="Tabletext"/>
            </w:pPr>
            <w:r w:rsidRPr="00150ABE">
              <w:rPr>
                <w:lang w:val="en-US"/>
              </w:rPr>
              <w:t xml:space="preserve">Baseline (pre-progression) utility of </w:t>
            </w:r>
            <w:r w:rsidR="00604FF7">
              <w:rPr>
                <w:noProof/>
                <w:color w:val="000000"/>
                <w:highlight w:val="black"/>
                <w:lang w:val="en-US"/>
              </w:rPr>
              <w:t>'''' '''''''''</w:t>
            </w:r>
            <w:r w:rsidRPr="00150ABE">
              <w:rPr>
                <w:lang w:val="en-US"/>
              </w:rPr>
              <w:t xml:space="preserve"> based on average utility score across both trial arms over the trial duration. Post-progression utility of </w:t>
            </w:r>
            <w:r w:rsidR="00604FF7">
              <w:rPr>
                <w:noProof/>
                <w:color w:val="000000"/>
                <w:highlight w:val="black"/>
                <w:lang w:val="en-US"/>
              </w:rPr>
              <w:t>''''''''''''</w:t>
            </w:r>
            <w:r w:rsidRPr="00150ABE">
              <w:rPr>
                <w:lang w:val="en-US"/>
              </w:rPr>
              <w:t xml:space="preserve"> calculated using relative reduction of 19.5% applied to baseline estimate based on van </w:t>
            </w:r>
            <w:proofErr w:type="spellStart"/>
            <w:r w:rsidRPr="00150ABE">
              <w:rPr>
                <w:lang w:val="en-US"/>
              </w:rPr>
              <w:t>Agthoven</w:t>
            </w:r>
            <w:proofErr w:type="spellEnd"/>
            <w:r w:rsidRPr="00150ABE">
              <w:rPr>
                <w:lang w:val="en-US"/>
              </w:rPr>
              <w:t xml:space="preserve"> (2004) publication. </w:t>
            </w:r>
            <w:r w:rsidR="003D2BF8" w:rsidRPr="00133D2E">
              <w:rPr>
                <w:lang w:val="en-US"/>
              </w:rPr>
              <w:t xml:space="preserve">This method is not consistent with what is stated in </w:t>
            </w:r>
            <w:r w:rsidR="00B17DAC">
              <w:rPr>
                <w:lang w:val="en-US"/>
              </w:rPr>
              <w:t xml:space="preserve">van </w:t>
            </w:r>
            <w:proofErr w:type="spellStart"/>
            <w:r w:rsidR="00B17DAC">
              <w:rPr>
                <w:lang w:val="en-US"/>
              </w:rPr>
              <w:t>A</w:t>
            </w:r>
            <w:r w:rsidR="003D2BF8" w:rsidRPr="00133D2E">
              <w:rPr>
                <w:lang w:val="en-US"/>
              </w:rPr>
              <w:t>gthoven</w:t>
            </w:r>
            <w:proofErr w:type="spellEnd"/>
            <w:r w:rsidR="003D2BF8" w:rsidRPr="00133D2E">
              <w:rPr>
                <w:lang w:val="en-US"/>
              </w:rPr>
              <w:t xml:space="preserve"> et al, where the reduction should be applied to age/sex adjusted population norm. Furthermore, t</w:t>
            </w:r>
            <w:r w:rsidR="00A804D9" w:rsidRPr="00133D2E">
              <w:rPr>
                <w:lang w:val="en-US"/>
              </w:rPr>
              <w:t>he</w:t>
            </w:r>
            <w:r w:rsidR="00A804D9" w:rsidRPr="00150ABE">
              <w:rPr>
                <w:lang w:val="en-US"/>
              </w:rPr>
              <w:t xml:space="preserve"> baseline utility estimate was unlikely to represent patients remaining progression-free in the trial as it was based on data </w:t>
            </w:r>
            <w:r w:rsidR="00A804D9" w:rsidRPr="00150ABE">
              <w:t xml:space="preserve">with substantial proportions of patients in each arm (approximately 30% in denosumab and 40% in the zoledronic acid arm) experiencing a progression event in that period.  </w:t>
            </w:r>
          </w:p>
          <w:p w:rsidR="00A804D9" w:rsidRPr="00150ABE" w:rsidRDefault="00A804D9" w:rsidP="00A804D9">
            <w:pPr>
              <w:pStyle w:val="Tabletext"/>
            </w:pPr>
            <w:r w:rsidRPr="00150ABE">
              <w:t xml:space="preserve">The submission stated that the PBAC previously accepted the 19.5% approach from the van </w:t>
            </w:r>
            <w:proofErr w:type="spellStart"/>
            <w:r w:rsidRPr="00150ABE">
              <w:t>Agthoven</w:t>
            </w:r>
            <w:proofErr w:type="spellEnd"/>
            <w:r w:rsidRPr="00150ABE">
              <w:t xml:space="preserve"> (2004) publication (carfilzomib PSD, July 2017). The PBAC did not accept the approach used but accepted the modelled estimates given additional analyses suggested they were consistent with trial estimates (paragraph 6.34, carfilzomib PSD, July 2017). </w:t>
            </w:r>
          </w:p>
          <w:p w:rsidR="00D110BD" w:rsidRPr="00133D2E" w:rsidRDefault="00A804D9" w:rsidP="00A804D9">
            <w:pPr>
              <w:pStyle w:val="Tabletext"/>
            </w:pPr>
            <w:r w:rsidRPr="00150ABE">
              <w:t xml:space="preserve">There were substantial inconsistencies between trial-based estimates from Study 482 and modelled estimates suggesting this approach may not be appropriate. Trial-based estimates suggested improvements in pain and quality of life outcomes in both arms over time, and no statistically significant difference between treatment arms.  </w:t>
            </w:r>
            <w:r w:rsidR="00E72D1D" w:rsidRPr="00133D2E">
              <w:rPr>
                <w:lang w:val="en-US"/>
              </w:rPr>
              <w:t xml:space="preserve">The utility values in the model were inconsistent with the trial based utility values where </w:t>
            </w:r>
            <w:r w:rsidR="009B6DD0" w:rsidRPr="00133D2E">
              <w:rPr>
                <w:lang w:val="en-US"/>
              </w:rPr>
              <w:t xml:space="preserve">on average </w:t>
            </w:r>
            <w:r w:rsidR="00E72D1D" w:rsidRPr="00133D2E">
              <w:rPr>
                <w:lang w:val="en-US"/>
              </w:rPr>
              <w:t>patients were improving over time.</w:t>
            </w:r>
          </w:p>
          <w:p w:rsidR="003D2BF8" w:rsidRPr="003D2BF8" w:rsidRDefault="003D2BF8" w:rsidP="00F43C24">
            <w:pPr>
              <w:pStyle w:val="Tabletext"/>
              <w:rPr>
                <w:i/>
              </w:rPr>
            </w:pPr>
            <w:r w:rsidRPr="00133D2E">
              <w:t xml:space="preserve">The </w:t>
            </w:r>
            <w:proofErr w:type="spellStart"/>
            <w:r w:rsidRPr="00133D2E">
              <w:t>disutilities</w:t>
            </w:r>
            <w:proofErr w:type="spellEnd"/>
            <w:r w:rsidRPr="00133D2E">
              <w:t xml:space="preserve"> associated with mode of administration may be </w:t>
            </w:r>
            <w:r w:rsidR="00F43C24" w:rsidRPr="00133D2E">
              <w:t>inappropriately</w:t>
            </w:r>
            <w:r w:rsidRPr="00133D2E">
              <w:t xml:space="preserve"> counted as the baseline utility value was from the trial and based on patients who were already receiving the drugs (and thus mode of administration was already accounted for).</w:t>
            </w:r>
          </w:p>
        </w:tc>
        <w:tc>
          <w:tcPr>
            <w:tcW w:w="615" w:type="pct"/>
            <w:shd w:val="clear" w:color="auto" w:fill="auto"/>
            <w:vAlign w:val="center"/>
          </w:tcPr>
          <w:p w:rsidR="00D110BD" w:rsidRPr="00150ABE" w:rsidRDefault="006A526A" w:rsidP="006A526A">
            <w:pPr>
              <w:pStyle w:val="Tabletext"/>
              <w:rPr>
                <w:lang w:val="en-US"/>
              </w:rPr>
            </w:pPr>
            <w:r w:rsidRPr="00150ABE">
              <w:rPr>
                <w:lang w:val="en-US"/>
              </w:rPr>
              <w:t>High, favours denosumab</w:t>
            </w:r>
          </w:p>
        </w:tc>
      </w:tr>
      <w:tr w:rsidR="00537182" w:rsidRPr="00150ABE" w:rsidTr="00E27F0A">
        <w:trPr>
          <w:trHeight w:val="58"/>
        </w:trPr>
        <w:tc>
          <w:tcPr>
            <w:tcW w:w="718" w:type="pct"/>
            <w:shd w:val="clear" w:color="auto" w:fill="auto"/>
            <w:vAlign w:val="center"/>
          </w:tcPr>
          <w:p w:rsidR="00D110BD" w:rsidRPr="00150ABE" w:rsidRDefault="00CD7E5F" w:rsidP="003D1DE4">
            <w:pPr>
              <w:pStyle w:val="Tabletext"/>
              <w:rPr>
                <w:lang w:val="en-US"/>
              </w:rPr>
            </w:pPr>
            <w:r w:rsidRPr="00150ABE">
              <w:rPr>
                <w:lang w:val="en-US"/>
              </w:rPr>
              <w:t>Extrapolation</w:t>
            </w:r>
          </w:p>
        </w:tc>
        <w:tc>
          <w:tcPr>
            <w:tcW w:w="3667" w:type="pct"/>
            <w:shd w:val="clear" w:color="auto" w:fill="auto"/>
            <w:vAlign w:val="center"/>
          </w:tcPr>
          <w:p w:rsidR="00CB4C87" w:rsidRPr="00150ABE" w:rsidRDefault="00A804D9" w:rsidP="00CB4C87">
            <w:pPr>
              <w:pStyle w:val="Tabletext"/>
            </w:pPr>
            <w:r w:rsidRPr="00150ABE">
              <w:rPr>
                <w:lang w:val="en-US"/>
              </w:rPr>
              <w:t>Modelled curves for OS (Weibull, identical for both arms), PFS (</w:t>
            </w:r>
            <w:proofErr w:type="spellStart"/>
            <w:r w:rsidRPr="00150ABE">
              <w:rPr>
                <w:lang w:val="en-US"/>
              </w:rPr>
              <w:t>generalised</w:t>
            </w:r>
            <w:proofErr w:type="spellEnd"/>
            <w:r w:rsidRPr="00150ABE">
              <w:rPr>
                <w:lang w:val="en-US"/>
              </w:rPr>
              <w:t xml:space="preserve"> </w:t>
            </w:r>
            <w:r w:rsidR="00CB4C87" w:rsidRPr="00150ABE">
              <w:rPr>
                <w:lang w:val="en-US"/>
              </w:rPr>
              <w:t xml:space="preserve">gamma, </w:t>
            </w:r>
            <w:r w:rsidRPr="00150ABE">
              <w:rPr>
                <w:lang w:val="en-US"/>
              </w:rPr>
              <w:t>separate curves for each arm) and time on treatment (</w:t>
            </w:r>
            <w:r w:rsidR="00CB4C87" w:rsidRPr="00150ABE">
              <w:rPr>
                <w:lang w:val="en-US"/>
              </w:rPr>
              <w:t xml:space="preserve">Weibull, identical for both arms). </w:t>
            </w:r>
            <w:r w:rsidR="00CB4C87" w:rsidRPr="00150ABE">
              <w:t xml:space="preserve">The submission did not provide justification for the use of modelled data only, which is inconsistent with the PBAC Guidelines v5.0 recommending the use of observed time to event data up to the time point at which the observed data become unreliable as a result of small number of patients remaining event-free. </w:t>
            </w:r>
          </w:p>
          <w:p w:rsidR="00D110BD" w:rsidRPr="00150ABE" w:rsidRDefault="00CB4C87" w:rsidP="00CB4C87">
            <w:pPr>
              <w:pStyle w:val="Tabletext"/>
              <w:rPr>
                <w:lang w:val="en-US"/>
              </w:rPr>
            </w:pPr>
            <w:r w:rsidRPr="00150ABE">
              <w:rPr>
                <w:lang w:val="en-US"/>
              </w:rPr>
              <w:t>Overall, the assessment for goodness of fit of the parametric distributions to the observed data was inadequate (e.g. lack of detail justifying clinical plausibility of extrapolations,</w:t>
            </w:r>
            <w:r w:rsidR="00040BA0" w:rsidRPr="00150ABE">
              <w:rPr>
                <w:lang w:val="en-US"/>
              </w:rPr>
              <w:t xml:space="preserve"> no BIC assessment,</w:t>
            </w:r>
            <w:r w:rsidRPr="00150ABE">
              <w:rPr>
                <w:lang w:val="en-US"/>
              </w:rPr>
              <w:t xml:space="preserve"> </w:t>
            </w:r>
            <w:proofErr w:type="gramStart"/>
            <w:r w:rsidRPr="00150ABE">
              <w:rPr>
                <w:lang w:val="en-US"/>
              </w:rPr>
              <w:t>no</w:t>
            </w:r>
            <w:proofErr w:type="gramEnd"/>
            <w:r w:rsidRPr="00150ABE">
              <w:rPr>
                <w:lang w:val="en-US"/>
              </w:rPr>
              <w:t xml:space="preserve"> log-cumulative hazards plot). The approach used in the submission to determine the suitability of various parametric distributions was poorly documented (e.g. missing data for Gompertz model,</w:t>
            </w:r>
            <w:r w:rsidR="0088516C" w:rsidRPr="00150ABE">
              <w:rPr>
                <w:lang w:val="en-US"/>
              </w:rPr>
              <w:t xml:space="preserve"> </w:t>
            </w:r>
            <w:r w:rsidRPr="00150ABE">
              <w:rPr>
                <w:lang w:val="en-US"/>
              </w:rPr>
              <w:t xml:space="preserve">missing AIC values for PFS models). </w:t>
            </w:r>
          </w:p>
          <w:p w:rsidR="00013AB5" w:rsidRPr="00150ABE" w:rsidRDefault="00013AB5" w:rsidP="006B61CC">
            <w:pPr>
              <w:pStyle w:val="Tabletext"/>
              <w:rPr>
                <w:lang w:val="en-US"/>
              </w:rPr>
            </w:pPr>
            <w:r w:rsidRPr="00150ABE">
              <w:rPr>
                <w:lang w:val="en-US"/>
              </w:rPr>
              <w:t xml:space="preserve">The model assumed </w:t>
            </w:r>
            <w:r w:rsidR="00663E3B" w:rsidRPr="00150ABE">
              <w:rPr>
                <w:lang w:val="en-US"/>
              </w:rPr>
              <w:t xml:space="preserve">sustained benefits in PFS with denosumab treatment versus zoledronic acid over the model lifetime, beyond the point of which all patients have ceased </w:t>
            </w:r>
            <w:r w:rsidR="00663E3B" w:rsidRPr="00150ABE">
              <w:rPr>
                <w:lang w:val="en-US"/>
              </w:rPr>
              <w:lastRenderedPageBreak/>
              <w:t xml:space="preserve">therapy. The assumption that </w:t>
            </w:r>
            <w:r w:rsidR="006B61CC" w:rsidRPr="00150ABE">
              <w:rPr>
                <w:lang w:val="en-US"/>
              </w:rPr>
              <w:t xml:space="preserve">the </w:t>
            </w:r>
            <w:r w:rsidR="00663E3B" w:rsidRPr="00150ABE">
              <w:rPr>
                <w:lang w:val="en-US"/>
              </w:rPr>
              <w:t xml:space="preserve">PFS curves never converge may not be reasonable. </w:t>
            </w:r>
          </w:p>
        </w:tc>
        <w:tc>
          <w:tcPr>
            <w:tcW w:w="615" w:type="pct"/>
            <w:shd w:val="clear" w:color="auto" w:fill="auto"/>
            <w:vAlign w:val="center"/>
          </w:tcPr>
          <w:p w:rsidR="00D110BD" w:rsidRPr="00150ABE" w:rsidRDefault="00CB4C87" w:rsidP="003D1DE4">
            <w:pPr>
              <w:pStyle w:val="Tabletext"/>
              <w:rPr>
                <w:lang w:val="en-US"/>
              </w:rPr>
            </w:pPr>
            <w:r w:rsidRPr="00150ABE">
              <w:rPr>
                <w:lang w:val="en-US"/>
              </w:rPr>
              <w:lastRenderedPageBreak/>
              <w:t>High, favours denosumab</w:t>
            </w:r>
          </w:p>
        </w:tc>
      </w:tr>
      <w:tr w:rsidR="00946B0D" w:rsidRPr="00946B0D" w:rsidTr="00E27F0A">
        <w:trPr>
          <w:trHeight w:val="58"/>
        </w:trPr>
        <w:tc>
          <w:tcPr>
            <w:tcW w:w="718" w:type="pct"/>
            <w:shd w:val="clear" w:color="auto" w:fill="auto"/>
            <w:vAlign w:val="center"/>
          </w:tcPr>
          <w:p w:rsidR="00946B0D" w:rsidRPr="00133D2E" w:rsidRDefault="00946B0D" w:rsidP="003D1DE4">
            <w:pPr>
              <w:pStyle w:val="Tabletext"/>
              <w:rPr>
                <w:lang w:val="en-US"/>
              </w:rPr>
            </w:pPr>
            <w:r w:rsidRPr="00133D2E">
              <w:rPr>
                <w:lang w:val="en-US"/>
              </w:rPr>
              <w:lastRenderedPageBreak/>
              <w:t>Monitoring costs</w:t>
            </w:r>
          </w:p>
        </w:tc>
        <w:tc>
          <w:tcPr>
            <w:tcW w:w="3667" w:type="pct"/>
            <w:shd w:val="clear" w:color="auto" w:fill="auto"/>
            <w:vAlign w:val="center"/>
          </w:tcPr>
          <w:p w:rsidR="00946B0D" w:rsidRPr="00133D2E" w:rsidRDefault="00946B0D" w:rsidP="00E72D1D">
            <w:pPr>
              <w:pStyle w:val="Tabletext"/>
              <w:rPr>
                <w:lang w:val="en-US"/>
              </w:rPr>
            </w:pPr>
            <w:r w:rsidRPr="00133D2E">
              <w:rPr>
                <w:lang w:val="en-US"/>
              </w:rPr>
              <w:t>Based on a</w:t>
            </w:r>
            <w:r w:rsidR="00E72D1D" w:rsidRPr="00133D2E">
              <w:rPr>
                <w:lang w:val="en-US"/>
              </w:rPr>
              <w:t xml:space="preserve"> relatively </w:t>
            </w:r>
            <w:r w:rsidRPr="00133D2E">
              <w:rPr>
                <w:lang w:val="en-US"/>
              </w:rPr>
              <w:t>old data from a US study (</w:t>
            </w:r>
            <w:proofErr w:type="spellStart"/>
            <w:r w:rsidRPr="00133D2E">
              <w:rPr>
                <w:lang w:val="en-US"/>
              </w:rPr>
              <w:t>Usmani</w:t>
            </w:r>
            <w:proofErr w:type="spellEnd"/>
            <w:r w:rsidRPr="00133D2E">
              <w:rPr>
                <w:lang w:val="en-US"/>
              </w:rPr>
              <w:t xml:space="preserve"> et al, 2016) which has not been validated for the Australian context</w:t>
            </w:r>
            <w:r w:rsidR="00E72D1D" w:rsidRPr="00133D2E">
              <w:rPr>
                <w:lang w:val="en-US"/>
              </w:rPr>
              <w:t>.</w:t>
            </w:r>
            <w:r w:rsidRPr="00133D2E">
              <w:rPr>
                <w:lang w:val="en-US"/>
              </w:rPr>
              <w:t xml:space="preserve"> </w:t>
            </w:r>
          </w:p>
        </w:tc>
        <w:tc>
          <w:tcPr>
            <w:tcW w:w="615" w:type="pct"/>
            <w:shd w:val="clear" w:color="auto" w:fill="auto"/>
            <w:vAlign w:val="center"/>
          </w:tcPr>
          <w:p w:rsidR="00946B0D" w:rsidRPr="00133D2E" w:rsidRDefault="00946B0D" w:rsidP="003D1DE4">
            <w:pPr>
              <w:pStyle w:val="Tabletext"/>
              <w:rPr>
                <w:lang w:val="en-US"/>
              </w:rPr>
            </w:pPr>
            <w:r w:rsidRPr="00133D2E">
              <w:rPr>
                <w:lang w:val="en-US"/>
              </w:rPr>
              <w:t>Moderate, direction of advantage is unclear.</w:t>
            </w:r>
          </w:p>
        </w:tc>
      </w:tr>
    </w:tbl>
    <w:p w:rsidR="00D110BD" w:rsidRPr="00150ABE" w:rsidRDefault="00CD7E5F" w:rsidP="009D792E">
      <w:pPr>
        <w:pStyle w:val="TableFooter"/>
      </w:pPr>
      <w:r w:rsidRPr="00150ABE">
        <w:t>Source: compiled during the evaluation</w:t>
      </w:r>
    </w:p>
    <w:p w:rsidR="00CD7E5F" w:rsidRPr="00150ABE" w:rsidRDefault="00CD7E5F" w:rsidP="00C4039A">
      <w:pPr>
        <w:pStyle w:val="TableFooter"/>
        <w:spacing w:after="160"/>
      </w:pPr>
      <w:r w:rsidRPr="00150ABE">
        <w:t xml:space="preserve">Abbreviations: </w:t>
      </w:r>
      <w:r w:rsidR="0088516C" w:rsidRPr="00150ABE">
        <w:t xml:space="preserve">AIC, </w:t>
      </w:r>
      <w:proofErr w:type="spellStart"/>
      <w:r w:rsidR="0088516C" w:rsidRPr="00150ABE">
        <w:t>Akaike’s</w:t>
      </w:r>
      <w:proofErr w:type="spellEnd"/>
      <w:r w:rsidR="0088516C" w:rsidRPr="00150ABE">
        <w:t xml:space="preserve"> </w:t>
      </w:r>
      <w:r w:rsidR="00992CFB" w:rsidRPr="00150ABE">
        <w:t>Information</w:t>
      </w:r>
      <w:r w:rsidR="0088516C" w:rsidRPr="00150ABE">
        <w:t xml:space="preserve"> Criterion; BIC, Bayesian Information Criterion; OS, overall survival; </w:t>
      </w:r>
      <w:r w:rsidR="00A804D9" w:rsidRPr="00150ABE">
        <w:t>PFS, progression-free survival</w:t>
      </w:r>
    </w:p>
    <w:p w:rsidR="00275C5A" w:rsidRPr="00150ABE" w:rsidRDefault="00CD7E5F" w:rsidP="004D1C86">
      <w:pPr>
        <w:pStyle w:val="ListParagraph"/>
        <w:widowControl/>
        <w:numPr>
          <w:ilvl w:val="1"/>
          <w:numId w:val="29"/>
        </w:numPr>
      </w:pPr>
      <w:r w:rsidRPr="00150ABE">
        <w:t>The results of the economic evaluation are summarised in the table below.</w:t>
      </w:r>
    </w:p>
    <w:p w:rsidR="00CD7E5F" w:rsidRPr="00150ABE" w:rsidRDefault="00CD7E5F" w:rsidP="00CD7E5F">
      <w:pPr>
        <w:rPr>
          <w:rStyle w:val="CommentReference"/>
        </w:rPr>
      </w:pPr>
      <w:r w:rsidRPr="00150ABE">
        <w:rPr>
          <w:rStyle w:val="CommentReference"/>
        </w:rPr>
        <w:t>Table 9: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8"/>
        <w:gridCol w:w="2469"/>
        <w:gridCol w:w="2314"/>
        <w:gridCol w:w="1522"/>
      </w:tblGrid>
      <w:tr w:rsidR="00CD7E5F" w:rsidRPr="00150ABE" w:rsidTr="008920D4">
        <w:trPr>
          <w:tblHeader/>
        </w:trPr>
        <w:tc>
          <w:tcPr>
            <w:tcW w:w="1529" w:type="pct"/>
            <w:vAlign w:val="center"/>
          </w:tcPr>
          <w:p w:rsidR="00CD7E5F" w:rsidRPr="00150ABE" w:rsidRDefault="00CD7E5F" w:rsidP="008920D4">
            <w:pPr>
              <w:pStyle w:val="Tabletext"/>
              <w:rPr>
                <w:b/>
              </w:rPr>
            </w:pPr>
            <w:r w:rsidRPr="00150ABE">
              <w:rPr>
                <w:b/>
              </w:rPr>
              <w:t>Component</w:t>
            </w:r>
          </w:p>
        </w:tc>
        <w:tc>
          <w:tcPr>
            <w:tcW w:w="1359" w:type="pct"/>
            <w:vAlign w:val="center"/>
          </w:tcPr>
          <w:p w:rsidR="00CD7E5F" w:rsidRPr="00150ABE" w:rsidRDefault="00CD7E5F" w:rsidP="008920D4">
            <w:pPr>
              <w:pStyle w:val="Tabletext"/>
              <w:jc w:val="center"/>
              <w:rPr>
                <w:b/>
              </w:rPr>
            </w:pPr>
            <w:r w:rsidRPr="00150ABE">
              <w:rPr>
                <w:b/>
              </w:rPr>
              <w:t>Denosumab</w:t>
            </w:r>
          </w:p>
        </w:tc>
        <w:tc>
          <w:tcPr>
            <w:tcW w:w="1274" w:type="pct"/>
            <w:vAlign w:val="center"/>
          </w:tcPr>
          <w:p w:rsidR="00CD7E5F" w:rsidRPr="00150ABE" w:rsidRDefault="00CD7E5F" w:rsidP="008920D4">
            <w:pPr>
              <w:pStyle w:val="Tabletext"/>
              <w:jc w:val="center"/>
              <w:rPr>
                <w:b/>
              </w:rPr>
            </w:pPr>
            <w:r w:rsidRPr="00150ABE">
              <w:rPr>
                <w:b/>
              </w:rPr>
              <w:t>Zoledronic acid</w:t>
            </w:r>
          </w:p>
        </w:tc>
        <w:tc>
          <w:tcPr>
            <w:tcW w:w="838" w:type="pct"/>
            <w:vAlign w:val="center"/>
          </w:tcPr>
          <w:p w:rsidR="00CD7E5F" w:rsidRPr="00150ABE" w:rsidRDefault="00CD7E5F" w:rsidP="008920D4">
            <w:pPr>
              <w:pStyle w:val="Tabletext"/>
              <w:jc w:val="center"/>
              <w:rPr>
                <w:b/>
              </w:rPr>
            </w:pPr>
            <w:r w:rsidRPr="00150ABE">
              <w:rPr>
                <w:b/>
              </w:rPr>
              <w:t>Increment</w:t>
            </w:r>
          </w:p>
        </w:tc>
      </w:tr>
      <w:tr w:rsidR="00CD7E5F" w:rsidRPr="00150ABE" w:rsidTr="008920D4">
        <w:tc>
          <w:tcPr>
            <w:tcW w:w="1529" w:type="pct"/>
            <w:vAlign w:val="center"/>
          </w:tcPr>
          <w:p w:rsidR="00CD7E5F" w:rsidRPr="00150ABE" w:rsidRDefault="00CD7E5F" w:rsidP="008920D4">
            <w:pPr>
              <w:pStyle w:val="Tabletext"/>
              <w:rPr>
                <w:rFonts w:ascii="Times" w:hAnsi="Times"/>
              </w:rPr>
            </w:pPr>
            <w:r w:rsidRPr="00150ABE">
              <w:t>Costs</w:t>
            </w:r>
          </w:p>
        </w:tc>
        <w:tc>
          <w:tcPr>
            <w:tcW w:w="1359" w:type="pct"/>
            <w:vAlign w:val="center"/>
          </w:tcPr>
          <w:p w:rsidR="00CD7E5F" w:rsidRPr="00150ABE" w:rsidRDefault="00CD7E5F" w:rsidP="008920D4">
            <w:pPr>
              <w:pStyle w:val="Tabletext"/>
              <w:jc w:val="center"/>
              <w:rPr>
                <w:rFonts w:ascii="Times" w:hAnsi="Times"/>
              </w:rPr>
            </w:pPr>
            <w:r w:rsidRPr="00150ABE">
              <w:t>$</w:t>
            </w:r>
            <w:r w:rsidR="00604FF7">
              <w:rPr>
                <w:noProof/>
                <w:color w:val="000000"/>
                <w:highlight w:val="black"/>
              </w:rPr>
              <w:t>'''''''''''''''''</w:t>
            </w:r>
          </w:p>
        </w:tc>
        <w:tc>
          <w:tcPr>
            <w:tcW w:w="1274" w:type="pct"/>
            <w:vAlign w:val="center"/>
          </w:tcPr>
          <w:p w:rsidR="00CD7E5F" w:rsidRPr="00150ABE" w:rsidRDefault="00CD7E5F" w:rsidP="008920D4">
            <w:pPr>
              <w:pStyle w:val="Tabletext"/>
              <w:jc w:val="center"/>
              <w:rPr>
                <w:rFonts w:ascii="Times" w:hAnsi="Times"/>
              </w:rPr>
            </w:pPr>
            <w:r w:rsidRPr="00150ABE">
              <w:t>$21,563</w:t>
            </w:r>
          </w:p>
        </w:tc>
        <w:tc>
          <w:tcPr>
            <w:tcW w:w="838" w:type="pct"/>
            <w:vAlign w:val="center"/>
          </w:tcPr>
          <w:p w:rsidR="00CD7E5F" w:rsidRPr="00604FF7" w:rsidRDefault="00604FF7" w:rsidP="008920D4">
            <w:pPr>
              <w:pStyle w:val="Tabletext"/>
              <w:jc w:val="center"/>
              <w:rPr>
                <w:rFonts w:ascii="Times" w:hAnsi="Times"/>
                <w:highlight w:val="black"/>
              </w:rPr>
            </w:pPr>
            <w:r>
              <w:rPr>
                <w:noProof/>
                <w:color w:val="000000"/>
                <w:highlight w:val="black"/>
              </w:rPr>
              <w:t>'''''''''''''''''</w:t>
            </w:r>
          </w:p>
        </w:tc>
      </w:tr>
      <w:tr w:rsidR="00CD7E5F" w:rsidRPr="00150ABE" w:rsidTr="008920D4">
        <w:tc>
          <w:tcPr>
            <w:tcW w:w="1529" w:type="pct"/>
            <w:vAlign w:val="center"/>
          </w:tcPr>
          <w:p w:rsidR="00CD7E5F" w:rsidRPr="00150ABE" w:rsidRDefault="00CD7E5F" w:rsidP="008920D4">
            <w:pPr>
              <w:pStyle w:val="Tabletext"/>
            </w:pPr>
            <w:r w:rsidRPr="00150ABE">
              <w:t>QALYs</w:t>
            </w:r>
          </w:p>
        </w:tc>
        <w:tc>
          <w:tcPr>
            <w:tcW w:w="1359" w:type="pct"/>
            <w:vAlign w:val="center"/>
          </w:tcPr>
          <w:p w:rsidR="00CD7E5F" w:rsidRPr="00604FF7" w:rsidRDefault="00604FF7" w:rsidP="008920D4">
            <w:pPr>
              <w:pStyle w:val="Tabletext"/>
              <w:jc w:val="center"/>
              <w:rPr>
                <w:highlight w:val="black"/>
              </w:rPr>
            </w:pPr>
            <w:r>
              <w:rPr>
                <w:noProof/>
                <w:color w:val="000000"/>
                <w:highlight w:val="black"/>
              </w:rPr>
              <w:t>''''''''''''''''</w:t>
            </w:r>
          </w:p>
        </w:tc>
        <w:tc>
          <w:tcPr>
            <w:tcW w:w="1274" w:type="pct"/>
            <w:vAlign w:val="center"/>
          </w:tcPr>
          <w:p w:rsidR="00CD7E5F" w:rsidRPr="00604FF7" w:rsidRDefault="00604FF7" w:rsidP="008920D4">
            <w:pPr>
              <w:pStyle w:val="Tabletext"/>
              <w:jc w:val="center"/>
              <w:rPr>
                <w:highlight w:val="black"/>
              </w:rPr>
            </w:pPr>
            <w:r>
              <w:rPr>
                <w:noProof/>
                <w:color w:val="000000"/>
                <w:highlight w:val="black"/>
              </w:rPr>
              <w:t>''''''''''''''''</w:t>
            </w:r>
          </w:p>
        </w:tc>
        <w:tc>
          <w:tcPr>
            <w:tcW w:w="838" w:type="pct"/>
            <w:vAlign w:val="center"/>
          </w:tcPr>
          <w:p w:rsidR="00CD7E5F" w:rsidRPr="00604FF7" w:rsidRDefault="00604FF7" w:rsidP="008920D4">
            <w:pPr>
              <w:pStyle w:val="Tabletext"/>
              <w:jc w:val="center"/>
              <w:rPr>
                <w:highlight w:val="black"/>
              </w:rPr>
            </w:pPr>
            <w:r>
              <w:rPr>
                <w:noProof/>
                <w:color w:val="000000"/>
                <w:highlight w:val="black"/>
              </w:rPr>
              <w:t>''''' ''''''''''''</w:t>
            </w:r>
          </w:p>
        </w:tc>
      </w:tr>
      <w:tr w:rsidR="00CD7E5F" w:rsidRPr="00150ABE" w:rsidTr="008920D4">
        <w:tc>
          <w:tcPr>
            <w:tcW w:w="4162" w:type="pct"/>
            <w:gridSpan w:val="3"/>
            <w:vAlign w:val="center"/>
          </w:tcPr>
          <w:p w:rsidR="00CD7E5F" w:rsidRPr="00150ABE" w:rsidRDefault="00CD7E5F" w:rsidP="008920D4">
            <w:pPr>
              <w:pStyle w:val="Tabletext"/>
              <w:rPr>
                <w:b/>
              </w:rPr>
            </w:pPr>
            <w:r w:rsidRPr="00150ABE">
              <w:rPr>
                <w:b/>
              </w:rPr>
              <w:t>Incremental cost per quality adjusted life year</w:t>
            </w:r>
          </w:p>
        </w:tc>
        <w:tc>
          <w:tcPr>
            <w:tcW w:w="838" w:type="pct"/>
            <w:vAlign w:val="center"/>
          </w:tcPr>
          <w:p w:rsidR="00CD7E5F" w:rsidRPr="00150ABE" w:rsidRDefault="00CD7E5F" w:rsidP="008920D4">
            <w:pPr>
              <w:pStyle w:val="Tabletext"/>
              <w:jc w:val="center"/>
              <w:rPr>
                <w:b/>
              </w:rPr>
            </w:pPr>
            <w:r w:rsidRPr="00150ABE">
              <w:rPr>
                <w:b/>
              </w:rPr>
              <w:t>$</w:t>
            </w:r>
            <w:r w:rsidR="00604FF7">
              <w:rPr>
                <w:b/>
                <w:noProof/>
                <w:color w:val="000000"/>
                <w:highlight w:val="black"/>
              </w:rPr>
              <w:t>''''''''''''</w:t>
            </w:r>
          </w:p>
        </w:tc>
      </w:tr>
    </w:tbl>
    <w:p w:rsidR="00CD7E5F" w:rsidRPr="00150ABE" w:rsidRDefault="00CD7E5F" w:rsidP="00CD7E5F">
      <w:pPr>
        <w:pStyle w:val="TableFooter"/>
      </w:pPr>
      <w:r w:rsidRPr="00150ABE">
        <w:t>Source: Table 3.8-4, p59 and ‘XGEVA MM economic model’ Excel workbook, Appendix 7 of the submission</w:t>
      </w:r>
    </w:p>
    <w:p w:rsidR="00CD7E5F" w:rsidRPr="00150ABE" w:rsidRDefault="00CD7E5F" w:rsidP="00CD7E5F">
      <w:pPr>
        <w:widowControl/>
      </w:pPr>
    </w:p>
    <w:p w:rsidR="00CD7E5F" w:rsidRPr="00150ABE" w:rsidRDefault="00CD7E5F" w:rsidP="004D1C86">
      <w:pPr>
        <w:pStyle w:val="ListParagraph"/>
        <w:widowControl/>
        <w:numPr>
          <w:ilvl w:val="1"/>
          <w:numId w:val="29"/>
        </w:numPr>
      </w:pPr>
      <w:r w:rsidRPr="00150ABE">
        <w:t xml:space="preserve">In patients with bone lesions due to multiple myeloma, treatment with denosumab was associated with an incremental cost per QALY gained of </w:t>
      </w:r>
      <w:r w:rsidR="00D27BA6">
        <w:t>$15,000/QALY - $45,000/QALY</w:t>
      </w:r>
      <w:r w:rsidRPr="00150ABE">
        <w:t xml:space="preserve"> compared to zoledronic acid.</w:t>
      </w:r>
    </w:p>
    <w:p w:rsidR="00350D9E" w:rsidRPr="00150ABE" w:rsidRDefault="00350D9E" w:rsidP="004D1C86">
      <w:pPr>
        <w:pStyle w:val="ListParagraph"/>
        <w:widowControl/>
        <w:numPr>
          <w:ilvl w:val="1"/>
          <w:numId w:val="29"/>
        </w:numPr>
      </w:pPr>
      <w:r w:rsidRPr="00150ABE">
        <w:t xml:space="preserve">Markov traces constructed during the evaluation are summarised in the figure below, showing the proportion of patients remaining in each health state (pre-progression, post-progression, alive and on treatment) over the model duration. </w:t>
      </w:r>
    </w:p>
    <w:p w:rsidR="00350D9E" w:rsidRPr="00150ABE" w:rsidRDefault="00350D9E" w:rsidP="00350D9E">
      <w:pPr>
        <w:keepNext/>
        <w:rPr>
          <w:rStyle w:val="CommentReference"/>
        </w:rPr>
      </w:pPr>
      <w:r w:rsidRPr="00150ABE">
        <w:rPr>
          <w:rStyle w:val="CommentReference"/>
        </w:rPr>
        <w:lastRenderedPageBreak/>
        <w:t xml:space="preserve">Figure 3: Markov trace of alive, pre-progression, post progression and on treatment health </w:t>
      </w:r>
      <w:r w:rsidR="009370EB" w:rsidRPr="00150ABE">
        <w:rPr>
          <w:rStyle w:val="CommentReference"/>
        </w:rPr>
        <w:t>states</w:t>
      </w:r>
    </w:p>
    <w:p w:rsidR="00350D9E" w:rsidRPr="00150ABE" w:rsidRDefault="00604FF7" w:rsidP="00350D9E">
      <w:pPr>
        <w:keepNext/>
      </w:pPr>
      <w:r>
        <w:rPr>
          <w:noProof/>
          <w:snapToGrid/>
          <w:lang w:eastAsia="en-AU"/>
        </w:rPr>
        <w:drawing>
          <wp:inline distT="0" distB="0" distL="0" distR="0">
            <wp:extent cx="5703570" cy="4198620"/>
            <wp:effectExtent l="0" t="0" r="0" b="0"/>
            <wp:docPr id="1" name="Picture 1" title="Figure 3: Markov trace of alive, pre-progression, post progression and on treatment health stat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03570" cy="4198620"/>
                    </a:xfrm>
                    <a:prstGeom prst="rect">
                      <a:avLst/>
                    </a:prstGeom>
                  </pic:spPr>
                </pic:pic>
              </a:graphicData>
            </a:graphic>
          </wp:inline>
        </w:drawing>
      </w:r>
    </w:p>
    <w:p w:rsidR="00350D9E" w:rsidRPr="00150ABE" w:rsidRDefault="00350D9E" w:rsidP="00350D9E">
      <w:pPr>
        <w:pStyle w:val="TableFooter"/>
        <w:keepNext/>
      </w:pPr>
      <w:r w:rsidRPr="00150ABE">
        <w:t>Source: constructed during the evaluation using the ‘XGEVA MM economic model’ Excel workbook, Appendix 7 of the submission</w:t>
      </w:r>
    </w:p>
    <w:p w:rsidR="00350D9E" w:rsidRPr="00150ABE" w:rsidRDefault="00350D9E" w:rsidP="00350D9E">
      <w:pPr>
        <w:pStyle w:val="TableFooter"/>
        <w:keepNext/>
      </w:pPr>
      <w:r w:rsidRPr="00150ABE">
        <w:t>Note: The model used the same overall survival and time on treatment curves for denosumab and zoledronic acid</w:t>
      </w:r>
      <w:r w:rsidR="00110FE2" w:rsidRPr="00150ABE">
        <w:t>.</w:t>
      </w:r>
    </w:p>
    <w:p w:rsidR="00C24C90" w:rsidRPr="00150ABE" w:rsidRDefault="00C24C90" w:rsidP="00350D9E">
      <w:pPr>
        <w:widowControl/>
      </w:pPr>
    </w:p>
    <w:p w:rsidR="00350D9E" w:rsidRPr="00150ABE" w:rsidRDefault="00350D9E" w:rsidP="004D1C86">
      <w:pPr>
        <w:pStyle w:val="ListParagraph"/>
        <w:widowControl/>
        <w:numPr>
          <w:ilvl w:val="1"/>
          <w:numId w:val="29"/>
        </w:numPr>
      </w:pPr>
      <w:r w:rsidRPr="00150ABE">
        <w:t xml:space="preserve">The association between time on treatment and survival benefits in the model appear implausible when considering the incremental benefit in progression-free survival associated with denosumab treatment that persists over the model lifetime of 20 years, beyond the point of which all patients have ceased therapy. The difference in </w:t>
      </w:r>
      <w:r w:rsidR="001C755F" w:rsidRPr="00150ABE">
        <w:t>progression-free survival</w:t>
      </w:r>
      <w:r w:rsidRPr="00150ABE">
        <w:t xml:space="preserve"> appears to increase over time, peaking at between 6-7 years in the model when the majority of patients have stopped therapy. Due to the limitations of the model structure, it was not possible to derive the proportions of patients in mutually exclusive states (e.g. pre-progression on treatment or pre-progression off treatment).</w:t>
      </w:r>
    </w:p>
    <w:p w:rsidR="00350D9E" w:rsidRPr="00150ABE" w:rsidRDefault="00350D9E" w:rsidP="004D1C86">
      <w:pPr>
        <w:pStyle w:val="ListParagraph"/>
        <w:widowControl/>
        <w:numPr>
          <w:ilvl w:val="1"/>
          <w:numId w:val="29"/>
        </w:numPr>
      </w:pPr>
      <w:r w:rsidRPr="00150ABE">
        <w:t>The submission did not present a comparison of results from a trial-based cost-effectiveness analysis with the modelled economic analysis. Based on the modelled analysis, the majority of the incremental QALY gain associated with denosumab was derived from the extrapolation beyond the trial duration (maximum follow-up in the trial of 42 months, see sensitivity analyses results below).</w:t>
      </w:r>
    </w:p>
    <w:p w:rsidR="00851E4C" w:rsidRPr="00150ABE" w:rsidRDefault="00851E4C" w:rsidP="004D1C86">
      <w:pPr>
        <w:pStyle w:val="ListParagraph"/>
        <w:numPr>
          <w:ilvl w:val="1"/>
          <w:numId w:val="29"/>
        </w:numPr>
      </w:pPr>
      <w:r w:rsidRPr="00150ABE">
        <w:t>The results of key sensitivity analyses are summarised below.</w:t>
      </w:r>
    </w:p>
    <w:p w:rsidR="00851E4C" w:rsidRPr="00150ABE" w:rsidRDefault="00851E4C" w:rsidP="006D74C6">
      <w:pPr>
        <w:keepNext/>
        <w:keepLines/>
        <w:rPr>
          <w:rStyle w:val="CommentReference"/>
        </w:rPr>
      </w:pPr>
      <w:r w:rsidRPr="00150ABE">
        <w:rPr>
          <w:rStyle w:val="CommentReference"/>
        </w:rPr>
        <w:lastRenderedPageBreak/>
        <w:t>Table 10:  Results of sensitivity analyses</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1343"/>
        <w:gridCol w:w="1345"/>
        <w:gridCol w:w="1257"/>
      </w:tblGrid>
      <w:tr w:rsidR="00851E4C" w:rsidRPr="00150ABE" w:rsidTr="00CD1712">
        <w:trPr>
          <w:tblHeader/>
        </w:trPr>
        <w:tc>
          <w:tcPr>
            <w:tcW w:w="5358" w:type="dxa"/>
          </w:tcPr>
          <w:p w:rsidR="00851E4C" w:rsidRPr="00150ABE" w:rsidRDefault="00851E4C" w:rsidP="006D74C6">
            <w:pPr>
              <w:pStyle w:val="Tabletext"/>
              <w:keepNext/>
              <w:keepLines/>
              <w:tabs>
                <w:tab w:val="left" w:pos="142"/>
              </w:tabs>
              <w:rPr>
                <w:b/>
              </w:rPr>
            </w:pPr>
            <w:r w:rsidRPr="00150ABE">
              <w:rPr>
                <w:b/>
              </w:rPr>
              <w:t>Analyses</w:t>
            </w:r>
          </w:p>
        </w:tc>
        <w:tc>
          <w:tcPr>
            <w:tcW w:w="1343" w:type="dxa"/>
          </w:tcPr>
          <w:p w:rsidR="00851E4C" w:rsidRPr="00150ABE" w:rsidRDefault="00851E4C" w:rsidP="006D74C6">
            <w:pPr>
              <w:pStyle w:val="Tabletext"/>
              <w:keepNext/>
              <w:keepLines/>
              <w:jc w:val="center"/>
              <w:rPr>
                <w:b/>
              </w:rPr>
            </w:pPr>
            <w:r w:rsidRPr="00150ABE">
              <w:rPr>
                <w:b/>
              </w:rPr>
              <w:t>Incremental cost</w:t>
            </w:r>
          </w:p>
        </w:tc>
        <w:tc>
          <w:tcPr>
            <w:tcW w:w="1345" w:type="dxa"/>
          </w:tcPr>
          <w:p w:rsidR="00851E4C" w:rsidRPr="00150ABE" w:rsidRDefault="00851E4C" w:rsidP="006D74C6">
            <w:pPr>
              <w:pStyle w:val="Tabletext"/>
              <w:keepNext/>
              <w:keepLines/>
              <w:jc w:val="center"/>
              <w:rPr>
                <w:b/>
              </w:rPr>
            </w:pPr>
            <w:r w:rsidRPr="00150ABE">
              <w:rPr>
                <w:b/>
              </w:rPr>
              <w:t>Incremental QALY</w:t>
            </w:r>
          </w:p>
        </w:tc>
        <w:tc>
          <w:tcPr>
            <w:tcW w:w="1257" w:type="dxa"/>
          </w:tcPr>
          <w:p w:rsidR="00851E4C" w:rsidRPr="00150ABE" w:rsidRDefault="00851E4C" w:rsidP="006D74C6">
            <w:pPr>
              <w:pStyle w:val="Tabletext"/>
              <w:keepNext/>
              <w:keepLines/>
              <w:jc w:val="center"/>
              <w:rPr>
                <w:b/>
              </w:rPr>
            </w:pPr>
            <w:r w:rsidRPr="00150ABE">
              <w:rPr>
                <w:b/>
              </w:rPr>
              <w:t>ICER</w:t>
            </w:r>
          </w:p>
        </w:tc>
      </w:tr>
      <w:tr w:rsidR="00851E4C" w:rsidRPr="00150ABE" w:rsidTr="00CD1712">
        <w:tc>
          <w:tcPr>
            <w:tcW w:w="5358" w:type="dxa"/>
          </w:tcPr>
          <w:p w:rsidR="00851E4C" w:rsidRPr="00150ABE" w:rsidRDefault="00851E4C" w:rsidP="006D74C6">
            <w:pPr>
              <w:pStyle w:val="Tabletext"/>
              <w:keepNext/>
              <w:keepLines/>
              <w:tabs>
                <w:tab w:val="left" w:pos="142"/>
              </w:tabs>
              <w:rPr>
                <w:b/>
              </w:rPr>
            </w:pPr>
            <w:r w:rsidRPr="00150ABE">
              <w:rPr>
                <w:b/>
              </w:rPr>
              <w:t>Base case</w:t>
            </w:r>
          </w:p>
        </w:tc>
        <w:tc>
          <w:tcPr>
            <w:tcW w:w="1343" w:type="dxa"/>
          </w:tcPr>
          <w:p w:rsidR="00851E4C" w:rsidRPr="00150ABE" w:rsidRDefault="00851E4C" w:rsidP="006D74C6">
            <w:pPr>
              <w:pStyle w:val="Tabletext"/>
              <w:keepNext/>
              <w:keepLines/>
              <w:jc w:val="center"/>
              <w:rPr>
                <w:b/>
              </w:rPr>
            </w:pPr>
            <w:r w:rsidRPr="00150ABE">
              <w:rPr>
                <w:b/>
              </w:rPr>
              <w:t>$</w:t>
            </w:r>
            <w:r w:rsidR="00604FF7">
              <w:rPr>
                <w:b/>
                <w:noProof/>
                <w:color w:val="000000"/>
                <w:highlight w:val="black"/>
              </w:rPr>
              <w:t>'''''''''''</w:t>
            </w:r>
          </w:p>
        </w:tc>
        <w:tc>
          <w:tcPr>
            <w:tcW w:w="1345" w:type="dxa"/>
          </w:tcPr>
          <w:p w:rsidR="00851E4C" w:rsidRPr="00150ABE" w:rsidRDefault="00851E4C" w:rsidP="006D74C6">
            <w:pPr>
              <w:pStyle w:val="Tabletext"/>
              <w:keepNext/>
              <w:keepLines/>
              <w:jc w:val="center"/>
              <w:rPr>
                <w:b/>
              </w:rPr>
            </w:pPr>
            <w:r w:rsidRPr="00150ABE">
              <w:rPr>
                <w:b/>
              </w:rPr>
              <w:t>0.1539</w:t>
            </w:r>
          </w:p>
        </w:tc>
        <w:tc>
          <w:tcPr>
            <w:tcW w:w="1257" w:type="dxa"/>
          </w:tcPr>
          <w:p w:rsidR="00851E4C" w:rsidRPr="00150ABE" w:rsidRDefault="00851E4C" w:rsidP="006D74C6">
            <w:pPr>
              <w:pStyle w:val="Tabletext"/>
              <w:keepNext/>
              <w:keepLines/>
              <w:jc w:val="center"/>
              <w:rPr>
                <w:b/>
              </w:rPr>
            </w:pPr>
            <w:r w:rsidRPr="00150ABE">
              <w:rPr>
                <w:b/>
              </w:rPr>
              <w:t>$</w:t>
            </w:r>
            <w:r w:rsidR="00604FF7">
              <w:rPr>
                <w:b/>
                <w:noProof/>
                <w:color w:val="000000"/>
                <w:highlight w:val="black"/>
              </w:rPr>
              <w:t>''''''''''''''</w:t>
            </w:r>
          </w:p>
        </w:tc>
      </w:tr>
      <w:tr w:rsidR="00851E4C" w:rsidRPr="00150ABE" w:rsidTr="00CD1712">
        <w:tc>
          <w:tcPr>
            <w:tcW w:w="9303" w:type="dxa"/>
            <w:gridSpan w:val="4"/>
          </w:tcPr>
          <w:p w:rsidR="00851E4C" w:rsidRPr="00150ABE" w:rsidRDefault="00851E4C" w:rsidP="006D74C6">
            <w:pPr>
              <w:pStyle w:val="Tabletext"/>
              <w:keepNext/>
              <w:keepLines/>
              <w:rPr>
                <w:b/>
              </w:rPr>
            </w:pPr>
            <w:r w:rsidRPr="00150ABE">
              <w:t>Time horizon (base case 20 years; 261 28-day cycles)</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5 years (66 cycles)</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10 years (131 cycles)</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15 years (196 cycles)</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9303" w:type="dxa"/>
            <w:gridSpan w:val="4"/>
          </w:tcPr>
          <w:p w:rsidR="00851E4C" w:rsidRPr="00150ABE" w:rsidRDefault="00851E4C" w:rsidP="006D74C6">
            <w:pPr>
              <w:pStyle w:val="Tabletext"/>
              <w:keepNext/>
              <w:keepLines/>
            </w:pPr>
            <w:r w:rsidRPr="00150ABE">
              <w:t>PFS extrapolation (base case generalised gamma extrapolation, separate curves, unrestricted)</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Generalised gamma (restricted)</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Exponential (unrestricted)</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Exponential (restricted)</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Weibull (unrestricted)</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Weibull (restricted)</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Log-logistic (unrestricted)</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Log-logistic (restricted)</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Log-normal (unrestricted)</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Log-normal (restricted)</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9303" w:type="dxa"/>
            <w:gridSpan w:val="4"/>
          </w:tcPr>
          <w:p w:rsidR="00851E4C" w:rsidRPr="00150ABE" w:rsidRDefault="00851E4C" w:rsidP="006D74C6">
            <w:pPr>
              <w:pStyle w:val="Tabletext"/>
              <w:keepNext/>
              <w:keepLines/>
            </w:pPr>
            <w:r w:rsidRPr="00150ABE">
              <w:t>PFS extrapolation (base case generalised gamma extrapolation, separate curves, unrestricted)</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PH assumption (HR 0.82), exponential (unrestricted)</w:t>
            </w:r>
            <w:r w:rsidRPr="00150ABE">
              <w:rPr>
                <w:vertAlign w:val="superscript"/>
              </w:rPr>
              <w:t>a</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5358" w:type="dxa"/>
          </w:tcPr>
          <w:p w:rsidR="00851E4C" w:rsidRPr="00150ABE" w:rsidRDefault="00851E4C" w:rsidP="006D74C6">
            <w:pPr>
              <w:pStyle w:val="Tabletext"/>
              <w:keepNext/>
              <w:keepLines/>
              <w:tabs>
                <w:tab w:val="left" w:pos="142"/>
              </w:tabs>
              <w:ind w:left="142"/>
              <w:rPr>
                <w:vertAlign w:val="superscript"/>
              </w:rPr>
            </w:pPr>
            <w:r w:rsidRPr="00150ABE">
              <w:t>PH assumption (HR 0.82), exponential (restricted)</w:t>
            </w:r>
            <w:r w:rsidRPr="00150ABE">
              <w:rPr>
                <w:vertAlign w:val="superscript"/>
              </w:rPr>
              <w:t>a</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5358" w:type="dxa"/>
          </w:tcPr>
          <w:p w:rsidR="00851E4C" w:rsidRPr="00150ABE" w:rsidRDefault="00851E4C" w:rsidP="006D74C6">
            <w:pPr>
              <w:pStyle w:val="Tabletext"/>
              <w:keepNext/>
              <w:keepLines/>
              <w:tabs>
                <w:tab w:val="left" w:pos="142"/>
              </w:tabs>
              <w:ind w:left="142"/>
              <w:rPr>
                <w:vertAlign w:val="superscript"/>
              </w:rPr>
            </w:pPr>
            <w:r w:rsidRPr="00150ABE">
              <w:t>PH assumption (HR 0.82), Weibull (unrestricted)</w:t>
            </w:r>
            <w:r w:rsidRPr="00150ABE">
              <w:rPr>
                <w:vertAlign w:val="superscript"/>
              </w:rPr>
              <w:t>a</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PH assumption (HR 0.82), Weibull (restricted)</w:t>
            </w:r>
            <w:r w:rsidRPr="00150ABE">
              <w:rPr>
                <w:vertAlign w:val="superscript"/>
              </w:rPr>
              <w:t>a</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9303" w:type="dxa"/>
            <w:gridSpan w:val="4"/>
          </w:tcPr>
          <w:p w:rsidR="00851E4C" w:rsidRPr="00150ABE" w:rsidRDefault="00851E4C" w:rsidP="006D74C6">
            <w:pPr>
              <w:pStyle w:val="Tabletext"/>
              <w:keepNext/>
              <w:keepLines/>
            </w:pPr>
            <w:r w:rsidRPr="00150ABE">
              <w:t>Progression-free survival (base case mean estimates: 62 months for denosumab arm, 47 months for zoledronic acid; 15.1 months difference)</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No PFS difference</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9303" w:type="dxa"/>
            <w:gridSpan w:val="4"/>
          </w:tcPr>
          <w:p w:rsidR="00851E4C" w:rsidRPr="00150ABE" w:rsidRDefault="00851E4C" w:rsidP="006D74C6">
            <w:pPr>
              <w:pStyle w:val="Tabletext"/>
              <w:keepNext/>
              <w:keepLines/>
            </w:pPr>
            <w:r w:rsidRPr="00150ABE">
              <w:t>Difference between pre- and post-progression utility values (base case 0.675 pre-progression, 0.543 post-progression; 0.132 difference)</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75% of difference (0.675 pre-progression, 0.576 post-progression)</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50% of difference (0.675 pre-progression, 0.609 post-progression)</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25% of difference (0.675 pre-progression, 0.609 post-progression)</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r w:rsidR="00851E4C" w:rsidRPr="00150ABE" w:rsidTr="00CD1712">
        <w:tc>
          <w:tcPr>
            <w:tcW w:w="5358" w:type="dxa"/>
          </w:tcPr>
          <w:p w:rsidR="00851E4C" w:rsidRPr="00150ABE" w:rsidRDefault="00851E4C" w:rsidP="006D74C6">
            <w:pPr>
              <w:pStyle w:val="Tabletext"/>
              <w:keepNext/>
              <w:keepLines/>
              <w:tabs>
                <w:tab w:val="left" w:pos="142"/>
              </w:tabs>
              <w:ind w:left="142"/>
            </w:pPr>
            <w:r w:rsidRPr="00150ABE">
              <w:t>No difference between pre- and post-progression</w:t>
            </w:r>
          </w:p>
        </w:tc>
        <w:tc>
          <w:tcPr>
            <w:tcW w:w="1343" w:type="dxa"/>
          </w:tcPr>
          <w:p w:rsidR="00851E4C" w:rsidRPr="00150ABE" w:rsidRDefault="00851E4C" w:rsidP="006D74C6">
            <w:pPr>
              <w:pStyle w:val="Tabletext"/>
              <w:keepNext/>
              <w:keepLines/>
              <w:jc w:val="center"/>
            </w:pPr>
            <w:r w:rsidRPr="00150ABE">
              <w:t>$</w:t>
            </w:r>
            <w:r w:rsidR="00604FF7">
              <w:rPr>
                <w:noProof/>
                <w:color w:val="000000"/>
                <w:highlight w:val="black"/>
              </w:rPr>
              <w:t>''''''''''''''</w:t>
            </w:r>
          </w:p>
        </w:tc>
        <w:tc>
          <w:tcPr>
            <w:tcW w:w="1345" w:type="dxa"/>
          </w:tcPr>
          <w:p w:rsidR="00851E4C" w:rsidRPr="00604FF7" w:rsidRDefault="00604FF7" w:rsidP="006D74C6">
            <w:pPr>
              <w:pStyle w:val="Tabletext"/>
              <w:keepNext/>
              <w:keepLines/>
              <w:jc w:val="center"/>
              <w:rPr>
                <w:highlight w:val="black"/>
              </w:rPr>
            </w:pPr>
            <w:r>
              <w:rPr>
                <w:noProof/>
                <w:color w:val="000000"/>
                <w:highlight w:val="black"/>
              </w:rPr>
              <w:t>''''''''''''''''</w:t>
            </w:r>
          </w:p>
        </w:tc>
        <w:tc>
          <w:tcPr>
            <w:tcW w:w="1257" w:type="dxa"/>
          </w:tcPr>
          <w:p w:rsidR="00851E4C" w:rsidRPr="00150ABE" w:rsidRDefault="00851E4C" w:rsidP="006D74C6">
            <w:pPr>
              <w:pStyle w:val="Tabletext"/>
              <w:keepNext/>
              <w:keepLines/>
              <w:jc w:val="center"/>
            </w:pPr>
            <w:r w:rsidRPr="00150ABE">
              <w:t>$</w:t>
            </w:r>
            <w:r w:rsidR="00604FF7">
              <w:rPr>
                <w:noProof/>
                <w:color w:val="000000"/>
                <w:highlight w:val="black"/>
              </w:rPr>
              <w:t>'''''''''''''''''</w:t>
            </w:r>
          </w:p>
        </w:tc>
      </w:tr>
    </w:tbl>
    <w:p w:rsidR="00851E4C" w:rsidRPr="00150ABE" w:rsidRDefault="00851E4C" w:rsidP="006D74C6">
      <w:pPr>
        <w:pStyle w:val="TableFooter"/>
        <w:keepNext/>
        <w:keepLines/>
      </w:pPr>
      <w:r w:rsidRPr="00150ABE">
        <w:t>Source: Table 3.9-1, pp60-11 and ‘XGEVA MM economic model’ Excel workbook, Appendix 7 of the submission</w:t>
      </w:r>
    </w:p>
    <w:p w:rsidR="00851E4C" w:rsidRPr="00150ABE" w:rsidRDefault="00851E4C" w:rsidP="006D74C6">
      <w:pPr>
        <w:pStyle w:val="TableFooter"/>
        <w:keepNext/>
        <w:keepLines/>
        <w:rPr>
          <w:sz w:val="20"/>
        </w:rPr>
      </w:pPr>
      <w:r w:rsidRPr="00150ABE">
        <w:t>Abbreviations: ICER, incremental cost-effectiveness ratio; OS, overall survival; PFS, progression-free survival; PH, proportional hazards; QALY, quality adjusted life year</w:t>
      </w:r>
    </w:p>
    <w:p w:rsidR="00851E4C" w:rsidRPr="00150ABE" w:rsidRDefault="00851E4C" w:rsidP="006D74C6">
      <w:pPr>
        <w:pStyle w:val="TableFooter"/>
        <w:keepNext/>
        <w:keepLines/>
      </w:pPr>
      <w:r w:rsidRPr="00150ABE">
        <w:rPr>
          <w:vertAlign w:val="superscript"/>
        </w:rPr>
        <w:t>a</w:t>
      </w:r>
      <w:r w:rsidRPr="00150ABE">
        <w:t xml:space="preserve"> Rather than independently fitted curves in the model, the PFS curve for denosumab was derived from the zoledronic acid curve, assuming proportional hazards and using the hazard ratio of 0.82 for denosumab versus zoledronic acid reported in Study 482</w:t>
      </w:r>
    </w:p>
    <w:p w:rsidR="00851E4C" w:rsidRDefault="00851E4C" w:rsidP="006D74C6">
      <w:pPr>
        <w:pStyle w:val="TableFooter"/>
        <w:keepNext/>
        <w:keepLines/>
      </w:pPr>
      <w:r w:rsidRPr="00150ABE">
        <w:t xml:space="preserve">Note: When testing the impact of extrapolation using different parametric distributions, restricted analyses refers to the assumption of a treatment effect on only one of the parameters defining the shape and scale of a distribution. For example, a restricted Weibull extrapolation assumes a change in scale due to treatment effect but maintains the same shape parameter. </w:t>
      </w:r>
    </w:p>
    <w:p w:rsidR="006D74C6" w:rsidRDefault="006D74C6" w:rsidP="006D74C6">
      <w:pPr>
        <w:pStyle w:val="TableFooter"/>
        <w:keepNext/>
        <w:keepLines/>
      </w:pPr>
    </w:p>
    <w:p w:rsidR="009421D2" w:rsidRPr="009421D2" w:rsidRDefault="009421D2" w:rsidP="006D74C6">
      <w:pPr>
        <w:pStyle w:val="TableFooter"/>
        <w:keepNext/>
        <w:keepLines/>
        <w:rPr>
          <w:rFonts w:ascii="Calibri" w:hAnsi="Calibri"/>
          <w:sz w:val="24"/>
        </w:rPr>
      </w:pPr>
      <w:r w:rsidRPr="009421D2">
        <w:rPr>
          <w:rFonts w:ascii="Calibri" w:hAnsi="Calibri"/>
          <w:sz w:val="24"/>
        </w:rPr>
        <w:t xml:space="preserve">The redacted table shows ICERS in the range of </w:t>
      </w:r>
      <w:r>
        <w:rPr>
          <w:rFonts w:ascii="Calibri" w:hAnsi="Calibri"/>
          <w:sz w:val="24"/>
        </w:rPr>
        <w:t>$15,000</w:t>
      </w:r>
      <w:r w:rsidR="00E1345F">
        <w:rPr>
          <w:rFonts w:ascii="Calibri" w:hAnsi="Calibri"/>
          <w:sz w:val="24"/>
        </w:rPr>
        <w:t>/QALY</w:t>
      </w:r>
      <w:r>
        <w:rPr>
          <w:rFonts w:ascii="Calibri" w:hAnsi="Calibri"/>
          <w:sz w:val="24"/>
        </w:rPr>
        <w:t xml:space="preserve"> - $105,000</w:t>
      </w:r>
      <w:r w:rsidR="00E1345F">
        <w:rPr>
          <w:rFonts w:ascii="Calibri" w:hAnsi="Calibri"/>
          <w:sz w:val="24"/>
        </w:rPr>
        <w:t>/QALY</w:t>
      </w:r>
      <w:r>
        <w:rPr>
          <w:rFonts w:ascii="Calibri" w:hAnsi="Calibri"/>
          <w:sz w:val="24"/>
        </w:rPr>
        <w:t>.</w:t>
      </w:r>
    </w:p>
    <w:p w:rsidR="009421D2" w:rsidRPr="009421D2" w:rsidRDefault="009421D2" w:rsidP="006D74C6">
      <w:pPr>
        <w:pStyle w:val="TableFooter"/>
        <w:keepNext/>
        <w:keepLines/>
        <w:rPr>
          <w:rFonts w:asciiTheme="minorHAnsi" w:hAnsiTheme="minorHAnsi" w:cstheme="minorHAnsi"/>
          <w:i/>
          <w:sz w:val="24"/>
        </w:rPr>
      </w:pPr>
    </w:p>
    <w:p w:rsidR="00A86E8B" w:rsidRPr="00150ABE" w:rsidRDefault="001C4DCA" w:rsidP="004D1C86">
      <w:pPr>
        <w:pStyle w:val="ListParagraph"/>
        <w:widowControl/>
        <w:numPr>
          <w:ilvl w:val="1"/>
          <w:numId w:val="29"/>
        </w:numPr>
      </w:pPr>
      <w:r w:rsidRPr="00150ABE">
        <w:t xml:space="preserve">The results of sensitivity analyses indicate that the model was most sensitive to the difference in progression-free survival between arms, the modelled time horizon, </w:t>
      </w:r>
      <w:proofErr w:type="gramStart"/>
      <w:r w:rsidRPr="00150ABE">
        <w:t>the</w:t>
      </w:r>
      <w:proofErr w:type="gramEnd"/>
      <w:r w:rsidRPr="00150ABE">
        <w:t xml:space="preserve"> magnitude of difference in pre- and post-progression health state utilities and the use of different parametric distributions for the extrapolation of progression-free survival.</w:t>
      </w:r>
    </w:p>
    <w:p w:rsidR="00C25D9C" w:rsidRPr="00150ABE" w:rsidRDefault="00C25D9C" w:rsidP="00D56BF2">
      <w:pPr>
        <w:pStyle w:val="Heading2"/>
        <w:keepNext/>
        <w:keepLines/>
        <w:spacing w:before="240" w:after="120"/>
      </w:pPr>
      <w:bookmarkStart w:id="12" w:name="_Toc514234392"/>
      <w:r w:rsidRPr="006D7E46">
        <w:lastRenderedPageBreak/>
        <w:t>Drug co</w:t>
      </w:r>
      <w:r w:rsidR="00236B27" w:rsidRPr="006D7E46">
        <w:t>st/patient/</w:t>
      </w:r>
      <w:r w:rsidRPr="006D7E46">
        <w:t>year</w:t>
      </w:r>
      <w:bookmarkEnd w:id="12"/>
    </w:p>
    <w:p w:rsidR="00B60939" w:rsidRPr="00150ABE" w:rsidRDefault="00236B27" w:rsidP="0093259D">
      <w:pPr>
        <w:pStyle w:val="ListParagraph"/>
        <w:keepNext/>
        <w:keepLines/>
        <w:widowControl/>
        <w:numPr>
          <w:ilvl w:val="1"/>
          <w:numId w:val="29"/>
        </w:numPr>
      </w:pPr>
      <w:r w:rsidRPr="00150ABE">
        <w:t xml:space="preserve">The estimated drug cost for denosumab 120 mg </w:t>
      </w:r>
      <w:r w:rsidRPr="004F34D4">
        <w:t>per patient per year was $</w:t>
      </w:r>
      <w:r w:rsidR="00604FF7">
        <w:rPr>
          <w:noProof/>
          <w:color w:val="000000"/>
          <w:highlight w:val="black"/>
        </w:rPr>
        <w:t>''''''''''''''''</w:t>
      </w:r>
      <w:r w:rsidRPr="004F34D4">
        <w:t xml:space="preserve"> based on 13.04 scripts using the proposed DPMQ $</w:t>
      </w:r>
      <w:r w:rsidR="00604FF7">
        <w:rPr>
          <w:noProof/>
          <w:color w:val="000000"/>
          <w:highlight w:val="black"/>
        </w:rPr>
        <w:t>''''''''''''''</w:t>
      </w:r>
      <w:r w:rsidRPr="004F34D4">
        <w:t>. The</w:t>
      </w:r>
      <w:r w:rsidRPr="00150ABE">
        <w:t xml:space="preserve"> submission claimed that from April 2021, the statutory 10% (10-year anniversary) price reduction for denosumab would come into effect, resulting in a DPMQ of $</w:t>
      </w:r>
      <w:r w:rsidR="00604FF7">
        <w:rPr>
          <w:noProof/>
          <w:color w:val="000000"/>
          <w:highlight w:val="black"/>
        </w:rPr>
        <w:t>''''''''''''''</w:t>
      </w:r>
      <w:r w:rsidRPr="00150ABE">
        <w:t>. The drug cost per patient per year with the price reduction based on 13.04 scripts would be $</w:t>
      </w:r>
      <w:r w:rsidR="00604FF7">
        <w:rPr>
          <w:noProof/>
          <w:color w:val="000000"/>
          <w:highlight w:val="black"/>
        </w:rPr>
        <w:t>''''''''''''''''''</w:t>
      </w:r>
      <w:r w:rsidRPr="00150ABE">
        <w:t>.</w:t>
      </w:r>
    </w:p>
    <w:p w:rsidR="00236B27" w:rsidRPr="00150ABE" w:rsidRDefault="00236B27" w:rsidP="0093259D">
      <w:pPr>
        <w:pStyle w:val="ListParagraph"/>
        <w:keepNext/>
        <w:keepLines/>
        <w:widowControl/>
        <w:numPr>
          <w:ilvl w:val="1"/>
          <w:numId w:val="29"/>
        </w:numPr>
      </w:pPr>
      <w:r w:rsidRPr="00150ABE">
        <w:t xml:space="preserve">The estimated drug cost for zoledronic acid 4 mg per patient per year was $2,345.67 based on 13.04 scripts, weighted by 42.33% private hospital use at a DPMQ of $188.00 and 57.67% public hospital use at a DPMQ of $173.89. This estimate was lower than presented in the submission that was based on a higher price for zoledronic acid (weighted DPMQ $245.33) prior to the 1 April 2018 price disclosure reduction. The updated cost estimates were used in a revised base case for the economic model and financial estimates during the evaluation. </w:t>
      </w:r>
    </w:p>
    <w:p w:rsidR="00B60939" w:rsidRPr="00D56BF2" w:rsidRDefault="00B60939" w:rsidP="00D56BF2">
      <w:pPr>
        <w:pStyle w:val="Heading2"/>
        <w:spacing w:before="240" w:after="120"/>
      </w:pPr>
      <w:bookmarkStart w:id="13" w:name="_Toc514234393"/>
      <w:r w:rsidRPr="006D7E46">
        <w:t>Estimated PBS usage &amp; financial implications</w:t>
      </w:r>
      <w:bookmarkEnd w:id="13"/>
    </w:p>
    <w:p w:rsidR="00C21A7D" w:rsidRPr="00150ABE" w:rsidRDefault="00C21A7D" w:rsidP="004D1C86">
      <w:pPr>
        <w:pStyle w:val="ListParagraph"/>
        <w:widowControl/>
        <w:numPr>
          <w:ilvl w:val="1"/>
          <w:numId w:val="29"/>
        </w:numPr>
      </w:pPr>
      <w:r w:rsidRPr="00150ABE">
        <w:t>This submission was not conside</w:t>
      </w:r>
      <w:r w:rsidR="003D1DE1" w:rsidRPr="00150ABE">
        <w:t>red by DUSC. The submission used</w:t>
      </w:r>
      <w:r w:rsidRPr="00150ABE">
        <w:t xml:space="preserve"> a mixed market share and epidem</w:t>
      </w:r>
      <w:r w:rsidR="003D1DE1" w:rsidRPr="00150ABE">
        <w:t>iological approach to estimate the</w:t>
      </w:r>
      <w:r w:rsidRPr="00150ABE">
        <w:t xml:space="preserve"> utilisation and financial impact of</w:t>
      </w:r>
      <w:r w:rsidR="003D1DE1" w:rsidRPr="00150ABE">
        <w:t xml:space="preserve"> denosumab. The key source for </w:t>
      </w:r>
      <w:r w:rsidRPr="00150ABE">
        <w:t>the approach was a 10% Medicare sample analysis of bisphosphonate prescriptions for multiple myeloma from 2014-2015. The 10% Medicare sample analysis was the same as presented in the March 2016 submission for denosumab in hypercalcaemia of malignancy, and has not been updated for the current submission.</w:t>
      </w:r>
    </w:p>
    <w:p w:rsidR="00C21A7D" w:rsidRPr="00150ABE" w:rsidRDefault="00BB66CA" w:rsidP="006D74C6">
      <w:pPr>
        <w:pStyle w:val="ListParagraph"/>
        <w:widowControl/>
        <w:numPr>
          <w:ilvl w:val="1"/>
          <w:numId w:val="29"/>
        </w:numPr>
      </w:pPr>
      <w:r w:rsidRPr="00150ABE">
        <w:t>Table 11</w:t>
      </w:r>
      <w:r w:rsidR="00C21A7D" w:rsidRPr="00150ABE">
        <w:t xml:space="preserve"> presents the estimated total use and costs of denosumab in the first 6 years of listing. The submission’s estimates of costs incorporated </w:t>
      </w:r>
      <w:r w:rsidR="00B833BF" w:rsidRPr="00150ABE">
        <w:t xml:space="preserve">a 10% statutory </w:t>
      </w:r>
      <w:r w:rsidR="00C21A7D" w:rsidRPr="00150ABE">
        <w:t xml:space="preserve">price reduction </w:t>
      </w:r>
      <w:r w:rsidR="00B833BF" w:rsidRPr="00150ABE">
        <w:t xml:space="preserve">effective April 2021 </w:t>
      </w:r>
      <w:r w:rsidR="00C21A7D" w:rsidRPr="00150ABE">
        <w:t xml:space="preserve">for denosumab. During the evaluation, the </w:t>
      </w:r>
      <w:r w:rsidR="00B833BF" w:rsidRPr="00150ABE">
        <w:t>10%</w:t>
      </w:r>
      <w:r w:rsidR="00C21A7D" w:rsidRPr="00150ABE">
        <w:t xml:space="preserve"> price reduction was removed from the base case estimates but </w:t>
      </w:r>
      <w:r w:rsidR="00B01B80">
        <w:t>was</w:t>
      </w:r>
      <w:r w:rsidR="00C21A7D" w:rsidRPr="00150ABE">
        <w:t xml:space="preserve"> included in sensitivity analyses. </w:t>
      </w:r>
      <w:r w:rsidR="00B833BF" w:rsidRPr="00150ABE">
        <w:t>During the evaluation, z</w:t>
      </w:r>
      <w:r w:rsidR="00C21A7D" w:rsidRPr="00150ABE">
        <w:t xml:space="preserve">oledronic acid </w:t>
      </w:r>
      <w:r w:rsidR="00B833BF" w:rsidRPr="00150ABE">
        <w:t>prices were updated to reflect the 1 April 2018 price disclosure reduction and the updated estimates were</w:t>
      </w:r>
      <w:r w:rsidR="00C21A7D" w:rsidRPr="00150ABE">
        <w:t xml:space="preserve"> included in the revised base case </w:t>
      </w:r>
      <w:r w:rsidR="00B833BF" w:rsidRPr="00150ABE">
        <w:t>and any additional sensitivity analyses.</w:t>
      </w:r>
    </w:p>
    <w:p w:rsidR="00B833BF" w:rsidRPr="00150ABE" w:rsidRDefault="00BB66CA" w:rsidP="006D74C6">
      <w:pPr>
        <w:keepNext/>
        <w:keepLines/>
        <w:rPr>
          <w:rStyle w:val="CommentReference"/>
        </w:rPr>
      </w:pPr>
      <w:r w:rsidRPr="00150ABE">
        <w:rPr>
          <w:rStyle w:val="CommentReference"/>
        </w:rPr>
        <w:lastRenderedPageBreak/>
        <w:t>Table 11</w:t>
      </w:r>
      <w:r w:rsidR="00B833BF" w:rsidRPr="00150ABE">
        <w:rPr>
          <w:rStyle w:val="CommentReference"/>
        </w:rPr>
        <w:t>:  Estimated use and total cost of denosumab to the PBS/RPBS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1134"/>
        <w:gridCol w:w="1134"/>
        <w:gridCol w:w="1134"/>
        <w:gridCol w:w="1134"/>
        <w:gridCol w:w="1134"/>
        <w:gridCol w:w="1134"/>
      </w:tblGrid>
      <w:tr w:rsidR="00B833BF" w:rsidRPr="00150ABE" w:rsidTr="008920D4">
        <w:trPr>
          <w:tblHeader/>
        </w:trPr>
        <w:tc>
          <w:tcPr>
            <w:tcW w:w="2263" w:type="dxa"/>
            <w:shd w:val="clear" w:color="auto" w:fill="auto"/>
            <w:vAlign w:val="center"/>
          </w:tcPr>
          <w:p w:rsidR="00B833BF" w:rsidRPr="00150ABE" w:rsidRDefault="00B833BF" w:rsidP="006D74C6">
            <w:pPr>
              <w:pStyle w:val="Tabletext"/>
              <w:keepNext/>
              <w:keepLines/>
              <w:rPr>
                <w:b/>
              </w:rPr>
            </w:pPr>
          </w:p>
        </w:tc>
        <w:tc>
          <w:tcPr>
            <w:tcW w:w="1134" w:type="dxa"/>
            <w:shd w:val="clear" w:color="auto" w:fill="auto"/>
            <w:vAlign w:val="center"/>
          </w:tcPr>
          <w:p w:rsidR="00B833BF" w:rsidRPr="00150ABE" w:rsidRDefault="00B833BF" w:rsidP="006D74C6">
            <w:pPr>
              <w:pStyle w:val="Tabletext"/>
              <w:keepNext/>
              <w:keepLines/>
              <w:jc w:val="center"/>
              <w:rPr>
                <w:b/>
              </w:rPr>
            </w:pPr>
            <w:r w:rsidRPr="00150ABE">
              <w:rPr>
                <w:b/>
              </w:rPr>
              <w:t>Year 1</w:t>
            </w:r>
          </w:p>
        </w:tc>
        <w:tc>
          <w:tcPr>
            <w:tcW w:w="1134" w:type="dxa"/>
            <w:shd w:val="clear" w:color="auto" w:fill="auto"/>
            <w:vAlign w:val="center"/>
          </w:tcPr>
          <w:p w:rsidR="00B833BF" w:rsidRPr="00150ABE" w:rsidRDefault="00B833BF" w:rsidP="006D74C6">
            <w:pPr>
              <w:pStyle w:val="Tabletext"/>
              <w:keepNext/>
              <w:keepLines/>
              <w:jc w:val="center"/>
              <w:rPr>
                <w:b/>
              </w:rPr>
            </w:pPr>
            <w:r w:rsidRPr="00150ABE">
              <w:rPr>
                <w:b/>
              </w:rPr>
              <w:t>Year 2</w:t>
            </w:r>
          </w:p>
        </w:tc>
        <w:tc>
          <w:tcPr>
            <w:tcW w:w="1134" w:type="dxa"/>
            <w:shd w:val="clear" w:color="auto" w:fill="auto"/>
            <w:vAlign w:val="center"/>
          </w:tcPr>
          <w:p w:rsidR="00B833BF" w:rsidRPr="00150ABE" w:rsidRDefault="00B833BF" w:rsidP="006D74C6">
            <w:pPr>
              <w:pStyle w:val="Tabletext"/>
              <w:keepNext/>
              <w:keepLines/>
              <w:jc w:val="center"/>
              <w:rPr>
                <w:b/>
              </w:rPr>
            </w:pPr>
            <w:r w:rsidRPr="00150ABE">
              <w:rPr>
                <w:b/>
              </w:rPr>
              <w:t>Year 3</w:t>
            </w:r>
          </w:p>
        </w:tc>
        <w:tc>
          <w:tcPr>
            <w:tcW w:w="1134" w:type="dxa"/>
            <w:shd w:val="clear" w:color="auto" w:fill="auto"/>
            <w:vAlign w:val="center"/>
          </w:tcPr>
          <w:p w:rsidR="00B833BF" w:rsidRPr="00150ABE" w:rsidRDefault="00B833BF" w:rsidP="006D74C6">
            <w:pPr>
              <w:pStyle w:val="Tabletext"/>
              <w:keepNext/>
              <w:keepLines/>
              <w:jc w:val="center"/>
              <w:rPr>
                <w:b/>
              </w:rPr>
            </w:pPr>
            <w:r w:rsidRPr="00150ABE">
              <w:rPr>
                <w:b/>
              </w:rPr>
              <w:t>Year 4</w:t>
            </w:r>
          </w:p>
        </w:tc>
        <w:tc>
          <w:tcPr>
            <w:tcW w:w="1134" w:type="dxa"/>
            <w:shd w:val="clear" w:color="auto" w:fill="auto"/>
            <w:vAlign w:val="center"/>
          </w:tcPr>
          <w:p w:rsidR="00B833BF" w:rsidRPr="00150ABE" w:rsidRDefault="00B833BF" w:rsidP="006D74C6">
            <w:pPr>
              <w:pStyle w:val="Tabletext"/>
              <w:keepNext/>
              <w:keepLines/>
              <w:jc w:val="center"/>
              <w:rPr>
                <w:b/>
              </w:rPr>
            </w:pPr>
            <w:r w:rsidRPr="00150ABE">
              <w:rPr>
                <w:b/>
              </w:rPr>
              <w:t>Year 5</w:t>
            </w:r>
          </w:p>
        </w:tc>
        <w:tc>
          <w:tcPr>
            <w:tcW w:w="1134" w:type="dxa"/>
            <w:shd w:val="clear" w:color="auto" w:fill="auto"/>
            <w:vAlign w:val="center"/>
          </w:tcPr>
          <w:p w:rsidR="00B833BF" w:rsidRPr="00150ABE" w:rsidRDefault="00B833BF" w:rsidP="006D74C6">
            <w:pPr>
              <w:pStyle w:val="Tabletext"/>
              <w:keepNext/>
              <w:keepLines/>
              <w:jc w:val="center"/>
              <w:rPr>
                <w:b/>
              </w:rPr>
            </w:pPr>
            <w:r w:rsidRPr="00150ABE">
              <w:rPr>
                <w:b/>
              </w:rPr>
              <w:t>Year 6</w:t>
            </w:r>
          </w:p>
        </w:tc>
      </w:tr>
      <w:tr w:rsidR="00B833BF" w:rsidRPr="00150ABE" w:rsidTr="008920D4">
        <w:tc>
          <w:tcPr>
            <w:tcW w:w="9067" w:type="dxa"/>
            <w:gridSpan w:val="7"/>
            <w:shd w:val="clear" w:color="auto" w:fill="auto"/>
            <w:vAlign w:val="center"/>
          </w:tcPr>
          <w:p w:rsidR="00B833BF" w:rsidRPr="00150ABE" w:rsidRDefault="00B833BF" w:rsidP="006D74C6">
            <w:pPr>
              <w:pStyle w:val="Tabletext"/>
              <w:keepNext/>
              <w:keepLines/>
              <w:rPr>
                <w:b/>
              </w:rPr>
            </w:pPr>
            <w:r w:rsidRPr="00150ABE">
              <w:rPr>
                <w:b/>
              </w:rPr>
              <w:t>Denosumab uptake – from pat</w:t>
            </w:r>
            <w:r w:rsidR="00BB66CA" w:rsidRPr="00150ABE">
              <w:rPr>
                <w:b/>
              </w:rPr>
              <w:t>ients currently treated with bisphosphonates (BPs)</w:t>
            </w:r>
          </w:p>
        </w:tc>
      </w:tr>
      <w:tr w:rsidR="00B833BF" w:rsidRPr="00150ABE" w:rsidTr="00223DB0">
        <w:trPr>
          <w:trHeight w:val="136"/>
        </w:trPr>
        <w:tc>
          <w:tcPr>
            <w:tcW w:w="2263" w:type="dxa"/>
            <w:shd w:val="clear" w:color="auto" w:fill="auto"/>
            <w:vAlign w:val="center"/>
          </w:tcPr>
          <w:p w:rsidR="00B833BF" w:rsidRPr="00150ABE" w:rsidRDefault="00B833BF" w:rsidP="006D74C6">
            <w:pPr>
              <w:pStyle w:val="Tabletext"/>
              <w:keepNext/>
              <w:keepLines/>
            </w:pPr>
            <w:r w:rsidRPr="00150ABE">
              <w:t>Currently BP treated</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pPr>
            <w:r w:rsidRPr="00150ABE">
              <w:t>Uptake rate</w:t>
            </w:r>
          </w:p>
        </w:tc>
        <w:tc>
          <w:tcPr>
            <w:tcW w:w="1134" w:type="dxa"/>
            <w:shd w:val="clear" w:color="auto" w:fill="auto"/>
          </w:tcPr>
          <w:p w:rsidR="00B833BF" w:rsidRPr="00150ABE" w:rsidRDefault="00604FF7" w:rsidP="006D74C6">
            <w:pPr>
              <w:pStyle w:val="Tabletext"/>
              <w:keepNext/>
              <w:keepLines/>
              <w:jc w:val="center"/>
            </w:pPr>
            <w:r>
              <w:rPr>
                <w:noProof/>
                <w:color w:val="000000"/>
                <w:highlight w:val="black"/>
              </w:rPr>
              <w:t>''''''</w:t>
            </w:r>
            <w:r w:rsidR="00B833BF" w:rsidRPr="00495F2F">
              <w:t>%</w:t>
            </w:r>
          </w:p>
        </w:tc>
        <w:tc>
          <w:tcPr>
            <w:tcW w:w="1134" w:type="dxa"/>
            <w:shd w:val="clear" w:color="auto" w:fill="auto"/>
          </w:tcPr>
          <w:p w:rsidR="00B833BF" w:rsidRPr="00150ABE" w:rsidRDefault="00604FF7" w:rsidP="006D74C6">
            <w:pPr>
              <w:pStyle w:val="Tabletext"/>
              <w:keepNext/>
              <w:keepLines/>
              <w:jc w:val="center"/>
            </w:pPr>
            <w:r>
              <w:rPr>
                <w:noProof/>
                <w:color w:val="000000"/>
                <w:highlight w:val="black"/>
              </w:rPr>
              <w:t>''''''</w:t>
            </w:r>
            <w:r w:rsidR="00B833BF" w:rsidRPr="00150ABE">
              <w:t>%</w:t>
            </w:r>
          </w:p>
        </w:tc>
        <w:tc>
          <w:tcPr>
            <w:tcW w:w="1134" w:type="dxa"/>
            <w:shd w:val="clear" w:color="auto" w:fill="auto"/>
          </w:tcPr>
          <w:p w:rsidR="00B833BF" w:rsidRPr="00150ABE" w:rsidRDefault="00604FF7" w:rsidP="006D74C6">
            <w:pPr>
              <w:pStyle w:val="Tabletext"/>
              <w:keepNext/>
              <w:keepLines/>
              <w:jc w:val="center"/>
            </w:pPr>
            <w:r>
              <w:rPr>
                <w:noProof/>
                <w:color w:val="000000"/>
                <w:highlight w:val="black"/>
              </w:rPr>
              <w:t>'''''</w:t>
            </w:r>
            <w:r w:rsidR="00B833BF" w:rsidRPr="00150ABE">
              <w:t>%</w:t>
            </w:r>
          </w:p>
        </w:tc>
        <w:tc>
          <w:tcPr>
            <w:tcW w:w="1134" w:type="dxa"/>
            <w:shd w:val="clear" w:color="auto" w:fill="auto"/>
          </w:tcPr>
          <w:p w:rsidR="00B833BF" w:rsidRPr="00150ABE" w:rsidRDefault="00604FF7" w:rsidP="006D74C6">
            <w:pPr>
              <w:pStyle w:val="Tabletext"/>
              <w:keepNext/>
              <w:keepLines/>
              <w:jc w:val="center"/>
            </w:pPr>
            <w:r>
              <w:rPr>
                <w:noProof/>
                <w:color w:val="000000"/>
                <w:highlight w:val="black"/>
              </w:rPr>
              <w:t>''''''</w:t>
            </w:r>
            <w:r w:rsidR="00B833BF" w:rsidRPr="00150ABE">
              <w:t>%</w:t>
            </w:r>
          </w:p>
        </w:tc>
        <w:tc>
          <w:tcPr>
            <w:tcW w:w="1134" w:type="dxa"/>
            <w:shd w:val="clear" w:color="auto" w:fill="auto"/>
          </w:tcPr>
          <w:p w:rsidR="00B833BF" w:rsidRPr="00223DB0" w:rsidRDefault="00604FF7" w:rsidP="006D74C6">
            <w:pPr>
              <w:pStyle w:val="Tabletext"/>
              <w:keepNext/>
              <w:keepLines/>
              <w:jc w:val="center"/>
            </w:pPr>
            <w:r>
              <w:rPr>
                <w:noProof/>
                <w:color w:val="000000"/>
                <w:highlight w:val="black"/>
              </w:rPr>
              <w:t>'''''''</w:t>
            </w:r>
            <w:r w:rsidR="00B833BF" w:rsidRPr="00223DB0">
              <w:t>%</w:t>
            </w:r>
          </w:p>
        </w:tc>
        <w:tc>
          <w:tcPr>
            <w:tcW w:w="1134" w:type="dxa"/>
            <w:shd w:val="clear" w:color="auto" w:fill="auto"/>
          </w:tcPr>
          <w:p w:rsidR="00B833BF" w:rsidRPr="00223DB0" w:rsidRDefault="00604FF7" w:rsidP="006D74C6">
            <w:pPr>
              <w:pStyle w:val="Tabletext"/>
              <w:keepNext/>
              <w:keepLines/>
              <w:jc w:val="center"/>
            </w:pPr>
            <w:r>
              <w:rPr>
                <w:noProof/>
                <w:color w:val="000000"/>
                <w:highlight w:val="black"/>
              </w:rPr>
              <w:t>''''''</w:t>
            </w:r>
            <w:r w:rsidR="00B833BF" w:rsidRPr="00223DB0">
              <w:t>%</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pPr>
            <w:r w:rsidRPr="00150ABE">
              <w:t xml:space="preserve">Uptake from BP treated </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495F2F" w:rsidP="00495F2F">
            <w:pPr>
              <w:pStyle w:val="Tabletext"/>
              <w:keepNext/>
              <w:keepLines/>
              <w:tabs>
                <w:tab w:val="left" w:pos="326"/>
                <w:tab w:val="center" w:pos="539"/>
              </w:tabs>
              <w:rPr>
                <w:highlight w:val="black"/>
              </w:rPr>
            </w:pPr>
            <w:r>
              <w:tab/>
            </w:r>
            <w:r w:rsidR="00604FF7">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r>
      <w:tr w:rsidR="00B833BF" w:rsidRPr="00150ABE" w:rsidTr="008920D4">
        <w:tc>
          <w:tcPr>
            <w:tcW w:w="9067" w:type="dxa"/>
            <w:gridSpan w:val="7"/>
            <w:shd w:val="clear" w:color="auto" w:fill="auto"/>
            <w:vAlign w:val="center"/>
          </w:tcPr>
          <w:p w:rsidR="00B833BF" w:rsidRPr="00150ABE" w:rsidRDefault="00B833BF" w:rsidP="006D74C6">
            <w:pPr>
              <w:pStyle w:val="Tabletext"/>
              <w:keepNext/>
              <w:keepLines/>
              <w:rPr>
                <w:b/>
              </w:rPr>
            </w:pPr>
            <w:r w:rsidRPr="00150ABE">
              <w:rPr>
                <w:b/>
              </w:rPr>
              <w:t>Denosumab uptake – from patients unsuitable for BPs</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pPr>
            <w:r w:rsidRPr="00150ABE">
              <w:t>Unsuitable for BPs</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pPr>
            <w:r w:rsidRPr="00150ABE">
              <w:t>Uptake rate</w:t>
            </w:r>
          </w:p>
        </w:tc>
        <w:tc>
          <w:tcPr>
            <w:tcW w:w="1134" w:type="dxa"/>
            <w:shd w:val="clear" w:color="auto" w:fill="auto"/>
            <w:vAlign w:val="center"/>
          </w:tcPr>
          <w:p w:rsidR="00B833BF" w:rsidRPr="00150ABE" w:rsidRDefault="00604FF7" w:rsidP="006D74C6">
            <w:pPr>
              <w:pStyle w:val="Tabletext"/>
              <w:keepNext/>
              <w:keepLines/>
              <w:jc w:val="center"/>
            </w:pPr>
            <w:r>
              <w:rPr>
                <w:noProof/>
                <w:color w:val="000000"/>
                <w:highlight w:val="black"/>
              </w:rPr>
              <w:t>''''''''</w:t>
            </w:r>
            <w:r w:rsidR="00B833BF" w:rsidRPr="00150ABE">
              <w:t>%</w:t>
            </w:r>
          </w:p>
        </w:tc>
        <w:tc>
          <w:tcPr>
            <w:tcW w:w="1134" w:type="dxa"/>
            <w:shd w:val="clear" w:color="auto" w:fill="auto"/>
            <w:vAlign w:val="center"/>
          </w:tcPr>
          <w:p w:rsidR="00B833BF" w:rsidRPr="00150ABE" w:rsidRDefault="00604FF7" w:rsidP="006D74C6">
            <w:pPr>
              <w:pStyle w:val="Tabletext"/>
              <w:keepNext/>
              <w:keepLines/>
              <w:jc w:val="center"/>
            </w:pPr>
            <w:r>
              <w:rPr>
                <w:noProof/>
                <w:color w:val="000000"/>
                <w:highlight w:val="black"/>
              </w:rPr>
              <w:t>''''''''''</w:t>
            </w:r>
            <w:r w:rsidR="00B833BF" w:rsidRPr="00150ABE">
              <w:t>%</w:t>
            </w:r>
          </w:p>
        </w:tc>
        <w:tc>
          <w:tcPr>
            <w:tcW w:w="1134" w:type="dxa"/>
            <w:shd w:val="clear" w:color="auto" w:fill="auto"/>
            <w:vAlign w:val="center"/>
          </w:tcPr>
          <w:p w:rsidR="00B833BF" w:rsidRPr="00150ABE" w:rsidRDefault="00604FF7" w:rsidP="006D74C6">
            <w:pPr>
              <w:pStyle w:val="Tabletext"/>
              <w:keepNext/>
              <w:keepLines/>
              <w:jc w:val="center"/>
            </w:pPr>
            <w:r>
              <w:rPr>
                <w:noProof/>
                <w:color w:val="000000"/>
                <w:highlight w:val="black"/>
              </w:rPr>
              <w:t>''''''''''</w:t>
            </w:r>
            <w:r w:rsidR="00B833BF" w:rsidRPr="00150ABE">
              <w:t>%</w:t>
            </w:r>
          </w:p>
        </w:tc>
        <w:tc>
          <w:tcPr>
            <w:tcW w:w="1134" w:type="dxa"/>
            <w:shd w:val="clear" w:color="auto" w:fill="auto"/>
            <w:vAlign w:val="center"/>
          </w:tcPr>
          <w:p w:rsidR="00B833BF" w:rsidRPr="00150ABE" w:rsidRDefault="00604FF7" w:rsidP="006D74C6">
            <w:pPr>
              <w:pStyle w:val="Tabletext"/>
              <w:keepNext/>
              <w:keepLines/>
              <w:jc w:val="center"/>
            </w:pPr>
            <w:r>
              <w:rPr>
                <w:noProof/>
                <w:color w:val="000000"/>
                <w:highlight w:val="black"/>
              </w:rPr>
              <w:t>'''''''''</w:t>
            </w:r>
            <w:r w:rsidR="00B833BF" w:rsidRPr="00150ABE">
              <w:t>%</w:t>
            </w:r>
          </w:p>
        </w:tc>
        <w:tc>
          <w:tcPr>
            <w:tcW w:w="1134" w:type="dxa"/>
            <w:shd w:val="clear" w:color="auto" w:fill="auto"/>
            <w:vAlign w:val="center"/>
          </w:tcPr>
          <w:p w:rsidR="00B833BF" w:rsidRPr="00150ABE" w:rsidRDefault="00604FF7" w:rsidP="006D74C6">
            <w:pPr>
              <w:pStyle w:val="Tabletext"/>
              <w:keepNext/>
              <w:keepLines/>
              <w:jc w:val="center"/>
            </w:pPr>
            <w:r>
              <w:rPr>
                <w:noProof/>
                <w:color w:val="000000"/>
                <w:highlight w:val="black"/>
              </w:rPr>
              <w:t>''''''''''</w:t>
            </w:r>
            <w:r w:rsidR="00B833BF" w:rsidRPr="00150ABE">
              <w:t>%</w:t>
            </w:r>
          </w:p>
        </w:tc>
        <w:tc>
          <w:tcPr>
            <w:tcW w:w="1134" w:type="dxa"/>
            <w:shd w:val="clear" w:color="auto" w:fill="auto"/>
            <w:vAlign w:val="center"/>
          </w:tcPr>
          <w:p w:rsidR="00B833BF" w:rsidRPr="00150ABE" w:rsidRDefault="00604FF7" w:rsidP="006D74C6">
            <w:pPr>
              <w:pStyle w:val="Tabletext"/>
              <w:keepNext/>
              <w:keepLines/>
              <w:jc w:val="center"/>
            </w:pPr>
            <w:r>
              <w:rPr>
                <w:noProof/>
                <w:color w:val="000000"/>
                <w:highlight w:val="black"/>
              </w:rPr>
              <w:t>'''''''''</w:t>
            </w:r>
            <w:r w:rsidR="00B833BF" w:rsidRPr="00150ABE">
              <w:t>%</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pPr>
            <w:r w:rsidRPr="00150ABE">
              <w:t>Uptake from BP unsuitable</w:t>
            </w:r>
          </w:p>
        </w:tc>
        <w:tc>
          <w:tcPr>
            <w:tcW w:w="1134" w:type="dxa"/>
            <w:shd w:val="clear" w:color="auto" w:fill="auto"/>
          </w:tcPr>
          <w:p w:rsidR="00B833BF" w:rsidRPr="00604FF7" w:rsidRDefault="00604FF7" w:rsidP="006D74C6">
            <w:pPr>
              <w:pStyle w:val="Tabletext"/>
              <w:keepNext/>
              <w:keepLines/>
              <w:jc w:val="center"/>
              <w:rPr>
                <w:rFonts w:cs="Arial"/>
                <w:iCs/>
                <w:szCs w:val="20"/>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rFonts w:cs="Arial"/>
                <w:iCs/>
                <w:szCs w:val="20"/>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rFonts w:cs="Arial"/>
                <w:iCs/>
                <w:szCs w:val="20"/>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rFonts w:cs="Arial"/>
                <w:iCs/>
                <w:szCs w:val="20"/>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rFonts w:cs="Arial"/>
                <w:iCs/>
                <w:szCs w:val="20"/>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rFonts w:cs="Arial"/>
                <w:iCs/>
                <w:szCs w:val="20"/>
                <w:highlight w:val="black"/>
              </w:rPr>
            </w:pPr>
            <w:r>
              <w:rPr>
                <w:noProof/>
                <w:color w:val="000000"/>
                <w:highlight w:val="black"/>
              </w:rPr>
              <w:t>'''''''''</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rPr>
                <w:b/>
              </w:rPr>
            </w:pPr>
            <w:r w:rsidRPr="00150ABE">
              <w:rPr>
                <w:b/>
              </w:rPr>
              <w:t>Total uptake (patients)</w:t>
            </w:r>
          </w:p>
        </w:tc>
        <w:tc>
          <w:tcPr>
            <w:tcW w:w="1134" w:type="dxa"/>
            <w:shd w:val="clear" w:color="auto" w:fill="auto"/>
            <w:vAlign w:val="center"/>
          </w:tcPr>
          <w:p w:rsidR="00B833BF" w:rsidRPr="00604FF7" w:rsidRDefault="00604FF7" w:rsidP="006D74C6">
            <w:pPr>
              <w:pStyle w:val="Tabletext"/>
              <w:keepNext/>
              <w:keepLines/>
              <w:jc w:val="center"/>
              <w:rPr>
                <w:b/>
                <w:highlight w:val="black"/>
              </w:rPr>
            </w:pPr>
            <w:r>
              <w:rPr>
                <w:b/>
                <w:noProof/>
                <w:color w:val="000000"/>
                <w:highlight w:val="black"/>
              </w:rPr>
              <w:t>''''''''''</w:t>
            </w:r>
          </w:p>
        </w:tc>
        <w:tc>
          <w:tcPr>
            <w:tcW w:w="1134" w:type="dxa"/>
            <w:shd w:val="clear" w:color="auto" w:fill="auto"/>
            <w:vAlign w:val="center"/>
          </w:tcPr>
          <w:p w:rsidR="00B833BF" w:rsidRPr="00604FF7" w:rsidRDefault="00604FF7" w:rsidP="006D74C6">
            <w:pPr>
              <w:pStyle w:val="Tabletext"/>
              <w:keepNext/>
              <w:keepLines/>
              <w:jc w:val="center"/>
              <w:rPr>
                <w:b/>
                <w:highlight w:val="black"/>
              </w:rPr>
            </w:pPr>
            <w:r>
              <w:rPr>
                <w:b/>
                <w:noProof/>
                <w:color w:val="000000"/>
                <w:highlight w:val="black"/>
              </w:rPr>
              <w:t>''''''''''''</w:t>
            </w:r>
          </w:p>
        </w:tc>
        <w:tc>
          <w:tcPr>
            <w:tcW w:w="1134" w:type="dxa"/>
            <w:shd w:val="clear" w:color="auto" w:fill="auto"/>
            <w:vAlign w:val="center"/>
          </w:tcPr>
          <w:p w:rsidR="00B833BF" w:rsidRPr="00604FF7" w:rsidRDefault="00604FF7" w:rsidP="006D74C6">
            <w:pPr>
              <w:pStyle w:val="Tabletext"/>
              <w:keepNext/>
              <w:keepLines/>
              <w:jc w:val="center"/>
              <w:rPr>
                <w:b/>
                <w:highlight w:val="black"/>
              </w:rPr>
            </w:pPr>
            <w:r>
              <w:rPr>
                <w:b/>
                <w:noProof/>
                <w:color w:val="000000"/>
                <w:highlight w:val="black"/>
              </w:rPr>
              <w:t>'''''''''''</w:t>
            </w:r>
          </w:p>
        </w:tc>
        <w:tc>
          <w:tcPr>
            <w:tcW w:w="1134" w:type="dxa"/>
            <w:shd w:val="clear" w:color="auto" w:fill="auto"/>
            <w:vAlign w:val="center"/>
          </w:tcPr>
          <w:p w:rsidR="00B833BF" w:rsidRPr="00604FF7" w:rsidRDefault="00604FF7" w:rsidP="006D74C6">
            <w:pPr>
              <w:pStyle w:val="Tabletext"/>
              <w:keepNext/>
              <w:keepLines/>
              <w:jc w:val="center"/>
              <w:rPr>
                <w:b/>
                <w:highlight w:val="black"/>
              </w:rPr>
            </w:pPr>
            <w:r>
              <w:rPr>
                <w:b/>
                <w:noProof/>
                <w:color w:val="000000"/>
                <w:highlight w:val="black"/>
              </w:rPr>
              <w:t>''''''''''</w:t>
            </w:r>
          </w:p>
        </w:tc>
        <w:tc>
          <w:tcPr>
            <w:tcW w:w="1134" w:type="dxa"/>
            <w:shd w:val="clear" w:color="auto" w:fill="auto"/>
            <w:vAlign w:val="center"/>
          </w:tcPr>
          <w:p w:rsidR="00B833BF" w:rsidRPr="00604FF7" w:rsidRDefault="00604FF7" w:rsidP="006D74C6">
            <w:pPr>
              <w:pStyle w:val="Tabletext"/>
              <w:keepNext/>
              <w:keepLines/>
              <w:jc w:val="center"/>
              <w:rPr>
                <w:b/>
                <w:highlight w:val="black"/>
              </w:rPr>
            </w:pPr>
            <w:r>
              <w:rPr>
                <w:b/>
                <w:noProof/>
                <w:color w:val="000000"/>
                <w:highlight w:val="black"/>
              </w:rPr>
              <w:t>'''''''''''</w:t>
            </w:r>
          </w:p>
        </w:tc>
        <w:tc>
          <w:tcPr>
            <w:tcW w:w="1134" w:type="dxa"/>
            <w:shd w:val="clear" w:color="auto" w:fill="auto"/>
            <w:vAlign w:val="center"/>
          </w:tcPr>
          <w:p w:rsidR="00B833BF" w:rsidRPr="00604FF7" w:rsidRDefault="00604FF7" w:rsidP="006D74C6">
            <w:pPr>
              <w:pStyle w:val="Tabletext"/>
              <w:keepNext/>
              <w:keepLines/>
              <w:jc w:val="center"/>
              <w:rPr>
                <w:b/>
                <w:highlight w:val="black"/>
              </w:rPr>
            </w:pPr>
            <w:r>
              <w:rPr>
                <w:b/>
                <w:noProof/>
                <w:color w:val="000000"/>
                <w:highlight w:val="black"/>
              </w:rPr>
              <w:t>''''''''''</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pPr>
            <w:r w:rsidRPr="00150ABE">
              <w:t>Total scripts (7.5/patient/</w:t>
            </w:r>
            <w:proofErr w:type="spellStart"/>
            <w:r w:rsidRPr="00150ABE">
              <w:t>yr</w:t>
            </w:r>
            <w:proofErr w:type="spellEnd"/>
            <w:r w:rsidRPr="00150ABE">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495F2F" w:rsidP="00495F2F">
            <w:pPr>
              <w:pStyle w:val="Tabletext"/>
              <w:keepNext/>
              <w:keepLines/>
              <w:tabs>
                <w:tab w:val="left" w:pos="275"/>
                <w:tab w:val="center" w:pos="539"/>
              </w:tabs>
              <w:rPr>
                <w:highlight w:val="black"/>
              </w:rPr>
            </w:pPr>
            <w:r>
              <w:tab/>
            </w:r>
            <w:r w:rsidR="00604FF7">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r>
      <w:tr w:rsidR="00B833BF" w:rsidRPr="00150ABE" w:rsidTr="008920D4">
        <w:tc>
          <w:tcPr>
            <w:tcW w:w="9067" w:type="dxa"/>
            <w:gridSpan w:val="7"/>
            <w:shd w:val="clear" w:color="auto" w:fill="auto"/>
            <w:vAlign w:val="center"/>
          </w:tcPr>
          <w:p w:rsidR="00B833BF" w:rsidRPr="00150ABE" w:rsidRDefault="00B833BF" w:rsidP="006D74C6">
            <w:pPr>
              <w:pStyle w:val="Tabletext"/>
              <w:keepNext/>
              <w:keepLines/>
              <w:rPr>
                <w:b/>
              </w:rPr>
            </w:pPr>
            <w:r w:rsidRPr="00150ABE">
              <w:rPr>
                <w:b/>
              </w:rPr>
              <w:t>Denosumab total costs to PBS/RPBS (DPMQ $501.67 across all years of listing)</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pPr>
            <w:r w:rsidRPr="00150ABE">
              <w:t>Total cost (DPMQ)</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pPr>
            <w:r w:rsidRPr="00150ABE">
              <w:t>Patient co-payments</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pPr>
            <w:r w:rsidRPr="00150ABE">
              <w:t>Net PBS/RPBS cost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r>
      <w:tr w:rsidR="00B833BF" w:rsidRPr="00150ABE" w:rsidTr="008920D4">
        <w:tc>
          <w:tcPr>
            <w:tcW w:w="9067" w:type="dxa"/>
            <w:gridSpan w:val="7"/>
            <w:shd w:val="clear" w:color="auto" w:fill="auto"/>
            <w:vAlign w:val="center"/>
          </w:tcPr>
          <w:p w:rsidR="00B833BF" w:rsidRPr="00150ABE" w:rsidRDefault="00B833BF" w:rsidP="006D74C6">
            <w:pPr>
              <w:pStyle w:val="Tabletext"/>
              <w:keepNext/>
              <w:keepLines/>
              <w:rPr>
                <w:vertAlign w:val="superscript"/>
              </w:rPr>
            </w:pPr>
            <w:r w:rsidRPr="00150ABE">
              <w:rPr>
                <w:b/>
              </w:rPr>
              <w:t>Cost offsets due to denosumab substituting for BPs (proportion of patients for each therapy x scripts/patient/year)</w:t>
            </w:r>
            <w:r w:rsidRPr="00150ABE">
              <w:rPr>
                <w:vertAlign w:val="superscript"/>
              </w:rPr>
              <w:t>a</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pPr>
            <w:r w:rsidRPr="00150ABE">
              <w:t>Zoledronic acid scripts (70%)</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pPr>
            <w:r w:rsidRPr="00150ABE">
              <w:t xml:space="preserve">Zoledronic acid cost </w:t>
            </w:r>
            <w:proofErr w:type="spellStart"/>
            <w:r w:rsidRPr="00150ABE">
              <w:t>offset</w:t>
            </w:r>
            <w:r w:rsidRPr="00150ABE">
              <w:rPr>
                <w:vertAlign w:val="superscript"/>
              </w:rPr>
              <w:t>b</w:t>
            </w:r>
            <w:proofErr w:type="spellEnd"/>
            <w:r w:rsidRPr="00150ABE">
              <w:t xml:space="preserve"> </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pPr>
            <w:proofErr w:type="spellStart"/>
            <w:r w:rsidRPr="00150ABE">
              <w:t>Pamidronate</w:t>
            </w:r>
            <w:proofErr w:type="spellEnd"/>
            <w:r w:rsidRPr="00150ABE">
              <w:t xml:space="preserve"> scripts (17%)</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pPr>
            <w:proofErr w:type="spellStart"/>
            <w:r w:rsidRPr="00150ABE">
              <w:t>Pamidronate</w:t>
            </w:r>
            <w:proofErr w:type="spellEnd"/>
            <w:r w:rsidRPr="00150ABE">
              <w:t xml:space="preserve"> cost </w:t>
            </w:r>
            <w:proofErr w:type="spellStart"/>
            <w:r w:rsidRPr="00150ABE">
              <w:t>offset</w:t>
            </w:r>
            <w:r w:rsidRPr="00150ABE">
              <w:rPr>
                <w:vertAlign w:val="superscript"/>
              </w:rPr>
              <w:t>b</w:t>
            </w:r>
            <w:proofErr w:type="spellEnd"/>
            <w:r w:rsidRPr="00150ABE">
              <w:t xml:space="preserve"> </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pPr>
            <w:proofErr w:type="spellStart"/>
            <w:r w:rsidRPr="00150ABE">
              <w:t>Clodronate</w:t>
            </w:r>
            <w:proofErr w:type="spellEnd"/>
            <w:r w:rsidRPr="00150ABE">
              <w:t xml:space="preserve"> scripts (13%)</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rPr>
                <w:vertAlign w:val="superscript"/>
              </w:rPr>
            </w:pPr>
            <w:proofErr w:type="spellStart"/>
            <w:r w:rsidRPr="00150ABE">
              <w:t>Clodronate</w:t>
            </w:r>
            <w:proofErr w:type="spellEnd"/>
            <w:r w:rsidRPr="00150ABE">
              <w:t xml:space="preserve"> cost offset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pPr>
            <w:r w:rsidRPr="00150ABE">
              <w:t>Total cost offsets (DPMQ)</w:t>
            </w:r>
          </w:p>
        </w:tc>
        <w:tc>
          <w:tcPr>
            <w:tcW w:w="1134" w:type="dxa"/>
            <w:shd w:val="clear" w:color="auto" w:fill="auto"/>
          </w:tcPr>
          <w:p w:rsidR="00B833BF" w:rsidRPr="00604FF7" w:rsidRDefault="00604FF7" w:rsidP="006D74C6">
            <w:pPr>
              <w:pStyle w:val="Tabletext"/>
              <w:keepNext/>
              <w:keepLines/>
              <w:jc w:val="center"/>
              <w:rPr>
                <w:highlight w:val="black"/>
              </w:rPr>
            </w:pPr>
            <w:r>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pPr>
            <w:r w:rsidRPr="00150ABE">
              <w:t>Patient co-payments</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r>
      <w:tr w:rsidR="00B833BF" w:rsidRPr="00150ABE" w:rsidTr="008920D4">
        <w:tc>
          <w:tcPr>
            <w:tcW w:w="2263" w:type="dxa"/>
            <w:shd w:val="clear" w:color="auto" w:fill="auto"/>
            <w:vAlign w:val="center"/>
          </w:tcPr>
          <w:p w:rsidR="00B833BF" w:rsidRPr="00150ABE" w:rsidRDefault="00B833BF" w:rsidP="006D74C6">
            <w:pPr>
              <w:pStyle w:val="Tabletext"/>
              <w:keepNext/>
              <w:keepLines/>
            </w:pPr>
            <w:r w:rsidRPr="00150ABE">
              <w:t>Net (DPMQ less co-payment)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r>
      <w:tr w:rsidR="00B833BF" w:rsidRPr="00150ABE" w:rsidTr="008920D4">
        <w:tc>
          <w:tcPr>
            <w:tcW w:w="9067" w:type="dxa"/>
            <w:gridSpan w:val="7"/>
            <w:shd w:val="clear" w:color="auto" w:fill="auto"/>
            <w:vAlign w:val="center"/>
          </w:tcPr>
          <w:p w:rsidR="00B833BF" w:rsidRPr="00150ABE" w:rsidRDefault="00B833BF" w:rsidP="006D74C6">
            <w:pPr>
              <w:pStyle w:val="Tabletext"/>
              <w:keepNext/>
              <w:keepLines/>
              <w:rPr>
                <w:b/>
              </w:rPr>
            </w:pPr>
            <w:r w:rsidRPr="00150ABE">
              <w:rPr>
                <w:b/>
              </w:rPr>
              <w:t>Net costs to PBS/RPBS with denosumab listing</w:t>
            </w:r>
          </w:p>
        </w:tc>
      </w:tr>
      <w:tr w:rsidR="00B833BF" w:rsidRPr="00150ABE" w:rsidTr="008920D4">
        <w:tc>
          <w:tcPr>
            <w:tcW w:w="2263" w:type="dxa"/>
            <w:shd w:val="clear" w:color="auto" w:fill="auto"/>
            <w:vAlign w:val="center"/>
          </w:tcPr>
          <w:p w:rsidR="00B833BF" w:rsidRPr="00150ABE" w:rsidRDefault="00666759" w:rsidP="006D74C6">
            <w:pPr>
              <w:pStyle w:val="Tabletext"/>
              <w:keepNext/>
              <w:keepLines/>
            </w:pPr>
            <w:r w:rsidRPr="00150ABE">
              <w:t xml:space="preserve">Net (DPMQ </w:t>
            </w:r>
            <w:r w:rsidR="00B833BF" w:rsidRPr="00150ABE">
              <w:t xml:space="preserve">less </w:t>
            </w:r>
            <w:r w:rsidRPr="00150ABE">
              <w:t>co-payment)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c>
          <w:tcPr>
            <w:tcW w:w="1134" w:type="dxa"/>
            <w:shd w:val="clear" w:color="auto" w:fill="auto"/>
          </w:tcPr>
          <w:p w:rsidR="00B833BF" w:rsidRPr="00150ABE" w:rsidRDefault="00B833BF" w:rsidP="006D74C6">
            <w:pPr>
              <w:pStyle w:val="Tabletext"/>
              <w:keepNext/>
              <w:keepLines/>
              <w:jc w:val="center"/>
            </w:pPr>
            <w:r w:rsidRPr="00150ABE">
              <w:t>$</w:t>
            </w:r>
            <w:r w:rsidR="00604FF7">
              <w:rPr>
                <w:noProof/>
                <w:color w:val="000000"/>
                <w:highlight w:val="black"/>
              </w:rPr>
              <w:t>''''''''''''''''''''''''''</w:t>
            </w:r>
          </w:p>
        </w:tc>
      </w:tr>
    </w:tbl>
    <w:p w:rsidR="00B833BF" w:rsidRPr="00150ABE" w:rsidRDefault="00B833BF" w:rsidP="006D74C6">
      <w:pPr>
        <w:pStyle w:val="TableFooter"/>
        <w:keepNext/>
        <w:keepLines/>
      </w:pPr>
      <w:r w:rsidRPr="00150ABE">
        <w:t>Source: XGEVA MM financial estimates.xlsx, and compiled during the evaluation.</w:t>
      </w:r>
    </w:p>
    <w:p w:rsidR="00B833BF" w:rsidRPr="00150ABE" w:rsidRDefault="00B833BF" w:rsidP="006D74C6">
      <w:pPr>
        <w:pStyle w:val="TableFooter"/>
        <w:keepNext/>
        <w:keepLines/>
      </w:pPr>
      <w:r w:rsidRPr="00150ABE">
        <w:t>Abbreviations: BP, bisphosphonates; DPMQ, dispensed price for maximum quantity; MM, multiple myeloma</w:t>
      </w:r>
    </w:p>
    <w:p w:rsidR="00B833BF" w:rsidRPr="00150ABE" w:rsidRDefault="00B833BF" w:rsidP="006D74C6">
      <w:pPr>
        <w:pStyle w:val="TableFooter"/>
        <w:keepNext/>
        <w:keepLines/>
      </w:pPr>
      <w:proofErr w:type="spellStart"/>
      <w:proofErr w:type="gramStart"/>
      <w:r w:rsidRPr="00150ABE">
        <w:rPr>
          <w:vertAlign w:val="superscript"/>
        </w:rPr>
        <w:t>a</w:t>
      </w:r>
      <w:proofErr w:type="spellEnd"/>
      <w:proofErr w:type="gramEnd"/>
      <w:r w:rsidRPr="00150ABE">
        <w:t xml:space="preserve"> Assuming scripts/patient/year for bisphosphonates as follows: zoledronic acid 6.1; </w:t>
      </w:r>
      <w:proofErr w:type="spellStart"/>
      <w:r w:rsidRPr="00150ABE">
        <w:t>pamidronate</w:t>
      </w:r>
      <w:proofErr w:type="spellEnd"/>
      <w:r w:rsidRPr="00150ABE">
        <w:t xml:space="preserve"> 5.9; </w:t>
      </w:r>
      <w:proofErr w:type="spellStart"/>
      <w:r w:rsidRPr="00150ABE">
        <w:t>clodronate</w:t>
      </w:r>
      <w:proofErr w:type="spellEnd"/>
      <w:r w:rsidRPr="00150ABE">
        <w:t xml:space="preserve"> 7.5.</w:t>
      </w:r>
    </w:p>
    <w:p w:rsidR="00B833BF" w:rsidRPr="00150ABE" w:rsidRDefault="00B833BF" w:rsidP="006D74C6">
      <w:pPr>
        <w:pStyle w:val="TableFooter"/>
        <w:keepNext/>
        <w:keepLines/>
      </w:pPr>
      <w:proofErr w:type="gramStart"/>
      <w:r w:rsidRPr="00150ABE">
        <w:rPr>
          <w:vertAlign w:val="superscript"/>
        </w:rPr>
        <w:t>b</w:t>
      </w:r>
      <w:proofErr w:type="gramEnd"/>
      <w:r w:rsidRPr="00150ABE">
        <w:t xml:space="preserve"> Calculated using weighted average DPMQ based on 32% public hospital; 68% private hospital use</w:t>
      </w:r>
    </w:p>
    <w:p w:rsidR="00C21A7D" w:rsidRPr="00150ABE" w:rsidRDefault="00C21A7D" w:rsidP="003D1DE1"/>
    <w:p w:rsidR="00B833BF" w:rsidRPr="00150ABE" w:rsidRDefault="00666759" w:rsidP="004D1C86">
      <w:pPr>
        <w:pStyle w:val="ListParagraph"/>
        <w:widowControl/>
        <w:numPr>
          <w:ilvl w:val="1"/>
          <w:numId w:val="29"/>
        </w:numPr>
      </w:pPr>
      <w:r w:rsidRPr="00150ABE">
        <w:t xml:space="preserve">The estimated net cost to the PBS/RPBS for denosumab was </w:t>
      </w:r>
      <w:r w:rsidR="001D4AD5">
        <w:t>less than $10 million</w:t>
      </w:r>
      <w:r w:rsidRPr="00150ABE">
        <w:t xml:space="preserve"> in Year 1, increasing to </w:t>
      </w:r>
      <w:r w:rsidR="001D4AD5">
        <w:t>$10 - $20 million</w:t>
      </w:r>
      <w:r w:rsidRPr="00150ABE">
        <w:t xml:space="preserve"> in Year 6, a total cost of </w:t>
      </w:r>
      <w:r w:rsidR="001D4AD5">
        <w:t>$60 - $100 million</w:t>
      </w:r>
      <w:r w:rsidRPr="00150ABE">
        <w:t xml:space="preserve"> in the first 6 years of listing. After cost-offsets for the substitution of denosumab for bisphosphonates, the estimated net cost to the PBS/RPBS for listing denosumab was </w:t>
      </w:r>
      <w:r w:rsidR="001D4AD5">
        <w:t>less than $10 million</w:t>
      </w:r>
      <w:r w:rsidRPr="00150ABE">
        <w:t xml:space="preserve"> in Year 1 of listing, increasing to </w:t>
      </w:r>
      <w:r w:rsidR="001D4AD5">
        <w:t>$10 - $20 million</w:t>
      </w:r>
      <w:r w:rsidRPr="00150ABE">
        <w:t xml:space="preserve"> in Year 6, a total of </w:t>
      </w:r>
      <w:r w:rsidR="001D4AD5">
        <w:t>$30 - $60 million</w:t>
      </w:r>
      <w:r w:rsidRPr="00150ABE">
        <w:t xml:space="preserve"> in the first 6 years of listing (submission’s original estimates including the 10% statutory discount from April 2021 were </w:t>
      </w:r>
      <w:r w:rsidR="001D4AD5">
        <w:t>less than $10 million</w:t>
      </w:r>
      <w:r w:rsidRPr="00150ABE">
        <w:t xml:space="preserve"> in Year 1, increasing to </w:t>
      </w:r>
      <w:r w:rsidR="001D4AD5">
        <w:t>less than $10 million</w:t>
      </w:r>
      <w:r w:rsidRPr="00150ABE">
        <w:t xml:space="preserve"> in Year 6, a total of </w:t>
      </w:r>
      <w:r w:rsidR="001D4AD5">
        <w:t>$30 - $60 million</w:t>
      </w:r>
      <w:r w:rsidRPr="00150ABE">
        <w:t xml:space="preserve"> in the first 6 years of listing).</w:t>
      </w:r>
    </w:p>
    <w:p w:rsidR="00C21A7D" w:rsidRPr="00150ABE" w:rsidRDefault="00C21A7D" w:rsidP="004D1C86">
      <w:pPr>
        <w:pStyle w:val="ListParagraph"/>
        <w:widowControl/>
        <w:numPr>
          <w:ilvl w:val="1"/>
          <w:numId w:val="29"/>
        </w:numPr>
        <w:spacing w:after="0"/>
      </w:pPr>
      <w:r w:rsidRPr="00150ABE">
        <w:t xml:space="preserve">The </w:t>
      </w:r>
      <w:r w:rsidR="00666759" w:rsidRPr="00150ABE">
        <w:t>estimated utilisation and financial implications were highly</w:t>
      </w:r>
      <w:r w:rsidRPr="00150ABE">
        <w:t xml:space="preserve"> uncertain for the following key reasons:</w:t>
      </w:r>
    </w:p>
    <w:p w:rsidR="00D0198C" w:rsidRPr="00150ABE" w:rsidRDefault="00595B08" w:rsidP="00D0198C">
      <w:pPr>
        <w:pStyle w:val="ListParagraph"/>
        <w:numPr>
          <w:ilvl w:val="0"/>
          <w:numId w:val="18"/>
        </w:numPr>
        <w:spacing w:after="0"/>
      </w:pPr>
      <w:r w:rsidRPr="00150ABE">
        <w:t>Use of older</w:t>
      </w:r>
      <w:r w:rsidR="00D0198C" w:rsidRPr="00150ABE">
        <w:t xml:space="preserve"> 10% Medicare sample analysis from 2014-15 as the basis for current patient estimates rather than more recent data assumes the market is stable. Market dynamics are changing in recent years with the introduction of new myeloma treatments as well as improvement in 5-year survival rates (Cancer in Australia, AIHW 2017);</w:t>
      </w:r>
    </w:p>
    <w:p w:rsidR="00D0198C" w:rsidRPr="00150ABE" w:rsidRDefault="00D0198C" w:rsidP="00D0198C">
      <w:pPr>
        <w:pStyle w:val="ListParagraph"/>
        <w:numPr>
          <w:ilvl w:val="0"/>
          <w:numId w:val="18"/>
        </w:numPr>
        <w:spacing w:after="0"/>
      </w:pPr>
      <w:r w:rsidRPr="00150ABE">
        <w:lastRenderedPageBreak/>
        <w:t xml:space="preserve">Approximately half of the total number of patients </w:t>
      </w:r>
      <w:r w:rsidR="00BC6D91" w:rsidRPr="00150ABE">
        <w:t>were</w:t>
      </w:r>
      <w:r w:rsidRPr="00150ABE">
        <w:t xml:space="preserve"> categorised as ‘invalid’ and ‘no dominant indication’ which were then redistributed across the indications using the weighted proportions. The appropriateness of this approach was unclear</w:t>
      </w:r>
      <w:r w:rsidR="00ED4248" w:rsidRPr="00150ABE">
        <w:t>;</w:t>
      </w:r>
    </w:p>
    <w:p w:rsidR="00C21A7D" w:rsidRPr="00150ABE" w:rsidRDefault="00C21A7D" w:rsidP="00D0198C">
      <w:pPr>
        <w:pStyle w:val="ListParagraph"/>
        <w:numPr>
          <w:ilvl w:val="0"/>
          <w:numId w:val="18"/>
        </w:numPr>
        <w:spacing w:after="0"/>
        <w:contextualSpacing/>
      </w:pPr>
      <w:r w:rsidRPr="00150ABE">
        <w:t xml:space="preserve">The 10% Medicare sample estimate included patients receiving denosumab and </w:t>
      </w:r>
      <w:proofErr w:type="spellStart"/>
      <w:r w:rsidRPr="00150ABE">
        <w:t>ibandronate</w:t>
      </w:r>
      <w:proofErr w:type="spellEnd"/>
      <w:r w:rsidRPr="00150ABE">
        <w:t>, which are currently not PBS-listed for the treatment of multiple myeloma. Approximately half of the</w:t>
      </w:r>
      <w:r w:rsidR="00BB66CA" w:rsidRPr="00150ABE">
        <w:t xml:space="preserve"> total</w:t>
      </w:r>
      <w:r w:rsidRPr="00150ABE">
        <w:t xml:space="preserve"> ‘invalid’ category was from denosumab utilisatio</w:t>
      </w:r>
      <w:r w:rsidR="00BB66CA" w:rsidRPr="00150ABE">
        <w:t xml:space="preserve">n data which were </w:t>
      </w:r>
      <w:r w:rsidRPr="00150ABE">
        <w:t xml:space="preserve">redistributed amongst all treatments. </w:t>
      </w:r>
      <w:r w:rsidR="00502F80" w:rsidRPr="00150ABE">
        <w:t>The</w:t>
      </w:r>
      <w:r w:rsidRPr="00150ABE">
        <w:t xml:space="preserve"> submission’s estimate of </w:t>
      </w:r>
      <w:r w:rsidR="00BB66CA" w:rsidRPr="00150ABE">
        <w:t xml:space="preserve">the </w:t>
      </w:r>
      <w:r w:rsidR="00502F80" w:rsidRPr="00150ABE">
        <w:t>bisphosphonate market</w:t>
      </w:r>
      <w:r w:rsidRPr="00150ABE">
        <w:t xml:space="preserve"> may</w:t>
      </w:r>
      <w:r w:rsidR="00502F80" w:rsidRPr="00150ABE">
        <w:t xml:space="preserve"> therefore</w:t>
      </w:r>
      <w:r w:rsidRPr="00150ABE">
        <w:t xml:space="preserve"> include patients not treated with bisphosphonates and/or with conditions other than multiple myeloma</w:t>
      </w:r>
      <w:r w:rsidR="00ED4248" w:rsidRPr="00150ABE">
        <w:t>;</w:t>
      </w:r>
    </w:p>
    <w:p w:rsidR="00C21A7D" w:rsidRPr="00150ABE" w:rsidRDefault="00D0198C" w:rsidP="00D0198C">
      <w:pPr>
        <w:pStyle w:val="ListParagraph"/>
        <w:numPr>
          <w:ilvl w:val="0"/>
          <w:numId w:val="18"/>
        </w:numPr>
        <w:spacing w:after="0"/>
        <w:contextualSpacing/>
      </w:pPr>
      <w:r w:rsidRPr="00150ABE">
        <w:t xml:space="preserve">The population who are unsuitable for bisphosphonates was poorly defined. </w:t>
      </w:r>
      <w:r w:rsidR="00C21A7D" w:rsidRPr="00150ABE">
        <w:t>It is unclear whether all patients with severe renal impairment would avoid treatment with bisphosphonates, in the absence of any other available treatment. While the use of zoledronic acid is not recommended in patients wi</w:t>
      </w:r>
      <w:r w:rsidRPr="00150ABE">
        <w:t xml:space="preserve">th severe renal impairment, Australian guidelines suggest that </w:t>
      </w:r>
      <w:proofErr w:type="spellStart"/>
      <w:r w:rsidRPr="00150ABE">
        <w:t>pamidronate</w:t>
      </w:r>
      <w:proofErr w:type="spellEnd"/>
      <w:r w:rsidRPr="00150ABE">
        <w:t xml:space="preserve"> and </w:t>
      </w:r>
      <w:proofErr w:type="spellStart"/>
      <w:r w:rsidRPr="00150ABE">
        <w:t>clodronate</w:t>
      </w:r>
      <w:proofErr w:type="spellEnd"/>
      <w:r w:rsidRPr="00150ABE">
        <w:t xml:space="preserve"> remain as treatment options</w:t>
      </w:r>
      <w:r w:rsidR="00ED4248" w:rsidRPr="00150ABE">
        <w:t>;</w:t>
      </w:r>
    </w:p>
    <w:p w:rsidR="00D0198C" w:rsidRPr="00150ABE" w:rsidRDefault="00D0198C" w:rsidP="00D0198C">
      <w:pPr>
        <w:pStyle w:val="ListParagraph"/>
        <w:numPr>
          <w:ilvl w:val="0"/>
          <w:numId w:val="18"/>
        </w:numPr>
        <w:spacing w:after="0"/>
      </w:pPr>
      <w:r w:rsidRPr="00150ABE">
        <w:t xml:space="preserve">Denosumab uptake rates from the bisphosphonate market and from the unsuitable for bisphosphonate population were </w:t>
      </w:r>
      <w:r w:rsidR="00343EF6" w:rsidRPr="00150ABE">
        <w:t xml:space="preserve">based on unsubstantiated </w:t>
      </w:r>
      <w:r w:rsidRPr="00150ABE">
        <w:t>assum</w:t>
      </w:r>
      <w:r w:rsidR="00343EF6" w:rsidRPr="00150ABE">
        <w:t>ptions</w:t>
      </w:r>
      <w:r w:rsidRPr="00150ABE">
        <w:t>;</w:t>
      </w:r>
    </w:p>
    <w:p w:rsidR="00C21A7D" w:rsidRPr="00133D2E" w:rsidRDefault="00D0198C" w:rsidP="00595B08">
      <w:pPr>
        <w:pStyle w:val="ListParagraph"/>
        <w:numPr>
          <w:ilvl w:val="0"/>
          <w:numId w:val="18"/>
        </w:numPr>
        <w:spacing w:after="0"/>
        <w:ind w:left="1077" w:hanging="357"/>
      </w:pPr>
      <w:r w:rsidRPr="00150ABE">
        <w:t xml:space="preserve">Denosumab script estimates </w:t>
      </w:r>
      <w:r w:rsidR="00595B08" w:rsidRPr="00150ABE">
        <w:t xml:space="preserve">of </w:t>
      </w:r>
      <w:r w:rsidR="00604FF7">
        <w:rPr>
          <w:noProof/>
          <w:color w:val="000000"/>
          <w:highlight w:val="black"/>
        </w:rPr>
        <w:t>''''''</w:t>
      </w:r>
      <w:r w:rsidR="00595B08" w:rsidRPr="00150ABE">
        <w:t xml:space="preserve"> per patient per year </w:t>
      </w:r>
      <w:r w:rsidRPr="00150ABE">
        <w:t>were broadly based on scripts per patient per year estimated for denosumab indications for breast and prostate cancer from the 10% Medicare sample analysis. It was unclear whether data based on solid tumour conditions would be applicable to the use of denosumab in a haematological condition. The scripts/patient/year estimate indicates substantially lower compliance than in the trial and economic model (</w:t>
      </w:r>
      <w:r w:rsidR="00604FF7">
        <w:rPr>
          <w:noProof/>
          <w:color w:val="000000"/>
          <w:highlight w:val="black"/>
        </w:rPr>
        <w:t>''''''''</w:t>
      </w:r>
      <w:r w:rsidRPr="00150ABE">
        <w:t xml:space="preserve">% versus </w:t>
      </w:r>
      <w:r w:rsidR="00604FF7">
        <w:rPr>
          <w:noProof/>
          <w:color w:val="000000"/>
          <w:highlight w:val="black"/>
        </w:rPr>
        <w:t>'''''''''</w:t>
      </w:r>
      <w:r w:rsidRPr="00150ABE">
        <w:t>%</w:t>
      </w:r>
      <w:r w:rsidR="00EB7AD4" w:rsidRPr="00150ABE">
        <w:t xml:space="preserve"> respectively</w:t>
      </w:r>
      <w:r w:rsidRPr="00150ABE">
        <w:t>)</w:t>
      </w:r>
      <w:r w:rsidR="00ED4248" w:rsidRPr="00150ABE">
        <w:t>.</w:t>
      </w:r>
      <w:r w:rsidR="00FF4689">
        <w:t xml:space="preserve"> </w:t>
      </w:r>
      <w:r w:rsidR="00FF4689" w:rsidRPr="00133D2E">
        <w:t xml:space="preserve">The ESC did not consider compliance would be </w:t>
      </w:r>
      <w:r w:rsidR="00E72D1D" w:rsidRPr="00133D2E">
        <w:t xml:space="preserve">as low as </w:t>
      </w:r>
      <w:r w:rsidR="00604FF7">
        <w:rPr>
          <w:noProof/>
          <w:color w:val="000000"/>
          <w:highlight w:val="black"/>
        </w:rPr>
        <w:t>'''''''''</w:t>
      </w:r>
      <w:r w:rsidR="00E72D1D" w:rsidRPr="00133D2E">
        <w:t>%</w:t>
      </w:r>
      <w:r w:rsidR="009B6DD0" w:rsidRPr="00133D2E">
        <w:t xml:space="preserve"> </w:t>
      </w:r>
      <w:r w:rsidR="00FF4689" w:rsidRPr="00133D2E">
        <w:t>in this indication. Most therapy for skeletal-related events is given concomitantly with anti-myeloma therapy or timed with a review for patients on oral therapy.</w:t>
      </w:r>
    </w:p>
    <w:p w:rsidR="00595B08" w:rsidRPr="00150ABE" w:rsidRDefault="00595B08" w:rsidP="00595B08">
      <w:pPr>
        <w:pStyle w:val="ListParagraph"/>
        <w:numPr>
          <w:ilvl w:val="0"/>
          <w:numId w:val="18"/>
        </w:numPr>
        <w:spacing w:after="0"/>
        <w:ind w:left="1077" w:hanging="357"/>
      </w:pPr>
      <w:r w:rsidRPr="00150ABE">
        <w:t>Cost offsets due to denosumab substituting for bisphosphonates were substantial and highly uncertain:</w:t>
      </w:r>
    </w:p>
    <w:p w:rsidR="00EB7AD4" w:rsidRPr="00150ABE" w:rsidRDefault="00EB7AD4" w:rsidP="00EB7AD4">
      <w:pPr>
        <w:pStyle w:val="ListParagraph"/>
        <w:numPr>
          <w:ilvl w:val="1"/>
          <w:numId w:val="18"/>
        </w:numPr>
        <w:spacing w:after="0"/>
        <w:ind w:left="1797" w:hanging="357"/>
      </w:pPr>
      <w:r w:rsidRPr="00150ABE">
        <w:t xml:space="preserve">The submission assumed similar uptake </w:t>
      </w:r>
      <w:r w:rsidR="00ED4248" w:rsidRPr="00150ABE">
        <w:t xml:space="preserve">rates </w:t>
      </w:r>
      <w:r w:rsidRPr="00150ABE">
        <w:t xml:space="preserve">of denosumab </w:t>
      </w:r>
      <w:r w:rsidR="00110FE2" w:rsidRPr="00150ABE">
        <w:t>across</w:t>
      </w:r>
      <w:r w:rsidRPr="00150ABE">
        <w:t xml:space="preserve"> </w:t>
      </w:r>
      <w:r w:rsidR="004D77D6" w:rsidRPr="00150ABE">
        <w:t>a non-homogeneous</w:t>
      </w:r>
      <w:r w:rsidRPr="00150ABE">
        <w:t xml:space="preserve"> bisphosphonate market,</w:t>
      </w:r>
      <w:r w:rsidR="004D77D6" w:rsidRPr="00150ABE">
        <w:t xml:space="preserve"> </w:t>
      </w:r>
      <w:r w:rsidR="00110FE2" w:rsidRPr="00150ABE">
        <w:t xml:space="preserve">which is </w:t>
      </w:r>
      <w:r w:rsidR="004D77D6" w:rsidRPr="00150ABE">
        <w:t xml:space="preserve">likely to have differential uptake due to patient-related </w:t>
      </w:r>
      <w:r w:rsidR="00ED4248" w:rsidRPr="00150ABE">
        <w:t xml:space="preserve">issues </w:t>
      </w:r>
      <w:r w:rsidR="004D77D6" w:rsidRPr="00150ABE">
        <w:t>(e.g. hospital access) and compliance factors (IV versus oral)</w:t>
      </w:r>
      <w:r w:rsidR="00ED4248" w:rsidRPr="00150ABE">
        <w:t>;</w:t>
      </w:r>
    </w:p>
    <w:p w:rsidR="00595B08" w:rsidRPr="00133D2E" w:rsidRDefault="00EB7AD4" w:rsidP="00EB7AD4">
      <w:pPr>
        <w:pStyle w:val="ListParagraph"/>
        <w:numPr>
          <w:ilvl w:val="1"/>
          <w:numId w:val="18"/>
        </w:numPr>
        <w:spacing w:after="0"/>
        <w:ind w:left="1797" w:hanging="357"/>
      </w:pPr>
      <w:r w:rsidRPr="00150ABE">
        <w:t>Displaced bisphosphonate script numbers were derived from the 10% Medicare sample analysis and were therefore subject to the same uncertainties associated with the overall population estimates (high proportions of invalid indications). The yearly script estimate for zoledronic acid indicates substantially lower compliance than in the trial (</w:t>
      </w:r>
      <w:r w:rsidR="00604FF7">
        <w:rPr>
          <w:noProof/>
          <w:color w:val="000000"/>
          <w:highlight w:val="black"/>
        </w:rPr>
        <w:t>'''''''''</w:t>
      </w:r>
      <w:r w:rsidRPr="00150ABE">
        <w:t xml:space="preserve">% versus </w:t>
      </w:r>
      <w:r w:rsidR="00604FF7">
        <w:rPr>
          <w:noProof/>
          <w:color w:val="000000"/>
          <w:highlight w:val="black"/>
        </w:rPr>
        <w:t>''''''''</w:t>
      </w:r>
      <w:r w:rsidRPr="00150ABE">
        <w:t>% respectively</w:t>
      </w:r>
      <w:r w:rsidRPr="00133D2E">
        <w:t>)</w:t>
      </w:r>
      <w:r w:rsidR="00FF4689" w:rsidRPr="00133D2E">
        <w:t>. As noted above for denosumab, most therapy for skeletal-related events is given concomitantly with anti-</w:t>
      </w:r>
      <w:r w:rsidR="00FF4689" w:rsidRPr="00133D2E">
        <w:lastRenderedPageBreak/>
        <w:t>myeloma therapy or timed with a review for patients on oral therapy.</w:t>
      </w:r>
      <w:r w:rsidR="009B6DD0" w:rsidRPr="009B6DD0">
        <w:rPr>
          <w:i/>
        </w:rPr>
        <w:t xml:space="preserve"> </w:t>
      </w:r>
      <w:r w:rsidR="009B6DD0" w:rsidRPr="00133D2E">
        <w:t xml:space="preserve">Therefore, the ESC did not consider compliance would be as low as </w:t>
      </w:r>
      <w:r w:rsidR="00604FF7">
        <w:rPr>
          <w:noProof/>
          <w:color w:val="000000"/>
          <w:highlight w:val="black"/>
        </w:rPr>
        <w:t>''''''''</w:t>
      </w:r>
      <w:r w:rsidR="009B6DD0" w:rsidRPr="00133D2E">
        <w:t>% in this indication</w:t>
      </w:r>
      <w:r w:rsidR="00ED4248" w:rsidRPr="00133D2E">
        <w:t>;</w:t>
      </w:r>
      <w:r w:rsidRPr="00133D2E">
        <w:t xml:space="preserve"> </w:t>
      </w:r>
    </w:p>
    <w:p w:rsidR="00C21A7D" w:rsidRPr="00150ABE" w:rsidRDefault="00595B08" w:rsidP="00D56BF2">
      <w:pPr>
        <w:pStyle w:val="ListParagraph"/>
        <w:numPr>
          <w:ilvl w:val="1"/>
          <w:numId w:val="18"/>
        </w:numPr>
        <w:spacing w:after="0"/>
        <w:ind w:left="1797" w:hanging="357"/>
      </w:pPr>
      <w:r w:rsidRPr="00133D2E">
        <w:t>There were no cost offsets attributed</w:t>
      </w:r>
      <w:r w:rsidRPr="00150ABE">
        <w:t xml:space="preserve"> to a likely reduction in administration costs due to substitution of IV bisphosphonates with denosumab. This was inconsistent with the economic analysis </w:t>
      </w:r>
      <w:r w:rsidR="00EB7AD4" w:rsidRPr="00150ABE">
        <w:t>(</w:t>
      </w:r>
      <w:r w:rsidRPr="00150ABE">
        <w:t>$59.15 per infusion</w:t>
      </w:r>
      <w:r w:rsidR="00EB7AD4" w:rsidRPr="00150ABE">
        <w:t>)</w:t>
      </w:r>
      <w:r w:rsidRPr="00150ABE">
        <w:t xml:space="preserve">. The cost of administration of zoledronic acid remains unclear. </w:t>
      </w:r>
    </w:p>
    <w:p w:rsidR="00C21A7D" w:rsidRPr="00150ABE" w:rsidRDefault="00C21A7D" w:rsidP="00D56BF2">
      <w:pPr>
        <w:pStyle w:val="Heading2"/>
        <w:spacing w:before="240" w:after="120"/>
      </w:pPr>
      <w:bookmarkStart w:id="14" w:name="_Toc371170713"/>
      <w:bookmarkStart w:id="15" w:name="_Toc514234394"/>
      <w:r w:rsidRPr="006D7E46">
        <w:t>Quality Use of Medicines</w:t>
      </w:r>
      <w:bookmarkEnd w:id="14"/>
      <w:bookmarkEnd w:id="15"/>
    </w:p>
    <w:p w:rsidR="00C21A7D" w:rsidRPr="00150ABE" w:rsidRDefault="00C21A7D" w:rsidP="004D1C86">
      <w:pPr>
        <w:pStyle w:val="ListParagraph"/>
        <w:widowControl/>
        <w:numPr>
          <w:ilvl w:val="1"/>
          <w:numId w:val="29"/>
        </w:numPr>
      </w:pPr>
      <w:r w:rsidRPr="00150ABE">
        <w:t>The submission stated that the burden of bone lesions in multiple myeloma patients is high and treatment is necessary, with the aim being to delay the onset and/or reduce recurrence of SREs, control bone pain and preserve quality of life. The use of pharmacological therapy in multiple myeloma patients with bone lesions is standard practice in Australia and consistent with recomme</w:t>
      </w:r>
      <w:r w:rsidR="00666759" w:rsidRPr="00150ABE">
        <w:t>ndations in clinical guidelines.</w:t>
      </w:r>
    </w:p>
    <w:p w:rsidR="00666759" w:rsidRPr="00150ABE" w:rsidRDefault="00666759" w:rsidP="004D1C86">
      <w:pPr>
        <w:pStyle w:val="ListParagraph"/>
        <w:widowControl/>
        <w:numPr>
          <w:ilvl w:val="1"/>
          <w:numId w:val="29"/>
        </w:numPr>
      </w:pPr>
      <w:r w:rsidRPr="00150ABE">
        <w:t>The submission claimed that denosumab offers multiple myeloma patients a choice of therapy from a different class to currently available bisphosphonates and a new option for patient</w:t>
      </w:r>
      <w:r w:rsidR="00EA300E">
        <w:t>s</w:t>
      </w:r>
      <w:r w:rsidRPr="00150ABE">
        <w:t xml:space="preserve"> who cannot take bisphosphonates due to severe renal impairment. Denosumab is administered subcutaneously meaning patients or carers may be trained in administration, compared to intravenous bisphosphonates which must be administered in a hospital setting. </w:t>
      </w:r>
      <w:proofErr w:type="spellStart"/>
      <w:r w:rsidRPr="00150ABE">
        <w:t>Clodronate</w:t>
      </w:r>
      <w:proofErr w:type="spellEnd"/>
      <w:r w:rsidRPr="00150ABE">
        <w:t xml:space="preserve"> is administered orally but the submission argued that compliance is difficult due to complicated administration instructions. </w:t>
      </w:r>
    </w:p>
    <w:p w:rsidR="001A7E16" w:rsidRPr="00C4039A" w:rsidRDefault="00666759" w:rsidP="004D1C86">
      <w:pPr>
        <w:pStyle w:val="ListParagraph"/>
        <w:widowControl/>
        <w:numPr>
          <w:ilvl w:val="1"/>
          <w:numId w:val="29"/>
        </w:numPr>
      </w:pPr>
      <w:r w:rsidRPr="00150ABE">
        <w:t>The submission noted that denosumab is administered as a subcutaneous injection once every 4 weeks, claiming the reversibility of denosumab provides the ability to moderate treatment as required. The submission claimed that denosumab has similar overall safety to existing</w:t>
      </w:r>
      <w:r w:rsidR="006233FC" w:rsidRPr="00150ABE">
        <w:t xml:space="preserve"> treatments and a positive risk-</w:t>
      </w:r>
      <w:r w:rsidRPr="00150ABE">
        <w:t xml:space="preserve">benefit profile in the </w:t>
      </w:r>
      <w:r w:rsidRPr="00C4039A">
        <w:t>proposed population</w:t>
      </w:r>
      <w:r w:rsidR="00C21A7D" w:rsidRPr="00C4039A">
        <w:t>.</w:t>
      </w:r>
    </w:p>
    <w:p w:rsidR="00A64BDC" w:rsidRPr="00C4039A" w:rsidRDefault="00A64BDC" w:rsidP="00A64BDC">
      <w:pPr>
        <w:pStyle w:val="ListParagraph"/>
        <w:rPr>
          <w:rFonts w:asciiTheme="minorHAnsi" w:hAnsiTheme="minorHAnsi"/>
          <w:i/>
        </w:rPr>
      </w:pPr>
      <w:r w:rsidRPr="00C4039A">
        <w:rPr>
          <w:rFonts w:asciiTheme="minorHAnsi" w:hAnsiTheme="minorHAnsi"/>
          <w:i/>
        </w:rPr>
        <w:t>For more detail on PBAC’s view, see section 7 PBAC outcome.</w:t>
      </w:r>
    </w:p>
    <w:p w:rsidR="00C65887" w:rsidRPr="00C4039A" w:rsidRDefault="00C65887" w:rsidP="00C65887">
      <w:pPr>
        <w:pStyle w:val="Heading1"/>
        <w:keepNext/>
        <w:keepLines/>
        <w:widowControl/>
        <w:numPr>
          <w:ilvl w:val="0"/>
          <w:numId w:val="35"/>
        </w:numPr>
        <w:spacing w:before="240" w:after="120"/>
        <w:jc w:val="left"/>
        <w:rPr>
          <w:rFonts w:asciiTheme="minorHAnsi" w:eastAsiaTheme="majorEastAsia" w:hAnsiTheme="minorHAnsi" w:cstheme="majorBidi"/>
          <w:caps w:val="0"/>
          <w:snapToGrid/>
          <w:szCs w:val="28"/>
        </w:rPr>
      </w:pPr>
      <w:r w:rsidRPr="00C4039A">
        <w:rPr>
          <w:rFonts w:asciiTheme="minorHAnsi" w:eastAsiaTheme="majorEastAsia" w:hAnsiTheme="minorHAnsi" w:cstheme="majorBidi"/>
          <w:caps w:val="0"/>
          <w:snapToGrid/>
          <w:szCs w:val="28"/>
        </w:rPr>
        <w:t>PBAC Outcome</w:t>
      </w:r>
    </w:p>
    <w:p w:rsidR="009B3B88" w:rsidRPr="00665EEE" w:rsidRDefault="00C65887" w:rsidP="009B3B88">
      <w:pPr>
        <w:pStyle w:val="ListParagraph"/>
        <w:widowControl/>
        <w:numPr>
          <w:ilvl w:val="1"/>
          <w:numId w:val="36"/>
        </w:numPr>
        <w:spacing w:after="120"/>
        <w:ind w:left="567" w:hanging="567"/>
        <w:rPr>
          <w:bCs/>
        </w:rPr>
      </w:pPr>
      <w:r w:rsidRPr="009D743B">
        <w:rPr>
          <w:bCs/>
        </w:rPr>
        <w:t xml:space="preserve">The PBAC </w:t>
      </w:r>
      <w:r>
        <w:rPr>
          <w:rFonts w:asciiTheme="minorHAnsi" w:hAnsiTheme="minorHAnsi"/>
          <w:bCs/>
          <w:lang w:val="en-GB"/>
        </w:rPr>
        <w:t xml:space="preserve">decided not to recommend </w:t>
      </w:r>
      <w:r w:rsidRPr="00150ABE">
        <w:t>exten</w:t>
      </w:r>
      <w:r>
        <w:t>ding</w:t>
      </w:r>
      <w:r w:rsidRPr="00150ABE">
        <w:t xml:space="preserve"> the current Section 85 Streamlined Authority Required listing for denosumab to include treatment of patients with multiple myeloma. </w:t>
      </w:r>
      <w:r w:rsidR="00665EEE">
        <w:rPr>
          <w:rFonts w:asciiTheme="minorHAnsi" w:hAnsiTheme="minorHAnsi"/>
          <w:bCs/>
          <w:lang w:val="en-GB"/>
        </w:rPr>
        <w:t>Although the clinical evidence indicated non-inferiority to zoledronic acid for the outcome of skeletal-related events</w:t>
      </w:r>
      <w:r w:rsidR="00D9075A">
        <w:rPr>
          <w:rFonts w:asciiTheme="minorHAnsi" w:hAnsiTheme="minorHAnsi"/>
          <w:bCs/>
          <w:lang w:val="en-GB"/>
        </w:rPr>
        <w:t xml:space="preserve"> (SREs)</w:t>
      </w:r>
      <w:r w:rsidR="00665EEE">
        <w:rPr>
          <w:rFonts w:asciiTheme="minorHAnsi" w:hAnsiTheme="minorHAnsi"/>
          <w:bCs/>
          <w:lang w:val="en-GB"/>
        </w:rPr>
        <w:t>, t</w:t>
      </w:r>
      <w:r>
        <w:rPr>
          <w:rFonts w:asciiTheme="minorHAnsi" w:hAnsiTheme="minorHAnsi"/>
          <w:bCs/>
          <w:lang w:val="en-GB"/>
        </w:rPr>
        <w:t xml:space="preserve">he PBAC considered there was an inadequate basis for accepting the claim of superior effectiveness compared to zoledronic acid and the incremental </w:t>
      </w:r>
      <w:r w:rsidRPr="00665EEE">
        <w:rPr>
          <w:rFonts w:asciiTheme="minorHAnsi" w:hAnsiTheme="minorHAnsi"/>
          <w:bCs/>
          <w:lang w:val="en-GB"/>
        </w:rPr>
        <w:t>cost-effectiveness based on superior progression-free survival was implausible.</w:t>
      </w:r>
    </w:p>
    <w:p w:rsidR="00001B4E" w:rsidRPr="00995152" w:rsidRDefault="00001B4E" w:rsidP="009B3B88">
      <w:pPr>
        <w:pStyle w:val="ListParagraph"/>
        <w:widowControl/>
        <w:numPr>
          <w:ilvl w:val="1"/>
          <w:numId w:val="36"/>
        </w:numPr>
        <w:spacing w:after="120"/>
        <w:ind w:left="567" w:hanging="567"/>
        <w:rPr>
          <w:bCs/>
        </w:rPr>
      </w:pPr>
      <w:r w:rsidRPr="00665EEE">
        <w:rPr>
          <w:bCs/>
        </w:rPr>
        <w:t>The PBAC acknowledged the clinical need for treatment</w:t>
      </w:r>
      <w:r w:rsidR="0050782C">
        <w:rPr>
          <w:bCs/>
        </w:rPr>
        <w:t xml:space="preserve"> options </w:t>
      </w:r>
      <w:r w:rsidR="0050782C" w:rsidRPr="00665EEE">
        <w:rPr>
          <w:bCs/>
        </w:rPr>
        <w:t xml:space="preserve">to </w:t>
      </w:r>
      <w:r w:rsidR="0050782C" w:rsidRPr="00665EEE">
        <w:t xml:space="preserve">prevent </w:t>
      </w:r>
      <w:r w:rsidR="00D9075A">
        <w:t>SRE</w:t>
      </w:r>
      <w:r w:rsidR="0050782C" w:rsidRPr="00665EEE">
        <w:t xml:space="preserve">s </w:t>
      </w:r>
      <w:r w:rsidR="0050782C">
        <w:t>associated with</w:t>
      </w:r>
      <w:r w:rsidR="0050782C" w:rsidRPr="00665EEE">
        <w:t xml:space="preserve"> multiple myeloma</w:t>
      </w:r>
      <w:r w:rsidR="0050782C">
        <w:rPr>
          <w:bCs/>
        </w:rPr>
        <w:t xml:space="preserve"> for patients who cannot receive bisphosphonates</w:t>
      </w:r>
      <w:r w:rsidRPr="00665EEE">
        <w:rPr>
          <w:bCs/>
        </w:rPr>
        <w:t xml:space="preserve">, </w:t>
      </w:r>
      <w:r w:rsidRPr="00665EEE">
        <w:t xml:space="preserve">particularly for </w:t>
      </w:r>
      <w:r w:rsidR="0050782C">
        <w:t>those</w:t>
      </w:r>
      <w:r w:rsidRPr="00665EEE">
        <w:t xml:space="preserve"> with </w:t>
      </w:r>
      <w:r w:rsidR="004D570B">
        <w:t xml:space="preserve">severe </w:t>
      </w:r>
      <w:r w:rsidRPr="00665EEE">
        <w:t xml:space="preserve">renal </w:t>
      </w:r>
      <w:r w:rsidR="004D570B">
        <w:t>impairment</w:t>
      </w:r>
      <w:r w:rsidRPr="00665EEE">
        <w:t>.</w:t>
      </w:r>
      <w:r w:rsidRPr="00665EEE">
        <w:rPr>
          <w:bCs/>
        </w:rPr>
        <w:t xml:space="preserve"> </w:t>
      </w:r>
      <w:r w:rsidR="00665EEE" w:rsidRPr="00665EEE">
        <w:rPr>
          <w:bCs/>
        </w:rPr>
        <w:t xml:space="preserve">The PBAC </w:t>
      </w:r>
      <w:r w:rsidR="00665EEE">
        <w:rPr>
          <w:bCs/>
        </w:rPr>
        <w:t>noted</w:t>
      </w:r>
      <w:r w:rsidR="00665EEE" w:rsidRPr="00665EEE">
        <w:rPr>
          <w:bCs/>
        </w:rPr>
        <w:t xml:space="preserve"> that low dose IV </w:t>
      </w:r>
      <w:proofErr w:type="spellStart"/>
      <w:r w:rsidR="00665EEE" w:rsidRPr="00665EEE">
        <w:rPr>
          <w:bCs/>
        </w:rPr>
        <w:lastRenderedPageBreak/>
        <w:t>pamidronate</w:t>
      </w:r>
      <w:proofErr w:type="spellEnd"/>
      <w:r w:rsidR="00665EEE" w:rsidRPr="00665EEE">
        <w:rPr>
          <w:bCs/>
        </w:rPr>
        <w:t xml:space="preserve"> and oral </w:t>
      </w:r>
      <w:proofErr w:type="spellStart"/>
      <w:r w:rsidR="002D698C" w:rsidRPr="00665EEE">
        <w:rPr>
          <w:bCs/>
        </w:rPr>
        <w:t>clodr</w:t>
      </w:r>
      <w:r w:rsidR="002D698C">
        <w:rPr>
          <w:bCs/>
        </w:rPr>
        <w:t>o</w:t>
      </w:r>
      <w:r w:rsidR="002D698C" w:rsidRPr="00665EEE">
        <w:rPr>
          <w:bCs/>
        </w:rPr>
        <w:t>nate</w:t>
      </w:r>
      <w:proofErr w:type="spellEnd"/>
      <w:r w:rsidR="002D698C" w:rsidRPr="00665EEE">
        <w:rPr>
          <w:bCs/>
        </w:rPr>
        <w:t xml:space="preserve"> </w:t>
      </w:r>
      <w:r w:rsidR="00665EEE" w:rsidRPr="00665EEE">
        <w:t xml:space="preserve">can be used with dose adjustment in patients with creatinine clearance of 10-30 mL/min. </w:t>
      </w:r>
      <w:r w:rsidR="0050782C">
        <w:t>The submission also stated that there wa</w:t>
      </w:r>
      <w:r w:rsidR="00D9075A">
        <w:t>s</w:t>
      </w:r>
      <w:r w:rsidR="0050782C">
        <w:t xml:space="preserve"> a clinical need for patients unsuitable for bisphosphonate therapy, although the proposed </w:t>
      </w:r>
      <w:r w:rsidR="001377E2">
        <w:t xml:space="preserve">PBS </w:t>
      </w:r>
      <w:r w:rsidR="0050782C">
        <w:t>listing w</w:t>
      </w:r>
      <w:r w:rsidR="001377E2">
        <w:t>as</w:t>
      </w:r>
      <w:r w:rsidR="0050782C">
        <w:t xml:space="preserve"> not limited to second line.</w:t>
      </w:r>
    </w:p>
    <w:p w:rsidR="00F83EB7" w:rsidRPr="00416CFF" w:rsidRDefault="00995152" w:rsidP="00416CFF">
      <w:pPr>
        <w:pStyle w:val="ListParagraph"/>
        <w:widowControl/>
        <w:numPr>
          <w:ilvl w:val="1"/>
          <w:numId w:val="36"/>
        </w:numPr>
        <w:spacing w:after="120"/>
        <w:ind w:left="567" w:hanging="567"/>
        <w:rPr>
          <w:szCs w:val="24"/>
        </w:rPr>
      </w:pPr>
      <w:r>
        <w:t xml:space="preserve">The PBAC noted there </w:t>
      </w:r>
      <w:r w:rsidRPr="00995152">
        <w:t xml:space="preserve">were </w:t>
      </w:r>
      <w:r w:rsidRPr="00995152">
        <w:rPr>
          <w:szCs w:val="24"/>
        </w:rPr>
        <w:t>limited data available regarding the optimal duration of therapy with denosumab</w:t>
      </w:r>
      <w:r>
        <w:rPr>
          <w:szCs w:val="24"/>
        </w:rPr>
        <w:t xml:space="preserve"> and </w:t>
      </w:r>
      <w:r w:rsidR="00416CFF">
        <w:rPr>
          <w:szCs w:val="24"/>
        </w:rPr>
        <w:t xml:space="preserve">that the </w:t>
      </w:r>
      <w:r w:rsidR="00416CFF" w:rsidRPr="00416CFF">
        <w:rPr>
          <w:szCs w:val="24"/>
        </w:rPr>
        <w:t xml:space="preserve">International Myeloma Working Group </w:t>
      </w:r>
      <w:r w:rsidR="00416CFF">
        <w:rPr>
          <w:szCs w:val="24"/>
        </w:rPr>
        <w:t>(</w:t>
      </w:r>
      <w:r w:rsidR="00416CFF" w:rsidRPr="00416CFF">
        <w:rPr>
          <w:szCs w:val="24"/>
        </w:rPr>
        <w:t>IMWG</w:t>
      </w:r>
      <w:r w:rsidR="00416CFF">
        <w:rPr>
          <w:szCs w:val="24"/>
        </w:rPr>
        <w:t>)</w:t>
      </w:r>
      <w:r w:rsidR="00416CFF" w:rsidRPr="00416CFF">
        <w:rPr>
          <w:szCs w:val="24"/>
        </w:rPr>
        <w:t xml:space="preserve"> and MSAG guidelines</w:t>
      </w:r>
      <w:r w:rsidR="00416CFF">
        <w:rPr>
          <w:szCs w:val="24"/>
        </w:rPr>
        <w:t xml:space="preserve"> suggested two</w:t>
      </w:r>
      <w:r w:rsidR="00416CFF" w:rsidRPr="00416CFF">
        <w:rPr>
          <w:szCs w:val="24"/>
        </w:rPr>
        <w:t xml:space="preserve"> years</w:t>
      </w:r>
      <w:r w:rsidR="00416CFF">
        <w:rPr>
          <w:szCs w:val="24"/>
        </w:rPr>
        <w:t xml:space="preserve">. The PBAC </w:t>
      </w:r>
      <w:r>
        <w:rPr>
          <w:szCs w:val="24"/>
        </w:rPr>
        <w:t xml:space="preserve">considered there may be a potential quality use of medicines issues regarding </w:t>
      </w:r>
      <w:r w:rsidRPr="00150ABE">
        <w:t>rebound osteoclast activity</w:t>
      </w:r>
      <w:r>
        <w:t>.</w:t>
      </w:r>
      <w:r>
        <w:rPr>
          <w:szCs w:val="24"/>
        </w:rPr>
        <w:t xml:space="preserve"> </w:t>
      </w:r>
    </w:p>
    <w:p w:rsidR="00665EEE" w:rsidRPr="003323DF" w:rsidRDefault="00665EEE" w:rsidP="00D56BF2">
      <w:pPr>
        <w:pStyle w:val="ListParagraph"/>
        <w:widowControl/>
        <w:numPr>
          <w:ilvl w:val="1"/>
          <w:numId w:val="36"/>
        </w:numPr>
        <w:tabs>
          <w:tab w:val="left" w:pos="4820"/>
        </w:tabs>
        <w:spacing w:after="120"/>
        <w:ind w:left="567" w:hanging="567"/>
        <w:rPr>
          <w:bCs/>
        </w:rPr>
      </w:pPr>
      <w:r>
        <w:t xml:space="preserve">The PBAC agreed that </w:t>
      </w:r>
      <w:r w:rsidR="007C055D">
        <w:t xml:space="preserve">zoledronic acid was a relevant comparator, being </w:t>
      </w:r>
      <w:r>
        <w:t xml:space="preserve">the most commonly used </w:t>
      </w:r>
      <w:r w:rsidR="00EA300E">
        <w:t>bisphosphonate</w:t>
      </w:r>
      <w:r w:rsidR="007C055D">
        <w:t xml:space="preserve"> in multiple myeloma patients. However, the population in which the clinical need for denosumab may be greatest is for patients with </w:t>
      </w:r>
      <w:r w:rsidR="00162CC6">
        <w:t xml:space="preserve">severe </w:t>
      </w:r>
      <w:r w:rsidR="007C055D">
        <w:t>renal impairment</w:t>
      </w:r>
      <w:r w:rsidR="00162CC6">
        <w:t xml:space="preserve"> (eGFR &lt;30 ml/min)</w:t>
      </w:r>
      <w:r w:rsidR="007C055D">
        <w:t xml:space="preserve">, where currently </w:t>
      </w:r>
      <w:proofErr w:type="spellStart"/>
      <w:r w:rsidR="007C055D">
        <w:t>pamidronate</w:t>
      </w:r>
      <w:proofErr w:type="spellEnd"/>
      <w:r w:rsidR="007C055D">
        <w:t xml:space="preserve"> and </w:t>
      </w:r>
      <w:proofErr w:type="spellStart"/>
      <w:r w:rsidR="00162CC6">
        <w:t>clodronate</w:t>
      </w:r>
      <w:proofErr w:type="spellEnd"/>
      <w:r w:rsidR="00162CC6">
        <w:t xml:space="preserve"> </w:t>
      </w:r>
      <w:r w:rsidR="007C055D">
        <w:t xml:space="preserve">may be used; a </w:t>
      </w:r>
      <w:r w:rsidR="00BC075A" w:rsidRPr="007C055D">
        <w:t xml:space="preserve">recent review from </w:t>
      </w:r>
      <w:r w:rsidR="003323DF">
        <w:t>Myeloma and Related Disease Registry (</w:t>
      </w:r>
      <w:r w:rsidR="00BC075A" w:rsidRPr="007C055D">
        <w:t>MRDR</w:t>
      </w:r>
      <w:r w:rsidR="003323DF">
        <w:t>)</w:t>
      </w:r>
      <w:r w:rsidR="00BC075A" w:rsidRPr="007C055D">
        <w:t xml:space="preserve"> </w:t>
      </w:r>
      <w:r w:rsidR="007C055D">
        <w:t>suggest</w:t>
      </w:r>
      <w:r w:rsidR="00D9075A">
        <w:t>ed</w:t>
      </w:r>
      <w:r w:rsidR="007C055D">
        <w:t xml:space="preserve"> </w:t>
      </w:r>
      <w:r w:rsidR="00BC075A" w:rsidRPr="007C055D">
        <w:t>these patients accounted for 12% of newly diagnosed patients</w:t>
      </w:r>
      <w:r w:rsidR="00357438">
        <w:rPr>
          <w:rStyle w:val="FootnoteReference"/>
        </w:rPr>
        <w:footnoteReference w:id="1"/>
      </w:r>
      <w:r w:rsidR="007C055D">
        <w:t xml:space="preserve">. The PBAC noted </w:t>
      </w:r>
      <w:r w:rsidR="00E639CD">
        <w:t xml:space="preserve">no clinical evidence was presented in this population, as </w:t>
      </w:r>
      <w:r w:rsidR="007C055D">
        <w:t>patients with renal disease were excluded from Study 482</w:t>
      </w:r>
      <w:r w:rsidR="00E639CD">
        <w:t>,</w:t>
      </w:r>
      <w:r w:rsidR="007C055D">
        <w:t xml:space="preserve"> and no clinical claim was presented in relation to </w:t>
      </w:r>
      <w:r w:rsidR="00D56BF2">
        <w:t>these alternative comparators.</w:t>
      </w:r>
    </w:p>
    <w:p w:rsidR="0050782C" w:rsidRPr="00D9075A" w:rsidRDefault="0050782C" w:rsidP="009B3B88">
      <w:pPr>
        <w:pStyle w:val="ListParagraph"/>
        <w:widowControl/>
        <w:numPr>
          <w:ilvl w:val="1"/>
          <w:numId w:val="36"/>
        </w:numPr>
        <w:spacing w:after="120"/>
        <w:ind w:left="567" w:hanging="567"/>
        <w:rPr>
          <w:bCs/>
        </w:rPr>
      </w:pPr>
      <w:r>
        <w:rPr>
          <w:bCs/>
        </w:rPr>
        <w:t>The PBAC noted that Study 482 was designed as</w:t>
      </w:r>
      <w:r w:rsidR="00D9075A">
        <w:rPr>
          <w:bCs/>
        </w:rPr>
        <w:t xml:space="preserve"> a non-inferiority trial </w:t>
      </w:r>
      <w:r w:rsidR="00D9075A" w:rsidRPr="00150ABE">
        <w:t xml:space="preserve">comparing denosumab with zoledronic acid when used for the prevention of </w:t>
      </w:r>
      <w:r w:rsidR="00D9075A">
        <w:t>SRE</w:t>
      </w:r>
      <w:r w:rsidR="00D9075A" w:rsidRPr="00150ABE">
        <w:t>s in patients with multiple myeloma who have evidence of bone disease.</w:t>
      </w:r>
      <w:r w:rsidR="00D9075A">
        <w:t xml:space="preserve"> The primary outcome of time to first on-study SRE showed t</w:t>
      </w:r>
      <w:r w:rsidR="00D9075A" w:rsidRPr="00150ABE">
        <w:t>here was no statistically significant difference</w:t>
      </w:r>
      <w:r w:rsidR="00D9075A">
        <w:t xml:space="preserve"> </w:t>
      </w:r>
      <w:r w:rsidR="00D9075A" w:rsidRPr="00150ABE">
        <w:t>in the risk of developing a first on-study SRE when comparing denosumab with zoledronic acid (HR 0.98; 95% CI 0.85, 1.14).</w:t>
      </w:r>
    </w:p>
    <w:p w:rsidR="00D9075A" w:rsidRPr="00B529CF" w:rsidRDefault="00D9075A" w:rsidP="00D9075A">
      <w:pPr>
        <w:pStyle w:val="ListParagraph"/>
        <w:widowControl/>
        <w:numPr>
          <w:ilvl w:val="1"/>
          <w:numId w:val="36"/>
        </w:numPr>
        <w:spacing w:after="120"/>
        <w:ind w:left="567" w:hanging="567"/>
        <w:rPr>
          <w:bCs/>
        </w:rPr>
      </w:pPr>
      <w:r>
        <w:rPr>
          <w:bCs/>
        </w:rPr>
        <w:t xml:space="preserve">The exploratory analysis of </w:t>
      </w:r>
      <w:r w:rsidR="00BC075A" w:rsidRPr="00150ABE">
        <w:t>progression-free survival</w:t>
      </w:r>
      <w:r>
        <w:rPr>
          <w:bCs/>
        </w:rPr>
        <w:t xml:space="preserve"> in Study 482 was not considered reliable given </w:t>
      </w:r>
      <w:r w:rsidRPr="00D9075A">
        <w:rPr>
          <w:bCs/>
        </w:rPr>
        <w:t xml:space="preserve">the </w:t>
      </w:r>
      <w:r w:rsidR="00007A68" w:rsidRPr="00133D2E">
        <w:t>observed number of events</w:t>
      </w:r>
      <w:r w:rsidR="00007A68">
        <w:t>. This</w:t>
      </w:r>
      <w:r w:rsidR="00007A68" w:rsidRPr="00D9075A">
        <w:rPr>
          <w:bCs/>
        </w:rPr>
        <w:t xml:space="preserve"> </w:t>
      </w:r>
      <w:r w:rsidRPr="00D9075A">
        <w:rPr>
          <w:bCs/>
        </w:rPr>
        <w:t>outcome was determined locally by investigators</w:t>
      </w:r>
      <w:r w:rsidR="00007A68">
        <w:rPr>
          <w:bCs/>
        </w:rPr>
        <w:t>,</w:t>
      </w:r>
      <w:r w:rsidRPr="00D9075A">
        <w:rPr>
          <w:bCs/>
        </w:rPr>
        <w:t xml:space="preserve"> the data was immature with only 28% of subjects experiencing a </w:t>
      </w:r>
      <w:r w:rsidR="00BC075A" w:rsidRPr="00150ABE">
        <w:t>progression-free survival</w:t>
      </w:r>
      <w:r w:rsidRPr="00D9075A">
        <w:rPr>
          <w:bCs/>
        </w:rPr>
        <w:t xml:space="preserve"> event </w:t>
      </w:r>
      <w:r w:rsidR="00007A68">
        <w:rPr>
          <w:bCs/>
        </w:rPr>
        <w:t>at the time of primary analysis,</w:t>
      </w:r>
      <w:r w:rsidRPr="00D9075A">
        <w:rPr>
          <w:bCs/>
        </w:rPr>
        <w:t xml:space="preserve"> and the observed effect was of marginal statistical significance (</w:t>
      </w:r>
      <w:r w:rsidR="00007A68">
        <w:t xml:space="preserve">HR 0.82, 95% CI 0.68, 0.99; </w:t>
      </w:r>
      <w:r w:rsidRPr="00D9075A">
        <w:rPr>
          <w:bCs/>
        </w:rPr>
        <w:t xml:space="preserve">p=0.036) based on statistical testing that was not adjusted for multiplicity. </w:t>
      </w:r>
      <w:r w:rsidR="00007A68">
        <w:rPr>
          <w:bCs/>
        </w:rPr>
        <w:t>Furthermore, the PBAC noted that t</w:t>
      </w:r>
      <w:r w:rsidR="00007A68" w:rsidRPr="00150ABE">
        <w:t>here were concerns with the applicability of survival outcomes from the trial to the target Australian population, with the trial publication noting particularly long progression-free survival that could be due to the high proportion of patients at an early disease stage and the use of combination regimens in first-line treatment which is not currently subsidised by the PBS (</w:t>
      </w:r>
      <w:proofErr w:type="spellStart"/>
      <w:r w:rsidR="00007A68" w:rsidRPr="00150ABE">
        <w:t>Raje</w:t>
      </w:r>
      <w:proofErr w:type="spellEnd"/>
      <w:r w:rsidR="00007A68" w:rsidRPr="00150ABE">
        <w:t xml:space="preserve"> et al 2018).</w:t>
      </w:r>
    </w:p>
    <w:p w:rsidR="00B529CF" w:rsidRPr="00995152" w:rsidRDefault="00B529CF" w:rsidP="00D9075A">
      <w:pPr>
        <w:pStyle w:val="ListParagraph"/>
        <w:widowControl/>
        <w:numPr>
          <w:ilvl w:val="1"/>
          <w:numId w:val="36"/>
        </w:numPr>
        <w:spacing w:after="120"/>
        <w:ind w:left="567" w:hanging="567"/>
        <w:rPr>
          <w:bCs/>
        </w:rPr>
      </w:pPr>
      <w:r>
        <w:rPr>
          <w:bCs/>
        </w:rPr>
        <w:t xml:space="preserve">The PBAC noted the claim that denosumab </w:t>
      </w:r>
      <w:r w:rsidRPr="00133D2E">
        <w:t xml:space="preserve">may directly prevent RANKL-mediated myeloma cell growth and reactivation of dormant myeloma cells, which may slow the </w:t>
      </w:r>
      <w:r w:rsidRPr="00995152">
        <w:lastRenderedPageBreak/>
        <w:t>progression of disease. However, the Committee did not consider this biological argument provided strong evidence to support that denosumab would have a disease-modifying effect.</w:t>
      </w:r>
    </w:p>
    <w:p w:rsidR="004E217E" w:rsidRPr="00995152" w:rsidRDefault="004E217E" w:rsidP="00D9075A">
      <w:pPr>
        <w:pStyle w:val="ListParagraph"/>
        <w:widowControl/>
        <w:numPr>
          <w:ilvl w:val="1"/>
          <w:numId w:val="36"/>
        </w:numPr>
        <w:spacing w:after="120"/>
        <w:ind w:left="567" w:hanging="567"/>
        <w:rPr>
          <w:bCs/>
        </w:rPr>
      </w:pPr>
      <w:r w:rsidRPr="00995152">
        <w:t>The PBAC noted no new safety signals in the multiple myeloma population and that the most common adverse events were consistent with those seen in other indications for these therapies.</w:t>
      </w:r>
    </w:p>
    <w:p w:rsidR="00BA4654" w:rsidRPr="00995152" w:rsidRDefault="001377E2" w:rsidP="00995152">
      <w:pPr>
        <w:pStyle w:val="ListParagraph"/>
        <w:widowControl/>
        <w:numPr>
          <w:ilvl w:val="1"/>
          <w:numId w:val="36"/>
        </w:numPr>
        <w:spacing w:after="120"/>
        <w:ind w:left="567" w:hanging="567"/>
        <w:rPr>
          <w:rFonts w:asciiTheme="minorHAnsi" w:hAnsiTheme="minorHAnsi"/>
          <w:bCs/>
          <w:szCs w:val="24"/>
          <w:lang w:val="en-GB"/>
        </w:rPr>
      </w:pPr>
      <w:r w:rsidRPr="00995152">
        <w:rPr>
          <w:rFonts w:asciiTheme="minorHAnsi" w:hAnsiTheme="minorHAnsi"/>
          <w:bCs/>
          <w:szCs w:val="24"/>
          <w:lang w:val="en-GB"/>
        </w:rPr>
        <w:t xml:space="preserve">Given the rejection of the clinical claim </w:t>
      </w:r>
      <w:r w:rsidR="00995152" w:rsidRPr="00995152">
        <w:rPr>
          <w:rFonts w:asciiTheme="minorHAnsi" w:hAnsiTheme="minorHAnsi"/>
          <w:bCs/>
          <w:szCs w:val="24"/>
          <w:lang w:val="en-GB"/>
        </w:rPr>
        <w:t>of</w:t>
      </w:r>
      <w:r w:rsidRPr="00995152">
        <w:rPr>
          <w:rFonts w:asciiTheme="minorHAnsi" w:hAnsiTheme="minorHAnsi"/>
          <w:bCs/>
          <w:szCs w:val="24"/>
          <w:lang w:val="en-GB"/>
        </w:rPr>
        <w:t xml:space="preserve"> superior effectiveness, the PBAC did not accept the </w:t>
      </w:r>
      <w:r w:rsidR="00995152" w:rsidRPr="00995152">
        <w:rPr>
          <w:rFonts w:asciiTheme="minorHAnsi" w:hAnsiTheme="minorHAnsi"/>
          <w:bCs/>
          <w:szCs w:val="24"/>
          <w:lang w:val="en-GB"/>
        </w:rPr>
        <w:t>rationale for the modelled cost-effectiveness of denosumab compared to zoledronic acid. The PBAC n</w:t>
      </w:r>
      <w:r w:rsidR="00332C7F">
        <w:rPr>
          <w:rFonts w:asciiTheme="minorHAnsi" w:hAnsiTheme="minorHAnsi"/>
          <w:bCs/>
          <w:szCs w:val="24"/>
          <w:lang w:val="en-GB"/>
        </w:rPr>
        <w:t xml:space="preserve">oted the pre-PBAC response </w:t>
      </w:r>
      <w:r w:rsidR="00995152" w:rsidRPr="00995152">
        <w:rPr>
          <w:rFonts w:asciiTheme="minorHAnsi" w:hAnsiTheme="minorHAnsi"/>
          <w:bCs/>
          <w:szCs w:val="24"/>
          <w:lang w:val="en-GB"/>
        </w:rPr>
        <w:t xml:space="preserve">signalled an unwillingness to supply denosumab on a cost-minimisation basis with the comparator, zoledronic acid. </w:t>
      </w:r>
    </w:p>
    <w:p w:rsidR="00BA4654" w:rsidRPr="00806142" w:rsidRDefault="00BA4654" w:rsidP="00806142">
      <w:pPr>
        <w:pStyle w:val="ListParagraph"/>
        <w:widowControl/>
        <w:numPr>
          <w:ilvl w:val="1"/>
          <w:numId w:val="36"/>
        </w:numPr>
        <w:spacing w:after="120"/>
        <w:ind w:left="567" w:hanging="567"/>
        <w:rPr>
          <w:rFonts w:asciiTheme="minorHAnsi" w:hAnsiTheme="minorHAnsi"/>
          <w:bCs/>
          <w:i/>
          <w:szCs w:val="24"/>
          <w:lang w:val="en-GB"/>
        </w:rPr>
      </w:pPr>
      <w:r w:rsidRPr="00806142">
        <w:rPr>
          <w:rFonts w:asciiTheme="minorHAnsi" w:hAnsiTheme="minorHAnsi"/>
          <w:bCs/>
          <w:szCs w:val="24"/>
          <w:lang w:val="en-GB"/>
        </w:rPr>
        <w:t>The PBAC noted that this submission is eligible for an Independent Review</w:t>
      </w:r>
      <w:r w:rsidR="00806142" w:rsidRPr="00806142">
        <w:t xml:space="preserve"> as </w:t>
      </w:r>
      <w:r w:rsidR="00806142" w:rsidRPr="00806142">
        <w:rPr>
          <w:rFonts w:asciiTheme="minorHAnsi" w:hAnsiTheme="minorHAnsi"/>
          <w:bCs/>
          <w:szCs w:val="24"/>
          <w:lang w:val="en-GB"/>
        </w:rPr>
        <w:t xml:space="preserve">the PBAC has declined to recommend an extension of the listing of an already listed drug. </w:t>
      </w:r>
    </w:p>
    <w:p w:rsidR="00BA4654" w:rsidRPr="00806142" w:rsidRDefault="00BA4654" w:rsidP="00BA4654">
      <w:pPr>
        <w:widowControl/>
        <w:spacing w:before="240" w:after="120"/>
        <w:rPr>
          <w:rFonts w:asciiTheme="minorHAnsi" w:hAnsiTheme="minorHAnsi"/>
          <w:b/>
          <w:bCs/>
          <w:szCs w:val="24"/>
          <w:lang w:val="en-GB"/>
        </w:rPr>
      </w:pPr>
      <w:r w:rsidRPr="00806142">
        <w:rPr>
          <w:rFonts w:asciiTheme="minorHAnsi" w:hAnsiTheme="minorHAnsi"/>
          <w:b/>
          <w:bCs/>
          <w:szCs w:val="24"/>
          <w:lang w:val="en-GB"/>
        </w:rPr>
        <w:t>Outcome:</w:t>
      </w:r>
    </w:p>
    <w:p w:rsidR="00BA4654" w:rsidRPr="00D56BF2" w:rsidRDefault="00BA4654" w:rsidP="00D56BF2">
      <w:pPr>
        <w:widowControl/>
        <w:spacing w:after="120"/>
        <w:rPr>
          <w:rFonts w:asciiTheme="minorHAnsi" w:hAnsiTheme="minorHAnsi"/>
          <w:bCs/>
          <w:szCs w:val="24"/>
          <w:lang w:val="en-GB"/>
        </w:rPr>
      </w:pPr>
      <w:r w:rsidRPr="00806142">
        <w:rPr>
          <w:rFonts w:asciiTheme="minorHAnsi" w:hAnsiTheme="minorHAnsi"/>
          <w:bCs/>
          <w:szCs w:val="24"/>
          <w:lang w:val="en-GB"/>
        </w:rPr>
        <w:t xml:space="preserve">Rejected </w:t>
      </w:r>
    </w:p>
    <w:p w:rsidR="00946780" w:rsidRPr="00946780" w:rsidRDefault="00946780" w:rsidP="00946780">
      <w:pPr>
        <w:pStyle w:val="Heading1"/>
        <w:keepNext/>
        <w:keepLines/>
        <w:widowControl/>
        <w:numPr>
          <w:ilvl w:val="0"/>
          <w:numId w:val="35"/>
        </w:numPr>
        <w:spacing w:before="240" w:after="120"/>
        <w:jc w:val="left"/>
        <w:rPr>
          <w:rFonts w:asciiTheme="minorHAnsi" w:eastAsiaTheme="majorEastAsia" w:hAnsiTheme="minorHAnsi" w:cstheme="majorBidi"/>
          <w:caps w:val="0"/>
          <w:snapToGrid/>
          <w:szCs w:val="28"/>
        </w:rPr>
      </w:pPr>
      <w:r w:rsidRPr="00946780">
        <w:rPr>
          <w:rFonts w:asciiTheme="minorHAnsi" w:eastAsiaTheme="majorEastAsia" w:hAnsiTheme="minorHAnsi" w:cstheme="majorBidi"/>
          <w:caps w:val="0"/>
          <w:snapToGrid/>
          <w:szCs w:val="28"/>
        </w:rPr>
        <w:t>Context for Decision</w:t>
      </w:r>
    </w:p>
    <w:p w:rsidR="00946780" w:rsidRPr="00D56BF2" w:rsidRDefault="00946780" w:rsidP="00D56BF2">
      <w:pPr>
        <w:widowControl/>
        <w:spacing w:line="276" w:lineRule="auto"/>
        <w:rPr>
          <w:rFonts w:asciiTheme="minorHAnsi" w:eastAsiaTheme="minorHAnsi" w:hAnsiTheme="minorHAnsi"/>
          <w:snapToGrid/>
        </w:rPr>
      </w:pPr>
      <w:r w:rsidRPr="00946780">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bookmarkStart w:id="16" w:name="_GoBack"/>
      <w:bookmarkEnd w:id="16"/>
    </w:p>
    <w:p w:rsidR="00946780" w:rsidRPr="00946780" w:rsidRDefault="00946780" w:rsidP="00946780">
      <w:pPr>
        <w:pStyle w:val="Heading1"/>
        <w:keepNext/>
        <w:keepLines/>
        <w:widowControl/>
        <w:numPr>
          <w:ilvl w:val="0"/>
          <w:numId w:val="35"/>
        </w:numPr>
        <w:spacing w:before="240" w:after="120"/>
        <w:jc w:val="left"/>
        <w:rPr>
          <w:rFonts w:asciiTheme="minorHAnsi" w:eastAsiaTheme="majorEastAsia" w:hAnsiTheme="minorHAnsi" w:cstheme="majorBidi"/>
          <w:caps w:val="0"/>
          <w:snapToGrid/>
          <w:szCs w:val="28"/>
        </w:rPr>
      </w:pPr>
      <w:r w:rsidRPr="00946780">
        <w:rPr>
          <w:rFonts w:asciiTheme="minorHAnsi" w:eastAsiaTheme="majorEastAsia" w:hAnsiTheme="minorHAnsi" w:cstheme="majorBidi"/>
          <w:caps w:val="0"/>
          <w:snapToGrid/>
          <w:szCs w:val="28"/>
        </w:rPr>
        <w:t>Sponsor’s Comment</w:t>
      </w:r>
    </w:p>
    <w:p w:rsidR="004E43B2" w:rsidRPr="00D56BF2" w:rsidRDefault="004D7C46" w:rsidP="00D56BF2">
      <w:pPr>
        <w:widowControl/>
        <w:spacing w:line="276" w:lineRule="auto"/>
        <w:contextualSpacing/>
        <w:jc w:val="left"/>
        <w:rPr>
          <w:rFonts w:asciiTheme="minorHAnsi" w:eastAsiaTheme="minorHAnsi" w:hAnsiTheme="minorHAnsi"/>
          <w:snapToGrid/>
        </w:rPr>
      </w:pPr>
      <w:r w:rsidRPr="00223DB0">
        <w:rPr>
          <w:rFonts w:asciiTheme="minorHAnsi" w:eastAsiaTheme="minorHAnsi" w:hAnsiTheme="minorHAnsi"/>
          <w:snapToGrid/>
        </w:rPr>
        <w:t>Amgen is pleased that the PBAC has recognised that there is an unmet clinical need for treatment options to prevent SREs associated with multiple myeloma, particularly for patients who cannot receive bisphosphonates.  A resubmission for denosumab will be considered at the November 2018 PBAC meeting.</w:t>
      </w:r>
    </w:p>
    <w:sectPr w:rsidR="004E43B2" w:rsidRPr="00D56BF2" w:rsidSect="00900431">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014995" w15:done="0"/>
  <w15:commentEx w15:paraId="0E3D55F5" w15:paraIdParent="0D014995" w15:done="0"/>
  <w15:commentEx w15:paraId="5E51321F" w15:done="0"/>
  <w15:commentEx w15:paraId="0D123AF0" w15:done="0"/>
  <w15:commentEx w15:paraId="460DC347" w15:paraIdParent="0D123A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014995" w16cid:durableId="1F0F3684"/>
  <w16cid:commentId w16cid:paraId="5E51321F" w16cid:durableId="1F0F3708"/>
  <w16cid:commentId w16cid:paraId="0D123AF0" w16cid:durableId="1F0F34F4"/>
  <w16cid:commentId w16cid:paraId="460DC347" w16cid:durableId="1F0FD9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FF7" w:rsidRDefault="00604FF7" w:rsidP="00124A51">
      <w:r>
        <w:separator/>
      </w:r>
    </w:p>
    <w:p w:rsidR="00604FF7" w:rsidRDefault="00604FF7"/>
  </w:endnote>
  <w:endnote w:type="continuationSeparator" w:id="0">
    <w:p w:rsidR="00604FF7" w:rsidRDefault="00604FF7" w:rsidP="00124A51">
      <w:r>
        <w:continuationSeparator/>
      </w:r>
    </w:p>
    <w:p w:rsidR="00604FF7" w:rsidRDefault="00604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F7" w:rsidRDefault="00604F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922246"/>
      <w:docPartObj>
        <w:docPartGallery w:val="Page Numbers (Bottom of Page)"/>
        <w:docPartUnique/>
      </w:docPartObj>
    </w:sdtPr>
    <w:sdtEndPr>
      <w:rPr>
        <w:noProof/>
      </w:rPr>
    </w:sdtEndPr>
    <w:sdtContent>
      <w:p w:rsidR="00A55BA5" w:rsidRDefault="00A55BA5">
        <w:pPr>
          <w:pStyle w:val="Footer"/>
          <w:jc w:val="center"/>
        </w:pPr>
        <w:r>
          <w:fldChar w:fldCharType="begin"/>
        </w:r>
        <w:r>
          <w:instrText xml:space="preserve"> PAGE   \* MERGEFORMAT </w:instrText>
        </w:r>
        <w:r>
          <w:fldChar w:fldCharType="separate"/>
        </w:r>
        <w:r w:rsidR="00D56BF2">
          <w:rPr>
            <w:noProof/>
          </w:rPr>
          <w:t>24</w:t>
        </w:r>
        <w:r>
          <w:rPr>
            <w:noProof/>
          </w:rPr>
          <w:fldChar w:fldCharType="end"/>
        </w:r>
      </w:p>
    </w:sdtContent>
  </w:sdt>
  <w:p w:rsidR="00A55BA5" w:rsidRDefault="00A55B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F7" w:rsidRDefault="00604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FF7" w:rsidRDefault="00604FF7" w:rsidP="00124A51">
      <w:r>
        <w:separator/>
      </w:r>
    </w:p>
    <w:p w:rsidR="00604FF7" w:rsidRDefault="00604FF7"/>
  </w:footnote>
  <w:footnote w:type="continuationSeparator" w:id="0">
    <w:p w:rsidR="00604FF7" w:rsidRDefault="00604FF7" w:rsidP="00124A51">
      <w:r>
        <w:continuationSeparator/>
      </w:r>
    </w:p>
    <w:p w:rsidR="00604FF7" w:rsidRDefault="00604FF7"/>
  </w:footnote>
  <w:footnote w:id="1">
    <w:p w:rsidR="00A55BA5" w:rsidRDefault="00A55BA5" w:rsidP="00B17DAC">
      <w:r w:rsidRPr="00B17DAC">
        <w:rPr>
          <w:rStyle w:val="FootnoteReference"/>
          <w:sz w:val="20"/>
          <w:szCs w:val="20"/>
        </w:rPr>
        <w:footnoteRef/>
      </w:r>
      <w:r w:rsidRPr="00B17DAC">
        <w:rPr>
          <w:sz w:val="20"/>
          <w:szCs w:val="20"/>
        </w:rPr>
        <w:t xml:space="preserve"> P.J. </w:t>
      </w:r>
      <w:proofErr w:type="spellStart"/>
      <w:r w:rsidRPr="00B17DAC">
        <w:rPr>
          <w:sz w:val="20"/>
          <w:szCs w:val="20"/>
        </w:rPr>
        <w:t>Ho</w:t>
      </w:r>
      <w:proofErr w:type="spellEnd"/>
      <w:r w:rsidRPr="00B17DAC">
        <w:rPr>
          <w:sz w:val="20"/>
          <w:szCs w:val="20"/>
        </w:rPr>
        <w:t xml:space="preserve"> et al, </w:t>
      </w:r>
      <w:proofErr w:type="spellStart"/>
      <w:r w:rsidRPr="00B17DAC">
        <w:rPr>
          <w:sz w:val="20"/>
          <w:szCs w:val="20"/>
        </w:rPr>
        <w:t>H</w:t>
      </w:r>
      <w:r>
        <w:rPr>
          <w:sz w:val="20"/>
          <w:szCs w:val="20"/>
        </w:rPr>
        <w:t>a</w:t>
      </w:r>
      <w:r w:rsidRPr="00B17DAC">
        <w:rPr>
          <w:sz w:val="20"/>
          <w:szCs w:val="20"/>
        </w:rPr>
        <w:t>ematologica</w:t>
      </w:r>
      <w:proofErr w:type="spellEnd"/>
      <w:r w:rsidRPr="00B17DAC">
        <w:rPr>
          <w:sz w:val="20"/>
          <w:szCs w:val="20"/>
        </w:rPr>
        <w:t xml:space="preserve"> 2017</w:t>
      </w:r>
      <w:proofErr w:type="gramStart"/>
      <w:r w:rsidRPr="00B17DAC">
        <w:rPr>
          <w:sz w:val="20"/>
          <w:szCs w:val="20"/>
        </w:rPr>
        <w:t>;102</w:t>
      </w:r>
      <w:proofErr w:type="gramEnd"/>
      <w:r w:rsidRPr="00B17DAC">
        <w:rPr>
          <w:sz w:val="20"/>
          <w:szCs w:val="20"/>
        </w:rPr>
        <w:t>(s1):268. Abstract n. P674 [Presentation at the European Hematology Association (22nd Congress), 2017]</w:t>
      </w:r>
    </w:p>
    <w:p w:rsidR="00A55BA5" w:rsidRDefault="00A55BA5" w:rsidP="00357438">
      <w:pPr>
        <w:pStyle w:val="CommentText"/>
      </w:pPr>
    </w:p>
    <w:p w:rsidR="00A55BA5" w:rsidRDefault="00A55BA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F7" w:rsidRDefault="00604F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A5" w:rsidRPr="00F90A91" w:rsidRDefault="00A55BA5" w:rsidP="00133D2E">
    <w:pPr>
      <w:pStyle w:val="Header"/>
      <w:ind w:left="360"/>
      <w:jc w:val="center"/>
      <w:rPr>
        <w:rFonts w:asciiTheme="minorHAnsi" w:hAnsiTheme="minorHAnsi"/>
        <w:i/>
        <w:color w:val="808080"/>
        <w:sz w:val="22"/>
      </w:rPr>
    </w:pPr>
    <w:r>
      <w:rPr>
        <w:rFonts w:asciiTheme="minorHAnsi" w:hAnsiTheme="minorHAnsi"/>
        <w:i/>
        <w:color w:val="808080"/>
        <w:sz w:val="22"/>
      </w:rPr>
      <w:t xml:space="preserve">Public Summary Document </w:t>
    </w:r>
    <w:r w:rsidRPr="00F90A91">
      <w:rPr>
        <w:rFonts w:asciiTheme="minorHAnsi" w:hAnsiTheme="minorHAnsi"/>
        <w:i/>
        <w:color w:val="808080"/>
        <w:sz w:val="22"/>
      </w:rPr>
      <w:t xml:space="preserve">– </w:t>
    </w:r>
    <w:r>
      <w:rPr>
        <w:rFonts w:asciiTheme="minorHAnsi" w:hAnsiTheme="minorHAnsi"/>
        <w:i/>
        <w:color w:val="808080"/>
        <w:sz w:val="22"/>
      </w:rPr>
      <w:t>July 2018</w:t>
    </w:r>
    <w:r w:rsidRPr="00F90A91">
      <w:rPr>
        <w:rFonts w:asciiTheme="minorHAnsi" w:hAnsiTheme="minorHAnsi"/>
        <w:i/>
        <w:color w:val="808080"/>
        <w:sz w:val="22"/>
      </w:rPr>
      <w:t xml:space="preserve"> PBAC Meeting</w:t>
    </w:r>
  </w:p>
  <w:p w:rsidR="00A55BA5" w:rsidRDefault="00A55BA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F7" w:rsidRDefault="00604F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B010AF"/>
    <w:multiLevelType w:val="hybridMultilevel"/>
    <w:tmpl w:val="61FE77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FE0D6A"/>
    <w:multiLevelType w:val="hybridMultilevel"/>
    <w:tmpl w:val="772E9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877DC"/>
    <w:multiLevelType w:val="multilevel"/>
    <w:tmpl w:val="10B42FB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91E6A58"/>
    <w:multiLevelType w:val="hybridMultilevel"/>
    <w:tmpl w:val="1A7439D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B3E6A3E"/>
    <w:multiLevelType w:val="hybridMultilevel"/>
    <w:tmpl w:val="F41A397E"/>
    <w:lvl w:ilvl="0" w:tplc="271A5B74">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BFC68CF"/>
    <w:multiLevelType w:val="hybridMultilevel"/>
    <w:tmpl w:val="FD1EF0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A02537"/>
    <w:multiLevelType w:val="hybridMultilevel"/>
    <w:tmpl w:val="D40C4C40"/>
    <w:lvl w:ilvl="0" w:tplc="24C603D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82071E"/>
    <w:multiLevelType w:val="hybridMultilevel"/>
    <w:tmpl w:val="72A219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1FC1785B"/>
    <w:multiLevelType w:val="hybridMultilevel"/>
    <w:tmpl w:val="F20AF1B6"/>
    <w:lvl w:ilvl="0" w:tplc="098E0A4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7E0E7F"/>
    <w:multiLevelType w:val="hybridMultilevel"/>
    <w:tmpl w:val="840E8F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3860DAD"/>
    <w:multiLevelType w:val="hybridMultilevel"/>
    <w:tmpl w:val="8294CC0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472690D"/>
    <w:multiLevelType w:val="hybridMultilevel"/>
    <w:tmpl w:val="B2969A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84E6825"/>
    <w:multiLevelType w:val="multilevel"/>
    <w:tmpl w:val="B6DCB068"/>
    <w:lvl w:ilvl="0">
      <w:start w:val="7"/>
      <w:numFmt w:val="decimal"/>
      <w:lvlText w:val="%1"/>
      <w:lvlJc w:val="left"/>
      <w:pPr>
        <w:ind w:left="432" w:hanging="432"/>
      </w:pPr>
      <w:rPr>
        <w:rFonts w:hint="default"/>
        <w:i w:val="0"/>
      </w:rPr>
    </w:lvl>
    <w:lvl w:ilvl="1">
      <w:start w:val="1"/>
      <w:numFmt w:val="bullet"/>
      <w:lvlText w:val=""/>
      <w:lvlJc w:val="left"/>
      <w:pPr>
        <w:ind w:left="3695"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D683731"/>
    <w:multiLevelType w:val="hybridMultilevel"/>
    <w:tmpl w:val="18DC0ACE"/>
    <w:lvl w:ilvl="0" w:tplc="F5C40694">
      <w:start w:val="1"/>
      <w:numFmt w:val="bullet"/>
      <w:lvlText w:val="•"/>
      <w:lvlJc w:val="left"/>
      <w:pPr>
        <w:tabs>
          <w:tab w:val="num" w:pos="720"/>
        </w:tabs>
        <w:ind w:left="720" w:hanging="360"/>
      </w:pPr>
      <w:rPr>
        <w:rFonts w:ascii="Arial" w:hAnsi="Arial" w:hint="default"/>
      </w:rPr>
    </w:lvl>
    <w:lvl w:ilvl="1" w:tplc="B8D2F63E" w:tentative="1">
      <w:start w:val="1"/>
      <w:numFmt w:val="bullet"/>
      <w:lvlText w:val="•"/>
      <w:lvlJc w:val="left"/>
      <w:pPr>
        <w:tabs>
          <w:tab w:val="num" w:pos="1440"/>
        </w:tabs>
        <w:ind w:left="1440" w:hanging="360"/>
      </w:pPr>
      <w:rPr>
        <w:rFonts w:ascii="Arial" w:hAnsi="Arial" w:hint="default"/>
      </w:rPr>
    </w:lvl>
    <w:lvl w:ilvl="2" w:tplc="677C69DA" w:tentative="1">
      <w:start w:val="1"/>
      <w:numFmt w:val="bullet"/>
      <w:lvlText w:val="•"/>
      <w:lvlJc w:val="left"/>
      <w:pPr>
        <w:tabs>
          <w:tab w:val="num" w:pos="2160"/>
        </w:tabs>
        <w:ind w:left="2160" w:hanging="360"/>
      </w:pPr>
      <w:rPr>
        <w:rFonts w:ascii="Arial" w:hAnsi="Arial" w:hint="default"/>
      </w:rPr>
    </w:lvl>
    <w:lvl w:ilvl="3" w:tplc="6D000228" w:tentative="1">
      <w:start w:val="1"/>
      <w:numFmt w:val="bullet"/>
      <w:lvlText w:val="•"/>
      <w:lvlJc w:val="left"/>
      <w:pPr>
        <w:tabs>
          <w:tab w:val="num" w:pos="2880"/>
        </w:tabs>
        <w:ind w:left="2880" w:hanging="360"/>
      </w:pPr>
      <w:rPr>
        <w:rFonts w:ascii="Arial" w:hAnsi="Arial" w:hint="default"/>
      </w:rPr>
    </w:lvl>
    <w:lvl w:ilvl="4" w:tplc="FA8206FE" w:tentative="1">
      <w:start w:val="1"/>
      <w:numFmt w:val="bullet"/>
      <w:lvlText w:val="•"/>
      <w:lvlJc w:val="left"/>
      <w:pPr>
        <w:tabs>
          <w:tab w:val="num" w:pos="3600"/>
        </w:tabs>
        <w:ind w:left="3600" w:hanging="360"/>
      </w:pPr>
      <w:rPr>
        <w:rFonts w:ascii="Arial" w:hAnsi="Arial" w:hint="default"/>
      </w:rPr>
    </w:lvl>
    <w:lvl w:ilvl="5" w:tplc="9BBC03BA" w:tentative="1">
      <w:start w:val="1"/>
      <w:numFmt w:val="bullet"/>
      <w:lvlText w:val="•"/>
      <w:lvlJc w:val="left"/>
      <w:pPr>
        <w:tabs>
          <w:tab w:val="num" w:pos="4320"/>
        </w:tabs>
        <w:ind w:left="4320" w:hanging="360"/>
      </w:pPr>
      <w:rPr>
        <w:rFonts w:ascii="Arial" w:hAnsi="Arial" w:hint="default"/>
      </w:rPr>
    </w:lvl>
    <w:lvl w:ilvl="6" w:tplc="3BBE39C2" w:tentative="1">
      <w:start w:val="1"/>
      <w:numFmt w:val="bullet"/>
      <w:lvlText w:val="•"/>
      <w:lvlJc w:val="left"/>
      <w:pPr>
        <w:tabs>
          <w:tab w:val="num" w:pos="5040"/>
        </w:tabs>
        <w:ind w:left="5040" w:hanging="360"/>
      </w:pPr>
      <w:rPr>
        <w:rFonts w:ascii="Arial" w:hAnsi="Arial" w:hint="default"/>
      </w:rPr>
    </w:lvl>
    <w:lvl w:ilvl="7" w:tplc="144E61C0" w:tentative="1">
      <w:start w:val="1"/>
      <w:numFmt w:val="bullet"/>
      <w:lvlText w:val="•"/>
      <w:lvlJc w:val="left"/>
      <w:pPr>
        <w:tabs>
          <w:tab w:val="num" w:pos="5760"/>
        </w:tabs>
        <w:ind w:left="5760" w:hanging="360"/>
      </w:pPr>
      <w:rPr>
        <w:rFonts w:ascii="Arial" w:hAnsi="Arial" w:hint="default"/>
      </w:rPr>
    </w:lvl>
    <w:lvl w:ilvl="8" w:tplc="64D241D2" w:tentative="1">
      <w:start w:val="1"/>
      <w:numFmt w:val="bullet"/>
      <w:lvlText w:val="•"/>
      <w:lvlJc w:val="left"/>
      <w:pPr>
        <w:tabs>
          <w:tab w:val="num" w:pos="6480"/>
        </w:tabs>
        <w:ind w:left="6480" w:hanging="360"/>
      </w:pPr>
      <w:rPr>
        <w:rFonts w:ascii="Arial" w:hAnsi="Arial" w:hint="default"/>
      </w:rPr>
    </w:lvl>
  </w:abstractNum>
  <w:abstractNum w:abstractNumId="18">
    <w:nsid w:val="3386579C"/>
    <w:multiLevelType w:val="hybridMultilevel"/>
    <w:tmpl w:val="816A572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054359"/>
    <w:multiLevelType w:val="hybridMultilevel"/>
    <w:tmpl w:val="EF4E0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412660"/>
    <w:multiLevelType w:val="hybridMultilevel"/>
    <w:tmpl w:val="926E0084"/>
    <w:lvl w:ilvl="0" w:tplc="098E0A4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B7C34E2"/>
    <w:multiLevelType w:val="hybridMultilevel"/>
    <w:tmpl w:val="74124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D47082"/>
    <w:multiLevelType w:val="hybridMultilevel"/>
    <w:tmpl w:val="0A76C2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3FF014FC"/>
    <w:multiLevelType w:val="hybridMultilevel"/>
    <w:tmpl w:val="8F16BB08"/>
    <w:lvl w:ilvl="0" w:tplc="975C239A">
      <w:start w:val="1"/>
      <w:numFmt w:val="bullet"/>
      <w:lvlText w:val="•"/>
      <w:lvlJc w:val="left"/>
      <w:pPr>
        <w:tabs>
          <w:tab w:val="num" w:pos="720"/>
        </w:tabs>
        <w:ind w:left="720" w:hanging="360"/>
      </w:pPr>
      <w:rPr>
        <w:rFonts w:ascii="Arial" w:hAnsi="Arial" w:hint="default"/>
      </w:rPr>
    </w:lvl>
    <w:lvl w:ilvl="1" w:tplc="44027200" w:tentative="1">
      <w:start w:val="1"/>
      <w:numFmt w:val="bullet"/>
      <w:lvlText w:val="•"/>
      <w:lvlJc w:val="left"/>
      <w:pPr>
        <w:tabs>
          <w:tab w:val="num" w:pos="1440"/>
        </w:tabs>
        <w:ind w:left="1440" w:hanging="360"/>
      </w:pPr>
      <w:rPr>
        <w:rFonts w:ascii="Arial" w:hAnsi="Arial" w:hint="default"/>
      </w:rPr>
    </w:lvl>
    <w:lvl w:ilvl="2" w:tplc="C8701192" w:tentative="1">
      <w:start w:val="1"/>
      <w:numFmt w:val="bullet"/>
      <w:lvlText w:val="•"/>
      <w:lvlJc w:val="left"/>
      <w:pPr>
        <w:tabs>
          <w:tab w:val="num" w:pos="2160"/>
        </w:tabs>
        <w:ind w:left="2160" w:hanging="360"/>
      </w:pPr>
      <w:rPr>
        <w:rFonts w:ascii="Arial" w:hAnsi="Arial" w:hint="default"/>
      </w:rPr>
    </w:lvl>
    <w:lvl w:ilvl="3" w:tplc="6296A2BC" w:tentative="1">
      <w:start w:val="1"/>
      <w:numFmt w:val="bullet"/>
      <w:lvlText w:val="•"/>
      <w:lvlJc w:val="left"/>
      <w:pPr>
        <w:tabs>
          <w:tab w:val="num" w:pos="2880"/>
        </w:tabs>
        <w:ind w:left="2880" w:hanging="360"/>
      </w:pPr>
      <w:rPr>
        <w:rFonts w:ascii="Arial" w:hAnsi="Arial" w:hint="default"/>
      </w:rPr>
    </w:lvl>
    <w:lvl w:ilvl="4" w:tplc="7048E178" w:tentative="1">
      <w:start w:val="1"/>
      <w:numFmt w:val="bullet"/>
      <w:lvlText w:val="•"/>
      <w:lvlJc w:val="left"/>
      <w:pPr>
        <w:tabs>
          <w:tab w:val="num" w:pos="3600"/>
        </w:tabs>
        <w:ind w:left="3600" w:hanging="360"/>
      </w:pPr>
      <w:rPr>
        <w:rFonts w:ascii="Arial" w:hAnsi="Arial" w:hint="default"/>
      </w:rPr>
    </w:lvl>
    <w:lvl w:ilvl="5" w:tplc="48848006" w:tentative="1">
      <w:start w:val="1"/>
      <w:numFmt w:val="bullet"/>
      <w:lvlText w:val="•"/>
      <w:lvlJc w:val="left"/>
      <w:pPr>
        <w:tabs>
          <w:tab w:val="num" w:pos="4320"/>
        </w:tabs>
        <w:ind w:left="4320" w:hanging="360"/>
      </w:pPr>
      <w:rPr>
        <w:rFonts w:ascii="Arial" w:hAnsi="Arial" w:hint="default"/>
      </w:rPr>
    </w:lvl>
    <w:lvl w:ilvl="6" w:tplc="C8168F00" w:tentative="1">
      <w:start w:val="1"/>
      <w:numFmt w:val="bullet"/>
      <w:lvlText w:val="•"/>
      <w:lvlJc w:val="left"/>
      <w:pPr>
        <w:tabs>
          <w:tab w:val="num" w:pos="5040"/>
        </w:tabs>
        <w:ind w:left="5040" w:hanging="360"/>
      </w:pPr>
      <w:rPr>
        <w:rFonts w:ascii="Arial" w:hAnsi="Arial" w:hint="default"/>
      </w:rPr>
    </w:lvl>
    <w:lvl w:ilvl="7" w:tplc="543A9FE2" w:tentative="1">
      <w:start w:val="1"/>
      <w:numFmt w:val="bullet"/>
      <w:lvlText w:val="•"/>
      <w:lvlJc w:val="left"/>
      <w:pPr>
        <w:tabs>
          <w:tab w:val="num" w:pos="5760"/>
        </w:tabs>
        <w:ind w:left="5760" w:hanging="360"/>
      </w:pPr>
      <w:rPr>
        <w:rFonts w:ascii="Arial" w:hAnsi="Arial" w:hint="default"/>
      </w:rPr>
    </w:lvl>
    <w:lvl w:ilvl="8" w:tplc="4EB83C64" w:tentative="1">
      <w:start w:val="1"/>
      <w:numFmt w:val="bullet"/>
      <w:lvlText w:val="•"/>
      <w:lvlJc w:val="left"/>
      <w:pPr>
        <w:tabs>
          <w:tab w:val="num" w:pos="6480"/>
        </w:tabs>
        <w:ind w:left="6480" w:hanging="360"/>
      </w:pPr>
      <w:rPr>
        <w:rFonts w:ascii="Arial" w:hAnsi="Arial" w:hint="default"/>
      </w:rPr>
    </w:lvl>
  </w:abstractNum>
  <w:abstractNum w:abstractNumId="25">
    <w:nsid w:val="44373152"/>
    <w:multiLevelType w:val="hybridMultilevel"/>
    <w:tmpl w:val="ACFAA31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010A71"/>
    <w:multiLevelType w:val="hybridMultilevel"/>
    <w:tmpl w:val="9DC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A581BB4"/>
    <w:multiLevelType w:val="hybridMultilevel"/>
    <w:tmpl w:val="23B6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5164E2"/>
    <w:multiLevelType w:val="hybridMultilevel"/>
    <w:tmpl w:val="E758D41C"/>
    <w:lvl w:ilvl="0" w:tplc="098E0A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8E18D6"/>
    <w:multiLevelType w:val="hybridMultilevel"/>
    <w:tmpl w:val="D8D63DC6"/>
    <w:lvl w:ilvl="0" w:tplc="098E0A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F00811"/>
    <w:multiLevelType w:val="hybridMultilevel"/>
    <w:tmpl w:val="C25A719E"/>
    <w:lvl w:ilvl="0" w:tplc="03F052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FDE573A"/>
    <w:multiLevelType w:val="hybridMultilevel"/>
    <w:tmpl w:val="08C82B04"/>
    <w:lvl w:ilvl="0" w:tplc="96C465F4">
      <w:start w:val="1"/>
      <w:numFmt w:val="bullet"/>
      <w:lvlText w:val="•"/>
      <w:lvlJc w:val="left"/>
      <w:pPr>
        <w:tabs>
          <w:tab w:val="num" w:pos="720"/>
        </w:tabs>
        <w:ind w:left="720" w:hanging="360"/>
      </w:pPr>
      <w:rPr>
        <w:rFonts w:ascii="Arial" w:hAnsi="Arial" w:hint="default"/>
      </w:rPr>
    </w:lvl>
    <w:lvl w:ilvl="1" w:tplc="C8BA12F2" w:tentative="1">
      <w:start w:val="1"/>
      <w:numFmt w:val="bullet"/>
      <w:lvlText w:val="•"/>
      <w:lvlJc w:val="left"/>
      <w:pPr>
        <w:tabs>
          <w:tab w:val="num" w:pos="1440"/>
        </w:tabs>
        <w:ind w:left="1440" w:hanging="360"/>
      </w:pPr>
      <w:rPr>
        <w:rFonts w:ascii="Arial" w:hAnsi="Arial" w:hint="default"/>
      </w:rPr>
    </w:lvl>
    <w:lvl w:ilvl="2" w:tplc="3FA27F3C" w:tentative="1">
      <w:start w:val="1"/>
      <w:numFmt w:val="bullet"/>
      <w:lvlText w:val="•"/>
      <w:lvlJc w:val="left"/>
      <w:pPr>
        <w:tabs>
          <w:tab w:val="num" w:pos="2160"/>
        </w:tabs>
        <w:ind w:left="2160" w:hanging="360"/>
      </w:pPr>
      <w:rPr>
        <w:rFonts w:ascii="Arial" w:hAnsi="Arial" w:hint="default"/>
      </w:rPr>
    </w:lvl>
    <w:lvl w:ilvl="3" w:tplc="BD9A695A" w:tentative="1">
      <w:start w:val="1"/>
      <w:numFmt w:val="bullet"/>
      <w:lvlText w:val="•"/>
      <w:lvlJc w:val="left"/>
      <w:pPr>
        <w:tabs>
          <w:tab w:val="num" w:pos="2880"/>
        </w:tabs>
        <w:ind w:left="2880" w:hanging="360"/>
      </w:pPr>
      <w:rPr>
        <w:rFonts w:ascii="Arial" w:hAnsi="Arial" w:hint="default"/>
      </w:rPr>
    </w:lvl>
    <w:lvl w:ilvl="4" w:tplc="3900159C" w:tentative="1">
      <w:start w:val="1"/>
      <w:numFmt w:val="bullet"/>
      <w:lvlText w:val="•"/>
      <w:lvlJc w:val="left"/>
      <w:pPr>
        <w:tabs>
          <w:tab w:val="num" w:pos="3600"/>
        </w:tabs>
        <w:ind w:left="3600" w:hanging="360"/>
      </w:pPr>
      <w:rPr>
        <w:rFonts w:ascii="Arial" w:hAnsi="Arial" w:hint="default"/>
      </w:rPr>
    </w:lvl>
    <w:lvl w:ilvl="5" w:tplc="76E6BF9C" w:tentative="1">
      <w:start w:val="1"/>
      <w:numFmt w:val="bullet"/>
      <w:lvlText w:val="•"/>
      <w:lvlJc w:val="left"/>
      <w:pPr>
        <w:tabs>
          <w:tab w:val="num" w:pos="4320"/>
        </w:tabs>
        <w:ind w:left="4320" w:hanging="360"/>
      </w:pPr>
      <w:rPr>
        <w:rFonts w:ascii="Arial" w:hAnsi="Arial" w:hint="default"/>
      </w:rPr>
    </w:lvl>
    <w:lvl w:ilvl="6" w:tplc="5224BBF2" w:tentative="1">
      <w:start w:val="1"/>
      <w:numFmt w:val="bullet"/>
      <w:lvlText w:val="•"/>
      <w:lvlJc w:val="left"/>
      <w:pPr>
        <w:tabs>
          <w:tab w:val="num" w:pos="5040"/>
        </w:tabs>
        <w:ind w:left="5040" w:hanging="360"/>
      </w:pPr>
      <w:rPr>
        <w:rFonts w:ascii="Arial" w:hAnsi="Arial" w:hint="default"/>
      </w:rPr>
    </w:lvl>
    <w:lvl w:ilvl="7" w:tplc="D68EA4C2" w:tentative="1">
      <w:start w:val="1"/>
      <w:numFmt w:val="bullet"/>
      <w:lvlText w:val="•"/>
      <w:lvlJc w:val="left"/>
      <w:pPr>
        <w:tabs>
          <w:tab w:val="num" w:pos="5760"/>
        </w:tabs>
        <w:ind w:left="5760" w:hanging="360"/>
      </w:pPr>
      <w:rPr>
        <w:rFonts w:ascii="Arial" w:hAnsi="Arial" w:hint="default"/>
      </w:rPr>
    </w:lvl>
    <w:lvl w:ilvl="8" w:tplc="41C2FCA4" w:tentative="1">
      <w:start w:val="1"/>
      <w:numFmt w:val="bullet"/>
      <w:lvlText w:val="•"/>
      <w:lvlJc w:val="left"/>
      <w:pPr>
        <w:tabs>
          <w:tab w:val="num" w:pos="6480"/>
        </w:tabs>
        <w:ind w:left="6480" w:hanging="360"/>
      </w:pPr>
      <w:rPr>
        <w:rFonts w:ascii="Arial" w:hAnsi="Arial" w:hint="default"/>
      </w:rPr>
    </w:lvl>
  </w:abstractNum>
  <w:abstractNum w:abstractNumId="36">
    <w:nsid w:val="76712507"/>
    <w:multiLevelType w:val="hybridMultilevel"/>
    <w:tmpl w:val="598A6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84D033C"/>
    <w:multiLevelType w:val="multilevel"/>
    <w:tmpl w:val="0CD4731C"/>
    <w:lvl w:ilvl="0">
      <w:start w:val="1"/>
      <w:numFmt w:val="decimal"/>
      <w:lvlText w:val="%1"/>
      <w:lvlJc w:val="left"/>
      <w:pPr>
        <w:ind w:left="720" w:hanging="72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881492D"/>
    <w:multiLevelType w:val="hybridMultilevel"/>
    <w:tmpl w:val="05D0770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78BC06FB"/>
    <w:multiLevelType w:val="hybridMultilevel"/>
    <w:tmpl w:val="F8F20BB8"/>
    <w:lvl w:ilvl="0" w:tplc="24C603D6">
      <w:numFmt w:val="bullet"/>
      <w:lvlText w:val="-"/>
      <w:lvlJc w:val="left"/>
      <w:pPr>
        <w:ind w:left="720" w:hanging="360"/>
      </w:pPr>
      <w:rPr>
        <w:rFonts w:ascii="Calibri" w:eastAsia="Calibri" w:hAnsi="Calibri" w:cs="Times New Roman" w:hint="default"/>
      </w:rPr>
    </w:lvl>
    <w:lvl w:ilvl="1" w:tplc="24C603D6">
      <w:numFmt w:val="bullet"/>
      <w:lvlText w:val="-"/>
      <w:lvlJc w:val="left"/>
      <w:pPr>
        <w:ind w:left="1440" w:hanging="360"/>
      </w:pPr>
      <w:rPr>
        <w:rFonts w:ascii="Calibri" w:eastAsia="Calibr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E33BF8"/>
    <w:multiLevelType w:val="multilevel"/>
    <w:tmpl w:val="7FF2EAA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EF83B9D"/>
    <w:multiLevelType w:val="hybridMultilevel"/>
    <w:tmpl w:val="5FEAF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37"/>
  </w:num>
  <w:num w:numId="4">
    <w:abstractNumId w:val="41"/>
  </w:num>
  <w:num w:numId="5">
    <w:abstractNumId w:val="31"/>
  </w:num>
  <w:num w:numId="6">
    <w:abstractNumId w:val="28"/>
  </w:num>
  <w:num w:numId="7">
    <w:abstractNumId w:val="26"/>
  </w:num>
  <w:num w:numId="8">
    <w:abstractNumId w:val="27"/>
  </w:num>
  <w:num w:numId="9">
    <w:abstractNumId w:val="19"/>
  </w:num>
  <w:num w:numId="10">
    <w:abstractNumId w:val="8"/>
  </w:num>
  <w:num w:numId="11">
    <w:abstractNumId w:val="39"/>
  </w:num>
  <w:num w:numId="12">
    <w:abstractNumId w:val="9"/>
  </w:num>
  <w:num w:numId="13">
    <w:abstractNumId w:val="20"/>
  </w:num>
  <w:num w:numId="14">
    <w:abstractNumId w:val="13"/>
  </w:num>
  <w:num w:numId="15">
    <w:abstractNumId w:val="25"/>
  </w:num>
  <w:num w:numId="16">
    <w:abstractNumId w:val="5"/>
  </w:num>
  <w:num w:numId="17">
    <w:abstractNumId w:val="2"/>
  </w:num>
  <w:num w:numId="18">
    <w:abstractNumId w:val="18"/>
  </w:num>
  <w:num w:numId="19">
    <w:abstractNumId w:val="36"/>
  </w:num>
  <w:num w:numId="20">
    <w:abstractNumId w:val="12"/>
  </w:num>
  <w:num w:numId="21">
    <w:abstractNumId w:val="7"/>
  </w:num>
  <w:num w:numId="22">
    <w:abstractNumId w:val="21"/>
  </w:num>
  <w:num w:numId="23">
    <w:abstractNumId w:val="11"/>
  </w:num>
  <w:num w:numId="24">
    <w:abstractNumId w:val="33"/>
  </w:num>
  <w:num w:numId="25">
    <w:abstractNumId w:val="32"/>
  </w:num>
  <w:num w:numId="26">
    <w:abstractNumId w:val="23"/>
  </w:num>
  <w:num w:numId="27">
    <w:abstractNumId w:val="38"/>
  </w:num>
  <w:num w:numId="28">
    <w:abstractNumId w:val="34"/>
  </w:num>
  <w:num w:numId="29">
    <w:abstractNumId w:val="40"/>
  </w:num>
  <w:num w:numId="30">
    <w:abstractNumId w:val="29"/>
  </w:num>
  <w:num w:numId="31">
    <w:abstractNumId w:val="30"/>
  </w:num>
  <w:num w:numId="32">
    <w:abstractNumId w:val="6"/>
  </w:num>
  <w:num w:numId="33">
    <w:abstractNumId w:val="1"/>
  </w:num>
  <w:num w:numId="34">
    <w:abstractNumId w:val="14"/>
  </w:num>
  <w:num w:numId="35">
    <w:abstractNumId w:val="16"/>
  </w:num>
  <w:num w:numId="36">
    <w:abstractNumId w:val="4"/>
  </w:num>
  <w:num w:numId="37">
    <w:abstractNumId w:val="15"/>
  </w:num>
  <w:num w:numId="38">
    <w:abstractNumId w:val="17"/>
  </w:num>
  <w:num w:numId="39">
    <w:abstractNumId w:val="0"/>
  </w:num>
  <w:num w:numId="40">
    <w:abstractNumId w:val="10"/>
  </w:num>
  <w:num w:numId="41">
    <w:abstractNumId w:val="35"/>
  </w:num>
  <w:num w:numId="42">
    <w:abstractNumId w:val="24"/>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y Ho">
    <w15:presenceInfo w15:providerId="None" w15:userId="Joy Ho"/>
  </w15:person>
  <w15:person w15:author="Christopher Etherton-Beer">
    <w15:presenceInfo w15:providerId="AD" w15:userId="S-1-5-21-905479342-1514983418-1536837410-193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AFB"/>
    <w:rsid w:val="00001B4E"/>
    <w:rsid w:val="00001FA3"/>
    <w:rsid w:val="00002210"/>
    <w:rsid w:val="00002544"/>
    <w:rsid w:val="00003499"/>
    <w:rsid w:val="000039B7"/>
    <w:rsid w:val="0000544A"/>
    <w:rsid w:val="00007A68"/>
    <w:rsid w:val="000105C1"/>
    <w:rsid w:val="00013247"/>
    <w:rsid w:val="00013AB5"/>
    <w:rsid w:val="00015886"/>
    <w:rsid w:val="000162EF"/>
    <w:rsid w:val="00017C05"/>
    <w:rsid w:val="00017FFE"/>
    <w:rsid w:val="0002225F"/>
    <w:rsid w:val="00022BE4"/>
    <w:rsid w:val="0002325A"/>
    <w:rsid w:val="00023763"/>
    <w:rsid w:val="00024B39"/>
    <w:rsid w:val="00033863"/>
    <w:rsid w:val="000359BF"/>
    <w:rsid w:val="00035DC0"/>
    <w:rsid w:val="00036829"/>
    <w:rsid w:val="00040895"/>
    <w:rsid w:val="00040BA0"/>
    <w:rsid w:val="0004199C"/>
    <w:rsid w:val="00043C37"/>
    <w:rsid w:val="00045017"/>
    <w:rsid w:val="00045A2B"/>
    <w:rsid w:val="000466DE"/>
    <w:rsid w:val="0004698F"/>
    <w:rsid w:val="000539D0"/>
    <w:rsid w:val="00053F81"/>
    <w:rsid w:val="00054621"/>
    <w:rsid w:val="000546D7"/>
    <w:rsid w:val="000550D2"/>
    <w:rsid w:val="00066360"/>
    <w:rsid w:val="000665B2"/>
    <w:rsid w:val="000701F4"/>
    <w:rsid w:val="00071029"/>
    <w:rsid w:val="00071248"/>
    <w:rsid w:val="000720B9"/>
    <w:rsid w:val="000730DE"/>
    <w:rsid w:val="000737F7"/>
    <w:rsid w:val="0007394C"/>
    <w:rsid w:val="00073C99"/>
    <w:rsid w:val="000756D8"/>
    <w:rsid w:val="0007672F"/>
    <w:rsid w:val="000774F0"/>
    <w:rsid w:val="00080909"/>
    <w:rsid w:val="000812CA"/>
    <w:rsid w:val="0008226A"/>
    <w:rsid w:val="0008258D"/>
    <w:rsid w:val="00083E99"/>
    <w:rsid w:val="00084537"/>
    <w:rsid w:val="0008487A"/>
    <w:rsid w:val="000855C7"/>
    <w:rsid w:val="000856C5"/>
    <w:rsid w:val="00086016"/>
    <w:rsid w:val="00090C7E"/>
    <w:rsid w:val="00091CC8"/>
    <w:rsid w:val="00092600"/>
    <w:rsid w:val="0009262B"/>
    <w:rsid w:val="00093310"/>
    <w:rsid w:val="0009445C"/>
    <w:rsid w:val="00095FE5"/>
    <w:rsid w:val="00096284"/>
    <w:rsid w:val="0009718E"/>
    <w:rsid w:val="000A3E98"/>
    <w:rsid w:val="000A4D7E"/>
    <w:rsid w:val="000A53B6"/>
    <w:rsid w:val="000A7973"/>
    <w:rsid w:val="000A7D08"/>
    <w:rsid w:val="000B04D1"/>
    <w:rsid w:val="000B0670"/>
    <w:rsid w:val="000B0E75"/>
    <w:rsid w:val="000B2843"/>
    <w:rsid w:val="000B3149"/>
    <w:rsid w:val="000B6CAC"/>
    <w:rsid w:val="000B7612"/>
    <w:rsid w:val="000B76C9"/>
    <w:rsid w:val="000C3DF9"/>
    <w:rsid w:val="000C5E05"/>
    <w:rsid w:val="000C64D3"/>
    <w:rsid w:val="000C6713"/>
    <w:rsid w:val="000C6F5E"/>
    <w:rsid w:val="000D02BF"/>
    <w:rsid w:val="000D1BFC"/>
    <w:rsid w:val="000D281A"/>
    <w:rsid w:val="000D326A"/>
    <w:rsid w:val="000D51FB"/>
    <w:rsid w:val="000D64B5"/>
    <w:rsid w:val="000D7B27"/>
    <w:rsid w:val="000E135D"/>
    <w:rsid w:val="000E3C74"/>
    <w:rsid w:val="000F00BA"/>
    <w:rsid w:val="000F316A"/>
    <w:rsid w:val="000F3C74"/>
    <w:rsid w:val="000F4BB8"/>
    <w:rsid w:val="000F7127"/>
    <w:rsid w:val="00100DB1"/>
    <w:rsid w:val="00100F8A"/>
    <w:rsid w:val="0010115C"/>
    <w:rsid w:val="00101E14"/>
    <w:rsid w:val="00104051"/>
    <w:rsid w:val="00104CD9"/>
    <w:rsid w:val="00105AE2"/>
    <w:rsid w:val="00106B80"/>
    <w:rsid w:val="00106F73"/>
    <w:rsid w:val="00107965"/>
    <w:rsid w:val="001079A0"/>
    <w:rsid w:val="0011032E"/>
    <w:rsid w:val="00110F2B"/>
    <w:rsid w:val="00110FE2"/>
    <w:rsid w:val="00111920"/>
    <w:rsid w:val="00111F0A"/>
    <w:rsid w:val="00112201"/>
    <w:rsid w:val="0011348B"/>
    <w:rsid w:val="00115367"/>
    <w:rsid w:val="00115982"/>
    <w:rsid w:val="00115BAA"/>
    <w:rsid w:val="00116C53"/>
    <w:rsid w:val="00120031"/>
    <w:rsid w:val="00121799"/>
    <w:rsid w:val="001222FC"/>
    <w:rsid w:val="00124822"/>
    <w:rsid w:val="00124A51"/>
    <w:rsid w:val="00126621"/>
    <w:rsid w:val="00127B90"/>
    <w:rsid w:val="00127D22"/>
    <w:rsid w:val="001301E9"/>
    <w:rsid w:val="001304B8"/>
    <w:rsid w:val="00130819"/>
    <w:rsid w:val="00131D82"/>
    <w:rsid w:val="00133D2E"/>
    <w:rsid w:val="00133D36"/>
    <w:rsid w:val="00137645"/>
    <w:rsid w:val="001377E2"/>
    <w:rsid w:val="001379B2"/>
    <w:rsid w:val="0014015A"/>
    <w:rsid w:val="00140E99"/>
    <w:rsid w:val="00143E96"/>
    <w:rsid w:val="00144013"/>
    <w:rsid w:val="00145540"/>
    <w:rsid w:val="001456B0"/>
    <w:rsid w:val="00147510"/>
    <w:rsid w:val="00150230"/>
    <w:rsid w:val="00150ABE"/>
    <w:rsid w:val="00151FB8"/>
    <w:rsid w:val="001548B5"/>
    <w:rsid w:val="00154DC2"/>
    <w:rsid w:val="00156186"/>
    <w:rsid w:val="00157130"/>
    <w:rsid w:val="001576B1"/>
    <w:rsid w:val="0015787B"/>
    <w:rsid w:val="00160A4C"/>
    <w:rsid w:val="00161760"/>
    <w:rsid w:val="0016244F"/>
    <w:rsid w:val="00162913"/>
    <w:rsid w:val="00162CC6"/>
    <w:rsid w:val="00163EFF"/>
    <w:rsid w:val="001661FB"/>
    <w:rsid w:val="00170894"/>
    <w:rsid w:val="00172E68"/>
    <w:rsid w:val="0017304D"/>
    <w:rsid w:val="00173565"/>
    <w:rsid w:val="00173B07"/>
    <w:rsid w:val="0017464A"/>
    <w:rsid w:val="00174C76"/>
    <w:rsid w:val="00176E6E"/>
    <w:rsid w:val="00181D9C"/>
    <w:rsid w:val="00182862"/>
    <w:rsid w:val="001871C7"/>
    <w:rsid w:val="0018752F"/>
    <w:rsid w:val="00190AF7"/>
    <w:rsid w:val="0019374D"/>
    <w:rsid w:val="00195222"/>
    <w:rsid w:val="001952F9"/>
    <w:rsid w:val="0019568F"/>
    <w:rsid w:val="001975D8"/>
    <w:rsid w:val="00197DFA"/>
    <w:rsid w:val="001A1438"/>
    <w:rsid w:val="001A43FA"/>
    <w:rsid w:val="001A465C"/>
    <w:rsid w:val="001A59FB"/>
    <w:rsid w:val="001A6354"/>
    <w:rsid w:val="001A753F"/>
    <w:rsid w:val="001A7AE8"/>
    <w:rsid w:val="001A7E16"/>
    <w:rsid w:val="001B204E"/>
    <w:rsid w:val="001B3443"/>
    <w:rsid w:val="001B3A70"/>
    <w:rsid w:val="001B3D50"/>
    <w:rsid w:val="001B3D5D"/>
    <w:rsid w:val="001B4D20"/>
    <w:rsid w:val="001B69BE"/>
    <w:rsid w:val="001C143E"/>
    <w:rsid w:val="001C2155"/>
    <w:rsid w:val="001C2A9B"/>
    <w:rsid w:val="001C2C6C"/>
    <w:rsid w:val="001C2DF1"/>
    <w:rsid w:val="001C4299"/>
    <w:rsid w:val="001C4DCA"/>
    <w:rsid w:val="001C5F94"/>
    <w:rsid w:val="001C664B"/>
    <w:rsid w:val="001C6B31"/>
    <w:rsid w:val="001C6E66"/>
    <w:rsid w:val="001C755F"/>
    <w:rsid w:val="001D16C2"/>
    <w:rsid w:val="001D1795"/>
    <w:rsid w:val="001D4A47"/>
    <w:rsid w:val="001D4AD5"/>
    <w:rsid w:val="001D574D"/>
    <w:rsid w:val="001E238E"/>
    <w:rsid w:val="001E2483"/>
    <w:rsid w:val="001E2B1E"/>
    <w:rsid w:val="001E30D4"/>
    <w:rsid w:val="001E3C37"/>
    <w:rsid w:val="001E52EB"/>
    <w:rsid w:val="001E5B08"/>
    <w:rsid w:val="001E61D2"/>
    <w:rsid w:val="001E740C"/>
    <w:rsid w:val="001E748A"/>
    <w:rsid w:val="001F1235"/>
    <w:rsid w:val="001F1CB3"/>
    <w:rsid w:val="001F2C22"/>
    <w:rsid w:val="001F38B5"/>
    <w:rsid w:val="001F7361"/>
    <w:rsid w:val="002011B0"/>
    <w:rsid w:val="00201323"/>
    <w:rsid w:val="00203181"/>
    <w:rsid w:val="00203783"/>
    <w:rsid w:val="0020385F"/>
    <w:rsid w:val="002039FB"/>
    <w:rsid w:val="00204F6D"/>
    <w:rsid w:val="00206111"/>
    <w:rsid w:val="00207021"/>
    <w:rsid w:val="0020732F"/>
    <w:rsid w:val="00207D00"/>
    <w:rsid w:val="002104B1"/>
    <w:rsid w:val="002105C1"/>
    <w:rsid w:val="00210FE7"/>
    <w:rsid w:val="00211A12"/>
    <w:rsid w:val="00213ADF"/>
    <w:rsid w:val="00216A59"/>
    <w:rsid w:val="00223B49"/>
    <w:rsid w:val="00223DB0"/>
    <w:rsid w:val="00224DD4"/>
    <w:rsid w:val="00226EF0"/>
    <w:rsid w:val="002309CC"/>
    <w:rsid w:val="0023209F"/>
    <w:rsid w:val="00234D38"/>
    <w:rsid w:val="0023629D"/>
    <w:rsid w:val="00236A9D"/>
    <w:rsid w:val="00236B27"/>
    <w:rsid w:val="00237255"/>
    <w:rsid w:val="00240FC5"/>
    <w:rsid w:val="002411CC"/>
    <w:rsid w:val="002424AF"/>
    <w:rsid w:val="002439DC"/>
    <w:rsid w:val="00244DC8"/>
    <w:rsid w:val="00245788"/>
    <w:rsid w:val="002458BA"/>
    <w:rsid w:val="0024636C"/>
    <w:rsid w:val="00246E36"/>
    <w:rsid w:val="00247925"/>
    <w:rsid w:val="00250844"/>
    <w:rsid w:val="002524FF"/>
    <w:rsid w:val="002541A6"/>
    <w:rsid w:val="00254DCF"/>
    <w:rsid w:val="0025534B"/>
    <w:rsid w:val="002555F7"/>
    <w:rsid w:val="00255BB7"/>
    <w:rsid w:val="00256A7A"/>
    <w:rsid w:val="00257541"/>
    <w:rsid w:val="0026289E"/>
    <w:rsid w:val="00262A1A"/>
    <w:rsid w:val="00262A87"/>
    <w:rsid w:val="00263103"/>
    <w:rsid w:val="00264D26"/>
    <w:rsid w:val="00265264"/>
    <w:rsid w:val="002661B3"/>
    <w:rsid w:val="00267642"/>
    <w:rsid w:val="00267AEA"/>
    <w:rsid w:val="002700E6"/>
    <w:rsid w:val="00271563"/>
    <w:rsid w:val="0027294B"/>
    <w:rsid w:val="00275C5A"/>
    <w:rsid w:val="0027736B"/>
    <w:rsid w:val="00281014"/>
    <w:rsid w:val="00281C73"/>
    <w:rsid w:val="00284269"/>
    <w:rsid w:val="0028630D"/>
    <w:rsid w:val="002914A8"/>
    <w:rsid w:val="0029275A"/>
    <w:rsid w:val="00297698"/>
    <w:rsid w:val="002A14AB"/>
    <w:rsid w:val="002A2F50"/>
    <w:rsid w:val="002A470F"/>
    <w:rsid w:val="002A5BEC"/>
    <w:rsid w:val="002A7D53"/>
    <w:rsid w:val="002B09A4"/>
    <w:rsid w:val="002B186E"/>
    <w:rsid w:val="002B1C1F"/>
    <w:rsid w:val="002B432F"/>
    <w:rsid w:val="002B4BB4"/>
    <w:rsid w:val="002B62B3"/>
    <w:rsid w:val="002B6754"/>
    <w:rsid w:val="002B6CCE"/>
    <w:rsid w:val="002C2510"/>
    <w:rsid w:val="002C2775"/>
    <w:rsid w:val="002C27C1"/>
    <w:rsid w:val="002C5099"/>
    <w:rsid w:val="002C5889"/>
    <w:rsid w:val="002C629E"/>
    <w:rsid w:val="002C643D"/>
    <w:rsid w:val="002C701C"/>
    <w:rsid w:val="002C71CE"/>
    <w:rsid w:val="002C7E63"/>
    <w:rsid w:val="002D01C0"/>
    <w:rsid w:val="002D27B8"/>
    <w:rsid w:val="002D2D9F"/>
    <w:rsid w:val="002D481C"/>
    <w:rsid w:val="002D577C"/>
    <w:rsid w:val="002D698C"/>
    <w:rsid w:val="002D7928"/>
    <w:rsid w:val="002E15B9"/>
    <w:rsid w:val="002E2158"/>
    <w:rsid w:val="002E3642"/>
    <w:rsid w:val="002E3C46"/>
    <w:rsid w:val="002E5354"/>
    <w:rsid w:val="002E7722"/>
    <w:rsid w:val="002F07BA"/>
    <w:rsid w:val="002F0DA9"/>
    <w:rsid w:val="002F2983"/>
    <w:rsid w:val="002F2DFA"/>
    <w:rsid w:val="002F643C"/>
    <w:rsid w:val="002F71C0"/>
    <w:rsid w:val="002F7E90"/>
    <w:rsid w:val="0030008A"/>
    <w:rsid w:val="00301017"/>
    <w:rsid w:val="0030155F"/>
    <w:rsid w:val="0030353B"/>
    <w:rsid w:val="0030516B"/>
    <w:rsid w:val="0030587B"/>
    <w:rsid w:val="00306D98"/>
    <w:rsid w:val="0030786C"/>
    <w:rsid w:val="0031031A"/>
    <w:rsid w:val="00310981"/>
    <w:rsid w:val="00315498"/>
    <w:rsid w:val="003205CD"/>
    <w:rsid w:val="00322107"/>
    <w:rsid w:val="00322846"/>
    <w:rsid w:val="003239D3"/>
    <w:rsid w:val="00323CBB"/>
    <w:rsid w:val="00325F44"/>
    <w:rsid w:val="00326DA7"/>
    <w:rsid w:val="00327062"/>
    <w:rsid w:val="003270E4"/>
    <w:rsid w:val="00327D54"/>
    <w:rsid w:val="0033016C"/>
    <w:rsid w:val="00330F5C"/>
    <w:rsid w:val="003316B7"/>
    <w:rsid w:val="003317EF"/>
    <w:rsid w:val="003323DF"/>
    <w:rsid w:val="00332B56"/>
    <w:rsid w:val="00332C7F"/>
    <w:rsid w:val="003337B2"/>
    <w:rsid w:val="00333814"/>
    <w:rsid w:val="00335CA0"/>
    <w:rsid w:val="003366C9"/>
    <w:rsid w:val="003371B0"/>
    <w:rsid w:val="00337501"/>
    <w:rsid w:val="00340DF1"/>
    <w:rsid w:val="00343EF6"/>
    <w:rsid w:val="0034626C"/>
    <w:rsid w:val="00346D5A"/>
    <w:rsid w:val="00346FAF"/>
    <w:rsid w:val="00350D9E"/>
    <w:rsid w:val="0035123E"/>
    <w:rsid w:val="003517F9"/>
    <w:rsid w:val="00354F65"/>
    <w:rsid w:val="0035517F"/>
    <w:rsid w:val="00355D1B"/>
    <w:rsid w:val="0035620E"/>
    <w:rsid w:val="00357438"/>
    <w:rsid w:val="0036030E"/>
    <w:rsid w:val="0036049F"/>
    <w:rsid w:val="00361E97"/>
    <w:rsid w:val="003624C4"/>
    <w:rsid w:val="00363A78"/>
    <w:rsid w:val="003654AC"/>
    <w:rsid w:val="003654E2"/>
    <w:rsid w:val="003710CF"/>
    <w:rsid w:val="00372219"/>
    <w:rsid w:val="00372B3C"/>
    <w:rsid w:val="00373165"/>
    <w:rsid w:val="0037358A"/>
    <w:rsid w:val="00373A74"/>
    <w:rsid w:val="00374C09"/>
    <w:rsid w:val="003750F6"/>
    <w:rsid w:val="00375E2F"/>
    <w:rsid w:val="003760FC"/>
    <w:rsid w:val="00376E72"/>
    <w:rsid w:val="00380314"/>
    <w:rsid w:val="00382AAC"/>
    <w:rsid w:val="0038365C"/>
    <w:rsid w:val="0038369B"/>
    <w:rsid w:val="0038380F"/>
    <w:rsid w:val="00383B78"/>
    <w:rsid w:val="00383E4D"/>
    <w:rsid w:val="00384599"/>
    <w:rsid w:val="00385A9D"/>
    <w:rsid w:val="00385D6B"/>
    <w:rsid w:val="003902B1"/>
    <w:rsid w:val="00391975"/>
    <w:rsid w:val="00392237"/>
    <w:rsid w:val="00394595"/>
    <w:rsid w:val="00396896"/>
    <w:rsid w:val="00396FD0"/>
    <w:rsid w:val="003A1A7A"/>
    <w:rsid w:val="003A2392"/>
    <w:rsid w:val="003A2831"/>
    <w:rsid w:val="003A2F08"/>
    <w:rsid w:val="003A3659"/>
    <w:rsid w:val="003A3ED1"/>
    <w:rsid w:val="003A4060"/>
    <w:rsid w:val="003A51C1"/>
    <w:rsid w:val="003A52A9"/>
    <w:rsid w:val="003B0E61"/>
    <w:rsid w:val="003B203B"/>
    <w:rsid w:val="003B30BB"/>
    <w:rsid w:val="003B3368"/>
    <w:rsid w:val="003B56CF"/>
    <w:rsid w:val="003B5B61"/>
    <w:rsid w:val="003B6537"/>
    <w:rsid w:val="003B6802"/>
    <w:rsid w:val="003C1341"/>
    <w:rsid w:val="003C1654"/>
    <w:rsid w:val="003C4674"/>
    <w:rsid w:val="003C4C88"/>
    <w:rsid w:val="003C4E6A"/>
    <w:rsid w:val="003C5952"/>
    <w:rsid w:val="003C7D19"/>
    <w:rsid w:val="003D0852"/>
    <w:rsid w:val="003D1418"/>
    <w:rsid w:val="003D1828"/>
    <w:rsid w:val="003D1DE1"/>
    <w:rsid w:val="003D1DE4"/>
    <w:rsid w:val="003D2422"/>
    <w:rsid w:val="003D2BF8"/>
    <w:rsid w:val="003D39A1"/>
    <w:rsid w:val="003D3FBF"/>
    <w:rsid w:val="003D4A30"/>
    <w:rsid w:val="003D79BB"/>
    <w:rsid w:val="003D7C98"/>
    <w:rsid w:val="003E026C"/>
    <w:rsid w:val="003E0543"/>
    <w:rsid w:val="003E2086"/>
    <w:rsid w:val="003E3349"/>
    <w:rsid w:val="003E4F25"/>
    <w:rsid w:val="003F2211"/>
    <w:rsid w:val="003F4156"/>
    <w:rsid w:val="003F6023"/>
    <w:rsid w:val="00400B29"/>
    <w:rsid w:val="004012F3"/>
    <w:rsid w:val="0040341A"/>
    <w:rsid w:val="00404A23"/>
    <w:rsid w:val="0040504B"/>
    <w:rsid w:val="0040590B"/>
    <w:rsid w:val="00405949"/>
    <w:rsid w:val="00410708"/>
    <w:rsid w:val="00410EC7"/>
    <w:rsid w:val="00411415"/>
    <w:rsid w:val="00411B39"/>
    <w:rsid w:val="00412F54"/>
    <w:rsid w:val="00413A1E"/>
    <w:rsid w:val="00414476"/>
    <w:rsid w:val="00414C2E"/>
    <w:rsid w:val="004151CF"/>
    <w:rsid w:val="00416364"/>
    <w:rsid w:val="00416CFF"/>
    <w:rsid w:val="00420AA6"/>
    <w:rsid w:val="00420B9F"/>
    <w:rsid w:val="00421C6C"/>
    <w:rsid w:val="00422260"/>
    <w:rsid w:val="0042413F"/>
    <w:rsid w:val="00424E86"/>
    <w:rsid w:val="0043077A"/>
    <w:rsid w:val="00430DB2"/>
    <w:rsid w:val="004319F8"/>
    <w:rsid w:val="00431E55"/>
    <w:rsid w:val="004321F6"/>
    <w:rsid w:val="00433044"/>
    <w:rsid w:val="004337EC"/>
    <w:rsid w:val="00434410"/>
    <w:rsid w:val="00434852"/>
    <w:rsid w:val="004375B9"/>
    <w:rsid w:val="00440A1E"/>
    <w:rsid w:val="004414EA"/>
    <w:rsid w:val="004428D0"/>
    <w:rsid w:val="00444065"/>
    <w:rsid w:val="004443A7"/>
    <w:rsid w:val="0044442C"/>
    <w:rsid w:val="00444E08"/>
    <w:rsid w:val="004450BE"/>
    <w:rsid w:val="00445941"/>
    <w:rsid w:val="004464EB"/>
    <w:rsid w:val="00447D26"/>
    <w:rsid w:val="00454084"/>
    <w:rsid w:val="004540A6"/>
    <w:rsid w:val="00455065"/>
    <w:rsid w:val="0045522A"/>
    <w:rsid w:val="00455BD0"/>
    <w:rsid w:val="00455D45"/>
    <w:rsid w:val="004563EB"/>
    <w:rsid w:val="00456E5D"/>
    <w:rsid w:val="00457E12"/>
    <w:rsid w:val="00461A20"/>
    <w:rsid w:val="004639B8"/>
    <w:rsid w:val="00464595"/>
    <w:rsid w:val="00464AA2"/>
    <w:rsid w:val="004662A0"/>
    <w:rsid w:val="004676FC"/>
    <w:rsid w:val="00472A79"/>
    <w:rsid w:val="00473800"/>
    <w:rsid w:val="00473F19"/>
    <w:rsid w:val="00474EF4"/>
    <w:rsid w:val="00475772"/>
    <w:rsid w:val="00475E22"/>
    <w:rsid w:val="0048088E"/>
    <w:rsid w:val="00481059"/>
    <w:rsid w:val="00482720"/>
    <w:rsid w:val="00483409"/>
    <w:rsid w:val="004835E7"/>
    <w:rsid w:val="00483D1A"/>
    <w:rsid w:val="00483DFA"/>
    <w:rsid w:val="00485604"/>
    <w:rsid w:val="00486756"/>
    <w:rsid w:val="004867E2"/>
    <w:rsid w:val="00490408"/>
    <w:rsid w:val="00491B3A"/>
    <w:rsid w:val="004925FA"/>
    <w:rsid w:val="00492CFD"/>
    <w:rsid w:val="00494DD5"/>
    <w:rsid w:val="0049540A"/>
    <w:rsid w:val="00495F2F"/>
    <w:rsid w:val="004962D2"/>
    <w:rsid w:val="004A0DA1"/>
    <w:rsid w:val="004A1AA0"/>
    <w:rsid w:val="004A4ECB"/>
    <w:rsid w:val="004A52E9"/>
    <w:rsid w:val="004A6597"/>
    <w:rsid w:val="004A74EC"/>
    <w:rsid w:val="004A7848"/>
    <w:rsid w:val="004B1CB4"/>
    <w:rsid w:val="004B2093"/>
    <w:rsid w:val="004B2F18"/>
    <w:rsid w:val="004B3DDB"/>
    <w:rsid w:val="004B44FD"/>
    <w:rsid w:val="004B4BD2"/>
    <w:rsid w:val="004B5CFC"/>
    <w:rsid w:val="004B774D"/>
    <w:rsid w:val="004B7B9A"/>
    <w:rsid w:val="004C0D98"/>
    <w:rsid w:val="004C0DC5"/>
    <w:rsid w:val="004C13A7"/>
    <w:rsid w:val="004C16B0"/>
    <w:rsid w:val="004C4AED"/>
    <w:rsid w:val="004D1C86"/>
    <w:rsid w:val="004D233C"/>
    <w:rsid w:val="004D2C2D"/>
    <w:rsid w:val="004D570B"/>
    <w:rsid w:val="004D7227"/>
    <w:rsid w:val="004D77D6"/>
    <w:rsid w:val="004D7C46"/>
    <w:rsid w:val="004D7D7D"/>
    <w:rsid w:val="004E0E7F"/>
    <w:rsid w:val="004E0EB8"/>
    <w:rsid w:val="004E217E"/>
    <w:rsid w:val="004E2ADC"/>
    <w:rsid w:val="004E2FC9"/>
    <w:rsid w:val="004E43B2"/>
    <w:rsid w:val="004F0855"/>
    <w:rsid w:val="004F1178"/>
    <w:rsid w:val="004F1D02"/>
    <w:rsid w:val="004F2679"/>
    <w:rsid w:val="004F2F21"/>
    <w:rsid w:val="004F310E"/>
    <w:rsid w:val="004F34D4"/>
    <w:rsid w:val="004F4C7B"/>
    <w:rsid w:val="004F64C5"/>
    <w:rsid w:val="004F6913"/>
    <w:rsid w:val="004F7865"/>
    <w:rsid w:val="0050155E"/>
    <w:rsid w:val="0050219B"/>
    <w:rsid w:val="00502F80"/>
    <w:rsid w:val="00503F17"/>
    <w:rsid w:val="00504812"/>
    <w:rsid w:val="005063D8"/>
    <w:rsid w:val="00506928"/>
    <w:rsid w:val="00506ECD"/>
    <w:rsid w:val="0050782C"/>
    <w:rsid w:val="00507831"/>
    <w:rsid w:val="00510D8C"/>
    <w:rsid w:val="005114E9"/>
    <w:rsid w:val="0051200B"/>
    <w:rsid w:val="00512769"/>
    <w:rsid w:val="005152B5"/>
    <w:rsid w:val="00521227"/>
    <w:rsid w:val="00521319"/>
    <w:rsid w:val="0052262C"/>
    <w:rsid w:val="00522BC8"/>
    <w:rsid w:val="005231BE"/>
    <w:rsid w:val="00523C28"/>
    <w:rsid w:val="00525CB4"/>
    <w:rsid w:val="00531BEF"/>
    <w:rsid w:val="00532209"/>
    <w:rsid w:val="00532240"/>
    <w:rsid w:val="00532D5F"/>
    <w:rsid w:val="00533E9E"/>
    <w:rsid w:val="00534B89"/>
    <w:rsid w:val="00536E8E"/>
    <w:rsid w:val="00536F42"/>
    <w:rsid w:val="00537182"/>
    <w:rsid w:val="00537255"/>
    <w:rsid w:val="00542743"/>
    <w:rsid w:val="00542C2D"/>
    <w:rsid w:val="00542FA8"/>
    <w:rsid w:val="005438F9"/>
    <w:rsid w:val="00547897"/>
    <w:rsid w:val="00551296"/>
    <w:rsid w:val="00551985"/>
    <w:rsid w:val="00552BD3"/>
    <w:rsid w:val="00555109"/>
    <w:rsid w:val="005573C0"/>
    <w:rsid w:val="00560FB0"/>
    <w:rsid w:val="005635A7"/>
    <w:rsid w:val="0056473D"/>
    <w:rsid w:val="00564B5A"/>
    <w:rsid w:val="0056696F"/>
    <w:rsid w:val="00570145"/>
    <w:rsid w:val="00572269"/>
    <w:rsid w:val="0057244A"/>
    <w:rsid w:val="00572AE5"/>
    <w:rsid w:val="00574A79"/>
    <w:rsid w:val="00575D8D"/>
    <w:rsid w:val="00576972"/>
    <w:rsid w:val="005778A3"/>
    <w:rsid w:val="00581853"/>
    <w:rsid w:val="00582EF8"/>
    <w:rsid w:val="005830C2"/>
    <w:rsid w:val="00583699"/>
    <w:rsid w:val="00585CDD"/>
    <w:rsid w:val="00586EC6"/>
    <w:rsid w:val="00587058"/>
    <w:rsid w:val="00587616"/>
    <w:rsid w:val="00591957"/>
    <w:rsid w:val="00595B08"/>
    <w:rsid w:val="00597BF9"/>
    <w:rsid w:val="005A131F"/>
    <w:rsid w:val="005A32CF"/>
    <w:rsid w:val="005A373D"/>
    <w:rsid w:val="005A44C9"/>
    <w:rsid w:val="005A784E"/>
    <w:rsid w:val="005B0F1E"/>
    <w:rsid w:val="005B134D"/>
    <w:rsid w:val="005B1BD3"/>
    <w:rsid w:val="005B301F"/>
    <w:rsid w:val="005B379A"/>
    <w:rsid w:val="005B5857"/>
    <w:rsid w:val="005B6631"/>
    <w:rsid w:val="005B6680"/>
    <w:rsid w:val="005B7711"/>
    <w:rsid w:val="005B7C7F"/>
    <w:rsid w:val="005C1B83"/>
    <w:rsid w:val="005C2D55"/>
    <w:rsid w:val="005C346B"/>
    <w:rsid w:val="005D044D"/>
    <w:rsid w:val="005D0ABD"/>
    <w:rsid w:val="005D18AD"/>
    <w:rsid w:val="005D1CC5"/>
    <w:rsid w:val="005D26B4"/>
    <w:rsid w:val="005D596F"/>
    <w:rsid w:val="005D6FF2"/>
    <w:rsid w:val="005E0A40"/>
    <w:rsid w:val="005E1A58"/>
    <w:rsid w:val="005E1F92"/>
    <w:rsid w:val="005E30FE"/>
    <w:rsid w:val="005E6CBC"/>
    <w:rsid w:val="005E73C0"/>
    <w:rsid w:val="005E7548"/>
    <w:rsid w:val="005E7A8E"/>
    <w:rsid w:val="005F0477"/>
    <w:rsid w:val="005F1205"/>
    <w:rsid w:val="005F2706"/>
    <w:rsid w:val="005F5BB5"/>
    <w:rsid w:val="005F6A8F"/>
    <w:rsid w:val="005F6E85"/>
    <w:rsid w:val="005F75CA"/>
    <w:rsid w:val="00603DB9"/>
    <w:rsid w:val="00604750"/>
    <w:rsid w:val="00604FF7"/>
    <w:rsid w:val="00606D26"/>
    <w:rsid w:val="00607669"/>
    <w:rsid w:val="00607AFD"/>
    <w:rsid w:val="00612017"/>
    <w:rsid w:val="006123D0"/>
    <w:rsid w:val="00612F97"/>
    <w:rsid w:val="0061345D"/>
    <w:rsid w:val="00613A40"/>
    <w:rsid w:val="00616802"/>
    <w:rsid w:val="00617E12"/>
    <w:rsid w:val="00621477"/>
    <w:rsid w:val="00622DA4"/>
    <w:rsid w:val="006233FC"/>
    <w:rsid w:val="0062437A"/>
    <w:rsid w:val="00627392"/>
    <w:rsid w:val="006276FC"/>
    <w:rsid w:val="0063158F"/>
    <w:rsid w:val="00631D6B"/>
    <w:rsid w:val="00632B89"/>
    <w:rsid w:val="006330A1"/>
    <w:rsid w:val="0063479F"/>
    <w:rsid w:val="0063528D"/>
    <w:rsid w:val="006353F0"/>
    <w:rsid w:val="006364A1"/>
    <w:rsid w:val="00637BFD"/>
    <w:rsid w:val="00637D02"/>
    <w:rsid w:val="006409D2"/>
    <w:rsid w:val="00641C4E"/>
    <w:rsid w:val="00641F0B"/>
    <w:rsid w:val="006471CC"/>
    <w:rsid w:val="00647248"/>
    <w:rsid w:val="00647265"/>
    <w:rsid w:val="0065079F"/>
    <w:rsid w:val="006514E4"/>
    <w:rsid w:val="0065379F"/>
    <w:rsid w:val="00656829"/>
    <w:rsid w:val="00657F0A"/>
    <w:rsid w:val="00660547"/>
    <w:rsid w:val="00660E3D"/>
    <w:rsid w:val="00661C6B"/>
    <w:rsid w:val="00661ECC"/>
    <w:rsid w:val="00663E3B"/>
    <w:rsid w:val="00665EEE"/>
    <w:rsid w:val="00666759"/>
    <w:rsid w:val="00670070"/>
    <w:rsid w:val="0067073F"/>
    <w:rsid w:val="00670B26"/>
    <w:rsid w:val="00672D1E"/>
    <w:rsid w:val="00674E42"/>
    <w:rsid w:val="00675245"/>
    <w:rsid w:val="00682112"/>
    <w:rsid w:val="00684DE7"/>
    <w:rsid w:val="00685B4B"/>
    <w:rsid w:val="00686957"/>
    <w:rsid w:val="006872BA"/>
    <w:rsid w:val="00691648"/>
    <w:rsid w:val="006917D7"/>
    <w:rsid w:val="00693B74"/>
    <w:rsid w:val="00694F44"/>
    <w:rsid w:val="00695223"/>
    <w:rsid w:val="006961BA"/>
    <w:rsid w:val="00697EDC"/>
    <w:rsid w:val="006A1EB5"/>
    <w:rsid w:val="006A2BD9"/>
    <w:rsid w:val="006A3942"/>
    <w:rsid w:val="006A526A"/>
    <w:rsid w:val="006A53A5"/>
    <w:rsid w:val="006A5B5A"/>
    <w:rsid w:val="006A6511"/>
    <w:rsid w:val="006A763D"/>
    <w:rsid w:val="006A76FA"/>
    <w:rsid w:val="006A7E5F"/>
    <w:rsid w:val="006A7FF9"/>
    <w:rsid w:val="006B010F"/>
    <w:rsid w:val="006B1608"/>
    <w:rsid w:val="006B261B"/>
    <w:rsid w:val="006B2977"/>
    <w:rsid w:val="006B2C90"/>
    <w:rsid w:val="006B434E"/>
    <w:rsid w:val="006B61CC"/>
    <w:rsid w:val="006B6DD0"/>
    <w:rsid w:val="006C0368"/>
    <w:rsid w:val="006C1A6B"/>
    <w:rsid w:val="006C2A8E"/>
    <w:rsid w:val="006C3F25"/>
    <w:rsid w:val="006C7F94"/>
    <w:rsid w:val="006D279A"/>
    <w:rsid w:val="006D3C7D"/>
    <w:rsid w:val="006D4885"/>
    <w:rsid w:val="006D5D5F"/>
    <w:rsid w:val="006D66A6"/>
    <w:rsid w:val="006D74C6"/>
    <w:rsid w:val="006D7E46"/>
    <w:rsid w:val="006E01E0"/>
    <w:rsid w:val="006E34C2"/>
    <w:rsid w:val="006E407E"/>
    <w:rsid w:val="006F2AE4"/>
    <w:rsid w:val="006F306C"/>
    <w:rsid w:val="006F4D19"/>
    <w:rsid w:val="006F63A5"/>
    <w:rsid w:val="0070142B"/>
    <w:rsid w:val="007014FF"/>
    <w:rsid w:val="0070276E"/>
    <w:rsid w:val="00702F8F"/>
    <w:rsid w:val="00710CEE"/>
    <w:rsid w:val="0071124B"/>
    <w:rsid w:val="00711A36"/>
    <w:rsid w:val="0071227B"/>
    <w:rsid w:val="00713051"/>
    <w:rsid w:val="00713BB2"/>
    <w:rsid w:val="0071529C"/>
    <w:rsid w:val="007172AD"/>
    <w:rsid w:val="0072030E"/>
    <w:rsid w:val="007219A8"/>
    <w:rsid w:val="00722B1B"/>
    <w:rsid w:val="0072367F"/>
    <w:rsid w:val="0072416F"/>
    <w:rsid w:val="0072417E"/>
    <w:rsid w:val="00727C94"/>
    <w:rsid w:val="007301D3"/>
    <w:rsid w:val="007308E2"/>
    <w:rsid w:val="00731969"/>
    <w:rsid w:val="00731EAE"/>
    <w:rsid w:val="00735033"/>
    <w:rsid w:val="00735328"/>
    <w:rsid w:val="00735CBA"/>
    <w:rsid w:val="00735DC5"/>
    <w:rsid w:val="0073685B"/>
    <w:rsid w:val="00751487"/>
    <w:rsid w:val="007515CB"/>
    <w:rsid w:val="00752142"/>
    <w:rsid w:val="007523F9"/>
    <w:rsid w:val="007545DA"/>
    <w:rsid w:val="007573E8"/>
    <w:rsid w:val="0075765B"/>
    <w:rsid w:val="00760C4E"/>
    <w:rsid w:val="0076117E"/>
    <w:rsid w:val="007611FF"/>
    <w:rsid w:val="00763048"/>
    <w:rsid w:val="00763E36"/>
    <w:rsid w:val="00765B1A"/>
    <w:rsid w:val="00766614"/>
    <w:rsid w:val="00770FD9"/>
    <w:rsid w:val="00773203"/>
    <w:rsid w:val="00775BA9"/>
    <w:rsid w:val="0078065B"/>
    <w:rsid w:val="0078078F"/>
    <w:rsid w:val="0078176D"/>
    <w:rsid w:val="0078360B"/>
    <w:rsid w:val="007843F2"/>
    <w:rsid w:val="00786CEB"/>
    <w:rsid w:val="00786E2B"/>
    <w:rsid w:val="00790542"/>
    <w:rsid w:val="00791ADE"/>
    <w:rsid w:val="007943F4"/>
    <w:rsid w:val="007A07B0"/>
    <w:rsid w:val="007A0A12"/>
    <w:rsid w:val="007A132D"/>
    <w:rsid w:val="007A2902"/>
    <w:rsid w:val="007A4A40"/>
    <w:rsid w:val="007A69AB"/>
    <w:rsid w:val="007B0B6E"/>
    <w:rsid w:val="007B0D68"/>
    <w:rsid w:val="007B1DD1"/>
    <w:rsid w:val="007B251D"/>
    <w:rsid w:val="007B2A94"/>
    <w:rsid w:val="007B4F58"/>
    <w:rsid w:val="007B528D"/>
    <w:rsid w:val="007B5619"/>
    <w:rsid w:val="007B773A"/>
    <w:rsid w:val="007B77D1"/>
    <w:rsid w:val="007C0428"/>
    <w:rsid w:val="007C055D"/>
    <w:rsid w:val="007C06E8"/>
    <w:rsid w:val="007C10DA"/>
    <w:rsid w:val="007C1CD9"/>
    <w:rsid w:val="007C2B92"/>
    <w:rsid w:val="007C361D"/>
    <w:rsid w:val="007C36AB"/>
    <w:rsid w:val="007C4B84"/>
    <w:rsid w:val="007C7DAA"/>
    <w:rsid w:val="007D004F"/>
    <w:rsid w:val="007D0426"/>
    <w:rsid w:val="007D0B38"/>
    <w:rsid w:val="007D3371"/>
    <w:rsid w:val="007D5217"/>
    <w:rsid w:val="007D5440"/>
    <w:rsid w:val="007D5B71"/>
    <w:rsid w:val="007E000F"/>
    <w:rsid w:val="007E1659"/>
    <w:rsid w:val="007E34A0"/>
    <w:rsid w:val="007E38D9"/>
    <w:rsid w:val="007E50FE"/>
    <w:rsid w:val="007F1017"/>
    <w:rsid w:val="007F135D"/>
    <w:rsid w:val="007F3D7A"/>
    <w:rsid w:val="007F4A3F"/>
    <w:rsid w:val="007F4A61"/>
    <w:rsid w:val="007F61C2"/>
    <w:rsid w:val="0080382A"/>
    <w:rsid w:val="00804755"/>
    <w:rsid w:val="00805142"/>
    <w:rsid w:val="00806142"/>
    <w:rsid w:val="00807A8B"/>
    <w:rsid w:val="00807F1F"/>
    <w:rsid w:val="00811383"/>
    <w:rsid w:val="00811F4D"/>
    <w:rsid w:val="00812149"/>
    <w:rsid w:val="00812CAC"/>
    <w:rsid w:val="00813ADC"/>
    <w:rsid w:val="008159C0"/>
    <w:rsid w:val="008166EF"/>
    <w:rsid w:val="00817086"/>
    <w:rsid w:val="008172F1"/>
    <w:rsid w:val="0082135A"/>
    <w:rsid w:val="008243A3"/>
    <w:rsid w:val="00824A4A"/>
    <w:rsid w:val="00825751"/>
    <w:rsid w:val="008264EB"/>
    <w:rsid w:val="008300DE"/>
    <w:rsid w:val="008318AE"/>
    <w:rsid w:val="00833B05"/>
    <w:rsid w:val="008362B4"/>
    <w:rsid w:val="008376AE"/>
    <w:rsid w:val="00840CA2"/>
    <w:rsid w:val="0084123B"/>
    <w:rsid w:val="00841FA6"/>
    <w:rsid w:val="0084313D"/>
    <w:rsid w:val="0084374F"/>
    <w:rsid w:val="008440E6"/>
    <w:rsid w:val="00847DF5"/>
    <w:rsid w:val="00851E4C"/>
    <w:rsid w:val="008526DF"/>
    <w:rsid w:val="0085281A"/>
    <w:rsid w:val="0085309D"/>
    <w:rsid w:val="00853557"/>
    <w:rsid w:val="0085657D"/>
    <w:rsid w:val="00856897"/>
    <w:rsid w:val="00856E9A"/>
    <w:rsid w:val="00857CFF"/>
    <w:rsid w:val="0086075D"/>
    <w:rsid w:val="00862502"/>
    <w:rsid w:val="00863F7B"/>
    <w:rsid w:val="008660D4"/>
    <w:rsid w:val="00867E82"/>
    <w:rsid w:val="008703CB"/>
    <w:rsid w:val="00871FA9"/>
    <w:rsid w:val="008728E9"/>
    <w:rsid w:val="00880674"/>
    <w:rsid w:val="0088223A"/>
    <w:rsid w:val="00882874"/>
    <w:rsid w:val="00882FD2"/>
    <w:rsid w:val="008832B3"/>
    <w:rsid w:val="00883787"/>
    <w:rsid w:val="008847C2"/>
    <w:rsid w:val="0088516C"/>
    <w:rsid w:val="00886CD2"/>
    <w:rsid w:val="00890C54"/>
    <w:rsid w:val="008913C2"/>
    <w:rsid w:val="008920D4"/>
    <w:rsid w:val="00892A36"/>
    <w:rsid w:val="00893239"/>
    <w:rsid w:val="00893DB0"/>
    <w:rsid w:val="00894489"/>
    <w:rsid w:val="008963A5"/>
    <w:rsid w:val="00897FCF"/>
    <w:rsid w:val="008A218D"/>
    <w:rsid w:val="008A3151"/>
    <w:rsid w:val="008A3363"/>
    <w:rsid w:val="008A3371"/>
    <w:rsid w:val="008A35C0"/>
    <w:rsid w:val="008A3C3E"/>
    <w:rsid w:val="008A79DE"/>
    <w:rsid w:val="008B0A09"/>
    <w:rsid w:val="008B1757"/>
    <w:rsid w:val="008B638E"/>
    <w:rsid w:val="008B7CFF"/>
    <w:rsid w:val="008B7D7E"/>
    <w:rsid w:val="008C0CCB"/>
    <w:rsid w:val="008C1CD2"/>
    <w:rsid w:val="008C3BF6"/>
    <w:rsid w:val="008C5BF0"/>
    <w:rsid w:val="008C5F13"/>
    <w:rsid w:val="008C7ECB"/>
    <w:rsid w:val="008D01A7"/>
    <w:rsid w:val="008D19DC"/>
    <w:rsid w:val="008D2085"/>
    <w:rsid w:val="008D4755"/>
    <w:rsid w:val="008D4C3D"/>
    <w:rsid w:val="008D74D7"/>
    <w:rsid w:val="008E0D3C"/>
    <w:rsid w:val="008E10A9"/>
    <w:rsid w:val="008E1B9E"/>
    <w:rsid w:val="008E55AB"/>
    <w:rsid w:val="008E73BE"/>
    <w:rsid w:val="008F0DB7"/>
    <w:rsid w:val="008F120A"/>
    <w:rsid w:val="008F27E0"/>
    <w:rsid w:val="008F30A7"/>
    <w:rsid w:val="008F30F4"/>
    <w:rsid w:val="008F48EB"/>
    <w:rsid w:val="008F4F0B"/>
    <w:rsid w:val="008F61EB"/>
    <w:rsid w:val="008F6E37"/>
    <w:rsid w:val="008F7E00"/>
    <w:rsid w:val="00900431"/>
    <w:rsid w:val="00902CDC"/>
    <w:rsid w:val="0090423E"/>
    <w:rsid w:val="009046C4"/>
    <w:rsid w:val="009062A5"/>
    <w:rsid w:val="00911272"/>
    <w:rsid w:val="009135D6"/>
    <w:rsid w:val="00914C77"/>
    <w:rsid w:val="009174AF"/>
    <w:rsid w:val="0092369B"/>
    <w:rsid w:val="00923732"/>
    <w:rsid w:val="009263BB"/>
    <w:rsid w:val="00926726"/>
    <w:rsid w:val="00931A0B"/>
    <w:rsid w:val="0093259D"/>
    <w:rsid w:val="009370EB"/>
    <w:rsid w:val="00941EFA"/>
    <w:rsid w:val="009421D2"/>
    <w:rsid w:val="00946780"/>
    <w:rsid w:val="00946B0D"/>
    <w:rsid w:val="009471C5"/>
    <w:rsid w:val="0094782F"/>
    <w:rsid w:val="009510A2"/>
    <w:rsid w:val="00953257"/>
    <w:rsid w:val="0096150C"/>
    <w:rsid w:val="00962AAA"/>
    <w:rsid w:val="00962CB9"/>
    <w:rsid w:val="00964312"/>
    <w:rsid w:val="009647F1"/>
    <w:rsid w:val="00965B8A"/>
    <w:rsid w:val="009717AC"/>
    <w:rsid w:val="00973000"/>
    <w:rsid w:val="00973B95"/>
    <w:rsid w:val="009764A1"/>
    <w:rsid w:val="00977EB7"/>
    <w:rsid w:val="00981A83"/>
    <w:rsid w:val="009824D7"/>
    <w:rsid w:val="00983E57"/>
    <w:rsid w:val="00984509"/>
    <w:rsid w:val="00984FFB"/>
    <w:rsid w:val="00985350"/>
    <w:rsid w:val="0098675D"/>
    <w:rsid w:val="00987A9C"/>
    <w:rsid w:val="00992CFB"/>
    <w:rsid w:val="00993F0E"/>
    <w:rsid w:val="00994A51"/>
    <w:rsid w:val="00994E4C"/>
    <w:rsid w:val="009950DD"/>
    <w:rsid w:val="00995152"/>
    <w:rsid w:val="00996B1A"/>
    <w:rsid w:val="009A3BE9"/>
    <w:rsid w:val="009A5E7F"/>
    <w:rsid w:val="009A7F10"/>
    <w:rsid w:val="009B3224"/>
    <w:rsid w:val="009B3B88"/>
    <w:rsid w:val="009B3E26"/>
    <w:rsid w:val="009B42A3"/>
    <w:rsid w:val="009B6DD0"/>
    <w:rsid w:val="009C130E"/>
    <w:rsid w:val="009C224B"/>
    <w:rsid w:val="009C298B"/>
    <w:rsid w:val="009C4072"/>
    <w:rsid w:val="009C696D"/>
    <w:rsid w:val="009C6CEA"/>
    <w:rsid w:val="009C7B85"/>
    <w:rsid w:val="009D0CE6"/>
    <w:rsid w:val="009D253D"/>
    <w:rsid w:val="009D5B91"/>
    <w:rsid w:val="009D792E"/>
    <w:rsid w:val="009D7940"/>
    <w:rsid w:val="009E0DFE"/>
    <w:rsid w:val="009E2929"/>
    <w:rsid w:val="009E4C07"/>
    <w:rsid w:val="009E69B1"/>
    <w:rsid w:val="009F048C"/>
    <w:rsid w:val="009F4627"/>
    <w:rsid w:val="009F7D1D"/>
    <w:rsid w:val="00A01184"/>
    <w:rsid w:val="00A02E4B"/>
    <w:rsid w:val="00A036D4"/>
    <w:rsid w:val="00A03D43"/>
    <w:rsid w:val="00A040FF"/>
    <w:rsid w:val="00A04380"/>
    <w:rsid w:val="00A11CD0"/>
    <w:rsid w:val="00A1226C"/>
    <w:rsid w:val="00A13948"/>
    <w:rsid w:val="00A1555B"/>
    <w:rsid w:val="00A155C5"/>
    <w:rsid w:val="00A15B71"/>
    <w:rsid w:val="00A16AD8"/>
    <w:rsid w:val="00A2147E"/>
    <w:rsid w:val="00A21CF3"/>
    <w:rsid w:val="00A21D87"/>
    <w:rsid w:val="00A2328D"/>
    <w:rsid w:val="00A25BA9"/>
    <w:rsid w:val="00A267AF"/>
    <w:rsid w:val="00A2735F"/>
    <w:rsid w:val="00A27AEC"/>
    <w:rsid w:val="00A30407"/>
    <w:rsid w:val="00A320DB"/>
    <w:rsid w:val="00A33470"/>
    <w:rsid w:val="00A34F67"/>
    <w:rsid w:val="00A355A1"/>
    <w:rsid w:val="00A35D16"/>
    <w:rsid w:val="00A37BCD"/>
    <w:rsid w:val="00A43C59"/>
    <w:rsid w:val="00A440BD"/>
    <w:rsid w:val="00A45C3A"/>
    <w:rsid w:val="00A47255"/>
    <w:rsid w:val="00A47A18"/>
    <w:rsid w:val="00A50ECD"/>
    <w:rsid w:val="00A518F3"/>
    <w:rsid w:val="00A52729"/>
    <w:rsid w:val="00A53675"/>
    <w:rsid w:val="00A55BA5"/>
    <w:rsid w:val="00A55DFD"/>
    <w:rsid w:val="00A562CF"/>
    <w:rsid w:val="00A564D7"/>
    <w:rsid w:val="00A566D5"/>
    <w:rsid w:val="00A56B6A"/>
    <w:rsid w:val="00A573B2"/>
    <w:rsid w:val="00A578DC"/>
    <w:rsid w:val="00A62248"/>
    <w:rsid w:val="00A624B4"/>
    <w:rsid w:val="00A62D28"/>
    <w:rsid w:val="00A633EE"/>
    <w:rsid w:val="00A64BDC"/>
    <w:rsid w:val="00A668EC"/>
    <w:rsid w:val="00A6716C"/>
    <w:rsid w:val="00A6725B"/>
    <w:rsid w:val="00A705C3"/>
    <w:rsid w:val="00A70605"/>
    <w:rsid w:val="00A73134"/>
    <w:rsid w:val="00A738A9"/>
    <w:rsid w:val="00A745A5"/>
    <w:rsid w:val="00A74B8A"/>
    <w:rsid w:val="00A751E4"/>
    <w:rsid w:val="00A752D7"/>
    <w:rsid w:val="00A777B2"/>
    <w:rsid w:val="00A804D9"/>
    <w:rsid w:val="00A81CD5"/>
    <w:rsid w:val="00A86E8B"/>
    <w:rsid w:val="00A87164"/>
    <w:rsid w:val="00A917F1"/>
    <w:rsid w:val="00A93072"/>
    <w:rsid w:val="00A93905"/>
    <w:rsid w:val="00A93953"/>
    <w:rsid w:val="00A956F7"/>
    <w:rsid w:val="00A959D8"/>
    <w:rsid w:val="00A97C05"/>
    <w:rsid w:val="00AA113D"/>
    <w:rsid w:val="00AA24A0"/>
    <w:rsid w:val="00AA6C7D"/>
    <w:rsid w:val="00AA7E87"/>
    <w:rsid w:val="00AA7FD6"/>
    <w:rsid w:val="00AB042A"/>
    <w:rsid w:val="00AB2D34"/>
    <w:rsid w:val="00AB3430"/>
    <w:rsid w:val="00AB4AD1"/>
    <w:rsid w:val="00AB680F"/>
    <w:rsid w:val="00AB74BA"/>
    <w:rsid w:val="00AB7CFA"/>
    <w:rsid w:val="00AC30A2"/>
    <w:rsid w:val="00AC5B48"/>
    <w:rsid w:val="00AD2195"/>
    <w:rsid w:val="00AD30FA"/>
    <w:rsid w:val="00AD6502"/>
    <w:rsid w:val="00AE0534"/>
    <w:rsid w:val="00AE1546"/>
    <w:rsid w:val="00AE23D8"/>
    <w:rsid w:val="00AF0BC6"/>
    <w:rsid w:val="00AF1315"/>
    <w:rsid w:val="00AF19BF"/>
    <w:rsid w:val="00AF29E1"/>
    <w:rsid w:val="00AF2DC3"/>
    <w:rsid w:val="00AF6EE8"/>
    <w:rsid w:val="00AF7183"/>
    <w:rsid w:val="00B01B80"/>
    <w:rsid w:val="00B033E5"/>
    <w:rsid w:val="00B03A63"/>
    <w:rsid w:val="00B04F36"/>
    <w:rsid w:val="00B12DED"/>
    <w:rsid w:val="00B17DAC"/>
    <w:rsid w:val="00B17F10"/>
    <w:rsid w:val="00B201A4"/>
    <w:rsid w:val="00B213A6"/>
    <w:rsid w:val="00B24DF6"/>
    <w:rsid w:val="00B2559C"/>
    <w:rsid w:val="00B279EA"/>
    <w:rsid w:val="00B3043C"/>
    <w:rsid w:val="00B31620"/>
    <w:rsid w:val="00B34FE2"/>
    <w:rsid w:val="00B352B4"/>
    <w:rsid w:val="00B355AC"/>
    <w:rsid w:val="00B357D8"/>
    <w:rsid w:val="00B36D79"/>
    <w:rsid w:val="00B37571"/>
    <w:rsid w:val="00B377A0"/>
    <w:rsid w:val="00B37BFC"/>
    <w:rsid w:val="00B40358"/>
    <w:rsid w:val="00B41614"/>
    <w:rsid w:val="00B42851"/>
    <w:rsid w:val="00B42F80"/>
    <w:rsid w:val="00B435CB"/>
    <w:rsid w:val="00B44844"/>
    <w:rsid w:val="00B44941"/>
    <w:rsid w:val="00B50DB8"/>
    <w:rsid w:val="00B51994"/>
    <w:rsid w:val="00B529CF"/>
    <w:rsid w:val="00B53654"/>
    <w:rsid w:val="00B53905"/>
    <w:rsid w:val="00B54B5B"/>
    <w:rsid w:val="00B5562E"/>
    <w:rsid w:val="00B5679C"/>
    <w:rsid w:val="00B57000"/>
    <w:rsid w:val="00B60939"/>
    <w:rsid w:val="00B60AFD"/>
    <w:rsid w:val="00B62715"/>
    <w:rsid w:val="00B66AA1"/>
    <w:rsid w:val="00B71510"/>
    <w:rsid w:val="00B722DF"/>
    <w:rsid w:val="00B73D31"/>
    <w:rsid w:val="00B74F37"/>
    <w:rsid w:val="00B75353"/>
    <w:rsid w:val="00B80DE4"/>
    <w:rsid w:val="00B818A4"/>
    <w:rsid w:val="00B81E52"/>
    <w:rsid w:val="00B82C1F"/>
    <w:rsid w:val="00B8304E"/>
    <w:rsid w:val="00B833BF"/>
    <w:rsid w:val="00B84117"/>
    <w:rsid w:val="00B85AA2"/>
    <w:rsid w:val="00B8649C"/>
    <w:rsid w:val="00B86D46"/>
    <w:rsid w:val="00B87F0A"/>
    <w:rsid w:val="00B92CC2"/>
    <w:rsid w:val="00B92D0B"/>
    <w:rsid w:val="00B94722"/>
    <w:rsid w:val="00B94945"/>
    <w:rsid w:val="00B94A54"/>
    <w:rsid w:val="00B9588A"/>
    <w:rsid w:val="00B9713C"/>
    <w:rsid w:val="00BA322D"/>
    <w:rsid w:val="00BA4654"/>
    <w:rsid w:val="00BA7F95"/>
    <w:rsid w:val="00BB0BDD"/>
    <w:rsid w:val="00BB2374"/>
    <w:rsid w:val="00BB2A73"/>
    <w:rsid w:val="00BB390E"/>
    <w:rsid w:val="00BB4ACC"/>
    <w:rsid w:val="00BB66CA"/>
    <w:rsid w:val="00BB703E"/>
    <w:rsid w:val="00BB7405"/>
    <w:rsid w:val="00BB78F0"/>
    <w:rsid w:val="00BC075A"/>
    <w:rsid w:val="00BC3631"/>
    <w:rsid w:val="00BC6D91"/>
    <w:rsid w:val="00BD0D47"/>
    <w:rsid w:val="00BD124F"/>
    <w:rsid w:val="00BD4315"/>
    <w:rsid w:val="00BD5FA3"/>
    <w:rsid w:val="00BD68A3"/>
    <w:rsid w:val="00BD6938"/>
    <w:rsid w:val="00BD6CF3"/>
    <w:rsid w:val="00BE2180"/>
    <w:rsid w:val="00BE21F2"/>
    <w:rsid w:val="00BE2793"/>
    <w:rsid w:val="00BE4275"/>
    <w:rsid w:val="00BE70EE"/>
    <w:rsid w:val="00BF09AA"/>
    <w:rsid w:val="00BF0F95"/>
    <w:rsid w:val="00BF2400"/>
    <w:rsid w:val="00BF2433"/>
    <w:rsid w:val="00BF25AE"/>
    <w:rsid w:val="00BF2A00"/>
    <w:rsid w:val="00BF3889"/>
    <w:rsid w:val="00BF394D"/>
    <w:rsid w:val="00BF50A5"/>
    <w:rsid w:val="00BF61C9"/>
    <w:rsid w:val="00BF6C94"/>
    <w:rsid w:val="00C00424"/>
    <w:rsid w:val="00C05187"/>
    <w:rsid w:val="00C06F01"/>
    <w:rsid w:val="00C07108"/>
    <w:rsid w:val="00C10A64"/>
    <w:rsid w:val="00C11DD9"/>
    <w:rsid w:val="00C12C14"/>
    <w:rsid w:val="00C16075"/>
    <w:rsid w:val="00C200AA"/>
    <w:rsid w:val="00C20B85"/>
    <w:rsid w:val="00C21A7D"/>
    <w:rsid w:val="00C237ED"/>
    <w:rsid w:val="00C24632"/>
    <w:rsid w:val="00C24C90"/>
    <w:rsid w:val="00C24F46"/>
    <w:rsid w:val="00C25418"/>
    <w:rsid w:val="00C25D9C"/>
    <w:rsid w:val="00C27749"/>
    <w:rsid w:val="00C2778B"/>
    <w:rsid w:val="00C279D4"/>
    <w:rsid w:val="00C31649"/>
    <w:rsid w:val="00C33D1C"/>
    <w:rsid w:val="00C35C42"/>
    <w:rsid w:val="00C36983"/>
    <w:rsid w:val="00C40201"/>
    <w:rsid w:val="00C40385"/>
    <w:rsid w:val="00C4039A"/>
    <w:rsid w:val="00C41EC8"/>
    <w:rsid w:val="00C430B6"/>
    <w:rsid w:val="00C451DF"/>
    <w:rsid w:val="00C475AA"/>
    <w:rsid w:val="00C53B9C"/>
    <w:rsid w:val="00C568D0"/>
    <w:rsid w:val="00C56EA5"/>
    <w:rsid w:val="00C61BCE"/>
    <w:rsid w:val="00C62871"/>
    <w:rsid w:val="00C64D2A"/>
    <w:rsid w:val="00C65576"/>
    <w:rsid w:val="00C65887"/>
    <w:rsid w:val="00C66165"/>
    <w:rsid w:val="00C7151A"/>
    <w:rsid w:val="00C715EA"/>
    <w:rsid w:val="00C71F60"/>
    <w:rsid w:val="00C72241"/>
    <w:rsid w:val="00C750C8"/>
    <w:rsid w:val="00C7560F"/>
    <w:rsid w:val="00C80A0E"/>
    <w:rsid w:val="00C80E23"/>
    <w:rsid w:val="00C8213F"/>
    <w:rsid w:val="00C822B0"/>
    <w:rsid w:val="00C86A36"/>
    <w:rsid w:val="00C8797A"/>
    <w:rsid w:val="00C900B8"/>
    <w:rsid w:val="00C90C71"/>
    <w:rsid w:val="00C91F68"/>
    <w:rsid w:val="00C931CF"/>
    <w:rsid w:val="00C938CF"/>
    <w:rsid w:val="00C9624D"/>
    <w:rsid w:val="00C969DA"/>
    <w:rsid w:val="00CA097B"/>
    <w:rsid w:val="00CA177F"/>
    <w:rsid w:val="00CA2C77"/>
    <w:rsid w:val="00CA444F"/>
    <w:rsid w:val="00CA5245"/>
    <w:rsid w:val="00CA62B3"/>
    <w:rsid w:val="00CA71F4"/>
    <w:rsid w:val="00CA7B09"/>
    <w:rsid w:val="00CB04A2"/>
    <w:rsid w:val="00CB2F2A"/>
    <w:rsid w:val="00CB4C87"/>
    <w:rsid w:val="00CB5B1A"/>
    <w:rsid w:val="00CB653C"/>
    <w:rsid w:val="00CB6B22"/>
    <w:rsid w:val="00CB74B9"/>
    <w:rsid w:val="00CB7F5F"/>
    <w:rsid w:val="00CC1B39"/>
    <w:rsid w:val="00CC1B65"/>
    <w:rsid w:val="00CC28F4"/>
    <w:rsid w:val="00CC3837"/>
    <w:rsid w:val="00CC4359"/>
    <w:rsid w:val="00CC5EAD"/>
    <w:rsid w:val="00CC7584"/>
    <w:rsid w:val="00CD000F"/>
    <w:rsid w:val="00CD082C"/>
    <w:rsid w:val="00CD1712"/>
    <w:rsid w:val="00CD6ADC"/>
    <w:rsid w:val="00CD7363"/>
    <w:rsid w:val="00CD7E5F"/>
    <w:rsid w:val="00CE0657"/>
    <w:rsid w:val="00CE0C12"/>
    <w:rsid w:val="00CE3086"/>
    <w:rsid w:val="00CE3AEB"/>
    <w:rsid w:val="00CE6274"/>
    <w:rsid w:val="00CE79EA"/>
    <w:rsid w:val="00CF2B8D"/>
    <w:rsid w:val="00CF3D0C"/>
    <w:rsid w:val="00CF456B"/>
    <w:rsid w:val="00CF4B53"/>
    <w:rsid w:val="00CF5A22"/>
    <w:rsid w:val="00CF62E6"/>
    <w:rsid w:val="00CF69ED"/>
    <w:rsid w:val="00D0198C"/>
    <w:rsid w:val="00D0262E"/>
    <w:rsid w:val="00D1051E"/>
    <w:rsid w:val="00D10D72"/>
    <w:rsid w:val="00D110BD"/>
    <w:rsid w:val="00D13675"/>
    <w:rsid w:val="00D141E1"/>
    <w:rsid w:val="00D1509C"/>
    <w:rsid w:val="00D17D6C"/>
    <w:rsid w:val="00D17FD5"/>
    <w:rsid w:val="00D20DCB"/>
    <w:rsid w:val="00D2134A"/>
    <w:rsid w:val="00D216BD"/>
    <w:rsid w:val="00D218C3"/>
    <w:rsid w:val="00D23175"/>
    <w:rsid w:val="00D232D4"/>
    <w:rsid w:val="00D23367"/>
    <w:rsid w:val="00D26850"/>
    <w:rsid w:val="00D2754D"/>
    <w:rsid w:val="00D27B27"/>
    <w:rsid w:val="00D27BA6"/>
    <w:rsid w:val="00D33BE9"/>
    <w:rsid w:val="00D348E1"/>
    <w:rsid w:val="00D350ED"/>
    <w:rsid w:val="00D357FF"/>
    <w:rsid w:val="00D370CE"/>
    <w:rsid w:val="00D424C7"/>
    <w:rsid w:val="00D42D63"/>
    <w:rsid w:val="00D434EC"/>
    <w:rsid w:val="00D435B4"/>
    <w:rsid w:val="00D43B2A"/>
    <w:rsid w:val="00D43B95"/>
    <w:rsid w:val="00D47536"/>
    <w:rsid w:val="00D47575"/>
    <w:rsid w:val="00D47EC5"/>
    <w:rsid w:val="00D50456"/>
    <w:rsid w:val="00D5115F"/>
    <w:rsid w:val="00D545E3"/>
    <w:rsid w:val="00D55230"/>
    <w:rsid w:val="00D56BF2"/>
    <w:rsid w:val="00D57B65"/>
    <w:rsid w:val="00D60C44"/>
    <w:rsid w:val="00D62574"/>
    <w:rsid w:val="00D66951"/>
    <w:rsid w:val="00D70B4E"/>
    <w:rsid w:val="00D70F16"/>
    <w:rsid w:val="00D74DBF"/>
    <w:rsid w:val="00D75147"/>
    <w:rsid w:val="00D755F3"/>
    <w:rsid w:val="00D76A44"/>
    <w:rsid w:val="00D77413"/>
    <w:rsid w:val="00D804A5"/>
    <w:rsid w:val="00D815EF"/>
    <w:rsid w:val="00D829F8"/>
    <w:rsid w:val="00D82BFD"/>
    <w:rsid w:val="00D83D44"/>
    <w:rsid w:val="00D8679B"/>
    <w:rsid w:val="00D9075A"/>
    <w:rsid w:val="00D91923"/>
    <w:rsid w:val="00D93753"/>
    <w:rsid w:val="00D9614A"/>
    <w:rsid w:val="00DA3167"/>
    <w:rsid w:val="00DA4DC3"/>
    <w:rsid w:val="00DA6100"/>
    <w:rsid w:val="00DA6346"/>
    <w:rsid w:val="00DA77A5"/>
    <w:rsid w:val="00DB09E6"/>
    <w:rsid w:val="00DB484F"/>
    <w:rsid w:val="00DB6FBB"/>
    <w:rsid w:val="00DC04F6"/>
    <w:rsid w:val="00DC3C57"/>
    <w:rsid w:val="00DC5501"/>
    <w:rsid w:val="00DC712B"/>
    <w:rsid w:val="00DD016B"/>
    <w:rsid w:val="00DD273C"/>
    <w:rsid w:val="00DD2E3F"/>
    <w:rsid w:val="00DD3458"/>
    <w:rsid w:val="00DD3F28"/>
    <w:rsid w:val="00DD4537"/>
    <w:rsid w:val="00DD4E15"/>
    <w:rsid w:val="00DD5493"/>
    <w:rsid w:val="00DD662D"/>
    <w:rsid w:val="00DD7A13"/>
    <w:rsid w:val="00DE3138"/>
    <w:rsid w:val="00DE37F8"/>
    <w:rsid w:val="00DE42E2"/>
    <w:rsid w:val="00DE4B35"/>
    <w:rsid w:val="00DE4FCB"/>
    <w:rsid w:val="00DE68EB"/>
    <w:rsid w:val="00DE7832"/>
    <w:rsid w:val="00DE79CA"/>
    <w:rsid w:val="00DF16B7"/>
    <w:rsid w:val="00DF18FC"/>
    <w:rsid w:val="00DF5888"/>
    <w:rsid w:val="00DF5D2B"/>
    <w:rsid w:val="00DF7549"/>
    <w:rsid w:val="00E00E8E"/>
    <w:rsid w:val="00E017CD"/>
    <w:rsid w:val="00E02A71"/>
    <w:rsid w:val="00E05379"/>
    <w:rsid w:val="00E05630"/>
    <w:rsid w:val="00E06DBB"/>
    <w:rsid w:val="00E10149"/>
    <w:rsid w:val="00E103C9"/>
    <w:rsid w:val="00E1345F"/>
    <w:rsid w:val="00E1595E"/>
    <w:rsid w:val="00E16372"/>
    <w:rsid w:val="00E169A7"/>
    <w:rsid w:val="00E17B31"/>
    <w:rsid w:val="00E20E4D"/>
    <w:rsid w:val="00E20ED6"/>
    <w:rsid w:val="00E21358"/>
    <w:rsid w:val="00E2249B"/>
    <w:rsid w:val="00E22A0D"/>
    <w:rsid w:val="00E26472"/>
    <w:rsid w:val="00E2771E"/>
    <w:rsid w:val="00E27F0A"/>
    <w:rsid w:val="00E34948"/>
    <w:rsid w:val="00E35080"/>
    <w:rsid w:val="00E37569"/>
    <w:rsid w:val="00E41DA1"/>
    <w:rsid w:val="00E41E30"/>
    <w:rsid w:val="00E42B7F"/>
    <w:rsid w:val="00E43D70"/>
    <w:rsid w:val="00E466F3"/>
    <w:rsid w:val="00E47B2C"/>
    <w:rsid w:val="00E51560"/>
    <w:rsid w:val="00E518E5"/>
    <w:rsid w:val="00E5248C"/>
    <w:rsid w:val="00E526CE"/>
    <w:rsid w:val="00E53FEA"/>
    <w:rsid w:val="00E54347"/>
    <w:rsid w:val="00E55424"/>
    <w:rsid w:val="00E55BB5"/>
    <w:rsid w:val="00E55C93"/>
    <w:rsid w:val="00E56BF5"/>
    <w:rsid w:val="00E61E49"/>
    <w:rsid w:val="00E636DE"/>
    <w:rsid w:val="00E639CD"/>
    <w:rsid w:val="00E65E79"/>
    <w:rsid w:val="00E66278"/>
    <w:rsid w:val="00E66BA2"/>
    <w:rsid w:val="00E66FDB"/>
    <w:rsid w:val="00E67416"/>
    <w:rsid w:val="00E718B6"/>
    <w:rsid w:val="00E723BA"/>
    <w:rsid w:val="00E72D1D"/>
    <w:rsid w:val="00E73581"/>
    <w:rsid w:val="00E7389E"/>
    <w:rsid w:val="00E74670"/>
    <w:rsid w:val="00E833F7"/>
    <w:rsid w:val="00E83911"/>
    <w:rsid w:val="00E83BDF"/>
    <w:rsid w:val="00E84516"/>
    <w:rsid w:val="00E87A1D"/>
    <w:rsid w:val="00E91D3E"/>
    <w:rsid w:val="00E92645"/>
    <w:rsid w:val="00E926A5"/>
    <w:rsid w:val="00E93AA7"/>
    <w:rsid w:val="00E94C11"/>
    <w:rsid w:val="00EA17C3"/>
    <w:rsid w:val="00EA2CAA"/>
    <w:rsid w:val="00EA300E"/>
    <w:rsid w:val="00EA3864"/>
    <w:rsid w:val="00EA3DFD"/>
    <w:rsid w:val="00EB15B6"/>
    <w:rsid w:val="00EB4916"/>
    <w:rsid w:val="00EB6295"/>
    <w:rsid w:val="00EB7AD4"/>
    <w:rsid w:val="00EC00C9"/>
    <w:rsid w:val="00EC03C5"/>
    <w:rsid w:val="00EC2649"/>
    <w:rsid w:val="00EC3483"/>
    <w:rsid w:val="00EC36D2"/>
    <w:rsid w:val="00EC5FDE"/>
    <w:rsid w:val="00ED4248"/>
    <w:rsid w:val="00ED43DA"/>
    <w:rsid w:val="00ED45F6"/>
    <w:rsid w:val="00ED57EA"/>
    <w:rsid w:val="00EE07D3"/>
    <w:rsid w:val="00EE22AF"/>
    <w:rsid w:val="00EF0171"/>
    <w:rsid w:val="00EF1B25"/>
    <w:rsid w:val="00EF21D0"/>
    <w:rsid w:val="00EF2BAC"/>
    <w:rsid w:val="00EF406A"/>
    <w:rsid w:val="00EF4747"/>
    <w:rsid w:val="00EF4BF8"/>
    <w:rsid w:val="00F00352"/>
    <w:rsid w:val="00F02253"/>
    <w:rsid w:val="00F02A26"/>
    <w:rsid w:val="00F03C2E"/>
    <w:rsid w:val="00F04A66"/>
    <w:rsid w:val="00F0516C"/>
    <w:rsid w:val="00F05B6C"/>
    <w:rsid w:val="00F067A2"/>
    <w:rsid w:val="00F07B73"/>
    <w:rsid w:val="00F07F4A"/>
    <w:rsid w:val="00F110C8"/>
    <w:rsid w:val="00F1263A"/>
    <w:rsid w:val="00F14271"/>
    <w:rsid w:val="00F24727"/>
    <w:rsid w:val="00F24837"/>
    <w:rsid w:val="00F2575F"/>
    <w:rsid w:val="00F2745A"/>
    <w:rsid w:val="00F27565"/>
    <w:rsid w:val="00F310D4"/>
    <w:rsid w:val="00F31D5A"/>
    <w:rsid w:val="00F33570"/>
    <w:rsid w:val="00F33DE9"/>
    <w:rsid w:val="00F34216"/>
    <w:rsid w:val="00F343EC"/>
    <w:rsid w:val="00F34669"/>
    <w:rsid w:val="00F3619A"/>
    <w:rsid w:val="00F401CB"/>
    <w:rsid w:val="00F40AAA"/>
    <w:rsid w:val="00F40BA7"/>
    <w:rsid w:val="00F41279"/>
    <w:rsid w:val="00F413BB"/>
    <w:rsid w:val="00F43C24"/>
    <w:rsid w:val="00F442A6"/>
    <w:rsid w:val="00F44AC1"/>
    <w:rsid w:val="00F46002"/>
    <w:rsid w:val="00F46CB6"/>
    <w:rsid w:val="00F47DE8"/>
    <w:rsid w:val="00F514EA"/>
    <w:rsid w:val="00F5312E"/>
    <w:rsid w:val="00F542C1"/>
    <w:rsid w:val="00F5522B"/>
    <w:rsid w:val="00F55E73"/>
    <w:rsid w:val="00F55EDA"/>
    <w:rsid w:val="00F57013"/>
    <w:rsid w:val="00F60092"/>
    <w:rsid w:val="00F60350"/>
    <w:rsid w:val="00F65C14"/>
    <w:rsid w:val="00F65F4B"/>
    <w:rsid w:val="00F70120"/>
    <w:rsid w:val="00F70C9D"/>
    <w:rsid w:val="00F71E28"/>
    <w:rsid w:val="00F727C3"/>
    <w:rsid w:val="00F72C6E"/>
    <w:rsid w:val="00F72E00"/>
    <w:rsid w:val="00F73DD6"/>
    <w:rsid w:val="00F74CD9"/>
    <w:rsid w:val="00F74D22"/>
    <w:rsid w:val="00F75A88"/>
    <w:rsid w:val="00F75BC7"/>
    <w:rsid w:val="00F80A7B"/>
    <w:rsid w:val="00F80E5D"/>
    <w:rsid w:val="00F81948"/>
    <w:rsid w:val="00F83EB7"/>
    <w:rsid w:val="00F851CE"/>
    <w:rsid w:val="00F85DAF"/>
    <w:rsid w:val="00F90337"/>
    <w:rsid w:val="00F90781"/>
    <w:rsid w:val="00F91219"/>
    <w:rsid w:val="00F91A12"/>
    <w:rsid w:val="00F9314E"/>
    <w:rsid w:val="00F97A78"/>
    <w:rsid w:val="00F97B92"/>
    <w:rsid w:val="00F97E35"/>
    <w:rsid w:val="00FA0B20"/>
    <w:rsid w:val="00FA24E7"/>
    <w:rsid w:val="00FA2998"/>
    <w:rsid w:val="00FA49A7"/>
    <w:rsid w:val="00FA6439"/>
    <w:rsid w:val="00FB2FCB"/>
    <w:rsid w:val="00FB48FC"/>
    <w:rsid w:val="00FC1074"/>
    <w:rsid w:val="00FC1884"/>
    <w:rsid w:val="00FC2F05"/>
    <w:rsid w:val="00FC32D6"/>
    <w:rsid w:val="00FC371D"/>
    <w:rsid w:val="00FC5F0B"/>
    <w:rsid w:val="00FC6E8D"/>
    <w:rsid w:val="00FD1F25"/>
    <w:rsid w:val="00FD2100"/>
    <w:rsid w:val="00FD436C"/>
    <w:rsid w:val="00FD446D"/>
    <w:rsid w:val="00FD6394"/>
    <w:rsid w:val="00FE012C"/>
    <w:rsid w:val="00FE0E6C"/>
    <w:rsid w:val="00FE1CBD"/>
    <w:rsid w:val="00FE2268"/>
    <w:rsid w:val="00FE6709"/>
    <w:rsid w:val="00FE70C3"/>
    <w:rsid w:val="00FF213C"/>
    <w:rsid w:val="00FF3DCF"/>
    <w:rsid w:val="00FF4132"/>
    <w:rsid w:val="00FF4689"/>
    <w:rsid w:val="00FF492C"/>
    <w:rsid w:val="00FF4A21"/>
    <w:rsid w:val="00FF4C97"/>
    <w:rsid w:val="00FF5563"/>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8" w:uiPriority="7" w:qFormat="1"/>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50D9E"/>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outlineLvl w:val="0"/>
    </w:pPr>
    <w:rPr>
      <w:b/>
      <w:caps/>
      <w:sz w:val="32"/>
    </w:rPr>
  </w:style>
  <w:style w:type="paragraph" w:styleId="Heading2">
    <w:name w:val="heading 2"/>
    <w:basedOn w:val="Normal"/>
    <w:next w:val="Normal"/>
    <w:link w:val="Heading2Char"/>
    <w:uiPriority w:val="1"/>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rFonts w:ascii="Arial" w:hAnsi="Arial"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rFonts w:ascii="Calibri" w:hAnsi="Calibri" w:cs="Arial"/>
      <w:b/>
      <w:snapToGrid w:val="0"/>
      <w:sz w:val="24"/>
      <w:szCs w:val="22"/>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V5.0 Exec bullet List 1"/>
    <w:basedOn w:val="Normal"/>
    <w:link w:val="ListParagraphChar"/>
    <w:uiPriority w:val="34"/>
    <w:qFormat/>
    <w:rsid w:val="00591957"/>
    <w:pPr>
      <w:spacing w:after="160"/>
    </w:pPr>
  </w:style>
  <w:style w:type="character" w:customStyle="1" w:styleId="ListParagraphChar">
    <w:name w:val="List Paragraph Char"/>
    <w:aliases w:val="Numbered para Char,BulletPoints Char,V5.0 Exec bullet List 1 Char"/>
    <w:basedOn w:val="DefaultParagraphFont"/>
    <w:link w:val="ListParagraph"/>
    <w:uiPriority w:val="34"/>
    <w:locked/>
    <w:rsid w:val="00591957"/>
    <w:rPr>
      <w:rFonts w:ascii="Calibri" w:hAnsi="Calibri" w:cs="Arial"/>
      <w:snapToGrid w:val="0"/>
      <w:sz w:val="24"/>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7"/>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Heading0">
    <w:name w:val="Table Heading"/>
    <w:basedOn w:val="Normal"/>
    <w:qFormat/>
    <w:rsid w:val="008D19DC"/>
    <w:pPr>
      <w:keepNext/>
      <w:widowControl/>
      <w:spacing w:after="60"/>
      <w:jc w:val="left"/>
    </w:pPr>
    <w:rPr>
      <w:rFonts w:ascii="Arial Narrow" w:eastAsiaTheme="minorHAnsi" w:hAnsi="Arial Narrow" w:cstheme="minorBidi"/>
      <w:b/>
      <w:snapToGrid/>
      <w:sz w:val="20"/>
    </w:rPr>
  </w:style>
  <w:style w:type="paragraph" w:customStyle="1" w:styleId="TableText0">
    <w:name w:val="Table Text"/>
    <w:basedOn w:val="Normal"/>
    <w:link w:val="TableTextChar0"/>
    <w:qFormat/>
    <w:rsid w:val="008D19DC"/>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link w:val="TableText0"/>
    <w:locked/>
    <w:rsid w:val="008D19DC"/>
    <w:rPr>
      <w:rFonts w:ascii="Arial Narrow" w:eastAsiaTheme="minorHAnsi" w:hAnsi="Arial Narrow" w:cstheme="minorBidi"/>
      <w:szCs w:val="22"/>
      <w:lang w:eastAsia="en-US"/>
    </w:rPr>
  </w:style>
  <w:style w:type="table" w:customStyle="1" w:styleId="TableGrid2">
    <w:name w:val="Table Grid2"/>
    <w:basedOn w:val="TableNormal"/>
    <w:next w:val="TableGrid"/>
    <w:uiPriority w:val="39"/>
    <w:rsid w:val="00473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
    <w:name w:val="Table Gridbeth1"/>
    <w:basedOn w:val="TableNormal"/>
    <w:next w:val="TableGrid"/>
    <w:uiPriority w:val="59"/>
    <w:rsid w:val="00F71E28"/>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uiPriority w:val="59"/>
    <w:rsid w:val="006A1EB5"/>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entarytable">
    <w:name w:val="Commentary table"/>
    <w:basedOn w:val="TableNormal"/>
    <w:uiPriority w:val="99"/>
    <w:rsid w:val="004B2093"/>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COMtbl-HEADCentred">
    <w:name w:val="COMtbl-HEAD Centred"/>
    <w:basedOn w:val="Normal"/>
    <w:qFormat/>
    <w:rsid w:val="006A76FA"/>
    <w:pPr>
      <w:tabs>
        <w:tab w:val="left" w:pos="720"/>
      </w:tabs>
      <w:jc w:val="center"/>
    </w:pPr>
    <w:rPr>
      <w:rFonts w:ascii="Arial Narrow" w:hAnsi="Arial Narrow"/>
      <w:b/>
      <w:sz w:val="20"/>
      <w:szCs w:val="20"/>
    </w:rPr>
  </w:style>
  <w:style w:type="paragraph" w:customStyle="1" w:styleId="COMtbl-textCentred">
    <w:name w:val="COMtbl-text Centred"/>
    <w:basedOn w:val="COMtbl-HEADCentred"/>
    <w:qFormat/>
    <w:rsid w:val="006A76FA"/>
    <w:rPr>
      <w:b w:val="0"/>
    </w:rPr>
  </w:style>
  <w:style w:type="paragraph" w:styleId="FootnoteText">
    <w:name w:val="footnote text"/>
    <w:basedOn w:val="Normal"/>
    <w:link w:val="FootnoteTextChar"/>
    <w:semiHidden/>
    <w:unhideWhenUsed/>
    <w:rsid w:val="001E3C37"/>
    <w:rPr>
      <w:sz w:val="20"/>
      <w:szCs w:val="20"/>
    </w:rPr>
  </w:style>
  <w:style w:type="character" w:customStyle="1" w:styleId="FootnoteTextChar">
    <w:name w:val="Footnote Text Char"/>
    <w:basedOn w:val="DefaultParagraphFont"/>
    <w:link w:val="FootnoteText"/>
    <w:semiHidden/>
    <w:rsid w:val="001E3C37"/>
    <w:rPr>
      <w:rFonts w:ascii="Calibri" w:hAnsi="Calibri" w:cs="Arial"/>
      <w:snapToGrid w:val="0"/>
      <w:lang w:eastAsia="en-US"/>
    </w:rPr>
  </w:style>
  <w:style w:type="character" w:styleId="FootnoteReference">
    <w:name w:val="footnote reference"/>
    <w:basedOn w:val="DefaultParagraphFont"/>
    <w:semiHidden/>
    <w:unhideWhenUsed/>
    <w:rsid w:val="001E3C37"/>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82FD2"/>
    <w:pPr>
      <w:widowControl/>
      <w:spacing w:after="160" w:line="240" w:lineRule="exact"/>
      <w:jc w:val="left"/>
    </w:pPr>
    <w:rPr>
      <w:rFonts w:ascii="Verdana" w:eastAsia="MS Mincho" w:hAnsi="Verdana" w:cs="Verdana"/>
      <w:snapToGrid/>
      <w:sz w:val="20"/>
      <w:szCs w:val="20"/>
      <w:lang w:val="en-US"/>
    </w:rPr>
  </w:style>
  <w:style w:type="character" w:customStyle="1" w:styleId="Heading1Char">
    <w:name w:val="Heading 1 Char"/>
    <w:basedOn w:val="DefaultParagraphFont"/>
    <w:link w:val="Heading1"/>
    <w:uiPriority w:val="1"/>
    <w:rsid w:val="00C65887"/>
    <w:rPr>
      <w:rFonts w:ascii="Calibri" w:hAnsi="Calibri" w:cs="Arial"/>
      <w:b/>
      <w:caps/>
      <w:snapToGrid w:val="0"/>
      <w:sz w:val="32"/>
      <w:szCs w:val="22"/>
      <w:lang w:eastAsia="en-US"/>
    </w:rPr>
  </w:style>
  <w:style w:type="paragraph" w:customStyle="1" w:styleId="Default">
    <w:name w:val="Default"/>
    <w:rsid w:val="00612017"/>
    <w:pPr>
      <w:autoSpaceDE w:val="0"/>
      <w:autoSpaceDN w:val="0"/>
      <w:adjustRightInd w:val="0"/>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8" w:uiPriority="7" w:qFormat="1"/>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50D9E"/>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outlineLvl w:val="0"/>
    </w:pPr>
    <w:rPr>
      <w:b/>
      <w:caps/>
      <w:sz w:val="32"/>
    </w:rPr>
  </w:style>
  <w:style w:type="paragraph" w:styleId="Heading2">
    <w:name w:val="heading 2"/>
    <w:basedOn w:val="Normal"/>
    <w:next w:val="Normal"/>
    <w:link w:val="Heading2Char"/>
    <w:uiPriority w:val="1"/>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rFonts w:ascii="Arial" w:hAnsi="Arial"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rFonts w:ascii="Calibri" w:hAnsi="Calibri" w:cs="Arial"/>
      <w:b/>
      <w:snapToGrid w:val="0"/>
      <w:sz w:val="24"/>
      <w:szCs w:val="22"/>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V5.0 Exec bullet List 1"/>
    <w:basedOn w:val="Normal"/>
    <w:link w:val="ListParagraphChar"/>
    <w:uiPriority w:val="34"/>
    <w:qFormat/>
    <w:rsid w:val="00591957"/>
    <w:pPr>
      <w:spacing w:after="160"/>
    </w:pPr>
  </w:style>
  <w:style w:type="character" w:customStyle="1" w:styleId="ListParagraphChar">
    <w:name w:val="List Paragraph Char"/>
    <w:aliases w:val="Numbered para Char,BulletPoints Char,V5.0 Exec bullet List 1 Char"/>
    <w:basedOn w:val="DefaultParagraphFont"/>
    <w:link w:val="ListParagraph"/>
    <w:uiPriority w:val="34"/>
    <w:locked/>
    <w:rsid w:val="00591957"/>
    <w:rPr>
      <w:rFonts w:ascii="Calibri" w:hAnsi="Calibri" w:cs="Arial"/>
      <w:snapToGrid w:val="0"/>
      <w:sz w:val="24"/>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7"/>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Heading0">
    <w:name w:val="Table Heading"/>
    <w:basedOn w:val="Normal"/>
    <w:qFormat/>
    <w:rsid w:val="008D19DC"/>
    <w:pPr>
      <w:keepNext/>
      <w:widowControl/>
      <w:spacing w:after="60"/>
      <w:jc w:val="left"/>
    </w:pPr>
    <w:rPr>
      <w:rFonts w:ascii="Arial Narrow" w:eastAsiaTheme="minorHAnsi" w:hAnsi="Arial Narrow" w:cstheme="minorBidi"/>
      <w:b/>
      <w:snapToGrid/>
      <w:sz w:val="20"/>
    </w:rPr>
  </w:style>
  <w:style w:type="paragraph" w:customStyle="1" w:styleId="TableText0">
    <w:name w:val="Table Text"/>
    <w:basedOn w:val="Normal"/>
    <w:link w:val="TableTextChar0"/>
    <w:qFormat/>
    <w:rsid w:val="008D19DC"/>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link w:val="TableText0"/>
    <w:locked/>
    <w:rsid w:val="008D19DC"/>
    <w:rPr>
      <w:rFonts w:ascii="Arial Narrow" w:eastAsiaTheme="minorHAnsi" w:hAnsi="Arial Narrow" w:cstheme="minorBidi"/>
      <w:szCs w:val="22"/>
      <w:lang w:eastAsia="en-US"/>
    </w:rPr>
  </w:style>
  <w:style w:type="table" w:customStyle="1" w:styleId="TableGrid2">
    <w:name w:val="Table Grid2"/>
    <w:basedOn w:val="TableNormal"/>
    <w:next w:val="TableGrid"/>
    <w:uiPriority w:val="39"/>
    <w:rsid w:val="00473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
    <w:name w:val="Table Gridbeth1"/>
    <w:basedOn w:val="TableNormal"/>
    <w:next w:val="TableGrid"/>
    <w:uiPriority w:val="59"/>
    <w:rsid w:val="00F71E28"/>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uiPriority w:val="59"/>
    <w:rsid w:val="006A1EB5"/>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entarytable">
    <w:name w:val="Commentary table"/>
    <w:basedOn w:val="TableNormal"/>
    <w:uiPriority w:val="99"/>
    <w:rsid w:val="004B2093"/>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COMtbl-HEADCentred">
    <w:name w:val="COMtbl-HEAD Centred"/>
    <w:basedOn w:val="Normal"/>
    <w:qFormat/>
    <w:rsid w:val="006A76FA"/>
    <w:pPr>
      <w:tabs>
        <w:tab w:val="left" w:pos="720"/>
      </w:tabs>
      <w:jc w:val="center"/>
    </w:pPr>
    <w:rPr>
      <w:rFonts w:ascii="Arial Narrow" w:hAnsi="Arial Narrow"/>
      <w:b/>
      <w:sz w:val="20"/>
      <w:szCs w:val="20"/>
    </w:rPr>
  </w:style>
  <w:style w:type="paragraph" w:customStyle="1" w:styleId="COMtbl-textCentred">
    <w:name w:val="COMtbl-text Centred"/>
    <w:basedOn w:val="COMtbl-HEADCentred"/>
    <w:qFormat/>
    <w:rsid w:val="006A76FA"/>
    <w:rPr>
      <w:b w:val="0"/>
    </w:rPr>
  </w:style>
  <w:style w:type="paragraph" w:styleId="FootnoteText">
    <w:name w:val="footnote text"/>
    <w:basedOn w:val="Normal"/>
    <w:link w:val="FootnoteTextChar"/>
    <w:semiHidden/>
    <w:unhideWhenUsed/>
    <w:rsid w:val="001E3C37"/>
    <w:rPr>
      <w:sz w:val="20"/>
      <w:szCs w:val="20"/>
    </w:rPr>
  </w:style>
  <w:style w:type="character" w:customStyle="1" w:styleId="FootnoteTextChar">
    <w:name w:val="Footnote Text Char"/>
    <w:basedOn w:val="DefaultParagraphFont"/>
    <w:link w:val="FootnoteText"/>
    <w:semiHidden/>
    <w:rsid w:val="001E3C37"/>
    <w:rPr>
      <w:rFonts w:ascii="Calibri" w:hAnsi="Calibri" w:cs="Arial"/>
      <w:snapToGrid w:val="0"/>
      <w:lang w:eastAsia="en-US"/>
    </w:rPr>
  </w:style>
  <w:style w:type="character" w:styleId="FootnoteReference">
    <w:name w:val="footnote reference"/>
    <w:basedOn w:val="DefaultParagraphFont"/>
    <w:semiHidden/>
    <w:unhideWhenUsed/>
    <w:rsid w:val="001E3C37"/>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82FD2"/>
    <w:pPr>
      <w:widowControl/>
      <w:spacing w:after="160" w:line="240" w:lineRule="exact"/>
      <w:jc w:val="left"/>
    </w:pPr>
    <w:rPr>
      <w:rFonts w:ascii="Verdana" w:eastAsia="MS Mincho" w:hAnsi="Verdana" w:cs="Verdana"/>
      <w:snapToGrid/>
      <w:sz w:val="20"/>
      <w:szCs w:val="20"/>
      <w:lang w:val="en-US"/>
    </w:rPr>
  </w:style>
  <w:style w:type="character" w:customStyle="1" w:styleId="Heading1Char">
    <w:name w:val="Heading 1 Char"/>
    <w:basedOn w:val="DefaultParagraphFont"/>
    <w:link w:val="Heading1"/>
    <w:uiPriority w:val="1"/>
    <w:rsid w:val="00C65887"/>
    <w:rPr>
      <w:rFonts w:ascii="Calibri" w:hAnsi="Calibri" w:cs="Arial"/>
      <w:b/>
      <w:caps/>
      <w:snapToGrid w:val="0"/>
      <w:sz w:val="32"/>
      <w:szCs w:val="22"/>
      <w:lang w:eastAsia="en-US"/>
    </w:rPr>
  </w:style>
  <w:style w:type="paragraph" w:customStyle="1" w:styleId="Default">
    <w:name w:val="Default"/>
    <w:rsid w:val="00612017"/>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7527">
      <w:bodyDiv w:val="1"/>
      <w:marLeft w:val="0"/>
      <w:marRight w:val="0"/>
      <w:marTop w:val="0"/>
      <w:marBottom w:val="0"/>
      <w:divBdr>
        <w:top w:val="none" w:sz="0" w:space="0" w:color="auto"/>
        <w:left w:val="none" w:sz="0" w:space="0" w:color="auto"/>
        <w:bottom w:val="none" w:sz="0" w:space="0" w:color="auto"/>
        <w:right w:val="none" w:sz="0" w:space="0" w:color="auto"/>
      </w:divBdr>
    </w:div>
    <w:div w:id="296767438">
      <w:bodyDiv w:val="1"/>
      <w:marLeft w:val="0"/>
      <w:marRight w:val="0"/>
      <w:marTop w:val="0"/>
      <w:marBottom w:val="0"/>
      <w:divBdr>
        <w:top w:val="none" w:sz="0" w:space="0" w:color="auto"/>
        <w:left w:val="none" w:sz="0" w:space="0" w:color="auto"/>
        <w:bottom w:val="none" w:sz="0" w:space="0" w:color="auto"/>
        <w:right w:val="none" w:sz="0" w:space="0" w:color="auto"/>
      </w:divBdr>
    </w:div>
    <w:div w:id="1125467096">
      <w:bodyDiv w:val="1"/>
      <w:marLeft w:val="0"/>
      <w:marRight w:val="0"/>
      <w:marTop w:val="0"/>
      <w:marBottom w:val="0"/>
      <w:divBdr>
        <w:top w:val="none" w:sz="0" w:space="0" w:color="auto"/>
        <w:left w:val="none" w:sz="0" w:space="0" w:color="auto"/>
        <w:bottom w:val="none" w:sz="0" w:space="0" w:color="auto"/>
        <w:right w:val="none" w:sz="0" w:space="0" w:color="auto"/>
      </w:divBdr>
    </w:div>
    <w:div w:id="1134064516">
      <w:bodyDiv w:val="1"/>
      <w:marLeft w:val="0"/>
      <w:marRight w:val="0"/>
      <w:marTop w:val="0"/>
      <w:marBottom w:val="0"/>
      <w:divBdr>
        <w:top w:val="none" w:sz="0" w:space="0" w:color="auto"/>
        <w:left w:val="none" w:sz="0" w:space="0" w:color="auto"/>
        <w:bottom w:val="none" w:sz="0" w:space="0" w:color="auto"/>
        <w:right w:val="none" w:sz="0" w:space="0" w:color="auto"/>
      </w:divBdr>
      <w:divsChild>
        <w:div w:id="1863208110">
          <w:marLeft w:val="360"/>
          <w:marRight w:val="0"/>
          <w:marTop w:val="200"/>
          <w:marBottom w:val="0"/>
          <w:divBdr>
            <w:top w:val="none" w:sz="0" w:space="0" w:color="auto"/>
            <w:left w:val="none" w:sz="0" w:space="0" w:color="auto"/>
            <w:bottom w:val="none" w:sz="0" w:space="0" w:color="auto"/>
            <w:right w:val="none" w:sz="0" w:space="0" w:color="auto"/>
          </w:divBdr>
        </w:div>
      </w:divsChild>
    </w:div>
    <w:div w:id="1169562358">
      <w:bodyDiv w:val="1"/>
      <w:marLeft w:val="0"/>
      <w:marRight w:val="0"/>
      <w:marTop w:val="0"/>
      <w:marBottom w:val="0"/>
      <w:divBdr>
        <w:top w:val="none" w:sz="0" w:space="0" w:color="auto"/>
        <w:left w:val="none" w:sz="0" w:space="0" w:color="auto"/>
        <w:bottom w:val="none" w:sz="0" w:space="0" w:color="auto"/>
        <w:right w:val="none" w:sz="0" w:space="0" w:color="auto"/>
      </w:divBdr>
      <w:divsChild>
        <w:div w:id="231935249">
          <w:marLeft w:val="547"/>
          <w:marRight w:val="0"/>
          <w:marTop w:val="115"/>
          <w:marBottom w:val="0"/>
          <w:divBdr>
            <w:top w:val="none" w:sz="0" w:space="0" w:color="auto"/>
            <w:left w:val="none" w:sz="0" w:space="0" w:color="auto"/>
            <w:bottom w:val="none" w:sz="0" w:space="0" w:color="auto"/>
            <w:right w:val="none" w:sz="0" w:space="0" w:color="auto"/>
          </w:divBdr>
        </w:div>
      </w:divsChild>
    </w:div>
    <w:div w:id="1171870006">
      <w:bodyDiv w:val="1"/>
      <w:marLeft w:val="0"/>
      <w:marRight w:val="0"/>
      <w:marTop w:val="0"/>
      <w:marBottom w:val="0"/>
      <w:divBdr>
        <w:top w:val="none" w:sz="0" w:space="0" w:color="auto"/>
        <w:left w:val="none" w:sz="0" w:space="0" w:color="auto"/>
        <w:bottom w:val="none" w:sz="0" w:space="0" w:color="auto"/>
        <w:right w:val="none" w:sz="0" w:space="0" w:color="auto"/>
      </w:divBdr>
      <w:divsChild>
        <w:div w:id="301621612">
          <w:marLeft w:val="360"/>
          <w:marRight w:val="0"/>
          <w:marTop w:val="200"/>
          <w:marBottom w:val="0"/>
          <w:divBdr>
            <w:top w:val="none" w:sz="0" w:space="0" w:color="auto"/>
            <w:left w:val="none" w:sz="0" w:space="0" w:color="auto"/>
            <w:bottom w:val="none" w:sz="0" w:space="0" w:color="auto"/>
            <w:right w:val="none" w:sz="0" w:space="0" w:color="auto"/>
          </w:divBdr>
        </w:div>
        <w:div w:id="754591044">
          <w:marLeft w:val="360"/>
          <w:marRight w:val="0"/>
          <w:marTop w:val="200"/>
          <w:marBottom w:val="0"/>
          <w:divBdr>
            <w:top w:val="none" w:sz="0" w:space="0" w:color="auto"/>
            <w:left w:val="none" w:sz="0" w:space="0" w:color="auto"/>
            <w:bottom w:val="none" w:sz="0" w:space="0" w:color="auto"/>
            <w:right w:val="none" w:sz="0" w:space="0" w:color="auto"/>
          </w:divBdr>
        </w:div>
      </w:divsChild>
    </w:div>
    <w:div w:id="1496218059">
      <w:bodyDiv w:val="1"/>
      <w:marLeft w:val="0"/>
      <w:marRight w:val="0"/>
      <w:marTop w:val="0"/>
      <w:marBottom w:val="0"/>
      <w:divBdr>
        <w:top w:val="none" w:sz="0" w:space="0" w:color="auto"/>
        <w:left w:val="none" w:sz="0" w:space="0" w:color="auto"/>
        <w:bottom w:val="none" w:sz="0" w:space="0" w:color="auto"/>
        <w:right w:val="none" w:sz="0" w:space="0" w:color="auto"/>
      </w:divBdr>
      <w:divsChild>
        <w:div w:id="1993289473">
          <w:marLeft w:val="360"/>
          <w:marRight w:val="0"/>
          <w:marTop w:val="200"/>
          <w:marBottom w:val="0"/>
          <w:divBdr>
            <w:top w:val="none" w:sz="0" w:space="0" w:color="auto"/>
            <w:left w:val="none" w:sz="0" w:space="0" w:color="auto"/>
            <w:bottom w:val="none" w:sz="0" w:space="0" w:color="auto"/>
            <w:right w:val="none" w:sz="0" w:space="0" w:color="auto"/>
          </w:divBdr>
        </w:div>
      </w:divsChild>
    </w:div>
    <w:div w:id="1595363633">
      <w:bodyDiv w:val="1"/>
      <w:marLeft w:val="0"/>
      <w:marRight w:val="0"/>
      <w:marTop w:val="0"/>
      <w:marBottom w:val="0"/>
      <w:divBdr>
        <w:top w:val="none" w:sz="0" w:space="0" w:color="auto"/>
        <w:left w:val="none" w:sz="0" w:space="0" w:color="auto"/>
        <w:bottom w:val="none" w:sz="0" w:space="0" w:color="auto"/>
        <w:right w:val="none" w:sz="0" w:space="0" w:color="auto"/>
      </w:divBdr>
      <w:divsChild>
        <w:div w:id="178384257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38204-825A-485E-875B-12DC5CB5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8121</Words>
  <Characters>48964</Characters>
  <Application>Microsoft Office Word</Application>
  <DocSecurity>0</DocSecurity>
  <Lines>408</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2018-10-10T23:46:00Z</dcterms:created>
  <dcterms:modified xsi:type="dcterms:W3CDTF">2018-10-18T04:05:00Z</dcterms:modified>
</cp:coreProperties>
</file>