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Default="00F344D5" w:rsidP="0093702D">
      <w:pPr>
        <w:spacing w:before="0" w:after="120"/>
        <w:ind w:left="992" w:hanging="993"/>
        <w:outlineLvl w:val="0"/>
        <w:rPr>
          <w:b/>
          <w:sz w:val="36"/>
          <w:szCs w:val="36"/>
        </w:rPr>
      </w:pPr>
      <w:r w:rsidRPr="00ED3C94">
        <w:rPr>
          <w:b/>
          <w:sz w:val="36"/>
          <w:szCs w:val="36"/>
        </w:rPr>
        <w:t>5.04</w:t>
      </w:r>
      <w:r w:rsidR="00C317F3" w:rsidRPr="00ED3C94">
        <w:rPr>
          <w:b/>
          <w:sz w:val="36"/>
          <w:szCs w:val="36"/>
        </w:rPr>
        <w:tab/>
      </w:r>
      <w:r w:rsidR="00D70026" w:rsidRPr="00ED3C94">
        <w:rPr>
          <w:b/>
          <w:sz w:val="36"/>
          <w:szCs w:val="36"/>
        </w:rPr>
        <w:t>DUPILUMAB</w:t>
      </w:r>
      <w:r w:rsidR="0093702D">
        <w:rPr>
          <w:b/>
          <w:sz w:val="36"/>
          <w:szCs w:val="36"/>
        </w:rPr>
        <w:br/>
      </w:r>
      <w:r w:rsidR="00573A66" w:rsidRPr="00ED3C94">
        <w:rPr>
          <w:b/>
          <w:sz w:val="36"/>
          <w:szCs w:val="36"/>
        </w:rPr>
        <w:t>Injection 300 mg in 2 mL single dose pre-filled syringe</w:t>
      </w:r>
      <w:r w:rsidR="00C317F3" w:rsidRPr="00ED3C94">
        <w:rPr>
          <w:b/>
          <w:sz w:val="36"/>
          <w:szCs w:val="36"/>
        </w:rPr>
        <w:t xml:space="preserve">, </w:t>
      </w:r>
      <w:r w:rsidR="009D4C2A" w:rsidRPr="00ED3C94">
        <w:rPr>
          <w:b/>
          <w:sz w:val="36"/>
          <w:szCs w:val="36"/>
        </w:rPr>
        <w:br/>
      </w:r>
      <w:r w:rsidR="00D70026" w:rsidRPr="00ED3C94">
        <w:rPr>
          <w:b/>
          <w:sz w:val="36"/>
          <w:szCs w:val="36"/>
        </w:rPr>
        <w:t>Dupixent</w:t>
      </w:r>
      <w:r w:rsidR="00C317F3" w:rsidRPr="00ED3C94">
        <w:rPr>
          <w:b/>
          <w:sz w:val="36"/>
          <w:szCs w:val="36"/>
        </w:rPr>
        <w:t xml:space="preserve">®, </w:t>
      </w:r>
      <w:r w:rsidR="0093702D">
        <w:rPr>
          <w:b/>
          <w:sz w:val="36"/>
          <w:szCs w:val="36"/>
        </w:rPr>
        <w:br/>
      </w:r>
      <w:r w:rsidR="00C317F3" w:rsidRPr="00ED3C94">
        <w:rPr>
          <w:b/>
          <w:sz w:val="36"/>
          <w:szCs w:val="36"/>
        </w:rPr>
        <w:t>S</w:t>
      </w:r>
      <w:r w:rsidR="00D70026" w:rsidRPr="00ED3C94">
        <w:rPr>
          <w:b/>
          <w:sz w:val="36"/>
          <w:szCs w:val="36"/>
        </w:rPr>
        <w:t>anofi</w:t>
      </w:r>
      <w:r w:rsidR="0017374A">
        <w:rPr>
          <w:b/>
          <w:sz w:val="36"/>
          <w:szCs w:val="36"/>
        </w:rPr>
        <w:t xml:space="preserve">-Aventis Australia Pty Ltd </w:t>
      </w:r>
    </w:p>
    <w:p w:rsidR="00C317F3" w:rsidRPr="0049471B" w:rsidRDefault="00C317F3" w:rsidP="009E7CA9">
      <w:pPr>
        <w:widowControl w:val="0"/>
        <w:numPr>
          <w:ilvl w:val="0"/>
          <w:numId w:val="4"/>
        </w:numPr>
        <w:spacing w:before="240" w:after="120"/>
        <w:jc w:val="both"/>
        <w:outlineLvl w:val="0"/>
        <w:rPr>
          <w:rFonts w:cs="Arial"/>
          <w:b/>
          <w:bCs/>
          <w:snapToGrid w:val="0"/>
          <w:sz w:val="32"/>
        </w:rPr>
      </w:pPr>
      <w:bookmarkStart w:id="0" w:name="_Toc514253608"/>
      <w:bookmarkStart w:id="1" w:name="_Toc413139271"/>
      <w:r w:rsidRPr="0049471B">
        <w:rPr>
          <w:rFonts w:cs="Arial"/>
          <w:b/>
          <w:bCs/>
          <w:snapToGrid w:val="0"/>
          <w:sz w:val="32"/>
        </w:rPr>
        <w:t xml:space="preserve">Purpose of </w:t>
      </w:r>
      <w:r w:rsidR="00661286" w:rsidRPr="0049471B">
        <w:rPr>
          <w:rFonts w:cs="Arial"/>
          <w:b/>
          <w:bCs/>
          <w:snapToGrid w:val="0"/>
          <w:sz w:val="32"/>
        </w:rPr>
        <w:t>a</w:t>
      </w:r>
      <w:r w:rsidRPr="0049471B">
        <w:rPr>
          <w:rFonts w:cs="Arial"/>
          <w:b/>
          <w:bCs/>
          <w:snapToGrid w:val="0"/>
          <w:sz w:val="32"/>
        </w:rPr>
        <w:t>pplication</w:t>
      </w:r>
      <w:bookmarkEnd w:id="0"/>
      <w:bookmarkEnd w:id="1"/>
    </w:p>
    <w:p w:rsidR="00C317F3" w:rsidRPr="00ED3C94" w:rsidRDefault="00C317F3" w:rsidP="0049471B">
      <w:pPr>
        <w:widowControl w:val="0"/>
        <w:numPr>
          <w:ilvl w:val="1"/>
          <w:numId w:val="4"/>
        </w:numPr>
        <w:spacing w:before="0" w:after="120"/>
        <w:jc w:val="both"/>
      </w:pPr>
      <w:r w:rsidRPr="00ED3C94">
        <w:t>Authority Required</w:t>
      </w:r>
      <w:r w:rsidR="009D6EC4" w:rsidRPr="00ED3C94">
        <w:t xml:space="preserve"> </w:t>
      </w:r>
      <w:r w:rsidRPr="00ED3C94">
        <w:t xml:space="preserve">listing for </w:t>
      </w:r>
      <w:r w:rsidR="009D6EC4" w:rsidRPr="00ED3C94">
        <w:t>dupilumab</w:t>
      </w:r>
      <w:r w:rsidRPr="00ED3C94">
        <w:t xml:space="preserve"> for treatment of </w:t>
      </w:r>
      <w:r w:rsidR="009D6EC4" w:rsidRPr="00ED3C94">
        <w:t>atopic dermatitis</w:t>
      </w:r>
      <w:r w:rsidRPr="00ED3C94">
        <w:t>.</w:t>
      </w:r>
      <w:r w:rsidR="009D6EC4" w:rsidRPr="00ED3C94">
        <w:t xml:space="preserve">  The PBAC has not previously considered a submission for dupilumab. </w:t>
      </w:r>
    </w:p>
    <w:p w:rsidR="009D6EC4" w:rsidRPr="00ED3C94" w:rsidRDefault="009D6EC4" w:rsidP="005F701C">
      <w:pPr>
        <w:pStyle w:val="ListParagraph"/>
        <w:numPr>
          <w:ilvl w:val="1"/>
          <w:numId w:val="4"/>
        </w:numPr>
        <w:spacing w:before="0" w:after="120"/>
        <w:jc w:val="both"/>
      </w:pPr>
      <w:r w:rsidRPr="00ED3C94">
        <w:t xml:space="preserve">The requested basis for </w:t>
      </w:r>
      <w:r w:rsidR="004B4E9B">
        <w:t xml:space="preserve">the </w:t>
      </w:r>
      <w:r w:rsidRPr="00ED3C94">
        <w:t xml:space="preserve">listing was a cost-utility analysis compared with placebo (for standard care).  </w:t>
      </w:r>
      <w:r w:rsidR="009B5A44" w:rsidRPr="00ED3C94">
        <w:t xml:space="preserve">Table </w:t>
      </w:r>
      <w:r w:rsidR="009B5A44" w:rsidRPr="00ED3C94">
        <w:rPr>
          <w:noProof/>
        </w:rPr>
        <w:t>1</w:t>
      </w:r>
      <w:r w:rsidRPr="00ED3C94">
        <w:t xml:space="preserve"> summarises the key components of the clinical issue addressed by the submission.</w:t>
      </w:r>
    </w:p>
    <w:p w:rsidR="0093702D" w:rsidRDefault="0093702D" w:rsidP="0093702D">
      <w:pPr>
        <w:pStyle w:val="TableHeading"/>
      </w:pPr>
      <w:r>
        <w:t xml:space="preserve">Table </w:t>
      </w:r>
      <w:r w:rsidR="00557C85">
        <w:fldChar w:fldCharType="begin"/>
      </w:r>
      <w:r w:rsidR="00557C85">
        <w:instrText xml:space="preserve"> SEQ Table \* ARABIC </w:instrText>
      </w:r>
      <w:r w:rsidR="00557C85">
        <w:fldChar w:fldCharType="separate"/>
      </w:r>
      <w:r>
        <w:rPr>
          <w:noProof/>
        </w:rPr>
        <w:t>1</w:t>
      </w:r>
      <w:r w:rsidR="00557C85">
        <w:rPr>
          <w:noProof/>
        </w:rPr>
        <w:fldChar w:fldCharType="end"/>
      </w:r>
      <w:r w:rsidRPr="009D0BD4">
        <w:t>: Key components of the clinical issue addressed by the submission</w:t>
      </w:r>
    </w:p>
    <w:tbl>
      <w:tblPr>
        <w:tblStyle w:val="TableGrid"/>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
      </w:tblPr>
      <w:tblGrid>
        <w:gridCol w:w="1275"/>
        <w:gridCol w:w="7860"/>
      </w:tblGrid>
      <w:tr w:rsidR="009D6EC4" w:rsidRPr="00ED3C94" w:rsidTr="00D75311">
        <w:trPr>
          <w:cnfStyle w:val="100000000000" w:firstRow="1" w:lastRow="0" w:firstColumn="0" w:lastColumn="0" w:oddVBand="0" w:evenVBand="0" w:oddHBand="0" w:evenHBand="0" w:firstRowFirstColumn="0" w:firstRowLastColumn="0" w:lastRowFirstColumn="0" w:lastRowLastColumn="0"/>
          <w:cantSplit/>
          <w:tblHeader/>
        </w:trPr>
        <w:tc>
          <w:tcPr>
            <w:tcW w:w="698" w:type="pct"/>
            <w:shd w:val="clear" w:color="auto" w:fill="auto"/>
          </w:tcPr>
          <w:p w:rsidR="009D6EC4" w:rsidRPr="00ED3C94" w:rsidRDefault="009D6EC4" w:rsidP="00380AD3">
            <w:pPr>
              <w:pStyle w:val="TableText"/>
              <w:rPr>
                <w:b w:val="0"/>
              </w:rPr>
            </w:pPr>
            <w:r w:rsidRPr="00ED3C94">
              <w:t>Component</w:t>
            </w:r>
          </w:p>
        </w:tc>
        <w:tc>
          <w:tcPr>
            <w:tcW w:w="4302" w:type="pct"/>
            <w:shd w:val="clear" w:color="auto" w:fill="auto"/>
          </w:tcPr>
          <w:p w:rsidR="009D6EC4" w:rsidRPr="00ED3C94" w:rsidRDefault="009D6EC4" w:rsidP="00380AD3">
            <w:pPr>
              <w:pStyle w:val="TableText"/>
              <w:rPr>
                <w:b w:val="0"/>
              </w:rPr>
            </w:pPr>
            <w:r w:rsidRPr="00ED3C94">
              <w:t>Description</w:t>
            </w:r>
          </w:p>
        </w:tc>
      </w:tr>
      <w:tr w:rsidR="009D6EC4" w:rsidRPr="00ED3C94" w:rsidTr="00D75311">
        <w:trPr>
          <w:cantSplit/>
        </w:trPr>
        <w:tc>
          <w:tcPr>
            <w:tcW w:w="698" w:type="pct"/>
            <w:shd w:val="clear" w:color="auto" w:fill="auto"/>
          </w:tcPr>
          <w:p w:rsidR="009D6EC4" w:rsidRPr="00ED3C94" w:rsidRDefault="009D6EC4" w:rsidP="00380AD3">
            <w:pPr>
              <w:pStyle w:val="TableText"/>
            </w:pPr>
            <w:r w:rsidRPr="00ED3C94">
              <w:t>Population</w:t>
            </w:r>
          </w:p>
        </w:tc>
        <w:tc>
          <w:tcPr>
            <w:tcW w:w="4302" w:type="pct"/>
            <w:shd w:val="clear" w:color="auto" w:fill="auto"/>
          </w:tcPr>
          <w:p w:rsidR="009D6EC4" w:rsidRPr="00ED3C94" w:rsidRDefault="009D6EC4" w:rsidP="009C1949">
            <w:pPr>
              <w:pStyle w:val="TableText"/>
              <w:rPr>
                <w:rFonts w:ascii="Times" w:eastAsia="Times New Roman" w:hAnsi="Times" w:cs="Times New Roman"/>
              </w:rPr>
            </w:pPr>
            <w:r w:rsidRPr="00ED3C94">
              <w:t>Adults with severe AD who have had an inadequate response or intolerance to CsA, or for whom CsA is contra-indicated. Severe AD is defined as an IGA score of 4</w:t>
            </w:r>
            <w:r w:rsidRPr="009C1949">
              <w:t>.</w:t>
            </w:r>
          </w:p>
        </w:tc>
      </w:tr>
      <w:tr w:rsidR="009D6EC4" w:rsidRPr="00ED3C94" w:rsidTr="00D75311">
        <w:trPr>
          <w:cantSplit/>
        </w:trPr>
        <w:tc>
          <w:tcPr>
            <w:tcW w:w="698" w:type="pct"/>
            <w:shd w:val="clear" w:color="auto" w:fill="auto"/>
          </w:tcPr>
          <w:p w:rsidR="009D6EC4" w:rsidRPr="00ED3C94" w:rsidRDefault="009D6EC4" w:rsidP="00380AD3">
            <w:pPr>
              <w:pStyle w:val="TableText"/>
              <w:rPr>
                <w:rFonts w:ascii="Times" w:eastAsia="Times New Roman" w:hAnsi="Times" w:cs="Times New Roman"/>
              </w:rPr>
            </w:pPr>
            <w:r w:rsidRPr="00ED3C94">
              <w:t>Intervention</w:t>
            </w:r>
          </w:p>
        </w:tc>
        <w:tc>
          <w:tcPr>
            <w:tcW w:w="4302" w:type="pct"/>
            <w:shd w:val="clear" w:color="auto" w:fill="auto"/>
          </w:tcPr>
          <w:p w:rsidR="009D6EC4" w:rsidRPr="00ED3C94" w:rsidRDefault="009D6EC4" w:rsidP="004F14F2">
            <w:pPr>
              <w:pStyle w:val="TableText"/>
              <w:rPr>
                <w:rFonts w:ascii="Times" w:eastAsia="Times New Roman" w:hAnsi="Times" w:cs="Times New Roman"/>
              </w:rPr>
            </w:pPr>
            <w:r w:rsidRPr="00ED3C94">
              <w:t xml:space="preserve">Dupilumab 600mg at baseline followed by dupilumab 300mg every other week (Q2W). </w:t>
            </w:r>
            <w:r w:rsidR="004B4E9B">
              <w:t>D</w:t>
            </w:r>
            <w:r w:rsidRPr="00ED3C94">
              <w:t xml:space="preserve">upilumab </w:t>
            </w:r>
            <w:r w:rsidR="004B4E9B">
              <w:t xml:space="preserve">is </w:t>
            </w:r>
            <w:r w:rsidRPr="00ED3C94">
              <w:t>used concomitantly with topical corticosteroid (TCS), topical calcineurin inhibitor (TCI) and emollient use.</w:t>
            </w:r>
          </w:p>
        </w:tc>
      </w:tr>
      <w:tr w:rsidR="009D6EC4" w:rsidRPr="00ED3C94" w:rsidTr="00D75311">
        <w:trPr>
          <w:cantSplit/>
        </w:trPr>
        <w:tc>
          <w:tcPr>
            <w:tcW w:w="698" w:type="pct"/>
            <w:shd w:val="clear" w:color="auto" w:fill="auto"/>
          </w:tcPr>
          <w:p w:rsidR="009D6EC4" w:rsidRPr="00ED3C94" w:rsidRDefault="009D6EC4" w:rsidP="00380AD3">
            <w:pPr>
              <w:pStyle w:val="TableText"/>
              <w:rPr>
                <w:rFonts w:ascii="Times" w:eastAsia="Times New Roman" w:hAnsi="Times" w:cs="Times New Roman"/>
              </w:rPr>
            </w:pPr>
            <w:r w:rsidRPr="00ED3C94">
              <w:t>Comparator</w:t>
            </w:r>
          </w:p>
        </w:tc>
        <w:tc>
          <w:tcPr>
            <w:tcW w:w="4302" w:type="pct"/>
            <w:shd w:val="clear" w:color="auto" w:fill="auto"/>
          </w:tcPr>
          <w:p w:rsidR="009D6EC4" w:rsidRPr="00ED3C94" w:rsidRDefault="009D6EC4" w:rsidP="00380AD3">
            <w:pPr>
              <w:pStyle w:val="TableText"/>
              <w:rPr>
                <w:rFonts w:ascii="Times" w:eastAsia="Times New Roman" w:hAnsi="Times" w:cs="Times New Roman"/>
              </w:rPr>
            </w:pPr>
            <w:r w:rsidRPr="00ED3C94">
              <w:t>Placebo (representing standard of care). This is better described as concomitant TCS, TCI and emollient use alone (see ‘Comparator’ below).</w:t>
            </w:r>
          </w:p>
        </w:tc>
      </w:tr>
      <w:tr w:rsidR="009D6EC4" w:rsidRPr="00ED3C94" w:rsidTr="00D75311">
        <w:trPr>
          <w:cantSplit/>
        </w:trPr>
        <w:tc>
          <w:tcPr>
            <w:tcW w:w="698" w:type="pct"/>
            <w:shd w:val="clear" w:color="auto" w:fill="auto"/>
          </w:tcPr>
          <w:p w:rsidR="009D6EC4" w:rsidRPr="00ED3C94" w:rsidRDefault="009D6EC4" w:rsidP="00380AD3">
            <w:pPr>
              <w:pStyle w:val="TableText"/>
              <w:rPr>
                <w:rFonts w:ascii="Times" w:eastAsia="Times New Roman" w:hAnsi="Times" w:cs="Times New Roman"/>
              </w:rPr>
            </w:pPr>
            <w:r w:rsidRPr="00ED3C94">
              <w:t>Outcomes</w:t>
            </w:r>
          </w:p>
        </w:tc>
        <w:tc>
          <w:tcPr>
            <w:tcW w:w="4302" w:type="pct"/>
            <w:shd w:val="clear" w:color="auto" w:fill="auto"/>
          </w:tcPr>
          <w:p w:rsidR="009D6EC4" w:rsidRPr="00ED3C94" w:rsidRDefault="009D6EC4" w:rsidP="00380AD3">
            <w:pPr>
              <w:pStyle w:val="TableText"/>
            </w:pPr>
            <w:r w:rsidRPr="00ED3C94">
              <w:rPr>
                <w:b/>
              </w:rPr>
              <w:t>Primary</w:t>
            </w:r>
            <w:r w:rsidRPr="00ED3C94">
              <w:t>: proportion of patients with a 75% improvement in Eczema Area and Severity Index (EASI) score (EASI-75) at Week 16. This was the primary outcome of the pivotal clinical trial.</w:t>
            </w:r>
          </w:p>
          <w:p w:rsidR="009D6EC4" w:rsidRPr="00ED3C94" w:rsidRDefault="009D6EC4" w:rsidP="00380AD3">
            <w:pPr>
              <w:pStyle w:val="TableText"/>
            </w:pPr>
            <w:r w:rsidRPr="00ED3C94">
              <w:rPr>
                <w:b/>
              </w:rPr>
              <w:t>Secondary</w:t>
            </w:r>
            <w:r w:rsidRPr="00ED3C94">
              <w:t>: change in physician and patient reported AD severity scores, including EASI, SCORAD, DLQI, POEM, HADS, GISS, IGA, peak daily pruritus NRS, and percent BSA involvement.</w:t>
            </w:r>
          </w:p>
        </w:tc>
      </w:tr>
      <w:tr w:rsidR="009D6EC4" w:rsidRPr="00ED3C94" w:rsidTr="00D75311">
        <w:trPr>
          <w:cantSplit/>
        </w:trPr>
        <w:tc>
          <w:tcPr>
            <w:tcW w:w="698" w:type="pct"/>
            <w:shd w:val="clear" w:color="auto" w:fill="auto"/>
          </w:tcPr>
          <w:p w:rsidR="009D6EC4" w:rsidRPr="00ED3C94" w:rsidRDefault="009D6EC4" w:rsidP="00380AD3">
            <w:pPr>
              <w:pStyle w:val="TableText"/>
              <w:rPr>
                <w:rFonts w:ascii="Times" w:eastAsia="Times New Roman" w:hAnsi="Times" w:cs="Times New Roman"/>
              </w:rPr>
            </w:pPr>
            <w:r w:rsidRPr="00ED3C94">
              <w:t>Clinical claim</w:t>
            </w:r>
          </w:p>
        </w:tc>
        <w:tc>
          <w:tcPr>
            <w:tcW w:w="4302" w:type="pct"/>
            <w:shd w:val="clear" w:color="auto" w:fill="auto"/>
          </w:tcPr>
          <w:p w:rsidR="009D6EC4" w:rsidRPr="00ED3C94" w:rsidRDefault="009D6EC4" w:rsidP="00380AD3">
            <w:pPr>
              <w:pStyle w:val="TableText"/>
            </w:pPr>
            <w:r w:rsidRPr="00ED3C94">
              <w:t xml:space="preserve">Superior efficacy, demonstrated by an EASI-75 response and improvement in other AD severity measures, and non-inferior safety, compared to placebo. </w:t>
            </w:r>
          </w:p>
        </w:tc>
      </w:tr>
    </w:tbl>
    <w:p w:rsidR="009D6EC4" w:rsidRPr="00ED3C94" w:rsidRDefault="009D6EC4" w:rsidP="009D6EC4">
      <w:pPr>
        <w:pStyle w:val="TableFooter"/>
      </w:pPr>
      <w:r w:rsidRPr="00ED3C94">
        <w:t>Source: Table 1.1.1 (pg. 2) of the main submission</w:t>
      </w:r>
    </w:p>
    <w:p w:rsidR="009D6EC4" w:rsidRPr="00ED3C94" w:rsidRDefault="009D6EC4" w:rsidP="009D6EC4">
      <w:pPr>
        <w:pStyle w:val="TableFooter"/>
      </w:pPr>
      <w:r w:rsidRPr="00ED3C94">
        <w:t>Abbreviations: CsA = Cyclosporin A; AD = atopic dermatitis; IGA = Investigator’s Global Assessment; Q2W = fortnightly; EASI = Eczema Area and Severity Index; BSA = body surface area; DLQI = dermatology life quality index; GISS = global individual signs score; HADS = hospital anxiety and depression scale; NRS = numerical rating scale; POEM = patient oriented eczema measure; SCORAD = scoring atopic dermatitis; TCS = topical corticosteroid; TCI = topical calcineurin inhibitor</w:t>
      </w:r>
    </w:p>
    <w:p w:rsidR="00E4041E" w:rsidRPr="0049471B" w:rsidRDefault="00C317F3" w:rsidP="009E7CA9">
      <w:pPr>
        <w:widowControl w:val="0"/>
        <w:numPr>
          <w:ilvl w:val="0"/>
          <w:numId w:val="4"/>
        </w:numPr>
        <w:spacing w:before="240" w:after="120"/>
        <w:jc w:val="both"/>
        <w:outlineLvl w:val="0"/>
        <w:rPr>
          <w:rFonts w:cs="Arial"/>
          <w:b/>
          <w:bCs/>
          <w:snapToGrid w:val="0"/>
          <w:sz w:val="32"/>
        </w:rPr>
      </w:pPr>
      <w:bookmarkStart w:id="2" w:name="_Toc413139272"/>
      <w:bookmarkStart w:id="3" w:name="_Toc514253609"/>
      <w:r w:rsidRPr="0049471B">
        <w:rPr>
          <w:rFonts w:cs="Arial"/>
          <w:b/>
          <w:bCs/>
          <w:snapToGrid w:val="0"/>
          <w:sz w:val="32"/>
        </w:rPr>
        <w:t>Requested listing</w:t>
      </w:r>
      <w:bookmarkEnd w:id="2"/>
      <w:bookmarkEnd w:id="3"/>
      <w:r w:rsidR="005C6285" w:rsidRPr="0049471B">
        <w:rPr>
          <w:rFonts w:cs="Arial"/>
          <w:b/>
          <w:bCs/>
          <w:snapToGrid w:val="0"/>
          <w:sz w:val="32"/>
        </w:rPr>
        <w:t xml:space="preserve"> </w:t>
      </w:r>
    </w:p>
    <w:p w:rsidR="00F70F8F" w:rsidRPr="00961807" w:rsidRDefault="00F70F8F" w:rsidP="00961807">
      <w:pPr>
        <w:widowControl w:val="0"/>
        <w:numPr>
          <w:ilvl w:val="1"/>
          <w:numId w:val="4"/>
        </w:numPr>
        <w:spacing w:before="0" w:after="120"/>
        <w:jc w:val="both"/>
      </w:pPr>
      <w:r w:rsidRPr="00961807">
        <w:t>Suggestions and additions proposed by the Secretariat to the requested listing are added in italics and suggested deletions are crossed out with strikethrough.</w:t>
      </w:r>
    </w:p>
    <w:tbl>
      <w:tblPr>
        <w:tblW w:w="9214" w:type="dxa"/>
        <w:tblInd w:w="108" w:type="dxa"/>
        <w:tblLayout w:type="fixed"/>
        <w:tblLook w:val="0000" w:firstRow="0" w:lastRow="0" w:firstColumn="0" w:lastColumn="0" w:noHBand="0" w:noVBand="0"/>
      </w:tblPr>
      <w:tblGrid>
        <w:gridCol w:w="2835"/>
        <w:gridCol w:w="426"/>
        <w:gridCol w:w="567"/>
        <w:gridCol w:w="850"/>
        <w:gridCol w:w="1701"/>
        <w:gridCol w:w="1418"/>
        <w:gridCol w:w="1417"/>
      </w:tblGrid>
      <w:tr w:rsidR="00F70F8F" w:rsidRPr="00F70F8F" w:rsidTr="00C269AD">
        <w:trPr>
          <w:trHeight w:val="471"/>
        </w:trPr>
        <w:tc>
          <w:tcPr>
            <w:tcW w:w="3261" w:type="dxa"/>
            <w:gridSpan w:val="2"/>
            <w:tcBorders>
              <w:bottom w:val="single" w:sz="4" w:space="0" w:color="auto"/>
            </w:tcBorders>
          </w:tcPr>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Name, Restriction,</w:t>
            </w:r>
          </w:p>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Manner of administration and form</w:t>
            </w:r>
          </w:p>
        </w:tc>
        <w:tc>
          <w:tcPr>
            <w:tcW w:w="567" w:type="dxa"/>
            <w:tcBorders>
              <w:bottom w:val="single" w:sz="4" w:space="0" w:color="auto"/>
            </w:tcBorders>
          </w:tcPr>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Max.</w:t>
            </w:r>
          </w:p>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Qty</w:t>
            </w:r>
          </w:p>
        </w:tc>
        <w:tc>
          <w:tcPr>
            <w:tcW w:w="850" w:type="dxa"/>
            <w:tcBorders>
              <w:bottom w:val="single" w:sz="4" w:space="0" w:color="auto"/>
            </w:tcBorders>
          </w:tcPr>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№.of</w:t>
            </w:r>
          </w:p>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Rpts</w:t>
            </w:r>
          </w:p>
        </w:tc>
        <w:tc>
          <w:tcPr>
            <w:tcW w:w="1701" w:type="dxa"/>
            <w:tcBorders>
              <w:bottom w:val="single" w:sz="4" w:space="0" w:color="auto"/>
            </w:tcBorders>
          </w:tcPr>
          <w:p w:rsidR="00F70F8F" w:rsidRPr="00D75311" w:rsidRDefault="00F70F8F" w:rsidP="00D75311">
            <w:pPr>
              <w:keepNext/>
              <w:spacing w:before="0" w:after="0"/>
              <w:ind w:left="-108"/>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Dispensed Price for Max. Qty</w:t>
            </w:r>
          </w:p>
        </w:tc>
        <w:tc>
          <w:tcPr>
            <w:tcW w:w="2835" w:type="dxa"/>
            <w:gridSpan w:val="2"/>
            <w:tcBorders>
              <w:bottom w:val="single" w:sz="4" w:space="0" w:color="auto"/>
            </w:tcBorders>
          </w:tcPr>
          <w:p w:rsidR="00F70F8F" w:rsidRPr="00D75311" w:rsidRDefault="00F70F8F" w:rsidP="00D75311">
            <w:pPr>
              <w:keepNext/>
              <w:spacing w:before="0" w:after="0"/>
              <w:rPr>
                <w:rFonts w:ascii="Calibri" w:eastAsia="Times New Roman" w:hAnsi="Calibri" w:cs="Arial"/>
                <w:b/>
                <w:sz w:val="20"/>
                <w:szCs w:val="20"/>
                <w:lang w:val="fr-FR" w:eastAsia="en-AU"/>
              </w:rPr>
            </w:pPr>
            <w:r w:rsidRPr="00D75311">
              <w:rPr>
                <w:rFonts w:ascii="Calibri" w:eastAsia="Times New Roman" w:hAnsi="Calibri" w:cs="Arial"/>
                <w:b/>
                <w:sz w:val="20"/>
                <w:szCs w:val="20"/>
                <w:lang w:eastAsia="en-AU"/>
              </w:rPr>
              <w:t>Proprietary Name and Manufacturer</w:t>
            </w:r>
          </w:p>
        </w:tc>
      </w:tr>
      <w:tr w:rsidR="00F70F8F" w:rsidRPr="00F70F8F" w:rsidTr="00C269AD">
        <w:trPr>
          <w:trHeight w:val="577"/>
        </w:trPr>
        <w:tc>
          <w:tcPr>
            <w:tcW w:w="3261" w:type="dxa"/>
            <w:gridSpan w:val="2"/>
          </w:tcPr>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mallCaps/>
                <w:sz w:val="20"/>
                <w:szCs w:val="20"/>
                <w:lang w:eastAsia="en-AU"/>
              </w:rPr>
              <w:t>dupilumab</w:t>
            </w: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300 mg in 2 mL pre-filled syringe</w:t>
            </w:r>
          </w:p>
        </w:tc>
        <w:tc>
          <w:tcPr>
            <w:tcW w:w="567" w:type="dxa"/>
          </w:tcPr>
          <w:p w:rsidR="00F70F8F" w:rsidRPr="00F70F8F" w:rsidRDefault="00F70F8F" w:rsidP="00F70F8F">
            <w:pPr>
              <w:keepNext/>
              <w:spacing w:before="0" w:after="0"/>
              <w:ind w:left="-108"/>
              <w:jc w:val="both"/>
              <w:rPr>
                <w:rFonts w:ascii="Calibri" w:eastAsia="Times New Roman" w:hAnsi="Calibri" w:cs="Arial"/>
                <w:sz w:val="20"/>
                <w:szCs w:val="20"/>
                <w:lang w:eastAsia="en-AU"/>
              </w:rPr>
            </w:pP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4</w:t>
            </w:r>
          </w:p>
        </w:tc>
        <w:tc>
          <w:tcPr>
            <w:tcW w:w="850" w:type="dxa"/>
          </w:tcPr>
          <w:p w:rsidR="00F70F8F" w:rsidRPr="00F70F8F" w:rsidRDefault="00F70F8F" w:rsidP="00F70F8F">
            <w:pPr>
              <w:keepNext/>
              <w:spacing w:before="0" w:after="0"/>
              <w:ind w:left="-108"/>
              <w:jc w:val="both"/>
              <w:rPr>
                <w:rFonts w:ascii="Calibri" w:eastAsia="Times New Roman" w:hAnsi="Calibri" w:cs="Arial"/>
                <w:sz w:val="20"/>
                <w:szCs w:val="20"/>
                <w:lang w:eastAsia="en-AU"/>
              </w:rPr>
            </w:pP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0</w:t>
            </w:r>
          </w:p>
        </w:tc>
        <w:tc>
          <w:tcPr>
            <w:tcW w:w="1701" w:type="dxa"/>
          </w:tcPr>
          <w:p w:rsidR="00F70F8F" w:rsidRPr="00F70F8F" w:rsidRDefault="00F70F8F" w:rsidP="00F70F8F">
            <w:pPr>
              <w:keepNext/>
              <w:spacing w:before="0" w:after="0"/>
              <w:ind w:left="-108"/>
              <w:jc w:val="both"/>
              <w:rPr>
                <w:rFonts w:ascii="Calibri" w:eastAsia="Times New Roman" w:hAnsi="Calibri" w:cs="Arial"/>
                <w:sz w:val="20"/>
                <w:szCs w:val="20"/>
                <w:lang w:eastAsia="en-AU"/>
              </w:rPr>
            </w:pP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w:t>
            </w:r>
            <w:r w:rsidR="00330093">
              <w:rPr>
                <w:rFonts w:ascii="Calibri" w:eastAsia="Times New Roman" w:hAnsi="Calibri" w:cs="Arial"/>
                <w:noProof/>
                <w:color w:val="000000"/>
                <w:sz w:val="20"/>
                <w:szCs w:val="20"/>
                <w:highlight w:val="black"/>
                <w:lang w:eastAsia="en-AU"/>
              </w:rPr>
              <w:t>''''''''''''''''</w:t>
            </w:r>
          </w:p>
        </w:tc>
        <w:tc>
          <w:tcPr>
            <w:tcW w:w="1418" w:type="dxa"/>
          </w:tcPr>
          <w:p w:rsidR="00D75311" w:rsidRDefault="00D75311" w:rsidP="00F70F8F">
            <w:pPr>
              <w:keepNext/>
              <w:spacing w:before="0" w:after="0"/>
              <w:jc w:val="both"/>
              <w:rPr>
                <w:rFonts w:ascii="Calibri" w:eastAsia="Times New Roman" w:hAnsi="Calibri" w:cs="Arial"/>
                <w:sz w:val="20"/>
                <w:szCs w:val="20"/>
                <w:lang w:eastAsia="en-AU"/>
              </w:rPr>
            </w:pPr>
          </w:p>
          <w:p w:rsidR="00F70F8F" w:rsidRPr="00F70F8F" w:rsidRDefault="00F70F8F" w:rsidP="00F70F8F">
            <w:pPr>
              <w:keepNext/>
              <w:spacing w:before="0" w:after="0"/>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Dupixent®</w:t>
            </w:r>
          </w:p>
        </w:tc>
        <w:tc>
          <w:tcPr>
            <w:tcW w:w="1417" w:type="dxa"/>
          </w:tcPr>
          <w:p w:rsidR="00D75311" w:rsidRDefault="00D75311" w:rsidP="00F70F8F">
            <w:pPr>
              <w:keepNext/>
              <w:spacing w:before="0" w:after="0"/>
              <w:jc w:val="both"/>
              <w:rPr>
                <w:rFonts w:ascii="Calibri" w:eastAsia="Times New Roman" w:hAnsi="Calibri" w:cs="Arial"/>
                <w:sz w:val="20"/>
                <w:szCs w:val="20"/>
                <w:lang w:eastAsia="en-AU"/>
              </w:rPr>
            </w:pPr>
          </w:p>
          <w:p w:rsidR="00F70F8F" w:rsidRPr="00F70F8F" w:rsidRDefault="00F70F8F" w:rsidP="00F70F8F">
            <w:pPr>
              <w:keepNext/>
              <w:spacing w:before="0" w:after="0"/>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Sanofi-Aventis</w:t>
            </w:r>
          </w:p>
        </w:tc>
      </w:tr>
      <w:tr w:rsidR="00F70F8F" w:rsidRPr="00F70F8F" w:rsidTr="00C269AD">
        <w:trPr>
          <w:trHeight w:val="360"/>
        </w:trPr>
        <w:tc>
          <w:tcPr>
            <w:tcW w:w="9214" w:type="dxa"/>
            <w:gridSpan w:val="7"/>
            <w:tcBorders>
              <w:bottom w:val="single" w:sz="4" w:space="0" w:color="auto"/>
            </w:tcBorders>
          </w:tcPr>
          <w:p w:rsidR="00F70F8F" w:rsidRPr="00F70F8F" w:rsidRDefault="00F70F8F" w:rsidP="00F70F8F">
            <w:pPr>
              <w:spacing w:before="0" w:after="0"/>
              <w:jc w:val="both"/>
              <w:rPr>
                <w:rFonts w:ascii="Calibri" w:eastAsia="Times New Roman" w:hAnsi="Calibri" w:cs="Arial"/>
                <w:sz w:val="20"/>
                <w:szCs w:val="20"/>
                <w:lang w:eastAsia="en-AU"/>
              </w:rPr>
            </w:pP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lastRenderedPageBreak/>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GENERAL – General Schedule (Code GE)</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Prescriber type:</w:t>
            </w:r>
          </w:p>
          <w:p w:rsidR="00F70F8F" w:rsidRPr="00F70F8F" w:rsidRDefault="00F70F8F" w:rsidP="00F70F8F">
            <w:pPr>
              <w:spacing w:before="0" w:after="0"/>
              <w:jc w:val="both"/>
              <w:rPr>
                <w:rFonts w:ascii="Calibri" w:eastAsia="Times New Roman" w:hAnsi="Calibri" w:cs="Arial"/>
                <w:b/>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1"/>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 xml:space="preserve">Dental  </w:t>
            </w:r>
            <w:r w:rsidRPr="00F70F8F">
              <w:rPr>
                <w:rFonts w:ascii="Calibri" w:eastAsia="Times New Roman" w:hAnsi="Calibri" w:cs="Arial"/>
                <w:sz w:val="20"/>
                <w:szCs w:val="20"/>
                <w:lang w:eastAsia="en-AU"/>
              </w:rPr>
              <w:fldChar w:fldCharType="begin">
                <w:ffData>
                  <w:name w:val=""/>
                  <w:enabled/>
                  <w:calcOnExit w:val="0"/>
                  <w:checkBox>
                    <w:sizeAuto/>
                    <w:default w:val="1"/>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 xml:space="preserve">Medical Practitioners  </w:t>
            </w:r>
            <w:r w:rsidRPr="00F70F8F">
              <w:rPr>
                <w:rFonts w:ascii="Calibri" w:eastAsia="Times New Roman" w:hAnsi="Calibri" w:cs="Arial"/>
                <w:sz w:val="20"/>
                <w:szCs w:val="20"/>
                <w:lang w:eastAsia="en-AU"/>
              </w:rPr>
              <w:fldChar w:fldCharType="begin">
                <w:ffData>
                  <w:name w:val="Check3"/>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 xml:space="preserve">Nurse practitioners  </w:t>
            </w:r>
            <w:r w:rsidRPr="00F70F8F">
              <w:rPr>
                <w:rFonts w:ascii="Calibri" w:eastAsia="Times New Roman" w:hAnsi="Calibri" w:cs="Arial"/>
                <w:sz w:val="20"/>
                <w:szCs w:val="20"/>
                <w:lang w:eastAsia="en-AU"/>
              </w:rPr>
              <w:fldChar w:fldCharType="begin">
                <w:ffData>
                  <w:name w:val=""/>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Optometrists</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5"/>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Midwives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Chronic</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i/>
                <w:sz w:val="20"/>
                <w:szCs w:val="20"/>
                <w:lang w:eastAsia="en-AU"/>
              </w:rPr>
            </w:pPr>
            <w:r w:rsidRPr="00F70F8F">
              <w:rPr>
                <w:rFonts w:ascii="Calibri" w:eastAsia="Times New Roman" w:hAnsi="Calibri" w:cs="Arial"/>
                <w:b/>
                <w:i/>
                <w:sz w:val="20"/>
                <w:szCs w:val="20"/>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Severe</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trike/>
                <w:sz w:val="20"/>
                <w:szCs w:val="20"/>
                <w:lang w:eastAsia="en-AU"/>
              </w:rPr>
              <w:t>Severe</w:t>
            </w:r>
            <w:r w:rsidRPr="00F70F8F">
              <w:rPr>
                <w:rFonts w:ascii="Calibri" w:eastAsia="Times New Roman" w:hAnsi="Calibri" w:cs="Arial"/>
                <w:sz w:val="20"/>
                <w:szCs w:val="20"/>
                <w:lang w:eastAsia="en-AU"/>
              </w:rPr>
              <w:t xml:space="preserve"> atopic dermatitis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i/>
                <w:sz w:val="20"/>
                <w:szCs w:val="20"/>
                <w:lang w:eastAsia="en-AU"/>
              </w:rPr>
            </w:pPr>
            <w:r w:rsidRPr="00F70F8F">
              <w:rPr>
                <w:rFonts w:ascii="Calibri" w:eastAsia="Times New Roman" w:hAnsi="Calibri" w:cs="Arial"/>
                <w:b/>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92649" w:rsidRDefault="00F92649" w:rsidP="00F70F8F">
            <w:pPr>
              <w:spacing w:before="0" w:after="0"/>
              <w:rPr>
                <w:rFonts w:ascii="Calibri" w:eastAsia="Times New Roman" w:hAnsi="Calibri" w:cs="Arial"/>
                <w:i/>
                <w:sz w:val="20"/>
                <w:szCs w:val="20"/>
                <w:lang w:eastAsia="en-AU"/>
              </w:rPr>
            </w:pPr>
            <w:r w:rsidRPr="00F92649">
              <w:rPr>
                <w:rFonts w:ascii="Calibri" w:eastAsia="Times New Roman" w:hAnsi="Calibri" w:cs="Arial"/>
                <w:i/>
                <w:sz w:val="20"/>
                <w:szCs w:val="20"/>
                <w:lang w:eastAsia="en-AU"/>
              </w:rPr>
              <w:t>Chronic severe atopic dermatitis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i/>
                <w:sz w:val="20"/>
                <w:szCs w:val="20"/>
                <w:lang w:eastAsia="en-AU"/>
              </w:rPr>
            </w:pPr>
            <w:r w:rsidRPr="00F70F8F">
              <w:rPr>
                <w:rFonts w:ascii="Calibri" w:eastAsia="Times New Roman" w:hAnsi="Calibri" w:cs="Arial"/>
                <w:b/>
                <w:sz w:val="20"/>
                <w:szCs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strike/>
                <w:sz w:val="20"/>
                <w:szCs w:val="20"/>
                <w:lang w:eastAsia="en-AU"/>
              </w:rPr>
              <w:t>Initial 1</w:t>
            </w:r>
            <w:r w:rsidRPr="00F70F8F">
              <w:rPr>
                <w:rFonts w:ascii="Calibri" w:eastAsia="Times New Roman" w:hAnsi="Calibri" w:cs="Arial"/>
                <w:strike/>
                <w:sz w:val="20"/>
                <w:szCs w:val="20"/>
                <w:vertAlign w:val="superscript"/>
                <w:lang w:eastAsia="en-AU"/>
              </w:rPr>
              <w:t>a</w:t>
            </w:r>
            <w:r w:rsidRPr="00F70F8F">
              <w:rPr>
                <w:rFonts w:ascii="Calibri" w:eastAsia="Times New Roman" w:hAnsi="Calibri" w:cs="Arial"/>
                <w:strike/>
                <w:sz w:val="20"/>
                <w:szCs w:val="20"/>
                <w:lang w:eastAsia="en-AU"/>
              </w:rPr>
              <w:t xml:space="preserve"> </w:t>
            </w:r>
            <w:r w:rsidRPr="00F70F8F">
              <w:rPr>
                <w:rFonts w:ascii="Calibri" w:eastAsia="Times New Roman" w:hAnsi="Calibri" w:cs="Arial"/>
                <w:i/>
                <w:sz w:val="20"/>
                <w:szCs w:val="20"/>
                <w:lang w:eastAsia="en-AU"/>
              </w:rPr>
              <w:t>Initial treatment – Initial 1 (new patient or patient recommencing treatment after a break of 5 years or more)</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Restriction Level / Method:</w:t>
            </w:r>
          </w:p>
          <w:p w:rsidR="00F70F8F" w:rsidRPr="00F70F8F" w:rsidRDefault="00F70F8F" w:rsidP="00F70F8F">
            <w:pPr>
              <w:spacing w:before="0" w:after="0"/>
              <w:rPr>
                <w:rFonts w:ascii="Calibri" w:eastAsia="Times New Roman" w:hAnsi="Calibri" w:cs="Arial"/>
                <w:i/>
                <w:sz w:val="20"/>
                <w:szCs w:val="20"/>
                <w:highlight w:val="yellow"/>
                <w:lang w:eastAsia="en-AU"/>
              </w:rPr>
            </w:pPr>
          </w:p>
          <w:p w:rsidR="00F70F8F" w:rsidRPr="00F70F8F" w:rsidRDefault="00F70F8F" w:rsidP="00F70F8F">
            <w:pPr>
              <w:spacing w:before="0" w:after="0"/>
              <w:rPr>
                <w:rFonts w:ascii="Calibri" w:eastAsia="Times New Roman" w:hAnsi="Calibri" w:cs="Arial"/>
                <w:i/>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1"/>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Restricted benefit</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
                  <w:enabled/>
                  <w:calcOnExit w:val="0"/>
                  <w:checkBox>
                    <w:sizeAuto/>
                    <w:default w:val="1"/>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In Writing</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3"/>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Telephone</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Emergency</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5"/>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Electronic</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5"/>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Streamlined</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Must be treated by a dermatologist, OR</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Must be treated by a clinical immunologist.</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 must have severe</w:t>
            </w:r>
            <w:r w:rsidRPr="00F70F8F">
              <w:rPr>
                <w:rFonts w:ascii="Calibri" w:eastAsia="Times New Roman" w:hAnsi="Calibri" w:cs="Arial"/>
                <w:strike/>
                <w:sz w:val="20"/>
                <w:szCs w:val="20"/>
                <w:vertAlign w:val="superscript"/>
                <w:lang w:eastAsia="en-AU"/>
              </w:rPr>
              <w:t>b</w:t>
            </w:r>
            <w:r w:rsidRPr="00F70F8F">
              <w:rPr>
                <w:rFonts w:ascii="Calibri" w:eastAsia="Times New Roman" w:hAnsi="Calibri" w:cs="Arial"/>
                <w:sz w:val="20"/>
                <w:szCs w:val="20"/>
                <w:lang w:eastAsia="en-AU"/>
              </w:rPr>
              <w:t xml:space="preserve"> chronic atopic dermatitis where lesions have been present for at least 6 months from the time of initial diagnosis;</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 xml:space="preserve">Patient must not have received any prior PBS-subsidised treatment with </w:t>
            </w:r>
            <w:r w:rsidRPr="00F70F8F">
              <w:rPr>
                <w:rFonts w:ascii="Calibri" w:eastAsia="Times New Roman" w:hAnsi="Calibri" w:cs="Arial"/>
                <w:strike/>
                <w:sz w:val="20"/>
                <w:szCs w:val="20"/>
                <w:lang w:eastAsia="en-AU"/>
              </w:rPr>
              <w:t>a biological agent</w:t>
            </w:r>
            <w:r w:rsidRPr="00F70F8F">
              <w:rPr>
                <w:rFonts w:ascii="Calibri" w:eastAsia="Times New Roman" w:hAnsi="Calibri" w:cs="Arial"/>
                <w:sz w:val="20"/>
                <w:szCs w:val="20"/>
                <w:lang w:eastAsia="en-AU"/>
              </w:rPr>
              <w:t xml:space="preserve"> </w:t>
            </w:r>
            <w:r w:rsidRPr="00F70F8F">
              <w:rPr>
                <w:rFonts w:ascii="Calibri" w:eastAsia="Times New Roman" w:hAnsi="Calibri" w:cs="Arial"/>
                <w:i/>
                <w:sz w:val="20"/>
                <w:szCs w:val="20"/>
                <w:lang w:eastAsia="en-AU"/>
              </w:rPr>
              <w:t xml:space="preserve">dupilumab </w:t>
            </w:r>
            <w:r w:rsidRPr="00F70F8F">
              <w:rPr>
                <w:rFonts w:ascii="Calibri" w:eastAsia="Times New Roman" w:hAnsi="Calibri" w:cs="Arial"/>
                <w:sz w:val="20"/>
                <w:szCs w:val="20"/>
                <w:lang w:eastAsia="en-AU"/>
              </w:rPr>
              <w:t>for this condition; OR</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 xml:space="preserve">Patient must not have received PBS-subsidised treatment with </w:t>
            </w:r>
            <w:r w:rsidRPr="00F70F8F">
              <w:rPr>
                <w:rFonts w:ascii="Calibri" w:eastAsia="Times New Roman" w:hAnsi="Calibri" w:cs="Arial"/>
                <w:strike/>
                <w:sz w:val="20"/>
                <w:szCs w:val="20"/>
                <w:lang w:eastAsia="en-AU"/>
              </w:rPr>
              <w:t>a biological agent</w:t>
            </w:r>
            <w:r w:rsidRPr="00F70F8F">
              <w:rPr>
                <w:rFonts w:ascii="Calibri" w:eastAsia="Times New Roman" w:hAnsi="Calibri" w:cs="Arial"/>
                <w:sz w:val="20"/>
                <w:szCs w:val="20"/>
                <w:lang w:eastAsia="en-AU"/>
              </w:rPr>
              <w:t xml:space="preserve"> </w:t>
            </w:r>
            <w:r w:rsidRPr="00F70F8F">
              <w:rPr>
                <w:rFonts w:ascii="Calibri" w:eastAsia="Times New Roman" w:hAnsi="Calibri" w:cs="Arial"/>
                <w:i/>
                <w:sz w:val="20"/>
                <w:szCs w:val="20"/>
                <w:lang w:eastAsia="en-AU"/>
              </w:rPr>
              <w:t>dupilumab</w:t>
            </w:r>
            <w:r w:rsidRPr="00F70F8F">
              <w:rPr>
                <w:rFonts w:ascii="Calibri" w:eastAsia="Times New Roman" w:hAnsi="Calibri" w:cs="Arial"/>
                <w:sz w:val="20"/>
                <w:szCs w:val="20"/>
                <w:lang w:eastAsia="en-AU"/>
              </w:rPr>
              <w:t xml:space="preserve"> for at least 5 years, if they have previously received PBS-subsidised treatment with </w:t>
            </w:r>
            <w:r w:rsidRPr="00F70F8F">
              <w:rPr>
                <w:rFonts w:ascii="Calibri" w:eastAsia="Times New Roman" w:hAnsi="Calibri" w:cs="Arial"/>
                <w:strike/>
                <w:sz w:val="20"/>
                <w:szCs w:val="20"/>
                <w:lang w:eastAsia="en-AU"/>
              </w:rPr>
              <w:t>a biological agent</w:t>
            </w:r>
            <w:r w:rsidRPr="00F70F8F">
              <w:rPr>
                <w:rFonts w:ascii="Calibri" w:eastAsia="Times New Roman" w:hAnsi="Calibri" w:cs="Arial"/>
                <w:sz w:val="20"/>
                <w:szCs w:val="20"/>
                <w:lang w:eastAsia="en-AU"/>
              </w:rPr>
              <w:t xml:space="preserve"> </w:t>
            </w:r>
            <w:r w:rsidRPr="00F70F8F">
              <w:rPr>
                <w:rFonts w:ascii="Calibri" w:eastAsia="Times New Roman" w:hAnsi="Calibri" w:cs="Arial"/>
                <w:i/>
                <w:sz w:val="20"/>
                <w:szCs w:val="20"/>
                <w:lang w:eastAsia="en-AU"/>
              </w:rPr>
              <w:t xml:space="preserve">dupilumab </w:t>
            </w:r>
            <w:r w:rsidRPr="00F70F8F">
              <w:rPr>
                <w:rFonts w:ascii="Calibri" w:eastAsia="Times New Roman" w:hAnsi="Calibri" w:cs="Arial"/>
                <w:sz w:val="20"/>
                <w:szCs w:val="20"/>
                <w:lang w:eastAsia="en-AU"/>
              </w:rPr>
              <w:t>for this condition and wish to commence a new Treatment Cycle;</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 must have failed to achieve an adequate response to oral cyclosporin at a dose of at least 2 mg per kg per day for at least 6 weeks; OR</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 must have had prior intolerance to cyclosporin of a severity to necessitate permanent treatment withdrawal; OR</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 xml:space="preserve">Patient </w:t>
            </w:r>
            <w:r w:rsidRPr="00F70F8F">
              <w:rPr>
                <w:rFonts w:ascii="Calibri" w:eastAsia="Times New Roman" w:hAnsi="Calibri" w:cs="Arial"/>
                <w:strike/>
                <w:sz w:val="20"/>
                <w:szCs w:val="20"/>
                <w:lang w:eastAsia="en-AU"/>
              </w:rPr>
              <w:t>was</w:t>
            </w:r>
            <w:r w:rsidRPr="00F70F8F">
              <w:rPr>
                <w:rFonts w:ascii="Calibri" w:eastAsia="Times New Roman" w:hAnsi="Calibri" w:cs="Arial"/>
                <w:sz w:val="20"/>
                <w:szCs w:val="20"/>
                <w:lang w:eastAsia="en-AU"/>
              </w:rPr>
              <w:t xml:space="preserve"> </w:t>
            </w:r>
            <w:r w:rsidRPr="00F70F8F">
              <w:rPr>
                <w:rFonts w:ascii="Calibri" w:eastAsia="Times New Roman" w:hAnsi="Calibri" w:cs="Arial"/>
                <w:i/>
                <w:sz w:val="20"/>
                <w:szCs w:val="20"/>
                <w:lang w:eastAsia="en-AU"/>
              </w:rPr>
              <w:t>must</w:t>
            </w:r>
            <w:r w:rsidRPr="00F70F8F">
              <w:rPr>
                <w:rFonts w:ascii="Calibri" w:eastAsia="Times New Roman" w:hAnsi="Calibri" w:cs="Arial"/>
                <w:sz w:val="20"/>
                <w:szCs w:val="20"/>
                <w:lang w:eastAsia="en-AU"/>
              </w:rPr>
              <w:t xml:space="preserve"> not </w:t>
            </w:r>
            <w:r w:rsidRPr="00F70F8F">
              <w:rPr>
                <w:rFonts w:ascii="Calibri" w:eastAsia="Times New Roman" w:hAnsi="Calibri" w:cs="Arial"/>
                <w:i/>
                <w:sz w:val="20"/>
                <w:szCs w:val="20"/>
                <w:lang w:eastAsia="en-AU"/>
              </w:rPr>
              <w:t>be</w:t>
            </w:r>
            <w:r w:rsidRPr="00F70F8F">
              <w:rPr>
                <w:rFonts w:ascii="Calibri" w:eastAsia="Times New Roman" w:hAnsi="Calibri" w:cs="Arial"/>
                <w:sz w:val="20"/>
                <w:szCs w:val="20"/>
                <w:lang w:eastAsia="en-AU"/>
              </w:rPr>
              <w:t xml:space="preserve"> a candidate for cyclosporin due to:</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-Medical contraindication, or</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-Hypersensitivity to cyclosporin active substance or excipients, or</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-Use of concomitant medications which prohibited cyclosporine;</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 xml:space="preserve">Patient must have signed a patient and prescriber acknowledgment </w:t>
            </w:r>
            <w:r w:rsidRPr="00F70F8F">
              <w:rPr>
                <w:rFonts w:ascii="Calibri" w:eastAsia="Times New Roman" w:hAnsi="Calibri" w:cs="Arial"/>
                <w:i/>
                <w:sz w:val="20"/>
                <w:szCs w:val="20"/>
                <w:lang w:eastAsia="en-AU"/>
              </w:rPr>
              <w:t>indicating they understand and acknowledge</w:t>
            </w:r>
            <w:r w:rsidRPr="00F70F8F">
              <w:rPr>
                <w:rFonts w:ascii="Calibri" w:eastAsia="Times New Roman" w:hAnsi="Calibri" w:cs="Arial"/>
                <w:sz w:val="20"/>
                <w:szCs w:val="20"/>
                <w:lang w:eastAsia="en-AU"/>
              </w:rPr>
              <w:t xml:space="preserve"> that PBS-subsidised treatment will cease if they do not meet the predetermined response criteri</w:t>
            </w:r>
            <w:r w:rsidRPr="00F70F8F">
              <w:rPr>
                <w:rFonts w:ascii="Calibri" w:eastAsia="Times New Roman" w:hAnsi="Calibri" w:cs="Arial"/>
                <w:i/>
                <w:sz w:val="20"/>
                <w:szCs w:val="20"/>
                <w:lang w:eastAsia="en-AU"/>
              </w:rPr>
              <w:t>on</w:t>
            </w:r>
            <w:r w:rsidRPr="00F70F8F">
              <w:rPr>
                <w:rFonts w:ascii="Calibri" w:eastAsia="Times New Roman" w:hAnsi="Calibri" w:cs="Arial"/>
                <w:strike/>
                <w:sz w:val="20"/>
                <w:szCs w:val="20"/>
                <w:lang w:eastAsia="en-AU"/>
              </w:rPr>
              <w:t>a</w:t>
            </w:r>
            <w:r w:rsidRPr="00F70F8F">
              <w:rPr>
                <w:rFonts w:ascii="Calibri" w:eastAsia="Times New Roman" w:hAnsi="Calibri" w:cs="Arial"/>
                <w:sz w:val="20"/>
                <w:szCs w:val="20"/>
                <w:lang w:eastAsia="en-AU"/>
              </w:rPr>
              <w:t xml:space="preserve"> for ongoing PBS-subsidised treatment, as outlined in the restriction for continuing treatment </w:t>
            </w:r>
            <w:r w:rsidRPr="00F70F8F">
              <w:rPr>
                <w:rFonts w:ascii="Calibri" w:eastAsia="Times New Roman" w:hAnsi="Calibri" w:cs="Arial"/>
                <w:i/>
                <w:sz w:val="20"/>
                <w:szCs w:val="20"/>
                <w:lang w:eastAsia="en-AU"/>
              </w:rPr>
              <w:t>(whole body);</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The treatment must be as systemic monotherapy (other than oral corticosteroids)</w:t>
            </w:r>
            <w:r w:rsidRPr="00F70F8F">
              <w:rPr>
                <w:rFonts w:ascii="Calibri" w:eastAsia="Times New Roman" w:hAnsi="Calibri" w:cs="Arial"/>
                <w:i/>
                <w:sz w:val="20"/>
                <w:szCs w:val="20"/>
                <w:lang w:eastAsia="en-AU"/>
              </w:rPr>
              <w:t>;</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 must not receive more than 16 weeks of treatment under this restriction.</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strike/>
                <w:sz w:val="20"/>
                <w:szCs w:val="20"/>
                <w:lang w:eastAsia="en-AU"/>
              </w:rPr>
              <w:t>Adults aged ≥ 18 years with severe atopic dermatitis</w:t>
            </w:r>
            <w:r w:rsidRPr="00F70F8F">
              <w:rPr>
                <w:rFonts w:ascii="Calibri" w:eastAsia="Times New Roman" w:hAnsi="Calibri" w:cs="Arial"/>
                <w:sz w:val="20"/>
                <w:szCs w:val="20"/>
                <w:lang w:eastAsia="en-AU"/>
              </w:rPr>
              <w:t xml:space="preserve"> </w:t>
            </w:r>
            <w:r w:rsidRPr="00F70F8F">
              <w:rPr>
                <w:rFonts w:ascii="Calibri" w:eastAsia="Times New Roman" w:hAnsi="Calibri" w:cs="Arial"/>
                <w:i/>
                <w:sz w:val="20"/>
                <w:szCs w:val="20"/>
                <w:lang w:eastAsia="en-AU"/>
              </w:rPr>
              <w:t xml:space="preserve">Patient must be aged </w:t>
            </w:r>
            <w:r w:rsidRPr="00F70F8F">
              <w:rPr>
                <w:rFonts w:ascii="Calibri" w:eastAsia="Times New Roman" w:hAnsi="Calibri" w:cs="Arial"/>
                <w:i/>
                <w:sz w:val="20"/>
                <w:szCs w:val="20"/>
                <w:lang w:eastAsia="en-AU"/>
              </w:rPr>
              <w:lastRenderedPageBreak/>
              <w:t>18 years or older</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trike/>
                <w:sz w:val="20"/>
                <w:szCs w:val="20"/>
                <w:lang w:eastAsia="en-AU"/>
              </w:rPr>
            </w:pPr>
            <w:r w:rsidRPr="00F70F8F">
              <w:rPr>
                <w:rFonts w:ascii="Calibri" w:eastAsia="Times New Roman" w:hAnsi="Calibri" w:cs="Arial"/>
                <w:b/>
                <w:strike/>
                <w:sz w:val="20"/>
                <w:szCs w:val="20"/>
                <w:lang w:eastAsia="en-AU"/>
              </w:rPr>
              <w:lastRenderedPageBreak/>
              <w:t>Definitions</w:t>
            </w:r>
          </w:p>
          <w:p w:rsidR="00F70F8F" w:rsidRPr="00F70F8F" w:rsidRDefault="00F70F8F" w:rsidP="00F70F8F">
            <w:pPr>
              <w:spacing w:before="0" w:after="0"/>
              <w:jc w:val="both"/>
              <w:rPr>
                <w:rFonts w:ascii="Calibri" w:eastAsia="Times New Roman" w:hAnsi="Calibri" w:cs="Arial"/>
                <w:i/>
                <w:sz w:val="20"/>
                <w:szCs w:val="20"/>
                <w:lang w:eastAsia="en-AU"/>
              </w:rPr>
            </w:pPr>
          </w:p>
          <w:p w:rsidR="00F70F8F" w:rsidRPr="00F70F8F" w:rsidRDefault="00F70F8F" w:rsidP="00F70F8F">
            <w:pPr>
              <w:spacing w:before="0" w:after="0"/>
              <w:jc w:val="both"/>
              <w:rPr>
                <w:rFonts w:ascii="Calibri" w:eastAsia="Times New Roman" w:hAnsi="Calibri" w:cs="Arial"/>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trike/>
                <w:sz w:val="20"/>
                <w:szCs w:val="20"/>
                <w:lang w:eastAsia="en-AU"/>
              </w:rPr>
            </w:pPr>
            <w:r w:rsidRPr="00F70F8F">
              <w:rPr>
                <w:rFonts w:ascii="Calibri" w:eastAsia="Times New Roman" w:hAnsi="Calibri" w:cs="Arial"/>
                <w:strike/>
                <w:sz w:val="20"/>
                <w:szCs w:val="20"/>
                <w:vertAlign w:val="superscript"/>
                <w:lang w:eastAsia="en-AU"/>
              </w:rPr>
              <w:t>a</w:t>
            </w:r>
            <w:r w:rsidRPr="00F70F8F">
              <w:rPr>
                <w:rFonts w:ascii="Calibri" w:eastAsia="Times New Roman" w:hAnsi="Calibri" w:cs="Arial"/>
                <w:strike/>
                <w:sz w:val="20"/>
                <w:szCs w:val="20"/>
                <w:lang w:eastAsia="en-AU"/>
              </w:rPr>
              <w:t xml:space="preserve"> New patient (no prior biological agent) or patient recommencing treatment after a break of 5 years or more</w:t>
            </w:r>
          </w:p>
          <w:p w:rsidR="00F70F8F" w:rsidRPr="00F70F8F" w:rsidRDefault="00F70F8F" w:rsidP="00F70F8F">
            <w:pPr>
              <w:spacing w:before="0" w:after="0"/>
              <w:rPr>
                <w:rFonts w:ascii="Calibri" w:eastAsia="Times New Roman" w:hAnsi="Calibri" w:cs="Arial"/>
                <w:strike/>
                <w:sz w:val="20"/>
                <w:szCs w:val="20"/>
                <w:lang w:eastAsia="en-AU"/>
              </w:rPr>
            </w:pPr>
            <w:r w:rsidRPr="00F70F8F">
              <w:rPr>
                <w:rFonts w:ascii="Calibri" w:eastAsia="Times New Roman" w:hAnsi="Calibri" w:cs="Arial"/>
                <w:strike/>
                <w:sz w:val="20"/>
                <w:szCs w:val="20"/>
                <w:vertAlign w:val="superscript"/>
                <w:lang w:eastAsia="en-AU"/>
              </w:rPr>
              <w:t>b</w:t>
            </w:r>
            <w:r w:rsidRPr="00F70F8F">
              <w:rPr>
                <w:rFonts w:ascii="Calibri" w:eastAsia="Times New Roman" w:hAnsi="Calibri" w:cs="Arial"/>
                <w:strike/>
                <w:sz w:val="20"/>
                <w:szCs w:val="20"/>
                <w:lang w:eastAsia="en-AU"/>
              </w:rPr>
              <w:t xml:space="preserve"> Severe atopic dermatitis is defined as an Investigator’s Global Assessment (IGA) score of 4</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Where treatment with cyclosporin is contraindicated according to the relevant TGA-approved Product Information, details must be provided at the time of application.</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Where a patient has a history of intolerance to treatment with cyclosporin, which was of a severity to necessitate permanent treatment withdrawal, details of the degree of this toxicity must be provided at the time of application.</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The following criterion indicates failure to achieve an adequate response to prior treatment and must be demonstrated in the patient at the time of the application:</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 inadequate response to cyclosporin is defined as a flare of atopic dermatitis after dosing of at least 2 mg/kg/day for at least 6 weeks. A flare is defined as an increase in signs and/or symptoms of atopic dermatitis.</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The authority application must be made in writing and must include:</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 a completed authority prescription form; 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(b) a completed Severe Chronic Atopic Dermatitis PBS Authority Application - Supporting Information form which includes the following:</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(i) the completed current Investigator’s Global Assessment (IGA) calculation sheets including the date of assessment of the patient's condition; 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(ii) details of previous cyclosporin therapy, including dosage, date of commencement and duration of therapy; 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(iii) the signed patient and prescriber acknowledgements.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Administrative Advice</w:t>
            </w:r>
          </w:p>
          <w:p w:rsidR="00F70F8F" w:rsidRPr="00F70F8F" w:rsidRDefault="00F70F8F" w:rsidP="00F70F8F">
            <w:pPr>
              <w:spacing w:before="0" w:after="0"/>
              <w:jc w:val="both"/>
              <w:rPr>
                <w:rFonts w:ascii="Calibri" w:eastAsia="Times New Roman" w:hAnsi="Calibri" w:cs="Arial"/>
                <w:i/>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Details of the toxicities, including severity, which will be accepted as a reason for exempting a patient from the requirement for 6 weeks treatment with cyclosporin can be found on the Department of Human Services website (www.humanservices.gov.au).</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Severe atopic dermatitis is defined as an Investigator’s Global Assessment (IGA) score of 4</w:t>
            </w:r>
            <w:r w:rsidR="00E15F92">
              <w:rPr>
                <w:rFonts w:ascii="Calibri" w:eastAsia="Times New Roman" w:hAnsi="Calibri" w:cs="Arial"/>
                <w:i/>
                <w:sz w:val="20"/>
                <w:szCs w:val="20"/>
                <w:lang w:eastAsia="en-AU"/>
              </w:rPr>
              <w:t xml:space="preserve"> on a five point IGA scale where scores range from 0 to 4</w:t>
            </w:r>
            <w:r w:rsidRPr="00F70F8F">
              <w:rPr>
                <w:rFonts w:ascii="Calibri" w:eastAsia="Times New Roman" w:hAnsi="Calibri" w:cs="Arial"/>
                <w:i/>
                <w:sz w:val="20"/>
                <w:szCs w:val="20"/>
                <w:lang w:eastAsia="en-AU"/>
              </w:rPr>
              <w:t>.</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 Eczema Area and Severity Index (EASI) assessment must be made at the time of this application, and after at least 12 weeks of treatment, so there is adequate time for a response to be demonstrated to this initial course of treatment. This assessment, which will be used to determine eligibility for continuing treatment, must be submitted to the Department of Human Services no later than 1 month from the date of completion of this initial course of treatment. Where a response assessment is not undertaken and submitted to the Department of Human Services within these timeframes, the patient will be deemed to have failed to respond to treatment with this drug.</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 xml:space="preserve">In circumstances where it is not possible to submit a response assessment within these timeframes, please call the Department of Human Services on </w:t>
            </w:r>
            <w:r w:rsidRPr="00F70F8F">
              <w:rPr>
                <w:rFonts w:ascii="Calibri" w:eastAsia="Times New Roman" w:hAnsi="Calibri" w:cs="Arial"/>
                <w:sz w:val="20"/>
                <w:szCs w:val="20"/>
                <w:lang w:eastAsia="en-AU"/>
              </w:rPr>
              <w:lastRenderedPageBreak/>
              <w:t>1800 700 270 to discuss.</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It is recommended that an application is posted to the Department of Human Services no later than 2 weeks prior to the patient completing their current treatment course to ensure continuity of treatment for those patients who meet the continuation criterion for PBS-subsidised treatment with this drug.</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 xml:space="preserve"> </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Any queries concerning the arrangements to prescribe may be directed to the Department of Human Services on 1800 700 270 (hours of operation 8 a.m. to 5 p.m. EST Monday to Friday).</w:t>
            </w:r>
          </w:p>
          <w:p w:rsidR="00F70F8F" w:rsidRPr="00F70F8F" w:rsidRDefault="00F70F8F" w:rsidP="00F70F8F">
            <w:pPr>
              <w:spacing w:before="0" w:after="0"/>
              <w:rPr>
                <w:rFonts w:ascii="Calibri" w:eastAsia="Times New Roman" w:hAnsi="Calibri" w:cs="Arial"/>
                <w:i/>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Prescribing information (including Authority Application forms and other relevant documentation as applicable) is available on the Department of Human Services website at www.humanservices.gov.au</w:t>
            </w:r>
          </w:p>
          <w:p w:rsidR="00F70F8F" w:rsidRPr="00F70F8F" w:rsidRDefault="00F70F8F" w:rsidP="00F70F8F">
            <w:pPr>
              <w:spacing w:before="0" w:after="0"/>
              <w:rPr>
                <w:rFonts w:ascii="Calibri" w:eastAsia="Times New Roman" w:hAnsi="Calibri" w:cs="Arial"/>
                <w:i/>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Applications for authority to prescribe should be forwarded to:</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Department of Human Services</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Complex Drugs</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Reply Paid 9826</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HOBART TAS 7001</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i/>
                <w:sz w:val="20"/>
                <w:szCs w:val="20"/>
                <w:lang w:eastAsia="en-AU"/>
              </w:rPr>
              <w:t>Special Pricing Arrangements apply.</w:t>
            </w:r>
          </w:p>
        </w:tc>
      </w:tr>
    </w:tbl>
    <w:p w:rsidR="00F70F8F" w:rsidRPr="00F70F8F" w:rsidRDefault="00F70F8F" w:rsidP="00F70F8F">
      <w:pPr>
        <w:spacing w:before="0" w:after="0"/>
        <w:jc w:val="both"/>
        <w:rPr>
          <w:rFonts w:ascii="Calibri" w:eastAsia="Times New Roman" w:hAnsi="Calibri" w:cs="Arial"/>
          <w:sz w:val="22"/>
          <w:lang w:eastAsia="en-AU"/>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418"/>
        <w:gridCol w:w="1417"/>
      </w:tblGrid>
      <w:tr w:rsidR="00F70F8F" w:rsidRPr="00F70F8F" w:rsidTr="00C269AD">
        <w:trPr>
          <w:trHeight w:val="471"/>
        </w:trPr>
        <w:tc>
          <w:tcPr>
            <w:tcW w:w="3261" w:type="dxa"/>
            <w:gridSpan w:val="2"/>
            <w:tcBorders>
              <w:bottom w:val="single" w:sz="4" w:space="0" w:color="auto"/>
            </w:tcBorders>
          </w:tcPr>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Name, Restriction,</w:t>
            </w:r>
          </w:p>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Manner of administration and form</w:t>
            </w:r>
          </w:p>
        </w:tc>
        <w:tc>
          <w:tcPr>
            <w:tcW w:w="567" w:type="dxa"/>
            <w:tcBorders>
              <w:bottom w:val="single" w:sz="4" w:space="0" w:color="auto"/>
            </w:tcBorders>
          </w:tcPr>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Max.</w:t>
            </w:r>
          </w:p>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Qty</w:t>
            </w:r>
          </w:p>
        </w:tc>
        <w:tc>
          <w:tcPr>
            <w:tcW w:w="850" w:type="dxa"/>
            <w:tcBorders>
              <w:bottom w:val="single" w:sz="4" w:space="0" w:color="auto"/>
            </w:tcBorders>
          </w:tcPr>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№.of</w:t>
            </w:r>
          </w:p>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Rpts</w:t>
            </w:r>
          </w:p>
        </w:tc>
        <w:tc>
          <w:tcPr>
            <w:tcW w:w="1701" w:type="dxa"/>
            <w:tcBorders>
              <w:bottom w:val="single" w:sz="4" w:space="0" w:color="auto"/>
            </w:tcBorders>
          </w:tcPr>
          <w:p w:rsidR="00F70F8F" w:rsidRPr="00D75311" w:rsidRDefault="00F70F8F" w:rsidP="00D75311">
            <w:pPr>
              <w:keepNext/>
              <w:spacing w:before="0" w:after="0"/>
              <w:ind w:left="-108"/>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Dispensed Price for Max. Qty</w:t>
            </w:r>
          </w:p>
        </w:tc>
        <w:tc>
          <w:tcPr>
            <w:tcW w:w="2835" w:type="dxa"/>
            <w:gridSpan w:val="2"/>
            <w:tcBorders>
              <w:bottom w:val="single" w:sz="4" w:space="0" w:color="auto"/>
            </w:tcBorders>
          </w:tcPr>
          <w:p w:rsidR="00F70F8F" w:rsidRPr="00D75311" w:rsidRDefault="00F70F8F" w:rsidP="00D75311">
            <w:pPr>
              <w:keepNext/>
              <w:spacing w:before="0" w:after="0"/>
              <w:rPr>
                <w:rFonts w:ascii="Calibri" w:eastAsia="Times New Roman" w:hAnsi="Calibri" w:cs="Arial"/>
                <w:b/>
                <w:sz w:val="20"/>
                <w:szCs w:val="20"/>
                <w:lang w:val="fr-FR" w:eastAsia="en-AU"/>
              </w:rPr>
            </w:pPr>
            <w:r w:rsidRPr="00D75311">
              <w:rPr>
                <w:rFonts w:ascii="Calibri" w:eastAsia="Times New Roman" w:hAnsi="Calibri" w:cs="Arial"/>
                <w:b/>
                <w:sz w:val="20"/>
                <w:szCs w:val="20"/>
                <w:lang w:eastAsia="en-AU"/>
              </w:rPr>
              <w:t>Proprietary Name and Manufacturer</w:t>
            </w:r>
          </w:p>
        </w:tc>
      </w:tr>
      <w:tr w:rsidR="00F70F8F" w:rsidRPr="00F70F8F" w:rsidTr="00C269AD">
        <w:trPr>
          <w:trHeight w:val="577"/>
        </w:trPr>
        <w:tc>
          <w:tcPr>
            <w:tcW w:w="3261" w:type="dxa"/>
            <w:gridSpan w:val="2"/>
          </w:tcPr>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mallCaps/>
                <w:sz w:val="20"/>
                <w:szCs w:val="20"/>
                <w:lang w:eastAsia="en-AU"/>
              </w:rPr>
              <w:t>dupilumab</w:t>
            </w: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300 mg in 2 mL pre-filled syringe</w:t>
            </w:r>
          </w:p>
        </w:tc>
        <w:tc>
          <w:tcPr>
            <w:tcW w:w="567" w:type="dxa"/>
          </w:tcPr>
          <w:p w:rsidR="00F70F8F" w:rsidRPr="00F70F8F" w:rsidRDefault="00F70F8F" w:rsidP="00F70F8F">
            <w:pPr>
              <w:keepNext/>
              <w:spacing w:before="0" w:after="0"/>
              <w:ind w:left="-108"/>
              <w:jc w:val="both"/>
              <w:rPr>
                <w:rFonts w:ascii="Calibri" w:eastAsia="Times New Roman" w:hAnsi="Calibri" w:cs="Arial"/>
                <w:sz w:val="20"/>
                <w:szCs w:val="20"/>
                <w:lang w:eastAsia="en-AU"/>
              </w:rPr>
            </w:pP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4</w:t>
            </w:r>
          </w:p>
        </w:tc>
        <w:tc>
          <w:tcPr>
            <w:tcW w:w="850" w:type="dxa"/>
          </w:tcPr>
          <w:p w:rsidR="00F70F8F" w:rsidRPr="00F70F8F" w:rsidRDefault="00F70F8F" w:rsidP="00F70F8F">
            <w:pPr>
              <w:keepNext/>
              <w:spacing w:before="0" w:after="0"/>
              <w:ind w:left="-108"/>
              <w:jc w:val="both"/>
              <w:rPr>
                <w:rFonts w:ascii="Calibri" w:eastAsia="Times New Roman" w:hAnsi="Calibri" w:cs="Arial"/>
                <w:sz w:val="20"/>
                <w:szCs w:val="20"/>
                <w:lang w:eastAsia="en-AU"/>
              </w:rPr>
            </w:pPr>
          </w:p>
          <w:p w:rsidR="00F70F8F" w:rsidRPr="00F70F8F" w:rsidRDefault="00396A35" w:rsidP="00F70F8F">
            <w:pPr>
              <w:keepNext/>
              <w:spacing w:before="0" w:after="0"/>
              <w:ind w:left="-108"/>
              <w:jc w:val="both"/>
              <w:rPr>
                <w:rFonts w:ascii="Calibri" w:eastAsia="Times New Roman" w:hAnsi="Calibri" w:cs="Arial"/>
                <w:sz w:val="20"/>
                <w:szCs w:val="20"/>
                <w:lang w:eastAsia="en-AU"/>
              </w:rPr>
            </w:pPr>
            <w:r w:rsidRPr="00396A35">
              <w:rPr>
                <w:rFonts w:ascii="Calibri" w:eastAsia="Times New Roman" w:hAnsi="Calibri" w:cs="Arial"/>
                <w:sz w:val="20"/>
                <w:szCs w:val="20"/>
                <w:lang w:eastAsia="en-AU"/>
              </w:rPr>
              <w:t>0</w:t>
            </w:r>
          </w:p>
        </w:tc>
        <w:tc>
          <w:tcPr>
            <w:tcW w:w="1701" w:type="dxa"/>
          </w:tcPr>
          <w:p w:rsidR="00F70F8F" w:rsidRPr="00F70F8F" w:rsidRDefault="00F70F8F" w:rsidP="00F70F8F">
            <w:pPr>
              <w:keepNext/>
              <w:spacing w:before="0" w:after="0"/>
              <w:ind w:left="-108"/>
              <w:jc w:val="both"/>
              <w:rPr>
                <w:rFonts w:ascii="Calibri" w:eastAsia="Times New Roman" w:hAnsi="Calibri" w:cs="Arial"/>
                <w:sz w:val="20"/>
                <w:szCs w:val="20"/>
                <w:lang w:eastAsia="en-AU"/>
              </w:rPr>
            </w:pP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w:t>
            </w:r>
            <w:r w:rsidR="00330093">
              <w:rPr>
                <w:rFonts w:ascii="Calibri" w:eastAsia="Times New Roman" w:hAnsi="Calibri" w:cs="Arial"/>
                <w:noProof/>
                <w:color w:val="000000"/>
                <w:sz w:val="20"/>
                <w:szCs w:val="20"/>
                <w:highlight w:val="black"/>
                <w:lang w:eastAsia="en-AU"/>
              </w:rPr>
              <w:t>'''''''''''''''</w:t>
            </w:r>
          </w:p>
        </w:tc>
        <w:tc>
          <w:tcPr>
            <w:tcW w:w="1418" w:type="dxa"/>
          </w:tcPr>
          <w:p w:rsidR="00D75311" w:rsidRDefault="00D75311" w:rsidP="00F70F8F">
            <w:pPr>
              <w:keepNext/>
              <w:spacing w:before="0" w:after="0"/>
              <w:jc w:val="both"/>
              <w:rPr>
                <w:rFonts w:ascii="Calibri" w:eastAsia="Times New Roman" w:hAnsi="Calibri" w:cs="Arial"/>
                <w:sz w:val="20"/>
                <w:szCs w:val="20"/>
                <w:lang w:eastAsia="en-AU"/>
              </w:rPr>
            </w:pPr>
          </w:p>
          <w:p w:rsidR="00F70F8F" w:rsidRPr="00F70F8F" w:rsidRDefault="00F70F8F" w:rsidP="00F70F8F">
            <w:pPr>
              <w:keepNext/>
              <w:spacing w:before="0" w:after="0"/>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Dupixent®</w:t>
            </w:r>
          </w:p>
        </w:tc>
        <w:tc>
          <w:tcPr>
            <w:tcW w:w="1417" w:type="dxa"/>
          </w:tcPr>
          <w:p w:rsidR="00D75311" w:rsidRDefault="00D75311" w:rsidP="00F70F8F">
            <w:pPr>
              <w:keepNext/>
              <w:spacing w:before="0" w:after="0"/>
              <w:jc w:val="both"/>
              <w:rPr>
                <w:rFonts w:ascii="Calibri" w:eastAsia="Times New Roman" w:hAnsi="Calibri" w:cs="Arial"/>
                <w:sz w:val="20"/>
                <w:szCs w:val="20"/>
                <w:lang w:eastAsia="en-AU"/>
              </w:rPr>
            </w:pPr>
          </w:p>
          <w:p w:rsidR="00F70F8F" w:rsidRPr="00F70F8F" w:rsidRDefault="00F70F8F" w:rsidP="00F70F8F">
            <w:pPr>
              <w:keepNext/>
              <w:spacing w:before="0" w:after="0"/>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Sanofi-Aventis</w:t>
            </w:r>
          </w:p>
        </w:tc>
      </w:tr>
      <w:tr w:rsidR="00F70F8F" w:rsidRPr="00F70F8F" w:rsidTr="00C269AD">
        <w:trPr>
          <w:trHeight w:val="360"/>
        </w:trPr>
        <w:tc>
          <w:tcPr>
            <w:tcW w:w="9214" w:type="dxa"/>
            <w:gridSpan w:val="7"/>
            <w:tcBorders>
              <w:bottom w:val="single" w:sz="4" w:space="0" w:color="auto"/>
            </w:tcBorders>
          </w:tcPr>
          <w:p w:rsidR="00F70F8F" w:rsidRPr="00F70F8F" w:rsidRDefault="00F70F8F" w:rsidP="00F70F8F">
            <w:pPr>
              <w:spacing w:before="0" w:after="0"/>
              <w:jc w:val="both"/>
              <w:rPr>
                <w:rFonts w:ascii="Calibri" w:eastAsia="Times New Roman" w:hAnsi="Calibri" w:cs="Arial"/>
                <w:sz w:val="20"/>
                <w:szCs w:val="20"/>
                <w:lang w:eastAsia="en-AU"/>
              </w:rPr>
            </w:pP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GENERAL – General Schedule (Code GE)</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Prescriber type:</w:t>
            </w:r>
          </w:p>
          <w:p w:rsidR="00F70F8F" w:rsidRPr="00F70F8F" w:rsidRDefault="00F70F8F" w:rsidP="00F70F8F">
            <w:pPr>
              <w:spacing w:before="0" w:after="0"/>
              <w:jc w:val="both"/>
              <w:rPr>
                <w:rFonts w:ascii="Calibri" w:eastAsia="Times New Roman" w:hAnsi="Calibri" w:cs="Arial"/>
                <w:b/>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1"/>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 xml:space="preserve">Dental  </w:t>
            </w:r>
            <w:r w:rsidRPr="00F70F8F">
              <w:rPr>
                <w:rFonts w:ascii="Calibri" w:eastAsia="Times New Roman" w:hAnsi="Calibri" w:cs="Arial"/>
                <w:sz w:val="20"/>
                <w:szCs w:val="20"/>
                <w:lang w:eastAsia="en-AU"/>
              </w:rPr>
              <w:fldChar w:fldCharType="begin">
                <w:ffData>
                  <w:name w:val=""/>
                  <w:enabled/>
                  <w:calcOnExit w:val="0"/>
                  <w:checkBox>
                    <w:sizeAuto/>
                    <w:default w:val="1"/>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 xml:space="preserve">Medical Practitioners  </w:t>
            </w:r>
            <w:r w:rsidRPr="00F70F8F">
              <w:rPr>
                <w:rFonts w:ascii="Calibri" w:eastAsia="Times New Roman" w:hAnsi="Calibri" w:cs="Arial"/>
                <w:sz w:val="20"/>
                <w:szCs w:val="20"/>
                <w:lang w:eastAsia="en-AU"/>
              </w:rPr>
              <w:fldChar w:fldCharType="begin">
                <w:ffData>
                  <w:name w:val="Check3"/>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 xml:space="preserve">Nurse practitioners  </w:t>
            </w:r>
            <w:r w:rsidRPr="00F70F8F">
              <w:rPr>
                <w:rFonts w:ascii="Calibri" w:eastAsia="Times New Roman" w:hAnsi="Calibri" w:cs="Arial"/>
                <w:sz w:val="20"/>
                <w:szCs w:val="20"/>
                <w:lang w:eastAsia="en-AU"/>
              </w:rPr>
              <w:fldChar w:fldCharType="begin">
                <w:ffData>
                  <w:name w:val=""/>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Optometrists</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5"/>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Midwives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Chronic</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i/>
                <w:sz w:val="20"/>
                <w:szCs w:val="20"/>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i/>
                <w:sz w:val="20"/>
                <w:szCs w:val="20"/>
                <w:lang w:eastAsia="en-AU"/>
              </w:rPr>
              <w:t>Severe</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trike/>
                <w:sz w:val="20"/>
                <w:szCs w:val="20"/>
                <w:lang w:eastAsia="en-AU"/>
              </w:rPr>
              <w:t>Severe</w:t>
            </w:r>
            <w:r w:rsidRPr="00F70F8F">
              <w:rPr>
                <w:rFonts w:ascii="Calibri" w:eastAsia="Times New Roman" w:hAnsi="Calibri" w:cs="Arial"/>
                <w:sz w:val="20"/>
                <w:szCs w:val="20"/>
                <w:lang w:eastAsia="en-AU"/>
              </w:rPr>
              <w:t xml:space="preserve"> atopic dermatitis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i/>
                <w:sz w:val="20"/>
                <w:szCs w:val="20"/>
                <w:lang w:eastAsia="en-AU"/>
              </w:rPr>
              <w:t xml:space="preserve">Chronic </w:t>
            </w:r>
            <w:r w:rsidRPr="00F70F8F">
              <w:rPr>
                <w:rFonts w:ascii="Calibri" w:eastAsia="Times New Roman" w:hAnsi="Calibri" w:cs="Arial"/>
                <w:strike/>
                <w:sz w:val="20"/>
                <w:szCs w:val="20"/>
                <w:lang w:eastAsia="en-AU"/>
              </w:rPr>
              <w:t>S</w:t>
            </w:r>
            <w:r w:rsidRPr="00F70F8F">
              <w:rPr>
                <w:rFonts w:ascii="Calibri" w:eastAsia="Times New Roman" w:hAnsi="Calibri" w:cs="Arial"/>
                <w:i/>
                <w:sz w:val="20"/>
                <w:szCs w:val="20"/>
                <w:lang w:eastAsia="en-AU"/>
              </w:rPr>
              <w:t>s</w:t>
            </w:r>
            <w:r w:rsidRPr="00F70F8F">
              <w:rPr>
                <w:rFonts w:ascii="Calibri" w:eastAsia="Times New Roman" w:hAnsi="Calibri" w:cs="Arial"/>
                <w:sz w:val="20"/>
                <w:szCs w:val="20"/>
                <w:lang w:eastAsia="en-AU"/>
              </w:rPr>
              <w:t>evere atopic dermatitis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strike/>
                <w:sz w:val="20"/>
                <w:szCs w:val="20"/>
                <w:lang w:eastAsia="en-AU"/>
              </w:rPr>
              <w:t>Initial 2</w:t>
            </w:r>
            <w:r w:rsidRPr="00F70F8F">
              <w:rPr>
                <w:rFonts w:ascii="Calibri" w:eastAsia="Times New Roman" w:hAnsi="Calibri" w:cs="Arial"/>
                <w:strike/>
                <w:sz w:val="20"/>
                <w:szCs w:val="20"/>
                <w:vertAlign w:val="superscript"/>
                <w:lang w:eastAsia="en-AU"/>
              </w:rPr>
              <w:t>a</w:t>
            </w:r>
            <w:r w:rsidRPr="00F70F8F">
              <w:rPr>
                <w:rFonts w:ascii="Calibri" w:eastAsia="Times New Roman" w:hAnsi="Calibri" w:cs="Arial"/>
                <w:strike/>
                <w:sz w:val="20"/>
                <w:szCs w:val="20"/>
                <w:lang w:eastAsia="en-AU"/>
              </w:rPr>
              <w:t xml:space="preserve"> </w:t>
            </w:r>
            <w:r w:rsidRPr="00F70F8F">
              <w:rPr>
                <w:rFonts w:ascii="Calibri" w:eastAsia="Times New Roman" w:hAnsi="Calibri" w:cs="Arial"/>
                <w:i/>
                <w:sz w:val="20"/>
                <w:szCs w:val="20"/>
                <w:lang w:eastAsia="en-AU"/>
              </w:rPr>
              <w:t>Initial 2 (change or recommencement of treatment after a break of less than 5 years)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Restriction Level / Method:</w:t>
            </w:r>
          </w:p>
          <w:p w:rsidR="00F70F8F" w:rsidRPr="00F70F8F" w:rsidRDefault="00F70F8F" w:rsidP="00F70F8F">
            <w:pPr>
              <w:spacing w:before="0" w:after="0"/>
              <w:rPr>
                <w:rFonts w:ascii="Calibri" w:eastAsia="Times New Roman" w:hAnsi="Calibri" w:cs="Arial"/>
                <w:i/>
                <w:sz w:val="20"/>
                <w:szCs w:val="20"/>
                <w:highlight w:val="yellow"/>
                <w:lang w:eastAsia="en-AU"/>
              </w:rPr>
            </w:pPr>
          </w:p>
          <w:p w:rsidR="00F70F8F" w:rsidRPr="00F70F8F" w:rsidRDefault="00F70F8F" w:rsidP="00F70F8F">
            <w:pPr>
              <w:spacing w:before="0" w:after="0"/>
              <w:rPr>
                <w:rFonts w:ascii="Calibri" w:eastAsia="Times New Roman" w:hAnsi="Calibri" w:cs="Arial"/>
                <w:i/>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1"/>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Restricted benefit</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
                  <w:enabled/>
                  <w:calcOnExit w:val="0"/>
                  <w:checkBox>
                    <w:sizeAuto/>
                    <w:default w:val="1"/>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In Writing</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3"/>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Telephone</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Emergency</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5"/>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Electronic</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5"/>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Streamlined</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Must be treated by a dermatologist, OR</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Must be treated by a clinical immunologist.</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Clinical criteria:</w:t>
            </w:r>
          </w:p>
          <w:p w:rsidR="00F70F8F" w:rsidRPr="00F70F8F" w:rsidRDefault="00F70F8F" w:rsidP="00F70F8F">
            <w:pPr>
              <w:spacing w:before="0" w:after="0"/>
              <w:jc w:val="both"/>
              <w:rPr>
                <w:rFonts w:ascii="Calibri" w:eastAsia="Times New Roman" w:hAnsi="Calibri" w:cs="Arial"/>
                <w:i/>
                <w:sz w:val="20"/>
                <w:szCs w:val="20"/>
                <w:lang w:eastAsia="en-AU"/>
              </w:rPr>
            </w:pPr>
          </w:p>
          <w:p w:rsidR="00F70F8F" w:rsidRPr="00F70F8F" w:rsidRDefault="00F70F8F" w:rsidP="00F70F8F">
            <w:pPr>
              <w:spacing w:before="0" w:after="0"/>
              <w:jc w:val="both"/>
              <w:rPr>
                <w:rFonts w:ascii="Calibri" w:eastAsia="Times New Roman" w:hAnsi="Calibri" w:cs="Arial"/>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lastRenderedPageBreak/>
              <w:t>Patient must have a documented history of severe</w:t>
            </w:r>
            <w:r w:rsidRPr="00F70F8F">
              <w:rPr>
                <w:rFonts w:ascii="Calibri" w:eastAsia="Times New Roman" w:hAnsi="Calibri" w:cs="Arial"/>
                <w:strike/>
                <w:sz w:val="20"/>
                <w:szCs w:val="20"/>
                <w:vertAlign w:val="superscript"/>
                <w:lang w:eastAsia="en-AU"/>
              </w:rPr>
              <w:t>b</w:t>
            </w:r>
            <w:r w:rsidRPr="00F70F8F">
              <w:rPr>
                <w:rFonts w:ascii="Calibri" w:eastAsia="Times New Roman" w:hAnsi="Calibri" w:cs="Arial"/>
                <w:sz w:val="20"/>
                <w:szCs w:val="20"/>
                <w:lang w:eastAsia="en-AU"/>
              </w:rPr>
              <w:t xml:space="preserve"> chronic atopic dermatitis;</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lastRenderedPageBreak/>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 xml:space="preserve">Patient must have received prior PBS-subsidised treatment with </w:t>
            </w:r>
            <w:r w:rsidRPr="00F70F8F">
              <w:rPr>
                <w:rFonts w:ascii="Calibri" w:eastAsia="Times New Roman" w:hAnsi="Calibri" w:cs="Arial"/>
                <w:strike/>
                <w:sz w:val="20"/>
                <w:szCs w:val="20"/>
                <w:lang w:eastAsia="en-AU"/>
              </w:rPr>
              <w:t>a biological</w:t>
            </w:r>
            <w:r w:rsidRPr="00F70F8F">
              <w:rPr>
                <w:rFonts w:ascii="Calibri" w:eastAsia="Times New Roman" w:hAnsi="Calibri" w:cs="Arial"/>
                <w:sz w:val="20"/>
                <w:szCs w:val="20"/>
                <w:lang w:eastAsia="en-AU"/>
              </w:rPr>
              <w:t xml:space="preserve"> </w:t>
            </w:r>
            <w:r w:rsidRPr="00F70F8F">
              <w:rPr>
                <w:rFonts w:ascii="Calibri" w:eastAsia="Times New Roman" w:hAnsi="Calibri" w:cs="Arial"/>
                <w:strike/>
                <w:sz w:val="20"/>
                <w:szCs w:val="20"/>
                <w:lang w:eastAsia="en-AU"/>
              </w:rPr>
              <w:t>agent</w:t>
            </w:r>
            <w:r w:rsidRPr="00F70F8F">
              <w:rPr>
                <w:rFonts w:ascii="Calibri" w:eastAsia="Times New Roman" w:hAnsi="Calibri" w:cs="Arial"/>
                <w:sz w:val="20"/>
                <w:szCs w:val="20"/>
                <w:lang w:eastAsia="en-AU"/>
              </w:rPr>
              <w:t xml:space="preserve"> </w:t>
            </w:r>
            <w:r w:rsidRPr="00F70F8F">
              <w:rPr>
                <w:rFonts w:ascii="Calibri" w:eastAsia="Times New Roman" w:hAnsi="Calibri" w:cs="Arial"/>
                <w:i/>
                <w:sz w:val="20"/>
                <w:szCs w:val="20"/>
                <w:lang w:eastAsia="en-AU"/>
              </w:rPr>
              <w:t>dupilumab</w:t>
            </w:r>
            <w:r w:rsidRPr="00F70F8F">
              <w:rPr>
                <w:rFonts w:ascii="Calibri" w:eastAsia="Times New Roman" w:hAnsi="Calibri" w:cs="Arial"/>
                <w:sz w:val="20"/>
                <w:szCs w:val="20"/>
                <w:lang w:eastAsia="en-AU"/>
              </w:rPr>
              <w:t xml:space="preserve"> for this condition in this Treatment Cycle;</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 must not have failed, or ceased to respond to, PBS-subsidised treatment with this drug during the current Treatment Cycle;</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The treatment must be as systemic monotherapy (other than oral corticosteroids);</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 must not receive more than 16 weeks of treatment under this restriction.</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lastRenderedPageBreak/>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trike/>
                <w:sz w:val="20"/>
                <w:szCs w:val="20"/>
                <w:lang w:eastAsia="en-AU"/>
              </w:rPr>
              <w:t>Adults aged ≥ 18 years with severe atopic dermatitis</w:t>
            </w:r>
            <w:r w:rsidRPr="00F70F8F">
              <w:rPr>
                <w:rFonts w:ascii="Calibri" w:eastAsia="Times New Roman" w:hAnsi="Calibri" w:cs="Arial"/>
                <w:sz w:val="20"/>
                <w:szCs w:val="20"/>
                <w:lang w:eastAsia="en-AU"/>
              </w:rPr>
              <w:t xml:space="preserve"> </w:t>
            </w:r>
            <w:r w:rsidRPr="00F70F8F">
              <w:rPr>
                <w:rFonts w:ascii="Calibri" w:eastAsia="Times New Roman" w:hAnsi="Calibri" w:cs="Arial"/>
                <w:i/>
                <w:sz w:val="20"/>
                <w:szCs w:val="20"/>
                <w:lang w:eastAsia="en-AU"/>
              </w:rPr>
              <w:t>Patient must be aged 18 years or older</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trike/>
                <w:sz w:val="20"/>
                <w:szCs w:val="20"/>
                <w:lang w:eastAsia="en-AU"/>
              </w:rPr>
            </w:pPr>
            <w:r w:rsidRPr="00F70F8F">
              <w:rPr>
                <w:rFonts w:ascii="Calibri" w:eastAsia="Times New Roman" w:hAnsi="Calibri" w:cs="Arial"/>
                <w:b/>
                <w:strike/>
                <w:sz w:val="20"/>
                <w:szCs w:val="20"/>
                <w:lang w:eastAsia="en-AU"/>
              </w:rPr>
              <w:t>Definitions</w:t>
            </w:r>
          </w:p>
          <w:p w:rsidR="00F70F8F" w:rsidRPr="00F70F8F" w:rsidRDefault="00F70F8F" w:rsidP="00F70F8F">
            <w:pPr>
              <w:spacing w:before="0" w:after="0"/>
              <w:jc w:val="both"/>
              <w:rPr>
                <w:rFonts w:ascii="Calibri" w:eastAsia="Times New Roman" w:hAnsi="Calibri" w:cs="Arial"/>
                <w:strike/>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trike/>
                <w:sz w:val="20"/>
                <w:szCs w:val="20"/>
                <w:lang w:eastAsia="en-AU"/>
              </w:rPr>
            </w:pPr>
            <w:r w:rsidRPr="00F70F8F">
              <w:rPr>
                <w:rFonts w:ascii="Calibri" w:eastAsia="Times New Roman" w:hAnsi="Calibri" w:cs="Arial"/>
                <w:strike/>
                <w:sz w:val="20"/>
                <w:szCs w:val="20"/>
                <w:vertAlign w:val="superscript"/>
                <w:lang w:eastAsia="en-AU"/>
              </w:rPr>
              <w:t>a</w:t>
            </w:r>
            <w:r w:rsidRPr="00F70F8F">
              <w:rPr>
                <w:rFonts w:ascii="Calibri" w:eastAsia="Times New Roman" w:hAnsi="Calibri" w:cs="Arial"/>
                <w:strike/>
                <w:sz w:val="20"/>
                <w:szCs w:val="20"/>
                <w:lang w:eastAsia="en-AU"/>
              </w:rPr>
              <w:t xml:space="preserve"> Change or recommencement of treatment after a break of less than 5 years</w:t>
            </w:r>
          </w:p>
          <w:p w:rsidR="00F70F8F" w:rsidRPr="00F70F8F" w:rsidRDefault="00F70F8F" w:rsidP="00F70F8F">
            <w:pPr>
              <w:spacing w:before="0" w:after="0"/>
              <w:rPr>
                <w:rFonts w:ascii="Calibri" w:eastAsia="Times New Roman" w:hAnsi="Calibri" w:cs="Arial"/>
                <w:strike/>
                <w:sz w:val="20"/>
                <w:szCs w:val="20"/>
                <w:lang w:eastAsia="en-AU"/>
              </w:rPr>
            </w:pPr>
            <w:r w:rsidRPr="00F70F8F">
              <w:rPr>
                <w:rFonts w:ascii="Calibri" w:eastAsia="Times New Roman" w:hAnsi="Calibri" w:cs="Arial"/>
                <w:strike/>
                <w:sz w:val="20"/>
                <w:szCs w:val="20"/>
                <w:vertAlign w:val="superscript"/>
                <w:lang w:eastAsia="en-AU"/>
              </w:rPr>
              <w:t>b</w:t>
            </w:r>
            <w:r w:rsidRPr="00F70F8F">
              <w:rPr>
                <w:rFonts w:ascii="Calibri" w:eastAsia="Times New Roman" w:hAnsi="Calibri" w:cs="Arial"/>
                <w:strike/>
                <w:sz w:val="20"/>
                <w:szCs w:val="20"/>
                <w:lang w:eastAsia="en-AU"/>
              </w:rPr>
              <w:t xml:space="preserve"> Severe atopic dermatitis is defined as an Investigator’s Global Assessment (IGA) score of 4</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The authority application must be made in writing and must include:</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 a completed authority prescription form; 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(b) a completed Severe Chronic Atopic Dermatitis PBS Authority Application - Supporting Information form which includes the following:</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(i) the completed current Investigator’s Global Assessment (IGA) calculation sheets including the date of assessment of the patient's condition; 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(ii) details of prior biological treatment, including dosage, date and duration of treatment.</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Applications for patients who have demonstrated a response to PBS-subsidised treatment with this drug within this Treatment Cycle and who wish to recommence treatment with this drug within the same Cycle following a break in therapy, will only be approved where evidence of the patient’s response to their most recent course of PBS-subsidised treatment with this drug has been submitted within 1 month of cessation of treatment.</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 adequate response to treatment is defined as an Eczema Area and Severity Index (EASI) score which is reduced by 75% or more, or is sustained at this level, when compared with the prebiological treatment baseline value for this Treatment Cycle.</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Administrative Advice</w:t>
            </w:r>
          </w:p>
          <w:p w:rsidR="00F70F8F" w:rsidRPr="00F70F8F" w:rsidRDefault="00F70F8F" w:rsidP="00F70F8F">
            <w:pPr>
              <w:spacing w:before="0" w:after="0"/>
              <w:jc w:val="both"/>
              <w:rPr>
                <w:rFonts w:ascii="Calibri" w:eastAsia="Times New Roman" w:hAnsi="Calibri" w:cs="Arial"/>
                <w:i/>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Severe atopic dermatitis is defined as an Investigator’s Global Assessment (IGA) score of 4</w:t>
            </w:r>
            <w:r w:rsidR="00E15F92">
              <w:rPr>
                <w:rFonts w:ascii="Calibri" w:eastAsia="Times New Roman" w:hAnsi="Calibri" w:cs="Arial"/>
                <w:i/>
                <w:sz w:val="20"/>
                <w:szCs w:val="20"/>
                <w:lang w:eastAsia="en-AU"/>
              </w:rPr>
              <w:t xml:space="preserve"> on a five point IGA scale where scores range from 0 to 4</w:t>
            </w:r>
            <w:r w:rsidRPr="00F70F8F">
              <w:rPr>
                <w:rFonts w:ascii="Calibri" w:eastAsia="Times New Roman" w:hAnsi="Calibri" w:cs="Arial"/>
                <w:i/>
                <w:sz w:val="20"/>
                <w:szCs w:val="20"/>
                <w:lang w:eastAsia="en-AU"/>
              </w:rPr>
              <w:t>.</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 Eczema Area and Severity Index (EASI) assessment must be made at the time of this application, and after at least 12 weeks of treatment, so there is adequate time for a response to be demonstrated to this initial course of treatment. This assessment, which will be used to determine eligibility for continuing treatment, must be submitted to the Department of Human Services no later than 1 month from the date of completion of this initial course of treatment. Where a response assessment is not undertaken and submitted to the Department of Human Services within these timeframes, the patient will be deemed to have failed to respond to treatment with this drug.</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It is recommended that an application is submitted to the Department of Human Services no later than 2 weeks prior to the patient completing their current treatment course to ensure continuity of treatment for those patients who meet the continuation criterion for PBS-subsidised treatment with this drug.</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 xml:space="preserve">Patients who fail to demonstrate a response to treatment with a biological agent are deemed to have completed this Treatment Cycle and must cease PBS-subsidised therapy. These patients may recommence a new </w:t>
            </w:r>
            <w:r w:rsidRPr="00F70F8F">
              <w:rPr>
                <w:rFonts w:ascii="Calibri" w:eastAsia="Times New Roman" w:hAnsi="Calibri" w:cs="Arial"/>
                <w:strike/>
                <w:sz w:val="20"/>
                <w:szCs w:val="20"/>
                <w:lang w:eastAsia="en-AU"/>
              </w:rPr>
              <w:t xml:space="preserve">Biological </w:t>
            </w:r>
            <w:r w:rsidRPr="00F70F8F">
              <w:rPr>
                <w:rFonts w:ascii="Calibri" w:eastAsia="Times New Roman" w:hAnsi="Calibri" w:cs="Arial"/>
                <w:sz w:val="20"/>
                <w:szCs w:val="20"/>
                <w:lang w:eastAsia="en-AU"/>
              </w:rPr>
              <w:t xml:space="preserve">Treatment Cycle </w:t>
            </w:r>
            <w:r w:rsidRPr="00F70F8F">
              <w:rPr>
                <w:rFonts w:ascii="Calibri" w:eastAsia="Times New Roman" w:hAnsi="Calibri" w:cs="Arial"/>
                <w:i/>
                <w:sz w:val="20"/>
                <w:szCs w:val="20"/>
                <w:lang w:eastAsia="en-AU"/>
              </w:rPr>
              <w:t>with dupilumab</w:t>
            </w:r>
            <w:r w:rsidRPr="00F70F8F">
              <w:rPr>
                <w:rFonts w:ascii="Calibri" w:eastAsia="Times New Roman" w:hAnsi="Calibri" w:cs="Arial"/>
                <w:sz w:val="20"/>
                <w:szCs w:val="20"/>
                <w:lang w:eastAsia="en-AU"/>
              </w:rPr>
              <w:t xml:space="preserve"> after a minimum of 5 years has elapsed between the date the last prescription for</w:t>
            </w:r>
            <w:r w:rsidRPr="00F70F8F">
              <w:rPr>
                <w:rFonts w:ascii="Calibri" w:eastAsia="Times New Roman" w:hAnsi="Calibri" w:cs="Arial"/>
                <w:strike/>
                <w:sz w:val="20"/>
                <w:szCs w:val="20"/>
                <w:lang w:eastAsia="en-AU"/>
              </w:rPr>
              <w:t xml:space="preserve"> a</w:t>
            </w:r>
            <w:r w:rsidRPr="00F70F8F">
              <w:rPr>
                <w:rFonts w:ascii="Calibri" w:eastAsia="Times New Roman" w:hAnsi="Calibri" w:cs="Arial"/>
                <w:sz w:val="20"/>
                <w:szCs w:val="20"/>
                <w:lang w:eastAsia="en-AU"/>
              </w:rPr>
              <w:t xml:space="preserve"> PBS-subsidised </w:t>
            </w:r>
            <w:r w:rsidRPr="00F70F8F">
              <w:rPr>
                <w:rFonts w:ascii="Calibri" w:eastAsia="Times New Roman" w:hAnsi="Calibri" w:cs="Arial"/>
                <w:strike/>
                <w:sz w:val="20"/>
                <w:szCs w:val="20"/>
                <w:lang w:eastAsia="en-AU"/>
              </w:rPr>
              <w:t xml:space="preserve">biological agent </w:t>
            </w:r>
            <w:r w:rsidRPr="00F70F8F">
              <w:rPr>
                <w:rFonts w:ascii="Calibri" w:eastAsia="Times New Roman" w:hAnsi="Calibri" w:cs="Arial"/>
                <w:i/>
                <w:sz w:val="20"/>
                <w:szCs w:val="20"/>
                <w:lang w:eastAsia="en-AU"/>
              </w:rPr>
              <w:t xml:space="preserve">dupilumab </w:t>
            </w:r>
            <w:r w:rsidRPr="00F70F8F">
              <w:rPr>
                <w:rFonts w:ascii="Calibri" w:eastAsia="Times New Roman" w:hAnsi="Calibri" w:cs="Arial"/>
                <w:sz w:val="20"/>
                <w:szCs w:val="20"/>
                <w:lang w:eastAsia="en-AU"/>
              </w:rPr>
              <w:t>was approved in this Cycle and the date of the first application under the new Cycle.</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In circumstances where it is not possible to submit a response assessment within these timeframes, please call the Department of Human Services on 1800 700 270 to discuss.</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Any queries concerning the arrangements to prescribe may be directed to the Department of Human Services on 1800 700 270 (hours of operation 8 a.m. to 5 p.m. EST Monday to Friday).</w:t>
            </w:r>
          </w:p>
          <w:p w:rsidR="00F70F8F" w:rsidRPr="00F70F8F" w:rsidRDefault="00F70F8F" w:rsidP="00F70F8F">
            <w:pPr>
              <w:spacing w:before="0" w:after="0"/>
              <w:rPr>
                <w:rFonts w:ascii="Calibri" w:eastAsia="Times New Roman" w:hAnsi="Calibri" w:cs="Arial"/>
                <w:i/>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Prescribing information (including Authority Application forms and other relevant documentation as applicable) is available on the Department of Human Services website at www.humanservices.gov.au</w:t>
            </w:r>
          </w:p>
          <w:p w:rsidR="00F70F8F" w:rsidRPr="00F70F8F" w:rsidRDefault="00F70F8F" w:rsidP="00F70F8F">
            <w:pPr>
              <w:spacing w:before="0" w:after="0"/>
              <w:rPr>
                <w:rFonts w:ascii="Calibri" w:eastAsia="Times New Roman" w:hAnsi="Calibri" w:cs="Arial"/>
                <w:i/>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Applications for authority to prescribe should be forwarded to:</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Department of Human Services</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Complex Drugs</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Reply Paid 9826</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HOBART TAS 7001</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Special Pricing Arrangements apply.</w:t>
            </w:r>
          </w:p>
        </w:tc>
      </w:tr>
    </w:tbl>
    <w:p w:rsidR="00F70F8F" w:rsidRPr="00F70F8F" w:rsidRDefault="00F70F8F" w:rsidP="00F70F8F">
      <w:pPr>
        <w:spacing w:before="0" w:after="0"/>
        <w:jc w:val="both"/>
        <w:rPr>
          <w:rFonts w:ascii="Calibri" w:eastAsia="Times New Roman" w:hAnsi="Calibri" w:cs="Arial"/>
          <w:sz w:val="22"/>
          <w:lang w:eastAsia="en-AU"/>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418"/>
        <w:gridCol w:w="1417"/>
      </w:tblGrid>
      <w:tr w:rsidR="00F70F8F" w:rsidRPr="00F70F8F" w:rsidTr="00C269AD">
        <w:trPr>
          <w:trHeight w:val="471"/>
        </w:trPr>
        <w:tc>
          <w:tcPr>
            <w:tcW w:w="3261" w:type="dxa"/>
            <w:gridSpan w:val="2"/>
            <w:tcBorders>
              <w:bottom w:val="single" w:sz="4" w:space="0" w:color="auto"/>
            </w:tcBorders>
          </w:tcPr>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Name, Restriction,</w:t>
            </w:r>
          </w:p>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Manner of administration and form</w:t>
            </w:r>
          </w:p>
        </w:tc>
        <w:tc>
          <w:tcPr>
            <w:tcW w:w="567" w:type="dxa"/>
            <w:tcBorders>
              <w:bottom w:val="single" w:sz="4" w:space="0" w:color="auto"/>
            </w:tcBorders>
          </w:tcPr>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Max.</w:t>
            </w:r>
          </w:p>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Qty</w:t>
            </w:r>
          </w:p>
        </w:tc>
        <w:tc>
          <w:tcPr>
            <w:tcW w:w="850" w:type="dxa"/>
            <w:tcBorders>
              <w:bottom w:val="single" w:sz="4" w:space="0" w:color="auto"/>
            </w:tcBorders>
          </w:tcPr>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№.of</w:t>
            </w:r>
          </w:p>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Rpts</w:t>
            </w:r>
          </w:p>
        </w:tc>
        <w:tc>
          <w:tcPr>
            <w:tcW w:w="1701" w:type="dxa"/>
            <w:tcBorders>
              <w:bottom w:val="single" w:sz="4" w:space="0" w:color="auto"/>
            </w:tcBorders>
          </w:tcPr>
          <w:p w:rsidR="00F70F8F" w:rsidRPr="00D75311" w:rsidRDefault="00F70F8F" w:rsidP="00D75311">
            <w:pPr>
              <w:keepNext/>
              <w:spacing w:before="0" w:after="0"/>
              <w:ind w:left="-108"/>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Dispensed Price for Max. Qty</w:t>
            </w:r>
          </w:p>
        </w:tc>
        <w:tc>
          <w:tcPr>
            <w:tcW w:w="2835" w:type="dxa"/>
            <w:gridSpan w:val="2"/>
            <w:tcBorders>
              <w:bottom w:val="single" w:sz="4" w:space="0" w:color="auto"/>
            </w:tcBorders>
          </w:tcPr>
          <w:p w:rsidR="00F70F8F" w:rsidRPr="00D75311" w:rsidRDefault="00F70F8F" w:rsidP="00D75311">
            <w:pPr>
              <w:keepNext/>
              <w:spacing w:before="0" w:after="0"/>
              <w:rPr>
                <w:rFonts w:ascii="Calibri" w:eastAsia="Times New Roman" w:hAnsi="Calibri" w:cs="Arial"/>
                <w:b/>
                <w:sz w:val="20"/>
                <w:szCs w:val="20"/>
                <w:lang w:val="fr-FR" w:eastAsia="en-AU"/>
              </w:rPr>
            </w:pPr>
            <w:r w:rsidRPr="00D75311">
              <w:rPr>
                <w:rFonts w:ascii="Calibri" w:eastAsia="Times New Roman" w:hAnsi="Calibri" w:cs="Arial"/>
                <w:b/>
                <w:sz w:val="20"/>
                <w:szCs w:val="20"/>
                <w:lang w:eastAsia="en-AU"/>
              </w:rPr>
              <w:t>Proprietary Name and Manufacturer</w:t>
            </w:r>
          </w:p>
        </w:tc>
      </w:tr>
      <w:tr w:rsidR="00F70F8F" w:rsidRPr="00F70F8F" w:rsidTr="00C269AD">
        <w:trPr>
          <w:trHeight w:val="577"/>
        </w:trPr>
        <w:tc>
          <w:tcPr>
            <w:tcW w:w="3261" w:type="dxa"/>
            <w:gridSpan w:val="2"/>
          </w:tcPr>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mallCaps/>
                <w:sz w:val="20"/>
                <w:szCs w:val="20"/>
                <w:lang w:eastAsia="en-AU"/>
              </w:rPr>
              <w:t>dupilumab</w:t>
            </w: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300 mg in 2 mL pre-filled syringe</w:t>
            </w:r>
          </w:p>
        </w:tc>
        <w:tc>
          <w:tcPr>
            <w:tcW w:w="567" w:type="dxa"/>
          </w:tcPr>
          <w:p w:rsidR="00F70F8F" w:rsidRPr="00F70F8F" w:rsidRDefault="00F70F8F" w:rsidP="00F70F8F">
            <w:pPr>
              <w:keepNext/>
              <w:spacing w:before="0" w:after="0"/>
              <w:ind w:left="-108"/>
              <w:jc w:val="both"/>
              <w:rPr>
                <w:rFonts w:ascii="Calibri" w:eastAsia="Times New Roman" w:hAnsi="Calibri" w:cs="Arial"/>
                <w:sz w:val="20"/>
                <w:szCs w:val="20"/>
                <w:lang w:eastAsia="en-AU"/>
              </w:rPr>
            </w:pP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2</w:t>
            </w:r>
          </w:p>
        </w:tc>
        <w:tc>
          <w:tcPr>
            <w:tcW w:w="850" w:type="dxa"/>
          </w:tcPr>
          <w:p w:rsidR="00F70F8F" w:rsidRPr="00F70F8F" w:rsidRDefault="00F70F8F" w:rsidP="00F70F8F">
            <w:pPr>
              <w:keepNext/>
              <w:spacing w:before="0" w:after="0"/>
              <w:ind w:left="-108"/>
              <w:jc w:val="both"/>
              <w:rPr>
                <w:rFonts w:ascii="Calibri" w:eastAsia="Times New Roman" w:hAnsi="Calibri" w:cs="Arial"/>
                <w:sz w:val="20"/>
                <w:szCs w:val="20"/>
                <w:lang w:eastAsia="en-AU"/>
              </w:rPr>
            </w:pP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2</w:t>
            </w:r>
          </w:p>
        </w:tc>
        <w:tc>
          <w:tcPr>
            <w:tcW w:w="1701" w:type="dxa"/>
          </w:tcPr>
          <w:p w:rsidR="00F70F8F" w:rsidRPr="00F70F8F" w:rsidRDefault="00F70F8F" w:rsidP="00F70F8F">
            <w:pPr>
              <w:keepNext/>
              <w:spacing w:before="0" w:after="0"/>
              <w:ind w:left="-108"/>
              <w:jc w:val="both"/>
              <w:rPr>
                <w:rFonts w:ascii="Calibri" w:eastAsia="Times New Roman" w:hAnsi="Calibri" w:cs="Arial"/>
                <w:sz w:val="20"/>
                <w:szCs w:val="20"/>
                <w:lang w:eastAsia="en-AU"/>
              </w:rPr>
            </w:pP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w:t>
            </w:r>
            <w:r w:rsidR="00330093">
              <w:rPr>
                <w:rFonts w:ascii="Calibri" w:eastAsia="Times New Roman" w:hAnsi="Calibri" w:cs="Arial"/>
                <w:noProof/>
                <w:color w:val="000000"/>
                <w:sz w:val="20"/>
                <w:szCs w:val="20"/>
                <w:highlight w:val="black"/>
                <w:lang w:eastAsia="en-AU"/>
              </w:rPr>
              <w:t>''''''''''''''''</w:t>
            </w:r>
          </w:p>
        </w:tc>
        <w:tc>
          <w:tcPr>
            <w:tcW w:w="1418" w:type="dxa"/>
          </w:tcPr>
          <w:p w:rsidR="00D75311" w:rsidRDefault="00D75311" w:rsidP="00F70F8F">
            <w:pPr>
              <w:keepNext/>
              <w:spacing w:before="0" w:after="0"/>
              <w:jc w:val="both"/>
              <w:rPr>
                <w:rFonts w:ascii="Calibri" w:eastAsia="Times New Roman" w:hAnsi="Calibri" w:cs="Arial"/>
                <w:sz w:val="20"/>
                <w:szCs w:val="20"/>
                <w:lang w:eastAsia="en-AU"/>
              </w:rPr>
            </w:pPr>
          </w:p>
          <w:p w:rsidR="00F70F8F" w:rsidRPr="00F70F8F" w:rsidRDefault="00F70F8F" w:rsidP="00F70F8F">
            <w:pPr>
              <w:keepNext/>
              <w:spacing w:before="0" w:after="0"/>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Dupixent®</w:t>
            </w:r>
          </w:p>
        </w:tc>
        <w:tc>
          <w:tcPr>
            <w:tcW w:w="1417" w:type="dxa"/>
          </w:tcPr>
          <w:p w:rsidR="00D75311" w:rsidRDefault="00D75311" w:rsidP="00F70F8F">
            <w:pPr>
              <w:keepNext/>
              <w:spacing w:before="0" w:after="0"/>
              <w:jc w:val="both"/>
              <w:rPr>
                <w:rFonts w:ascii="Calibri" w:eastAsia="Times New Roman" w:hAnsi="Calibri" w:cs="Arial"/>
                <w:sz w:val="20"/>
                <w:szCs w:val="20"/>
                <w:lang w:eastAsia="en-AU"/>
              </w:rPr>
            </w:pPr>
          </w:p>
          <w:p w:rsidR="00F70F8F" w:rsidRPr="00F70F8F" w:rsidRDefault="00F70F8F" w:rsidP="00F70F8F">
            <w:pPr>
              <w:keepNext/>
              <w:spacing w:before="0" w:after="0"/>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Sanofi-Aventis</w:t>
            </w:r>
          </w:p>
        </w:tc>
      </w:tr>
      <w:tr w:rsidR="00F70F8F" w:rsidRPr="00F70F8F" w:rsidTr="00C269AD">
        <w:trPr>
          <w:trHeight w:val="360"/>
        </w:trPr>
        <w:tc>
          <w:tcPr>
            <w:tcW w:w="9214" w:type="dxa"/>
            <w:gridSpan w:val="7"/>
            <w:tcBorders>
              <w:bottom w:val="single" w:sz="4" w:space="0" w:color="auto"/>
            </w:tcBorders>
          </w:tcPr>
          <w:p w:rsidR="00F70F8F" w:rsidRPr="00F70F8F" w:rsidRDefault="00F70F8F" w:rsidP="00F70F8F">
            <w:pPr>
              <w:spacing w:before="0" w:after="0"/>
              <w:jc w:val="both"/>
              <w:rPr>
                <w:rFonts w:ascii="Calibri" w:eastAsia="Times New Roman" w:hAnsi="Calibri" w:cs="Arial"/>
                <w:sz w:val="20"/>
                <w:szCs w:val="20"/>
                <w:lang w:eastAsia="en-AU"/>
              </w:rPr>
            </w:pP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GENERAL – General Schedule (Code GE)</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Prescriber type:</w:t>
            </w:r>
          </w:p>
          <w:p w:rsidR="00F70F8F" w:rsidRPr="00F70F8F" w:rsidRDefault="00F70F8F" w:rsidP="00F70F8F">
            <w:pPr>
              <w:spacing w:before="0" w:after="0"/>
              <w:jc w:val="both"/>
              <w:rPr>
                <w:rFonts w:ascii="Calibri" w:eastAsia="Times New Roman" w:hAnsi="Calibri" w:cs="Arial"/>
                <w:b/>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1"/>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 xml:space="preserve">Dental  </w:t>
            </w:r>
            <w:r w:rsidRPr="00F70F8F">
              <w:rPr>
                <w:rFonts w:ascii="Calibri" w:eastAsia="Times New Roman" w:hAnsi="Calibri" w:cs="Arial"/>
                <w:sz w:val="20"/>
                <w:szCs w:val="20"/>
                <w:lang w:eastAsia="en-AU"/>
              </w:rPr>
              <w:fldChar w:fldCharType="begin">
                <w:ffData>
                  <w:name w:val=""/>
                  <w:enabled/>
                  <w:calcOnExit w:val="0"/>
                  <w:checkBox>
                    <w:sizeAuto/>
                    <w:default w:val="1"/>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 xml:space="preserve">Medical Practitioners  </w:t>
            </w:r>
            <w:r w:rsidRPr="00F70F8F">
              <w:rPr>
                <w:rFonts w:ascii="Calibri" w:eastAsia="Times New Roman" w:hAnsi="Calibri" w:cs="Arial"/>
                <w:sz w:val="20"/>
                <w:szCs w:val="20"/>
                <w:lang w:eastAsia="en-AU"/>
              </w:rPr>
              <w:fldChar w:fldCharType="begin">
                <w:ffData>
                  <w:name w:val="Check3"/>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 xml:space="preserve">Nurse practitioners  </w:t>
            </w:r>
            <w:r w:rsidRPr="00F70F8F">
              <w:rPr>
                <w:rFonts w:ascii="Calibri" w:eastAsia="Times New Roman" w:hAnsi="Calibri" w:cs="Arial"/>
                <w:sz w:val="20"/>
                <w:szCs w:val="20"/>
                <w:lang w:eastAsia="en-AU"/>
              </w:rPr>
              <w:fldChar w:fldCharType="begin">
                <w:ffData>
                  <w:name w:val=""/>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Optometrists</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5"/>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Midwives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Chronic</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i/>
                <w:sz w:val="20"/>
                <w:szCs w:val="20"/>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i/>
                <w:sz w:val="20"/>
                <w:szCs w:val="20"/>
                <w:lang w:eastAsia="en-AU"/>
              </w:rPr>
              <w:t>Severe</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trike/>
                <w:sz w:val="20"/>
                <w:szCs w:val="20"/>
                <w:lang w:eastAsia="en-AU"/>
              </w:rPr>
              <w:t>Severe</w:t>
            </w:r>
            <w:r w:rsidRPr="00F70F8F">
              <w:rPr>
                <w:rFonts w:ascii="Calibri" w:eastAsia="Times New Roman" w:hAnsi="Calibri" w:cs="Arial"/>
                <w:sz w:val="20"/>
                <w:szCs w:val="20"/>
                <w:lang w:eastAsia="en-AU"/>
              </w:rPr>
              <w:t xml:space="preserve"> atopic dermatitis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i/>
                <w:sz w:val="20"/>
                <w:szCs w:val="20"/>
                <w:lang w:eastAsia="en-AU"/>
              </w:rPr>
              <w:t xml:space="preserve">Chronic </w:t>
            </w:r>
            <w:r w:rsidRPr="00F70F8F">
              <w:rPr>
                <w:rFonts w:ascii="Calibri" w:eastAsia="Times New Roman" w:hAnsi="Calibri" w:cs="Arial"/>
                <w:strike/>
                <w:sz w:val="20"/>
                <w:szCs w:val="20"/>
                <w:lang w:eastAsia="en-AU"/>
              </w:rPr>
              <w:t>S</w:t>
            </w:r>
            <w:r w:rsidRPr="00F70F8F">
              <w:rPr>
                <w:rFonts w:ascii="Calibri" w:eastAsia="Times New Roman" w:hAnsi="Calibri" w:cs="Arial"/>
                <w:i/>
                <w:sz w:val="20"/>
                <w:szCs w:val="20"/>
                <w:lang w:eastAsia="en-AU"/>
              </w:rPr>
              <w:t>s</w:t>
            </w:r>
            <w:r w:rsidRPr="00F70F8F">
              <w:rPr>
                <w:rFonts w:ascii="Calibri" w:eastAsia="Times New Roman" w:hAnsi="Calibri" w:cs="Arial"/>
                <w:sz w:val="20"/>
                <w:szCs w:val="20"/>
                <w:lang w:eastAsia="en-AU"/>
              </w:rPr>
              <w:t>evere atopic dermatitis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i/>
                <w:strike/>
                <w:sz w:val="20"/>
                <w:szCs w:val="20"/>
                <w:lang w:eastAsia="en-AU"/>
              </w:rPr>
            </w:pPr>
            <w:r w:rsidRPr="00F70F8F">
              <w:rPr>
                <w:rFonts w:ascii="Calibri" w:eastAsia="Times New Roman" w:hAnsi="Calibri" w:cs="Arial"/>
                <w:strike/>
                <w:sz w:val="20"/>
                <w:szCs w:val="20"/>
                <w:lang w:eastAsia="en-AU"/>
              </w:rPr>
              <w:t>Initial 1</w:t>
            </w:r>
            <w:r w:rsidRPr="00F70F8F">
              <w:rPr>
                <w:rFonts w:ascii="Calibri" w:eastAsia="Times New Roman" w:hAnsi="Calibri" w:cs="Arial"/>
                <w:strike/>
                <w:sz w:val="20"/>
                <w:szCs w:val="20"/>
                <w:vertAlign w:val="superscript"/>
                <w:lang w:eastAsia="en-AU"/>
              </w:rPr>
              <w:t>a</w:t>
            </w:r>
            <w:r w:rsidRPr="00F70F8F">
              <w:rPr>
                <w:rFonts w:ascii="Calibri" w:eastAsia="Times New Roman" w:hAnsi="Calibri" w:cs="Arial"/>
                <w:strike/>
                <w:sz w:val="20"/>
                <w:szCs w:val="20"/>
                <w:lang w:eastAsia="en-AU"/>
              </w:rPr>
              <w:t xml:space="preserve"> or Initial 2</w:t>
            </w:r>
            <w:r w:rsidRPr="00F70F8F">
              <w:rPr>
                <w:rFonts w:ascii="Calibri" w:eastAsia="Times New Roman" w:hAnsi="Calibri" w:cs="Arial"/>
                <w:strike/>
                <w:sz w:val="20"/>
                <w:szCs w:val="20"/>
                <w:vertAlign w:val="superscript"/>
                <w:lang w:eastAsia="en-AU"/>
              </w:rPr>
              <w:t>b</w:t>
            </w:r>
            <w:r w:rsidRPr="00F70F8F">
              <w:rPr>
                <w:rFonts w:ascii="Calibri" w:eastAsia="Times New Roman" w:hAnsi="Calibri" w:cs="Arial"/>
                <w:strike/>
                <w:sz w:val="20"/>
                <w:szCs w:val="20"/>
                <w:lang w:eastAsia="en-AU"/>
              </w:rPr>
              <w:t xml:space="preserve"> </w:t>
            </w:r>
            <w:r w:rsidRPr="00F70F8F">
              <w:rPr>
                <w:rFonts w:ascii="Calibri" w:eastAsia="Times New Roman" w:hAnsi="Calibri" w:cs="Arial"/>
                <w:i/>
                <w:sz w:val="20"/>
                <w:szCs w:val="20"/>
                <w:lang w:eastAsia="en-AU"/>
              </w:rPr>
              <w:t xml:space="preserve">Initial 1 (new patient or patient recommencing </w:t>
            </w:r>
            <w:r w:rsidRPr="00F70F8F">
              <w:rPr>
                <w:rFonts w:ascii="Calibri" w:eastAsia="Times New Roman" w:hAnsi="Calibri" w:cs="Arial"/>
                <w:i/>
                <w:sz w:val="20"/>
                <w:szCs w:val="20"/>
                <w:lang w:eastAsia="en-AU"/>
              </w:rPr>
              <w:lastRenderedPageBreak/>
              <w:t>treatment after a break of 5 years or more) or Initial 2 (change or recommencement of treatment after a break of less than 5 years) – balance of supply</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lastRenderedPageBreak/>
              <w:t>Restriction Level / Method:</w:t>
            </w:r>
          </w:p>
          <w:p w:rsidR="00F70F8F" w:rsidRPr="00F70F8F" w:rsidRDefault="00F70F8F" w:rsidP="00F70F8F">
            <w:pPr>
              <w:spacing w:before="0" w:after="0"/>
              <w:rPr>
                <w:rFonts w:ascii="Calibri" w:eastAsia="Times New Roman" w:hAnsi="Calibri" w:cs="Arial"/>
                <w:i/>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1"/>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Restricted benefit</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In Writing</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3"/>
                  <w:enabled/>
                  <w:calcOnExit w:val="0"/>
                  <w:checkBox>
                    <w:sizeAuto/>
                    <w:default w:val="1"/>
                  </w:checkBox>
                </w:ffData>
              </w:fldChar>
            </w:r>
            <w:bookmarkStart w:id="4" w:name="Check3"/>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bookmarkEnd w:id="4"/>
            <w:r w:rsidRPr="00F70F8F">
              <w:rPr>
                <w:rFonts w:ascii="Calibri" w:eastAsia="Times New Roman" w:hAnsi="Calibri" w:cs="Arial"/>
                <w:sz w:val="20"/>
                <w:szCs w:val="20"/>
                <w:lang w:eastAsia="en-AU"/>
              </w:rPr>
              <w:t>Authority Required - Telephone</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Emergency</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5"/>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Electronic</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5"/>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Streamlined</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Must be treated by a dermatologist, OR</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Must be treated by a clinical immunologist.</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Clinical criteria:</w:t>
            </w:r>
          </w:p>
          <w:p w:rsidR="00F70F8F" w:rsidRPr="00F70F8F" w:rsidRDefault="00F70F8F" w:rsidP="00F70F8F">
            <w:pPr>
              <w:spacing w:before="0" w:after="0"/>
              <w:jc w:val="both"/>
              <w:rPr>
                <w:rFonts w:ascii="Calibri" w:eastAsia="Times New Roman" w:hAnsi="Calibri" w:cs="Arial"/>
                <w:i/>
                <w:sz w:val="20"/>
                <w:szCs w:val="20"/>
                <w:lang w:eastAsia="en-AU"/>
              </w:rPr>
            </w:pPr>
          </w:p>
          <w:p w:rsidR="00F70F8F" w:rsidRPr="00F70F8F" w:rsidRDefault="00F70F8F" w:rsidP="00F70F8F">
            <w:pPr>
              <w:spacing w:before="0" w:after="0"/>
              <w:jc w:val="both"/>
              <w:rPr>
                <w:rFonts w:ascii="Calibri" w:eastAsia="Times New Roman" w:hAnsi="Calibri" w:cs="Arial"/>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 must have received insufficient therapy with this drug under the Initial 1 restriction to complete 16 weeks treatment, OR</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 must have received insufficient therapy with this drug under the Initial 2 restriction to complete 16 weeks treatment;</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The treatment must be as systemic monotherapy (other than oral corticosteroids);</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trike/>
                <w:sz w:val="20"/>
                <w:szCs w:val="20"/>
                <w:lang w:eastAsia="en-AU"/>
              </w:rPr>
            </w:pPr>
            <w:r w:rsidRPr="00F70F8F">
              <w:rPr>
                <w:rFonts w:ascii="Calibri" w:eastAsia="Times New Roman" w:hAnsi="Calibri" w:cs="Arial"/>
                <w:strike/>
                <w:sz w:val="20"/>
                <w:szCs w:val="20"/>
                <w:lang w:eastAsia="en-AU"/>
              </w:rPr>
              <w:t>Patient must not receive more than 16 weeks of treatment under this restriction.</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i/>
                <w:sz w:val="20"/>
                <w:szCs w:val="20"/>
                <w:lang w:eastAsia="en-AU"/>
              </w:rPr>
              <w:t>The treatment must provide no more than the balance of up to 16 weeks of therapy (new patients or change/re-commencement patients; Initial 1 or Initial 2).</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trike/>
                <w:sz w:val="20"/>
                <w:szCs w:val="20"/>
                <w:lang w:eastAsia="en-AU"/>
              </w:rPr>
              <w:t>Adults aged ≥ 18 years with severe atopic dermatitis</w:t>
            </w:r>
            <w:r w:rsidRPr="00F70F8F">
              <w:rPr>
                <w:rFonts w:ascii="Calibri" w:eastAsia="Times New Roman" w:hAnsi="Calibri" w:cs="Arial"/>
                <w:sz w:val="20"/>
                <w:szCs w:val="20"/>
                <w:lang w:eastAsia="en-AU"/>
              </w:rPr>
              <w:t xml:space="preserve"> </w:t>
            </w:r>
            <w:r w:rsidRPr="00F70F8F">
              <w:rPr>
                <w:rFonts w:ascii="Calibri" w:eastAsia="Times New Roman" w:hAnsi="Calibri" w:cs="Arial"/>
                <w:i/>
                <w:sz w:val="20"/>
                <w:szCs w:val="20"/>
                <w:lang w:eastAsia="en-AU"/>
              </w:rPr>
              <w:t>Patient must be aged 18 years or older</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trike/>
                <w:sz w:val="20"/>
                <w:szCs w:val="20"/>
                <w:lang w:eastAsia="en-AU"/>
              </w:rPr>
            </w:pPr>
            <w:r w:rsidRPr="00F70F8F">
              <w:rPr>
                <w:rFonts w:ascii="Calibri" w:eastAsia="Times New Roman" w:hAnsi="Calibri" w:cs="Arial"/>
                <w:b/>
                <w:strike/>
                <w:sz w:val="20"/>
                <w:szCs w:val="20"/>
                <w:lang w:eastAsia="en-AU"/>
              </w:rPr>
              <w:t>Definitions</w:t>
            </w:r>
          </w:p>
          <w:p w:rsidR="00F70F8F" w:rsidRPr="00F70F8F" w:rsidRDefault="00F70F8F" w:rsidP="00F70F8F">
            <w:pPr>
              <w:spacing w:before="0" w:after="0"/>
              <w:jc w:val="both"/>
              <w:rPr>
                <w:rFonts w:ascii="Calibri" w:eastAsia="Times New Roman" w:hAnsi="Calibri" w:cs="Arial"/>
                <w:strike/>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trike/>
                <w:sz w:val="20"/>
                <w:szCs w:val="20"/>
                <w:lang w:eastAsia="en-AU"/>
              </w:rPr>
            </w:pPr>
            <w:r w:rsidRPr="00F70F8F">
              <w:rPr>
                <w:rFonts w:ascii="Calibri" w:eastAsia="Times New Roman" w:hAnsi="Calibri" w:cs="Arial"/>
                <w:strike/>
                <w:sz w:val="20"/>
                <w:szCs w:val="20"/>
                <w:vertAlign w:val="superscript"/>
                <w:lang w:eastAsia="en-AU"/>
              </w:rPr>
              <w:t>a</w:t>
            </w:r>
            <w:r w:rsidRPr="00F70F8F">
              <w:rPr>
                <w:rFonts w:ascii="Calibri" w:eastAsia="Times New Roman" w:hAnsi="Calibri" w:cs="Arial"/>
                <w:strike/>
                <w:sz w:val="20"/>
                <w:szCs w:val="20"/>
                <w:lang w:eastAsia="en-AU"/>
              </w:rPr>
              <w:t xml:space="preserve"> New patient (no prior biological agent) or patient recommencing treatment after a break of 5 years or more</w:t>
            </w:r>
          </w:p>
          <w:p w:rsidR="00F70F8F" w:rsidRPr="00F70F8F" w:rsidRDefault="00F70F8F" w:rsidP="00F70F8F">
            <w:pPr>
              <w:spacing w:before="0" w:after="0"/>
              <w:rPr>
                <w:rFonts w:ascii="Calibri" w:eastAsia="Times New Roman" w:hAnsi="Calibri" w:cs="Arial"/>
                <w:strike/>
                <w:sz w:val="20"/>
                <w:szCs w:val="20"/>
                <w:lang w:eastAsia="en-AU"/>
              </w:rPr>
            </w:pPr>
            <w:r w:rsidRPr="00F70F8F">
              <w:rPr>
                <w:rFonts w:ascii="Calibri" w:eastAsia="Times New Roman" w:hAnsi="Calibri" w:cs="Arial"/>
                <w:strike/>
                <w:sz w:val="20"/>
                <w:szCs w:val="20"/>
                <w:vertAlign w:val="superscript"/>
                <w:lang w:eastAsia="en-AU"/>
              </w:rPr>
              <w:t>b</w:t>
            </w:r>
            <w:r w:rsidRPr="00F70F8F">
              <w:rPr>
                <w:rFonts w:ascii="Calibri" w:eastAsia="Times New Roman" w:hAnsi="Calibri" w:cs="Arial"/>
                <w:strike/>
                <w:sz w:val="20"/>
                <w:szCs w:val="20"/>
                <w:lang w:eastAsia="en-AU"/>
              </w:rPr>
              <w:t xml:space="preserve"> Change or recommencement of treatment after a break of less than 5 years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Administrative Advice</w:t>
            </w:r>
          </w:p>
          <w:p w:rsidR="00F70F8F" w:rsidRPr="00F70F8F" w:rsidRDefault="00F70F8F" w:rsidP="00F70F8F">
            <w:pPr>
              <w:spacing w:before="0" w:after="0"/>
              <w:jc w:val="both"/>
              <w:rPr>
                <w:rFonts w:ascii="Calibri" w:eastAsia="Times New Roman" w:hAnsi="Calibri" w:cs="Arial"/>
                <w:i/>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Authority approval for sufficient therapy to complete a maximum of 16 weeks of treatment may be requested by telephone by contacting the Department of Human Services on 1800 700 270 (hours of operation 8 a.m. to 5 p.m. EST Monday to Friday).</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Any queries concerning the arrangements to prescribe may be directed to the Department of Human Services on 1800 700 270 (hours of operation 8 a.m. to 5 p.m. EST Monday to Friday).</w:t>
            </w:r>
          </w:p>
          <w:p w:rsidR="00F70F8F" w:rsidRPr="00F70F8F" w:rsidRDefault="00F70F8F" w:rsidP="00F70F8F">
            <w:pPr>
              <w:spacing w:before="0" w:after="0"/>
              <w:rPr>
                <w:rFonts w:ascii="Calibri" w:eastAsia="Times New Roman" w:hAnsi="Calibri" w:cs="Arial"/>
                <w:i/>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Prescribing information (including Authority Application forms and other relevant documentation as applicable) is available on the Department of Human Services website at www.humanservices.gov.au</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Applications for authority to prescribe should be forwarded to:</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Department of Human Services</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Complex Drugs</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Reply Paid 9826</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HOBART TAS 7001</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Special Pricing Arrangements apply.</w:t>
            </w:r>
          </w:p>
        </w:tc>
      </w:tr>
    </w:tbl>
    <w:p w:rsidR="00F70F8F" w:rsidRPr="00F70F8F" w:rsidRDefault="00F70F8F" w:rsidP="00F70F8F">
      <w:pPr>
        <w:spacing w:before="0" w:after="0"/>
        <w:jc w:val="both"/>
        <w:rPr>
          <w:rFonts w:ascii="Calibri" w:eastAsia="Times New Roman" w:hAnsi="Calibri" w:cs="Arial"/>
          <w:sz w:val="22"/>
          <w:lang w:eastAsia="en-AU"/>
        </w:rPr>
      </w:pPr>
    </w:p>
    <w:p w:rsidR="00F70F8F" w:rsidRPr="00F70F8F" w:rsidRDefault="00F70F8F" w:rsidP="00F70F8F">
      <w:pPr>
        <w:spacing w:before="0" w:after="0"/>
        <w:jc w:val="both"/>
        <w:rPr>
          <w:rFonts w:ascii="Calibri" w:eastAsia="Times New Roman" w:hAnsi="Calibri" w:cs="Arial"/>
          <w:sz w:val="22"/>
          <w:lang w:eastAsia="en-AU"/>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418"/>
        <w:gridCol w:w="1417"/>
      </w:tblGrid>
      <w:tr w:rsidR="00F70F8F" w:rsidRPr="00F70F8F" w:rsidTr="00C269AD">
        <w:trPr>
          <w:trHeight w:val="471"/>
        </w:trPr>
        <w:tc>
          <w:tcPr>
            <w:tcW w:w="3261" w:type="dxa"/>
            <w:gridSpan w:val="2"/>
            <w:tcBorders>
              <w:bottom w:val="single" w:sz="4" w:space="0" w:color="auto"/>
            </w:tcBorders>
          </w:tcPr>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Name, Restriction,</w:t>
            </w:r>
          </w:p>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Manner of administration and form</w:t>
            </w:r>
          </w:p>
        </w:tc>
        <w:tc>
          <w:tcPr>
            <w:tcW w:w="567" w:type="dxa"/>
            <w:tcBorders>
              <w:bottom w:val="single" w:sz="4" w:space="0" w:color="auto"/>
            </w:tcBorders>
          </w:tcPr>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Max.</w:t>
            </w:r>
          </w:p>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Qty</w:t>
            </w:r>
          </w:p>
        </w:tc>
        <w:tc>
          <w:tcPr>
            <w:tcW w:w="850" w:type="dxa"/>
            <w:tcBorders>
              <w:bottom w:val="single" w:sz="4" w:space="0" w:color="auto"/>
            </w:tcBorders>
          </w:tcPr>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№.of</w:t>
            </w:r>
          </w:p>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Rpts</w:t>
            </w:r>
          </w:p>
        </w:tc>
        <w:tc>
          <w:tcPr>
            <w:tcW w:w="1701" w:type="dxa"/>
            <w:tcBorders>
              <w:bottom w:val="single" w:sz="4" w:space="0" w:color="auto"/>
            </w:tcBorders>
          </w:tcPr>
          <w:p w:rsidR="00F70F8F" w:rsidRPr="00D75311" w:rsidRDefault="00F70F8F" w:rsidP="00D75311">
            <w:pPr>
              <w:keepNext/>
              <w:spacing w:before="0" w:after="0"/>
              <w:ind w:left="-108"/>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Dispensed Price for Max. Qty</w:t>
            </w:r>
          </w:p>
        </w:tc>
        <w:tc>
          <w:tcPr>
            <w:tcW w:w="2835" w:type="dxa"/>
            <w:gridSpan w:val="2"/>
            <w:tcBorders>
              <w:bottom w:val="single" w:sz="4" w:space="0" w:color="auto"/>
            </w:tcBorders>
          </w:tcPr>
          <w:p w:rsidR="00F70F8F" w:rsidRPr="00D75311" w:rsidRDefault="00F70F8F" w:rsidP="00D75311">
            <w:pPr>
              <w:keepNext/>
              <w:spacing w:before="0" w:after="0"/>
              <w:rPr>
                <w:rFonts w:ascii="Calibri" w:eastAsia="Times New Roman" w:hAnsi="Calibri" w:cs="Arial"/>
                <w:b/>
                <w:sz w:val="20"/>
                <w:szCs w:val="20"/>
                <w:lang w:val="fr-FR" w:eastAsia="en-AU"/>
              </w:rPr>
            </w:pPr>
            <w:r w:rsidRPr="00D75311">
              <w:rPr>
                <w:rFonts w:ascii="Calibri" w:eastAsia="Times New Roman" w:hAnsi="Calibri" w:cs="Arial"/>
                <w:b/>
                <w:sz w:val="20"/>
                <w:szCs w:val="20"/>
                <w:lang w:eastAsia="en-AU"/>
              </w:rPr>
              <w:t>Proprietary Name and Manufacturer</w:t>
            </w:r>
          </w:p>
        </w:tc>
      </w:tr>
      <w:tr w:rsidR="00F70F8F" w:rsidRPr="00F70F8F" w:rsidTr="00C269AD">
        <w:trPr>
          <w:trHeight w:val="577"/>
        </w:trPr>
        <w:tc>
          <w:tcPr>
            <w:tcW w:w="3261" w:type="dxa"/>
            <w:gridSpan w:val="2"/>
          </w:tcPr>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mallCaps/>
                <w:sz w:val="20"/>
                <w:szCs w:val="20"/>
                <w:lang w:eastAsia="en-AU"/>
              </w:rPr>
              <w:t>dupilumab</w:t>
            </w: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300 mg in 2 mL pre-filled syringe</w:t>
            </w:r>
          </w:p>
        </w:tc>
        <w:tc>
          <w:tcPr>
            <w:tcW w:w="567" w:type="dxa"/>
          </w:tcPr>
          <w:p w:rsidR="00F70F8F" w:rsidRPr="00F70F8F" w:rsidRDefault="00F70F8F" w:rsidP="00F70F8F">
            <w:pPr>
              <w:keepNext/>
              <w:spacing w:before="0" w:after="0"/>
              <w:ind w:left="-108"/>
              <w:jc w:val="both"/>
              <w:rPr>
                <w:rFonts w:ascii="Calibri" w:eastAsia="Times New Roman" w:hAnsi="Calibri" w:cs="Arial"/>
                <w:sz w:val="20"/>
                <w:szCs w:val="20"/>
                <w:lang w:eastAsia="en-AU"/>
              </w:rPr>
            </w:pP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2</w:t>
            </w:r>
          </w:p>
        </w:tc>
        <w:tc>
          <w:tcPr>
            <w:tcW w:w="850" w:type="dxa"/>
          </w:tcPr>
          <w:p w:rsidR="00F70F8F" w:rsidRPr="00F70F8F" w:rsidRDefault="00F70F8F" w:rsidP="00F70F8F">
            <w:pPr>
              <w:keepNext/>
              <w:spacing w:before="0" w:after="0"/>
              <w:ind w:left="-108"/>
              <w:jc w:val="both"/>
              <w:rPr>
                <w:rFonts w:ascii="Calibri" w:eastAsia="Times New Roman" w:hAnsi="Calibri" w:cs="Arial"/>
                <w:sz w:val="20"/>
                <w:szCs w:val="20"/>
                <w:lang w:eastAsia="en-AU"/>
              </w:rPr>
            </w:pP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5</w:t>
            </w:r>
          </w:p>
        </w:tc>
        <w:tc>
          <w:tcPr>
            <w:tcW w:w="1701" w:type="dxa"/>
          </w:tcPr>
          <w:p w:rsidR="00F70F8F" w:rsidRPr="00F70F8F" w:rsidRDefault="00F70F8F" w:rsidP="00F70F8F">
            <w:pPr>
              <w:keepNext/>
              <w:spacing w:before="0" w:after="0"/>
              <w:ind w:left="-108"/>
              <w:jc w:val="both"/>
              <w:rPr>
                <w:rFonts w:ascii="Calibri" w:eastAsia="Times New Roman" w:hAnsi="Calibri" w:cs="Arial"/>
                <w:sz w:val="20"/>
                <w:szCs w:val="20"/>
                <w:lang w:eastAsia="en-AU"/>
              </w:rPr>
            </w:pP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w:t>
            </w:r>
            <w:r w:rsidR="00330093">
              <w:rPr>
                <w:rFonts w:ascii="Calibri" w:eastAsia="Times New Roman" w:hAnsi="Calibri" w:cs="Arial"/>
                <w:noProof/>
                <w:color w:val="000000"/>
                <w:sz w:val="20"/>
                <w:szCs w:val="20"/>
                <w:highlight w:val="black"/>
                <w:lang w:eastAsia="en-AU"/>
              </w:rPr>
              <w:t>'''''''''''''''</w:t>
            </w:r>
          </w:p>
        </w:tc>
        <w:tc>
          <w:tcPr>
            <w:tcW w:w="1418" w:type="dxa"/>
          </w:tcPr>
          <w:p w:rsidR="00D75311" w:rsidRDefault="00D75311" w:rsidP="00F70F8F">
            <w:pPr>
              <w:keepNext/>
              <w:spacing w:before="0" w:after="0"/>
              <w:jc w:val="both"/>
              <w:rPr>
                <w:rFonts w:ascii="Calibri" w:eastAsia="Times New Roman" w:hAnsi="Calibri" w:cs="Arial"/>
                <w:sz w:val="20"/>
                <w:szCs w:val="20"/>
                <w:lang w:eastAsia="en-AU"/>
              </w:rPr>
            </w:pPr>
          </w:p>
          <w:p w:rsidR="00F70F8F" w:rsidRPr="00F70F8F" w:rsidRDefault="00F70F8F" w:rsidP="00F70F8F">
            <w:pPr>
              <w:keepNext/>
              <w:spacing w:before="0" w:after="0"/>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Dupixent®</w:t>
            </w:r>
          </w:p>
        </w:tc>
        <w:tc>
          <w:tcPr>
            <w:tcW w:w="1417" w:type="dxa"/>
          </w:tcPr>
          <w:p w:rsidR="00D75311" w:rsidRDefault="00D75311" w:rsidP="00F70F8F">
            <w:pPr>
              <w:keepNext/>
              <w:spacing w:before="0" w:after="0"/>
              <w:jc w:val="both"/>
              <w:rPr>
                <w:rFonts w:ascii="Calibri" w:eastAsia="Times New Roman" w:hAnsi="Calibri" w:cs="Arial"/>
                <w:sz w:val="20"/>
                <w:szCs w:val="20"/>
                <w:lang w:eastAsia="en-AU"/>
              </w:rPr>
            </w:pPr>
          </w:p>
          <w:p w:rsidR="00F70F8F" w:rsidRPr="00F70F8F" w:rsidRDefault="00F70F8F" w:rsidP="00F70F8F">
            <w:pPr>
              <w:keepNext/>
              <w:spacing w:before="0" w:after="0"/>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Sanofi-Aventis</w:t>
            </w:r>
          </w:p>
        </w:tc>
      </w:tr>
      <w:tr w:rsidR="00F70F8F" w:rsidRPr="00F70F8F" w:rsidTr="00C269AD">
        <w:trPr>
          <w:trHeight w:val="360"/>
        </w:trPr>
        <w:tc>
          <w:tcPr>
            <w:tcW w:w="9214" w:type="dxa"/>
            <w:gridSpan w:val="7"/>
            <w:tcBorders>
              <w:bottom w:val="single" w:sz="4" w:space="0" w:color="auto"/>
            </w:tcBorders>
          </w:tcPr>
          <w:p w:rsidR="00F70F8F" w:rsidRPr="00F70F8F" w:rsidRDefault="00F70F8F" w:rsidP="00F70F8F">
            <w:pPr>
              <w:spacing w:before="0" w:after="0"/>
              <w:jc w:val="both"/>
              <w:rPr>
                <w:rFonts w:ascii="Calibri" w:eastAsia="Times New Roman" w:hAnsi="Calibri" w:cs="Arial"/>
                <w:sz w:val="20"/>
                <w:szCs w:val="20"/>
                <w:lang w:eastAsia="en-AU"/>
              </w:rPr>
            </w:pP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GENERAL – General Schedule (Code GE)</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Prescriber type:</w:t>
            </w:r>
          </w:p>
          <w:p w:rsidR="00F70F8F" w:rsidRPr="00F70F8F" w:rsidRDefault="00F70F8F" w:rsidP="00F70F8F">
            <w:pPr>
              <w:spacing w:before="0" w:after="0"/>
              <w:jc w:val="both"/>
              <w:rPr>
                <w:rFonts w:ascii="Calibri" w:eastAsia="Times New Roman" w:hAnsi="Calibri" w:cs="Arial"/>
                <w:b/>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1"/>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 xml:space="preserve">Dental  </w:t>
            </w:r>
            <w:r w:rsidRPr="00F70F8F">
              <w:rPr>
                <w:rFonts w:ascii="Calibri" w:eastAsia="Times New Roman" w:hAnsi="Calibri" w:cs="Arial"/>
                <w:sz w:val="20"/>
                <w:szCs w:val="20"/>
                <w:lang w:eastAsia="en-AU"/>
              </w:rPr>
              <w:fldChar w:fldCharType="begin">
                <w:ffData>
                  <w:name w:val=""/>
                  <w:enabled/>
                  <w:calcOnExit w:val="0"/>
                  <w:checkBox>
                    <w:sizeAuto/>
                    <w:default w:val="1"/>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 xml:space="preserve">Medical Practitioners  </w:t>
            </w:r>
            <w:r w:rsidRPr="00F70F8F">
              <w:rPr>
                <w:rFonts w:ascii="Calibri" w:eastAsia="Times New Roman" w:hAnsi="Calibri" w:cs="Arial"/>
                <w:sz w:val="20"/>
                <w:szCs w:val="20"/>
                <w:lang w:eastAsia="en-AU"/>
              </w:rPr>
              <w:fldChar w:fldCharType="begin">
                <w:ffData>
                  <w:name w:val="Check3"/>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 xml:space="preserve">Nurse practitioners  </w:t>
            </w:r>
            <w:r w:rsidRPr="00F70F8F">
              <w:rPr>
                <w:rFonts w:ascii="Calibri" w:eastAsia="Times New Roman" w:hAnsi="Calibri" w:cs="Arial"/>
                <w:sz w:val="20"/>
                <w:szCs w:val="20"/>
                <w:lang w:eastAsia="en-AU"/>
              </w:rPr>
              <w:fldChar w:fldCharType="begin">
                <w:ffData>
                  <w:name w:val=""/>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Optometrists</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5"/>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Midwives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Chronic</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i/>
                <w:sz w:val="20"/>
                <w:szCs w:val="20"/>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i/>
                <w:sz w:val="20"/>
                <w:szCs w:val="20"/>
                <w:lang w:eastAsia="en-AU"/>
              </w:rPr>
              <w:t>Severe</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trike/>
                <w:sz w:val="20"/>
                <w:szCs w:val="20"/>
                <w:lang w:eastAsia="en-AU"/>
              </w:rPr>
              <w:t>Severe</w:t>
            </w:r>
            <w:r w:rsidRPr="00F70F8F">
              <w:rPr>
                <w:rFonts w:ascii="Calibri" w:eastAsia="Times New Roman" w:hAnsi="Calibri" w:cs="Arial"/>
                <w:sz w:val="20"/>
                <w:szCs w:val="20"/>
                <w:lang w:eastAsia="en-AU"/>
              </w:rPr>
              <w:t xml:space="preserve"> atopic dermatitis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i/>
                <w:sz w:val="20"/>
                <w:szCs w:val="20"/>
                <w:lang w:eastAsia="en-AU"/>
              </w:rPr>
              <w:t xml:space="preserve">Chronic </w:t>
            </w:r>
            <w:r w:rsidRPr="00F70F8F">
              <w:rPr>
                <w:rFonts w:ascii="Calibri" w:eastAsia="Times New Roman" w:hAnsi="Calibri" w:cs="Arial"/>
                <w:strike/>
                <w:sz w:val="20"/>
                <w:szCs w:val="20"/>
                <w:lang w:eastAsia="en-AU"/>
              </w:rPr>
              <w:t>S</w:t>
            </w:r>
            <w:r w:rsidRPr="00F70F8F">
              <w:rPr>
                <w:rFonts w:ascii="Calibri" w:eastAsia="Times New Roman" w:hAnsi="Calibri" w:cs="Arial"/>
                <w:i/>
                <w:sz w:val="20"/>
                <w:szCs w:val="20"/>
                <w:lang w:eastAsia="en-AU"/>
              </w:rPr>
              <w:t>s</w:t>
            </w:r>
            <w:r w:rsidRPr="00F70F8F">
              <w:rPr>
                <w:rFonts w:ascii="Calibri" w:eastAsia="Times New Roman" w:hAnsi="Calibri" w:cs="Arial"/>
                <w:sz w:val="20"/>
                <w:szCs w:val="20"/>
                <w:lang w:eastAsia="en-AU"/>
              </w:rPr>
              <w:t>evere atopic dermatitis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sz w:val="20"/>
                <w:szCs w:val="20"/>
                <w:lang w:eastAsia="en-AU"/>
              </w:rPr>
              <w:t xml:space="preserve">Initial 3 </w:t>
            </w:r>
            <w:r w:rsidRPr="00F70F8F">
              <w:rPr>
                <w:rFonts w:ascii="Calibri" w:eastAsia="Times New Roman" w:hAnsi="Calibri" w:cs="Arial"/>
                <w:i/>
                <w:sz w:val="20"/>
                <w:szCs w:val="20"/>
                <w:lang w:eastAsia="en-AU"/>
              </w:rPr>
              <w:t>– grandfather patients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Restriction Level / Method:</w:t>
            </w:r>
          </w:p>
          <w:p w:rsidR="00F70F8F" w:rsidRPr="00F70F8F" w:rsidRDefault="00F70F8F" w:rsidP="00F70F8F">
            <w:pPr>
              <w:spacing w:before="0" w:after="0"/>
              <w:rPr>
                <w:rFonts w:ascii="Calibri" w:eastAsia="Times New Roman" w:hAnsi="Calibri" w:cs="Arial"/>
                <w:i/>
                <w:sz w:val="20"/>
                <w:szCs w:val="20"/>
                <w:highlight w:val="yellow"/>
                <w:lang w:eastAsia="en-AU"/>
              </w:rPr>
            </w:pPr>
          </w:p>
          <w:p w:rsidR="00F70F8F" w:rsidRPr="00F70F8F" w:rsidRDefault="00F70F8F" w:rsidP="00F70F8F">
            <w:pPr>
              <w:spacing w:before="0" w:after="0"/>
              <w:rPr>
                <w:rFonts w:ascii="Calibri" w:eastAsia="Times New Roman" w:hAnsi="Calibri" w:cs="Arial"/>
                <w:i/>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1"/>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Restricted benefit</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
                  <w:enabled/>
                  <w:calcOnExit w:val="0"/>
                  <w:checkBox>
                    <w:sizeAuto/>
                    <w:default w:val="1"/>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In Writing</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3"/>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Telephone</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Emergency</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5"/>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Electronic</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5"/>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Streamlined</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Treatment criteria:</w:t>
            </w:r>
          </w:p>
          <w:p w:rsidR="00F70F8F" w:rsidRPr="00F70F8F" w:rsidRDefault="00F70F8F" w:rsidP="00F70F8F">
            <w:pPr>
              <w:spacing w:before="0" w:after="0"/>
              <w:rPr>
                <w:rFonts w:ascii="Calibri" w:eastAsia="Times New Roman" w:hAnsi="Calibri" w:cs="Arial"/>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Must be treated by a dermatologist, OR</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Must be treated by a clinical immunologist.</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Clinical criteria:</w:t>
            </w:r>
          </w:p>
          <w:p w:rsidR="00F70F8F" w:rsidRPr="00F70F8F" w:rsidRDefault="00F70F8F" w:rsidP="00F70F8F">
            <w:pPr>
              <w:spacing w:before="0" w:after="0"/>
              <w:jc w:val="both"/>
              <w:rPr>
                <w:rFonts w:ascii="Calibri" w:eastAsia="Times New Roman" w:hAnsi="Calibri" w:cs="Arial"/>
                <w:i/>
                <w:sz w:val="20"/>
                <w:szCs w:val="20"/>
                <w:lang w:eastAsia="en-AU"/>
              </w:rPr>
            </w:pPr>
          </w:p>
          <w:p w:rsidR="00F70F8F" w:rsidRPr="00F70F8F" w:rsidRDefault="00F70F8F" w:rsidP="00F70F8F">
            <w:pPr>
              <w:spacing w:before="0" w:after="0"/>
              <w:jc w:val="both"/>
              <w:rPr>
                <w:rFonts w:ascii="Calibri" w:eastAsia="Times New Roman" w:hAnsi="Calibri" w:cs="Arial"/>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 must have a documented history of severe</w:t>
            </w:r>
            <w:r w:rsidRPr="00F70F8F">
              <w:rPr>
                <w:rFonts w:ascii="Calibri" w:eastAsia="Times New Roman" w:hAnsi="Calibri" w:cs="Arial"/>
                <w:strike/>
                <w:sz w:val="20"/>
                <w:szCs w:val="20"/>
                <w:vertAlign w:val="superscript"/>
                <w:lang w:eastAsia="en-AU"/>
              </w:rPr>
              <w:t>a</w:t>
            </w:r>
            <w:r w:rsidRPr="00F70F8F">
              <w:rPr>
                <w:rFonts w:ascii="Calibri" w:eastAsia="Times New Roman" w:hAnsi="Calibri" w:cs="Arial"/>
                <w:sz w:val="20"/>
                <w:szCs w:val="20"/>
                <w:lang w:eastAsia="en-AU"/>
              </w:rPr>
              <w:t xml:space="preserve"> chronic atopic dermatitis;</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 must have failed to achieve an adequate response to oral cyclosporin at a dose of at least 2 mg per kg per day for at least 6 weeks, OR</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 must have had prior intolerance to cyclosporin of a severity to necessitate permanent treatment withdrawal, OR</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 xml:space="preserve">Patient </w:t>
            </w:r>
            <w:r w:rsidRPr="00F70F8F">
              <w:rPr>
                <w:rFonts w:ascii="Calibri" w:eastAsia="Times New Roman" w:hAnsi="Calibri" w:cs="Arial"/>
                <w:strike/>
                <w:sz w:val="20"/>
                <w:szCs w:val="20"/>
                <w:lang w:eastAsia="en-AU"/>
              </w:rPr>
              <w:t>was</w:t>
            </w:r>
            <w:r w:rsidRPr="00F70F8F">
              <w:rPr>
                <w:rFonts w:ascii="Calibri" w:eastAsia="Times New Roman" w:hAnsi="Calibri" w:cs="Arial"/>
                <w:sz w:val="20"/>
                <w:szCs w:val="20"/>
                <w:lang w:eastAsia="en-AU"/>
              </w:rPr>
              <w:t xml:space="preserve"> </w:t>
            </w:r>
            <w:r w:rsidRPr="00F70F8F">
              <w:rPr>
                <w:rFonts w:ascii="Calibri" w:eastAsia="Times New Roman" w:hAnsi="Calibri" w:cs="Arial"/>
                <w:i/>
                <w:sz w:val="20"/>
                <w:szCs w:val="20"/>
                <w:lang w:eastAsia="en-AU"/>
              </w:rPr>
              <w:t>must</w:t>
            </w:r>
            <w:r w:rsidRPr="00F70F8F">
              <w:rPr>
                <w:rFonts w:ascii="Calibri" w:eastAsia="Times New Roman" w:hAnsi="Calibri" w:cs="Arial"/>
                <w:sz w:val="20"/>
                <w:szCs w:val="20"/>
                <w:lang w:eastAsia="en-AU"/>
              </w:rPr>
              <w:t xml:space="preserve"> not </w:t>
            </w:r>
            <w:r w:rsidRPr="00F70F8F">
              <w:rPr>
                <w:rFonts w:ascii="Calibri" w:eastAsia="Times New Roman" w:hAnsi="Calibri" w:cs="Arial"/>
                <w:i/>
                <w:sz w:val="20"/>
                <w:szCs w:val="20"/>
                <w:lang w:eastAsia="en-AU"/>
              </w:rPr>
              <w:t>be</w:t>
            </w:r>
            <w:r w:rsidRPr="00F70F8F">
              <w:rPr>
                <w:rFonts w:ascii="Calibri" w:eastAsia="Times New Roman" w:hAnsi="Calibri" w:cs="Arial"/>
                <w:sz w:val="20"/>
                <w:szCs w:val="20"/>
                <w:lang w:eastAsia="en-AU"/>
              </w:rPr>
              <w:t xml:space="preserve"> a candidate for cyclosporin due to:</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-Medical contraindication, or</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-Hypersensitivity to cyclosporin active substance or excipients, or</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-Use of concomitant medications which prohibited cyclosporin</w:t>
            </w:r>
            <w:r w:rsidRPr="00F70F8F">
              <w:rPr>
                <w:rFonts w:ascii="Calibri" w:eastAsia="Times New Roman" w:hAnsi="Calibri" w:cs="Arial"/>
                <w:strike/>
                <w:sz w:val="20"/>
                <w:szCs w:val="20"/>
                <w:lang w:eastAsia="en-AU"/>
              </w:rPr>
              <w:t>e</w:t>
            </w:r>
            <w:r w:rsidRPr="00F70F8F">
              <w:rPr>
                <w:rFonts w:ascii="Calibri" w:eastAsia="Times New Roman" w:hAnsi="Calibri" w:cs="Arial"/>
                <w:sz w:val="20"/>
                <w:szCs w:val="20"/>
                <w:lang w:eastAsia="en-AU"/>
              </w:rPr>
              <w:t>;</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 xml:space="preserve">Patient must have been receiving treatment with this drug for this condition prior </w:t>
            </w:r>
            <w:r w:rsidRPr="00E51585">
              <w:rPr>
                <w:rFonts w:ascii="Calibri" w:eastAsia="Times New Roman" w:hAnsi="Calibri" w:cs="Arial"/>
                <w:sz w:val="20"/>
                <w:szCs w:val="20"/>
                <w:lang w:eastAsia="en-AU"/>
              </w:rPr>
              <w:t>to &lt;PBS listing date&gt;;</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 must have demonstrated an adequate response</w:t>
            </w:r>
            <w:r w:rsidRPr="00F70F8F">
              <w:rPr>
                <w:rFonts w:ascii="Calibri" w:eastAsia="Times New Roman" w:hAnsi="Calibri" w:cs="Arial"/>
                <w:strike/>
                <w:sz w:val="20"/>
                <w:szCs w:val="20"/>
                <w:vertAlign w:val="superscript"/>
                <w:lang w:eastAsia="en-AU"/>
              </w:rPr>
              <w:t>b</w:t>
            </w:r>
            <w:r w:rsidRPr="00F70F8F">
              <w:rPr>
                <w:rFonts w:ascii="Calibri" w:eastAsia="Times New Roman" w:hAnsi="Calibri" w:cs="Arial"/>
                <w:sz w:val="20"/>
                <w:szCs w:val="20"/>
                <w:lang w:eastAsia="en-AU"/>
              </w:rPr>
              <w:t xml:space="preserve"> to their most recent course of treatment with this drug;</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 xml:space="preserve">Patient must have signed a patient and prescriber acknowledgment </w:t>
            </w:r>
            <w:r w:rsidRPr="00F70F8F">
              <w:rPr>
                <w:rFonts w:ascii="Calibri" w:eastAsia="Times New Roman" w:hAnsi="Calibri" w:cs="Arial"/>
                <w:i/>
                <w:sz w:val="20"/>
                <w:szCs w:val="20"/>
                <w:lang w:eastAsia="en-AU"/>
              </w:rPr>
              <w:t>indicating they understand and acknowledge</w:t>
            </w:r>
            <w:r w:rsidRPr="00F70F8F">
              <w:rPr>
                <w:rFonts w:ascii="Calibri" w:eastAsia="Times New Roman" w:hAnsi="Calibri" w:cs="Arial"/>
                <w:sz w:val="20"/>
                <w:szCs w:val="20"/>
                <w:lang w:eastAsia="en-AU"/>
              </w:rPr>
              <w:t xml:space="preserve"> that PBS-subsidised treatment will cease if they do not meet the predetermined response criteri</w:t>
            </w:r>
            <w:r w:rsidRPr="00F70F8F">
              <w:rPr>
                <w:rFonts w:ascii="Calibri" w:eastAsia="Times New Roman" w:hAnsi="Calibri" w:cs="Arial"/>
                <w:i/>
                <w:sz w:val="20"/>
                <w:szCs w:val="20"/>
                <w:lang w:eastAsia="en-AU"/>
              </w:rPr>
              <w:t>on</w:t>
            </w:r>
            <w:r w:rsidRPr="00F70F8F">
              <w:rPr>
                <w:rFonts w:ascii="Calibri" w:eastAsia="Times New Roman" w:hAnsi="Calibri" w:cs="Arial"/>
                <w:strike/>
                <w:sz w:val="20"/>
                <w:szCs w:val="20"/>
                <w:lang w:eastAsia="en-AU"/>
              </w:rPr>
              <w:t>a</w:t>
            </w:r>
            <w:r w:rsidRPr="00F70F8F">
              <w:rPr>
                <w:rFonts w:ascii="Calibri" w:eastAsia="Times New Roman" w:hAnsi="Calibri" w:cs="Arial"/>
                <w:sz w:val="20"/>
                <w:szCs w:val="20"/>
                <w:lang w:eastAsia="en-AU"/>
              </w:rPr>
              <w:t xml:space="preserve"> for ongoing PBS-subsidised treatment, as outlined in the restriction for continuing treatment </w:t>
            </w:r>
            <w:r w:rsidRPr="00F70F8F">
              <w:rPr>
                <w:rFonts w:ascii="Calibri" w:eastAsia="Times New Roman" w:hAnsi="Calibri" w:cs="Arial"/>
                <w:i/>
                <w:sz w:val="20"/>
                <w:szCs w:val="20"/>
                <w:lang w:eastAsia="en-AU"/>
              </w:rPr>
              <w:t>(whole body)</w:t>
            </w:r>
            <w:r w:rsidRPr="00F70F8F">
              <w:rPr>
                <w:rFonts w:ascii="Calibri" w:eastAsia="Times New Roman" w:hAnsi="Calibri" w:cs="Arial"/>
                <w:sz w:val="20"/>
                <w:szCs w:val="20"/>
                <w:lang w:eastAsia="en-AU"/>
              </w:rPr>
              <w:t>;</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 xml:space="preserve">The treatment must be as systemic monotherapy (other than oral </w:t>
            </w:r>
            <w:r w:rsidRPr="00F70F8F">
              <w:rPr>
                <w:rFonts w:ascii="Calibri" w:eastAsia="Times New Roman" w:hAnsi="Calibri" w:cs="Arial"/>
                <w:sz w:val="20"/>
                <w:szCs w:val="20"/>
                <w:lang w:eastAsia="en-AU"/>
              </w:rPr>
              <w:lastRenderedPageBreak/>
              <w:t>corticosteroids);</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 must not receive more than 24 weeks of treatment under this restriction.</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lastRenderedPageBreak/>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trike/>
                <w:sz w:val="20"/>
                <w:szCs w:val="20"/>
                <w:lang w:eastAsia="en-AU"/>
              </w:rPr>
              <w:t>Adults aged ≥ 18 years with severe atopic dermatitis</w:t>
            </w:r>
            <w:r w:rsidRPr="00F70F8F">
              <w:rPr>
                <w:rFonts w:ascii="Calibri" w:eastAsia="Times New Roman" w:hAnsi="Calibri" w:cs="Arial"/>
                <w:sz w:val="20"/>
                <w:szCs w:val="20"/>
                <w:lang w:eastAsia="en-AU"/>
              </w:rPr>
              <w:t xml:space="preserve"> </w:t>
            </w:r>
            <w:r w:rsidRPr="00F70F8F">
              <w:rPr>
                <w:rFonts w:ascii="Calibri" w:eastAsia="Times New Roman" w:hAnsi="Calibri" w:cs="Arial"/>
                <w:i/>
                <w:sz w:val="20"/>
                <w:szCs w:val="20"/>
                <w:lang w:eastAsia="en-AU"/>
              </w:rPr>
              <w:t>Patient must be aged 18 years or older</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trike/>
                <w:sz w:val="20"/>
                <w:szCs w:val="20"/>
                <w:lang w:eastAsia="en-AU"/>
              </w:rPr>
            </w:pPr>
            <w:r w:rsidRPr="00F70F8F">
              <w:rPr>
                <w:rFonts w:ascii="Calibri" w:eastAsia="Times New Roman" w:hAnsi="Calibri" w:cs="Arial"/>
                <w:b/>
                <w:strike/>
                <w:sz w:val="20"/>
                <w:szCs w:val="20"/>
                <w:lang w:eastAsia="en-AU"/>
              </w:rPr>
              <w:t>Definitions</w:t>
            </w:r>
          </w:p>
          <w:p w:rsidR="00F70F8F" w:rsidRPr="00F70F8F" w:rsidRDefault="00F70F8F" w:rsidP="00F70F8F">
            <w:pPr>
              <w:spacing w:before="0" w:after="0"/>
              <w:jc w:val="both"/>
              <w:rPr>
                <w:rFonts w:ascii="Calibri" w:eastAsia="Times New Roman" w:hAnsi="Calibri" w:cs="Arial"/>
                <w:strike/>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trike/>
                <w:sz w:val="20"/>
                <w:szCs w:val="20"/>
                <w:lang w:eastAsia="en-AU"/>
              </w:rPr>
            </w:pPr>
            <w:r w:rsidRPr="00F70F8F">
              <w:rPr>
                <w:rFonts w:ascii="Calibri" w:eastAsia="Times New Roman" w:hAnsi="Calibri" w:cs="Arial"/>
                <w:strike/>
                <w:sz w:val="20"/>
                <w:szCs w:val="20"/>
                <w:vertAlign w:val="superscript"/>
                <w:lang w:eastAsia="en-AU"/>
              </w:rPr>
              <w:t>a</w:t>
            </w:r>
            <w:r w:rsidRPr="00F70F8F">
              <w:rPr>
                <w:rFonts w:ascii="Calibri" w:eastAsia="Times New Roman" w:hAnsi="Calibri" w:cs="Arial"/>
                <w:strike/>
                <w:sz w:val="20"/>
                <w:szCs w:val="20"/>
                <w:lang w:eastAsia="en-AU"/>
              </w:rPr>
              <w:t xml:space="preserve"> Severe atopic dermatitis is defined as an Investigator’s Global Assessment (IGA) score of 4</w:t>
            </w:r>
          </w:p>
          <w:p w:rsidR="00F70F8F" w:rsidRPr="00F70F8F" w:rsidRDefault="00F70F8F" w:rsidP="00F70F8F">
            <w:pPr>
              <w:spacing w:before="0" w:after="0"/>
              <w:rPr>
                <w:rFonts w:ascii="Calibri" w:eastAsia="Times New Roman" w:hAnsi="Calibri" w:cs="Arial"/>
                <w:strike/>
                <w:sz w:val="20"/>
                <w:szCs w:val="20"/>
                <w:lang w:eastAsia="en-AU"/>
              </w:rPr>
            </w:pPr>
            <w:r w:rsidRPr="00F70F8F">
              <w:rPr>
                <w:rFonts w:ascii="Calibri" w:eastAsia="Times New Roman" w:hAnsi="Calibri" w:cs="Arial"/>
                <w:strike/>
                <w:sz w:val="20"/>
                <w:szCs w:val="20"/>
                <w:vertAlign w:val="superscript"/>
                <w:lang w:eastAsia="en-AU"/>
              </w:rPr>
              <w:t>b</w:t>
            </w:r>
            <w:r w:rsidRPr="00F70F8F">
              <w:rPr>
                <w:rFonts w:ascii="Calibri" w:eastAsia="Times New Roman" w:hAnsi="Calibri" w:cs="Arial"/>
                <w:strike/>
                <w:sz w:val="20"/>
                <w:szCs w:val="20"/>
                <w:lang w:eastAsia="en-AU"/>
              </w:rPr>
              <w:t xml:space="preserve"> An adequate response to treatment is defined as an Eczema Area and Severity Index (EASI) score which is reduced by 75% or more, or is sustained at this level, when compared with the prebiological treatment baseline value for this Treatment Cycle.</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Where treatment with cyclosporin is contraindicated according to the relevant TGA-approved Product Information, details must be provided at the time of application.</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Where a patient has a history of intolerance to treatment with cyclosporin, which was of a severity to necessitate permanent treatment withdrawal, details of the degree of this toxicity must be provided at the time of application.</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The following criterion indicates failure to achieve an adequate response to prior treatment and must be demonstrated in the patient at the time of the application:</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 inadequate response to cyclosporin is defined as a flare of atopic dermatitis after dosing of at least 2 mg/kg/day for at least 6 weeks. A flare is defined as an increase in signs and/or symptoms of atopic dermatitis.</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An adequate response to treatment is defined as an Eczema Area and Severity Index (EASI) score which is reduced by 75% or more, or is sustained at this level, when compared with the prebiological treatment baseline value for this Treatment Cycle.</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The authority application must be made in writing and must include:</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 a completed authority prescription form; 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(b) a completed Severe Chronic Atopic Dermatitis PBS Authority Application - Supporting Information form which includes the following:</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(i) the Investigator’s Global Assessment (IGA) calculation sheets completed prior to commencing treatment with this drug; 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(ii) details of previous cyclosporin therapy, including dosage, date of commencement and duration of therapy; 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(iii) the signed patient and prescriber acknowledgements.</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 patient may qualify for PBS-subsidised treatment under this restriction once only.</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Administrative Advice</w:t>
            </w:r>
          </w:p>
          <w:p w:rsidR="00F70F8F" w:rsidRPr="00F70F8F" w:rsidRDefault="00F70F8F" w:rsidP="00F70F8F">
            <w:pPr>
              <w:spacing w:before="0" w:after="0"/>
              <w:jc w:val="both"/>
              <w:rPr>
                <w:rFonts w:ascii="Calibri" w:eastAsia="Times New Roman" w:hAnsi="Calibri" w:cs="Arial"/>
                <w:i/>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Details of the toxicities, including severity, which will be accepted as a reason for exempting a patient from the requirement for 6 weeks treatment with cyclosporin can be found on the Department of Human Services website (www.humanservices.gov.au).</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Severe atopic dermatitis is defined as an Investigator’s Global Assessment (IGA) score of 4</w:t>
            </w:r>
            <w:r w:rsidR="00E15F92">
              <w:rPr>
                <w:rFonts w:ascii="Calibri" w:eastAsia="Times New Roman" w:hAnsi="Calibri" w:cs="Arial"/>
                <w:i/>
                <w:sz w:val="20"/>
                <w:szCs w:val="20"/>
                <w:lang w:eastAsia="en-AU"/>
              </w:rPr>
              <w:t xml:space="preserve"> on a five point IGA scale where scores range from 0 to 4</w:t>
            </w:r>
            <w:r w:rsidRPr="00F70F8F">
              <w:rPr>
                <w:rFonts w:ascii="Calibri" w:eastAsia="Times New Roman" w:hAnsi="Calibri" w:cs="Arial"/>
                <w:i/>
                <w:sz w:val="20"/>
                <w:szCs w:val="20"/>
                <w:lang w:eastAsia="en-AU"/>
              </w:rPr>
              <w:t>.</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 Eczema Area and Severity Index (EASI) assessment of the patient’s response to this initial course of treatment must be made within 4 weeks prior to completion of this course of treatment. This assessment, which will be used to determine eligibility for continuing treatment, must be submitted to the Department of Human Services no later than 1 month from the date of completion of this initial course of treatment. Where a response assessment is not undertaken and submitted to the Department of Human Services within these timeframes, the patient will be deemed to have failed to respond to treatment with this drug.</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In circumstances where it is not possible to submit a response assessment within these timeframes, please call the Department of Human Services on 1800 700 270 to discuss.</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It is recommended that an application is posted to the Department of Human Services no later than 2 weeks prior to the patient completing their current treatment course to ensure continuity of treatment for those patients who meet the continuation criterion for PBS-subsidised treatment with this drug.</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Any queries concerning the arrangements to prescribe may be directed to the Department of Human Services on 1800 700 270 (hours of operation 8 a.m. to 5 p.m. EST Monday to Friday).</w:t>
            </w:r>
          </w:p>
          <w:p w:rsidR="00F70F8F" w:rsidRPr="00F70F8F" w:rsidRDefault="00F70F8F" w:rsidP="00F70F8F">
            <w:pPr>
              <w:spacing w:before="0" w:after="0"/>
              <w:rPr>
                <w:rFonts w:ascii="Calibri" w:eastAsia="Times New Roman" w:hAnsi="Calibri" w:cs="Arial"/>
                <w:i/>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Prescribing information (including Authority Application forms and other relevant documentation as applicable) is available on the Department of Human Services website at www.humanservices.gov.au</w:t>
            </w:r>
          </w:p>
          <w:p w:rsidR="00F70F8F" w:rsidRPr="00F70F8F" w:rsidRDefault="00F70F8F" w:rsidP="00F70F8F">
            <w:pPr>
              <w:spacing w:before="0" w:after="0"/>
              <w:rPr>
                <w:rFonts w:ascii="Calibri" w:eastAsia="Times New Roman" w:hAnsi="Calibri" w:cs="Arial"/>
                <w:i/>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Applications for authority to prescribe should be forwarded to:</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Department of Human Services</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Complex Drugs</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Reply Paid 9826</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HOBART TAS 7001</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Special Pricing Arrangements apply.</w:t>
            </w:r>
          </w:p>
        </w:tc>
      </w:tr>
    </w:tbl>
    <w:p w:rsidR="00F70F8F" w:rsidRPr="00F70F8F" w:rsidRDefault="00F70F8F" w:rsidP="00F70F8F">
      <w:pPr>
        <w:spacing w:before="0" w:after="0"/>
        <w:rPr>
          <w:rFonts w:ascii="Times New Roman" w:eastAsia="Times New Roman" w:hAnsi="Times New Roman" w:cs="Times New Roman"/>
          <w:szCs w:val="24"/>
          <w:lang w:eastAsia="en-AU"/>
        </w:rPr>
      </w:pPr>
    </w:p>
    <w:p w:rsidR="00F70F8F" w:rsidRPr="00F70F8F" w:rsidRDefault="00F70F8F" w:rsidP="00F70F8F">
      <w:pPr>
        <w:spacing w:before="0" w:after="0"/>
        <w:rPr>
          <w:rFonts w:ascii="Times New Roman" w:eastAsia="Times New Roman" w:hAnsi="Times New Roman" w:cs="Times New Roman"/>
          <w:szCs w:val="24"/>
          <w:lang w:eastAsia="en-AU"/>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418"/>
        <w:gridCol w:w="1417"/>
      </w:tblGrid>
      <w:tr w:rsidR="00F70F8F" w:rsidRPr="00F70F8F" w:rsidTr="00C269AD">
        <w:trPr>
          <w:trHeight w:val="471"/>
        </w:trPr>
        <w:tc>
          <w:tcPr>
            <w:tcW w:w="3261" w:type="dxa"/>
            <w:gridSpan w:val="2"/>
            <w:tcBorders>
              <w:bottom w:val="single" w:sz="4" w:space="0" w:color="auto"/>
            </w:tcBorders>
          </w:tcPr>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Name, Restriction,</w:t>
            </w:r>
          </w:p>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Manner of administration and form</w:t>
            </w:r>
          </w:p>
        </w:tc>
        <w:tc>
          <w:tcPr>
            <w:tcW w:w="567" w:type="dxa"/>
            <w:tcBorders>
              <w:bottom w:val="single" w:sz="4" w:space="0" w:color="auto"/>
            </w:tcBorders>
          </w:tcPr>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Max.</w:t>
            </w:r>
          </w:p>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Qty</w:t>
            </w:r>
          </w:p>
        </w:tc>
        <w:tc>
          <w:tcPr>
            <w:tcW w:w="850" w:type="dxa"/>
            <w:tcBorders>
              <w:bottom w:val="single" w:sz="4" w:space="0" w:color="auto"/>
            </w:tcBorders>
          </w:tcPr>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№.of</w:t>
            </w:r>
          </w:p>
          <w:p w:rsidR="00F70F8F" w:rsidRPr="00D75311" w:rsidRDefault="00F70F8F" w:rsidP="00F70F8F">
            <w:pPr>
              <w:keepNext/>
              <w:spacing w:before="0" w:after="0"/>
              <w:ind w:left="-108"/>
              <w:jc w:val="both"/>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Rpts</w:t>
            </w:r>
          </w:p>
        </w:tc>
        <w:tc>
          <w:tcPr>
            <w:tcW w:w="1701" w:type="dxa"/>
            <w:tcBorders>
              <w:bottom w:val="single" w:sz="4" w:space="0" w:color="auto"/>
            </w:tcBorders>
          </w:tcPr>
          <w:p w:rsidR="00F70F8F" w:rsidRPr="00D75311" w:rsidRDefault="00F70F8F" w:rsidP="00D75311">
            <w:pPr>
              <w:keepNext/>
              <w:spacing w:before="0" w:after="0"/>
              <w:ind w:left="-108"/>
              <w:rPr>
                <w:rFonts w:ascii="Calibri" w:eastAsia="Times New Roman" w:hAnsi="Calibri" w:cs="Arial"/>
                <w:b/>
                <w:sz w:val="20"/>
                <w:szCs w:val="20"/>
                <w:lang w:eastAsia="en-AU"/>
              </w:rPr>
            </w:pPr>
            <w:r w:rsidRPr="00D75311">
              <w:rPr>
                <w:rFonts w:ascii="Calibri" w:eastAsia="Times New Roman" w:hAnsi="Calibri" w:cs="Arial"/>
                <w:b/>
                <w:sz w:val="20"/>
                <w:szCs w:val="20"/>
                <w:lang w:eastAsia="en-AU"/>
              </w:rPr>
              <w:t>Dispensed Price for Max. Qty</w:t>
            </w:r>
          </w:p>
        </w:tc>
        <w:tc>
          <w:tcPr>
            <w:tcW w:w="2835" w:type="dxa"/>
            <w:gridSpan w:val="2"/>
            <w:tcBorders>
              <w:bottom w:val="single" w:sz="4" w:space="0" w:color="auto"/>
            </w:tcBorders>
          </w:tcPr>
          <w:p w:rsidR="00F70F8F" w:rsidRPr="00D75311" w:rsidRDefault="00F70F8F" w:rsidP="00D75311">
            <w:pPr>
              <w:keepNext/>
              <w:spacing w:before="0" w:after="0"/>
              <w:rPr>
                <w:rFonts w:ascii="Calibri" w:eastAsia="Times New Roman" w:hAnsi="Calibri" w:cs="Arial"/>
                <w:b/>
                <w:sz w:val="20"/>
                <w:szCs w:val="20"/>
                <w:lang w:val="fr-FR" w:eastAsia="en-AU"/>
              </w:rPr>
            </w:pPr>
            <w:r w:rsidRPr="00D75311">
              <w:rPr>
                <w:rFonts w:ascii="Calibri" w:eastAsia="Times New Roman" w:hAnsi="Calibri" w:cs="Arial"/>
                <w:b/>
                <w:sz w:val="20"/>
                <w:szCs w:val="20"/>
                <w:lang w:eastAsia="en-AU"/>
              </w:rPr>
              <w:t>Proprietary Name and Manufacturer</w:t>
            </w:r>
          </w:p>
        </w:tc>
      </w:tr>
      <w:tr w:rsidR="00F70F8F" w:rsidRPr="00F70F8F" w:rsidTr="00C269AD">
        <w:trPr>
          <w:trHeight w:val="577"/>
        </w:trPr>
        <w:tc>
          <w:tcPr>
            <w:tcW w:w="3261" w:type="dxa"/>
            <w:gridSpan w:val="2"/>
          </w:tcPr>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mallCaps/>
                <w:sz w:val="20"/>
                <w:szCs w:val="20"/>
                <w:lang w:eastAsia="en-AU"/>
              </w:rPr>
              <w:t>dupilumab</w:t>
            </w: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300 mg in 2 mL pre-filled syringe</w:t>
            </w:r>
          </w:p>
        </w:tc>
        <w:tc>
          <w:tcPr>
            <w:tcW w:w="567" w:type="dxa"/>
          </w:tcPr>
          <w:p w:rsidR="00F70F8F" w:rsidRPr="00F70F8F" w:rsidRDefault="00F70F8F" w:rsidP="00F70F8F">
            <w:pPr>
              <w:keepNext/>
              <w:spacing w:before="0" w:after="0"/>
              <w:ind w:left="-108"/>
              <w:jc w:val="both"/>
              <w:rPr>
                <w:rFonts w:ascii="Calibri" w:eastAsia="Times New Roman" w:hAnsi="Calibri" w:cs="Arial"/>
                <w:sz w:val="20"/>
                <w:szCs w:val="20"/>
                <w:lang w:eastAsia="en-AU"/>
              </w:rPr>
            </w:pP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2</w:t>
            </w:r>
          </w:p>
        </w:tc>
        <w:tc>
          <w:tcPr>
            <w:tcW w:w="850" w:type="dxa"/>
          </w:tcPr>
          <w:p w:rsidR="00F70F8F" w:rsidRPr="00F70F8F" w:rsidRDefault="00F70F8F" w:rsidP="00F70F8F">
            <w:pPr>
              <w:keepNext/>
              <w:spacing w:before="0" w:after="0"/>
              <w:ind w:left="-108"/>
              <w:jc w:val="both"/>
              <w:rPr>
                <w:rFonts w:ascii="Calibri" w:eastAsia="Times New Roman" w:hAnsi="Calibri" w:cs="Arial"/>
                <w:sz w:val="20"/>
                <w:szCs w:val="20"/>
                <w:lang w:eastAsia="en-AU"/>
              </w:rPr>
            </w:pP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5</w:t>
            </w:r>
          </w:p>
        </w:tc>
        <w:tc>
          <w:tcPr>
            <w:tcW w:w="1701" w:type="dxa"/>
          </w:tcPr>
          <w:p w:rsidR="00F70F8F" w:rsidRPr="00F70F8F" w:rsidRDefault="00F70F8F" w:rsidP="00F70F8F">
            <w:pPr>
              <w:keepNext/>
              <w:spacing w:before="0" w:after="0"/>
              <w:ind w:left="-108"/>
              <w:jc w:val="both"/>
              <w:rPr>
                <w:rFonts w:ascii="Calibri" w:eastAsia="Times New Roman" w:hAnsi="Calibri" w:cs="Arial"/>
                <w:sz w:val="20"/>
                <w:szCs w:val="20"/>
                <w:lang w:eastAsia="en-AU"/>
              </w:rPr>
            </w:pPr>
          </w:p>
          <w:p w:rsidR="00F70F8F" w:rsidRPr="00F70F8F" w:rsidRDefault="00F70F8F" w:rsidP="00F70F8F">
            <w:pPr>
              <w:keepNext/>
              <w:spacing w:before="0" w:after="0"/>
              <w:ind w:left="-108"/>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w:t>
            </w:r>
            <w:r w:rsidR="00330093">
              <w:rPr>
                <w:rFonts w:ascii="Calibri" w:eastAsia="Times New Roman" w:hAnsi="Calibri" w:cs="Arial"/>
                <w:noProof/>
                <w:color w:val="000000"/>
                <w:sz w:val="20"/>
                <w:szCs w:val="20"/>
                <w:highlight w:val="black"/>
                <w:lang w:eastAsia="en-AU"/>
              </w:rPr>
              <w:t>'''''''''''''''''</w:t>
            </w:r>
          </w:p>
        </w:tc>
        <w:tc>
          <w:tcPr>
            <w:tcW w:w="1418" w:type="dxa"/>
          </w:tcPr>
          <w:p w:rsidR="00D75311" w:rsidRDefault="00D75311" w:rsidP="00F70F8F">
            <w:pPr>
              <w:keepNext/>
              <w:spacing w:before="0" w:after="0"/>
              <w:jc w:val="both"/>
              <w:rPr>
                <w:rFonts w:ascii="Calibri" w:eastAsia="Times New Roman" w:hAnsi="Calibri" w:cs="Arial"/>
                <w:sz w:val="20"/>
                <w:szCs w:val="20"/>
                <w:lang w:eastAsia="en-AU"/>
              </w:rPr>
            </w:pPr>
          </w:p>
          <w:p w:rsidR="00F70F8F" w:rsidRPr="00F70F8F" w:rsidRDefault="00F70F8F" w:rsidP="00F70F8F">
            <w:pPr>
              <w:keepNext/>
              <w:spacing w:before="0" w:after="0"/>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Dupixent®</w:t>
            </w:r>
          </w:p>
        </w:tc>
        <w:tc>
          <w:tcPr>
            <w:tcW w:w="1417" w:type="dxa"/>
          </w:tcPr>
          <w:p w:rsidR="00D75311" w:rsidRDefault="00D75311" w:rsidP="00F70F8F">
            <w:pPr>
              <w:keepNext/>
              <w:spacing w:before="0" w:after="0"/>
              <w:jc w:val="both"/>
              <w:rPr>
                <w:rFonts w:ascii="Calibri" w:eastAsia="Times New Roman" w:hAnsi="Calibri" w:cs="Arial"/>
                <w:sz w:val="20"/>
                <w:szCs w:val="20"/>
                <w:lang w:eastAsia="en-AU"/>
              </w:rPr>
            </w:pPr>
          </w:p>
          <w:p w:rsidR="00F70F8F" w:rsidRPr="00F70F8F" w:rsidRDefault="00F70F8F" w:rsidP="00F70F8F">
            <w:pPr>
              <w:keepNext/>
              <w:spacing w:before="0" w:after="0"/>
              <w:jc w:val="both"/>
              <w:rPr>
                <w:rFonts w:ascii="Calibri" w:eastAsia="Times New Roman" w:hAnsi="Calibri" w:cs="Arial"/>
                <w:sz w:val="20"/>
                <w:szCs w:val="20"/>
                <w:lang w:eastAsia="en-AU"/>
              </w:rPr>
            </w:pPr>
            <w:r w:rsidRPr="00F70F8F">
              <w:rPr>
                <w:rFonts w:ascii="Calibri" w:eastAsia="Times New Roman" w:hAnsi="Calibri" w:cs="Arial"/>
                <w:sz w:val="20"/>
                <w:szCs w:val="20"/>
                <w:lang w:eastAsia="en-AU"/>
              </w:rPr>
              <w:t>Sanofi-Aventis</w:t>
            </w:r>
          </w:p>
        </w:tc>
      </w:tr>
      <w:tr w:rsidR="00F70F8F" w:rsidRPr="00F70F8F" w:rsidTr="00C269AD">
        <w:trPr>
          <w:trHeight w:val="360"/>
        </w:trPr>
        <w:tc>
          <w:tcPr>
            <w:tcW w:w="9214" w:type="dxa"/>
            <w:gridSpan w:val="7"/>
            <w:tcBorders>
              <w:bottom w:val="single" w:sz="4" w:space="0" w:color="auto"/>
            </w:tcBorders>
          </w:tcPr>
          <w:p w:rsidR="00F70F8F" w:rsidRPr="00F70F8F" w:rsidRDefault="00F70F8F" w:rsidP="00F70F8F">
            <w:pPr>
              <w:spacing w:before="0" w:after="0"/>
              <w:jc w:val="both"/>
              <w:rPr>
                <w:rFonts w:ascii="Calibri" w:eastAsia="Times New Roman" w:hAnsi="Calibri" w:cs="Arial"/>
                <w:sz w:val="20"/>
                <w:szCs w:val="20"/>
                <w:lang w:eastAsia="en-AU"/>
              </w:rPr>
            </w:pP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GENERAL – General Schedule (Code GE)</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Prescriber type:</w:t>
            </w:r>
          </w:p>
          <w:p w:rsidR="00F70F8F" w:rsidRPr="00F70F8F" w:rsidRDefault="00F70F8F" w:rsidP="00F70F8F">
            <w:pPr>
              <w:spacing w:before="0" w:after="0"/>
              <w:jc w:val="both"/>
              <w:rPr>
                <w:rFonts w:ascii="Calibri" w:eastAsia="Times New Roman" w:hAnsi="Calibri" w:cs="Arial"/>
                <w:b/>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1"/>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 xml:space="preserve">Dental  </w:t>
            </w:r>
            <w:r w:rsidRPr="00F70F8F">
              <w:rPr>
                <w:rFonts w:ascii="Calibri" w:eastAsia="Times New Roman" w:hAnsi="Calibri" w:cs="Arial"/>
                <w:sz w:val="20"/>
                <w:szCs w:val="20"/>
                <w:lang w:eastAsia="en-AU"/>
              </w:rPr>
              <w:fldChar w:fldCharType="begin">
                <w:ffData>
                  <w:name w:val=""/>
                  <w:enabled/>
                  <w:calcOnExit w:val="0"/>
                  <w:checkBox>
                    <w:sizeAuto/>
                    <w:default w:val="1"/>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 xml:space="preserve">Medical Practitioners  </w:t>
            </w:r>
            <w:r w:rsidRPr="00F70F8F">
              <w:rPr>
                <w:rFonts w:ascii="Calibri" w:eastAsia="Times New Roman" w:hAnsi="Calibri" w:cs="Arial"/>
                <w:sz w:val="20"/>
                <w:szCs w:val="20"/>
                <w:lang w:eastAsia="en-AU"/>
              </w:rPr>
              <w:fldChar w:fldCharType="begin">
                <w:ffData>
                  <w:name w:val="Check3"/>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 xml:space="preserve">Nurse practitioners  </w:t>
            </w:r>
            <w:r w:rsidRPr="00F70F8F">
              <w:rPr>
                <w:rFonts w:ascii="Calibri" w:eastAsia="Times New Roman" w:hAnsi="Calibri" w:cs="Arial"/>
                <w:sz w:val="20"/>
                <w:szCs w:val="20"/>
                <w:lang w:eastAsia="en-AU"/>
              </w:rPr>
              <w:fldChar w:fldCharType="begin">
                <w:ffData>
                  <w:name w:val=""/>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Optometrists</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5"/>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Midwives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Chronic</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i/>
                <w:sz w:val="20"/>
                <w:szCs w:val="20"/>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i/>
                <w:sz w:val="20"/>
                <w:szCs w:val="20"/>
                <w:lang w:eastAsia="en-AU"/>
              </w:rPr>
              <w:t>Severe</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trike/>
                <w:sz w:val="20"/>
                <w:szCs w:val="20"/>
                <w:lang w:eastAsia="en-AU"/>
              </w:rPr>
              <w:t>Severe</w:t>
            </w:r>
            <w:r w:rsidRPr="00F70F8F">
              <w:rPr>
                <w:rFonts w:ascii="Calibri" w:eastAsia="Times New Roman" w:hAnsi="Calibri" w:cs="Arial"/>
                <w:sz w:val="20"/>
                <w:szCs w:val="20"/>
                <w:lang w:eastAsia="en-AU"/>
              </w:rPr>
              <w:t xml:space="preserve"> atopic dermatitis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lastRenderedPageBreak/>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i/>
                <w:sz w:val="20"/>
                <w:szCs w:val="20"/>
                <w:lang w:eastAsia="en-AU"/>
              </w:rPr>
              <w:t xml:space="preserve">Chronic </w:t>
            </w:r>
            <w:r w:rsidRPr="00F70F8F">
              <w:rPr>
                <w:rFonts w:ascii="Calibri" w:eastAsia="Times New Roman" w:hAnsi="Calibri" w:cs="Arial"/>
                <w:strike/>
                <w:sz w:val="20"/>
                <w:szCs w:val="20"/>
                <w:lang w:eastAsia="en-AU"/>
              </w:rPr>
              <w:t>S</w:t>
            </w:r>
            <w:r w:rsidRPr="00F70F8F">
              <w:rPr>
                <w:rFonts w:ascii="Calibri" w:eastAsia="Times New Roman" w:hAnsi="Calibri" w:cs="Arial"/>
                <w:i/>
                <w:sz w:val="20"/>
                <w:szCs w:val="20"/>
                <w:lang w:eastAsia="en-AU"/>
              </w:rPr>
              <w:t>s</w:t>
            </w:r>
            <w:r w:rsidRPr="00F70F8F">
              <w:rPr>
                <w:rFonts w:ascii="Calibri" w:eastAsia="Times New Roman" w:hAnsi="Calibri" w:cs="Arial"/>
                <w:sz w:val="20"/>
                <w:szCs w:val="20"/>
                <w:lang w:eastAsia="en-AU"/>
              </w:rPr>
              <w:t>evere atopic dermatitis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sz w:val="20"/>
                <w:szCs w:val="20"/>
                <w:lang w:eastAsia="en-AU"/>
              </w:rPr>
              <w:t xml:space="preserve">Continuing </w:t>
            </w:r>
            <w:r w:rsidRPr="00F70F8F">
              <w:rPr>
                <w:rFonts w:ascii="Calibri" w:eastAsia="Times New Roman" w:hAnsi="Calibri" w:cs="Arial"/>
                <w:i/>
                <w:sz w:val="20"/>
                <w:szCs w:val="20"/>
                <w:lang w:eastAsia="en-AU"/>
              </w:rPr>
              <w:t>treatment</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Restriction Level / Method:</w:t>
            </w:r>
          </w:p>
          <w:p w:rsidR="00F70F8F" w:rsidRPr="00F70F8F" w:rsidRDefault="00F70F8F" w:rsidP="00F70F8F">
            <w:pPr>
              <w:spacing w:before="0" w:after="0"/>
              <w:rPr>
                <w:rFonts w:ascii="Calibri" w:eastAsia="Times New Roman" w:hAnsi="Calibri" w:cs="Arial"/>
                <w:i/>
                <w:sz w:val="20"/>
                <w:szCs w:val="20"/>
                <w:highlight w:val="yellow"/>
                <w:lang w:eastAsia="en-AU"/>
              </w:rPr>
            </w:pPr>
          </w:p>
          <w:p w:rsidR="00F70F8F" w:rsidRPr="00F70F8F" w:rsidRDefault="00F70F8F" w:rsidP="00F70F8F">
            <w:pPr>
              <w:spacing w:before="0" w:after="0"/>
              <w:rPr>
                <w:rFonts w:ascii="Calibri" w:eastAsia="Times New Roman" w:hAnsi="Calibri" w:cs="Arial"/>
                <w:i/>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1"/>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Restricted benefit</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
                  <w:enabled/>
                  <w:calcOnExit w:val="0"/>
                  <w:checkBox>
                    <w:sizeAuto/>
                    <w:default w:val="1"/>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In Writing</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3"/>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Telephone</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Emergency</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5"/>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Authority Required - Electronic</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fldChar w:fldCharType="begin">
                <w:ffData>
                  <w:name w:val="Check5"/>
                  <w:enabled/>
                  <w:calcOnExit w:val="0"/>
                  <w:checkBox>
                    <w:sizeAuto/>
                    <w:default w:val="0"/>
                  </w:checkBox>
                </w:ffData>
              </w:fldChar>
            </w:r>
            <w:r w:rsidRPr="00F70F8F">
              <w:rPr>
                <w:rFonts w:ascii="Calibri" w:eastAsia="Times New Roman" w:hAnsi="Calibri" w:cs="Arial"/>
                <w:sz w:val="20"/>
                <w:szCs w:val="20"/>
                <w:lang w:eastAsia="en-AU"/>
              </w:rPr>
              <w:instrText xml:space="preserve"> FORMCHECKBOX </w:instrText>
            </w:r>
            <w:r w:rsidR="00557C85">
              <w:rPr>
                <w:rFonts w:ascii="Calibri" w:eastAsia="Times New Roman" w:hAnsi="Calibri" w:cs="Arial"/>
                <w:sz w:val="20"/>
                <w:szCs w:val="20"/>
                <w:lang w:eastAsia="en-AU"/>
              </w:rPr>
            </w:r>
            <w:r w:rsidR="00557C85">
              <w:rPr>
                <w:rFonts w:ascii="Calibri" w:eastAsia="Times New Roman" w:hAnsi="Calibri" w:cs="Arial"/>
                <w:sz w:val="20"/>
                <w:szCs w:val="20"/>
                <w:lang w:eastAsia="en-AU"/>
              </w:rPr>
              <w:fldChar w:fldCharType="separate"/>
            </w:r>
            <w:r w:rsidRPr="00F70F8F">
              <w:rPr>
                <w:rFonts w:ascii="Calibri" w:eastAsia="Times New Roman" w:hAnsi="Calibri" w:cs="Arial"/>
                <w:sz w:val="20"/>
                <w:szCs w:val="20"/>
                <w:lang w:eastAsia="en-AU"/>
              </w:rPr>
              <w:fldChar w:fldCharType="end"/>
            </w:r>
            <w:r w:rsidRPr="00F70F8F">
              <w:rPr>
                <w:rFonts w:ascii="Calibri" w:eastAsia="Times New Roman" w:hAnsi="Calibri" w:cs="Arial"/>
                <w:sz w:val="20"/>
                <w:szCs w:val="20"/>
                <w:lang w:eastAsia="en-AU"/>
              </w:rPr>
              <w:t>Streamlined</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Treatment criteria:</w:t>
            </w:r>
          </w:p>
          <w:p w:rsidR="00F70F8F" w:rsidRPr="00F70F8F" w:rsidRDefault="00F70F8F" w:rsidP="00F70F8F">
            <w:pPr>
              <w:spacing w:before="0" w:after="0"/>
              <w:rPr>
                <w:rFonts w:ascii="Calibri" w:eastAsia="Times New Roman" w:hAnsi="Calibri" w:cs="Arial"/>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Must be treated by a dermatologist, OR</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Must be treated by a clinical immunologist.</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Clinical criteria:</w:t>
            </w:r>
          </w:p>
          <w:p w:rsidR="00F70F8F" w:rsidRPr="00F70F8F" w:rsidRDefault="00F70F8F" w:rsidP="00F70F8F">
            <w:pPr>
              <w:spacing w:before="0" w:after="0"/>
              <w:jc w:val="both"/>
              <w:rPr>
                <w:rFonts w:ascii="Calibri" w:eastAsia="Times New Roman" w:hAnsi="Calibri" w:cs="Arial"/>
                <w:i/>
                <w:sz w:val="20"/>
                <w:szCs w:val="20"/>
                <w:lang w:eastAsia="en-AU"/>
              </w:rPr>
            </w:pPr>
          </w:p>
          <w:p w:rsidR="00F70F8F" w:rsidRPr="00F70F8F" w:rsidRDefault="00F70F8F" w:rsidP="00F70F8F">
            <w:pPr>
              <w:spacing w:before="0" w:after="0"/>
              <w:jc w:val="both"/>
              <w:rPr>
                <w:rFonts w:ascii="Calibri" w:eastAsia="Times New Roman" w:hAnsi="Calibri" w:cs="Arial"/>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 must have a documented history of severe</w:t>
            </w:r>
            <w:r w:rsidRPr="00F70F8F">
              <w:rPr>
                <w:rFonts w:ascii="Calibri" w:eastAsia="Times New Roman" w:hAnsi="Calibri" w:cs="Arial"/>
                <w:strike/>
                <w:sz w:val="20"/>
                <w:szCs w:val="20"/>
                <w:vertAlign w:val="superscript"/>
                <w:lang w:eastAsia="en-AU"/>
              </w:rPr>
              <w:t>a</w:t>
            </w:r>
            <w:r w:rsidRPr="00F70F8F">
              <w:rPr>
                <w:rFonts w:ascii="Calibri" w:eastAsia="Times New Roman" w:hAnsi="Calibri" w:cs="Arial"/>
                <w:sz w:val="20"/>
                <w:szCs w:val="20"/>
                <w:lang w:eastAsia="en-AU"/>
              </w:rPr>
              <w:t xml:space="preserve"> chronic atopic dermatitis;</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 xml:space="preserve">Patient must have received this drug as their most recent course of PBS-subsidised treatment </w:t>
            </w:r>
            <w:r w:rsidRPr="00F70F8F">
              <w:rPr>
                <w:rFonts w:ascii="Calibri" w:eastAsia="Times New Roman" w:hAnsi="Calibri" w:cs="Arial"/>
                <w:strike/>
                <w:sz w:val="20"/>
                <w:szCs w:val="20"/>
                <w:lang w:eastAsia="en-AU"/>
              </w:rPr>
              <w:t>with a biological agent</w:t>
            </w:r>
            <w:r w:rsidRPr="00F70F8F">
              <w:rPr>
                <w:rFonts w:ascii="Calibri" w:eastAsia="Times New Roman" w:hAnsi="Calibri" w:cs="Arial"/>
                <w:sz w:val="20"/>
                <w:szCs w:val="20"/>
                <w:lang w:eastAsia="en-AU"/>
              </w:rPr>
              <w:t xml:space="preserve"> for this condition in the current Treatment Cycle;</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 must have demonstrated an adequate response</w:t>
            </w:r>
            <w:r w:rsidRPr="00F70F8F">
              <w:rPr>
                <w:rFonts w:ascii="Calibri" w:eastAsia="Times New Roman" w:hAnsi="Calibri" w:cs="Arial"/>
                <w:strike/>
                <w:sz w:val="20"/>
                <w:szCs w:val="20"/>
                <w:vertAlign w:val="superscript"/>
                <w:lang w:eastAsia="en-AU"/>
              </w:rPr>
              <w:t>b</w:t>
            </w:r>
            <w:r w:rsidRPr="00F70F8F">
              <w:rPr>
                <w:rFonts w:ascii="Calibri" w:eastAsia="Times New Roman" w:hAnsi="Calibri" w:cs="Arial"/>
                <w:sz w:val="20"/>
                <w:szCs w:val="20"/>
                <w:lang w:eastAsia="en-AU"/>
              </w:rPr>
              <w:t xml:space="preserve"> to their most recent course of treatment with this drug;</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The treatment must be as systemic monotherapy (other than oral corticosteroids);</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 must not receive more than 24 weeks of treatment per continuing treatment course authorised under this restriction.</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trike/>
                <w:sz w:val="20"/>
                <w:szCs w:val="20"/>
                <w:lang w:eastAsia="en-AU"/>
              </w:rPr>
              <w:t>Adults aged ≥ 18 years with severe atopic dermatitis</w:t>
            </w:r>
            <w:r w:rsidRPr="00F70F8F">
              <w:rPr>
                <w:rFonts w:ascii="Calibri" w:eastAsia="Times New Roman" w:hAnsi="Calibri" w:cs="Arial"/>
                <w:sz w:val="20"/>
                <w:szCs w:val="20"/>
                <w:lang w:eastAsia="en-AU"/>
              </w:rPr>
              <w:t xml:space="preserve"> </w:t>
            </w:r>
            <w:r w:rsidRPr="00F70F8F">
              <w:rPr>
                <w:rFonts w:ascii="Calibri" w:eastAsia="Times New Roman" w:hAnsi="Calibri" w:cs="Arial"/>
                <w:i/>
                <w:sz w:val="20"/>
                <w:szCs w:val="20"/>
                <w:lang w:eastAsia="en-AU"/>
              </w:rPr>
              <w:t>Patient must be aged 18 years or older</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trike/>
                <w:sz w:val="20"/>
                <w:szCs w:val="20"/>
                <w:lang w:eastAsia="en-AU"/>
              </w:rPr>
            </w:pPr>
            <w:r w:rsidRPr="00F70F8F">
              <w:rPr>
                <w:rFonts w:ascii="Calibri" w:eastAsia="Times New Roman" w:hAnsi="Calibri" w:cs="Arial"/>
                <w:b/>
                <w:strike/>
                <w:sz w:val="20"/>
                <w:szCs w:val="20"/>
                <w:lang w:eastAsia="en-AU"/>
              </w:rPr>
              <w:t>Definitions</w:t>
            </w:r>
          </w:p>
          <w:p w:rsidR="00F70F8F" w:rsidRPr="00F70F8F" w:rsidRDefault="00F70F8F" w:rsidP="00F70F8F">
            <w:pPr>
              <w:spacing w:before="0" w:after="0"/>
              <w:jc w:val="both"/>
              <w:rPr>
                <w:rFonts w:ascii="Calibri" w:eastAsia="Times New Roman" w:hAnsi="Calibri" w:cs="Arial"/>
                <w:strike/>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trike/>
                <w:sz w:val="20"/>
                <w:szCs w:val="20"/>
                <w:lang w:eastAsia="en-AU"/>
              </w:rPr>
            </w:pPr>
            <w:r w:rsidRPr="00F70F8F">
              <w:rPr>
                <w:rFonts w:ascii="Calibri" w:eastAsia="Times New Roman" w:hAnsi="Calibri" w:cs="Arial"/>
                <w:strike/>
                <w:sz w:val="20"/>
                <w:szCs w:val="20"/>
                <w:vertAlign w:val="superscript"/>
                <w:lang w:eastAsia="en-AU"/>
              </w:rPr>
              <w:t>a</w:t>
            </w:r>
            <w:r w:rsidRPr="00F70F8F">
              <w:rPr>
                <w:rFonts w:ascii="Calibri" w:eastAsia="Times New Roman" w:hAnsi="Calibri" w:cs="Arial"/>
                <w:strike/>
                <w:sz w:val="20"/>
                <w:szCs w:val="20"/>
                <w:lang w:eastAsia="en-AU"/>
              </w:rPr>
              <w:t xml:space="preserve"> Severe atopic dermatitis is defined as an Investigator’s Global Assessment (IGA) score of 4</w:t>
            </w:r>
          </w:p>
          <w:p w:rsidR="00F70F8F" w:rsidRPr="00F70F8F" w:rsidRDefault="00F70F8F" w:rsidP="00F70F8F">
            <w:pPr>
              <w:spacing w:before="0" w:after="0"/>
              <w:rPr>
                <w:rFonts w:ascii="Calibri" w:eastAsia="Times New Roman" w:hAnsi="Calibri" w:cs="Arial"/>
                <w:strike/>
                <w:sz w:val="20"/>
                <w:szCs w:val="20"/>
                <w:lang w:eastAsia="en-AU"/>
              </w:rPr>
            </w:pPr>
            <w:r w:rsidRPr="00F70F8F">
              <w:rPr>
                <w:rFonts w:ascii="Calibri" w:eastAsia="Times New Roman" w:hAnsi="Calibri" w:cs="Arial"/>
                <w:strike/>
                <w:sz w:val="20"/>
                <w:szCs w:val="20"/>
                <w:vertAlign w:val="superscript"/>
                <w:lang w:eastAsia="en-AU"/>
              </w:rPr>
              <w:t>b</w:t>
            </w:r>
            <w:r w:rsidRPr="00F70F8F">
              <w:rPr>
                <w:rFonts w:ascii="Calibri" w:eastAsia="Times New Roman" w:hAnsi="Calibri" w:cs="Arial"/>
                <w:strike/>
                <w:sz w:val="20"/>
                <w:szCs w:val="20"/>
                <w:lang w:eastAsia="en-AU"/>
              </w:rPr>
              <w:t xml:space="preserve"> An adequate response to treatment is defined as an Eczema Area and Severity Index (EASI) score which is reduced by 75% or more, or is sustained at this level, when compared with the prebiological treatment baseline value for this Treatment Cycle.</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The authority application must be made in writing and must include:</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 a completed authority prescription form; and</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(b) a completed Severe Chronic Atopic Dermatitis PBS Authority Application - Supporting Information form which includes the following:</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(i) the completed Eczema Area and Severity Index (EASI) calculation sheets including the date of assessment of the patient's condition.</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 xml:space="preserve">The most recent EASI assessment must be no more than 1 month old at the time of application. </w:t>
            </w: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Approval will be based on the EASI assessment of response to the most recent course of treatment with this drug.</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An adequate response to treatment is defined as an Eczema Area and Severity Index (EASI) score which is reduced by 75% or more, or is sustained at this level, when compared with the prebiological treatment baseline value for this Treatment Cycle.</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 xml:space="preserve">An EASI assessment of the patient's response must be conducted within 4 weeks prior to completion of this course of treatment. This assessment, </w:t>
            </w:r>
            <w:r w:rsidRPr="00F70F8F">
              <w:rPr>
                <w:rFonts w:ascii="Calibri" w:eastAsia="Times New Roman" w:hAnsi="Calibri" w:cs="Arial"/>
                <w:sz w:val="20"/>
                <w:szCs w:val="20"/>
                <w:lang w:eastAsia="en-AU"/>
              </w:rPr>
              <w:lastRenderedPageBreak/>
              <w:t>which will be used to determine eligibility for further continuing treatment, must be submitted to the Department of Human Services no later than 1 month from the date of completion of this course of treatment. Where a response assessment is not undertaken and submitted to the Department of Human Services within these timeframes, the patient will be deemed to have failed to respond to treatment with this drug.</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In circumstances where it is not possible to submit a response assessment within these timeframes, please call the Department of Human Services on 1800 700 270 to discuss.</w:t>
            </w:r>
          </w:p>
        </w:tc>
      </w:tr>
      <w:tr w:rsidR="00F70F8F" w:rsidRPr="00F70F8F" w:rsidTr="00C269AD">
        <w:trPr>
          <w:trHeight w:val="360"/>
        </w:trPr>
        <w:tc>
          <w:tcPr>
            <w:tcW w:w="2835" w:type="dxa"/>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jc w:val="both"/>
              <w:rPr>
                <w:rFonts w:ascii="Calibri" w:eastAsia="Times New Roman" w:hAnsi="Calibri" w:cs="Arial"/>
                <w:b/>
                <w:sz w:val="20"/>
                <w:szCs w:val="20"/>
                <w:lang w:eastAsia="en-AU"/>
              </w:rPr>
            </w:pPr>
            <w:r w:rsidRPr="00F70F8F">
              <w:rPr>
                <w:rFonts w:ascii="Calibri" w:eastAsia="Times New Roman" w:hAnsi="Calibri" w:cs="Arial"/>
                <w:b/>
                <w:sz w:val="20"/>
                <w:szCs w:val="20"/>
                <w:lang w:eastAsia="en-AU"/>
              </w:rPr>
              <w:lastRenderedPageBreak/>
              <w:t>Administrative Advice</w:t>
            </w:r>
          </w:p>
          <w:p w:rsidR="00F70F8F" w:rsidRPr="00F70F8F" w:rsidRDefault="00F70F8F" w:rsidP="00F70F8F">
            <w:pPr>
              <w:spacing w:before="0" w:after="0"/>
              <w:jc w:val="both"/>
              <w:rPr>
                <w:rFonts w:ascii="Calibri" w:eastAsia="Times New Roman" w:hAnsi="Calibri" w:cs="Arial"/>
                <w:i/>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Severe atopic dermatitis is defined as an Investigator’s Global Assessment (IGA) score of 4</w:t>
            </w:r>
            <w:r w:rsidR="00E15F92">
              <w:rPr>
                <w:rFonts w:ascii="Calibri" w:eastAsia="Times New Roman" w:hAnsi="Calibri" w:cs="Arial"/>
                <w:i/>
                <w:sz w:val="20"/>
                <w:szCs w:val="20"/>
                <w:lang w:eastAsia="en-AU"/>
              </w:rPr>
              <w:t xml:space="preserve"> on a five point IGA scale where scores range from 0 to 4</w:t>
            </w:r>
            <w:r w:rsidRPr="00F70F8F">
              <w:rPr>
                <w:rFonts w:ascii="Calibri" w:eastAsia="Times New Roman" w:hAnsi="Calibri" w:cs="Arial"/>
                <w:i/>
                <w:sz w:val="20"/>
                <w:szCs w:val="20"/>
                <w:lang w:eastAsia="en-AU"/>
              </w:rPr>
              <w:t>.</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It is recommended that an application is posted to the Department of Human Services no later than 2 weeks prior to the patient completing their current treatment course to ensure continuity of treatment for those patients who meet the continuation criterion for PBS-subsidised treatment with this drug.</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sz w:val="20"/>
                <w:szCs w:val="20"/>
                <w:lang w:eastAsia="en-AU"/>
              </w:rPr>
            </w:pPr>
            <w:r w:rsidRPr="00F70F8F">
              <w:rPr>
                <w:rFonts w:ascii="Calibri" w:eastAsia="Times New Roman" w:hAnsi="Calibri" w:cs="Arial"/>
                <w:sz w:val="20"/>
                <w:szCs w:val="20"/>
                <w:lang w:eastAsia="en-AU"/>
              </w:rPr>
              <w:t>Patients who fail to demonstrate a response to treatment with a biological agent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Any queries concerning the arrangements to prescribe may be directed to the Department of Human Services on 1800 700 270 (hours of operation 8 a.m. to 5 p.m. EST Monday to Friday).</w:t>
            </w:r>
          </w:p>
          <w:p w:rsidR="00F70F8F" w:rsidRPr="00F70F8F" w:rsidRDefault="00F70F8F" w:rsidP="00F70F8F">
            <w:pPr>
              <w:spacing w:before="0" w:after="0"/>
              <w:rPr>
                <w:rFonts w:ascii="Calibri" w:eastAsia="Times New Roman" w:hAnsi="Calibri" w:cs="Arial"/>
                <w:i/>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Prescribing information (including Authority Application forms and other relevant documentation as applicable) is available on the Department of Human Services website at www.humanservices.gov.au</w:t>
            </w:r>
          </w:p>
          <w:p w:rsidR="00F70F8F" w:rsidRPr="00F70F8F" w:rsidRDefault="00F70F8F" w:rsidP="00F70F8F">
            <w:pPr>
              <w:spacing w:before="0" w:after="0"/>
              <w:rPr>
                <w:rFonts w:ascii="Calibri" w:eastAsia="Times New Roman" w:hAnsi="Calibri" w:cs="Arial"/>
                <w:i/>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Applications for authority to prescribe should be forwarded to:</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Department of Human Services</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Complex Drugs</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Reply Paid 9826</w:t>
            </w: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HOBART TAS 7001</w:t>
            </w:r>
          </w:p>
          <w:p w:rsidR="00F70F8F" w:rsidRPr="00F70F8F" w:rsidRDefault="00F70F8F" w:rsidP="00F70F8F">
            <w:pPr>
              <w:spacing w:before="0" w:after="0"/>
              <w:rPr>
                <w:rFonts w:ascii="Calibri" w:eastAsia="Times New Roman" w:hAnsi="Calibri" w:cs="Arial"/>
                <w:sz w:val="20"/>
                <w:szCs w:val="20"/>
                <w:lang w:eastAsia="en-AU"/>
              </w:rPr>
            </w:pPr>
          </w:p>
          <w:p w:rsidR="00F70F8F" w:rsidRPr="00F70F8F" w:rsidRDefault="00F70F8F" w:rsidP="00F70F8F">
            <w:pPr>
              <w:spacing w:before="0" w:after="0"/>
              <w:rPr>
                <w:rFonts w:ascii="Calibri" w:eastAsia="Times New Roman" w:hAnsi="Calibri" w:cs="Arial"/>
                <w:i/>
                <w:sz w:val="20"/>
                <w:szCs w:val="20"/>
                <w:lang w:eastAsia="en-AU"/>
              </w:rPr>
            </w:pPr>
            <w:r w:rsidRPr="00F70F8F">
              <w:rPr>
                <w:rFonts w:ascii="Calibri" w:eastAsia="Times New Roman" w:hAnsi="Calibri" w:cs="Arial"/>
                <w:i/>
                <w:sz w:val="20"/>
                <w:szCs w:val="20"/>
                <w:lang w:eastAsia="en-AU"/>
              </w:rPr>
              <w:t>Special Pricing Arrangement apply.</w:t>
            </w:r>
          </w:p>
        </w:tc>
      </w:tr>
    </w:tbl>
    <w:p w:rsidR="00F70F8F" w:rsidRPr="00F70F8F" w:rsidRDefault="00F70F8F" w:rsidP="00F70F8F">
      <w:pPr>
        <w:spacing w:before="0" w:after="0"/>
        <w:jc w:val="both"/>
        <w:rPr>
          <w:rFonts w:ascii="Calibri" w:eastAsia="Times New Roman" w:hAnsi="Calibri" w:cs="Arial"/>
          <w:sz w:val="22"/>
          <w:lang w:eastAsia="en-AU"/>
        </w:rPr>
      </w:pPr>
    </w:p>
    <w:p w:rsidR="00241F26" w:rsidRDefault="009D6EC4" w:rsidP="00961807">
      <w:pPr>
        <w:widowControl w:val="0"/>
        <w:numPr>
          <w:ilvl w:val="1"/>
          <w:numId w:val="4"/>
        </w:numPr>
        <w:spacing w:before="0" w:after="120"/>
        <w:jc w:val="both"/>
      </w:pPr>
      <w:r w:rsidRPr="00ED3C94">
        <w:t>The submission propose</w:t>
      </w:r>
      <w:r w:rsidR="009D7276" w:rsidRPr="00ED3C94">
        <w:t>d</w:t>
      </w:r>
      <w:r w:rsidRPr="00ED3C94">
        <w:t xml:space="preserve"> a special pricing arrangement (SPA), with a proposed published dispensed price per maximum quantity (DPMQ) of $</w:t>
      </w:r>
      <w:r w:rsidR="00330093">
        <w:rPr>
          <w:noProof/>
          <w:color w:val="000000"/>
          <w:highlight w:val="black"/>
        </w:rPr>
        <w:t>''''''''''''''''</w:t>
      </w:r>
      <w:r w:rsidRPr="00ED3C94">
        <w:t xml:space="preserve"> and an effective DPMQ of $</w:t>
      </w:r>
      <w:r w:rsidR="00330093">
        <w:rPr>
          <w:noProof/>
          <w:color w:val="000000"/>
          <w:highlight w:val="black"/>
        </w:rPr>
        <w:t>''''''''''''''''''</w:t>
      </w:r>
      <w:r w:rsidRPr="00ED3C94">
        <w:t xml:space="preserve">. </w:t>
      </w:r>
    </w:p>
    <w:p w:rsidR="006A1C13" w:rsidRDefault="006A1C13" w:rsidP="006A1C13">
      <w:pPr>
        <w:widowControl w:val="0"/>
        <w:numPr>
          <w:ilvl w:val="1"/>
          <w:numId w:val="4"/>
        </w:numPr>
        <w:spacing w:before="0" w:after="120"/>
        <w:jc w:val="both"/>
      </w:pPr>
      <w:r>
        <w:t xml:space="preserve">The PBAC noted that the initial 2 restriction may not be necessary as there are currently no other biologicals listed </w:t>
      </w:r>
      <w:r w:rsidR="00556A28">
        <w:t xml:space="preserve">on the PBS </w:t>
      </w:r>
      <w:r w:rsidR="00E15F92">
        <w:t>for</w:t>
      </w:r>
      <w:r w:rsidR="00556A28">
        <w:t xml:space="preserve"> this indication and t</w:t>
      </w:r>
      <w:r>
        <w:t>he PBAC considered that multiple re-t</w:t>
      </w:r>
      <w:r w:rsidR="007E68A6">
        <w:t>rials of dupilumab after inadequate response</w:t>
      </w:r>
      <w:r>
        <w:t xml:space="preserve"> </w:t>
      </w:r>
      <w:r w:rsidR="007E68A6">
        <w:t>would not be appropriate.</w:t>
      </w:r>
      <w:r>
        <w:t xml:space="preserve"> </w:t>
      </w:r>
    </w:p>
    <w:p w:rsidR="006A1C13" w:rsidRDefault="006A1C13" w:rsidP="006A1C13">
      <w:pPr>
        <w:widowControl w:val="0"/>
        <w:numPr>
          <w:ilvl w:val="1"/>
          <w:numId w:val="4"/>
        </w:numPr>
        <w:spacing w:before="0" w:after="120"/>
        <w:jc w:val="both"/>
      </w:pPr>
      <w:r>
        <w:lastRenderedPageBreak/>
        <w:t>The PBAC noted that there are several IGA scales</w:t>
      </w:r>
      <w:r w:rsidR="00492CA7">
        <w:t>, including a 4 point scale referenced in the sponsor’s</w:t>
      </w:r>
      <w:r w:rsidR="005A0550">
        <w:t xml:space="preserve"> Pre-Sub-Committee Response (</w:t>
      </w:r>
      <w:r w:rsidR="00A11243">
        <w:t>PSCR</w:t>
      </w:r>
      <w:r w:rsidR="005A0550">
        <w:t>)</w:t>
      </w:r>
      <w:r w:rsidR="00492CA7">
        <w:rPr>
          <w:rStyle w:val="FootnoteReference"/>
        </w:rPr>
        <w:footnoteReference w:id="1"/>
      </w:r>
      <w:r w:rsidR="00F92649">
        <w:t>,</w:t>
      </w:r>
      <w:r>
        <w:t xml:space="preserve"> </w:t>
      </w:r>
      <w:r w:rsidR="00F92649">
        <w:t xml:space="preserve">however </w:t>
      </w:r>
      <w:r>
        <w:t xml:space="preserve">considered that </w:t>
      </w:r>
      <w:r w:rsidR="00A11243">
        <w:t>the IGA scale</w:t>
      </w:r>
      <w:r>
        <w:t xml:space="preserve"> should be specified in the restriction as a 5 point scale.</w:t>
      </w:r>
    </w:p>
    <w:p w:rsidR="00F63212" w:rsidRDefault="00F63212" w:rsidP="006A1C13">
      <w:pPr>
        <w:widowControl w:val="0"/>
        <w:numPr>
          <w:ilvl w:val="1"/>
          <w:numId w:val="4"/>
        </w:numPr>
        <w:spacing w:before="0" w:after="120"/>
        <w:jc w:val="both"/>
      </w:pPr>
      <w:r>
        <w:rPr>
          <w:rFonts w:cs="Arial"/>
          <w:bCs/>
          <w:snapToGrid w:val="0"/>
          <w:lang w:val="en-GB"/>
        </w:rPr>
        <w:t xml:space="preserve">The PBAC questioned </w:t>
      </w:r>
      <w:r w:rsidR="00400906">
        <w:rPr>
          <w:rFonts w:cs="Arial"/>
          <w:bCs/>
          <w:snapToGrid w:val="0"/>
          <w:lang w:val="en-GB"/>
        </w:rPr>
        <w:t>whether</w:t>
      </w:r>
      <w:r>
        <w:rPr>
          <w:rFonts w:cs="Arial"/>
          <w:bCs/>
          <w:snapToGrid w:val="0"/>
          <w:lang w:val="en-GB"/>
        </w:rPr>
        <w:t xml:space="preserve"> </w:t>
      </w:r>
      <w:r w:rsidR="00400906">
        <w:rPr>
          <w:rFonts w:cs="Arial"/>
          <w:bCs/>
          <w:snapToGrid w:val="0"/>
          <w:lang w:val="en-GB"/>
        </w:rPr>
        <w:t xml:space="preserve">prescribing by clinical immunologists would be appropriate as </w:t>
      </w:r>
      <w:r>
        <w:rPr>
          <w:rFonts w:cs="Arial"/>
          <w:bCs/>
          <w:snapToGrid w:val="0"/>
          <w:lang w:val="en-GB"/>
        </w:rPr>
        <w:t>dermatologist</w:t>
      </w:r>
      <w:r w:rsidR="00400906">
        <w:rPr>
          <w:rFonts w:cs="Arial"/>
          <w:bCs/>
          <w:snapToGrid w:val="0"/>
          <w:lang w:val="en-GB"/>
        </w:rPr>
        <w:t>s</w:t>
      </w:r>
      <w:r>
        <w:rPr>
          <w:rFonts w:cs="Arial"/>
          <w:bCs/>
          <w:snapToGrid w:val="0"/>
          <w:lang w:val="en-GB"/>
        </w:rPr>
        <w:t xml:space="preserve"> </w:t>
      </w:r>
      <w:r w:rsidR="00400906">
        <w:rPr>
          <w:rFonts w:cs="Arial"/>
          <w:bCs/>
          <w:snapToGrid w:val="0"/>
          <w:lang w:val="en-GB"/>
        </w:rPr>
        <w:t xml:space="preserve">would be better placed to </w:t>
      </w:r>
      <w:r w:rsidR="002C1C45">
        <w:rPr>
          <w:rFonts w:cs="Arial"/>
          <w:bCs/>
          <w:snapToGrid w:val="0"/>
          <w:lang w:val="en-GB"/>
        </w:rPr>
        <w:t xml:space="preserve">rate skin disease severity at initiation and </w:t>
      </w:r>
      <w:r w:rsidR="00400906">
        <w:rPr>
          <w:rFonts w:cs="Arial"/>
          <w:bCs/>
          <w:snapToGrid w:val="0"/>
          <w:lang w:val="en-GB"/>
        </w:rPr>
        <w:t>assess EASI response.</w:t>
      </w:r>
    </w:p>
    <w:p w:rsidR="00C317F3" w:rsidRDefault="00241F26" w:rsidP="00961807">
      <w:pPr>
        <w:widowControl w:val="0"/>
        <w:numPr>
          <w:ilvl w:val="1"/>
          <w:numId w:val="4"/>
        </w:numPr>
        <w:spacing w:before="0" w:after="120"/>
        <w:jc w:val="both"/>
      </w:pPr>
      <w:r>
        <w:t xml:space="preserve">The PBAC noted that a grandfather restriction was requested for </w:t>
      </w:r>
      <w:r w:rsidR="006A1C13">
        <w:t xml:space="preserve">440 </w:t>
      </w:r>
      <w:r>
        <w:t>patients</w:t>
      </w:r>
      <w:r w:rsidR="006A1C13">
        <w:t>,</w:t>
      </w:r>
      <w:r>
        <w:t xml:space="preserve"> </w:t>
      </w:r>
      <w:r w:rsidR="006A1C13">
        <w:t xml:space="preserve">including 101 in an early access program, 39 in the open label extension study (who do not all meet the requested restriction in terms of baseline IGA score and prior CsA use) and 300 patients expected to be enrolled in a patient familiarisation program. The PBAC considered that </w:t>
      </w:r>
      <w:r w:rsidR="00F17D5C">
        <w:t xml:space="preserve">this was a large number of patients </w:t>
      </w:r>
      <w:r w:rsidR="00B44BBE">
        <w:t xml:space="preserve">and </w:t>
      </w:r>
      <w:r w:rsidR="00F92649">
        <w:t xml:space="preserve">may not be reasonable to include patients who </w:t>
      </w:r>
      <w:r w:rsidR="00F17D5C">
        <w:t>had not yet commenced</w:t>
      </w:r>
      <w:r w:rsidR="00F92649">
        <w:t xml:space="preserve"> on the program</w:t>
      </w:r>
      <w:r w:rsidR="00F17D5C">
        <w:t>.</w:t>
      </w:r>
      <w:r w:rsidR="009D6EC4" w:rsidRPr="00ED3C94">
        <w:t xml:space="preserve"> </w:t>
      </w:r>
    </w:p>
    <w:p w:rsidR="00065839" w:rsidRPr="00065839" w:rsidRDefault="00065839" w:rsidP="00D75311">
      <w:pPr>
        <w:pStyle w:val="ListParagraph"/>
        <w:ind w:left="576" w:firstLine="144"/>
        <w:jc w:val="both"/>
        <w:rPr>
          <w:i/>
        </w:rPr>
      </w:pPr>
      <w:r w:rsidRPr="00241F26">
        <w:rPr>
          <w:i/>
        </w:rPr>
        <w:t>For more detail on the PBAC’s view, see section 7 PBAC outcome.</w:t>
      </w:r>
    </w:p>
    <w:p w:rsidR="00C317F3" w:rsidRPr="0049471B" w:rsidRDefault="00C317F3" w:rsidP="009E7CA9">
      <w:pPr>
        <w:widowControl w:val="0"/>
        <w:numPr>
          <w:ilvl w:val="0"/>
          <w:numId w:val="4"/>
        </w:numPr>
        <w:spacing w:before="240" w:after="120"/>
        <w:jc w:val="both"/>
        <w:outlineLvl w:val="0"/>
        <w:rPr>
          <w:rFonts w:cs="Arial"/>
          <w:b/>
          <w:bCs/>
          <w:snapToGrid w:val="0"/>
          <w:sz w:val="32"/>
        </w:rPr>
      </w:pPr>
      <w:bookmarkStart w:id="5" w:name="_Toc413139273"/>
      <w:bookmarkStart w:id="6" w:name="_Toc514253610"/>
      <w:r w:rsidRPr="0049471B">
        <w:rPr>
          <w:rFonts w:cs="Arial"/>
          <w:b/>
          <w:bCs/>
          <w:snapToGrid w:val="0"/>
          <w:sz w:val="32"/>
        </w:rPr>
        <w:t>Background</w:t>
      </w:r>
      <w:bookmarkEnd w:id="5"/>
      <w:bookmarkEnd w:id="6"/>
    </w:p>
    <w:p w:rsidR="0017638E" w:rsidRPr="004D3C91" w:rsidRDefault="0017638E" w:rsidP="0017638E">
      <w:pPr>
        <w:pStyle w:val="Heading2"/>
      </w:pPr>
      <w:bookmarkStart w:id="7" w:name="_Toc514253611"/>
      <w:r w:rsidRPr="004D3C91">
        <w:t>Registration status</w:t>
      </w:r>
      <w:bookmarkEnd w:id="7"/>
    </w:p>
    <w:p w:rsidR="009D6EC4" w:rsidRPr="00ED3C94" w:rsidRDefault="009D6EC4" w:rsidP="00961807">
      <w:pPr>
        <w:widowControl w:val="0"/>
        <w:numPr>
          <w:ilvl w:val="1"/>
          <w:numId w:val="4"/>
        </w:numPr>
        <w:spacing w:before="0" w:after="120"/>
        <w:jc w:val="both"/>
      </w:pPr>
      <w:r w:rsidRPr="00065839">
        <w:t>Dupilumab was approved for registration by the TGA on the 24</w:t>
      </w:r>
      <w:r w:rsidRPr="00961807">
        <w:t>th</w:t>
      </w:r>
      <w:r w:rsidRPr="00065839">
        <w:t xml:space="preserve"> January</w:t>
      </w:r>
      <w:r w:rsidRPr="00ED3C94">
        <w:t xml:space="preserve"> 2018 for ‘the treatment moderate to severe atopic dermatitis in adult patients who are candidates for chronic systemic therapy’.</w:t>
      </w:r>
      <w:r w:rsidR="00A03B78" w:rsidRPr="00ED3C94">
        <w:t xml:space="preserve"> </w:t>
      </w:r>
      <w:r w:rsidR="00336A50" w:rsidRPr="00ED3C94">
        <w:t>The TGA recommended dose is two consecutive initial 300mg doses followed by 300mg given every other week.</w:t>
      </w:r>
    </w:p>
    <w:p w:rsidR="00C317F3" w:rsidRDefault="009D6EC4" w:rsidP="00961807">
      <w:pPr>
        <w:widowControl w:val="0"/>
        <w:numPr>
          <w:ilvl w:val="1"/>
          <w:numId w:val="4"/>
        </w:numPr>
        <w:spacing w:before="0" w:after="120"/>
        <w:jc w:val="both"/>
      </w:pPr>
      <w:r w:rsidRPr="00ED3C94">
        <w:t>As dupilumab is a newly registered prescription medication</w:t>
      </w:r>
      <w:r w:rsidR="00F92649">
        <w:t>,</w:t>
      </w:r>
      <w:r w:rsidRPr="00ED3C94">
        <w:t xml:space="preserve"> it is</w:t>
      </w:r>
      <w:r w:rsidR="00F92649">
        <w:t xml:space="preserve"> subject to </w:t>
      </w:r>
      <w:r w:rsidRPr="00ED3C94">
        <w:t xml:space="preserve">additional monitoring </w:t>
      </w:r>
      <w:r w:rsidR="007A221F">
        <w:t xml:space="preserve">by the TGA </w:t>
      </w:r>
      <w:r w:rsidRPr="00ED3C94">
        <w:t>for the 5 years following registration.</w:t>
      </w:r>
    </w:p>
    <w:p w:rsidR="00C317F3" w:rsidRPr="0049471B" w:rsidRDefault="00C317F3" w:rsidP="009E7CA9">
      <w:pPr>
        <w:widowControl w:val="0"/>
        <w:numPr>
          <w:ilvl w:val="0"/>
          <w:numId w:val="4"/>
        </w:numPr>
        <w:spacing w:before="240" w:after="120"/>
        <w:jc w:val="both"/>
        <w:outlineLvl w:val="0"/>
        <w:rPr>
          <w:rFonts w:cs="Arial"/>
          <w:b/>
          <w:bCs/>
          <w:snapToGrid w:val="0"/>
          <w:sz w:val="32"/>
        </w:rPr>
      </w:pPr>
      <w:bookmarkStart w:id="8" w:name="_Toc514253612"/>
      <w:r w:rsidRPr="0049471B">
        <w:rPr>
          <w:rFonts w:cs="Arial"/>
          <w:b/>
          <w:bCs/>
          <w:snapToGrid w:val="0"/>
          <w:sz w:val="32"/>
        </w:rPr>
        <w:t>Population and disease</w:t>
      </w:r>
      <w:bookmarkEnd w:id="8"/>
    </w:p>
    <w:p w:rsidR="00401CF8" w:rsidRPr="00ED3C94" w:rsidRDefault="00401CF8" w:rsidP="00961807">
      <w:pPr>
        <w:widowControl w:val="0"/>
        <w:numPr>
          <w:ilvl w:val="1"/>
          <w:numId w:val="4"/>
        </w:numPr>
        <w:spacing w:before="0" w:after="120"/>
        <w:jc w:val="both"/>
      </w:pPr>
      <w:bookmarkStart w:id="9" w:name="_Toc413139275"/>
      <w:r w:rsidRPr="00ED3C94">
        <w:t>AD is a chronic inflammatory disease characterised by dry skin, itching and extensive skin lesions.  Symptoms may be continuous or of a relaps</w:t>
      </w:r>
      <w:r w:rsidR="007D786B" w:rsidRPr="00ED3C94">
        <w:t>ing</w:t>
      </w:r>
      <w:r w:rsidRPr="00ED3C94">
        <w:t xml:space="preserve">-remitting nature.  The clinical presentation of symptoms varies based on phase (chronic or acute) and severity of AD. Patients with severe AD have more frequent symptom flaring, and </w:t>
      </w:r>
      <w:r w:rsidR="007D786B" w:rsidRPr="00ED3C94">
        <w:t xml:space="preserve">their disease is </w:t>
      </w:r>
      <w:r w:rsidRPr="00ED3C94">
        <w:t>characterised by skin with pronounced dryness, red lesions, papulation, crusting and skin thickening.  Patients can suffer from itchy painful skin, bleeding, sleep deprivation</w:t>
      </w:r>
      <w:r w:rsidR="007D786B" w:rsidRPr="00ED3C94">
        <w:t>,</w:t>
      </w:r>
      <w:r w:rsidRPr="00ED3C94">
        <w:t xml:space="preserve"> an increased risk of skin infections, depression, anxiety and/or suicidal intentions.</w:t>
      </w:r>
    </w:p>
    <w:p w:rsidR="003D0B10" w:rsidRDefault="00401CF8" w:rsidP="00961807">
      <w:pPr>
        <w:widowControl w:val="0"/>
        <w:numPr>
          <w:ilvl w:val="1"/>
          <w:numId w:val="4"/>
        </w:numPr>
        <w:spacing w:before="0" w:after="120"/>
        <w:jc w:val="both"/>
      </w:pPr>
      <w:r w:rsidRPr="00ED3C94">
        <w:t>Dupilumab 300mg fortnightly (Q2W) is proposed as last-line therapy in patients who have not adequately responded to topical corticosteroids (TCS) ± topical calcineurin inhibitors (TCI), and who have not adequately responded to systemic therapy (cyclosporin A)</w:t>
      </w:r>
      <w:r w:rsidR="009D7276" w:rsidRPr="00ED3C94">
        <w:t>,</w:t>
      </w:r>
      <w:r w:rsidRPr="00ED3C94">
        <w:t xml:space="preserve"> or are intolerant or contra-indicated to systemic therapy</w:t>
      </w:r>
      <w:r w:rsidRPr="00990AD0">
        <w:t xml:space="preserve">. </w:t>
      </w:r>
      <w:r w:rsidR="003D0B10" w:rsidRPr="00990AD0">
        <w:t xml:space="preserve">The ESC noted that the proposed place in therapy is use after CsA, which may not be clinically </w:t>
      </w:r>
      <w:r w:rsidR="003D0B10" w:rsidRPr="00990AD0">
        <w:lastRenderedPageBreak/>
        <w:t xml:space="preserve">necessary </w:t>
      </w:r>
      <w:r w:rsidR="00650808" w:rsidRPr="00961807">
        <w:t>as it is</w:t>
      </w:r>
      <w:r w:rsidR="00650808" w:rsidRPr="00990AD0">
        <w:t xml:space="preserve"> narrower than the TGA indication and much of the trial data. </w:t>
      </w:r>
      <w:r w:rsidR="003D0B10" w:rsidRPr="00990AD0">
        <w:t>Therefore it is unclear if dupilumab should be considered to be a last line therapy.</w:t>
      </w:r>
    </w:p>
    <w:p w:rsidR="00132B94" w:rsidRPr="007A221F" w:rsidRDefault="00132B94" w:rsidP="00132B94">
      <w:pPr>
        <w:widowControl w:val="0"/>
        <w:numPr>
          <w:ilvl w:val="1"/>
          <w:numId w:val="4"/>
        </w:numPr>
        <w:spacing w:before="0" w:after="120"/>
        <w:jc w:val="both"/>
      </w:pPr>
      <w:r w:rsidRPr="007A221F">
        <w:t>Dupilumab would be used concomitantly with TCS ± TCI therapy as TCS/TCI are used to help manage flaring.</w:t>
      </w:r>
    </w:p>
    <w:p w:rsidR="006A5593" w:rsidRPr="006A5593" w:rsidRDefault="006A5593" w:rsidP="006A5593">
      <w:pPr>
        <w:widowControl w:val="0"/>
        <w:numPr>
          <w:ilvl w:val="1"/>
          <w:numId w:val="4"/>
        </w:numPr>
        <w:spacing w:before="0" w:after="120"/>
        <w:jc w:val="both"/>
      </w:pPr>
      <w:r w:rsidRPr="006A5593">
        <w:t>The proposed patient population is narrower than the TGA-approved indication</w:t>
      </w:r>
      <w:r>
        <w:t>, the clinical guidelines,</w:t>
      </w:r>
      <w:r w:rsidRPr="006A5593">
        <w:t xml:space="preserve"> and the enrolment criteria for the trials supporting the submission. </w:t>
      </w:r>
      <w:r w:rsidR="00BB32A9">
        <w:t xml:space="preserve">The main trials for dupilumab did not require prior CsA exposure and therefore the proposed place in therapy does not align with the available clinical trials. </w:t>
      </w:r>
      <w:r w:rsidRPr="006A5593">
        <w:t xml:space="preserve">The PSCR </w:t>
      </w:r>
      <w:r w:rsidR="00D20B17">
        <w:t xml:space="preserve">and pre-PBAC response </w:t>
      </w:r>
      <w:r w:rsidRPr="006A5593">
        <w:t xml:space="preserve">argued that these patients had the greatest unmet clinical need, and that the restriction was aligned with that of biologics for chronic plaque psoriasis. </w:t>
      </w:r>
    </w:p>
    <w:p w:rsidR="0055219B" w:rsidRPr="0055219B" w:rsidRDefault="0055219B" w:rsidP="009A15D7">
      <w:pPr>
        <w:pStyle w:val="ListParagraph"/>
        <w:ind w:left="576" w:firstLine="144"/>
        <w:jc w:val="both"/>
        <w:rPr>
          <w:i/>
        </w:rPr>
      </w:pPr>
      <w:r w:rsidRPr="00241F26">
        <w:rPr>
          <w:i/>
        </w:rPr>
        <w:t>For more detail on the PBAC’s view, see section 7 PBAC outcome.</w:t>
      </w:r>
    </w:p>
    <w:p w:rsidR="00C317F3" w:rsidRPr="0049471B" w:rsidRDefault="00C317F3" w:rsidP="009E7CA9">
      <w:pPr>
        <w:widowControl w:val="0"/>
        <w:numPr>
          <w:ilvl w:val="0"/>
          <w:numId w:val="4"/>
        </w:numPr>
        <w:spacing w:before="240" w:after="120"/>
        <w:jc w:val="both"/>
        <w:outlineLvl w:val="0"/>
        <w:rPr>
          <w:rFonts w:cs="Arial"/>
          <w:b/>
          <w:bCs/>
          <w:snapToGrid w:val="0"/>
          <w:sz w:val="32"/>
        </w:rPr>
      </w:pPr>
      <w:bookmarkStart w:id="10" w:name="_Toc514253613"/>
      <w:r w:rsidRPr="0049471B">
        <w:rPr>
          <w:rFonts w:cs="Arial"/>
          <w:b/>
          <w:bCs/>
          <w:snapToGrid w:val="0"/>
          <w:sz w:val="32"/>
        </w:rPr>
        <w:t>Comparator</w:t>
      </w:r>
      <w:bookmarkEnd w:id="9"/>
      <w:bookmarkEnd w:id="10"/>
    </w:p>
    <w:p w:rsidR="0095170D" w:rsidRDefault="00401CF8" w:rsidP="00961807">
      <w:pPr>
        <w:widowControl w:val="0"/>
        <w:numPr>
          <w:ilvl w:val="1"/>
          <w:numId w:val="4"/>
        </w:numPr>
        <w:spacing w:before="0" w:after="120"/>
        <w:jc w:val="both"/>
      </w:pPr>
      <w:r w:rsidRPr="00ED3C94">
        <w:t>The submission appropriately nominated placebo (representing standard of care</w:t>
      </w:r>
      <w:r w:rsidR="00784FC1" w:rsidRPr="00ED3C94">
        <w:t xml:space="preserve"> (SoC)</w:t>
      </w:r>
      <w:r w:rsidRPr="00ED3C94">
        <w:t>) as the comparator on the justification that there are currently no safe and effective long-term treatment options available to patients. S</w:t>
      </w:r>
      <w:r w:rsidR="00784FC1" w:rsidRPr="00ED3C94">
        <w:t xml:space="preserve">oC </w:t>
      </w:r>
      <w:r w:rsidRPr="00ED3C94">
        <w:t>would also include concomitant TCS ± TCI therapy for flaring.</w:t>
      </w:r>
      <w:r w:rsidR="00A81905">
        <w:t xml:space="preserve"> </w:t>
      </w:r>
      <w:r w:rsidR="00A81905" w:rsidRPr="00990AD0">
        <w:t xml:space="preserve">As noted above, the ESC considered it may not be appropriate to restrict use of dupilumab to after CsA use. </w:t>
      </w:r>
      <w:r w:rsidR="00132B94">
        <w:t>The PBAC noted that p</w:t>
      </w:r>
      <w:r w:rsidR="00A81905" w:rsidRPr="00990AD0">
        <w:t>ositioning dupilumab earlier in the clinical algorithm would have implications for the comparator.</w:t>
      </w:r>
    </w:p>
    <w:p w:rsidR="0055219B" w:rsidRPr="0055219B" w:rsidRDefault="00D75311" w:rsidP="0055219B">
      <w:pPr>
        <w:pStyle w:val="ListParagraph"/>
        <w:ind w:left="576"/>
        <w:jc w:val="both"/>
        <w:rPr>
          <w:i/>
        </w:rPr>
      </w:pPr>
      <w:r>
        <w:rPr>
          <w:i/>
        </w:rPr>
        <w:t xml:space="preserve"> </w:t>
      </w:r>
      <w:r>
        <w:rPr>
          <w:i/>
        </w:rPr>
        <w:tab/>
      </w:r>
      <w:r w:rsidR="0055219B" w:rsidRPr="007C23AC">
        <w:rPr>
          <w:i/>
        </w:rPr>
        <w:t>For more detail on the PBAC’s view, see section 7 PBAC outcome.</w:t>
      </w:r>
    </w:p>
    <w:p w:rsidR="00C317F3" w:rsidRPr="0049471B" w:rsidRDefault="00C317F3" w:rsidP="009E7CA9">
      <w:pPr>
        <w:widowControl w:val="0"/>
        <w:numPr>
          <w:ilvl w:val="0"/>
          <w:numId w:val="4"/>
        </w:numPr>
        <w:spacing w:before="240" w:after="120"/>
        <w:jc w:val="both"/>
        <w:outlineLvl w:val="0"/>
        <w:rPr>
          <w:rFonts w:cs="Arial"/>
          <w:b/>
          <w:bCs/>
          <w:snapToGrid w:val="0"/>
          <w:sz w:val="32"/>
        </w:rPr>
      </w:pPr>
      <w:bookmarkStart w:id="11" w:name="_Toc413139276"/>
      <w:bookmarkStart w:id="12" w:name="_Toc514253614"/>
      <w:r w:rsidRPr="0049471B">
        <w:rPr>
          <w:rFonts w:cs="Arial"/>
          <w:b/>
          <w:bCs/>
          <w:snapToGrid w:val="0"/>
          <w:sz w:val="32"/>
        </w:rPr>
        <w:t>Consideration of the evidence</w:t>
      </w:r>
      <w:bookmarkEnd w:id="11"/>
      <w:bookmarkEnd w:id="12"/>
    </w:p>
    <w:p w:rsidR="0055219B" w:rsidRPr="007C23AC" w:rsidRDefault="0055219B" w:rsidP="0055219B">
      <w:pPr>
        <w:pStyle w:val="Heading2"/>
      </w:pPr>
      <w:r w:rsidRPr="007C23AC">
        <w:t>Sponsor hearing</w:t>
      </w:r>
    </w:p>
    <w:p w:rsidR="00301DE7" w:rsidRPr="007C23AC" w:rsidRDefault="0055219B" w:rsidP="00BC7314">
      <w:pPr>
        <w:widowControl w:val="0"/>
        <w:numPr>
          <w:ilvl w:val="1"/>
          <w:numId w:val="4"/>
        </w:numPr>
        <w:spacing w:before="0" w:after="120"/>
        <w:jc w:val="both"/>
      </w:pPr>
      <w:bookmarkStart w:id="13" w:name="_Toc413139277"/>
      <w:bookmarkStart w:id="14" w:name="_Toc514253615"/>
      <w:r w:rsidRPr="007C23AC">
        <w:t>There was no hearing for this item.</w:t>
      </w:r>
      <w:r w:rsidR="00BC7314" w:rsidRPr="007C23AC" w:rsidDel="00BC7314">
        <w:t xml:space="preserve"> </w:t>
      </w:r>
    </w:p>
    <w:p w:rsidR="0055219B" w:rsidRPr="007C23AC" w:rsidRDefault="0055219B" w:rsidP="007A5B89">
      <w:pPr>
        <w:widowControl w:val="0"/>
        <w:spacing w:before="0" w:after="120"/>
        <w:jc w:val="both"/>
        <w:rPr>
          <w:rFonts w:cs="Arial"/>
          <w:b/>
          <w:bCs/>
          <w:i/>
          <w:snapToGrid w:val="0"/>
          <w:sz w:val="28"/>
          <w:szCs w:val="28"/>
        </w:rPr>
      </w:pPr>
      <w:r w:rsidRPr="007C23AC">
        <w:rPr>
          <w:rFonts w:cs="Arial"/>
          <w:b/>
          <w:bCs/>
          <w:i/>
          <w:snapToGrid w:val="0"/>
          <w:sz w:val="28"/>
          <w:szCs w:val="28"/>
        </w:rPr>
        <w:t>Consumer comments</w:t>
      </w:r>
    </w:p>
    <w:p w:rsidR="0055219B" w:rsidRPr="007A5B89" w:rsidRDefault="0055219B" w:rsidP="00961807">
      <w:pPr>
        <w:widowControl w:val="0"/>
        <w:numPr>
          <w:ilvl w:val="1"/>
          <w:numId w:val="4"/>
        </w:numPr>
        <w:spacing w:before="0" w:after="120"/>
        <w:jc w:val="both"/>
      </w:pPr>
      <w:r w:rsidRPr="00846779">
        <w:t>The PBAC</w:t>
      </w:r>
      <w:r w:rsidRPr="007A5B89">
        <w:t xml:space="preserve"> noted and welcom</w:t>
      </w:r>
      <w:r w:rsidR="00444459" w:rsidRPr="007A5B89">
        <w:t>ed the input from individuals (54), health care professionals (28) and organisations (4</w:t>
      </w:r>
      <w:r w:rsidRPr="007A5B89">
        <w:t xml:space="preserve">) via the Consumer Comments facility on the PBS website. The comments described a range of benefits of treatment with </w:t>
      </w:r>
      <w:r w:rsidR="00444459" w:rsidRPr="007A5B89">
        <w:t>dupilumab</w:t>
      </w:r>
      <w:r w:rsidRPr="007A5B89">
        <w:t xml:space="preserve"> including </w:t>
      </w:r>
      <w:r w:rsidR="00444459" w:rsidRPr="007A5B89">
        <w:t>dramatic improvements in quality of life in terms of work, sleep, relationships, psychological well-being and relief from incessant itch</w:t>
      </w:r>
      <w:r w:rsidR="00871C05" w:rsidRPr="007A5B89">
        <w:t>, bleeding</w:t>
      </w:r>
      <w:r w:rsidR="00444459" w:rsidRPr="007A5B89">
        <w:t xml:space="preserve"> and tenderness of the skin for patients with severe AD. The comment</w:t>
      </w:r>
      <w:r w:rsidR="00E55D8A" w:rsidRPr="007A5B89">
        <w:t xml:space="preserve">s noted the safety profile </w:t>
      </w:r>
      <w:r w:rsidR="00AB0912" w:rsidRPr="007A5B89">
        <w:t>of dupilumab appears</w:t>
      </w:r>
      <w:r w:rsidR="009D27D8" w:rsidRPr="007A5B89">
        <w:t xml:space="preserve"> better than other currently available </w:t>
      </w:r>
      <w:r w:rsidR="00AB0912" w:rsidRPr="007A5B89">
        <w:t xml:space="preserve">AD </w:t>
      </w:r>
      <w:r w:rsidR="009D27D8" w:rsidRPr="007A5B89">
        <w:t xml:space="preserve">treatments such as CsA. Several comments noted that there is a population of patients who are currently receiving chronic combination immunosuppressive therapy including </w:t>
      </w:r>
      <w:r w:rsidR="00CE4ACD" w:rsidRPr="007A5B89">
        <w:t>drugs other than CsA, such as azathioprine, methotrexate and mycophenolate mofetil</w:t>
      </w:r>
      <w:r w:rsidR="0069481A">
        <w:t>,</w:t>
      </w:r>
      <w:r w:rsidR="00A11243">
        <w:t xml:space="preserve"> and</w:t>
      </w:r>
      <w:r w:rsidR="0069481A">
        <w:t xml:space="preserve"> </w:t>
      </w:r>
      <w:r w:rsidR="00CE4ACD" w:rsidRPr="007A5B89">
        <w:t xml:space="preserve">suggested that the indication for use should be broadened to include patients who </w:t>
      </w:r>
      <w:r w:rsidR="00CE4ACD" w:rsidRPr="007A5B89">
        <w:lastRenderedPageBreak/>
        <w:t xml:space="preserve">have had an inadequate response, intolerance, or contraindication to any systemic immunosuppression. </w:t>
      </w:r>
      <w:r w:rsidR="00A11243">
        <w:t xml:space="preserve"> The comments also suggested that treatment roll-out should consider the population of patients who are currently receiving chronic combination immunosuppressive therapy to control disease activity who should have the opportunity to access dupilumab without the requirement to first experience exacerbation of AD.</w:t>
      </w:r>
      <w:r w:rsidR="0069481A">
        <w:t xml:space="preserve"> </w:t>
      </w:r>
      <w:r w:rsidR="00A11243" w:rsidRPr="007A5B89">
        <w:t>S</w:t>
      </w:r>
      <w:r w:rsidR="00A11243">
        <w:t>ome</w:t>
      </w:r>
      <w:r w:rsidR="00A11243" w:rsidRPr="007A5B89">
        <w:t xml:space="preserve"> </w:t>
      </w:r>
      <w:r w:rsidR="00871C05" w:rsidRPr="007A5B89">
        <w:t xml:space="preserve">of the consumer comments also referred to use of dupilumab in children. </w:t>
      </w:r>
    </w:p>
    <w:p w:rsidR="0055219B" w:rsidRPr="007A5B89" w:rsidRDefault="0055219B" w:rsidP="002C4648">
      <w:pPr>
        <w:widowControl w:val="0"/>
        <w:numPr>
          <w:ilvl w:val="1"/>
          <w:numId w:val="4"/>
        </w:numPr>
        <w:spacing w:before="0" w:after="120"/>
        <w:jc w:val="both"/>
        <w:rPr>
          <w:rFonts w:cs="Arial"/>
          <w:szCs w:val="24"/>
        </w:rPr>
      </w:pPr>
      <w:r w:rsidRPr="007A5B89">
        <w:rPr>
          <w:rFonts w:cs="Arial"/>
          <w:szCs w:val="24"/>
        </w:rPr>
        <w:t xml:space="preserve">The </w:t>
      </w:r>
      <w:r w:rsidR="0069481A">
        <w:rPr>
          <w:rFonts w:cs="Arial"/>
          <w:szCs w:val="24"/>
        </w:rPr>
        <w:t xml:space="preserve">PBAC received </w:t>
      </w:r>
      <w:r w:rsidR="00A11243">
        <w:rPr>
          <w:rFonts w:cs="Arial"/>
          <w:szCs w:val="24"/>
        </w:rPr>
        <w:t>comments</w:t>
      </w:r>
      <w:r w:rsidRPr="007A5B89">
        <w:rPr>
          <w:rFonts w:cs="Arial"/>
          <w:szCs w:val="24"/>
        </w:rPr>
        <w:t xml:space="preserve"> received from </w:t>
      </w:r>
      <w:r w:rsidR="00AB0912" w:rsidRPr="007A5B89">
        <w:rPr>
          <w:rFonts w:cs="Arial"/>
          <w:szCs w:val="24"/>
        </w:rPr>
        <w:t>Allergy &amp; Anaphylaxis Australia</w:t>
      </w:r>
      <w:r w:rsidR="00BA1984" w:rsidRPr="007A5B89">
        <w:rPr>
          <w:rFonts w:cs="Arial"/>
          <w:szCs w:val="24"/>
        </w:rPr>
        <w:t xml:space="preserve"> and the Eczema Association of Australasia describing</w:t>
      </w:r>
      <w:r w:rsidRPr="007A5B89">
        <w:rPr>
          <w:rFonts w:cs="Arial"/>
          <w:szCs w:val="24"/>
        </w:rPr>
        <w:t xml:space="preserve"> the </w:t>
      </w:r>
      <w:r w:rsidR="00D76263">
        <w:rPr>
          <w:rFonts w:cs="Arial"/>
          <w:szCs w:val="24"/>
        </w:rPr>
        <w:t>burden of disease</w:t>
      </w:r>
      <w:r w:rsidR="00D76263" w:rsidRPr="007A5B89">
        <w:rPr>
          <w:rFonts w:cs="Arial"/>
          <w:szCs w:val="24"/>
        </w:rPr>
        <w:t xml:space="preserve"> </w:t>
      </w:r>
      <w:r w:rsidR="00D76263">
        <w:rPr>
          <w:rFonts w:cs="Arial"/>
          <w:szCs w:val="24"/>
        </w:rPr>
        <w:t>for</w:t>
      </w:r>
      <w:r w:rsidR="00AB0912" w:rsidRPr="007A5B89">
        <w:rPr>
          <w:rFonts w:cs="Arial"/>
          <w:szCs w:val="24"/>
        </w:rPr>
        <w:t xml:space="preserve"> severe AD </w:t>
      </w:r>
      <w:r w:rsidR="00BA1984" w:rsidRPr="007A5B89">
        <w:rPr>
          <w:rFonts w:cs="Arial"/>
          <w:szCs w:val="24"/>
        </w:rPr>
        <w:t xml:space="preserve">on patients physically, emotionally and financially. </w:t>
      </w:r>
      <w:r w:rsidR="00A11243">
        <w:rPr>
          <w:rFonts w:cs="Arial"/>
          <w:szCs w:val="24"/>
        </w:rPr>
        <w:t>Comments</w:t>
      </w:r>
      <w:r w:rsidR="00A11243" w:rsidRPr="007A5B89">
        <w:rPr>
          <w:rFonts w:cs="Arial"/>
          <w:szCs w:val="24"/>
        </w:rPr>
        <w:t xml:space="preserve"> </w:t>
      </w:r>
      <w:r w:rsidR="00BA1984" w:rsidRPr="007A5B89">
        <w:rPr>
          <w:rFonts w:cs="Arial"/>
          <w:szCs w:val="24"/>
        </w:rPr>
        <w:t>from these organisations outlined the need for safe and effective long term treatments for patients with severe AD</w:t>
      </w:r>
      <w:r w:rsidR="00AB0912" w:rsidRPr="007A5B89">
        <w:rPr>
          <w:rFonts w:cs="Arial"/>
          <w:szCs w:val="24"/>
        </w:rPr>
        <w:t xml:space="preserve"> </w:t>
      </w:r>
      <w:r w:rsidR="002C4648" w:rsidRPr="007A5B89">
        <w:rPr>
          <w:rFonts w:cs="Arial"/>
          <w:szCs w:val="24"/>
        </w:rPr>
        <w:t>and</w:t>
      </w:r>
      <w:r w:rsidRPr="007A5B89">
        <w:rPr>
          <w:rFonts w:cs="Arial"/>
          <w:szCs w:val="24"/>
        </w:rPr>
        <w:t xml:space="preserve"> </w:t>
      </w:r>
      <w:r w:rsidR="00BA1984" w:rsidRPr="007A5B89">
        <w:rPr>
          <w:rFonts w:cs="Arial"/>
          <w:szCs w:val="24"/>
        </w:rPr>
        <w:t xml:space="preserve">noted </w:t>
      </w:r>
      <w:r w:rsidRPr="007A5B89">
        <w:rPr>
          <w:rFonts w:cs="Arial"/>
          <w:szCs w:val="24"/>
        </w:rPr>
        <w:t>that the use of</w:t>
      </w:r>
      <w:r w:rsidR="002C4648" w:rsidRPr="007A5B89">
        <w:rPr>
          <w:rFonts w:cs="Arial"/>
          <w:szCs w:val="24"/>
        </w:rPr>
        <w:t xml:space="preserve"> dupilumab</w:t>
      </w:r>
      <w:r w:rsidRPr="007A5B89">
        <w:rPr>
          <w:rFonts w:cs="Arial"/>
          <w:szCs w:val="24"/>
        </w:rPr>
        <w:t xml:space="preserve"> may</w:t>
      </w:r>
      <w:r w:rsidR="002C4648" w:rsidRPr="007A5B89">
        <w:rPr>
          <w:rFonts w:cs="Arial"/>
          <w:szCs w:val="24"/>
        </w:rPr>
        <w:t xml:space="preserve"> allow patients to move from a restricted lifestyle that limits many activities, including employment, sport, outdoor activities, and therefore improve </w:t>
      </w:r>
      <w:r w:rsidR="00687C39" w:rsidRPr="007A5B89">
        <w:rPr>
          <w:rFonts w:cs="Arial"/>
          <w:szCs w:val="24"/>
        </w:rPr>
        <w:t xml:space="preserve">patient </w:t>
      </w:r>
      <w:r w:rsidR="002C4648" w:rsidRPr="007A5B89">
        <w:rPr>
          <w:rFonts w:cs="Arial"/>
          <w:szCs w:val="24"/>
        </w:rPr>
        <w:t>quality of life.</w:t>
      </w:r>
      <w:r w:rsidRPr="007A5B89">
        <w:rPr>
          <w:szCs w:val="24"/>
        </w:rPr>
        <w:t xml:space="preserve"> </w:t>
      </w:r>
    </w:p>
    <w:p w:rsidR="0068606A" w:rsidRPr="007A5B89" w:rsidRDefault="0068606A" w:rsidP="002C4648">
      <w:pPr>
        <w:widowControl w:val="0"/>
        <w:numPr>
          <w:ilvl w:val="1"/>
          <w:numId w:val="4"/>
        </w:numPr>
        <w:spacing w:before="0" w:after="120"/>
        <w:jc w:val="both"/>
      </w:pPr>
      <w:r w:rsidRPr="007A5B89">
        <w:rPr>
          <w:rFonts w:cs="Arial"/>
          <w:szCs w:val="24"/>
        </w:rPr>
        <w:t>The</w:t>
      </w:r>
      <w:r w:rsidRPr="007A5B89">
        <w:t xml:space="preserve"> PBAC noted the advice received from</w:t>
      </w:r>
      <w:r w:rsidR="002C4648" w:rsidRPr="007A5B89">
        <w:t xml:space="preserve"> the Australasian Society of Clinical Immunology and Allergy (ASCIA) of in-principle support f</w:t>
      </w:r>
      <w:r w:rsidR="002D2E28" w:rsidRPr="007A5B89">
        <w:t>or</w:t>
      </w:r>
      <w:r w:rsidR="002C4648" w:rsidRPr="007A5B89">
        <w:t xml:space="preserve"> the proposed listing for dupilumab. </w:t>
      </w:r>
      <w:r w:rsidR="00D76263">
        <w:t xml:space="preserve">The PBAC noted that the ASCIA supported the listing of dupilumab in patients with severe AD and stated its intention to write to the ASCIA to ask whether it would also be in support of a listing in moderate to severe AD. The </w:t>
      </w:r>
      <w:r w:rsidR="002C4648" w:rsidRPr="007A5B89">
        <w:t xml:space="preserve">ASCIA noted that </w:t>
      </w:r>
      <w:r w:rsidR="002C4648" w:rsidRPr="007A5B89">
        <w:rPr>
          <w:rFonts w:cs="Arial"/>
          <w:szCs w:val="24"/>
        </w:rPr>
        <w:t>clinical immunology/allergy specialists are suitably qualified and well</w:t>
      </w:r>
      <w:r w:rsidR="00D76263">
        <w:rPr>
          <w:rFonts w:cs="Arial"/>
          <w:szCs w:val="24"/>
        </w:rPr>
        <w:t>-</w:t>
      </w:r>
      <w:r w:rsidR="002C4648" w:rsidRPr="007A5B89">
        <w:rPr>
          <w:rFonts w:cs="Arial"/>
          <w:szCs w:val="24"/>
        </w:rPr>
        <w:t>placed to prescribe this treatment in appropriate patients and monitor treatment outcomes</w:t>
      </w:r>
      <w:r w:rsidR="00BA1984" w:rsidRPr="007A5B89">
        <w:rPr>
          <w:rFonts w:cs="Arial"/>
          <w:szCs w:val="24"/>
        </w:rPr>
        <w:t>.</w:t>
      </w:r>
      <w:r w:rsidRPr="007A5B89">
        <w:t xml:space="preserve"> </w:t>
      </w:r>
    </w:p>
    <w:p w:rsidR="0068606A" w:rsidRPr="007A5B89" w:rsidRDefault="0068606A" w:rsidP="002D2E28">
      <w:pPr>
        <w:widowControl w:val="0"/>
        <w:numPr>
          <w:ilvl w:val="1"/>
          <w:numId w:val="4"/>
        </w:numPr>
        <w:spacing w:before="0" w:after="120"/>
        <w:jc w:val="both"/>
        <w:rPr>
          <w:rFonts w:cs="Arial"/>
          <w:szCs w:val="24"/>
        </w:rPr>
      </w:pPr>
      <w:r w:rsidRPr="007A5B89">
        <w:rPr>
          <w:rFonts w:cs="Arial"/>
          <w:szCs w:val="24"/>
        </w:rPr>
        <w:t xml:space="preserve">The PBAC noted the </w:t>
      </w:r>
      <w:r w:rsidR="00D76263">
        <w:rPr>
          <w:rFonts w:cs="Arial"/>
          <w:szCs w:val="24"/>
        </w:rPr>
        <w:t>comments</w:t>
      </w:r>
      <w:r w:rsidR="00D76263" w:rsidRPr="007A5B89">
        <w:rPr>
          <w:rFonts w:cs="Arial"/>
          <w:szCs w:val="24"/>
        </w:rPr>
        <w:t xml:space="preserve"> </w:t>
      </w:r>
      <w:r w:rsidRPr="007A5B89">
        <w:rPr>
          <w:rFonts w:cs="Arial"/>
          <w:szCs w:val="24"/>
        </w:rPr>
        <w:t xml:space="preserve">received from </w:t>
      </w:r>
      <w:r w:rsidR="00BA1984" w:rsidRPr="007A5B89">
        <w:rPr>
          <w:rFonts w:cs="Arial"/>
          <w:szCs w:val="24"/>
        </w:rPr>
        <w:t xml:space="preserve">the </w:t>
      </w:r>
      <w:r w:rsidR="00687C39" w:rsidRPr="007A5B89">
        <w:rPr>
          <w:rFonts w:cs="Arial"/>
          <w:szCs w:val="24"/>
        </w:rPr>
        <w:t xml:space="preserve">International Centre for Community-Driven Research describing a recent report on the experience and expectations of 100 patients with AD. </w:t>
      </w:r>
      <w:r w:rsidR="002D2E28" w:rsidRPr="007A5B89">
        <w:rPr>
          <w:rFonts w:cs="Arial"/>
          <w:szCs w:val="24"/>
        </w:rPr>
        <w:t>In structured interviews the most common themes were impact in relation to self-esteem and confidence, leading to social isolation, relationships with family and friends, not being able to work, not being able to do everyday activities and the impact of itchiness on quality of sleep.</w:t>
      </w:r>
      <w:r w:rsidR="005772A2" w:rsidRPr="007A5B89">
        <w:rPr>
          <w:rFonts w:cs="Arial"/>
          <w:szCs w:val="24"/>
        </w:rPr>
        <w:t xml:space="preserve"> </w:t>
      </w:r>
      <w:r w:rsidR="00D76263">
        <w:rPr>
          <w:rFonts w:cs="Arial"/>
          <w:szCs w:val="24"/>
        </w:rPr>
        <w:t xml:space="preserve">Participants felt that they were not provided with adequate treatment options and </w:t>
      </w:r>
      <w:r w:rsidR="005772A2" w:rsidRPr="007A5B89">
        <w:rPr>
          <w:rFonts w:cs="Arial"/>
          <w:szCs w:val="24"/>
        </w:rPr>
        <w:t xml:space="preserve">noted the hope that access to safe, effective, affordable treatments would become available. </w:t>
      </w:r>
      <w:r w:rsidRPr="007A5B89">
        <w:rPr>
          <w:rFonts w:cs="Arial"/>
          <w:szCs w:val="24"/>
        </w:rPr>
        <w:t xml:space="preserve"> </w:t>
      </w:r>
    </w:p>
    <w:p w:rsidR="00C317F3" w:rsidRPr="004D3C91" w:rsidRDefault="00C317F3" w:rsidP="00772501">
      <w:pPr>
        <w:pStyle w:val="Heading2"/>
      </w:pPr>
      <w:r w:rsidRPr="004D3C91">
        <w:t>Clinical trials</w:t>
      </w:r>
      <w:bookmarkEnd w:id="13"/>
      <w:bookmarkEnd w:id="14"/>
    </w:p>
    <w:p w:rsidR="00401CF8" w:rsidRPr="00ED3C94" w:rsidRDefault="00401CF8" w:rsidP="00961807">
      <w:pPr>
        <w:widowControl w:val="0"/>
        <w:numPr>
          <w:ilvl w:val="1"/>
          <w:numId w:val="4"/>
        </w:numPr>
        <w:spacing w:before="0" w:after="120"/>
        <w:jc w:val="both"/>
      </w:pPr>
      <w:r w:rsidRPr="00ED3C94">
        <w:t>The submission was based on:</w:t>
      </w:r>
    </w:p>
    <w:p w:rsidR="00401CF8" w:rsidRPr="00ED3C94" w:rsidRDefault="00401CF8" w:rsidP="00D75311">
      <w:pPr>
        <w:pStyle w:val="ListParagraph"/>
        <w:numPr>
          <w:ilvl w:val="0"/>
          <w:numId w:val="7"/>
        </w:numPr>
        <w:spacing w:before="0" w:after="0"/>
        <w:ind w:left="1077" w:hanging="357"/>
        <w:jc w:val="both"/>
      </w:pPr>
      <w:r w:rsidRPr="00ED3C94">
        <w:t xml:space="preserve">one head-to-head randomised trial (CAFÉ, n=325) comparing dupilumab 300mg once weekly (QW) (n=110) with dupilumab 300mg fortnightly (Q2W) (n=107) and placebo (n=108). </w:t>
      </w:r>
      <w:r w:rsidR="00245620" w:rsidRPr="00ED3C94">
        <w:t xml:space="preserve"> </w:t>
      </w:r>
      <w:r w:rsidR="00B81211" w:rsidRPr="00ED3C94">
        <w:t xml:space="preserve">All patients enrolled in CAFÉ had moderate to severe AD </w:t>
      </w:r>
      <w:r w:rsidR="00245620" w:rsidRPr="00ED3C94">
        <w:t xml:space="preserve">(defined as an Investigator’s Global Assessment (IGA) of 3 or 4, respectively at baseline) </w:t>
      </w:r>
      <w:r w:rsidR="00B81211" w:rsidRPr="00ED3C94">
        <w:t xml:space="preserve">and were intolerant/contraindicated/had an inadequate response to cyclosporin A (CsA). </w:t>
      </w:r>
      <w:r w:rsidRPr="00ED3C94">
        <w:t>It should be noted that listing for dupilumab 300mg Q2W only was requested</w:t>
      </w:r>
      <w:r w:rsidR="00336A50" w:rsidRPr="00ED3C94">
        <w:t>, which was appropriate given this was the only TGA-approved dose</w:t>
      </w:r>
      <w:r w:rsidRPr="00ED3C94">
        <w:t xml:space="preserve">; and </w:t>
      </w:r>
    </w:p>
    <w:p w:rsidR="00401CF8" w:rsidRPr="00ED3C94" w:rsidRDefault="00401CF8" w:rsidP="00D75311">
      <w:pPr>
        <w:pStyle w:val="ListParagraph"/>
        <w:numPr>
          <w:ilvl w:val="0"/>
          <w:numId w:val="7"/>
        </w:numPr>
        <w:spacing w:before="0"/>
        <w:ind w:left="1077" w:hanging="357"/>
        <w:jc w:val="both"/>
      </w:pPr>
      <w:r w:rsidRPr="00ED3C94">
        <w:lastRenderedPageBreak/>
        <w:t xml:space="preserve">four supplementary </w:t>
      </w:r>
      <w:r w:rsidR="00E86B27" w:rsidRPr="00ED3C94">
        <w:t xml:space="preserve">randomised, placebo-controlled </w:t>
      </w:r>
      <w:r w:rsidRPr="00ED3C94">
        <w:t>trials: CHRONOS (n=740), SOLO 1 (N=671), SOLO 2 (N=708) and a phase IIb trial (referred to as Phase IIb herein) (N=318).</w:t>
      </w:r>
      <w:r w:rsidR="00B81211" w:rsidRPr="00ED3C94">
        <w:t xml:space="preserve">  Patients enrolled in these trials had moderate to severe AD </w:t>
      </w:r>
      <w:r w:rsidR="00245620" w:rsidRPr="00ED3C94">
        <w:t xml:space="preserve">(IGA 3-4) and </w:t>
      </w:r>
      <w:r w:rsidR="00B81211" w:rsidRPr="00ED3C94">
        <w:t>were not required to have prior exposure to CsA</w:t>
      </w:r>
      <w:r w:rsidR="006B28E8" w:rsidRPr="00ED3C94">
        <w:t xml:space="preserve"> (thus were </w:t>
      </w:r>
      <w:r w:rsidR="00A03B78" w:rsidRPr="00ED3C94">
        <w:t xml:space="preserve">considered supplementary as the trial population were </w:t>
      </w:r>
      <w:r w:rsidR="006B28E8" w:rsidRPr="00ED3C94">
        <w:t>not entirely representative of the proposed PBS population)</w:t>
      </w:r>
      <w:r w:rsidR="006B28E8" w:rsidRPr="00990AD0">
        <w:t>.</w:t>
      </w:r>
      <w:r w:rsidR="00B81211" w:rsidRPr="00990AD0">
        <w:t xml:space="preserve"> </w:t>
      </w:r>
      <w:r w:rsidR="00A81905" w:rsidRPr="00990AD0">
        <w:t>The ESC noted that the majority of the clinical evidence for dupilumab didn’t require failure with or contraindication to CsA.</w:t>
      </w:r>
    </w:p>
    <w:p w:rsidR="00380AD3" w:rsidRPr="00ED3C94" w:rsidRDefault="00380AD3" w:rsidP="00961807">
      <w:pPr>
        <w:widowControl w:val="0"/>
        <w:numPr>
          <w:ilvl w:val="1"/>
          <w:numId w:val="4"/>
        </w:numPr>
        <w:spacing w:before="0" w:after="120"/>
        <w:jc w:val="both"/>
      </w:pPr>
      <w:r w:rsidRPr="00ED3C94">
        <w:t xml:space="preserve">All trials compared dupilumab 300mg Q2W and dupilumab 300mg weekly (QW) treatment arms to placebo.  </w:t>
      </w:r>
    </w:p>
    <w:p w:rsidR="00C317F3" w:rsidRPr="00ED3C94" w:rsidRDefault="007D786B" w:rsidP="00961807">
      <w:pPr>
        <w:widowControl w:val="0"/>
        <w:numPr>
          <w:ilvl w:val="1"/>
          <w:numId w:val="4"/>
        </w:numPr>
        <w:spacing w:before="0" w:after="120"/>
        <w:jc w:val="both"/>
      </w:pPr>
      <w:r w:rsidRPr="00ED3C94">
        <w:t>The submission made the</w:t>
      </w:r>
      <w:r w:rsidR="00401CF8" w:rsidRPr="00ED3C94">
        <w:t xml:space="preserve"> claim of </w:t>
      </w:r>
      <w:r w:rsidRPr="00ED3C94">
        <w:t>superior clinical effectiveness</w:t>
      </w:r>
      <w:r w:rsidR="00401CF8" w:rsidRPr="00ED3C94">
        <w:t xml:space="preserve"> </w:t>
      </w:r>
      <w:r w:rsidR="00E86B27" w:rsidRPr="00ED3C94">
        <w:t xml:space="preserve">compared with SoC </w:t>
      </w:r>
      <w:r w:rsidRPr="00ED3C94">
        <w:t>based</w:t>
      </w:r>
      <w:r w:rsidR="00401CF8" w:rsidRPr="00ED3C94">
        <w:t xml:space="preserve"> on the outcome of a 75% improvement in </w:t>
      </w:r>
      <w:r w:rsidR="00380AD3" w:rsidRPr="00ED3C94">
        <w:t>Eczema Area Severity Index (</w:t>
      </w:r>
      <w:r w:rsidR="00401CF8" w:rsidRPr="00ED3C94">
        <w:t>EASI</w:t>
      </w:r>
      <w:r w:rsidR="00380AD3" w:rsidRPr="00ED3C94">
        <w:t>)</w:t>
      </w:r>
      <w:r w:rsidR="00401CF8" w:rsidRPr="00ED3C94">
        <w:t xml:space="preserve"> score (EASI-75) from baseline</w:t>
      </w:r>
      <w:r w:rsidR="00E86B27" w:rsidRPr="00ED3C94">
        <w:t xml:space="preserve">. </w:t>
      </w:r>
    </w:p>
    <w:p w:rsidR="00380AD3" w:rsidRPr="00ED3C94" w:rsidRDefault="00380AD3" w:rsidP="00961807">
      <w:pPr>
        <w:widowControl w:val="0"/>
        <w:numPr>
          <w:ilvl w:val="1"/>
          <w:numId w:val="4"/>
        </w:numPr>
        <w:spacing w:before="0" w:after="120"/>
        <w:jc w:val="both"/>
      </w:pPr>
      <w:r w:rsidRPr="00ED3C94">
        <w:t xml:space="preserve">The patients enrolled in the trials were broader than those for whom listing is sought, thus the </w:t>
      </w:r>
      <w:r w:rsidR="00B81211" w:rsidRPr="00ED3C94">
        <w:t>submission</w:t>
      </w:r>
      <w:r w:rsidRPr="00ED3C94">
        <w:t xml:space="preserve"> relies on a sub-group analysis of patients defined as having severe AD</w:t>
      </w:r>
      <w:r w:rsidR="00B81211" w:rsidRPr="00ED3C94">
        <w:t xml:space="preserve"> (defined as IGA=4 at baseline) and prior intolerance/contraindication/inadequate response to CsA</w:t>
      </w:r>
      <w:r w:rsidRPr="00ED3C94">
        <w:t>.</w:t>
      </w:r>
    </w:p>
    <w:p w:rsidR="00573A66" w:rsidRPr="00961807" w:rsidRDefault="00C317F3" w:rsidP="0012136C">
      <w:pPr>
        <w:widowControl w:val="0"/>
        <w:numPr>
          <w:ilvl w:val="1"/>
          <w:numId w:val="4"/>
        </w:numPr>
        <w:spacing w:before="0" w:after="120"/>
        <w:jc w:val="both"/>
      </w:pPr>
      <w:r w:rsidRPr="00ED3C94">
        <w:t xml:space="preserve">Details of the trials presented in the submission are provided in </w:t>
      </w:r>
      <w:r w:rsidR="009B5A44" w:rsidRPr="00ED3C94">
        <w:t>Table 2</w:t>
      </w:r>
      <w:r w:rsidRPr="00ED3C94">
        <w:t xml:space="preserve">.  </w:t>
      </w:r>
      <w:bookmarkStart w:id="15" w:name="_Ref513484355"/>
    </w:p>
    <w:bookmarkEnd w:id="15"/>
    <w:p w:rsidR="0093702D" w:rsidRDefault="0093702D" w:rsidP="0093702D">
      <w:pPr>
        <w:pStyle w:val="Caption"/>
      </w:pPr>
      <w:r>
        <w:t xml:space="preserve">Table </w:t>
      </w:r>
      <w:r w:rsidR="00557C85">
        <w:fldChar w:fldCharType="begin"/>
      </w:r>
      <w:r w:rsidR="00557C85">
        <w:instrText xml:space="preserve"> SEQ Table \* ARABIC </w:instrText>
      </w:r>
      <w:r w:rsidR="00557C85">
        <w:fldChar w:fldCharType="separate"/>
      </w:r>
      <w:r>
        <w:rPr>
          <w:noProof/>
        </w:rPr>
        <w:t>2</w:t>
      </w:r>
      <w:r w:rsidR="00557C85">
        <w:rPr>
          <w:noProof/>
        </w:rPr>
        <w:fldChar w:fldCharType="end"/>
      </w:r>
      <w:r w:rsidRPr="00D4238A">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presented in the submission"/>
      </w:tblPr>
      <w:tblGrid>
        <w:gridCol w:w="1733"/>
        <w:gridCol w:w="5258"/>
        <w:gridCol w:w="2091"/>
      </w:tblGrid>
      <w:tr w:rsidR="00380AD3" w:rsidRPr="00ED3C94" w:rsidTr="00380AD3">
        <w:tc>
          <w:tcPr>
            <w:tcW w:w="954" w:type="pct"/>
            <w:vAlign w:val="center"/>
          </w:tcPr>
          <w:p w:rsidR="00380AD3" w:rsidRPr="00ED3C94" w:rsidRDefault="00380AD3" w:rsidP="00380AD3">
            <w:pPr>
              <w:pStyle w:val="Tabletext0"/>
              <w:rPr>
                <w:b/>
              </w:rPr>
            </w:pPr>
            <w:r w:rsidRPr="00ED3C94">
              <w:rPr>
                <w:b/>
              </w:rPr>
              <w:t>Trial ID</w:t>
            </w:r>
          </w:p>
        </w:tc>
        <w:tc>
          <w:tcPr>
            <w:tcW w:w="2895" w:type="pct"/>
          </w:tcPr>
          <w:p w:rsidR="00380AD3" w:rsidRPr="00ED3C94" w:rsidRDefault="00380AD3" w:rsidP="00380AD3">
            <w:pPr>
              <w:pStyle w:val="TableText"/>
              <w:keepNext w:val="0"/>
              <w:rPr>
                <w:b/>
              </w:rPr>
            </w:pPr>
            <w:r w:rsidRPr="00ED3C94">
              <w:rPr>
                <w:b/>
              </w:rPr>
              <w:t>Protocol title/ Publication title</w:t>
            </w:r>
          </w:p>
        </w:tc>
        <w:tc>
          <w:tcPr>
            <w:tcW w:w="1151" w:type="pct"/>
          </w:tcPr>
          <w:p w:rsidR="00380AD3" w:rsidRPr="00ED3C94" w:rsidRDefault="00380AD3" w:rsidP="00380AD3">
            <w:pPr>
              <w:pStyle w:val="TableText"/>
              <w:keepNext w:val="0"/>
              <w:rPr>
                <w:b/>
              </w:rPr>
            </w:pPr>
            <w:r w:rsidRPr="00ED3C94">
              <w:rPr>
                <w:b/>
              </w:rPr>
              <w:t>Publication citation</w:t>
            </w:r>
          </w:p>
        </w:tc>
      </w:tr>
      <w:tr w:rsidR="00380AD3" w:rsidRPr="00ED3C94" w:rsidTr="00380AD3">
        <w:tc>
          <w:tcPr>
            <w:tcW w:w="5000" w:type="pct"/>
            <w:gridSpan w:val="3"/>
          </w:tcPr>
          <w:p w:rsidR="00380AD3" w:rsidRPr="00ED3C94" w:rsidRDefault="00380AD3" w:rsidP="00380AD3">
            <w:pPr>
              <w:pStyle w:val="TableText"/>
              <w:keepNext w:val="0"/>
              <w:rPr>
                <w:b/>
              </w:rPr>
            </w:pPr>
            <w:r w:rsidRPr="00ED3C94">
              <w:rPr>
                <w:b/>
              </w:rPr>
              <w:t>Pivotal direct randomised trial</w:t>
            </w:r>
          </w:p>
        </w:tc>
      </w:tr>
      <w:tr w:rsidR="00380AD3" w:rsidRPr="00ED3C94" w:rsidTr="00380AD3">
        <w:trPr>
          <w:trHeight w:val="676"/>
        </w:trPr>
        <w:tc>
          <w:tcPr>
            <w:tcW w:w="954" w:type="pct"/>
            <w:tcBorders>
              <w:bottom w:val="nil"/>
            </w:tcBorders>
          </w:tcPr>
          <w:p w:rsidR="00380AD3" w:rsidRPr="00ED3C94" w:rsidRDefault="00380AD3" w:rsidP="00380AD3">
            <w:pPr>
              <w:pStyle w:val="TableText"/>
              <w:keepNext w:val="0"/>
            </w:pPr>
            <w:r w:rsidRPr="00ED3C94">
              <w:t>CAFÉ</w:t>
            </w:r>
          </w:p>
          <w:p w:rsidR="00380AD3" w:rsidRPr="00ED3C94" w:rsidRDefault="00380AD3" w:rsidP="00380AD3">
            <w:pPr>
              <w:pStyle w:val="TableText"/>
              <w:keepNext w:val="0"/>
            </w:pPr>
            <w:r w:rsidRPr="00ED3C94">
              <w:t>R668-AD-1424</w:t>
            </w:r>
          </w:p>
          <w:p w:rsidR="00380AD3" w:rsidRPr="00ED3C94" w:rsidRDefault="00380AD3" w:rsidP="00380AD3">
            <w:pPr>
              <w:pStyle w:val="TableText"/>
              <w:keepNext w:val="0"/>
            </w:pPr>
            <w:r w:rsidRPr="00ED3C94">
              <w:t xml:space="preserve">NCT02755649 </w:t>
            </w:r>
          </w:p>
        </w:tc>
        <w:tc>
          <w:tcPr>
            <w:tcW w:w="2895" w:type="pct"/>
            <w:tcBorders>
              <w:bottom w:val="nil"/>
            </w:tcBorders>
          </w:tcPr>
          <w:p w:rsidR="00380AD3" w:rsidRPr="00ED3C94" w:rsidRDefault="00380AD3" w:rsidP="00380AD3">
            <w:pPr>
              <w:pStyle w:val="TableText"/>
            </w:pPr>
            <w:r w:rsidRPr="00ED3C94">
              <w:t>A phase 3 study investigating the efficacy, safety, and tolerability of dupilumab administered to adult patients with severe atopic dermatitis who are not adequately controlled with or are intolerant to oral cyclosp</w:t>
            </w:r>
            <w:r w:rsidR="009B5A44" w:rsidRPr="00ED3C94">
              <w:t>or</w:t>
            </w:r>
            <w:r w:rsidRPr="00ED3C94">
              <w:t>ine A, or when this treatment is not medically advisable.</w:t>
            </w:r>
          </w:p>
        </w:tc>
        <w:tc>
          <w:tcPr>
            <w:tcW w:w="1151" w:type="pct"/>
            <w:tcBorders>
              <w:bottom w:val="nil"/>
            </w:tcBorders>
          </w:tcPr>
          <w:p w:rsidR="00380AD3" w:rsidRPr="00ED3C94" w:rsidRDefault="00380AD3" w:rsidP="00380AD3">
            <w:pPr>
              <w:pStyle w:val="TableText"/>
              <w:keepNext w:val="0"/>
            </w:pPr>
            <w:r w:rsidRPr="00ED3C94">
              <w:t>08/07/2015</w:t>
            </w:r>
          </w:p>
          <w:p w:rsidR="00380AD3" w:rsidRPr="00ED3C94" w:rsidRDefault="00380AD3" w:rsidP="00380AD3">
            <w:pPr>
              <w:pStyle w:val="TableText"/>
              <w:keepNext w:val="0"/>
            </w:pPr>
          </w:p>
        </w:tc>
      </w:tr>
      <w:tr w:rsidR="00380AD3" w:rsidRPr="00ED3C94" w:rsidTr="00380AD3">
        <w:trPr>
          <w:trHeight w:val="965"/>
        </w:trPr>
        <w:tc>
          <w:tcPr>
            <w:tcW w:w="954" w:type="pct"/>
            <w:tcBorders>
              <w:top w:val="nil"/>
            </w:tcBorders>
          </w:tcPr>
          <w:p w:rsidR="00380AD3" w:rsidRPr="00ED3C94" w:rsidRDefault="00380AD3" w:rsidP="00380AD3">
            <w:pPr>
              <w:pStyle w:val="TableText"/>
            </w:pPr>
          </w:p>
        </w:tc>
        <w:tc>
          <w:tcPr>
            <w:tcW w:w="2895" w:type="pct"/>
            <w:tcBorders>
              <w:top w:val="nil"/>
            </w:tcBorders>
          </w:tcPr>
          <w:p w:rsidR="00380AD3" w:rsidRPr="00ED3C94" w:rsidRDefault="00380AD3" w:rsidP="00380AD3">
            <w:pPr>
              <w:pStyle w:val="TableText"/>
            </w:pPr>
            <w:r w:rsidRPr="00ED3C94">
              <w:t>de Bruin-Weller M, Gadkari A, Simpson E et al.</w:t>
            </w:r>
            <w:r w:rsidR="00D75311">
              <w:t xml:space="preserve"> </w:t>
            </w:r>
            <w:r w:rsidRPr="00ED3C94">
              <w:t>Dupilumab improves patient-reported outcomes in atopic dermatitis inadequately controlled, intolerant, or inadvisable for cyclosporine-A. Annals of Allergy, Asthma and Immunology.</w:t>
            </w:r>
          </w:p>
        </w:tc>
        <w:tc>
          <w:tcPr>
            <w:tcW w:w="1151" w:type="pct"/>
            <w:tcBorders>
              <w:top w:val="nil"/>
            </w:tcBorders>
          </w:tcPr>
          <w:p w:rsidR="00380AD3" w:rsidRPr="00ED3C94" w:rsidRDefault="00380AD3" w:rsidP="00380AD3">
            <w:pPr>
              <w:pStyle w:val="TableText"/>
            </w:pPr>
            <w:r w:rsidRPr="00ED3C94">
              <w:t>Annals of Allergy, Asthma and Immunology. 2017; 119(5S1):S94-S95.</w:t>
            </w:r>
          </w:p>
        </w:tc>
      </w:tr>
      <w:tr w:rsidR="00380AD3" w:rsidRPr="00ED3C94" w:rsidTr="00380AD3">
        <w:tc>
          <w:tcPr>
            <w:tcW w:w="5000" w:type="pct"/>
            <w:gridSpan w:val="3"/>
          </w:tcPr>
          <w:p w:rsidR="00380AD3" w:rsidRPr="00ED3C94" w:rsidRDefault="00380AD3" w:rsidP="00380AD3">
            <w:pPr>
              <w:pStyle w:val="TableText"/>
              <w:keepNext w:val="0"/>
              <w:rPr>
                <w:b/>
              </w:rPr>
            </w:pPr>
            <w:r w:rsidRPr="00ED3C94">
              <w:rPr>
                <w:b/>
              </w:rPr>
              <w:t>Supplementary direct randomised trials</w:t>
            </w:r>
          </w:p>
        </w:tc>
      </w:tr>
      <w:tr w:rsidR="00380AD3" w:rsidRPr="00ED3C94" w:rsidTr="00380AD3">
        <w:trPr>
          <w:trHeight w:val="185"/>
        </w:trPr>
        <w:tc>
          <w:tcPr>
            <w:tcW w:w="954" w:type="pct"/>
            <w:vMerge w:val="restart"/>
          </w:tcPr>
          <w:p w:rsidR="00380AD3" w:rsidRPr="00ED3C94" w:rsidRDefault="00380AD3" w:rsidP="00380AD3">
            <w:pPr>
              <w:pStyle w:val="TableText"/>
              <w:keepNext w:val="0"/>
            </w:pPr>
            <w:r w:rsidRPr="00ED3C94">
              <w:t>CHRONOS</w:t>
            </w:r>
          </w:p>
          <w:p w:rsidR="00380AD3" w:rsidRPr="00ED3C94" w:rsidRDefault="00380AD3" w:rsidP="00380AD3">
            <w:pPr>
              <w:pStyle w:val="TableText"/>
              <w:keepNext w:val="0"/>
            </w:pPr>
            <w:r w:rsidRPr="00ED3C94">
              <w:t>R668-AD-1224</w:t>
            </w:r>
          </w:p>
          <w:p w:rsidR="00380AD3" w:rsidRPr="00ED3C94" w:rsidRDefault="00380AD3" w:rsidP="00380AD3">
            <w:pPr>
              <w:pStyle w:val="TableText"/>
              <w:keepNext w:val="0"/>
            </w:pPr>
            <w:r w:rsidRPr="00ED3C94">
              <w:t>NCT02260986</w:t>
            </w:r>
          </w:p>
        </w:tc>
        <w:tc>
          <w:tcPr>
            <w:tcW w:w="2895" w:type="pct"/>
            <w:tcBorders>
              <w:bottom w:val="nil"/>
            </w:tcBorders>
          </w:tcPr>
          <w:p w:rsidR="00380AD3" w:rsidRPr="00ED3C94" w:rsidRDefault="00380AD3" w:rsidP="00380AD3">
            <w:pPr>
              <w:pStyle w:val="TableText"/>
              <w:keepNext w:val="0"/>
            </w:pPr>
            <w:r w:rsidRPr="00ED3C94">
              <w:t>A randomised, double-blind, placebo-controlled study to demonstrate the efficacy and long-term safety of dupilumab in adult patients with moderate to severe atopic dermatitis.</w:t>
            </w:r>
          </w:p>
        </w:tc>
        <w:tc>
          <w:tcPr>
            <w:tcW w:w="1151" w:type="pct"/>
            <w:tcBorders>
              <w:bottom w:val="nil"/>
            </w:tcBorders>
          </w:tcPr>
          <w:p w:rsidR="00380AD3" w:rsidRPr="00ED3C94" w:rsidRDefault="00380AD3" w:rsidP="00380AD3">
            <w:pPr>
              <w:pStyle w:val="TableText"/>
              <w:keepNext w:val="0"/>
            </w:pPr>
            <w:r w:rsidRPr="00ED3C94">
              <w:t>02/10/2015</w:t>
            </w:r>
          </w:p>
          <w:p w:rsidR="00380AD3" w:rsidRPr="00ED3C94" w:rsidRDefault="00380AD3" w:rsidP="00380AD3">
            <w:pPr>
              <w:pStyle w:val="TableText"/>
              <w:keepNext w:val="0"/>
            </w:pPr>
          </w:p>
        </w:tc>
      </w:tr>
      <w:tr w:rsidR="00380AD3" w:rsidRPr="00ED3C94" w:rsidTr="00380AD3">
        <w:trPr>
          <w:trHeight w:val="125"/>
        </w:trPr>
        <w:tc>
          <w:tcPr>
            <w:tcW w:w="954" w:type="pct"/>
            <w:vMerge/>
            <w:tcBorders>
              <w:bottom w:val="nil"/>
            </w:tcBorders>
          </w:tcPr>
          <w:p w:rsidR="00380AD3" w:rsidRPr="00ED3C94" w:rsidRDefault="00380AD3" w:rsidP="00380AD3">
            <w:pPr>
              <w:pStyle w:val="TableText"/>
              <w:keepNext w:val="0"/>
            </w:pPr>
          </w:p>
        </w:tc>
        <w:tc>
          <w:tcPr>
            <w:tcW w:w="2895" w:type="pct"/>
            <w:tcBorders>
              <w:top w:val="nil"/>
              <w:bottom w:val="nil"/>
            </w:tcBorders>
          </w:tcPr>
          <w:p w:rsidR="00380AD3" w:rsidRPr="00ED3C94" w:rsidRDefault="00380AD3" w:rsidP="00380AD3">
            <w:pPr>
              <w:pStyle w:val="TableText"/>
            </w:pPr>
            <w:r w:rsidRPr="00ED3C94">
              <w:t>Blauvelt A, Bruin-Weller M, Gooderham M et al. Long-term management of moderate-to-severe atopic dermatitis with dupilumab and concomitant topical corticosteroids (LIBERTY AD CHRONOS): a 1-year, randomised, double-blinded, placebo-controlled, phase 3 trial.</w:t>
            </w:r>
          </w:p>
        </w:tc>
        <w:tc>
          <w:tcPr>
            <w:tcW w:w="1151" w:type="pct"/>
            <w:tcBorders>
              <w:top w:val="nil"/>
              <w:bottom w:val="nil"/>
            </w:tcBorders>
          </w:tcPr>
          <w:p w:rsidR="00380AD3" w:rsidRPr="00ED3C94" w:rsidRDefault="00380AD3" w:rsidP="00380AD3">
            <w:pPr>
              <w:pStyle w:val="TableText"/>
              <w:keepNext w:val="0"/>
            </w:pPr>
            <w:r w:rsidRPr="00ED3C94">
              <w:t>Lancet. 2017; 389:2287-303.</w:t>
            </w:r>
          </w:p>
          <w:p w:rsidR="00380AD3" w:rsidRPr="00ED3C94" w:rsidRDefault="00380AD3" w:rsidP="00380AD3">
            <w:pPr>
              <w:pStyle w:val="TableText"/>
            </w:pPr>
          </w:p>
        </w:tc>
      </w:tr>
      <w:tr w:rsidR="00380AD3" w:rsidRPr="00ED3C94" w:rsidTr="00380AD3">
        <w:trPr>
          <w:trHeight w:val="284"/>
        </w:trPr>
        <w:tc>
          <w:tcPr>
            <w:tcW w:w="954" w:type="pct"/>
            <w:vMerge w:val="restart"/>
            <w:tcBorders>
              <w:top w:val="nil"/>
            </w:tcBorders>
          </w:tcPr>
          <w:p w:rsidR="00380AD3" w:rsidRPr="00ED3C94" w:rsidRDefault="00380AD3" w:rsidP="00380AD3">
            <w:pPr>
              <w:pStyle w:val="TableText"/>
            </w:pPr>
          </w:p>
        </w:tc>
        <w:tc>
          <w:tcPr>
            <w:tcW w:w="2895" w:type="pct"/>
            <w:tcBorders>
              <w:top w:val="nil"/>
              <w:bottom w:val="nil"/>
            </w:tcBorders>
          </w:tcPr>
          <w:p w:rsidR="00380AD3" w:rsidRPr="00ED3C94" w:rsidRDefault="00380AD3" w:rsidP="00380AD3">
            <w:pPr>
              <w:pStyle w:val="TableText"/>
            </w:pPr>
            <w:r w:rsidRPr="00ED3C94">
              <w:t>Blauvelt A, Gooderham M, Foley P et al. Efficacy and safety of dupilumab with concomitant topical corticosteroids for up to 1 year in moderate-to-severe atopic dermatitis: a randomized, placebo-controlled phase III trial (CHRONOS).</w:t>
            </w:r>
          </w:p>
        </w:tc>
        <w:tc>
          <w:tcPr>
            <w:tcW w:w="1151" w:type="pct"/>
            <w:tcBorders>
              <w:top w:val="nil"/>
              <w:bottom w:val="nil"/>
            </w:tcBorders>
          </w:tcPr>
          <w:p w:rsidR="00380AD3" w:rsidRPr="00ED3C94" w:rsidRDefault="00380AD3" w:rsidP="00380AD3">
            <w:pPr>
              <w:pStyle w:val="TableText"/>
              <w:keepNext w:val="0"/>
            </w:pPr>
            <w:r w:rsidRPr="00ED3C94">
              <w:t>British Journal of Dermatology. 2017; 177(S1):10.</w:t>
            </w:r>
          </w:p>
          <w:p w:rsidR="00380AD3" w:rsidRPr="00ED3C94" w:rsidDel="0039239D" w:rsidRDefault="00380AD3" w:rsidP="00380AD3">
            <w:pPr>
              <w:pStyle w:val="TableText"/>
            </w:pPr>
          </w:p>
        </w:tc>
      </w:tr>
      <w:tr w:rsidR="00380AD3" w:rsidRPr="00ED3C94" w:rsidTr="00380AD3">
        <w:trPr>
          <w:trHeight w:val="70"/>
        </w:trPr>
        <w:tc>
          <w:tcPr>
            <w:tcW w:w="954" w:type="pct"/>
            <w:vMerge/>
          </w:tcPr>
          <w:p w:rsidR="00380AD3" w:rsidRPr="00ED3C94" w:rsidRDefault="00380AD3" w:rsidP="00380AD3">
            <w:pPr>
              <w:pStyle w:val="TableText"/>
            </w:pPr>
          </w:p>
        </w:tc>
        <w:tc>
          <w:tcPr>
            <w:tcW w:w="2895" w:type="pct"/>
            <w:tcBorders>
              <w:top w:val="nil"/>
            </w:tcBorders>
          </w:tcPr>
          <w:p w:rsidR="00380AD3" w:rsidRPr="00ED3C94" w:rsidDel="0039239D" w:rsidRDefault="00380AD3" w:rsidP="00380AD3">
            <w:pPr>
              <w:pStyle w:val="TableText"/>
            </w:pPr>
            <w:r w:rsidRPr="00ED3C94">
              <w:t>Blauvelt A, Gooderham M, Foley P et al. Dupilumab with concomitant topical corticosteroids in moderate-to-severe atopic dermatitis: a randomised, placebo-controlled phase 3 clinical trial (CHRONOS).</w:t>
            </w:r>
          </w:p>
        </w:tc>
        <w:tc>
          <w:tcPr>
            <w:tcW w:w="1151" w:type="pct"/>
            <w:tcBorders>
              <w:top w:val="nil"/>
            </w:tcBorders>
          </w:tcPr>
          <w:p w:rsidR="00380AD3" w:rsidRPr="00ED3C94" w:rsidRDefault="00380AD3" w:rsidP="00380AD3">
            <w:pPr>
              <w:pStyle w:val="TableText"/>
            </w:pPr>
            <w:r w:rsidRPr="00ED3C94">
              <w:t>Australasian Journal of Dermatology. 2017; 58:55.</w:t>
            </w:r>
          </w:p>
        </w:tc>
      </w:tr>
      <w:tr w:rsidR="00380AD3" w:rsidRPr="00ED3C94" w:rsidTr="00380AD3">
        <w:trPr>
          <w:trHeight w:val="70"/>
        </w:trPr>
        <w:tc>
          <w:tcPr>
            <w:tcW w:w="954" w:type="pct"/>
            <w:vMerge w:val="restart"/>
          </w:tcPr>
          <w:p w:rsidR="00380AD3" w:rsidRPr="00ED3C94" w:rsidRDefault="00380AD3" w:rsidP="00380AD3">
            <w:pPr>
              <w:pStyle w:val="TableText"/>
              <w:keepNext w:val="0"/>
            </w:pPr>
            <w:r w:rsidRPr="00ED3C94">
              <w:t>SOLO 1</w:t>
            </w:r>
          </w:p>
          <w:p w:rsidR="00380AD3" w:rsidRPr="00ED3C94" w:rsidRDefault="00380AD3" w:rsidP="00380AD3">
            <w:pPr>
              <w:pStyle w:val="TableText"/>
              <w:keepNext w:val="0"/>
            </w:pPr>
            <w:r w:rsidRPr="00ED3C94">
              <w:t>R668-AD-1334</w:t>
            </w:r>
          </w:p>
          <w:p w:rsidR="00380AD3" w:rsidRPr="00ED3C94" w:rsidRDefault="00380AD3" w:rsidP="00380AD3">
            <w:pPr>
              <w:pStyle w:val="TableText"/>
              <w:keepNext w:val="0"/>
            </w:pPr>
            <w:r w:rsidRPr="00ED3C94">
              <w:t>NCT02277743</w:t>
            </w:r>
          </w:p>
        </w:tc>
        <w:tc>
          <w:tcPr>
            <w:tcW w:w="2895" w:type="pct"/>
            <w:tcBorders>
              <w:bottom w:val="nil"/>
            </w:tcBorders>
          </w:tcPr>
          <w:p w:rsidR="00380AD3" w:rsidRPr="00ED3C94" w:rsidRDefault="00380AD3" w:rsidP="00380AD3">
            <w:pPr>
              <w:pStyle w:val="TableText"/>
              <w:keepNext w:val="0"/>
            </w:pPr>
            <w:r w:rsidRPr="00ED3C94">
              <w:t>A phase 3 confirmatory study investigating the efficacy and safety of dupilumab monotherapy administered to adult patients with moderate to severe atopic dermatitis.</w:t>
            </w:r>
          </w:p>
        </w:tc>
        <w:tc>
          <w:tcPr>
            <w:tcW w:w="1151" w:type="pct"/>
            <w:tcBorders>
              <w:bottom w:val="nil"/>
            </w:tcBorders>
          </w:tcPr>
          <w:p w:rsidR="00380AD3" w:rsidRPr="00ED3C94" w:rsidRDefault="00380AD3" w:rsidP="00380AD3">
            <w:pPr>
              <w:pStyle w:val="TableText"/>
              <w:keepNext w:val="0"/>
            </w:pPr>
            <w:r w:rsidRPr="00ED3C94">
              <w:t>05/02/2015</w:t>
            </w:r>
          </w:p>
          <w:p w:rsidR="00380AD3" w:rsidRPr="00ED3C94" w:rsidRDefault="00380AD3" w:rsidP="00380AD3">
            <w:pPr>
              <w:pStyle w:val="TableText"/>
              <w:keepNext w:val="0"/>
            </w:pPr>
          </w:p>
        </w:tc>
      </w:tr>
      <w:tr w:rsidR="00380AD3" w:rsidRPr="00ED3C94" w:rsidTr="00380AD3">
        <w:trPr>
          <w:trHeight w:val="255"/>
        </w:trPr>
        <w:tc>
          <w:tcPr>
            <w:tcW w:w="954" w:type="pct"/>
            <w:vMerge/>
          </w:tcPr>
          <w:p w:rsidR="00380AD3" w:rsidRPr="00ED3C94" w:rsidRDefault="00380AD3" w:rsidP="00380AD3">
            <w:pPr>
              <w:pStyle w:val="TableText"/>
              <w:keepNext w:val="0"/>
            </w:pPr>
          </w:p>
        </w:tc>
        <w:tc>
          <w:tcPr>
            <w:tcW w:w="2895" w:type="pct"/>
            <w:tcBorders>
              <w:top w:val="nil"/>
            </w:tcBorders>
          </w:tcPr>
          <w:p w:rsidR="00380AD3" w:rsidRPr="00ED3C94" w:rsidRDefault="00380AD3" w:rsidP="00380AD3">
            <w:pPr>
              <w:pStyle w:val="TableText"/>
            </w:pPr>
            <w:r w:rsidRPr="00ED3C94">
              <w:t>Simpson EL, Bieber T, Guttman-Yassky E, et al. Two Phase 3 Trials of Dupilumab versus Placebo in Atopic Dermatitis.</w:t>
            </w:r>
          </w:p>
        </w:tc>
        <w:tc>
          <w:tcPr>
            <w:tcW w:w="1151" w:type="pct"/>
            <w:tcBorders>
              <w:top w:val="nil"/>
            </w:tcBorders>
          </w:tcPr>
          <w:p w:rsidR="00380AD3" w:rsidRPr="00ED3C94" w:rsidRDefault="00380AD3" w:rsidP="00380AD3">
            <w:pPr>
              <w:pStyle w:val="TableText"/>
            </w:pPr>
            <w:r w:rsidRPr="00ED3C94">
              <w:t>N Engl J Med. 2016 Dec 15;375(24):2335-2348.</w:t>
            </w:r>
          </w:p>
        </w:tc>
      </w:tr>
      <w:tr w:rsidR="00380AD3" w:rsidRPr="00ED3C94" w:rsidTr="00380AD3">
        <w:trPr>
          <w:trHeight w:val="132"/>
        </w:trPr>
        <w:tc>
          <w:tcPr>
            <w:tcW w:w="954" w:type="pct"/>
            <w:vMerge w:val="restart"/>
          </w:tcPr>
          <w:p w:rsidR="00380AD3" w:rsidRPr="00ED3C94" w:rsidRDefault="00380AD3" w:rsidP="00380AD3">
            <w:pPr>
              <w:pStyle w:val="TableText"/>
              <w:keepNext w:val="0"/>
            </w:pPr>
            <w:r w:rsidRPr="00ED3C94">
              <w:t>SOLO 2</w:t>
            </w:r>
          </w:p>
          <w:p w:rsidR="00380AD3" w:rsidRPr="00ED3C94" w:rsidRDefault="00380AD3" w:rsidP="00380AD3">
            <w:pPr>
              <w:pStyle w:val="TableText"/>
              <w:keepNext w:val="0"/>
            </w:pPr>
            <w:r w:rsidRPr="00ED3C94">
              <w:t>R668-AD-1416</w:t>
            </w:r>
          </w:p>
          <w:p w:rsidR="00380AD3" w:rsidRPr="00ED3C94" w:rsidRDefault="00380AD3" w:rsidP="00380AD3">
            <w:pPr>
              <w:pStyle w:val="TableText"/>
              <w:keepNext w:val="0"/>
            </w:pPr>
            <w:r w:rsidRPr="00ED3C94">
              <w:t>NCT02277769</w:t>
            </w:r>
          </w:p>
        </w:tc>
        <w:tc>
          <w:tcPr>
            <w:tcW w:w="2895" w:type="pct"/>
            <w:tcBorders>
              <w:bottom w:val="nil"/>
            </w:tcBorders>
          </w:tcPr>
          <w:p w:rsidR="00380AD3" w:rsidRPr="00ED3C94" w:rsidRDefault="00380AD3" w:rsidP="00380AD3">
            <w:pPr>
              <w:pStyle w:val="TableText"/>
            </w:pPr>
            <w:r w:rsidRPr="00ED3C94">
              <w:t>A phase 3 confirmatory study investigating the efficacy and safety of dupilumab monotherapy administered to adult patients with moderate to severe atopic dermatitis.</w:t>
            </w:r>
          </w:p>
        </w:tc>
        <w:tc>
          <w:tcPr>
            <w:tcW w:w="1151" w:type="pct"/>
            <w:tcBorders>
              <w:bottom w:val="nil"/>
            </w:tcBorders>
          </w:tcPr>
          <w:p w:rsidR="00380AD3" w:rsidRPr="00ED3C94" w:rsidRDefault="00380AD3" w:rsidP="00380AD3">
            <w:pPr>
              <w:pStyle w:val="TableText"/>
              <w:keepNext w:val="0"/>
            </w:pPr>
            <w:r w:rsidRPr="00ED3C94">
              <w:t>05/02/2015</w:t>
            </w:r>
          </w:p>
          <w:p w:rsidR="00380AD3" w:rsidRPr="00ED3C94" w:rsidRDefault="00380AD3" w:rsidP="00380AD3">
            <w:pPr>
              <w:pStyle w:val="TableText"/>
              <w:keepNext w:val="0"/>
            </w:pPr>
          </w:p>
        </w:tc>
      </w:tr>
      <w:tr w:rsidR="00380AD3" w:rsidRPr="00ED3C94" w:rsidTr="00380AD3">
        <w:trPr>
          <w:trHeight w:val="309"/>
        </w:trPr>
        <w:tc>
          <w:tcPr>
            <w:tcW w:w="954" w:type="pct"/>
            <w:vMerge/>
          </w:tcPr>
          <w:p w:rsidR="00380AD3" w:rsidRPr="00ED3C94" w:rsidRDefault="00380AD3" w:rsidP="00380AD3">
            <w:pPr>
              <w:pStyle w:val="TableText"/>
              <w:keepNext w:val="0"/>
            </w:pPr>
          </w:p>
        </w:tc>
        <w:tc>
          <w:tcPr>
            <w:tcW w:w="2895" w:type="pct"/>
            <w:tcBorders>
              <w:top w:val="nil"/>
            </w:tcBorders>
          </w:tcPr>
          <w:p w:rsidR="00380AD3" w:rsidRPr="00ED3C94" w:rsidRDefault="00380AD3" w:rsidP="00380AD3">
            <w:pPr>
              <w:pStyle w:val="TableText"/>
            </w:pPr>
            <w:r w:rsidRPr="00ED3C94">
              <w:t>Simpson EL, Bieber T, Guttman-Yassky E, et al. Two Phase 3 Trials of Dupilumab versus Placebo in Atopic Dermatitis.</w:t>
            </w:r>
          </w:p>
        </w:tc>
        <w:tc>
          <w:tcPr>
            <w:tcW w:w="1151" w:type="pct"/>
            <w:tcBorders>
              <w:top w:val="nil"/>
            </w:tcBorders>
          </w:tcPr>
          <w:p w:rsidR="00380AD3" w:rsidRPr="00ED3C94" w:rsidRDefault="00380AD3" w:rsidP="00380AD3">
            <w:pPr>
              <w:pStyle w:val="TableText"/>
            </w:pPr>
            <w:r w:rsidRPr="00ED3C94">
              <w:t>N Engl J Med. 2016 Dec 15;375(24):2335-2348.</w:t>
            </w:r>
          </w:p>
        </w:tc>
      </w:tr>
      <w:tr w:rsidR="00380AD3" w:rsidRPr="00ED3C94" w:rsidTr="00380AD3">
        <w:trPr>
          <w:trHeight w:val="519"/>
        </w:trPr>
        <w:tc>
          <w:tcPr>
            <w:tcW w:w="954" w:type="pct"/>
            <w:vMerge w:val="restart"/>
          </w:tcPr>
          <w:p w:rsidR="00380AD3" w:rsidRPr="00ED3C94" w:rsidRDefault="00380AD3" w:rsidP="00380AD3">
            <w:pPr>
              <w:pStyle w:val="TableText"/>
              <w:keepNext w:val="0"/>
            </w:pPr>
            <w:r w:rsidRPr="00ED3C94">
              <w:t>Phase IIb</w:t>
            </w:r>
          </w:p>
          <w:p w:rsidR="00380AD3" w:rsidRPr="00ED3C94" w:rsidRDefault="00380AD3" w:rsidP="00380AD3">
            <w:pPr>
              <w:pStyle w:val="TableText"/>
              <w:keepNext w:val="0"/>
            </w:pPr>
            <w:r w:rsidRPr="00ED3C94">
              <w:t>R668-AD-1021</w:t>
            </w:r>
          </w:p>
          <w:p w:rsidR="00380AD3" w:rsidRPr="00ED3C94" w:rsidRDefault="00380AD3" w:rsidP="00380AD3">
            <w:pPr>
              <w:pStyle w:val="TableText"/>
              <w:keepNext w:val="0"/>
            </w:pPr>
            <w:r w:rsidRPr="00ED3C94">
              <w:t>NCT01859988</w:t>
            </w:r>
          </w:p>
        </w:tc>
        <w:tc>
          <w:tcPr>
            <w:tcW w:w="2895" w:type="pct"/>
            <w:tcBorders>
              <w:bottom w:val="nil"/>
            </w:tcBorders>
          </w:tcPr>
          <w:p w:rsidR="00380AD3" w:rsidRPr="00ED3C94" w:rsidRDefault="00380AD3" w:rsidP="00380AD3">
            <w:pPr>
              <w:pStyle w:val="TableText"/>
              <w:keepNext w:val="0"/>
            </w:pPr>
            <w:r w:rsidRPr="00ED3C94">
              <w:t>A Randomized, Double-Blind, Placebo-Controlled, Parallel-Group, Dose-Ranging Study Investigating the Efficacy, Safety, Pharmacokinetic and Biomarker Profiles of Dupilumab (REGN668) Administered to Adult Patients with Moderate-to-Severe Atopic Dermatitis.</w:t>
            </w:r>
          </w:p>
        </w:tc>
        <w:tc>
          <w:tcPr>
            <w:tcW w:w="1151" w:type="pct"/>
            <w:tcBorders>
              <w:bottom w:val="nil"/>
            </w:tcBorders>
          </w:tcPr>
          <w:p w:rsidR="00380AD3" w:rsidRPr="00ED3C94" w:rsidRDefault="00380AD3" w:rsidP="00380AD3">
            <w:pPr>
              <w:pStyle w:val="TableText"/>
            </w:pPr>
            <w:r w:rsidRPr="00ED3C94">
              <w:t>03/12/2013</w:t>
            </w:r>
          </w:p>
        </w:tc>
      </w:tr>
      <w:tr w:rsidR="00380AD3" w:rsidRPr="00ED3C94" w:rsidTr="00380AD3">
        <w:trPr>
          <w:trHeight w:val="267"/>
        </w:trPr>
        <w:tc>
          <w:tcPr>
            <w:tcW w:w="954" w:type="pct"/>
            <w:vMerge/>
          </w:tcPr>
          <w:p w:rsidR="00380AD3" w:rsidRPr="00ED3C94" w:rsidRDefault="00380AD3" w:rsidP="00380AD3">
            <w:pPr>
              <w:pStyle w:val="TableText"/>
              <w:keepNext w:val="0"/>
            </w:pPr>
          </w:p>
        </w:tc>
        <w:tc>
          <w:tcPr>
            <w:tcW w:w="2895" w:type="pct"/>
            <w:tcBorders>
              <w:top w:val="nil"/>
              <w:bottom w:val="nil"/>
            </w:tcBorders>
          </w:tcPr>
          <w:p w:rsidR="00380AD3" w:rsidRPr="00ED3C94" w:rsidRDefault="00380AD3" w:rsidP="00380AD3">
            <w:pPr>
              <w:pStyle w:val="TableText"/>
              <w:keepNext w:val="0"/>
            </w:pPr>
            <w:r w:rsidRPr="00ED3C94">
              <w:t>Thaci D, Simpson EL, Beck LA et al. Efficacy and safety of dupilumab in adults with moderate-to-severe atopic dermatitis inadequately controlled by topical treatments: a randomised, placebo-controlled, dose-ranging phase 2b trial.</w:t>
            </w:r>
          </w:p>
        </w:tc>
        <w:tc>
          <w:tcPr>
            <w:tcW w:w="1151" w:type="pct"/>
            <w:tcBorders>
              <w:top w:val="nil"/>
              <w:bottom w:val="nil"/>
            </w:tcBorders>
          </w:tcPr>
          <w:p w:rsidR="00380AD3" w:rsidRPr="00ED3C94" w:rsidRDefault="00380AD3" w:rsidP="00380AD3">
            <w:pPr>
              <w:pStyle w:val="TableText"/>
            </w:pPr>
            <w:r w:rsidRPr="00ED3C94">
              <w:t>Lancet. 2016; 387:40-52</w:t>
            </w:r>
          </w:p>
        </w:tc>
      </w:tr>
      <w:tr w:rsidR="00380AD3" w:rsidRPr="00ED3C94" w:rsidTr="00380AD3">
        <w:trPr>
          <w:trHeight w:val="253"/>
        </w:trPr>
        <w:tc>
          <w:tcPr>
            <w:tcW w:w="954" w:type="pct"/>
            <w:vMerge/>
          </w:tcPr>
          <w:p w:rsidR="00380AD3" w:rsidRPr="00ED3C94" w:rsidRDefault="00380AD3" w:rsidP="00380AD3">
            <w:pPr>
              <w:pStyle w:val="TableText"/>
              <w:keepNext w:val="0"/>
            </w:pPr>
          </w:p>
        </w:tc>
        <w:tc>
          <w:tcPr>
            <w:tcW w:w="2895" w:type="pct"/>
            <w:tcBorders>
              <w:top w:val="nil"/>
              <w:bottom w:val="nil"/>
            </w:tcBorders>
          </w:tcPr>
          <w:p w:rsidR="00380AD3" w:rsidRPr="00ED3C94" w:rsidRDefault="00380AD3" w:rsidP="00380AD3">
            <w:pPr>
              <w:pStyle w:val="TableText"/>
              <w:keepNext w:val="0"/>
            </w:pPr>
            <w:r w:rsidRPr="00ED3C94">
              <w:t>Simpson EL, Gadkari A, Worm M et al. Dupilumab therapy provides clinically meaningful improvement in patient-reported outcomes (PROs): A phase IIb, randomized, placebo-controlled, clinical trial in adult patients with moderate to severe atopic dermatitis (AD).</w:t>
            </w:r>
          </w:p>
        </w:tc>
        <w:tc>
          <w:tcPr>
            <w:tcW w:w="1151" w:type="pct"/>
            <w:tcBorders>
              <w:top w:val="nil"/>
              <w:bottom w:val="nil"/>
            </w:tcBorders>
          </w:tcPr>
          <w:p w:rsidR="00380AD3" w:rsidRPr="00ED3C94" w:rsidRDefault="00380AD3" w:rsidP="00380AD3">
            <w:pPr>
              <w:pStyle w:val="TableText"/>
            </w:pPr>
            <w:r w:rsidRPr="00ED3C94">
              <w:t>J Am Acad Dermatol. 2016; 75(3): 506-15.</w:t>
            </w:r>
          </w:p>
        </w:tc>
      </w:tr>
      <w:tr w:rsidR="00380AD3" w:rsidRPr="00ED3C94" w:rsidTr="00380AD3">
        <w:trPr>
          <w:trHeight w:val="75"/>
        </w:trPr>
        <w:tc>
          <w:tcPr>
            <w:tcW w:w="954" w:type="pct"/>
            <w:vMerge/>
          </w:tcPr>
          <w:p w:rsidR="00380AD3" w:rsidRPr="00ED3C94" w:rsidRDefault="00380AD3" w:rsidP="00380AD3">
            <w:pPr>
              <w:pStyle w:val="TableText"/>
              <w:keepNext w:val="0"/>
            </w:pPr>
          </w:p>
        </w:tc>
        <w:tc>
          <w:tcPr>
            <w:tcW w:w="2895" w:type="pct"/>
            <w:tcBorders>
              <w:top w:val="nil"/>
            </w:tcBorders>
          </w:tcPr>
          <w:p w:rsidR="00380AD3" w:rsidRPr="00ED3C94" w:rsidRDefault="00380AD3" w:rsidP="00380AD3">
            <w:pPr>
              <w:pStyle w:val="TableText"/>
            </w:pPr>
            <w:r w:rsidRPr="00ED3C94">
              <w:t>Simpson EL, Bieber T, Eckert L et al. Patient burden of moderate to severe atopic dermatitis (AD): Insights from a phase 2b clinical trial of dupilumab in adults.</w:t>
            </w:r>
          </w:p>
        </w:tc>
        <w:tc>
          <w:tcPr>
            <w:tcW w:w="1151" w:type="pct"/>
            <w:tcBorders>
              <w:top w:val="nil"/>
            </w:tcBorders>
          </w:tcPr>
          <w:p w:rsidR="00380AD3" w:rsidRPr="00ED3C94" w:rsidRDefault="00380AD3" w:rsidP="00380AD3">
            <w:pPr>
              <w:pStyle w:val="TableText"/>
            </w:pPr>
            <w:r w:rsidRPr="00ED3C94">
              <w:t>J Am Acad Dermatol. 2016; 74(3): 491-98.</w:t>
            </w:r>
          </w:p>
        </w:tc>
      </w:tr>
    </w:tbl>
    <w:p w:rsidR="00380AD3" w:rsidRPr="00ED3C94" w:rsidRDefault="00380AD3" w:rsidP="00380AD3">
      <w:pPr>
        <w:pStyle w:val="TableFooter"/>
      </w:pPr>
      <w:r w:rsidRPr="00ED3C94">
        <w:t>Source: Tables 2.2.1 (pp44-45) and 2.2.3 (p50) of the submission</w:t>
      </w:r>
    </w:p>
    <w:p w:rsidR="00380AD3" w:rsidRPr="00ED3C94" w:rsidRDefault="00380AD3" w:rsidP="00287AB5">
      <w:pPr>
        <w:pStyle w:val="ListParagraph"/>
        <w:widowControl w:val="0"/>
        <w:numPr>
          <w:ilvl w:val="1"/>
          <w:numId w:val="17"/>
        </w:numPr>
        <w:spacing w:before="0" w:after="120"/>
        <w:jc w:val="both"/>
      </w:pPr>
      <w:r w:rsidRPr="00ED3C94">
        <w:t xml:space="preserve">The key features of the direct randomised trials are summarised in </w:t>
      </w:r>
      <w:r w:rsidR="009B5A44" w:rsidRPr="00ED3C94">
        <w:t>Table 3</w:t>
      </w:r>
      <w:r w:rsidRPr="00ED3C94">
        <w:t>.</w:t>
      </w:r>
    </w:p>
    <w:p w:rsidR="0093702D" w:rsidRDefault="0093702D" w:rsidP="0093702D">
      <w:pPr>
        <w:pStyle w:val="Caption"/>
      </w:pPr>
      <w:r>
        <w:lastRenderedPageBreak/>
        <w:t xml:space="preserve">Table </w:t>
      </w:r>
      <w:r w:rsidR="00557C85">
        <w:fldChar w:fldCharType="begin"/>
      </w:r>
      <w:r w:rsidR="00557C85">
        <w:instrText xml:space="preserve"> SEQ Table \* ARABIC </w:instrText>
      </w:r>
      <w:r w:rsidR="00557C85">
        <w:fldChar w:fldCharType="separate"/>
      </w:r>
      <w:r>
        <w:rPr>
          <w:noProof/>
        </w:rPr>
        <w:t>3</w:t>
      </w:r>
      <w:r w:rsidR="00557C85">
        <w:rPr>
          <w:noProof/>
        </w:rPr>
        <w:fldChar w:fldCharType="end"/>
      </w:r>
      <w:r w:rsidRPr="00314BBF">
        <w:t>: Key features of the included evidence, dupilumab vs. placebo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dupilumab vs. placebo"/>
      </w:tblPr>
      <w:tblGrid>
        <w:gridCol w:w="978"/>
        <w:gridCol w:w="560"/>
        <w:gridCol w:w="1816"/>
        <w:gridCol w:w="841"/>
        <w:gridCol w:w="1816"/>
        <w:gridCol w:w="1046"/>
        <w:gridCol w:w="2025"/>
      </w:tblGrid>
      <w:tr w:rsidR="00B81211" w:rsidRPr="00ED3C94" w:rsidTr="00B81211">
        <w:tc>
          <w:tcPr>
            <w:tcW w:w="538" w:type="pct"/>
            <w:shd w:val="clear" w:color="auto" w:fill="auto"/>
            <w:vAlign w:val="center"/>
          </w:tcPr>
          <w:p w:rsidR="00380AD3" w:rsidRPr="00ED3C94" w:rsidRDefault="00380AD3" w:rsidP="00380AD3">
            <w:pPr>
              <w:pStyle w:val="TableText"/>
              <w:rPr>
                <w:b/>
              </w:rPr>
            </w:pPr>
            <w:r w:rsidRPr="00ED3C94">
              <w:rPr>
                <w:b/>
              </w:rPr>
              <w:t>Trial</w:t>
            </w:r>
          </w:p>
        </w:tc>
        <w:tc>
          <w:tcPr>
            <w:tcW w:w="308" w:type="pct"/>
            <w:shd w:val="clear" w:color="auto" w:fill="auto"/>
            <w:vAlign w:val="center"/>
          </w:tcPr>
          <w:p w:rsidR="00380AD3" w:rsidRPr="00ED3C94" w:rsidRDefault="00380AD3" w:rsidP="00380AD3">
            <w:pPr>
              <w:pStyle w:val="TableText"/>
              <w:jc w:val="center"/>
              <w:rPr>
                <w:b/>
              </w:rPr>
            </w:pPr>
            <w:r w:rsidRPr="00ED3C94">
              <w:rPr>
                <w:b/>
              </w:rPr>
              <w:t>N</w:t>
            </w:r>
          </w:p>
        </w:tc>
        <w:tc>
          <w:tcPr>
            <w:tcW w:w="1000" w:type="pct"/>
            <w:shd w:val="clear" w:color="auto" w:fill="auto"/>
            <w:vAlign w:val="center"/>
          </w:tcPr>
          <w:p w:rsidR="00380AD3" w:rsidRPr="00ED3C94" w:rsidRDefault="00380AD3" w:rsidP="00380AD3">
            <w:pPr>
              <w:pStyle w:val="TableText"/>
              <w:jc w:val="center"/>
              <w:rPr>
                <w:b/>
              </w:rPr>
            </w:pPr>
            <w:r w:rsidRPr="00ED3C94">
              <w:rPr>
                <w:b/>
              </w:rPr>
              <w:t>Design/ duration of follow-up</w:t>
            </w:r>
          </w:p>
        </w:tc>
        <w:tc>
          <w:tcPr>
            <w:tcW w:w="463" w:type="pct"/>
            <w:shd w:val="clear" w:color="auto" w:fill="auto"/>
            <w:vAlign w:val="center"/>
          </w:tcPr>
          <w:p w:rsidR="00380AD3" w:rsidRPr="00ED3C94" w:rsidRDefault="00380AD3" w:rsidP="00380AD3">
            <w:pPr>
              <w:pStyle w:val="TableText"/>
              <w:jc w:val="center"/>
              <w:rPr>
                <w:b/>
              </w:rPr>
            </w:pPr>
            <w:r w:rsidRPr="00ED3C94">
              <w:rPr>
                <w:b/>
              </w:rPr>
              <w:t>Risk of bias</w:t>
            </w:r>
          </w:p>
        </w:tc>
        <w:tc>
          <w:tcPr>
            <w:tcW w:w="1000" w:type="pct"/>
            <w:shd w:val="clear" w:color="auto" w:fill="auto"/>
            <w:vAlign w:val="center"/>
          </w:tcPr>
          <w:p w:rsidR="00380AD3" w:rsidRPr="00ED3C94" w:rsidRDefault="00380AD3" w:rsidP="00380AD3">
            <w:pPr>
              <w:pStyle w:val="TableText"/>
              <w:jc w:val="center"/>
              <w:rPr>
                <w:b/>
              </w:rPr>
            </w:pPr>
            <w:r w:rsidRPr="00ED3C94">
              <w:rPr>
                <w:b/>
              </w:rPr>
              <w:t>Patient population</w:t>
            </w:r>
          </w:p>
        </w:tc>
        <w:tc>
          <w:tcPr>
            <w:tcW w:w="576" w:type="pct"/>
            <w:shd w:val="clear" w:color="auto" w:fill="auto"/>
            <w:vAlign w:val="center"/>
          </w:tcPr>
          <w:p w:rsidR="00380AD3" w:rsidRPr="00ED3C94" w:rsidRDefault="00380AD3" w:rsidP="00380AD3">
            <w:pPr>
              <w:pStyle w:val="TableText"/>
              <w:jc w:val="center"/>
              <w:rPr>
                <w:b/>
              </w:rPr>
            </w:pPr>
            <w:r w:rsidRPr="00ED3C94">
              <w:rPr>
                <w:b/>
              </w:rPr>
              <w:t>Outcome(s)</w:t>
            </w:r>
          </w:p>
        </w:tc>
        <w:tc>
          <w:tcPr>
            <w:tcW w:w="1115" w:type="pct"/>
            <w:shd w:val="clear" w:color="auto" w:fill="auto"/>
          </w:tcPr>
          <w:p w:rsidR="00380AD3" w:rsidRPr="00ED3C94" w:rsidRDefault="00380AD3" w:rsidP="00380AD3">
            <w:pPr>
              <w:pStyle w:val="TableText"/>
              <w:jc w:val="center"/>
              <w:rPr>
                <w:b/>
              </w:rPr>
            </w:pPr>
            <w:r w:rsidRPr="00ED3C94">
              <w:rPr>
                <w:b/>
              </w:rPr>
              <w:t>Use in modelled evaluation</w:t>
            </w:r>
          </w:p>
        </w:tc>
      </w:tr>
      <w:tr w:rsidR="00B81211" w:rsidRPr="00ED3C94" w:rsidTr="00B81211">
        <w:tc>
          <w:tcPr>
            <w:tcW w:w="538" w:type="pct"/>
            <w:shd w:val="clear" w:color="auto" w:fill="auto"/>
            <w:vAlign w:val="center"/>
          </w:tcPr>
          <w:p w:rsidR="00380AD3" w:rsidRPr="00ED3C94" w:rsidRDefault="00380AD3" w:rsidP="00380AD3">
            <w:pPr>
              <w:pStyle w:val="TableText"/>
            </w:pPr>
            <w:r w:rsidRPr="00ED3C94">
              <w:t xml:space="preserve">CAFÉ </w:t>
            </w:r>
          </w:p>
        </w:tc>
        <w:tc>
          <w:tcPr>
            <w:tcW w:w="308" w:type="pct"/>
            <w:shd w:val="clear" w:color="auto" w:fill="auto"/>
            <w:vAlign w:val="center"/>
          </w:tcPr>
          <w:p w:rsidR="00380AD3" w:rsidRPr="00ED3C94" w:rsidRDefault="00380AD3" w:rsidP="00380AD3">
            <w:pPr>
              <w:pStyle w:val="TableText"/>
              <w:jc w:val="center"/>
            </w:pPr>
            <w:r w:rsidRPr="00ED3C94">
              <w:t>325</w:t>
            </w:r>
          </w:p>
        </w:tc>
        <w:tc>
          <w:tcPr>
            <w:tcW w:w="1000" w:type="pct"/>
            <w:shd w:val="clear" w:color="auto" w:fill="auto"/>
            <w:vAlign w:val="center"/>
          </w:tcPr>
          <w:p w:rsidR="00B81211" w:rsidRPr="00ED3C94" w:rsidRDefault="00380AD3" w:rsidP="00B81211">
            <w:pPr>
              <w:pStyle w:val="TableText"/>
              <w:jc w:val="center"/>
            </w:pPr>
            <w:r w:rsidRPr="00ED3C94">
              <w:t>DB, R, MC</w:t>
            </w:r>
            <w:r w:rsidR="00B81211" w:rsidRPr="00ED3C94">
              <w:t>; 28 weeks</w:t>
            </w:r>
          </w:p>
        </w:tc>
        <w:tc>
          <w:tcPr>
            <w:tcW w:w="463" w:type="pct"/>
            <w:shd w:val="clear" w:color="auto" w:fill="auto"/>
            <w:vAlign w:val="center"/>
          </w:tcPr>
          <w:p w:rsidR="00380AD3" w:rsidRPr="00ED3C94" w:rsidRDefault="00380AD3" w:rsidP="00B81211">
            <w:pPr>
              <w:pStyle w:val="TableText"/>
              <w:jc w:val="center"/>
            </w:pPr>
            <w:r w:rsidRPr="00ED3C94">
              <w:t>Low</w:t>
            </w:r>
          </w:p>
        </w:tc>
        <w:tc>
          <w:tcPr>
            <w:tcW w:w="1000" w:type="pct"/>
            <w:shd w:val="clear" w:color="auto" w:fill="auto"/>
          </w:tcPr>
          <w:p w:rsidR="00380AD3" w:rsidRPr="00ED3C94" w:rsidRDefault="00380AD3" w:rsidP="00E86B27">
            <w:pPr>
              <w:pStyle w:val="TableText"/>
              <w:jc w:val="center"/>
            </w:pPr>
            <w:r w:rsidRPr="00ED3C94">
              <w:t>Moderate to severe AD; previous intolerance, lack of efficacy or contra-indication to CsA</w:t>
            </w:r>
          </w:p>
        </w:tc>
        <w:tc>
          <w:tcPr>
            <w:tcW w:w="576" w:type="pct"/>
            <w:vMerge w:val="restart"/>
            <w:shd w:val="clear" w:color="auto" w:fill="auto"/>
            <w:vAlign w:val="center"/>
          </w:tcPr>
          <w:p w:rsidR="00380AD3" w:rsidRPr="00ED3C94" w:rsidRDefault="00380AD3" w:rsidP="00380AD3">
            <w:pPr>
              <w:pStyle w:val="TableText"/>
              <w:jc w:val="center"/>
              <w:rPr>
                <w:vertAlign w:val="superscript"/>
              </w:rPr>
            </w:pPr>
            <w:r w:rsidRPr="00ED3C94">
              <w:t>EASI-75</w:t>
            </w:r>
            <w:r w:rsidR="00C26C52" w:rsidRPr="00ED3C94">
              <w:rPr>
                <w:vertAlign w:val="superscript"/>
              </w:rPr>
              <w:t>a</w:t>
            </w:r>
          </w:p>
          <w:p w:rsidR="00380AD3" w:rsidRPr="00ED3C94" w:rsidRDefault="00380AD3" w:rsidP="00380AD3">
            <w:pPr>
              <w:pStyle w:val="TableText"/>
              <w:jc w:val="center"/>
              <w:rPr>
                <w:vertAlign w:val="superscript"/>
              </w:rPr>
            </w:pPr>
            <w:r w:rsidRPr="00ED3C94">
              <w:t>IGA 0 or 1</w:t>
            </w:r>
            <w:r w:rsidR="00C26C52" w:rsidRPr="00ED3C94">
              <w:rPr>
                <w:vertAlign w:val="superscript"/>
              </w:rPr>
              <w:t>b</w:t>
            </w:r>
          </w:p>
        </w:tc>
        <w:tc>
          <w:tcPr>
            <w:tcW w:w="1115" w:type="pct"/>
            <w:shd w:val="clear" w:color="auto" w:fill="auto"/>
            <w:vAlign w:val="center"/>
          </w:tcPr>
          <w:p w:rsidR="00380AD3" w:rsidRPr="00ED3C94" w:rsidRDefault="00B81211" w:rsidP="00380AD3">
            <w:pPr>
              <w:pStyle w:val="TableText"/>
              <w:jc w:val="center"/>
            </w:pPr>
            <w:r w:rsidRPr="00ED3C94">
              <w:t>EASI-75 at Week 16</w:t>
            </w:r>
            <w:r w:rsidRPr="00ED3C94">
              <w:br/>
              <w:t>(IGA=4 subgroup)</w:t>
            </w:r>
          </w:p>
        </w:tc>
      </w:tr>
      <w:tr w:rsidR="00B81211" w:rsidRPr="00ED3C94" w:rsidTr="00C33BB2">
        <w:tc>
          <w:tcPr>
            <w:tcW w:w="538" w:type="pct"/>
            <w:shd w:val="clear" w:color="auto" w:fill="auto"/>
            <w:vAlign w:val="center"/>
          </w:tcPr>
          <w:p w:rsidR="00380AD3" w:rsidRPr="00ED3C94" w:rsidRDefault="00380AD3" w:rsidP="00380AD3">
            <w:pPr>
              <w:pStyle w:val="TableText"/>
            </w:pPr>
            <w:r w:rsidRPr="00ED3C94">
              <w:t>CHRONOS</w:t>
            </w:r>
          </w:p>
        </w:tc>
        <w:tc>
          <w:tcPr>
            <w:tcW w:w="308" w:type="pct"/>
            <w:shd w:val="clear" w:color="auto" w:fill="auto"/>
            <w:vAlign w:val="center"/>
          </w:tcPr>
          <w:p w:rsidR="00380AD3" w:rsidRPr="00ED3C94" w:rsidRDefault="00380AD3" w:rsidP="00380AD3">
            <w:pPr>
              <w:pStyle w:val="TableText"/>
              <w:jc w:val="center"/>
            </w:pPr>
            <w:r w:rsidRPr="00ED3C94">
              <w:t>740</w:t>
            </w:r>
          </w:p>
        </w:tc>
        <w:tc>
          <w:tcPr>
            <w:tcW w:w="1000" w:type="pct"/>
            <w:shd w:val="clear" w:color="auto" w:fill="auto"/>
            <w:vAlign w:val="center"/>
          </w:tcPr>
          <w:p w:rsidR="00380AD3" w:rsidRPr="00ED3C94" w:rsidRDefault="00380AD3" w:rsidP="00C33BB2">
            <w:pPr>
              <w:pStyle w:val="TableText"/>
              <w:jc w:val="center"/>
            </w:pPr>
            <w:r w:rsidRPr="00ED3C94">
              <w:t>DB, R, MC</w:t>
            </w:r>
            <w:r w:rsidR="00B81211" w:rsidRPr="00ED3C94">
              <w:t>; 64 weeks</w:t>
            </w:r>
          </w:p>
        </w:tc>
        <w:tc>
          <w:tcPr>
            <w:tcW w:w="463" w:type="pct"/>
            <w:shd w:val="clear" w:color="auto" w:fill="auto"/>
            <w:vAlign w:val="center"/>
          </w:tcPr>
          <w:p w:rsidR="00380AD3" w:rsidRPr="00ED3C94" w:rsidRDefault="00380AD3" w:rsidP="00C33BB2">
            <w:pPr>
              <w:pStyle w:val="TableText"/>
              <w:jc w:val="center"/>
            </w:pPr>
            <w:r w:rsidRPr="00ED3C94">
              <w:t>Low</w:t>
            </w:r>
          </w:p>
        </w:tc>
        <w:tc>
          <w:tcPr>
            <w:tcW w:w="1000" w:type="pct"/>
            <w:shd w:val="clear" w:color="auto" w:fill="auto"/>
            <w:vAlign w:val="center"/>
          </w:tcPr>
          <w:p w:rsidR="00380AD3" w:rsidRPr="00ED3C94" w:rsidRDefault="00380AD3" w:rsidP="00C33BB2">
            <w:pPr>
              <w:pStyle w:val="TableText"/>
              <w:jc w:val="center"/>
            </w:pPr>
            <w:r w:rsidRPr="00ED3C94">
              <w:t>Moderate to severe AD</w:t>
            </w:r>
          </w:p>
        </w:tc>
        <w:tc>
          <w:tcPr>
            <w:tcW w:w="576" w:type="pct"/>
            <w:vMerge/>
            <w:shd w:val="clear" w:color="auto" w:fill="auto"/>
            <w:vAlign w:val="center"/>
          </w:tcPr>
          <w:p w:rsidR="00380AD3" w:rsidRPr="00ED3C94" w:rsidRDefault="00380AD3" w:rsidP="00380AD3">
            <w:pPr>
              <w:pStyle w:val="TableText"/>
              <w:jc w:val="center"/>
            </w:pPr>
          </w:p>
        </w:tc>
        <w:tc>
          <w:tcPr>
            <w:tcW w:w="1115" w:type="pct"/>
            <w:shd w:val="clear" w:color="auto" w:fill="auto"/>
          </w:tcPr>
          <w:p w:rsidR="00380AD3" w:rsidRPr="00ED3C94" w:rsidRDefault="00380AD3" w:rsidP="00B81211">
            <w:pPr>
              <w:pStyle w:val="TableText"/>
              <w:jc w:val="center"/>
            </w:pPr>
            <w:r w:rsidRPr="00ED3C94">
              <w:t xml:space="preserve">EASI-75 </w:t>
            </w:r>
            <w:r w:rsidR="00B81211" w:rsidRPr="00ED3C94">
              <w:t>at Week 52</w:t>
            </w:r>
            <w:r w:rsidR="00B81211" w:rsidRPr="00ED3C94">
              <w:br/>
              <w:t>(for achievers of EASI-75 at Week 16)</w:t>
            </w:r>
          </w:p>
        </w:tc>
      </w:tr>
      <w:tr w:rsidR="00B81211" w:rsidRPr="00ED3C94" w:rsidTr="00B81211">
        <w:tc>
          <w:tcPr>
            <w:tcW w:w="538" w:type="pct"/>
            <w:shd w:val="clear" w:color="auto" w:fill="auto"/>
            <w:vAlign w:val="center"/>
          </w:tcPr>
          <w:p w:rsidR="00380AD3" w:rsidRPr="00ED3C94" w:rsidRDefault="00380AD3" w:rsidP="00380AD3">
            <w:pPr>
              <w:pStyle w:val="TableText"/>
            </w:pPr>
            <w:r w:rsidRPr="00ED3C94">
              <w:t>SOLO 2</w:t>
            </w:r>
          </w:p>
        </w:tc>
        <w:tc>
          <w:tcPr>
            <w:tcW w:w="308" w:type="pct"/>
            <w:shd w:val="clear" w:color="auto" w:fill="auto"/>
            <w:vAlign w:val="center"/>
          </w:tcPr>
          <w:p w:rsidR="00380AD3" w:rsidRPr="00ED3C94" w:rsidRDefault="00380AD3" w:rsidP="00380AD3">
            <w:pPr>
              <w:pStyle w:val="TableText"/>
              <w:jc w:val="center"/>
            </w:pPr>
            <w:r w:rsidRPr="00ED3C94">
              <w:t>671</w:t>
            </w:r>
          </w:p>
        </w:tc>
        <w:tc>
          <w:tcPr>
            <w:tcW w:w="1000" w:type="pct"/>
            <w:shd w:val="clear" w:color="auto" w:fill="auto"/>
          </w:tcPr>
          <w:p w:rsidR="00380AD3" w:rsidRPr="00ED3C94" w:rsidRDefault="00380AD3" w:rsidP="00B81211">
            <w:pPr>
              <w:pStyle w:val="TableText"/>
              <w:jc w:val="center"/>
            </w:pPr>
            <w:r w:rsidRPr="00ED3C94">
              <w:t>DB, R, MC</w:t>
            </w:r>
            <w:r w:rsidR="00B81211" w:rsidRPr="00ED3C94">
              <w:t>; 28 weeks</w:t>
            </w:r>
          </w:p>
        </w:tc>
        <w:tc>
          <w:tcPr>
            <w:tcW w:w="463" w:type="pct"/>
            <w:shd w:val="clear" w:color="auto" w:fill="auto"/>
          </w:tcPr>
          <w:p w:rsidR="00380AD3" w:rsidRPr="00ED3C94" w:rsidRDefault="00380AD3" w:rsidP="00380AD3">
            <w:pPr>
              <w:pStyle w:val="TableText"/>
              <w:jc w:val="center"/>
            </w:pPr>
            <w:r w:rsidRPr="00ED3C94">
              <w:t>Low</w:t>
            </w:r>
          </w:p>
        </w:tc>
        <w:tc>
          <w:tcPr>
            <w:tcW w:w="1000" w:type="pct"/>
            <w:shd w:val="clear" w:color="auto" w:fill="auto"/>
          </w:tcPr>
          <w:p w:rsidR="00380AD3" w:rsidRPr="00ED3C94" w:rsidRDefault="00380AD3" w:rsidP="00380AD3">
            <w:pPr>
              <w:pStyle w:val="TableText"/>
              <w:jc w:val="center"/>
            </w:pPr>
            <w:r w:rsidRPr="00ED3C94">
              <w:t>Moderate to severe AD</w:t>
            </w:r>
          </w:p>
        </w:tc>
        <w:tc>
          <w:tcPr>
            <w:tcW w:w="576" w:type="pct"/>
            <w:vMerge/>
            <w:shd w:val="clear" w:color="auto" w:fill="auto"/>
            <w:vAlign w:val="center"/>
          </w:tcPr>
          <w:p w:rsidR="00380AD3" w:rsidRPr="00ED3C94" w:rsidRDefault="00380AD3" w:rsidP="00380AD3">
            <w:pPr>
              <w:pStyle w:val="TableText"/>
              <w:jc w:val="center"/>
            </w:pPr>
          </w:p>
        </w:tc>
        <w:tc>
          <w:tcPr>
            <w:tcW w:w="1115" w:type="pct"/>
            <w:shd w:val="clear" w:color="auto" w:fill="auto"/>
          </w:tcPr>
          <w:p w:rsidR="00380AD3" w:rsidRPr="00ED3C94" w:rsidRDefault="00380AD3" w:rsidP="00380AD3">
            <w:pPr>
              <w:pStyle w:val="TableText"/>
              <w:jc w:val="center"/>
            </w:pPr>
            <w:r w:rsidRPr="00ED3C94">
              <w:t>Not used</w:t>
            </w:r>
          </w:p>
        </w:tc>
      </w:tr>
      <w:tr w:rsidR="00B81211" w:rsidRPr="00ED3C94" w:rsidTr="00B81211">
        <w:tc>
          <w:tcPr>
            <w:tcW w:w="538" w:type="pct"/>
            <w:shd w:val="clear" w:color="auto" w:fill="auto"/>
            <w:vAlign w:val="center"/>
          </w:tcPr>
          <w:p w:rsidR="00380AD3" w:rsidRPr="00ED3C94" w:rsidRDefault="00380AD3" w:rsidP="00380AD3">
            <w:pPr>
              <w:pStyle w:val="TableText"/>
            </w:pPr>
            <w:r w:rsidRPr="00ED3C94">
              <w:t>SOLO 2</w:t>
            </w:r>
          </w:p>
        </w:tc>
        <w:tc>
          <w:tcPr>
            <w:tcW w:w="308" w:type="pct"/>
            <w:shd w:val="clear" w:color="auto" w:fill="auto"/>
            <w:vAlign w:val="center"/>
          </w:tcPr>
          <w:p w:rsidR="00380AD3" w:rsidRPr="00ED3C94" w:rsidRDefault="00380AD3" w:rsidP="00380AD3">
            <w:pPr>
              <w:pStyle w:val="TableText"/>
              <w:jc w:val="center"/>
            </w:pPr>
            <w:r w:rsidRPr="00ED3C94">
              <w:t>708</w:t>
            </w:r>
          </w:p>
        </w:tc>
        <w:tc>
          <w:tcPr>
            <w:tcW w:w="1000" w:type="pct"/>
            <w:shd w:val="clear" w:color="auto" w:fill="auto"/>
          </w:tcPr>
          <w:p w:rsidR="00380AD3" w:rsidRPr="00ED3C94" w:rsidRDefault="00380AD3" w:rsidP="00B81211">
            <w:pPr>
              <w:pStyle w:val="TableText"/>
              <w:jc w:val="center"/>
            </w:pPr>
            <w:r w:rsidRPr="00ED3C94">
              <w:t>DB, R, MC</w:t>
            </w:r>
            <w:r w:rsidR="00B81211" w:rsidRPr="00ED3C94">
              <w:t>; 28 weeks</w:t>
            </w:r>
          </w:p>
        </w:tc>
        <w:tc>
          <w:tcPr>
            <w:tcW w:w="463" w:type="pct"/>
            <w:shd w:val="clear" w:color="auto" w:fill="auto"/>
          </w:tcPr>
          <w:p w:rsidR="00380AD3" w:rsidRPr="00ED3C94" w:rsidRDefault="00380AD3" w:rsidP="00380AD3">
            <w:pPr>
              <w:pStyle w:val="TableText"/>
              <w:jc w:val="center"/>
            </w:pPr>
            <w:r w:rsidRPr="00ED3C94">
              <w:t>Low</w:t>
            </w:r>
          </w:p>
        </w:tc>
        <w:tc>
          <w:tcPr>
            <w:tcW w:w="1000" w:type="pct"/>
            <w:shd w:val="clear" w:color="auto" w:fill="auto"/>
          </w:tcPr>
          <w:p w:rsidR="00380AD3" w:rsidRPr="00ED3C94" w:rsidRDefault="00380AD3" w:rsidP="00380AD3">
            <w:pPr>
              <w:pStyle w:val="TableText"/>
              <w:jc w:val="center"/>
            </w:pPr>
            <w:r w:rsidRPr="00ED3C94">
              <w:t>Moderate to severe AD</w:t>
            </w:r>
          </w:p>
        </w:tc>
        <w:tc>
          <w:tcPr>
            <w:tcW w:w="576" w:type="pct"/>
            <w:vMerge/>
            <w:shd w:val="clear" w:color="auto" w:fill="auto"/>
            <w:vAlign w:val="center"/>
          </w:tcPr>
          <w:p w:rsidR="00380AD3" w:rsidRPr="00ED3C94" w:rsidRDefault="00380AD3" w:rsidP="00380AD3">
            <w:pPr>
              <w:pStyle w:val="TableText"/>
              <w:jc w:val="center"/>
            </w:pPr>
          </w:p>
        </w:tc>
        <w:tc>
          <w:tcPr>
            <w:tcW w:w="1115" w:type="pct"/>
            <w:shd w:val="clear" w:color="auto" w:fill="auto"/>
          </w:tcPr>
          <w:p w:rsidR="00380AD3" w:rsidRPr="00ED3C94" w:rsidRDefault="00380AD3" w:rsidP="00380AD3">
            <w:pPr>
              <w:pStyle w:val="TableText"/>
              <w:jc w:val="center"/>
            </w:pPr>
            <w:r w:rsidRPr="00ED3C94">
              <w:t>Not used</w:t>
            </w:r>
          </w:p>
        </w:tc>
      </w:tr>
      <w:tr w:rsidR="00B81211" w:rsidRPr="00ED3C94" w:rsidTr="00B81211">
        <w:tc>
          <w:tcPr>
            <w:tcW w:w="538" w:type="pct"/>
            <w:shd w:val="clear" w:color="auto" w:fill="auto"/>
            <w:vAlign w:val="center"/>
          </w:tcPr>
          <w:p w:rsidR="00380AD3" w:rsidRPr="00ED3C94" w:rsidRDefault="00380AD3" w:rsidP="00380AD3">
            <w:pPr>
              <w:pStyle w:val="TableText"/>
            </w:pPr>
            <w:r w:rsidRPr="00ED3C94">
              <w:t>Phase IIb</w:t>
            </w:r>
          </w:p>
        </w:tc>
        <w:tc>
          <w:tcPr>
            <w:tcW w:w="308" w:type="pct"/>
            <w:shd w:val="clear" w:color="auto" w:fill="auto"/>
            <w:vAlign w:val="center"/>
          </w:tcPr>
          <w:p w:rsidR="00380AD3" w:rsidRPr="00ED3C94" w:rsidRDefault="00380AD3" w:rsidP="00380AD3">
            <w:pPr>
              <w:pStyle w:val="TableText"/>
              <w:jc w:val="center"/>
            </w:pPr>
            <w:r w:rsidRPr="00ED3C94">
              <w:t>318</w:t>
            </w:r>
          </w:p>
        </w:tc>
        <w:tc>
          <w:tcPr>
            <w:tcW w:w="1000" w:type="pct"/>
            <w:shd w:val="clear" w:color="auto" w:fill="auto"/>
          </w:tcPr>
          <w:p w:rsidR="00380AD3" w:rsidRPr="00ED3C94" w:rsidRDefault="00380AD3" w:rsidP="00B81211">
            <w:pPr>
              <w:pStyle w:val="TableText"/>
              <w:jc w:val="center"/>
            </w:pPr>
            <w:r w:rsidRPr="00ED3C94">
              <w:t>DB, R, MC</w:t>
            </w:r>
            <w:r w:rsidR="00B81211" w:rsidRPr="00ED3C94">
              <w:t>; 28 weeks</w:t>
            </w:r>
          </w:p>
        </w:tc>
        <w:tc>
          <w:tcPr>
            <w:tcW w:w="463" w:type="pct"/>
            <w:shd w:val="clear" w:color="auto" w:fill="auto"/>
          </w:tcPr>
          <w:p w:rsidR="00380AD3" w:rsidRPr="00ED3C94" w:rsidRDefault="00380AD3" w:rsidP="00380AD3">
            <w:pPr>
              <w:pStyle w:val="TableText"/>
              <w:jc w:val="center"/>
            </w:pPr>
            <w:r w:rsidRPr="00ED3C94">
              <w:t>Low</w:t>
            </w:r>
          </w:p>
        </w:tc>
        <w:tc>
          <w:tcPr>
            <w:tcW w:w="1000" w:type="pct"/>
            <w:shd w:val="clear" w:color="auto" w:fill="auto"/>
          </w:tcPr>
          <w:p w:rsidR="00380AD3" w:rsidRPr="00ED3C94" w:rsidRDefault="00380AD3" w:rsidP="00380AD3">
            <w:pPr>
              <w:pStyle w:val="TableText"/>
              <w:jc w:val="center"/>
            </w:pPr>
            <w:r w:rsidRPr="00ED3C94">
              <w:t>Moderate to severe AD</w:t>
            </w:r>
          </w:p>
        </w:tc>
        <w:tc>
          <w:tcPr>
            <w:tcW w:w="576" w:type="pct"/>
            <w:vMerge/>
            <w:shd w:val="clear" w:color="auto" w:fill="auto"/>
            <w:vAlign w:val="center"/>
          </w:tcPr>
          <w:p w:rsidR="00380AD3" w:rsidRPr="00ED3C94" w:rsidRDefault="00380AD3" w:rsidP="00380AD3">
            <w:pPr>
              <w:pStyle w:val="TableText"/>
              <w:jc w:val="center"/>
            </w:pPr>
          </w:p>
        </w:tc>
        <w:tc>
          <w:tcPr>
            <w:tcW w:w="1115" w:type="pct"/>
            <w:shd w:val="clear" w:color="auto" w:fill="auto"/>
          </w:tcPr>
          <w:p w:rsidR="00380AD3" w:rsidRPr="00ED3C94" w:rsidRDefault="00380AD3" w:rsidP="00380AD3">
            <w:pPr>
              <w:pStyle w:val="TableText"/>
              <w:jc w:val="center"/>
            </w:pPr>
            <w:r w:rsidRPr="00ED3C94">
              <w:t>Not used</w:t>
            </w:r>
          </w:p>
        </w:tc>
      </w:tr>
    </w:tbl>
    <w:p w:rsidR="00380AD3" w:rsidRPr="00ED3C94" w:rsidRDefault="00380AD3" w:rsidP="00B81211">
      <w:pPr>
        <w:pStyle w:val="TableFooter"/>
      </w:pPr>
      <w:r w:rsidRPr="00ED3C94">
        <w:t>DB=double blind; MC=multi-centre; R=randomised; AD = atopic dermatitis; CsA = cyclosporin A</w:t>
      </w:r>
    </w:p>
    <w:p w:rsidR="00380AD3" w:rsidRPr="00ED3C94" w:rsidRDefault="00380AD3" w:rsidP="00B81211">
      <w:pPr>
        <w:pStyle w:val="TableFooter"/>
      </w:pPr>
      <w:r w:rsidRPr="00ED3C94">
        <w:t>Source: compiled during the evaluation</w:t>
      </w:r>
    </w:p>
    <w:p w:rsidR="00C26C52" w:rsidRPr="00ED3C94" w:rsidRDefault="00C26C52" w:rsidP="00B81211">
      <w:pPr>
        <w:pStyle w:val="TableFooter"/>
      </w:pPr>
      <w:r w:rsidRPr="00ED3C94">
        <w:rPr>
          <w:vertAlign w:val="superscript"/>
        </w:rPr>
        <w:t xml:space="preserve">a </w:t>
      </w:r>
      <w:r w:rsidRPr="00ED3C94">
        <w:t>75% improvement/reduction in the EASI score from baseline</w:t>
      </w:r>
    </w:p>
    <w:p w:rsidR="00B10B14" w:rsidRPr="00ED3C94" w:rsidRDefault="00C26C52" w:rsidP="005F701C">
      <w:pPr>
        <w:pStyle w:val="TableFooter"/>
      </w:pPr>
      <w:r w:rsidRPr="00ED3C94">
        <w:rPr>
          <w:vertAlign w:val="superscript"/>
        </w:rPr>
        <w:t>b</w:t>
      </w:r>
      <w:r w:rsidRPr="00ED3C94">
        <w:t xml:space="preserve"> achievement of a score of 0 or 1 from a baseline of 3 or 4 on the 5 point IGA scale</w:t>
      </w:r>
      <w:r w:rsidR="005F701C" w:rsidRPr="00ED3C94">
        <w:t>6.7</w:t>
      </w:r>
      <w:r w:rsidR="005F701C" w:rsidRPr="00ED3C94">
        <w:tab/>
      </w:r>
      <w:r w:rsidR="00B10B14" w:rsidRPr="00ED3C94">
        <w:t>The submission (p73) stated that the EASI is a validated measure used to assess the severity and e</w:t>
      </w:r>
      <w:r w:rsidRPr="00ED3C94">
        <w:t xml:space="preserve">xtent of AD which was developed based on the Psoriasis Area Severity Index (PASI).  While the PBAC has previously accepted PASI-75 as a </w:t>
      </w:r>
      <w:r w:rsidR="00624409" w:rsidRPr="00ED3C94">
        <w:t xml:space="preserve">clinically meaningful outcome </w:t>
      </w:r>
      <w:r w:rsidRPr="00ED3C94">
        <w:t xml:space="preserve">(e.g. secukinumab for chronic plaque psoriasis, March 2015 meeting), the EASI score has not previously been considered by the PBAC.  </w:t>
      </w:r>
    </w:p>
    <w:p w:rsidR="00C26C52" w:rsidRPr="00ED3C94" w:rsidRDefault="008B251B" w:rsidP="008B251B">
      <w:pPr>
        <w:widowControl w:val="0"/>
        <w:numPr>
          <w:ilvl w:val="1"/>
          <w:numId w:val="4"/>
        </w:numPr>
        <w:spacing w:before="0" w:after="120"/>
        <w:jc w:val="both"/>
      </w:pPr>
      <w:r>
        <w:t>A</w:t>
      </w:r>
      <w:r w:rsidRPr="006731B8">
        <w:t xml:space="preserve"> 75% improvement in Eczema Area Severity Index (EASI) score (EASI-75) has not been pr</w:t>
      </w:r>
      <w:r w:rsidRPr="008B251B">
        <w:t>eviously considered by the PBAC</w:t>
      </w:r>
      <w:r>
        <w:t xml:space="preserve">. </w:t>
      </w:r>
      <w:r w:rsidR="00C26C52" w:rsidRPr="00ED3C94">
        <w:t>Data sourced during the evaluation</w:t>
      </w:r>
      <w:r w:rsidR="00624409" w:rsidRPr="00ED3C94">
        <w:t xml:space="preserve"> from Kimball et al 2017</w:t>
      </w:r>
      <w:r w:rsidR="00624409" w:rsidRPr="00ED3C94">
        <w:rPr>
          <w:rStyle w:val="FootnoteReference"/>
        </w:rPr>
        <w:footnoteReference w:id="2"/>
      </w:r>
      <w:r w:rsidR="00C26C52" w:rsidRPr="00ED3C94">
        <w:t xml:space="preserve"> indicated that, overall, it appears that achieving EASI-75 is associated with significant improvement in patient quality of life and may be a </w:t>
      </w:r>
      <w:r w:rsidR="00624409" w:rsidRPr="00ED3C94">
        <w:t>clinically meaningful outcome</w:t>
      </w:r>
      <w:r w:rsidR="00C26C52" w:rsidRPr="00ED3C94">
        <w:t xml:space="preserve"> in AD.</w:t>
      </w:r>
      <w:r>
        <w:t xml:space="preserve"> The PBAC agreed with the evaluation that EASI-75 appears to be a valid clinical marker correlating with outcomes such as QoL. The PBAC also noted that SCORAD may be a relevant outcome.</w:t>
      </w:r>
    </w:p>
    <w:p w:rsidR="00C317F3" w:rsidRPr="004D3C91" w:rsidRDefault="00C317F3" w:rsidP="00772501">
      <w:pPr>
        <w:pStyle w:val="Heading2"/>
      </w:pPr>
      <w:bookmarkStart w:id="16" w:name="_Toc413139278"/>
      <w:bookmarkStart w:id="17" w:name="_Toc514253616"/>
      <w:r w:rsidRPr="004D3C91">
        <w:t>Comparative effectiveness</w:t>
      </w:r>
      <w:bookmarkEnd w:id="16"/>
      <w:bookmarkEnd w:id="17"/>
      <w:r w:rsidRPr="004D3C91">
        <w:t xml:space="preserve"> </w:t>
      </w:r>
    </w:p>
    <w:p w:rsidR="00B10B14" w:rsidRPr="00ED3C94" w:rsidRDefault="00B10B14" w:rsidP="00961807">
      <w:pPr>
        <w:widowControl w:val="0"/>
        <w:numPr>
          <w:ilvl w:val="1"/>
          <w:numId w:val="4"/>
        </w:numPr>
        <w:spacing w:before="0" w:after="120"/>
        <w:jc w:val="both"/>
      </w:pPr>
      <w:r w:rsidRPr="00ED3C94">
        <w:t xml:space="preserve">The proportion of patients achieving an EASI-75 response in the whole trial populations </w:t>
      </w:r>
      <w:r w:rsidR="00C26C52" w:rsidRPr="00ED3C94">
        <w:t xml:space="preserve">in the individual trials and meta-analysis </w:t>
      </w:r>
      <w:r w:rsidRPr="00ED3C94">
        <w:t xml:space="preserve">is presented in </w:t>
      </w:r>
      <w:r w:rsidR="009B5A44" w:rsidRPr="00ED3C94">
        <w:t xml:space="preserve">Figure </w:t>
      </w:r>
      <w:r w:rsidR="009B5A44" w:rsidRPr="00ED3C94">
        <w:rPr>
          <w:noProof/>
        </w:rPr>
        <w:t>1</w:t>
      </w:r>
      <w:r w:rsidRPr="00ED3C94">
        <w:t>.</w:t>
      </w:r>
    </w:p>
    <w:p w:rsidR="0093702D" w:rsidRDefault="0093702D" w:rsidP="0093702D">
      <w:pPr>
        <w:pStyle w:val="Caption"/>
      </w:pPr>
      <w:r>
        <w:lastRenderedPageBreak/>
        <w:t xml:space="preserve">Figure </w:t>
      </w:r>
      <w:r w:rsidR="00557C85">
        <w:fldChar w:fldCharType="begin"/>
      </w:r>
      <w:r w:rsidR="00557C85">
        <w:instrText xml:space="preserve"> SEQ Figure \* ARABIC </w:instrText>
      </w:r>
      <w:r w:rsidR="00557C85">
        <w:fldChar w:fldCharType="separate"/>
      </w:r>
      <w:r>
        <w:rPr>
          <w:noProof/>
        </w:rPr>
        <w:t>1</w:t>
      </w:r>
      <w:r w:rsidR="00557C85">
        <w:rPr>
          <w:noProof/>
        </w:rPr>
        <w:fldChar w:fldCharType="end"/>
      </w:r>
      <w:r w:rsidRPr="000917C2">
        <w:t>: The proportion of patients achieving EASI-75 at Week 16 in the randomised trials</w:t>
      </w:r>
    </w:p>
    <w:p w:rsidR="00C317F3" w:rsidRPr="00ED3C94" w:rsidRDefault="00330093" w:rsidP="00114732">
      <w:pPr>
        <w:spacing w:before="0" w:after="120"/>
        <w:jc w:val="center"/>
        <w:rPr>
          <w:color w:val="4472C4" w:themeColor="accent5"/>
          <w:highlight w:val="cyan"/>
        </w:rPr>
      </w:pPr>
      <w:r>
        <w:rPr>
          <w:noProof/>
          <w:color w:val="4472C4" w:themeColor="accent5"/>
          <w:lang w:eastAsia="en-AU"/>
        </w:rPr>
        <w:drawing>
          <wp:inline distT="0" distB="0" distL="0" distR="0" wp14:anchorId="632BC357" wp14:editId="20F1DA71">
            <wp:extent cx="5727700" cy="3168015"/>
            <wp:effectExtent l="0" t="0" r="6350" b="0"/>
            <wp:docPr id="5" name="Picture 5" title="The proportion of patients achieving EASI-75 at Week 16 in the randomised trial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27700" cy="3168015"/>
                    </a:xfrm>
                    <a:prstGeom prst="rect">
                      <a:avLst/>
                    </a:prstGeom>
                  </pic:spPr>
                </pic:pic>
              </a:graphicData>
            </a:graphic>
          </wp:inline>
        </w:drawing>
      </w:r>
    </w:p>
    <w:p w:rsidR="00D100DA" w:rsidRPr="00ED3C94" w:rsidRDefault="00B10B14" w:rsidP="00961807">
      <w:pPr>
        <w:widowControl w:val="0"/>
        <w:numPr>
          <w:ilvl w:val="1"/>
          <w:numId w:val="4"/>
        </w:numPr>
        <w:spacing w:before="0" w:after="120"/>
        <w:jc w:val="both"/>
      </w:pPr>
      <w:r w:rsidRPr="00ED3C94">
        <w:t>In all the trials</w:t>
      </w:r>
      <w:r w:rsidR="00EB7412" w:rsidRPr="00ED3C94">
        <w:t xml:space="preserve"> and the meta-analysis</w:t>
      </w:r>
      <w:r w:rsidRPr="00ED3C94">
        <w:t xml:space="preserve">, a statistically significantly higher proportion of patients treated with dupilumab 300mg Q2W achieved an EASI-75 response </w:t>
      </w:r>
      <w:r w:rsidR="00D100DA" w:rsidRPr="00ED3C94">
        <w:t xml:space="preserve">at Week 16 </w:t>
      </w:r>
      <w:r w:rsidRPr="00ED3C94">
        <w:t>than patients treated with placebo</w:t>
      </w:r>
      <w:r w:rsidRPr="00990AD0">
        <w:t>.</w:t>
      </w:r>
      <w:r w:rsidR="00D100DA" w:rsidRPr="00990AD0">
        <w:t xml:space="preserve"> </w:t>
      </w:r>
      <w:r w:rsidR="00D87B77" w:rsidRPr="00990AD0">
        <w:t>The ESC noted that the trials showed a large placebo response</w:t>
      </w:r>
      <w:r w:rsidR="00F13E8C" w:rsidRPr="00990AD0">
        <w:t xml:space="preserve">, which may have contributed to the </w:t>
      </w:r>
      <w:r w:rsidR="00D0424F" w:rsidRPr="00990AD0">
        <w:t xml:space="preserve">relatively </w:t>
      </w:r>
      <w:r w:rsidR="00F13E8C" w:rsidRPr="00990AD0">
        <w:t>large proportion of patients achieving EASI-75 response</w:t>
      </w:r>
      <w:r w:rsidR="00D87B77" w:rsidRPr="00990AD0">
        <w:t>.</w:t>
      </w:r>
      <w:r w:rsidR="00D100DA" w:rsidRPr="00ED3C94">
        <w:t xml:space="preserve"> </w:t>
      </w:r>
    </w:p>
    <w:p w:rsidR="00F13E8C" w:rsidRDefault="00D100DA" w:rsidP="00961807">
      <w:pPr>
        <w:widowControl w:val="0"/>
        <w:numPr>
          <w:ilvl w:val="1"/>
          <w:numId w:val="4"/>
        </w:numPr>
        <w:spacing w:before="0" w:after="120"/>
        <w:jc w:val="both"/>
      </w:pPr>
      <w:r w:rsidRPr="00ED3C94">
        <w:t>Results of EASI-75 response over</w:t>
      </w:r>
      <w:r w:rsidRPr="00990AD0">
        <w:t xml:space="preserve"> </w:t>
      </w:r>
      <w:r w:rsidR="00F13E8C" w:rsidRPr="00990AD0">
        <w:t xml:space="preserve">16 weeks </w:t>
      </w:r>
      <w:r w:rsidR="009048BA" w:rsidRPr="00990AD0">
        <w:t>in</w:t>
      </w:r>
      <w:r w:rsidR="00F13E8C" w:rsidRPr="00990AD0">
        <w:t xml:space="preserve"> the CAFÉ trial is shown in Figure 2, and over</w:t>
      </w:r>
      <w:r w:rsidR="00F13E8C" w:rsidRPr="00FF0066">
        <w:rPr>
          <w:i/>
        </w:rPr>
        <w:t xml:space="preserve"> </w:t>
      </w:r>
      <w:r w:rsidRPr="00ED3C94">
        <w:t xml:space="preserve">52 weeks in the CHRONOS trial are presented in </w:t>
      </w:r>
      <w:r w:rsidR="00F13E8C" w:rsidRPr="00ED3C94">
        <w:t xml:space="preserve">Figure </w:t>
      </w:r>
      <w:r w:rsidR="00F13E8C">
        <w:rPr>
          <w:noProof/>
        </w:rPr>
        <w:t>3</w:t>
      </w:r>
      <w:r w:rsidRPr="00ED3C94">
        <w:t>.  It appears that the dupilumab treatment effect plateaued at approximately 16 weeks of treatment, but it is unclear whether the plateauing of response rate indicates that patients are moving in and out of EASI-75 response or if patients who respond at Week 16 will continue to maintain the EASI-75 response.</w:t>
      </w:r>
      <w:r w:rsidR="00F13E8C">
        <w:t xml:space="preserve"> </w:t>
      </w:r>
      <w:r w:rsidR="00F13E8C" w:rsidRPr="00990AD0">
        <w:t xml:space="preserve">The ESC noted that </w:t>
      </w:r>
      <w:r w:rsidR="008A62C2" w:rsidRPr="00990AD0">
        <w:t xml:space="preserve">both the short term and the long term studies showed that </w:t>
      </w:r>
      <w:r w:rsidR="009048BA" w:rsidRPr="00990AD0">
        <w:t xml:space="preserve">response to </w:t>
      </w:r>
      <w:r w:rsidR="008A62C2" w:rsidRPr="00990AD0">
        <w:t xml:space="preserve">dupilumab </w:t>
      </w:r>
      <w:r w:rsidR="009048BA" w:rsidRPr="00990AD0">
        <w:t>was maintained</w:t>
      </w:r>
      <w:r w:rsidR="008A62C2" w:rsidRPr="00990AD0">
        <w:t xml:space="preserve"> over time.</w:t>
      </w:r>
    </w:p>
    <w:p w:rsidR="0093702D" w:rsidRDefault="0093702D" w:rsidP="0093702D">
      <w:pPr>
        <w:pStyle w:val="Caption"/>
        <w:jc w:val="both"/>
      </w:pPr>
      <w:r>
        <w:lastRenderedPageBreak/>
        <w:t xml:space="preserve">Figure </w:t>
      </w:r>
      <w:r w:rsidR="00557C85">
        <w:fldChar w:fldCharType="begin"/>
      </w:r>
      <w:r w:rsidR="00557C85">
        <w:instrText xml:space="preserve"> S</w:instrText>
      </w:r>
      <w:r w:rsidR="00557C85">
        <w:instrText xml:space="preserve">EQ Figure \* ARABIC </w:instrText>
      </w:r>
      <w:r w:rsidR="00557C85">
        <w:fldChar w:fldCharType="separate"/>
      </w:r>
      <w:r>
        <w:rPr>
          <w:noProof/>
        </w:rPr>
        <w:t>2</w:t>
      </w:r>
      <w:r w:rsidR="00557C85">
        <w:rPr>
          <w:noProof/>
        </w:rPr>
        <w:fldChar w:fldCharType="end"/>
      </w:r>
      <w:r>
        <w:t xml:space="preserve">: </w:t>
      </w:r>
      <w:r w:rsidRPr="008C1F55">
        <w:t>Proportion of patients achieving EASI 75 over 16 weeks in CAFÉ</w:t>
      </w:r>
    </w:p>
    <w:p w:rsidR="00F13E8C" w:rsidRPr="00ED3C94" w:rsidRDefault="00F13E8C" w:rsidP="00FF0066">
      <w:pPr>
        <w:spacing w:before="0" w:after="120"/>
        <w:jc w:val="both"/>
      </w:pPr>
      <w:r>
        <w:rPr>
          <w:b/>
          <w:noProof/>
          <w:sz w:val="36"/>
          <w:szCs w:val="36"/>
          <w:lang w:eastAsia="en-AU"/>
        </w:rPr>
        <w:drawing>
          <wp:inline distT="0" distB="0" distL="0" distR="0" wp14:anchorId="7955E1DC" wp14:editId="6EC6B9B1">
            <wp:extent cx="5510254" cy="4039149"/>
            <wp:effectExtent l="0" t="0" r="0" b="0"/>
            <wp:docPr id="1" name="Picture 1" title="Proportion of patients achieving EASI 75 over 16 weeks in CAF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64" t="1741" r="2219"/>
                    <a:stretch/>
                  </pic:blipFill>
                  <pic:spPr bwMode="auto">
                    <a:xfrm>
                      <a:off x="0" y="0"/>
                      <a:ext cx="5508927" cy="4038176"/>
                    </a:xfrm>
                    <a:prstGeom prst="rect">
                      <a:avLst/>
                    </a:prstGeom>
                    <a:noFill/>
                    <a:ln>
                      <a:noFill/>
                    </a:ln>
                    <a:extLst>
                      <a:ext uri="{53640926-AAD7-44D8-BBD7-CCE9431645EC}">
                        <a14:shadowObscured xmlns:a14="http://schemas.microsoft.com/office/drawing/2010/main"/>
                      </a:ext>
                    </a:extLst>
                  </pic:spPr>
                </pic:pic>
              </a:graphicData>
            </a:graphic>
          </wp:inline>
        </w:drawing>
      </w:r>
    </w:p>
    <w:p w:rsidR="00F13E8C" w:rsidRDefault="004B079E" w:rsidP="0093702D">
      <w:pPr>
        <w:pStyle w:val="TableHeading"/>
        <w:rPr>
          <w:snapToGrid w:val="0"/>
        </w:rPr>
      </w:pPr>
      <w:bookmarkStart w:id="18" w:name="_Ref513487302"/>
      <w:r w:rsidRPr="004B079E">
        <w:rPr>
          <w:snapToGrid w:val="0"/>
        </w:rPr>
        <w:lastRenderedPageBreak/>
        <w:t xml:space="preserve">Source: </w:t>
      </w:r>
      <w:r w:rsidR="00154BF8">
        <w:rPr>
          <w:snapToGrid w:val="0"/>
        </w:rPr>
        <w:t xml:space="preserve">Adapted from Figure 2 of </w:t>
      </w:r>
      <w:r w:rsidR="00154BF8" w:rsidRPr="009F5142">
        <w:rPr>
          <w:i/>
          <w:snapToGrid w:val="0"/>
        </w:rPr>
        <w:t>Dupilumab treatment in adults with atopic dermatitis (LIBERTY AD CAFÉ)</w:t>
      </w:r>
      <w:r w:rsidR="00154BF8">
        <w:rPr>
          <w:snapToGrid w:val="0"/>
        </w:rPr>
        <w:t xml:space="preserve"> (p. 1091), by M. de Bruin-Weller et al, 2017: British Journal of Dermatology.</w:t>
      </w:r>
    </w:p>
    <w:p w:rsidR="00424426" w:rsidRPr="004B079E" w:rsidRDefault="00424426" w:rsidP="0093702D">
      <w:pPr>
        <w:pStyle w:val="TableHeading"/>
        <w:rPr>
          <w:snapToGrid w:val="0"/>
        </w:rPr>
      </w:pPr>
    </w:p>
    <w:bookmarkEnd w:id="18"/>
    <w:p w:rsidR="0093702D" w:rsidRDefault="0093702D" w:rsidP="0093702D">
      <w:pPr>
        <w:pStyle w:val="Caption"/>
      </w:pPr>
      <w:r>
        <w:t xml:space="preserve">Figure </w:t>
      </w:r>
      <w:r w:rsidR="00557C85">
        <w:fldChar w:fldCharType="begin"/>
      </w:r>
      <w:r w:rsidR="00557C85">
        <w:instrText xml:space="preserve"> SEQ Figure \* ARABIC </w:instrText>
      </w:r>
      <w:r w:rsidR="00557C85">
        <w:fldChar w:fldCharType="separate"/>
      </w:r>
      <w:r>
        <w:rPr>
          <w:noProof/>
        </w:rPr>
        <w:t>3</w:t>
      </w:r>
      <w:r w:rsidR="00557C85">
        <w:rPr>
          <w:noProof/>
        </w:rPr>
        <w:fldChar w:fldCharType="end"/>
      </w:r>
      <w:r>
        <w:t xml:space="preserve">: </w:t>
      </w:r>
      <w:r w:rsidRPr="008C22C1">
        <w:t>Proportion of patients achieving EASI 75 over time in CHRONOS</w:t>
      </w:r>
    </w:p>
    <w:p w:rsidR="00D100DA" w:rsidRPr="00ED3C94" w:rsidRDefault="00D100DA" w:rsidP="00C33BB2">
      <w:pPr>
        <w:jc w:val="center"/>
      </w:pPr>
      <w:r w:rsidRPr="00ED3C94">
        <w:rPr>
          <w:rFonts w:ascii="Arial Narrow" w:hAnsi="Arial Narrow"/>
          <w:noProof/>
          <w:sz w:val="20"/>
          <w:szCs w:val="20"/>
          <w:lang w:eastAsia="en-AU"/>
        </w:rPr>
        <w:drawing>
          <wp:inline distT="0" distB="0" distL="0" distR="0" wp14:anchorId="58CEB668" wp14:editId="0D389E68">
            <wp:extent cx="4619625" cy="3286437"/>
            <wp:effectExtent l="0" t="0" r="0" b="9525"/>
            <wp:docPr id="22" name="Picture 22" title="Proportion of patients achieving EASI 75 over time in CHRO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798" t="1643"/>
                    <a:stretch/>
                  </pic:blipFill>
                  <pic:spPr bwMode="auto">
                    <a:xfrm>
                      <a:off x="0" y="0"/>
                      <a:ext cx="4636954" cy="3298765"/>
                    </a:xfrm>
                    <a:prstGeom prst="rect">
                      <a:avLst/>
                    </a:prstGeom>
                    <a:ln>
                      <a:noFill/>
                    </a:ln>
                    <a:extLst>
                      <a:ext uri="{53640926-AAD7-44D8-BBD7-CCE9431645EC}">
                        <a14:shadowObscured xmlns:a14="http://schemas.microsoft.com/office/drawing/2010/main"/>
                      </a:ext>
                    </a:extLst>
                  </pic:spPr>
                </pic:pic>
              </a:graphicData>
            </a:graphic>
          </wp:inline>
        </w:drawing>
      </w:r>
    </w:p>
    <w:p w:rsidR="00D100DA" w:rsidRPr="00ED3C94" w:rsidRDefault="00D100DA" w:rsidP="00D100DA">
      <w:pPr>
        <w:spacing w:before="0" w:after="120"/>
        <w:rPr>
          <w:sz w:val="18"/>
        </w:rPr>
      </w:pPr>
      <w:r w:rsidRPr="00ED3C94">
        <w:rPr>
          <w:rFonts w:ascii="Arial Narrow" w:hAnsi="Arial Narrow"/>
          <w:sz w:val="18"/>
          <w:szCs w:val="20"/>
        </w:rPr>
        <w:t xml:space="preserve">Source: Figure 2.5.12, p100 of the submission </w:t>
      </w:r>
    </w:p>
    <w:p w:rsidR="0098042A" w:rsidRDefault="0098042A">
      <w:pPr>
        <w:spacing w:before="0" w:line="259" w:lineRule="auto"/>
      </w:pPr>
    </w:p>
    <w:p w:rsidR="00C317F3" w:rsidRPr="00ED3C94" w:rsidRDefault="00C26C52" w:rsidP="00961807">
      <w:pPr>
        <w:widowControl w:val="0"/>
        <w:numPr>
          <w:ilvl w:val="1"/>
          <w:numId w:val="4"/>
        </w:numPr>
        <w:spacing w:before="0" w:after="120"/>
        <w:jc w:val="both"/>
      </w:pPr>
      <w:r w:rsidRPr="00ED3C94">
        <w:t xml:space="preserve">The proportion of patients achieving an EASI-75 response in the subgroup of patients with an IGA score of 3 or 4 (consistent with the proposed PBS population) in the individual trials and meta-analysis is presented in </w:t>
      </w:r>
      <w:r w:rsidR="00C269AD" w:rsidRPr="00ED3C94">
        <w:t xml:space="preserve">Figure </w:t>
      </w:r>
      <w:r w:rsidR="00C269AD">
        <w:rPr>
          <w:noProof/>
        </w:rPr>
        <w:t>4</w:t>
      </w:r>
      <w:r w:rsidR="00C269AD" w:rsidRPr="00ED3C94">
        <w:t xml:space="preserve"> </w:t>
      </w:r>
      <w:r w:rsidRPr="00ED3C94">
        <w:t xml:space="preserve">(risk difference) and </w:t>
      </w:r>
      <w:r w:rsidR="00C269AD" w:rsidRPr="00ED3C94">
        <w:t xml:space="preserve">Figure </w:t>
      </w:r>
      <w:r w:rsidR="00C269AD">
        <w:rPr>
          <w:noProof/>
        </w:rPr>
        <w:t>5</w:t>
      </w:r>
      <w:r w:rsidR="00C269AD" w:rsidRPr="00ED3C94">
        <w:t xml:space="preserve"> </w:t>
      </w:r>
      <w:r w:rsidR="00114732" w:rsidRPr="00ED3C94">
        <w:t>(</w:t>
      </w:r>
      <w:r w:rsidRPr="00ED3C94">
        <w:t>relative risk).</w:t>
      </w:r>
      <w:r w:rsidR="00D100DA" w:rsidRPr="00ED3C94">
        <w:t xml:space="preserve">  </w:t>
      </w:r>
    </w:p>
    <w:p w:rsidR="00D100DA" w:rsidRPr="00ED3C94" w:rsidRDefault="00D100DA" w:rsidP="00961807">
      <w:pPr>
        <w:widowControl w:val="0"/>
        <w:numPr>
          <w:ilvl w:val="1"/>
          <w:numId w:val="4"/>
        </w:numPr>
        <w:spacing w:before="0" w:after="120"/>
        <w:jc w:val="both"/>
      </w:pPr>
      <w:r w:rsidRPr="00ED3C94">
        <w:t xml:space="preserve">While </w:t>
      </w:r>
      <w:r w:rsidR="00192FCC" w:rsidRPr="00ED3C94">
        <w:t>no baseline characteris</w:t>
      </w:r>
      <w:r w:rsidRPr="00ED3C94">
        <w:t>t</w:t>
      </w:r>
      <w:r w:rsidR="00192FCC" w:rsidRPr="00ED3C94">
        <w:t>ics of patie</w:t>
      </w:r>
      <w:r w:rsidRPr="00ED3C94">
        <w:t>nts in the subgroups were a</w:t>
      </w:r>
      <w:r w:rsidR="00192FCC" w:rsidRPr="00ED3C94">
        <w:t>vailable, it is noted that patie</w:t>
      </w:r>
      <w:r w:rsidRPr="00ED3C94">
        <w:t>nts were stratified by IGA score</w:t>
      </w:r>
      <w:r w:rsidR="00192FCC" w:rsidRPr="00ED3C94">
        <w:t xml:space="preserve"> in the trials.</w:t>
      </w:r>
    </w:p>
    <w:p w:rsidR="0093702D" w:rsidRDefault="0093702D" w:rsidP="0093702D">
      <w:pPr>
        <w:pStyle w:val="Caption"/>
      </w:pPr>
      <w:r>
        <w:lastRenderedPageBreak/>
        <w:t xml:space="preserve">Figure </w:t>
      </w:r>
      <w:r w:rsidR="00557C85">
        <w:fldChar w:fldCharType="begin"/>
      </w:r>
      <w:r w:rsidR="00557C85">
        <w:instrText xml:space="preserve"> SEQ Figure \* ARABIC </w:instrText>
      </w:r>
      <w:r w:rsidR="00557C85">
        <w:fldChar w:fldCharType="separate"/>
      </w:r>
      <w:r>
        <w:rPr>
          <w:noProof/>
        </w:rPr>
        <w:t>4</w:t>
      </w:r>
      <w:r w:rsidR="00557C85">
        <w:rPr>
          <w:noProof/>
        </w:rPr>
        <w:fldChar w:fldCharType="end"/>
      </w:r>
      <w:r>
        <w:t xml:space="preserve">: </w:t>
      </w:r>
      <w:r w:rsidRPr="00D17671">
        <w:t xml:space="preserve">Meta-analysis results for the proportion of patients achieving an EASI-75 </w:t>
      </w:r>
      <w:r>
        <w:t xml:space="preserve">response at Week 16 by baseline </w:t>
      </w:r>
      <w:r w:rsidRPr="00D17671">
        <w:t>IGA score sub-groups (FAS) – risk difference</w:t>
      </w:r>
    </w:p>
    <w:p w:rsidR="00C26C52" w:rsidRPr="00ED3C94" w:rsidRDefault="00330093" w:rsidP="00114732">
      <w:pPr>
        <w:spacing w:before="0" w:after="120"/>
        <w:jc w:val="center"/>
      </w:pPr>
      <w:r>
        <w:rPr>
          <w:noProof/>
          <w:lang w:eastAsia="en-AU"/>
        </w:rPr>
        <w:drawing>
          <wp:inline distT="0" distB="0" distL="0" distR="0" wp14:anchorId="5021C177" wp14:editId="3A07C939">
            <wp:extent cx="5038725" cy="2745105"/>
            <wp:effectExtent l="0" t="0" r="9525" b="0"/>
            <wp:docPr id="4" name="Picture 4" title="Meta-analysis results for the proportion of patients achieving an EASI-75 response at Week 16 by baseline IGA score sub-groups (FAS) – risk differ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38725" cy="2745105"/>
                    </a:xfrm>
                    <a:prstGeom prst="rect">
                      <a:avLst/>
                    </a:prstGeom>
                  </pic:spPr>
                </pic:pic>
              </a:graphicData>
            </a:graphic>
          </wp:inline>
        </w:drawing>
      </w:r>
    </w:p>
    <w:p w:rsidR="00C26C52" w:rsidRPr="00ED3C94" w:rsidRDefault="00C26C52" w:rsidP="00C26C52">
      <w:pPr>
        <w:pStyle w:val="TableFooter"/>
      </w:pPr>
      <w:r w:rsidRPr="00ED3C94">
        <w:t>Source: Created during evaluation</w:t>
      </w:r>
      <w:r w:rsidR="00331684">
        <w:t>, t</w:t>
      </w:r>
      <w:r w:rsidR="00331684" w:rsidRPr="00ED3C94">
        <w:t>here was an error in the results for CHRONOS presented in the submission, as results from 52 weeks were presented instead of 16 weeks.  This error was corrected during the evaluation and the meta-analysis was rerun accordingly.</w:t>
      </w:r>
      <w:r w:rsidRPr="00ED3C94">
        <w:t xml:space="preserve"> </w:t>
      </w:r>
    </w:p>
    <w:p w:rsidR="00C26C52" w:rsidRPr="00ED3C94" w:rsidRDefault="00C26C52" w:rsidP="00C26C52">
      <w:pPr>
        <w:pStyle w:val="TableFooter"/>
        <w:spacing w:after="0"/>
      </w:pPr>
      <w:r w:rsidRPr="00ED3C94">
        <w:t>Abbreviations: FAS = full analysis set</w:t>
      </w:r>
    </w:p>
    <w:p w:rsidR="00C26C52" w:rsidRPr="00ED3C94" w:rsidRDefault="00C26C52" w:rsidP="00C26C52">
      <w:pPr>
        <w:spacing w:before="0" w:after="120"/>
        <w:jc w:val="both"/>
      </w:pPr>
    </w:p>
    <w:p w:rsidR="0093702D" w:rsidRDefault="0093702D" w:rsidP="0093702D">
      <w:pPr>
        <w:pStyle w:val="Caption"/>
      </w:pPr>
      <w:r>
        <w:t xml:space="preserve">Figure </w:t>
      </w:r>
      <w:r w:rsidR="00557C85">
        <w:fldChar w:fldCharType="begin"/>
      </w:r>
      <w:r w:rsidR="00557C85">
        <w:instrText xml:space="preserve"> SEQ Figure \* ARABIC </w:instrText>
      </w:r>
      <w:r w:rsidR="00557C85">
        <w:fldChar w:fldCharType="separate"/>
      </w:r>
      <w:r>
        <w:rPr>
          <w:noProof/>
        </w:rPr>
        <w:t>5</w:t>
      </w:r>
      <w:r w:rsidR="00557C85">
        <w:rPr>
          <w:noProof/>
        </w:rPr>
        <w:fldChar w:fldCharType="end"/>
      </w:r>
      <w:r>
        <w:t xml:space="preserve">: </w:t>
      </w:r>
      <w:r w:rsidRPr="00813463">
        <w:t>Meta-analysis results for the proportion of patients achieving an EASI-75 response at Week 16 by baseline IGA score sub-groups (FAS) – relative risk</w:t>
      </w:r>
    </w:p>
    <w:p w:rsidR="00C26C52" w:rsidRPr="00ED3C94" w:rsidRDefault="00330093" w:rsidP="00114732">
      <w:pPr>
        <w:spacing w:before="0" w:after="120"/>
        <w:jc w:val="center"/>
      </w:pPr>
      <w:r>
        <w:rPr>
          <w:noProof/>
          <w:lang w:eastAsia="en-AU"/>
        </w:rPr>
        <w:drawing>
          <wp:inline distT="0" distB="0" distL="0" distR="0" wp14:anchorId="57BF6520" wp14:editId="64975929">
            <wp:extent cx="5067300" cy="2588260"/>
            <wp:effectExtent l="0" t="0" r="0" b="2540"/>
            <wp:docPr id="3" name="Picture 3" title="Meta-analysis results for the proportion of patients achieving an EASI-75 response at Week 16 by baseline IGA score sub-groups (FAS) – relative ris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67300" cy="2588260"/>
                    </a:xfrm>
                    <a:prstGeom prst="rect">
                      <a:avLst/>
                    </a:prstGeom>
                  </pic:spPr>
                </pic:pic>
              </a:graphicData>
            </a:graphic>
          </wp:inline>
        </w:drawing>
      </w:r>
    </w:p>
    <w:p w:rsidR="00CA2CB0" w:rsidRPr="00ED3C94" w:rsidRDefault="00CA2CB0" w:rsidP="00CA2CB0">
      <w:pPr>
        <w:pStyle w:val="TableFooter"/>
      </w:pPr>
      <w:r w:rsidRPr="00ED3C94">
        <w:t xml:space="preserve">Source: Created during evaluation </w:t>
      </w:r>
    </w:p>
    <w:p w:rsidR="00CA2CB0" w:rsidRPr="00ED3C94" w:rsidRDefault="00CA2CB0" w:rsidP="00CA2CB0">
      <w:pPr>
        <w:pStyle w:val="TableFooter"/>
      </w:pPr>
      <w:r w:rsidRPr="00ED3C94">
        <w:t>Abbreviations: FAS = full analysis set</w:t>
      </w:r>
    </w:p>
    <w:p w:rsidR="0098042A" w:rsidRDefault="0098042A">
      <w:pPr>
        <w:spacing w:before="0" w:line="259" w:lineRule="auto"/>
      </w:pPr>
      <w:r>
        <w:br w:type="page"/>
      </w:r>
    </w:p>
    <w:p w:rsidR="00D100DA" w:rsidRPr="00ED3C94" w:rsidRDefault="00D100DA" w:rsidP="00961807">
      <w:pPr>
        <w:widowControl w:val="0"/>
        <w:numPr>
          <w:ilvl w:val="1"/>
          <w:numId w:val="4"/>
        </w:numPr>
        <w:spacing w:before="0" w:after="120"/>
        <w:jc w:val="both"/>
      </w:pPr>
      <w:r w:rsidRPr="00ED3C94">
        <w:lastRenderedPageBreak/>
        <w:t>In all the trials</w:t>
      </w:r>
      <w:r w:rsidR="00EB7412" w:rsidRPr="00ED3C94">
        <w:t xml:space="preserve"> and the meta-analysis</w:t>
      </w:r>
      <w:r w:rsidRPr="00ED3C94">
        <w:t xml:space="preserve">, </w:t>
      </w:r>
      <w:r w:rsidR="00D0424F" w:rsidRPr="00990AD0">
        <w:t>for the IGA 3 and IGA 4</w:t>
      </w:r>
      <w:r w:rsidRPr="00ED3C94">
        <w:t xml:space="preserve"> subgroups, a statistically significantly higher proportion of patients treated with dupilumab 300mg Q2W achieved an EASI-75 response at Week 16 than patients treated with placebo.  </w:t>
      </w:r>
    </w:p>
    <w:p w:rsidR="00CA2CB0" w:rsidRPr="00ED3C94" w:rsidRDefault="00114732" w:rsidP="00961807">
      <w:pPr>
        <w:widowControl w:val="0"/>
        <w:numPr>
          <w:ilvl w:val="1"/>
          <w:numId w:val="4"/>
        </w:numPr>
        <w:spacing w:before="0" w:after="120"/>
        <w:jc w:val="both"/>
      </w:pPr>
      <w:r w:rsidRPr="00ED3C94">
        <w:t xml:space="preserve">The submission also conducted sub-group analyses based on prior exposure and response to CsA. These results were not relied upon in the economic evaluation as </w:t>
      </w:r>
      <w:r w:rsidR="009370A1" w:rsidRPr="00ED3C94">
        <w:t xml:space="preserve">patients included in each subgroup </w:t>
      </w:r>
      <w:r w:rsidRPr="00ED3C94">
        <w:t xml:space="preserve">are not entirely representative of proposed PBS population </w:t>
      </w:r>
      <w:r w:rsidR="00EB7412" w:rsidRPr="00ED3C94">
        <w:t xml:space="preserve">as </w:t>
      </w:r>
      <w:r w:rsidR="009370A1" w:rsidRPr="00ED3C94">
        <w:t>they include patients with</w:t>
      </w:r>
      <w:r w:rsidRPr="00ED3C94">
        <w:t xml:space="preserve"> both moderate and severe AD.</w:t>
      </w:r>
    </w:p>
    <w:p w:rsidR="00114732" w:rsidRPr="00ED3C94" w:rsidRDefault="00114732" w:rsidP="00961807">
      <w:pPr>
        <w:widowControl w:val="0"/>
        <w:numPr>
          <w:ilvl w:val="1"/>
          <w:numId w:val="4"/>
        </w:numPr>
        <w:spacing w:before="0" w:after="120"/>
        <w:jc w:val="both"/>
      </w:pPr>
      <w:r w:rsidRPr="00ED3C94">
        <w:t xml:space="preserve">The submission did not address the issue of whether patients with IGA=4 respond differently to treatment with dupilumab compared to patients with IGA=3; nor based on prior CsA exposure. A test for interaction was conducted during the evaluation to determine whether baseline severity defined by the IGA score or prior </w:t>
      </w:r>
      <w:r w:rsidR="00192FCC" w:rsidRPr="00ED3C94">
        <w:t>experience with</w:t>
      </w:r>
      <w:r w:rsidRPr="00ED3C94">
        <w:t xml:space="preserve"> CsA w</w:t>
      </w:r>
      <w:r w:rsidR="009370A1" w:rsidRPr="00ED3C94">
        <w:t>ere</w:t>
      </w:r>
      <w:r w:rsidRPr="00ED3C94">
        <w:t xml:space="preserve"> treatment effect modifier</w:t>
      </w:r>
      <w:r w:rsidR="009370A1" w:rsidRPr="00ED3C94">
        <w:t>s</w:t>
      </w:r>
      <w:r w:rsidRPr="00ED3C94">
        <w:t xml:space="preserve">, these results are presented in </w:t>
      </w:r>
      <w:r w:rsidR="009B5A44" w:rsidRPr="00ED3C94">
        <w:t xml:space="preserve">Table </w:t>
      </w:r>
      <w:r w:rsidR="009B5A44" w:rsidRPr="00ED3C94">
        <w:rPr>
          <w:noProof/>
        </w:rPr>
        <w:t>4</w:t>
      </w:r>
      <w:r w:rsidRPr="00ED3C94">
        <w:t>.</w:t>
      </w:r>
    </w:p>
    <w:p w:rsidR="0093702D" w:rsidRDefault="0093702D" w:rsidP="0093702D">
      <w:pPr>
        <w:pStyle w:val="Caption"/>
      </w:pPr>
      <w:r>
        <w:t xml:space="preserve">Table </w:t>
      </w:r>
      <w:r w:rsidR="00557C85">
        <w:fldChar w:fldCharType="begin"/>
      </w:r>
      <w:r w:rsidR="00557C85">
        <w:instrText xml:space="preserve"> SEQ Table \* ARABIC </w:instrText>
      </w:r>
      <w:r w:rsidR="00557C85">
        <w:fldChar w:fldCharType="separate"/>
      </w:r>
      <w:r>
        <w:rPr>
          <w:noProof/>
        </w:rPr>
        <w:t>4</w:t>
      </w:r>
      <w:r w:rsidR="00557C85">
        <w:rPr>
          <w:noProof/>
        </w:rPr>
        <w:fldChar w:fldCharType="end"/>
      </w:r>
      <w:r>
        <w:t xml:space="preserve">: </w:t>
      </w:r>
      <w:r w:rsidRPr="00ED3C94">
        <w:t>Tests for interaction between subgroups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ests for interaction between subgroups"/>
      </w:tblPr>
      <w:tblGrid>
        <w:gridCol w:w="3005"/>
        <w:gridCol w:w="3005"/>
        <w:gridCol w:w="3006"/>
      </w:tblGrid>
      <w:tr w:rsidR="00114732" w:rsidRPr="00ED3C94" w:rsidTr="00F47FAE">
        <w:trPr>
          <w:cnfStyle w:val="100000000000" w:firstRow="1" w:lastRow="0" w:firstColumn="0" w:lastColumn="0" w:oddVBand="0" w:evenVBand="0" w:oddHBand="0" w:evenHBand="0" w:firstRowFirstColumn="0" w:firstRowLastColumn="0" w:lastRowFirstColumn="0" w:lastRowLastColumn="0"/>
          <w:tblHeader/>
        </w:trPr>
        <w:tc>
          <w:tcPr>
            <w:tcW w:w="3005" w:type="dxa"/>
            <w:shd w:val="clear" w:color="auto" w:fill="auto"/>
          </w:tcPr>
          <w:p w:rsidR="00114732" w:rsidRPr="00ED3C94" w:rsidRDefault="00114732" w:rsidP="00151B67">
            <w:pPr>
              <w:spacing w:before="40" w:after="40"/>
              <w:rPr>
                <w:rFonts w:ascii="Arial Narrow" w:hAnsi="Arial Narrow"/>
                <w:sz w:val="20"/>
                <w:szCs w:val="20"/>
              </w:rPr>
            </w:pPr>
          </w:p>
        </w:tc>
        <w:tc>
          <w:tcPr>
            <w:tcW w:w="3005" w:type="dxa"/>
            <w:shd w:val="clear" w:color="auto" w:fill="auto"/>
            <w:vAlign w:val="center"/>
          </w:tcPr>
          <w:p w:rsidR="00114732" w:rsidRPr="00ED3C94" w:rsidRDefault="00114732" w:rsidP="00151B67">
            <w:pPr>
              <w:spacing w:before="40" w:after="40"/>
              <w:jc w:val="center"/>
              <w:rPr>
                <w:rFonts w:ascii="Arial Narrow" w:hAnsi="Arial Narrow"/>
                <w:sz w:val="20"/>
                <w:szCs w:val="20"/>
              </w:rPr>
            </w:pPr>
            <w:r w:rsidRPr="00ED3C94">
              <w:rPr>
                <w:rFonts w:ascii="Arial Narrow" w:hAnsi="Arial Narrow"/>
                <w:sz w:val="20"/>
                <w:szCs w:val="20"/>
              </w:rPr>
              <w:t>Risk difference (</w:t>
            </w:r>
            <w:r w:rsidRPr="00330093">
              <w:rPr>
                <w:rFonts w:ascii="Arial Narrow" w:hAnsi="Arial Narrow"/>
                <w:sz w:val="20"/>
                <w:szCs w:val="20"/>
              </w:rPr>
              <w:t xml:space="preserve">95%CI) [p </w:t>
            </w:r>
            <w:r w:rsidR="005F358D" w:rsidRPr="00330093">
              <w:rPr>
                <w:rFonts w:ascii="Arial Narrow" w:hAnsi="Arial Narrow"/>
                <w:sz w:val="20"/>
                <w:szCs w:val="20"/>
              </w:rPr>
              <w:t>value</w:t>
            </w:r>
            <w:r w:rsidRPr="00330093">
              <w:rPr>
                <w:rFonts w:ascii="Arial Narrow" w:hAnsi="Arial Narrow"/>
                <w:sz w:val="20"/>
                <w:szCs w:val="20"/>
              </w:rPr>
              <w:t>]</w:t>
            </w:r>
          </w:p>
        </w:tc>
        <w:tc>
          <w:tcPr>
            <w:tcW w:w="3006" w:type="dxa"/>
            <w:shd w:val="clear" w:color="auto" w:fill="auto"/>
            <w:vAlign w:val="center"/>
          </w:tcPr>
          <w:p w:rsidR="00114732" w:rsidRPr="00ED3C94" w:rsidRDefault="00114732" w:rsidP="00151B67">
            <w:pPr>
              <w:spacing w:before="40" w:after="40"/>
              <w:jc w:val="center"/>
              <w:rPr>
                <w:rFonts w:ascii="Arial Narrow" w:hAnsi="Arial Narrow"/>
                <w:sz w:val="20"/>
                <w:szCs w:val="20"/>
              </w:rPr>
            </w:pPr>
            <w:r w:rsidRPr="00ED3C94">
              <w:rPr>
                <w:rFonts w:ascii="Arial Narrow" w:hAnsi="Arial Narrow"/>
                <w:sz w:val="20"/>
                <w:szCs w:val="20"/>
              </w:rPr>
              <w:t>Relative Risk [p value]</w:t>
            </w:r>
          </w:p>
        </w:tc>
      </w:tr>
      <w:tr w:rsidR="00114732" w:rsidRPr="00ED3C94" w:rsidTr="00151B67">
        <w:tc>
          <w:tcPr>
            <w:tcW w:w="9016" w:type="dxa"/>
            <w:gridSpan w:val="3"/>
            <w:shd w:val="clear" w:color="auto" w:fill="auto"/>
          </w:tcPr>
          <w:p w:rsidR="00114732" w:rsidRPr="00ED3C94" w:rsidRDefault="00114732" w:rsidP="00151B67">
            <w:pPr>
              <w:spacing w:before="40" w:after="40"/>
              <w:rPr>
                <w:rFonts w:ascii="Arial Narrow" w:hAnsi="Arial Narrow"/>
                <w:sz w:val="20"/>
                <w:szCs w:val="20"/>
              </w:rPr>
            </w:pPr>
            <w:r w:rsidRPr="00ED3C94">
              <w:rPr>
                <w:rFonts w:ascii="Arial Narrow" w:hAnsi="Arial Narrow"/>
                <w:sz w:val="20"/>
                <w:szCs w:val="20"/>
              </w:rPr>
              <w:t>IGA = 3 vs IGA = 4</w:t>
            </w:r>
          </w:p>
        </w:tc>
      </w:tr>
      <w:tr w:rsidR="00114732" w:rsidRPr="00ED3C94" w:rsidTr="00151B67">
        <w:tc>
          <w:tcPr>
            <w:tcW w:w="3005" w:type="dxa"/>
            <w:shd w:val="clear" w:color="auto" w:fill="auto"/>
          </w:tcPr>
          <w:p w:rsidR="00114732" w:rsidRPr="00ED3C94" w:rsidRDefault="00114732" w:rsidP="00151B67">
            <w:pPr>
              <w:spacing w:before="40" w:after="40"/>
              <w:rPr>
                <w:rFonts w:ascii="Arial Narrow" w:hAnsi="Arial Narrow"/>
                <w:sz w:val="20"/>
                <w:szCs w:val="20"/>
              </w:rPr>
            </w:pPr>
            <w:r w:rsidRPr="00ED3C94">
              <w:rPr>
                <w:rFonts w:ascii="Arial Narrow" w:hAnsi="Arial Narrow"/>
                <w:sz w:val="20"/>
                <w:szCs w:val="20"/>
              </w:rPr>
              <w:t>CAFÉ</w:t>
            </w:r>
          </w:p>
        </w:tc>
        <w:tc>
          <w:tcPr>
            <w:tcW w:w="3005" w:type="dxa"/>
            <w:shd w:val="clear" w:color="auto" w:fill="auto"/>
            <w:vAlign w:val="center"/>
          </w:tcPr>
          <w:p w:rsidR="00114732" w:rsidRPr="00330093" w:rsidRDefault="00330093" w:rsidP="00151B67">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 '''''''''' '''''''''''''''''''''''</w:t>
            </w:r>
          </w:p>
        </w:tc>
        <w:tc>
          <w:tcPr>
            <w:tcW w:w="3006" w:type="dxa"/>
            <w:shd w:val="clear" w:color="auto" w:fill="auto"/>
            <w:vAlign w:val="center"/>
          </w:tcPr>
          <w:p w:rsidR="00114732" w:rsidRPr="00330093" w:rsidRDefault="00330093" w:rsidP="00151B67">
            <w:pPr>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 '''''''''' '''''''''' '''''''''''''''''</w:t>
            </w:r>
          </w:p>
        </w:tc>
      </w:tr>
      <w:tr w:rsidR="00114732" w:rsidRPr="00ED3C94" w:rsidTr="00151B67">
        <w:tc>
          <w:tcPr>
            <w:tcW w:w="3005" w:type="dxa"/>
            <w:shd w:val="clear" w:color="auto" w:fill="auto"/>
          </w:tcPr>
          <w:p w:rsidR="00114732" w:rsidRPr="00ED3C94" w:rsidRDefault="00114732" w:rsidP="00151B67">
            <w:pPr>
              <w:spacing w:before="40" w:after="40"/>
              <w:rPr>
                <w:rFonts w:ascii="Arial Narrow" w:hAnsi="Arial Narrow"/>
                <w:sz w:val="20"/>
                <w:szCs w:val="20"/>
                <w:vertAlign w:val="superscript"/>
              </w:rPr>
            </w:pPr>
            <w:r w:rsidRPr="00ED3C94">
              <w:rPr>
                <w:rFonts w:ascii="Arial Narrow" w:hAnsi="Arial Narrow"/>
                <w:sz w:val="20"/>
                <w:szCs w:val="20"/>
              </w:rPr>
              <w:t>All trials (summed n/N patients)</w:t>
            </w:r>
            <w:r w:rsidRPr="00ED3C94">
              <w:rPr>
                <w:rFonts w:ascii="Arial Narrow" w:hAnsi="Arial Narrow"/>
                <w:sz w:val="20"/>
                <w:szCs w:val="20"/>
                <w:vertAlign w:val="superscript"/>
              </w:rPr>
              <w:t>a</w:t>
            </w:r>
          </w:p>
        </w:tc>
        <w:tc>
          <w:tcPr>
            <w:tcW w:w="3005" w:type="dxa"/>
            <w:shd w:val="clear" w:color="auto" w:fill="auto"/>
            <w:vAlign w:val="center"/>
          </w:tcPr>
          <w:p w:rsidR="00114732" w:rsidRPr="00330093" w:rsidRDefault="00330093" w:rsidP="00151B67">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 ''''''''''' '''''''''''''''''''''''</w:t>
            </w:r>
          </w:p>
        </w:tc>
        <w:tc>
          <w:tcPr>
            <w:tcW w:w="3006" w:type="dxa"/>
            <w:shd w:val="clear" w:color="auto" w:fill="auto"/>
            <w:vAlign w:val="center"/>
          </w:tcPr>
          <w:p w:rsidR="00114732" w:rsidRPr="00330093" w:rsidRDefault="00330093" w:rsidP="00151B67">
            <w:pPr>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 ''''''''''' '''''''''' '''''''''''''''''''</w:t>
            </w:r>
          </w:p>
        </w:tc>
      </w:tr>
      <w:tr w:rsidR="00114732" w:rsidRPr="00ED3C94" w:rsidTr="00151B67">
        <w:tc>
          <w:tcPr>
            <w:tcW w:w="9016" w:type="dxa"/>
            <w:gridSpan w:val="3"/>
            <w:shd w:val="clear" w:color="auto" w:fill="auto"/>
          </w:tcPr>
          <w:p w:rsidR="00114732" w:rsidRPr="00ED3C94" w:rsidRDefault="00114732" w:rsidP="00151B67">
            <w:pPr>
              <w:spacing w:before="40" w:after="40"/>
              <w:rPr>
                <w:rFonts w:ascii="Arial Narrow" w:hAnsi="Arial Narrow"/>
                <w:sz w:val="20"/>
                <w:szCs w:val="20"/>
              </w:rPr>
            </w:pPr>
            <w:r w:rsidRPr="00ED3C94">
              <w:rPr>
                <w:rFonts w:ascii="Arial Narrow" w:hAnsi="Arial Narrow"/>
                <w:sz w:val="20"/>
                <w:szCs w:val="20"/>
              </w:rPr>
              <w:t>Inadequate response, intolerant to or contraindicated to CsA (positive vs negative)</w:t>
            </w:r>
          </w:p>
        </w:tc>
      </w:tr>
      <w:tr w:rsidR="00114732" w:rsidRPr="00ED3C94" w:rsidTr="00151B67">
        <w:tc>
          <w:tcPr>
            <w:tcW w:w="3005" w:type="dxa"/>
            <w:shd w:val="clear" w:color="auto" w:fill="auto"/>
          </w:tcPr>
          <w:p w:rsidR="00114732" w:rsidRPr="00ED3C94" w:rsidRDefault="00114732" w:rsidP="00151B67">
            <w:pPr>
              <w:spacing w:before="40" w:after="40"/>
              <w:rPr>
                <w:rFonts w:ascii="Arial Narrow" w:hAnsi="Arial Narrow"/>
                <w:sz w:val="20"/>
                <w:szCs w:val="20"/>
                <w:vertAlign w:val="superscript"/>
              </w:rPr>
            </w:pPr>
            <w:r w:rsidRPr="00ED3C94">
              <w:rPr>
                <w:rFonts w:ascii="Arial Narrow" w:hAnsi="Arial Narrow"/>
                <w:sz w:val="20"/>
                <w:szCs w:val="20"/>
              </w:rPr>
              <w:t>All trials (summed n/N patients)</w:t>
            </w:r>
            <w:r w:rsidRPr="00ED3C94">
              <w:rPr>
                <w:rFonts w:ascii="Arial Narrow" w:hAnsi="Arial Narrow"/>
                <w:sz w:val="20"/>
                <w:szCs w:val="20"/>
                <w:vertAlign w:val="superscript"/>
              </w:rPr>
              <w:t>a</w:t>
            </w:r>
          </w:p>
        </w:tc>
        <w:tc>
          <w:tcPr>
            <w:tcW w:w="3005" w:type="dxa"/>
            <w:shd w:val="clear" w:color="auto" w:fill="auto"/>
            <w:vAlign w:val="center"/>
          </w:tcPr>
          <w:p w:rsidR="00114732" w:rsidRPr="00330093" w:rsidRDefault="00330093" w:rsidP="00151B67">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 '''''''''' ''''''''''''''''''''''''</w:t>
            </w:r>
          </w:p>
        </w:tc>
        <w:tc>
          <w:tcPr>
            <w:tcW w:w="3006" w:type="dxa"/>
            <w:shd w:val="clear" w:color="auto" w:fill="auto"/>
          </w:tcPr>
          <w:p w:rsidR="00114732" w:rsidRPr="00330093" w:rsidRDefault="00330093" w:rsidP="00151B67">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 ''''''''''''' ''''''''''''''''''''''''''''</w:t>
            </w:r>
          </w:p>
        </w:tc>
      </w:tr>
    </w:tbl>
    <w:p w:rsidR="00114732" w:rsidRPr="00ED3C94" w:rsidRDefault="00114732" w:rsidP="00114732">
      <w:pPr>
        <w:pStyle w:val="TableFooter"/>
      </w:pPr>
      <w:r w:rsidRPr="00ED3C94">
        <w:t xml:space="preserve">Text in bold indicates statistically significant differences at 5% </w:t>
      </w:r>
    </w:p>
    <w:p w:rsidR="00114732" w:rsidRPr="00ED3C94" w:rsidRDefault="00114732" w:rsidP="00114732">
      <w:pPr>
        <w:pStyle w:val="TableFooter"/>
      </w:pPr>
      <w:r w:rsidRPr="00ED3C94">
        <w:t xml:space="preserve">Source: constructed during evaluation using information from Table 2.6.1, p120 and Table 2.6.2, p123 of the submission </w:t>
      </w:r>
    </w:p>
    <w:p w:rsidR="00114732" w:rsidRPr="00ED3C94" w:rsidRDefault="00114732" w:rsidP="00114732">
      <w:pPr>
        <w:pStyle w:val="TableFooter"/>
      </w:pPr>
      <w:r w:rsidRPr="00ED3C94">
        <w:rPr>
          <w:vertAlign w:val="superscript"/>
        </w:rPr>
        <w:t>a</w:t>
      </w:r>
      <w:r w:rsidRPr="00ED3C94">
        <w:t xml:space="preserve"> similar results reported when using estimate </w:t>
      </w:r>
    </w:p>
    <w:p w:rsidR="00114732" w:rsidRPr="00ED3C94" w:rsidRDefault="00114732" w:rsidP="00961807">
      <w:pPr>
        <w:widowControl w:val="0"/>
        <w:numPr>
          <w:ilvl w:val="1"/>
          <w:numId w:val="4"/>
        </w:numPr>
        <w:spacing w:before="0" w:after="120"/>
        <w:jc w:val="both"/>
      </w:pPr>
      <w:r w:rsidRPr="00ED3C94">
        <w:t>There were statistically significant subgroup interactions based on relative risk with regards to baseline IGA score.  Patients with a baseline IGA = 4 were relatively more likely to achieve an EASI-75 response to dupilumab 300mg Q2W treatment compared to patients with a baseline IGA =</w:t>
      </w:r>
      <w:r w:rsidR="00192FCC" w:rsidRPr="00ED3C94">
        <w:t xml:space="preserve"> </w:t>
      </w:r>
      <w:r w:rsidRPr="00ED3C94">
        <w:t xml:space="preserve">3, however this </w:t>
      </w:r>
      <w:r w:rsidR="00D0424F">
        <w:t>interaction</w:t>
      </w:r>
      <w:r w:rsidR="00D0424F" w:rsidRPr="00ED3C94">
        <w:t xml:space="preserve"> </w:t>
      </w:r>
      <w:r w:rsidRPr="00ED3C94">
        <w:t xml:space="preserve">was not observed in risk difference.  </w:t>
      </w:r>
      <w:r w:rsidR="00C33BB2" w:rsidRPr="00ED3C94">
        <w:t xml:space="preserve">This applied to both those patients in the CAFÉ trial (prior CsA with an inadequate response or intolerant/contraindicated to CsA) and all trials (where prior experience with CsA was not a requirement for enrolment).  </w:t>
      </w:r>
      <w:r w:rsidRPr="00ED3C94">
        <w:t xml:space="preserve">The explanation for this is unclear, but it should be noted that the interaction is driven by </w:t>
      </w:r>
      <w:r w:rsidR="00EB7412" w:rsidRPr="00ED3C94">
        <w:t xml:space="preserve">a </w:t>
      </w:r>
      <w:r w:rsidRPr="00ED3C94">
        <w:t xml:space="preserve">lower placebo response rate in patients with baseline IGA = 3 compared to patients with IGA = 4 rather than a difference in the absolute efficacy of dupilumab in the two groups of patients.  </w:t>
      </w:r>
      <w:r w:rsidR="007B151C">
        <w:t xml:space="preserve">The ESC considered that </w:t>
      </w:r>
      <w:r w:rsidR="0087670F">
        <w:t xml:space="preserve">while conceptually, </w:t>
      </w:r>
      <w:r w:rsidR="007B151C">
        <w:t xml:space="preserve">a reduction of 75% in the EASI score may have </w:t>
      </w:r>
      <w:r w:rsidR="00EE3293">
        <w:t>a different clinical impact in people with moderate (IGA 3) vs severe (IGA 4) disease, data w</w:t>
      </w:r>
      <w:r w:rsidR="003C723F">
        <w:t xml:space="preserve">ere </w:t>
      </w:r>
      <w:r w:rsidR="00EE3293">
        <w:t xml:space="preserve">not provided to </w:t>
      </w:r>
      <w:r w:rsidR="0087670F">
        <w:t xml:space="preserve">determine this. </w:t>
      </w:r>
      <w:r w:rsidRPr="00ED3C94">
        <w:t xml:space="preserve">There were also no statistically significant subgroup interactions observed </w:t>
      </w:r>
      <w:r w:rsidR="00B7247D" w:rsidRPr="00ED3C94">
        <w:t>between</w:t>
      </w:r>
      <w:r w:rsidRPr="00ED3C94">
        <w:t xml:space="preserve"> patients who </w:t>
      </w:r>
      <w:r w:rsidR="00B7247D" w:rsidRPr="00ED3C94">
        <w:t>met the proposed CsA restriction criteria (i.e. prior CsA with an inadequate response or intolerant/contraindicated to CsA) and patients who did not (i.e. no prior CsA use and not contra-indicated to CsA)</w:t>
      </w:r>
      <w:r w:rsidRPr="00ED3C94">
        <w:t>.</w:t>
      </w:r>
      <w:r w:rsidR="00ED590C" w:rsidRPr="00ED3C94">
        <w:t xml:space="preserve"> </w:t>
      </w:r>
      <w:r w:rsidR="00C33BB2" w:rsidRPr="00ED3C94">
        <w:t xml:space="preserve"> </w:t>
      </w:r>
      <w:r w:rsidR="00ED590C" w:rsidRPr="00ED3C94">
        <w:t xml:space="preserve">As such, </w:t>
      </w:r>
      <w:r w:rsidR="00ED590C" w:rsidRPr="00ED3C94">
        <w:rPr>
          <w:szCs w:val="24"/>
        </w:rPr>
        <w:t xml:space="preserve">there was </w:t>
      </w:r>
      <w:r w:rsidR="00D0424F">
        <w:rPr>
          <w:szCs w:val="24"/>
        </w:rPr>
        <w:t>limited</w:t>
      </w:r>
      <w:r w:rsidR="00D0424F" w:rsidRPr="00ED3C94">
        <w:rPr>
          <w:szCs w:val="24"/>
        </w:rPr>
        <w:t xml:space="preserve"> </w:t>
      </w:r>
      <w:r w:rsidR="00ED590C" w:rsidRPr="00ED3C94">
        <w:rPr>
          <w:szCs w:val="24"/>
        </w:rPr>
        <w:t>evidence that supported the contention that either severity of AD or experience with CsA are treatment effect modifiers</w:t>
      </w:r>
      <w:r w:rsidR="00C33BB2" w:rsidRPr="00ED3C94">
        <w:rPr>
          <w:szCs w:val="24"/>
        </w:rPr>
        <w:t>.</w:t>
      </w:r>
      <w:r w:rsidR="00074274">
        <w:rPr>
          <w:szCs w:val="24"/>
        </w:rPr>
        <w:t xml:space="preserve"> </w:t>
      </w:r>
    </w:p>
    <w:p w:rsidR="00C26C52" w:rsidRPr="00ED3C94" w:rsidRDefault="00114732" w:rsidP="00961807">
      <w:pPr>
        <w:widowControl w:val="0"/>
        <w:numPr>
          <w:ilvl w:val="1"/>
          <w:numId w:val="4"/>
        </w:numPr>
        <w:spacing w:before="0" w:after="120"/>
        <w:jc w:val="both"/>
      </w:pPr>
      <w:r w:rsidRPr="00ED3C94">
        <w:lastRenderedPageBreak/>
        <w:t xml:space="preserve">The </w:t>
      </w:r>
      <w:r w:rsidR="003C723F">
        <w:t xml:space="preserve">PBAC noted the </w:t>
      </w:r>
      <w:r w:rsidRPr="00ED3C94">
        <w:t xml:space="preserve">submission’s request to restrict use of dupilumab to patients with IGA = 4 only and/or on the basis of prior experience with CsA </w:t>
      </w:r>
      <w:r w:rsidR="003C723F">
        <w:t>and considered that</w:t>
      </w:r>
      <w:r w:rsidRPr="00ED3C94">
        <w:t xml:space="preserve"> the evidence appear</w:t>
      </w:r>
      <w:r w:rsidR="008B251B">
        <w:t>ed</w:t>
      </w:r>
      <w:r w:rsidRPr="00ED3C94">
        <w:t xml:space="preserve"> to demonstrate that </w:t>
      </w:r>
      <w:r w:rsidR="00E21117" w:rsidRPr="00ED3C94">
        <w:t xml:space="preserve">patients with IGA = 3 and those who do not fulfil the CsA criteria specified in the requested restriction </w:t>
      </w:r>
      <w:r w:rsidRPr="00ED3C94">
        <w:t xml:space="preserve">would benefit just as much from dupilumab treatment. </w:t>
      </w:r>
      <w:r w:rsidR="00FA714C" w:rsidRPr="00FD0DA0">
        <w:rPr>
          <w:szCs w:val="24"/>
        </w:rPr>
        <w:t>The PSCR argued that the patients</w:t>
      </w:r>
      <w:r w:rsidR="00D0424F" w:rsidRPr="00FD0DA0">
        <w:rPr>
          <w:szCs w:val="24"/>
        </w:rPr>
        <w:t xml:space="preserve"> as defined by the proposed listing</w:t>
      </w:r>
      <w:r w:rsidR="00FA714C" w:rsidRPr="00FD0DA0">
        <w:rPr>
          <w:szCs w:val="24"/>
        </w:rPr>
        <w:t xml:space="preserve"> had the greatest unmet clinical need, and that the restriction was aligned with that of biologics for chronic plaque psoriasis.</w:t>
      </w:r>
      <w:r w:rsidR="00FA714C" w:rsidRPr="00FD0DA0">
        <w:rPr>
          <w:b/>
          <w:szCs w:val="24"/>
        </w:rPr>
        <w:t xml:space="preserve"> </w:t>
      </w:r>
      <w:r w:rsidR="00FD0DA0" w:rsidRPr="006A5593">
        <w:t xml:space="preserve">The </w:t>
      </w:r>
      <w:r w:rsidR="00FD0DA0">
        <w:t>PBAC agreed with the ESC</w:t>
      </w:r>
      <w:r w:rsidR="00FD0DA0" w:rsidRPr="006A5593">
        <w:t xml:space="preserve"> that restricting eligibility to patients with severe AD and prior CSA exposure or contraindication </w:t>
      </w:r>
      <w:r w:rsidR="00FD0DA0">
        <w:t>was</w:t>
      </w:r>
      <w:r w:rsidR="00FD0DA0" w:rsidRPr="006A5593">
        <w:t xml:space="preserve"> unwarrantedly narrower than the TGA</w:t>
      </w:r>
      <w:r w:rsidR="00FD0DA0">
        <w:t xml:space="preserve"> indication and the trial data. The PBAC considered that </w:t>
      </w:r>
      <w:r w:rsidR="00FD0DA0" w:rsidRPr="006A5593">
        <w:t>restricting the use of dupilumab to patients with severe AD who are intolerant</w:t>
      </w:r>
      <w:r w:rsidR="00FD0DA0">
        <w:t xml:space="preserve">, </w:t>
      </w:r>
      <w:r w:rsidR="00FD0DA0" w:rsidRPr="006A5593">
        <w:t>contraindicated</w:t>
      </w:r>
      <w:r w:rsidR="00FD0DA0">
        <w:t xml:space="preserve"> or </w:t>
      </w:r>
      <w:r w:rsidR="00FD0DA0" w:rsidRPr="006A5593">
        <w:t>non-responsive to CsA</w:t>
      </w:r>
      <w:r w:rsidR="00FD0DA0">
        <w:t xml:space="preserve"> was not adequately justified</w:t>
      </w:r>
      <w:r w:rsidR="00FD0DA0" w:rsidRPr="006A5593">
        <w:t>.</w:t>
      </w:r>
    </w:p>
    <w:p w:rsidR="00897C84" w:rsidRPr="00ED3C94" w:rsidRDefault="00813F4E" w:rsidP="00961807">
      <w:pPr>
        <w:widowControl w:val="0"/>
        <w:numPr>
          <w:ilvl w:val="1"/>
          <w:numId w:val="4"/>
        </w:numPr>
        <w:spacing w:before="0" w:after="120"/>
        <w:jc w:val="both"/>
      </w:pPr>
      <w:r w:rsidRPr="00ED3C94">
        <w:t xml:space="preserve">There were differences in mean baseline utility both </w:t>
      </w:r>
      <w:r w:rsidR="00A82307" w:rsidRPr="00ED3C94">
        <w:t xml:space="preserve">within </w:t>
      </w:r>
      <w:r w:rsidRPr="00ED3C94">
        <w:t xml:space="preserve">trial </w:t>
      </w:r>
      <w:r w:rsidR="00C33BB2" w:rsidRPr="00ED3C94">
        <w:t>(</w:t>
      </w:r>
      <w:r w:rsidR="00A82307" w:rsidRPr="00ED3C94">
        <w:t xml:space="preserve">between treatment </w:t>
      </w:r>
      <w:r w:rsidRPr="00ED3C94">
        <w:t>arms</w:t>
      </w:r>
      <w:r w:rsidR="00C33BB2" w:rsidRPr="00ED3C94">
        <w:t>)</w:t>
      </w:r>
      <w:r w:rsidRPr="00ED3C94">
        <w:t xml:space="preserve"> and between trials</w:t>
      </w:r>
      <w:r w:rsidR="003215CF" w:rsidRPr="00ED3C94">
        <w:t xml:space="preserve"> </w:t>
      </w:r>
      <w:r w:rsidRPr="00ED3C94">
        <w:t>making it difficult to interpret the</w:t>
      </w:r>
      <w:r w:rsidR="003215CF" w:rsidRPr="00ED3C94">
        <w:t xml:space="preserve"> comparative </w:t>
      </w:r>
      <w:r w:rsidR="00A82307" w:rsidRPr="00ED3C94">
        <w:t xml:space="preserve">effect </w:t>
      </w:r>
      <w:r w:rsidR="003215CF" w:rsidRPr="00ED3C94">
        <w:t xml:space="preserve">of dupilumab to placebo </w:t>
      </w:r>
      <w:r w:rsidR="00A82307" w:rsidRPr="00ED3C94">
        <w:t xml:space="preserve">on health related </w:t>
      </w:r>
      <w:r w:rsidR="003215CF" w:rsidRPr="00ED3C94">
        <w:t>quality of life.</w:t>
      </w:r>
      <w:r w:rsidR="00797A8C" w:rsidRPr="00ED3C94">
        <w:t xml:space="preserve"> </w:t>
      </w:r>
      <w:r w:rsidRPr="00ED3C94">
        <w:t xml:space="preserve"> </w:t>
      </w:r>
      <w:r w:rsidR="00A82307" w:rsidRPr="00ED3C94">
        <w:t>T</w:t>
      </w:r>
      <w:r w:rsidRPr="00ED3C94">
        <w:t xml:space="preserve">he magnitude and direction of </w:t>
      </w:r>
      <w:r w:rsidR="00A82307" w:rsidRPr="00ED3C94">
        <w:t>quality of life</w:t>
      </w:r>
      <w:r w:rsidRPr="00ED3C94">
        <w:t xml:space="preserve"> change from baseline to Week 16 </w:t>
      </w:r>
      <w:r w:rsidR="00A82307" w:rsidRPr="00ED3C94">
        <w:t>for both patients treated with</w:t>
      </w:r>
      <w:r w:rsidRPr="00ED3C94">
        <w:t xml:space="preserve"> dupilumab </w:t>
      </w:r>
      <w:r w:rsidR="00A82307" w:rsidRPr="00ED3C94">
        <w:t xml:space="preserve">and patients treated with </w:t>
      </w:r>
      <w:r w:rsidRPr="00ED3C94">
        <w:t xml:space="preserve">placebo </w:t>
      </w:r>
      <w:r w:rsidR="00A82307" w:rsidRPr="00ED3C94">
        <w:t>reported across the trials were inconsistent</w:t>
      </w:r>
      <w:r w:rsidRPr="00ED3C94">
        <w:t xml:space="preserve">. </w:t>
      </w:r>
      <w:r w:rsidR="00797A8C" w:rsidRPr="00ED3C94">
        <w:t xml:space="preserve"> </w:t>
      </w:r>
      <w:r w:rsidR="00FD0DA0">
        <w:t>The PBAC considered that</w:t>
      </w:r>
      <w:r w:rsidRPr="00ED3C94">
        <w:t xml:space="preserve"> the comparative effectiveness of dupilumab to placebo </w:t>
      </w:r>
      <w:r w:rsidR="00FD0DA0">
        <w:t>w</w:t>
      </w:r>
      <w:r w:rsidRPr="00ED3C94">
        <w:t xml:space="preserve">as highly uncertain for quality of life. </w:t>
      </w:r>
      <w:r w:rsidR="002E7D38">
        <w:t>The PBAC noted that there was limited quality of life data extending to 52 weeks and that it was not clear whether patients who responded to treatment maintained</w:t>
      </w:r>
      <w:r w:rsidR="00C67F62">
        <w:t xml:space="preserve"> their</w:t>
      </w:r>
      <w:r w:rsidR="002E7D38">
        <w:t xml:space="preserve"> quality of life</w:t>
      </w:r>
      <w:r w:rsidR="00C67F62">
        <w:t>,</w:t>
      </w:r>
      <w:r w:rsidR="002E7D38">
        <w:t xml:space="preserve"> or patients moved in and out of response.</w:t>
      </w:r>
      <w:bookmarkStart w:id="19" w:name="_GoBack"/>
      <w:bookmarkEnd w:id="19"/>
    </w:p>
    <w:p w:rsidR="00C317F3" w:rsidRPr="004D3C91" w:rsidRDefault="00C317F3" w:rsidP="00772501">
      <w:pPr>
        <w:pStyle w:val="Heading2"/>
      </w:pPr>
      <w:bookmarkStart w:id="20" w:name="_Toc413139279"/>
      <w:bookmarkStart w:id="21" w:name="_Toc514253617"/>
      <w:r w:rsidRPr="004D3C91">
        <w:t>Comparative harms</w:t>
      </w:r>
      <w:bookmarkEnd w:id="20"/>
      <w:bookmarkEnd w:id="21"/>
    </w:p>
    <w:p w:rsidR="00C317F3" w:rsidRPr="00ED3C94" w:rsidRDefault="00192FCC" w:rsidP="00961807">
      <w:pPr>
        <w:widowControl w:val="0"/>
        <w:numPr>
          <w:ilvl w:val="1"/>
          <w:numId w:val="4"/>
        </w:numPr>
        <w:spacing w:before="0" w:after="120"/>
        <w:jc w:val="both"/>
      </w:pPr>
      <w:r w:rsidRPr="00ED3C94">
        <w:t>Overall, across all five trials, the proportion</w:t>
      </w:r>
      <w:r w:rsidR="00D47ADF" w:rsidRPr="00ED3C94">
        <w:t>s</w:t>
      </w:r>
      <w:r w:rsidRPr="00ED3C94">
        <w:t xml:space="preserve"> of patients experiencing any </w:t>
      </w:r>
      <w:r w:rsidR="002C30D7">
        <w:t>treatment emergent adverse events (</w:t>
      </w:r>
      <w:r w:rsidRPr="00ED3C94">
        <w:t>TEAE</w:t>
      </w:r>
      <w:r w:rsidR="002C30D7">
        <w:t>s)</w:t>
      </w:r>
      <w:r w:rsidRPr="00ED3C94">
        <w:t xml:space="preserve"> in the placebo and dupilumab arms were similar and not statistically significantly different.  This should be interpreted with caution, as the placebo used in the trials (placebo subcutaneous injections) is not the same as the placebo/non treatment used in clinical practice.  </w:t>
      </w:r>
    </w:p>
    <w:p w:rsidR="004D22B3" w:rsidRPr="00ED3C94" w:rsidRDefault="004D22B3" w:rsidP="00961807">
      <w:pPr>
        <w:widowControl w:val="0"/>
        <w:numPr>
          <w:ilvl w:val="1"/>
          <w:numId w:val="4"/>
        </w:numPr>
        <w:spacing w:before="0" w:after="120"/>
        <w:jc w:val="both"/>
      </w:pPr>
      <w:r w:rsidRPr="00ED3C94">
        <w:t>Specific TEAEs with differences in frequencies between arms of note included:</w:t>
      </w:r>
    </w:p>
    <w:p w:rsidR="004D22B3" w:rsidRPr="00ED3C94" w:rsidRDefault="004D22B3" w:rsidP="00287AB5">
      <w:pPr>
        <w:pStyle w:val="ListParagraph"/>
        <w:numPr>
          <w:ilvl w:val="0"/>
          <w:numId w:val="8"/>
        </w:numPr>
        <w:spacing w:before="0" w:after="0"/>
        <w:ind w:left="1077" w:hanging="357"/>
        <w:jc w:val="both"/>
      </w:pPr>
      <w:r w:rsidRPr="00ED3C94">
        <w:t xml:space="preserve">An analysis of conjunctivitis and selected eye-related disorders was pre-specified in the statistical analysis plan of CAFÉ.  This analysis used a narrow customised MedDRA query (CMQ) containing five terms that included conjunctivitis which could indicate a conjunctivitis-like event which were chosen by ophthalmologists at the sponsor company.  Conjunctivitis was notably more frequent in the dupilumab arms of CAFÉ than the placebo arms.  This was also observed in CHRONOS and in SOLO 1.  The submission claims (p115-116) that the majority of conjunctivitis events were mild to moderate in severity </w:t>
      </w:r>
      <w:r w:rsidR="00D47ADF" w:rsidRPr="00ED3C94">
        <w:t xml:space="preserve">and </w:t>
      </w:r>
      <w:r w:rsidRPr="00ED3C94">
        <w:t xml:space="preserve">were resolved at the end of the study period.  This may not be reasonable as only 23/37 (62%) of patients treated with dupilumab 300mg Q2W had resolved conjunctivitis at the end of the study compared to 13/15 (87%) of patients treated with placebo who experienced conjunctivitis. </w:t>
      </w:r>
      <w:r w:rsidR="00076C59" w:rsidRPr="00990AD0">
        <w:t xml:space="preserve">The ESC noted </w:t>
      </w:r>
      <w:r w:rsidR="008C1709" w:rsidRPr="00990AD0">
        <w:t xml:space="preserve">from </w:t>
      </w:r>
      <w:r w:rsidR="00B4264A" w:rsidRPr="00990AD0">
        <w:t xml:space="preserve">a recent publication </w:t>
      </w:r>
      <w:r w:rsidR="001179A1" w:rsidRPr="00990AD0">
        <w:t xml:space="preserve">(Wollenberg </w:t>
      </w:r>
      <w:r w:rsidR="001179A1" w:rsidRPr="00990AD0">
        <w:lastRenderedPageBreak/>
        <w:t xml:space="preserve">et al., </w:t>
      </w:r>
      <w:r w:rsidR="008C1709" w:rsidRPr="00990AD0">
        <w:t xml:space="preserve">J Allergy Clin Immunol Pract 2018 in press) </w:t>
      </w:r>
      <w:r w:rsidR="00076C59" w:rsidRPr="00990AD0">
        <w:t xml:space="preserve">that this would not </w:t>
      </w:r>
      <w:r w:rsidR="00174064" w:rsidRPr="00990AD0">
        <w:t xml:space="preserve">be </w:t>
      </w:r>
      <w:r w:rsidR="00076C59" w:rsidRPr="00990AD0">
        <w:t>likely</w:t>
      </w:r>
      <w:r w:rsidR="00174064" w:rsidRPr="00990AD0">
        <w:t xml:space="preserve"> to</w:t>
      </w:r>
      <w:r w:rsidR="00076C59" w:rsidRPr="00990AD0">
        <w:t xml:space="preserve"> cause patients to stop treatment with dupilumab, and that </w:t>
      </w:r>
      <w:r w:rsidR="00174064" w:rsidRPr="00990AD0">
        <w:t>patients</w:t>
      </w:r>
      <w:r w:rsidR="00076C59" w:rsidRPr="00990AD0">
        <w:t xml:space="preserve"> would likely use topical treatments to resolve the conjunctivitis whilst using dupilumab long term.</w:t>
      </w:r>
      <w:r w:rsidRPr="00ED3C94">
        <w:t xml:space="preserve"> </w:t>
      </w:r>
    </w:p>
    <w:p w:rsidR="00192FCC" w:rsidRPr="00ED3C94" w:rsidRDefault="004D22B3" w:rsidP="00287AB5">
      <w:pPr>
        <w:pStyle w:val="ListParagraph"/>
        <w:numPr>
          <w:ilvl w:val="0"/>
          <w:numId w:val="8"/>
        </w:numPr>
        <w:spacing w:before="0"/>
        <w:ind w:left="1077" w:hanging="357"/>
        <w:jc w:val="both"/>
      </w:pPr>
      <w:r w:rsidRPr="00ED3C94">
        <w:t>Injection site reactions were notably higher in dupilumab arms than placebo arms across all trials, but to a lesser extent in CAFÉ and Phase IIb.  It should be noted that patients in the proposed PBS population current</w:t>
      </w:r>
      <w:r w:rsidR="00A77BCA" w:rsidRPr="00ED3C94">
        <w:t>ly</w:t>
      </w:r>
      <w:r w:rsidRPr="00ED3C94">
        <w:t xml:space="preserve"> experience zero injection site related events as they do not receive placebo treatments.  </w:t>
      </w:r>
    </w:p>
    <w:p w:rsidR="00174064" w:rsidRPr="00990AD0" w:rsidRDefault="0005422F" w:rsidP="00961807">
      <w:pPr>
        <w:widowControl w:val="0"/>
        <w:numPr>
          <w:ilvl w:val="1"/>
          <w:numId w:val="4"/>
        </w:numPr>
        <w:spacing w:before="0" w:after="120"/>
        <w:jc w:val="both"/>
      </w:pPr>
      <w:bookmarkStart w:id="22" w:name="_Toc413139281"/>
      <w:r w:rsidRPr="00990AD0">
        <w:t xml:space="preserve">The ESC noted there is very limited experience on the long term safety of this drug, considering it is intended for chronic use. In addition there </w:t>
      </w:r>
      <w:r w:rsidR="003C723F">
        <w:t>are</w:t>
      </w:r>
      <w:r w:rsidRPr="00990AD0">
        <w:t xml:space="preserve"> no data on dupilumab’s impact on live vaccines (Dupixent Product Information</w:t>
      </w:r>
      <w:r w:rsidR="00174064" w:rsidRPr="00990AD0">
        <w:t xml:space="preserve"> (PI)</w:t>
      </w:r>
      <w:r w:rsidRPr="00990AD0">
        <w:t xml:space="preserve">, p5). </w:t>
      </w:r>
      <w:r w:rsidR="00174064" w:rsidRPr="00990AD0">
        <w:t xml:space="preserve">As AD is a chronic illness, dupilumab can theoretically be used over a patient’s lifetime, thus this may impact on both AD and other long term diseases, such as asthma (Dupixent PI, p4). </w:t>
      </w:r>
    </w:p>
    <w:p w:rsidR="006C2AC8" w:rsidRPr="00990AD0" w:rsidRDefault="001C3019" w:rsidP="006C2AC8">
      <w:pPr>
        <w:widowControl w:val="0"/>
        <w:numPr>
          <w:ilvl w:val="1"/>
          <w:numId w:val="4"/>
        </w:numPr>
        <w:spacing w:before="0" w:after="120"/>
        <w:jc w:val="both"/>
      </w:pPr>
      <w:r w:rsidRPr="00990AD0">
        <w:t xml:space="preserve">The ESC noted an absence of data on </w:t>
      </w:r>
      <w:r w:rsidR="00D3374E" w:rsidRPr="00990AD0">
        <w:t>the optimal duration of therapy, on when or how to withdraw</w:t>
      </w:r>
      <w:r w:rsidR="003075C1" w:rsidRPr="00990AD0">
        <w:t xml:space="preserve"> </w:t>
      </w:r>
      <w:r w:rsidR="00D3374E" w:rsidRPr="00990AD0">
        <w:t>therapy, or on clinical outcomes (for AD and other conditions) when therapy is withdrawn</w:t>
      </w:r>
      <w:r w:rsidRPr="00990AD0">
        <w:t xml:space="preserve">. </w:t>
      </w:r>
      <w:r w:rsidR="003844C5" w:rsidRPr="00990AD0">
        <w:t xml:space="preserve">The comparator, </w:t>
      </w:r>
      <w:r w:rsidR="00174064" w:rsidRPr="00990AD0">
        <w:t>CsA</w:t>
      </w:r>
      <w:r w:rsidR="003844C5" w:rsidRPr="00990AD0">
        <w:t xml:space="preserve">, </w:t>
      </w:r>
      <w:r w:rsidR="004D1CC6" w:rsidRPr="00990AD0">
        <w:t xml:space="preserve">may </w:t>
      </w:r>
      <w:r w:rsidR="003844C5" w:rsidRPr="00990AD0">
        <w:t xml:space="preserve">cause exacerbations after </w:t>
      </w:r>
      <w:r w:rsidR="00174064" w:rsidRPr="00990AD0">
        <w:t>withdrawal</w:t>
      </w:r>
      <w:r w:rsidR="003844C5" w:rsidRPr="00990AD0">
        <w:t xml:space="preserve"> of treatment, which could potentially </w:t>
      </w:r>
      <w:r w:rsidR="004D1CC6" w:rsidRPr="00990AD0">
        <w:t xml:space="preserve">also </w:t>
      </w:r>
      <w:r w:rsidR="003844C5" w:rsidRPr="00990AD0">
        <w:t xml:space="preserve">occur </w:t>
      </w:r>
      <w:r w:rsidR="004D1CC6" w:rsidRPr="00990AD0">
        <w:t>on withdrawal</w:t>
      </w:r>
      <w:r w:rsidR="003844C5" w:rsidRPr="00990AD0">
        <w:t xml:space="preserve"> of dupilumab.</w:t>
      </w:r>
      <w:r w:rsidR="002950BD" w:rsidRPr="00990AD0">
        <w:t xml:space="preserve"> </w:t>
      </w:r>
      <w:r w:rsidR="006C2AC8" w:rsidRPr="00990AD0">
        <w:t xml:space="preserve">The ESC suggested potentially limiting the chronic listing to 12 months of treatment, until longer term safety and efficacy data </w:t>
      </w:r>
      <w:r w:rsidR="003C723F">
        <w:t>are</w:t>
      </w:r>
      <w:r w:rsidR="006C2AC8" w:rsidRPr="00990AD0">
        <w:t xml:space="preserve"> available. </w:t>
      </w:r>
    </w:p>
    <w:p w:rsidR="00174064" w:rsidRDefault="002A55E1" w:rsidP="00961807">
      <w:pPr>
        <w:widowControl w:val="0"/>
        <w:numPr>
          <w:ilvl w:val="1"/>
          <w:numId w:val="4"/>
        </w:numPr>
        <w:spacing w:before="0" w:after="120"/>
        <w:jc w:val="both"/>
      </w:pPr>
      <w:r>
        <w:t xml:space="preserve">The pre-PBAC </w:t>
      </w:r>
      <w:r w:rsidRPr="002E7D38">
        <w:t xml:space="preserve">response </w:t>
      </w:r>
      <w:r w:rsidR="00B44834">
        <w:t xml:space="preserve">maintained </w:t>
      </w:r>
      <w:r>
        <w:t xml:space="preserve">that </w:t>
      </w:r>
      <w:r w:rsidR="002E7D38">
        <w:t xml:space="preserve">chronic </w:t>
      </w:r>
      <w:r w:rsidR="00983FE3">
        <w:t xml:space="preserve">(continuous) </w:t>
      </w:r>
      <w:r w:rsidR="002E7D38">
        <w:t xml:space="preserve">use </w:t>
      </w:r>
      <w:r w:rsidR="00983FE3">
        <w:t xml:space="preserve">of dupilumab </w:t>
      </w:r>
      <w:r w:rsidR="002E7D38">
        <w:t xml:space="preserve">was clinically appropriate and that </w:t>
      </w:r>
      <w:r>
        <w:t xml:space="preserve">withdrawal of dupilumab would be at the patient’s detriment, by showing a decline of EASI-50 following treatment withdrawal </w:t>
      </w:r>
      <w:r w:rsidR="002E7D38">
        <w:t>at week 15 in</w:t>
      </w:r>
      <w:r>
        <w:t xml:space="preserve"> the 32 week Phase IIb dose-ranging study of dupilumab</w:t>
      </w:r>
      <w:r w:rsidR="002E7D38">
        <w:t xml:space="preserve">. </w:t>
      </w:r>
    </w:p>
    <w:p w:rsidR="0093702D" w:rsidRPr="00915F65" w:rsidRDefault="0093702D" w:rsidP="0093702D">
      <w:pPr>
        <w:pStyle w:val="Caption"/>
        <w:rPr>
          <w:noProof/>
          <w:sz w:val="24"/>
        </w:rPr>
      </w:pPr>
      <w:r>
        <w:t xml:space="preserve">Figure </w:t>
      </w:r>
      <w:fldSimple w:instr=" SEQ Figure \* ARABIC ">
        <w:r>
          <w:rPr>
            <w:noProof/>
          </w:rPr>
          <w:t>6</w:t>
        </w:r>
      </w:fldSimple>
      <w:r>
        <w:t xml:space="preserve">: </w:t>
      </w:r>
      <w:r w:rsidRPr="009A5F2E">
        <w:t>Proportion of patients with an EASI-50 over 32 weeks, with treatment withdrawal at Week 15</w:t>
      </w:r>
    </w:p>
    <w:p w:rsidR="002A55E1" w:rsidRPr="007A5B89" w:rsidRDefault="00557C85" w:rsidP="00287AB5">
      <w:pPr>
        <w:widowControl w:val="0"/>
        <w:spacing w:before="0" w:after="120"/>
        <w:jc w:val="both"/>
        <w:rPr>
          <w:rFonts w:ascii="Arial Narrow" w:hAnsi="Arial Narrow"/>
          <w:sz w:val="18"/>
        </w:rPr>
      </w:pPr>
      <w:r>
        <w:rPr>
          <w:noProof/>
          <w:lang w:eastAsia="en-AU"/>
        </w:rPr>
        <w:drawing>
          <wp:inline distT="0" distB="0" distL="0" distR="0" wp14:anchorId="50078DB8" wp14:editId="4CD49E1D">
            <wp:extent cx="5765800" cy="2247265"/>
            <wp:effectExtent l="0" t="0" r="6350" b="635"/>
            <wp:docPr id="2" name="Picture 2" title="Figure 6: Proportion of patients with an EASI-50 over 32 weeks, with treatment withdrawal at We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5800" cy="2247265"/>
                    </a:xfrm>
                    <a:prstGeom prst="rect">
                      <a:avLst/>
                    </a:prstGeom>
                    <a:noFill/>
                  </pic:spPr>
                </pic:pic>
              </a:graphicData>
            </a:graphic>
          </wp:inline>
        </w:drawing>
      </w:r>
      <w:r w:rsidR="002A55E1" w:rsidRPr="007A5B89">
        <w:rPr>
          <w:rFonts w:ascii="Arial Narrow" w:hAnsi="Arial Narrow"/>
          <w:sz w:val="18"/>
        </w:rPr>
        <w:t>Source</w:t>
      </w:r>
      <w:r w:rsidR="002A55E1">
        <w:rPr>
          <w:rFonts w:ascii="Arial Narrow" w:hAnsi="Arial Narrow"/>
          <w:sz w:val="18"/>
        </w:rPr>
        <w:t>: Figure 1 of the pre-PBAC response, p2</w:t>
      </w:r>
    </w:p>
    <w:p w:rsidR="002A55E1" w:rsidRDefault="00983FE3" w:rsidP="00B44834">
      <w:pPr>
        <w:widowControl w:val="0"/>
        <w:numPr>
          <w:ilvl w:val="1"/>
          <w:numId w:val="4"/>
        </w:numPr>
        <w:spacing w:before="0" w:after="120"/>
        <w:jc w:val="both"/>
      </w:pPr>
      <w:r>
        <w:t>In t</w:t>
      </w:r>
      <w:r w:rsidR="0049244D">
        <w:t>he pre-PBAC response</w:t>
      </w:r>
      <w:r w:rsidR="00B44834">
        <w:t>,</w:t>
      </w:r>
      <w:r w:rsidR="0049244D">
        <w:t xml:space="preserve"> </w:t>
      </w:r>
      <w:r>
        <w:t xml:space="preserve">the sponsor </w:t>
      </w:r>
      <w:r w:rsidR="0049244D">
        <w:t xml:space="preserve">also </w:t>
      </w:r>
      <w:r>
        <w:t>provided</w:t>
      </w:r>
      <w:r w:rsidR="0049244D">
        <w:t xml:space="preserve"> data from the SOLO-CONTINUE study, which compared patients either continuing on dupilumab or placebo treatment following 16 weeks of dupilumab treatment. </w:t>
      </w:r>
      <w:r>
        <w:t xml:space="preserve">Of 79 patients in the placebo </w:t>
      </w:r>
      <w:r>
        <w:lastRenderedPageBreak/>
        <w:t>group</w:t>
      </w:r>
      <w:r w:rsidR="00B44834">
        <w:t>,</w:t>
      </w:r>
      <w:r>
        <w:t xml:space="preserve"> </w:t>
      </w:r>
      <w:r w:rsidR="00330093">
        <w:rPr>
          <w:noProof/>
          <w:color w:val="000000"/>
          <w:highlight w:val="black"/>
        </w:rPr>
        <w:t>'''''</w:t>
      </w:r>
      <w:r w:rsidR="005F358D">
        <w:t xml:space="preserve"> (</w:t>
      </w:r>
      <w:r w:rsidR="00330093">
        <w:rPr>
          <w:noProof/>
          <w:color w:val="000000"/>
          <w:highlight w:val="black"/>
        </w:rPr>
        <w:t>''''''''</w:t>
      </w:r>
      <w:r w:rsidR="005F358D" w:rsidRPr="00330093">
        <w:t>%</w:t>
      </w:r>
      <w:r w:rsidR="001077F7">
        <w:t>)</w:t>
      </w:r>
      <w:r>
        <w:t xml:space="preserve"> </w:t>
      </w:r>
      <w:r w:rsidR="0049244D">
        <w:t xml:space="preserve">achieved an EASI-75 response at week 36 compared to </w:t>
      </w:r>
      <w:r w:rsidR="00330093">
        <w:rPr>
          <w:noProof/>
          <w:color w:val="000000"/>
          <w:highlight w:val="black"/>
        </w:rPr>
        <w:t>''''''''</w:t>
      </w:r>
      <w:r w:rsidRPr="001077F7">
        <w:t>/</w:t>
      </w:r>
      <w:r w:rsidR="00330093">
        <w:rPr>
          <w:noProof/>
          <w:color w:val="000000"/>
          <w:highlight w:val="black"/>
        </w:rPr>
        <w:t>'''''''</w:t>
      </w:r>
      <w:r>
        <w:t xml:space="preserve"> (</w:t>
      </w:r>
      <w:r w:rsidR="00330093">
        <w:rPr>
          <w:noProof/>
          <w:color w:val="000000"/>
          <w:highlight w:val="black"/>
        </w:rPr>
        <w:t>''''''''</w:t>
      </w:r>
      <w:r w:rsidR="0049244D">
        <w:t>%</w:t>
      </w:r>
      <w:r>
        <w:t>)</w:t>
      </w:r>
      <w:r w:rsidR="0049244D">
        <w:t xml:space="preserve"> of patients who continued dupilumab 300 mg Q2W dosing. </w:t>
      </w:r>
      <w:r>
        <w:t>The sponsor</w:t>
      </w:r>
      <w:r w:rsidR="0049244D">
        <w:t xml:space="preserve"> stated that patients in the placebo group had a decline in quality of life following dupilumab withdrawal. </w:t>
      </w:r>
      <w:r w:rsidR="002C30D7">
        <w:t xml:space="preserve">In addition </w:t>
      </w:r>
      <w:r>
        <w:t>the sponsor claimed</w:t>
      </w:r>
      <w:r w:rsidR="0049244D">
        <w:t xml:space="preserve"> that dupilumab can be withdrawn safely without an increase in TEAEs, presenting comparable safety data between placebo and dupilumab groups via the same CONTINUE study. </w:t>
      </w:r>
      <w:r>
        <w:t xml:space="preserve">In this study </w:t>
      </w:r>
      <w:r w:rsidRPr="00983FE3">
        <w:t xml:space="preserve">there were 81.7% and 1.2% of patients in the placebo group who experienced any TEAE and any </w:t>
      </w:r>
      <w:r>
        <w:t>treatment emergent serious adverse event</w:t>
      </w:r>
      <w:r w:rsidRPr="00983FE3">
        <w:t>, respectively, compared with 70.7% and 3.6% of dupilumab 300 mg Q2W patients</w:t>
      </w:r>
      <w:r>
        <w:t>.</w:t>
      </w:r>
    </w:p>
    <w:p w:rsidR="002C30D7" w:rsidRDefault="002C30D7" w:rsidP="00961807">
      <w:pPr>
        <w:widowControl w:val="0"/>
        <w:numPr>
          <w:ilvl w:val="1"/>
          <w:numId w:val="4"/>
        </w:numPr>
        <w:spacing w:before="0" w:after="120"/>
        <w:jc w:val="both"/>
      </w:pPr>
      <w:r>
        <w:t xml:space="preserve">The pre-PBAC response stated that if treatment were to be stopped and restarted, patients would be at risk of developing anti-drug-antibodies (ADAs), which is a theoretical concern for all protein biologics. The OLE study had an ADA analysis set, where at its interim analysis </w:t>
      </w:r>
      <w:r w:rsidR="00330093">
        <w:rPr>
          <w:noProof/>
          <w:color w:val="000000"/>
          <w:highlight w:val="black"/>
        </w:rPr>
        <w:t>''''''</w:t>
      </w:r>
      <w:r>
        <w:t xml:space="preserve">% of dupilumab-naïve patients experienced a treatment-emergent positive ADA response compared with </w:t>
      </w:r>
      <w:r w:rsidR="00330093">
        <w:rPr>
          <w:noProof/>
          <w:color w:val="000000"/>
          <w:highlight w:val="black"/>
        </w:rPr>
        <w:t>'''''''</w:t>
      </w:r>
      <w:r>
        <w:t xml:space="preserve">% in the re-treatment group. Persistently positive ADA responses were observed in </w:t>
      </w:r>
      <w:r w:rsidR="00330093">
        <w:rPr>
          <w:noProof/>
          <w:color w:val="000000"/>
          <w:highlight w:val="black"/>
        </w:rPr>
        <w:t>''''''</w:t>
      </w:r>
      <w:r>
        <w:t xml:space="preserve">% of the dupilumab-naïve group versus </w:t>
      </w:r>
      <w:r w:rsidR="00330093">
        <w:rPr>
          <w:noProof/>
          <w:color w:val="000000"/>
          <w:highlight w:val="black"/>
        </w:rPr>
        <w:t>''''''</w:t>
      </w:r>
      <w:r w:rsidR="00330093" w:rsidRPr="00330093">
        <w:rPr>
          <w:noProof/>
          <w:color w:val="000000"/>
        </w:rPr>
        <w:t>'</w:t>
      </w:r>
      <w:r w:rsidR="001077F7" w:rsidRPr="00330093">
        <w:t>%</w:t>
      </w:r>
      <w:r w:rsidR="001077F7">
        <w:t xml:space="preserve"> </w:t>
      </w:r>
      <w:r>
        <w:t>of re-treated patients. The pre-PBAC response reiterated that dupilumab should be used for ongoing treatment o</w:t>
      </w:r>
      <w:r w:rsidR="005E400C">
        <w:t>f chronic AD, which was in line with the TGA indication.</w:t>
      </w:r>
    </w:p>
    <w:p w:rsidR="001C3019" w:rsidRPr="004D3C91" w:rsidRDefault="001C3019" w:rsidP="001C3019">
      <w:pPr>
        <w:pStyle w:val="Heading2"/>
      </w:pPr>
      <w:r w:rsidRPr="004D3C91">
        <w:t>Benefits and harms</w:t>
      </w:r>
    </w:p>
    <w:p w:rsidR="00357657" w:rsidRPr="00ED3C94" w:rsidRDefault="00034404" w:rsidP="00961807">
      <w:pPr>
        <w:widowControl w:val="0"/>
        <w:numPr>
          <w:ilvl w:val="1"/>
          <w:numId w:val="4"/>
        </w:numPr>
        <w:spacing w:before="0" w:after="120"/>
        <w:jc w:val="both"/>
      </w:pPr>
      <w:r w:rsidRPr="00ED3C94">
        <w:t>A summary of the comparative benefits and harm</w:t>
      </w:r>
      <w:r w:rsidRPr="00983FE3">
        <w:t>s for</w:t>
      </w:r>
      <w:r w:rsidR="001C3019" w:rsidRPr="00983FE3">
        <w:t xml:space="preserve"> short term</w:t>
      </w:r>
      <w:r w:rsidRPr="00ED3C94">
        <w:t xml:space="preserve"> </w:t>
      </w:r>
      <w:r w:rsidR="00192FCC" w:rsidRPr="00ED3C94">
        <w:t>dupilumab</w:t>
      </w:r>
      <w:r w:rsidRPr="00ED3C94">
        <w:t xml:space="preserve"> versus </w:t>
      </w:r>
      <w:r w:rsidR="00192FCC" w:rsidRPr="00ED3C94">
        <w:t>placebo</w:t>
      </w:r>
      <w:r w:rsidRPr="00ED3C94">
        <w:t xml:space="preserve"> is presented in </w:t>
      </w:r>
      <w:r w:rsidR="009B5A44" w:rsidRPr="00ED3C94">
        <w:t xml:space="preserve">Table </w:t>
      </w:r>
      <w:r w:rsidR="009B5A44" w:rsidRPr="00ED3C94">
        <w:rPr>
          <w:noProof/>
        </w:rPr>
        <w:t>5</w:t>
      </w:r>
      <w:r w:rsidRPr="00990AD0">
        <w:t xml:space="preserve">. </w:t>
      </w:r>
      <w:r w:rsidR="001C3019" w:rsidRPr="00990AD0">
        <w:t>Evidence on long term benefits and harms, which is more relevan</w:t>
      </w:r>
      <w:r w:rsidR="00A32B10" w:rsidRPr="00990AD0">
        <w:t>t to the proposed chronic use, wa</w:t>
      </w:r>
      <w:r w:rsidR="001C3019" w:rsidRPr="00990AD0">
        <w:t>s not available.</w:t>
      </w:r>
    </w:p>
    <w:p w:rsidR="0093702D" w:rsidRDefault="0093702D" w:rsidP="0093702D">
      <w:pPr>
        <w:pStyle w:val="Caption"/>
      </w:pPr>
      <w:r>
        <w:lastRenderedPageBreak/>
        <w:t xml:space="preserve">Table </w:t>
      </w:r>
      <w:r w:rsidR="00557C85">
        <w:fldChar w:fldCharType="begin"/>
      </w:r>
      <w:r w:rsidR="00557C85">
        <w:instrText xml:space="preserve"> SEQ Table \* ARABIC </w:instrText>
      </w:r>
      <w:r w:rsidR="00557C85">
        <w:fldChar w:fldCharType="separate"/>
      </w:r>
      <w:r>
        <w:rPr>
          <w:noProof/>
        </w:rPr>
        <w:t>5</w:t>
      </w:r>
      <w:r w:rsidR="00557C85">
        <w:rPr>
          <w:noProof/>
        </w:rPr>
        <w:fldChar w:fldCharType="end"/>
      </w:r>
      <w:r>
        <w:t xml:space="preserve">: </w:t>
      </w:r>
      <w:r w:rsidRPr="00DE300A">
        <w:t>Summary of comparative benefits and harms for dupilumab and placebo</w:t>
      </w:r>
    </w:p>
    <w:tbl>
      <w:tblPr>
        <w:tblStyle w:val="TableGrid"/>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Summary of comparative benefits and harms for dupilumab and placebo"/>
      </w:tblPr>
      <w:tblGrid>
        <w:gridCol w:w="1781"/>
        <w:gridCol w:w="11"/>
        <w:gridCol w:w="1107"/>
        <w:gridCol w:w="1268"/>
        <w:gridCol w:w="1522"/>
        <w:gridCol w:w="1054"/>
        <w:gridCol w:w="54"/>
        <w:gridCol w:w="998"/>
        <w:gridCol w:w="60"/>
        <w:gridCol w:w="1218"/>
      </w:tblGrid>
      <w:tr w:rsidR="00FE2431" w:rsidRPr="00ED3C94" w:rsidTr="00F47FAE">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10"/>
            <w:shd w:val="clear" w:color="auto" w:fill="auto"/>
            <w:vAlign w:val="center"/>
          </w:tcPr>
          <w:p w:rsidR="00FE2431" w:rsidRPr="00ED3C94" w:rsidRDefault="00FE2431" w:rsidP="00772501">
            <w:pPr>
              <w:pStyle w:val="TableText"/>
              <w:rPr>
                <w:u w:val="single"/>
              </w:rPr>
            </w:pPr>
            <w:r w:rsidRPr="00ED3C94">
              <w:rPr>
                <w:u w:val="single"/>
              </w:rPr>
              <w:t>Benefits</w:t>
            </w:r>
          </w:p>
        </w:tc>
      </w:tr>
      <w:tr w:rsidR="00FE2431" w:rsidRPr="00ED3C94" w:rsidTr="00065CDE">
        <w:trPr>
          <w:trHeight w:val="150"/>
        </w:trPr>
        <w:tc>
          <w:tcPr>
            <w:tcW w:w="5000" w:type="pct"/>
            <w:gridSpan w:val="10"/>
            <w:shd w:val="clear" w:color="auto" w:fill="auto"/>
            <w:vAlign w:val="center"/>
          </w:tcPr>
          <w:p w:rsidR="00FE2431" w:rsidRPr="00ED3C94" w:rsidRDefault="00FE2431" w:rsidP="00772501">
            <w:pPr>
              <w:pStyle w:val="TableText"/>
            </w:pPr>
            <w:r w:rsidRPr="00ED3C94">
              <w:rPr>
                <w:b/>
              </w:rPr>
              <w:t>Dichotomous Outcome I</w:t>
            </w:r>
            <w:r w:rsidR="00192FCC" w:rsidRPr="00ED3C94">
              <w:rPr>
                <w:b/>
              </w:rPr>
              <w:t xml:space="preserve"> – EASI-75 response</w:t>
            </w:r>
            <w:r w:rsidR="001A00B7" w:rsidRPr="00ED3C94">
              <w:rPr>
                <w:b/>
              </w:rPr>
              <w:t xml:space="preserve"> at Week 16</w:t>
            </w:r>
          </w:p>
        </w:tc>
      </w:tr>
      <w:tr w:rsidR="00DD3049" w:rsidRPr="00ED3C94" w:rsidTr="0093702D">
        <w:trPr>
          <w:trHeight w:val="150"/>
        </w:trPr>
        <w:tc>
          <w:tcPr>
            <w:tcW w:w="981" w:type="pct"/>
            <w:vMerge w:val="restart"/>
            <w:shd w:val="clear" w:color="auto" w:fill="auto"/>
            <w:vAlign w:val="center"/>
          </w:tcPr>
          <w:p w:rsidR="00034404" w:rsidRPr="00ED3C94" w:rsidRDefault="00034404" w:rsidP="00772501">
            <w:pPr>
              <w:pStyle w:val="TableText"/>
              <w:rPr>
                <w:b/>
              </w:rPr>
            </w:pPr>
            <w:r w:rsidRPr="00ED3C94">
              <w:rPr>
                <w:b/>
              </w:rPr>
              <w:t>Trial</w:t>
            </w:r>
          </w:p>
        </w:tc>
        <w:tc>
          <w:tcPr>
            <w:tcW w:w="616" w:type="pct"/>
            <w:gridSpan w:val="2"/>
            <w:vMerge w:val="restart"/>
            <w:shd w:val="clear" w:color="auto" w:fill="auto"/>
            <w:vAlign w:val="center"/>
          </w:tcPr>
          <w:p w:rsidR="00034404" w:rsidRPr="00ED3C94" w:rsidRDefault="00192FCC" w:rsidP="001A00B7">
            <w:pPr>
              <w:pStyle w:val="TableText"/>
              <w:jc w:val="center"/>
              <w:rPr>
                <w:b/>
              </w:rPr>
            </w:pPr>
            <w:r w:rsidRPr="00ED3C94">
              <w:rPr>
                <w:b/>
              </w:rPr>
              <w:t>Dupilumab</w:t>
            </w:r>
          </w:p>
        </w:tc>
        <w:tc>
          <w:tcPr>
            <w:tcW w:w="699" w:type="pct"/>
            <w:vMerge w:val="restart"/>
            <w:shd w:val="clear" w:color="auto" w:fill="auto"/>
            <w:vAlign w:val="center"/>
          </w:tcPr>
          <w:p w:rsidR="00034404" w:rsidRPr="00ED3C94" w:rsidRDefault="00192FCC" w:rsidP="001A00B7">
            <w:pPr>
              <w:pStyle w:val="TableText"/>
              <w:jc w:val="center"/>
              <w:rPr>
                <w:b/>
              </w:rPr>
            </w:pPr>
            <w:r w:rsidRPr="00ED3C94">
              <w:rPr>
                <w:b/>
              </w:rPr>
              <w:t>Placebo</w:t>
            </w:r>
          </w:p>
        </w:tc>
        <w:tc>
          <w:tcPr>
            <w:tcW w:w="839" w:type="pct"/>
            <w:vMerge w:val="restart"/>
            <w:shd w:val="clear" w:color="auto" w:fill="auto"/>
            <w:vAlign w:val="center"/>
          </w:tcPr>
          <w:p w:rsidR="00034404" w:rsidRPr="00ED3C94" w:rsidRDefault="00034404" w:rsidP="001A00B7">
            <w:pPr>
              <w:pStyle w:val="TableText"/>
              <w:jc w:val="center"/>
              <w:rPr>
                <w:b/>
              </w:rPr>
            </w:pPr>
            <w:r w:rsidRPr="00ED3C94">
              <w:rPr>
                <w:b/>
              </w:rPr>
              <w:t>RR</w:t>
            </w:r>
          </w:p>
          <w:p w:rsidR="00034404" w:rsidRPr="00ED3C94" w:rsidRDefault="00034404" w:rsidP="001A00B7">
            <w:pPr>
              <w:pStyle w:val="TableText"/>
              <w:jc w:val="center"/>
              <w:rPr>
                <w:b/>
              </w:rPr>
            </w:pPr>
            <w:r w:rsidRPr="00ED3C94">
              <w:rPr>
                <w:b/>
              </w:rPr>
              <w:t>(95% CI)</w:t>
            </w:r>
          </w:p>
        </w:tc>
        <w:tc>
          <w:tcPr>
            <w:tcW w:w="1161" w:type="pct"/>
            <w:gridSpan w:val="3"/>
            <w:shd w:val="clear" w:color="auto" w:fill="auto"/>
            <w:vAlign w:val="center"/>
          </w:tcPr>
          <w:p w:rsidR="00034404" w:rsidRPr="00ED3C94" w:rsidRDefault="00034404" w:rsidP="001A00B7">
            <w:pPr>
              <w:pStyle w:val="TableText"/>
              <w:jc w:val="center"/>
              <w:rPr>
                <w:b/>
              </w:rPr>
            </w:pPr>
            <w:r w:rsidRPr="00ED3C94">
              <w:rPr>
                <w:b/>
              </w:rPr>
              <w:t>Event</w:t>
            </w:r>
            <w:r w:rsidR="001279AE" w:rsidRPr="00ED3C94">
              <w:rPr>
                <w:b/>
              </w:rPr>
              <w:t>s</w:t>
            </w:r>
            <w:r w:rsidRPr="00ED3C94">
              <w:rPr>
                <w:b/>
              </w:rPr>
              <w:t>/100 patients*</w:t>
            </w:r>
          </w:p>
        </w:tc>
        <w:tc>
          <w:tcPr>
            <w:tcW w:w="705" w:type="pct"/>
            <w:gridSpan w:val="2"/>
            <w:vMerge w:val="restart"/>
            <w:shd w:val="clear" w:color="auto" w:fill="auto"/>
            <w:vAlign w:val="center"/>
          </w:tcPr>
          <w:p w:rsidR="00034404" w:rsidRPr="00ED3C94" w:rsidRDefault="00034404" w:rsidP="001A00B7">
            <w:pPr>
              <w:pStyle w:val="TableText"/>
              <w:jc w:val="center"/>
              <w:rPr>
                <w:b/>
              </w:rPr>
            </w:pPr>
            <w:r w:rsidRPr="00ED3C94">
              <w:rPr>
                <w:b/>
              </w:rPr>
              <w:t>RD</w:t>
            </w:r>
            <w:r w:rsidR="00A252D4" w:rsidRPr="00ED3C94">
              <w:rPr>
                <w:b/>
              </w:rPr>
              <w:t>, %</w:t>
            </w:r>
          </w:p>
          <w:p w:rsidR="00034404" w:rsidRPr="00ED3C94" w:rsidRDefault="00034404" w:rsidP="001A00B7">
            <w:pPr>
              <w:pStyle w:val="TableText"/>
              <w:jc w:val="center"/>
              <w:rPr>
                <w:b/>
              </w:rPr>
            </w:pPr>
            <w:r w:rsidRPr="00ED3C94">
              <w:rPr>
                <w:b/>
              </w:rPr>
              <w:t>(95% CI)</w:t>
            </w:r>
          </w:p>
        </w:tc>
      </w:tr>
      <w:tr w:rsidR="00DD3049" w:rsidRPr="00ED3C94" w:rsidTr="0093702D">
        <w:trPr>
          <w:trHeight w:val="315"/>
        </w:trPr>
        <w:tc>
          <w:tcPr>
            <w:tcW w:w="981" w:type="pct"/>
            <w:vMerge/>
            <w:shd w:val="clear" w:color="auto" w:fill="auto"/>
            <w:vAlign w:val="center"/>
          </w:tcPr>
          <w:p w:rsidR="00034404" w:rsidRPr="00ED3C94" w:rsidRDefault="00034404" w:rsidP="00772501">
            <w:pPr>
              <w:pStyle w:val="TableText"/>
            </w:pPr>
          </w:p>
        </w:tc>
        <w:tc>
          <w:tcPr>
            <w:tcW w:w="616" w:type="pct"/>
            <w:gridSpan w:val="2"/>
            <w:vMerge/>
            <w:shd w:val="clear" w:color="auto" w:fill="auto"/>
            <w:vAlign w:val="center"/>
          </w:tcPr>
          <w:p w:rsidR="00034404" w:rsidRPr="00ED3C94" w:rsidRDefault="00034404" w:rsidP="001A00B7">
            <w:pPr>
              <w:pStyle w:val="TableText"/>
              <w:jc w:val="center"/>
            </w:pPr>
          </w:p>
        </w:tc>
        <w:tc>
          <w:tcPr>
            <w:tcW w:w="699" w:type="pct"/>
            <w:vMerge/>
            <w:shd w:val="clear" w:color="auto" w:fill="auto"/>
            <w:vAlign w:val="center"/>
          </w:tcPr>
          <w:p w:rsidR="00034404" w:rsidRPr="00ED3C94" w:rsidRDefault="00034404" w:rsidP="001A00B7">
            <w:pPr>
              <w:pStyle w:val="TableText"/>
              <w:jc w:val="center"/>
            </w:pPr>
          </w:p>
        </w:tc>
        <w:tc>
          <w:tcPr>
            <w:tcW w:w="839" w:type="pct"/>
            <w:vMerge/>
            <w:shd w:val="clear" w:color="auto" w:fill="auto"/>
            <w:vAlign w:val="center"/>
          </w:tcPr>
          <w:p w:rsidR="00034404" w:rsidRPr="00ED3C94" w:rsidRDefault="00034404" w:rsidP="001A00B7">
            <w:pPr>
              <w:pStyle w:val="TableText"/>
              <w:jc w:val="center"/>
            </w:pPr>
          </w:p>
        </w:tc>
        <w:tc>
          <w:tcPr>
            <w:tcW w:w="581" w:type="pct"/>
            <w:shd w:val="clear" w:color="auto" w:fill="auto"/>
            <w:vAlign w:val="center"/>
          </w:tcPr>
          <w:p w:rsidR="00034404" w:rsidRPr="00ED3C94" w:rsidRDefault="00192FCC" w:rsidP="001A00B7">
            <w:pPr>
              <w:pStyle w:val="TableText"/>
              <w:jc w:val="center"/>
              <w:rPr>
                <w:b/>
              </w:rPr>
            </w:pPr>
            <w:r w:rsidRPr="00ED3C94">
              <w:rPr>
                <w:b/>
              </w:rPr>
              <w:t>Dupilumab</w:t>
            </w:r>
          </w:p>
        </w:tc>
        <w:tc>
          <w:tcPr>
            <w:tcW w:w="580" w:type="pct"/>
            <w:gridSpan w:val="2"/>
            <w:shd w:val="clear" w:color="auto" w:fill="auto"/>
            <w:vAlign w:val="center"/>
          </w:tcPr>
          <w:p w:rsidR="00034404" w:rsidRPr="00ED3C94" w:rsidRDefault="00192FCC" w:rsidP="001A00B7">
            <w:pPr>
              <w:pStyle w:val="TableText"/>
              <w:jc w:val="center"/>
              <w:rPr>
                <w:b/>
              </w:rPr>
            </w:pPr>
            <w:r w:rsidRPr="00ED3C94">
              <w:rPr>
                <w:b/>
              </w:rPr>
              <w:t>Placebo</w:t>
            </w:r>
          </w:p>
        </w:tc>
        <w:tc>
          <w:tcPr>
            <w:tcW w:w="705" w:type="pct"/>
            <w:gridSpan w:val="2"/>
            <w:vMerge/>
            <w:shd w:val="clear" w:color="auto" w:fill="auto"/>
            <w:vAlign w:val="center"/>
          </w:tcPr>
          <w:p w:rsidR="00034404" w:rsidRPr="00ED3C94" w:rsidRDefault="00034404" w:rsidP="001A00B7">
            <w:pPr>
              <w:pStyle w:val="TableText"/>
              <w:jc w:val="center"/>
            </w:pPr>
          </w:p>
        </w:tc>
      </w:tr>
      <w:tr w:rsidR="00DD3049" w:rsidRPr="00ED3C94" w:rsidTr="0093702D">
        <w:tc>
          <w:tcPr>
            <w:tcW w:w="981" w:type="pct"/>
            <w:shd w:val="clear" w:color="auto" w:fill="auto"/>
            <w:vAlign w:val="center"/>
          </w:tcPr>
          <w:p w:rsidR="00034404" w:rsidRPr="00ED3C94" w:rsidRDefault="00192FCC" w:rsidP="00772501">
            <w:pPr>
              <w:pStyle w:val="TableText"/>
            </w:pPr>
            <w:r w:rsidRPr="00ED3C94">
              <w:t>Meta-analysis (whole trial populations)</w:t>
            </w:r>
          </w:p>
        </w:tc>
        <w:tc>
          <w:tcPr>
            <w:tcW w:w="616" w:type="pct"/>
            <w:gridSpan w:val="2"/>
            <w:shd w:val="clear" w:color="auto" w:fill="auto"/>
            <w:vAlign w:val="center"/>
          </w:tcPr>
          <w:p w:rsidR="00034404" w:rsidRPr="00ED3C94" w:rsidRDefault="00330093" w:rsidP="001A00B7">
            <w:pPr>
              <w:pStyle w:val="TableText"/>
              <w:jc w:val="center"/>
            </w:pPr>
            <w:r>
              <w:rPr>
                <w:noProof/>
                <w:color w:val="000000"/>
                <w:highlight w:val="black"/>
              </w:rPr>
              <w:t>''''''''''</w:t>
            </w:r>
            <w:r w:rsidR="001A00B7" w:rsidRPr="00ED3C94">
              <w:t>/</w:t>
            </w:r>
            <w:r>
              <w:rPr>
                <w:noProof/>
                <w:color w:val="000000"/>
                <w:highlight w:val="black"/>
              </w:rPr>
              <w:t>'''''''''</w:t>
            </w:r>
          </w:p>
        </w:tc>
        <w:tc>
          <w:tcPr>
            <w:tcW w:w="699" w:type="pct"/>
            <w:shd w:val="clear" w:color="auto" w:fill="auto"/>
            <w:vAlign w:val="center"/>
          </w:tcPr>
          <w:p w:rsidR="00034404" w:rsidRPr="00ED3C94" w:rsidRDefault="00330093" w:rsidP="001A00B7">
            <w:pPr>
              <w:pStyle w:val="TableText"/>
              <w:jc w:val="center"/>
            </w:pPr>
            <w:r>
              <w:rPr>
                <w:noProof/>
                <w:color w:val="000000"/>
                <w:highlight w:val="black"/>
              </w:rPr>
              <w:t>''''''''</w:t>
            </w:r>
            <w:r w:rsidR="001A00B7" w:rsidRPr="00ED3C94">
              <w:t>/</w:t>
            </w:r>
            <w:r>
              <w:rPr>
                <w:noProof/>
                <w:color w:val="000000"/>
                <w:highlight w:val="black"/>
              </w:rPr>
              <w:t>''''''''''</w:t>
            </w:r>
          </w:p>
        </w:tc>
        <w:tc>
          <w:tcPr>
            <w:tcW w:w="839" w:type="pct"/>
            <w:shd w:val="clear" w:color="auto" w:fill="auto"/>
            <w:vAlign w:val="center"/>
          </w:tcPr>
          <w:p w:rsidR="00034404" w:rsidRPr="00ED3C94" w:rsidRDefault="00330093" w:rsidP="001A00B7">
            <w:pPr>
              <w:pStyle w:val="TableText"/>
              <w:jc w:val="center"/>
              <w:rPr>
                <w:b/>
              </w:rPr>
            </w:pPr>
            <w:r>
              <w:rPr>
                <w:b/>
                <w:noProof/>
                <w:color w:val="000000"/>
                <w:highlight w:val="black"/>
              </w:rPr>
              <w:t>'''''''''</w:t>
            </w:r>
            <w:r w:rsidR="001A00B7" w:rsidRPr="00ED3C94">
              <w:rPr>
                <w:b/>
              </w:rPr>
              <w:t xml:space="preserve"> (</w:t>
            </w:r>
            <w:r>
              <w:rPr>
                <w:b/>
                <w:noProof/>
                <w:color w:val="000000"/>
                <w:highlight w:val="black"/>
              </w:rPr>
              <w:t>''''''''</w:t>
            </w:r>
            <w:r w:rsidR="001A00B7" w:rsidRPr="00ED3C94">
              <w:rPr>
                <w:b/>
              </w:rPr>
              <w:t xml:space="preserve">, </w:t>
            </w:r>
            <w:r>
              <w:rPr>
                <w:b/>
                <w:noProof/>
                <w:color w:val="000000"/>
                <w:highlight w:val="black"/>
              </w:rPr>
              <w:t>''''''''''</w:t>
            </w:r>
            <w:r w:rsidR="001A00B7" w:rsidRPr="00ED3C94">
              <w:rPr>
                <w:b/>
              </w:rPr>
              <w:t>)</w:t>
            </w:r>
          </w:p>
        </w:tc>
        <w:tc>
          <w:tcPr>
            <w:tcW w:w="581" w:type="pct"/>
            <w:shd w:val="clear" w:color="auto" w:fill="auto"/>
            <w:vAlign w:val="center"/>
          </w:tcPr>
          <w:p w:rsidR="00034404" w:rsidRPr="00330093" w:rsidRDefault="00330093" w:rsidP="001A00B7">
            <w:pPr>
              <w:pStyle w:val="TableText"/>
              <w:jc w:val="center"/>
              <w:rPr>
                <w:highlight w:val="black"/>
              </w:rPr>
            </w:pPr>
            <w:r>
              <w:rPr>
                <w:noProof/>
                <w:color w:val="000000"/>
                <w:highlight w:val="black"/>
              </w:rPr>
              <w:t>'''''''''''</w:t>
            </w:r>
          </w:p>
        </w:tc>
        <w:tc>
          <w:tcPr>
            <w:tcW w:w="580" w:type="pct"/>
            <w:gridSpan w:val="2"/>
            <w:shd w:val="clear" w:color="auto" w:fill="auto"/>
            <w:vAlign w:val="center"/>
          </w:tcPr>
          <w:p w:rsidR="00034404" w:rsidRPr="00330093" w:rsidRDefault="00330093" w:rsidP="001A00B7">
            <w:pPr>
              <w:pStyle w:val="TableText"/>
              <w:jc w:val="center"/>
              <w:rPr>
                <w:highlight w:val="black"/>
              </w:rPr>
            </w:pPr>
            <w:r>
              <w:rPr>
                <w:noProof/>
                <w:color w:val="000000"/>
                <w:highlight w:val="black"/>
              </w:rPr>
              <w:t>''''''''''</w:t>
            </w:r>
          </w:p>
        </w:tc>
        <w:tc>
          <w:tcPr>
            <w:tcW w:w="705" w:type="pct"/>
            <w:gridSpan w:val="2"/>
            <w:shd w:val="clear" w:color="auto" w:fill="auto"/>
            <w:vAlign w:val="center"/>
          </w:tcPr>
          <w:p w:rsidR="00034404" w:rsidRPr="00ED3C94" w:rsidRDefault="00330093" w:rsidP="001A00B7">
            <w:pPr>
              <w:pStyle w:val="TableText"/>
              <w:jc w:val="center"/>
              <w:rPr>
                <w:b/>
              </w:rPr>
            </w:pPr>
            <w:r>
              <w:rPr>
                <w:b/>
                <w:noProof/>
                <w:color w:val="000000"/>
                <w:highlight w:val="black"/>
              </w:rPr>
              <w:t>''''''</w:t>
            </w:r>
            <w:r w:rsidR="00A252D4" w:rsidRPr="00ED3C94">
              <w:rPr>
                <w:b/>
              </w:rPr>
              <w:t xml:space="preserve"> (</w:t>
            </w:r>
            <w:r>
              <w:rPr>
                <w:b/>
                <w:noProof/>
                <w:color w:val="000000"/>
                <w:highlight w:val="black"/>
              </w:rPr>
              <w:t>'''''</w:t>
            </w:r>
            <w:r w:rsidR="00A252D4" w:rsidRPr="00ED3C94">
              <w:rPr>
                <w:b/>
              </w:rPr>
              <w:t xml:space="preserve">, </w:t>
            </w:r>
            <w:r>
              <w:rPr>
                <w:b/>
                <w:noProof/>
                <w:color w:val="000000"/>
                <w:highlight w:val="black"/>
              </w:rPr>
              <w:t>''''</w:t>
            </w:r>
            <w:r w:rsidR="001A00B7" w:rsidRPr="00ED3C94">
              <w:rPr>
                <w:b/>
              </w:rPr>
              <w:t>)</w:t>
            </w:r>
          </w:p>
        </w:tc>
      </w:tr>
      <w:tr w:rsidR="001A00B7" w:rsidRPr="00ED3C94" w:rsidTr="0093702D">
        <w:tc>
          <w:tcPr>
            <w:tcW w:w="981" w:type="pct"/>
            <w:shd w:val="clear" w:color="auto" w:fill="auto"/>
            <w:vAlign w:val="center"/>
          </w:tcPr>
          <w:p w:rsidR="001A00B7" w:rsidRPr="00ED3C94" w:rsidRDefault="001A00B7" w:rsidP="00772501">
            <w:pPr>
              <w:pStyle w:val="TableText"/>
            </w:pPr>
            <w:r w:rsidRPr="00ED3C94">
              <w:t>CAFÉ (whole trial population)</w:t>
            </w:r>
          </w:p>
        </w:tc>
        <w:tc>
          <w:tcPr>
            <w:tcW w:w="616" w:type="pct"/>
            <w:gridSpan w:val="2"/>
            <w:shd w:val="clear" w:color="auto" w:fill="auto"/>
            <w:vAlign w:val="center"/>
          </w:tcPr>
          <w:p w:rsidR="001A00B7" w:rsidRPr="00ED3C94" w:rsidRDefault="001A00B7" w:rsidP="001A00B7">
            <w:pPr>
              <w:pStyle w:val="TableText"/>
              <w:jc w:val="center"/>
            </w:pPr>
            <w:r w:rsidRPr="00ED3C94">
              <w:t>67/107</w:t>
            </w:r>
          </w:p>
        </w:tc>
        <w:tc>
          <w:tcPr>
            <w:tcW w:w="699" w:type="pct"/>
            <w:shd w:val="clear" w:color="auto" w:fill="auto"/>
            <w:vAlign w:val="center"/>
          </w:tcPr>
          <w:p w:rsidR="001A00B7" w:rsidRPr="00ED3C94" w:rsidRDefault="001A00B7" w:rsidP="001A00B7">
            <w:pPr>
              <w:pStyle w:val="TableText"/>
              <w:jc w:val="center"/>
            </w:pPr>
            <w:r w:rsidRPr="00ED3C94">
              <w:t>32/108</w:t>
            </w:r>
          </w:p>
        </w:tc>
        <w:tc>
          <w:tcPr>
            <w:tcW w:w="839" w:type="pct"/>
            <w:shd w:val="clear" w:color="auto" w:fill="auto"/>
            <w:vAlign w:val="center"/>
          </w:tcPr>
          <w:p w:rsidR="001A00B7" w:rsidRPr="00ED3C94" w:rsidRDefault="001A00B7" w:rsidP="001A00B7">
            <w:pPr>
              <w:pStyle w:val="TableText"/>
              <w:jc w:val="center"/>
              <w:rPr>
                <w:b/>
              </w:rPr>
            </w:pPr>
            <w:r w:rsidRPr="00ED3C94">
              <w:rPr>
                <w:b/>
              </w:rPr>
              <w:t>2.11 (1.53, 2.93)</w:t>
            </w:r>
          </w:p>
        </w:tc>
        <w:tc>
          <w:tcPr>
            <w:tcW w:w="581" w:type="pct"/>
            <w:shd w:val="clear" w:color="auto" w:fill="auto"/>
            <w:vAlign w:val="center"/>
          </w:tcPr>
          <w:p w:rsidR="001A00B7" w:rsidRPr="00ED3C94" w:rsidRDefault="001A00B7" w:rsidP="001A00B7">
            <w:pPr>
              <w:pStyle w:val="TableText"/>
              <w:jc w:val="center"/>
            </w:pPr>
            <w:r w:rsidRPr="00ED3C94">
              <w:t>62.6</w:t>
            </w:r>
          </w:p>
        </w:tc>
        <w:tc>
          <w:tcPr>
            <w:tcW w:w="580" w:type="pct"/>
            <w:gridSpan w:val="2"/>
            <w:shd w:val="clear" w:color="auto" w:fill="auto"/>
            <w:vAlign w:val="center"/>
          </w:tcPr>
          <w:p w:rsidR="001A00B7" w:rsidRPr="00ED3C94" w:rsidRDefault="001A00B7" w:rsidP="001A00B7">
            <w:pPr>
              <w:pStyle w:val="TableText"/>
              <w:jc w:val="center"/>
            </w:pPr>
            <w:r w:rsidRPr="00ED3C94">
              <w:t>29.6</w:t>
            </w:r>
          </w:p>
        </w:tc>
        <w:tc>
          <w:tcPr>
            <w:tcW w:w="705" w:type="pct"/>
            <w:gridSpan w:val="2"/>
            <w:shd w:val="clear" w:color="auto" w:fill="auto"/>
            <w:vAlign w:val="center"/>
          </w:tcPr>
          <w:p w:rsidR="001A00B7" w:rsidRPr="00ED3C94" w:rsidRDefault="00A252D4" w:rsidP="001A00B7">
            <w:pPr>
              <w:pStyle w:val="TableText"/>
              <w:jc w:val="center"/>
              <w:rPr>
                <w:b/>
              </w:rPr>
            </w:pPr>
            <w:r w:rsidRPr="00ED3C94">
              <w:rPr>
                <w:b/>
              </w:rPr>
              <w:t xml:space="preserve">33 (20, </w:t>
            </w:r>
            <w:r w:rsidR="001A00B7" w:rsidRPr="00ED3C94">
              <w:rPr>
                <w:b/>
              </w:rPr>
              <w:t>46)</w:t>
            </w:r>
          </w:p>
        </w:tc>
      </w:tr>
      <w:tr w:rsidR="00DD3049" w:rsidRPr="00ED3C94" w:rsidTr="0093702D">
        <w:tc>
          <w:tcPr>
            <w:tcW w:w="981" w:type="pct"/>
            <w:shd w:val="clear" w:color="auto" w:fill="auto"/>
            <w:vAlign w:val="center"/>
          </w:tcPr>
          <w:p w:rsidR="00034404" w:rsidRPr="00ED3C94" w:rsidRDefault="00192FCC" w:rsidP="00192FCC">
            <w:pPr>
              <w:pStyle w:val="TableText"/>
            </w:pPr>
            <w:r w:rsidRPr="00ED3C94">
              <w:t>Meta-analysis (IGA=4 subgroup)</w:t>
            </w:r>
            <w:r w:rsidR="008E37F2" w:rsidRPr="00ED3C94">
              <w:t>; no prior CsA requirement</w:t>
            </w:r>
          </w:p>
        </w:tc>
        <w:tc>
          <w:tcPr>
            <w:tcW w:w="616" w:type="pct"/>
            <w:gridSpan w:val="2"/>
            <w:shd w:val="clear" w:color="auto" w:fill="auto"/>
            <w:vAlign w:val="center"/>
          </w:tcPr>
          <w:p w:rsidR="00034404" w:rsidRPr="00ED3C94" w:rsidRDefault="00330093" w:rsidP="001A00B7">
            <w:pPr>
              <w:pStyle w:val="TableText"/>
              <w:jc w:val="center"/>
            </w:pPr>
            <w:r>
              <w:rPr>
                <w:noProof/>
                <w:color w:val="000000"/>
                <w:highlight w:val="black"/>
              </w:rPr>
              <w:t>''''''''''</w:t>
            </w:r>
            <w:r w:rsidR="001A00B7" w:rsidRPr="00ED3C94">
              <w:t>/</w:t>
            </w:r>
            <w:r>
              <w:rPr>
                <w:noProof/>
                <w:color w:val="000000"/>
                <w:highlight w:val="black"/>
              </w:rPr>
              <w:t>'''''''''</w:t>
            </w:r>
          </w:p>
        </w:tc>
        <w:tc>
          <w:tcPr>
            <w:tcW w:w="699" w:type="pct"/>
            <w:shd w:val="clear" w:color="auto" w:fill="auto"/>
            <w:vAlign w:val="center"/>
          </w:tcPr>
          <w:p w:rsidR="00034404" w:rsidRPr="00ED3C94" w:rsidRDefault="00330093" w:rsidP="001A00B7">
            <w:pPr>
              <w:pStyle w:val="TableText"/>
              <w:jc w:val="center"/>
            </w:pPr>
            <w:r>
              <w:rPr>
                <w:noProof/>
                <w:color w:val="000000"/>
                <w:highlight w:val="black"/>
              </w:rPr>
              <w:t>'''''''</w:t>
            </w:r>
            <w:r w:rsidR="001A00B7" w:rsidRPr="00ED3C94">
              <w:t>/</w:t>
            </w:r>
            <w:r>
              <w:rPr>
                <w:noProof/>
                <w:color w:val="000000"/>
                <w:highlight w:val="black"/>
              </w:rPr>
              <w:t>'''''''''</w:t>
            </w:r>
          </w:p>
        </w:tc>
        <w:tc>
          <w:tcPr>
            <w:tcW w:w="839" w:type="pct"/>
            <w:shd w:val="clear" w:color="auto" w:fill="auto"/>
            <w:vAlign w:val="center"/>
          </w:tcPr>
          <w:p w:rsidR="00034404" w:rsidRPr="00ED3C94" w:rsidRDefault="00330093" w:rsidP="001A00B7">
            <w:pPr>
              <w:pStyle w:val="TableText"/>
              <w:jc w:val="center"/>
              <w:rPr>
                <w:b/>
              </w:rPr>
            </w:pPr>
            <w:r>
              <w:rPr>
                <w:b/>
                <w:noProof/>
                <w:color w:val="000000"/>
                <w:highlight w:val="black"/>
              </w:rPr>
              <w:t>'''''''''</w:t>
            </w:r>
            <w:r w:rsidR="001A00B7" w:rsidRPr="00ED3C94">
              <w:rPr>
                <w:b/>
              </w:rPr>
              <w:t xml:space="preserve"> (</w:t>
            </w:r>
            <w:r>
              <w:rPr>
                <w:b/>
                <w:noProof/>
                <w:color w:val="000000"/>
                <w:highlight w:val="black"/>
              </w:rPr>
              <w:t>''''''''</w:t>
            </w:r>
            <w:r w:rsidR="001A00B7" w:rsidRPr="00ED3C94">
              <w:rPr>
                <w:b/>
              </w:rPr>
              <w:t xml:space="preserve">, </w:t>
            </w:r>
            <w:r>
              <w:rPr>
                <w:b/>
                <w:noProof/>
                <w:color w:val="000000"/>
                <w:highlight w:val="black"/>
              </w:rPr>
              <w:t>''''''''</w:t>
            </w:r>
            <w:r w:rsidR="001A00B7" w:rsidRPr="00ED3C94">
              <w:rPr>
                <w:b/>
              </w:rPr>
              <w:t>)</w:t>
            </w:r>
          </w:p>
        </w:tc>
        <w:tc>
          <w:tcPr>
            <w:tcW w:w="581" w:type="pct"/>
            <w:shd w:val="clear" w:color="auto" w:fill="auto"/>
            <w:vAlign w:val="center"/>
          </w:tcPr>
          <w:p w:rsidR="00034404" w:rsidRPr="00330093" w:rsidRDefault="00330093" w:rsidP="001A00B7">
            <w:pPr>
              <w:pStyle w:val="TableText"/>
              <w:jc w:val="center"/>
              <w:rPr>
                <w:highlight w:val="black"/>
              </w:rPr>
            </w:pPr>
            <w:r>
              <w:rPr>
                <w:noProof/>
                <w:color w:val="000000"/>
                <w:highlight w:val="black"/>
              </w:rPr>
              <w:t>'''''''''''</w:t>
            </w:r>
          </w:p>
        </w:tc>
        <w:tc>
          <w:tcPr>
            <w:tcW w:w="580" w:type="pct"/>
            <w:gridSpan w:val="2"/>
            <w:shd w:val="clear" w:color="auto" w:fill="auto"/>
            <w:vAlign w:val="center"/>
          </w:tcPr>
          <w:p w:rsidR="00034404" w:rsidRPr="00330093" w:rsidRDefault="00330093" w:rsidP="001A00B7">
            <w:pPr>
              <w:pStyle w:val="TableText"/>
              <w:jc w:val="center"/>
              <w:rPr>
                <w:highlight w:val="black"/>
              </w:rPr>
            </w:pPr>
            <w:r>
              <w:rPr>
                <w:noProof/>
                <w:color w:val="000000"/>
                <w:highlight w:val="black"/>
              </w:rPr>
              <w:t>''''''''''</w:t>
            </w:r>
          </w:p>
        </w:tc>
        <w:tc>
          <w:tcPr>
            <w:tcW w:w="705" w:type="pct"/>
            <w:gridSpan w:val="2"/>
            <w:shd w:val="clear" w:color="auto" w:fill="auto"/>
            <w:vAlign w:val="center"/>
          </w:tcPr>
          <w:p w:rsidR="00034404" w:rsidRPr="00ED3C94" w:rsidRDefault="00330093" w:rsidP="001A00B7">
            <w:pPr>
              <w:pStyle w:val="TableText"/>
              <w:jc w:val="center"/>
              <w:rPr>
                <w:b/>
              </w:rPr>
            </w:pPr>
            <w:r>
              <w:rPr>
                <w:b/>
                <w:noProof/>
                <w:color w:val="000000"/>
                <w:highlight w:val="black"/>
              </w:rPr>
              <w:t>'''''</w:t>
            </w:r>
            <w:r w:rsidR="00A252D4" w:rsidRPr="00ED3C94">
              <w:rPr>
                <w:b/>
              </w:rPr>
              <w:t xml:space="preserve"> (</w:t>
            </w:r>
            <w:r>
              <w:rPr>
                <w:b/>
                <w:noProof/>
                <w:color w:val="000000"/>
                <w:highlight w:val="black"/>
              </w:rPr>
              <w:t>'''''</w:t>
            </w:r>
            <w:r w:rsidR="00A252D4" w:rsidRPr="00ED3C94">
              <w:rPr>
                <w:b/>
              </w:rPr>
              <w:t xml:space="preserve">, </w:t>
            </w:r>
            <w:r>
              <w:rPr>
                <w:b/>
                <w:noProof/>
                <w:color w:val="000000"/>
                <w:highlight w:val="black"/>
              </w:rPr>
              <w:t>''''</w:t>
            </w:r>
            <w:r w:rsidR="001A00B7" w:rsidRPr="00ED3C94">
              <w:rPr>
                <w:b/>
              </w:rPr>
              <w:t>)</w:t>
            </w:r>
          </w:p>
        </w:tc>
      </w:tr>
      <w:tr w:rsidR="0028612B" w:rsidRPr="00ED3C94" w:rsidTr="0093702D">
        <w:tc>
          <w:tcPr>
            <w:tcW w:w="981" w:type="pct"/>
            <w:shd w:val="clear" w:color="auto" w:fill="auto"/>
            <w:vAlign w:val="center"/>
          </w:tcPr>
          <w:p w:rsidR="0028612B" w:rsidRPr="00ED3C94" w:rsidRDefault="0028612B" w:rsidP="00F454AD">
            <w:pPr>
              <w:pStyle w:val="TableText"/>
            </w:pPr>
            <w:r w:rsidRPr="00ED3C94">
              <w:t>CAFÉ (IGA=4 subgroup); CsA restrictions sub-group</w:t>
            </w:r>
            <w:r w:rsidRPr="00ED3C94">
              <w:rPr>
                <w:vertAlign w:val="superscript"/>
              </w:rPr>
              <w:t>a</w:t>
            </w:r>
          </w:p>
        </w:tc>
        <w:tc>
          <w:tcPr>
            <w:tcW w:w="616" w:type="pct"/>
            <w:gridSpan w:val="2"/>
            <w:shd w:val="clear" w:color="auto" w:fill="auto"/>
            <w:vAlign w:val="center"/>
          </w:tcPr>
          <w:p w:rsidR="0028612B" w:rsidRPr="0028612B" w:rsidRDefault="00330093" w:rsidP="001A00B7">
            <w:pPr>
              <w:pStyle w:val="TableText"/>
              <w:jc w:val="center"/>
            </w:pPr>
            <w:r>
              <w:rPr>
                <w:noProof/>
                <w:color w:val="000000"/>
                <w:highlight w:val="black"/>
              </w:rPr>
              <w:t>'''''''</w:t>
            </w:r>
            <w:r w:rsidR="0028612B" w:rsidRPr="0028612B">
              <w:t>/</w:t>
            </w:r>
            <w:r>
              <w:rPr>
                <w:noProof/>
                <w:color w:val="000000"/>
                <w:highlight w:val="black"/>
              </w:rPr>
              <w:t>''''''</w:t>
            </w:r>
          </w:p>
        </w:tc>
        <w:tc>
          <w:tcPr>
            <w:tcW w:w="699" w:type="pct"/>
            <w:shd w:val="clear" w:color="auto" w:fill="auto"/>
            <w:vAlign w:val="center"/>
          </w:tcPr>
          <w:p w:rsidR="0028612B" w:rsidRPr="0028612B" w:rsidRDefault="00330093" w:rsidP="001A00B7">
            <w:pPr>
              <w:pStyle w:val="TableText"/>
              <w:jc w:val="center"/>
            </w:pPr>
            <w:r>
              <w:rPr>
                <w:noProof/>
                <w:color w:val="000000"/>
                <w:highlight w:val="black"/>
              </w:rPr>
              <w:t>''''</w:t>
            </w:r>
            <w:r w:rsidR="0028612B" w:rsidRPr="0028612B">
              <w:t>/</w:t>
            </w:r>
            <w:r>
              <w:rPr>
                <w:noProof/>
                <w:color w:val="000000"/>
                <w:highlight w:val="black"/>
              </w:rPr>
              <w:t>''''''</w:t>
            </w:r>
          </w:p>
        </w:tc>
        <w:tc>
          <w:tcPr>
            <w:tcW w:w="839" w:type="pct"/>
            <w:shd w:val="clear" w:color="auto" w:fill="auto"/>
            <w:vAlign w:val="center"/>
          </w:tcPr>
          <w:p w:rsidR="0028612B" w:rsidRPr="0028612B" w:rsidRDefault="00330093" w:rsidP="001A00B7">
            <w:pPr>
              <w:pStyle w:val="TableText"/>
              <w:jc w:val="center"/>
              <w:rPr>
                <w:b/>
              </w:rPr>
            </w:pPr>
            <w:r>
              <w:rPr>
                <w:b/>
                <w:noProof/>
                <w:color w:val="000000"/>
                <w:highlight w:val="black"/>
              </w:rPr>
              <w:t>''''''''</w:t>
            </w:r>
            <w:r w:rsidR="0028612B" w:rsidRPr="0028612B">
              <w:rPr>
                <w:b/>
              </w:rPr>
              <w:t xml:space="preserve"> (</w:t>
            </w:r>
            <w:r>
              <w:rPr>
                <w:b/>
                <w:noProof/>
                <w:color w:val="000000"/>
                <w:highlight w:val="black"/>
              </w:rPr>
              <w:t>''''''''''</w:t>
            </w:r>
            <w:r w:rsidR="0028612B" w:rsidRPr="0028612B">
              <w:rPr>
                <w:b/>
              </w:rPr>
              <w:t xml:space="preserve">, </w:t>
            </w:r>
            <w:r>
              <w:rPr>
                <w:b/>
                <w:noProof/>
                <w:color w:val="000000"/>
                <w:highlight w:val="black"/>
              </w:rPr>
              <w:t>'''''''''''</w:t>
            </w:r>
            <w:r w:rsidR="0028612B" w:rsidRPr="0028612B">
              <w:rPr>
                <w:b/>
              </w:rPr>
              <w:t>)</w:t>
            </w:r>
          </w:p>
        </w:tc>
        <w:tc>
          <w:tcPr>
            <w:tcW w:w="581" w:type="pct"/>
            <w:shd w:val="clear" w:color="auto" w:fill="auto"/>
            <w:vAlign w:val="center"/>
          </w:tcPr>
          <w:p w:rsidR="0028612B" w:rsidRPr="00330093" w:rsidRDefault="00330093" w:rsidP="001A00B7">
            <w:pPr>
              <w:pStyle w:val="TableText"/>
              <w:jc w:val="center"/>
              <w:rPr>
                <w:highlight w:val="black"/>
              </w:rPr>
            </w:pPr>
            <w:r>
              <w:rPr>
                <w:noProof/>
                <w:color w:val="000000"/>
                <w:highlight w:val="black"/>
              </w:rPr>
              <w:t>''''''''''</w:t>
            </w:r>
          </w:p>
        </w:tc>
        <w:tc>
          <w:tcPr>
            <w:tcW w:w="580" w:type="pct"/>
            <w:gridSpan w:val="2"/>
            <w:shd w:val="clear" w:color="auto" w:fill="auto"/>
            <w:vAlign w:val="center"/>
          </w:tcPr>
          <w:p w:rsidR="0028612B" w:rsidRPr="00330093" w:rsidRDefault="00330093" w:rsidP="001A00B7">
            <w:pPr>
              <w:pStyle w:val="TableText"/>
              <w:jc w:val="center"/>
              <w:rPr>
                <w:highlight w:val="black"/>
              </w:rPr>
            </w:pPr>
            <w:r>
              <w:rPr>
                <w:noProof/>
                <w:color w:val="000000"/>
                <w:highlight w:val="black"/>
              </w:rPr>
              <w:t>'''''''''''</w:t>
            </w:r>
          </w:p>
        </w:tc>
        <w:tc>
          <w:tcPr>
            <w:tcW w:w="705" w:type="pct"/>
            <w:gridSpan w:val="2"/>
            <w:shd w:val="clear" w:color="auto" w:fill="auto"/>
            <w:vAlign w:val="center"/>
          </w:tcPr>
          <w:p w:rsidR="0028612B" w:rsidRPr="0028612B" w:rsidRDefault="00330093" w:rsidP="001A00B7">
            <w:pPr>
              <w:pStyle w:val="TableText"/>
              <w:jc w:val="center"/>
            </w:pPr>
            <w:r>
              <w:rPr>
                <w:b/>
                <w:noProof/>
                <w:color w:val="000000"/>
                <w:highlight w:val="black"/>
              </w:rPr>
              <w:t>'''''</w:t>
            </w:r>
            <w:r w:rsidR="0028612B" w:rsidRPr="0028612B">
              <w:rPr>
                <w:b/>
              </w:rPr>
              <w:t xml:space="preserve"> (</w:t>
            </w:r>
            <w:r>
              <w:rPr>
                <w:b/>
                <w:noProof/>
                <w:color w:val="000000"/>
                <w:highlight w:val="black"/>
              </w:rPr>
              <w:t>''''</w:t>
            </w:r>
            <w:r w:rsidR="0028612B" w:rsidRPr="0028612B">
              <w:rPr>
                <w:b/>
              </w:rPr>
              <w:t xml:space="preserve">, </w:t>
            </w:r>
            <w:r>
              <w:rPr>
                <w:b/>
                <w:noProof/>
                <w:color w:val="000000"/>
                <w:highlight w:val="black"/>
              </w:rPr>
              <w:t>'''''</w:t>
            </w:r>
            <w:r w:rsidR="0028612B" w:rsidRPr="0028612B">
              <w:t>)</w:t>
            </w:r>
          </w:p>
        </w:tc>
      </w:tr>
      <w:tr w:rsidR="003D69EF" w:rsidRPr="00ED3C94" w:rsidTr="00065CDE">
        <w:tc>
          <w:tcPr>
            <w:tcW w:w="5000" w:type="pct"/>
            <w:gridSpan w:val="10"/>
            <w:tcBorders>
              <w:top w:val="double" w:sz="4" w:space="0" w:color="auto"/>
            </w:tcBorders>
            <w:shd w:val="clear" w:color="auto" w:fill="auto"/>
            <w:vAlign w:val="center"/>
          </w:tcPr>
          <w:p w:rsidR="003D69EF" w:rsidRPr="00ED3C94" w:rsidRDefault="007C720A" w:rsidP="00772501">
            <w:pPr>
              <w:pStyle w:val="TableText"/>
              <w:rPr>
                <w:b/>
                <w:u w:val="single"/>
              </w:rPr>
            </w:pPr>
            <w:r w:rsidRPr="00ED3C94">
              <w:rPr>
                <w:b/>
                <w:u w:val="single"/>
              </w:rPr>
              <w:t>Harms</w:t>
            </w:r>
          </w:p>
        </w:tc>
      </w:tr>
      <w:tr w:rsidR="004D22B3" w:rsidRPr="00ED3C94" w:rsidTr="0093702D">
        <w:trPr>
          <w:trHeight w:val="70"/>
        </w:trPr>
        <w:tc>
          <w:tcPr>
            <w:tcW w:w="981" w:type="pct"/>
            <w:vMerge w:val="restart"/>
            <w:shd w:val="clear" w:color="auto" w:fill="auto"/>
            <w:vAlign w:val="center"/>
          </w:tcPr>
          <w:p w:rsidR="004D22B3" w:rsidRPr="00ED3C94" w:rsidRDefault="004D22B3" w:rsidP="004D22B3">
            <w:pPr>
              <w:pStyle w:val="TableText"/>
            </w:pPr>
          </w:p>
        </w:tc>
        <w:tc>
          <w:tcPr>
            <w:tcW w:w="616" w:type="pct"/>
            <w:gridSpan w:val="2"/>
            <w:vMerge w:val="restart"/>
            <w:shd w:val="clear" w:color="auto" w:fill="auto"/>
            <w:vAlign w:val="center"/>
          </w:tcPr>
          <w:p w:rsidR="004D22B3" w:rsidRPr="00ED3C94" w:rsidRDefault="004D22B3" w:rsidP="004D22B3">
            <w:pPr>
              <w:pStyle w:val="TableText"/>
              <w:jc w:val="center"/>
              <w:rPr>
                <w:b/>
              </w:rPr>
            </w:pPr>
            <w:r w:rsidRPr="00ED3C94">
              <w:rPr>
                <w:b/>
              </w:rPr>
              <w:t>Dupilumab</w:t>
            </w:r>
          </w:p>
        </w:tc>
        <w:tc>
          <w:tcPr>
            <w:tcW w:w="699" w:type="pct"/>
            <w:vMerge w:val="restart"/>
            <w:shd w:val="clear" w:color="auto" w:fill="auto"/>
            <w:vAlign w:val="center"/>
          </w:tcPr>
          <w:p w:rsidR="004D22B3" w:rsidRPr="00ED3C94" w:rsidRDefault="004D22B3" w:rsidP="004D22B3">
            <w:pPr>
              <w:pStyle w:val="TableText"/>
              <w:jc w:val="center"/>
              <w:rPr>
                <w:b/>
              </w:rPr>
            </w:pPr>
            <w:r w:rsidRPr="00ED3C94">
              <w:rPr>
                <w:b/>
              </w:rPr>
              <w:t>Placebo</w:t>
            </w:r>
          </w:p>
        </w:tc>
        <w:tc>
          <w:tcPr>
            <w:tcW w:w="839" w:type="pct"/>
            <w:vMerge w:val="restart"/>
            <w:shd w:val="clear" w:color="auto" w:fill="auto"/>
            <w:vAlign w:val="center"/>
          </w:tcPr>
          <w:p w:rsidR="004D22B3" w:rsidRPr="00ED3C94" w:rsidRDefault="004D22B3" w:rsidP="004D22B3">
            <w:pPr>
              <w:pStyle w:val="TableText"/>
              <w:jc w:val="center"/>
              <w:rPr>
                <w:b/>
              </w:rPr>
            </w:pPr>
            <w:r w:rsidRPr="00ED3C94">
              <w:rPr>
                <w:b/>
              </w:rPr>
              <w:t>RR</w:t>
            </w:r>
          </w:p>
          <w:p w:rsidR="004D22B3" w:rsidRPr="00ED3C94" w:rsidRDefault="004D22B3" w:rsidP="004D22B3">
            <w:pPr>
              <w:pStyle w:val="TableText"/>
              <w:jc w:val="center"/>
              <w:rPr>
                <w:b/>
              </w:rPr>
            </w:pPr>
            <w:r w:rsidRPr="00ED3C94">
              <w:rPr>
                <w:b/>
              </w:rPr>
              <w:t>(95% CI)</w:t>
            </w:r>
          </w:p>
        </w:tc>
        <w:tc>
          <w:tcPr>
            <w:tcW w:w="1194" w:type="pct"/>
            <w:gridSpan w:val="4"/>
            <w:shd w:val="clear" w:color="auto" w:fill="auto"/>
            <w:vAlign w:val="center"/>
          </w:tcPr>
          <w:p w:rsidR="004D22B3" w:rsidRPr="00ED3C94" w:rsidRDefault="004D22B3" w:rsidP="004D22B3">
            <w:pPr>
              <w:pStyle w:val="TableText"/>
              <w:jc w:val="center"/>
              <w:rPr>
                <w:b/>
              </w:rPr>
            </w:pPr>
            <w:r w:rsidRPr="00ED3C94">
              <w:rPr>
                <w:b/>
              </w:rPr>
              <w:t>Events/100 patients*</w:t>
            </w:r>
          </w:p>
        </w:tc>
        <w:tc>
          <w:tcPr>
            <w:tcW w:w="672" w:type="pct"/>
            <w:vMerge w:val="restart"/>
            <w:shd w:val="clear" w:color="auto" w:fill="auto"/>
            <w:vAlign w:val="center"/>
          </w:tcPr>
          <w:p w:rsidR="004D22B3" w:rsidRPr="00ED3C94" w:rsidRDefault="004D22B3" w:rsidP="004D22B3">
            <w:pPr>
              <w:pStyle w:val="TableText"/>
              <w:jc w:val="center"/>
              <w:rPr>
                <w:b/>
              </w:rPr>
            </w:pPr>
            <w:r w:rsidRPr="00ED3C94">
              <w:rPr>
                <w:b/>
              </w:rPr>
              <w:t>RD</w:t>
            </w:r>
          </w:p>
          <w:p w:rsidR="004D22B3" w:rsidRPr="00ED3C94" w:rsidRDefault="004D22B3" w:rsidP="004D22B3">
            <w:pPr>
              <w:pStyle w:val="TableText"/>
              <w:jc w:val="center"/>
              <w:rPr>
                <w:b/>
              </w:rPr>
            </w:pPr>
            <w:r w:rsidRPr="00ED3C94">
              <w:rPr>
                <w:b/>
              </w:rPr>
              <w:t>(95% CI)</w:t>
            </w:r>
          </w:p>
        </w:tc>
      </w:tr>
      <w:tr w:rsidR="004D22B3" w:rsidRPr="00ED3C94" w:rsidTr="0093702D">
        <w:trPr>
          <w:trHeight w:val="390"/>
        </w:trPr>
        <w:tc>
          <w:tcPr>
            <w:tcW w:w="981" w:type="pct"/>
            <w:vMerge/>
            <w:shd w:val="clear" w:color="auto" w:fill="auto"/>
            <w:vAlign w:val="center"/>
          </w:tcPr>
          <w:p w:rsidR="004D22B3" w:rsidRPr="00ED3C94" w:rsidRDefault="004D22B3" w:rsidP="004D22B3">
            <w:pPr>
              <w:pStyle w:val="TableText"/>
            </w:pPr>
          </w:p>
        </w:tc>
        <w:tc>
          <w:tcPr>
            <w:tcW w:w="616" w:type="pct"/>
            <w:gridSpan w:val="2"/>
            <w:vMerge/>
            <w:shd w:val="clear" w:color="auto" w:fill="auto"/>
            <w:vAlign w:val="center"/>
          </w:tcPr>
          <w:p w:rsidR="004D22B3" w:rsidRPr="00ED3C94" w:rsidRDefault="004D22B3" w:rsidP="004D22B3">
            <w:pPr>
              <w:pStyle w:val="TableText"/>
            </w:pPr>
          </w:p>
        </w:tc>
        <w:tc>
          <w:tcPr>
            <w:tcW w:w="699" w:type="pct"/>
            <w:vMerge/>
            <w:shd w:val="clear" w:color="auto" w:fill="auto"/>
            <w:vAlign w:val="center"/>
          </w:tcPr>
          <w:p w:rsidR="004D22B3" w:rsidRPr="00ED3C94" w:rsidRDefault="004D22B3" w:rsidP="004D22B3">
            <w:pPr>
              <w:pStyle w:val="TableText"/>
            </w:pPr>
          </w:p>
        </w:tc>
        <w:tc>
          <w:tcPr>
            <w:tcW w:w="839" w:type="pct"/>
            <w:vMerge/>
            <w:shd w:val="clear" w:color="auto" w:fill="auto"/>
            <w:vAlign w:val="center"/>
          </w:tcPr>
          <w:p w:rsidR="004D22B3" w:rsidRPr="00ED3C94" w:rsidRDefault="004D22B3" w:rsidP="004D22B3">
            <w:pPr>
              <w:pStyle w:val="TableText"/>
            </w:pPr>
          </w:p>
        </w:tc>
        <w:tc>
          <w:tcPr>
            <w:tcW w:w="611" w:type="pct"/>
            <w:gridSpan w:val="2"/>
            <w:shd w:val="clear" w:color="auto" w:fill="auto"/>
            <w:vAlign w:val="center"/>
          </w:tcPr>
          <w:p w:rsidR="004D22B3" w:rsidRPr="00ED3C94" w:rsidRDefault="004D22B3" w:rsidP="004D22B3">
            <w:pPr>
              <w:pStyle w:val="TableText"/>
              <w:jc w:val="center"/>
              <w:rPr>
                <w:b/>
              </w:rPr>
            </w:pPr>
            <w:r w:rsidRPr="00ED3C94">
              <w:rPr>
                <w:b/>
              </w:rPr>
              <w:t>Dupilumab</w:t>
            </w:r>
          </w:p>
        </w:tc>
        <w:tc>
          <w:tcPr>
            <w:tcW w:w="583" w:type="pct"/>
            <w:gridSpan w:val="2"/>
            <w:shd w:val="clear" w:color="auto" w:fill="auto"/>
            <w:vAlign w:val="center"/>
          </w:tcPr>
          <w:p w:rsidR="004D22B3" w:rsidRPr="00ED3C94" w:rsidRDefault="004D22B3" w:rsidP="004D22B3">
            <w:pPr>
              <w:pStyle w:val="TableText"/>
              <w:jc w:val="center"/>
              <w:rPr>
                <w:b/>
              </w:rPr>
            </w:pPr>
            <w:r w:rsidRPr="00ED3C94">
              <w:rPr>
                <w:b/>
              </w:rPr>
              <w:t>Placebo</w:t>
            </w:r>
          </w:p>
        </w:tc>
        <w:tc>
          <w:tcPr>
            <w:tcW w:w="672" w:type="pct"/>
            <w:vMerge/>
            <w:shd w:val="clear" w:color="auto" w:fill="auto"/>
            <w:vAlign w:val="center"/>
          </w:tcPr>
          <w:p w:rsidR="004D22B3" w:rsidRPr="00ED3C94" w:rsidRDefault="004D22B3" w:rsidP="004D22B3">
            <w:pPr>
              <w:pStyle w:val="TableText"/>
            </w:pPr>
          </w:p>
        </w:tc>
      </w:tr>
      <w:tr w:rsidR="003D69EF" w:rsidRPr="00ED3C94" w:rsidTr="00065CDE">
        <w:tc>
          <w:tcPr>
            <w:tcW w:w="5000" w:type="pct"/>
            <w:gridSpan w:val="10"/>
            <w:shd w:val="clear" w:color="auto" w:fill="auto"/>
            <w:vAlign w:val="center"/>
          </w:tcPr>
          <w:p w:rsidR="003D69EF" w:rsidRPr="00ED3C94" w:rsidRDefault="00A252D4" w:rsidP="00772501">
            <w:pPr>
              <w:pStyle w:val="TableText"/>
              <w:rPr>
                <w:b/>
              </w:rPr>
            </w:pPr>
            <w:r w:rsidRPr="00ED3C94">
              <w:rPr>
                <w:b/>
              </w:rPr>
              <w:t xml:space="preserve">Conjunctivitis </w:t>
            </w:r>
          </w:p>
        </w:tc>
      </w:tr>
      <w:tr w:rsidR="003D69EF" w:rsidRPr="00ED3C94" w:rsidTr="0093702D">
        <w:tc>
          <w:tcPr>
            <w:tcW w:w="987" w:type="pct"/>
            <w:gridSpan w:val="2"/>
            <w:shd w:val="clear" w:color="auto" w:fill="auto"/>
            <w:vAlign w:val="center"/>
          </w:tcPr>
          <w:p w:rsidR="003D69EF" w:rsidRPr="00ED3C94" w:rsidRDefault="00A252D4" w:rsidP="00772501">
            <w:pPr>
              <w:pStyle w:val="TableText"/>
            </w:pPr>
            <w:r w:rsidRPr="00ED3C94">
              <w:t>Meta-analysis (whole trial populations)</w:t>
            </w:r>
          </w:p>
        </w:tc>
        <w:tc>
          <w:tcPr>
            <w:tcW w:w="610" w:type="pct"/>
            <w:shd w:val="clear" w:color="auto" w:fill="auto"/>
            <w:vAlign w:val="center"/>
          </w:tcPr>
          <w:p w:rsidR="003D69EF" w:rsidRPr="00ED3C94" w:rsidRDefault="00330093" w:rsidP="00A252D4">
            <w:pPr>
              <w:pStyle w:val="TableText"/>
              <w:jc w:val="center"/>
            </w:pPr>
            <w:r>
              <w:rPr>
                <w:noProof/>
                <w:color w:val="000000"/>
                <w:highlight w:val="black"/>
              </w:rPr>
              <w:t>'''''</w:t>
            </w:r>
            <w:r w:rsidR="00A252D4" w:rsidRPr="00ED3C94">
              <w:t>/</w:t>
            </w:r>
            <w:r>
              <w:rPr>
                <w:noProof/>
                <w:color w:val="000000"/>
                <w:highlight w:val="black"/>
              </w:rPr>
              <w:t>'''''''''''''</w:t>
            </w:r>
          </w:p>
        </w:tc>
        <w:tc>
          <w:tcPr>
            <w:tcW w:w="699" w:type="pct"/>
            <w:shd w:val="clear" w:color="auto" w:fill="auto"/>
            <w:vAlign w:val="center"/>
          </w:tcPr>
          <w:p w:rsidR="003D69EF" w:rsidRPr="00ED3C94" w:rsidRDefault="00330093" w:rsidP="00A252D4">
            <w:pPr>
              <w:pStyle w:val="TableText"/>
              <w:jc w:val="center"/>
            </w:pPr>
            <w:r>
              <w:rPr>
                <w:noProof/>
                <w:color w:val="000000"/>
                <w:highlight w:val="black"/>
              </w:rPr>
              <w:t>''''''</w:t>
            </w:r>
            <w:r w:rsidR="00A252D4" w:rsidRPr="00ED3C94">
              <w:t>/</w:t>
            </w:r>
            <w:r>
              <w:rPr>
                <w:noProof/>
                <w:color w:val="000000"/>
                <w:highlight w:val="black"/>
              </w:rPr>
              <w:t>'''''''''</w:t>
            </w:r>
          </w:p>
        </w:tc>
        <w:tc>
          <w:tcPr>
            <w:tcW w:w="839" w:type="pct"/>
            <w:shd w:val="clear" w:color="auto" w:fill="auto"/>
            <w:vAlign w:val="center"/>
          </w:tcPr>
          <w:p w:rsidR="003D69EF" w:rsidRPr="00ED3C94" w:rsidRDefault="00330093" w:rsidP="00A252D4">
            <w:pPr>
              <w:pStyle w:val="TableText"/>
              <w:jc w:val="center"/>
              <w:rPr>
                <w:b/>
              </w:rPr>
            </w:pPr>
            <w:r>
              <w:rPr>
                <w:b/>
                <w:noProof/>
                <w:color w:val="000000"/>
                <w:highlight w:val="black"/>
              </w:rPr>
              <w:t>''''''''''</w:t>
            </w:r>
            <w:r w:rsidR="00A252D4" w:rsidRPr="00ED3C94">
              <w:rPr>
                <w:b/>
              </w:rPr>
              <w:t xml:space="preserve"> (</w:t>
            </w:r>
            <w:r>
              <w:rPr>
                <w:b/>
                <w:noProof/>
                <w:color w:val="000000"/>
                <w:highlight w:val="black"/>
              </w:rPr>
              <w:t>''''''''</w:t>
            </w:r>
            <w:r w:rsidR="00A252D4" w:rsidRPr="00ED3C94">
              <w:rPr>
                <w:b/>
              </w:rPr>
              <w:t xml:space="preserve">, </w:t>
            </w:r>
            <w:r>
              <w:rPr>
                <w:b/>
                <w:noProof/>
                <w:color w:val="000000"/>
                <w:highlight w:val="black"/>
              </w:rPr>
              <w:t>''''''''</w:t>
            </w:r>
            <w:r w:rsidR="00A252D4" w:rsidRPr="00ED3C94">
              <w:rPr>
                <w:b/>
              </w:rPr>
              <w:t>)</w:t>
            </w:r>
          </w:p>
        </w:tc>
        <w:tc>
          <w:tcPr>
            <w:tcW w:w="611" w:type="pct"/>
            <w:gridSpan w:val="2"/>
            <w:shd w:val="clear" w:color="auto" w:fill="auto"/>
            <w:vAlign w:val="center"/>
          </w:tcPr>
          <w:p w:rsidR="003D69EF" w:rsidRPr="00330093" w:rsidRDefault="00330093" w:rsidP="00A252D4">
            <w:pPr>
              <w:pStyle w:val="TableText"/>
              <w:jc w:val="center"/>
              <w:rPr>
                <w:highlight w:val="black"/>
              </w:rPr>
            </w:pPr>
            <w:r>
              <w:rPr>
                <w:noProof/>
                <w:color w:val="000000"/>
                <w:highlight w:val="black"/>
              </w:rPr>
              <w:t>''''''''</w:t>
            </w:r>
          </w:p>
        </w:tc>
        <w:tc>
          <w:tcPr>
            <w:tcW w:w="583" w:type="pct"/>
            <w:gridSpan w:val="2"/>
            <w:shd w:val="clear" w:color="auto" w:fill="auto"/>
            <w:vAlign w:val="center"/>
          </w:tcPr>
          <w:p w:rsidR="003D69EF" w:rsidRPr="00330093" w:rsidRDefault="00330093" w:rsidP="00A252D4">
            <w:pPr>
              <w:pStyle w:val="TableText"/>
              <w:jc w:val="center"/>
              <w:rPr>
                <w:highlight w:val="black"/>
              </w:rPr>
            </w:pPr>
            <w:r>
              <w:rPr>
                <w:noProof/>
                <w:color w:val="000000"/>
                <w:highlight w:val="black"/>
              </w:rPr>
              <w:t>''''''''</w:t>
            </w:r>
          </w:p>
        </w:tc>
        <w:tc>
          <w:tcPr>
            <w:tcW w:w="672" w:type="pct"/>
            <w:shd w:val="clear" w:color="auto" w:fill="auto"/>
            <w:vAlign w:val="center"/>
          </w:tcPr>
          <w:p w:rsidR="003D69EF" w:rsidRPr="00ED3C94" w:rsidRDefault="00330093" w:rsidP="00A252D4">
            <w:pPr>
              <w:pStyle w:val="TableText"/>
              <w:jc w:val="center"/>
            </w:pPr>
            <w:r>
              <w:rPr>
                <w:b/>
                <w:noProof/>
                <w:color w:val="000000"/>
                <w:highlight w:val="black"/>
              </w:rPr>
              <w:t>'''''''</w:t>
            </w:r>
            <w:r w:rsidR="00A252D4" w:rsidRPr="00ED3C94">
              <w:rPr>
                <w:b/>
              </w:rPr>
              <w:t xml:space="preserve"> (</w:t>
            </w:r>
            <w:r>
              <w:rPr>
                <w:b/>
                <w:noProof/>
                <w:color w:val="000000"/>
                <w:highlight w:val="black"/>
              </w:rPr>
              <w:t>'''''''</w:t>
            </w:r>
            <w:r w:rsidR="00A252D4" w:rsidRPr="00ED3C94">
              <w:rPr>
                <w:b/>
              </w:rPr>
              <w:t xml:space="preserve">, </w:t>
            </w:r>
            <w:r>
              <w:rPr>
                <w:b/>
                <w:noProof/>
                <w:color w:val="000000"/>
                <w:highlight w:val="black"/>
              </w:rPr>
              <w:t>''''''</w:t>
            </w:r>
            <w:r w:rsidR="00A252D4" w:rsidRPr="00ED3C94">
              <w:rPr>
                <w:b/>
              </w:rPr>
              <w:t>)</w:t>
            </w:r>
          </w:p>
        </w:tc>
      </w:tr>
      <w:tr w:rsidR="003D69EF" w:rsidRPr="00ED3C94" w:rsidTr="00065CDE">
        <w:tc>
          <w:tcPr>
            <w:tcW w:w="5000" w:type="pct"/>
            <w:gridSpan w:val="10"/>
            <w:shd w:val="clear" w:color="auto" w:fill="auto"/>
            <w:vAlign w:val="center"/>
          </w:tcPr>
          <w:p w:rsidR="003D69EF" w:rsidRPr="00ED3C94" w:rsidRDefault="00A252D4" w:rsidP="00772501">
            <w:pPr>
              <w:pStyle w:val="TableText"/>
              <w:rPr>
                <w:b/>
              </w:rPr>
            </w:pPr>
            <w:r w:rsidRPr="00ED3C94">
              <w:rPr>
                <w:b/>
              </w:rPr>
              <w:t>Oral herpes</w:t>
            </w:r>
          </w:p>
        </w:tc>
      </w:tr>
      <w:tr w:rsidR="003D69EF" w:rsidRPr="00ED3C94" w:rsidTr="0093702D">
        <w:tc>
          <w:tcPr>
            <w:tcW w:w="987" w:type="pct"/>
            <w:gridSpan w:val="2"/>
            <w:shd w:val="clear" w:color="auto" w:fill="auto"/>
            <w:vAlign w:val="center"/>
          </w:tcPr>
          <w:p w:rsidR="003D69EF" w:rsidRPr="00ED3C94" w:rsidRDefault="00A252D4" w:rsidP="00772501">
            <w:pPr>
              <w:pStyle w:val="TableText"/>
            </w:pPr>
            <w:r w:rsidRPr="00ED3C94">
              <w:t>Meta-analysis (whole trial populations)</w:t>
            </w:r>
          </w:p>
        </w:tc>
        <w:tc>
          <w:tcPr>
            <w:tcW w:w="610" w:type="pct"/>
            <w:shd w:val="clear" w:color="auto" w:fill="auto"/>
            <w:vAlign w:val="center"/>
          </w:tcPr>
          <w:p w:rsidR="003D69EF" w:rsidRPr="00ED3C94" w:rsidRDefault="00330093" w:rsidP="00A252D4">
            <w:pPr>
              <w:pStyle w:val="TableText"/>
              <w:jc w:val="center"/>
            </w:pPr>
            <w:r>
              <w:rPr>
                <w:noProof/>
                <w:color w:val="000000"/>
                <w:highlight w:val="black"/>
              </w:rPr>
              <w:t>'''''</w:t>
            </w:r>
            <w:r w:rsidR="00A252D4" w:rsidRPr="00ED3C94">
              <w:t>/</w:t>
            </w:r>
            <w:r>
              <w:rPr>
                <w:noProof/>
                <w:color w:val="000000"/>
                <w:highlight w:val="black"/>
              </w:rPr>
              <w:t>''''''''''''</w:t>
            </w:r>
          </w:p>
        </w:tc>
        <w:tc>
          <w:tcPr>
            <w:tcW w:w="699" w:type="pct"/>
            <w:shd w:val="clear" w:color="auto" w:fill="auto"/>
            <w:vAlign w:val="center"/>
          </w:tcPr>
          <w:p w:rsidR="003D69EF" w:rsidRPr="00ED3C94" w:rsidRDefault="00330093" w:rsidP="00A252D4">
            <w:pPr>
              <w:pStyle w:val="TableText"/>
              <w:jc w:val="center"/>
            </w:pPr>
            <w:r>
              <w:rPr>
                <w:noProof/>
                <w:color w:val="000000"/>
                <w:highlight w:val="black"/>
              </w:rPr>
              <w:t>''''''</w:t>
            </w:r>
            <w:r w:rsidR="00A252D4" w:rsidRPr="00ED3C94">
              <w:t>/</w:t>
            </w:r>
            <w:r>
              <w:rPr>
                <w:noProof/>
                <w:color w:val="000000"/>
                <w:highlight w:val="black"/>
              </w:rPr>
              <w:t>''''''''''</w:t>
            </w:r>
          </w:p>
        </w:tc>
        <w:tc>
          <w:tcPr>
            <w:tcW w:w="839" w:type="pct"/>
            <w:shd w:val="clear" w:color="auto" w:fill="auto"/>
            <w:vAlign w:val="center"/>
          </w:tcPr>
          <w:p w:rsidR="003D69EF" w:rsidRPr="00ED3C94" w:rsidRDefault="00330093" w:rsidP="00A252D4">
            <w:pPr>
              <w:pStyle w:val="TableText"/>
              <w:jc w:val="center"/>
            </w:pPr>
            <w:r>
              <w:rPr>
                <w:b/>
                <w:noProof/>
                <w:color w:val="000000"/>
                <w:highlight w:val="black"/>
              </w:rPr>
              <w:t>'''''''''</w:t>
            </w:r>
            <w:r w:rsidR="00A252D4" w:rsidRPr="00ED3C94">
              <w:rPr>
                <w:b/>
              </w:rPr>
              <w:t xml:space="preserve"> (</w:t>
            </w:r>
            <w:r>
              <w:rPr>
                <w:b/>
                <w:noProof/>
                <w:color w:val="000000"/>
                <w:highlight w:val="black"/>
              </w:rPr>
              <w:t>''''''''</w:t>
            </w:r>
            <w:r w:rsidR="00A252D4" w:rsidRPr="00ED3C94">
              <w:rPr>
                <w:b/>
              </w:rPr>
              <w:t xml:space="preserve">, </w:t>
            </w:r>
            <w:r>
              <w:rPr>
                <w:b/>
                <w:noProof/>
                <w:color w:val="000000"/>
                <w:highlight w:val="black"/>
              </w:rPr>
              <w:t>''''''''''</w:t>
            </w:r>
            <w:r w:rsidR="00A252D4" w:rsidRPr="00ED3C94">
              <w:rPr>
                <w:b/>
              </w:rPr>
              <w:t>)</w:t>
            </w:r>
          </w:p>
        </w:tc>
        <w:tc>
          <w:tcPr>
            <w:tcW w:w="611" w:type="pct"/>
            <w:gridSpan w:val="2"/>
            <w:shd w:val="clear" w:color="auto" w:fill="auto"/>
            <w:vAlign w:val="center"/>
          </w:tcPr>
          <w:p w:rsidR="003D69EF" w:rsidRPr="00330093" w:rsidRDefault="00330093" w:rsidP="00A252D4">
            <w:pPr>
              <w:pStyle w:val="TableText"/>
              <w:jc w:val="center"/>
              <w:rPr>
                <w:highlight w:val="black"/>
              </w:rPr>
            </w:pPr>
            <w:r>
              <w:rPr>
                <w:noProof/>
                <w:color w:val="000000"/>
                <w:highlight w:val="black"/>
              </w:rPr>
              <w:t>''''''''</w:t>
            </w:r>
          </w:p>
        </w:tc>
        <w:tc>
          <w:tcPr>
            <w:tcW w:w="583" w:type="pct"/>
            <w:gridSpan w:val="2"/>
            <w:shd w:val="clear" w:color="auto" w:fill="auto"/>
            <w:vAlign w:val="center"/>
          </w:tcPr>
          <w:p w:rsidR="003D69EF" w:rsidRPr="00330093" w:rsidRDefault="00330093" w:rsidP="00A252D4">
            <w:pPr>
              <w:pStyle w:val="TableText"/>
              <w:jc w:val="center"/>
              <w:rPr>
                <w:highlight w:val="black"/>
              </w:rPr>
            </w:pPr>
            <w:r>
              <w:rPr>
                <w:noProof/>
                <w:color w:val="000000"/>
                <w:highlight w:val="black"/>
              </w:rPr>
              <w:t>'''''''</w:t>
            </w:r>
          </w:p>
        </w:tc>
        <w:tc>
          <w:tcPr>
            <w:tcW w:w="672" w:type="pct"/>
            <w:shd w:val="clear" w:color="auto" w:fill="auto"/>
            <w:vAlign w:val="center"/>
          </w:tcPr>
          <w:p w:rsidR="003D69EF" w:rsidRPr="00ED3C94" w:rsidRDefault="00330093" w:rsidP="00A252D4">
            <w:pPr>
              <w:pStyle w:val="TableText"/>
              <w:jc w:val="center"/>
            </w:pPr>
            <w:r>
              <w:rPr>
                <w:b/>
                <w:noProof/>
                <w:color w:val="000000"/>
                <w:highlight w:val="black"/>
              </w:rPr>
              <w:t>'''''''</w:t>
            </w:r>
            <w:r w:rsidR="00A252D4" w:rsidRPr="00ED3C94">
              <w:rPr>
                <w:b/>
              </w:rPr>
              <w:t xml:space="preserve"> (</w:t>
            </w:r>
            <w:r>
              <w:rPr>
                <w:b/>
                <w:noProof/>
                <w:color w:val="000000"/>
                <w:highlight w:val="black"/>
              </w:rPr>
              <w:t>''''''</w:t>
            </w:r>
            <w:r w:rsidR="00A252D4" w:rsidRPr="00ED3C94">
              <w:rPr>
                <w:b/>
              </w:rPr>
              <w:t xml:space="preserve">, </w:t>
            </w:r>
            <w:r>
              <w:rPr>
                <w:b/>
                <w:noProof/>
                <w:color w:val="000000"/>
                <w:highlight w:val="black"/>
              </w:rPr>
              <w:t>''''''</w:t>
            </w:r>
            <w:r w:rsidR="00A252D4" w:rsidRPr="00ED3C94">
              <w:rPr>
                <w:b/>
              </w:rPr>
              <w:t>)</w:t>
            </w:r>
          </w:p>
        </w:tc>
      </w:tr>
      <w:tr w:rsidR="003D69EF" w:rsidRPr="00ED3C94" w:rsidTr="00065CDE">
        <w:tc>
          <w:tcPr>
            <w:tcW w:w="5000" w:type="pct"/>
            <w:gridSpan w:val="10"/>
            <w:shd w:val="clear" w:color="auto" w:fill="auto"/>
            <w:vAlign w:val="center"/>
          </w:tcPr>
          <w:p w:rsidR="003D69EF" w:rsidRPr="00ED3C94" w:rsidRDefault="00A252D4" w:rsidP="00772501">
            <w:pPr>
              <w:pStyle w:val="TableText"/>
              <w:rPr>
                <w:b/>
              </w:rPr>
            </w:pPr>
            <w:r w:rsidRPr="00ED3C94">
              <w:rPr>
                <w:b/>
              </w:rPr>
              <w:t>Injection site reaction</w:t>
            </w:r>
          </w:p>
        </w:tc>
      </w:tr>
      <w:tr w:rsidR="003D69EF" w:rsidRPr="00ED3C94" w:rsidTr="0093702D">
        <w:tc>
          <w:tcPr>
            <w:tcW w:w="981" w:type="pct"/>
            <w:shd w:val="clear" w:color="auto" w:fill="auto"/>
            <w:vAlign w:val="center"/>
          </w:tcPr>
          <w:p w:rsidR="003D69EF" w:rsidRPr="00ED3C94" w:rsidRDefault="00A252D4" w:rsidP="00772501">
            <w:pPr>
              <w:pStyle w:val="TableText"/>
            </w:pPr>
            <w:r w:rsidRPr="00ED3C94">
              <w:t>Meta-analysis (whole trial populations)</w:t>
            </w:r>
          </w:p>
        </w:tc>
        <w:tc>
          <w:tcPr>
            <w:tcW w:w="616" w:type="pct"/>
            <w:gridSpan w:val="2"/>
            <w:shd w:val="clear" w:color="auto" w:fill="auto"/>
            <w:vAlign w:val="center"/>
          </w:tcPr>
          <w:p w:rsidR="003D69EF" w:rsidRPr="00ED3C94" w:rsidRDefault="00330093" w:rsidP="00A252D4">
            <w:pPr>
              <w:pStyle w:val="TableText"/>
              <w:jc w:val="center"/>
            </w:pPr>
            <w:r>
              <w:rPr>
                <w:noProof/>
                <w:color w:val="000000"/>
                <w:highlight w:val="black"/>
              </w:rPr>
              <w:t>''''''''''</w:t>
            </w:r>
            <w:r w:rsidR="00A252D4" w:rsidRPr="00ED3C94">
              <w:t>/</w:t>
            </w:r>
            <w:r>
              <w:rPr>
                <w:noProof/>
                <w:color w:val="000000"/>
                <w:highlight w:val="black"/>
              </w:rPr>
              <w:t>''''''''''''</w:t>
            </w:r>
          </w:p>
        </w:tc>
        <w:tc>
          <w:tcPr>
            <w:tcW w:w="699" w:type="pct"/>
            <w:shd w:val="clear" w:color="auto" w:fill="auto"/>
            <w:vAlign w:val="center"/>
          </w:tcPr>
          <w:p w:rsidR="003D69EF" w:rsidRPr="00ED3C94" w:rsidRDefault="00330093" w:rsidP="00A252D4">
            <w:pPr>
              <w:pStyle w:val="TableText"/>
              <w:jc w:val="center"/>
            </w:pPr>
            <w:r>
              <w:rPr>
                <w:noProof/>
                <w:color w:val="000000"/>
                <w:highlight w:val="black"/>
              </w:rPr>
              <w:t>''''''</w:t>
            </w:r>
            <w:r w:rsidR="00A252D4" w:rsidRPr="00ED3C94">
              <w:t>/</w:t>
            </w:r>
            <w:r>
              <w:rPr>
                <w:noProof/>
                <w:color w:val="000000"/>
                <w:highlight w:val="black"/>
              </w:rPr>
              <w:t>''''''''''</w:t>
            </w:r>
          </w:p>
        </w:tc>
        <w:tc>
          <w:tcPr>
            <w:tcW w:w="839" w:type="pct"/>
            <w:shd w:val="clear" w:color="auto" w:fill="auto"/>
            <w:vAlign w:val="center"/>
          </w:tcPr>
          <w:p w:rsidR="003D69EF" w:rsidRPr="00ED3C94" w:rsidRDefault="00330093" w:rsidP="00A252D4">
            <w:pPr>
              <w:pStyle w:val="TableText"/>
              <w:jc w:val="center"/>
            </w:pPr>
            <w:r>
              <w:rPr>
                <w:b/>
                <w:noProof/>
                <w:color w:val="000000"/>
                <w:highlight w:val="black"/>
              </w:rPr>
              <w:t>''''''''</w:t>
            </w:r>
            <w:r w:rsidR="00A252D4" w:rsidRPr="00ED3C94">
              <w:rPr>
                <w:b/>
              </w:rPr>
              <w:t xml:space="preserve"> (</w:t>
            </w:r>
            <w:r>
              <w:rPr>
                <w:b/>
                <w:noProof/>
                <w:color w:val="000000"/>
                <w:highlight w:val="black"/>
              </w:rPr>
              <w:t>'''''''''</w:t>
            </w:r>
            <w:r w:rsidR="00A252D4" w:rsidRPr="00ED3C94">
              <w:rPr>
                <w:b/>
              </w:rPr>
              <w:t xml:space="preserve">, </w:t>
            </w:r>
            <w:r>
              <w:rPr>
                <w:b/>
                <w:noProof/>
                <w:color w:val="000000"/>
                <w:highlight w:val="black"/>
              </w:rPr>
              <w:t>''''''''</w:t>
            </w:r>
            <w:r w:rsidR="00A252D4" w:rsidRPr="00ED3C94">
              <w:rPr>
                <w:b/>
              </w:rPr>
              <w:t>)</w:t>
            </w:r>
          </w:p>
        </w:tc>
        <w:tc>
          <w:tcPr>
            <w:tcW w:w="611" w:type="pct"/>
            <w:gridSpan w:val="2"/>
            <w:shd w:val="clear" w:color="auto" w:fill="auto"/>
            <w:vAlign w:val="center"/>
          </w:tcPr>
          <w:p w:rsidR="003D69EF" w:rsidRPr="00330093" w:rsidRDefault="00330093" w:rsidP="00A252D4">
            <w:pPr>
              <w:pStyle w:val="TableText"/>
              <w:jc w:val="center"/>
              <w:rPr>
                <w:highlight w:val="black"/>
              </w:rPr>
            </w:pPr>
            <w:r>
              <w:rPr>
                <w:noProof/>
                <w:color w:val="000000"/>
                <w:highlight w:val="black"/>
              </w:rPr>
              <w:t>''''''''''</w:t>
            </w:r>
          </w:p>
        </w:tc>
        <w:tc>
          <w:tcPr>
            <w:tcW w:w="583" w:type="pct"/>
            <w:gridSpan w:val="2"/>
            <w:shd w:val="clear" w:color="auto" w:fill="auto"/>
            <w:vAlign w:val="center"/>
          </w:tcPr>
          <w:p w:rsidR="003D69EF" w:rsidRPr="00330093" w:rsidRDefault="00330093" w:rsidP="00A252D4">
            <w:pPr>
              <w:pStyle w:val="TableText"/>
              <w:jc w:val="center"/>
              <w:rPr>
                <w:highlight w:val="black"/>
              </w:rPr>
            </w:pPr>
            <w:r>
              <w:rPr>
                <w:noProof/>
                <w:color w:val="000000"/>
                <w:highlight w:val="black"/>
              </w:rPr>
              <w:t>'''''''''</w:t>
            </w:r>
          </w:p>
        </w:tc>
        <w:tc>
          <w:tcPr>
            <w:tcW w:w="672" w:type="pct"/>
            <w:shd w:val="clear" w:color="auto" w:fill="auto"/>
            <w:vAlign w:val="center"/>
          </w:tcPr>
          <w:p w:rsidR="003D69EF" w:rsidRPr="00ED3C94" w:rsidRDefault="00330093" w:rsidP="00A252D4">
            <w:pPr>
              <w:pStyle w:val="TableText"/>
              <w:jc w:val="center"/>
            </w:pPr>
            <w:r>
              <w:rPr>
                <w:b/>
                <w:noProof/>
                <w:color w:val="000000"/>
                <w:highlight w:val="black"/>
              </w:rPr>
              <w:t>''''''</w:t>
            </w:r>
            <w:r w:rsidR="00A252D4" w:rsidRPr="00ED3C94">
              <w:rPr>
                <w:b/>
              </w:rPr>
              <w:t xml:space="preserve"> (</w:t>
            </w:r>
            <w:r>
              <w:rPr>
                <w:b/>
                <w:noProof/>
                <w:color w:val="000000"/>
                <w:highlight w:val="black"/>
              </w:rPr>
              <w:t>''''''</w:t>
            </w:r>
            <w:r w:rsidR="00A252D4" w:rsidRPr="00ED3C94">
              <w:rPr>
                <w:b/>
              </w:rPr>
              <w:t xml:space="preserve">, </w:t>
            </w:r>
            <w:r>
              <w:rPr>
                <w:b/>
                <w:noProof/>
                <w:color w:val="000000"/>
                <w:highlight w:val="black"/>
              </w:rPr>
              <w:t>''''''''''</w:t>
            </w:r>
            <w:r w:rsidR="00A252D4" w:rsidRPr="00ED3C94">
              <w:rPr>
                <w:b/>
              </w:rPr>
              <w:t>)</w:t>
            </w:r>
          </w:p>
        </w:tc>
      </w:tr>
      <w:tr w:rsidR="00537260" w:rsidRPr="00ED3C94" w:rsidTr="00537260">
        <w:tc>
          <w:tcPr>
            <w:tcW w:w="5000" w:type="pct"/>
            <w:gridSpan w:val="10"/>
            <w:shd w:val="clear" w:color="auto" w:fill="auto"/>
          </w:tcPr>
          <w:p w:rsidR="00537260" w:rsidRPr="00ED3C94" w:rsidRDefault="00537260" w:rsidP="00537260">
            <w:pPr>
              <w:pStyle w:val="TableText"/>
              <w:rPr>
                <w:b/>
                <w:vertAlign w:val="superscript"/>
              </w:rPr>
            </w:pPr>
            <w:r w:rsidRPr="00ED3C94">
              <w:rPr>
                <w:b/>
              </w:rPr>
              <w:t xml:space="preserve">Allergic </w:t>
            </w:r>
            <w:r w:rsidR="00E85617" w:rsidRPr="00ED3C94">
              <w:rPr>
                <w:b/>
              </w:rPr>
              <w:t>conjunctivitis</w:t>
            </w:r>
            <w:r w:rsidR="00E85617" w:rsidRPr="00ED3C94">
              <w:rPr>
                <w:b/>
                <w:vertAlign w:val="superscript"/>
              </w:rPr>
              <w:t>b</w:t>
            </w:r>
          </w:p>
        </w:tc>
      </w:tr>
      <w:tr w:rsidR="00A252D4" w:rsidRPr="00ED3C94" w:rsidTr="0093702D">
        <w:tc>
          <w:tcPr>
            <w:tcW w:w="981" w:type="pct"/>
            <w:shd w:val="clear" w:color="auto" w:fill="auto"/>
            <w:vAlign w:val="center"/>
          </w:tcPr>
          <w:p w:rsidR="00A252D4" w:rsidRPr="00ED3C94" w:rsidRDefault="00537260" w:rsidP="00772501">
            <w:pPr>
              <w:pStyle w:val="TableText"/>
            </w:pPr>
            <w:r w:rsidRPr="00ED3C94">
              <w:t>Meta-analysis (whole trial populations)</w:t>
            </w:r>
          </w:p>
        </w:tc>
        <w:tc>
          <w:tcPr>
            <w:tcW w:w="616" w:type="pct"/>
            <w:gridSpan w:val="2"/>
            <w:shd w:val="clear" w:color="auto" w:fill="auto"/>
            <w:vAlign w:val="center"/>
          </w:tcPr>
          <w:p w:rsidR="00A252D4" w:rsidRPr="00ED3C94" w:rsidRDefault="00330093" w:rsidP="00A252D4">
            <w:pPr>
              <w:pStyle w:val="TableText"/>
              <w:jc w:val="center"/>
            </w:pPr>
            <w:r>
              <w:rPr>
                <w:noProof/>
                <w:color w:val="000000"/>
                <w:highlight w:val="black"/>
              </w:rPr>
              <w:t>'''''''''</w:t>
            </w:r>
            <w:r w:rsidR="00E85617" w:rsidRPr="00ED3C94">
              <w:t>/</w:t>
            </w:r>
            <w:r>
              <w:rPr>
                <w:noProof/>
                <w:color w:val="000000"/>
                <w:highlight w:val="black"/>
              </w:rPr>
              <w:t>'''''''''''</w:t>
            </w:r>
          </w:p>
        </w:tc>
        <w:tc>
          <w:tcPr>
            <w:tcW w:w="699" w:type="pct"/>
            <w:shd w:val="clear" w:color="auto" w:fill="auto"/>
            <w:vAlign w:val="center"/>
          </w:tcPr>
          <w:p w:rsidR="00A252D4" w:rsidRPr="00ED3C94" w:rsidRDefault="00330093" w:rsidP="00A252D4">
            <w:pPr>
              <w:pStyle w:val="TableText"/>
              <w:jc w:val="center"/>
            </w:pPr>
            <w:r>
              <w:rPr>
                <w:noProof/>
                <w:color w:val="000000"/>
                <w:highlight w:val="black"/>
              </w:rPr>
              <w:t>'''''</w:t>
            </w:r>
            <w:r w:rsidR="00E85617" w:rsidRPr="00ED3C94">
              <w:t>/</w:t>
            </w:r>
            <w:r>
              <w:rPr>
                <w:noProof/>
                <w:color w:val="000000"/>
                <w:highlight w:val="black"/>
              </w:rPr>
              <w:t>'''''''''</w:t>
            </w:r>
          </w:p>
        </w:tc>
        <w:tc>
          <w:tcPr>
            <w:tcW w:w="839" w:type="pct"/>
            <w:shd w:val="clear" w:color="auto" w:fill="auto"/>
            <w:vAlign w:val="center"/>
          </w:tcPr>
          <w:p w:rsidR="00A252D4" w:rsidRPr="00ED3C94" w:rsidRDefault="00330093" w:rsidP="00A252D4">
            <w:pPr>
              <w:pStyle w:val="TableText"/>
              <w:jc w:val="center"/>
              <w:rPr>
                <w:b/>
              </w:rPr>
            </w:pPr>
            <w:r>
              <w:rPr>
                <w:b/>
                <w:noProof/>
                <w:color w:val="000000"/>
                <w:highlight w:val="black"/>
              </w:rPr>
              <w:t>''''''''</w:t>
            </w:r>
            <w:r w:rsidR="00E85617" w:rsidRPr="00ED3C94">
              <w:rPr>
                <w:b/>
              </w:rPr>
              <w:t xml:space="preserve"> (</w:t>
            </w:r>
            <w:r>
              <w:rPr>
                <w:b/>
                <w:noProof/>
                <w:color w:val="000000"/>
                <w:highlight w:val="black"/>
              </w:rPr>
              <w:t>'''''''''</w:t>
            </w:r>
            <w:r w:rsidR="00E85617" w:rsidRPr="00ED3C94">
              <w:rPr>
                <w:b/>
              </w:rPr>
              <w:t xml:space="preserve">, </w:t>
            </w:r>
            <w:r>
              <w:rPr>
                <w:b/>
                <w:noProof/>
                <w:color w:val="000000"/>
                <w:highlight w:val="black"/>
              </w:rPr>
              <w:t>''''''''</w:t>
            </w:r>
            <w:r w:rsidR="00E85617" w:rsidRPr="00ED3C94">
              <w:rPr>
                <w:b/>
              </w:rPr>
              <w:t>)</w:t>
            </w:r>
          </w:p>
        </w:tc>
        <w:tc>
          <w:tcPr>
            <w:tcW w:w="611" w:type="pct"/>
            <w:gridSpan w:val="2"/>
            <w:shd w:val="clear" w:color="auto" w:fill="auto"/>
            <w:vAlign w:val="center"/>
          </w:tcPr>
          <w:p w:rsidR="00A252D4" w:rsidRPr="00330093" w:rsidRDefault="00330093" w:rsidP="00A252D4">
            <w:pPr>
              <w:pStyle w:val="TableText"/>
              <w:jc w:val="center"/>
              <w:rPr>
                <w:highlight w:val="black"/>
              </w:rPr>
            </w:pPr>
            <w:r>
              <w:rPr>
                <w:noProof/>
                <w:color w:val="000000"/>
                <w:highlight w:val="black"/>
              </w:rPr>
              <w:t>'''''''</w:t>
            </w:r>
          </w:p>
        </w:tc>
        <w:tc>
          <w:tcPr>
            <w:tcW w:w="583" w:type="pct"/>
            <w:gridSpan w:val="2"/>
            <w:shd w:val="clear" w:color="auto" w:fill="auto"/>
            <w:vAlign w:val="center"/>
          </w:tcPr>
          <w:p w:rsidR="00A252D4" w:rsidRPr="00330093" w:rsidRDefault="00330093" w:rsidP="00A252D4">
            <w:pPr>
              <w:pStyle w:val="TableText"/>
              <w:jc w:val="center"/>
              <w:rPr>
                <w:highlight w:val="black"/>
              </w:rPr>
            </w:pPr>
            <w:r>
              <w:rPr>
                <w:noProof/>
                <w:color w:val="000000"/>
                <w:highlight w:val="black"/>
              </w:rPr>
              <w:t>''''''''</w:t>
            </w:r>
          </w:p>
        </w:tc>
        <w:tc>
          <w:tcPr>
            <w:tcW w:w="672" w:type="pct"/>
            <w:shd w:val="clear" w:color="auto" w:fill="auto"/>
            <w:vAlign w:val="center"/>
          </w:tcPr>
          <w:p w:rsidR="00A252D4" w:rsidRPr="00ED3C94" w:rsidRDefault="00330093" w:rsidP="00A252D4">
            <w:pPr>
              <w:pStyle w:val="TableText"/>
              <w:jc w:val="center"/>
              <w:rPr>
                <w:b/>
              </w:rPr>
            </w:pPr>
            <w:r>
              <w:rPr>
                <w:b/>
                <w:noProof/>
                <w:color w:val="000000"/>
                <w:highlight w:val="black"/>
              </w:rPr>
              <w:t>''''''</w:t>
            </w:r>
            <w:r w:rsidR="00E85617" w:rsidRPr="00ED3C94">
              <w:rPr>
                <w:b/>
              </w:rPr>
              <w:t xml:space="preserve"> (</w:t>
            </w:r>
            <w:r>
              <w:rPr>
                <w:b/>
                <w:noProof/>
                <w:color w:val="000000"/>
                <w:highlight w:val="black"/>
              </w:rPr>
              <w:t>''''''</w:t>
            </w:r>
            <w:r w:rsidR="00E85617" w:rsidRPr="00ED3C94">
              <w:rPr>
                <w:b/>
              </w:rPr>
              <w:t xml:space="preserve">, </w:t>
            </w:r>
            <w:r>
              <w:rPr>
                <w:b/>
                <w:noProof/>
                <w:color w:val="000000"/>
                <w:highlight w:val="black"/>
              </w:rPr>
              <w:t>''''''''</w:t>
            </w:r>
            <w:r w:rsidR="00E85617" w:rsidRPr="00ED3C94">
              <w:rPr>
                <w:b/>
              </w:rPr>
              <w:t>)</w:t>
            </w:r>
          </w:p>
        </w:tc>
      </w:tr>
      <w:tr w:rsidR="00537260" w:rsidRPr="00ED3C94" w:rsidTr="00537260">
        <w:tc>
          <w:tcPr>
            <w:tcW w:w="5000" w:type="pct"/>
            <w:gridSpan w:val="10"/>
            <w:shd w:val="clear" w:color="auto" w:fill="auto"/>
          </w:tcPr>
          <w:p w:rsidR="00537260" w:rsidRPr="00ED3C94" w:rsidRDefault="00537260" w:rsidP="00537260">
            <w:pPr>
              <w:pStyle w:val="TableText"/>
              <w:rPr>
                <w:b/>
              </w:rPr>
            </w:pPr>
            <w:r w:rsidRPr="00ED3C94">
              <w:rPr>
                <w:b/>
              </w:rPr>
              <w:t>Blepharitis</w:t>
            </w:r>
            <w:r w:rsidR="00E85617" w:rsidRPr="00ED3C94">
              <w:rPr>
                <w:b/>
                <w:vertAlign w:val="superscript"/>
              </w:rPr>
              <w:t>c</w:t>
            </w:r>
          </w:p>
        </w:tc>
      </w:tr>
      <w:tr w:rsidR="00A252D4" w:rsidRPr="00ED3C94" w:rsidTr="0093702D">
        <w:tc>
          <w:tcPr>
            <w:tcW w:w="981" w:type="pct"/>
            <w:shd w:val="clear" w:color="auto" w:fill="auto"/>
            <w:vAlign w:val="center"/>
          </w:tcPr>
          <w:p w:rsidR="00A252D4" w:rsidRPr="00ED3C94" w:rsidRDefault="00537260" w:rsidP="00772501">
            <w:pPr>
              <w:pStyle w:val="TableText"/>
            </w:pPr>
            <w:r w:rsidRPr="00ED3C94">
              <w:t>Meta-analysis (whole trial populations)</w:t>
            </w:r>
          </w:p>
        </w:tc>
        <w:tc>
          <w:tcPr>
            <w:tcW w:w="616" w:type="pct"/>
            <w:gridSpan w:val="2"/>
            <w:shd w:val="clear" w:color="auto" w:fill="auto"/>
            <w:vAlign w:val="center"/>
          </w:tcPr>
          <w:p w:rsidR="00A252D4" w:rsidRPr="00ED3C94" w:rsidRDefault="00330093" w:rsidP="00A252D4">
            <w:pPr>
              <w:pStyle w:val="TableText"/>
              <w:jc w:val="center"/>
            </w:pPr>
            <w:r>
              <w:rPr>
                <w:noProof/>
                <w:color w:val="000000"/>
                <w:highlight w:val="black"/>
              </w:rPr>
              <w:t>''''''</w:t>
            </w:r>
            <w:r w:rsidR="00E85617" w:rsidRPr="00ED3C94">
              <w:t>/</w:t>
            </w:r>
            <w:r>
              <w:rPr>
                <w:noProof/>
                <w:color w:val="000000"/>
                <w:highlight w:val="black"/>
              </w:rPr>
              <w:t xml:space="preserve">''''''''' </w:t>
            </w:r>
          </w:p>
        </w:tc>
        <w:tc>
          <w:tcPr>
            <w:tcW w:w="699" w:type="pct"/>
            <w:shd w:val="clear" w:color="auto" w:fill="auto"/>
            <w:vAlign w:val="center"/>
          </w:tcPr>
          <w:p w:rsidR="00A252D4" w:rsidRPr="00ED3C94" w:rsidRDefault="00330093" w:rsidP="00A252D4">
            <w:pPr>
              <w:pStyle w:val="TableText"/>
              <w:jc w:val="center"/>
            </w:pPr>
            <w:r>
              <w:rPr>
                <w:noProof/>
                <w:color w:val="000000"/>
                <w:highlight w:val="black"/>
              </w:rPr>
              <w:t>'''</w:t>
            </w:r>
            <w:r w:rsidR="00E85617" w:rsidRPr="00ED3C94">
              <w:t>/</w:t>
            </w:r>
            <w:r>
              <w:rPr>
                <w:noProof/>
                <w:color w:val="000000"/>
                <w:highlight w:val="black"/>
              </w:rPr>
              <w:t>'''''''''</w:t>
            </w:r>
          </w:p>
        </w:tc>
        <w:tc>
          <w:tcPr>
            <w:tcW w:w="839" w:type="pct"/>
            <w:shd w:val="clear" w:color="auto" w:fill="auto"/>
            <w:vAlign w:val="center"/>
          </w:tcPr>
          <w:p w:rsidR="00A252D4" w:rsidRPr="00ED3C94" w:rsidRDefault="00330093" w:rsidP="00A252D4">
            <w:pPr>
              <w:pStyle w:val="TableText"/>
              <w:jc w:val="center"/>
              <w:rPr>
                <w:b/>
              </w:rPr>
            </w:pPr>
            <w:r>
              <w:rPr>
                <w:b/>
                <w:noProof/>
                <w:color w:val="000000"/>
                <w:highlight w:val="black"/>
              </w:rPr>
              <w:t>''''''''</w:t>
            </w:r>
            <w:r w:rsidR="00E85617" w:rsidRPr="00ED3C94">
              <w:rPr>
                <w:b/>
              </w:rPr>
              <w:t xml:space="preserve"> (</w:t>
            </w:r>
            <w:r>
              <w:rPr>
                <w:b/>
                <w:noProof/>
                <w:color w:val="000000"/>
                <w:highlight w:val="black"/>
              </w:rPr>
              <w:t>''''''''''</w:t>
            </w:r>
            <w:r w:rsidR="00E85617" w:rsidRPr="00ED3C94">
              <w:rPr>
                <w:b/>
              </w:rPr>
              <w:t xml:space="preserve">, </w:t>
            </w:r>
            <w:r>
              <w:rPr>
                <w:b/>
                <w:noProof/>
                <w:color w:val="000000"/>
                <w:highlight w:val="black"/>
              </w:rPr>
              <w:t>'''''''''</w:t>
            </w:r>
            <w:r w:rsidR="00E85617" w:rsidRPr="00ED3C94">
              <w:rPr>
                <w:b/>
              </w:rPr>
              <w:t>)</w:t>
            </w:r>
          </w:p>
        </w:tc>
        <w:tc>
          <w:tcPr>
            <w:tcW w:w="611" w:type="pct"/>
            <w:gridSpan w:val="2"/>
            <w:shd w:val="clear" w:color="auto" w:fill="auto"/>
            <w:vAlign w:val="center"/>
          </w:tcPr>
          <w:p w:rsidR="00A252D4" w:rsidRPr="00330093" w:rsidRDefault="00330093" w:rsidP="00A252D4">
            <w:pPr>
              <w:pStyle w:val="TableText"/>
              <w:jc w:val="center"/>
              <w:rPr>
                <w:highlight w:val="black"/>
              </w:rPr>
            </w:pPr>
            <w:r>
              <w:rPr>
                <w:noProof/>
                <w:color w:val="000000"/>
                <w:highlight w:val="black"/>
              </w:rPr>
              <w:t>'''''''</w:t>
            </w:r>
          </w:p>
        </w:tc>
        <w:tc>
          <w:tcPr>
            <w:tcW w:w="583" w:type="pct"/>
            <w:gridSpan w:val="2"/>
            <w:shd w:val="clear" w:color="auto" w:fill="auto"/>
            <w:vAlign w:val="center"/>
          </w:tcPr>
          <w:p w:rsidR="00A252D4" w:rsidRPr="00330093" w:rsidRDefault="00330093" w:rsidP="00A252D4">
            <w:pPr>
              <w:pStyle w:val="TableText"/>
              <w:jc w:val="center"/>
              <w:rPr>
                <w:highlight w:val="black"/>
              </w:rPr>
            </w:pPr>
            <w:r>
              <w:rPr>
                <w:noProof/>
                <w:color w:val="000000"/>
                <w:highlight w:val="black"/>
              </w:rPr>
              <w:t>'''''''</w:t>
            </w:r>
          </w:p>
        </w:tc>
        <w:tc>
          <w:tcPr>
            <w:tcW w:w="672" w:type="pct"/>
            <w:shd w:val="clear" w:color="auto" w:fill="auto"/>
            <w:vAlign w:val="center"/>
          </w:tcPr>
          <w:p w:rsidR="00A252D4" w:rsidRPr="00ED3C94" w:rsidRDefault="00330093" w:rsidP="00A252D4">
            <w:pPr>
              <w:pStyle w:val="TableText"/>
              <w:jc w:val="center"/>
              <w:rPr>
                <w:b/>
              </w:rPr>
            </w:pPr>
            <w:r>
              <w:rPr>
                <w:b/>
                <w:noProof/>
                <w:color w:val="000000"/>
                <w:highlight w:val="black"/>
              </w:rPr>
              <w:t>''''''</w:t>
            </w:r>
            <w:r w:rsidR="00E85617" w:rsidRPr="00ED3C94">
              <w:rPr>
                <w:b/>
              </w:rPr>
              <w:t xml:space="preserve"> (</w:t>
            </w:r>
            <w:r>
              <w:rPr>
                <w:b/>
                <w:noProof/>
                <w:color w:val="000000"/>
                <w:highlight w:val="black"/>
              </w:rPr>
              <w:t>''''''</w:t>
            </w:r>
            <w:r w:rsidR="00E85617" w:rsidRPr="00ED3C94">
              <w:rPr>
                <w:b/>
              </w:rPr>
              <w:t xml:space="preserve">, </w:t>
            </w:r>
            <w:r>
              <w:rPr>
                <w:b/>
                <w:noProof/>
                <w:color w:val="000000"/>
                <w:highlight w:val="black"/>
              </w:rPr>
              <w:t>''''''''''</w:t>
            </w:r>
            <w:r w:rsidR="00E85617" w:rsidRPr="00ED3C94">
              <w:rPr>
                <w:b/>
              </w:rPr>
              <w:t>)</w:t>
            </w:r>
          </w:p>
        </w:tc>
      </w:tr>
      <w:tr w:rsidR="00537260" w:rsidRPr="00ED3C94" w:rsidTr="00537260">
        <w:tc>
          <w:tcPr>
            <w:tcW w:w="5000" w:type="pct"/>
            <w:gridSpan w:val="10"/>
            <w:shd w:val="clear" w:color="auto" w:fill="auto"/>
          </w:tcPr>
          <w:p w:rsidR="00537260" w:rsidRPr="00ED3C94" w:rsidRDefault="00537260" w:rsidP="00537260">
            <w:pPr>
              <w:pStyle w:val="TableText"/>
              <w:rPr>
                <w:b/>
                <w:vertAlign w:val="superscript"/>
              </w:rPr>
            </w:pPr>
            <w:r w:rsidRPr="00ED3C94">
              <w:rPr>
                <w:b/>
              </w:rPr>
              <w:t xml:space="preserve">Allergic </w:t>
            </w:r>
            <w:r w:rsidR="00E85617" w:rsidRPr="00ED3C94">
              <w:rPr>
                <w:b/>
              </w:rPr>
              <w:t>rhinitis</w:t>
            </w:r>
            <w:r w:rsidR="00E85617" w:rsidRPr="00ED3C94">
              <w:rPr>
                <w:b/>
                <w:vertAlign w:val="superscript"/>
              </w:rPr>
              <w:t>d</w:t>
            </w:r>
          </w:p>
        </w:tc>
      </w:tr>
      <w:tr w:rsidR="00A252D4" w:rsidRPr="00ED3C94" w:rsidTr="0093702D">
        <w:tc>
          <w:tcPr>
            <w:tcW w:w="981" w:type="pct"/>
            <w:shd w:val="clear" w:color="auto" w:fill="auto"/>
            <w:vAlign w:val="center"/>
          </w:tcPr>
          <w:p w:rsidR="00A252D4" w:rsidRPr="00ED3C94" w:rsidRDefault="00E85617" w:rsidP="00772501">
            <w:pPr>
              <w:pStyle w:val="TableText"/>
            </w:pPr>
            <w:r w:rsidRPr="00ED3C94">
              <w:t>Meta-analysis (whole trial populations)</w:t>
            </w:r>
          </w:p>
        </w:tc>
        <w:tc>
          <w:tcPr>
            <w:tcW w:w="616" w:type="pct"/>
            <w:gridSpan w:val="2"/>
            <w:shd w:val="clear" w:color="auto" w:fill="auto"/>
            <w:vAlign w:val="center"/>
          </w:tcPr>
          <w:p w:rsidR="00A252D4" w:rsidRPr="00ED3C94" w:rsidRDefault="00330093" w:rsidP="00A252D4">
            <w:pPr>
              <w:pStyle w:val="TableText"/>
              <w:jc w:val="center"/>
            </w:pPr>
            <w:r>
              <w:rPr>
                <w:noProof/>
                <w:color w:val="000000"/>
                <w:highlight w:val="black"/>
              </w:rPr>
              <w:t>''''''</w:t>
            </w:r>
            <w:r w:rsidR="00E85617" w:rsidRPr="00ED3C94">
              <w:t>/</w:t>
            </w:r>
            <w:r>
              <w:rPr>
                <w:noProof/>
                <w:color w:val="000000"/>
                <w:highlight w:val="black"/>
              </w:rPr>
              <w:t>'''''''''</w:t>
            </w:r>
          </w:p>
        </w:tc>
        <w:tc>
          <w:tcPr>
            <w:tcW w:w="699" w:type="pct"/>
            <w:shd w:val="clear" w:color="auto" w:fill="auto"/>
            <w:vAlign w:val="center"/>
          </w:tcPr>
          <w:p w:rsidR="00A252D4" w:rsidRPr="00ED3C94" w:rsidRDefault="00330093" w:rsidP="00A252D4">
            <w:pPr>
              <w:pStyle w:val="TableText"/>
              <w:jc w:val="center"/>
            </w:pPr>
            <w:r>
              <w:rPr>
                <w:noProof/>
                <w:color w:val="000000"/>
                <w:highlight w:val="black"/>
              </w:rPr>
              <w:t>''''</w:t>
            </w:r>
            <w:r w:rsidR="00E85617" w:rsidRPr="00ED3C94">
              <w:t>/</w:t>
            </w:r>
            <w:r>
              <w:rPr>
                <w:noProof/>
                <w:color w:val="000000"/>
                <w:highlight w:val="black"/>
              </w:rPr>
              <w:t>''''''''''</w:t>
            </w:r>
          </w:p>
        </w:tc>
        <w:tc>
          <w:tcPr>
            <w:tcW w:w="839" w:type="pct"/>
            <w:shd w:val="clear" w:color="auto" w:fill="auto"/>
            <w:vAlign w:val="center"/>
          </w:tcPr>
          <w:p w:rsidR="00A252D4" w:rsidRPr="00ED3C94" w:rsidRDefault="00330093" w:rsidP="00A252D4">
            <w:pPr>
              <w:pStyle w:val="TableText"/>
              <w:jc w:val="center"/>
              <w:rPr>
                <w:b/>
              </w:rPr>
            </w:pPr>
            <w:r>
              <w:rPr>
                <w:b/>
                <w:noProof/>
                <w:color w:val="000000"/>
                <w:highlight w:val="black"/>
              </w:rPr>
              <w:t>''''''''</w:t>
            </w:r>
            <w:r w:rsidR="00E85617" w:rsidRPr="00ED3C94">
              <w:rPr>
                <w:b/>
              </w:rPr>
              <w:t xml:space="preserve"> (</w:t>
            </w:r>
            <w:r>
              <w:rPr>
                <w:b/>
                <w:noProof/>
                <w:color w:val="000000"/>
                <w:highlight w:val="black"/>
              </w:rPr>
              <w:t>''''''''</w:t>
            </w:r>
            <w:r w:rsidR="00E85617" w:rsidRPr="00ED3C94">
              <w:rPr>
                <w:b/>
              </w:rPr>
              <w:t xml:space="preserve">, </w:t>
            </w:r>
            <w:r>
              <w:rPr>
                <w:b/>
                <w:noProof/>
                <w:color w:val="000000"/>
                <w:highlight w:val="black"/>
              </w:rPr>
              <w:t>''''''''</w:t>
            </w:r>
            <w:r w:rsidR="00E85617" w:rsidRPr="00ED3C94">
              <w:rPr>
                <w:b/>
              </w:rPr>
              <w:t>)</w:t>
            </w:r>
          </w:p>
        </w:tc>
        <w:tc>
          <w:tcPr>
            <w:tcW w:w="611" w:type="pct"/>
            <w:gridSpan w:val="2"/>
            <w:shd w:val="clear" w:color="auto" w:fill="auto"/>
            <w:vAlign w:val="center"/>
          </w:tcPr>
          <w:p w:rsidR="00A252D4" w:rsidRPr="00330093" w:rsidRDefault="00330093" w:rsidP="00A252D4">
            <w:pPr>
              <w:pStyle w:val="TableText"/>
              <w:jc w:val="center"/>
              <w:rPr>
                <w:highlight w:val="black"/>
              </w:rPr>
            </w:pPr>
            <w:r>
              <w:rPr>
                <w:noProof/>
                <w:color w:val="000000"/>
                <w:highlight w:val="black"/>
              </w:rPr>
              <w:t>'''''''</w:t>
            </w:r>
          </w:p>
        </w:tc>
        <w:tc>
          <w:tcPr>
            <w:tcW w:w="583" w:type="pct"/>
            <w:gridSpan w:val="2"/>
            <w:shd w:val="clear" w:color="auto" w:fill="auto"/>
            <w:vAlign w:val="center"/>
          </w:tcPr>
          <w:p w:rsidR="00A252D4" w:rsidRPr="00330093" w:rsidRDefault="00330093" w:rsidP="00A252D4">
            <w:pPr>
              <w:pStyle w:val="TableText"/>
              <w:jc w:val="center"/>
              <w:rPr>
                <w:highlight w:val="black"/>
              </w:rPr>
            </w:pPr>
            <w:r>
              <w:rPr>
                <w:noProof/>
                <w:color w:val="000000"/>
                <w:highlight w:val="black"/>
              </w:rPr>
              <w:t>'''''''''</w:t>
            </w:r>
          </w:p>
        </w:tc>
        <w:tc>
          <w:tcPr>
            <w:tcW w:w="672" w:type="pct"/>
            <w:shd w:val="clear" w:color="auto" w:fill="auto"/>
            <w:vAlign w:val="center"/>
          </w:tcPr>
          <w:p w:rsidR="00A252D4" w:rsidRPr="00ED3C94" w:rsidRDefault="00330093" w:rsidP="00A252D4">
            <w:pPr>
              <w:pStyle w:val="TableText"/>
              <w:jc w:val="center"/>
              <w:rPr>
                <w:b/>
              </w:rPr>
            </w:pPr>
            <w:r>
              <w:rPr>
                <w:b/>
                <w:noProof/>
                <w:color w:val="000000"/>
                <w:highlight w:val="black"/>
              </w:rPr>
              <w:t>'''''''</w:t>
            </w:r>
            <w:r w:rsidR="00E85617" w:rsidRPr="00ED3C94">
              <w:rPr>
                <w:b/>
              </w:rPr>
              <w:t xml:space="preserve"> (</w:t>
            </w:r>
            <w:r>
              <w:rPr>
                <w:b/>
                <w:noProof/>
                <w:color w:val="000000"/>
                <w:highlight w:val="black"/>
              </w:rPr>
              <w:t>''''''</w:t>
            </w:r>
            <w:r w:rsidR="00E85617" w:rsidRPr="00ED3C94">
              <w:rPr>
                <w:b/>
              </w:rPr>
              <w:t xml:space="preserve">, </w:t>
            </w:r>
            <w:r>
              <w:rPr>
                <w:b/>
                <w:noProof/>
                <w:color w:val="000000"/>
                <w:highlight w:val="black"/>
              </w:rPr>
              <w:t>''''''''''</w:t>
            </w:r>
            <w:r w:rsidR="00E85617" w:rsidRPr="00ED3C94">
              <w:rPr>
                <w:b/>
              </w:rPr>
              <w:t>)</w:t>
            </w:r>
          </w:p>
        </w:tc>
      </w:tr>
    </w:tbl>
    <w:p w:rsidR="00034404" w:rsidRPr="00ED3C94" w:rsidRDefault="00034404" w:rsidP="00772501">
      <w:pPr>
        <w:pStyle w:val="TableFooter"/>
      </w:pPr>
      <w:r w:rsidRPr="00ED3C94">
        <w:t>Source: Compil</w:t>
      </w:r>
      <w:r w:rsidR="00357657" w:rsidRPr="00ED3C94">
        <w:t>ed during the evaluation/</w:t>
      </w:r>
    </w:p>
    <w:p w:rsidR="004D22B3" w:rsidRPr="00ED3C94" w:rsidRDefault="004D22B3" w:rsidP="00772501">
      <w:pPr>
        <w:pStyle w:val="TableFooter"/>
      </w:pPr>
      <w:r w:rsidRPr="00ED3C94">
        <w:rPr>
          <w:vertAlign w:val="superscript"/>
        </w:rPr>
        <w:t>a</w:t>
      </w:r>
      <w:r w:rsidRPr="00ED3C94">
        <w:t xml:space="preserve"> population considered to be most representative of the proposed population</w:t>
      </w:r>
    </w:p>
    <w:p w:rsidR="00E85617" w:rsidRPr="00ED3C94" w:rsidRDefault="00E85617" w:rsidP="00E85617">
      <w:pPr>
        <w:pStyle w:val="TableFooter"/>
      </w:pPr>
      <w:r w:rsidRPr="00ED3C94">
        <w:rPr>
          <w:vertAlign w:val="superscript"/>
        </w:rPr>
        <w:t xml:space="preserve">b </w:t>
      </w:r>
      <w:r w:rsidRPr="00ED3C94">
        <w:t>Only reported in CAFÉ, CHRONOS and SOLO 1</w:t>
      </w:r>
    </w:p>
    <w:p w:rsidR="00E85617" w:rsidRPr="00ED3C94" w:rsidRDefault="00E85617" w:rsidP="00E85617">
      <w:pPr>
        <w:pStyle w:val="TableFooter"/>
      </w:pPr>
      <w:r w:rsidRPr="00ED3C94">
        <w:rPr>
          <w:vertAlign w:val="superscript"/>
        </w:rPr>
        <w:t>b</w:t>
      </w:r>
      <w:r w:rsidRPr="00ED3C94">
        <w:t xml:space="preserve"> Only reported in CHRONOS</w:t>
      </w:r>
    </w:p>
    <w:p w:rsidR="00E85617" w:rsidRPr="00ED3C94" w:rsidRDefault="00E85617" w:rsidP="00E85617">
      <w:pPr>
        <w:pStyle w:val="TableFooter"/>
      </w:pPr>
      <w:r w:rsidRPr="00ED3C94">
        <w:rPr>
          <w:vertAlign w:val="superscript"/>
        </w:rPr>
        <w:t>d</w:t>
      </w:r>
      <w:r w:rsidRPr="00ED3C94">
        <w:t xml:space="preserve"> Only reported in CAFÉ</w:t>
      </w:r>
    </w:p>
    <w:bookmarkEnd w:id="22"/>
    <w:p w:rsidR="00E85617" w:rsidRDefault="00E85617">
      <w:pPr>
        <w:spacing w:before="0" w:line="259" w:lineRule="auto"/>
      </w:pPr>
      <w:r w:rsidRPr="00ED3C94">
        <w:br w:type="page"/>
      </w:r>
    </w:p>
    <w:p w:rsidR="00B1678B" w:rsidRPr="00ED3C94" w:rsidRDefault="00B1678B" w:rsidP="00961807">
      <w:pPr>
        <w:widowControl w:val="0"/>
        <w:numPr>
          <w:ilvl w:val="1"/>
          <w:numId w:val="4"/>
        </w:numPr>
        <w:spacing w:before="0" w:after="120"/>
        <w:jc w:val="both"/>
      </w:pPr>
      <w:r w:rsidRPr="00ED3C94">
        <w:lastRenderedPageBreak/>
        <w:t>On the basis of direct evidence presented by the submission, for every 100 patients treated with dupilumab in comparison to placebo</w:t>
      </w:r>
      <w:r>
        <w:t xml:space="preserve"> </w:t>
      </w:r>
      <w:r w:rsidRPr="002B2654">
        <w:t>over 16 weeks</w:t>
      </w:r>
      <w:r w:rsidRPr="00FF0066">
        <w:rPr>
          <w:i/>
        </w:rPr>
        <w:t>:</w:t>
      </w:r>
    </w:p>
    <w:p w:rsidR="00B1678B" w:rsidRPr="00ED3C94" w:rsidRDefault="00B1678B" w:rsidP="00287AB5">
      <w:pPr>
        <w:pStyle w:val="ListParagraph"/>
        <w:numPr>
          <w:ilvl w:val="0"/>
          <w:numId w:val="3"/>
        </w:numPr>
        <w:spacing w:before="0" w:after="0"/>
        <w:ind w:left="1077" w:hanging="357"/>
        <w:jc w:val="both"/>
      </w:pPr>
      <w:r w:rsidRPr="00ED3C94">
        <w:t xml:space="preserve">Approximately 38 additional patients (with </w:t>
      </w:r>
      <w:r w:rsidR="00F75D50">
        <w:t>moderate or severe disease</w:t>
      </w:r>
      <w:r w:rsidRPr="00ED3C94">
        <w:t>) would have a 75% improvement in EASI score;</w:t>
      </w:r>
    </w:p>
    <w:p w:rsidR="00B1678B" w:rsidRPr="00ED3C94" w:rsidRDefault="00B1678B" w:rsidP="00287AB5">
      <w:pPr>
        <w:pStyle w:val="ListParagraph"/>
        <w:numPr>
          <w:ilvl w:val="0"/>
          <w:numId w:val="3"/>
        </w:numPr>
        <w:spacing w:before="0" w:after="0"/>
        <w:ind w:left="1077" w:hanging="357"/>
        <w:jc w:val="both"/>
      </w:pPr>
      <w:r w:rsidRPr="00ED3C94">
        <w:t xml:space="preserve">Approximately 33 additional patients (with </w:t>
      </w:r>
      <w:r w:rsidR="00F75D50">
        <w:t>moderate or severe disease who have failed or been unable to tolerate previous treatment with cyclosporin</w:t>
      </w:r>
      <w:r w:rsidRPr="00ED3C94">
        <w:t>) would have a 75% improvement in EASI score;</w:t>
      </w:r>
    </w:p>
    <w:p w:rsidR="00B1678B" w:rsidRPr="00ED3C94" w:rsidRDefault="00B1678B" w:rsidP="00287AB5">
      <w:pPr>
        <w:pStyle w:val="ListParagraph"/>
        <w:numPr>
          <w:ilvl w:val="0"/>
          <w:numId w:val="3"/>
        </w:numPr>
        <w:spacing w:before="0" w:after="0"/>
        <w:ind w:left="1077" w:hanging="357"/>
        <w:jc w:val="both"/>
      </w:pPr>
      <w:r w:rsidRPr="00ED3C94">
        <w:t xml:space="preserve">Approximately 36 additional patients (with </w:t>
      </w:r>
      <w:r w:rsidR="00F75D50">
        <w:t>severe disease</w:t>
      </w:r>
      <w:r w:rsidRPr="00ED3C94">
        <w:t>) would have a 75% improvement in EASI score from baseline</w:t>
      </w:r>
      <w:r w:rsidR="004D7232">
        <w:t>;</w:t>
      </w:r>
    </w:p>
    <w:p w:rsidR="00B1678B" w:rsidRPr="004D7232" w:rsidRDefault="00B1678B" w:rsidP="00287AB5">
      <w:pPr>
        <w:pStyle w:val="ListParagraph"/>
        <w:numPr>
          <w:ilvl w:val="0"/>
          <w:numId w:val="3"/>
        </w:numPr>
        <w:spacing w:before="0" w:after="0"/>
        <w:ind w:left="1077" w:hanging="357"/>
        <w:jc w:val="both"/>
      </w:pPr>
      <w:r w:rsidRPr="00ED3C94">
        <w:t xml:space="preserve">Approximately 42 additional patients (with </w:t>
      </w:r>
      <w:r w:rsidR="00F75D50">
        <w:t>severe disease who have failed or been unable to tolerate previous treatment with cyclosporin</w:t>
      </w:r>
      <w:r w:rsidRPr="00ED3C94">
        <w:t>) would have a 75% improvement in EASI score from baseline.  This population is most representative of those for whom listing is sought, however is based on results for subgroups of the trial populations</w:t>
      </w:r>
      <w:r w:rsidR="004D7232">
        <w:t xml:space="preserve"> </w:t>
      </w:r>
      <w:r w:rsidR="004D7232" w:rsidRPr="004D7232">
        <w:rPr>
          <w:i/>
        </w:rPr>
        <w:t>(n=102)</w:t>
      </w:r>
      <w:r w:rsidRPr="004D7232">
        <w:rPr>
          <w:i/>
        </w:rPr>
        <w:t>;</w:t>
      </w:r>
    </w:p>
    <w:p w:rsidR="004320BF" w:rsidRDefault="004D7232" w:rsidP="00287AB5">
      <w:pPr>
        <w:pStyle w:val="ListParagraph"/>
        <w:numPr>
          <w:ilvl w:val="0"/>
          <w:numId w:val="3"/>
        </w:numPr>
        <w:spacing w:before="0" w:after="0"/>
        <w:ind w:left="1077" w:hanging="357"/>
        <w:jc w:val="both"/>
      </w:pPr>
      <w:r w:rsidRPr="00E85617">
        <w:t xml:space="preserve">Approximately </w:t>
      </w:r>
      <w:r w:rsidR="004320BF">
        <w:t>14</w:t>
      </w:r>
      <w:r w:rsidRPr="00E85617">
        <w:t xml:space="preserve"> additional patients will have </w:t>
      </w:r>
      <w:r w:rsidR="004320BF">
        <w:t>eye complications</w:t>
      </w:r>
      <w:r w:rsidRPr="00E85617">
        <w:t xml:space="preserve"> over 16 weeks of treatment</w:t>
      </w:r>
      <w:r w:rsidR="004320BF">
        <w:t>:</w:t>
      </w:r>
    </w:p>
    <w:p w:rsidR="004320BF" w:rsidRDefault="004320BF" w:rsidP="00287AB5">
      <w:pPr>
        <w:pStyle w:val="ListParagraph"/>
        <w:spacing w:before="0" w:after="0"/>
        <w:ind w:left="1077"/>
        <w:jc w:val="both"/>
      </w:pPr>
      <w:r>
        <w:t>3 additional patients will have conjunctivitis</w:t>
      </w:r>
      <w:r w:rsidR="009F5142">
        <w:t>,</w:t>
      </w:r>
    </w:p>
    <w:p w:rsidR="009F5142" w:rsidRDefault="009F5142" w:rsidP="00287AB5">
      <w:pPr>
        <w:pStyle w:val="ListParagraph"/>
        <w:spacing w:before="0" w:after="0"/>
        <w:ind w:left="1077"/>
        <w:jc w:val="both"/>
      </w:pPr>
      <w:r w:rsidRPr="004D7232">
        <w:t>6</w:t>
      </w:r>
      <w:r w:rsidRPr="00ED3C94">
        <w:t xml:space="preserve"> additional patients will have allergic conjunctivitis</w:t>
      </w:r>
      <w:r>
        <w:t>, and</w:t>
      </w:r>
    </w:p>
    <w:p w:rsidR="004D7232" w:rsidRPr="00ED3C94" w:rsidRDefault="009F5142" w:rsidP="00287AB5">
      <w:pPr>
        <w:pStyle w:val="ListParagraph"/>
        <w:spacing w:before="0" w:after="0"/>
        <w:ind w:left="1077"/>
        <w:jc w:val="both"/>
      </w:pPr>
      <w:r w:rsidRPr="00ED3C94">
        <w:t>5 additional patients will have blepharitis</w:t>
      </w:r>
      <w:r w:rsidR="004D7232" w:rsidRPr="00E85617">
        <w:t>;</w:t>
      </w:r>
    </w:p>
    <w:p w:rsidR="00B1678B" w:rsidRPr="00ED3C94" w:rsidRDefault="00B1678B" w:rsidP="00287AB5">
      <w:pPr>
        <w:pStyle w:val="ListParagraph"/>
        <w:numPr>
          <w:ilvl w:val="0"/>
          <w:numId w:val="3"/>
        </w:numPr>
        <w:spacing w:before="0" w:after="0"/>
        <w:ind w:left="1077" w:hanging="357"/>
        <w:jc w:val="both"/>
      </w:pPr>
      <w:r w:rsidRPr="00ED3C94">
        <w:t>Approximately 2 additional patients will have oral herpes;</w:t>
      </w:r>
    </w:p>
    <w:p w:rsidR="00B1678B" w:rsidRPr="00ED3C94" w:rsidRDefault="00B1678B" w:rsidP="00287AB5">
      <w:pPr>
        <w:pStyle w:val="ListParagraph"/>
        <w:numPr>
          <w:ilvl w:val="0"/>
          <w:numId w:val="3"/>
        </w:numPr>
        <w:spacing w:before="0" w:after="0"/>
        <w:ind w:left="1077" w:hanging="357"/>
        <w:jc w:val="both"/>
      </w:pPr>
      <w:r w:rsidRPr="00ED3C94">
        <w:t>Approximately 7 additional patients will have an injection site reaction;</w:t>
      </w:r>
      <w:r w:rsidR="009F5142">
        <w:t xml:space="preserve"> </w:t>
      </w:r>
      <w:r w:rsidRPr="00ED3C94">
        <w:t>and</w:t>
      </w:r>
    </w:p>
    <w:p w:rsidR="00B1678B" w:rsidRPr="00ED3C94" w:rsidRDefault="00B1678B" w:rsidP="00287AB5">
      <w:pPr>
        <w:pStyle w:val="ListParagraph"/>
        <w:numPr>
          <w:ilvl w:val="0"/>
          <w:numId w:val="3"/>
        </w:numPr>
        <w:spacing w:before="0" w:after="120"/>
        <w:ind w:left="1077" w:hanging="357"/>
        <w:jc w:val="both"/>
      </w:pPr>
      <w:r w:rsidRPr="00ED3C94">
        <w:t>Approximately 6 additional patients will have allergic rhinitis.</w:t>
      </w:r>
    </w:p>
    <w:p w:rsidR="00C317F3" w:rsidRPr="004D3C91" w:rsidRDefault="008058E8" w:rsidP="00772501">
      <w:pPr>
        <w:pStyle w:val="Heading2"/>
      </w:pPr>
      <w:bookmarkStart w:id="23" w:name="_Toc514253619"/>
      <w:r w:rsidRPr="004D3C91">
        <w:t>Interpretation of clinical evidence</w:t>
      </w:r>
      <w:bookmarkEnd w:id="23"/>
    </w:p>
    <w:p w:rsidR="00750B5A" w:rsidRPr="00ED3C94" w:rsidRDefault="00493931" w:rsidP="00961807">
      <w:pPr>
        <w:widowControl w:val="0"/>
        <w:numPr>
          <w:ilvl w:val="1"/>
          <w:numId w:val="4"/>
        </w:numPr>
        <w:spacing w:before="0" w:after="120"/>
        <w:jc w:val="both"/>
      </w:pPr>
      <w:r w:rsidRPr="00ED3C94">
        <w:t>The submission claim</w:t>
      </w:r>
      <w:r w:rsidR="00DE0299" w:rsidRPr="00ED3C94">
        <w:t>ed</w:t>
      </w:r>
      <w:r w:rsidRPr="00ED3C94">
        <w:t xml:space="preserve"> that dupilumab </w:t>
      </w:r>
      <w:r w:rsidR="00552F6E">
        <w:t>i</w:t>
      </w:r>
      <w:r w:rsidR="00DE0299" w:rsidRPr="00ED3C94">
        <w:t>s</w:t>
      </w:r>
      <w:r w:rsidRPr="00ED3C94">
        <w:t xml:space="preserve"> superior in terms of efficacy to placebo (</w:t>
      </w:r>
      <w:r w:rsidR="00784FC1" w:rsidRPr="00ED3C94">
        <w:t>SoC</w:t>
      </w:r>
      <w:r w:rsidRPr="00ED3C94">
        <w:t>) for the treatment of adults with severe AD (IGA = 4) who have had an inadequate response or intolerance to CsA of a severity to necessitate permanent treatment withdrawal, or for whom CsA is contraindicated. The submission also claim</w:t>
      </w:r>
      <w:r w:rsidR="00DE0299" w:rsidRPr="00ED3C94">
        <w:t>ed the</w:t>
      </w:r>
      <w:r w:rsidRPr="00ED3C94">
        <w:t xml:space="preserve"> safety profile of dupilumab </w:t>
      </w:r>
      <w:r w:rsidR="00552F6E">
        <w:t>i</w:t>
      </w:r>
      <w:r w:rsidR="00DE0299" w:rsidRPr="00ED3C94">
        <w:t>s</w:t>
      </w:r>
      <w:r w:rsidRPr="00ED3C94">
        <w:t xml:space="preserve"> similar to placebo.  </w:t>
      </w:r>
    </w:p>
    <w:p w:rsidR="00493931" w:rsidRPr="00ED3C94" w:rsidRDefault="00493931" w:rsidP="00961807">
      <w:pPr>
        <w:widowControl w:val="0"/>
        <w:numPr>
          <w:ilvl w:val="1"/>
          <w:numId w:val="4"/>
        </w:numPr>
        <w:spacing w:before="0" w:after="120"/>
        <w:jc w:val="both"/>
      </w:pPr>
      <w:r w:rsidRPr="00ED3C94">
        <w:t xml:space="preserve">The claim of a superior clinical efficacy of dupilumab was reasonably supported by the available evidence. The CAFÉ sub-group with severe (IGA=4) AD at baseline was the most representative of the proposed PBS population. The sub-group analysis in these patients showed that a higher proportion of patients treated with dupilumab 300mg Q2W arm achieve an EASI-75 response at week 16 compared to patients treated with placebo </w:t>
      </w:r>
      <w:r w:rsidR="00330093">
        <w:rPr>
          <w:noProof/>
          <w:color w:val="000000"/>
          <w:highlight w:val="black"/>
        </w:rPr>
        <w:t>'''''''''</w:t>
      </w:r>
      <w:r w:rsidR="008933A3" w:rsidRPr="008933A3">
        <w:t xml:space="preserve">% vs </w:t>
      </w:r>
      <w:r w:rsidR="00330093">
        <w:rPr>
          <w:noProof/>
          <w:color w:val="000000"/>
          <w:highlight w:val="black"/>
        </w:rPr>
        <w:t>''''''''</w:t>
      </w:r>
      <w:r w:rsidR="008933A3" w:rsidRPr="008933A3">
        <w:t>%).</w:t>
      </w:r>
      <w:r w:rsidR="008933A3" w:rsidRPr="00ED3C94">
        <w:t xml:space="preserve">  </w:t>
      </w:r>
      <w:r w:rsidRPr="00ED3C94">
        <w:t>.  However, it should be noted that this was a post hoc sub-group analysis and may not be sufficiently powered.</w:t>
      </w:r>
      <w:r w:rsidR="00B139F7" w:rsidRPr="00B139F7">
        <w:rPr>
          <w:szCs w:val="24"/>
        </w:rPr>
        <w:t xml:space="preserve"> </w:t>
      </w:r>
      <w:r w:rsidR="00B139F7">
        <w:rPr>
          <w:szCs w:val="24"/>
        </w:rPr>
        <w:t xml:space="preserve">The PBAC added that </w:t>
      </w:r>
      <w:r w:rsidR="006731B8">
        <w:rPr>
          <w:szCs w:val="24"/>
        </w:rPr>
        <w:t>the CAFÉ trial</w:t>
      </w:r>
      <w:r w:rsidR="00B139F7">
        <w:rPr>
          <w:szCs w:val="24"/>
        </w:rPr>
        <w:t xml:space="preserve"> was only </w:t>
      </w:r>
      <w:r w:rsidR="006731B8">
        <w:rPr>
          <w:szCs w:val="24"/>
        </w:rPr>
        <w:t>published as an</w:t>
      </w:r>
      <w:r w:rsidR="00B139F7">
        <w:rPr>
          <w:szCs w:val="24"/>
        </w:rPr>
        <w:t xml:space="preserve"> abstract</w:t>
      </w:r>
      <w:r w:rsidR="006731B8">
        <w:rPr>
          <w:szCs w:val="24"/>
        </w:rPr>
        <w:t xml:space="preserve"> and the subgroup analysis was not reported in this abstract</w:t>
      </w:r>
      <w:r w:rsidR="00B139F7">
        <w:rPr>
          <w:szCs w:val="24"/>
        </w:rPr>
        <w:t>.</w:t>
      </w:r>
      <w:r w:rsidRPr="00ED3C94">
        <w:t xml:space="preserve"> Moreover, the submission has not provided sufficient clinical justification for restricting treatment to patients with </w:t>
      </w:r>
      <w:r w:rsidR="00DE0299" w:rsidRPr="00ED3C94">
        <w:t xml:space="preserve">severe </w:t>
      </w:r>
      <w:r w:rsidRPr="00ED3C94">
        <w:t xml:space="preserve">AD </w:t>
      </w:r>
      <w:r w:rsidR="00DE0299" w:rsidRPr="00ED3C94">
        <w:t xml:space="preserve">with </w:t>
      </w:r>
      <w:r w:rsidRPr="00ED3C94">
        <w:t>baseline IGA = 4 and who have had an inadequate response or intolerance to CsA only as patients who did not fulfil these criteria appeared to derive the same magnitude of benefit from treatment with dupilumab.</w:t>
      </w:r>
      <w:r w:rsidRPr="00990AD0">
        <w:t xml:space="preserve"> </w:t>
      </w:r>
      <w:r w:rsidR="00A458BB" w:rsidRPr="00990AD0">
        <w:t xml:space="preserve">As such the ESC questioned the narrow </w:t>
      </w:r>
      <w:r w:rsidR="00A458BB" w:rsidRPr="00990AD0">
        <w:lastRenderedPageBreak/>
        <w:t xml:space="preserve">eligibility of the restriction criteria </w:t>
      </w:r>
      <w:r w:rsidR="004236EF" w:rsidRPr="00990AD0">
        <w:t>and</w:t>
      </w:r>
      <w:r w:rsidR="00A458BB" w:rsidRPr="00990AD0">
        <w:t xml:space="preserve"> dupilumab’s proposed place in therapy</w:t>
      </w:r>
      <w:r w:rsidR="0008797B" w:rsidRPr="00990AD0">
        <w:t xml:space="preserve"> after prior CsA use or intolerance.</w:t>
      </w:r>
      <w:r w:rsidR="00A458BB">
        <w:rPr>
          <w:i/>
        </w:rPr>
        <w:t xml:space="preserve"> </w:t>
      </w:r>
      <w:r w:rsidRPr="00ED3C94">
        <w:t xml:space="preserve"> </w:t>
      </w:r>
    </w:p>
    <w:p w:rsidR="00493931" w:rsidRPr="00ED3C94" w:rsidRDefault="00493931" w:rsidP="00961807">
      <w:pPr>
        <w:widowControl w:val="0"/>
        <w:numPr>
          <w:ilvl w:val="1"/>
          <w:numId w:val="4"/>
        </w:numPr>
        <w:spacing w:before="0" w:after="120"/>
        <w:jc w:val="both"/>
      </w:pPr>
      <w:r w:rsidRPr="00ED3C94">
        <w:t>The claim of a comparable safety profile with placebo is not supported</w:t>
      </w:r>
      <w:r w:rsidR="00D74828">
        <w:t xml:space="preserve"> by the available evidence</w:t>
      </w:r>
      <w:r w:rsidRPr="00ED3C94">
        <w:t xml:space="preserve">.  Patients treated with dupilumab in the included trials reported </w:t>
      </w:r>
      <w:r w:rsidR="00DE0299" w:rsidRPr="00ED3C94">
        <w:t xml:space="preserve">a </w:t>
      </w:r>
      <w:r w:rsidRPr="00ED3C94">
        <w:t>higher incidence of conjunctivitis</w:t>
      </w:r>
      <w:r w:rsidR="00E85617" w:rsidRPr="00ED3C94">
        <w:t xml:space="preserve"> </w:t>
      </w:r>
      <w:r w:rsidR="009B5A44" w:rsidRPr="00ED3C94">
        <w:t>and injection</w:t>
      </w:r>
      <w:r w:rsidRPr="00ED3C94">
        <w:t xml:space="preserve"> site reactions compared to patients treated with placebo. Moreover, the placebo treatment (given via subcutaneous injection) in the clinical trials is not a true reflection of </w:t>
      </w:r>
      <w:r w:rsidR="003A12CD" w:rsidRPr="00ED3C94">
        <w:t xml:space="preserve">SoC </w:t>
      </w:r>
      <w:r w:rsidRPr="00ED3C94">
        <w:t xml:space="preserve">(no injection) in clinical practice. </w:t>
      </w:r>
    </w:p>
    <w:p w:rsidR="00493931" w:rsidRPr="0055219B" w:rsidRDefault="002B2654" w:rsidP="00961807">
      <w:pPr>
        <w:widowControl w:val="0"/>
        <w:numPr>
          <w:ilvl w:val="1"/>
          <w:numId w:val="4"/>
        </w:numPr>
        <w:spacing w:before="0" w:after="120"/>
        <w:jc w:val="both"/>
      </w:pPr>
      <w:r>
        <w:t>T</w:t>
      </w:r>
      <w:r w:rsidR="00493931" w:rsidRPr="00ED3C94">
        <w:t xml:space="preserve">here is limited long-term safety and efficacy data for dupilumab treatment for AD. As such, claims of a superior clinical efficacy and inferior safety of dupilumab compared to placebo </w:t>
      </w:r>
      <w:r w:rsidR="00DE0299" w:rsidRPr="00ED3C94">
        <w:t>are</w:t>
      </w:r>
      <w:r w:rsidR="00493931" w:rsidRPr="00ED3C94">
        <w:t xml:space="preserve"> only reasonable for up to 16 weeks of treatment.</w:t>
      </w:r>
      <w:r w:rsidR="00CB6EB5" w:rsidRPr="00ED3C94">
        <w:t xml:space="preserve"> There is also limited long-term safety and efficacy data (up to 52 weeks from CHRONOS) in a broader population (i.e. patients who do not match the proposed CsA restriction criteria).</w:t>
      </w:r>
      <w:r w:rsidR="00E36073">
        <w:t xml:space="preserve"> </w:t>
      </w:r>
      <w:r w:rsidR="00AE0C1F" w:rsidRPr="00990AD0">
        <w:t>A</w:t>
      </w:r>
      <w:r w:rsidR="00B464DC" w:rsidRPr="00990AD0">
        <w:t>s</w:t>
      </w:r>
      <w:r w:rsidR="00E36073" w:rsidRPr="00990AD0">
        <w:t xml:space="preserve"> dupilumab is indicated for </w:t>
      </w:r>
      <w:r w:rsidR="00AE0C1F" w:rsidRPr="00990AD0">
        <w:t xml:space="preserve">chronic treatment of </w:t>
      </w:r>
      <w:r w:rsidR="00E36073" w:rsidRPr="00990AD0">
        <w:t xml:space="preserve">AD </w:t>
      </w:r>
      <w:r w:rsidR="00AE0C1F" w:rsidRPr="00990AD0">
        <w:t xml:space="preserve">in a population who are likely to be young and otherwise healthy, </w:t>
      </w:r>
      <w:r w:rsidR="00E36073" w:rsidRPr="00990AD0">
        <w:t xml:space="preserve">the ESC </w:t>
      </w:r>
      <w:r w:rsidR="00AE0C1F" w:rsidRPr="00990AD0">
        <w:t>considered that</w:t>
      </w:r>
      <w:r w:rsidR="00E36073" w:rsidRPr="00990AD0">
        <w:t xml:space="preserve"> long</w:t>
      </w:r>
      <w:r w:rsidR="00AE0C1F" w:rsidRPr="00990AD0">
        <w:t>er</w:t>
      </w:r>
      <w:r w:rsidR="00E36073" w:rsidRPr="00990AD0">
        <w:t xml:space="preserve"> term efficacy</w:t>
      </w:r>
      <w:r w:rsidR="00AE0C1F" w:rsidRPr="00990AD0">
        <w:t xml:space="preserve"> and</w:t>
      </w:r>
      <w:r w:rsidR="00E36073" w:rsidRPr="00990AD0">
        <w:t xml:space="preserve"> safety </w:t>
      </w:r>
      <w:r w:rsidR="00AE0C1F" w:rsidRPr="00990AD0">
        <w:t>data would be required to support this clinical claim in the chronic use setting.</w:t>
      </w:r>
      <w:r w:rsidR="00D3374E" w:rsidRPr="00990AD0">
        <w:t xml:space="preserve"> </w:t>
      </w:r>
      <w:r w:rsidR="004D7232" w:rsidRPr="00990AD0">
        <w:rPr>
          <w:szCs w:val="24"/>
        </w:rPr>
        <w:t>While the PSCR referred to an ongoing open label extension study that will provide 3 years of follow-up, the ESC noted that</w:t>
      </w:r>
      <w:r w:rsidR="003C723F">
        <w:rPr>
          <w:szCs w:val="24"/>
        </w:rPr>
        <w:t xml:space="preserve"> these</w:t>
      </w:r>
      <w:r w:rsidR="004D7232" w:rsidRPr="00990AD0">
        <w:rPr>
          <w:szCs w:val="24"/>
        </w:rPr>
        <w:t xml:space="preserve"> data would not be available for another two years.</w:t>
      </w:r>
      <w:r w:rsidR="004D7232" w:rsidRPr="004F7097" w:rsidDel="004D7232">
        <w:rPr>
          <w:i/>
        </w:rPr>
        <w:t xml:space="preserve"> </w:t>
      </w:r>
    </w:p>
    <w:p w:rsidR="0055219B" w:rsidRPr="007A5B89" w:rsidRDefault="0055219B" w:rsidP="00961807">
      <w:pPr>
        <w:widowControl w:val="0"/>
        <w:numPr>
          <w:ilvl w:val="1"/>
          <w:numId w:val="4"/>
        </w:numPr>
        <w:spacing w:before="0" w:after="120"/>
        <w:jc w:val="both"/>
        <w:rPr>
          <w:rFonts w:cs="Arial"/>
          <w:snapToGrid w:val="0"/>
          <w:szCs w:val="20"/>
        </w:rPr>
      </w:pPr>
      <w:r w:rsidRPr="007A5B89">
        <w:rPr>
          <w:rFonts w:cs="Arial"/>
          <w:snapToGrid w:val="0"/>
          <w:szCs w:val="20"/>
        </w:rPr>
        <w:t>The PBAC considered that the claim of superior comparative effectiveness was reasonable</w:t>
      </w:r>
      <w:r w:rsidR="00D74828">
        <w:rPr>
          <w:rFonts w:cs="Arial"/>
          <w:snapToGrid w:val="0"/>
          <w:szCs w:val="20"/>
        </w:rPr>
        <w:t>.</w:t>
      </w:r>
    </w:p>
    <w:p w:rsidR="0055219B" w:rsidRPr="007A5B89" w:rsidRDefault="0055219B" w:rsidP="00961807">
      <w:pPr>
        <w:widowControl w:val="0"/>
        <w:numPr>
          <w:ilvl w:val="1"/>
          <w:numId w:val="4"/>
        </w:numPr>
        <w:spacing w:before="0" w:after="120"/>
        <w:jc w:val="both"/>
        <w:rPr>
          <w:rFonts w:cs="Arial"/>
          <w:snapToGrid w:val="0"/>
          <w:szCs w:val="20"/>
        </w:rPr>
      </w:pPr>
      <w:r w:rsidRPr="007A5B89">
        <w:rPr>
          <w:rFonts w:cs="Arial"/>
          <w:snapToGrid w:val="0"/>
          <w:szCs w:val="20"/>
        </w:rPr>
        <w:t xml:space="preserve">The PBAC considered that the claim of </w:t>
      </w:r>
      <w:r w:rsidR="00CB1CD1" w:rsidRPr="007A5B89">
        <w:rPr>
          <w:rFonts w:cs="Arial"/>
          <w:snapToGrid w:val="0"/>
          <w:szCs w:val="20"/>
        </w:rPr>
        <w:t xml:space="preserve">comparable </w:t>
      </w:r>
      <w:r w:rsidR="008F49BF">
        <w:rPr>
          <w:rFonts w:cs="Arial"/>
          <w:snapToGrid w:val="0"/>
          <w:szCs w:val="20"/>
        </w:rPr>
        <w:t>safety was</w:t>
      </w:r>
      <w:r w:rsidRPr="007A5B89">
        <w:rPr>
          <w:rFonts w:cs="Arial"/>
          <w:snapToGrid w:val="0"/>
          <w:szCs w:val="20"/>
        </w:rPr>
        <w:t xml:space="preserve"> not adequately supported by the data.</w:t>
      </w:r>
    </w:p>
    <w:p w:rsidR="00C317F3" w:rsidRPr="004D3C91" w:rsidRDefault="00C317F3" w:rsidP="004D7232">
      <w:pPr>
        <w:pStyle w:val="Heading2"/>
      </w:pPr>
      <w:bookmarkStart w:id="24" w:name="_Toc413139282"/>
      <w:bookmarkStart w:id="25" w:name="_Toc514253620"/>
      <w:r w:rsidRPr="004D3C91">
        <w:t>Economic analysis</w:t>
      </w:r>
      <w:bookmarkEnd w:id="24"/>
      <w:bookmarkEnd w:id="25"/>
    </w:p>
    <w:p w:rsidR="00C317F3" w:rsidRPr="00ED3C94" w:rsidRDefault="00760434" w:rsidP="0093702D">
      <w:pPr>
        <w:widowControl w:val="0"/>
        <w:numPr>
          <w:ilvl w:val="1"/>
          <w:numId w:val="4"/>
        </w:numPr>
        <w:spacing w:before="0" w:after="120"/>
        <w:jc w:val="both"/>
      </w:pPr>
      <w:r w:rsidRPr="00ED3C94">
        <w:t>The submission used subgroup analys</w:t>
      </w:r>
      <w:r w:rsidR="00B7560B" w:rsidRPr="00ED3C94">
        <w:t>e</w:t>
      </w:r>
      <w:r w:rsidRPr="00ED3C94">
        <w:t xml:space="preserve">s from CAFÉ and CHRONOS to implement and present a stepped modelled economic evaluation. The type of economic evaluation was a cost-utility analysis (CUA) in the form of a Markov cohort model.  </w:t>
      </w:r>
      <w:r w:rsidR="009B5A44" w:rsidRPr="00ED3C94">
        <w:t xml:space="preserve">Table </w:t>
      </w:r>
      <w:r w:rsidR="009B5A44" w:rsidRPr="00ED3C94">
        <w:rPr>
          <w:noProof/>
        </w:rPr>
        <w:t>6</w:t>
      </w:r>
      <w:r w:rsidRPr="00ED3C94">
        <w:t xml:space="preserve"> presents a summary of </w:t>
      </w:r>
      <w:r w:rsidR="00797772">
        <w:t xml:space="preserve">the </w:t>
      </w:r>
      <w:r w:rsidRPr="00ED3C94">
        <w:t>model structure and rationale.</w:t>
      </w:r>
    </w:p>
    <w:p w:rsidR="0093702D" w:rsidRDefault="0093702D" w:rsidP="0093702D">
      <w:pPr>
        <w:pStyle w:val="Caption"/>
      </w:pPr>
      <w:r>
        <w:lastRenderedPageBreak/>
        <w:t xml:space="preserve">Table </w:t>
      </w:r>
      <w:r w:rsidR="00557C85">
        <w:fldChar w:fldCharType="begin"/>
      </w:r>
      <w:r w:rsidR="00557C85">
        <w:instrText xml:space="preserve"> SEQ Table \* ARABIC </w:instrText>
      </w:r>
      <w:r w:rsidR="00557C85">
        <w:fldChar w:fldCharType="separate"/>
      </w:r>
      <w:r>
        <w:rPr>
          <w:noProof/>
        </w:rPr>
        <w:t>6</w:t>
      </w:r>
      <w:r w:rsidR="00557C85">
        <w:rPr>
          <w:noProof/>
        </w:rPr>
        <w:fldChar w:fldCharType="end"/>
      </w:r>
      <w:r>
        <w:t xml:space="preserve">: </w:t>
      </w:r>
      <w:r w:rsidRPr="00485E7B">
        <w:t>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model structure and rationale "/>
      </w:tblPr>
      <w:tblGrid>
        <w:gridCol w:w="2296"/>
        <w:gridCol w:w="6786"/>
      </w:tblGrid>
      <w:tr w:rsidR="00C317F3" w:rsidRPr="00ED3C94" w:rsidTr="00DF16C0">
        <w:trPr>
          <w:tblHeader/>
        </w:trPr>
        <w:tc>
          <w:tcPr>
            <w:tcW w:w="1264" w:type="pct"/>
            <w:shd w:val="clear" w:color="auto" w:fill="auto"/>
            <w:vAlign w:val="center"/>
          </w:tcPr>
          <w:p w:rsidR="00C317F3" w:rsidRPr="00ED3C94" w:rsidRDefault="00C317F3" w:rsidP="00772501">
            <w:pPr>
              <w:pStyle w:val="TableText"/>
              <w:rPr>
                <w:b/>
              </w:rPr>
            </w:pPr>
            <w:r w:rsidRPr="00ED3C94">
              <w:rPr>
                <w:b/>
              </w:rPr>
              <w:t>Component</w:t>
            </w:r>
          </w:p>
        </w:tc>
        <w:tc>
          <w:tcPr>
            <w:tcW w:w="3736" w:type="pct"/>
            <w:shd w:val="clear" w:color="auto" w:fill="auto"/>
            <w:vAlign w:val="center"/>
          </w:tcPr>
          <w:p w:rsidR="00C317F3" w:rsidRPr="00ED3C94" w:rsidRDefault="00C317F3" w:rsidP="00772501">
            <w:pPr>
              <w:pStyle w:val="TableText"/>
              <w:rPr>
                <w:b/>
              </w:rPr>
            </w:pPr>
            <w:r w:rsidRPr="00ED3C94">
              <w:rPr>
                <w:b/>
              </w:rPr>
              <w:t>Summary</w:t>
            </w:r>
          </w:p>
        </w:tc>
      </w:tr>
      <w:tr w:rsidR="00C317F3" w:rsidRPr="00ED3C94" w:rsidTr="00DF16C0">
        <w:tc>
          <w:tcPr>
            <w:tcW w:w="1264" w:type="pct"/>
            <w:shd w:val="clear" w:color="auto" w:fill="auto"/>
            <w:vAlign w:val="center"/>
          </w:tcPr>
          <w:p w:rsidR="00C317F3" w:rsidRPr="00ED3C94" w:rsidRDefault="00C317F3" w:rsidP="00772501">
            <w:pPr>
              <w:pStyle w:val="TableText"/>
            </w:pPr>
            <w:r w:rsidRPr="00ED3C94">
              <w:t>Time horizon</w:t>
            </w:r>
          </w:p>
        </w:tc>
        <w:tc>
          <w:tcPr>
            <w:tcW w:w="3736" w:type="pct"/>
            <w:shd w:val="clear" w:color="auto" w:fill="auto"/>
            <w:vAlign w:val="center"/>
          </w:tcPr>
          <w:p w:rsidR="00C317F3" w:rsidRPr="00ED3C94" w:rsidRDefault="00760434" w:rsidP="00760434">
            <w:pPr>
              <w:pStyle w:val="TableText"/>
              <w:rPr>
                <w:rFonts w:ascii="Times" w:eastAsia="Times New Roman" w:hAnsi="Times" w:cs="Times New Roman"/>
              </w:rPr>
            </w:pPr>
            <w:r w:rsidRPr="00ED3C94">
              <w:t xml:space="preserve">Five </w:t>
            </w:r>
            <w:r w:rsidR="00C317F3" w:rsidRPr="00ED3C94">
              <w:t xml:space="preserve">years in the model base case versus </w:t>
            </w:r>
            <w:r w:rsidRPr="00ED3C94">
              <w:t xml:space="preserve">16 </w:t>
            </w:r>
            <w:r w:rsidR="00C317F3" w:rsidRPr="00ED3C94">
              <w:t xml:space="preserve">weeks in </w:t>
            </w:r>
            <w:r w:rsidRPr="00ED3C94">
              <w:t xml:space="preserve">a </w:t>
            </w:r>
            <w:r w:rsidR="00C317F3" w:rsidRPr="00ED3C94">
              <w:t>trial</w:t>
            </w:r>
            <w:r w:rsidRPr="00ED3C94">
              <w:t xml:space="preserve"> for a population that is most representative of the proposed PBS population (CAFÉ</w:t>
            </w:r>
            <w:r w:rsidR="00B7560B" w:rsidRPr="00ED3C94">
              <w:t xml:space="preserve"> subgroup</w:t>
            </w:r>
            <w:r w:rsidRPr="00ED3C94">
              <w:t>) and data up to 52 weeks from a trial enrolling a broader patient population (CHRONOS).</w:t>
            </w:r>
          </w:p>
        </w:tc>
      </w:tr>
      <w:tr w:rsidR="00C317F3" w:rsidRPr="00ED3C94" w:rsidTr="00DF16C0">
        <w:tc>
          <w:tcPr>
            <w:tcW w:w="1264" w:type="pct"/>
            <w:shd w:val="clear" w:color="auto" w:fill="auto"/>
            <w:vAlign w:val="center"/>
          </w:tcPr>
          <w:p w:rsidR="00C317F3" w:rsidRPr="00ED3C94" w:rsidRDefault="00C317F3" w:rsidP="00772501">
            <w:pPr>
              <w:pStyle w:val="TableText"/>
              <w:rPr>
                <w:rFonts w:ascii="Times" w:eastAsia="Times New Roman" w:hAnsi="Times" w:cs="Times New Roman"/>
              </w:rPr>
            </w:pPr>
            <w:r w:rsidRPr="00ED3C94">
              <w:t>Outcomes</w:t>
            </w:r>
          </w:p>
        </w:tc>
        <w:tc>
          <w:tcPr>
            <w:tcW w:w="3736" w:type="pct"/>
            <w:shd w:val="clear" w:color="auto" w:fill="auto"/>
            <w:vAlign w:val="center"/>
          </w:tcPr>
          <w:p w:rsidR="00C317F3" w:rsidRPr="00ED3C94" w:rsidRDefault="00760434" w:rsidP="00760434">
            <w:pPr>
              <w:pStyle w:val="TableText"/>
              <w:rPr>
                <w:rFonts w:ascii="Times" w:eastAsia="Times New Roman" w:hAnsi="Times" w:cs="Times New Roman"/>
              </w:rPr>
            </w:pPr>
            <w:r w:rsidRPr="00ED3C94">
              <w:t>QALYs</w:t>
            </w:r>
          </w:p>
        </w:tc>
      </w:tr>
      <w:tr w:rsidR="00C317F3" w:rsidRPr="00ED3C94" w:rsidTr="00DF16C0">
        <w:tc>
          <w:tcPr>
            <w:tcW w:w="1264" w:type="pct"/>
            <w:shd w:val="clear" w:color="auto" w:fill="auto"/>
            <w:vAlign w:val="center"/>
          </w:tcPr>
          <w:p w:rsidR="00C317F3" w:rsidRPr="00ED3C94" w:rsidRDefault="00C317F3" w:rsidP="00772501">
            <w:pPr>
              <w:pStyle w:val="TableText"/>
              <w:rPr>
                <w:rFonts w:ascii="Times" w:eastAsia="Times New Roman" w:hAnsi="Times" w:cs="Times New Roman"/>
              </w:rPr>
            </w:pPr>
            <w:r w:rsidRPr="00ED3C94">
              <w:t>Methods used to generate results</w:t>
            </w:r>
          </w:p>
        </w:tc>
        <w:tc>
          <w:tcPr>
            <w:tcW w:w="3736" w:type="pct"/>
            <w:shd w:val="clear" w:color="auto" w:fill="auto"/>
            <w:vAlign w:val="center"/>
          </w:tcPr>
          <w:p w:rsidR="00C317F3" w:rsidRPr="00ED3C94" w:rsidRDefault="00760434" w:rsidP="00760434">
            <w:pPr>
              <w:pStyle w:val="TableText"/>
              <w:rPr>
                <w:rFonts w:ascii="Times" w:eastAsia="Times New Roman" w:hAnsi="Times" w:cs="Times New Roman"/>
              </w:rPr>
            </w:pPr>
            <w:r w:rsidRPr="00ED3C94">
              <w:t>Markov</w:t>
            </w:r>
            <w:r w:rsidR="00C317F3" w:rsidRPr="00ED3C94">
              <w:t xml:space="preserve"> cohort expected value analysis</w:t>
            </w:r>
          </w:p>
        </w:tc>
      </w:tr>
      <w:tr w:rsidR="00C317F3" w:rsidRPr="00ED3C94" w:rsidTr="00DF16C0">
        <w:tc>
          <w:tcPr>
            <w:tcW w:w="1264" w:type="pct"/>
            <w:shd w:val="clear" w:color="auto" w:fill="auto"/>
            <w:vAlign w:val="center"/>
          </w:tcPr>
          <w:p w:rsidR="00C317F3" w:rsidRPr="00ED3C94" w:rsidRDefault="00C317F3" w:rsidP="00772501">
            <w:pPr>
              <w:pStyle w:val="TableText"/>
              <w:rPr>
                <w:rFonts w:ascii="Times" w:eastAsia="Times New Roman" w:hAnsi="Times" w:cs="Times New Roman"/>
              </w:rPr>
            </w:pPr>
            <w:r w:rsidRPr="00ED3C94">
              <w:t>Health states</w:t>
            </w:r>
          </w:p>
        </w:tc>
        <w:tc>
          <w:tcPr>
            <w:tcW w:w="3736" w:type="pct"/>
            <w:shd w:val="clear" w:color="auto" w:fill="auto"/>
            <w:vAlign w:val="center"/>
          </w:tcPr>
          <w:p w:rsidR="00C317F3" w:rsidRPr="00ED3C94" w:rsidRDefault="00760434" w:rsidP="00760434">
            <w:pPr>
              <w:pStyle w:val="TableText"/>
              <w:rPr>
                <w:rFonts w:ascii="Times" w:eastAsia="Times New Roman" w:hAnsi="Times" w:cs="Times New Roman"/>
              </w:rPr>
            </w:pPr>
            <w:r w:rsidRPr="00ED3C94">
              <w:t>Induction, EASI-75 responder, EASI-75 non-responder and death</w:t>
            </w:r>
          </w:p>
        </w:tc>
      </w:tr>
      <w:tr w:rsidR="003A537E" w:rsidRPr="00ED3C94" w:rsidTr="00DF16C0">
        <w:tc>
          <w:tcPr>
            <w:tcW w:w="1264" w:type="pct"/>
            <w:shd w:val="clear" w:color="auto" w:fill="auto"/>
            <w:vAlign w:val="center"/>
          </w:tcPr>
          <w:p w:rsidR="003A537E" w:rsidRPr="00ED3C94" w:rsidRDefault="003A537E" w:rsidP="00772501">
            <w:pPr>
              <w:pStyle w:val="TableText"/>
              <w:rPr>
                <w:rFonts w:ascii="Times" w:eastAsia="Times New Roman" w:hAnsi="Times" w:cs="Times New Roman"/>
              </w:rPr>
            </w:pPr>
            <w:r w:rsidRPr="00ED3C94">
              <w:t>Utilities</w:t>
            </w:r>
          </w:p>
        </w:tc>
        <w:tc>
          <w:tcPr>
            <w:tcW w:w="3736" w:type="pct"/>
            <w:shd w:val="clear" w:color="auto" w:fill="auto"/>
            <w:vAlign w:val="center"/>
          </w:tcPr>
          <w:p w:rsidR="003A537E" w:rsidRPr="00ED3C94" w:rsidRDefault="00760434" w:rsidP="00A33419">
            <w:pPr>
              <w:pStyle w:val="TableText"/>
              <w:rPr>
                <w:rFonts w:ascii="Times" w:eastAsia="Times New Roman" w:hAnsi="Times" w:cs="Times New Roman"/>
              </w:rPr>
            </w:pPr>
            <w:r w:rsidRPr="00ED3C94">
              <w:t xml:space="preserve">Trial based utilities. </w:t>
            </w:r>
            <w:r w:rsidR="00151B67" w:rsidRPr="00ED3C94">
              <w:t xml:space="preserve"> </w:t>
            </w:r>
            <w:r w:rsidR="00A33419" w:rsidRPr="00ED3C94">
              <w:t>The utility values used for the responder health states in the model were highly uncertain due to low sample sizes (n=9 for placebo; n=28 for dupilumab), and due to assigning different utility values between arms despite no statistically significant differences in utility gain</w:t>
            </w:r>
            <w:r w:rsidR="00552F6E">
              <w:t>.</w:t>
            </w:r>
          </w:p>
        </w:tc>
      </w:tr>
      <w:tr w:rsidR="00C317F3" w:rsidRPr="00ED3C94" w:rsidTr="00DF16C0">
        <w:tc>
          <w:tcPr>
            <w:tcW w:w="1264" w:type="pct"/>
            <w:shd w:val="clear" w:color="auto" w:fill="auto"/>
            <w:vAlign w:val="center"/>
          </w:tcPr>
          <w:p w:rsidR="00C317F3" w:rsidRPr="00ED3C94" w:rsidRDefault="00C317F3" w:rsidP="00772501">
            <w:pPr>
              <w:pStyle w:val="TableText"/>
              <w:rPr>
                <w:rFonts w:ascii="Times" w:eastAsia="Times New Roman" w:hAnsi="Times" w:cs="Times New Roman"/>
              </w:rPr>
            </w:pPr>
            <w:r w:rsidRPr="00ED3C94">
              <w:t>Cycle length</w:t>
            </w:r>
          </w:p>
        </w:tc>
        <w:tc>
          <w:tcPr>
            <w:tcW w:w="3736" w:type="pct"/>
            <w:shd w:val="clear" w:color="auto" w:fill="auto"/>
            <w:vAlign w:val="center"/>
          </w:tcPr>
          <w:p w:rsidR="00C317F3" w:rsidRPr="00ED3C94" w:rsidRDefault="00760434" w:rsidP="00772501">
            <w:pPr>
              <w:pStyle w:val="TableText"/>
              <w:rPr>
                <w:rFonts w:ascii="Times" w:eastAsia="Times New Roman" w:hAnsi="Times" w:cs="Times New Roman"/>
              </w:rPr>
            </w:pPr>
            <w:r w:rsidRPr="00ED3C94">
              <w:t>Three months.  Inconsistent with both the induction phase (16 weeks) and continuing phase (24 weeks) proposed in the requested restriction.</w:t>
            </w:r>
          </w:p>
        </w:tc>
      </w:tr>
      <w:tr w:rsidR="00C317F3" w:rsidRPr="00ED3C94" w:rsidTr="00DF16C0">
        <w:tc>
          <w:tcPr>
            <w:tcW w:w="1264" w:type="pct"/>
            <w:shd w:val="clear" w:color="auto" w:fill="auto"/>
            <w:vAlign w:val="center"/>
          </w:tcPr>
          <w:p w:rsidR="00C317F3" w:rsidRPr="00ED3C94" w:rsidRDefault="00C317F3" w:rsidP="00772501">
            <w:pPr>
              <w:pStyle w:val="TableText"/>
              <w:rPr>
                <w:rFonts w:ascii="Times" w:eastAsia="Times New Roman" w:hAnsi="Times" w:cs="Times New Roman"/>
              </w:rPr>
            </w:pPr>
            <w:r w:rsidRPr="00ED3C94">
              <w:t>Transition probabilities</w:t>
            </w:r>
          </w:p>
        </w:tc>
        <w:tc>
          <w:tcPr>
            <w:tcW w:w="3736" w:type="pct"/>
            <w:shd w:val="clear" w:color="auto" w:fill="auto"/>
            <w:vAlign w:val="center"/>
          </w:tcPr>
          <w:p w:rsidR="00C317F3" w:rsidRPr="00ED3C94" w:rsidRDefault="00151B67" w:rsidP="00772501">
            <w:pPr>
              <w:pStyle w:val="TableText"/>
              <w:rPr>
                <w:rFonts w:ascii="Times" w:eastAsia="Times New Roman" w:hAnsi="Times" w:cs="Times New Roman"/>
              </w:rPr>
            </w:pPr>
            <w:r w:rsidRPr="00ED3C94">
              <w:t xml:space="preserve">Trial-based – CAFÉ </w:t>
            </w:r>
            <w:r w:rsidR="00B7560B" w:rsidRPr="00ED3C94">
              <w:t xml:space="preserve">subgroup </w:t>
            </w:r>
            <w:r w:rsidRPr="00ED3C94">
              <w:t>up to 16 weeks for responder rates and CHRONOS (from those with response at Week 16 maintaining response at Week 52) for maintenance of response for the remainder of the time horizon.</w:t>
            </w:r>
          </w:p>
        </w:tc>
      </w:tr>
    </w:tbl>
    <w:p w:rsidR="00C317F3" w:rsidRPr="00ED3C94" w:rsidRDefault="00C317F3" w:rsidP="00772501">
      <w:pPr>
        <w:pStyle w:val="TableFooter"/>
      </w:pPr>
      <w:r w:rsidRPr="00ED3C94">
        <w:t xml:space="preserve">Source: </w:t>
      </w:r>
      <w:r w:rsidR="00151B67" w:rsidRPr="00ED3C94">
        <w:t>Section 3</w:t>
      </w:r>
      <w:r w:rsidR="00B80B83" w:rsidRPr="00ED3C94">
        <w:t xml:space="preserve"> the submission</w:t>
      </w:r>
    </w:p>
    <w:p w:rsidR="000A79E8" w:rsidRPr="00990AD0" w:rsidRDefault="00FF1C05" w:rsidP="00961807">
      <w:pPr>
        <w:widowControl w:val="0"/>
        <w:numPr>
          <w:ilvl w:val="1"/>
          <w:numId w:val="4"/>
        </w:numPr>
        <w:spacing w:before="0" w:after="120"/>
        <w:jc w:val="both"/>
      </w:pPr>
      <w:r w:rsidRPr="00990AD0">
        <w:t>The ESC noted that there were a number of issues with the model structure</w:t>
      </w:r>
      <w:r w:rsidR="000A79E8" w:rsidRPr="00990AD0">
        <w:t>:</w:t>
      </w:r>
    </w:p>
    <w:p w:rsidR="000A79E8" w:rsidRPr="00990AD0" w:rsidRDefault="000A79E8" w:rsidP="00287AB5">
      <w:pPr>
        <w:pStyle w:val="ListParagraph"/>
        <w:numPr>
          <w:ilvl w:val="0"/>
          <w:numId w:val="3"/>
        </w:numPr>
        <w:spacing w:before="0" w:after="0"/>
        <w:ind w:left="1077" w:hanging="357"/>
        <w:jc w:val="both"/>
      </w:pPr>
      <w:r w:rsidRPr="00990AD0">
        <w:t>t</w:t>
      </w:r>
      <w:r w:rsidR="00FF1C05" w:rsidRPr="00990AD0">
        <w:t>he induction state was over 13 weeks in the model</w:t>
      </w:r>
      <w:r w:rsidR="006E5BDC" w:rsidRPr="00990AD0">
        <w:t>, compared with</w:t>
      </w:r>
      <w:r w:rsidR="00FF1C05" w:rsidRPr="00990AD0">
        <w:t xml:space="preserve"> 16 weeks for the PBS listing</w:t>
      </w:r>
      <w:r w:rsidRPr="00990AD0">
        <w:t>;</w:t>
      </w:r>
      <w:r w:rsidR="00FF1C05" w:rsidRPr="00990AD0">
        <w:t xml:space="preserve"> </w:t>
      </w:r>
    </w:p>
    <w:p w:rsidR="000A79E8" w:rsidRPr="00990AD0" w:rsidRDefault="000A79E8" w:rsidP="00287AB5">
      <w:pPr>
        <w:pStyle w:val="ListParagraph"/>
        <w:numPr>
          <w:ilvl w:val="0"/>
          <w:numId w:val="3"/>
        </w:numPr>
        <w:spacing w:before="0" w:after="0"/>
        <w:ind w:left="1077" w:hanging="357"/>
        <w:jc w:val="both"/>
      </w:pPr>
      <w:r w:rsidRPr="00990AD0">
        <w:t>t</w:t>
      </w:r>
      <w:r w:rsidR="00FF1C05" w:rsidRPr="00990AD0">
        <w:t>he model included 9 doses for the initial response period whilst the PBS restriction allow</w:t>
      </w:r>
      <w:r w:rsidR="00D42CEE" w:rsidRPr="00990AD0">
        <w:t>s</w:t>
      </w:r>
      <w:r w:rsidR="00FF1C05" w:rsidRPr="00990AD0">
        <w:t xml:space="preserve"> 10 doses</w:t>
      </w:r>
      <w:r w:rsidR="00D42CEE" w:rsidRPr="00990AD0">
        <w:t xml:space="preserve"> in the initial period</w:t>
      </w:r>
      <w:r w:rsidR="00FF1C05" w:rsidRPr="00990AD0">
        <w:t xml:space="preserve">, therefore the model underestimated </w:t>
      </w:r>
      <w:r w:rsidR="006E5BDC" w:rsidRPr="00990AD0">
        <w:t xml:space="preserve">the </w:t>
      </w:r>
      <w:r w:rsidR="00FF1C05" w:rsidRPr="00990AD0">
        <w:t xml:space="preserve">costs </w:t>
      </w:r>
      <w:r w:rsidR="006E5BDC" w:rsidRPr="00990AD0">
        <w:t>for</w:t>
      </w:r>
      <w:r w:rsidR="00FF1C05" w:rsidRPr="00990AD0">
        <w:t xml:space="preserve"> the dupilumab arm in the initial response stage</w:t>
      </w:r>
      <w:r w:rsidRPr="00990AD0">
        <w:t>;</w:t>
      </w:r>
    </w:p>
    <w:p w:rsidR="000A79E8" w:rsidRPr="00990AD0" w:rsidRDefault="000A79E8" w:rsidP="00287AB5">
      <w:pPr>
        <w:pStyle w:val="ListParagraph"/>
        <w:numPr>
          <w:ilvl w:val="0"/>
          <w:numId w:val="3"/>
        </w:numPr>
        <w:spacing w:before="0" w:after="0"/>
        <w:ind w:left="1077" w:hanging="357"/>
        <w:jc w:val="both"/>
      </w:pPr>
      <w:r w:rsidRPr="00990AD0">
        <w:t>c</w:t>
      </w:r>
      <w:r w:rsidR="00FF1C05" w:rsidRPr="00990AD0">
        <w:t xml:space="preserve">ontinuing treatment </w:t>
      </w:r>
      <w:r w:rsidR="00D42CEE" w:rsidRPr="00990AD0">
        <w:t>is</w:t>
      </w:r>
      <w:r w:rsidR="00FF1C05" w:rsidRPr="00990AD0">
        <w:t xml:space="preserve"> for 13 weeks in the model </w:t>
      </w:r>
      <w:r w:rsidR="00D42CEE" w:rsidRPr="00990AD0">
        <w:t xml:space="preserve">(to align with 3 month cycles) </w:t>
      </w:r>
      <w:r w:rsidR="00FF1C05" w:rsidRPr="00990AD0">
        <w:t>wh</w:t>
      </w:r>
      <w:r w:rsidR="00D42CEE" w:rsidRPr="00990AD0">
        <w:t>ereas</w:t>
      </w:r>
      <w:r w:rsidR="00FF1C05" w:rsidRPr="00990AD0">
        <w:t xml:space="preserve"> the </w:t>
      </w:r>
      <w:r w:rsidR="00D42CEE" w:rsidRPr="00990AD0">
        <w:t>proposed</w:t>
      </w:r>
      <w:r w:rsidR="00FF1C05" w:rsidRPr="00990AD0">
        <w:t xml:space="preserve"> restriction allow</w:t>
      </w:r>
      <w:r w:rsidR="00D42CEE" w:rsidRPr="00990AD0">
        <w:t>s</w:t>
      </w:r>
      <w:r w:rsidR="00FF1C05" w:rsidRPr="00990AD0">
        <w:t xml:space="preserve"> continuing treatment for 24 weeks, which </w:t>
      </w:r>
      <w:r w:rsidRPr="00990AD0">
        <w:t>also resulted in</w:t>
      </w:r>
      <w:r w:rsidR="004918D0" w:rsidRPr="00990AD0">
        <w:t xml:space="preserve"> </w:t>
      </w:r>
      <w:r w:rsidR="00FF1C05" w:rsidRPr="00990AD0">
        <w:t>underestimated costs</w:t>
      </w:r>
      <w:r w:rsidR="006E5BDC" w:rsidRPr="00990AD0">
        <w:t xml:space="preserve"> </w:t>
      </w:r>
      <w:r w:rsidR="00D42CEE" w:rsidRPr="00990AD0">
        <w:t>in the dupilumab arm for the continuing stage</w:t>
      </w:r>
      <w:r w:rsidRPr="00990AD0">
        <w:t>;</w:t>
      </w:r>
    </w:p>
    <w:p w:rsidR="00FF1C05" w:rsidRPr="00990AD0" w:rsidRDefault="00FF1C05" w:rsidP="00287AB5">
      <w:pPr>
        <w:pStyle w:val="ListParagraph"/>
        <w:numPr>
          <w:ilvl w:val="0"/>
          <w:numId w:val="3"/>
        </w:numPr>
        <w:spacing w:before="0" w:after="0"/>
        <w:ind w:left="1077" w:hanging="357"/>
        <w:jc w:val="both"/>
      </w:pPr>
      <w:r w:rsidRPr="00990AD0">
        <w:t xml:space="preserve">the model did not </w:t>
      </w:r>
      <w:r w:rsidR="004918D0" w:rsidRPr="00990AD0">
        <w:t>account</w:t>
      </w:r>
      <w:r w:rsidRPr="00990AD0">
        <w:t xml:space="preserve"> for</w:t>
      </w:r>
      <w:r w:rsidR="004918D0" w:rsidRPr="00990AD0">
        <w:t xml:space="preserve"> health gains without </w:t>
      </w:r>
      <w:r w:rsidR="00D42CEE" w:rsidRPr="00990AD0">
        <w:t xml:space="preserve">dupilumab </w:t>
      </w:r>
      <w:r w:rsidR="004918D0" w:rsidRPr="00990AD0">
        <w:t xml:space="preserve">treatment </w:t>
      </w:r>
      <w:r w:rsidR="00D42CEE" w:rsidRPr="00990AD0">
        <w:t>for patients who</w:t>
      </w:r>
      <w:r w:rsidRPr="00990AD0">
        <w:t xml:space="preserve"> transition from being a non-responder to a responder</w:t>
      </w:r>
      <w:r w:rsidR="00D42CEE" w:rsidRPr="00990AD0">
        <w:t xml:space="preserve">. It is </w:t>
      </w:r>
      <w:r w:rsidRPr="00990AD0">
        <w:t xml:space="preserve">possible </w:t>
      </w:r>
      <w:r w:rsidR="00D42CEE" w:rsidRPr="00990AD0">
        <w:t xml:space="preserve">that patients would have </w:t>
      </w:r>
      <w:r w:rsidRPr="00990AD0">
        <w:t>periods of improvement without treatment (i.e. transition from non-responder to responder) due to the cyclical nature of the disease</w:t>
      </w:r>
      <w:r w:rsidR="00D42CEE" w:rsidRPr="00990AD0">
        <w:t>. This underestimates the health gains in the control arm in the continuing stage.</w:t>
      </w:r>
    </w:p>
    <w:p w:rsidR="00E37424" w:rsidRPr="00ED3C94" w:rsidRDefault="00151B67" w:rsidP="00287AB5">
      <w:pPr>
        <w:widowControl w:val="0"/>
        <w:numPr>
          <w:ilvl w:val="1"/>
          <w:numId w:val="4"/>
        </w:numPr>
        <w:spacing w:afterLines="40" w:after="96"/>
        <w:jc w:val="both"/>
      </w:pPr>
      <w:r w:rsidRPr="00ED3C94">
        <w:t>The key drivers of the model are presented in</w:t>
      </w:r>
      <w:r w:rsidR="00E37424" w:rsidRPr="00ED3C94">
        <w:t xml:space="preserve"> </w:t>
      </w:r>
      <w:r w:rsidR="009B5A44" w:rsidRPr="00ED3C94">
        <w:t xml:space="preserve">Table </w:t>
      </w:r>
      <w:r w:rsidR="009B5A44" w:rsidRPr="00ED3C94">
        <w:rPr>
          <w:noProof/>
        </w:rPr>
        <w:t>7</w:t>
      </w:r>
      <w:r w:rsidRPr="00ED3C94">
        <w:t>.</w:t>
      </w:r>
    </w:p>
    <w:p w:rsidR="0093702D" w:rsidRDefault="0093702D" w:rsidP="0093702D">
      <w:pPr>
        <w:pStyle w:val="Caption"/>
      </w:pPr>
      <w:r>
        <w:lastRenderedPageBreak/>
        <w:t xml:space="preserve">Table </w:t>
      </w:r>
      <w:r w:rsidR="00557C85">
        <w:fldChar w:fldCharType="begin"/>
      </w:r>
      <w:r w:rsidR="00557C85">
        <w:instrText xml:space="preserve"> SEQ Table \* ARABIC </w:instrText>
      </w:r>
      <w:r w:rsidR="00557C85">
        <w:fldChar w:fldCharType="separate"/>
      </w:r>
      <w:r>
        <w:rPr>
          <w:noProof/>
        </w:rPr>
        <w:t>7</w:t>
      </w:r>
      <w:r w:rsidR="00557C85">
        <w:rPr>
          <w:noProof/>
        </w:rPr>
        <w:fldChar w:fldCharType="end"/>
      </w:r>
      <w:r>
        <w:t xml:space="preserve">: </w:t>
      </w:r>
      <w:r w:rsidRPr="009B7765">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model"/>
      </w:tblPr>
      <w:tblGrid>
        <w:gridCol w:w="1446"/>
        <w:gridCol w:w="3827"/>
        <w:gridCol w:w="3809"/>
      </w:tblGrid>
      <w:tr w:rsidR="00E37424" w:rsidRPr="00ED3C94" w:rsidTr="00287AB5">
        <w:trPr>
          <w:tblHeader/>
        </w:trPr>
        <w:tc>
          <w:tcPr>
            <w:tcW w:w="796" w:type="pct"/>
            <w:shd w:val="clear" w:color="auto" w:fill="auto"/>
            <w:vAlign w:val="center"/>
          </w:tcPr>
          <w:p w:rsidR="00E37424" w:rsidRPr="00ED3C94" w:rsidRDefault="00E37424" w:rsidP="00772501">
            <w:pPr>
              <w:pStyle w:val="TableText"/>
              <w:rPr>
                <w:b/>
              </w:rPr>
            </w:pPr>
            <w:r w:rsidRPr="00ED3C94">
              <w:rPr>
                <w:b/>
              </w:rPr>
              <w:t>Description</w:t>
            </w:r>
          </w:p>
        </w:tc>
        <w:tc>
          <w:tcPr>
            <w:tcW w:w="2107" w:type="pct"/>
            <w:shd w:val="clear" w:color="auto" w:fill="auto"/>
            <w:vAlign w:val="center"/>
          </w:tcPr>
          <w:p w:rsidR="00E37424" w:rsidRPr="00ED3C94" w:rsidRDefault="00E37424" w:rsidP="00772501">
            <w:pPr>
              <w:pStyle w:val="TableText"/>
              <w:rPr>
                <w:b/>
              </w:rPr>
            </w:pPr>
            <w:r w:rsidRPr="00ED3C94">
              <w:rPr>
                <w:b/>
              </w:rPr>
              <w:t>Method/Value</w:t>
            </w:r>
          </w:p>
        </w:tc>
        <w:tc>
          <w:tcPr>
            <w:tcW w:w="2097" w:type="pct"/>
            <w:shd w:val="clear" w:color="auto" w:fill="auto"/>
            <w:vAlign w:val="center"/>
          </w:tcPr>
          <w:p w:rsidR="00E37424" w:rsidRPr="00ED3C94" w:rsidRDefault="00E37424" w:rsidP="00772501">
            <w:pPr>
              <w:pStyle w:val="TableText"/>
              <w:rPr>
                <w:b/>
              </w:rPr>
            </w:pPr>
            <w:r w:rsidRPr="00ED3C94">
              <w:rPr>
                <w:b/>
              </w:rPr>
              <w:t>Impact</w:t>
            </w:r>
          </w:p>
        </w:tc>
      </w:tr>
      <w:tr w:rsidR="00E37424" w:rsidRPr="00ED3C94" w:rsidTr="00287AB5">
        <w:tc>
          <w:tcPr>
            <w:tcW w:w="796" w:type="pct"/>
            <w:shd w:val="clear" w:color="auto" w:fill="auto"/>
            <w:vAlign w:val="center"/>
          </w:tcPr>
          <w:p w:rsidR="00E37424" w:rsidRPr="00ED3C94" w:rsidRDefault="00151B67" w:rsidP="00772501">
            <w:pPr>
              <w:pStyle w:val="TableText"/>
            </w:pPr>
            <w:r w:rsidRPr="00ED3C94">
              <w:t>Responder rates at Week 16</w:t>
            </w:r>
          </w:p>
        </w:tc>
        <w:tc>
          <w:tcPr>
            <w:tcW w:w="2107" w:type="pct"/>
            <w:shd w:val="clear" w:color="auto" w:fill="auto"/>
            <w:vAlign w:val="center"/>
          </w:tcPr>
          <w:p w:rsidR="00200296" w:rsidRPr="00ED3C94" w:rsidRDefault="00151B67" w:rsidP="00772501">
            <w:pPr>
              <w:pStyle w:val="TableText"/>
            </w:pPr>
            <w:r w:rsidRPr="00ED3C94">
              <w:t>CAFÉ responder rate at Week 16 and 95% CIs</w:t>
            </w:r>
          </w:p>
        </w:tc>
        <w:tc>
          <w:tcPr>
            <w:tcW w:w="2097" w:type="pct"/>
            <w:shd w:val="clear" w:color="auto" w:fill="auto"/>
            <w:vAlign w:val="center"/>
          </w:tcPr>
          <w:p w:rsidR="00E37424" w:rsidRPr="00ED3C94" w:rsidRDefault="00BC1C53" w:rsidP="00151B67">
            <w:pPr>
              <w:pStyle w:val="TableText"/>
            </w:pPr>
            <w:r w:rsidRPr="00ED3C94">
              <w:t>Moderate</w:t>
            </w:r>
            <w:r w:rsidR="00E37424" w:rsidRPr="00ED3C94">
              <w:t xml:space="preserve">, </w:t>
            </w:r>
            <w:r w:rsidR="00151B67" w:rsidRPr="00ED3C94">
              <w:t xml:space="preserve">use of 95% CIs around the estimate impact the </w:t>
            </w:r>
            <w:r w:rsidR="006A3F76" w:rsidRPr="00ED3C94">
              <w:t xml:space="preserve">base case </w:t>
            </w:r>
            <w:r w:rsidR="00151B67" w:rsidRPr="00ED3C94">
              <w:t>ICER</w:t>
            </w:r>
            <w:r w:rsidR="006A3F76" w:rsidRPr="00ED3C94">
              <w:t xml:space="preserve"> from </w:t>
            </w:r>
            <w:r w:rsidR="00D75311" w:rsidRPr="00ED3C94">
              <w:t>an</w:t>
            </w:r>
            <w:r w:rsidR="006A3F76" w:rsidRPr="00ED3C94">
              <w:t xml:space="preserve"> 8% reduction to 18% increase</w:t>
            </w:r>
            <w:r w:rsidR="00401C84" w:rsidRPr="00ED3C94">
              <w:t>.</w:t>
            </w:r>
          </w:p>
        </w:tc>
      </w:tr>
      <w:tr w:rsidR="006A3F76" w:rsidRPr="00ED3C94" w:rsidTr="00287AB5">
        <w:tc>
          <w:tcPr>
            <w:tcW w:w="796" w:type="pct"/>
            <w:shd w:val="clear" w:color="auto" w:fill="auto"/>
            <w:vAlign w:val="center"/>
          </w:tcPr>
          <w:p w:rsidR="006A3F76" w:rsidRPr="00ED3C94" w:rsidRDefault="006A3F76" w:rsidP="006A3F76">
            <w:pPr>
              <w:pStyle w:val="TableText"/>
            </w:pPr>
            <w:r w:rsidRPr="00ED3C94">
              <w:t xml:space="preserve">Utilities </w:t>
            </w:r>
          </w:p>
        </w:tc>
        <w:tc>
          <w:tcPr>
            <w:tcW w:w="2107" w:type="pct"/>
            <w:shd w:val="clear" w:color="auto" w:fill="auto"/>
            <w:vAlign w:val="center"/>
          </w:tcPr>
          <w:p w:rsidR="006A3F76" w:rsidRPr="00ED3C94" w:rsidRDefault="006A3F76" w:rsidP="006A3F76">
            <w:pPr>
              <w:pStyle w:val="TableText"/>
            </w:pPr>
            <w:r w:rsidRPr="00ED3C94">
              <w:t>Derived from CAFÉ, assume dupilumab responders have higher utility than placebo responders</w:t>
            </w:r>
          </w:p>
        </w:tc>
        <w:tc>
          <w:tcPr>
            <w:tcW w:w="2097" w:type="pct"/>
            <w:shd w:val="clear" w:color="auto" w:fill="auto"/>
            <w:vAlign w:val="center"/>
          </w:tcPr>
          <w:p w:rsidR="006A3F76" w:rsidRPr="00ED3C94" w:rsidRDefault="006A3F76" w:rsidP="00401C84">
            <w:pPr>
              <w:pStyle w:val="TableText"/>
            </w:pPr>
            <w:r w:rsidRPr="00ED3C94">
              <w:t xml:space="preserve">High, </w:t>
            </w:r>
            <w:r w:rsidR="00401C84" w:rsidRPr="00ED3C94">
              <w:t>favours dupilumab. I</w:t>
            </w:r>
            <w:r w:rsidRPr="00ED3C94">
              <w:t xml:space="preserve">f </w:t>
            </w:r>
            <w:r w:rsidR="00401C84" w:rsidRPr="00ED3C94">
              <w:t xml:space="preserve">the model </w:t>
            </w:r>
            <w:r w:rsidRPr="00ED3C94">
              <w:t>assume</w:t>
            </w:r>
            <w:r w:rsidR="00401C84" w:rsidRPr="00ED3C94">
              <w:t>s</w:t>
            </w:r>
            <w:r w:rsidRPr="00ED3C94">
              <w:t xml:space="preserve"> all responders have the placebo responder utility, the base case ICER </w:t>
            </w:r>
            <w:r w:rsidR="00401C84" w:rsidRPr="00ED3C94">
              <w:t>i</w:t>
            </w:r>
            <w:r w:rsidR="00CF4FE0" w:rsidRPr="00ED3C94">
              <w:t>s</w:t>
            </w:r>
            <w:r w:rsidR="00401C84" w:rsidRPr="00ED3C94">
              <w:t xml:space="preserve"> increased </w:t>
            </w:r>
            <w:r w:rsidRPr="00ED3C94">
              <w:t>by 26%</w:t>
            </w:r>
            <w:r w:rsidR="00401C84" w:rsidRPr="00ED3C94">
              <w:t>.</w:t>
            </w:r>
          </w:p>
        </w:tc>
      </w:tr>
      <w:tr w:rsidR="006A3F76" w:rsidRPr="00ED3C94" w:rsidTr="00287AB5">
        <w:tc>
          <w:tcPr>
            <w:tcW w:w="796" w:type="pct"/>
            <w:shd w:val="clear" w:color="auto" w:fill="auto"/>
            <w:vAlign w:val="center"/>
          </w:tcPr>
          <w:p w:rsidR="006A3F76" w:rsidRPr="00ED3C94" w:rsidRDefault="006A3F76" w:rsidP="006A3F76">
            <w:pPr>
              <w:pStyle w:val="TableText"/>
            </w:pPr>
            <w:r w:rsidRPr="00ED3C94">
              <w:t xml:space="preserve">Loss of response </w:t>
            </w:r>
          </w:p>
        </w:tc>
        <w:tc>
          <w:tcPr>
            <w:tcW w:w="2107" w:type="pct"/>
            <w:shd w:val="clear" w:color="auto" w:fill="auto"/>
            <w:vAlign w:val="center"/>
          </w:tcPr>
          <w:p w:rsidR="006A3F76" w:rsidRPr="00ED3C94" w:rsidRDefault="00BC1C53" w:rsidP="006A3F76">
            <w:pPr>
              <w:pStyle w:val="TableText"/>
            </w:pPr>
            <w:r w:rsidRPr="00ED3C94">
              <w:t>Derived from CHRONOS. Base case assumes different loss of response for dupilumab and placebo.</w:t>
            </w:r>
          </w:p>
        </w:tc>
        <w:tc>
          <w:tcPr>
            <w:tcW w:w="2097" w:type="pct"/>
            <w:shd w:val="clear" w:color="auto" w:fill="auto"/>
            <w:vAlign w:val="center"/>
          </w:tcPr>
          <w:p w:rsidR="006A3F76" w:rsidRPr="00ED3C94" w:rsidRDefault="00BC1C53" w:rsidP="00BC1C53">
            <w:pPr>
              <w:pStyle w:val="TableText"/>
            </w:pPr>
            <w:r w:rsidRPr="00ED3C94">
              <w:t xml:space="preserve">Moderate, favours dupilumab. If placebo loss of response applied to both arms, base case ICER increases </w:t>
            </w:r>
            <w:r w:rsidR="00401C84" w:rsidRPr="00ED3C94">
              <w:t xml:space="preserve">by </w:t>
            </w:r>
            <w:r w:rsidRPr="00ED3C94">
              <w:t>16%</w:t>
            </w:r>
            <w:r w:rsidR="00401C84" w:rsidRPr="00ED3C94">
              <w:t>.</w:t>
            </w:r>
          </w:p>
        </w:tc>
      </w:tr>
      <w:tr w:rsidR="006A3F76" w:rsidRPr="00ED3C94" w:rsidTr="00287AB5">
        <w:tc>
          <w:tcPr>
            <w:tcW w:w="796" w:type="pct"/>
            <w:shd w:val="clear" w:color="auto" w:fill="auto"/>
            <w:vAlign w:val="center"/>
          </w:tcPr>
          <w:p w:rsidR="006A3F76" w:rsidRPr="00ED3C94" w:rsidRDefault="006A3F76" w:rsidP="006A3F76">
            <w:pPr>
              <w:pStyle w:val="TableText"/>
            </w:pPr>
            <w:r w:rsidRPr="00ED3C94">
              <w:t xml:space="preserve">Time horizon </w:t>
            </w:r>
          </w:p>
        </w:tc>
        <w:tc>
          <w:tcPr>
            <w:tcW w:w="2107" w:type="pct"/>
            <w:shd w:val="clear" w:color="auto" w:fill="auto"/>
            <w:vAlign w:val="center"/>
          </w:tcPr>
          <w:p w:rsidR="006A3F76" w:rsidRPr="00ED3C94" w:rsidRDefault="006A3F76" w:rsidP="006A3F76">
            <w:pPr>
              <w:pStyle w:val="TableText"/>
            </w:pPr>
            <w:r w:rsidRPr="00ED3C94">
              <w:t>Base case of 5 years in the model.  Though short, may still be considered optimistic given randomised data in the patient population of interest is limited to 16 weeks (CAFÉ).</w:t>
            </w:r>
          </w:p>
        </w:tc>
        <w:tc>
          <w:tcPr>
            <w:tcW w:w="2097" w:type="pct"/>
            <w:shd w:val="clear" w:color="auto" w:fill="auto"/>
            <w:vAlign w:val="center"/>
          </w:tcPr>
          <w:p w:rsidR="006A3F76" w:rsidRPr="00ED3C94" w:rsidRDefault="006A3F76" w:rsidP="00401C84">
            <w:pPr>
              <w:pStyle w:val="TableText"/>
            </w:pPr>
            <w:r w:rsidRPr="00ED3C94">
              <w:t xml:space="preserve">High, favours dupilumab. </w:t>
            </w:r>
            <w:r w:rsidR="00401C84" w:rsidRPr="00ED3C94">
              <w:t>A o</w:t>
            </w:r>
            <w:r w:rsidRPr="00ED3C94">
              <w:t>ne-year time horizon results in a 42% increase in base case ICER</w:t>
            </w:r>
            <w:r w:rsidR="00401C84" w:rsidRPr="00ED3C94">
              <w:t>.</w:t>
            </w:r>
          </w:p>
        </w:tc>
      </w:tr>
    </w:tbl>
    <w:p w:rsidR="00E37424" w:rsidRPr="00ED3C94" w:rsidRDefault="00E37424" w:rsidP="00772501">
      <w:pPr>
        <w:pStyle w:val="TableFooter"/>
      </w:pPr>
      <w:r w:rsidRPr="00ED3C94">
        <w:t>Source: compiled during the evaluation</w:t>
      </w:r>
      <w:r w:rsidR="00B80B83" w:rsidRPr="00ED3C94">
        <w:t xml:space="preserve"> </w:t>
      </w:r>
    </w:p>
    <w:p w:rsidR="008F0637" w:rsidRPr="00990AD0" w:rsidRDefault="003C3B8D" w:rsidP="00961807">
      <w:pPr>
        <w:widowControl w:val="0"/>
        <w:numPr>
          <w:ilvl w:val="1"/>
          <w:numId w:val="4"/>
        </w:numPr>
        <w:spacing w:before="0" w:after="120"/>
        <w:jc w:val="both"/>
      </w:pPr>
      <w:r w:rsidRPr="00990AD0">
        <w:t>The health care resource use and costs associated with each health state in the model are presented in Table 8.</w:t>
      </w:r>
    </w:p>
    <w:p w:rsidR="0093702D" w:rsidRDefault="0093702D" w:rsidP="0093702D">
      <w:pPr>
        <w:pStyle w:val="Caption"/>
      </w:pPr>
      <w:r>
        <w:t xml:space="preserve">Table </w:t>
      </w:r>
      <w:r w:rsidR="00557C85">
        <w:fldChar w:fldCharType="begin"/>
      </w:r>
      <w:r w:rsidR="00557C85">
        <w:instrText xml:space="preserve"> SEQ Table \* ARABIC </w:instrText>
      </w:r>
      <w:r w:rsidR="00557C85">
        <w:fldChar w:fldCharType="separate"/>
      </w:r>
      <w:r>
        <w:rPr>
          <w:noProof/>
        </w:rPr>
        <w:t>8</w:t>
      </w:r>
      <w:r w:rsidR="00557C85">
        <w:rPr>
          <w:noProof/>
        </w:rPr>
        <w:fldChar w:fldCharType="end"/>
      </w:r>
      <w:r>
        <w:t xml:space="preserve">: </w:t>
      </w:r>
      <w:r w:rsidRPr="00E90872">
        <w:t>Health state costs applied in the model</w:t>
      </w:r>
    </w:p>
    <w:tbl>
      <w:tblPr>
        <w:tblStyle w:val="TableGrid1"/>
        <w:tblW w:w="0" w:type="auto"/>
        <w:tblInd w:w="108" w:type="dxa"/>
        <w:tblLook w:val="04A0" w:firstRow="1" w:lastRow="0" w:firstColumn="1" w:lastColumn="0" w:noHBand="0" w:noVBand="1"/>
        <w:tblCaption w:val="Health state costs applied in the model"/>
      </w:tblPr>
      <w:tblGrid>
        <w:gridCol w:w="1432"/>
        <w:gridCol w:w="1403"/>
        <w:gridCol w:w="1560"/>
        <w:gridCol w:w="1657"/>
        <w:gridCol w:w="1541"/>
        <w:gridCol w:w="1479"/>
      </w:tblGrid>
      <w:tr w:rsidR="008F0637" w:rsidRPr="008F49BF" w:rsidTr="00F47FAE">
        <w:trPr>
          <w:trHeight w:val="289"/>
          <w:tblHeader/>
        </w:trPr>
        <w:tc>
          <w:tcPr>
            <w:tcW w:w="1432" w:type="dxa"/>
            <w:vMerge w:val="restart"/>
            <w:vAlign w:val="center"/>
          </w:tcPr>
          <w:p w:rsidR="008F0637" w:rsidRPr="008F49BF" w:rsidRDefault="008F0637" w:rsidP="004D7232">
            <w:pPr>
              <w:spacing w:before="0"/>
              <w:jc w:val="center"/>
              <w:rPr>
                <w:rFonts w:ascii="Arial Narrow" w:hAnsi="Arial Narrow"/>
                <w:b/>
                <w:sz w:val="20"/>
                <w:szCs w:val="20"/>
              </w:rPr>
            </w:pPr>
            <w:r w:rsidRPr="008F49BF">
              <w:rPr>
                <w:rFonts w:ascii="Arial Narrow" w:hAnsi="Arial Narrow"/>
                <w:b/>
                <w:sz w:val="20"/>
                <w:szCs w:val="20"/>
              </w:rPr>
              <w:t>Resource type</w:t>
            </w:r>
          </w:p>
        </w:tc>
        <w:tc>
          <w:tcPr>
            <w:tcW w:w="2963" w:type="dxa"/>
            <w:gridSpan w:val="2"/>
            <w:vAlign w:val="center"/>
          </w:tcPr>
          <w:p w:rsidR="008F0637" w:rsidRPr="008F49BF" w:rsidRDefault="008F0637" w:rsidP="004D7232">
            <w:pPr>
              <w:spacing w:before="0"/>
              <w:jc w:val="center"/>
              <w:rPr>
                <w:rFonts w:ascii="Arial Narrow" w:hAnsi="Arial Narrow"/>
                <w:b/>
                <w:sz w:val="20"/>
                <w:szCs w:val="20"/>
              </w:rPr>
            </w:pPr>
            <w:r w:rsidRPr="008F49BF">
              <w:rPr>
                <w:rFonts w:ascii="Arial Narrow" w:hAnsi="Arial Narrow"/>
                <w:b/>
                <w:sz w:val="20"/>
                <w:szCs w:val="20"/>
              </w:rPr>
              <w:t>Resource use per year</w:t>
            </w:r>
            <w:r w:rsidRPr="008F49BF">
              <w:rPr>
                <w:rFonts w:ascii="Arial Narrow" w:hAnsi="Arial Narrow"/>
                <w:b/>
                <w:sz w:val="20"/>
                <w:szCs w:val="20"/>
              </w:rPr>
              <w:br/>
              <w:t>(number of visits)</w:t>
            </w:r>
          </w:p>
        </w:tc>
        <w:tc>
          <w:tcPr>
            <w:tcW w:w="1657" w:type="dxa"/>
            <w:vMerge w:val="restart"/>
            <w:vAlign w:val="center"/>
          </w:tcPr>
          <w:p w:rsidR="008F0637" w:rsidRPr="008F49BF" w:rsidRDefault="008F0637" w:rsidP="004D7232">
            <w:pPr>
              <w:spacing w:before="0"/>
              <w:jc w:val="center"/>
              <w:rPr>
                <w:rFonts w:ascii="Arial Narrow" w:hAnsi="Arial Narrow"/>
                <w:b/>
                <w:sz w:val="20"/>
                <w:szCs w:val="20"/>
              </w:rPr>
            </w:pPr>
            <w:r w:rsidRPr="008F49BF">
              <w:rPr>
                <w:rFonts w:ascii="Arial Narrow" w:hAnsi="Arial Narrow"/>
                <w:b/>
                <w:sz w:val="20"/>
                <w:szCs w:val="20"/>
              </w:rPr>
              <w:t>Unit cost</w:t>
            </w:r>
          </w:p>
        </w:tc>
        <w:tc>
          <w:tcPr>
            <w:tcW w:w="3020" w:type="dxa"/>
            <w:gridSpan w:val="2"/>
            <w:vAlign w:val="center"/>
          </w:tcPr>
          <w:p w:rsidR="008F0637" w:rsidRPr="008F49BF" w:rsidRDefault="008F0637" w:rsidP="004D7232">
            <w:pPr>
              <w:spacing w:before="0"/>
              <w:jc w:val="center"/>
              <w:rPr>
                <w:rFonts w:ascii="Arial Narrow" w:hAnsi="Arial Narrow"/>
                <w:b/>
                <w:sz w:val="20"/>
                <w:szCs w:val="20"/>
              </w:rPr>
            </w:pPr>
            <w:r w:rsidRPr="008F49BF">
              <w:rPr>
                <w:rFonts w:ascii="Arial Narrow" w:hAnsi="Arial Narrow"/>
                <w:b/>
                <w:sz w:val="20"/>
                <w:szCs w:val="20"/>
              </w:rPr>
              <w:t>Resource use per year ($)</w:t>
            </w:r>
          </w:p>
        </w:tc>
      </w:tr>
      <w:tr w:rsidR="008F0637" w:rsidRPr="008F49BF" w:rsidTr="00F47FAE">
        <w:trPr>
          <w:trHeight w:val="289"/>
          <w:tblHeader/>
        </w:trPr>
        <w:tc>
          <w:tcPr>
            <w:tcW w:w="1432" w:type="dxa"/>
            <w:vMerge/>
            <w:vAlign w:val="center"/>
          </w:tcPr>
          <w:p w:rsidR="008F0637" w:rsidRPr="008F49BF" w:rsidRDefault="008F0637" w:rsidP="004D7232">
            <w:pPr>
              <w:spacing w:before="0"/>
              <w:jc w:val="center"/>
              <w:rPr>
                <w:rFonts w:ascii="Arial Narrow" w:hAnsi="Arial Narrow"/>
                <w:b/>
                <w:sz w:val="20"/>
                <w:szCs w:val="20"/>
              </w:rPr>
            </w:pPr>
          </w:p>
        </w:tc>
        <w:tc>
          <w:tcPr>
            <w:tcW w:w="1403" w:type="dxa"/>
            <w:vAlign w:val="center"/>
          </w:tcPr>
          <w:p w:rsidR="008F0637" w:rsidRPr="008F49BF" w:rsidRDefault="008F0637" w:rsidP="004D7232">
            <w:pPr>
              <w:spacing w:before="0"/>
              <w:jc w:val="center"/>
              <w:rPr>
                <w:rFonts w:ascii="Arial Narrow" w:hAnsi="Arial Narrow"/>
                <w:b/>
                <w:sz w:val="20"/>
                <w:szCs w:val="20"/>
              </w:rPr>
            </w:pPr>
            <w:r w:rsidRPr="008F49BF">
              <w:rPr>
                <w:rFonts w:ascii="Arial Narrow" w:hAnsi="Arial Narrow"/>
                <w:b/>
                <w:sz w:val="20"/>
                <w:szCs w:val="20"/>
              </w:rPr>
              <w:t>Responder</w:t>
            </w:r>
          </w:p>
        </w:tc>
        <w:tc>
          <w:tcPr>
            <w:tcW w:w="1560" w:type="dxa"/>
            <w:vAlign w:val="center"/>
          </w:tcPr>
          <w:p w:rsidR="008F0637" w:rsidRPr="008F49BF" w:rsidRDefault="008F0637" w:rsidP="004D7232">
            <w:pPr>
              <w:spacing w:before="0"/>
              <w:jc w:val="center"/>
              <w:rPr>
                <w:rFonts w:ascii="Arial Narrow" w:hAnsi="Arial Narrow"/>
                <w:b/>
                <w:sz w:val="20"/>
                <w:szCs w:val="20"/>
              </w:rPr>
            </w:pPr>
            <w:r w:rsidRPr="008F49BF">
              <w:rPr>
                <w:rFonts w:ascii="Arial Narrow" w:hAnsi="Arial Narrow"/>
                <w:b/>
                <w:sz w:val="20"/>
                <w:szCs w:val="20"/>
              </w:rPr>
              <w:t>Non-responder</w:t>
            </w:r>
          </w:p>
        </w:tc>
        <w:tc>
          <w:tcPr>
            <w:tcW w:w="1657" w:type="dxa"/>
            <w:vMerge/>
            <w:vAlign w:val="center"/>
          </w:tcPr>
          <w:p w:rsidR="008F0637" w:rsidRPr="008F49BF" w:rsidRDefault="008F0637" w:rsidP="004D7232">
            <w:pPr>
              <w:spacing w:before="0"/>
              <w:jc w:val="center"/>
              <w:rPr>
                <w:rFonts w:ascii="Arial Narrow" w:hAnsi="Arial Narrow"/>
                <w:b/>
                <w:sz w:val="20"/>
                <w:szCs w:val="20"/>
              </w:rPr>
            </w:pPr>
          </w:p>
        </w:tc>
        <w:tc>
          <w:tcPr>
            <w:tcW w:w="1541" w:type="dxa"/>
            <w:vAlign w:val="center"/>
          </w:tcPr>
          <w:p w:rsidR="008F0637" w:rsidRPr="008F49BF" w:rsidRDefault="008F0637" w:rsidP="004D7232">
            <w:pPr>
              <w:spacing w:before="0"/>
              <w:jc w:val="center"/>
              <w:rPr>
                <w:rFonts w:ascii="Arial Narrow" w:hAnsi="Arial Narrow"/>
                <w:b/>
                <w:sz w:val="20"/>
                <w:szCs w:val="20"/>
              </w:rPr>
            </w:pPr>
            <w:r w:rsidRPr="008F49BF">
              <w:rPr>
                <w:rFonts w:ascii="Arial Narrow" w:hAnsi="Arial Narrow"/>
                <w:b/>
                <w:sz w:val="20"/>
                <w:szCs w:val="20"/>
              </w:rPr>
              <w:t>Responder</w:t>
            </w:r>
          </w:p>
        </w:tc>
        <w:tc>
          <w:tcPr>
            <w:tcW w:w="1479" w:type="dxa"/>
            <w:vAlign w:val="center"/>
          </w:tcPr>
          <w:p w:rsidR="008F0637" w:rsidRPr="008F49BF" w:rsidRDefault="008F0637" w:rsidP="004D7232">
            <w:pPr>
              <w:spacing w:before="0"/>
              <w:jc w:val="center"/>
              <w:rPr>
                <w:rFonts w:ascii="Arial Narrow" w:hAnsi="Arial Narrow"/>
                <w:b/>
                <w:sz w:val="20"/>
                <w:szCs w:val="20"/>
              </w:rPr>
            </w:pPr>
            <w:r w:rsidRPr="008F49BF">
              <w:rPr>
                <w:rFonts w:ascii="Arial Narrow" w:hAnsi="Arial Narrow"/>
                <w:b/>
                <w:sz w:val="20"/>
                <w:szCs w:val="20"/>
              </w:rPr>
              <w:t>Non-responder</w:t>
            </w:r>
          </w:p>
        </w:tc>
      </w:tr>
      <w:tr w:rsidR="008F0637" w:rsidRPr="008F49BF" w:rsidTr="00DA5F38">
        <w:trPr>
          <w:trHeight w:val="289"/>
        </w:trPr>
        <w:tc>
          <w:tcPr>
            <w:tcW w:w="1432" w:type="dxa"/>
            <w:vAlign w:val="center"/>
          </w:tcPr>
          <w:p w:rsidR="008F0637" w:rsidRPr="008F49BF" w:rsidRDefault="008F0637" w:rsidP="004D7232">
            <w:pPr>
              <w:spacing w:before="0"/>
              <w:rPr>
                <w:rFonts w:ascii="Arial Narrow" w:hAnsi="Arial Narrow"/>
                <w:sz w:val="20"/>
                <w:szCs w:val="20"/>
                <w:vertAlign w:val="superscript"/>
              </w:rPr>
            </w:pPr>
            <w:r w:rsidRPr="008F49BF">
              <w:rPr>
                <w:rFonts w:ascii="Arial Narrow" w:hAnsi="Arial Narrow"/>
                <w:sz w:val="20"/>
                <w:szCs w:val="20"/>
              </w:rPr>
              <w:t>Primary care visit</w:t>
            </w:r>
            <w:r w:rsidR="008C403D" w:rsidRPr="008F49BF">
              <w:rPr>
                <w:rFonts w:ascii="Arial Narrow" w:hAnsi="Arial Narrow"/>
                <w:sz w:val="20"/>
                <w:szCs w:val="20"/>
                <w:vertAlign w:val="superscript"/>
              </w:rPr>
              <w:t>1</w:t>
            </w:r>
          </w:p>
        </w:tc>
        <w:tc>
          <w:tcPr>
            <w:tcW w:w="1403" w:type="dxa"/>
            <w:vAlign w:val="center"/>
          </w:tcPr>
          <w:p w:rsidR="008F0637" w:rsidRPr="008F49BF" w:rsidRDefault="008F0637" w:rsidP="004D7232">
            <w:pPr>
              <w:spacing w:before="0"/>
              <w:jc w:val="center"/>
              <w:rPr>
                <w:rFonts w:ascii="Arial Narrow" w:hAnsi="Arial Narrow"/>
                <w:sz w:val="20"/>
                <w:szCs w:val="20"/>
              </w:rPr>
            </w:pPr>
            <w:r w:rsidRPr="008F49BF">
              <w:rPr>
                <w:rFonts w:ascii="Arial Narrow" w:hAnsi="Arial Narrow"/>
                <w:sz w:val="20"/>
                <w:szCs w:val="20"/>
              </w:rPr>
              <w:t>4.00</w:t>
            </w:r>
          </w:p>
        </w:tc>
        <w:tc>
          <w:tcPr>
            <w:tcW w:w="1560" w:type="dxa"/>
            <w:vAlign w:val="center"/>
          </w:tcPr>
          <w:p w:rsidR="008F0637" w:rsidRPr="008F49BF" w:rsidRDefault="008F0637" w:rsidP="004D7232">
            <w:pPr>
              <w:spacing w:before="0"/>
              <w:jc w:val="center"/>
              <w:rPr>
                <w:rFonts w:ascii="Arial Narrow" w:hAnsi="Arial Narrow"/>
                <w:sz w:val="20"/>
                <w:szCs w:val="20"/>
              </w:rPr>
            </w:pPr>
            <w:r w:rsidRPr="008F49BF">
              <w:rPr>
                <w:rFonts w:ascii="Arial Narrow" w:hAnsi="Arial Narrow"/>
                <w:sz w:val="20"/>
                <w:szCs w:val="20"/>
              </w:rPr>
              <w:t>11.70</w:t>
            </w:r>
          </w:p>
        </w:tc>
        <w:tc>
          <w:tcPr>
            <w:tcW w:w="1657" w:type="dxa"/>
            <w:vAlign w:val="center"/>
          </w:tcPr>
          <w:p w:rsidR="008F0637" w:rsidRPr="008F49BF" w:rsidRDefault="008F0637" w:rsidP="004D7232">
            <w:pPr>
              <w:spacing w:before="0"/>
              <w:jc w:val="center"/>
              <w:rPr>
                <w:rFonts w:ascii="Arial Narrow" w:hAnsi="Arial Narrow"/>
                <w:sz w:val="20"/>
                <w:szCs w:val="20"/>
              </w:rPr>
            </w:pPr>
            <w:r w:rsidRPr="008F49BF">
              <w:rPr>
                <w:rFonts w:ascii="Arial Narrow" w:hAnsi="Arial Narrow"/>
                <w:sz w:val="20"/>
                <w:szCs w:val="20"/>
              </w:rPr>
              <w:t xml:space="preserve">$37.05 </w:t>
            </w:r>
            <w:r w:rsidRPr="008F49BF">
              <w:rPr>
                <w:rFonts w:ascii="Arial Narrow" w:hAnsi="Arial Narrow"/>
                <w:sz w:val="20"/>
                <w:szCs w:val="20"/>
              </w:rPr>
              <w:br/>
              <w:t>(MBS item 23)</w:t>
            </w:r>
          </w:p>
        </w:tc>
        <w:tc>
          <w:tcPr>
            <w:tcW w:w="1541" w:type="dxa"/>
            <w:vAlign w:val="center"/>
          </w:tcPr>
          <w:p w:rsidR="008F0637" w:rsidRPr="008F49BF" w:rsidRDefault="008C403D" w:rsidP="004D7232">
            <w:pPr>
              <w:spacing w:before="0"/>
              <w:jc w:val="center"/>
              <w:rPr>
                <w:rFonts w:ascii="Arial Narrow" w:hAnsi="Arial Narrow"/>
                <w:sz w:val="20"/>
                <w:szCs w:val="20"/>
              </w:rPr>
            </w:pPr>
            <w:r w:rsidRPr="008F49BF">
              <w:rPr>
                <w:rFonts w:ascii="Arial Narrow" w:hAnsi="Arial Narrow"/>
                <w:sz w:val="20"/>
                <w:szCs w:val="20"/>
              </w:rPr>
              <w:t>$148.20</w:t>
            </w:r>
          </w:p>
        </w:tc>
        <w:tc>
          <w:tcPr>
            <w:tcW w:w="1479" w:type="dxa"/>
            <w:vAlign w:val="center"/>
          </w:tcPr>
          <w:p w:rsidR="008F0637" w:rsidRPr="008F49BF" w:rsidRDefault="008C403D" w:rsidP="004D7232">
            <w:pPr>
              <w:spacing w:before="0"/>
              <w:jc w:val="center"/>
              <w:rPr>
                <w:rFonts w:ascii="Arial Narrow" w:hAnsi="Arial Narrow"/>
                <w:sz w:val="20"/>
                <w:szCs w:val="20"/>
              </w:rPr>
            </w:pPr>
            <w:r w:rsidRPr="008F49BF">
              <w:rPr>
                <w:rFonts w:ascii="Arial Narrow" w:hAnsi="Arial Narrow"/>
                <w:sz w:val="20"/>
                <w:szCs w:val="20"/>
              </w:rPr>
              <w:t>$433.485</w:t>
            </w:r>
          </w:p>
        </w:tc>
      </w:tr>
      <w:tr w:rsidR="008F0637" w:rsidRPr="008F49BF" w:rsidTr="00DA5F38">
        <w:trPr>
          <w:trHeight w:val="289"/>
        </w:trPr>
        <w:tc>
          <w:tcPr>
            <w:tcW w:w="1432" w:type="dxa"/>
            <w:vAlign w:val="center"/>
          </w:tcPr>
          <w:p w:rsidR="008F0637" w:rsidRPr="008F49BF" w:rsidRDefault="008F0637" w:rsidP="004D7232">
            <w:pPr>
              <w:spacing w:before="0"/>
              <w:rPr>
                <w:rFonts w:ascii="Arial Narrow" w:hAnsi="Arial Narrow"/>
                <w:sz w:val="20"/>
                <w:szCs w:val="20"/>
                <w:vertAlign w:val="superscript"/>
              </w:rPr>
            </w:pPr>
            <w:r w:rsidRPr="008F49BF">
              <w:rPr>
                <w:rFonts w:ascii="Arial Narrow" w:hAnsi="Arial Narrow"/>
                <w:sz w:val="20"/>
                <w:szCs w:val="20"/>
              </w:rPr>
              <w:t>Dermatologist visit</w:t>
            </w:r>
            <w:r w:rsidR="008C403D" w:rsidRPr="008F49BF">
              <w:rPr>
                <w:rFonts w:ascii="Arial Narrow" w:hAnsi="Arial Narrow"/>
                <w:sz w:val="20"/>
                <w:szCs w:val="20"/>
                <w:vertAlign w:val="superscript"/>
              </w:rPr>
              <w:t>1</w:t>
            </w:r>
          </w:p>
        </w:tc>
        <w:tc>
          <w:tcPr>
            <w:tcW w:w="1403" w:type="dxa"/>
            <w:vAlign w:val="center"/>
          </w:tcPr>
          <w:p w:rsidR="008F0637" w:rsidRPr="008F49BF" w:rsidRDefault="008F0637" w:rsidP="004D7232">
            <w:pPr>
              <w:spacing w:before="0"/>
              <w:jc w:val="center"/>
              <w:rPr>
                <w:rFonts w:ascii="Arial Narrow" w:hAnsi="Arial Narrow"/>
                <w:sz w:val="20"/>
                <w:szCs w:val="20"/>
              </w:rPr>
            </w:pPr>
            <w:r w:rsidRPr="008F49BF">
              <w:rPr>
                <w:rFonts w:ascii="Arial Narrow" w:hAnsi="Arial Narrow"/>
                <w:sz w:val="20"/>
                <w:szCs w:val="20"/>
              </w:rPr>
              <w:t>2.70</w:t>
            </w:r>
          </w:p>
        </w:tc>
        <w:tc>
          <w:tcPr>
            <w:tcW w:w="1560" w:type="dxa"/>
            <w:vAlign w:val="center"/>
          </w:tcPr>
          <w:p w:rsidR="008F0637" w:rsidRPr="008F49BF" w:rsidRDefault="008F0637" w:rsidP="004D7232">
            <w:pPr>
              <w:spacing w:before="0"/>
              <w:jc w:val="center"/>
              <w:rPr>
                <w:rFonts w:ascii="Arial Narrow" w:hAnsi="Arial Narrow"/>
                <w:sz w:val="20"/>
                <w:szCs w:val="20"/>
              </w:rPr>
            </w:pPr>
            <w:r w:rsidRPr="008F49BF">
              <w:rPr>
                <w:rFonts w:ascii="Arial Narrow" w:hAnsi="Arial Narrow"/>
                <w:sz w:val="20"/>
                <w:szCs w:val="20"/>
              </w:rPr>
              <w:t>6.50</w:t>
            </w:r>
          </w:p>
        </w:tc>
        <w:tc>
          <w:tcPr>
            <w:tcW w:w="1657" w:type="dxa"/>
            <w:vAlign w:val="center"/>
          </w:tcPr>
          <w:p w:rsidR="008F0637" w:rsidRPr="008F49BF" w:rsidRDefault="008F0637" w:rsidP="004D7232">
            <w:pPr>
              <w:spacing w:before="0"/>
              <w:jc w:val="center"/>
              <w:rPr>
                <w:rFonts w:ascii="Arial Narrow" w:hAnsi="Arial Narrow"/>
                <w:sz w:val="20"/>
                <w:szCs w:val="20"/>
              </w:rPr>
            </w:pPr>
            <w:r w:rsidRPr="008F49BF">
              <w:rPr>
                <w:rFonts w:ascii="Arial Narrow" w:hAnsi="Arial Narrow"/>
                <w:sz w:val="20"/>
                <w:szCs w:val="20"/>
              </w:rPr>
              <w:t>$97.08</w:t>
            </w:r>
            <w:r w:rsidRPr="008F49BF">
              <w:rPr>
                <w:rFonts w:ascii="Arial Narrow" w:hAnsi="Arial Narrow"/>
                <w:sz w:val="20"/>
                <w:szCs w:val="20"/>
              </w:rPr>
              <w:br/>
              <w:t>(MBS item 104)</w:t>
            </w:r>
          </w:p>
        </w:tc>
        <w:tc>
          <w:tcPr>
            <w:tcW w:w="1541" w:type="dxa"/>
            <w:vAlign w:val="center"/>
          </w:tcPr>
          <w:p w:rsidR="008F0637" w:rsidRPr="008F49BF" w:rsidRDefault="008C403D" w:rsidP="004D7232">
            <w:pPr>
              <w:spacing w:before="0"/>
              <w:jc w:val="center"/>
              <w:rPr>
                <w:rFonts w:ascii="Arial Narrow" w:hAnsi="Arial Narrow"/>
                <w:sz w:val="20"/>
                <w:szCs w:val="20"/>
              </w:rPr>
            </w:pPr>
            <w:r w:rsidRPr="008F49BF">
              <w:rPr>
                <w:rFonts w:ascii="Arial Narrow" w:hAnsi="Arial Narrow"/>
                <w:sz w:val="20"/>
                <w:szCs w:val="20"/>
              </w:rPr>
              <w:t>$262.116</w:t>
            </w:r>
          </w:p>
        </w:tc>
        <w:tc>
          <w:tcPr>
            <w:tcW w:w="1479" w:type="dxa"/>
            <w:vAlign w:val="center"/>
          </w:tcPr>
          <w:p w:rsidR="008F0637" w:rsidRPr="008F49BF" w:rsidRDefault="008C403D" w:rsidP="004D7232">
            <w:pPr>
              <w:spacing w:before="0"/>
              <w:jc w:val="center"/>
              <w:rPr>
                <w:rFonts w:ascii="Arial Narrow" w:hAnsi="Arial Narrow"/>
                <w:sz w:val="20"/>
                <w:szCs w:val="20"/>
              </w:rPr>
            </w:pPr>
            <w:r w:rsidRPr="008F49BF">
              <w:rPr>
                <w:rFonts w:ascii="Arial Narrow" w:hAnsi="Arial Narrow"/>
                <w:sz w:val="20"/>
                <w:szCs w:val="20"/>
              </w:rPr>
              <w:t>$631.02</w:t>
            </w:r>
          </w:p>
        </w:tc>
      </w:tr>
      <w:tr w:rsidR="008F0637" w:rsidRPr="008F49BF" w:rsidTr="00DA5F38">
        <w:trPr>
          <w:trHeight w:val="289"/>
        </w:trPr>
        <w:tc>
          <w:tcPr>
            <w:tcW w:w="1432" w:type="dxa"/>
            <w:vAlign w:val="center"/>
          </w:tcPr>
          <w:p w:rsidR="008F0637" w:rsidRPr="008F49BF" w:rsidRDefault="008F0637" w:rsidP="004D7232">
            <w:pPr>
              <w:spacing w:before="0"/>
              <w:rPr>
                <w:rFonts w:ascii="Arial Narrow" w:hAnsi="Arial Narrow"/>
                <w:sz w:val="20"/>
                <w:szCs w:val="20"/>
                <w:vertAlign w:val="superscript"/>
              </w:rPr>
            </w:pPr>
            <w:r w:rsidRPr="008F49BF">
              <w:rPr>
                <w:rFonts w:ascii="Arial Narrow" w:hAnsi="Arial Narrow"/>
                <w:sz w:val="20"/>
                <w:szCs w:val="20"/>
              </w:rPr>
              <w:t>Emergency room visit</w:t>
            </w:r>
            <w:r w:rsidR="008C403D" w:rsidRPr="008F49BF">
              <w:rPr>
                <w:rFonts w:ascii="Arial Narrow" w:hAnsi="Arial Narrow"/>
                <w:sz w:val="20"/>
                <w:szCs w:val="20"/>
                <w:vertAlign w:val="superscript"/>
              </w:rPr>
              <w:t>2</w:t>
            </w:r>
          </w:p>
        </w:tc>
        <w:tc>
          <w:tcPr>
            <w:tcW w:w="1403" w:type="dxa"/>
            <w:vAlign w:val="center"/>
          </w:tcPr>
          <w:p w:rsidR="008F0637" w:rsidRPr="008F49BF" w:rsidRDefault="008F0637" w:rsidP="004D7232">
            <w:pPr>
              <w:spacing w:before="0"/>
              <w:jc w:val="center"/>
              <w:rPr>
                <w:rFonts w:ascii="Arial Narrow" w:hAnsi="Arial Narrow"/>
                <w:sz w:val="20"/>
                <w:szCs w:val="20"/>
              </w:rPr>
            </w:pPr>
            <w:r w:rsidRPr="008F49BF">
              <w:rPr>
                <w:rFonts w:ascii="Arial Narrow" w:hAnsi="Arial Narrow"/>
                <w:sz w:val="20"/>
                <w:szCs w:val="20"/>
              </w:rPr>
              <w:t>0.44</w:t>
            </w:r>
          </w:p>
        </w:tc>
        <w:tc>
          <w:tcPr>
            <w:tcW w:w="1560" w:type="dxa"/>
            <w:vAlign w:val="center"/>
          </w:tcPr>
          <w:p w:rsidR="008F0637" w:rsidRPr="008F49BF" w:rsidRDefault="008F0637" w:rsidP="004D7232">
            <w:pPr>
              <w:spacing w:before="0"/>
              <w:jc w:val="center"/>
              <w:rPr>
                <w:rFonts w:ascii="Arial Narrow" w:hAnsi="Arial Narrow"/>
                <w:sz w:val="20"/>
                <w:szCs w:val="20"/>
              </w:rPr>
            </w:pPr>
            <w:r w:rsidRPr="008F49BF">
              <w:rPr>
                <w:rFonts w:ascii="Arial Narrow" w:hAnsi="Arial Narrow"/>
                <w:sz w:val="20"/>
                <w:szCs w:val="20"/>
              </w:rPr>
              <w:t>0.50</w:t>
            </w:r>
          </w:p>
        </w:tc>
        <w:tc>
          <w:tcPr>
            <w:tcW w:w="1657" w:type="dxa"/>
            <w:vAlign w:val="center"/>
          </w:tcPr>
          <w:p w:rsidR="008F0637" w:rsidRPr="008F49BF" w:rsidRDefault="008F0637" w:rsidP="004D7232">
            <w:pPr>
              <w:spacing w:before="0"/>
              <w:jc w:val="center"/>
              <w:rPr>
                <w:rFonts w:ascii="Arial Narrow" w:hAnsi="Arial Narrow"/>
                <w:sz w:val="20"/>
                <w:szCs w:val="20"/>
              </w:rPr>
            </w:pPr>
            <w:r w:rsidRPr="008F49BF">
              <w:rPr>
                <w:rFonts w:ascii="Arial Narrow" w:hAnsi="Arial Narrow"/>
                <w:sz w:val="20"/>
                <w:szCs w:val="20"/>
              </w:rPr>
              <w:t>$449.00</w:t>
            </w:r>
            <w:r w:rsidRPr="008F49BF">
              <w:rPr>
                <w:rFonts w:ascii="Arial Narrow" w:hAnsi="Arial Narrow"/>
                <w:sz w:val="20"/>
                <w:szCs w:val="20"/>
              </w:rPr>
              <w:br/>
              <w:t>(NHCDC, 2014-15)</w:t>
            </w:r>
          </w:p>
        </w:tc>
        <w:tc>
          <w:tcPr>
            <w:tcW w:w="1541" w:type="dxa"/>
            <w:vAlign w:val="center"/>
          </w:tcPr>
          <w:p w:rsidR="008F0637" w:rsidRPr="008F49BF" w:rsidRDefault="008C403D" w:rsidP="004D7232">
            <w:pPr>
              <w:spacing w:before="0"/>
              <w:jc w:val="center"/>
              <w:rPr>
                <w:rFonts w:ascii="Arial Narrow" w:hAnsi="Arial Narrow"/>
                <w:sz w:val="20"/>
                <w:szCs w:val="20"/>
              </w:rPr>
            </w:pPr>
            <w:r w:rsidRPr="008F49BF">
              <w:rPr>
                <w:rFonts w:ascii="Arial Narrow" w:hAnsi="Arial Narrow"/>
                <w:sz w:val="20"/>
                <w:szCs w:val="20"/>
              </w:rPr>
              <w:t>$197.56</w:t>
            </w:r>
          </w:p>
        </w:tc>
        <w:tc>
          <w:tcPr>
            <w:tcW w:w="1479" w:type="dxa"/>
            <w:vAlign w:val="center"/>
          </w:tcPr>
          <w:p w:rsidR="008F0637" w:rsidRPr="008F49BF" w:rsidRDefault="008C403D" w:rsidP="004D7232">
            <w:pPr>
              <w:spacing w:before="0"/>
              <w:jc w:val="center"/>
              <w:rPr>
                <w:rFonts w:ascii="Arial Narrow" w:hAnsi="Arial Narrow"/>
                <w:sz w:val="20"/>
                <w:szCs w:val="20"/>
              </w:rPr>
            </w:pPr>
            <w:r w:rsidRPr="008F49BF">
              <w:rPr>
                <w:rFonts w:ascii="Arial Narrow" w:hAnsi="Arial Narrow"/>
                <w:sz w:val="20"/>
                <w:szCs w:val="20"/>
              </w:rPr>
              <w:t>$224.50</w:t>
            </w:r>
          </w:p>
        </w:tc>
      </w:tr>
      <w:tr w:rsidR="008F0637" w:rsidRPr="008F49BF" w:rsidTr="00DA5F38">
        <w:trPr>
          <w:trHeight w:val="289"/>
        </w:trPr>
        <w:tc>
          <w:tcPr>
            <w:tcW w:w="1432" w:type="dxa"/>
            <w:vAlign w:val="center"/>
          </w:tcPr>
          <w:p w:rsidR="008F0637" w:rsidRPr="008F49BF" w:rsidRDefault="008F0637" w:rsidP="004D7232">
            <w:pPr>
              <w:spacing w:before="0"/>
              <w:rPr>
                <w:rFonts w:ascii="Arial Narrow" w:hAnsi="Arial Narrow"/>
                <w:sz w:val="20"/>
                <w:szCs w:val="20"/>
                <w:vertAlign w:val="superscript"/>
              </w:rPr>
            </w:pPr>
            <w:r w:rsidRPr="008F49BF">
              <w:rPr>
                <w:rFonts w:ascii="Arial Narrow" w:hAnsi="Arial Narrow"/>
                <w:sz w:val="20"/>
                <w:szCs w:val="20"/>
              </w:rPr>
              <w:t>Hospitalisation</w:t>
            </w:r>
            <w:r w:rsidR="008C403D" w:rsidRPr="008F49BF">
              <w:rPr>
                <w:rFonts w:ascii="Arial Narrow" w:hAnsi="Arial Narrow"/>
                <w:sz w:val="20"/>
                <w:szCs w:val="20"/>
                <w:vertAlign w:val="superscript"/>
              </w:rPr>
              <w:t>2</w:t>
            </w:r>
          </w:p>
        </w:tc>
        <w:tc>
          <w:tcPr>
            <w:tcW w:w="1403" w:type="dxa"/>
            <w:vAlign w:val="center"/>
          </w:tcPr>
          <w:p w:rsidR="008F0637" w:rsidRPr="008F49BF" w:rsidRDefault="008F0637" w:rsidP="004D7232">
            <w:pPr>
              <w:spacing w:before="0"/>
              <w:jc w:val="center"/>
              <w:rPr>
                <w:rFonts w:ascii="Arial Narrow" w:hAnsi="Arial Narrow"/>
                <w:sz w:val="20"/>
                <w:szCs w:val="20"/>
              </w:rPr>
            </w:pPr>
            <w:r w:rsidRPr="008F49BF">
              <w:rPr>
                <w:rFonts w:ascii="Arial Narrow" w:hAnsi="Arial Narrow"/>
                <w:sz w:val="20"/>
                <w:szCs w:val="20"/>
              </w:rPr>
              <w:t>0.18</w:t>
            </w:r>
          </w:p>
        </w:tc>
        <w:tc>
          <w:tcPr>
            <w:tcW w:w="1560" w:type="dxa"/>
            <w:vAlign w:val="center"/>
          </w:tcPr>
          <w:p w:rsidR="008F0637" w:rsidRPr="008F49BF" w:rsidRDefault="008F0637" w:rsidP="004D7232">
            <w:pPr>
              <w:spacing w:before="0"/>
              <w:jc w:val="center"/>
              <w:rPr>
                <w:rFonts w:ascii="Arial Narrow" w:hAnsi="Arial Narrow"/>
                <w:sz w:val="20"/>
                <w:szCs w:val="20"/>
              </w:rPr>
            </w:pPr>
            <w:r w:rsidRPr="008F49BF">
              <w:rPr>
                <w:rFonts w:ascii="Arial Narrow" w:hAnsi="Arial Narrow"/>
                <w:sz w:val="20"/>
                <w:szCs w:val="20"/>
              </w:rPr>
              <w:t>0.40</w:t>
            </w:r>
          </w:p>
        </w:tc>
        <w:tc>
          <w:tcPr>
            <w:tcW w:w="1657" w:type="dxa"/>
            <w:vAlign w:val="center"/>
          </w:tcPr>
          <w:p w:rsidR="008F0637" w:rsidRPr="008F49BF" w:rsidRDefault="008F0637" w:rsidP="004D7232">
            <w:pPr>
              <w:spacing w:before="0"/>
              <w:jc w:val="center"/>
              <w:rPr>
                <w:rFonts w:ascii="Arial Narrow" w:hAnsi="Arial Narrow"/>
                <w:sz w:val="20"/>
                <w:szCs w:val="20"/>
              </w:rPr>
            </w:pPr>
            <w:r w:rsidRPr="008F49BF">
              <w:rPr>
                <w:rFonts w:ascii="Arial Narrow" w:hAnsi="Arial Narrow"/>
                <w:sz w:val="20"/>
                <w:szCs w:val="20"/>
              </w:rPr>
              <w:t>$5,009.00</w:t>
            </w:r>
            <w:r w:rsidRPr="008F49BF">
              <w:rPr>
                <w:rFonts w:ascii="Arial Narrow" w:hAnsi="Arial Narrow"/>
                <w:sz w:val="20"/>
                <w:szCs w:val="20"/>
              </w:rPr>
              <w:br/>
              <w:t>(NHCDC, 2014-15)</w:t>
            </w:r>
          </w:p>
        </w:tc>
        <w:tc>
          <w:tcPr>
            <w:tcW w:w="1541" w:type="dxa"/>
            <w:vAlign w:val="center"/>
          </w:tcPr>
          <w:p w:rsidR="008F0637" w:rsidRPr="008F49BF" w:rsidRDefault="008C403D" w:rsidP="004D7232">
            <w:pPr>
              <w:spacing w:before="0"/>
              <w:jc w:val="center"/>
              <w:rPr>
                <w:rFonts w:ascii="Arial Narrow" w:hAnsi="Arial Narrow"/>
                <w:sz w:val="20"/>
                <w:szCs w:val="20"/>
              </w:rPr>
            </w:pPr>
            <w:r w:rsidRPr="008F49BF">
              <w:rPr>
                <w:rFonts w:ascii="Arial Narrow" w:hAnsi="Arial Narrow"/>
                <w:sz w:val="20"/>
                <w:szCs w:val="20"/>
              </w:rPr>
              <w:t>$901.62</w:t>
            </w:r>
          </w:p>
        </w:tc>
        <w:tc>
          <w:tcPr>
            <w:tcW w:w="1479" w:type="dxa"/>
            <w:vAlign w:val="center"/>
          </w:tcPr>
          <w:p w:rsidR="008F0637" w:rsidRPr="008F49BF" w:rsidRDefault="008C403D" w:rsidP="004D7232">
            <w:pPr>
              <w:spacing w:before="0"/>
              <w:jc w:val="center"/>
              <w:rPr>
                <w:rFonts w:ascii="Arial Narrow" w:hAnsi="Arial Narrow"/>
                <w:sz w:val="20"/>
                <w:szCs w:val="20"/>
              </w:rPr>
            </w:pPr>
            <w:r w:rsidRPr="008F49BF">
              <w:rPr>
                <w:rFonts w:ascii="Arial Narrow" w:hAnsi="Arial Narrow"/>
                <w:sz w:val="20"/>
                <w:szCs w:val="20"/>
              </w:rPr>
              <w:t>$2,003.60</w:t>
            </w:r>
          </w:p>
        </w:tc>
      </w:tr>
      <w:tr w:rsidR="008C403D" w:rsidRPr="008F49BF" w:rsidTr="00C269AD">
        <w:trPr>
          <w:trHeight w:val="289"/>
        </w:trPr>
        <w:tc>
          <w:tcPr>
            <w:tcW w:w="6052" w:type="dxa"/>
            <w:gridSpan w:val="4"/>
            <w:vAlign w:val="center"/>
          </w:tcPr>
          <w:p w:rsidR="008C403D" w:rsidRPr="008F49BF" w:rsidRDefault="008C403D" w:rsidP="004D7232">
            <w:pPr>
              <w:spacing w:before="0"/>
              <w:rPr>
                <w:rFonts w:ascii="Arial Narrow" w:hAnsi="Arial Narrow"/>
                <w:sz w:val="20"/>
                <w:szCs w:val="20"/>
              </w:rPr>
            </w:pPr>
            <w:r w:rsidRPr="008F49BF">
              <w:rPr>
                <w:rFonts w:ascii="Arial Narrow" w:hAnsi="Arial Narrow"/>
                <w:sz w:val="20"/>
                <w:szCs w:val="20"/>
              </w:rPr>
              <w:t>Total cost (per year)</w:t>
            </w:r>
          </w:p>
        </w:tc>
        <w:tc>
          <w:tcPr>
            <w:tcW w:w="1541" w:type="dxa"/>
            <w:vAlign w:val="center"/>
          </w:tcPr>
          <w:p w:rsidR="008C403D" w:rsidRPr="008F49BF" w:rsidRDefault="008C403D" w:rsidP="004D7232">
            <w:pPr>
              <w:spacing w:before="0"/>
              <w:jc w:val="center"/>
              <w:rPr>
                <w:rFonts w:ascii="Arial Narrow" w:hAnsi="Arial Narrow"/>
                <w:sz w:val="20"/>
                <w:szCs w:val="20"/>
              </w:rPr>
            </w:pPr>
            <w:r w:rsidRPr="008F49BF">
              <w:rPr>
                <w:rFonts w:ascii="Arial Narrow" w:hAnsi="Arial Narrow"/>
                <w:sz w:val="20"/>
                <w:szCs w:val="20"/>
              </w:rPr>
              <w:t>$1,509.50</w:t>
            </w:r>
          </w:p>
        </w:tc>
        <w:tc>
          <w:tcPr>
            <w:tcW w:w="1479" w:type="dxa"/>
            <w:vAlign w:val="center"/>
          </w:tcPr>
          <w:p w:rsidR="008C403D" w:rsidRPr="008F49BF" w:rsidRDefault="008C403D" w:rsidP="004D7232">
            <w:pPr>
              <w:spacing w:before="0"/>
              <w:jc w:val="center"/>
              <w:rPr>
                <w:rFonts w:ascii="Arial Narrow" w:hAnsi="Arial Narrow"/>
                <w:sz w:val="20"/>
                <w:szCs w:val="20"/>
              </w:rPr>
            </w:pPr>
            <w:r w:rsidRPr="008F49BF">
              <w:rPr>
                <w:rFonts w:ascii="Arial Narrow" w:hAnsi="Arial Narrow"/>
                <w:sz w:val="20"/>
                <w:szCs w:val="20"/>
              </w:rPr>
              <w:t>$3,292.61</w:t>
            </w:r>
          </w:p>
        </w:tc>
      </w:tr>
      <w:tr w:rsidR="008C403D" w:rsidRPr="008F49BF" w:rsidTr="00C269AD">
        <w:trPr>
          <w:trHeight w:val="289"/>
        </w:trPr>
        <w:tc>
          <w:tcPr>
            <w:tcW w:w="6052" w:type="dxa"/>
            <w:gridSpan w:val="4"/>
            <w:vAlign w:val="center"/>
          </w:tcPr>
          <w:p w:rsidR="008C403D" w:rsidRPr="008F49BF" w:rsidRDefault="008C403D" w:rsidP="004D7232">
            <w:pPr>
              <w:spacing w:before="0"/>
              <w:rPr>
                <w:rFonts w:ascii="Arial Narrow" w:hAnsi="Arial Narrow"/>
                <w:sz w:val="20"/>
                <w:szCs w:val="20"/>
              </w:rPr>
            </w:pPr>
            <w:r w:rsidRPr="008F49BF">
              <w:rPr>
                <w:rFonts w:ascii="Arial Narrow" w:hAnsi="Arial Narrow"/>
                <w:sz w:val="20"/>
                <w:szCs w:val="20"/>
              </w:rPr>
              <w:t>Total cost (per cycle)</w:t>
            </w:r>
          </w:p>
        </w:tc>
        <w:tc>
          <w:tcPr>
            <w:tcW w:w="1541" w:type="dxa"/>
            <w:vAlign w:val="center"/>
          </w:tcPr>
          <w:p w:rsidR="008C403D" w:rsidRPr="008F49BF" w:rsidRDefault="008C403D" w:rsidP="004D7232">
            <w:pPr>
              <w:spacing w:before="0"/>
              <w:jc w:val="center"/>
              <w:rPr>
                <w:rFonts w:ascii="Arial Narrow" w:hAnsi="Arial Narrow"/>
                <w:sz w:val="20"/>
                <w:szCs w:val="20"/>
              </w:rPr>
            </w:pPr>
            <w:r w:rsidRPr="008F49BF">
              <w:rPr>
                <w:rFonts w:ascii="Arial Narrow" w:hAnsi="Arial Narrow"/>
                <w:sz w:val="20"/>
                <w:szCs w:val="20"/>
              </w:rPr>
              <w:t>$377.38</w:t>
            </w:r>
          </w:p>
        </w:tc>
        <w:tc>
          <w:tcPr>
            <w:tcW w:w="1479" w:type="dxa"/>
            <w:vAlign w:val="center"/>
          </w:tcPr>
          <w:p w:rsidR="008C403D" w:rsidRPr="008F49BF" w:rsidRDefault="008C403D" w:rsidP="004D7232">
            <w:pPr>
              <w:spacing w:before="0"/>
              <w:jc w:val="center"/>
              <w:rPr>
                <w:rFonts w:ascii="Arial Narrow" w:hAnsi="Arial Narrow"/>
                <w:sz w:val="20"/>
                <w:szCs w:val="20"/>
              </w:rPr>
            </w:pPr>
            <w:r w:rsidRPr="008F49BF">
              <w:rPr>
                <w:rFonts w:ascii="Arial Narrow" w:hAnsi="Arial Narrow"/>
                <w:sz w:val="20"/>
                <w:szCs w:val="20"/>
              </w:rPr>
              <w:t>$823.15</w:t>
            </w:r>
          </w:p>
        </w:tc>
      </w:tr>
    </w:tbl>
    <w:p w:rsidR="008C403D" w:rsidRPr="008F49BF" w:rsidRDefault="008C403D" w:rsidP="008C403D">
      <w:pPr>
        <w:pStyle w:val="TableFooter"/>
      </w:pPr>
      <w:r w:rsidRPr="008F49BF">
        <w:t>Source: Table 3.6.2 (p158) of the submission</w:t>
      </w:r>
    </w:p>
    <w:p w:rsidR="008C403D" w:rsidRPr="008F49BF" w:rsidRDefault="008C403D" w:rsidP="008C403D">
      <w:pPr>
        <w:pStyle w:val="TableFooter"/>
      </w:pPr>
      <w:r w:rsidRPr="008F49BF">
        <w:t>Abbreviations: NHCDC = National Hospital Cost Data Collection; MBS = Medicare Benefits Schedule</w:t>
      </w:r>
    </w:p>
    <w:p w:rsidR="008C403D" w:rsidRPr="008F49BF" w:rsidRDefault="008C403D" w:rsidP="008C403D">
      <w:pPr>
        <w:pStyle w:val="TableFooter"/>
      </w:pPr>
      <w:r w:rsidRPr="008F49BF">
        <w:rPr>
          <w:vertAlign w:val="superscript"/>
        </w:rPr>
        <w:t>1</w:t>
      </w:r>
      <w:r w:rsidRPr="008F49BF">
        <w:t>Garside et al. 2005</w:t>
      </w:r>
      <w:r w:rsidR="00CB3C3D" w:rsidRPr="008F49BF">
        <w:t xml:space="preserve">; </w:t>
      </w:r>
      <w:r w:rsidRPr="008F49BF">
        <w:rPr>
          <w:vertAlign w:val="superscript"/>
        </w:rPr>
        <w:t>2</w:t>
      </w:r>
      <w:r w:rsidRPr="008F49BF">
        <w:t>Sponsor data</w:t>
      </w:r>
      <w:r w:rsidR="00CB3C3D" w:rsidRPr="008F49BF">
        <w:t>; NHCDC, 2014-15 V 2015-16</w:t>
      </w:r>
    </w:p>
    <w:p w:rsidR="003C3B8D" w:rsidRPr="00990AD0" w:rsidRDefault="003C3B8D" w:rsidP="00961807">
      <w:pPr>
        <w:widowControl w:val="0"/>
        <w:numPr>
          <w:ilvl w:val="1"/>
          <w:numId w:val="4"/>
        </w:numPr>
        <w:spacing w:before="0" w:after="120"/>
        <w:jc w:val="both"/>
      </w:pPr>
      <w:r w:rsidRPr="00990AD0">
        <w:t xml:space="preserve">The ESC noted </w:t>
      </w:r>
      <w:r w:rsidR="00CB3C3D" w:rsidRPr="00990AD0">
        <w:t xml:space="preserve">that the health </w:t>
      </w:r>
      <w:r w:rsidR="000F55E4" w:rsidRPr="00990AD0">
        <w:t xml:space="preserve">care resource </w:t>
      </w:r>
      <w:r w:rsidR="00CB3C3D" w:rsidRPr="00990AD0">
        <w:t>data used</w:t>
      </w:r>
      <w:r w:rsidR="003C723F">
        <w:t xml:space="preserve"> were</w:t>
      </w:r>
      <w:r w:rsidR="00CB3C3D" w:rsidRPr="00990AD0">
        <w:t xml:space="preserve"> not recent. The NHCDC version used was not the most recent and the primary care and dermatologist source was a study of children with AD from 1997 with a small sample size of 48 patients.</w:t>
      </w:r>
      <w:r w:rsidR="001F7F78" w:rsidRPr="00990AD0">
        <w:t xml:space="preserve"> </w:t>
      </w:r>
      <w:r w:rsidR="000F55E4" w:rsidRPr="00990AD0">
        <w:t>The s</w:t>
      </w:r>
      <w:r w:rsidR="001F7F78" w:rsidRPr="00990AD0">
        <w:t xml:space="preserve">ource of emergency room and admissions data was from </w:t>
      </w:r>
      <w:r w:rsidR="00F8153F" w:rsidRPr="00990AD0">
        <w:t xml:space="preserve">international sources </w:t>
      </w:r>
      <w:r w:rsidR="001F7F78" w:rsidRPr="00990AD0">
        <w:t xml:space="preserve">and </w:t>
      </w:r>
      <w:r w:rsidR="000F55E4" w:rsidRPr="00990AD0">
        <w:t xml:space="preserve">was </w:t>
      </w:r>
      <w:r w:rsidR="001F7F78" w:rsidRPr="00990AD0">
        <w:t>unverifiable</w:t>
      </w:r>
      <w:r w:rsidR="008F49BF">
        <w:t xml:space="preserve">. </w:t>
      </w:r>
      <w:r w:rsidR="00285050" w:rsidRPr="00990AD0">
        <w:t xml:space="preserve">The ESC questioned the absence of Australian hospitalisation data. </w:t>
      </w:r>
      <w:r w:rsidR="00B464DC" w:rsidRPr="00990AD0">
        <w:t>The ESC also noted that c</w:t>
      </w:r>
      <w:r w:rsidR="00285050" w:rsidRPr="00990AD0">
        <w:t xml:space="preserve">osts of TCS or TCI were excluded as well as other costs specific to dupilumab such as GP or nurse consultations for injections, </w:t>
      </w:r>
      <w:r w:rsidR="002670A0" w:rsidRPr="00990AD0">
        <w:t xml:space="preserve">management of </w:t>
      </w:r>
      <w:r w:rsidR="00285050" w:rsidRPr="00990AD0">
        <w:t>infections,</w:t>
      </w:r>
      <w:r w:rsidR="00F67AFA" w:rsidRPr="00990AD0">
        <w:t xml:space="preserve"> ophthalmologist and other health service use related to other dupilumab adverse events</w:t>
      </w:r>
      <w:r w:rsidR="00174627" w:rsidRPr="00990AD0">
        <w:t xml:space="preserve"> such as </w:t>
      </w:r>
      <w:r w:rsidR="00285050" w:rsidRPr="00990AD0">
        <w:t>injection site reactions.</w:t>
      </w:r>
      <w:r w:rsidR="002670A0" w:rsidRPr="00990AD0">
        <w:t xml:space="preserve"> </w:t>
      </w:r>
      <w:r w:rsidR="00376914">
        <w:t xml:space="preserve">The pre-PBAC response argued that </w:t>
      </w:r>
      <w:r w:rsidR="00376914" w:rsidRPr="00376914">
        <w:t xml:space="preserve">administration costs for dupilumab are expected to be negligible as the small number of patients requiring assistance would have their treatment administered during routine visits to their treating physicians. </w:t>
      </w:r>
      <w:r w:rsidR="00376914">
        <w:t>The pre-</w:t>
      </w:r>
      <w:r w:rsidR="00376914">
        <w:lastRenderedPageBreak/>
        <w:t>PBAC response also argued that the exclusion of adverse event costs is consistent with the therapeutic conclusion on that dupilumab has a similar safety profile to placebo, however the PBAC did not consider that this conclusion was supported by the data. The PBAC noted that, in general, r</w:t>
      </w:r>
      <w:r w:rsidR="00174627" w:rsidRPr="00990AD0">
        <w:t>esource use and c</w:t>
      </w:r>
      <w:r w:rsidR="002670A0" w:rsidRPr="00990AD0">
        <w:t xml:space="preserve">osts were </w:t>
      </w:r>
      <w:r w:rsidR="00174627" w:rsidRPr="00990AD0">
        <w:t xml:space="preserve">applied </w:t>
      </w:r>
      <w:r w:rsidR="002670A0" w:rsidRPr="00990AD0">
        <w:t xml:space="preserve">without consideration of </w:t>
      </w:r>
      <w:r w:rsidR="00174627" w:rsidRPr="00990AD0">
        <w:t xml:space="preserve">potential differences between </w:t>
      </w:r>
      <w:r w:rsidR="002670A0" w:rsidRPr="00990AD0">
        <w:t xml:space="preserve">the dupilumab </w:t>
      </w:r>
      <w:r w:rsidR="00174627" w:rsidRPr="00990AD0">
        <w:t>and</w:t>
      </w:r>
      <w:r w:rsidR="002670A0" w:rsidRPr="00990AD0">
        <w:t xml:space="preserve"> placebo groups.</w:t>
      </w:r>
    </w:p>
    <w:p w:rsidR="00C317F3" w:rsidRPr="00ED3C94" w:rsidRDefault="00355A74" w:rsidP="00961807">
      <w:pPr>
        <w:widowControl w:val="0"/>
        <w:numPr>
          <w:ilvl w:val="1"/>
          <w:numId w:val="4"/>
        </w:numPr>
        <w:spacing w:before="0" w:after="120"/>
        <w:jc w:val="both"/>
      </w:pPr>
      <w:r w:rsidRPr="00ED3C94">
        <w:t xml:space="preserve">The results of the stepped economic evaluation are presented in </w:t>
      </w:r>
      <w:r w:rsidR="00975990" w:rsidRPr="00ED3C94">
        <w:t xml:space="preserve">Table </w:t>
      </w:r>
      <w:r w:rsidR="00975990">
        <w:rPr>
          <w:noProof/>
        </w:rPr>
        <w:t>9</w:t>
      </w:r>
      <w:r w:rsidRPr="00ED3C94">
        <w:t>.</w:t>
      </w:r>
    </w:p>
    <w:p w:rsidR="0093702D" w:rsidRDefault="0093702D" w:rsidP="0093702D">
      <w:pPr>
        <w:pStyle w:val="Caption"/>
      </w:pPr>
      <w:r>
        <w:t xml:space="preserve">Table </w:t>
      </w:r>
      <w:r w:rsidR="00557C85">
        <w:fldChar w:fldCharType="begin"/>
      </w:r>
      <w:r w:rsidR="00557C85">
        <w:instrText xml:space="preserve"> SEQ Table \* ARABIC </w:instrText>
      </w:r>
      <w:r w:rsidR="00557C85">
        <w:fldChar w:fldCharType="separate"/>
      </w:r>
      <w:r>
        <w:rPr>
          <w:noProof/>
        </w:rPr>
        <w:t>9</w:t>
      </w:r>
      <w:r w:rsidR="00557C85">
        <w:rPr>
          <w:noProof/>
        </w:rPr>
        <w:fldChar w:fldCharType="end"/>
      </w:r>
      <w:r>
        <w:t xml:space="preserve">: </w:t>
      </w:r>
      <w:r w:rsidRPr="00C21753">
        <w:t>Presentation of the stepped derivation of the base case economic evaluation from the clinical study data</w:t>
      </w:r>
    </w:p>
    <w:tbl>
      <w:tblPr>
        <w:tblW w:w="5000" w:type="pct"/>
        <w:tblCellMar>
          <w:left w:w="28" w:type="dxa"/>
          <w:right w:w="28" w:type="dxa"/>
        </w:tblCellMar>
        <w:tblLook w:val="0000" w:firstRow="0" w:lastRow="0" w:firstColumn="0" w:lastColumn="0" w:noHBand="0" w:noVBand="0"/>
        <w:tblCaption w:val="Presentation of the stepped derivation of the base case economic evaluation from the clinical study data "/>
      </w:tblPr>
      <w:tblGrid>
        <w:gridCol w:w="1114"/>
        <w:gridCol w:w="1636"/>
        <w:gridCol w:w="905"/>
        <w:gridCol w:w="906"/>
        <w:gridCol w:w="906"/>
        <w:gridCol w:w="906"/>
        <w:gridCol w:w="906"/>
        <w:gridCol w:w="906"/>
        <w:gridCol w:w="897"/>
      </w:tblGrid>
      <w:tr w:rsidR="00355A74" w:rsidRPr="00ED3C94" w:rsidTr="0093702D">
        <w:trPr>
          <w:trHeight w:val="122"/>
        </w:trPr>
        <w:tc>
          <w:tcPr>
            <w:tcW w:w="613" w:type="pct"/>
            <w:tcBorders>
              <w:top w:val="single" w:sz="4" w:space="0" w:color="auto"/>
              <w:left w:val="single" w:sz="4" w:space="0" w:color="auto"/>
              <w:bottom w:val="single" w:sz="4" w:space="0" w:color="auto"/>
              <w:right w:val="nil"/>
            </w:tcBorders>
          </w:tcPr>
          <w:p w:rsidR="00355A74" w:rsidRPr="00ED3C94" w:rsidRDefault="00355A74" w:rsidP="008F49BF">
            <w:pPr>
              <w:keepNext/>
              <w:spacing w:after="120"/>
              <w:rPr>
                <w:rFonts w:ascii="Arial Narrow" w:hAnsi="Arial Narrow"/>
                <w:b/>
                <w:sz w:val="20"/>
                <w:szCs w:val="20"/>
              </w:rPr>
            </w:pPr>
            <w:r w:rsidRPr="00ED3C94">
              <w:rPr>
                <w:rFonts w:ascii="Arial Narrow" w:hAnsi="Arial Narrow"/>
                <w:b/>
                <w:sz w:val="20"/>
                <w:szCs w:val="20"/>
              </w:rPr>
              <w:t>Step</w:t>
            </w:r>
          </w:p>
        </w:tc>
        <w:tc>
          <w:tcPr>
            <w:tcW w:w="900" w:type="pct"/>
            <w:tcBorders>
              <w:top w:val="single" w:sz="4" w:space="0" w:color="auto"/>
              <w:left w:val="nil"/>
              <w:bottom w:val="single" w:sz="4" w:space="0" w:color="auto"/>
              <w:right w:val="single" w:sz="4" w:space="0" w:color="auto"/>
            </w:tcBorders>
          </w:tcPr>
          <w:p w:rsidR="00355A74" w:rsidRPr="00ED3C94" w:rsidRDefault="00355A74" w:rsidP="008F49BF">
            <w:pPr>
              <w:keepNext/>
              <w:spacing w:after="120"/>
              <w:rPr>
                <w:rFonts w:ascii="Arial Narrow" w:hAnsi="Arial Narrow"/>
                <w:b/>
                <w:sz w:val="20"/>
                <w:szCs w:val="20"/>
              </w:rPr>
            </w:pPr>
          </w:p>
        </w:tc>
        <w:tc>
          <w:tcPr>
            <w:tcW w:w="498"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8F49BF">
            <w:pPr>
              <w:keepNext/>
              <w:spacing w:after="120"/>
              <w:jc w:val="center"/>
              <w:rPr>
                <w:rFonts w:ascii="Arial Narrow" w:hAnsi="Arial Narrow"/>
                <w:b/>
                <w:sz w:val="20"/>
                <w:szCs w:val="20"/>
              </w:rPr>
            </w:pPr>
            <w:r w:rsidRPr="00ED3C94">
              <w:rPr>
                <w:rFonts w:ascii="Arial Narrow" w:hAnsi="Arial Narrow"/>
                <w:b/>
                <w:sz w:val="20"/>
                <w:szCs w:val="20"/>
              </w:rPr>
              <w:t>1</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8F49BF">
            <w:pPr>
              <w:keepNext/>
              <w:spacing w:after="120"/>
              <w:jc w:val="center"/>
              <w:rPr>
                <w:rFonts w:ascii="Arial Narrow" w:hAnsi="Arial Narrow"/>
                <w:b/>
                <w:sz w:val="20"/>
                <w:szCs w:val="20"/>
              </w:rPr>
            </w:pPr>
            <w:r w:rsidRPr="00ED3C94">
              <w:rPr>
                <w:rFonts w:ascii="Arial Narrow" w:hAnsi="Arial Narrow"/>
                <w:b/>
                <w:sz w:val="20"/>
                <w:szCs w:val="20"/>
              </w:rPr>
              <w:t>2</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8F49BF">
            <w:pPr>
              <w:keepNext/>
              <w:spacing w:after="120"/>
              <w:jc w:val="center"/>
              <w:rPr>
                <w:rFonts w:ascii="Arial Narrow" w:hAnsi="Arial Narrow"/>
                <w:b/>
                <w:sz w:val="20"/>
                <w:szCs w:val="20"/>
              </w:rPr>
            </w:pPr>
            <w:r w:rsidRPr="00ED3C94">
              <w:rPr>
                <w:rFonts w:ascii="Arial Narrow" w:hAnsi="Arial Narrow"/>
                <w:b/>
                <w:sz w:val="20"/>
                <w:szCs w:val="20"/>
              </w:rPr>
              <w:t>3</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8F49BF">
            <w:pPr>
              <w:keepNext/>
              <w:spacing w:after="120"/>
              <w:jc w:val="center"/>
              <w:rPr>
                <w:rFonts w:ascii="Arial Narrow" w:hAnsi="Arial Narrow"/>
                <w:b/>
                <w:sz w:val="20"/>
                <w:szCs w:val="20"/>
              </w:rPr>
            </w:pPr>
            <w:r w:rsidRPr="00ED3C94">
              <w:rPr>
                <w:rFonts w:ascii="Arial Narrow" w:hAnsi="Arial Narrow"/>
                <w:b/>
                <w:sz w:val="20"/>
                <w:szCs w:val="20"/>
              </w:rPr>
              <w:t>4</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8F49BF">
            <w:pPr>
              <w:keepNext/>
              <w:spacing w:after="120"/>
              <w:jc w:val="center"/>
              <w:rPr>
                <w:rFonts w:ascii="Arial Narrow" w:hAnsi="Arial Narrow"/>
                <w:b/>
                <w:sz w:val="20"/>
                <w:szCs w:val="20"/>
              </w:rPr>
            </w:pPr>
            <w:r w:rsidRPr="00ED3C94">
              <w:rPr>
                <w:rFonts w:ascii="Arial Narrow" w:hAnsi="Arial Narrow"/>
                <w:b/>
                <w:sz w:val="20"/>
                <w:szCs w:val="20"/>
              </w:rPr>
              <w:t>5</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8F49BF">
            <w:pPr>
              <w:keepNext/>
              <w:spacing w:after="120"/>
              <w:jc w:val="center"/>
              <w:rPr>
                <w:rFonts w:ascii="Arial Narrow" w:hAnsi="Arial Narrow"/>
                <w:b/>
                <w:sz w:val="20"/>
                <w:szCs w:val="20"/>
              </w:rPr>
            </w:pPr>
            <w:r w:rsidRPr="00ED3C94">
              <w:rPr>
                <w:rFonts w:ascii="Arial Narrow" w:hAnsi="Arial Narrow"/>
                <w:b/>
                <w:sz w:val="20"/>
                <w:szCs w:val="20"/>
              </w:rPr>
              <w:t>6</w:t>
            </w:r>
          </w:p>
        </w:tc>
        <w:tc>
          <w:tcPr>
            <w:tcW w:w="495"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8F49BF">
            <w:pPr>
              <w:keepNext/>
              <w:spacing w:after="120"/>
              <w:jc w:val="center"/>
              <w:rPr>
                <w:rFonts w:ascii="Arial Narrow" w:hAnsi="Arial Narrow"/>
                <w:b/>
                <w:sz w:val="20"/>
                <w:szCs w:val="20"/>
              </w:rPr>
            </w:pPr>
            <w:r w:rsidRPr="00ED3C94">
              <w:rPr>
                <w:rFonts w:ascii="Arial Narrow" w:hAnsi="Arial Narrow"/>
                <w:b/>
                <w:sz w:val="20"/>
                <w:szCs w:val="20"/>
              </w:rPr>
              <w:t>7</w:t>
            </w:r>
          </w:p>
        </w:tc>
      </w:tr>
      <w:tr w:rsidR="00355A74" w:rsidRPr="00ED3C94" w:rsidTr="0093702D">
        <w:trPr>
          <w:trHeight w:val="290"/>
        </w:trPr>
        <w:tc>
          <w:tcPr>
            <w:tcW w:w="613" w:type="pct"/>
            <w:tcBorders>
              <w:top w:val="single" w:sz="4" w:space="0" w:color="auto"/>
              <w:left w:val="single" w:sz="4" w:space="0" w:color="auto"/>
              <w:bottom w:val="nil"/>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Dupilumab</w:t>
            </w: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Study drug costs</w:t>
            </w:r>
          </w:p>
        </w:tc>
        <w:tc>
          <w:tcPr>
            <w:tcW w:w="498"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5"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r>
      <w:tr w:rsidR="00355A74" w:rsidRPr="00ED3C94" w:rsidTr="0093702D">
        <w:trPr>
          <w:trHeight w:val="290"/>
        </w:trPr>
        <w:tc>
          <w:tcPr>
            <w:tcW w:w="613" w:type="pct"/>
            <w:tcBorders>
              <w:top w:val="nil"/>
              <w:left w:val="single" w:sz="4" w:space="0" w:color="auto"/>
              <w:bottom w:val="nil"/>
              <w:right w:val="single" w:sz="4" w:space="0" w:color="auto"/>
            </w:tcBorders>
          </w:tcPr>
          <w:p w:rsidR="00355A74" w:rsidRPr="00ED3C94" w:rsidRDefault="00355A74" w:rsidP="009C1949">
            <w:pPr>
              <w:keepNext/>
              <w:spacing w:before="40" w:after="40"/>
              <w:rPr>
                <w:rFonts w:ascii="Arial Narrow" w:hAnsi="Arial Narrow"/>
                <w:sz w:val="20"/>
                <w:szCs w:val="20"/>
              </w:rPr>
            </w:pP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Non-drug costs</w:t>
            </w:r>
          </w:p>
        </w:tc>
        <w:tc>
          <w:tcPr>
            <w:tcW w:w="498"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5"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r>
      <w:tr w:rsidR="00355A74" w:rsidRPr="00ED3C94" w:rsidTr="0093702D">
        <w:trPr>
          <w:trHeight w:val="290"/>
        </w:trPr>
        <w:tc>
          <w:tcPr>
            <w:tcW w:w="613" w:type="pct"/>
            <w:tcBorders>
              <w:top w:val="nil"/>
              <w:left w:val="single" w:sz="4" w:space="0" w:color="auto"/>
              <w:bottom w:val="nil"/>
              <w:right w:val="single" w:sz="4" w:space="0" w:color="auto"/>
            </w:tcBorders>
          </w:tcPr>
          <w:p w:rsidR="00355A74" w:rsidRPr="00ED3C94" w:rsidRDefault="00355A74" w:rsidP="009C1949">
            <w:pPr>
              <w:keepNext/>
              <w:spacing w:before="40" w:after="40"/>
              <w:rPr>
                <w:rFonts w:ascii="Arial Narrow" w:hAnsi="Arial Narrow"/>
                <w:sz w:val="20"/>
                <w:szCs w:val="20"/>
              </w:rPr>
            </w:pP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 of cohort with response</w:t>
            </w:r>
          </w:p>
        </w:tc>
        <w:tc>
          <w:tcPr>
            <w:tcW w:w="498"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0.540</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0.540</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0.540</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0.540</w:t>
            </w: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r>
      <w:tr w:rsidR="00355A74" w:rsidRPr="00ED3C94" w:rsidTr="0093702D">
        <w:trPr>
          <w:trHeight w:val="290"/>
        </w:trPr>
        <w:tc>
          <w:tcPr>
            <w:tcW w:w="613" w:type="pct"/>
            <w:tcBorders>
              <w:top w:val="nil"/>
              <w:left w:val="single" w:sz="4" w:space="0" w:color="auto"/>
              <w:bottom w:val="nil"/>
              <w:right w:val="single" w:sz="4" w:space="0" w:color="auto"/>
            </w:tcBorders>
          </w:tcPr>
          <w:p w:rsidR="00355A74" w:rsidRPr="00ED3C94" w:rsidRDefault="00355A74" w:rsidP="009C1949">
            <w:pPr>
              <w:keepNext/>
              <w:spacing w:before="40" w:after="40"/>
              <w:rPr>
                <w:rFonts w:ascii="Arial Narrow" w:hAnsi="Arial Narrow"/>
                <w:sz w:val="20"/>
                <w:szCs w:val="20"/>
              </w:rPr>
            </w:pP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Years in response</w:t>
            </w:r>
          </w:p>
        </w:tc>
        <w:tc>
          <w:tcPr>
            <w:tcW w:w="498"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5"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55A74" w:rsidRPr="00ED3C94" w:rsidTr="0093702D">
        <w:trPr>
          <w:trHeight w:val="290"/>
        </w:trPr>
        <w:tc>
          <w:tcPr>
            <w:tcW w:w="613" w:type="pct"/>
            <w:tcBorders>
              <w:top w:val="nil"/>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QALYs</w:t>
            </w:r>
          </w:p>
        </w:tc>
        <w:tc>
          <w:tcPr>
            <w:tcW w:w="498"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5"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55A74" w:rsidRPr="00ED3C94" w:rsidTr="0093702D">
        <w:trPr>
          <w:trHeight w:val="290"/>
        </w:trPr>
        <w:tc>
          <w:tcPr>
            <w:tcW w:w="613" w:type="pct"/>
            <w:tcBorders>
              <w:top w:val="single" w:sz="4" w:space="0" w:color="auto"/>
              <w:left w:val="single" w:sz="4" w:space="0" w:color="auto"/>
              <w:bottom w:val="nil"/>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Placebo</w:t>
            </w: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Study drug costs</w:t>
            </w:r>
          </w:p>
        </w:tc>
        <w:tc>
          <w:tcPr>
            <w:tcW w:w="498"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c>
          <w:tcPr>
            <w:tcW w:w="495"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r>
      <w:tr w:rsidR="00355A74" w:rsidRPr="00ED3C94" w:rsidTr="0093702D">
        <w:trPr>
          <w:trHeight w:val="290"/>
        </w:trPr>
        <w:tc>
          <w:tcPr>
            <w:tcW w:w="613" w:type="pct"/>
            <w:tcBorders>
              <w:top w:val="nil"/>
              <w:left w:val="single" w:sz="4" w:space="0" w:color="auto"/>
              <w:bottom w:val="nil"/>
              <w:right w:val="single" w:sz="4" w:space="0" w:color="auto"/>
            </w:tcBorders>
          </w:tcPr>
          <w:p w:rsidR="00355A74" w:rsidRPr="00ED3C94" w:rsidRDefault="00355A74" w:rsidP="009C1949">
            <w:pPr>
              <w:keepNext/>
              <w:spacing w:before="40" w:after="40"/>
              <w:rPr>
                <w:rFonts w:ascii="Arial Narrow" w:hAnsi="Arial Narrow"/>
                <w:sz w:val="20"/>
                <w:szCs w:val="20"/>
              </w:rPr>
            </w:pP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Non-drug costs</w:t>
            </w:r>
          </w:p>
        </w:tc>
        <w:tc>
          <w:tcPr>
            <w:tcW w:w="498"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5"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r>
      <w:tr w:rsidR="00355A74" w:rsidRPr="00ED3C94" w:rsidTr="0093702D">
        <w:trPr>
          <w:trHeight w:val="290"/>
        </w:trPr>
        <w:tc>
          <w:tcPr>
            <w:tcW w:w="613" w:type="pct"/>
            <w:tcBorders>
              <w:top w:val="nil"/>
              <w:left w:val="single" w:sz="4" w:space="0" w:color="auto"/>
              <w:bottom w:val="nil"/>
              <w:right w:val="single" w:sz="4" w:space="0" w:color="auto"/>
            </w:tcBorders>
          </w:tcPr>
          <w:p w:rsidR="00355A74" w:rsidRPr="00ED3C94" w:rsidRDefault="00355A74" w:rsidP="009C1949">
            <w:pPr>
              <w:keepNext/>
              <w:spacing w:before="40" w:after="40"/>
              <w:rPr>
                <w:rFonts w:ascii="Arial Narrow" w:hAnsi="Arial Narrow"/>
                <w:sz w:val="20"/>
                <w:szCs w:val="20"/>
              </w:rPr>
            </w:pP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 of cohort with response</w:t>
            </w:r>
          </w:p>
        </w:tc>
        <w:tc>
          <w:tcPr>
            <w:tcW w:w="498"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0.115</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0.115</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0.115</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0.115</w:t>
            </w: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r>
      <w:tr w:rsidR="00355A74" w:rsidRPr="00ED3C94" w:rsidTr="0093702D">
        <w:trPr>
          <w:trHeight w:val="290"/>
        </w:trPr>
        <w:tc>
          <w:tcPr>
            <w:tcW w:w="613" w:type="pct"/>
            <w:tcBorders>
              <w:top w:val="nil"/>
              <w:left w:val="single" w:sz="4" w:space="0" w:color="auto"/>
              <w:bottom w:val="nil"/>
              <w:right w:val="single" w:sz="4" w:space="0" w:color="auto"/>
            </w:tcBorders>
          </w:tcPr>
          <w:p w:rsidR="00355A74" w:rsidRPr="00ED3C94" w:rsidRDefault="00355A74" w:rsidP="009C1949">
            <w:pPr>
              <w:keepNext/>
              <w:spacing w:before="40" w:after="40"/>
              <w:rPr>
                <w:rFonts w:ascii="Arial Narrow" w:hAnsi="Arial Narrow"/>
                <w:sz w:val="20"/>
                <w:szCs w:val="20"/>
              </w:rPr>
            </w:pP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Years in response</w:t>
            </w:r>
          </w:p>
        </w:tc>
        <w:tc>
          <w:tcPr>
            <w:tcW w:w="498"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5"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55A74" w:rsidRPr="00ED3C94" w:rsidTr="0093702D">
        <w:trPr>
          <w:trHeight w:val="290"/>
        </w:trPr>
        <w:tc>
          <w:tcPr>
            <w:tcW w:w="613" w:type="pct"/>
            <w:tcBorders>
              <w:top w:val="nil"/>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QALYs</w:t>
            </w:r>
          </w:p>
        </w:tc>
        <w:tc>
          <w:tcPr>
            <w:tcW w:w="498"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5"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55A74" w:rsidRPr="00ED3C94" w:rsidTr="0093702D">
        <w:trPr>
          <w:trHeight w:val="290"/>
        </w:trPr>
        <w:tc>
          <w:tcPr>
            <w:tcW w:w="613" w:type="pct"/>
            <w:tcBorders>
              <w:top w:val="nil"/>
              <w:left w:val="single" w:sz="4" w:space="0" w:color="auto"/>
              <w:bottom w:val="nil"/>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Incremental</w:t>
            </w: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Total costs</w:t>
            </w:r>
          </w:p>
        </w:tc>
        <w:tc>
          <w:tcPr>
            <w:tcW w:w="498"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5"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r>
      <w:tr w:rsidR="00355A74" w:rsidRPr="00ED3C94" w:rsidTr="0093702D">
        <w:trPr>
          <w:trHeight w:val="290"/>
        </w:trPr>
        <w:tc>
          <w:tcPr>
            <w:tcW w:w="613" w:type="pct"/>
            <w:tcBorders>
              <w:top w:val="nil"/>
              <w:left w:val="single" w:sz="4" w:space="0" w:color="auto"/>
              <w:bottom w:val="nil"/>
              <w:right w:val="single" w:sz="4" w:space="0" w:color="auto"/>
            </w:tcBorders>
          </w:tcPr>
          <w:p w:rsidR="00355A74" w:rsidRPr="00ED3C94" w:rsidRDefault="00355A74" w:rsidP="009C1949">
            <w:pPr>
              <w:keepNext/>
              <w:spacing w:before="40" w:after="40"/>
              <w:rPr>
                <w:rFonts w:ascii="Arial Narrow" w:hAnsi="Arial Narrow"/>
                <w:sz w:val="20"/>
                <w:szCs w:val="20"/>
              </w:rPr>
            </w:pP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 of cohort with response</w:t>
            </w:r>
          </w:p>
        </w:tc>
        <w:tc>
          <w:tcPr>
            <w:tcW w:w="498"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0.425</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0.425</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0.425</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0.425</w:t>
            </w: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r>
      <w:tr w:rsidR="00355A74" w:rsidRPr="00ED3C94" w:rsidTr="0093702D">
        <w:trPr>
          <w:trHeight w:val="290"/>
        </w:trPr>
        <w:tc>
          <w:tcPr>
            <w:tcW w:w="613" w:type="pct"/>
            <w:tcBorders>
              <w:top w:val="nil"/>
              <w:left w:val="single" w:sz="4" w:space="0" w:color="auto"/>
              <w:bottom w:val="nil"/>
              <w:right w:val="single" w:sz="4" w:space="0" w:color="auto"/>
            </w:tcBorders>
          </w:tcPr>
          <w:p w:rsidR="00355A74" w:rsidRPr="00ED3C94" w:rsidRDefault="00355A74" w:rsidP="009C1949">
            <w:pPr>
              <w:keepNext/>
              <w:spacing w:before="40" w:after="40"/>
              <w:rPr>
                <w:rFonts w:ascii="Arial Narrow" w:hAnsi="Arial Narrow"/>
                <w:sz w:val="20"/>
                <w:szCs w:val="20"/>
              </w:rPr>
            </w:pP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Years in response</w:t>
            </w:r>
          </w:p>
        </w:tc>
        <w:tc>
          <w:tcPr>
            <w:tcW w:w="498"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5"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55A74" w:rsidRPr="00ED3C94" w:rsidTr="0093702D">
        <w:trPr>
          <w:trHeight w:val="290"/>
        </w:trPr>
        <w:tc>
          <w:tcPr>
            <w:tcW w:w="613" w:type="pct"/>
            <w:tcBorders>
              <w:top w:val="nil"/>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QALYs</w:t>
            </w:r>
          </w:p>
        </w:tc>
        <w:tc>
          <w:tcPr>
            <w:tcW w:w="498"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5" w:type="pct"/>
            <w:tcBorders>
              <w:top w:val="single" w:sz="4" w:space="0" w:color="auto"/>
              <w:left w:val="single" w:sz="4" w:space="0" w:color="auto"/>
              <w:bottom w:val="single" w:sz="4" w:space="0" w:color="auto"/>
              <w:right w:val="single" w:sz="4" w:space="0" w:color="auto"/>
            </w:tcBorders>
            <w:vAlign w:val="center"/>
          </w:tcPr>
          <w:p w:rsidR="00355A74" w:rsidRPr="00330093" w:rsidRDefault="00330093" w:rsidP="009C1949">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55A74" w:rsidRPr="00ED3C94" w:rsidTr="0093702D">
        <w:trPr>
          <w:trHeight w:val="290"/>
        </w:trPr>
        <w:tc>
          <w:tcPr>
            <w:tcW w:w="613" w:type="pct"/>
            <w:tcBorders>
              <w:top w:val="single" w:sz="4" w:space="0" w:color="auto"/>
              <w:left w:val="single" w:sz="4" w:space="0" w:color="auto"/>
              <w:bottom w:val="nil"/>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ICER</w:t>
            </w: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IC/Responder</w:t>
            </w:r>
          </w:p>
        </w:tc>
        <w:tc>
          <w:tcPr>
            <w:tcW w:w="498"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shd w:val="clear" w:color="C0C0C0" w:fill="auto"/>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p>
        </w:tc>
        <w:tc>
          <w:tcPr>
            <w:tcW w:w="495"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p>
        </w:tc>
      </w:tr>
      <w:tr w:rsidR="00355A74" w:rsidRPr="00ED3C94" w:rsidTr="0093702D">
        <w:trPr>
          <w:trHeight w:val="290"/>
        </w:trPr>
        <w:tc>
          <w:tcPr>
            <w:tcW w:w="613" w:type="pct"/>
            <w:tcBorders>
              <w:top w:val="nil"/>
              <w:left w:val="single" w:sz="4" w:space="0" w:color="auto"/>
              <w:bottom w:val="nil"/>
              <w:right w:val="single" w:sz="4" w:space="0" w:color="auto"/>
            </w:tcBorders>
          </w:tcPr>
          <w:p w:rsidR="00355A74" w:rsidRPr="00ED3C94" w:rsidRDefault="00355A74" w:rsidP="009C1949">
            <w:pPr>
              <w:keepNext/>
              <w:spacing w:before="40" w:after="40"/>
              <w:rPr>
                <w:rFonts w:ascii="Arial Narrow" w:hAnsi="Arial Narrow"/>
                <w:sz w:val="20"/>
                <w:szCs w:val="20"/>
              </w:rPr>
            </w:pP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IC/Year with response</w:t>
            </w:r>
          </w:p>
        </w:tc>
        <w:tc>
          <w:tcPr>
            <w:tcW w:w="498"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5"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r>
      <w:tr w:rsidR="00355A74" w:rsidRPr="00ED3C94" w:rsidTr="0093702D">
        <w:trPr>
          <w:trHeight w:val="290"/>
        </w:trPr>
        <w:tc>
          <w:tcPr>
            <w:tcW w:w="613" w:type="pct"/>
            <w:tcBorders>
              <w:top w:val="nil"/>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p>
        </w:tc>
        <w:tc>
          <w:tcPr>
            <w:tcW w:w="900" w:type="pct"/>
            <w:tcBorders>
              <w:top w:val="single" w:sz="4" w:space="0" w:color="auto"/>
              <w:left w:val="single" w:sz="4" w:space="0" w:color="auto"/>
              <w:bottom w:val="single" w:sz="4" w:space="0" w:color="auto"/>
              <w:right w:val="single" w:sz="4" w:space="0" w:color="auto"/>
            </w:tcBorders>
          </w:tcPr>
          <w:p w:rsidR="00355A74" w:rsidRPr="00ED3C94" w:rsidRDefault="00355A74" w:rsidP="009C1949">
            <w:pPr>
              <w:keepNext/>
              <w:spacing w:before="40" w:after="40"/>
              <w:rPr>
                <w:rFonts w:ascii="Arial Narrow" w:hAnsi="Arial Narrow"/>
                <w:sz w:val="20"/>
                <w:szCs w:val="20"/>
              </w:rPr>
            </w:pPr>
            <w:r w:rsidRPr="00ED3C94">
              <w:rPr>
                <w:rFonts w:ascii="Arial Narrow" w:hAnsi="Arial Narrow"/>
                <w:sz w:val="20"/>
                <w:szCs w:val="20"/>
              </w:rPr>
              <w:t>IC/QALY</w:t>
            </w:r>
          </w:p>
        </w:tc>
        <w:tc>
          <w:tcPr>
            <w:tcW w:w="498"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C0C0C0" w:fill="D9D9D9" w:themeFill="background1" w:themeFillShade="D9"/>
            <w:vAlign w:val="center"/>
          </w:tcPr>
          <w:p w:rsidR="00355A74" w:rsidRPr="00ED3C94" w:rsidRDefault="00355A74" w:rsidP="009C1949">
            <w:pPr>
              <w:keepNext/>
              <w:spacing w:before="40" w:after="40"/>
              <w:jc w:val="center"/>
              <w:rPr>
                <w:rFonts w:ascii="Arial Narrow" w:hAnsi="Arial Narrow"/>
                <w:sz w:val="20"/>
                <w:szCs w:val="20"/>
              </w:rPr>
            </w:pP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c>
          <w:tcPr>
            <w:tcW w:w="495" w:type="pct"/>
            <w:tcBorders>
              <w:top w:val="single" w:sz="4" w:space="0" w:color="auto"/>
              <w:left w:val="single" w:sz="4" w:space="0" w:color="auto"/>
              <w:bottom w:val="single" w:sz="4" w:space="0" w:color="auto"/>
              <w:right w:val="single" w:sz="4" w:space="0" w:color="auto"/>
            </w:tcBorders>
            <w:vAlign w:val="center"/>
          </w:tcPr>
          <w:p w:rsidR="00355A74" w:rsidRPr="00ED3C94" w:rsidRDefault="00355A74" w:rsidP="009C1949">
            <w:pPr>
              <w:keepNext/>
              <w:spacing w:before="40" w:after="40"/>
              <w:jc w:val="center"/>
              <w:rPr>
                <w:rFonts w:ascii="Arial Narrow" w:hAnsi="Arial Narrow"/>
                <w:sz w:val="20"/>
                <w:szCs w:val="20"/>
              </w:rPr>
            </w:pPr>
            <w:r w:rsidRPr="00ED3C94">
              <w:rPr>
                <w:rFonts w:ascii="Arial Narrow" w:hAnsi="Arial Narrow"/>
                <w:sz w:val="20"/>
                <w:szCs w:val="20"/>
              </w:rPr>
              <w:t>$</w:t>
            </w:r>
            <w:r w:rsidR="00330093">
              <w:rPr>
                <w:rFonts w:ascii="Arial Narrow" w:hAnsi="Arial Narrow"/>
                <w:noProof/>
                <w:color w:val="000000"/>
                <w:sz w:val="20"/>
                <w:szCs w:val="20"/>
                <w:highlight w:val="black"/>
              </w:rPr>
              <w:t>''''''''''''''''</w:t>
            </w:r>
          </w:p>
        </w:tc>
      </w:tr>
    </w:tbl>
    <w:p w:rsidR="00355A74" w:rsidRPr="00ED3C94" w:rsidRDefault="00355A74" w:rsidP="009C1949">
      <w:pPr>
        <w:pStyle w:val="TableFooter"/>
        <w:keepNext/>
      </w:pPr>
      <w:r w:rsidRPr="00ED3C94">
        <w:t>Source: Table 3.8.1 (p160) of the submission</w:t>
      </w:r>
    </w:p>
    <w:p w:rsidR="00355A74" w:rsidRPr="00ED3C94" w:rsidRDefault="00355A74" w:rsidP="009C1949">
      <w:pPr>
        <w:pStyle w:val="TableFooter"/>
        <w:keepNext/>
      </w:pPr>
      <w:r w:rsidRPr="00ED3C94">
        <w:t>Abbreviations: QALY = quality-adjusted life years; IC = incremental cost</w:t>
      </w:r>
    </w:p>
    <w:p w:rsidR="00355A74" w:rsidRPr="00ED3C94" w:rsidRDefault="00355A74" w:rsidP="009C1949">
      <w:pPr>
        <w:pStyle w:val="TableFooter"/>
        <w:keepNext/>
      </w:pPr>
      <w:r w:rsidRPr="00ED3C94">
        <w:t>Step 1: Trial-based analysis (EASI-75 response at 16-weeks) using drug costs only</w:t>
      </w:r>
    </w:p>
    <w:p w:rsidR="00355A74" w:rsidRPr="00ED3C94" w:rsidRDefault="00355A74" w:rsidP="009C1949">
      <w:pPr>
        <w:pStyle w:val="TableFooter"/>
        <w:keepNext/>
      </w:pPr>
      <w:r w:rsidRPr="00ED3C94">
        <w:t>Step 2: As above, extend to 1-year</w:t>
      </w:r>
    </w:p>
    <w:p w:rsidR="00355A74" w:rsidRPr="00ED3C94" w:rsidRDefault="00355A74" w:rsidP="009C1949">
      <w:pPr>
        <w:pStyle w:val="TableFooter"/>
        <w:keepNext/>
      </w:pPr>
      <w:r w:rsidRPr="00ED3C94">
        <w:t>Step 3: As above, apply continuation rule at 16 weeks</w:t>
      </w:r>
    </w:p>
    <w:p w:rsidR="00355A74" w:rsidRPr="00ED3C94" w:rsidRDefault="00355A74" w:rsidP="009C1949">
      <w:pPr>
        <w:pStyle w:val="TableFooter"/>
        <w:keepNext/>
      </w:pPr>
      <w:r w:rsidRPr="00ED3C94">
        <w:t xml:space="preserve">Step 4: As above, </w:t>
      </w:r>
      <w:r w:rsidR="00EE4A3B" w:rsidRPr="00ED3C94">
        <w:t>apply Markov model and half cycle correction</w:t>
      </w:r>
    </w:p>
    <w:p w:rsidR="00355A74" w:rsidRPr="00ED3C94" w:rsidRDefault="00355A74" w:rsidP="009C1949">
      <w:pPr>
        <w:pStyle w:val="TableFooter"/>
        <w:keepNext/>
      </w:pPr>
      <w:r w:rsidRPr="00ED3C94">
        <w:t>Step 5: As above, allow for mortality, loss of response, and discounting</w:t>
      </w:r>
    </w:p>
    <w:p w:rsidR="00355A74" w:rsidRPr="00ED3C94" w:rsidRDefault="00355A74" w:rsidP="009C1949">
      <w:pPr>
        <w:pStyle w:val="TableFooter"/>
        <w:keepNext/>
      </w:pPr>
      <w:r w:rsidRPr="00ED3C94">
        <w:t>Step 6: As above, transform to resource utilisation costs</w:t>
      </w:r>
    </w:p>
    <w:p w:rsidR="00355A74" w:rsidRPr="00ED3C94" w:rsidRDefault="00355A74" w:rsidP="009C1949">
      <w:pPr>
        <w:pStyle w:val="TableFooter"/>
        <w:keepNext/>
      </w:pPr>
      <w:r w:rsidRPr="00ED3C94">
        <w:t>Step 7: As above, extrapolate to 5-years</w:t>
      </w:r>
    </w:p>
    <w:p w:rsidR="00355A74" w:rsidRPr="00ED3C94" w:rsidRDefault="00D617E6" w:rsidP="00961807">
      <w:pPr>
        <w:widowControl w:val="0"/>
        <w:numPr>
          <w:ilvl w:val="1"/>
          <w:numId w:val="4"/>
        </w:numPr>
        <w:spacing w:before="0" w:after="120"/>
        <w:jc w:val="both"/>
      </w:pPr>
      <w:r w:rsidRPr="00ED3C94">
        <w:t xml:space="preserve">All appropriate steps </w:t>
      </w:r>
      <w:r w:rsidR="005C6232" w:rsidRPr="00ED3C94">
        <w:t xml:space="preserve">for the </w:t>
      </w:r>
      <w:r w:rsidRPr="00ED3C94">
        <w:t xml:space="preserve">stepped economic analysis </w:t>
      </w:r>
      <w:r w:rsidR="00382D0D" w:rsidRPr="00ED3C94">
        <w:t xml:space="preserve">were </w:t>
      </w:r>
      <w:r w:rsidRPr="00ED3C94">
        <w:t>included.  The final step (extrapolation of the model from 1 year to 5 years) significantly reduce</w:t>
      </w:r>
      <w:r w:rsidR="003A12CD" w:rsidRPr="00ED3C94">
        <w:t>d</w:t>
      </w:r>
      <w:r w:rsidRPr="00ED3C94">
        <w:t xml:space="preserve"> the ICER (</w:t>
      </w:r>
      <w:r w:rsidR="003A12CD" w:rsidRPr="00ED3C94">
        <w:t>by</w:t>
      </w:r>
      <w:r w:rsidRPr="00ED3C94">
        <w:t xml:space="preserve"> approximately $</w:t>
      </w:r>
      <w:r w:rsidR="00610EA4">
        <w:t xml:space="preserve">15,000 - $45,000 </w:t>
      </w:r>
      <w:r w:rsidRPr="00ED3C94">
        <w:t xml:space="preserve">per QALY gained) due to an increase in the incremental QALY gain, and represents the most impactful step of the analysis from </w:t>
      </w:r>
      <w:r w:rsidRPr="00ED3C94">
        <w:lastRenderedPageBreak/>
        <w:t xml:space="preserve">when an incremental cost per QALY-gained is first generated.  The implementation of the continuation rule at 16 weeks within a 1 year model (Step 3) also has a relatively big impact on results, decreasing the incremental cost per EASI-75 responder </w:t>
      </w:r>
      <w:r w:rsidR="00437B26">
        <w:t>to</w:t>
      </w:r>
      <w:r w:rsidR="00437B26" w:rsidRPr="00ED3C94">
        <w:t xml:space="preserve"> </w:t>
      </w:r>
      <w:r w:rsidR="00437B26" w:rsidRPr="00437B26">
        <w:rPr>
          <w:rFonts w:ascii="Calibri" w:eastAsia="Calibri" w:hAnsi="Calibri" w:cs="Arial"/>
        </w:rPr>
        <w:t>approximately $15,000/QALY to $45,000/QALY.</w:t>
      </w:r>
    </w:p>
    <w:p w:rsidR="00C317F3" w:rsidRPr="009C1949" w:rsidRDefault="00E252A8" w:rsidP="00961807">
      <w:pPr>
        <w:widowControl w:val="0"/>
        <w:numPr>
          <w:ilvl w:val="1"/>
          <w:numId w:val="4"/>
        </w:numPr>
        <w:spacing w:before="0" w:after="120"/>
        <w:jc w:val="both"/>
      </w:pPr>
      <w:r w:rsidRPr="00ED3C94">
        <w:t xml:space="preserve">The sensitivity analyses presented in the submission were limited to univariate analyses.  </w:t>
      </w:r>
      <w:r w:rsidR="00E94C3B" w:rsidRPr="00ED3C94">
        <w:t xml:space="preserve">As noted in </w:t>
      </w:r>
      <w:r w:rsidR="009B5A44" w:rsidRPr="00ED3C94">
        <w:t xml:space="preserve">Table </w:t>
      </w:r>
      <w:r w:rsidR="009B5A44" w:rsidRPr="00ED3C94">
        <w:rPr>
          <w:noProof/>
        </w:rPr>
        <w:t>7</w:t>
      </w:r>
      <w:r w:rsidR="00E94C3B" w:rsidRPr="00ED3C94">
        <w:t xml:space="preserve">, the key drivers of the model included inputs associated with efficacy (response and maintenance of response), utilities and the time horizon. </w:t>
      </w:r>
      <w:r w:rsidR="00E26A9F" w:rsidRPr="00990AD0">
        <w:t xml:space="preserve">The ESC noted </w:t>
      </w:r>
      <w:r w:rsidR="004B1FBE" w:rsidRPr="00990AD0">
        <w:t xml:space="preserve">that different utilities were applied to responders in </w:t>
      </w:r>
      <w:r w:rsidR="00B464DC" w:rsidRPr="00990AD0">
        <w:t>each</w:t>
      </w:r>
      <w:r w:rsidR="004B1FBE" w:rsidRPr="00990AD0">
        <w:t xml:space="preserve"> treatment group</w:t>
      </w:r>
      <w:r w:rsidR="00E26A9F" w:rsidRPr="00990AD0">
        <w:t xml:space="preserve"> </w:t>
      </w:r>
      <w:r w:rsidR="004B1FBE" w:rsidRPr="00990AD0">
        <w:t>despite there being no</w:t>
      </w:r>
      <w:r w:rsidR="00E26A9F" w:rsidRPr="00990AD0">
        <w:t xml:space="preserve"> </w:t>
      </w:r>
      <w:r w:rsidR="00E64BB2" w:rsidRPr="00990AD0">
        <w:t xml:space="preserve">statistically </w:t>
      </w:r>
      <w:r w:rsidR="00E26A9F" w:rsidRPr="00990AD0">
        <w:t xml:space="preserve">significant difference </w:t>
      </w:r>
      <w:r w:rsidR="00D15A09" w:rsidRPr="00990AD0">
        <w:t xml:space="preserve">between the groups </w:t>
      </w:r>
      <w:r w:rsidR="00E26A9F" w:rsidRPr="00990AD0">
        <w:t>in the trial data</w:t>
      </w:r>
      <w:r w:rsidR="004B1FBE" w:rsidRPr="00990AD0">
        <w:t>. The very low sample sizes for the utility data (</w:t>
      </w:r>
      <w:r w:rsidR="0093702D">
        <w:rPr>
          <w:rFonts w:ascii="Calibri" w:eastAsia="Calibri" w:hAnsi="Calibri" w:cs="Arial"/>
          <w:noProof/>
          <w:color w:val="000000"/>
          <w:highlight w:val="black"/>
        </w:rPr>
        <w:t>'''''''''</w:t>
      </w:r>
      <w:r w:rsidR="00437B26" w:rsidRPr="00437B26">
        <w:rPr>
          <w:rFonts w:ascii="Calibri" w:eastAsia="Calibri" w:hAnsi="Calibri" w:cs="Arial"/>
        </w:rPr>
        <w:t xml:space="preserve"> in the </w:t>
      </w:r>
      <w:r w:rsidR="00330093">
        <w:rPr>
          <w:rFonts w:ascii="Calibri" w:eastAsia="Calibri" w:hAnsi="Calibri" w:cs="Arial"/>
          <w:noProof/>
          <w:color w:val="000000"/>
          <w:highlight w:val="black"/>
        </w:rPr>
        <w:t>''''''''''''''''''' '''''''''''''''''' ''''''''''''</w:t>
      </w:r>
      <w:r w:rsidR="00437B26" w:rsidRPr="00437B26">
        <w:rPr>
          <w:rFonts w:ascii="Calibri" w:eastAsia="Calibri" w:hAnsi="Calibri" w:cs="Arial"/>
        </w:rPr>
        <w:t xml:space="preserve"> and </w:t>
      </w:r>
      <w:r w:rsidR="0093702D">
        <w:rPr>
          <w:rFonts w:ascii="Calibri" w:eastAsia="Calibri" w:hAnsi="Calibri" w:cs="Arial"/>
          <w:noProof/>
          <w:color w:val="000000"/>
          <w:highlight w:val="black"/>
        </w:rPr>
        <w:t>''''''''</w:t>
      </w:r>
      <w:r w:rsidR="004B1FBE" w:rsidRPr="00990AD0">
        <w:t xml:space="preserve"> in the </w:t>
      </w:r>
      <w:r w:rsidR="00330093">
        <w:rPr>
          <w:noProof/>
          <w:color w:val="000000"/>
          <w:highlight w:val="black"/>
        </w:rPr>
        <w:t>''''''''''''''' ''''''''''''''''''''' '''''''''''</w:t>
      </w:r>
      <w:r w:rsidR="004B1FBE" w:rsidRPr="00990AD0">
        <w:t xml:space="preserve">) makes these values highly uncertain. </w:t>
      </w:r>
      <w:r w:rsidR="00B22886" w:rsidRPr="00990AD0">
        <w:t xml:space="preserve">The PSCR </w:t>
      </w:r>
      <w:r w:rsidR="00376914">
        <w:t xml:space="preserve">and pre-PBAC </w:t>
      </w:r>
      <w:r w:rsidR="00437B26">
        <w:t>response argued</w:t>
      </w:r>
      <w:r w:rsidR="00B22886" w:rsidRPr="00990AD0">
        <w:t xml:space="preserve"> that </w:t>
      </w:r>
      <w:r w:rsidR="00E64BB2" w:rsidRPr="00990AD0">
        <w:t xml:space="preserve">it is reasonable to expect a higher average utility across a cohort of dupilumab responders than a cohort of placebo responders based on the difference in EASI-90 response between the treatment groups (85% of responders in the dupilumab arm compared with 33% of responders in the </w:t>
      </w:r>
      <w:r w:rsidR="00B464DC" w:rsidRPr="00990AD0">
        <w:t>placebo</w:t>
      </w:r>
      <w:r w:rsidR="00E64BB2" w:rsidRPr="00990AD0">
        <w:t xml:space="preserve"> arm). However</w:t>
      </w:r>
      <w:r w:rsidR="00E26A9F" w:rsidRPr="00990AD0">
        <w:t xml:space="preserve"> </w:t>
      </w:r>
      <w:r w:rsidR="004B1FBE" w:rsidRPr="00990AD0">
        <w:t xml:space="preserve">the ESC considered that </w:t>
      </w:r>
      <w:r w:rsidR="00E26A9F" w:rsidRPr="00990AD0">
        <w:t xml:space="preserve">it was not reasonable to </w:t>
      </w:r>
      <w:r w:rsidR="00E64BB2" w:rsidRPr="00990AD0">
        <w:t>use</w:t>
      </w:r>
      <w:r w:rsidR="00E26A9F" w:rsidRPr="00990AD0">
        <w:t xml:space="preserve"> different utility values for responders</w:t>
      </w:r>
      <w:r w:rsidR="004B1FBE" w:rsidRPr="00990AD0">
        <w:t xml:space="preserve"> in the different treatment groups</w:t>
      </w:r>
      <w:r w:rsidR="00E64BB2" w:rsidRPr="00990AD0">
        <w:t xml:space="preserve"> given the small sample size and non-significant difference between groups</w:t>
      </w:r>
      <w:r w:rsidR="00E26A9F" w:rsidRPr="00990AD0">
        <w:t>.</w:t>
      </w:r>
      <w:r w:rsidR="004B1FBE" w:rsidRPr="00990AD0">
        <w:t xml:space="preserve"> The ESC also considered that it may not be appropriate to assume that utility gains remain constant over time.</w:t>
      </w:r>
      <w:r w:rsidR="00E26A9F" w:rsidRPr="00990AD0">
        <w:t xml:space="preserve"> </w:t>
      </w:r>
      <w:r w:rsidR="004B1FBE" w:rsidRPr="00990AD0">
        <w:t xml:space="preserve">Assuming no </w:t>
      </w:r>
      <w:r w:rsidR="00B464DC" w:rsidRPr="00990AD0">
        <w:t>between-</w:t>
      </w:r>
      <w:r w:rsidR="00E64BB2" w:rsidRPr="00990AD0">
        <w:t xml:space="preserve">group </w:t>
      </w:r>
      <w:r w:rsidR="004B1FBE" w:rsidRPr="00990AD0">
        <w:t>difference in</w:t>
      </w:r>
      <w:r w:rsidR="00E26A9F" w:rsidRPr="00990AD0">
        <w:t xml:space="preserve"> utility gain</w:t>
      </w:r>
      <w:r w:rsidR="00D15A09" w:rsidRPr="00990AD0">
        <w:t xml:space="preserve"> and using the utility gain for responders in the placebo group resulted in an increase in</w:t>
      </w:r>
      <w:r w:rsidR="00E26A9F" w:rsidRPr="00990AD0">
        <w:t xml:space="preserve"> the ICER from $</w:t>
      </w:r>
      <w:r w:rsidR="00610EA4">
        <w:t>45,000</w:t>
      </w:r>
      <w:r w:rsidR="00E26A9F" w:rsidRPr="00990AD0">
        <w:t>/QALY to $</w:t>
      </w:r>
      <w:r w:rsidR="00FF68A5">
        <w:t>105,000</w:t>
      </w:r>
      <w:r w:rsidR="00DA59F7" w:rsidRPr="00990AD0">
        <w:t>/QALY</w:t>
      </w:r>
      <w:r w:rsidR="00D15A09" w:rsidRPr="00990AD0">
        <w:t xml:space="preserve">. The </w:t>
      </w:r>
      <w:r w:rsidR="00376914">
        <w:t xml:space="preserve">PBAC agreed with the </w:t>
      </w:r>
      <w:r w:rsidR="00D15A09" w:rsidRPr="00990AD0">
        <w:t>ESC that the base case should assume the same utility for responders in both treatment groups</w:t>
      </w:r>
      <w:r w:rsidR="0059659E">
        <w:t xml:space="preserve"> due to </w:t>
      </w:r>
      <w:r w:rsidR="005F5937">
        <w:t xml:space="preserve">the uncertainty introduced using </w:t>
      </w:r>
      <w:r w:rsidR="0059659E">
        <w:t>differential utility data</w:t>
      </w:r>
      <w:r w:rsidR="005F5937" w:rsidRPr="005F5937">
        <w:t xml:space="preserve"> </w:t>
      </w:r>
      <w:r w:rsidR="005F5937">
        <w:t>based on very small sample sizes</w:t>
      </w:r>
      <w:r w:rsidR="00D15A09" w:rsidRPr="00990AD0">
        <w:t>.</w:t>
      </w:r>
      <w:r w:rsidR="00DA59F7" w:rsidRPr="00990AD0">
        <w:t xml:space="preserve"> </w:t>
      </w:r>
    </w:p>
    <w:p w:rsidR="007308C5" w:rsidRPr="00990AD0" w:rsidRDefault="007308C5" w:rsidP="00961807">
      <w:pPr>
        <w:widowControl w:val="0"/>
        <w:numPr>
          <w:ilvl w:val="1"/>
          <w:numId w:val="4"/>
        </w:numPr>
        <w:spacing w:before="0" w:after="120"/>
        <w:jc w:val="both"/>
      </w:pPr>
      <w:r w:rsidRPr="00990AD0">
        <w:t xml:space="preserve">The PSCR </w:t>
      </w:r>
      <w:r w:rsidR="00C55C99" w:rsidRPr="00990AD0">
        <w:t>presented two additional univariate sensitivity analyses</w:t>
      </w:r>
      <w:r w:rsidR="00436064" w:rsidRPr="00990AD0">
        <w:t xml:space="preserve"> to address the uncertainty of using CHRONOS trial </w:t>
      </w:r>
      <w:r w:rsidR="001A3559" w:rsidRPr="00990AD0">
        <w:t>data</w:t>
      </w:r>
      <w:r w:rsidR="00436064" w:rsidRPr="00990AD0">
        <w:t xml:space="preserve"> in the economic model, as </w:t>
      </w:r>
      <w:r w:rsidR="00B22886" w:rsidRPr="00990AD0">
        <w:t>patients in CHRONOS</w:t>
      </w:r>
      <w:r w:rsidR="00436064" w:rsidRPr="00990AD0">
        <w:t xml:space="preserve"> were not entirely representative of the </w:t>
      </w:r>
      <w:r w:rsidR="00B22886" w:rsidRPr="00990AD0">
        <w:t xml:space="preserve">proposed </w:t>
      </w:r>
      <w:r w:rsidR="00436064" w:rsidRPr="00990AD0">
        <w:t xml:space="preserve">PBS population. </w:t>
      </w:r>
      <w:r w:rsidR="00B22886" w:rsidRPr="00990AD0">
        <w:t>Results of these analyses are</w:t>
      </w:r>
      <w:r w:rsidR="00C55C99" w:rsidRPr="00990AD0">
        <w:t xml:space="preserve"> shown in the table below.</w:t>
      </w:r>
    </w:p>
    <w:p w:rsidR="00F07C59" w:rsidRPr="00990AD0" w:rsidRDefault="00F07C59" w:rsidP="00961807">
      <w:pPr>
        <w:widowControl w:val="0"/>
        <w:numPr>
          <w:ilvl w:val="1"/>
          <w:numId w:val="4"/>
        </w:numPr>
        <w:spacing w:before="0" w:after="120"/>
        <w:jc w:val="both"/>
      </w:pPr>
      <w:r w:rsidRPr="00990AD0">
        <w:t>The first sensitivity analysis used values from the intention to treat analysis of CAFÉ, which increased the probabilities of an EASI-75 response to 62.6% and 29.6% for dupilumab and placebo respectively. This increased the ICER to $</w:t>
      </w:r>
      <w:r w:rsidR="00610EA4">
        <w:t>75,000/QALY - $105,000/QALY</w:t>
      </w:r>
      <w:r w:rsidRPr="00990AD0">
        <w:t>. This sensitivity analysis included patients with moderate and severe AD, which was broader than the proposed PBS population. The second sensitivity analysis used the CHRONOS severe AD sub-group data, which increased the ICER to $</w:t>
      </w:r>
      <w:r w:rsidR="00610EA4">
        <w:t>45,000/QALY - $75,000/QALY</w:t>
      </w:r>
      <w:r w:rsidRPr="00990AD0">
        <w:t xml:space="preserve">. </w:t>
      </w:r>
    </w:p>
    <w:p w:rsidR="0093702D" w:rsidRDefault="0093702D" w:rsidP="0093702D">
      <w:pPr>
        <w:pStyle w:val="Caption"/>
      </w:pPr>
      <w:r>
        <w:lastRenderedPageBreak/>
        <w:t xml:space="preserve">Table </w:t>
      </w:r>
      <w:r w:rsidR="00557C85">
        <w:fldChar w:fldCharType="begin"/>
      </w:r>
      <w:r w:rsidR="00557C85">
        <w:instrText xml:space="preserve"> SEQ Table \* ARABIC </w:instrText>
      </w:r>
      <w:r w:rsidR="00557C85">
        <w:fldChar w:fldCharType="separate"/>
      </w:r>
      <w:r>
        <w:rPr>
          <w:noProof/>
        </w:rPr>
        <w:t>10</w:t>
      </w:r>
      <w:r w:rsidR="00557C85">
        <w:rPr>
          <w:noProof/>
        </w:rPr>
        <w:fldChar w:fldCharType="end"/>
      </w:r>
      <w:r>
        <w:t xml:space="preserve">: </w:t>
      </w:r>
      <w:r w:rsidRPr="00831C9D">
        <w:t>One-way sensitivity analyses</w:t>
      </w:r>
    </w:p>
    <w:tbl>
      <w:tblPr>
        <w:tblStyle w:val="TableGrid1"/>
        <w:tblW w:w="0" w:type="auto"/>
        <w:tblInd w:w="108" w:type="dxa"/>
        <w:tblLayout w:type="fixed"/>
        <w:tblLook w:val="04A0" w:firstRow="1" w:lastRow="0" w:firstColumn="1" w:lastColumn="0" w:noHBand="0" w:noVBand="1"/>
        <w:tblCaption w:val="One-way sensitivity analyses"/>
      </w:tblPr>
      <w:tblGrid>
        <w:gridCol w:w="1560"/>
        <w:gridCol w:w="1559"/>
        <w:gridCol w:w="850"/>
        <w:gridCol w:w="851"/>
        <w:gridCol w:w="850"/>
        <w:gridCol w:w="851"/>
        <w:gridCol w:w="850"/>
        <w:gridCol w:w="851"/>
        <w:gridCol w:w="912"/>
      </w:tblGrid>
      <w:tr w:rsidR="0047646D" w:rsidRPr="008F49BF" w:rsidTr="00F47FAE">
        <w:trPr>
          <w:tblHeader/>
        </w:trPr>
        <w:tc>
          <w:tcPr>
            <w:tcW w:w="1560" w:type="dxa"/>
            <w:vMerge w:val="restart"/>
            <w:vAlign w:val="center"/>
          </w:tcPr>
          <w:p w:rsidR="00C55C99" w:rsidRPr="008F49BF" w:rsidRDefault="00C55C99" w:rsidP="009C1949">
            <w:pPr>
              <w:keepNext/>
              <w:spacing w:before="0" w:after="120"/>
              <w:rPr>
                <w:rFonts w:ascii="Arial Narrow" w:hAnsi="Arial Narrow"/>
                <w:b/>
                <w:sz w:val="20"/>
              </w:rPr>
            </w:pPr>
            <w:r w:rsidRPr="008F49BF">
              <w:rPr>
                <w:rFonts w:ascii="Arial Narrow" w:hAnsi="Arial Narrow"/>
                <w:b/>
                <w:sz w:val="20"/>
              </w:rPr>
              <w:t xml:space="preserve">Variable </w:t>
            </w:r>
            <w:r w:rsidR="0047646D" w:rsidRPr="008F49BF">
              <w:rPr>
                <w:rFonts w:ascii="Arial Narrow" w:hAnsi="Arial Narrow"/>
                <w:b/>
                <w:sz w:val="20"/>
              </w:rPr>
              <w:br/>
            </w:r>
            <w:r w:rsidRPr="008F49BF">
              <w:rPr>
                <w:rFonts w:ascii="Arial Narrow" w:hAnsi="Arial Narrow"/>
                <w:b/>
                <w:sz w:val="20"/>
              </w:rPr>
              <w:t>(base case)</w:t>
            </w:r>
          </w:p>
        </w:tc>
        <w:tc>
          <w:tcPr>
            <w:tcW w:w="1559" w:type="dxa"/>
            <w:vMerge w:val="restart"/>
            <w:vAlign w:val="center"/>
          </w:tcPr>
          <w:p w:rsidR="00C55C99" w:rsidRPr="008F49BF" w:rsidRDefault="00C55C99" w:rsidP="009C1949">
            <w:pPr>
              <w:keepNext/>
              <w:spacing w:before="0" w:after="120"/>
              <w:rPr>
                <w:rFonts w:ascii="Arial Narrow" w:hAnsi="Arial Narrow"/>
                <w:b/>
                <w:sz w:val="20"/>
              </w:rPr>
            </w:pPr>
            <w:r w:rsidRPr="008F49BF">
              <w:rPr>
                <w:rFonts w:ascii="Arial Narrow" w:hAnsi="Arial Narrow"/>
                <w:b/>
                <w:sz w:val="20"/>
              </w:rPr>
              <w:t>Sensitivity analysis</w:t>
            </w:r>
          </w:p>
        </w:tc>
        <w:tc>
          <w:tcPr>
            <w:tcW w:w="1701" w:type="dxa"/>
            <w:gridSpan w:val="2"/>
            <w:vAlign w:val="center"/>
          </w:tcPr>
          <w:p w:rsidR="00C55C99" w:rsidRPr="008F49BF" w:rsidRDefault="00C55C99" w:rsidP="009C1949">
            <w:pPr>
              <w:keepNext/>
              <w:spacing w:before="0" w:after="120"/>
              <w:rPr>
                <w:rFonts w:ascii="Arial Narrow" w:hAnsi="Arial Narrow"/>
                <w:b/>
                <w:sz w:val="20"/>
              </w:rPr>
            </w:pPr>
            <w:r w:rsidRPr="008F49BF">
              <w:rPr>
                <w:rFonts w:ascii="Arial Narrow" w:hAnsi="Arial Narrow"/>
                <w:b/>
                <w:sz w:val="20"/>
              </w:rPr>
              <w:t>Dupilumab</w:t>
            </w:r>
          </w:p>
        </w:tc>
        <w:tc>
          <w:tcPr>
            <w:tcW w:w="1701" w:type="dxa"/>
            <w:gridSpan w:val="2"/>
            <w:vAlign w:val="center"/>
          </w:tcPr>
          <w:p w:rsidR="00C55C99" w:rsidRPr="008F49BF" w:rsidRDefault="00C55C99" w:rsidP="009C1949">
            <w:pPr>
              <w:keepNext/>
              <w:spacing w:before="0" w:after="120"/>
              <w:rPr>
                <w:rFonts w:ascii="Arial Narrow" w:hAnsi="Arial Narrow"/>
                <w:b/>
                <w:sz w:val="20"/>
              </w:rPr>
            </w:pPr>
            <w:r w:rsidRPr="008F49BF">
              <w:rPr>
                <w:rFonts w:ascii="Arial Narrow" w:hAnsi="Arial Narrow"/>
                <w:b/>
                <w:sz w:val="20"/>
              </w:rPr>
              <w:t>Placebo</w:t>
            </w:r>
          </w:p>
        </w:tc>
        <w:tc>
          <w:tcPr>
            <w:tcW w:w="1701" w:type="dxa"/>
            <w:gridSpan w:val="2"/>
            <w:vAlign w:val="center"/>
          </w:tcPr>
          <w:p w:rsidR="00C55C99" w:rsidRPr="008F49BF" w:rsidRDefault="00C55C99" w:rsidP="009C1949">
            <w:pPr>
              <w:keepNext/>
              <w:spacing w:before="0" w:after="120"/>
              <w:rPr>
                <w:rFonts w:ascii="Arial Narrow" w:hAnsi="Arial Narrow"/>
                <w:b/>
                <w:sz w:val="20"/>
              </w:rPr>
            </w:pPr>
            <w:r w:rsidRPr="008F49BF">
              <w:rPr>
                <w:rFonts w:ascii="Arial Narrow" w:hAnsi="Arial Narrow"/>
                <w:b/>
                <w:sz w:val="20"/>
              </w:rPr>
              <w:t>Incremental</w:t>
            </w:r>
          </w:p>
        </w:tc>
        <w:tc>
          <w:tcPr>
            <w:tcW w:w="912" w:type="dxa"/>
            <w:vMerge w:val="restart"/>
            <w:vAlign w:val="center"/>
          </w:tcPr>
          <w:p w:rsidR="00C55C99" w:rsidRPr="008F49BF" w:rsidRDefault="00C55C99" w:rsidP="009C1949">
            <w:pPr>
              <w:keepNext/>
              <w:spacing w:before="0" w:after="120"/>
              <w:rPr>
                <w:rFonts w:ascii="Arial Narrow" w:hAnsi="Arial Narrow"/>
                <w:b/>
                <w:sz w:val="20"/>
              </w:rPr>
            </w:pPr>
            <w:r w:rsidRPr="008F49BF">
              <w:rPr>
                <w:rFonts w:ascii="Arial Narrow" w:hAnsi="Arial Narrow"/>
                <w:b/>
                <w:sz w:val="20"/>
              </w:rPr>
              <w:t>ICER</w:t>
            </w:r>
          </w:p>
        </w:tc>
      </w:tr>
      <w:tr w:rsidR="0047646D" w:rsidRPr="008F49BF" w:rsidTr="00F47FAE">
        <w:trPr>
          <w:tblHeader/>
        </w:trPr>
        <w:tc>
          <w:tcPr>
            <w:tcW w:w="1560" w:type="dxa"/>
            <w:vMerge/>
          </w:tcPr>
          <w:p w:rsidR="00C55C99" w:rsidRPr="008F49BF" w:rsidRDefault="00C55C99" w:rsidP="002E5E62">
            <w:pPr>
              <w:keepNext/>
              <w:spacing w:before="0" w:after="120"/>
              <w:jc w:val="both"/>
              <w:rPr>
                <w:rFonts w:ascii="Arial Narrow" w:hAnsi="Arial Narrow"/>
                <w:sz w:val="20"/>
              </w:rPr>
            </w:pPr>
          </w:p>
        </w:tc>
        <w:tc>
          <w:tcPr>
            <w:tcW w:w="1559" w:type="dxa"/>
            <w:vMerge/>
          </w:tcPr>
          <w:p w:rsidR="00C55C99" w:rsidRPr="008F49BF" w:rsidRDefault="00C55C99" w:rsidP="002E5E62">
            <w:pPr>
              <w:keepNext/>
              <w:spacing w:before="0" w:after="120"/>
              <w:jc w:val="both"/>
              <w:rPr>
                <w:rFonts w:ascii="Arial Narrow" w:hAnsi="Arial Narrow"/>
                <w:sz w:val="20"/>
              </w:rPr>
            </w:pPr>
          </w:p>
        </w:tc>
        <w:tc>
          <w:tcPr>
            <w:tcW w:w="850" w:type="dxa"/>
            <w:vAlign w:val="center"/>
          </w:tcPr>
          <w:p w:rsidR="00C55C99" w:rsidRPr="008F49BF" w:rsidRDefault="00C55C99" w:rsidP="009C1949">
            <w:pPr>
              <w:keepNext/>
              <w:spacing w:before="0" w:after="120"/>
              <w:rPr>
                <w:rFonts w:ascii="Arial Narrow" w:hAnsi="Arial Narrow"/>
                <w:b/>
                <w:sz w:val="20"/>
              </w:rPr>
            </w:pPr>
            <w:r w:rsidRPr="008F49BF">
              <w:rPr>
                <w:rFonts w:ascii="Arial Narrow" w:hAnsi="Arial Narrow"/>
                <w:b/>
                <w:sz w:val="20"/>
              </w:rPr>
              <w:t>Costs</w:t>
            </w:r>
          </w:p>
        </w:tc>
        <w:tc>
          <w:tcPr>
            <w:tcW w:w="851" w:type="dxa"/>
            <w:vAlign w:val="center"/>
          </w:tcPr>
          <w:p w:rsidR="00C55C99" w:rsidRPr="008F49BF" w:rsidRDefault="00C55C99" w:rsidP="009C1949">
            <w:pPr>
              <w:keepNext/>
              <w:spacing w:before="0" w:after="120"/>
              <w:rPr>
                <w:rFonts w:ascii="Arial Narrow" w:hAnsi="Arial Narrow"/>
                <w:b/>
                <w:sz w:val="20"/>
              </w:rPr>
            </w:pPr>
            <w:r w:rsidRPr="008F49BF">
              <w:rPr>
                <w:rFonts w:ascii="Arial Narrow" w:hAnsi="Arial Narrow"/>
                <w:b/>
                <w:sz w:val="20"/>
              </w:rPr>
              <w:t>QALYs</w:t>
            </w:r>
          </w:p>
        </w:tc>
        <w:tc>
          <w:tcPr>
            <w:tcW w:w="850" w:type="dxa"/>
            <w:vAlign w:val="center"/>
          </w:tcPr>
          <w:p w:rsidR="00C55C99" w:rsidRPr="008F49BF" w:rsidRDefault="00C55C99" w:rsidP="009C1949">
            <w:pPr>
              <w:keepNext/>
              <w:spacing w:before="0" w:after="120"/>
              <w:rPr>
                <w:rFonts w:ascii="Arial Narrow" w:hAnsi="Arial Narrow"/>
                <w:b/>
                <w:sz w:val="20"/>
              </w:rPr>
            </w:pPr>
            <w:r w:rsidRPr="008F49BF">
              <w:rPr>
                <w:rFonts w:ascii="Arial Narrow" w:hAnsi="Arial Narrow"/>
                <w:b/>
                <w:sz w:val="20"/>
              </w:rPr>
              <w:t>Costs</w:t>
            </w:r>
          </w:p>
        </w:tc>
        <w:tc>
          <w:tcPr>
            <w:tcW w:w="851" w:type="dxa"/>
            <w:vAlign w:val="center"/>
          </w:tcPr>
          <w:p w:rsidR="00C55C99" w:rsidRPr="008F49BF" w:rsidRDefault="00C55C99" w:rsidP="009C1949">
            <w:pPr>
              <w:keepNext/>
              <w:spacing w:before="0" w:after="120"/>
              <w:rPr>
                <w:rFonts w:ascii="Arial Narrow" w:hAnsi="Arial Narrow"/>
                <w:b/>
                <w:sz w:val="20"/>
              </w:rPr>
            </w:pPr>
            <w:r w:rsidRPr="008F49BF">
              <w:rPr>
                <w:rFonts w:ascii="Arial Narrow" w:hAnsi="Arial Narrow"/>
                <w:b/>
                <w:sz w:val="20"/>
              </w:rPr>
              <w:t>QALYs</w:t>
            </w:r>
          </w:p>
        </w:tc>
        <w:tc>
          <w:tcPr>
            <w:tcW w:w="850" w:type="dxa"/>
            <w:vAlign w:val="center"/>
          </w:tcPr>
          <w:p w:rsidR="00C55C99" w:rsidRPr="008F49BF" w:rsidRDefault="00C55C99" w:rsidP="009C1949">
            <w:pPr>
              <w:keepNext/>
              <w:spacing w:before="0" w:after="120"/>
              <w:rPr>
                <w:rFonts w:ascii="Arial Narrow" w:hAnsi="Arial Narrow"/>
                <w:b/>
                <w:sz w:val="20"/>
              </w:rPr>
            </w:pPr>
            <w:r w:rsidRPr="008F49BF">
              <w:rPr>
                <w:rFonts w:ascii="Arial Narrow" w:hAnsi="Arial Narrow"/>
                <w:b/>
                <w:sz w:val="20"/>
              </w:rPr>
              <w:t>Costs</w:t>
            </w:r>
          </w:p>
        </w:tc>
        <w:tc>
          <w:tcPr>
            <w:tcW w:w="851" w:type="dxa"/>
            <w:vAlign w:val="center"/>
          </w:tcPr>
          <w:p w:rsidR="00C55C99" w:rsidRPr="008F49BF" w:rsidRDefault="00C55C99" w:rsidP="009C1949">
            <w:pPr>
              <w:keepNext/>
              <w:spacing w:before="0" w:after="120"/>
              <w:rPr>
                <w:rFonts w:ascii="Arial Narrow" w:hAnsi="Arial Narrow"/>
                <w:b/>
                <w:sz w:val="20"/>
              </w:rPr>
            </w:pPr>
            <w:r w:rsidRPr="008F49BF">
              <w:rPr>
                <w:rFonts w:ascii="Arial Narrow" w:hAnsi="Arial Narrow"/>
                <w:b/>
                <w:sz w:val="20"/>
              </w:rPr>
              <w:t>QALYs</w:t>
            </w:r>
          </w:p>
        </w:tc>
        <w:tc>
          <w:tcPr>
            <w:tcW w:w="912" w:type="dxa"/>
            <w:vMerge/>
          </w:tcPr>
          <w:p w:rsidR="00C55C99" w:rsidRPr="008F49BF" w:rsidRDefault="00C55C99" w:rsidP="002E5E62">
            <w:pPr>
              <w:keepNext/>
              <w:spacing w:before="0" w:after="120"/>
              <w:jc w:val="both"/>
              <w:rPr>
                <w:rFonts w:ascii="Arial Narrow" w:hAnsi="Arial Narrow"/>
                <w:sz w:val="20"/>
              </w:rPr>
            </w:pPr>
          </w:p>
        </w:tc>
      </w:tr>
      <w:tr w:rsidR="0047646D" w:rsidRPr="008F49BF" w:rsidTr="00287AB5">
        <w:trPr>
          <w:trHeight w:val="177"/>
        </w:trPr>
        <w:tc>
          <w:tcPr>
            <w:tcW w:w="1560" w:type="dxa"/>
          </w:tcPr>
          <w:p w:rsidR="00C55C99" w:rsidRPr="008F49BF" w:rsidRDefault="00C55C99" w:rsidP="009C1949">
            <w:pPr>
              <w:keepNext/>
              <w:spacing w:before="0" w:after="120"/>
              <w:jc w:val="both"/>
              <w:rPr>
                <w:rFonts w:ascii="Arial Narrow" w:hAnsi="Arial Narrow"/>
                <w:sz w:val="20"/>
              </w:rPr>
            </w:pPr>
            <w:r w:rsidRPr="008F49BF">
              <w:rPr>
                <w:rFonts w:ascii="Arial Narrow" w:hAnsi="Arial Narrow"/>
                <w:sz w:val="20"/>
              </w:rPr>
              <w:t>Base case</w:t>
            </w:r>
          </w:p>
        </w:tc>
        <w:tc>
          <w:tcPr>
            <w:tcW w:w="1559" w:type="dxa"/>
          </w:tcPr>
          <w:p w:rsidR="00C55C99" w:rsidRPr="008F49BF" w:rsidRDefault="00C55C99" w:rsidP="009C1949">
            <w:pPr>
              <w:keepNext/>
              <w:spacing w:before="0" w:after="120"/>
              <w:jc w:val="both"/>
              <w:rPr>
                <w:rFonts w:ascii="Arial Narrow" w:hAnsi="Arial Narrow"/>
                <w:sz w:val="20"/>
              </w:rPr>
            </w:pPr>
          </w:p>
        </w:tc>
        <w:tc>
          <w:tcPr>
            <w:tcW w:w="850" w:type="dxa"/>
          </w:tcPr>
          <w:p w:rsidR="00C55C99" w:rsidRPr="008F49BF" w:rsidRDefault="00C55C99" w:rsidP="009C1949">
            <w:pPr>
              <w:keepNext/>
              <w:spacing w:before="0" w:after="120"/>
              <w:jc w:val="both"/>
              <w:rPr>
                <w:rFonts w:ascii="Arial Narrow" w:hAnsi="Arial Narrow"/>
                <w:sz w:val="20"/>
              </w:rPr>
            </w:pPr>
            <w:r w:rsidRPr="008F49BF">
              <w:rPr>
                <w:rFonts w:ascii="Arial Narrow" w:hAnsi="Arial Narrow"/>
                <w:sz w:val="20"/>
              </w:rPr>
              <w:t>$</w:t>
            </w:r>
            <w:r w:rsidR="00330093">
              <w:rPr>
                <w:rFonts w:ascii="Arial Narrow" w:hAnsi="Arial Narrow"/>
                <w:noProof/>
                <w:color w:val="000000"/>
                <w:sz w:val="20"/>
                <w:highlight w:val="black"/>
              </w:rPr>
              <w:t>'''''''''''''''''</w:t>
            </w:r>
          </w:p>
        </w:tc>
        <w:tc>
          <w:tcPr>
            <w:tcW w:w="851" w:type="dxa"/>
          </w:tcPr>
          <w:p w:rsidR="00C55C99" w:rsidRPr="00330093" w:rsidRDefault="00330093" w:rsidP="009C1949">
            <w:pPr>
              <w:keepNext/>
              <w:spacing w:before="0" w:after="120"/>
              <w:jc w:val="both"/>
              <w:rPr>
                <w:rFonts w:ascii="Arial Narrow" w:hAnsi="Arial Narrow"/>
                <w:sz w:val="20"/>
                <w:highlight w:val="black"/>
              </w:rPr>
            </w:pPr>
            <w:r>
              <w:rPr>
                <w:rFonts w:ascii="Arial Narrow" w:hAnsi="Arial Narrow"/>
                <w:noProof/>
                <w:color w:val="000000"/>
                <w:sz w:val="20"/>
                <w:highlight w:val="black"/>
              </w:rPr>
              <w:t>''''''''''''''''</w:t>
            </w:r>
          </w:p>
        </w:tc>
        <w:tc>
          <w:tcPr>
            <w:tcW w:w="850" w:type="dxa"/>
          </w:tcPr>
          <w:p w:rsidR="00C55C99" w:rsidRPr="008F49BF" w:rsidRDefault="00C55C99" w:rsidP="009C1949">
            <w:pPr>
              <w:keepNext/>
              <w:spacing w:before="0" w:after="120"/>
              <w:jc w:val="both"/>
              <w:rPr>
                <w:rFonts w:ascii="Arial Narrow" w:hAnsi="Arial Narrow"/>
                <w:sz w:val="20"/>
              </w:rPr>
            </w:pPr>
            <w:r w:rsidRPr="008F49BF">
              <w:rPr>
                <w:rFonts w:ascii="Arial Narrow" w:hAnsi="Arial Narrow"/>
                <w:sz w:val="20"/>
              </w:rPr>
              <w:t>$</w:t>
            </w:r>
            <w:r w:rsidR="00330093">
              <w:rPr>
                <w:rFonts w:ascii="Arial Narrow" w:hAnsi="Arial Narrow"/>
                <w:noProof/>
                <w:color w:val="000000"/>
                <w:sz w:val="20"/>
                <w:highlight w:val="black"/>
              </w:rPr>
              <w:t>'''''''''''''''''</w:t>
            </w:r>
          </w:p>
        </w:tc>
        <w:tc>
          <w:tcPr>
            <w:tcW w:w="851" w:type="dxa"/>
          </w:tcPr>
          <w:p w:rsidR="00C55C99" w:rsidRPr="00330093" w:rsidRDefault="00330093" w:rsidP="009C1949">
            <w:pPr>
              <w:keepNext/>
              <w:spacing w:before="0" w:after="120"/>
              <w:jc w:val="both"/>
              <w:rPr>
                <w:rFonts w:ascii="Arial Narrow" w:hAnsi="Arial Narrow"/>
                <w:sz w:val="20"/>
                <w:highlight w:val="black"/>
              </w:rPr>
            </w:pPr>
            <w:r>
              <w:rPr>
                <w:rFonts w:ascii="Arial Narrow" w:hAnsi="Arial Narrow"/>
                <w:noProof/>
                <w:color w:val="000000"/>
                <w:sz w:val="20"/>
                <w:highlight w:val="black"/>
              </w:rPr>
              <w:t>'''''''''''''''</w:t>
            </w:r>
          </w:p>
        </w:tc>
        <w:tc>
          <w:tcPr>
            <w:tcW w:w="850" w:type="dxa"/>
          </w:tcPr>
          <w:p w:rsidR="00C55C99" w:rsidRPr="008F49BF" w:rsidRDefault="00C55C99" w:rsidP="009C1949">
            <w:pPr>
              <w:keepNext/>
              <w:spacing w:before="0" w:after="120"/>
              <w:jc w:val="both"/>
              <w:rPr>
                <w:rFonts w:ascii="Arial Narrow" w:hAnsi="Arial Narrow"/>
                <w:sz w:val="20"/>
              </w:rPr>
            </w:pPr>
            <w:r w:rsidRPr="008F49BF">
              <w:rPr>
                <w:rFonts w:ascii="Arial Narrow" w:hAnsi="Arial Narrow"/>
                <w:sz w:val="20"/>
              </w:rPr>
              <w:t>$</w:t>
            </w:r>
            <w:r w:rsidR="00330093">
              <w:rPr>
                <w:rFonts w:ascii="Arial Narrow" w:hAnsi="Arial Narrow"/>
                <w:noProof/>
                <w:color w:val="000000"/>
                <w:sz w:val="20"/>
                <w:highlight w:val="black"/>
              </w:rPr>
              <w:t>'''''''''''''''</w:t>
            </w:r>
          </w:p>
        </w:tc>
        <w:tc>
          <w:tcPr>
            <w:tcW w:w="851" w:type="dxa"/>
          </w:tcPr>
          <w:p w:rsidR="00C55C99" w:rsidRPr="00330093" w:rsidRDefault="00330093" w:rsidP="009C1949">
            <w:pPr>
              <w:keepNext/>
              <w:spacing w:before="0" w:after="120"/>
              <w:jc w:val="both"/>
              <w:rPr>
                <w:rFonts w:ascii="Arial Narrow" w:hAnsi="Arial Narrow"/>
                <w:sz w:val="20"/>
                <w:highlight w:val="black"/>
              </w:rPr>
            </w:pPr>
            <w:r>
              <w:rPr>
                <w:rFonts w:ascii="Arial Narrow" w:hAnsi="Arial Narrow"/>
                <w:noProof/>
                <w:color w:val="000000"/>
                <w:sz w:val="20"/>
                <w:highlight w:val="black"/>
              </w:rPr>
              <w:t>'''''''''''''''</w:t>
            </w:r>
          </w:p>
        </w:tc>
        <w:tc>
          <w:tcPr>
            <w:tcW w:w="912" w:type="dxa"/>
          </w:tcPr>
          <w:p w:rsidR="00C55C99" w:rsidRPr="008F49BF" w:rsidRDefault="00C55C99" w:rsidP="009C1949">
            <w:pPr>
              <w:keepNext/>
              <w:spacing w:before="0" w:after="120"/>
              <w:jc w:val="both"/>
              <w:rPr>
                <w:rFonts w:ascii="Arial Narrow" w:hAnsi="Arial Narrow"/>
                <w:sz w:val="20"/>
              </w:rPr>
            </w:pPr>
            <w:r w:rsidRPr="008F49BF">
              <w:rPr>
                <w:rFonts w:ascii="Arial Narrow" w:hAnsi="Arial Narrow"/>
                <w:sz w:val="20"/>
              </w:rPr>
              <w:t>$</w:t>
            </w:r>
            <w:r w:rsidR="00330093">
              <w:rPr>
                <w:rFonts w:ascii="Arial Narrow" w:hAnsi="Arial Narrow"/>
                <w:noProof/>
                <w:color w:val="000000"/>
                <w:sz w:val="20"/>
                <w:highlight w:val="black"/>
              </w:rPr>
              <w:t>'''''''''''''''''</w:t>
            </w:r>
          </w:p>
        </w:tc>
      </w:tr>
      <w:tr w:rsidR="0047646D" w:rsidRPr="008F49BF" w:rsidTr="002E5E62">
        <w:tc>
          <w:tcPr>
            <w:tcW w:w="1560" w:type="dxa"/>
          </w:tcPr>
          <w:p w:rsidR="00C55C99" w:rsidRPr="008F49BF" w:rsidRDefault="00C55C99" w:rsidP="009C1949">
            <w:pPr>
              <w:keepNext/>
              <w:spacing w:before="0" w:after="120"/>
              <w:rPr>
                <w:rFonts w:ascii="Arial Narrow" w:hAnsi="Arial Narrow"/>
                <w:sz w:val="20"/>
              </w:rPr>
            </w:pPr>
            <w:r w:rsidRPr="008F49BF">
              <w:rPr>
                <w:rFonts w:ascii="Arial Narrow" w:hAnsi="Arial Narrow"/>
                <w:sz w:val="20"/>
              </w:rPr>
              <w:t xml:space="preserve">Probability of </w:t>
            </w:r>
            <w:r w:rsidR="0047646D" w:rsidRPr="008F49BF">
              <w:rPr>
                <w:rFonts w:ascii="Arial Narrow" w:hAnsi="Arial Narrow"/>
                <w:sz w:val="20"/>
              </w:rPr>
              <w:br/>
            </w:r>
            <w:r w:rsidRPr="008F49BF">
              <w:rPr>
                <w:rFonts w:ascii="Arial Narrow" w:hAnsi="Arial Narrow"/>
                <w:sz w:val="20"/>
              </w:rPr>
              <w:t>EASI-75 response at 16 weeks (DUP 54%; PBO 11.5%)</w:t>
            </w:r>
          </w:p>
        </w:tc>
        <w:tc>
          <w:tcPr>
            <w:tcW w:w="1559" w:type="dxa"/>
          </w:tcPr>
          <w:p w:rsidR="00C55C99" w:rsidRPr="008F49BF" w:rsidRDefault="00FE1855" w:rsidP="009C1949">
            <w:pPr>
              <w:keepNext/>
              <w:spacing w:before="0" w:after="120"/>
              <w:rPr>
                <w:rFonts w:ascii="Arial Narrow" w:hAnsi="Arial Narrow"/>
                <w:sz w:val="20"/>
              </w:rPr>
            </w:pPr>
            <w:r w:rsidRPr="008F49BF">
              <w:rPr>
                <w:rFonts w:ascii="Arial Narrow" w:hAnsi="Arial Narrow"/>
                <w:sz w:val="20"/>
              </w:rPr>
              <w:t xml:space="preserve">CAFÉ </w:t>
            </w:r>
            <w:r w:rsidR="00C55C99" w:rsidRPr="008F49BF">
              <w:rPr>
                <w:rFonts w:ascii="Arial Narrow" w:hAnsi="Arial Narrow"/>
                <w:sz w:val="20"/>
              </w:rPr>
              <w:t>ITT analysis (DUP 62.6%; PBO 29.6%)</w:t>
            </w:r>
          </w:p>
        </w:tc>
        <w:tc>
          <w:tcPr>
            <w:tcW w:w="850" w:type="dxa"/>
          </w:tcPr>
          <w:p w:rsidR="00C55C99" w:rsidRPr="008F49BF" w:rsidRDefault="00C55C99" w:rsidP="009C1949">
            <w:pPr>
              <w:keepNext/>
              <w:spacing w:before="0" w:after="120"/>
              <w:jc w:val="both"/>
              <w:rPr>
                <w:rFonts w:ascii="Arial Narrow" w:hAnsi="Arial Narrow"/>
                <w:sz w:val="20"/>
              </w:rPr>
            </w:pPr>
            <w:r w:rsidRPr="008F49BF">
              <w:rPr>
                <w:rFonts w:ascii="Arial Narrow" w:hAnsi="Arial Narrow"/>
                <w:sz w:val="20"/>
              </w:rPr>
              <w:t>$</w:t>
            </w:r>
            <w:r w:rsidR="00330093">
              <w:rPr>
                <w:rFonts w:ascii="Arial Narrow" w:hAnsi="Arial Narrow"/>
                <w:noProof/>
                <w:color w:val="000000"/>
                <w:sz w:val="20"/>
                <w:highlight w:val="black"/>
              </w:rPr>
              <w:t>''''''''''''''''</w:t>
            </w:r>
          </w:p>
        </w:tc>
        <w:tc>
          <w:tcPr>
            <w:tcW w:w="851" w:type="dxa"/>
          </w:tcPr>
          <w:p w:rsidR="00C55C99" w:rsidRPr="00330093" w:rsidRDefault="00330093" w:rsidP="009C1949">
            <w:pPr>
              <w:keepNext/>
              <w:spacing w:before="0" w:after="120"/>
              <w:jc w:val="both"/>
              <w:rPr>
                <w:rFonts w:ascii="Arial Narrow" w:hAnsi="Arial Narrow"/>
                <w:sz w:val="20"/>
                <w:highlight w:val="black"/>
              </w:rPr>
            </w:pPr>
            <w:r>
              <w:rPr>
                <w:rFonts w:ascii="Arial Narrow" w:hAnsi="Arial Narrow"/>
                <w:noProof/>
                <w:color w:val="000000"/>
                <w:sz w:val="20"/>
                <w:highlight w:val="black"/>
              </w:rPr>
              <w:t>'''''''''''''''</w:t>
            </w:r>
          </w:p>
        </w:tc>
        <w:tc>
          <w:tcPr>
            <w:tcW w:w="850" w:type="dxa"/>
          </w:tcPr>
          <w:p w:rsidR="00C55C99" w:rsidRPr="008F49BF" w:rsidRDefault="00C55C99" w:rsidP="009C1949">
            <w:pPr>
              <w:keepNext/>
              <w:spacing w:before="0" w:after="120"/>
              <w:jc w:val="both"/>
              <w:rPr>
                <w:rFonts w:ascii="Arial Narrow" w:hAnsi="Arial Narrow"/>
                <w:sz w:val="20"/>
              </w:rPr>
            </w:pPr>
            <w:r w:rsidRPr="008F49BF">
              <w:rPr>
                <w:rFonts w:ascii="Arial Narrow" w:hAnsi="Arial Narrow"/>
                <w:sz w:val="20"/>
              </w:rPr>
              <w:t>$</w:t>
            </w:r>
            <w:r w:rsidR="00330093">
              <w:rPr>
                <w:rFonts w:ascii="Arial Narrow" w:hAnsi="Arial Narrow"/>
                <w:noProof/>
                <w:color w:val="000000"/>
                <w:sz w:val="20"/>
                <w:highlight w:val="black"/>
              </w:rPr>
              <w:t>''''''''''''''''''</w:t>
            </w:r>
          </w:p>
        </w:tc>
        <w:tc>
          <w:tcPr>
            <w:tcW w:w="851" w:type="dxa"/>
          </w:tcPr>
          <w:p w:rsidR="00C55C99" w:rsidRPr="00330093" w:rsidRDefault="00330093" w:rsidP="009C1949">
            <w:pPr>
              <w:keepNext/>
              <w:spacing w:before="0" w:after="120"/>
              <w:jc w:val="both"/>
              <w:rPr>
                <w:rFonts w:ascii="Arial Narrow" w:hAnsi="Arial Narrow"/>
                <w:sz w:val="20"/>
                <w:highlight w:val="black"/>
              </w:rPr>
            </w:pPr>
            <w:r>
              <w:rPr>
                <w:rFonts w:ascii="Arial Narrow" w:hAnsi="Arial Narrow"/>
                <w:noProof/>
                <w:color w:val="000000"/>
                <w:sz w:val="20"/>
                <w:highlight w:val="black"/>
              </w:rPr>
              <w:t>''''''''''''''''</w:t>
            </w:r>
          </w:p>
        </w:tc>
        <w:tc>
          <w:tcPr>
            <w:tcW w:w="850" w:type="dxa"/>
          </w:tcPr>
          <w:p w:rsidR="00C55C99" w:rsidRPr="008F49BF" w:rsidRDefault="00C55C99" w:rsidP="009C1949">
            <w:pPr>
              <w:keepNext/>
              <w:spacing w:before="0" w:after="120"/>
              <w:jc w:val="both"/>
              <w:rPr>
                <w:rFonts w:ascii="Arial Narrow" w:hAnsi="Arial Narrow"/>
                <w:sz w:val="20"/>
              </w:rPr>
            </w:pPr>
            <w:r w:rsidRPr="008F49BF">
              <w:rPr>
                <w:rFonts w:ascii="Arial Narrow" w:hAnsi="Arial Narrow"/>
                <w:sz w:val="20"/>
              </w:rPr>
              <w:t>$</w:t>
            </w:r>
            <w:r w:rsidR="00330093">
              <w:rPr>
                <w:rFonts w:ascii="Arial Narrow" w:hAnsi="Arial Narrow"/>
                <w:noProof/>
                <w:color w:val="000000"/>
                <w:sz w:val="20"/>
                <w:highlight w:val="black"/>
              </w:rPr>
              <w:t>''''''''''''''''</w:t>
            </w:r>
          </w:p>
        </w:tc>
        <w:tc>
          <w:tcPr>
            <w:tcW w:w="851" w:type="dxa"/>
          </w:tcPr>
          <w:p w:rsidR="00C55C99" w:rsidRPr="00330093" w:rsidRDefault="00330093" w:rsidP="009C1949">
            <w:pPr>
              <w:keepNext/>
              <w:spacing w:before="0" w:after="120"/>
              <w:jc w:val="both"/>
              <w:rPr>
                <w:rFonts w:ascii="Arial Narrow" w:hAnsi="Arial Narrow"/>
                <w:sz w:val="20"/>
                <w:highlight w:val="black"/>
              </w:rPr>
            </w:pPr>
            <w:r>
              <w:rPr>
                <w:rFonts w:ascii="Arial Narrow" w:hAnsi="Arial Narrow"/>
                <w:noProof/>
                <w:color w:val="000000"/>
                <w:sz w:val="20"/>
                <w:highlight w:val="black"/>
              </w:rPr>
              <w:t>''''''''''''''''</w:t>
            </w:r>
          </w:p>
        </w:tc>
        <w:tc>
          <w:tcPr>
            <w:tcW w:w="912" w:type="dxa"/>
          </w:tcPr>
          <w:p w:rsidR="00C55C99" w:rsidRPr="008F49BF" w:rsidRDefault="00C55C99" w:rsidP="009C1949">
            <w:pPr>
              <w:keepNext/>
              <w:spacing w:before="0" w:after="120"/>
              <w:jc w:val="both"/>
              <w:rPr>
                <w:rFonts w:ascii="Arial Narrow" w:hAnsi="Arial Narrow"/>
                <w:sz w:val="20"/>
              </w:rPr>
            </w:pPr>
            <w:r w:rsidRPr="008F49BF">
              <w:rPr>
                <w:rFonts w:ascii="Arial Narrow" w:hAnsi="Arial Narrow"/>
                <w:sz w:val="20"/>
              </w:rPr>
              <w:t>$</w:t>
            </w:r>
            <w:r w:rsidR="00330093">
              <w:rPr>
                <w:rFonts w:ascii="Arial Narrow" w:hAnsi="Arial Narrow"/>
                <w:noProof/>
                <w:color w:val="000000"/>
                <w:sz w:val="20"/>
                <w:highlight w:val="black"/>
              </w:rPr>
              <w:t>'''''''''''''''''</w:t>
            </w:r>
          </w:p>
        </w:tc>
      </w:tr>
      <w:tr w:rsidR="0047646D" w:rsidRPr="008F49BF" w:rsidTr="0047646D">
        <w:tc>
          <w:tcPr>
            <w:tcW w:w="1560" w:type="dxa"/>
          </w:tcPr>
          <w:p w:rsidR="00C55C99" w:rsidRPr="008F49BF" w:rsidRDefault="00C55C99" w:rsidP="009C1949">
            <w:pPr>
              <w:keepNext/>
              <w:spacing w:before="0" w:after="120"/>
              <w:rPr>
                <w:rFonts w:ascii="Arial Narrow" w:hAnsi="Arial Narrow"/>
                <w:sz w:val="20"/>
              </w:rPr>
            </w:pPr>
            <w:r w:rsidRPr="008F49BF">
              <w:rPr>
                <w:rFonts w:ascii="Arial Narrow" w:hAnsi="Arial Narrow"/>
                <w:sz w:val="20"/>
              </w:rPr>
              <w:t xml:space="preserve">Per cycle probability of maintaining </w:t>
            </w:r>
            <w:r w:rsidR="0047646D" w:rsidRPr="008F49BF">
              <w:rPr>
                <w:rFonts w:ascii="Arial Narrow" w:hAnsi="Arial Narrow"/>
                <w:sz w:val="20"/>
              </w:rPr>
              <w:br/>
            </w:r>
            <w:r w:rsidRPr="008F49BF">
              <w:rPr>
                <w:rFonts w:ascii="Arial Narrow" w:hAnsi="Arial Narrow"/>
                <w:sz w:val="20"/>
              </w:rPr>
              <w:t>EASI-75 response (DUP 93.1%; PBO 88.2%)</w:t>
            </w:r>
          </w:p>
        </w:tc>
        <w:tc>
          <w:tcPr>
            <w:tcW w:w="1559" w:type="dxa"/>
          </w:tcPr>
          <w:p w:rsidR="00C55C99" w:rsidRPr="008F49BF" w:rsidRDefault="00C55C99" w:rsidP="009C1949">
            <w:pPr>
              <w:keepNext/>
              <w:spacing w:before="0" w:after="120"/>
              <w:rPr>
                <w:rFonts w:ascii="Arial Narrow" w:hAnsi="Arial Narrow"/>
                <w:sz w:val="20"/>
              </w:rPr>
            </w:pPr>
            <w:r w:rsidRPr="008F49BF">
              <w:rPr>
                <w:rFonts w:ascii="Arial Narrow" w:hAnsi="Arial Narrow"/>
                <w:sz w:val="20"/>
              </w:rPr>
              <w:t>Data for subgroup with severe AD at baseline (DUP 92.2%; PBO 89.6%)</w:t>
            </w:r>
          </w:p>
        </w:tc>
        <w:tc>
          <w:tcPr>
            <w:tcW w:w="850" w:type="dxa"/>
          </w:tcPr>
          <w:p w:rsidR="00C55C99" w:rsidRPr="008F49BF" w:rsidRDefault="00C55C99" w:rsidP="009C1949">
            <w:pPr>
              <w:keepNext/>
              <w:spacing w:before="0" w:after="120"/>
              <w:jc w:val="both"/>
              <w:rPr>
                <w:rFonts w:ascii="Arial Narrow" w:hAnsi="Arial Narrow"/>
                <w:sz w:val="20"/>
              </w:rPr>
            </w:pPr>
            <w:r w:rsidRPr="008F49BF">
              <w:rPr>
                <w:rFonts w:ascii="Arial Narrow" w:hAnsi="Arial Narrow"/>
                <w:sz w:val="20"/>
              </w:rPr>
              <w:t>$</w:t>
            </w:r>
            <w:r w:rsidR="00330093">
              <w:rPr>
                <w:rFonts w:ascii="Arial Narrow" w:hAnsi="Arial Narrow"/>
                <w:noProof/>
                <w:color w:val="000000"/>
                <w:sz w:val="20"/>
                <w:highlight w:val="black"/>
              </w:rPr>
              <w:t>''''''''''''''''''</w:t>
            </w:r>
          </w:p>
        </w:tc>
        <w:tc>
          <w:tcPr>
            <w:tcW w:w="851" w:type="dxa"/>
          </w:tcPr>
          <w:p w:rsidR="00C55C99" w:rsidRPr="00330093" w:rsidRDefault="00330093" w:rsidP="009C1949">
            <w:pPr>
              <w:keepNext/>
              <w:spacing w:before="0" w:after="120"/>
              <w:jc w:val="both"/>
              <w:rPr>
                <w:rFonts w:ascii="Arial Narrow" w:hAnsi="Arial Narrow"/>
                <w:sz w:val="20"/>
                <w:highlight w:val="black"/>
              </w:rPr>
            </w:pPr>
            <w:r>
              <w:rPr>
                <w:rFonts w:ascii="Arial Narrow" w:hAnsi="Arial Narrow"/>
                <w:noProof/>
                <w:color w:val="000000"/>
                <w:sz w:val="20"/>
                <w:highlight w:val="black"/>
              </w:rPr>
              <w:t>'''''''''''''''''</w:t>
            </w:r>
          </w:p>
        </w:tc>
        <w:tc>
          <w:tcPr>
            <w:tcW w:w="850" w:type="dxa"/>
          </w:tcPr>
          <w:p w:rsidR="00C55C99" w:rsidRPr="008F49BF" w:rsidRDefault="00C55C99" w:rsidP="009C1949">
            <w:pPr>
              <w:keepNext/>
              <w:spacing w:before="0" w:after="120"/>
              <w:jc w:val="both"/>
              <w:rPr>
                <w:rFonts w:ascii="Arial Narrow" w:hAnsi="Arial Narrow"/>
                <w:sz w:val="20"/>
              </w:rPr>
            </w:pPr>
            <w:r w:rsidRPr="008F49BF">
              <w:rPr>
                <w:rFonts w:ascii="Arial Narrow" w:hAnsi="Arial Narrow"/>
                <w:sz w:val="20"/>
              </w:rPr>
              <w:t>$</w:t>
            </w:r>
            <w:r w:rsidR="00330093">
              <w:rPr>
                <w:rFonts w:ascii="Arial Narrow" w:hAnsi="Arial Narrow"/>
                <w:noProof/>
                <w:color w:val="000000"/>
                <w:sz w:val="20"/>
                <w:highlight w:val="black"/>
              </w:rPr>
              <w:t>''''''''''''''''</w:t>
            </w:r>
          </w:p>
        </w:tc>
        <w:tc>
          <w:tcPr>
            <w:tcW w:w="851" w:type="dxa"/>
          </w:tcPr>
          <w:p w:rsidR="00C55C99" w:rsidRPr="00330093" w:rsidRDefault="00330093" w:rsidP="009C1949">
            <w:pPr>
              <w:keepNext/>
              <w:spacing w:before="0" w:after="120"/>
              <w:jc w:val="both"/>
              <w:rPr>
                <w:rFonts w:ascii="Arial Narrow" w:hAnsi="Arial Narrow"/>
                <w:sz w:val="20"/>
                <w:highlight w:val="black"/>
              </w:rPr>
            </w:pPr>
            <w:r>
              <w:rPr>
                <w:rFonts w:ascii="Arial Narrow" w:hAnsi="Arial Narrow"/>
                <w:noProof/>
                <w:color w:val="000000"/>
                <w:sz w:val="20"/>
                <w:highlight w:val="black"/>
              </w:rPr>
              <w:t>'''''''''''''''</w:t>
            </w:r>
          </w:p>
        </w:tc>
        <w:tc>
          <w:tcPr>
            <w:tcW w:w="850" w:type="dxa"/>
          </w:tcPr>
          <w:p w:rsidR="00C55C99" w:rsidRPr="008F49BF" w:rsidRDefault="00C55C99" w:rsidP="009C1949">
            <w:pPr>
              <w:keepNext/>
              <w:spacing w:before="0" w:after="120"/>
              <w:jc w:val="both"/>
              <w:rPr>
                <w:rFonts w:ascii="Arial Narrow" w:hAnsi="Arial Narrow"/>
                <w:sz w:val="20"/>
              </w:rPr>
            </w:pPr>
            <w:r w:rsidRPr="008F49BF">
              <w:rPr>
                <w:rFonts w:ascii="Arial Narrow" w:hAnsi="Arial Narrow"/>
                <w:sz w:val="20"/>
              </w:rPr>
              <w:t>$</w:t>
            </w:r>
            <w:r w:rsidR="00330093">
              <w:rPr>
                <w:rFonts w:ascii="Arial Narrow" w:hAnsi="Arial Narrow"/>
                <w:noProof/>
                <w:color w:val="000000"/>
                <w:sz w:val="20"/>
                <w:highlight w:val="black"/>
              </w:rPr>
              <w:t>'''''''''''''''''</w:t>
            </w:r>
          </w:p>
        </w:tc>
        <w:tc>
          <w:tcPr>
            <w:tcW w:w="851" w:type="dxa"/>
          </w:tcPr>
          <w:p w:rsidR="00C55C99" w:rsidRPr="00330093" w:rsidRDefault="00330093" w:rsidP="009C1949">
            <w:pPr>
              <w:keepNext/>
              <w:spacing w:before="0" w:after="120"/>
              <w:jc w:val="both"/>
              <w:rPr>
                <w:rFonts w:ascii="Arial Narrow" w:hAnsi="Arial Narrow"/>
                <w:sz w:val="20"/>
                <w:highlight w:val="black"/>
              </w:rPr>
            </w:pPr>
            <w:r>
              <w:rPr>
                <w:rFonts w:ascii="Arial Narrow" w:hAnsi="Arial Narrow"/>
                <w:noProof/>
                <w:color w:val="000000"/>
                <w:sz w:val="20"/>
                <w:highlight w:val="black"/>
              </w:rPr>
              <w:t>'''''''''''''''''</w:t>
            </w:r>
          </w:p>
        </w:tc>
        <w:tc>
          <w:tcPr>
            <w:tcW w:w="912" w:type="dxa"/>
          </w:tcPr>
          <w:p w:rsidR="00C55C99" w:rsidRPr="008F49BF" w:rsidRDefault="00C55C99" w:rsidP="009C1949">
            <w:pPr>
              <w:keepNext/>
              <w:spacing w:before="0" w:after="120"/>
              <w:jc w:val="both"/>
              <w:rPr>
                <w:rFonts w:ascii="Arial Narrow" w:hAnsi="Arial Narrow"/>
                <w:sz w:val="20"/>
              </w:rPr>
            </w:pPr>
            <w:r w:rsidRPr="008F49BF">
              <w:rPr>
                <w:rFonts w:ascii="Arial Narrow" w:hAnsi="Arial Narrow"/>
                <w:sz w:val="20"/>
              </w:rPr>
              <w:t>$</w:t>
            </w:r>
            <w:r w:rsidR="00330093">
              <w:rPr>
                <w:rFonts w:ascii="Arial Narrow" w:hAnsi="Arial Narrow"/>
                <w:noProof/>
                <w:color w:val="000000"/>
                <w:sz w:val="20"/>
                <w:highlight w:val="black"/>
              </w:rPr>
              <w:t>''''''''''''''''</w:t>
            </w:r>
          </w:p>
        </w:tc>
      </w:tr>
    </w:tbl>
    <w:p w:rsidR="0047646D" w:rsidRDefault="0008386A" w:rsidP="0047646D">
      <w:pPr>
        <w:pStyle w:val="TableFooter"/>
      </w:pPr>
      <w:r>
        <w:t>Source: Table 3</w:t>
      </w:r>
      <w:r w:rsidR="0047646D" w:rsidRPr="008F49BF">
        <w:t xml:space="preserve"> of the PSCR</w:t>
      </w:r>
    </w:p>
    <w:p w:rsidR="006D633C" w:rsidRDefault="006D633C" w:rsidP="0047646D">
      <w:pPr>
        <w:pStyle w:val="TableFooter"/>
      </w:pPr>
    </w:p>
    <w:p w:rsidR="006D633C" w:rsidRPr="006D633C" w:rsidRDefault="006D633C" w:rsidP="0047646D">
      <w:pPr>
        <w:pStyle w:val="TableFooter"/>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redacted table shows ICERs in the range of $45,000/QALY - $105,000/QALY. </w:t>
      </w:r>
    </w:p>
    <w:p w:rsidR="00C317F3" w:rsidRPr="004D3C91" w:rsidRDefault="00C317F3" w:rsidP="00772501">
      <w:pPr>
        <w:pStyle w:val="Heading2"/>
      </w:pPr>
      <w:bookmarkStart w:id="26" w:name="_Toc413139283"/>
      <w:bookmarkStart w:id="27" w:name="_Toc514253621"/>
      <w:r w:rsidRPr="004D3C91">
        <w:t>Drug cost/patient/year</w:t>
      </w:r>
      <w:bookmarkEnd w:id="26"/>
      <w:bookmarkEnd w:id="27"/>
    </w:p>
    <w:p w:rsidR="00C317F3" w:rsidRPr="00ED3C94" w:rsidRDefault="00E94C3B" w:rsidP="00961807">
      <w:pPr>
        <w:widowControl w:val="0"/>
        <w:numPr>
          <w:ilvl w:val="1"/>
          <w:numId w:val="4"/>
        </w:numPr>
        <w:spacing w:before="0" w:after="120"/>
        <w:jc w:val="both"/>
      </w:pPr>
      <w:r w:rsidRPr="00ED3C94">
        <w:t>$</w:t>
      </w:r>
      <w:r w:rsidR="00330093">
        <w:rPr>
          <w:noProof/>
          <w:color w:val="000000"/>
          <w:highlight w:val="black"/>
        </w:rPr>
        <w:t>'''''''''''''</w:t>
      </w:r>
      <w:r w:rsidRPr="00ED3C94">
        <w:t>, assuming a DPMQ of $</w:t>
      </w:r>
      <w:r w:rsidR="00330093">
        <w:rPr>
          <w:noProof/>
          <w:color w:val="000000"/>
          <w:highlight w:val="black"/>
        </w:rPr>
        <w:t>''''''''''''''''</w:t>
      </w:r>
      <w:r w:rsidRPr="00ED3C94">
        <w:t>, and 13 scripts per year for continuing patients.</w:t>
      </w:r>
    </w:p>
    <w:p w:rsidR="00C317F3" w:rsidRPr="004D3C91" w:rsidRDefault="00C317F3" w:rsidP="00772501">
      <w:pPr>
        <w:pStyle w:val="Heading2"/>
      </w:pPr>
      <w:bookmarkStart w:id="28" w:name="_Toc413139284"/>
      <w:bookmarkStart w:id="29" w:name="_Toc514253622"/>
      <w:r w:rsidRPr="004D3C91">
        <w:t>Estimated PBS usage &amp; financial implications</w:t>
      </w:r>
      <w:bookmarkEnd w:id="28"/>
      <w:bookmarkEnd w:id="29"/>
    </w:p>
    <w:p w:rsidR="0049471B" w:rsidRPr="00E94C3B" w:rsidRDefault="0049471B" w:rsidP="00961807">
      <w:pPr>
        <w:widowControl w:val="0"/>
        <w:numPr>
          <w:ilvl w:val="1"/>
          <w:numId w:val="4"/>
        </w:numPr>
        <w:spacing w:before="0" w:after="120"/>
        <w:jc w:val="both"/>
      </w:pPr>
      <w:bookmarkStart w:id="30" w:name="_Toc413139285"/>
      <w:bookmarkStart w:id="31" w:name="_Toc514253623"/>
      <w:r w:rsidRPr="00947A14">
        <w:t>This submission was considered by DUSC.</w:t>
      </w:r>
      <w:r w:rsidRPr="00E94C3B">
        <w:t xml:space="preserve"> The submission took a mixed epidemiological and market share approach to estimate the financial impact of dupilumab</w:t>
      </w:r>
      <w:r>
        <w:t xml:space="preserve">. Table </w:t>
      </w:r>
      <w:r w:rsidR="00287AB5">
        <w:t>11</w:t>
      </w:r>
      <w:r>
        <w:t xml:space="preserve"> summarises the e</w:t>
      </w:r>
      <w:r w:rsidRPr="006F16B3">
        <w:t>stimated use and financial implications as presented in the submission</w:t>
      </w:r>
      <w:r>
        <w:t>.</w:t>
      </w:r>
    </w:p>
    <w:p w:rsidR="0093702D" w:rsidRDefault="0093702D" w:rsidP="0093702D">
      <w:pPr>
        <w:pStyle w:val="Caption"/>
      </w:pPr>
      <w:r>
        <w:lastRenderedPageBreak/>
        <w:t xml:space="preserve">Table </w:t>
      </w:r>
      <w:r w:rsidR="00557C85">
        <w:fldChar w:fldCharType="begin"/>
      </w:r>
      <w:r w:rsidR="00557C85">
        <w:instrText xml:space="preserve"> SEQ Table \* ARABIC </w:instrText>
      </w:r>
      <w:r w:rsidR="00557C85">
        <w:fldChar w:fldCharType="separate"/>
      </w:r>
      <w:r>
        <w:rPr>
          <w:noProof/>
        </w:rPr>
        <w:t>11</w:t>
      </w:r>
      <w:r w:rsidR="00557C85">
        <w:rPr>
          <w:noProof/>
        </w:rPr>
        <w:fldChar w:fldCharType="end"/>
      </w:r>
      <w:r>
        <w:t xml:space="preserve">: </w:t>
      </w:r>
      <w:r w:rsidRPr="008C4A43">
        <w:t>Estimated use and financial implications as presented in the submission</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 as presented in the submission"/>
      </w:tblPr>
      <w:tblGrid>
        <w:gridCol w:w="2014"/>
        <w:gridCol w:w="1165"/>
        <w:gridCol w:w="1165"/>
        <w:gridCol w:w="1165"/>
        <w:gridCol w:w="1165"/>
        <w:gridCol w:w="1165"/>
        <w:gridCol w:w="1165"/>
      </w:tblGrid>
      <w:tr w:rsidR="0049471B" w:rsidRPr="003639A6" w:rsidTr="00373C08">
        <w:trPr>
          <w:tblHeader/>
        </w:trPr>
        <w:tc>
          <w:tcPr>
            <w:tcW w:w="1118" w:type="pct"/>
            <w:shd w:val="clear" w:color="auto" w:fill="auto"/>
          </w:tcPr>
          <w:p w:rsidR="0049471B" w:rsidRPr="003639A6" w:rsidRDefault="0049471B" w:rsidP="00373C08">
            <w:pPr>
              <w:pStyle w:val="TableText"/>
            </w:pPr>
          </w:p>
        </w:tc>
        <w:tc>
          <w:tcPr>
            <w:tcW w:w="647" w:type="pct"/>
            <w:shd w:val="clear" w:color="auto" w:fill="auto"/>
            <w:vAlign w:val="center"/>
          </w:tcPr>
          <w:p w:rsidR="0049471B" w:rsidRPr="00D1078F" w:rsidRDefault="0049471B" w:rsidP="00373C08">
            <w:pPr>
              <w:pStyle w:val="TableText"/>
              <w:jc w:val="center"/>
              <w:rPr>
                <w:b/>
              </w:rPr>
            </w:pPr>
            <w:r w:rsidRPr="00D1078F">
              <w:rPr>
                <w:b/>
              </w:rPr>
              <w:t>Year 1</w:t>
            </w:r>
          </w:p>
        </w:tc>
        <w:tc>
          <w:tcPr>
            <w:tcW w:w="647" w:type="pct"/>
            <w:shd w:val="clear" w:color="auto" w:fill="auto"/>
            <w:vAlign w:val="center"/>
          </w:tcPr>
          <w:p w:rsidR="0049471B" w:rsidRPr="00D1078F" w:rsidRDefault="0049471B" w:rsidP="00373C08">
            <w:pPr>
              <w:pStyle w:val="TableText"/>
              <w:jc w:val="center"/>
              <w:rPr>
                <w:b/>
              </w:rPr>
            </w:pPr>
            <w:r w:rsidRPr="00D1078F">
              <w:rPr>
                <w:b/>
              </w:rPr>
              <w:t>Year 2</w:t>
            </w:r>
          </w:p>
        </w:tc>
        <w:tc>
          <w:tcPr>
            <w:tcW w:w="647" w:type="pct"/>
            <w:shd w:val="clear" w:color="auto" w:fill="auto"/>
            <w:vAlign w:val="center"/>
          </w:tcPr>
          <w:p w:rsidR="0049471B" w:rsidRPr="00D1078F" w:rsidRDefault="0049471B" w:rsidP="00373C08">
            <w:pPr>
              <w:pStyle w:val="TableText"/>
              <w:jc w:val="center"/>
              <w:rPr>
                <w:b/>
              </w:rPr>
            </w:pPr>
            <w:r w:rsidRPr="00D1078F">
              <w:rPr>
                <w:b/>
              </w:rPr>
              <w:t>Year 3</w:t>
            </w:r>
          </w:p>
        </w:tc>
        <w:tc>
          <w:tcPr>
            <w:tcW w:w="647" w:type="pct"/>
            <w:shd w:val="clear" w:color="auto" w:fill="auto"/>
            <w:vAlign w:val="center"/>
          </w:tcPr>
          <w:p w:rsidR="0049471B" w:rsidRPr="00D1078F" w:rsidRDefault="0049471B" w:rsidP="00373C08">
            <w:pPr>
              <w:pStyle w:val="TableText"/>
              <w:jc w:val="center"/>
              <w:rPr>
                <w:b/>
              </w:rPr>
            </w:pPr>
            <w:r w:rsidRPr="00D1078F">
              <w:rPr>
                <w:b/>
              </w:rPr>
              <w:t>Year 4</w:t>
            </w:r>
          </w:p>
        </w:tc>
        <w:tc>
          <w:tcPr>
            <w:tcW w:w="647" w:type="pct"/>
            <w:shd w:val="clear" w:color="auto" w:fill="auto"/>
            <w:vAlign w:val="center"/>
          </w:tcPr>
          <w:p w:rsidR="0049471B" w:rsidRPr="00D1078F" w:rsidRDefault="0049471B" w:rsidP="00373C08">
            <w:pPr>
              <w:pStyle w:val="TableText"/>
              <w:jc w:val="center"/>
              <w:rPr>
                <w:b/>
              </w:rPr>
            </w:pPr>
            <w:r w:rsidRPr="00D1078F">
              <w:rPr>
                <w:b/>
              </w:rPr>
              <w:t>Year 5</w:t>
            </w:r>
          </w:p>
        </w:tc>
        <w:tc>
          <w:tcPr>
            <w:tcW w:w="647" w:type="pct"/>
            <w:vAlign w:val="center"/>
          </w:tcPr>
          <w:p w:rsidR="0049471B" w:rsidRPr="00D1078F" w:rsidRDefault="0049471B" w:rsidP="00373C08">
            <w:pPr>
              <w:pStyle w:val="TableText"/>
              <w:jc w:val="center"/>
              <w:rPr>
                <w:b/>
              </w:rPr>
            </w:pPr>
            <w:r w:rsidRPr="00D1078F">
              <w:rPr>
                <w:b/>
              </w:rPr>
              <w:t>Year 6</w:t>
            </w:r>
          </w:p>
        </w:tc>
      </w:tr>
      <w:tr w:rsidR="0049471B" w:rsidRPr="003639A6" w:rsidTr="00373C08">
        <w:tc>
          <w:tcPr>
            <w:tcW w:w="5000" w:type="pct"/>
            <w:gridSpan w:val="7"/>
            <w:shd w:val="clear" w:color="auto" w:fill="auto"/>
          </w:tcPr>
          <w:p w:rsidR="0049471B" w:rsidRPr="00D1078F" w:rsidRDefault="0049471B" w:rsidP="00373C08">
            <w:pPr>
              <w:pStyle w:val="TableText"/>
              <w:rPr>
                <w:b/>
                <w:bCs/>
                <w:color w:val="000000"/>
              </w:rPr>
            </w:pPr>
            <w:r w:rsidRPr="00D1078F">
              <w:rPr>
                <w:b/>
                <w:bCs/>
                <w:color w:val="000000"/>
              </w:rPr>
              <w:t>Estimated extent of use</w:t>
            </w:r>
          </w:p>
        </w:tc>
      </w:tr>
      <w:tr w:rsidR="0049471B" w:rsidRPr="003639A6" w:rsidTr="00373C08">
        <w:tc>
          <w:tcPr>
            <w:tcW w:w="1118" w:type="pct"/>
            <w:shd w:val="clear" w:color="auto" w:fill="auto"/>
          </w:tcPr>
          <w:p w:rsidR="0049471B" w:rsidRPr="003639A6" w:rsidRDefault="0049471B" w:rsidP="00373C08">
            <w:pPr>
              <w:pStyle w:val="TableText"/>
              <w:rPr>
                <w:rFonts w:ascii="Times" w:eastAsia="Times New Roman" w:hAnsi="Times" w:cs="Times New Roman"/>
              </w:rPr>
            </w:pPr>
            <w:r w:rsidRPr="003639A6">
              <w:t>Number of patients treated</w:t>
            </w:r>
          </w:p>
        </w:tc>
        <w:tc>
          <w:tcPr>
            <w:tcW w:w="647" w:type="pct"/>
            <w:shd w:val="clear" w:color="auto" w:fill="auto"/>
            <w:vAlign w:val="center"/>
          </w:tcPr>
          <w:p w:rsidR="0049471B" w:rsidRPr="00330093" w:rsidRDefault="00330093" w:rsidP="00373C08">
            <w:pPr>
              <w:pStyle w:val="TableText"/>
              <w:jc w:val="center"/>
              <w:rPr>
                <w:bCs/>
                <w:color w:val="000000"/>
                <w:highlight w:val="black"/>
              </w:rPr>
            </w:pPr>
            <w:r>
              <w:rPr>
                <w:noProof/>
                <w:color w:val="000000"/>
                <w:szCs w:val="20"/>
                <w:highlight w:val="black"/>
              </w:rPr>
              <w:t>''''''''''</w:t>
            </w:r>
          </w:p>
        </w:tc>
        <w:tc>
          <w:tcPr>
            <w:tcW w:w="647" w:type="pct"/>
            <w:shd w:val="clear" w:color="auto" w:fill="auto"/>
            <w:vAlign w:val="center"/>
          </w:tcPr>
          <w:p w:rsidR="0049471B" w:rsidRPr="00330093" w:rsidRDefault="00330093" w:rsidP="00373C08">
            <w:pPr>
              <w:pStyle w:val="TableText"/>
              <w:jc w:val="center"/>
              <w:rPr>
                <w:bCs/>
                <w:color w:val="000000"/>
                <w:highlight w:val="black"/>
              </w:rPr>
            </w:pPr>
            <w:r>
              <w:rPr>
                <w:noProof/>
                <w:color w:val="000000"/>
                <w:szCs w:val="20"/>
                <w:highlight w:val="black"/>
              </w:rPr>
              <w:t>'''''''''</w:t>
            </w:r>
          </w:p>
        </w:tc>
        <w:tc>
          <w:tcPr>
            <w:tcW w:w="647" w:type="pct"/>
            <w:shd w:val="clear" w:color="auto" w:fill="auto"/>
            <w:vAlign w:val="center"/>
          </w:tcPr>
          <w:p w:rsidR="0049471B" w:rsidRPr="00330093" w:rsidRDefault="00330093" w:rsidP="00373C08">
            <w:pPr>
              <w:pStyle w:val="TableText"/>
              <w:jc w:val="center"/>
              <w:rPr>
                <w:bCs/>
                <w:color w:val="000000"/>
                <w:highlight w:val="black"/>
              </w:rPr>
            </w:pPr>
            <w:r>
              <w:rPr>
                <w:noProof/>
                <w:color w:val="000000"/>
                <w:szCs w:val="20"/>
                <w:highlight w:val="black"/>
              </w:rPr>
              <w:t>'''''''''''</w:t>
            </w:r>
          </w:p>
        </w:tc>
        <w:tc>
          <w:tcPr>
            <w:tcW w:w="647" w:type="pct"/>
            <w:shd w:val="clear" w:color="auto" w:fill="auto"/>
            <w:vAlign w:val="center"/>
          </w:tcPr>
          <w:p w:rsidR="0049471B" w:rsidRPr="00330093" w:rsidRDefault="00330093" w:rsidP="00373C08">
            <w:pPr>
              <w:pStyle w:val="TableText"/>
              <w:jc w:val="center"/>
              <w:rPr>
                <w:bCs/>
                <w:color w:val="000000"/>
                <w:highlight w:val="black"/>
              </w:rPr>
            </w:pPr>
            <w:r>
              <w:rPr>
                <w:noProof/>
                <w:color w:val="000000"/>
                <w:szCs w:val="20"/>
                <w:highlight w:val="black"/>
              </w:rPr>
              <w:t>'''''''''''''</w:t>
            </w:r>
          </w:p>
        </w:tc>
        <w:tc>
          <w:tcPr>
            <w:tcW w:w="647" w:type="pct"/>
            <w:shd w:val="clear" w:color="auto" w:fill="auto"/>
            <w:vAlign w:val="center"/>
          </w:tcPr>
          <w:p w:rsidR="0049471B" w:rsidRPr="00330093" w:rsidRDefault="00330093" w:rsidP="00373C08">
            <w:pPr>
              <w:pStyle w:val="TableText"/>
              <w:jc w:val="center"/>
              <w:rPr>
                <w:bCs/>
                <w:color w:val="000000"/>
                <w:highlight w:val="black"/>
              </w:rPr>
            </w:pPr>
            <w:r>
              <w:rPr>
                <w:noProof/>
                <w:color w:val="000000"/>
                <w:szCs w:val="20"/>
                <w:highlight w:val="black"/>
              </w:rPr>
              <w:t>'''''''''''''</w:t>
            </w:r>
          </w:p>
        </w:tc>
        <w:tc>
          <w:tcPr>
            <w:tcW w:w="647" w:type="pct"/>
            <w:vAlign w:val="center"/>
          </w:tcPr>
          <w:p w:rsidR="0049471B" w:rsidRPr="00330093" w:rsidRDefault="00330093" w:rsidP="00373C08">
            <w:pPr>
              <w:pStyle w:val="TableText"/>
              <w:jc w:val="center"/>
              <w:rPr>
                <w:bCs/>
                <w:color w:val="000000"/>
                <w:highlight w:val="black"/>
              </w:rPr>
            </w:pPr>
            <w:r>
              <w:rPr>
                <w:noProof/>
                <w:color w:val="000000"/>
                <w:szCs w:val="20"/>
                <w:highlight w:val="black"/>
              </w:rPr>
              <w:t>''''''''''''</w:t>
            </w:r>
          </w:p>
        </w:tc>
      </w:tr>
      <w:tr w:rsidR="0049471B" w:rsidRPr="003639A6" w:rsidTr="00373C08">
        <w:tc>
          <w:tcPr>
            <w:tcW w:w="1118" w:type="pct"/>
            <w:shd w:val="clear" w:color="auto" w:fill="auto"/>
          </w:tcPr>
          <w:p w:rsidR="0049471B" w:rsidRPr="003639A6" w:rsidRDefault="0049471B" w:rsidP="00373C08">
            <w:pPr>
              <w:pStyle w:val="TableText"/>
              <w:rPr>
                <w:rFonts w:ascii="Times" w:eastAsia="Times New Roman" w:hAnsi="Times" w:cs="Times New Roman"/>
              </w:rPr>
            </w:pPr>
            <w:r w:rsidRPr="003639A6">
              <w:t xml:space="preserve">Number of </w:t>
            </w:r>
            <w:r>
              <w:t>scripts</w:t>
            </w:r>
            <w:r w:rsidRPr="003639A6">
              <w:t xml:space="preserve"> dispensed</w:t>
            </w:r>
            <w:r w:rsidRPr="003639A6">
              <w:rPr>
                <w:vertAlign w:val="superscript"/>
              </w:rPr>
              <w:t>a</w:t>
            </w:r>
          </w:p>
        </w:tc>
        <w:tc>
          <w:tcPr>
            <w:tcW w:w="647" w:type="pct"/>
            <w:shd w:val="clear" w:color="auto" w:fill="auto"/>
            <w:vAlign w:val="center"/>
          </w:tcPr>
          <w:p w:rsidR="0049471B" w:rsidRPr="00330093" w:rsidRDefault="00330093" w:rsidP="00373C08">
            <w:pPr>
              <w:pStyle w:val="TableText"/>
              <w:jc w:val="center"/>
              <w:rPr>
                <w:bCs/>
                <w:color w:val="000000"/>
                <w:highlight w:val="black"/>
              </w:rPr>
            </w:pPr>
            <w:r>
              <w:rPr>
                <w:noProof/>
                <w:color w:val="000000"/>
                <w:szCs w:val="20"/>
                <w:highlight w:val="black"/>
              </w:rPr>
              <w:t>'''''''''''''</w:t>
            </w:r>
          </w:p>
        </w:tc>
        <w:tc>
          <w:tcPr>
            <w:tcW w:w="647" w:type="pct"/>
            <w:shd w:val="clear" w:color="auto" w:fill="auto"/>
            <w:vAlign w:val="center"/>
          </w:tcPr>
          <w:p w:rsidR="0049471B" w:rsidRPr="00330093" w:rsidRDefault="00330093" w:rsidP="00373C08">
            <w:pPr>
              <w:pStyle w:val="TableText"/>
              <w:jc w:val="center"/>
              <w:rPr>
                <w:bCs/>
                <w:color w:val="000000"/>
                <w:highlight w:val="black"/>
              </w:rPr>
            </w:pPr>
            <w:r>
              <w:rPr>
                <w:noProof/>
                <w:color w:val="000000"/>
                <w:szCs w:val="20"/>
                <w:highlight w:val="black"/>
              </w:rPr>
              <w:t>'''''''''''''''</w:t>
            </w:r>
          </w:p>
        </w:tc>
        <w:tc>
          <w:tcPr>
            <w:tcW w:w="647" w:type="pct"/>
            <w:shd w:val="clear" w:color="auto" w:fill="auto"/>
            <w:vAlign w:val="center"/>
          </w:tcPr>
          <w:p w:rsidR="0049471B" w:rsidRPr="00330093" w:rsidRDefault="00330093" w:rsidP="00373C08">
            <w:pPr>
              <w:pStyle w:val="TableText"/>
              <w:jc w:val="center"/>
              <w:rPr>
                <w:bCs/>
                <w:color w:val="000000"/>
                <w:highlight w:val="black"/>
              </w:rPr>
            </w:pPr>
            <w:r>
              <w:rPr>
                <w:noProof/>
                <w:color w:val="000000"/>
                <w:szCs w:val="20"/>
                <w:highlight w:val="black"/>
              </w:rPr>
              <w:t>'''''''''''''''''</w:t>
            </w:r>
          </w:p>
        </w:tc>
        <w:tc>
          <w:tcPr>
            <w:tcW w:w="647" w:type="pct"/>
            <w:shd w:val="clear" w:color="auto" w:fill="auto"/>
            <w:vAlign w:val="center"/>
          </w:tcPr>
          <w:p w:rsidR="0049471B" w:rsidRPr="00330093" w:rsidRDefault="00330093" w:rsidP="00373C08">
            <w:pPr>
              <w:pStyle w:val="TableText"/>
              <w:jc w:val="center"/>
              <w:rPr>
                <w:bCs/>
                <w:color w:val="000000"/>
                <w:highlight w:val="black"/>
              </w:rPr>
            </w:pPr>
            <w:r>
              <w:rPr>
                <w:noProof/>
                <w:color w:val="000000"/>
                <w:szCs w:val="20"/>
                <w:highlight w:val="black"/>
              </w:rPr>
              <w:t>''''''''''''''''</w:t>
            </w:r>
          </w:p>
        </w:tc>
        <w:tc>
          <w:tcPr>
            <w:tcW w:w="647" w:type="pct"/>
            <w:shd w:val="clear" w:color="auto" w:fill="auto"/>
            <w:vAlign w:val="center"/>
          </w:tcPr>
          <w:p w:rsidR="0049471B" w:rsidRPr="00330093" w:rsidRDefault="00330093" w:rsidP="00373C08">
            <w:pPr>
              <w:pStyle w:val="TableText"/>
              <w:jc w:val="center"/>
              <w:rPr>
                <w:bCs/>
                <w:color w:val="000000"/>
                <w:highlight w:val="black"/>
              </w:rPr>
            </w:pPr>
            <w:r>
              <w:rPr>
                <w:noProof/>
                <w:color w:val="000000"/>
                <w:szCs w:val="20"/>
                <w:highlight w:val="black"/>
              </w:rPr>
              <w:t>'''''''''''''''</w:t>
            </w:r>
          </w:p>
        </w:tc>
        <w:tc>
          <w:tcPr>
            <w:tcW w:w="647" w:type="pct"/>
            <w:vAlign w:val="center"/>
          </w:tcPr>
          <w:p w:rsidR="0049471B" w:rsidRPr="00330093" w:rsidRDefault="00330093" w:rsidP="00373C08">
            <w:pPr>
              <w:pStyle w:val="TableText"/>
              <w:jc w:val="center"/>
              <w:rPr>
                <w:bCs/>
                <w:color w:val="000000"/>
                <w:highlight w:val="black"/>
              </w:rPr>
            </w:pPr>
            <w:r>
              <w:rPr>
                <w:noProof/>
                <w:color w:val="000000"/>
                <w:szCs w:val="20"/>
                <w:highlight w:val="black"/>
              </w:rPr>
              <w:t>''''''''''''''''''</w:t>
            </w:r>
          </w:p>
        </w:tc>
      </w:tr>
      <w:tr w:rsidR="0049471B" w:rsidRPr="003639A6" w:rsidTr="00373C08">
        <w:tc>
          <w:tcPr>
            <w:tcW w:w="5000" w:type="pct"/>
            <w:gridSpan w:val="7"/>
            <w:shd w:val="clear" w:color="auto" w:fill="auto"/>
          </w:tcPr>
          <w:p w:rsidR="0049471B" w:rsidRPr="00D1078F" w:rsidRDefault="0049471B" w:rsidP="00373C08">
            <w:pPr>
              <w:pStyle w:val="TableText"/>
              <w:rPr>
                <w:b/>
                <w:bCs/>
                <w:color w:val="000000"/>
              </w:rPr>
            </w:pPr>
            <w:r w:rsidRPr="00D1078F">
              <w:rPr>
                <w:b/>
                <w:bCs/>
                <w:color w:val="000000"/>
              </w:rPr>
              <w:t xml:space="preserve">Estimated </w:t>
            </w:r>
            <w:r>
              <w:rPr>
                <w:b/>
                <w:bCs/>
                <w:color w:val="000000"/>
              </w:rPr>
              <w:t xml:space="preserve">financial implications of </w:t>
            </w:r>
            <w:r>
              <w:t xml:space="preserve"> </w:t>
            </w:r>
            <w:r w:rsidRPr="0062105D">
              <w:rPr>
                <w:b/>
                <w:bCs/>
                <w:color w:val="000000"/>
              </w:rPr>
              <w:t>dupilumab</w:t>
            </w:r>
          </w:p>
        </w:tc>
      </w:tr>
      <w:tr w:rsidR="0049471B" w:rsidRPr="003639A6" w:rsidTr="00373C08">
        <w:tc>
          <w:tcPr>
            <w:tcW w:w="1118" w:type="pct"/>
            <w:shd w:val="clear" w:color="auto" w:fill="auto"/>
          </w:tcPr>
          <w:p w:rsidR="0049471B" w:rsidRPr="003639A6" w:rsidRDefault="0049471B" w:rsidP="00373C08">
            <w:pPr>
              <w:pStyle w:val="TableText"/>
              <w:rPr>
                <w:rFonts w:ascii="Times" w:eastAsia="Times New Roman" w:hAnsi="Times" w:cs="Times New Roman"/>
              </w:rPr>
            </w:pPr>
            <w:r>
              <w:rPr>
                <w:sz w:val="19"/>
                <w:szCs w:val="19"/>
              </w:rPr>
              <w:t>C</w:t>
            </w:r>
            <w:r w:rsidRPr="003639A6">
              <w:rPr>
                <w:sz w:val="19"/>
                <w:szCs w:val="19"/>
              </w:rPr>
              <w:t>ost to PBS/RPBS</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r>
      <w:tr w:rsidR="0049471B" w:rsidRPr="003639A6" w:rsidTr="00373C08">
        <w:tc>
          <w:tcPr>
            <w:tcW w:w="1118" w:type="pct"/>
            <w:shd w:val="clear" w:color="auto" w:fill="auto"/>
          </w:tcPr>
          <w:p w:rsidR="0049471B" w:rsidRDefault="0049471B" w:rsidP="00373C08">
            <w:pPr>
              <w:pStyle w:val="TableText"/>
              <w:rPr>
                <w:sz w:val="19"/>
                <w:szCs w:val="19"/>
              </w:rPr>
            </w:pPr>
            <w:r>
              <w:rPr>
                <w:sz w:val="19"/>
                <w:szCs w:val="19"/>
              </w:rPr>
              <w:t>Copayments</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r>
      <w:tr w:rsidR="0049471B" w:rsidRPr="003639A6" w:rsidTr="00373C08">
        <w:tc>
          <w:tcPr>
            <w:tcW w:w="1118" w:type="pct"/>
            <w:shd w:val="clear" w:color="auto" w:fill="auto"/>
          </w:tcPr>
          <w:p w:rsidR="0049471B" w:rsidRDefault="0049471B" w:rsidP="00373C08">
            <w:pPr>
              <w:pStyle w:val="TableText"/>
              <w:rPr>
                <w:sz w:val="19"/>
                <w:szCs w:val="19"/>
              </w:rPr>
            </w:pPr>
            <w:r>
              <w:rPr>
                <w:sz w:val="19"/>
                <w:szCs w:val="19"/>
              </w:rPr>
              <w:t>Cost to PBS/RPBS less copayments</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r>
      <w:tr w:rsidR="0049471B" w:rsidRPr="003639A6" w:rsidTr="00373C08">
        <w:tc>
          <w:tcPr>
            <w:tcW w:w="5000" w:type="pct"/>
            <w:gridSpan w:val="7"/>
            <w:shd w:val="clear" w:color="auto" w:fill="auto"/>
          </w:tcPr>
          <w:p w:rsidR="0049471B" w:rsidRPr="00FC22AB" w:rsidRDefault="0049471B" w:rsidP="00373C08">
            <w:pPr>
              <w:pStyle w:val="TableText"/>
              <w:rPr>
                <w:b/>
                <w:bCs/>
                <w:color w:val="000000"/>
              </w:rPr>
            </w:pPr>
            <w:r w:rsidRPr="00FC22AB">
              <w:rPr>
                <w:b/>
                <w:bCs/>
                <w:color w:val="000000"/>
              </w:rPr>
              <w:t>Net financial implications</w:t>
            </w:r>
            <w:r w:rsidRPr="00FC22AB">
              <w:rPr>
                <w:b/>
                <w:bCs/>
                <w:color w:val="4472C4" w:themeColor="accent5"/>
              </w:rPr>
              <w:t xml:space="preserve"> </w:t>
            </w:r>
          </w:p>
        </w:tc>
      </w:tr>
      <w:tr w:rsidR="0049471B" w:rsidRPr="003639A6" w:rsidTr="00373C08">
        <w:tc>
          <w:tcPr>
            <w:tcW w:w="1118" w:type="pct"/>
            <w:shd w:val="clear" w:color="auto" w:fill="auto"/>
          </w:tcPr>
          <w:p w:rsidR="0049471B" w:rsidRDefault="0049471B" w:rsidP="00373C08">
            <w:pPr>
              <w:pStyle w:val="TableText"/>
              <w:rPr>
                <w:sz w:val="19"/>
                <w:szCs w:val="19"/>
              </w:rPr>
            </w:pPr>
            <w:r>
              <w:rPr>
                <w:sz w:val="19"/>
                <w:szCs w:val="19"/>
              </w:rPr>
              <w:t>Net cost to PBS/RPBS</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r>
      <w:tr w:rsidR="0049471B" w:rsidRPr="003639A6" w:rsidTr="00373C08">
        <w:tc>
          <w:tcPr>
            <w:tcW w:w="1118" w:type="pct"/>
            <w:shd w:val="clear" w:color="auto" w:fill="auto"/>
          </w:tcPr>
          <w:p w:rsidR="0049471B" w:rsidRPr="003639A6" w:rsidRDefault="0049471B" w:rsidP="00373C08">
            <w:pPr>
              <w:pStyle w:val="TableText"/>
              <w:rPr>
                <w:rFonts w:ascii="Times" w:eastAsia="Times New Roman" w:hAnsi="Times" w:cs="Times New Roman"/>
              </w:rPr>
            </w:pPr>
            <w:r>
              <w:rPr>
                <w:sz w:val="19"/>
                <w:szCs w:val="19"/>
              </w:rPr>
              <w:t>Net cost to</w:t>
            </w:r>
            <w:r w:rsidRPr="003639A6">
              <w:rPr>
                <w:sz w:val="19"/>
                <w:szCs w:val="19"/>
              </w:rPr>
              <w:t xml:space="preserve"> </w:t>
            </w:r>
            <w:r>
              <w:rPr>
                <w:sz w:val="19"/>
                <w:szCs w:val="19"/>
              </w:rPr>
              <w:t>{</w:t>
            </w:r>
            <w:r w:rsidRPr="003639A6">
              <w:rPr>
                <w:sz w:val="19"/>
                <w:szCs w:val="19"/>
              </w:rPr>
              <w:t>MBS</w:t>
            </w:r>
            <w:r>
              <w:rPr>
                <w:sz w:val="19"/>
                <w:szCs w:val="19"/>
              </w:rPr>
              <w:t>/DHS/other}</w:t>
            </w:r>
          </w:p>
        </w:tc>
        <w:tc>
          <w:tcPr>
            <w:tcW w:w="647" w:type="pct"/>
            <w:shd w:val="clear" w:color="auto" w:fill="auto"/>
            <w:vAlign w:val="center"/>
          </w:tcPr>
          <w:p w:rsidR="0049471B" w:rsidRPr="003639A6" w:rsidRDefault="0049471B" w:rsidP="00373C08">
            <w:pPr>
              <w:pStyle w:val="TableText"/>
              <w:jc w:val="center"/>
              <w:rPr>
                <w:bCs/>
                <w:color w:val="000000"/>
              </w:rPr>
            </w:pPr>
            <w:r>
              <w:t>-</w:t>
            </w:r>
            <w:r w:rsidRPr="00456949">
              <w:t>$</w:t>
            </w:r>
            <w:r w:rsidR="00330093">
              <w:rPr>
                <w:noProof/>
                <w:color w:val="00000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t>-</w:t>
            </w:r>
            <w:r w:rsidRPr="00456949">
              <w:t>$</w:t>
            </w:r>
            <w:r w:rsidR="00330093">
              <w:rPr>
                <w:noProof/>
                <w:color w:val="00000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t>-</w:t>
            </w:r>
            <w:r w:rsidRPr="00456949">
              <w:t>$</w:t>
            </w:r>
            <w:r w:rsidR="00330093">
              <w:rPr>
                <w:noProof/>
                <w:color w:val="00000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t>-</w:t>
            </w:r>
            <w:r w:rsidRPr="00456949">
              <w:t>$</w:t>
            </w:r>
            <w:r w:rsidR="00330093">
              <w:rPr>
                <w:noProof/>
                <w:color w:val="00000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t>-</w:t>
            </w:r>
            <w:r w:rsidRPr="00456949">
              <w:t>$</w:t>
            </w:r>
            <w:r w:rsidR="00330093">
              <w:rPr>
                <w:noProof/>
                <w:color w:val="000000"/>
                <w:highlight w:val="black"/>
              </w:rPr>
              <w:t>''''''''''''''''''</w:t>
            </w:r>
          </w:p>
        </w:tc>
        <w:tc>
          <w:tcPr>
            <w:tcW w:w="647" w:type="pct"/>
            <w:vAlign w:val="center"/>
          </w:tcPr>
          <w:p w:rsidR="0049471B" w:rsidRPr="003639A6" w:rsidRDefault="0049471B" w:rsidP="00373C08">
            <w:pPr>
              <w:pStyle w:val="TableText"/>
              <w:jc w:val="center"/>
              <w:rPr>
                <w:bCs/>
                <w:color w:val="000000"/>
              </w:rPr>
            </w:pPr>
            <w:r>
              <w:t>-</w:t>
            </w:r>
            <w:r w:rsidRPr="00456949">
              <w:t>$</w:t>
            </w:r>
            <w:r w:rsidR="00330093">
              <w:rPr>
                <w:noProof/>
                <w:color w:val="000000"/>
                <w:highlight w:val="black"/>
              </w:rPr>
              <w:t>''''''''''''''''''''''</w:t>
            </w:r>
          </w:p>
        </w:tc>
      </w:tr>
      <w:tr w:rsidR="0049471B" w:rsidRPr="003639A6" w:rsidTr="00373C08">
        <w:tc>
          <w:tcPr>
            <w:tcW w:w="1118" w:type="pct"/>
            <w:shd w:val="clear" w:color="auto" w:fill="auto"/>
          </w:tcPr>
          <w:p w:rsidR="0049471B" w:rsidRPr="003639A6" w:rsidRDefault="0049471B" w:rsidP="00373C08">
            <w:pPr>
              <w:pStyle w:val="TableText"/>
              <w:rPr>
                <w:sz w:val="19"/>
                <w:szCs w:val="19"/>
              </w:rPr>
            </w:pPr>
            <w:r>
              <w:rPr>
                <w:sz w:val="19"/>
                <w:szCs w:val="19"/>
              </w:rPr>
              <w:t>Net cost to {PBS/RPBS/MBS/DHS}</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shd w:val="clear" w:color="auto" w:fill="auto"/>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c>
          <w:tcPr>
            <w:tcW w:w="647" w:type="pct"/>
            <w:vAlign w:val="center"/>
          </w:tcPr>
          <w:p w:rsidR="0049471B" w:rsidRPr="003639A6" w:rsidRDefault="0049471B" w:rsidP="00373C08">
            <w:pPr>
              <w:pStyle w:val="TableText"/>
              <w:jc w:val="center"/>
              <w:rPr>
                <w:bCs/>
                <w:color w:val="000000"/>
              </w:rPr>
            </w:pPr>
            <w:r w:rsidRPr="00A34919">
              <w:rPr>
                <w:szCs w:val="20"/>
              </w:rPr>
              <w:t>$</w:t>
            </w:r>
            <w:r w:rsidR="00330093">
              <w:rPr>
                <w:noProof/>
                <w:color w:val="000000"/>
                <w:szCs w:val="20"/>
                <w:highlight w:val="black"/>
              </w:rPr>
              <w:t>'''''''''''''''''''''''</w:t>
            </w:r>
          </w:p>
        </w:tc>
      </w:tr>
    </w:tbl>
    <w:p w:rsidR="0049471B" w:rsidRPr="003639A6" w:rsidRDefault="0049471B" w:rsidP="0049471B">
      <w:pPr>
        <w:pStyle w:val="TableFooter"/>
      </w:pPr>
      <w:r w:rsidRPr="003639A6">
        <w:rPr>
          <w:vertAlign w:val="superscript"/>
        </w:rPr>
        <w:t>a</w:t>
      </w:r>
      <w:r w:rsidRPr="003639A6">
        <w:t xml:space="preserve"> Assuming </w:t>
      </w:r>
      <w:r>
        <w:t>5.8 increasing to 6.6</w:t>
      </w:r>
      <w:r w:rsidRPr="003639A6">
        <w:t xml:space="preserve"> </w:t>
      </w:r>
      <w:r>
        <w:t xml:space="preserve">scripts in Year 6 for initiating patients and 11.2 increasing to 12.7 scripts in Year 6 for continuing patients </w:t>
      </w:r>
      <w:r w:rsidRPr="003639A6">
        <w:t>per year as estimated by the submission.</w:t>
      </w:r>
    </w:p>
    <w:p w:rsidR="0093702D" w:rsidRPr="0093702D" w:rsidRDefault="0049471B" w:rsidP="0049471B">
      <w:pPr>
        <w:pStyle w:val="TableFooter"/>
        <w:rPr>
          <w:szCs w:val="18"/>
        </w:rPr>
      </w:pPr>
      <w:r w:rsidRPr="003639A6">
        <w:t xml:space="preserve">Source: </w:t>
      </w:r>
      <w:r w:rsidRPr="00055C96">
        <w:rPr>
          <w:szCs w:val="18"/>
        </w:rPr>
        <w:t>Table 4.2.1 and 4.2.2 (p168-170) in the submission</w:t>
      </w:r>
    </w:p>
    <w:p w:rsidR="000D4737" w:rsidRDefault="00420DCC" w:rsidP="000D4737">
      <w:pPr>
        <w:widowControl w:val="0"/>
        <w:numPr>
          <w:ilvl w:val="1"/>
          <w:numId w:val="4"/>
        </w:numPr>
        <w:spacing w:before="0" w:after="120"/>
        <w:jc w:val="both"/>
      </w:pPr>
      <w:r>
        <w:t xml:space="preserve">The redacted table shows that over 6 years, the estimated number of patients was 10,000 – 50,000 and the net cost to the PBS would be more than $100 million. </w:t>
      </w:r>
    </w:p>
    <w:p w:rsidR="0049471B" w:rsidRPr="0049471B" w:rsidRDefault="0049471B" w:rsidP="00961807">
      <w:pPr>
        <w:widowControl w:val="0"/>
        <w:numPr>
          <w:ilvl w:val="1"/>
          <w:numId w:val="4"/>
        </w:numPr>
        <w:spacing w:before="0" w:after="120"/>
        <w:jc w:val="both"/>
      </w:pPr>
      <w:r w:rsidRPr="0049471B">
        <w:t>The estimates provided in the submission are likely to be underestimated as:</w:t>
      </w:r>
    </w:p>
    <w:p w:rsidR="0049471B" w:rsidRPr="0049471B" w:rsidRDefault="0049471B" w:rsidP="00287AB5">
      <w:pPr>
        <w:pStyle w:val="ListParagraph"/>
        <w:numPr>
          <w:ilvl w:val="0"/>
          <w:numId w:val="9"/>
        </w:numPr>
        <w:spacing w:before="0" w:after="0"/>
        <w:ind w:left="1077" w:hanging="357"/>
        <w:jc w:val="both"/>
      </w:pPr>
      <w:r w:rsidRPr="0049471B">
        <w:t xml:space="preserve">The uptake of dupilumab was based on the uptake observed for the first bDMARDs listed for psoriasis (ranging from 0.05%-0.21% of all AD patients). The approach may not be reasonable as there are differences (i) in the nature of the conditions and treatment options; (ii) prescriber familiarity with the use of bDMARDs for the treatment of </w:t>
      </w:r>
      <w:r w:rsidR="00741F24">
        <w:t>s</w:t>
      </w:r>
      <w:r w:rsidRPr="0049471B">
        <w:t>kin conditions and (iii) the method did not include response and persistence rates for the dupilumab trials.</w:t>
      </w:r>
      <w:r w:rsidR="000B0960">
        <w:t xml:space="preserve"> The PBAC considered that the reliance on the psoriasis market as a proxy for dupilumab uptake was not well supported and </w:t>
      </w:r>
      <w:r w:rsidR="00375934">
        <w:t>was likely to underestimate the uptake of dupilumab.</w:t>
      </w:r>
    </w:p>
    <w:p w:rsidR="0049471B" w:rsidRPr="0049471B" w:rsidRDefault="0049471B" w:rsidP="00287AB5">
      <w:pPr>
        <w:pStyle w:val="ListParagraph"/>
        <w:numPr>
          <w:ilvl w:val="0"/>
          <w:numId w:val="9"/>
        </w:numPr>
        <w:spacing w:before="0" w:after="0"/>
        <w:ind w:left="1077" w:hanging="357"/>
        <w:jc w:val="both"/>
      </w:pPr>
      <w:r w:rsidRPr="0049471B">
        <w:t>Moreover, the submission’s own market research suggested that the eligible population (severe AD with an inadequate response to CsA) was 1.065% of all AD patients. Although this estimate is uncertain, if considered reasonable, the submission assumes that less than 5% of all eligible patients would be treated with dupilumab in Year 1 of listing, increasing to around 20% by Year 6.</w:t>
      </w:r>
    </w:p>
    <w:p w:rsidR="0049471B" w:rsidRDefault="0049471B" w:rsidP="00287AB5">
      <w:pPr>
        <w:pStyle w:val="ListParagraph"/>
        <w:numPr>
          <w:ilvl w:val="0"/>
          <w:numId w:val="9"/>
        </w:numPr>
        <w:spacing w:before="0" w:after="0"/>
        <w:ind w:left="1077" w:hanging="357"/>
        <w:jc w:val="both"/>
      </w:pPr>
      <w:r w:rsidRPr="0049471B">
        <w:t>The estimates do not consider the potential for use beyond the restriction (i.e. in those with moderate AD, those aged &lt;18 years or those using CsA).</w:t>
      </w:r>
    </w:p>
    <w:p w:rsidR="0049471B" w:rsidRPr="00947A14" w:rsidRDefault="0049471B" w:rsidP="0012136C">
      <w:pPr>
        <w:widowControl w:val="0"/>
        <w:numPr>
          <w:ilvl w:val="1"/>
          <w:numId w:val="4"/>
        </w:numPr>
        <w:spacing w:before="240" w:after="120"/>
        <w:jc w:val="both"/>
      </w:pPr>
      <w:r w:rsidRPr="00947A14">
        <w:t xml:space="preserve">DUSC </w:t>
      </w:r>
      <w:r w:rsidR="00373C08" w:rsidRPr="00947A14">
        <w:t>considered</w:t>
      </w:r>
      <w:r w:rsidRPr="00947A14">
        <w:t xml:space="preserve"> the estimates presented in the submission to be uncertain and significantly underestimated. The main issues </w:t>
      </w:r>
      <w:r w:rsidR="00373C08" w:rsidRPr="00947A14">
        <w:t>were</w:t>
      </w:r>
      <w:r w:rsidRPr="00947A14">
        <w:t>:</w:t>
      </w:r>
    </w:p>
    <w:p w:rsidR="0049471B" w:rsidRPr="00947A14" w:rsidRDefault="0049471B" w:rsidP="00287AB5">
      <w:pPr>
        <w:pStyle w:val="ListParagraph"/>
        <w:numPr>
          <w:ilvl w:val="0"/>
          <w:numId w:val="9"/>
        </w:numPr>
        <w:spacing w:before="0" w:after="0"/>
        <w:ind w:left="1077" w:hanging="357"/>
        <w:jc w:val="both"/>
      </w:pPr>
      <w:r w:rsidRPr="00947A14">
        <w:lastRenderedPageBreak/>
        <w:t>DUSC considered there is likely to be usage beyond the expectations because the uptake of dupilumab by AD patients is based on the uptake of the first biologics listed for psoriasis but the biologics market has evolved substantially since this time. Comparison with the submission’s own market research on the percentage of AD patients that fulfil the restriction criteria suggested that the submission’s approach may result in a substantial underestimate of dupilumab utilisation.</w:t>
      </w:r>
      <w:r w:rsidR="00947A14">
        <w:t xml:space="preserve"> The pre-PBAC response </w:t>
      </w:r>
      <w:r w:rsidR="00DF2183">
        <w:t>noted that several bDMARDs became available for psoriasis in the first years of listing, whereas dupilumab is the only bDMARD available for AD. The sponsor a</w:t>
      </w:r>
      <w:r w:rsidR="00947A14">
        <w:t>rgued that the evolution of the biologics market is likely to be largely offset by the difference in bDMARD availability across the different indications</w:t>
      </w:r>
      <w:r w:rsidR="00DF2183">
        <w:t xml:space="preserve">. </w:t>
      </w:r>
    </w:p>
    <w:p w:rsidR="0049471B" w:rsidRPr="00947A14" w:rsidRDefault="0049471B" w:rsidP="00287AB5">
      <w:pPr>
        <w:pStyle w:val="ListParagraph"/>
        <w:numPr>
          <w:ilvl w:val="0"/>
          <w:numId w:val="9"/>
        </w:numPr>
        <w:spacing w:before="0" w:after="120"/>
        <w:ind w:left="1077" w:hanging="357"/>
        <w:jc w:val="both"/>
      </w:pPr>
      <w:r w:rsidRPr="00947A14">
        <w:t>DUSC considered there is likely to be use beyond the proposed restriction for patients with moderate AD and for continued use in patients with severe AD but who do not fulfil the response criteria.</w:t>
      </w:r>
      <w:r w:rsidR="00947A14">
        <w:t xml:space="preserve"> </w:t>
      </w:r>
      <w:r w:rsidR="003A6F37" w:rsidRPr="00066EF3">
        <w:t>DUSC considered that the base case estimates for dupilumab should be consistent with the proposed PBS criteria, response rates from the clinical trials and modelled economic evaluation, with potential for use outside of the restriction managed throu</w:t>
      </w:r>
      <w:r w:rsidR="003A6F37">
        <w:t xml:space="preserve">gh a risk sharing arrangement. </w:t>
      </w:r>
      <w:r w:rsidR="00947A14">
        <w:t xml:space="preserve">The pre-PBAC response argued that the utilisation in the psoriasis </w:t>
      </w:r>
      <w:r w:rsidR="00DA02D9">
        <w:t>market reflects real world use and would therefore capture leakage outside the approved indication.</w:t>
      </w:r>
    </w:p>
    <w:bookmarkEnd w:id="30"/>
    <w:bookmarkEnd w:id="31"/>
    <w:p w:rsidR="000E4EE3" w:rsidRPr="004D3C91" w:rsidRDefault="006C2AC8" w:rsidP="004D3C91">
      <w:pPr>
        <w:widowControl w:val="0"/>
        <w:spacing w:before="0" w:after="120"/>
        <w:jc w:val="both"/>
        <w:rPr>
          <w:i/>
        </w:rPr>
      </w:pPr>
      <w:r w:rsidRPr="004D3C91">
        <w:rPr>
          <w:rFonts w:eastAsiaTheme="majorEastAsia" w:cstheme="majorBidi"/>
          <w:b/>
          <w:i/>
          <w:sz w:val="28"/>
          <w:szCs w:val="28"/>
        </w:rPr>
        <w:t>Quality use of medicines</w:t>
      </w:r>
      <w:r w:rsidR="00945990" w:rsidRPr="004D3C91">
        <w:rPr>
          <w:i/>
        </w:rPr>
        <w:t xml:space="preserve"> </w:t>
      </w:r>
    </w:p>
    <w:p w:rsidR="00DA02D9" w:rsidRDefault="00E45F3A" w:rsidP="00536BA0">
      <w:pPr>
        <w:widowControl w:val="0"/>
        <w:numPr>
          <w:ilvl w:val="1"/>
          <w:numId w:val="4"/>
        </w:numPr>
        <w:spacing w:before="0" w:after="120"/>
        <w:jc w:val="both"/>
      </w:pPr>
      <w:r w:rsidRPr="00ED3C94">
        <w:t>The submission identifies the (i) accurate use of the IGA and EASI by clinicians, (ii) correct administration of dupilumab, (iii) appropriate storage and handling of dupilumab, and (iv) comprehensive pharmacovigilance pla</w:t>
      </w:r>
      <w:r w:rsidR="0012136C">
        <w:t>n for dupilumab as QUM issues.</w:t>
      </w:r>
    </w:p>
    <w:p w:rsidR="000E4EE3" w:rsidRPr="004D3C91" w:rsidRDefault="000E4EE3" w:rsidP="000E4EE3">
      <w:pPr>
        <w:pStyle w:val="Heading2"/>
      </w:pPr>
      <w:bookmarkStart w:id="32" w:name="_Toc514237318"/>
      <w:r w:rsidRPr="004D3C91">
        <w:t>Financial management – risk sharing arrangements</w:t>
      </w:r>
      <w:bookmarkEnd w:id="32"/>
    </w:p>
    <w:p w:rsidR="000E4EE3" w:rsidRDefault="000E4EE3" w:rsidP="000E4EE3">
      <w:pPr>
        <w:widowControl w:val="0"/>
        <w:numPr>
          <w:ilvl w:val="1"/>
          <w:numId w:val="4"/>
        </w:numPr>
        <w:spacing w:before="0" w:after="120"/>
        <w:jc w:val="both"/>
      </w:pPr>
      <w:r>
        <w:t>The pre-PBAC response stated that the sponsor would consider a risk share arrangement to address potential use outside of the proposed population.</w:t>
      </w:r>
    </w:p>
    <w:p w:rsidR="0055219B" w:rsidRDefault="0055219B" w:rsidP="0055219B">
      <w:pPr>
        <w:pStyle w:val="BodyText"/>
        <w:rPr>
          <w:rFonts w:asciiTheme="minorHAnsi" w:hAnsiTheme="minorHAnsi"/>
          <w:i/>
          <w:sz w:val="24"/>
          <w:szCs w:val="24"/>
        </w:rPr>
      </w:pPr>
      <w:r w:rsidRPr="00536BA0">
        <w:rPr>
          <w:rFonts w:asciiTheme="minorHAnsi" w:hAnsiTheme="minorHAnsi"/>
          <w:i/>
          <w:sz w:val="24"/>
          <w:szCs w:val="24"/>
        </w:rPr>
        <w:t>For more detail on the PBAC’s view, see section 7 PBAC outcome.</w:t>
      </w:r>
    </w:p>
    <w:p w:rsidR="0049471B" w:rsidRPr="009E7CA9" w:rsidRDefault="0049471B" w:rsidP="009E7CA9">
      <w:pPr>
        <w:widowControl w:val="0"/>
        <w:numPr>
          <w:ilvl w:val="0"/>
          <w:numId w:val="4"/>
        </w:numPr>
        <w:spacing w:before="240" w:after="120"/>
        <w:jc w:val="both"/>
        <w:outlineLvl w:val="0"/>
        <w:rPr>
          <w:rFonts w:cs="Arial"/>
          <w:b/>
          <w:bCs/>
          <w:snapToGrid w:val="0"/>
          <w:sz w:val="32"/>
        </w:rPr>
      </w:pPr>
      <w:r w:rsidRPr="009E7CA9">
        <w:rPr>
          <w:rFonts w:cs="Arial"/>
          <w:b/>
          <w:bCs/>
          <w:snapToGrid w:val="0"/>
          <w:sz w:val="32"/>
        </w:rPr>
        <w:t>PBAC Outcome</w:t>
      </w:r>
    </w:p>
    <w:p w:rsidR="006D72F7" w:rsidRPr="00E35FA5" w:rsidRDefault="006D72F7" w:rsidP="00E35FA5">
      <w:pPr>
        <w:widowControl w:val="0"/>
        <w:numPr>
          <w:ilvl w:val="1"/>
          <w:numId w:val="4"/>
        </w:numPr>
        <w:spacing w:before="0" w:after="120"/>
        <w:jc w:val="both"/>
        <w:rPr>
          <w:rFonts w:cs="Arial"/>
          <w:bCs/>
          <w:snapToGrid w:val="0"/>
          <w:lang w:val="en-GB"/>
        </w:rPr>
      </w:pPr>
      <w:r w:rsidRPr="007A5B89">
        <w:rPr>
          <w:rFonts w:cs="Arial"/>
          <w:bCs/>
          <w:snapToGrid w:val="0"/>
          <w:lang w:val="en-GB"/>
        </w:rPr>
        <w:t xml:space="preserve">The PBAC </w:t>
      </w:r>
      <w:r w:rsidR="004F78E4">
        <w:rPr>
          <w:rFonts w:cs="Arial"/>
          <w:bCs/>
          <w:snapToGrid w:val="0"/>
          <w:lang w:val="en-GB"/>
        </w:rPr>
        <w:t>did</w:t>
      </w:r>
      <w:r w:rsidRPr="007A5B89">
        <w:rPr>
          <w:rFonts w:cs="Arial"/>
          <w:bCs/>
          <w:snapToGrid w:val="0"/>
          <w:lang w:val="en-GB"/>
        </w:rPr>
        <w:t xml:space="preserve"> not recommend </w:t>
      </w:r>
      <w:r w:rsidR="00403FA1">
        <w:rPr>
          <w:rFonts w:cs="Arial"/>
          <w:bCs/>
          <w:snapToGrid w:val="0"/>
          <w:lang w:val="en-GB"/>
        </w:rPr>
        <w:t xml:space="preserve">the listing of </w:t>
      </w:r>
      <w:r w:rsidR="004F78E4">
        <w:rPr>
          <w:rFonts w:cs="Arial"/>
          <w:bCs/>
          <w:snapToGrid w:val="0"/>
          <w:lang w:val="en-GB"/>
        </w:rPr>
        <w:t xml:space="preserve">dupilumab for the treatment of </w:t>
      </w:r>
      <w:r w:rsidR="00E35FA5">
        <w:rPr>
          <w:rFonts w:cs="Arial"/>
          <w:bCs/>
          <w:snapToGrid w:val="0"/>
          <w:lang w:val="en-GB"/>
        </w:rPr>
        <w:t xml:space="preserve">severe </w:t>
      </w:r>
      <w:r w:rsidR="004F78E4">
        <w:rPr>
          <w:rFonts w:cs="Arial"/>
          <w:bCs/>
          <w:snapToGrid w:val="0"/>
          <w:lang w:val="en-GB"/>
        </w:rPr>
        <w:t xml:space="preserve">atopic dermatitis </w:t>
      </w:r>
      <w:r w:rsidR="00650543">
        <w:rPr>
          <w:rFonts w:cs="Arial"/>
          <w:bCs/>
          <w:snapToGrid w:val="0"/>
          <w:lang w:val="en-GB"/>
        </w:rPr>
        <w:t xml:space="preserve">(AD) </w:t>
      </w:r>
      <w:r w:rsidR="00DA02D9">
        <w:rPr>
          <w:rFonts w:cs="Arial"/>
          <w:bCs/>
          <w:snapToGrid w:val="0"/>
          <w:lang w:val="en-GB"/>
        </w:rPr>
        <w:t>due to uncertainty regarding the appropriate place</w:t>
      </w:r>
      <w:r w:rsidR="00F9187C">
        <w:rPr>
          <w:rFonts w:cs="Arial"/>
          <w:bCs/>
          <w:snapToGrid w:val="0"/>
          <w:lang w:val="en-GB"/>
        </w:rPr>
        <w:t xml:space="preserve"> in therapy</w:t>
      </w:r>
      <w:r w:rsidR="00E35FA5">
        <w:rPr>
          <w:rFonts w:cs="Arial"/>
          <w:bCs/>
          <w:snapToGrid w:val="0"/>
          <w:lang w:val="en-GB"/>
        </w:rPr>
        <w:t xml:space="preserve"> and </w:t>
      </w:r>
      <w:r w:rsidR="00034B01">
        <w:rPr>
          <w:rFonts w:cs="Arial"/>
          <w:bCs/>
          <w:snapToGrid w:val="0"/>
          <w:lang w:val="en-GB"/>
        </w:rPr>
        <w:t xml:space="preserve">uncertain </w:t>
      </w:r>
      <w:r w:rsidR="00E35FA5">
        <w:rPr>
          <w:rFonts w:cs="Arial"/>
          <w:bCs/>
          <w:snapToGrid w:val="0"/>
          <w:lang w:val="en-GB"/>
        </w:rPr>
        <w:t>cost effectiveness</w:t>
      </w:r>
      <w:r w:rsidR="00F9187C">
        <w:rPr>
          <w:rFonts w:cs="Arial"/>
          <w:bCs/>
          <w:snapToGrid w:val="0"/>
          <w:lang w:val="en-GB"/>
        </w:rPr>
        <w:t>.</w:t>
      </w:r>
      <w:r w:rsidR="00E35FA5">
        <w:rPr>
          <w:rFonts w:cs="Arial"/>
          <w:bCs/>
          <w:snapToGrid w:val="0"/>
          <w:lang w:val="en-GB"/>
        </w:rPr>
        <w:t xml:space="preserve"> The PBAC did not consider that the data presented in the submission supported restricting </w:t>
      </w:r>
      <w:r w:rsidR="00650543">
        <w:rPr>
          <w:rFonts w:cs="Arial"/>
          <w:bCs/>
          <w:snapToGrid w:val="0"/>
          <w:lang w:val="en-GB"/>
        </w:rPr>
        <w:t xml:space="preserve">the </w:t>
      </w:r>
      <w:r w:rsidR="00E35FA5">
        <w:rPr>
          <w:rFonts w:cs="Arial"/>
          <w:bCs/>
          <w:snapToGrid w:val="0"/>
          <w:lang w:val="en-GB"/>
        </w:rPr>
        <w:t>use of dupilumab to</w:t>
      </w:r>
      <w:r w:rsidR="00650543">
        <w:rPr>
          <w:rFonts w:cs="Arial"/>
          <w:bCs/>
          <w:snapToGrid w:val="0"/>
          <w:lang w:val="en-GB"/>
        </w:rPr>
        <w:t xml:space="preserve"> only</w:t>
      </w:r>
      <w:r w:rsidR="00E35FA5">
        <w:rPr>
          <w:rFonts w:cs="Arial"/>
          <w:bCs/>
          <w:snapToGrid w:val="0"/>
          <w:lang w:val="en-GB"/>
        </w:rPr>
        <w:t xml:space="preserve"> severe disease</w:t>
      </w:r>
      <w:r w:rsidR="00DF048E" w:rsidRPr="00E35FA5">
        <w:rPr>
          <w:rFonts w:cs="Arial"/>
          <w:bCs/>
          <w:snapToGrid w:val="0"/>
          <w:lang w:val="en-GB"/>
        </w:rPr>
        <w:t xml:space="preserve">. </w:t>
      </w:r>
    </w:p>
    <w:p w:rsidR="00070B55" w:rsidRDefault="00070B55" w:rsidP="0053282B">
      <w:pPr>
        <w:widowControl w:val="0"/>
        <w:numPr>
          <w:ilvl w:val="1"/>
          <w:numId w:val="4"/>
        </w:numPr>
        <w:spacing w:before="0" w:after="120"/>
        <w:jc w:val="both"/>
        <w:rPr>
          <w:rFonts w:cs="Arial"/>
          <w:bCs/>
          <w:snapToGrid w:val="0"/>
          <w:lang w:val="en-GB"/>
        </w:rPr>
      </w:pPr>
      <w:r>
        <w:rPr>
          <w:rFonts w:cs="Arial"/>
          <w:bCs/>
          <w:snapToGrid w:val="0"/>
          <w:lang w:val="en-GB"/>
        </w:rPr>
        <w:t xml:space="preserve">The PBAC acknowledged the clinical need for a safe and effective treatment for patients with AD who do not respond to existing therapies. </w:t>
      </w:r>
      <w:r w:rsidRPr="00134CAC">
        <w:rPr>
          <w:rFonts w:cs="Arial"/>
          <w:bCs/>
          <w:snapToGrid w:val="0"/>
          <w:lang w:val="en-GB"/>
        </w:rPr>
        <w:t xml:space="preserve">The PBAC noted the </w:t>
      </w:r>
      <w:r w:rsidRPr="00375934">
        <w:rPr>
          <w:rFonts w:cs="Arial"/>
          <w:bCs/>
          <w:snapToGrid w:val="0"/>
          <w:lang w:val="en-GB"/>
        </w:rPr>
        <w:t xml:space="preserve">comments from consumers and patient support groups that emphasized the substantial impacts of AD on patients’ quality of life and reflected the perceived </w:t>
      </w:r>
      <w:r w:rsidRPr="00375934">
        <w:rPr>
          <w:rFonts w:cs="Arial"/>
          <w:bCs/>
          <w:snapToGrid w:val="0"/>
          <w:lang w:val="en-GB"/>
        </w:rPr>
        <w:lastRenderedPageBreak/>
        <w:t xml:space="preserve">efficacy and comparative safety of dupilumab. </w:t>
      </w:r>
      <w:r w:rsidRPr="00375934">
        <w:t>The PBAC noted the ASCIA’s in-principle support for the listing of dupil</w:t>
      </w:r>
      <w:r>
        <w:t xml:space="preserve">umab in patients with severe AD. </w:t>
      </w:r>
    </w:p>
    <w:p w:rsidR="0053282B" w:rsidRPr="00375934" w:rsidRDefault="0053282B" w:rsidP="0053282B">
      <w:pPr>
        <w:widowControl w:val="0"/>
        <w:numPr>
          <w:ilvl w:val="1"/>
          <w:numId w:val="4"/>
        </w:numPr>
        <w:spacing w:before="0" w:after="120"/>
        <w:jc w:val="both"/>
        <w:rPr>
          <w:rFonts w:cs="Arial"/>
          <w:bCs/>
          <w:snapToGrid w:val="0"/>
          <w:lang w:val="en-GB"/>
        </w:rPr>
      </w:pPr>
      <w:r w:rsidRPr="00B36FE0">
        <w:rPr>
          <w:rFonts w:cs="Arial"/>
          <w:bCs/>
          <w:snapToGrid w:val="0"/>
          <w:lang w:val="en-GB"/>
        </w:rPr>
        <w:t xml:space="preserve">The PBAC noted that the proposed patient population was narrower than the TGA-approved indication for dupilumab and the clinical guidelines which recommend treatment of moderate to severe AD without the requirement for </w:t>
      </w:r>
      <w:r>
        <w:rPr>
          <w:rFonts w:cs="Arial"/>
          <w:bCs/>
          <w:snapToGrid w:val="0"/>
          <w:lang w:val="en-GB"/>
        </w:rPr>
        <w:t xml:space="preserve">prior intolerance, </w:t>
      </w:r>
      <w:r w:rsidRPr="007C23AC">
        <w:rPr>
          <w:rFonts w:cs="Arial"/>
          <w:bCs/>
          <w:snapToGrid w:val="0"/>
          <w:lang w:val="en-GB"/>
        </w:rPr>
        <w:t>insufficient response or contraindication to treatment with CsA. The P</w:t>
      </w:r>
      <w:r w:rsidR="00070B55">
        <w:rPr>
          <w:rFonts w:cs="Arial"/>
          <w:bCs/>
          <w:snapToGrid w:val="0"/>
          <w:lang w:val="en-GB"/>
        </w:rPr>
        <w:t>SCR and pre-PBAC response maintained</w:t>
      </w:r>
      <w:r w:rsidRPr="007C23AC">
        <w:rPr>
          <w:rFonts w:cs="Arial"/>
          <w:bCs/>
          <w:snapToGrid w:val="0"/>
          <w:lang w:val="en-GB"/>
        </w:rPr>
        <w:t xml:space="preserve"> that these patients had the greatest unmet clinical need, and that the restriction was aligned with that of biologics for chronic plaque psoriasis. The </w:t>
      </w:r>
      <w:r w:rsidRPr="00846779">
        <w:rPr>
          <w:rFonts w:cs="Arial"/>
          <w:bCs/>
          <w:snapToGrid w:val="0"/>
          <w:lang w:val="en-GB"/>
        </w:rPr>
        <w:t xml:space="preserve">PBAC noted that prescribers are reluctant </w:t>
      </w:r>
      <w:r w:rsidR="00070B55">
        <w:rPr>
          <w:rFonts w:cs="Arial"/>
          <w:bCs/>
          <w:snapToGrid w:val="0"/>
          <w:lang w:val="en-GB"/>
        </w:rPr>
        <w:t xml:space="preserve">to use CsA due to its toxicity and therefore considered that </w:t>
      </w:r>
      <w:r w:rsidRPr="00375934">
        <w:rPr>
          <w:rFonts w:cs="Arial"/>
          <w:bCs/>
          <w:snapToGrid w:val="0"/>
          <w:lang w:val="en-GB"/>
        </w:rPr>
        <w:t>the narrow restriction proposed was not adequately justified</w:t>
      </w:r>
      <w:r w:rsidR="00070B55">
        <w:rPr>
          <w:rFonts w:cs="Arial"/>
          <w:bCs/>
          <w:snapToGrid w:val="0"/>
          <w:lang w:val="en-GB"/>
        </w:rPr>
        <w:t>. The PBAC requested that expert input be sought</w:t>
      </w:r>
      <w:r w:rsidR="00070B55" w:rsidRPr="00E35FA5">
        <w:rPr>
          <w:rFonts w:cs="Arial"/>
          <w:bCs/>
          <w:snapToGrid w:val="0"/>
          <w:lang w:val="en-GB"/>
        </w:rPr>
        <w:t xml:space="preserve"> </w:t>
      </w:r>
      <w:r w:rsidR="00070B55">
        <w:rPr>
          <w:rFonts w:cs="Arial"/>
          <w:bCs/>
          <w:snapToGrid w:val="0"/>
          <w:lang w:val="en-GB"/>
        </w:rPr>
        <w:t>to determine if</w:t>
      </w:r>
      <w:r w:rsidR="00070B55" w:rsidRPr="00E35FA5">
        <w:rPr>
          <w:rFonts w:cs="Arial"/>
          <w:bCs/>
          <w:snapToGrid w:val="0"/>
          <w:lang w:val="en-GB"/>
        </w:rPr>
        <w:t xml:space="preserve"> </w:t>
      </w:r>
      <w:r w:rsidR="00070B55">
        <w:rPr>
          <w:rFonts w:cs="Arial"/>
          <w:bCs/>
          <w:snapToGrid w:val="0"/>
          <w:lang w:val="en-GB"/>
        </w:rPr>
        <w:t xml:space="preserve">the use of dupilumab for </w:t>
      </w:r>
      <w:r w:rsidR="00070B55" w:rsidRPr="00E35FA5">
        <w:rPr>
          <w:rFonts w:cs="Arial"/>
          <w:bCs/>
          <w:snapToGrid w:val="0"/>
          <w:lang w:val="en-GB"/>
        </w:rPr>
        <w:t>moderate to severe disease</w:t>
      </w:r>
      <w:r w:rsidR="00070B55">
        <w:rPr>
          <w:rFonts w:cs="Arial"/>
          <w:bCs/>
          <w:snapToGrid w:val="0"/>
          <w:lang w:val="en-GB"/>
        </w:rPr>
        <w:t xml:space="preserve"> regardless of prior CsA use would be more appropriate. </w:t>
      </w:r>
    </w:p>
    <w:p w:rsidR="00070B55" w:rsidRPr="00846779" w:rsidRDefault="00070B55" w:rsidP="00070B55">
      <w:pPr>
        <w:widowControl w:val="0"/>
        <w:numPr>
          <w:ilvl w:val="1"/>
          <w:numId w:val="4"/>
        </w:numPr>
        <w:spacing w:before="0"/>
        <w:jc w:val="both"/>
        <w:rPr>
          <w:bCs/>
        </w:rPr>
      </w:pPr>
      <w:r w:rsidRPr="007C23AC">
        <w:rPr>
          <w:bCs/>
        </w:rPr>
        <w:t xml:space="preserve">The </w:t>
      </w:r>
      <w:r>
        <w:rPr>
          <w:bCs/>
        </w:rPr>
        <w:t>PBAC</w:t>
      </w:r>
      <w:r w:rsidRPr="007C23AC">
        <w:rPr>
          <w:bCs/>
        </w:rPr>
        <w:t xml:space="preserve"> noted that the majority of the clinical evidence for dupilumab didn’t require </w:t>
      </w:r>
      <w:r>
        <w:rPr>
          <w:bCs/>
        </w:rPr>
        <w:t>failure with/</w:t>
      </w:r>
      <w:r w:rsidRPr="007C23AC">
        <w:rPr>
          <w:bCs/>
        </w:rPr>
        <w:t>contraindication</w:t>
      </w:r>
      <w:r>
        <w:rPr>
          <w:bCs/>
        </w:rPr>
        <w:t>/intolerance</w:t>
      </w:r>
      <w:r w:rsidRPr="007C23AC">
        <w:rPr>
          <w:bCs/>
        </w:rPr>
        <w:t xml:space="preserve"> to CsA</w:t>
      </w:r>
      <w:r>
        <w:rPr>
          <w:bCs/>
        </w:rPr>
        <w:t xml:space="preserve"> </w:t>
      </w:r>
      <w:r>
        <w:t>and therefore th</w:t>
      </w:r>
      <w:r w:rsidR="00650543">
        <w:t>e proposed place in therapy did</w:t>
      </w:r>
      <w:r>
        <w:t xml:space="preserve"> not align with the majority of the available clinical evidence</w:t>
      </w:r>
      <w:r w:rsidRPr="007C23AC">
        <w:rPr>
          <w:bCs/>
        </w:rPr>
        <w:t>.</w:t>
      </w:r>
      <w:r>
        <w:rPr>
          <w:bCs/>
        </w:rPr>
        <w:t xml:space="preserve"> </w:t>
      </w:r>
      <w:r w:rsidRPr="007C23AC">
        <w:rPr>
          <w:rFonts w:cs="Arial"/>
          <w:bCs/>
          <w:snapToGrid w:val="0"/>
          <w:lang w:val="en-GB"/>
        </w:rPr>
        <w:t>T</w:t>
      </w:r>
      <w:r w:rsidRPr="00ED3C94">
        <w:t xml:space="preserve">he </w:t>
      </w:r>
      <w:r>
        <w:t xml:space="preserve">PBAC noted that the </w:t>
      </w:r>
      <w:r w:rsidRPr="00ED3C94">
        <w:t>evidence appear</w:t>
      </w:r>
      <w:r w:rsidR="00650543">
        <w:t>ed</w:t>
      </w:r>
      <w:r w:rsidRPr="00ED3C94">
        <w:t xml:space="preserve"> to demonstrate that patients with IGA = 3 and those who do not fulfil the CsA criteria specified in the requested restriction would benefit </w:t>
      </w:r>
      <w:r w:rsidR="00650543">
        <w:t>equally</w:t>
      </w:r>
      <w:r w:rsidRPr="00ED3C94">
        <w:t xml:space="preserve"> from dupilumab treatment</w:t>
      </w:r>
      <w:r>
        <w:t xml:space="preserve">. </w:t>
      </w:r>
      <w:r w:rsidRPr="006A5593">
        <w:t xml:space="preserve">The </w:t>
      </w:r>
      <w:r>
        <w:t>PBAC agreed with the ESC</w:t>
      </w:r>
      <w:r w:rsidRPr="006A5593">
        <w:t xml:space="preserve"> that restricting eligibility to pati</w:t>
      </w:r>
      <w:r w:rsidR="00650543">
        <w:t>ents with severe AD and prior Cs</w:t>
      </w:r>
      <w:r w:rsidRPr="006A5593">
        <w:t xml:space="preserve">A exposure or contraindication </w:t>
      </w:r>
      <w:r w:rsidR="00945990">
        <w:t>may be</w:t>
      </w:r>
      <w:r w:rsidR="00945990" w:rsidRPr="006A5593">
        <w:t xml:space="preserve"> </w:t>
      </w:r>
      <w:r w:rsidR="00650543">
        <w:t>inappropriately</w:t>
      </w:r>
      <w:r w:rsidRPr="006A5593">
        <w:t xml:space="preserve"> narrower than the TGA</w:t>
      </w:r>
      <w:r>
        <w:t xml:space="preserve"> indicat</w:t>
      </w:r>
      <w:r w:rsidR="00650543">
        <w:t xml:space="preserve">ion and the trial data. </w:t>
      </w:r>
    </w:p>
    <w:p w:rsidR="00726E13" w:rsidRPr="00070B55" w:rsidRDefault="00204509" w:rsidP="00070B55">
      <w:pPr>
        <w:widowControl w:val="0"/>
        <w:numPr>
          <w:ilvl w:val="1"/>
          <w:numId w:val="4"/>
        </w:numPr>
        <w:spacing w:before="0" w:after="120"/>
        <w:jc w:val="both"/>
        <w:rPr>
          <w:rFonts w:cs="Arial"/>
          <w:bCs/>
          <w:snapToGrid w:val="0"/>
          <w:lang w:val="en-GB"/>
        </w:rPr>
      </w:pPr>
      <w:r>
        <w:rPr>
          <w:rFonts w:cs="Arial"/>
          <w:bCs/>
          <w:snapToGrid w:val="0"/>
          <w:lang w:val="en-GB"/>
        </w:rPr>
        <w:t xml:space="preserve">The </w:t>
      </w:r>
      <w:r w:rsidR="0053282B">
        <w:rPr>
          <w:rFonts w:cs="Arial"/>
          <w:bCs/>
          <w:snapToGrid w:val="0"/>
          <w:lang w:val="en-GB"/>
        </w:rPr>
        <w:t>PBAC</w:t>
      </w:r>
      <w:r w:rsidR="006A5593">
        <w:rPr>
          <w:rFonts w:cs="Arial"/>
          <w:bCs/>
          <w:snapToGrid w:val="0"/>
          <w:lang w:val="en-GB"/>
        </w:rPr>
        <w:t xml:space="preserve"> </w:t>
      </w:r>
      <w:r w:rsidR="00070B55">
        <w:rPr>
          <w:rFonts w:cs="Arial"/>
          <w:bCs/>
          <w:snapToGrid w:val="0"/>
          <w:lang w:val="en-GB"/>
        </w:rPr>
        <w:t xml:space="preserve">considered that </w:t>
      </w:r>
      <w:r w:rsidR="00070B55" w:rsidRPr="00070B55">
        <w:t>multiple re-trials of dupilumab after inadequate response would not be appropriate</w:t>
      </w:r>
      <w:r w:rsidR="00324AF6">
        <w:t>,</w:t>
      </w:r>
      <w:r w:rsidR="00070B55">
        <w:t xml:space="preserve"> and </w:t>
      </w:r>
      <w:r w:rsidR="00324AF6">
        <w:rPr>
          <w:rFonts w:cs="Arial"/>
          <w:bCs/>
          <w:snapToGrid w:val="0"/>
          <w:lang w:val="en-GB"/>
        </w:rPr>
        <w:t>as there are currently no other biologics for AD,</w:t>
      </w:r>
      <w:r w:rsidR="00070B55">
        <w:rPr>
          <w:rFonts w:cs="Arial"/>
          <w:bCs/>
          <w:snapToGrid w:val="0"/>
          <w:lang w:val="en-GB"/>
        </w:rPr>
        <w:t xml:space="preserve"> </w:t>
      </w:r>
      <w:r>
        <w:rPr>
          <w:rFonts w:cs="Arial"/>
          <w:bCs/>
          <w:snapToGrid w:val="0"/>
          <w:lang w:val="en-GB"/>
        </w:rPr>
        <w:t>proposed removal of the Initial 2 restriction.</w:t>
      </w:r>
      <w:r w:rsidR="00B44BBE">
        <w:rPr>
          <w:rFonts w:cs="Arial"/>
          <w:bCs/>
          <w:snapToGrid w:val="0"/>
          <w:lang w:val="en-GB"/>
        </w:rPr>
        <w:t xml:space="preserve"> </w:t>
      </w:r>
      <w:r w:rsidR="00400906" w:rsidRPr="00400906">
        <w:rPr>
          <w:rFonts w:cs="Arial"/>
          <w:bCs/>
          <w:snapToGrid w:val="0"/>
          <w:lang w:val="en-GB"/>
        </w:rPr>
        <w:t>The PBAC questioned whether</w:t>
      </w:r>
      <w:r w:rsidR="00400906" w:rsidRPr="006A5C0B">
        <w:rPr>
          <w:rFonts w:cs="Arial"/>
          <w:bCs/>
          <w:snapToGrid w:val="0"/>
          <w:lang w:val="en-GB"/>
        </w:rPr>
        <w:t xml:space="preserve"> prescribing by clinical immunologi</w:t>
      </w:r>
      <w:r w:rsidR="00400906" w:rsidRPr="006A5593">
        <w:rPr>
          <w:rFonts w:cs="Arial"/>
          <w:bCs/>
          <w:snapToGrid w:val="0"/>
          <w:lang w:val="en-GB"/>
        </w:rPr>
        <w:t xml:space="preserve">sts </w:t>
      </w:r>
      <w:r w:rsidR="00400906" w:rsidRPr="00BB32A9">
        <w:rPr>
          <w:rFonts w:cs="Arial"/>
          <w:bCs/>
          <w:snapToGrid w:val="0"/>
          <w:lang w:val="en-GB"/>
        </w:rPr>
        <w:t xml:space="preserve">would be appropriate </w:t>
      </w:r>
      <w:r w:rsidR="00400906" w:rsidRPr="00264692">
        <w:rPr>
          <w:rFonts w:cs="Arial"/>
          <w:bCs/>
          <w:snapToGrid w:val="0"/>
          <w:lang w:val="en-GB"/>
        </w:rPr>
        <w:t xml:space="preserve">as dermatologists </w:t>
      </w:r>
      <w:r w:rsidR="00945990">
        <w:rPr>
          <w:rFonts w:cs="Arial"/>
          <w:bCs/>
          <w:snapToGrid w:val="0"/>
          <w:lang w:val="en-GB"/>
        </w:rPr>
        <w:t xml:space="preserve">may </w:t>
      </w:r>
      <w:r w:rsidR="00400906" w:rsidRPr="00264692">
        <w:rPr>
          <w:rFonts w:cs="Arial"/>
          <w:bCs/>
          <w:snapToGrid w:val="0"/>
          <w:lang w:val="en-GB"/>
        </w:rPr>
        <w:t xml:space="preserve">be better placed to assess </w:t>
      </w:r>
      <w:r w:rsidR="00F9187C">
        <w:rPr>
          <w:rFonts w:cs="Arial"/>
          <w:bCs/>
          <w:snapToGrid w:val="0"/>
          <w:lang w:val="en-GB"/>
        </w:rPr>
        <w:t xml:space="preserve">IGA severity and </w:t>
      </w:r>
      <w:r w:rsidR="00400906" w:rsidRPr="00264692">
        <w:rPr>
          <w:rFonts w:cs="Arial"/>
          <w:bCs/>
          <w:snapToGrid w:val="0"/>
          <w:lang w:val="en-GB"/>
        </w:rPr>
        <w:t>EASI response</w:t>
      </w:r>
      <w:r w:rsidR="00556A28">
        <w:rPr>
          <w:rFonts w:cs="Arial"/>
          <w:bCs/>
          <w:snapToGrid w:val="0"/>
          <w:lang w:val="en-GB"/>
        </w:rPr>
        <w:t xml:space="preserve"> as required for continuing treatment</w:t>
      </w:r>
      <w:r w:rsidRPr="006A5C0B">
        <w:rPr>
          <w:rFonts w:cs="Arial"/>
          <w:bCs/>
          <w:snapToGrid w:val="0"/>
          <w:lang w:val="en-GB"/>
        </w:rPr>
        <w:t xml:space="preserve">. </w:t>
      </w:r>
      <w:r w:rsidR="006A5C0B">
        <w:rPr>
          <w:rFonts w:cs="Arial"/>
          <w:bCs/>
          <w:snapToGrid w:val="0"/>
          <w:lang w:val="en-GB"/>
        </w:rPr>
        <w:t xml:space="preserve">The PBAC noted that a grandfathering restriction was requested for patients </w:t>
      </w:r>
      <w:r w:rsidR="00F17D5C">
        <w:rPr>
          <w:rFonts w:cs="Arial"/>
          <w:bCs/>
          <w:snapToGrid w:val="0"/>
          <w:lang w:val="en-GB"/>
        </w:rPr>
        <w:t xml:space="preserve">currently in the early access program and the open label extension study as well as around 300 patients expected to be enrolled in a patient familiarisation program. The PBAC </w:t>
      </w:r>
      <w:r w:rsidR="0053282B">
        <w:rPr>
          <w:rFonts w:cs="Arial"/>
          <w:bCs/>
          <w:snapToGrid w:val="0"/>
          <w:lang w:val="en-GB"/>
        </w:rPr>
        <w:t>considered</w:t>
      </w:r>
      <w:r w:rsidR="006A5C0B">
        <w:t xml:space="preserve"> </w:t>
      </w:r>
      <w:r w:rsidR="0053282B">
        <w:t>that it may not be reasonable to grandfather patients who had not yet commenced on the program.</w:t>
      </w:r>
    </w:p>
    <w:p w:rsidR="00846779" w:rsidRPr="00846779" w:rsidRDefault="007C23AC" w:rsidP="00D55CEB">
      <w:pPr>
        <w:widowControl w:val="0"/>
        <w:numPr>
          <w:ilvl w:val="1"/>
          <w:numId w:val="4"/>
        </w:numPr>
        <w:spacing w:before="0" w:after="120"/>
        <w:jc w:val="both"/>
        <w:rPr>
          <w:rFonts w:cs="Arial"/>
          <w:bCs/>
          <w:snapToGrid w:val="0"/>
          <w:lang w:val="en-GB"/>
        </w:rPr>
      </w:pPr>
      <w:r>
        <w:t>The PBAC considered that</w:t>
      </w:r>
      <w:r w:rsidR="00070B55">
        <w:t>, based on the clinical data provided,</w:t>
      </w:r>
      <w:r>
        <w:t xml:space="preserve"> EASI-75 appears to be a valid clinical marker </w:t>
      </w:r>
      <w:r w:rsidR="00D32B81">
        <w:t xml:space="preserve">for AD, </w:t>
      </w:r>
      <w:r>
        <w:t>correlating with outcomes such as quality of life. The PBAC also noted that SCORAD may be a relevant outcome.</w:t>
      </w:r>
      <w:r w:rsidR="00846779">
        <w:t xml:space="preserve"> </w:t>
      </w:r>
    </w:p>
    <w:p w:rsidR="000E1EA1" w:rsidRPr="00846779" w:rsidRDefault="00D32B81" w:rsidP="00846779">
      <w:pPr>
        <w:widowControl w:val="0"/>
        <w:numPr>
          <w:ilvl w:val="1"/>
          <w:numId w:val="4"/>
        </w:numPr>
        <w:spacing w:before="0" w:after="120"/>
        <w:jc w:val="both"/>
        <w:rPr>
          <w:rFonts w:cs="Arial"/>
          <w:bCs/>
          <w:snapToGrid w:val="0"/>
        </w:rPr>
      </w:pPr>
      <w:r>
        <w:t xml:space="preserve">The PBAC noted that </w:t>
      </w:r>
      <w:r w:rsidRPr="00ED3C94">
        <w:t>a statistically significantly higher proportion of patients treated with dupilumab 300mg Q2W achieved an EASI-75 response at Week 16 than patients treated with placebo</w:t>
      </w:r>
      <w:r w:rsidRPr="00990AD0">
        <w:t xml:space="preserve">. </w:t>
      </w:r>
      <w:r w:rsidR="00734D09">
        <w:rPr>
          <w:rFonts w:cs="Arial"/>
          <w:bCs/>
          <w:snapToGrid w:val="0"/>
          <w:lang w:val="en-GB"/>
        </w:rPr>
        <w:t xml:space="preserve">The PBAC </w:t>
      </w:r>
      <w:r w:rsidR="00B139F7">
        <w:rPr>
          <w:rFonts w:cs="Arial"/>
          <w:bCs/>
          <w:snapToGrid w:val="0"/>
          <w:lang w:val="en-GB"/>
        </w:rPr>
        <w:t xml:space="preserve">noted that the </w:t>
      </w:r>
      <w:r w:rsidR="00734D09">
        <w:rPr>
          <w:rFonts w:cs="Arial"/>
          <w:bCs/>
          <w:snapToGrid w:val="0"/>
          <w:lang w:val="en-GB"/>
        </w:rPr>
        <w:t>long term</w:t>
      </w:r>
      <w:r w:rsidR="00726C6A">
        <w:rPr>
          <w:rFonts w:cs="Arial"/>
          <w:bCs/>
          <w:snapToGrid w:val="0"/>
          <w:lang w:val="en-GB"/>
        </w:rPr>
        <w:t xml:space="preserve"> efficacy </w:t>
      </w:r>
      <w:r w:rsidR="00734D09">
        <w:rPr>
          <w:rFonts w:cs="Arial"/>
          <w:bCs/>
          <w:snapToGrid w:val="0"/>
          <w:lang w:val="en-GB"/>
        </w:rPr>
        <w:t xml:space="preserve">data </w:t>
      </w:r>
      <w:r w:rsidR="00B139F7">
        <w:rPr>
          <w:rFonts w:cs="Arial"/>
          <w:bCs/>
          <w:snapToGrid w:val="0"/>
          <w:lang w:val="en-GB"/>
        </w:rPr>
        <w:t xml:space="preserve">presented </w:t>
      </w:r>
      <w:r w:rsidR="00945990">
        <w:rPr>
          <w:rFonts w:cs="Arial"/>
          <w:bCs/>
          <w:snapToGrid w:val="0"/>
          <w:lang w:val="en-GB"/>
        </w:rPr>
        <w:t>were</w:t>
      </w:r>
      <w:r w:rsidR="00734D09">
        <w:rPr>
          <w:rFonts w:cs="Arial"/>
          <w:bCs/>
          <w:snapToGrid w:val="0"/>
          <w:lang w:val="en-GB"/>
        </w:rPr>
        <w:t xml:space="preserve"> limited</w:t>
      </w:r>
      <w:r>
        <w:rPr>
          <w:rFonts w:cs="Arial"/>
          <w:bCs/>
          <w:snapToGrid w:val="0"/>
          <w:lang w:val="en-GB"/>
        </w:rPr>
        <w:t xml:space="preserve"> but considered that </w:t>
      </w:r>
      <w:r w:rsidR="00726C6A">
        <w:rPr>
          <w:rFonts w:cs="Arial"/>
          <w:bCs/>
          <w:snapToGrid w:val="0"/>
        </w:rPr>
        <w:t xml:space="preserve">there was </w:t>
      </w:r>
      <w:r w:rsidR="00726C6A" w:rsidRPr="00726C6A">
        <w:rPr>
          <w:rFonts w:cs="Arial"/>
          <w:bCs/>
          <w:snapToGrid w:val="0"/>
        </w:rPr>
        <w:t>some evidence that the effectiveness of dupilumab based on EASI-75 response at 16</w:t>
      </w:r>
      <w:r w:rsidR="00726C6A">
        <w:rPr>
          <w:rFonts w:cs="Arial"/>
          <w:bCs/>
          <w:snapToGrid w:val="0"/>
        </w:rPr>
        <w:t xml:space="preserve"> </w:t>
      </w:r>
      <w:r w:rsidR="00726C6A" w:rsidRPr="00726C6A">
        <w:rPr>
          <w:rFonts w:cs="Arial"/>
          <w:bCs/>
          <w:snapToGrid w:val="0"/>
        </w:rPr>
        <w:t>w</w:t>
      </w:r>
      <w:r w:rsidR="00726C6A">
        <w:rPr>
          <w:rFonts w:cs="Arial"/>
          <w:bCs/>
          <w:snapToGrid w:val="0"/>
        </w:rPr>
        <w:t xml:space="preserve">eeks </w:t>
      </w:r>
      <w:r w:rsidR="00726C6A" w:rsidRPr="00726C6A">
        <w:rPr>
          <w:rFonts w:cs="Arial"/>
          <w:bCs/>
          <w:snapToGrid w:val="0"/>
        </w:rPr>
        <w:t>extend</w:t>
      </w:r>
      <w:r>
        <w:rPr>
          <w:rFonts w:cs="Arial"/>
          <w:bCs/>
          <w:snapToGrid w:val="0"/>
        </w:rPr>
        <w:t xml:space="preserve">ed up to </w:t>
      </w:r>
      <w:r w:rsidR="00726C6A" w:rsidRPr="00726C6A">
        <w:rPr>
          <w:rFonts w:cs="Arial"/>
          <w:bCs/>
          <w:snapToGrid w:val="0"/>
        </w:rPr>
        <w:t>52 weeks</w:t>
      </w:r>
      <w:r w:rsidR="00726C6A">
        <w:rPr>
          <w:rFonts w:cs="Arial"/>
          <w:bCs/>
          <w:snapToGrid w:val="0"/>
        </w:rPr>
        <w:t>.</w:t>
      </w:r>
      <w:r>
        <w:rPr>
          <w:rFonts w:cs="Arial"/>
          <w:bCs/>
          <w:snapToGrid w:val="0"/>
        </w:rPr>
        <w:t xml:space="preserve"> The PBAC noted that the magnitude and direction of quality of life changes for patients </w:t>
      </w:r>
      <w:r>
        <w:rPr>
          <w:rFonts w:cs="Arial"/>
          <w:bCs/>
          <w:snapToGrid w:val="0"/>
        </w:rPr>
        <w:lastRenderedPageBreak/>
        <w:t>treated with dupilumab was inconsistent in the trials and was highly uncertain.</w:t>
      </w:r>
    </w:p>
    <w:p w:rsidR="009013A5" w:rsidRDefault="009013A5" w:rsidP="0049471B">
      <w:pPr>
        <w:widowControl w:val="0"/>
        <w:numPr>
          <w:ilvl w:val="1"/>
          <w:numId w:val="4"/>
        </w:numPr>
        <w:spacing w:before="0" w:after="120"/>
        <w:jc w:val="both"/>
        <w:rPr>
          <w:rFonts w:cs="Arial"/>
          <w:bCs/>
          <w:snapToGrid w:val="0"/>
          <w:lang w:val="en-GB"/>
        </w:rPr>
      </w:pPr>
      <w:r>
        <w:rPr>
          <w:rFonts w:cs="Arial"/>
          <w:bCs/>
          <w:snapToGrid w:val="0"/>
          <w:lang w:val="en-GB"/>
        </w:rPr>
        <w:t xml:space="preserve">The PBAC </w:t>
      </w:r>
      <w:r w:rsidR="00083634">
        <w:rPr>
          <w:rFonts w:cs="Arial"/>
          <w:bCs/>
          <w:snapToGrid w:val="0"/>
          <w:lang w:val="en-GB"/>
        </w:rPr>
        <w:t>considered</w:t>
      </w:r>
      <w:r>
        <w:rPr>
          <w:rFonts w:cs="Arial"/>
          <w:bCs/>
          <w:snapToGrid w:val="0"/>
          <w:lang w:val="en-GB"/>
        </w:rPr>
        <w:t xml:space="preserve"> that the claim of superior comparative efficacy against placebo was adequately supported</w:t>
      </w:r>
      <w:r w:rsidR="00083634">
        <w:rPr>
          <w:rFonts w:cs="Arial"/>
          <w:bCs/>
          <w:snapToGrid w:val="0"/>
          <w:lang w:val="en-GB"/>
        </w:rPr>
        <w:t>. T</w:t>
      </w:r>
      <w:r>
        <w:rPr>
          <w:rFonts w:cs="Arial"/>
          <w:bCs/>
          <w:snapToGrid w:val="0"/>
          <w:lang w:val="en-GB"/>
        </w:rPr>
        <w:t xml:space="preserve">he claim of a comparable safety profile </w:t>
      </w:r>
      <w:r w:rsidR="00083634">
        <w:rPr>
          <w:rFonts w:cs="Arial"/>
          <w:bCs/>
          <w:snapToGrid w:val="0"/>
          <w:lang w:val="en-GB"/>
        </w:rPr>
        <w:t xml:space="preserve">with placebo </w:t>
      </w:r>
      <w:r>
        <w:rPr>
          <w:rFonts w:cs="Arial"/>
          <w:bCs/>
          <w:snapToGrid w:val="0"/>
          <w:lang w:val="en-GB"/>
        </w:rPr>
        <w:t xml:space="preserve">was not </w:t>
      </w:r>
      <w:r w:rsidR="00286710">
        <w:rPr>
          <w:rFonts w:cs="Arial"/>
          <w:bCs/>
          <w:snapToGrid w:val="0"/>
          <w:lang w:val="en-GB"/>
        </w:rPr>
        <w:t xml:space="preserve">adequately </w:t>
      </w:r>
      <w:r>
        <w:rPr>
          <w:rFonts w:cs="Arial"/>
          <w:bCs/>
          <w:snapToGrid w:val="0"/>
          <w:lang w:val="en-GB"/>
        </w:rPr>
        <w:t>supported</w:t>
      </w:r>
      <w:r w:rsidR="00083634">
        <w:rPr>
          <w:rFonts w:cs="Arial"/>
          <w:bCs/>
          <w:snapToGrid w:val="0"/>
          <w:lang w:val="en-GB"/>
        </w:rPr>
        <w:t xml:space="preserve"> by the available evidence as </w:t>
      </w:r>
      <w:r w:rsidR="00286710">
        <w:t>p</w:t>
      </w:r>
      <w:r w:rsidR="00286710" w:rsidRPr="00ED3C94">
        <w:t>atients treated with dupilumab reported a higher incidence of conjunctivitis and injection site reactions compared t</w:t>
      </w:r>
      <w:r w:rsidR="00286710">
        <w:t>o patients treated with placebo</w:t>
      </w:r>
      <w:r w:rsidR="00324AF6">
        <w:t>. Additionally,</w:t>
      </w:r>
      <w:r w:rsidR="00286710">
        <w:t xml:space="preserve"> placebo treatment </w:t>
      </w:r>
      <w:r w:rsidR="00324AF6">
        <w:t>in the clinical trials wa</w:t>
      </w:r>
      <w:r w:rsidR="00286710" w:rsidRPr="00ED3C94">
        <w:t>s not a true reflection of SoC in clinical practice.</w:t>
      </w:r>
      <w:r w:rsidR="00286710">
        <w:rPr>
          <w:rFonts w:cs="Arial"/>
          <w:bCs/>
          <w:snapToGrid w:val="0"/>
          <w:lang w:val="en-GB"/>
        </w:rPr>
        <w:t xml:space="preserve"> </w:t>
      </w:r>
      <w:r w:rsidR="002A4989">
        <w:rPr>
          <w:rFonts w:cs="Arial"/>
          <w:bCs/>
          <w:snapToGrid w:val="0"/>
          <w:lang w:val="en-GB"/>
        </w:rPr>
        <w:t>T</w:t>
      </w:r>
      <w:r w:rsidR="00286710">
        <w:rPr>
          <w:rFonts w:cs="Arial"/>
          <w:bCs/>
          <w:snapToGrid w:val="0"/>
          <w:lang w:val="en-GB"/>
        </w:rPr>
        <w:t xml:space="preserve">he PBAC noted that </w:t>
      </w:r>
      <w:r w:rsidR="00083634">
        <w:rPr>
          <w:rFonts w:cs="Arial"/>
          <w:bCs/>
          <w:snapToGrid w:val="0"/>
          <w:lang w:val="en-GB"/>
        </w:rPr>
        <w:t>there was</w:t>
      </w:r>
      <w:r>
        <w:rPr>
          <w:rFonts w:cs="Arial"/>
          <w:bCs/>
          <w:snapToGrid w:val="0"/>
          <w:lang w:val="en-GB"/>
        </w:rPr>
        <w:t xml:space="preserve"> a lack of long term </w:t>
      </w:r>
      <w:r w:rsidR="00083634">
        <w:rPr>
          <w:rFonts w:cs="Arial"/>
          <w:bCs/>
          <w:snapToGrid w:val="0"/>
          <w:lang w:val="en-GB"/>
        </w:rPr>
        <w:t xml:space="preserve">safety </w:t>
      </w:r>
      <w:r w:rsidR="00286710">
        <w:rPr>
          <w:rFonts w:cs="Arial"/>
          <w:bCs/>
          <w:snapToGrid w:val="0"/>
          <w:lang w:val="en-GB"/>
        </w:rPr>
        <w:t xml:space="preserve">and efficacy </w:t>
      </w:r>
      <w:r>
        <w:rPr>
          <w:rFonts w:cs="Arial"/>
          <w:bCs/>
          <w:snapToGrid w:val="0"/>
          <w:lang w:val="en-GB"/>
        </w:rPr>
        <w:t>data, especially co</w:t>
      </w:r>
      <w:r w:rsidR="005F53C8">
        <w:rPr>
          <w:rFonts w:cs="Arial"/>
          <w:bCs/>
          <w:snapToGrid w:val="0"/>
          <w:lang w:val="en-GB"/>
        </w:rPr>
        <w:t>nsidering</w:t>
      </w:r>
      <w:r w:rsidR="00083634">
        <w:rPr>
          <w:rFonts w:cs="Arial"/>
          <w:bCs/>
          <w:snapToGrid w:val="0"/>
          <w:lang w:val="en-GB"/>
        </w:rPr>
        <w:t xml:space="preserve"> the chronic nature of</w:t>
      </w:r>
      <w:r w:rsidR="00C94479">
        <w:rPr>
          <w:rFonts w:cs="Arial"/>
          <w:bCs/>
          <w:snapToGrid w:val="0"/>
          <w:lang w:val="en-GB"/>
        </w:rPr>
        <w:t xml:space="preserve"> AD</w:t>
      </w:r>
      <w:r>
        <w:rPr>
          <w:rFonts w:cs="Arial"/>
          <w:bCs/>
          <w:snapToGrid w:val="0"/>
          <w:lang w:val="en-GB"/>
        </w:rPr>
        <w:t>.</w:t>
      </w:r>
    </w:p>
    <w:p w:rsidR="00330988" w:rsidRDefault="00A865B8" w:rsidP="0097120D">
      <w:pPr>
        <w:widowControl w:val="0"/>
        <w:numPr>
          <w:ilvl w:val="1"/>
          <w:numId w:val="4"/>
        </w:numPr>
        <w:spacing w:before="0" w:after="120"/>
        <w:jc w:val="both"/>
        <w:rPr>
          <w:rFonts w:cs="Arial"/>
          <w:bCs/>
          <w:snapToGrid w:val="0"/>
          <w:lang w:val="en-GB"/>
        </w:rPr>
      </w:pPr>
      <w:r w:rsidRPr="0097120D">
        <w:rPr>
          <w:rFonts w:cs="Arial"/>
          <w:bCs/>
          <w:snapToGrid w:val="0"/>
          <w:lang w:val="en-GB"/>
        </w:rPr>
        <w:t xml:space="preserve">The PBAC noted several issues with the </w:t>
      </w:r>
      <w:r w:rsidR="002D2650" w:rsidRPr="0097120D">
        <w:rPr>
          <w:rFonts w:cs="Arial"/>
          <w:bCs/>
          <w:snapToGrid w:val="0"/>
          <w:lang w:val="en-GB"/>
        </w:rPr>
        <w:t xml:space="preserve">structure of the </w:t>
      </w:r>
      <w:r w:rsidRPr="0097120D">
        <w:rPr>
          <w:rFonts w:cs="Arial"/>
          <w:bCs/>
          <w:snapToGrid w:val="0"/>
          <w:lang w:val="en-GB"/>
        </w:rPr>
        <w:t>economic model</w:t>
      </w:r>
      <w:r w:rsidR="00364479">
        <w:rPr>
          <w:rFonts w:cs="Arial"/>
          <w:bCs/>
          <w:snapToGrid w:val="0"/>
          <w:lang w:val="en-GB"/>
        </w:rPr>
        <w:t xml:space="preserve"> which increased the uncertainty in the estimated ICER. The</w:t>
      </w:r>
      <w:r w:rsidR="005F53C8">
        <w:rPr>
          <w:rFonts w:cs="Arial"/>
          <w:bCs/>
          <w:snapToGrid w:val="0"/>
          <w:lang w:val="en-GB"/>
        </w:rPr>
        <w:t xml:space="preserve"> PBAC considered that the 5 year time horizon in the </w:t>
      </w:r>
      <w:r w:rsidR="00364479">
        <w:rPr>
          <w:rFonts w:cs="Arial"/>
          <w:bCs/>
          <w:snapToGrid w:val="0"/>
          <w:lang w:val="en-GB"/>
        </w:rPr>
        <w:t>model</w:t>
      </w:r>
      <w:r w:rsidR="005F53C8">
        <w:rPr>
          <w:rFonts w:cs="Arial"/>
          <w:bCs/>
          <w:snapToGrid w:val="0"/>
          <w:lang w:val="en-GB"/>
        </w:rPr>
        <w:t>, extrapolated from 16 weeks of trial data,</w:t>
      </w:r>
      <w:r w:rsidR="00364479">
        <w:rPr>
          <w:rFonts w:cs="Arial"/>
          <w:bCs/>
          <w:snapToGrid w:val="0"/>
          <w:lang w:val="en-GB"/>
        </w:rPr>
        <w:t xml:space="preserve"> </w:t>
      </w:r>
      <w:r w:rsidR="005F53C8">
        <w:rPr>
          <w:rFonts w:cs="Arial"/>
          <w:bCs/>
          <w:snapToGrid w:val="0"/>
          <w:lang w:val="en-GB"/>
        </w:rPr>
        <w:t xml:space="preserve">increased uncertainty </w:t>
      </w:r>
      <w:r w:rsidR="00324AF6">
        <w:rPr>
          <w:rFonts w:cs="Arial"/>
          <w:bCs/>
          <w:snapToGrid w:val="0"/>
          <w:lang w:val="en-GB"/>
        </w:rPr>
        <w:t>and</w:t>
      </w:r>
      <w:r w:rsidR="005F53C8">
        <w:rPr>
          <w:rFonts w:cs="Arial"/>
          <w:bCs/>
          <w:snapToGrid w:val="0"/>
          <w:lang w:val="en-GB"/>
        </w:rPr>
        <w:t xml:space="preserve"> was a key driver of the model. </w:t>
      </w:r>
      <w:r w:rsidR="00286710" w:rsidRPr="00432C8D">
        <w:rPr>
          <w:rFonts w:cs="Arial"/>
          <w:bCs/>
          <w:snapToGrid w:val="0"/>
          <w:lang w:val="en-GB"/>
        </w:rPr>
        <w:t xml:space="preserve">The </w:t>
      </w:r>
      <w:r w:rsidR="00286710">
        <w:rPr>
          <w:rFonts w:cs="Arial"/>
          <w:bCs/>
          <w:snapToGrid w:val="0"/>
          <w:lang w:val="en-GB"/>
        </w:rPr>
        <w:t xml:space="preserve">PBAC noted that the </w:t>
      </w:r>
      <w:r w:rsidR="00286710" w:rsidRPr="00432C8D">
        <w:rPr>
          <w:rFonts w:cs="Arial"/>
          <w:bCs/>
          <w:snapToGrid w:val="0"/>
          <w:lang w:val="en-GB"/>
        </w:rPr>
        <w:t xml:space="preserve">utility values used for the responder health states in the model were highly uncertain due to </w:t>
      </w:r>
      <w:r w:rsidR="009B114C">
        <w:rPr>
          <w:rFonts w:cs="Arial"/>
          <w:bCs/>
          <w:snapToGrid w:val="0"/>
          <w:lang w:val="en-GB"/>
        </w:rPr>
        <w:t>small</w:t>
      </w:r>
      <w:r w:rsidR="00286710" w:rsidRPr="00432C8D">
        <w:rPr>
          <w:rFonts w:cs="Arial"/>
          <w:bCs/>
          <w:snapToGrid w:val="0"/>
          <w:lang w:val="en-GB"/>
        </w:rPr>
        <w:t xml:space="preserve"> sample sizes (n=9 for placebo; n=28 for dupilumab), and </w:t>
      </w:r>
      <w:r w:rsidR="009B114C">
        <w:rPr>
          <w:rFonts w:cs="Arial"/>
          <w:bCs/>
          <w:snapToGrid w:val="0"/>
          <w:lang w:val="en-GB"/>
        </w:rPr>
        <w:t xml:space="preserve">because </w:t>
      </w:r>
      <w:r w:rsidR="00286710" w:rsidRPr="00432C8D">
        <w:rPr>
          <w:rFonts w:cs="Arial"/>
          <w:bCs/>
          <w:snapToGrid w:val="0"/>
          <w:lang w:val="en-GB"/>
        </w:rPr>
        <w:t xml:space="preserve"> different utility values </w:t>
      </w:r>
      <w:r w:rsidR="009B114C">
        <w:rPr>
          <w:rFonts w:cs="Arial"/>
          <w:bCs/>
          <w:snapToGrid w:val="0"/>
          <w:lang w:val="en-GB"/>
        </w:rPr>
        <w:t>were assigned to each treatment arm</w:t>
      </w:r>
      <w:r w:rsidR="00286710" w:rsidRPr="00432C8D">
        <w:rPr>
          <w:rFonts w:cs="Arial"/>
          <w:bCs/>
          <w:snapToGrid w:val="0"/>
          <w:lang w:val="en-GB"/>
        </w:rPr>
        <w:t xml:space="preserve"> despite no statistically significant differences in utility gain</w:t>
      </w:r>
      <w:r w:rsidR="00286710">
        <w:rPr>
          <w:rFonts w:cs="Arial"/>
          <w:bCs/>
          <w:snapToGrid w:val="0"/>
          <w:lang w:val="en-GB"/>
        </w:rPr>
        <w:t>. The PBAC noted that there were problems with the applicability of several other sources of data in the model</w:t>
      </w:r>
      <w:r w:rsidR="00330988">
        <w:rPr>
          <w:rFonts w:cs="Arial"/>
          <w:bCs/>
          <w:snapToGrid w:val="0"/>
          <w:lang w:val="en-GB"/>
        </w:rPr>
        <w:t>, including health service use costs, which</w:t>
      </w:r>
      <w:r w:rsidR="00286710">
        <w:rPr>
          <w:rFonts w:cs="Arial"/>
          <w:bCs/>
          <w:snapToGrid w:val="0"/>
          <w:lang w:val="en-GB"/>
        </w:rPr>
        <w:t xml:space="preserve"> further increased the uncertainty</w:t>
      </w:r>
      <w:r w:rsidR="00330988">
        <w:rPr>
          <w:rFonts w:cs="Arial"/>
          <w:bCs/>
          <w:snapToGrid w:val="0"/>
          <w:lang w:val="en-GB"/>
        </w:rPr>
        <w:t xml:space="preserve"> of the estimate of cost effectiveness</w:t>
      </w:r>
      <w:r w:rsidR="00286710">
        <w:rPr>
          <w:rFonts w:cs="Arial"/>
          <w:bCs/>
          <w:snapToGrid w:val="0"/>
          <w:lang w:val="en-GB"/>
        </w:rPr>
        <w:t xml:space="preserve">. </w:t>
      </w:r>
    </w:p>
    <w:p w:rsidR="00286710" w:rsidRDefault="00432C8D" w:rsidP="0097120D">
      <w:pPr>
        <w:widowControl w:val="0"/>
        <w:numPr>
          <w:ilvl w:val="1"/>
          <w:numId w:val="4"/>
        </w:numPr>
        <w:spacing w:before="0" w:after="120"/>
        <w:jc w:val="both"/>
        <w:rPr>
          <w:rFonts w:cs="Arial"/>
          <w:bCs/>
          <w:snapToGrid w:val="0"/>
          <w:lang w:val="en-GB"/>
        </w:rPr>
      </w:pPr>
      <w:r>
        <w:rPr>
          <w:rFonts w:cs="Arial"/>
          <w:bCs/>
          <w:snapToGrid w:val="0"/>
          <w:lang w:val="en-GB"/>
        </w:rPr>
        <w:t>The PBAC noted that the base case ICER of $</w:t>
      </w:r>
      <w:r w:rsidR="005B1576">
        <w:rPr>
          <w:rFonts w:cs="Arial"/>
          <w:bCs/>
          <w:snapToGrid w:val="0"/>
          <w:lang w:val="en-GB"/>
        </w:rPr>
        <w:t>45,000 - $75,000</w:t>
      </w:r>
      <w:r>
        <w:rPr>
          <w:rFonts w:cs="Arial"/>
          <w:bCs/>
          <w:snapToGrid w:val="0"/>
          <w:lang w:val="en-GB"/>
        </w:rPr>
        <w:t xml:space="preserve"> per QALY was relatively high</w:t>
      </w:r>
      <w:r w:rsidR="0069718F">
        <w:rPr>
          <w:rFonts w:cs="Arial"/>
          <w:bCs/>
          <w:snapToGrid w:val="0"/>
          <w:lang w:val="en-GB"/>
        </w:rPr>
        <w:t>.</w:t>
      </w:r>
      <w:r w:rsidR="000A1772">
        <w:rPr>
          <w:rFonts w:cs="Arial"/>
          <w:bCs/>
          <w:snapToGrid w:val="0"/>
          <w:lang w:val="en-GB"/>
        </w:rPr>
        <w:t xml:space="preserve"> </w:t>
      </w:r>
      <w:r w:rsidR="0069718F">
        <w:rPr>
          <w:rFonts w:cs="Arial"/>
          <w:bCs/>
          <w:snapToGrid w:val="0"/>
          <w:lang w:val="en-GB"/>
        </w:rPr>
        <w:t>The committee r</w:t>
      </w:r>
      <w:r w:rsidR="000A1772">
        <w:rPr>
          <w:rFonts w:cs="Arial"/>
          <w:bCs/>
          <w:snapToGrid w:val="0"/>
          <w:lang w:val="en-GB"/>
        </w:rPr>
        <w:t>ecall</w:t>
      </w:r>
      <w:r w:rsidR="0069718F">
        <w:rPr>
          <w:rFonts w:cs="Arial"/>
          <w:bCs/>
          <w:snapToGrid w:val="0"/>
          <w:lang w:val="en-GB"/>
        </w:rPr>
        <w:t>ed</w:t>
      </w:r>
      <w:r w:rsidR="000A1772">
        <w:rPr>
          <w:rFonts w:cs="Arial"/>
          <w:bCs/>
          <w:snapToGrid w:val="0"/>
          <w:lang w:val="en-GB"/>
        </w:rPr>
        <w:t xml:space="preserve"> that </w:t>
      </w:r>
      <w:r w:rsidR="005E4BB7">
        <w:rPr>
          <w:rFonts w:cs="Arial"/>
          <w:bCs/>
          <w:snapToGrid w:val="0"/>
          <w:lang w:val="en-GB"/>
        </w:rPr>
        <w:t xml:space="preserve">the </w:t>
      </w:r>
      <w:r w:rsidR="00650543">
        <w:rPr>
          <w:rFonts w:cs="Arial"/>
          <w:bCs/>
          <w:snapToGrid w:val="0"/>
          <w:lang w:val="en-GB"/>
        </w:rPr>
        <w:t xml:space="preserve">ICER of ustekinumab for psoriasis was in the range of $15,000-$45,000 per </w:t>
      </w:r>
      <w:r w:rsidR="005E4BB7">
        <w:rPr>
          <w:rFonts w:cs="Arial"/>
          <w:bCs/>
          <w:snapToGrid w:val="0"/>
          <w:lang w:val="en-GB"/>
        </w:rPr>
        <w:t xml:space="preserve">QALY and considered that, while not directly comparable, this </w:t>
      </w:r>
      <w:r w:rsidR="00650543">
        <w:rPr>
          <w:rFonts w:cs="Arial"/>
          <w:bCs/>
          <w:snapToGrid w:val="0"/>
          <w:lang w:val="en-GB"/>
        </w:rPr>
        <w:t>provide</w:t>
      </w:r>
      <w:r w:rsidR="0069718F">
        <w:rPr>
          <w:rFonts w:cs="Arial"/>
          <w:bCs/>
          <w:snapToGrid w:val="0"/>
          <w:lang w:val="en-GB"/>
        </w:rPr>
        <w:t>s</w:t>
      </w:r>
      <w:r w:rsidR="00650543">
        <w:rPr>
          <w:rFonts w:cs="Arial"/>
          <w:bCs/>
          <w:snapToGrid w:val="0"/>
          <w:lang w:val="en-GB"/>
        </w:rPr>
        <w:t xml:space="preserve"> additional context. </w:t>
      </w:r>
    </w:p>
    <w:p w:rsidR="002D2650" w:rsidRDefault="009E2D5C" w:rsidP="009E2D5C">
      <w:pPr>
        <w:widowControl w:val="0"/>
        <w:numPr>
          <w:ilvl w:val="1"/>
          <w:numId w:val="4"/>
        </w:numPr>
        <w:spacing w:before="0" w:after="120"/>
        <w:jc w:val="both"/>
        <w:rPr>
          <w:rFonts w:cs="Arial"/>
          <w:bCs/>
          <w:snapToGrid w:val="0"/>
          <w:lang w:val="en-GB"/>
        </w:rPr>
      </w:pPr>
      <w:r>
        <w:t>The PBAC considered that the reliance on the psoriasis market as a proxy for dupilumab uptake was not</w:t>
      </w:r>
      <w:r w:rsidR="0069718F">
        <w:t xml:space="preserve"> well supported and was likely </w:t>
      </w:r>
      <w:r>
        <w:t>underestimate</w:t>
      </w:r>
      <w:r w:rsidR="0069718F">
        <w:t>d</w:t>
      </w:r>
      <w:r>
        <w:t>.</w:t>
      </w:r>
      <w:r w:rsidRPr="009E2D5C" w:rsidDel="009E2D5C">
        <w:rPr>
          <w:rFonts w:cs="Arial"/>
          <w:bCs/>
          <w:snapToGrid w:val="0"/>
          <w:lang w:val="en-GB"/>
        </w:rPr>
        <w:t xml:space="preserve"> </w:t>
      </w:r>
      <w:r>
        <w:rPr>
          <w:rFonts w:cs="Arial"/>
          <w:bCs/>
          <w:snapToGrid w:val="0"/>
          <w:lang w:val="en-GB"/>
        </w:rPr>
        <w:t xml:space="preserve">The PBAC also noted that the </w:t>
      </w:r>
      <w:r w:rsidR="002A4989">
        <w:rPr>
          <w:rFonts w:cs="Arial"/>
          <w:bCs/>
          <w:snapToGrid w:val="0"/>
          <w:lang w:val="en-GB"/>
        </w:rPr>
        <w:t xml:space="preserve">financial </w:t>
      </w:r>
      <w:r w:rsidRPr="009E2D5C">
        <w:rPr>
          <w:rFonts w:cs="Arial"/>
          <w:bCs/>
          <w:snapToGrid w:val="0"/>
        </w:rPr>
        <w:t>estimates d</w:t>
      </w:r>
      <w:r w:rsidR="002A4989">
        <w:rPr>
          <w:rFonts w:cs="Arial"/>
          <w:bCs/>
          <w:snapToGrid w:val="0"/>
        </w:rPr>
        <w:t>id</w:t>
      </w:r>
      <w:r w:rsidRPr="009E2D5C">
        <w:rPr>
          <w:rFonts w:cs="Arial"/>
          <w:bCs/>
          <w:snapToGrid w:val="0"/>
        </w:rPr>
        <w:t xml:space="preserve"> not consider the potential for use beyond the restriction (i.e. in </w:t>
      </w:r>
      <w:r>
        <w:rPr>
          <w:rFonts w:cs="Arial"/>
          <w:bCs/>
          <w:snapToGrid w:val="0"/>
        </w:rPr>
        <w:t>patients</w:t>
      </w:r>
      <w:r w:rsidRPr="009E2D5C">
        <w:rPr>
          <w:rFonts w:cs="Arial"/>
          <w:bCs/>
          <w:snapToGrid w:val="0"/>
        </w:rPr>
        <w:t xml:space="preserve"> with moderate AD, tho</w:t>
      </w:r>
      <w:r>
        <w:rPr>
          <w:rFonts w:cs="Arial"/>
          <w:bCs/>
          <w:snapToGrid w:val="0"/>
        </w:rPr>
        <w:t xml:space="preserve">se aged &lt;18 years or those without </w:t>
      </w:r>
      <w:r>
        <w:t>inadequate response/intolerance or contra-indication to CsA</w:t>
      </w:r>
      <w:r w:rsidR="002A4989">
        <w:t>)</w:t>
      </w:r>
      <w:r>
        <w:t>.</w:t>
      </w:r>
      <w:r>
        <w:rPr>
          <w:rFonts w:cs="Arial"/>
          <w:bCs/>
          <w:snapToGrid w:val="0"/>
        </w:rPr>
        <w:t xml:space="preserve"> </w:t>
      </w:r>
      <w:r w:rsidR="002A4989">
        <w:rPr>
          <w:rFonts w:cs="Arial"/>
          <w:bCs/>
          <w:snapToGrid w:val="0"/>
        </w:rPr>
        <w:t>The PBAC considered that a Risk Share Agreement may be required to addre</w:t>
      </w:r>
      <w:r w:rsidR="00BC6170">
        <w:rPr>
          <w:rFonts w:cs="Arial"/>
          <w:bCs/>
          <w:snapToGrid w:val="0"/>
        </w:rPr>
        <w:t>s</w:t>
      </w:r>
      <w:r w:rsidR="002A4989">
        <w:rPr>
          <w:rFonts w:cs="Arial"/>
          <w:bCs/>
          <w:snapToGrid w:val="0"/>
        </w:rPr>
        <w:t xml:space="preserve">s the potential for use outside the restriction. </w:t>
      </w:r>
    </w:p>
    <w:p w:rsidR="00330988" w:rsidRDefault="009B114C" w:rsidP="00330988">
      <w:pPr>
        <w:widowControl w:val="0"/>
        <w:numPr>
          <w:ilvl w:val="1"/>
          <w:numId w:val="4"/>
        </w:numPr>
        <w:spacing w:before="0" w:after="120"/>
        <w:jc w:val="both"/>
        <w:rPr>
          <w:rFonts w:cs="Arial"/>
          <w:bCs/>
          <w:snapToGrid w:val="0"/>
          <w:lang w:val="en-GB"/>
        </w:rPr>
      </w:pPr>
      <w:r>
        <w:rPr>
          <w:rFonts w:cs="Arial"/>
          <w:bCs/>
          <w:snapToGrid w:val="0"/>
          <w:lang w:val="en-GB"/>
        </w:rPr>
        <w:t>The PBAC noted th</w:t>
      </w:r>
      <w:r w:rsidR="00A042FC">
        <w:rPr>
          <w:rFonts w:cs="Arial"/>
          <w:bCs/>
          <w:snapToGrid w:val="0"/>
          <w:lang w:val="en-GB"/>
        </w:rPr>
        <w:t>at any future submission for dupilumab would need to</w:t>
      </w:r>
      <w:r w:rsidR="00D14DC9">
        <w:rPr>
          <w:rFonts w:cs="Arial"/>
          <w:bCs/>
          <w:snapToGrid w:val="0"/>
          <w:lang w:val="en-GB"/>
        </w:rPr>
        <w:t xml:space="preserve"> clearly identify</w:t>
      </w:r>
      <w:r w:rsidR="00A042FC">
        <w:rPr>
          <w:rFonts w:cs="Arial"/>
          <w:bCs/>
          <w:snapToGrid w:val="0"/>
          <w:lang w:val="en-GB"/>
        </w:rPr>
        <w:t xml:space="preserve"> </w:t>
      </w:r>
      <w:r w:rsidR="00D14DC9">
        <w:rPr>
          <w:rFonts w:cs="Arial"/>
          <w:bCs/>
          <w:snapToGrid w:val="0"/>
          <w:lang w:val="en-GB"/>
        </w:rPr>
        <w:t>t</w:t>
      </w:r>
      <w:r w:rsidR="00A042FC">
        <w:rPr>
          <w:rFonts w:cs="Arial"/>
          <w:bCs/>
          <w:snapToGrid w:val="0"/>
          <w:lang w:val="en-GB"/>
        </w:rPr>
        <w:t xml:space="preserve">he most appropriate place in therapy for dupilumab. The PBAC considered that it may be necessary to </w:t>
      </w:r>
      <w:r>
        <w:rPr>
          <w:rFonts w:cs="Arial"/>
          <w:bCs/>
          <w:snapToGrid w:val="0"/>
          <w:lang w:val="en-GB"/>
        </w:rPr>
        <w:t xml:space="preserve">demonstrate that dupilumab is cost-effective in the </w:t>
      </w:r>
      <w:r w:rsidR="00A042FC">
        <w:rPr>
          <w:rFonts w:cs="Arial"/>
          <w:bCs/>
          <w:snapToGrid w:val="0"/>
          <w:lang w:val="en-GB"/>
        </w:rPr>
        <w:t xml:space="preserve">full </w:t>
      </w:r>
      <w:r>
        <w:rPr>
          <w:rFonts w:cs="Arial"/>
          <w:bCs/>
          <w:snapToGrid w:val="0"/>
          <w:lang w:val="en-GB"/>
        </w:rPr>
        <w:t xml:space="preserve">population </w:t>
      </w:r>
      <w:r w:rsidR="00A042FC">
        <w:rPr>
          <w:rFonts w:cs="Arial"/>
          <w:bCs/>
          <w:snapToGrid w:val="0"/>
          <w:lang w:val="en-GB"/>
        </w:rPr>
        <w:t>relevant to the TGA indication, as reflected in the clinical trial data and consistent with clinical guidelines, as this is the population in whom dupilumab is likely to be used.</w:t>
      </w:r>
      <w:r w:rsidR="00330988">
        <w:rPr>
          <w:rFonts w:cs="Arial"/>
          <w:bCs/>
          <w:snapToGrid w:val="0"/>
          <w:lang w:val="en-GB"/>
        </w:rPr>
        <w:t xml:space="preserve"> Should the restriction be broadened to </w:t>
      </w:r>
      <w:r w:rsidR="00330988" w:rsidRPr="009E2D5C">
        <w:rPr>
          <w:rFonts w:cs="Arial"/>
          <w:bCs/>
          <w:snapToGrid w:val="0"/>
          <w:lang w:val="en-GB"/>
        </w:rPr>
        <w:t xml:space="preserve">include patients with moderate AD, the </w:t>
      </w:r>
      <w:r w:rsidR="00330988">
        <w:rPr>
          <w:rFonts w:cs="Arial"/>
          <w:bCs/>
          <w:snapToGrid w:val="0"/>
          <w:lang w:val="en-GB"/>
        </w:rPr>
        <w:t xml:space="preserve">PBAC acknowledged that the </w:t>
      </w:r>
      <w:r w:rsidR="00330988" w:rsidRPr="009E2D5C">
        <w:rPr>
          <w:rFonts w:cs="Arial"/>
          <w:bCs/>
          <w:snapToGrid w:val="0"/>
          <w:lang w:val="en-GB"/>
        </w:rPr>
        <w:t xml:space="preserve">financial impact </w:t>
      </w:r>
      <w:r w:rsidR="00330988">
        <w:rPr>
          <w:rFonts w:cs="Arial"/>
          <w:bCs/>
          <w:snapToGrid w:val="0"/>
          <w:lang w:val="en-GB"/>
        </w:rPr>
        <w:t>w</w:t>
      </w:r>
      <w:r w:rsidR="00330988" w:rsidRPr="009E2D5C">
        <w:rPr>
          <w:rFonts w:cs="Arial"/>
          <w:bCs/>
          <w:snapToGrid w:val="0"/>
          <w:lang w:val="en-GB"/>
        </w:rPr>
        <w:t>ould be substantially greater</w:t>
      </w:r>
      <w:r w:rsidR="00330988">
        <w:rPr>
          <w:rFonts w:cs="Arial"/>
          <w:bCs/>
          <w:snapToGrid w:val="0"/>
          <w:lang w:val="en-GB"/>
        </w:rPr>
        <w:t xml:space="preserve"> at the price proposed in this submission. </w:t>
      </w:r>
    </w:p>
    <w:p w:rsidR="00ED376E" w:rsidRPr="00330988" w:rsidRDefault="0049471B" w:rsidP="00330988">
      <w:pPr>
        <w:widowControl w:val="0"/>
        <w:numPr>
          <w:ilvl w:val="1"/>
          <w:numId w:val="4"/>
        </w:numPr>
        <w:spacing w:before="0" w:after="120"/>
        <w:jc w:val="both"/>
        <w:rPr>
          <w:rFonts w:cs="Arial"/>
          <w:bCs/>
          <w:snapToGrid w:val="0"/>
          <w:lang w:val="en-GB"/>
        </w:rPr>
      </w:pPr>
      <w:r w:rsidRPr="00330988">
        <w:rPr>
          <w:rFonts w:cs="Arial"/>
          <w:bCs/>
          <w:snapToGrid w:val="0"/>
          <w:lang w:val="en-GB"/>
        </w:rPr>
        <w:t xml:space="preserve">The PBAC noted that this submission is eligible for an Independent Review. </w:t>
      </w:r>
    </w:p>
    <w:p w:rsidR="0049471B" w:rsidRPr="007A5B89" w:rsidRDefault="0049471B" w:rsidP="0049471B">
      <w:pPr>
        <w:spacing w:before="240"/>
        <w:jc w:val="both"/>
        <w:rPr>
          <w:rFonts w:cs="Arial"/>
          <w:b/>
          <w:bCs/>
          <w:snapToGrid w:val="0"/>
          <w:lang w:val="en-GB"/>
        </w:rPr>
      </w:pPr>
      <w:r w:rsidRPr="007A5B89">
        <w:rPr>
          <w:rFonts w:cs="Arial"/>
          <w:b/>
          <w:bCs/>
          <w:snapToGrid w:val="0"/>
          <w:lang w:val="en-GB"/>
        </w:rPr>
        <w:lastRenderedPageBreak/>
        <w:t>Outcome:</w:t>
      </w:r>
    </w:p>
    <w:p w:rsidR="009E7CA9" w:rsidRDefault="0049471B" w:rsidP="0049471B">
      <w:pPr>
        <w:jc w:val="both"/>
        <w:rPr>
          <w:rFonts w:cs="Arial"/>
          <w:bCs/>
          <w:snapToGrid w:val="0"/>
          <w:lang w:val="en-GB"/>
        </w:rPr>
      </w:pPr>
      <w:r w:rsidRPr="007A5B89">
        <w:rPr>
          <w:rFonts w:cs="Arial"/>
          <w:bCs/>
          <w:snapToGrid w:val="0"/>
          <w:lang w:val="en-GB"/>
        </w:rPr>
        <w:t>Rejected</w:t>
      </w:r>
    </w:p>
    <w:p w:rsidR="009E7CA9" w:rsidRPr="009E7CA9" w:rsidRDefault="009E7CA9" w:rsidP="009E7CA9">
      <w:pPr>
        <w:widowControl w:val="0"/>
        <w:numPr>
          <w:ilvl w:val="0"/>
          <w:numId w:val="4"/>
        </w:numPr>
        <w:spacing w:before="240" w:after="120"/>
        <w:jc w:val="both"/>
        <w:outlineLvl w:val="0"/>
        <w:rPr>
          <w:rFonts w:cs="Arial"/>
          <w:b/>
          <w:bCs/>
          <w:snapToGrid w:val="0"/>
          <w:sz w:val="32"/>
        </w:rPr>
      </w:pPr>
      <w:r>
        <w:rPr>
          <w:rFonts w:cs="Arial"/>
          <w:b/>
          <w:bCs/>
          <w:snapToGrid w:val="0"/>
          <w:sz w:val="32"/>
        </w:rPr>
        <w:t>Context for Decision</w:t>
      </w:r>
    </w:p>
    <w:p w:rsidR="009E7CA9" w:rsidRPr="00C07617" w:rsidRDefault="009E7CA9" w:rsidP="009E7CA9">
      <w:pPr>
        <w:spacing w:after="0"/>
        <w:jc w:val="both"/>
        <w:rPr>
          <w:rFonts w:cs="Arial"/>
        </w:rPr>
      </w:pPr>
      <w:r w:rsidRPr="00C07617">
        <w:rPr>
          <w:rFonts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E7CA9" w:rsidRPr="009E7CA9" w:rsidRDefault="009E7CA9" w:rsidP="009E7CA9">
      <w:pPr>
        <w:widowControl w:val="0"/>
        <w:numPr>
          <w:ilvl w:val="0"/>
          <w:numId w:val="4"/>
        </w:numPr>
        <w:spacing w:before="240" w:after="120"/>
        <w:jc w:val="both"/>
        <w:outlineLvl w:val="0"/>
        <w:rPr>
          <w:rFonts w:cs="Arial"/>
          <w:b/>
          <w:bCs/>
          <w:snapToGrid w:val="0"/>
          <w:sz w:val="32"/>
        </w:rPr>
      </w:pPr>
      <w:r>
        <w:rPr>
          <w:rFonts w:cs="Arial"/>
          <w:b/>
          <w:bCs/>
          <w:snapToGrid w:val="0"/>
          <w:sz w:val="32"/>
        </w:rPr>
        <w:t xml:space="preserve">Sponsor’s Comment </w:t>
      </w:r>
    </w:p>
    <w:p w:rsidR="009E7CA9" w:rsidRPr="000B5890" w:rsidRDefault="00831616" w:rsidP="000B5890">
      <w:pPr>
        <w:spacing w:after="120"/>
        <w:jc w:val="both"/>
        <w:rPr>
          <w:rFonts w:cs="Arial"/>
          <w:bCs/>
        </w:rPr>
      </w:pPr>
      <w:r w:rsidRPr="00831616">
        <w:rPr>
          <w:rFonts w:cs="Arial"/>
          <w:bCs/>
        </w:rPr>
        <w:t xml:space="preserve">Sanofi welcomes the Committee’s recognition of the need for a safe and effective treatment for patients with atopic dermatitis and remains committed to working with the PBAC to enable reimbursed access to dupilumab for Australian patients with atopic dermatitis.  </w:t>
      </w:r>
    </w:p>
    <w:sectPr w:rsidR="009E7CA9" w:rsidRPr="000B5890" w:rsidSect="0012136C">
      <w:headerReference w:type="default" r:id="rId13"/>
      <w:footerReference w:type="default" r:id="rId14"/>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E2B2A3" w15:done="0"/>
  <w15:commentEx w15:paraId="167099FF" w15:done="0"/>
  <w15:commentEx w15:paraId="0A7DD514" w15:done="0"/>
  <w15:commentEx w15:paraId="7840C655" w15:done="0"/>
  <w15:commentEx w15:paraId="14F38198" w15:done="0"/>
  <w15:commentEx w15:paraId="51E3D009" w15:done="0"/>
  <w15:commentEx w15:paraId="418D69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2B2A3" w16cid:durableId="1F131F6F"/>
  <w16cid:commentId w16cid:paraId="167099FF" w16cid:durableId="1F131F70"/>
  <w16cid:commentId w16cid:paraId="0A7DD514" w16cid:durableId="1F131FA2"/>
  <w16cid:commentId w16cid:paraId="7840C655" w16cid:durableId="1F131F71"/>
  <w16cid:commentId w16cid:paraId="14F38198" w16cid:durableId="1F131F72"/>
  <w16cid:commentId w16cid:paraId="51E3D009" w16cid:durableId="1F131F73"/>
  <w16cid:commentId w16cid:paraId="418D69DC" w16cid:durableId="1F131F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02D" w:rsidRDefault="0093702D" w:rsidP="00BA3306">
      <w:pPr>
        <w:spacing w:before="0" w:after="0"/>
      </w:pPr>
      <w:r>
        <w:separator/>
      </w:r>
    </w:p>
  </w:endnote>
  <w:endnote w:type="continuationSeparator" w:id="0">
    <w:p w:rsidR="0093702D" w:rsidRDefault="0093702D"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C" w:rsidRDefault="0012136C" w:rsidP="001317B1">
    <w:pPr>
      <w:pStyle w:val="Footer"/>
      <w:jc w:val="center"/>
    </w:pPr>
  </w:p>
  <w:p w:rsidR="005F358D" w:rsidRPr="0012136C" w:rsidRDefault="005F358D" w:rsidP="0012136C">
    <w:pPr>
      <w:pStyle w:val="Footer"/>
      <w:jc w:val="center"/>
    </w:pPr>
    <w:r>
      <w:fldChar w:fldCharType="begin"/>
    </w:r>
    <w:r>
      <w:instrText xml:space="preserve"> PAGE   \* MERGEFORMAT </w:instrText>
    </w:r>
    <w:r>
      <w:fldChar w:fldCharType="separate"/>
    </w:r>
    <w:r w:rsidR="00557C85">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02D" w:rsidRDefault="0093702D" w:rsidP="00BA3306">
      <w:pPr>
        <w:spacing w:before="0" w:after="0"/>
      </w:pPr>
      <w:r>
        <w:separator/>
      </w:r>
    </w:p>
  </w:footnote>
  <w:footnote w:type="continuationSeparator" w:id="0">
    <w:p w:rsidR="0093702D" w:rsidRDefault="0093702D" w:rsidP="00BA3306">
      <w:pPr>
        <w:spacing w:before="0" w:after="0"/>
      </w:pPr>
      <w:r>
        <w:continuationSeparator/>
      </w:r>
    </w:p>
  </w:footnote>
  <w:footnote w:id="1">
    <w:p w:rsidR="005F358D" w:rsidRDefault="005F358D">
      <w:pPr>
        <w:pStyle w:val="FootnoteText"/>
      </w:pPr>
      <w:r>
        <w:rPr>
          <w:rStyle w:val="FootnoteReference"/>
        </w:rPr>
        <w:footnoteRef/>
      </w:r>
      <w:r>
        <w:t xml:space="preserve"> Chopra et al 2017, British Journal of Dermatology 177, pp1316-1321. </w:t>
      </w:r>
    </w:p>
  </w:footnote>
  <w:footnote w:id="2">
    <w:p w:rsidR="005F358D" w:rsidRDefault="005F358D" w:rsidP="003802E8">
      <w:pPr>
        <w:pStyle w:val="FootnoteText"/>
        <w:jc w:val="both"/>
      </w:pPr>
      <w:r>
        <w:rPr>
          <w:rStyle w:val="FootnoteReference"/>
        </w:rPr>
        <w:footnoteRef/>
      </w:r>
      <w:r>
        <w:t xml:space="preserve"> Kimball et al. 2017. “</w:t>
      </w:r>
      <w:r w:rsidRPr="00B10E6D">
        <w:t>Interpretation of EASI-75 from a patient perspective—A post hoc analysis from a phase 2b trial of dupilumab in adults with moderate-to-severe atopic dermatitis</w:t>
      </w:r>
      <w:r>
        <w:t xml:space="preserve">”. </w:t>
      </w:r>
      <w:r w:rsidRPr="00B10E6D">
        <w:t>Journal of the American Academy of Dermatology , Volume 76 , Issue 6 , AB416</w:t>
      </w:r>
      <w:r>
        <w:t xml:space="preserve"> Accessed 30/4/18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8D" w:rsidRPr="009E7CA9" w:rsidRDefault="005F358D" w:rsidP="009E7CA9">
    <w:pPr>
      <w:tabs>
        <w:tab w:val="center" w:pos="4513"/>
        <w:tab w:val="right" w:pos="9026"/>
      </w:tabs>
      <w:spacing w:before="0" w:after="0"/>
      <w:jc w:val="center"/>
      <w:rPr>
        <w:rFonts w:ascii="Calibri" w:eastAsia="Calibri" w:hAnsi="Calibri" w:cs="Calibri"/>
        <w:i/>
        <w:color w:val="808080"/>
        <w:sz w:val="22"/>
      </w:rPr>
    </w:pPr>
    <w:r w:rsidRPr="009E7CA9">
      <w:rPr>
        <w:rFonts w:ascii="Calibri" w:eastAsia="Calibri" w:hAnsi="Calibri" w:cs="Calibri"/>
        <w:i/>
        <w:color w:val="808080"/>
        <w:sz w:val="22"/>
      </w:rPr>
      <w:t xml:space="preserve">Public Summary Document – </w:t>
    </w:r>
    <w:r>
      <w:rPr>
        <w:rFonts w:ascii="Calibri" w:eastAsia="Calibri" w:hAnsi="Calibri" w:cs="Calibri"/>
        <w:i/>
        <w:color w:val="808080"/>
        <w:sz w:val="22"/>
      </w:rPr>
      <w:t>July 2018</w:t>
    </w:r>
    <w:r w:rsidRPr="009E7CA9">
      <w:rPr>
        <w:rFonts w:ascii="Calibri" w:eastAsia="Calibri" w:hAnsi="Calibri" w:cs="Calibri"/>
        <w:i/>
        <w:color w:val="808080"/>
        <w:sz w:val="22"/>
      </w:rPr>
      <w:t xml:space="preserve"> PBAC Meeting</w:t>
    </w:r>
  </w:p>
  <w:p w:rsidR="005F358D" w:rsidRPr="009E7CA9" w:rsidRDefault="005F358D" w:rsidP="009E7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5704A1"/>
    <w:multiLevelType w:val="hybridMultilevel"/>
    <w:tmpl w:val="72E42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9E511DA"/>
    <w:multiLevelType w:val="hybridMultilevel"/>
    <w:tmpl w:val="04B63D02"/>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5">
    <w:nsid w:val="1DFC7193"/>
    <w:multiLevelType w:val="hybridMultilevel"/>
    <w:tmpl w:val="C674ED24"/>
    <w:lvl w:ilvl="0" w:tplc="40A8BF64">
      <w:start w:val="1"/>
      <w:numFmt w:val="bullet"/>
      <w:lvlText w:val="•"/>
      <w:lvlJc w:val="left"/>
      <w:pPr>
        <w:tabs>
          <w:tab w:val="num" w:pos="720"/>
        </w:tabs>
        <w:ind w:left="720" w:hanging="360"/>
      </w:pPr>
      <w:rPr>
        <w:rFonts w:ascii="Arial" w:hAnsi="Arial" w:hint="default"/>
      </w:rPr>
    </w:lvl>
    <w:lvl w:ilvl="1" w:tplc="06FEB81E" w:tentative="1">
      <w:start w:val="1"/>
      <w:numFmt w:val="bullet"/>
      <w:lvlText w:val="•"/>
      <w:lvlJc w:val="left"/>
      <w:pPr>
        <w:tabs>
          <w:tab w:val="num" w:pos="1440"/>
        </w:tabs>
        <w:ind w:left="1440" w:hanging="360"/>
      </w:pPr>
      <w:rPr>
        <w:rFonts w:ascii="Arial" w:hAnsi="Arial" w:hint="default"/>
      </w:rPr>
    </w:lvl>
    <w:lvl w:ilvl="2" w:tplc="F81614B8" w:tentative="1">
      <w:start w:val="1"/>
      <w:numFmt w:val="bullet"/>
      <w:lvlText w:val="•"/>
      <w:lvlJc w:val="left"/>
      <w:pPr>
        <w:tabs>
          <w:tab w:val="num" w:pos="2160"/>
        </w:tabs>
        <w:ind w:left="2160" w:hanging="360"/>
      </w:pPr>
      <w:rPr>
        <w:rFonts w:ascii="Arial" w:hAnsi="Arial" w:hint="default"/>
      </w:rPr>
    </w:lvl>
    <w:lvl w:ilvl="3" w:tplc="475E304A" w:tentative="1">
      <w:start w:val="1"/>
      <w:numFmt w:val="bullet"/>
      <w:lvlText w:val="•"/>
      <w:lvlJc w:val="left"/>
      <w:pPr>
        <w:tabs>
          <w:tab w:val="num" w:pos="2880"/>
        </w:tabs>
        <w:ind w:left="2880" w:hanging="360"/>
      </w:pPr>
      <w:rPr>
        <w:rFonts w:ascii="Arial" w:hAnsi="Arial" w:hint="default"/>
      </w:rPr>
    </w:lvl>
    <w:lvl w:ilvl="4" w:tplc="FADA3BEE" w:tentative="1">
      <w:start w:val="1"/>
      <w:numFmt w:val="bullet"/>
      <w:lvlText w:val="•"/>
      <w:lvlJc w:val="left"/>
      <w:pPr>
        <w:tabs>
          <w:tab w:val="num" w:pos="3600"/>
        </w:tabs>
        <w:ind w:left="3600" w:hanging="360"/>
      </w:pPr>
      <w:rPr>
        <w:rFonts w:ascii="Arial" w:hAnsi="Arial" w:hint="default"/>
      </w:rPr>
    </w:lvl>
    <w:lvl w:ilvl="5" w:tplc="933E4A12" w:tentative="1">
      <w:start w:val="1"/>
      <w:numFmt w:val="bullet"/>
      <w:lvlText w:val="•"/>
      <w:lvlJc w:val="left"/>
      <w:pPr>
        <w:tabs>
          <w:tab w:val="num" w:pos="4320"/>
        </w:tabs>
        <w:ind w:left="4320" w:hanging="360"/>
      </w:pPr>
      <w:rPr>
        <w:rFonts w:ascii="Arial" w:hAnsi="Arial" w:hint="default"/>
      </w:rPr>
    </w:lvl>
    <w:lvl w:ilvl="6" w:tplc="E58CDDE4" w:tentative="1">
      <w:start w:val="1"/>
      <w:numFmt w:val="bullet"/>
      <w:lvlText w:val="•"/>
      <w:lvlJc w:val="left"/>
      <w:pPr>
        <w:tabs>
          <w:tab w:val="num" w:pos="5040"/>
        </w:tabs>
        <w:ind w:left="5040" w:hanging="360"/>
      </w:pPr>
      <w:rPr>
        <w:rFonts w:ascii="Arial" w:hAnsi="Arial" w:hint="default"/>
      </w:rPr>
    </w:lvl>
    <w:lvl w:ilvl="7" w:tplc="1CC8695E" w:tentative="1">
      <w:start w:val="1"/>
      <w:numFmt w:val="bullet"/>
      <w:lvlText w:val="•"/>
      <w:lvlJc w:val="left"/>
      <w:pPr>
        <w:tabs>
          <w:tab w:val="num" w:pos="5760"/>
        </w:tabs>
        <w:ind w:left="5760" w:hanging="360"/>
      </w:pPr>
      <w:rPr>
        <w:rFonts w:ascii="Arial" w:hAnsi="Arial" w:hint="default"/>
      </w:rPr>
    </w:lvl>
    <w:lvl w:ilvl="8" w:tplc="CB90E6FE" w:tentative="1">
      <w:start w:val="1"/>
      <w:numFmt w:val="bullet"/>
      <w:lvlText w:val="•"/>
      <w:lvlJc w:val="left"/>
      <w:pPr>
        <w:tabs>
          <w:tab w:val="num" w:pos="6480"/>
        </w:tabs>
        <w:ind w:left="6480" w:hanging="360"/>
      </w:pPr>
      <w:rPr>
        <w:rFonts w:ascii="Arial" w:hAnsi="Arial" w:hint="default"/>
      </w:rPr>
    </w:lvl>
  </w:abstractNum>
  <w:abstractNum w:abstractNumId="6">
    <w:nsid w:val="21144579"/>
    <w:multiLevelType w:val="hybridMultilevel"/>
    <w:tmpl w:val="D51C4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4E6825"/>
    <w:multiLevelType w:val="multilevel"/>
    <w:tmpl w:val="3AE4C8F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D502320"/>
    <w:multiLevelType w:val="hybridMultilevel"/>
    <w:tmpl w:val="964EA568"/>
    <w:lvl w:ilvl="0" w:tplc="0C090001">
      <w:start w:val="1"/>
      <w:numFmt w:val="bullet"/>
      <w:lvlText w:val=""/>
      <w:lvlJc w:val="left"/>
      <w:pPr>
        <w:ind w:left="1296" w:hanging="360"/>
      </w:pPr>
      <w:rPr>
        <w:rFonts w:ascii="Symbol" w:hAnsi="Symbol" w:hint="default"/>
      </w:rPr>
    </w:lvl>
    <w:lvl w:ilvl="1" w:tplc="0C090003">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13">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84D033C"/>
    <w:multiLevelType w:val="multilevel"/>
    <w:tmpl w:val="B59EFD9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D015945"/>
    <w:multiLevelType w:val="hybridMultilevel"/>
    <w:tmpl w:val="E58CD1F2"/>
    <w:lvl w:ilvl="0" w:tplc="E34A25D2">
      <w:start w:val="1"/>
      <w:numFmt w:val="bullet"/>
      <w:lvlText w:val="•"/>
      <w:lvlJc w:val="left"/>
      <w:pPr>
        <w:tabs>
          <w:tab w:val="num" w:pos="720"/>
        </w:tabs>
        <w:ind w:left="720" w:hanging="360"/>
      </w:pPr>
      <w:rPr>
        <w:rFonts w:ascii="Arial" w:hAnsi="Arial" w:hint="default"/>
      </w:rPr>
    </w:lvl>
    <w:lvl w:ilvl="1" w:tplc="6C72C9E0" w:tentative="1">
      <w:start w:val="1"/>
      <w:numFmt w:val="bullet"/>
      <w:lvlText w:val="•"/>
      <w:lvlJc w:val="left"/>
      <w:pPr>
        <w:tabs>
          <w:tab w:val="num" w:pos="1440"/>
        </w:tabs>
        <w:ind w:left="1440" w:hanging="360"/>
      </w:pPr>
      <w:rPr>
        <w:rFonts w:ascii="Arial" w:hAnsi="Arial" w:hint="default"/>
      </w:rPr>
    </w:lvl>
    <w:lvl w:ilvl="2" w:tplc="3634EC1A" w:tentative="1">
      <w:start w:val="1"/>
      <w:numFmt w:val="bullet"/>
      <w:lvlText w:val="•"/>
      <w:lvlJc w:val="left"/>
      <w:pPr>
        <w:tabs>
          <w:tab w:val="num" w:pos="2160"/>
        </w:tabs>
        <w:ind w:left="2160" w:hanging="360"/>
      </w:pPr>
      <w:rPr>
        <w:rFonts w:ascii="Arial" w:hAnsi="Arial" w:hint="default"/>
      </w:rPr>
    </w:lvl>
    <w:lvl w:ilvl="3" w:tplc="495CB2D6" w:tentative="1">
      <w:start w:val="1"/>
      <w:numFmt w:val="bullet"/>
      <w:lvlText w:val="•"/>
      <w:lvlJc w:val="left"/>
      <w:pPr>
        <w:tabs>
          <w:tab w:val="num" w:pos="2880"/>
        </w:tabs>
        <w:ind w:left="2880" w:hanging="360"/>
      </w:pPr>
      <w:rPr>
        <w:rFonts w:ascii="Arial" w:hAnsi="Arial" w:hint="default"/>
      </w:rPr>
    </w:lvl>
    <w:lvl w:ilvl="4" w:tplc="669027F6" w:tentative="1">
      <w:start w:val="1"/>
      <w:numFmt w:val="bullet"/>
      <w:lvlText w:val="•"/>
      <w:lvlJc w:val="left"/>
      <w:pPr>
        <w:tabs>
          <w:tab w:val="num" w:pos="3600"/>
        </w:tabs>
        <w:ind w:left="3600" w:hanging="360"/>
      </w:pPr>
      <w:rPr>
        <w:rFonts w:ascii="Arial" w:hAnsi="Arial" w:hint="default"/>
      </w:rPr>
    </w:lvl>
    <w:lvl w:ilvl="5" w:tplc="7E04C380" w:tentative="1">
      <w:start w:val="1"/>
      <w:numFmt w:val="bullet"/>
      <w:lvlText w:val="•"/>
      <w:lvlJc w:val="left"/>
      <w:pPr>
        <w:tabs>
          <w:tab w:val="num" w:pos="4320"/>
        </w:tabs>
        <w:ind w:left="4320" w:hanging="360"/>
      </w:pPr>
      <w:rPr>
        <w:rFonts w:ascii="Arial" w:hAnsi="Arial" w:hint="default"/>
      </w:rPr>
    </w:lvl>
    <w:lvl w:ilvl="6" w:tplc="AB7AD850" w:tentative="1">
      <w:start w:val="1"/>
      <w:numFmt w:val="bullet"/>
      <w:lvlText w:val="•"/>
      <w:lvlJc w:val="left"/>
      <w:pPr>
        <w:tabs>
          <w:tab w:val="num" w:pos="5040"/>
        </w:tabs>
        <w:ind w:left="5040" w:hanging="360"/>
      </w:pPr>
      <w:rPr>
        <w:rFonts w:ascii="Arial" w:hAnsi="Arial" w:hint="default"/>
      </w:rPr>
    </w:lvl>
    <w:lvl w:ilvl="7" w:tplc="F0FA4F32" w:tentative="1">
      <w:start w:val="1"/>
      <w:numFmt w:val="bullet"/>
      <w:lvlText w:val="•"/>
      <w:lvlJc w:val="left"/>
      <w:pPr>
        <w:tabs>
          <w:tab w:val="num" w:pos="5760"/>
        </w:tabs>
        <w:ind w:left="5760" w:hanging="360"/>
      </w:pPr>
      <w:rPr>
        <w:rFonts w:ascii="Arial" w:hAnsi="Arial" w:hint="default"/>
      </w:rPr>
    </w:lvl>
    <w:lvl w:ilvl="8" w:tplc="C14046D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0"/>
  </w:num>
  <w:num w:numId="3">
    <w:abstractNumId w:val="2"/>
  </w:num>
  <w:num w:numId="4">
    <w:abstractNumId w:val="14"/>
  </w:num>
  <w:num w:numId="5">
    <w:abstractNumId w:val="9"/>
  </w:num>
  <w:num w:numId="6">
    <w:abstractNumId w:val="13"/>
  </w:num>
  <w:num w:numId="7">
    <w:abstractNumId w:val="12"/>
  </w:num>
  <w:num w:numId="8">
    <w:abstractNumId w:val="1"/>
  </w:num>
  <w:num w:numId="9">
    <w:abstractNumId w:val="4"/>
  </w:num>
  <w:num w:numId="10">
    <w:abstractNumId w:val="6"/>
  </w:num>
  <w:num w:numId="11">
    <w:abstractNumId w:val="11"/>
  </w:num>
  <w:num w:numId="12">
    <w:abstractNumId w:val="3"/>
  </w:num>
  <w:num w:numId="13">
    <w:abstractNumId w:val="0"/>
  </w:num>
  <w:num w:numId="14">
    <w:abstractNumId w:val="7"/>
  </w:num>
  <w:num w:numId="15">
    <w:abstractNumId w:val="15"/>
  </w:num>
  <w:num w:numId="16">
    <w:abstractNumId w:val="5"/>
  </w:num>
  <w:num w:numId="17">
    <w:abstractNumId w:val="14"/>
    <w:lvlOverride w:ilvl="0">
      <w:startOverride w:val="6"/>
    </w:lvlOverride>
    <w:lvlOverride w:ilvl="1">
      <w:startOverride w:val="1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Etherton-Beer">
    <w15:presenceInfo w15:providerId="AD" w15:userId="S-1-5-21-905479342-1514983418-1536837410-193539"/>
  </w15:person>
  <w15:person w15:author="David Newby">
    <w15:presenceInfo w15:providerId="Windows Live" w15:userId="00995dce-632a-4d22-9282-3e0d02d8b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YwMTYzMjQxMbY0MzJQ0lEKTi0uzszPAykwrAUAJDEfHCwAAAA="/>
  </w:docVars>
  <w:rsids>
    <w:rsidRoot w:val="00821A29"/>
    <w:rsid w:val="00001AB4"/>
    <w:rsid w:val="0001066F"/>
    <w:rsid w:val="00013222"/>
    <w:rsid w:val="0002095B"/>
    <w:rsid w:val="00022C90"/>
    <w:rsid w:val="00027F5B"/>
    <w:rsid w:val="00030557"/>
    <w:rsid w:val="00034404"/>
    <w:rsid w:val="00034B01"/>
    <w:rsid w:val="00042F24"/>
    <w:rsid w:val="000461CF"/>
    <w:rsid w:val="0005422F"/>
    <w:rsid w:val="00057F71"/>
    <w:rsid w:val="000608D4"/>
    <w:rsid w:val="00060D2F"/>
    <w:rsid w:val="00062067"/>
    <w:rsid w:val="00065839"/>
    <w:rsid w:val="00065A32"/>
    <w:rsid w:val="00065C62"/>
    <w:rsid w:val="00065CDE"/>
    <w:rsid w:val="00065F4A"/>
    <w:rsid w:val="00070B55"/>
    <w:rsid w:val="00071B83"/>
    <w:rsid w:val="00071EC7"/>
    <w:rsid w:val="00073CA1"/>
    <w:rsid w:val="00074274"/>
    <w:rsid w:val="00076C59"/>
    <w:rsid w:val="00080FF3"/>
    <w:rsid w:val="00083634"/>
    <w:rsid w:val="0008386A"/>
    <w:rsid w:val="000847FE"/>
    <w:rsid w:val="000856C8"/>
    <w:rsid w:val="00086133"/>
    <w:rsid w:val="0008797B"/>
    <w:rsid w:val="00094464"/>
    <w:rsid w:val="000A1772"/>
    <w:rsid w:val="000A2694"/>
    <w:rsid w:val="000A2E21"/>
    <w:rsid w:val="000A2EF1"/>
    <w:rsid w:val="000A34B6"/>
    <w:rsid w:val="000A6FBD"/>
    <w:rsid w:val="000A79E8"/>
    <w:rsid w:val="000B0960"/>
    <w:rsid w:val="000B38DE"/>
    <w:rsid w:val="000B56CD"/>
    <w:rsid w:val="000B5890"/>
    <w:rsid w:val="000B6B69"/>
    <w:rsid w:val="000C0142"/>
    <w:rsid w:val="000C6A40"/>
    <w:rsid w:val="000C6A75"/>
    <w:rsid w:val="000D0023"/>
    <w:rsid w:val="000D0D8F"/>
    <w:rsid w:val="000D2E92"/>
    <w:rsid w:val="000D4737"/>
    <w:rsid w:val="000E1EA1"/>
    <w:rsid w:val="000E4EE3"/>
    <w:rsid w:val="000E751E"/>
    <w:rsid w:val="000F2534"/>
    <w:rsid w:val="000F3652"/>
    <w:rsid w:val="000F38C1"/>
    <w:rsid w:val="000F55E4"/>
    <w:rsid w:val="000F5912"/>
    <w:rsid w:val="000F6E88"/>
    <w:rsid w:val="001018C8"/>
    <w:rsid w:val="001077F7"/>
    <w:rsid w:val="00113C84"/>
    <w:rsid w:val="00114732"/>
    <w:rsid w:val="001179A1"/>
    <w:rsid w:val="0012136C"/>
    <w:rsid w:val="00121F6B"/>
    <w:rsid w:val="00122202"/>
    <w:rsid w:val="001266BE"/>
    <w:rsid w:val="0012701F"/>
    <w:rsid w:val="001279AE"/>
    <w:rsid w:val="0013092C"/>
    <w:rsid w:val="001312FE"/>
    <w:rsid w:val="001317B1"/>
    <w:rsid w:val="0013209B"/>
    <w:rsid w:val="00132801"/>
    <w:rsid w:val="00132B94"/>
    <w:rsid w:val="00132D11"/>
    <w:rsid w:val="00134CAC"/>
    <w:rsid w:val="00136E76"/>
    <w:rsid w:val="001400BA"/>
    <w:rsid w:val="001400F0"/>
    <w:rsid w:val="00141F6B"/>
    <w:rsid w:val="00143BA2"/>
    <w:rsid w:val="00144B3A"/>
    <w:rsid w:val="001468C6"/>
    <w:rsid w:val="00146C47"/>
    <w:rsid w:val="00151B67"/>
    <w:rsid w:val="00151DD4"/>
    <w:rsid w:val="00154BF8"/>
    <w:rsid w:val="00165A49"/>
    <w:rsid w:val="001662C4"/>
    <w:rsid w:val="001722AD"/>
    <w:rsid w:val="00173577"/>
    <w:rsid w:val="0017374A"/>
    <w:rsid w:val="00174064"/>
    <w:rsid w:val="00174627"/>
    <w:rsid w:val="001751D9"/>
    <w:rsid w:val="001760F0"/>
    <w:rsid w:val="0017638E"/>
    <w:rsid w:val="00176AA5"/>
    <w:rsid w:val="0017720E"/>
    <w:rsid w:val="00177893"/>
    <w:rsid w:val="00177A97"/>
    <w:rsid w:val="00180EC0"/>
    <w:rsid w:val="00183694"/>
    <w:rsid w:val="00184221"/>
    <w:rsid w:val="00186307"/>
    <w:rsid w:val="001867E3"/>
    <w:rsid w:val="00186EBC"/>
    <w:rsid w:val="00192FCC"/>
    <w:rsid w:val="00195AA5"/>
    <w:rsid w:val="00195DA4"/>
    <w:rsid w:val="001A00B7"/>
    <w:rsid w:val="001A0142"/>
    <w:rsid w:val="001A02B2"/>
    <w:rsid w:val="001A3559"/>
    <w:rsid w:val="001A789C"/>
    <w:rsid w:val="001B00CE"/>
    <w:rsid w:val="001B2F8D"/>
    <w:rsid w:val="001B6389"/>
    <w:rsid w:val="001C04CC"/>
    <w:rsid w:val="001C051E"/>
    <w:rsid w:val="001C3019"/>
    <w:rsid w:val="001C5375"/>
    <w:rsid w:val="001D5DE3"/>
    <w:rsid w:val="001D6274"/>
    <w:rsid w:val="001E0A90"/>
    <w:rsid w:val="001E4361"/>
    <w:rsid w:val="001E5918"/>
    <w:rsid w:val="001F01AA"/>
    <w:rsid w:val="001F073C"/>
    <w:rsid w:val="001F2912"/>
    <w:rsid w:val="001F7F78"/>
    <w:rsid w:val="002001C6"/>
    <w:rsid w:val="00200296"/>
    <w:rsid w:val="00201ADB"/>
    <w:rsid w:val="002044C7"/>
    <w:rsid w:val="00204509"/>
    <w:rsid w:val="00205433"/>
    <w:rsid w:val="00205636"/>
    <w:rsid w:val="002058E5"/>
    <w:rsid w:val="00210FAA"/>
    <w:rsid w:val="00212A6A"/>
    <w:rsid w:val="00213351"/>
    <w:rsid w:val="00213B4C"/>
    <w:rsid w:val="002234A6"/>
    <w:rsid w:val="00232954"/>
    <w:rsid w:val="002404AC"/>
    <w:rsid w:val="00241F26"/>
    <w:rsid w:val="002425EA"/>
    <w:rsid w:val="00242EA0"/>
    <w:rsid w:val="00243685"/>
    <w:rsid w:val="00245620"/>
    <w:rsid w:val="00253786"/>
    <w:rsid w:val="00255602"/>
    <w:rsid w:val="0025613F"/>
    <w:rsid w:val="00261DC6"/>
    <w:rsid w:val="00262217"/>
    <w:rsid w:val="00263A5F"/>
    <w:rsid w:val="00264623"/>
    <w:rsid w:val="00264692"/>
    <w:rsid w:val="002670A0"/>
    <w:rsid w:val="00273C92"/>
    <w:rsid w:val="00280B5B"/>
    <w:rsid w:val="00282D1F"/>
    <w:rsid w:val="002836DF"/>
    <w:rsid w:val="00285050"/>
    <w:rsid w:val="0028612B"/>
    <w:rsid w:val="00286710"/>
    <w:rsid w:val="00287AB5"/>
    <w:rsid w:val="0029110A"/>
    <w:rsid w:val="002928F4"/>
    <w:rsid w:val="002950BD"/>
    <w:rsid w:val="002A07D5"/>
    <w:rsid w:val="002A08E6"/>
    <w:rsid w:val="002A4503"/>
    <w:rsid w:val="002A4989"/>
    <w:rsid w:val="002A55E1"/>
    <w:rsid w:val="002B2654"/>
    <w:rsid w:val="002B4941"/>
    <w:rsid w:val="002B5D74"/>
    <w:rsid w:val="002B6BC8"/>
    <w:rsid w:val="002B6CEB"/>
    <w:rsid w:val="002B7ADB"/>
    <w:rsid w:val="002C1C45"/>
    <w:rsid w:val="002C1D2F"/>
    <w:rsid w:val="002C30D7"/>
    <w:rsid w:val="002C4648"/>
    <w:rsid w:val="002D074F"/>
    <w:rsid w:val="002D2650"/>
    <w:rsid w:val="002D2E28"/>
    <w:rsid w:val="002D2FCA"/>
    <w:rsid w:val="002D34C2"/>
    <w:rsid w:val="002D7823"/>
    <w:rsid w:val="002E42FD"/>
    <w:rsid w:val="002E4C2D"/>
    <w:rsid w:val="002E5DEA"/>
    <w:rsid w:val="002E5E62"/>
    <w:rsid w:val="002E724A"/>
    <w:rsid w:val="002E7D38"/>
    <w:rsid w:val="002F0CC4"/>
    <w:rsid w:val="002F0F42"/>
    <w:rsid w:val="002F24F4"/>
    <w:rsid w:val="002F311E"/>
    <w:rsid w:val="002F71B8"/>
    <w:rsid w:val="0030057F"/>
    <w:rsid w:val="00301DE7"/>
    <w:rsid w:val="00301EA1"/>
    <w:rsid w:val="00302C40"/>
    <w:rsid w:val="00302FCC"/>
    <w:rsid w:val="003062AE"/>
    <w:rsid w:val="003075C1"/>
    <w:rsid w:val="003145DD"/>
    <w:rsid w:val="00315514"/>
    <w:rsid w:val="003215CF"/>
    <w:rsid w:val="00324AF6"/>
    <w:rsid w:val="00330093"/>
    <w:rsid w:val="00330988"/>
    <w:rsid w:val="00331684"/>
    <w:rsid w:val="00334520"/>
    <w:rsid w:val="00334ACF"/>
    <w:rsid w:val="00336A50"/>
    <w:rsid w:val="00340F28"/>
    <w:rsid w:val="00341A14"/>
    <w:rsid w:val="003460C2"/>
    <w:rsid w:val="00351381"/>
    <w:rsid w:val="00352301"/>
    <w:rsid w:val="003530A6"/>
    <w:rsid w:val="00353627"/>
    <w:rsid w:val="00355A74"/>
    <w:rsid w:val="00355F72"/>
    <w:rsid w:val="00357657"/>
    <w:rsid w:val="00357710"/>
    <w:rsid w:val="003639A6"/>
    <w:rsid w:val="00364479"/>
    <w:rsid w:val="003679AE"/>
    <w:rsid w:val="00373C08"/>
    <w:rsid w:val="00375934"/>
    <w:rsid w:val="00376914"/>
    <w:rsid w:val="003802E8"/>
    <w:rsid w:val="00380AD3"/>
    <w:rsid w:val="0038281C"/>
    <w:rsid w:val="00382D0D"/>
    <w:rsid w:val="0038396C"/>
    <w:rsid w:val="003844C5"/>
    <w:rsid w:val="003851FE"/>
    <w:rsid w:val="0038580F"/>
    <w:rsid w:val="00385A64"/>
    <w:rsid w:val="00386D1A"/>
    <w:rsid w:val="00396A35"/>
    <w:rsid w:val="00397170"/>
    <w:rsid w:val="003A1061"/>
    <w:rsid w:val="003A12CD"/>
    <w:rsid w:val="003A32B9"/>
    <w:rsid w:val="003A3433"/>
    <w:rsid w:val="003A537E"/>
    <w:rsid w:val="003A660F"/>
    <w:rsid w:val="003A6F37"/>
    <w:rsid w:val="003B095E"/>
    <w:rsid w:val="003B15B0"/>
    <w:rsid w:val="003B3C2F"/>
    <w:rsid w:val="003C0BF9"/>
    <w:rsid w:val="003C0EAF"/>
    <w:rsid w:val="003C1A9F"/>
    <w:rsid w:val="003C3B8D"/>
    <w:rsid w:val="003C5D33"/>
    <w:rsid w:val="003C5F28"/>
    <w:rsid w:val="003C723F"/>
    <w:rsid w:val="003D0B10"/>
    <w:rsid w:val="003D11A9"/>
    <w:rsid w:val="003D2A37"/>
    <w:rsid w:val="003D69EF"/>
    <w:rsid w:val="003D7F8C"/>
    <w:rsid w:val="003E0EDB"/>
    <w:rsid w:val="003E1B14"/>
    <w:rsid w:val="003E577E"/>
    <w:rsid w:val="003E58A6"/>
    <w:rsid w:val="003E6475"/>
    <w:rsid w:val="003F105A"/>
    <w:rsid w:val="003F17E3"/>
    <w:rsid w:val="003F283D"/>
    <w:rsid w:val="003F4C97"/>
    <w:rsid w:val="003F6199"/>
    <w:rsid w:val="00400906"/>
    <w:rsid w:val="00401C84"/>
    <w:rsid w:val="00401CF8"/>
    <w:rsid w:val="004033BF"/>
    <w:rsid w:val="00403FA1"/>
    <w:rsid w:val="00405014"/>
    <w:rsid w:val="00406D2F"/>
    <w:rsid w:val="00410C78"/>
    <w:rsid w:val="00420620"/>
    <w:rsid w:val="00420DCC"/>
    <w:rsid w:val="00421450"/>
    <w:rsid w:val="004214F6"/>
    <w:rsid w:val="004236EF"/>
    <w:rsid w:val="00424426"/>
    <w:rsid w:val="00426B5B"/>
    <w:rsid w:val="00427E55"/>
    <w:rsid w:val="004320BF"/>
    <w:rsid w:val="00432C8D"/>
    <w:rsid w:val="00436064"/>
    <w:rsid w:val="00437B26"/>
    <w:rsid w:val="00437BB5"/>
    <w:rsid w:val="00444459"/>
    <w:rsid w:val="0044532B"/>
    <w:rsid w:val="00453BAE"/>
    <w:rsid w:val="00453D59"/>
    <w:rsid w:val="00454493"/>
    <w:rsid w:val="004619BB"/>
    <w:rsid w:val="00465D3F"/>
    <w:rsid w:val="0046621E"/>
    <w:rsid w:val="00472D4D"/>
    <w:rsid w:val="00472E77"/>
    <w:rsid w:val="0047554E"/>
    <w:rsid w:val="0047646D"/>
    <w:rsid w:val="00476EE7"/>
    <w:rsid w:val="004810A9"/>
    <w:rsid w:val="00486A06"/>
    <w:rsid w:val="0049018F"/>
    <w:rsid w:val="004918D0"/>
    <w:rsid w:val="004919DD"/>
    <w:rsid w:val="0049244D"/>
    <w:rsid w:val="00492CA7"/>
    <w:rsid w:val="00493931"/>
    <w:rsid w:val="0049471B"/>
    <w:rsid w:val="00494F7C"/>
    <w:rsid w:val="00495482"/>
    <w:rsid w:val="004A028A"/>
    <w:rsid w:val="004A233D"/>
    <w:rsid w:val="004A2DF5"/>
    <w:rsid w:val="004A3981"/>
    <w:rsid w:val="004A4EF3"/>
    <w:rsid w:val="004A7380"/>
    <w:rsid w:val="004B003B"/>
    <w:rsid w:val="004B079E"/>
    <w:rsid w:val="004B0F78"/>
    <w:rsid w:val="004B1FBE"/>
    <w:rsid w:val="004B302F"/>
    <w:rsid w:val="004B3C00"/>
    <w:rsid w:val="004B4E9B"/>
    <w:rsid w:val="004D1006"/>
    <w:rsid w:val="004D1CC6"/>
    <w:rsid w:val="004D22B3"/>
    <w:rsid w:val="004D3C91"/>
    <w:rsid w:val="004D3E72"/>
    <w:rsid w:val="004D45DF"/>
    <w:rsid w:val="004D7232"/>
    <w:rsid w:val="004E0C0B"/>
    <w:rsid w:val="004E2125"/>
    <w:rsid w:val="004E3098"/>
    <w:rsid w:val="004E67AA"/>
    <w:rsid w:val="004E7609"/>
    <w:rsid w:val="004F14F2"/>
    <w:rsid w:val="004F3688"/>
    <w:rsid w:val="004F3AAE"/>
    <w:rsid w:val="004F4415"/>
    <w:rsid w:val="004F4BDE"/>
    <w:rsid w:val="004F582B"/>
    <w:rsid w:val="004F6163"/>
    <w:rsid w:val="004F7097"/>
    <w:rsid w:val="004F78E4"/>
    <w:rsid w:val="004F7946"/>
    <w:rsid w:val="004F7CAC"/>
    <w:rsid w:val="005048DE"/>
    <w:rsid w:val="00507713"/>
    <w:rsid w:val="0051036D"/>
    <w:rsid w:val="00511320"/>
    <w:rsid w:val="00513D48"/>
    <w:rsid w:val="005143F9"/>
    <w:rsid w:val="00516566"/>
    <w:rsid w:val="005218C3"/>
    <w:rsid w:val="0052195F"/>
    <w:rsid w:val="005237EC"/>
    <w:rsid w:val="00525A8E"/>
    <w:rsid w:val="00531C11"/>
    <w:rsid w:val="0053282B"/>
    <w:rsid w:val="00534472"/>
    <w:rsid w:val="00535C74"/>
    <w:rsid w:val="005361AB"/>
    <w:rsid w:val="00536BA0"/>
    <w:rsid w:val="00537260"/>
    <w:rsid w:val="00541D43"/>
    <w:rsid w:val="00542068"/>
    <w:rsid w:val="00543906"/>
    <w:rsid w:val="00543AF9"/>
    <w:rsid w:val="005461FA"/>
    <w:rsid w:val="0055219B"/>
    <w:rsid w:val="00552F6E"/>
    <w:rsid w:val="0055532F"/>
    <w:rsid w:val="005558A9"/>
    <w:rsid w:val="00555987"/>
    <w:rsid w:val="005569AA"/>
    <w:rsid w:val="00556A28"/>
    <w:rsid w:val="00557C85"/>
    <w:rsid w:val="00561D24"/>
    <w:rsid w:val="00563C63"/>
    <w:rsid w:val="0057121B"/>
    <w:rsid w:val="00573A66"/>
    <w:rsid w:val="00576ADE"/>
    <w:rsid w:val="00576CE1"/>
    <w:rsid w:val="005772A2"/>
    <w:rsid w:val="00577CFD"/>
    <w:rsid w:val="00577DEF"/>
    <w:rsid w:val="00587023"/>
    <w:rsid w:val="00587F55"/>
    <w:rsid w:val="00590A6D"/>
    <w:rsid w:val="00592039"/>
    <w:rsid w:val="005924A7"/>
    <w:rsid w:val="005948F6"/>
    <w:rsid w:val="0059659E"/>
    <w:rsid w:val="00597972"/>
    <w:rsid w:val="005A0550"/>
    <w:rsid w:val="005B1576"/>
    <w:rsid w:val="005C3BD2"/>
    <w:rsid w:val="005C4282"/>
    <w:rsid w:val="005C6232"/>
    <w:rsid w:val="005C6285"/>
    <w:rsid w:val="005D5BA1"/>
    <w:rsid w:val="005D622E"/>
    <w:rsid w:val="005E05A6"/>
    <w:rsid w:val="005E400C"/>
    <w:rsid w:val="005E49B2"/>
    <w:rsid w:val="005E4BB7"/>
    <w:rsid w:val="005E559E"/>
    <w:rsid w:val="005F0AE8"/>
    <w:rsid w:val="005F1CAC"/>
    <w:rsid w:val="005F2A6B"/>
    <w:rsid w:val="005F358D"/>
    <w:rsid w:val="005F40C1"/>
    <w:rsid w:val="005F53C8"/>
    <w:rsid w:val="005F5937"/>
    <w:rsid w:val="005F701C"/>
    <w:rsid w:val="006024D3"/>
    <w:rsid w:val="00604104"/>
    <w:rsid w:val="00606EF9"/>
    <w:rsid w:val="0060706A"/>
    <w:rsid w:val="006070C4"/>
    <w:rsid w:val="00607758"/>
    <w:rsid w:val="00610D5E"/>
    <w:rsid w:val="00610EA4"/>
    <w:rsid w:val="006110E8"/>
    <w:rsid w:val="00613467"/>
    <w:rsid w:val="00616E2A"/>
    <w:rsid w:val="00617871"/>
    <w:rsid w:val="0062105D"/>
    <w:rsid w:val="006233C9"/>
    <w:rsid w:val="00624315"/>
    <w:rsid w:val="00624409"/>
    <w:rsid w:val="0062545B"/>
    <w:rsid w:val="0062552A"/>
    <w:rsid w:val="006317F9"/>
    <w:rsid w:val="006332BE"/>
    <w:rsid w:val="00636FC8"/>
    <w:rsid w:val="006408C3"/>
    <w:rsid w:val="006440F0"/>
    <w:rsid w:val="00645CBD"/>
    <w:rsid w:val="0064620D"/>
    <w:rsid w:val="00650543"/>
    <w:rsid w:val="00650808"/>
    <w:rsid w:val="00653F94"/>
    <w:rsid w:val="006544B3"/>
    <w:rsid w:val="00657754"/>
    <w:rsid w:val="00657C7A"/>
    <w:rsid w:val="00661286"/>
    <w:rsid w:val="00662DFF"/>
    <w:rsid w:val="00664356"/>
    <w:rsid w:val="006656E4"/>
    <w:rsid w:val="00672120"/>
    <w:rsid w:val="006731B8"/>
    <w:rsid w:val="00674DA3"/>
    <w:rsid w:val="00681D6B"/>
    <w:rsid w:val="00682891"/>
    <w:rsid w:val="00683054"/>
    <w:rsid w:val="0068606A"/>
    <w:rsid w:val="00687C39"/>
    <w:rsid w:val="00691913"/>
    <w:rsid w:val="00692FB3"/>
    <w:rsid w:val="0069336D"/>
    <w:rsid w:val="0069481A"/>
    <w:rsid w:val="00695DB6"/>
    <w:rsid w:val="0069718F"/>
    <w:rsid w:val="006A138B"/>
    <w:rsid w:val="006A1C13"/>
    <w:rsid w:val="006A3F76"/>
    <w:rsid w:val="006A5593"/>
    <w:rsid w:val="006A5C0B"/>
    <w:rsid w:val="006A7833"/>
    <w:rsid w:val="006B140A"/>
    <w:rsid w:val="006B28E8"/>
    <w:rsid w:val="006C2AC8"/>
    <w:rsid w:val="006C4906"/>
    <w:rsid w:val="006C7C07"/>
    <w:rsid w:val="006D3271"/>
    <w:rsid w:val="006D633C"/>
    <w:rsid w:val="006D72F7"/>
    <w:rsid w:val="006E3379"/>
    <w:rsid w:val="006E4041"/>
    <w:rsid w:val="006E5BDC"/>
    <w:rsid w:val="006E7302"/>
    <w:rsid w:val="006F161E"/>
    <w:rsid w:val="006F16B3"/>
    <w:rsid w:val="006F21CC"/>
    <w:rsid w:val="00707082"/>
    <w:rsid w:val="00707E6E"/>
    <w:rsid w:val="00712C73"/>
    <w:rsid w:val="00714F46"/>
    <w:rsid w:val="00723AB1"/>
    <w:rsid w:val="00723E1E"/>
    <w:rsid w:val="00726C6A"/>
    <w:rsid w:val="00726E13"/>
    <w:rsid w:val="007308C5"/>
    <w:rsid w:val="0073175B"/>
    <w:rsid w:val="007317EF"/>
    <w:rsid w:val="00733EE1"/>
    <w:rsid w:val="00734446"/>
    <w:rsid w:val="00734D09"/>
    <w:rsid w:val="00736F2D"/>
    <w:rsid w:val="00741F24"/>
    <w:rsid w:val="007437A3"/>
    <w:rsid w:val="007438D5"/>
    <w:rsid w:val="00747333"/>
    <w:rsid w:val="007509A6"/>
    <w:rsid w:val="00750B5A"/>
    <w:rsid w:val="00751984"/>
    <w:rsid w:val="007603B4"/>
    <w:rsid w:val="00760434"/>
    <w:rsid w:val="007633B0"/>
    <w:rsid w:val="00763A0F"/>
    <w:rsid w:val="0076710F"/>
    <w:rsid w:val="007715D2"/>
    <w:rsid w:val="00772501"/>
    <w:rsid w:val="00772C70"/>
    <w:rsid w:val="007847FA"/>
    <w:rsid w:val="007848CE"/>
    <w:rsid w:val="00784FC1"/>
    <w:rsid w:val="00786BC9"/>
    <w:rsid w:val="0079020E"/>
    <w:rsid w:val="00790910"/>
    <w:rsid w:val="00791DE1"/>
    <w:rsid w:val="007941FD"/>
    <w:rsid w:val="00794C06"/>
    <w:rsid w:val="007952FB"/>
    <w:rsid w:val="007957F4"/>
    <w:rsid w:val="00797772"/>
    <w:rsid w:val="00797A8C"/>
    <w:rsid w:val="007A0287"/>
    <w:rsid w:val="007A221F"/>
    <w:rsid w:val="007A3A8C"/>
    <w:rsid w:val="007A5A23"/>
    <w:rsid w:val="007A5B89"/>
    <w:rsid w:val="007B0E0C"/>
    <w:rsid w:val="007B151C"/>
    <w:rsid w:val="007B4D0F"/>
    <w:rsid w:val="007B59AD"/>
    <w:rsid w:val="007B72EF"/>
    <w:rsid w:val="007C23AC"/>
    <w:rsid w:val="007C26E5"/>
    <w:rsid w:val="007C720A"/>
    <w:rsid w:val="007D0C47"/>
    <w:rsid w:val="007D1092"/>
    <w:rsid w:val="007D2621"/>
    <w:rsid w:val="007D786B"/>
    <w:rsid w:val="007D7988"/>
    <w:rsid w:val="007E1B1A"/>
    <w:rsid w:val="007E3562"/>
    <w:rsid w:val="007E68A6"/>
    <w:rsid w:val="007F08CA"/>
    <w:rsid w:val="007F3B6E"/>
    <w:rsid w:val="007F56D6"/>
    <w:rsid w:val="008058E8"/>
    <w:rsid w:val="00806434"/>
    <w:rsid w:val="00813288"/>
    <w:rsid w:val="00813A2B"/>
    <w:rsid w:val="00813F4E"/>
    <w:rsid w:val="00821A29"/>
    <w:rsid w:val="008226C2"/>
    <w:rsid w:val="00823233"/>
    <w:rsid w:val="00824426"/>
    <w:rsid w:val="00827541"/>
    <w:rsid w:val="00830E52"/>
    <w:rsid w:val="00831616"/>
    <w:rsid w:val="008324E3"/>
    <w:rsid w:val="00834DD9"/>
    <w:rsid w:val="00836E8D"/>
    <w:rsid w:val="008416FC"/>
    <w:rsid w:val="00841998"/>
    <w:rsid w:val="00845946"/>
    <w:rsid w:val="0084626F"/>
    <w:rsid w:val="00846779"/>
    <w:rsid w:val="008476A0"/>
    <w:rsid w:val="00852F38"/>
    <w:rsid w:val="00854224"/>
    <w:rsid w:val="00854C36"/>
    <w:rsid w:val="00856C34"/>
    <w:rsid w:val="00860654"/>
    <w:rsid w:val="00864BCC"/>
    <w:rsid w:val="00865DC1"/>
    <w:rsid w:val="00870089"/>
    <w:rsid w:val="008714A2"/>
    <w:rsid w:val="00871C05"/>
    <w:rsid w:val="008750F9"/>
    <w:rsid w:val="00875341"/>
    <w:rsid w:val="0087536F"/>
    <w:rsid w:val="00875775"/>
    <w:rsid w:val="0087670F"/>
    <w:rsid w:val="00880A40"/>
    <w:rsid w:val="008869F4"/>
    <w:rsid w:val="008933A3"/>
    <w:rsid w:val="00893EEF"/>
    <w:rsid w:val="00897C84"/>
    <w:rsid w:val="008A07A2"/>
    <w:rsid w:val="008A1401"/>
    <w:rsid w:val="008A16C0"/>
    <w:rsid w:val="008A3C58"/>
    <w:rsid w:val="008A4880"/>
    <w:rsid w:val="008A52B1"/>
    <w:rsid w:val="008A62C2"/>
    <w:rsid w:val="008B251B"/>
    <w:rsid w:val="008B5B32"/>
    <w:rsid w:val="008C0C78"/>
    <w:rsid w:val="008C1709"/>
    <w:rsid w:val="008C403D"/>
    <w:rsid w:val="008D54E0"/>
    <w:rsid w:val="008D6CB4"/>
    <w:rsid w:val="008D78FF"/>
    <w:rsid w:val="008E2F4C"/>
    <w:rsid w:val="008E37F2"/>
    <w:rsid w:val="008E3CD4"/>
    <w:rsid w:val="008E5D39"/>
    <w:rsid w:val="008F0637"/>
    <w:rsid w:val="008F1630"/>
    <w:rsid w:val="008F49BF"/>
    <w:rsid w:val="008F64AD"/>
    <w:rsid w:val="009013A5"/>
    <w:rsid w:val="00901F10"/>
    <w:rsid w:val="00903FDA"/>
    <w:rsid w:val="009048BA"/>
    <w:rsid w:val="00913341"/>
    <w:rsid w:val="00914DA7"/>
    <w:rsid w:val="00915EE8"/>
    <w:rsid w:val="00915F63"/>
    <w:rsid w:val="009177E9"/>
    <w:rsid w:val="00924BB3"/>
    <w:rsid w:val="0092606A"/>
    <w:rsid w:val="00927331"/>
    <w:rsid w:val="00927475"/>
    <w:rsid w:val="00930A42"/>
    <w:rsid w:val="009331CF"/>
    <w:rsid w:val="009334AC"/>
    <w:rsid w:val="0093702D"/>
    <w:rsid w:val="009370A1"/>
    <w:rsid w:val="00942010"/>
    <w:rsid w:val="0094320A"/>
    <w:rsid w:val="009436E9"/>
    <w:rsid w:val="00945294"/>
    <w:rsid w:val="00945990"/>
    <w:rsid w:val="00947A14"/>
    <w:rsid w:val="0095170D"/>
    <w:rsid w:val="0095307F"/>
    <w:rsid w:val="00955526"/>
    <w:rsid w:val="00961807"/>
    <w:rsid w:val="009634AF"/>
    <w:rsid w:val="00966910"/>
    <w:rsid w:val="00966C09"/>
    <w:rsid w:val="0097120D"/>
    <w:rsid w:val="00975990"/>
    <w:rsid w:val="0098042A"/>
    <w:rsid w:val="009813A5"/>
    <w:rsid w:val="00981EB9"/>
    <w:rsid w:val="00983FE3"/>
    <w:rsid w:val="00984441"/>
    <w:rsid w:val="009844CF"/>
    <w:rsid w:val="00984DD8"/>
    <w:rsid w:val="0099085F"/>
    <w:rsid w:val="00990AD0"/>
    <w:rsid w:val="009925DB"/>
    <w:rsid w:val="00993CC9"/>
    <w:rsid w:val="009A15D7"/>
    <w:rsid w:val="009A6F74"/>
    <w:rsid w:val="009A70AC"/>
    <w:rsid w:val="009A7C0C"/>
    <w:rsid w:val="009B114C"/>
    <w:rsid w:val="009B3381"/>
    <w:rsid w:val="009B376D"/>
    <w:rsid w:val="009B5A44"/>
    <w:rsid w:val="009B7DC9"/>
    <w:rsid w:val="009C1949"/>
    <w:rsid w:val="009D27D8"/>
    <w:rsid w:val="009D3628"/>
    <w:rsid w:val="009D4C2A"/>
    <w:rsid w:val="009D5539"/>
    <w:rsid w:val="009D6914"/>
    <w:rsid w:val="009D6EC4"/>
    <w:rsid w:val="009D7276"/>
    <w:rsid w:val="009E1C22"/>
    <w:rsid w:val="009E2481"/>
    <w:rsid w:val="009E2D5C"/>
    <w:rsid w:val="009E616C"/>
    <w:rsid w:val="009E7CA9"/>
    <w:rsid w:val="009F3631"/>
    <w:rsid w:val="009F3790"/>
    <w:rsid w:val="009F5142"/>
    <w:rsid w:val="009F7870"/>
    <w:rsid w:val="009F7CEB"/>
    <w:rsid w:val="00A01524"/>
    <w:rsid w:val="00A03B78"/>
    <w:rsid w:val="00A040FD"/>
    <w:rsid w:val="00A0426A"/>
    <w:rsid w:val="00A042FC"/>
    <w:rsid w:val="00A04C0D"/>
    <w:rsid w:val="00A07A7F"/>
    <w:rsid w:val="00A1038B"/>
    <w:rsid w:val="00A11243"/>
    <w:rsid w:val="00A1186B"/>
    <w:rsid w:val="00A12983"/>
    <w:rsid w:val="00A12F78"/>
    <w:rsid w:val="00A13305"/>
    <w:rsid w:val="00A15EEE"/>
    <w:rsid w:val="00A20B1A"/>
    <w:rsid w:val="00A226D7"/>
    <w:rsid w:val="00A22A39"/>
    <w:rsid w:val="00A252D4"/>
    <w:rsid w:val="00A32B10"/>
    <w:rsid w:val="00A33419"/>
    <w:rsid w:val="00A34919"/>
    <w:rsid w:val="00A34D36"/>
    <w:rsid w:val="00A365BA"/>
    <w:rsid w:val="00A37E59"/>
    <w:rsid w:val="00A41E5D"/>
    <w:rsid w:val="00A434FC"/>
    <w:rsid w:val="00A44375"/>
    <w:rsid w:val="00A458BB"/>
    <w:rsid w:val="00A45B3A"/>
    <w:rsid w:val="00A46EE6"/>
    <w:rsid w:val="00A51314"/>
    <w:rsid w:val="00A5137F"/>
    <w:rsid w:val="00A51558"/>
    <w:rsid w:val="00A535FB"/>
    <w:rsid w:val="00A6374D"/>
    <w:rsid w:val="00A77986"/>
    <w:rsid w:val="00A77BCA"/>
    <w:rsid w:val="00A815D1"/>
    <w:rsid w:val="00A81905"/>
    <w:rsid w:val="00A81F82"/>
    <w:rsid w:val="00A82307"/>
    <w:rsid w:val="00A841B0"/>
    <w:rsid w:val="00A846DE"/>
    <w:rsid w:val="00A8474B"/>
    <w:rsid w:val="00A85A2B"/>
    <w:rsid w:val="00A865B8"/>
    <w:rsid w:val="00A871C1"/>
    <w:rsid w:val="00A91E55"/>
    <w:rsid w:val="00A93543"/>
    <w:rsid w:val="00A94EFC"/>
    <w:rsid w:val="00AA1681"/>
    <w:rsid w:val="00AA2FA1"/>
    <w:rsid w:val="00AA4093"/>
    <w:rsid w:val="00AA51C1"/>
    <w:rsid w:val="00AA6156"/>
    <w:rsid w:val="00AA6260"/>
    <w:rsid w:val="00AA73AC"/>
    <w:rsid w:val="00AA7B77"/>
    <w:rsid w:val="00AB0912"/>
    <w:rsid w:val="00AB187A"/>
    <w:rsid w:val="00AB514A"/>
    <w:rsid w:val="00AC50E3"/>
    <w:rsid w:val="00AC7223"/>
    <w:rsid w:val="00AD0A3A"/>
    <w:rsid w:val="00AD19DC"/>
    <w:rsid w:val="00AD3354"/>
    <w:rsid w:val="00AD51C9"/>
    <w:rsid w:val="00AE0C1F"/>
    <w:rsid w:val="00AE159D"/>
    <w:rsid w:val="00AE2A68"/>
    <w:rsid w:val="00AE513E"/>
    <w:rsid w:val="00AE7AA8"/>
    <w:rsid w:val="00AF0DF9"/>
    <w:rsid w:val="00AF4BE4"/>
    <w:rsid w:val="00AF5D6D"/>
    <w:rsid w:val="00B05A6C"/>
    <w:rsid w:val="00B06BA4"/>
    <w:rsid w:val="00B10B14"/>
    <w:rsid w:val="00B11EA0"/>
    <w:rsid w:val="00B12452"/>
    <w:rsid w:val="00B139F7"/>
    <w:rsid w:val="00B1678B"/>
    <w:rsid w:val="00B17B61"/>
    <w:rsid w:val="00B17FDB"/>
    <w:rsid w:val="00B21BB1"/>
    <w:rsid w:val="00B22886"/>
    <w:rsid w:val="00B25D68"/>
    <w:rsid w:val="00B2777B"/>
    <w:rsid w:val="00B31E5F"/>
    <w:rsid w:val="00B4264A"/>
    <w:rsid w:val="00B44834"/>
    <w:rsid w:val="00B44BBE"/>
    <w:rsid w:val="00B44DE0"/>
    <w:rsid w:val="00B464DC"/>
    <w:rsid w:val="00B47366"/>
    <w:rsid w:val="00B539FB"/>
    <w:rsid w:val="00B54B6B"/>
    <w:rsid w:val="00B57996"/>
    <w:rsid w:val="00B6367E"/>
    <w:rsid w:val="00B63B06"/>
    <w:rsid w:val="00B641D3"/>
    <w:rsid w:val="00B66C37"/>
    <w:rsid w:val="00B67119"/>
    <w:rsid w:val="00B71675"/>
    <w:rsid w:val="00B71B62"/>
    <w:rsid w:val="00B7247D"/>
    <w:rsid w:val="00B736D9"/>
    <w:rsid w:val="00B7560B"/>
    <w:rsid w:val="00B75BC0"/>
    <w:rsid w:val="00B7796D"/>
    <w:rsid w:val="00B80B83"/>
    <w:rsid w:val="00B81211"/>
    <w:rsid w:val="00B81A5A"/>
    <w:rsid w:val="00B827E6"/>
    <w:rsid w:val="00B83DEB"/>
    <w:rsid w:val="00B860FD"/>
    <w:rsid w:val="00B863A0"/>
    <w:rsid w:val="00B86DDA"/>
    <w:rsid w:val="00B915D3"/>
    <w:rsid w:val="00BA01AB"/>
    <w:rsid w:val="00BA1984"/>
    <w:rsid w:val="00BA290F"/>
    <w:rsid w:val="00BA2983"/>
    <w:rsid w:val="00BA3306"/>
    <w:rsid w:val="00BA5946"/>
    <w:rsid w:val="00BA73EE"/>
    <w:rsid w:val="00BB0B5F"/>
    <w:rsid w:val="00BB32A9"/>
    <w:rsid w:val="00BB3374"/>
    <w:rsid w:val="00BB657E"/>
    <w:rsid w:val="00BC1C53"/>
    <w:rsid w:val="00BC4079"/>
    <w:rsid w:val="00BC6170"/>
    <w:rsid w:val="00BC7314"/>
    <w:rsid w:val="00BC78A6"/>
    <w:rsid w:val="00BC7FCB"/>
    <w:rsid w:val="00BD03EC"/>
    <w:rsid w:val="00BD3FD2"/>
    <w:rsid w:val="00BD42F0"/>
    <w:rsid w:val="00BE2485"/>
    <w:rsid w:val="00BE3CAA"/>
    <w:rsid w:val="00BE3E5F"/>
    <w:rsid w:val="00BE583A"/>
    <w:rsid w:val="00BF0BA8"/>
    <w:rsid w:val="00BF3FAC"/>
    <w:rsid w:val="00BF4928"/>
    <w:rsid w:val="00C00139"/>
    <w:rsid w:val="00C005BD"/>
    <w:rsid w:val="00C01E32"/>
    <w:rsid w:val="00C06418"/>
    <w:rsid w:val="00C0718F"/>
    <w:rsid w:val="00C07417"/>
    <w:rsid w:val="00C07BBA"/>
    <w:rsid w:val="00C104C2"/>
    <w:rsid w:val="00C11033"/>
    <w:rsid w:val="00C23FEA"/>
    <w:rsid w:val="00C269AD"/>
    <w:rsid w:val="00C26C52"/>
    <w:rsid w:val="00C30689"/>
    <w:rsid w:val="00C317F3"/>
    <w:rsid w:val="00C32237"/>
    <w:rsid w:val="00C33BB2"/>
    <w:rsid w:val="00C35D8B"/>
    <w:rsid w:val="00C4396F"/>
    <w:rsid w:val="00C44C37"/>
    <w:rsid w:val="00C466C5"/>
    <w:rsid w:val="00C46AE5"/>
    <w:rsid w:val="00C47654"/>
    <w:rsid w:val="00C52ACF"/>
    <w:rsid w:val="00C538DF"/>
    <w:rsid w:val="00C55C99"/>
    <w:rsid w:val="00C57E4D"/>
    <w:rsid w:val="00C6041F"/>
    <w:rsid w:val="00C626E2"/>
    <w:rsid w:val="00C628C8"/>
    <w:rsid w:val="00C652DA"/>
    <w:rsid w:val="00C67F62"/>
    <w:rsid w:val="00C734E5"/>
    <w:rsid w:val="00C7519E"/>
    <w:rsid w:val="00C81A12"/>
    <w:rsid w:val="00C846BE"/>
    <w:rsid w:val="00C87823"/>
    <w:rsid w:val="00C94479"/>
    <w:rsid w:val="00C9498E"/>
    <w:rsid w:val="00C963DE"/>
    <w:rsid w:val="00C9783D"/>
    <w:rsid w:val="00CA0C26"/>
    <w:rsid w:val="00CA2CB0"/>
    <w:rsid w:val="00CA4961"/>
    <w:rsid w:val="00CB07A8"/>
    <w:rsid w:val="00CB14A1"/>
    <w:rsid w:val="00CB1CD1"/>
    <w:rsid w:val="00CB3C3D"/>
    <w:rsid w:val="00CB5389"/>
    <w:rsid w:val="00CB6BCE"/>
    <w:rsid w:val="00CB6EB5"/>
    <w:rsid w:val="00CB76F2"/>
    <w:rsid w:val="00CC10E1"/>
    <w:rsid w:val="00CC558A"/>
    <w:rsid w:val="00CD12E3"/>
    <w:rsid w:val="00CD1BAE"/>
    <w:rsid w:val="00CD6327"/>
    <w:rsid w:val="00CE2B78"/>
    <w:rsid w:val="00CE4ACD"/>
    <w:rsid w:val="00CE61D7"/>
    <w:rsid w:val="00CE74A3"/>
    <w:rsid w:val="00CF10F8"/>
    <w:rsid w:val="00CF1A7C"/>
    <w:rsid w:val="00CF4FE0"/>
    <w:rsid w:val="00D034DD"/>
    <w:rsid w:val="00D03A14"/>
    <w:rsid w:val="00D03D0C"/>
    <w:rsid w:val="00D0424F"/>
    <w:rsid w:val="00D04952"/>
    <w:rsid w:val="00D06A16"/>
    <w:rsid w:val="00D100DA"/>
    <w:rsid w:val="00D1078F"/>
    <w:rsid w:val="00D10E60"/>
    <w:rsid w:val="00D1291C"/>
    <w:rsid w:val="00D1292F"/>
    <w:rsid w:val="00D12CD2"/>
    <w:rsid w:val="00D14D23"/>
    <w:rsid w:val="00D14DC9"/>
    <w:rsid w:val="00D15A09"/>
    <w:rsid w:val="00D15D8B"/>
    <w:rsid w:val="00D169F9"/>
    <w:rsid w:val="00D17984"/>
    <w:rsid w:val="00D20B17"/>
    <w:rsid w:val="00D23127"/>
    <w:rsid w:val="00D24074"/>
    <w:rsid w:val="00D24DAD"/>
    <w:rsid w:val="00D25916"/>
    <w:rsid w:val="00D327BD"/>
    <w:rsid w:val="00D329E6"/>
    <w:rsid w:val="00D32B81"/>
    <w:rsid w:val="00D3374E"/>
    <w:rsid w:val="00D33873"/>
    <w:rsid w:val="00D37972"/>
    <w:rsid w:val="00D40896"/>
    <w:rsid w:val="00D41534"/>
    <w:rsid w:val="00D42CEE"/>
    <w:rsid w:val="00D451FC"/>
    <w:rsid w:val="00D45B60"/>
    <w:rsid w:val="00D47ADF"/>
    <w:rsid w:val="00D50D56"/>
    <w:rsid w:val="00D55CEB"/>
    <w:rsid w:val="00D563E4"/>
    <w:rsid w:val="00D617E6"/>
    <w:rsid w:val="00D63272"/>
    <w:rsid w:val="00D63C48"/>
    <w:rsid w:val="00D64289"/>
    <w:rsid w:val="00D6587E"/>
    <w:rsid w:val="00D6667B"/>
    <w:rsid w:val="00D70026"/>
    <w:rsid w:val="00D706E6"/>
    <w:rsid w:val="00D71400"/>
    <w:rsid w:val="00D72C23"/>
    <w:rsid w:val="00D730D4"/>
    <w:rsid w:val="00D74828"/>
    <w:rsid w:val="00D75311"/>
    <w:rsid w:val="00D75873"/>
    <w:rsid w:val="00D76263"/>
    <w:rsid w:val="00D77C6C"/>
    <w:rsid w:val="00D80CCC"/>
    <w:rsid w:val="00D8435D"/>
    <w:rsid w:val="00D87B77"/>
    <w:rsid w:val="00D9036D"/>
    <w:rsid w:val="00D95394"/>
    <w:rsid w:val="00D96ED8"/>
    <w:rsid w:val="00D970E7"/>
    <w:rsid w:val="00DA02D9"/>
    <w:rsid w:val="00DA032B"/>
    <w:rsid w:val="00DA0456"/>
    <w:rsid w:val="00DA2C22"/>
    <w:rsid w:val="00DA55BB"/>
    <w:rsid w:val="00DA59F7"/>
    <w:rsid w:val="00DA5F38"/>
    <w:rsid w:val="00DA73EE"/>
    <w:rsid w:val="00DB1289"/>
    <w:rsid w:val="00DB4000"/>
    <w:rsid w:val="00DC14AF"/>
    <w:rsid w:val="00DC1743"/>
    <w:rsid w:val="00DC1F73"/>
    <w:rsid w:val="00DC34D0"/>
    <w:rsid w:val="00DC4CC9"/>
    <w:rsid w:val="00DC4DF0"/>
    <w:rsid w:val="00DC56B2"/>
    <w:rsid w:val="00DC7746"/>
    <w:rsid w:val="00DD0E6A"/>
    <w:rsid w:val="00DD3049"/>
    <w:rsid w:val="00DE0299"/>
    <w:rsid w:val="00DE30E2"/>
    <w:rsid w:val="00DE3A9A"/>
    <w:rsid w:val="00DE6421"/>
    <w:rsid w:val="00DF048E"/>
    <w:rsid w:val="00DF16C0"/>
    <w:rsid w:val="00DF1F55"/>
    <w:rsid w:val="00DF2183"/>
    <w:rsid w:val="00DF548B"/>
    <w:rsid w:val="00DF6E38"/>
    <w:rsid w:val="00DF7674"/>
    <w:rsid w:val="00E02E60"/>
    <w:rsid w:val="00E0374E"/>
    <w:rsid w:val="00E05FBC"/>
    <w:rsid w:val="00E10B7D"/>
    <w:rsid w:val="00E1498B"/>
    <w:rsid w:val="00E15F92"/>
    <w:rsid w:val="00E21117"/>
    <w:rsid w:val="00E227EA"/>
    <w:rsid w:val="00E22E8A"/>
    <w:rsid w:val="00E23660"/>
    <w:rsid w:val="00E248BC"/>
    <w:rsid w:val="00E24D81"/>
    <w:rsid w:val="00E252A8"/>
    <w:rsid w:val="00E26A9F"/>
    <w:rsid w:val="00E2761D"/>
    <w:rsid w:val="00E31A1E"/>
    <w:rsid w:val="00E340F5"/>
    <w:rsid w:val="00E34484"/>
    <w:rsid w:val="00E35FA5"/>
    <w:rsid w:val="00E36073"/>
    <w:rsid w:val="00E37424"/>
    <w:rsid w:val="00E4041E"/>
    <w:rsid w:val="00E4200A"/>
    <w:rsid w:val="00E4409D"/>
    <w:rsid w:val="00E45180"/>
    <w:rsid w:val="00E45305"/>
    <w:rsid w:val="00E45F3A"/>
    <w:rsid w:val="00E4634C"/>
    <w:rsid w:val="00E46AC9"/>
    <w:rsid w:val="00E50629"/>
    <w:rsid w:val="00E51585"/>
    <w:rsid w:val="00E53DB6"/>
    <w:rsid w:val="00E54FB3"/>
    <w:rsid w:val="00E55904"/>
    <w:rsid w:val="00E55D8A"/>
    <w:rsid w:val="00E55E72"/>
    <w:rsid w:val="00E610A7"/>
    <w:rsid w:val="00E633E1"/>
    <w:rsid w:val="00E64BB2"/>
    <w:rsid w:val="00E65F0D"/>
    <w:rsid w:val="00E66614"/>
    <w:rsid w:val="00E773DF"/>
    <w:rsid w:val="00E8269B"/>
    <w:rsid w:val="00E82BC6"/>
    <w:rsid w:val="00E83F80"/>
    <w:rsid w:val="00E84D5A"/>
    <w:rsid w:val="00E85617"/>
    <w:rsid w:val="00E86B27"/>
    <w:rsid w:val="00E928AF"/>
    <w:rsid w:val="00E930FA"/>
    <w:rsid w:val="00E94C3B"/>
    <w:rsid w:val="00EA1B29"/>
    <w:rsid w:val="00EA2D35"/>
    <w:rsid w:val="00EA66E6"/>
    <w:rsid w:val="00EB1EEF"/>
    <w:rsid w:val="00EB3F3E"/>
    <w:rsid w:val="00EB426B"/>
    <w:rsid w:val="00EB5E6D"/>
    <w:rsid w:val="00EB7412"/>
    <w:rsid w:val="00ED07BE"/>
    <w:rsid w:val="00ED376E"/>
    <w:rsid w:val="00ED3C94"/>
    <w:rsid w:val="00ED5229"/>
    <w:rsid w:val="00ED590C"/>
    <w:rsid w:val="00EE2B34"/>
    <w:rsid w:val="00EE3293"/>
    <w:rsid w:val="00EE4A3B"/>
    <w:rsid w:val="00EF0464"/>
    <w:rsid w:val="00EF2298"/>
    <w:rsid w:val="00EF3278"/>
    <w:rsid w:val="00EF34C5"/>
    <w:rsid w:val="00EF36E5"/>
    <w:rsid w:val="00EF5CC4"/>
    <w:rsid w:val="00F00CBB"/>
    <w:rsid w:val="00F049EC"/>
    <w:rsid w:val="00F05129"/>
    <w:rsid w:val="00F0623D"/>
    <w:rsid w:val="00F07C59"/>
    <w:rsid w:val="00F10B1A"/>
    <w:rsid w:val="00F13E8C"/>
    <w:rsid w:val="00F160ED"/>
    <w:rsid w:val="00F17D5C"/>
    <w:rsid w:val="00F26B4B"/>
    <w:rsid w:val="00F2706C"/>
    <w:rsid w:val="00F3094A"/>
    <w:rsid w:val="00F32D23"/>
    <w:rsid w:val="00F344AF"/>
    <w:rsid w:val="00F344D5"/>
    <w:rsid w:val="00F35263"/>
    <w:rsid w:val="00F419C5"/>
    <w:rsid w:val="00F44EFB"/>
    <w:rsid w:val="00F454AD"/>
    <w:rsid w:val="00F47FAE"/>
    <w:rsid w:val="00F56314"/>
    <w:rsid w:val="00F606D8"/>
    <w:rsid w:val="00F63212"/>
    <w:rsid w:val="00F67AFA"/>
    <w:rsid w:val="00F70F8F"/>
    <w:rsid w:val="00F72B42"/>
    <w:rsid w:val="00F733F3"/>
    <w:rsid w:val="00F73A39"/>
    <w:rsid w:val="00F75D3A"/>
    <w:rsid w:val="00F75D50"/>
    <w:rsid w:val="00F80139"/>
    <w:rsid w:val="00F8153F"/>
    <w:rsid w:val="00F87C31"/>
    <w:rsid w:val="00F9187C"/>
    <w:rsid w:val="00F9212E"/>
    <w:rsid w:val="00F92649"/>
    <w:rsid w:val="00F95C4F"/>
    <w:rsid w:val="00F9783F"/>
    <w:rsid w:val="00FA0329"/>
    <w:rsid w:val="00FA055E"/>
    <w:rsid w:val="00FA228A"/>
    <w:rsid w:val="00FA29AD"/>
    <w:rsid w:val="00FA714C"/>
    <w:rsid w:val="00FB2113"/>
    <w:rsid w:val="00FB366A"/>
    <w:rsid w:val="00FB3D8C"/>
    <w:rsid w:val="00FB549C"/>
    <w:rsid w:val="00FB57DB"/>
    <w:rsid w:val="00FB6238"/>
    <w:rsid w:val="00FB6ECF"/>
    <w:rsid w:val="00FC06E3"/>
    <w:rsid w:val="00FC1D16"/>
    <w:rsid w:val="00FC22AB"/>
    <w:rsid w:val="00FC594B"/>
    <w:rsid w:val="00FC5DE8"/>
    <w:rsid w:val="00FD0DA0"/>
    <w:rsid w:val="00FD0DA5"/>
    <w:rsid w:val="00FD1773"/>
    <w:rsid w:val="00FD649F"/>
    <w:rsid w:val="00FD7841"/>
    <w:rsid w:val="00FD7F27"/>
    <w:rsid w:val="00FE1836"/>
    <w:rsid w:val="00FE1855"/>
    <w:rsid w:val="00FE1C36"/>
    <w:rsid w:val="00FE2431"/>
    <w:rsid w:val="00FE4C58"/>
    <w:rsid w:val="00FE58A8"/>
    <w:rsid w:val="00FE66C0"/>
    <w:rsid w:val="00FE6746"/>
    <w:rsid w:val="00FE7CE4"/>
    <w:rsid w:val="00FF0066"/>
    <w:rsid w:val="00FF150F"/>
    <w:rsid w:val="00FF1C05"/>
    <w:rsid w:val="00FF2550"/>
    <w:rsid w:val="00FF610D"/>
    <w:rsid w:val="00FF6315"/>
    <w:rsid w:val="00FF68A5"/>
    <w:rsid w:val="00FF7550"/>
    <w:rsid w:val="00FF763A"/>
    <w:rsid w:val="00FF7A3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Normal Table" w:semiHidden="0" w:unhideWhenUsed="0"/>
    <w:lsdException w:name="annotation subject" w:uiPriority="9"/>
    <w:lsdException w:name="Table Subtle 2" w:semiHidden="0" w:unhideWhenUsed="0"/>
    <w:lsdException w:name="Table Web 3" w:semiHidden="0" w:unhideWhenUsed="0"/>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92"/>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CMA Table Template"/>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Char1"/>
    <w:basedOn w:val="TableHeading"/>
    <w:next w:val="Normal"/>
    <w:link w:val="CaptionChar"/>
    <w:uiPriority w:val="35"/>
    <w:unhideWhenUsed/>
    <w:qFormat/>
    <w:rsid w:val="0093702D"/>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0">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
    <w:name w:val="Table Heading"/>
    <w:basedOn w:val="Normal"/>
    <w:qFormat/>
    <w:rsid w:val="0093702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93702D"/>
    <w:rPr>
      <w:rFonts w:ascii="Arial Narrow" w:hAnsi="Arial Narrow"/>
      <w:b/>
      <w:sz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customStyle="1" w:styleId="TableTextChar">
    <w:name w:val="Table Text Char"/>
    <w:link w:val="TableText"/>
    <w:locked/>
    <w:rsid w:val="00966910"/>
    <w:rPr>
      <w:rFonts w:ascii="Arial Narrow" w:hAnsi="Arial Narrow"/>
      <w:sz w:val="20"/>
    </w:rPr>
  </w:style>
  <w:style w:type="table" w:customStyle="1" w:styleId="TableGrid1">
    <w:name w:val="Table Grid1"/>
    <w:basedOn w:val="TableNormal"/>
    <w:next w:val="TableGrid"/>
    <w:uiPriority w:val="59"/>
    <w:rsid w:val="009669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0"/>
    <w:qFormat/>
    <w:rsid w:val="00966910"/>
    <w:pPr>
      <w:keepNext/>
      <w:keepLines/>
      <w:spacing w:after="120" w:line="360" w:lineRule="auto"/>
      <w:jc w:val="both"/>
    </w:pPr>
    <w:rPr>
      <w:sz w:val="22"/>
    </w:rPr>
  </w:style>
  <w:style w:type="character" w:customStyle="1" w:styleId="BodytextChar0">
    <w:name w:val="Body text Char"/>
    <w:basedOn w:val="DefaultParagraphFont"/>
    <w:link w:val="BodyText1"/>
    <w:rsid w:val="00966910"/>
  </w:style>
  <w:style w:type="paragraph" w:styleId="DocumentMap">
    <w:name w:val="Document Map"/>
    <w:basedOn w:val="Normal"/>
    <w:link w:val="DocumentMapChar"/>
    <w:uiPriority w:val="99"/>
    <w:semiHidden/>
    <w:unhideWhenUsed/>
    <w:rsid w:val="00966910"/>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66910"/>
    <w:rPr>
      <w:rFonts w:ascii="Tahoma" w:hAnsi="Tahoma" w:cs="Tahoma"/>
      <w:sz w:val="16"/>
      <w:szCs w:val="16"/>
    </w:rPr>
  </w:style>
  <w:style w:type="paragraph" w:customStyle="1" w:styleId="Default">
    <w:name w:val="Default"/>
    <w:rsid w:val="002C464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Normal Table" w:semiHidden="0" w:unhideWhenUsed="0"/>
    <w:lsdException w:name="annotation subject" w:uiPriority="9"/>
    <w:lsdException w:name="Table Subtle 2" w:semiHidden="0" w:unhideWhenUsed="0"/>
    <w:lsdException w:name="Table Web 3" w:semiHidden="0" w:unhideWhenUsed="0"/>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92"/>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CMA Table Template"/>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Char1"/>
    <w:basedOn w:val="TableHeading"/>
    <w:next w:val="Normal"/>
    <w:link w:val="CaptionChar"/>
    <w:uiPriority w:val="35"/>
    <w:unhideWhenUsed/>
    <w:qFormat/>
    <w:rsid w:val="0093702D"/>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0">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
    <w:name w:val="Table Heading"/>
    <w:basedOn w:val="Normal"/>
    <w:qFormat/>
    <w:rsid w:val="0093702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93702D"/>
    <w:rPr>
      <w:rFonts w:ascii="Arial Narrow" w:hAnsi="Arial Narrow"/>
      <w:b/>
      <w:sz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customStyle="1" w:styleId="TableTextChar">
    <w:name w:val="Table Text Char"/>
    <w:link w:val="TableText"/>
    <w:locked/>
    <w:rsid w:val="00966910"/>
    <w:rPr>
      <w:rFonts w:ascii="Arial Narrow" w:hAnsi="Arial Narrow"/>
      <w:sz w:val="20"/>
    </w:rPr>
  </w:style>
  <w:style w:type="table" w:customStyle="1" w:styleId="TableGrid1">
    <w:name w:val="Table Grid1"/>
    <w:basedOn w:val="TableNormal"/>
    <w:next w:val="TableGrid"/>
    <w:uiPriority w:val="59"/>
    <w:rsid w:val="009669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0"/>
    <w:qFormat/>
    <w:rsid w:val="00966910"/>
    <w:pPr>
      <w:keepNext/>
      <w:keepLines/>
      <w:spacing w:after="120" w:line="360" w:lineRule="auto"/>
      <w:jc w:val="both"/>
    </w:pPr>
    <w:rPr>
      <w:sz w:val="22"/>
    </w:rPr>
  </w:style>
  <w:style w:type="character" w:customStyle="1" w:styleId="BodytextChar0">
    <w:name w:val="Body text Char"/>
    <w:basedOn w:val="DefaultParagraphFont"/>
    <w:link w:val="BodyText1"/>
    <w:rsid w:val="00966910"/>
  </w:style>
  <w:style w:type="paragraph" w:styleId="DocumentMap">
    <w:name w:val="Document Map"/>
    <w:basedOn w:val="Normal"/>
    <w:link w:val="DocumentMapChar"/>
    <w:uiPriority w:val="99"/>
    <w:semiHidden/>
    <w:unhideWhenUsed/>
    <w:rsid w:val="00966910"/>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66910"/>
    <w:rPr>
      <w:rFonts w:ascii="Tahoma" w:hAnsi="Tahoma" w:cs="Tahoma"/>
      <w:sz w:val="16"/>
      <w:szCs w:val="16"/>
    </w:rPr>
  </w:style>
  <w:style w:type="paragraph" w:customStyle="1" w:styleId="Default">
    <w:name w:val="Default"/>
    <w:rsid w:val="002C464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38615546">
      <w:bodyDiv w:val="1"/>
      <w:marLeft w:val="0"/>
      <w:marRight w:val="0"/>
      <w:marTop w:val="0"/>
      <w:marBottom w:val="0"/>
      <w:divBdr>
        <w:top w:val="none" w:sz="0" w:space="0" w:color="auto"/>
        <w:left w:val="none" w:sz="0" w:space="0" w:color="auto"/>
        <w:bottom w:val="none" w:sz="0" w:space="0" w:color="auto"/>
        <w:right w:val="none" w:sz="0" w:space="0" w:color="auto"/>
      </w:divBdr>
      <w:divsChild>
        <w:div w:id="1979338457">
          <w:marLeft w:val="360"/>
          <w:marRight w:val="0"/>
          <w:marTop w:val="200"/>
          <w:marBottom w:val="0"/>
          <w:divBdr>
            <w:top w:val="none" w:sz="0" w:space="0" w:color="auto"/>
            <w:left w:val="none" w:sz="0" w:space="0" w:color="auto"/>
            <w:bottom w:val="none" w:sz="0" w:space="0" w:color="auto"/>
            <w:right w:val="none" w:sz="0" w:space="0" w:color="auto"/>
          </w:divBdr>
        </w:div>
      </w:divsChild>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909461312">
      <w:bodyDiv w:val="1"/>
      <w:marLeft w:val="0"/>
      <w:marRight w:val="0"/>
      <w:marTop w:val="0"/>
      <w:marBottom w:val="0"/>
      <w:divBdr>
        <w:top w:val="none" w:sz="0" w:space="0" w:color="auto"/>
        <w:left w:val="none" w:sz="0" w:space="0" w:color="auto"/>
        <w:bottom w:val="none" w:sz="0" w:space="0" w:color="auto"/>
        <w:right w:val="none" w:sz="0" w:space="0" w:color="auto"/>
      </w:divBdr>
      <w:divsChild>
        <w:div w:id="841971750">
          <w:marLeft w:val="360"/>
          <w:marRight w:val="0"/>
          <w:marTop w:val="200"/>
          <w:marBottom w:val="0"/>
          <w:divBdr>
            <w:top w:val="none" w:sz="0" w:space="0" w:color="auto"/>
            <w:left w:val="none" w:sz="0" w:space="0" w:color="auto"/>
            <w:bottom w:val="none" w:sz="0" w:space="0" w:color="auto"/>
            <w:right w:val="none" w:sz="0" w:space="0" w:color="auto"/>
          </w:divBdr>
        </w:div>
      </w:divsChild>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4AE3D-FBEE-481E-8E79-3540C785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13420</Words>
  <Characters>76499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2018-10-08T04:23:00Z</dcterms:created>
  <dcterms:modified xsi:type="dcterms:W3CDTF">2018-10-18T05:14:00Z</dcterms:modified>
</cp:coreProperties>
</file>