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5F" w:rsidRDefault="0034395F" w:rsidP="00C12C14">
      <w:pPr>
        <w:rPr>
          <w:rFonts w:eastAsia="Calibri"/>
          <w:b/>
          <w:sz w:val="36"/>
          <w:szCs w:val="36"/>
        </w:rPr>
      </w:pPr>
    </w:p>
    <w:p w:rsidR="007A5216" w:rsidRPr="00A700F7" w:rsidRDefault="002009E4" w:rsidP="00721F3B">
      <w:pPr>
        <w:outlineLvl w:val="0"/>
        <w:rPr>
          <w:b/>
          <w:sz w:val="36"/>
          <w:szCs w:val="36"/>
        </w:rPr>
      </w:pPr>
      <w:r w:rsidRPr="00A700F7">
        <w:rPr>
          <w:b/>
          <w:sz w:val="36"/>
          <w:szCs w:val="36"/>
        </w:rPr>
        <w:t>5.05</w:t>
      </w:r>
      <w:r w:rsidR="00B60939" w:rsidRPr="00A700F7">
        <w:rPr>
          <w:b/>
          <w:sz w:val="36"/>
          <w:szCs w:val="36"/>
        </w:rPr>
        <w:tab/>
      </w:r>
      <w:r w:rsidR="002F08F2" w:rsidRPr="00A700F7">
        <w:rPr>
          <w:b/>
          <w:sz w:val="36"/>
          <w:szCs w:val="36"/>
        </w:rPr>
        <w:t>ERENUMAB</w:t>
      </w:r>
      <w:r w:rsidR="00B60939" w:rsidRPr="00A700F7">
        <w:rPr>
          <w:b/>
          <w:sz w:val="36"/>
          <w:szCs w:val="36"/>
        </w:rPr>
        <w:t xml:space="preserve">, </w:t>
      </w:r>
    </w:p>
    <w:p w:rsidR="007A5216" w:rsidRPr="00A700F7" w:rsidRDefault="005F5E06" w:rsidP="00721F3B">
      <w:pPr>
        <w:ind w:left="720"/>
        <w:rPr>
          <w:b/>
          <w:sz w:val="36"/>
          <w:szCs w:val="36"/>
        </w:rPr>
      </w:pPr>
      <w:r w:rsidRPr="00A700F7">
        <w:rPr>
          <w:rFonts w:asciiTheme="minorHAnsi" w:hAnsiTheme="minorHAnsi"/>
          <w:b/>
          <w:sz w:val="36"/>
          <w:szCs w:val="36"/>
        </w:rPr>
        <w:t xml:space="preserve">Injection </w:t>
      </w:r>
      <w:r w:rsidR="002F08F2" w:rsidRPr="00A700F7">
        <w:rPr>
          <w:rFonts w:asciiTheme="minorHAnsi" w:hAnsiTheme="minorHAnsi"/>
          <w:b/>
          <w:sz w:val="36"/>
          <w:szCs w:val="36"/>
        </w:rPr>
        <w:t>70</w:t>
      </w:r>
      <w:r w:rsidR="000E4E80">
        <w:rPr>
          <w:rFonts w:asciiTheme="minorHAnsi" w:hAnsiTheme="minorHAnsi"/>
          <w:b/>
          <w:sz w:val="36"/>
          <w:szCs w:val="36"/>
        </w:rPr>
        <w:t xml:space="preserve"> </w:t>
      </w:r>
      <w:r w:rsidR="002F08F2" w:rsidRPr="00A700F7">
        <w:rPr>
          <w:rFonts w:asciiTheme="minorHAnsi" w:hAnsiTheme="minorHAnsi"/>
          <w:b/>
          <w:sz w:val="36"/>
          <w:szCs w:val="36"/>
        </w:rPr>
        <w:t>mg</w:t>
      </w:r>
      <w:r w:rsidRPr="00A700F7">
        <w:rPr>
          <w:rFonts w:asciiTheme="minorHAnsi" w:hAnsiTheme="minorHAnsi"/>
          <w:b/>
          <w:sz w:val="36"/>
          <w:szCs w:val="36"/>
        </w:rPr>
        <w:t xml:space="preserve"> in 1 </w:t>
      </w:r>
      <w:r w:rsidR="002F08F2" w:rsidRPr="00A700F7">
        <w:rPr>
          <w:rFonts w:asciiTheme="minorHAnsi" w:hAnsiTheme="minorHAnsi"/>
          <w:b/>
          <w:sz w:val="36"/>
          <w:szCs w:val="36"/>
        </w:rPr>
        <w:t xml:space="preserve">mL </w:t>
      </w:r>
      <w:r w:rsidRPr="00A700F7">
        <w:rPr>
          <w:rFonts w:asciiTheme="minorHAnsi" w:hAnsiTheme="minorHAnsi"/>
          <w:b/>
          <w:sz w:val="36"/>
          <w:szCs w:val="36"/>
        </w:rPr>
        <w:t xml:space="preserve">single dose </w:t>
      </w:r>
      <w:r w:rsidR="002F08F2" w:rsidRPr="00A700F7">
        <w:rPr>
          <w:rFonts w:asciiTheme="minorHAnsi" w:hAnsiTheme="minorHAnsi"/>
          <w:b/>
          <w:sz w:val="36"/>
          <w:szCs w:val="36"/>
        </w:rPr>
        <w:t>pre-filled pen</w:t>
      </w:r>
      <w:r w:rsidR="00B60939" w:rsidRPr="00A700F7">
        <w:rPr>
          <w:b/>
          <w:sz w:val="36"/>
          <w:szCs w:val="36"/>
        </w:rPr>
        <w:t xml:space="preserve">, </w:t>
      </w:r>
    </w:p>
    <w:p w:rsidR="00C75583" w:rsidRPr="00A700F7" w:rsidRDefault="002F08F2" w:rsidP="00721F3B">
      <w:pPr>
        <w:ind w:left="720"/>
        <w:rPr>
          <w:b/>
          <w:sz w:val="36"/>
          <w:szCs w:val="36"/>
        </w:rPr>
      </w:pPr>
      <w:proofErr w:type="spellStart"/>
      <w:r w:rsidRPr="00A700F7">
        <w:rPr>
          <w:rFonts w:asciiTheme="minorHAnsi" w:hAnsiTheme="minorHAnsi"/>
          <w:b/>
          <w:sz w:val="36"/>
          <w:szCs w:val="36"/>
        </w:rPr>
        <w:t>Aimovig</w:t>
      </w:r>
      <w:proofErr w:type="spellEnd"/>
      <w:r w:rsidRPr="00A700F7">
        <w:rPr>
          <w:rFonts w:asciiTheme="minorHAnsi" w:hAnsiTheme="minorHAnsi"/>
          <w:b/>
          <w:sz w:val="36"/>
          <w:szCs w:val="36"/>
        </w:rPr>
        <w:t>®</w:t>
      </w:r>
      <w:r w:rsidR="00B60939" w:rsidRPr="00A700F7">
        <w:rPr>
          <w:b/>
          <w:sz w:val="36"/>
          <w:szCs w:val="36"/>
        </w:rPr>
        <w:t xml:space="preserve">, </w:t>
      </w:r>
    </w:p>
    <w:p w:rsidR="00B60939" w:rsidRPr="00A700F7" w:rsidRDefault="002F08F2" w:rsidP="00721F3B">
      <w:pPr>
        <w:ind w:left="720"/>
        <w:rPr>
          <w:rFonts w:asciiTheme="minorHAnsi" w:hAnsiTheme="minorHAnsi"/>
          <w:b/>
          <w:sz w:val="36"/>
          <w:szCs w:val="36"/>
        </w:rPr>
      </w:pPr>
      <w:r w:rsidRPr="00A700F7">
        <w:rPr>
          <w:rFonts w:asciiTheme="minorHAnsi" w:hAnsiTheme="minorHAnsi"/>
          <w:b/>
          <w:sz w:val="36"/>
          <w:szCs w:val="36"/>
        </w:rPr>
        <w:t>Novartis Pharmaceuticals</w:t>
      </w:r>
      <w:r w:rsidR="00647A46">
        <w:rPr>
          <w:rFonts w:asciiTheme="minorHAnsi" w:hAnsiTheme="minorHAnsi"/>
          <w:b/>
          <w:sz w:val="36"/>
          <w:szCs w:val="36"/>
        </w:rPr>
        <w:t xml:space="preserve"> Pty Ltd</w:t>
      </w:r>
    </w:p>
    <w:p w:rsidR="00B50DB8" w:rsidRPr="00721F3B" w:rsidRDefault="00B50DB8" w:rsidP="00721F3B">
      <w:pPr>
        <w:pStyle w:val="PBACHeading1"/>
        <w:numPr>
          <w:ilvl w:val="0"/>
          <w:numId w:val="41"/>
        </w:numPr>
      </w:pPr>
      <w:bookmarkStart w:id="0" w:name="_Toc513040434"/>
      <w:r w:rsidRPr="00721F3B">
        <w:t>Purpose of Application</w:t>
      </w:r>
      <w:bookmarkEnd w:id="0"/>
    </w:p>
    <w:p w:rsidR="002C2775" w:rsidRPr="00A20321" w:rsidRDefault="00272B7C" w:rsidP="00FF4413">
      <w:pPr>
        <w:pStyle w:val="ListParagraph"/>
        <w:numPr>
          <w:ilvl w:val="1"/>
          <w:numId w:val="3"/>
        </w:numPr>
      </w:pPr>
      <w:r w:rsidRPr="00A20321">
        <w:t xml:space="preserve">The submission requested </w:t>
      </w:r>
      <w:r w:rsidR="00DF10E1" w:rsidRPr="00A20321">
        <w:t>an Authority Required</w:t>
      </w:r>
      <w:r w:rsidRPr="00A20321">
        <w:t xml:space="preserve"> </w:t>
      </w:r>
      <w:r w:rsidR="00DF10E1" w:rsidRPr="00A20321">
        <w:t xml:space="preserve">(Streamlined) listing for </w:t>
      </w:r>
      <w:proofErr w:type="spellStart"/>
      <w:r w:rsidR="00DF10E1" w:rsidRPr="00A20321">
        <w:t>erenumab</w:t>
      </w:r>
      <w:proofErr w:type="spellEnd"/>
      <w:r w:rsidR="00DF10E1" w:rsidRPr="00A20321">
        <w:t xml:space="preserve"> for treatment of chronic migraine in patients who have experienced an inadequate response, intolerance or a contraindication to at least three prophylactic migraine medications and are also naïve to treatment with botulinum toxin</w:t>
      </w:r>
      <w:r w:rsidR="00BC6A8D" w:rsidRPr="00A20321">
        <w:t xml:space="preserve"> type A</w:t>
      </w:r>
      <w:r w:rsidR="00DF10E1" w:rsidRPr="00A20321">
        <w:t xml:space="preserve"> (Botox).  </w:t>
      </w:r>
      <w:proofErr w:type="spellStart"/>
      <w:r w:rsidR="00DF10E1" w:rsidRPr="00A20321">
        <w:t>Erenumab</w:t>
      </w:r>
      <w:proofErr w:type="spellEnd"/>
      <w:r w:rsidR="00DF10E1" w:rsidRPr="00A20321">
        <w:t xml:space="preserve"> has not been previously considered by the PBAC.</w:t>
      </w:r>
    </w:p>
    <w:p w:rsidR="00C2778B" w:rsidRPr="00A20321" w:rsidRDefault="00FF4413" w:rsidP="00C2778B">
      <w:pPr>
        <w:pStyle w:val="ListParagraph"/>
        <w:numPr>
          <w:ilvl w:val="1"/>
          <w:numId w:val="3"/>
        </w:numPr>
        <w:spacing w:after="120"/>
      </w:pPr>
      <w:r w:rsidRPr="00A20321">
        <w:t xml:space="preserve">The submission requested listing on the basis of a cost-utility analysis compared to Botox. The key components of the clinical issue addressed by the submission are presented in Table 1. </w:t>
      </w:r>
    </w:p>
    <w:p w:rsidR="00144268" w:rsidRPr="00144268" w:rsidRDefault="00144268" w:rsidP="00144268">
      <w:pPr>
        <w:pStyle w:val="Caption"/>
        <w:keepNext/>
        <w:spacing w:after="0"/>
        <w:rPr>
          <w:rFonts w:ascii="Arial Narrow" w:hAnsi="Arial Narrow" w:cs="Arial"/>
          <w:color w:val="auto"/>
          <w:sz w:val="20"/>
          <w:szCs w:val="20"/>
        </w:rPr>
      </w:pPr>
      <w:r w:rsidRPr="00144268">
        <w:rPr>
          <w:rFonts w:ascii="Arial Narrow" w:hAnsi="Arial Narrow" w:cs="Arial"/>
          <w:color w:val="auto"/>
          <w:sz w:val="20"/>
          <w:szCs w:val="20"/>
        </w:rPr>
        <w:t xml:space="preserve">Table </w:t>
      </w:r>
      <w:r w:rsidR="00D8193A">
        <w:rPr>
          <w:rFonts w:ascii="Arial Narrow" w:hAnsi="Arial Narrow" w:cs="Arial"/>
          <w:noProof/>
          <w:color w:val="auto"/>
          <w:sz w:val="20"/>
          <w:szCs w:val="20"/>
        </w:rPr>
        <w:t>1</w:t>
      </w:r>
      <w:r w:rsidRPr="00144268">
        <w:rPr>
          <w:rFonts w:ascii="Arial Narrow" w:hAnsi="Arial Narrow" w:cs="Arial"/>
          <w:color w:val="auto"/>
          <w:sz w:val="20"/>
          <w:szCs w:val="20"/>
        </w:rPr>
        <w:t>: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54"/>
      </w:tblGrid>
      <w:tr w:rsidR="008B1757" w:rsidRPr="00A700F7" w:rsidTr="00B86E59">
        <w:trPr>
          <w:cantSplit/>
          <w:tblHeader/>
        </w:trPr>
        <w:tc>
          <w:tcPr>
            <w:tcW w:w="1418" w:type="dxa"/>
            <w:shd w:val="clear" w:color="auto" w:fill="auto"/>
            <w:vAlign w:val="center"/>
          </w:tcPr>
          <w:p w:rsidR="008B1757" w:rsidRPr="00A700F7" w:rsidRDefault="008B1757" w:rsidP="008B1757">
            <w:pPr>
              <w:pStyle w:val="Tabletext"/>
              <w:rPr>
                <w:b/>
                <w:szCs w:val="20"/>
              </w:rPr>
            </w:pPr>
            <w:r w:rsidRPr="00A700F7">
              <w:rPr>
                <w:b/>
              </w:rPr>
              <w:t>Component</w:t>
            </w:r>
          </w:p>
        </w:tc>
        <w:tc>
          <w:tcPr>
            <w:tcW w:w="7654" w:type="dxa"/>
            <w:shd w:val="clear" w:color="auto" w:fill="auto"/>
            <w:vAlign w:val="center"/>
          </w:tcPr>
          <w:p w:rsidR="008B1757" w:rsidRPr="00A700F7" w:rsidRDefault="008B1757" w:rsidP="008B1757">
            <w:pPr>
              <w:pStyle w:val="Tabletext"/>
              <w:jc w:val="center"/>
              <w:rPr>
                <w:b/>
              </w:rPr>
            </w:pPr>
            <w:r w:rsidRPr="00A700F7">
              <w:rPr>
                <w:b/>
              </w:rPr>
              <w:t>Description</w:t>
            </w:r>
          </w:p>
        </w:tc>
      </w:tr>
      <w:tr w:rsidR="008B1757" w:rsidRPr="00A700F7" w:rsidTr="00B86E59">
        <w:trPr>
          <w:cantSplit/>
        </w:trPr>
        <w:tc>
          <w:tcPr>
            <w:tcW w:w="1418" w:type="dxa"/>
            <w:shd w:val="clear" w:color="auto" w:fill="auto"/>
            <w:vAlign w:val="center"/>
          </w:tcPr>
          <w:p w:rsidR="008B1757" w:rsidRPr="00A700F7" w:rsidRDefault="008B1757" w:rsidP="008B1757">
            <w:pPr>
              <w:pStyle w:val="Tabletext"/>
            </w:pPr>
            <w:r w:rsidRPr="00A700F7">
              <w:t>Population</w:t>
            </w:r>
          </w:p>
        </w:tc>
        <w:tc>
          <w:tcPr>
            <w:tcW w:w="7654" w:type="dxa"/>
            <w:shd w:val="clear" w:color="auto" w:fill="auto"/>
            <w:vAlign w:val="center"/>
          </w:tcPr>
          <w:p w:rsidR="008B1757" w:rsidRPr="00A700F7" w:rsidRDefault="003A312B" w:rsidP="008B1757">
            <w:pPr>
              <w:pStyle w:val="Tabletext"/>
            </w:pPr>
            <w:r w:rsidRPr="00A700F7">
              <w:t>Adults</w:t>
            </w:r>
            <w:r w:rsidR="00FF4413" w:rsidRPr="00A700F7">
              <w:t xml:space="preserve"> with chronic migraine.</w:t>
            </w:r>
          </w:p>
        </w:tc>
      </w:tr>
      <w:tr w:rsidR="008B1757" w:rsidRPr="00A700F7" w:rsidTr="00B86E59">
        <w:trPr>
          <w:cantSplit/>
        </w:trPr>
        <w:tc>
          <w:tcPr>
            <w:tcW w:w="1418" w:type="dxa"/>
            <w:shd w:val="clear" w:color="auto" w:fill="auto"/>
            <w:vAlign w:val="center"/>
          </w:tcPr>
          <w:p w:rsidR="008B1757" w:rsidRPr="00A700F7" w:rsidRDefault="008B1757" w:rsidP="008B1757">
            <w:pPr>
              <w:pStyle w:val="Tabletext"/>
            </w:pPr>
            <w:r w:rsidRPr="00A700F7">
              <w:t>Intervention</w:t>
            </w:r>
          </w:p>
        </w:tc>
        <w:tc>
          <w:tcPr>
            <w:tcW w:w="7654" w:type="dxa"/>
            <w:shd w:val="clear" w:color="auto" w:fill="auto"/>
            <w:vAlign w:val="center"/>
          </w:tcPr>
          <w:p w:rsidR="008B1757" w:rsidRPr="00A700F7" w:rsidRDefault="00FF4413" w:rsidP="008B1757">
            <w:pPr>
              <w:pStyle w:val="Tabletext"/>
            </w:pPr>
            <w:proofErr w:type="spellStart"/>
            <w:r w:rsidRPr="00A700F7">
              <w:t>Erenumab</w:t>
            </w:r>
            <w:proofErr w:type="spellEnd"/>
            <w:r w:rsidRPr="00A700F7">
              <w:t>; 140</w:t>
            </w:r>
            <w:r w:rsidR="00E97BBF">
              <w:t xml:space="preserve"> </w:t>
            </w:r>
            <w:r w:rsidRPr="00A700F7">
              <w:t xml:space="preserve">mg administered once every 4 weeks as a subcutaneous injection. </w:t>
            </w:r>
          </w:p>
        </w:tc>
      </w:tr>
      <w:tr w:rsidR="008B1757" w:rsidRPr="00A700F7" w:rsidTr="00B86E59">
        <w:trPr>
          <w:cantSplit/>
        </w:trPr>
        <w:tc>
          <w:tcPr>
            <w:tcW w:w="1418" w:type="dxa"/>
            <w:shd w:val="clear" w:color="auto" w:fill="auto"/>
            <w:vAlign w:val="center"/>
          </w:tcPr>
          <w:p w:rsidR="008B1757" w:rsidRPr="00A700F7" w:rsidRDefault="008B1757" w:rsidP="008B1757">
            <w:pPr>
              <w:pStyle w:val="Tabletext"/>
            </w:pPr>
            <w:r w:rsidRPr="00A700F7">
              <w:t>Comparator</w:t>
            </w:r>
          </w:p>
        </w:tc>
        <w:tc>
          <w:tcPr>
            <w:tcW w:w="7654" w:type="dxa"/>
            <w:shd w:val="clear" w:color="auto" w:fill="auto"/>
            <w:vAlign w:val="center"/>
          </w:tcPr>
          <w:p w:rsidR="008B1757" w:rsidRPr="00A700F7" w:rsidRDefault="003A312B" w:rsidP="008B1757">
            <w:pPr>
              <w:pStyle w:val="Tabletext"/>
            </w:pPr>
            <w:r w:rsidRPr="00A700F7">
              <w:t>Botox; administered by injection every 12 weeks to 31-39 sites in the head.</w:t>
            </w:r>
          </w:p>
        </w:tc>
      </w:tr>
      <w:tr w:rsidR="008B1757" w:rsidRPr="00A700F7" w:rsidTr="00B86E59">
        <w:trPr>
          <w:cantSplit/>
        </w:trPr>
        <w:tc>
          <w:tcPr>
            <w:tcW w:w="1418" w:type="dxa"/>
            <w:shd w:val="clear" w:color="auto" w:fill="auto"/>
            <w:vAlign w:val="center"/>
          </w:tcPr>
          <w:p w:rsidR="008B1757" w:rsidRPr="00A700F7" w:rsidRDefault="008B1757" w:rsidP="008B1757">
            <w:pPr>
              <w:pStyle w:val="Tabletext"/>
            </w:pPr>
            <w:r w:rsidRPr="00A700F7">
              <w:t>Outcomes</w:t>
            </w:r>
          </w:p>
        </w:tc>
        <w:tc>
          <w:tcPr>
            <w:tcW w:w="7654" w:type="dxa"/>
            <w:shd w:val="clear" w:color="auto" w:fill="auto"/>
            <w:vAlign w:val="center"/>
          </w:tcPr>
          <w:p w:rsidR="008B1757" w:rsidRPr="00A700F7" w:rsidRDefault="008B7EC7" w:rsidP="008B1757">
            <w:pPr>
              <w:pStyle w:val="Tabletext"/>
            </w:pPr>
            <w:r w:rsidRPr="00A700F7">
              <w:t xml:space="preserve">Change from baseline in the number of monthly migraine days; proportion of responders (≥50% change from baseline); overall safety outcomes.  The key outcome used in the submission’s indirect comparison and economic model, the proportion of patients with at least 50% change from baseline in monthly headache days, was not </w:t>
            </w:r>
            <w:r w:rsidR="008C29CA">
              <w:t xml:space="preserve">reported as a primary, </w:t>
            </w:r>
            <w:r w:rsidR="002278C5" w:rsidRPr="00A700F7">
              <w:t>secondary</w:t>
            </w:r>
            <w:r w:rsidR="008C29CA">
              <w:t xml:space="preserve"> or exploratory</w:t>
            </w:r>
            <w:r w:rsidRPr="00A700F7">
              <w:t xml:space="preserve"> outcome in the pivotal </w:t>
            </w:r>
            <w:proofErr w:type="spellStart"/>
            <w:r w:rsidRPr="00A700F7">
              <w:t>erenumab</w:t>
            </w:r>
            <w:proofErr w:type="spellEnd"/>
            <w:r w:rsidRPr="00A700F7">
              <w:t xml:space="preserve"> trial.</w:t>
            </w:r>
          </w:p>
        </w:tc>
      </w:tr>
      <w:tr w:rsidR="008B1757" w:rsidRPr="00A700F7" w:rsidTr="00B86E59">
        <w:trPr>
          <w:cantSplit/>
        </w:trPr>
        <w:tc>
          <w:tcPr>
            <w:tcW w:w="1418" w:type="dxa"/>
            <w:shd w:val="clear" w:color="auto" w:fill="auto"/>
            <w:vAlign w:val="center"/>
          </w:tcPr>
          <w:p w:rsidR="008B1757" w:rsidRPr="00A700F7" w:rsidRDefault="008B1757" w:rsidP="008B1757">
            <w:pPr>
              <w:pStyle w:val="Tabletext"/>
            </w:pPr>
            <w:r w:rsidRPr="00A700F7">
              <w:t>Clinical claim</w:t>
            </w:r>
          </w:p>
        </w:tc>
        <w:tc>
          <w:tcPr>
            <w:tcW w:w="7654" w:type="dxa"/>
            <w:shd w:val="clear" w:color="auto" w:fill="auto"/>
            <w:vAlign w:val="center"/>
          </w:tcPr>
          <w:p w:rsidR="008B1757" w:rsidRPr="00A700F7" w:rsidRDefault="008B7EC7" w:rsidP="000E4E80">
            <w:pPr>
              <w:pStyle w:val="Tabletext"/>
            </w:pPr>
            <w:r w:rsidRPr="00A700F7">
              <w:t xml:space="preserve">In adult patients with chronic migraine, </w:t>
            </w:r>
            <w:proofErr w:type="spellStart"/>
            <w:r w:rsidRPr="00A700F7">
              <w:t>erenumab</w:t>
            </w:r>
            <w:proofErr w:type="spellEnd"/>
            <w:r w:rsidRPr="00A700F7">
              <w:t xml:space="preserve"> is superior in terms of comparative effectiveness at </w:t>
            </w:r>
            <w:r w:rsidR="000E4E80">
              <w:t>reducing</w:t>
            </w:r>
            <w:r w:rsidR="000E4E80" w:rsidRPr="00A700F7">
              <w:t xml:space="preserve"> </w:t>
            </w:r>
            <w:r w:rsidRPr="00A700F7">
              <w:t>monthly headache days and non-inferior in terms of comparative safety to botulinum toxin type A.</w:t>
            </w:r>
          </w:p>
        </w:tc>
      </w:tr>
    </w:tbl>
    <w:p w:rsidR="008B1757" w:rsidRPr="00A700F7" w:rsidRDefault="008B1757" w:rsidP="008B1757">
      <w:pPr>
        <w:pStyle w:val="TableFooter"/>
        <w:rPr>
          <w:sz w:val="20"/>
        </w:rPr>
      </w:pPr>
      <w:r w:rsidRPr="00A700F7">
        <w:t xml:space="preserve">Source: </w:t>
      </w:r>
      <w:r w:rsidR="008B7EC7" w:rsidRPr="00A700F7">
        <w:t>Table 1.1, p2 of the submission.</w:t>
      </w:r>
    </w:p>
    <w:p w:rsidR="00B60939" w:rsidRPr="00A700F7" w:rsidRDefault="00B50DB8" w:rsidP="00721F3B">
      <w:pPr>
        <w:pStyle w:val="PBACHeading1"/>
      </w:pPr>
      <w:bookmarkStart w:id="1" w:name="_Toc513040435"/>
      <w:r w:rsidRPr="00A700F7">
        <w:t>Requested listing</w:t>
      </w:r>
      <w:bookmarkEnd w:id="1"/>
    </w:p>
    <w:p w:rsidR="003621F8" w:rsidRPr="00093A8F" w:rsidRDefault="000E4E80" w:rsidP="003621F8">
      <w:pPr>
        <w:pStyle w:val="ListParagraph"/>
        <w:numPr>
          <w:ilvl w:val="1"/>
          <w:numId w:val="3"/>
        </w:numPr>
        <w:rPr>
          <w:rFonts w:cs="Arial"/>
          <w:szCs w:val="22"/>
        </w:rPr>
      </w:pPr>
      <w:r w:rsidRPr="00093A8F">
        <w:rPr>
          <w:rFonts w:cs="Arial"/>
        </w:rPr>
        <w:t>T</w:t>
      </w:r>
      <w:r w:rsidR="00F03B0B" w:rsidRPr="00093A8F">
        <w:rPr>
          <w:rFonts w:cs="Arial"/>
        </w:rPr>
        <w:t>o allow general practitioners to prescribe continuing therapy</w:t>
      </w:r>
      <w:r w:rsidR="001878D8" w:rsidRPr="00093A8F">
        <w:rPr>
          <w:rFonts w:cs="Arial"/>
        </w:rPr>
        <w:t>, as requested in the submission</w:t>
      </w:r>
      <w:r w:rsidR="00F03B0B" w:rsidRPr="00093A8F">
        <w:rPr>
          <w:rFonts w:cs="Arial"/>
        </w:rPr>
        <w:t xml:space="preserve">, the Secretariat </w:t>
      </w:r>
      <w:r w:rsidRPr="00093A8F">
        <w:rPr>
          <w:rFonts w:cs="Arial"/>
        </w:rPr>
        <w:t xml:space="preserve">proposed </w:t>
      </w:r>
      <w:r w:rsidR="00F03B0B" w:rsidRPr="00093A8F">
        <w:rPr>
          <w:rFonts w:cs="Arial"/>
        </w:rPr>
        <w:t>two restrictions</w:t>
      </w:r>
      <w:r w:rsidRPr="00093A8F">
        <w:rPr>
          <w:rFonts w:cs="Arial"/>
        </w:rPr>
        <w:t xml:space="preserve"> for </w:t>
      </w:r>
      <w:proofErr w:type="spellStart"/>
      <w:r w:rsidRPr="00093A8F">
        <w:rPr>
          <w:rFonts w:cs="Arial"/>
        </w:rPr>
        <w:t>erenumab</w:t>
      </w:r>
      <w:proofErr w:type="spellEnd"/>
      <w:r w:rsidR="00F03B0B" w:rsidRPr="00093A8F">
        <w:rPr>
          <w:rFonts w:cs="Arial"/>
        </w:rPr>
        <w:t xml:space="preserve">: initial and continuing treatment phases. The proposed continuing restriction would not </w:t>
      </w:r>
      <w:proofErr w:type="gramStart"/>
      <w:r w:rsidR="00F03B0B" w:rsidRPr="00093A8F">
        <w:rPr>
          <w:rFonts w:cs="Arial"/>
        </w:rPr>
        <w:t>mandate</w:t>
      </w:r>
      <w:proofErr w:type="gramEnd"/>
      <w:r w:rsidR="00F03B0B" w:rsidRPr="00093A8F">
        <w:rPr>
          <w:rFonts w:cs="Arial"/>
        </w:rPr>
        <w:t xml:space="preserve"> prescribing to neurologists only. </w:t>
      </w:r>
      <w:r w:rsidR="003621F8" w:rsidRPr="00093A8F">
        <w:t xml:space="preserve">The Pre-Sub-Committee Response (PSCR) did not oppose this change. </w:t>
      </w:r>
    </w:p>
    <w:p w:rsidR="00F03B0B" w:rsidRPr="00B03551" w:rsidRDefault="00F03B0B" w:rsidP="00591957">
      <w:pPr>
        <w:pStyle w:val="ListParagraph"/>
        <w:numPr>
          <w:ilvl w:val="1"/>
          <w:numId w:val="3"/>
        </w:numPr>
        <w:rPr>
          <w:rFonts w:cs="Arial"/>
          <w:szCs w:val="22"/>
        </w:rPr>
      </w:pPr>
      <w:r w:rsidRPr="00093A8F">
        <w:rPr>
          <w:rFonts w:cs="Arial"/>
          <w:szCs w:val="22"/>
        </w:rPr>
        <w:t>The Secretariat’s suggested</w:t>
      </w:r>
      <w:r w:rsidRPr="000E4E80">
        <w:rPr>
          <w:rFonts w:cs="Arial"/>
          <w:szCs w:val="22"/>
        </w:rPr>
        <w:t xml:space="preserve"> additions are in italics and deletions are in strikethrough.</w:t>
      </w:r>
    </w:p>
    <w:tbl>
      <w:tblPr>
        <w:tblW w:w="9214" w:type="dxa"/>
        <w:tblInd w:w="108" w:type="dxa"/>
        <w:tblLayout w:type="fixed"/>
        <w:tblLook w:val="0000" w:firstRow="0" w:lastRow="0" w:firstColumn="0" w:lastColumn="0" w:noHBand="0" w:noVBand="0"/>
      </w:tblPr>
      <w:tblGrid>
        <w:gridCol w:w="2552"/>
        <w:gridCol w:w="709"/>
        <w:gridCol w:w="567"/>
        <w:gridCol w:w="850"/>
        <w:gridCol w:w="1701"/>
        <w:gridCol w:w="1276"/>
        <w:gridCol w:w="1559"/>
      </w:tblGrid>
      <w:tr w:rsidR="00F03B0B" w:rsidRPr="003B567A" w:rsidTr="00244EA1">
        <w:trPr>
          <w:cantSplit/>
          <w:trHeight w:val="471"/>
        </w:trPr>
        <w:tc>
          <w:tcPr>
            <w:tcW w:w="3261" w:type="dxa"/>
            <w:gridSpan w:val="2"/>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lastRenderedPageBreak/>
              <w:t>Name, Restriction,</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Manner of administration and form</w:t>
            </w:r>
          </w:p>
        </w:tc>
        <w:tc>
          <w:tcPr>
            <w:tcW w:w="567" w:type="dxa"/>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Max.</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Qty</w:t>
            </w:r>
          </w:p>
        </w:tc>
        <w:tc>
          <w:tcPr>
            <w:tcW w:w="850" w:type="dxa"/>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№.of</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Rpts</w:t>
            </w:r>
          </w:p>
        </w:tc>
        <w:tc>
          <w:tcPr>
            <w:tcW w:w="1701" w:type="dxa"/>
            <w:tcBorders>
              <w:bottom w:val="single" w:sz="4" w:space="0" w:color="auto"/>
            </w:tcBorders>
          </w:tcPr>
          <w:p w:rsidR="00F03B0B" w:rsidRPr="00B86E59" w:rsidRDefault="00F03B0B" w:rsidP="00B86E59">
            <w:pPr>
              <w:keepNext/>
              <w:ind w:left="-108"/>
              <w:jc w:val="left"/>
              <w:rPr>
                <w:rFonts w:ascii="Arial Narrow" w:hAnsi="Arial Narrow" w:cs="Arial"/>
                <w:b/>
                <w:sz w:val="20"/>
                <w:szCs w:val="20"/>
              </w:rPr>
            </w:pPr>
            <w:r w:rsidRPr="00B86E59">
              <w:rPr>
                <w:rFonts w:ascii="Arial Narrow" w:hAnsi="Arial Narrow" w:cs="Arial"/>
                <w:b/>
                <w:sz w:val="20"/>
                <w:szCs w:val="20"/>
              </w:rPr>
              <w:t>Dispensed Price for Max. Qty</w:t>
            </w:r>
          </w:p>
        </w:tc>
        <w:tc>
          <w:tcPr>
            <w:tcW w:w="2835" w:type="dxa"/>
            <w:gridSpan w:val="2"/>
            <w:tcBorders>
              <w:bottom w:val="single" w:sz="4" w:space="0" w:color="auto"/>
            </w:tcBorders>
          </w:tcPr>
          <w:p w:rsidR="00F03B0B" w:rsidRPr="00B86E59" w:rsidRDefault="00F03B0B" w:rsidP="00B86E59">
            <w:pPr>
              <w:keepNext/>
              <w:jc w:val="left"/>
              <w:rPr>
                <w:rFonts w:ascii="Arial Narrow" w:hAnsi="Arial Narrow" w:cs="Arial"/>
                <w:b/>
                <w:sz w:val="20"/>
                <w:szCs w:val="20"/>
                <w:lang w:val="fr-FR"/>
              </w:rPr>
            </w:pPr>
            <w:r w:rsidRPr="00B86E59">
              <w:rPr>
                <w:rFonts w:ascii="Arial Narrow" w:hAnsi="Arial Narrow" w:cs="Arial"/>
                <w:b/>
                <w:sz w:val="20"/>
                <w:szCs w:val="20"/>
              </w:rPr>
              <w:t>Proprietary Name and Manufacturer</w:t>
            </w:r>
          </w:p>
        </w:tc>
      </w:tr>
      <w:tr w:rsidR="00F03B0B" w:rsidRPr="003B567A" w:rsidTr="00244EA1">
        <w:trPr>
          <w:cantSplit/>
          <w:trHeight w:val="577"/>
        </w:trPr>
        <w:tc>
          <w:tcPr>
            <w:tcW w:w="3261" w:type="dxa"/>
            <w:gridSpan w:val="2"/>
          </w:tcPr>
          <w:p w:rsidR="00F03B0B" w:rsidRPr="00B86E59" w:rsidRDefault="00F03B0B" w:rsidP="00244EA1">
            <w:pPr>
              <w:keepNext/>
              <w:ind w:left="-108"/>
              <w:rPr>
                <w:rFonts w:ascii="Arial Narrow" w:hAnsi="Arial Narrow"/>
                <w:sz w:val="20"/>
              </w:rPr>
            </w:pPr>
          </w:p>
          <w:p w:rsidR="00F03B0B" w:rsidRDefault="00F03B0B" w:rsidP="00E97BBF">
            <w:pPr>
              <w:keepNext/>
              <w:ind w:left="-108"/>
              <w:jc w:val="left"/>
              <w:rPr>
                <w:rFonts w:ascii="Arial Narrow" w:hAnsi="Arial Narrow"/>
                <w:sz w:val="20"/>
              </w:rPr>
            </w:pPr>
            <w:proofErr w:type="spellStart"/>
            <w:r w:rsidRPr="00B86E59">
              <w:rPr>
                <w:rFonts w:ascii="Arial Narrow" w:hAnsi="Arial Narrow"/>
                <w:sz w:val="20"/>
              </w:rPr>
              <w:t>Erenumab</w:t>
            </w:r>
            <w:proofErr w:type="spellEnd"/>
            <w:r w:rsidRPr="00B86E59">
              <w:rPr>
                <w:rFonts w:ascii="Arial Narrow" w:hAnsi="Arial Narrow"/>
                <w:sz w:val="20"/>
              </w:rPr>
              <w:t>, 70</w:t>
            </w:r>
            <w:r w:rsidR="0038214F" w:rsidRPr="00B86E59">
              <w:rPr>
                <w:rFonts w:ascii="Arial Narrow" w:hAnsi="Arial Narrow"/>
                <w:sz w:val="20"/>
              </w:rPr>
              <w:t xml:space="preserve"> </w:t>
            </w:r>
            <w:r w:rsidRPr="00B86E59">
              <w:rPr>
                <w:rFonts w:ascii="Arial Narrow" w:hAnsi="Arial Narrow"/>
                <w:sz w:val="20"/>
              </w:rPr>
              <w:t>mg</w:t>
            </w:r>
            <w:r w:rsidR="00E97BBF" w:rsidRPr="00B86E59">
              <w:rPr>
                <w:rFonts w:ascii="Arial Narrow" w:hAnsi="Arial Narrow"/>
                <w:sz w:val="20"/>
              </w:rPr>
              <w:t xml:space="preserve">/ </w:t>
            </w:r>
            <w:r w:rsidRPr="00B86E59">
              <w:rPr>
                <w:rFonts w:ascii="Arial Narrow" w:hAnsi="Arial Narrow"/>
                <w:sz w:val="20"/>
              </w:rPr>
              <w:t>mL, 2×1</w:t>
            </w:r>
            <w:r w:rsidR="0038214F" w:rsidRPr="00B86E59">
              <w:rPr>
                <w:rFonts w:ascii="Arial Narrow" w:hAnsi="Arial Narrow"/>
                <w:sz w:val="20"/>
              </w:rPr>
              <w:t xml:space="preserve"> </w:t>
            </w:r>
            <w:r w:rsidRPr="00B86E59">
              <w:rPr>
                <w:rFonts w:ascii="Arial Narrow" w:hAnsi="Arial Narrow"/>
                <w:sz w:val="20"/>
              </w:rPr>
              <w:t>mL, injection devices</w:t>
            </w:r>
          </w:p>
          <w:p w:rsidR="0078396F" w:rsidRPr="00B86E59" w:rsidRDefault="0078396F" w:rsidP="00E97BBF">
            <w:pPr>
              <w:keepNext/>
              <w:ind w:left="-108"/>
              <w:jc w:val="left"/>
              <w:rPr>
                <w:rFonts w:ascii="Arial Narrow" w:hAnsi="Arial Narrow" w:cs="Arial"/>
                <w:sz w:val="20"/>
                <w:szCs w:val="20"/>
              </w:rPr>
            </w:pPr>
          </w:p>
        </w:tc>
        <w:tc>
          <w:tcPr>
            <w:tcW w:w="567"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 xml:space="preserve">  1</w:t>
            </w:r>
          </w:p>
        </w:tc>
        <w:tc>
          <w:tcPr>
            <w:tcW w:w="850"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5</w:t>
            </w:r>
          </w:p>
        </w:tc>
        <w:tc>
          <w:tcPr>
            <w:tcW w:w="1701"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w:t>
            </w:r>
            <w:r w:rsidR="00AF24DF">
              <w:rPr>
                <w:rFonts w:ascii="Arial Narrow" w:hAnsi="Arial Narrow" w:cs="Arial"/>
                <w:noProof/>
                <w:color w:val="000000"/>
                <w:sz w:val="20"/>
                <w:szCs w:val="20"/>
                <w:highlight w:val="black"/>
              </w:rPr>
              <w:t>'''''''''''''''</w:t>
            </w:r>
          </w:p>
        </w:tc>
        <w:tc>
          <w:tcPr>
            <w:tcW w:w="1276" w:type="dxa"/>
          </w:tcPr>
          <w:p w:rsidR="00F03B0B" w:rsidRPr="00B86E59" w:rsidRDefault="00F03B0B" w:rsidP="00244EA1">
            <w:pPr>
              <w:keepNext/>
              <w:rPr>
                <w:rFonts w:ascii="Arial Narrow" w:hAnsi="Arial Narrow" w:cs="Arial"/>
                <w:sz w:val="20"/>
                <w:szCs w:val="20"/>
              </w:rPr>
            </w:pPr>
          </w:p>
          <w:p w:rsidR="00F03B0B" w:rsidRPr="00B86E59" w:rsidRDefault="00F03B0B" w:rsidP="00244EA1">
            <w:pPr>
              <w:keepNext/>
              <w:rPr>
                <w:rFonts w:ascii="Arial Narrow" w:hAnsi="Arial Narrow" w:cs="Arial"/>
                <w:sz w:val="20"/>
                <w:szCs w:val="20"/>
              </w:rPr>
            </w:pPr>
            <w:proofErr w:type="spellStart"/>
            <w:r w:rsidRPr="00B86E59">
              <w:rPr>
                <w:rFonts w:ascii="Arial Narrow" w:hAnsi="Arial Narrow" w:cs="Arial"/>
                <w:sz w:val="20"/>
                <w:szCs w:val="20"/>
              </w:rPr>
              <w:t>Aimovig</w:t>
            </w:r>
            <w:proofErr w:type="spellEnd"/>
            <w:r w:rsidRPr="00B86E59">
              <w:rPr>
                <w:rFonts w:ascii="Arial Narrow" w:hAnsi="Arial Narrow" w:cs="Arial"/>
                <w:sz w:val="20"/>
                <w:szCs w:val="20"/>
              </w:rPr>
              <w:t>®</w:t>
            </w:r>
          </w:p>
        </w:tc>
        <w:tc>
          <w:tcPr>
            <w:tcW w:w="1559" w:type="dxa"/>
          </w:tcPr>
          <w:p w:rsidR="00F03B0B" w:rsidRPr="00B86E59" w:rsidRDefault="00F03B0B" w:rsidP="00244EA1">
            <w:pPr>
              <w:keepNext/>
              <w:rPr>
                <w:rFonts w:ascii="Arial Narrow" w:hAnsi="Arial Narrow" w:cs="Arial"/>
                <w:sz w:val="20"/>
                <w:szCs w:val="20"/>
              </w:rPr>
            </w:pPr>
          </w:p>
          <w:p w:rsidR="00F03B0B" w:rsidRPr="00B86E59" w:rsidRDefault="00F03B0B" w:rsidP="00244EA1">
            <w:pPr>
              <w:keepNext/>
              <w:rPr>
                <w:rFonts w:ascii="Arial Narrow" w:hAnsi="Arial Narrow" w:cs="Arial"/>
                <w:sz w:val="20"/>
                <w:szCs w:val="20"/>
              </w:rPr>
            </w:pPr>
            <w:r w:rsidRPr="00B86E59">
              <w:rPr>
                <w:rFonts w:ascii="Arial Narrow" w:hAnsi="Arial Narrow" w:cs="Arial"/>
                <w:sz w:val="20"/>
                <w:szCs w:val="20"/>
              </w:rPr>
              <w:t>Novartis Pharmaceuticals</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B86E59">
            <w:pPr>
              <w:rPr>
                <w:rFonts w:ascii="Arial Narrow" w:hAnsi="Arial Narrow" w:cs="Arial"/>
                <w:b/>
                <w:sz w:val="20"/>
                <w:szCs w:val="20"/>
              </w:rPr>
            </w:pPr>
            <w:r w:rsidRPr="00B86E59">
              <w:rPr>
                <w:rFonts w:ascii="Arial Narrow" w:hAnsi="Arial Narrow" w:cs="Arial"/>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GENERAL – General Schedule (Code GE)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B86E59">
            <w:pPr>
              <w:rPr>
                <w:rFonts w:ascii="Arial Narrow" w:hAnsi="Arial Narrow" w:cs="Arial"/>
                <w:sz w:val="20"/>
                <w:szCs w:val="20"/>
              </w:rPr>
            </w:pPr>
            <w:r w:rsidRPr="00B86E59">
              <w:rPr>
                <w:rFonts w:ascii="Arial Narrow" w:hAnsi="Arial Narrow" w:cs="Arial"/>
                <w:sz w:val="20"/>
                <w:szCs w:val="20"/>
              </w:rPr>
              <w:fldChar w:fldCharType="begin">
                <w:ffData>
                  <w:name w:val="Check1"/>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Dental  </w:t>
            </w:r>
            <w:r w:rsidRPr="00B86E59">
              <w:rPr>
                <w:rFonts w:ascii="Arial Narrow" w:hAnsi="Arial Narrow" w:cs="Arial"/>
                <w:sz w:val="20"/>
                <w:szCs w:val="20"/>
              </w:rPr>
              <w:fldChar w:fldCharType="begin">
                <w:ffData>
                  <w:name w:val=""/>
                  <w:enabled/>
                  <w:calcOnExit w:val="0"/>
                  <w:checkBox>
                    <w:sizeAuto/>
                    <w:default w:val="1"/>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Medical Practitioners  </w:t>
            </w:r>
            <w:r w:rsidRPr="00B86E59">
              <w:rPr>
                <w:rFonts w:ascii="Arial Narrow" w:hAnsi="Arial Narrow" w:cs="Arial"/>
                <w:sz w:val="20"/>
                <w:szCs w:val="20"/>
              </w:rPr>
              <w:fldChar w:fldCharType="begin">
                <w:ffData>
                  <w:name w:val="Check3"/>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Nurse practitioners  </w:t>
            </w: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Optometrists</w:t>
            </w:r>
            <w:r w:rsidR="00B86E59">
              <w:rPr>
                <w:rFonts w:ascii="Arial Narrow" w:hAnsi="Arial Narrow" w:cs="Arial"/>
                <w:sz w:val="20"/>
                <w:szCs w:val="20"/>
              </w:rPr>
              <w:t xml:space="preserve"> </w:t>
            </w:r>
            <w:r w:rsidRPr="00B86E59">
              <w:rPr>
                <w:rFonts w:ascii="Arial Narrow" w:hAnsi="Arial Narrow" w:cs="Arial"/>
                <w:sz w:val="20"/>
                <w:szCs w:val="20"/>
              </w:rPr>
              <w:fldChar w:fldCharType="begin">
                <w:ffData>
                  <w:name w:val="Check5"/>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Midwives</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Episodicity:</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Chronic</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B86E59" w:rsidP="00244EA1">
            <w:pPr>
              <w:rPr>
                <w:rFonts w:ascii="Arial Narrow" w:hAnsi="Arial Narrow" w:cs="Arial"/>
                <w:sz w:val="20"/>
                <w:szCs w:val="20"/>
              </w:rPr>
            </w:pPr>
            <w:r>
              <w:rPr>
                <w:rFonts w:ascii="Arial Narrow" w:hAnsi="Arial Narrow" w:cs="Arial"/>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B86E59" w:rsidP="00244EA1">
            <w:pPr>
              <w:rPr>
                <w:rFonts w:ascii="Arial Narrow" w:hAnsi="Arial Narrow" w:cs="Arial"/>
                <w:sz w:val="20"/>
                <w:szCs w:val="20"/>
              </w:rPr>
            </w:pPr>
            <w:r>
              <w:rPr>
                <w:rFonts w:ascii="Arial Narrow" w:hAnsi="Arial Narrow" w:cs="Arial"/>
                <w:sz w:val="20"/>
                <w:szCs w:val="20"/>
              </w:rPr>
              <w:t>M</w:t>
            </w:r>
            <w:r w:rsidR="00F03B0B" w:rsidRPr="00B86E59">
              <w:rPr>
                <w:rFonts w:ascii="Arial Narrow" w:hAnsi="Arial Narrow" w:cs="Arial"/>
                <w:sz w:val="20"/>
                <w:szCs w:val="20"/>
              </w:rPr>
              <w:t>igraine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PBS Indication:</w:t>
            </w:r>
          </w:p>
          <w:p w:rsidR="00F03B0B" w:rsidRPr="00B86E59" w:rsidRDefault="00F03B0B" w:rsidP="00244EA1">
            <w:pPr>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Chronic migraine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i/>
                <w:sz w:val="20"/>
                <w:szCs w:val="20"/>
              </w:rPr>
            </w:pPr>
            <w:r w:rsidRPr="00B86E59">
              <w:rPr>
                <w:rFonts w:ascii="Arial Narrow" w:hAnsi="Arial Narrow" w:cs="Arial"/>
                <w:i/>
                <w:sz w:val="20"/>
                <w:szCs w:val="20"/>
              </w:rPr>
              <w:t>Initial</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Restriction Level / Method:</w:t>
            </w:r>
          </w:p>
          <w:p w:rsidR="00F03B0B" w:rsidRPr="00B86E59" w:rsidRDefault="00F03B0B" w:rsidP="00244EA1">
            <w:pPr>
              <w:rPr>
                <w:rFonts w:ascii="Arial Narrow" w:hAnsi="Arial Narrow"/>
                <w:sz w:val="20"/>
                <w:szCs w:val="20"/>
              </w:rPr>
            </w:pPr>
            <w:r w:rsidRPr="00B86E59">
              <w:rPr>
                <w:rFonts w:ascii="Arial Narrow" w:hAnsi="Arial Narrow"/>
                <w:sz w:val="20"/>
                <w:szCs w:val="20"/>
              </w:rPr>
              <w:t>Section 85</w:t>
            </w:r>
          </w:p>
          <w:p w:rsidR="00F03B0B" w:rsidRPr="00B86E59" w:rsidRDefault="00F03B0B" w:rsidP="00244EA1">
            <w:pPr>
              <w:rPr>
                <w:rFonts w:ascii="Arial Narrow" w:hAnsi="Arial Narrow"/>
                <w:i/>
                <w:sz w:val="20"/>
                <w:szCs w:val="20"/>
              </w:rPr>
            </w:pPr>
            <w:r w:rsidRPr="00B86E59">
              <w:rPr>
                <w:rFonts w:ascii="Arial Narrow" w:hAnsi="Arial Narrow"/>
                <w:i/>
                <w:sz w:val="20"/>
                <w:szCs w:val="20"/>
              </w:rPr>
              <w:t>Authority required</w:t>
            </w:r>
          </w:p>
          <w:p w:rsidR="00F03B0B" w:rsidRPr="00B86E59" w:rsidRDefault="00F03B0B" w:rsidP="00244EA1">
            <w:pPr>
              <w:rPr>
                <w:rFonts w:ascii="Arial Narrow" w:hAnsi="Arial Narrow" w:cs="Arial"/>
                <w:i/>
                <w:sz w:val="20"/>
                <w:szCs w:val="20"/>
              </w:rPr>
            </w:pPr>
          </w:p>
          <w:p w:rsidR="00F03B0B" w:rsidRPr="00B86E59" w:rsidRDefault="00F03B0B" w:rsidP="00244EA1">
            <w:pPr>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1"/>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Restricted benefit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In Writing</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3"/>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Telephone</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Emergency</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5"/>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Electronic</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5"/>
                  <w:enabled/>
                  <w:calcOnExit w:val="0"/>
                  <w:checkBox>
                    <w:sizeAuto/>
                    <w:default w:val="1"/>
                  </w:checkBox>
                </w:ffData>
              </w:fldChar>
            </w:r>
            <w:bookmarkStart w:id="2" w:name="Check5"/>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bookmarkEnd w:id="2"/>
            <w:r w:rsidRPr="00B86E59">
              <w:rPr>
                <w:rFonts w:ascii="Arial Narrow" w:hAnsi="Arial Narrow" w:cs="Arial"/>
                <w:sz w:val="20"/>
                <w:szCs w:val="20"/>
              </w:rPr>
              <w:t>Streamlined</w:t>
            </w:r>
          </w:p>
        </w:tc>
      </w:tr>
      <w:tr w:rsidR="00F03B0B" w:rsidRPr="003B567A" w:rsidTr="00B86E59">
        <w:trPr>
          <w:cantSplit/>
          <w:trHeight w:val="426"/>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Treatment criteria:</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Must be prescribed by a neurologist.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Clinical criteria:</w:t>
            </w:r>
          </w:p>
          <w:p w:rsidR="00F03B0B" w:rsidRPr="00B86E59" w:rsidRDefault="00F03B0B" w:rsidP="00244EA1">
            <w:pPr>
              <w:rPr>
                <w:rFonts w:ascii="Arial Narrow" w:hAnsi="Arial Narrow" w:cs="Arial"/>
                <w:i/>
                <w:sz w:val="20"/>
                <w:szCs w:val="20"/>
              </w:rPr>
            </w:pPr>
          </w:p>
          <w:p w:rsidR="00F03B0B" w:rsidRPr="00B86E59" w:rsidRDefault="00F03B0B" w:rsidP="00244EA1">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 xml:space="preserve">Patient must have experienced an average of 15 or more headache days per month, with at least 8 days of migraine, over a period of at least 6 months, prior to commencement of treatment with </w:t>
            </w:r>
            <w:proofErr w:type="spellStart"/>
            <w:r w:rsidRPr="00B86E59">
              <w:rPr>
                <w:rFonts w:ascii="Arial Narrow" w:hAnsi="Arial Narrow" w:cs="Arial"/>
                <w:sz w:val="20"/>
                <w:szCs w:val="20"/>
              </w:rPr>
              <w:t>erenumab</w:t>
            </w:r>
            <w:proofErr w:type="spellEnd"/>
            <w:r w:rsidRPr="00B86E59">
              <w:rPr>
                <w:rFonts w:ascii="Arial Narrow" w:hAnsi="Arial Narrow" w:cs="Arial"/>
                <w:sz w:val="20"/>
                <w:szCs w:val="20"/>
              </w:rPr>
              <w: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AND</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 xml:space="preserve">Patient must have experienced an inadequate response, intolerance or a contraindication to at least three prophylactic migraine medications prior to commencement of treatment with </w:t>
            </w:r>
            <w:proofErr w:type="spellStart"/>
            <w:r w:rsidRPr="00B86E59">
              <w:rPr>
                <w:rFonts w:ascii="Arial Narrow" w:hAnsi="Arial Narrow" w:cs="Arial"/>
                <w:sz w:val="20"/>
                <w:szCs w:val="20"/>
              </w:rPr>
              <w:t>erenumab</w:t>
            </w:r>
            <w:proofErr w:type="spellEnd"/>
            <w:r w:rsidRPr="00B86E59">
              <w:rPr>
                <w:rFonts w:ascii="Arial Narrow" w:hAnsi="Arial Narrow" w:cs="Arial"/>
                <w:sz w:val="20"/>
                <w:szCs w:val="20"/>
              </w:rPr>
              <w:t>,</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AND </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Patient must have achieved and maintained a 50% or greater reduction from baseline in the number of headache days per month after six treatment cycles (24 weeks duration) in order to be eligible for continuing PBS-subsidised treatment,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AND</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 xml:space="preserve">Patient must be appropriately managed by his or her practitioner for medication overuse headache, prior to initiation of treatment with </w:t>
            </w:r>
            <w:proofErr w:type="spellStart"/>
            <w:r w:rsidRPr="00B86E59">
              <w:rPr>
                <w:rFonts w:ascii="Arial Narrow" w:hAnsi="Arial Narrow" w:cs="Arial"/>
                <w:sz w:val="20"/>
                <w:szCs w:val="20"/>
              </w:rPr>
              <w:t>erenumab</w:t>
            </w:r>
            <w:proofErr w:type="spellEnd"/>
            <w:r w:rsidR="00E97BBF" w:rsidRPr="00B86E59">
              <w:rPr>
                <w:rFonts w:ascii="Arial Narrow" w:hAnsi="Arial Narrow" w:cs="Arial"/>
                <w:sz w:val="20"/>
                <w:szCs w:val="20"/>
              </w:rPr>
              <w: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AND</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Patient must not have</w:t>
            </w:r>
            <w:r w:rsidRPr="00B86E59">
              <w:rPr>
                <w:rFonts w:ascii="Arial Narrow" w:hAnsi="Arial Narrow"/>
                <w:sz w:val="20"/>
                <w:szCs w:val="20"/>
              </w:rPr>
              <w:t xml:space="preserve"> </w:t>
            </w:r>
            <w:r w:rsidRPr="00B86E59">
              <w:rPr>
                <w:rFonts w:ascii="Arial Narrow" w:hAnsi="Arial Narrow" w:cs="Arial"/>
                <w:i/>
                <w:sz w:val="20"/>
                <w:szCs w:val="20"/>
              </w:rPr>
              <w:t>received prior treatment with</w:t>
            </w:r>
            <w:r w:rsidRPr="00B86E59">
              <w:rPr>
                <w:rFonts w:ascii="Arial Narrow" w:hAnsi="Arial Narrow" w:cs="Arial"/>
                <w:sz w:val="20"/>
                <w:szCs w:val="20"/>
              </w:rPr>
              <w:t xml:space="preserve"> </w:t>
            </w:r>
            <w:r w:rsidRPr="00B86E59">
              <w:rPr>
                <w:rFonts w:ascii="Arial Narrow" w:hAnsi="Arial Narrow" w:cs="Arial"/>
                <w:strike/>
                <w:sz w:val="20"/>
                <w:szCs w:val="20"/>
              </w:rPr>
              <w:t>had previous exposure to</w:t>
            </w:r>
            <w:r w:rsidRPr="00B86E59">
              <w:rPr>
                <w:rFonts w:ascii="Arial Narrow" w:hAnsi="Arial Narrow" w:cs="Arial"/>
                <w:sz w:val="20"/>
                <w:szCs w:val="20"/>
              </w:rPr>
              <w:t xml:space="preserve"> botulinum toxin type A</w:t>
            </w:r>
            <w:r w:rsidRPr="00B86E59">
              <w:rPr>
                <w:rFonts w:ascii="Arial Narrow" w:hAnsi="Arial Narrow" w:cs="Arial"/>
                <w:i/>
                <w:sz w:val="20"/>
                <w:szCs w:val="20"/>
              </w:rPr>
              <w:t xml:space="preserve"> for this condition</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Not used in combination with botulinum toxin type A</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Patient must be aged 18 years or older.</w:t>
            </w:r>
          </w:p>
          <w:p w:rsidR="00F03B0B" w:rsidRPr="00B86E59" w:rsidRDefault="00F03B0B" w:rsidP="00244EA1">
            <w:pPr>
              <w:rPr>
                <w:rFonts w:ascii="Arial Narrow" w:hAnsi="Arial Narrow" w:cs="Arial"/>
                <w:sz w:val="20"/>
                <w:szCs w:val="20"/>
              </w:rPr>
            </w:pP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Prophylactic migraine medications are </w:t>
            </w:r>
            <w:r w:rsidR="0078396F" w:rsidRPr="00B86E59">
              <w:rPr>
                <w:rFonts w:ascii="Arial Narrow" w:hAnsi="Arial Narrow" w:cs="Arial"/>
                <w:strike/>
                <w:sz w:val="20"/>
                <w:szCs w:val="20"/>
              </w:rPr>
              <w:t>propranolol</w:t>
            </w:r>
            <w:r w:rsidRPr="00B86E59">
              <w:rPr>
                <w:rFonts w:ascii="Arial Narrow" w:hAnsi="Arial Narrow" w:cs="Arial"/>
                <w:strike/>
                <w:sz w:val="20"/>
                <w:szCs w:val="20"/>
              </w:rPr>
              <w:t>, amitriptylin</w:t>
            </w:r>
            <w:r w:rsidR="0038214F" w:rsidRPr="00B86E59">
              <w:rPr>
                <w:rFonts w:ascii="Arial Narrow" w:hAnsi="Arial Narrow" w:cs="Arial"/>
                <w:strike/>
                <w:sz w:val="20"/>
                <w:szCs w:val="20"/>
              </w:rPr>
              <w:t>e</w:t>
            </w:r>
            <w:r w:rsidRPr="00B86E59">
              <w:rPr>
                <w:rFonts w:ascii="Arial Narrow" w:hAnsi="Arial Narrow" w:cs="Arial"/>
                <w:strike/>
                <w:sz w:val="20"/>
                <w:szCs w:val="20"/>
              </w:rPr>
              <w:t xml:space="preserve">, </w:t>
            </w:r>
            <w:proofErr w:type="spellStart"/>
            <w:r w:rsidRPr="00B86E59">
              <w:rPr>
                <w:rFonts w:ascii="Arial Narrow" w:hAnsi="Arial Narrow" w:cs="Arial"/>
                <w:strike/>
                <w:sz w:val="20"/>
                <w:szCs w:val="20"/>
              </w:rPr>
              <w:t>methsergide</w:t>
            </w:r>
            <w:proofErr w:type="spellEnd"/>
            <w:r w:rsidRPr="00B86E59">
              <w:rPr>
                <w:rFonts w:ascii="Arial Narrow" w:hAnsi="Arial Narrow" w:cs="Arial"/>
                <w:strike/>
                <w:sz w:val="20"/>
                <w:szCs w:val="20"/>
              </w:rPr>
              <w:t xml:space="preserve">, </w:t>
            </w:r>
            <w:proofErr w:type="spellStart"/>
            <w:r w:rsidRPr="00B86E59">
              <w:rPr>
                <w:rFonts w:ascii="Arial Narrow" w:hAnsi="Arial Narrow" w:cs="Arial"/>
                <w:strike/>
                <w:sz w:val="20"/>
                <w:szCs w:val="20"/>
              </w:rPr>
              <w:t>pizotifen</w:t>
            </w:r>
            <w:proofErr w:type="spellEnd"/>
            <w:r w:rsidRPr="00B86E59">
              <w:rPr>
                <w:rFonts w:ascii="Arial Narrow" w:hAnsi="Arial Narrow" w:cs="Arial"/>
                <w:strike/>
                <w:sz w:val="20"/>
                <w:szCs w:val="20"/>
              </w:rPr>
              <w:t xml:space="preserve">, cyproheptadine or </w:t>
            </w:r>
            <w:proofErr w:type="spellStart"/>
            <w:r w:rsidRPr="00B86E59">
              <w:rPr>
                <w:rFonts w:ascii="Arial Narrow" w:hAnsi="Arial Narrow" w:cs="Arial"/>
                <w:strike/>
                <w:sz w:val="20"/>
                <w:szCs w:val="20"/>
              </w:rPr>
              <w:t>topiramate</w:t>
            </w:r>
            <w:proofErr w:type="spellEnd"/>
            <w:r w:rsidRPr="00B86E59">
              <w:rPr>
                <w:rFonts w:ascii="Arial Narrow" w:hAnsi="Arial Narrow" w:cs="Arial"/>
                <w:strike/>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Prescriber Instructions</w:t>
            </w:r>
          </w:p>
          <w:p w:rsidR="00F03B0B" w:rsidRPr="00B86E59" w:rsidRDefault="00F03B0B" w:rsidP="00244EA1">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i/>
                <w:sz w:val="20"/>
                <w:szCs w:val="20"/>
              </w:rPr>
            </w:pPr>
            <w:r w:rsidRPr="00B86E59">
              <w:rPr>
                <w:rFonts w:ascii="Arial Narrow" w:hAnsi="Arial Narrow" w:cs="Arial"/>
                <w:i/>
                <w:sz w:val="20"/>
                <w:szCs w:val="20"/>
              </w:rPr>
              <w:t xml:space="preserve">Prophylactic migraine medications are </w:t>
            </w:r>
            <w:r w:rsidR="0078396F" w:rsidRPr="00B86E59">
              <w:rPr>
                <w:rFonts w:ascii="Arial Narrow" w:hAnsi="Arial Narrow" w:cs="Arial"/>
                <w:i/>
                <w:sz w:val="20"/>
                <w:szCs w:val="20"/>
              </w:rPr>
              <w:t>propranolol</w:t>
            </w:r>
            <w:r w:rsidRPr="00B86E59">
              <w:rPr>
                <w:rFonts w:ascii="Arial Narrow" w:hAnsi="Arial Narrow" w:cs="Arial"/>
                <w:i/>
                <w:sz w:val="20"/>
                <w:szCs w:val="20"/>
              </w:rPr>
              <w:t>, amitriptylin</w:t>
            </w:r>
            <w:r w:rsidR="0038214F" w:rsidRPr="00B86E59">
              <w:rPr>
                <w:rFonts w:ascii="Arial Narrow" w:hAnsi="Arial Narrow" w:cs="Arial"/>
                <w:i/>
                <w:sz w:val="20"/>
                <w:szCs w:val="20"/>
              </w:rPr>
              <w:t>e</w:t>
            </w:r>
            <w:r w:rsidRPr="00B86E59">
              <w:rPr>
                <w:rFonts w:ascii="Arial Narrow" w:hAnsi="Arial Narrow" w:cs="Arial"/>
                <w:i/>
                <w:sz w:val="20"/>
                <w:szCs w:val="20"/>
              </w:rPr>
              <w:t xml:space="preserve">, </w:t>
            </w:r>
            <w:proofErr w:type="spellStart"/>
            <w:r w:rsidRPr="00B86E59">
              <w:rPr>
                <w:rFonts w:ascii="Arial Narrow" w:hAnsi="Arial Narrow" w:cs="Arial"/>
                <w:i/>
                <w:sz w:val="20"/>
                <w:szCs w:val="20"/>
              </w:rPr>
              <w:t>methsergide</w:t>
            </w:r>
            <w:proofErr w:type="spellEnd"/>
            <w:r w:rsidRPr="00B86E59">
              <w:rPr>
                <w:rFonts w:ascii="Arial Narrow" w:hAnsi="Arial Narrow" w:cs="Arial"/>
                <w:i/>
                <w:sz w:val="20"/>
                <w:szCs w:val="20"/>
              </w:rPr>
              <w:t xml:space="preserve">, </w:t>
            </w:r>
            <w:proofErr w:type="spellStart"/>
            <w:r w:rsidRPr="00B86E59">
              <w:rPr>
                <w:rFonts w:ascii="Arial Narrow" w:hAnsi="Arial Narrow" w:cs="Arial"/>
                <w:i/>
                <w:sz w:val="20"/>
                <w:szCs w:val="20"/>
              </w:rPr>
              <w:t>pizotifen</w:t>
            </w:r>
            <w:proofErr w:type="spellEnd"/>
            <w:r w:rsidRPr="00B86E59">
              <w:rPr>
                <w:rFonts w:ascii="Arial Narrow" w:hAnsi="Arial Narrow" w:cs="Arial"/>
                <w:i/>
                <w:sz w:val="20"/>
                <w:szCs w:val="20"/>
              </w:rPr>
              <w:t xml:space="preserve">, cyproheptadine or </w:t>
            </w:r>
            <w:proofErr w:type="spellStart"/>
            <w:r w:rsidRPr="00B86E59">
              <w:rPr>
                <w:rFonts w:ascii="Arial Narrow" w:hAnsi="Arial Narrow" w:cs="Arial"/>
                <w:i/>
                <w:sz w:val="20"/>
                <w:szCs w:val="20"/>
              </w:rPr>
              <w:t>topiramate</w:t>
            </w:r>
            <w:proofErr w:type="spellEnd"/>
            <w:r w:rsidRPr="00B86E59">
              <w:rPr>
                <w:rFonts w:ascii="Arial Narrow" w:hAnsi="Arial Narrow" w:cs="Arial"/>
                <w:i/>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i/>
                <w:sz w:val="20"/>
                <w:szCs w:val="20"/>
              </w:rPr>
            </w:pPr>
            <w:r w:rsidRPr="00B86E59">
              <w:rPr>
                <w:rFonts w:ascii="Arial Narrow" w:hAnsi="Arial Narrow" w:cs="Arial"/>
                <w:i/>
                <w:sz w:val="20"/>
                <w:szCs w:val="20"/>
              </w:rPr>
              <w:t>This drug is not PBS-subsidised for use in combination with botulinum toxin type A</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lastRenderedPageBreak/>
              <w:t>Note</w:t>
            </w:r>
          </w:p>
          <w:p w:rsidR="00F03B0B" w:rsidRPr="00B86E59" w:rsidRDefault="00F03B0B" w:rsidP="00244EA1">
            <w:pPr>
              <w:rPr>
                <w:rFonts w:ascii="Arial Narrow" w:hAnsi="Arial Narrow" w:cs="Arial"/>
                <w:b/>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Continuing therapy only</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For prescribing by general practitioners as subsequent continuing therapy only, where the treatment of, and prescribing of medicine for, a patient has been initiated by a neurologist. </w:t>
            </w:r>
          </w:p>
          <w:p w:rsidR="00F03B0B" w:rsidRPr="00B86E59" w:rsidRDefault="00F03B0B" w:rsidP="00244EA1">
            <w:pPr>
              <w:rPr>
                <w:rFonts w:ascii="Arial Narrow" w:hAnsi="Arial Narrow" w:cs="Arial"/>
                <w:strike/>
                <w:sz w:val="20"/>
                <w:szCs w:val="20"/>
              </w:rPr>
            </w:pPr>
          </w:p>
          <w:p w:rsidR="00F03B0B" w:rsidRPr="00B86E59" w:rsidRDefault="00F03B0B" w:rsidP="00244EA1">
            <w:pPr>
              <w:rPr>
                <w:rFonts w:ascii="Arial Narrow" w:hAnsi="Arial Narrow" w:cs="Arial"/>
                <w:sz w:val="20"/>
                <w:szCs w:val="20"/>
              </w:rPr>
            </w:pPr>
            <w:r w:rsidRPr="00B86E59">
              <w:rPr>
                <w:rFonts w:ascii="Arial Narrow" w:hAnsi="Arial Narrow" w:cs="Arial"/>
                <w:strike/>
                <w:sz w:val="20"/>
                <w:szCs w:val="20"/>
              </w:rPr>
              <w:t>Applications for initial PBS-subsidised treatment for grandfather patients will provide for a maximum of 24 weeks of treatment. Approval will be based on the criteria included in the relevant restriction.</w:t>
            </w:r>
          </w:p>
        </w:tc>
      </w:tr>
    </w:tbl>
    <w:p w:rsidR="002278C5" w:rsidRDefault="002278C5" w:rsidP="00591957"/>
    <w:tbl>
      <w:tblPr>
        <w:tblW w:w="9214" w:type="dxa"/>
        <w:tblInd w:w="108" w:type="dxa"/>
        <w:tblLayout w:type="fixed"/>
        <w:tblLook w:val="0000" w:firstRow="0" w:lastRow="0" w:firstColumn="0" w:lastColumn="0" w:noHBand="0" w:noVBand="0"/>
      </w:tblPr>
      <w:tblGrid>
        <w:gridCol w:w="2552"/>
        <w:gridCol w:w="709"/>
        <w:gridCol w:w="567"/>
        <w:gridCol w:w="850"/>
        <w:gridCol w:w="1701"/>
        <w:gridCol w:w="1276"/>
        <w:gridCol w:w="1559"/>
      </w:tblGrid>
      <w:tr w:rsidR="00F03B0B" w:rsidRPr="00B86E59" w:rsidTr="00244EA1">
        <w:trPr>
          <w:cantSplit/>
          <w:trHeight w:val="471"/>
        </w:trPr>
        <w:tc>
          <w:tcPr>
            <w:tcW w:w="3261" w:type="dxa"/>
            <w:gridSpan w:val="2"/>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Name, Restriction,</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Manner of administration and form</w:t>
            </w:r>
          </w:p>
        </w:tc>
        <w:tc>
          <w:tcPr>
            <w:tcW w:w="567" w:type="dxa"/>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Max.</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Qty</w:t>
            </w:r>
          </w:p>
        </w:tc>
        <w:tc>
          <w:tcPr>
            <w:tcW w:w="850" w:type="dxa"/>
            <w:tcBorders>
              <w:bottom w:val="single" w:sz="4" w:space="0" w:color="auto"/>
            </w:tcBorders>
          </w:tcPr>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№.of</w:t>
            </w:r>
          </w:p>
          <w:p w:rsidR="00F03B0B" w:rsidRPr="00B86E59" w:rsidRDefault="00F03B0B" w:rsidP="00244EA1">
            <w:pPr>
              <w:keepNext/>
              <w:ind w:left="-108"/>
              <w:rPr>
                <w:rFonts w:ascii="Arial Narrow" w:hAnsi="Arial Narrow" w:cs="Arial"/>
                <w:b/>
                <w:sz w:val="20"/>
                <w:szCs w:val="20"/>
              </w:rPr>
            </w:pPr>
            <w:r w:rsidRPr="00B86E59">
              <w:rPr>
                <w:rFonts w:ascii="Arial Narrow" w:hAnsi="Arial Narrow" w:cs="Arial"/>
                <w:b/>
                <w:sz w:val="20"/>
                <w:szCs w:val="20"/>
              </w:rPr>
              <w:t>Rpts</w:t>
            </w:r>
          </w:p>
        </w:tc>
        <w:tc>
          <w:tcPr>
            <w:tcW w:w="1701" w:type="dxa"/>
            <w:tcBorders>
              <w:bottom w:val="single" w:sz="4" w:space="0" w:color="auto"/>
            </w:tcBorders>
          </w:tcPr>
          <w:p w:rsidR="00F03B0B" w:rsidRPr="00B86E59" w:rsidRDefault="00F03B0B" w:rsidP="00B86E59">
            <w:pPr>
              <w:keepNext/>
              <w:ind w:left="-108"/>
              <w:jc w:val="left"/>
              <w:rPr>
                <w:rFonts w:ascii="Arial Narrow" w:hAnsi="Arial Narrow" w:cs="Arial"/>
                <w:b/>
                <w:sz w:val="20"/>
                <w:szCs w:val="20"/>
              </w:rPr>
            </w:pPr>
            <w:r w:rsidRPr="00B86E59">
              <w:rPr>
                <w:rFonts w:ascii="Arial Narrow" w:hAnsi="Arial Narrow" w:cs="Arial"/>
                <w:b/>
                <w:sz w:val="20"/>
                <w:szCs w:val="20"/>
              </w:rPr>
              <w:t>Dispensed Price for Max. Qty</w:t>
            </w:r>
          </w:p>
        </w:tc>
        <w:tc>
          <w:tcPr>
            <w:tcW w:w="2835" w:type="dxa"/>
            <w:gridSpan w:val="2"/>
            <w:tcBorders>
              <w:bottom w:val="single" w:sz="4" w:space="0" w:color="auto"/>
            </w:tcBorders>
          </w:tcPr>
          <w:p w:rsidR="00F03B0B" w:rsidRPr="00B86E59" w:rsidRDefault="00F03B0B" w:rsidP="00B86E59">
            <w:pPr>
              <w:keepNext/>
              <w:jc w:val="left"/>
              <w:rPr>
                <w:rFonts w:ascii="Arial Narrow" w:hAnsi="Arial Narrow" w:cs="Arial"/>
                <w:b/>
                <w:sz w:val="20"/>
                <w:szCs w:val="20"/>
                <w:lang w:val="fr-FR"/>
              </w:rPr>
            </w:pPr>
            <w:r w:rsidRPr="00B86E59">
              <w:rPr>
                <w:rFonts w:ascii="Arial Narrow" w:hAnsi="Arial Narrow" w:cs="Arial"/>
                <w:b/>
                <w:sz w:val="20"/>
                <w:szCs w:val="20"/>
              </w:rPr>
              <w:t>Proprietary Name and Manufacturer</w:t>
            </w:r>
          </w:p>
        </w:tc>
      </w:tr>
      <w:tr w:rsidR="00F03B0B" w:rsidRPr="003B567A" w:rsidTr="00244EA1">
        <w:trPr>
          <w:cantSplit/>
          <w:trHeight w:val="577"/>
        </w:trPr>
        <w:tc>
          <w:tcPr>
            <w:tcW w:w="3261" w:type="dxa"/>
            <w:gridSpan w:val="2"/>
          </w:tcPr>
          <w:p w:rsidR="00F03B0B" w:rsidRPr="00B86E59" w:rsidRDefault="00F03B0B" w:rsidP="00244EA1">
            <w:pPr>
              <w:keepNext/>
              <w:ind w:left="-108"/>
              <w:rPr>
                <w:rFonts w:ascii="Arial Narrow" w:hAnsi="Arial Narrow"/>
                <w:sz w:val="20"/>
              </w:rPr>
            </w:pPr>
          </w:p>
          <w:p w:rsidR="00F03B0B" w:rsidRDefault="00F03B0B" w:rsidP="0038214F">
            <w:pPr>
              <w:keepNext/>
              <w:ind w:left="-108"/>
              <w:jc w:val="left"/>
              <w:rPr>
                <w:rFonts w:ascii="Arial Narrow" w:hAnsi="Arial Narrow"/>
                <w:sz w:val="20"/>
              </w:rPr>
            </w:pPr>
            <w:proofErr w:type="spellStart"/>
            <w:r w:rsidRPr="00B86E59">
              <w:rPr>
                <w:rFonts w:ascii="Arial Narrow" w:hAnsi="Arial Narrow"/>
                <w:sz w:val="20"/>
              </w:rPr>
              <w:t>Erenumab</w:t>
            </w:r>
            <w:proofErr w:type="spellEnd"/>
            <w:r w:rsidRPr="00B86E59">
              <w:rPr>
                <w:rFonts w:ascii="Arial Narrow" w:hAnsi="Arial Narrow"/>
                <w:sz w:val="20"/>
              </w:rPr>
              <w:t>, 70</w:t>
            </w:r>
            <w:r w:rsidR="0038214F" w:rsidRPr="00B86E59">
              <w:rPr>
                <w:rFonts w:ascii="Arial Narrow" w:hAnsi="Arial Narrow"/>
                <w:sz w:val="20"/>
              </w:rPr>
              <w:t xml:space="preserve"> </w:t>
            </w:r>
            <w:r w:rsidRPr="00B86E59">
              <w:rPr>
                <w:rFonts w:ascii="Arial Narrow" w:hAnsi="Arial Narrow"/>
                <w:sz w:val="20"/>
              </w:rPr>
              <w:t>mg/</w:t>
            </w:r>
            <w:r w:rsidR="0038214F" w:rsidRPr="00B86E59">
              <w:rPr>
                <w:rFonts w:ascii="Arial Narrow" w:hAnsi="Arial Narrow"/>
                <w:sz w:val="20"/>
              </w:rPr>
              <w:t xml:space="preserve"> </w:t>
            </w:r>
            <w:r w:rsidRPr="00B86E59">
              <w:rPr>
                <w:rFonts w:ascii="Arial Narrow" w:hAnsi="Arial Narrow"/>
                <w:sz w:val="20"/>
              </w:rPr>
              <w:t>mL, 2×1</w:t>
            </w:r>
            <w:r w:rsidR="0038214F" w:rsidRPr="00B86E59">
              <w:rPr>
                <w:rFonts w:ascii="Arial Narrow" w:hAnsi="Arial Narrow"/>
                <w:sz w:val="20"/>
              </w:rPr>
              <w:t xml:space="preserve"> </w:t>
            </w:r>
            <w:r w:rsidRPr="00B86E59">
              <w:rPr>
                <w:rFonts w:ascii="Arial Narrow" w:hAnsi="Arial Narrow"/>
                <w:sz w:val="20"/>
              </w:rPr>
              <w:t>mL, injection devices</w:t>
            </w:r>
          </w:p>
          <w:p w:rsidR="0078396F" w:rsidRPr="00B86E59" w:rsidRDefault="0078396F" w:rsidP="0038214F">
            <w:pPr>
              <w:keepNext/>
              <w:ind w:left="-108"/>
              <w:jc w:val="left"/>
              <w:rPr>
                <w:rFonts w:ascii="Arial Narrow" w:hAnsi="Arial Narrow" w:cs="Arial"/>
                <w:sz w:val="20"/>
                <w:szCs w:val="20"/>
              </w:rPr>
            </w:pPr>
          </w:p>
        </w:tc>
        <w:tc>
          <w:tcPr>
            <w:tcW w:w="567"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 xml:space="preserve">  1</w:t>
            </w:r>
          </w:p>
        </w:tc>
        <w:tc>
          <w:tcPr>
            <w:tcW w:w="850"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5</w:t>
            </w:r>
          </w:p>
        </w:tc>
        <w:tc>
          <w:tcPr>
            <w:tcW w:w="1701" w:type="dxa"/>
          </w:tcPr>
          <w:p w:rsidR="00F03B0B" w:rsidRPr="00B86E59" w:rsidRDefault="00F03B0B" w:rsidP="00244EA1">
            <w:pPr>
              <w:keepNext/>
              <w:ind w:left="-108"/>
              <w:rPr>
                <w:rFonts w:ascii="Arial Narrow" w:hAnsi="Arial Narrow" w:cs="Arial"/>
                <w:sz w:val="20"/>
                <w:szCs w:val="20"/>
              </w:rPr>
            </w:pPr>
          </w:p>
          <w:p w:rsidR="00F03B0B" w:rsidRPr="00B86E59" w:rsidRDefault="00F03B0B" w:rsidP="00244EA1">
            <w:pPr>
              <w:keepNext/>
              <w:ind w:left="-108"/>
              <w:rPr>
                <w:rFonts w:ascii="Arial Narrow" w:hAnsi="Arial Narrow" w:cs="Arial"/>
                <w:sz w:val="20"/>
                <w:szCs w:val="20"/>
              </w:rPr>
            </w:pPr>
            <w:r w:rsidRPr="00B86E59">
              <w:rPr>
                <w:rFonts w:ascii="Arial Narrow" w:hAnsi="Arial Narrow" w:cs="Arial"/>
                <w:sz w:val="20"/>
                <w:szCs w:val="20"/>
              </w:rPr>
              <w:t>$</w:t>
            </w:r>
            <w:r w:rsidR="00AF24DF">
              <w:rPr>
                <w:rFonts w:ascii="Arial Narrow" w:hAnsi="Arial Narrow" w:cs="Arial"/>
                <w:noProof/>
                <w:color w:val="000000"/>
                <w:sz w:val="20"/>
                <w:szCs w:val="20"/>
                <w:highlight w:val="black"/>
              </w:rPr>
              <w:t>''''''''''''''''</w:t>
            </w:r>
          </w:p>
        </w:tc>
        <w:tc>
          <w:tcPr>
            <w:tcW w:w="1276" w:type="dxa"/>
          </w:tcPr>
          <w:p w:rsidR="00F03B0B" w:rsidRPr="00B86E59" w:rsidRDefault="00F03B0B" w:rsidP="00244EA1">
            <w:pPr>
              <w:keepNext/>
              <w:rPr>
                <w:rFonts w:ascii="Arial Narrow" w:hAnsi="Arial Narrow" w:cs="Arial"/>
                <w:sz w:val="20"/>
                <w:szCs w:val="20"/>
              </w:rPr>
            </w:pPr>
          </w:p>
          <w:p w:rsidR="00F03B0B" w:rsidRPr="00B86E59" w:rsidRDefault="00F03B0B" w:rsidP="00244EA1">
            <w:pPr>
              <w:keepNext/>
              <w:rPr>
                <w:rFonts w:ascii="Arial Narrow" w:hAnsi="Arial Narrow" w:cs="Arial"/>
                <w:sz w:val="20"/>
                <w:szCs w:val="20"/>
              </w:rPr>
            </w:pPr>
            <w:proofErr w:type="spellStart"/>
            <w:r w:rsidRPr="00B86E59">
              <w:rPr>
                <w:rFonts w:ascii="Arial Narrow" w:hAnsi="Arial Narrow" w:cs="Arial"/>
                <w:sz w:val="20"/>
                <w:szCs w:val="20"/>
              </w:rPr>
              <w:t>Aimovig</w:t>
            </w:r>
            <w:proofErr w:type="spellEnd"/>
            <w:r w:rsidRPr="00B86E59">
              <w:rPr>
                <w:rFonts w:ascii="Arial Narrow" w:hAnsi="Arial Narrow" w:cs="Arial"/>
                <w:sz w:val="20"/>
                <w:szCs w:val="20"/>
              </w:rPr>
              <w:t>®</w:t>
            </w:r>
          </w:p>
        </w:tc>
        <w:tc>
          <w:tcPr>
            <w:tcW w:w="1559" w:type="dxa"/>
          </w:tcPr>
          <w:p w:rsidR="00F03B0B" w:rsidRPr="00B86E59" w:rsidRDefault="00F03B0B" w:rsidP="00244EA1">
            <w:pPr>
              <w:keepNext/>
              <w:rPr>
                <w:rFonts w:ascii="Arial Narrow" w:hAnsi="Arial Narrow" w:cs="Arial"/>
                <w:sz w:val="20"/>
                <w:szCs w:val="20"/>
              </w:rPr>
            </w:pPr>
          </w:p>
          <w:p w:rsidR="00F03B0B" w:rsidRPr="00B86E59" w:rsidRDefault="00F03B0B" w:rsidP="00244EA1">
            <w:pPr>
              <w:keepNext/>
              <w:rPr>
                <w:rFonts w:ascii="Arial Narrow" w:hAnsi="Arial Narrow" w:cs="Arial"/>
                <w:sz w:val="20"/>
                <w:szCs w:val="20"/>
              </w:rPr>
            </w:pPr>
            <w:r w:rsidRPr="00B86E59">
              <w:rPr>
                <w:rFonts w:ascii="Arial Narrow" w:hAnsi="Arial Narrow" w:cs="Arial"/>
                <w:sz w:val="20"/>
                <w:szCs w:val="20"/>
              </w:rPr>
              <w:t>Novartis Pharmaceuticals</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B86E59">
            <w:pPr>
              <w:rPr>
                <w:rFonts w:ascii="Arial Narrow" w:hAnsi="Arial Narrow" w:cs="Arial"/>
                <w:b/>
                <w:sz w:val="20"/>
                <w:szCs w:val="20"/>
              </w:rPr>
            </w:pPr>
            <w:r w:rsidRPr="00B86E59">
              <w:rPr>
                <w:rFonts w:ascii="Arial Narrow" w:hAnsi="Arial Narrow" w:cs="Arial"/>
                <w:b/>
                <w:sz w:val="20"/>
                <w:szCs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GENERAL – General Schedule (Code GE)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Prescriber type: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B86E59">
            <w:pPr>
              <w:rPr>
                <w:rFonts w:ascii="Arial Narrow" w:hAnsi="Arial Narrow" w:cs="Arial"/>
                <w:sz w:val="20"/>
                <w:szCs w:val="20"/>
              </w:rPr>
            </w:pPr>
            <w:r w:rsidRPr="00B86E59">
              <w:rPr>
                <w:rFonts w:ascii="Arial Narrow" w:hAnsi="Arial Narrow" w:cs="Arial"/>
                <w:sz w:val="20"/>
                <w:szCs w:val="20"/>
              </w:rPr>
              <w:fldChar w:fldCharType="begin">
                <w:ffData>
                  <w:name w:val="Check1"/>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Dental  </w:t>
            </w:r>
            <w:r w:rsidRPr="00B86E59">
              <w:rPr>
                <w:rFonts w:ascii="Arial Narrow" w:hAnsi="Arial Narrow" w:cs="Arial"/>
                <w:sz w:val="20"/>
                <w:szCs w:val="20"/>
              </w:rPr>
              <w:fldChar w:fldCharType="begin">
                <w:ffData>
                  <w:name w:val=""/>
                  <w:enabled/>
                  <w:calcOnExit w:val="0"/>
                  <w:checkBox>
                    <w:sizeAuto/>
                    <w:default w:val="1"/>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Medical Practitioners  </w:t>
            </w:r>
            <w:r w:rsidRPr="00B86E59">
              <w:rPr>
                <w:rFonts w:ascii="Arial Narrow" w:hAnsi="Arial Narrow" w:cs="Arial"/>
                <w:sz w:val="20"/>
                <w:szCs w:val="20"/>
              </w:rPr>
              <w:fldChar w:fldCharType="begin">
                <w:ffData>
                  <w:name w:val="Check3"/>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 xml:space="preserve">Nurse practitioners  </w:t>
            </w: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Optometrists</w:t>
            </w:r>
            <w:r w:rsidR="00B86E59">
              <w:rPr>
                <w:rFonts w:ascii="Arial Narrow" w:hAnsi="Arial Narrow" w:cs="Arial"/>
                <w:sz w:val="20"/>
                <w:szCs w:val="20"/>
              </w:rPr>
              <w:t xml:space="preserve"> </w:t>
            </w:r>
            <w:r w:rsidRPr="00B86E59">
              <w:rPr>
                <w:rFonts w:ascii="Arial Narrow" w:hAnsi="Arial Narrow" w:cs="Arial"/>
                <w:sz w:val="20"/>
                <w:szCs w:val="20"/>
              </w:rPr>
              <w:fldChar w:fldCharType="begin">
                <w:ffData>
                  <w:name w:val="Check5"/>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Midwives</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Episodicity:</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Chronic</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B86E59" w:rsidP="00244EA1">
            <w:pPr>
              <w:rPr>
                <w:rFonts w:ascii="Arial Narrow" w:hAnsi="Arial Narrow" w:cs="Arial"/>
                <w:sz w:val="20"/>
                <w:szCs w:val="20"/>
              </w:rPr>
            </w:pPr>
            <w:r>
              <w:rPr>
                <w:rFonts w:ascii="Arial Narrow" w:hAnsi="Arial Narrow" w:cs="Arial"/>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B86E59" w:rsidP="00244EA1">
            <w:pPr>
              <w:rPr>
                <w:rFonts w:ascii="Arial Narrow" w:hAnsi="Arial Narrow" w:cs="Arial"/>
                <w:sz w:val="20"/>
                <w:szCs w:val="20"/>
              </w:rPr>
            </w:pPr>
            <w:r>
              <w:rPr>
                <w:rFonts w:ascii="Arial Narrow" w:hAnsi="Arial Narrow" w:cs="Arial"/>
                <w:sz w:val="20"/>
                <w:szCs w:val="20"/>
              </w:rPr>
              <w:t>M</w:t>
            </w:r>
            <w:r w:rsidR="00F03B0B" w:rsidRPr="00B86E59">
              <w:rPr>
                <w:rFonts w:ascii="Arial Narrow" w:hAnsi="Arial Narrow" w:cs="Arial"/>
                <w:sz w:val="20"/>
                <w:szCs w:val="20"/>
              </w:rPr>
              <w:t>igraine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Chronic migraine</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i/>
                <w:sz w:val="20"/>
                <w:szCs w:val="20"/>
              </w:rPr>
            </w:pPr>
            <w:r w:rsidRPr="00B86E59">
              <w:rPr>
                <w:rFonts w:ascii="Arial Narrow" w:hAnsi="Arial Narrow" w:cs="Arial"/>
                <w:i/>
                <w:sz w:val="20"/>
                <w:szCs w:val="20"/>
              </w:rPr>
              <w:t>Continuing</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Restriction Level / Method:</w:t>
            </w:r>
          </w:p>
          <w:p w:rsidR="00F03B0B" w:rsidRPr="00B86E59" w:rsidRDefault="00F03B0B" w:rsidP="00244EA1">
            <w:pPr>
              <w:rPr>
                <w:rFonts w:ascii="Arial Narrow" w:hAnsi="Arial Narrow"/>
                <w:sz w:val="20"/>
                <w:szCs w:val="20"/>
              </w:rPr>
            </w:pPr>
            <w:r w:rsidRPr="00B86E59">
              <w:rPr>
                <w:rFonts w:ascii="Arial Narrow" w:hAnsi="Arial Narrow"/>
                <w:sz w:val="20"/>
                <w:szCs w:val="20"/>
              </w:rPr>
              <w:t>Section 85</w:t>
            </w:r>
          </w:p>
          <w:p w:rsidR="00F03B0B" w:rsidRPr="00B86E59" w:rsidRDefault="00F03B0B" w:rsidP="00244EA1">
            <w:pPr>
              <w:rPr>
                <w:rFonts w:ascii="Arial Narrow" w:hAnsi="Arial Narrow"/>
                <w:i/>
                <w:sz w:val="20"/>
                <w:szCs w:val="20"/>
              </w:rPr>
            </w:pPr>
            <w:r w:rsidRPr="00B86E59">
              <w:rPr>
                <w:rFonts w:ascii="Arial Narrow" w:hAnsi="Arial Narrow"/>
                <w:i/>
                <w:sz w:val="20"/>
                <w:szCs w:val="20"/>
              </w:rPr>
              <w:t>Authority required</w:t>
            </w:r>
          </w:p>
          <w:p w:rsidR="00F03B0B" w:rsidRPr="00B86E59" w:rsidRDefault="00F03B0B" w:rsidP="00244EA1">
            <w:pPr>
              <w:rPr>
                <w:rFonts w:ascii="Arial Narrow" w:hAnsi="Arial Narrow" w:cs="Arial"/>
                <w:i/>
                <w:sz w:val="20"/>
                <w:szCs w:val="20"/>
              </w:rPr>
            </w:pPr>
          </w:p>
          <w:p w:rsidR="00F03B0B" w:rsidRPr="00B86E59" w:rsidRDefault="00F03B0B" w:rsidP="00244EA1">
            <w:pPr>
              <w:rPr>
                <w:rFonts w:ascii="Arial Narrow" w:hAnsi="Arial Narrow" w:cs="Arial"/>
                <w: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1"/>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Restricted benefit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In Writing</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3"/>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Telephone</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Emergency</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5"/>
                  <w:enabled/>
                  <w:calcOnExit w:val="0"/>
                  <w:checkBox>
                    <w:sizeAuto/>
                    <w:default w:val="0"/>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Authority Required - Electronic</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fldChar w:fldCharType="begin">
                <w:ffData>
                  <w:name w:val="Check5"/>
                  <w:enabled/>
                  <w:calcOnExit w:val="0"/>
                  <w:checkBox>
                    <w:sizeAuto/>
                    <w:default w:val="1"/>
                  </w:checkBox>
                </w:ffData>
              </w:fldChar>
            </w:r>
            <w:r w:rsidRPr="00B86E59">
              <w:rPr>
                <w:rFonts w:ascii="Arial Narrow" w:hAnsi="Arial Narrow" w:cs="Arial"/>
                <w:sz w:val="20"/>
                <w:szCs w:val="20"/>
              </w:rPr>
              <w:instrText xml:space="preserve"> FORMCHECKBOX </w:instrText>
            </w:r>
            <w:r w:rsidR="00A94C23">
              <w:rPr>
                <w:rFonts w:ascii="Arial Narrow" w:hAnsi="Arial Narrow" w:cs="Arial"/>
                <w:sz w:val="20"/>
                <w:szCs w:val="20"/>
              </w:rPr>
            </w:r>
            <w:r w:rsidR="00A94C23">
              <w:rPr>
                <w:rFonts w:ascii="Arial Narrow" w:hAnsi="Arial Narrow" w:cs="Arial"/>
                <w:sz w:val="20"/>
                <w:szCs w:val="20"/>
              </w:rPr>
              <w:fldChar w:fldCharType="separate"/>
            </w:r>
            <w:r w:rsidRPr="00B86E59">
              <w:rPr>
                <w:rFonts w:ascii="Arial Narrow" w:hAnsi="Arial Narrow" w:cs="Arial"/>
                <w:sz w:val="20"/>
                <w:szCs w:val="20"/>
              </w:rPr>
              <w:fldChar w:fldCharType="end"/>
            </w:r>
            <w:r w:rsidRPr="00B86E59">
              <w:rPr>
                <w:rFonts w:ascii="Arial Narrow" w:hAnsi="Arial Narrow" w:cs="Arial"/>
                <w:sz w:val="20"/>
                <w:szCs w:val="20"/>
              </w:rPr>
              <w:t>Streamlined</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Clinical criteria:</w:t>
            </w:r>
          </w:p>
          <w:p w:rsidR="00F03B0B" w:rsidRPr="00B86E59" w:rsidRDefault="00F03B0B" w:rsidP="00244EA1">
            <w:pPr>
              <w:rPr>
                <w:rFonts w:ascii="Arial Narrow" w:hAnsi="Arial Narrow" w:cs="Arial"/>
                <w:i/>
                <w:sz w:val="20"/>
                <w:szCs w:val="20"/>
              </w:rPr>
            </w:pPr>
          </w:p>
          <w:p w:rsidR="00F03B0B" w:rsidRPr="00B86E59" w:rsidRDefault="00F03B0B" w:rsidP="00244EA1">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Patient must have experienced an average of 15 or more headache days per month, with at least 8 days of migraine, over a period of at least 6 months, prior to commencement of treatment with </w:t>
            </w:r>
            <w:proofErr w:type="spellStart"/>
            <w:r w:rsidRPr="00B86E59">
              <w:rPr>
                <w:rFonts w:ascii="Arial Narrow" w:hAnsi="Arial Narrow" w:cs="Arial"/>
                <w:strike/>
                <w:sz w:val="20"/>
                <w:szCs w:val="20"/>
              </w:rPr>
              <w:t>erenumab</w:t>
            </w:r>
            <w:proofErr w:type="spellEnd"/>
            <w:r w:rsidRPr="00B86E59">
              <w:rPr>
                <w:rFonts w:ascii="Arial Narrow" w:hAnsi="Arial Narrow" w:cs="Arial"/>
                <w:strike/>
                <w:sz w:val="20"/>
                <w:szCs w:val="20"/>
              </w:rPr>
              <w:t>,</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AND</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Patient must have experienced an inadequate response, intolerance or a contraindication to at least three prophylactic migraine medications prior to commencement of treatment with </w:t>
            </w:r>
            <w:proofErr w:type="spellStart"/>
            <w:r w:rsidRPr="00B86E59">
              <w:rPr>
                <w:rFonts w:ascii="Arial Narrow" w:hAnsi="Arial Narrow" w:cs="Arial"/>
                <w:strike/>
                <w:sz w:val="20"/>
                <w:szCs w:val="20"/>
              </w:rPr>
              <w:t>erenumab</w:t>
            </w:r>
            <w:proofErr w:type="spellEnd"/>
            <w:r w:rsidRPr="00B86E59">
              <w:rPr>
                <w:rFonts w:ascii="Arial Narrow" w:hAnsi="Arial Narrow" w:cs="Arial"/>
                <w:strike/>
                <w:sz w:val="20"/>
                <w:szCs w:val="20"/>
              </w:rPr>
              <w:t>,</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AND </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Patient must have achieved and maintained a 50% or greater reduction from baseline in the number of headache days per month after six treatment cycles (24 weeks duration) in order to be eligible for continuing PBS-subsidised treatment</w:t>
            </w:r>
            <w:r w:rsidRPr="00B86E59">
              <w:rPr>
                <w:rFonts w:ascii="Arial Narrow" w:hAnsi="Arial Narrow" w:cs="Arial"/>
                <w:strike/>
                <w:sz w:val="20"/>
                <w:szCs w:val="20"/>
              </w:rPr>
              <w: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AND</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 xml:space="preserve">Patient must be appropriately managed by his or her practitioner for medication overuse headache, prior to initiation of treatment with </w:t>
            </w:r>
            <w:proofErr w:type="spellStart"/>
            <w:r w:rsidRPr="00B86E59">
              <w:rPr>
                <w:rFonts w:ascii="Arial Narrow" w:hAnsi="Arial Narrow" w:cs="Arial"/>
                <w:sz w:val="20"/>
                <w:szCs w:val="20"/>
              </w:rPr>
              <w:t>erenumab</w:t>
            </w:r>
            <w:proofErr w:type="spellEnd"/>
            <w:r w:rsidRPr="00B86E59">
              <w:rPr>
                <w:rFonts w:ascii="Arial Narrow" w:hAnsi="Arial Narrow" w:cs="Arial"/>
                <w:sz w:val="20"/>
                <w:szCs w:val="20"/>
              </w:rPr>
              <w:t>.</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AND</w:t>
            </w:r>
          </w:p>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Patient must not have</w:t>
            </w:r>
            <w:r w:rsidRPr="00B86E59">
              <w:rPr>
                <w:rFonts w:ascii="Arial Narrow" w:hAnsi="Arial Narrow"/>
                <w:sz w:val="20"/>
                <w:szCs w:val="20"/>
              </w:rPr>
              <w:t xml:space="preserve"> </w:t>
            </w:r>
            <w:r w:rsidRPr="00B86E59">
              <w:rPr>
                <w:rFonts w:ascii="Arial Narrow" w:hAnsi="Arial Narrow" w:cs="Arial"/>
                <w:i/>
                <w:sz w:val="20"/>
                <w:szCs w:val="20"/>
              </w:rPr>
              <w:t>received prior treatment with</w:t>
            </w:r>
            <w:r w:rsidRPr="00B86E59">
              <w:rPr>
                <w:rFonts w:ascii="Arial Narrow" w:hAnsi="Arial Narrow" w:cs="Arial"/>
                <w:sz w:val="20"/>
                <w:szCs w:val="20"/>
              </w:rPr>
              <w:t xml:space="preserve"> </w:t>
            </w:r>
            <w:r w:rsidRPr="00B86E59">
              <w:rPr>
                <w:rFonts w:ascii="Arial Narrow" w:hAnsi="Arial Narrow" w:cs="Arial"/>
                <w:strike/>
                <w:sz w:val="20"/>
                <w:szCs w:val="20"/>
              </w:rPr>
              <w:t>had previous exposure to</w:t>
            </w:r>
            <w:r w:rsidRPr="00B86E59">
              <w:rPr>
                <w:rFonts w:ascii="Arial Narrow" w:hAnsi="Arial Narrow" w:cs="Arial"/>
                <w:sz w:val="20"/>
                <w:szCs w:val="20"/>
              </w:rPr>
              <w:t xml:space="preserve"> botulinum toxin type A</w:t>
            </w:r>
            <w:r w:rsidRPr="00B86E59">
              <w:rPr>
                <w:rFonts w:ascii="Arial Narrow" w:hAnsi="Arial Narrow" w:cs="Arial"/>
                <w:i/>
                <w:sz w:val="20"/>
                <w:szCs w:val="20"/>
              </w:rPr>
              <w:t xml:space="preserve"> for this condition</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Not used in combination with botulinum toxin type A</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z w:val="20"/>
                <w:szCs w:val="20"/>
              </w:rPr>
            </w:pPr>
            <w:r w:rsidRPr="00B86E59">
              <w:rPr>
                <w:rFonts w:ascii="Arial Narrow" w:hAnsi="Arial Narrow" w:cs="Arial"/>
                <w:sz w:val="20"/>
                <w:szCs w:val="20"/>
              </w:rPr>
              <w:t>Patient must be aged 18 years or older.</w:t>
            </w:r>
          </w:p>
          <w:p w:rsidR="00F03B0B" w:rsidRPr="00B86E59" w:rsidRDefault="00F03B0B" w:rsidP="00244EA1">
            <w:pPr>
              <w:rPr>
                <w:rFonts w:ascii="Arial Narrow" w:hAnsi="Arial Narrow" w:cs="Arial"/>
                <w:sz w:val="20"/>
                <w:szCs w:val="20"/>
              </w:rPr>
            </w:pP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Prophylactic migraine medications are </w:t>
            </w:r>
            <w:r w:rsidR="0078396F" w:rsidRPr="00B86E59">
              <w:rPr>
                <w:rFonts w:ascii="Arial Narrow" w:hAnsi="Arial Narrow" w:cs="Arial"/>
                <w:strike/>
                <w:sz w:val="20"/>
                <w:szCs w:val="20"/>
              </w:rPr>
              <w:t>propranolol</w:t>
            </w:r>
            <w:r w:rsidRPr="00B86E59">
              <w:rPr>
                <w:rFonts w:ascii="Arial Narrow" w:hAnsi="Arial Narrow" w:cs="Arial"/>
                <w:strike/>
                <w:sz w:val="20"/>
                <w:szCs w:val="20"/>
              </w:rPr>
              <w:t>, amitriptylin</w:t>
            </w:r>
            <w:r w:rsidR="0038214F" w:rsidRPr="00B86E59">
              <w:rPr>
                <w:rFonts w:ascii="Arial Narrow" w:hAnsi="Arial Narrow" w:cs="Arial"/>
                <w:strike/>
                <w:sz w:val="20"/>
                <w:szCs w:val="20"/>
              </w:rPr>
              <w:t>e</w:t>
            </w:r>
            <w:r w:rsidRPr="00B86E59">
              <w:rPr>
                <w:rFonts w:ascii="Arial Narrow" w:hAnsi="Arial Narrow" w:cs="Arial"/>
                <w:strike/>
                <w:sz w:val="20"/>
                <w:szCs w:val="20"/>
              </w:rPr>
              <w:t xml:space="preserve">, </w:t>
            </w:r>
            <w:proofErr w:type="spellStart"/>
            <w:r w:rsidRPr="00B86E59">
              <w:rPr>
                <w:rFonts w:ascii="Arial Narrow" w:hAnsi="Arial Narrow" w:cs="Arial"/>
                <w:strike/>
                <w:sz w:val="20"/>
                <w:szCs w:val="20"/>
              </w:rPr>
              <w:t>methsergide</w:t>
            </w:r>
            <w:proofErr w:type="spellEnd"/>
            <w:r w:rsidRPr="00B86E59">
              <w:rPr>
                <w:rFonts w:ascii="Arial Narrow" w:hAnsi="Arial Narrow" w:cs="Arial"/>
                <w:strike/>
                <w:sz w:val="20"/>
                <w:szCs w:val="20"/>
              </w:rPr>
              <w:t xml:space="preserve">, </w:t>
            </w:r>
            <w:proofErr w:type="spellStart"/>
            <w:r w:rsidRPr="00B86E59">
              <w:rPr>
                <w:rFonts w:ascii="Arial Narrow" w:hAnsi="Arial Narrow" w:cs="Arial"/>
                <w:strike/>
                <w:sz w:val="20"/>
                <w:szCs w:val="20"/>
              </w:rPr>
              <w:t>pizotifen</w:t>
            </w:r>
            <w:proofErr w:type="spellEnd"/>
            <w:r w:rsidRPr="00B86E59">
              <w:rPr>
                <w:rFonts w:ascii="Arial Narrow" w:hAnsi="Arial Narrow" w:cs="Arial"/>
                <w:strike/>
                <w:sz w:val="20"/>
                <w:szCs w:val="20"/>
              </w:rPr>
              <w:t xml:space="preserve">, cyproheptadine or </w:t>
            </w:r>
            <w:proofErr w:type="spellStart"/>
            <w:r w:rsidRPr="00B86E59">
              <w:rPr>
                <w:rFonts w:ascii="Arial Narrow" w:hAnsi="Arial Narrow" w:cs="Arial"/>
                <w:strike/>
                <w:sz w:val="20"/>
                <w:szCs w:val="20"/>
              </w:rPr>
              <w:t>topiramate</w:t>
            </w:r>
            <w:proofErr w:type="spellEnd"/>
            <w:r w:rsidRPr="00B86E59">
              <w:rPr>
                <w:rFonts w:ascii="Arial Narrow" w:hAnsi="Arial Narrow" w:cs="Arial"/>
                <w:strike/>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lastRenderedPageBreak/>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i/>
                <w:sz w:val="20"/>
                <w:szCs w:val="20"/>
              </w:rPr>
            </w:pPr>
            <w:r w:rsidRPr="00B86E59">
              <w:rPr>
                <w:rFonts w:ascii="Arial Narrow" w:hAnsi="Arial Narrow" w:cs="Arial"/>
                <w:i/>
                <w:sz w:val="20"/>
                <w:szCs w:val="20"/>
              </w:rPr>
              <w:t>This drug is not PBS-subsidised for use in combination with botulinum toxin type A</w:t>
            </w:r>
            <w:r w:rsidR="00B86E59">
              <w:rPr>
                <w:rFonts w:ascii="Arial Narrow" w:hAnsi="Arial Narrow" w:cs="Arial"/>
                <w:i/>
                <w:sz w:val="20"/>
                <w:szCs w:val="20"/>
              </w:rPr>
              <w:t>.</w:t>
            </w:r>
          </w:p>
        </w:tc>
      </w:tr>
      <w:tr w:rsidR="00F03B0B" w:rsidRPr="003B567A" w:rsidTr="00B86E59">
        <w:trPr>
          <w:cantSplit/>
          <w:trHeight w:val="360"/>
        </w:trPr>
        <w:tc>
          <w:tcPr>
            <w:tcW w:w="2552" w:type="dxa"/>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b/>
                <w:sz w:val="20"/>
                <w:szCs w:val="20"/>
              </w:rPr>
            </w:pPr>
            <w:r w:rsidRPr="00B86E59">
              <w:rPr>
                <w:rFonts w:ascii="Arial Narrow" w:hAnsi="Arial Narrow" w:cs="Arial"/>
                <w:b/>
                <w:sz w:val="20"/>
                <w:szCs w:val="20"/>
              </w:rPr>
              <w:t>Note</w:t>
            </w:r>
          </w:p>
          <w:p w:rsidR="00F03B0B" w:rsidRPr="00B86E59" w:rsidRDefault="00F03B0B" w:rsidP="00244EA1">
            <w:pPr>
              <w:rPr>
                <w:rFonts w:ascii="Arial Narrow" w:hAnsi="Arial Narrow" w:cs="Arial"/>
                <w:b/>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Continuing therapy only</w:t>
            </w:r>
          </w:p>
          <w:p w:rsidR="00F03B0B" w:rsidRPr="00B86E59" w:rsidRDefault="00F03B0B" w:rsidP="00244EA1">
            <w:pPr>
              <w:rPr>
                <w:rFonts w:ascii="Arial Narrow" w:hAnsi="Arial Narrow" w:cs="Arial"/>
                <w:strike/>
                <w:sz w:val="20"/>
                <w:szCs w:val="20"/>
              </w:rPr>
            </w:pPr>
            <w:r w:rsidRPr="00B86E59">
              <w:rPr>
                <w:rFonts w:ascii="Arial Narrow" w:hAnsi="Arial Narrow" w:cs="Arial"/>
                <w:strike/>
                <w:sz w:val="20"/>
                <w:szCs w:val="20"/>
              </w:rPr>
              <w:t xml:space="preserve">For prescribing by general practitioners as subsequent continuing therapy only, where the treatment of, and prescribing of medicine for, a patient has been initiated by a neurologist. </w:t>
            </w:r>
          </w:p>
          <w:p w:rsidR="00F03B0B" w:rsidRPr="00B86E59" w:rsidRDefault="00F03B0B" w:rsidP="00244EA1">
            <w:pPr>
              <w:rPr>
                <w:rFonts w:ascii="Arial Narrow" w:hAnsi="Arial Narrow" w:cs="Arial"/>
                <w:strike/>
                <w:sz w:val="20"/>
                <w:szCs w:val="20"/>
              </w:rPr>
            </w:pPr>
          </w:p>
          <w:p w:rsidR="00F03B0B" w:rsidRPr="00B86E59" w:rsidRDefault="00F03B0B" w:rsidP="00244EA1">
            <w:pPr>
              <w:rPr>
                <w:rFonts w:ascii="Arial Narrow" w:hAnsi="Arial Narrow" w:cs="Arial"/>
                <w:sz w:val="20"/>
                <w:szCs w:val="20"/>
              </w:rPr>
            </w:pPr>
            <w:r w:rsidRPr="00B86E59">
              <w:rPr>
                <w:rFonts w:ascii="Arial Narrow" w:hAnsi="Arial Narrow" w:cs="Arial"/>
                <w:strike/>
                <w:sz w:val="20"/>
                <w:szCs w:val="20"/>
              </w:rPr>
              <w:t>Applications for initial PBS-subsidised treatment for grandfather patients will provide for a maximum of 24 weeks of treatment. Approval will be based on the criteria included in the relevant restriction.</w:t>
            </w:r>
          </w:p>
        </w:tc>
      </w:tr>
    </w:tbl>
    <w:p w:rsidR="00F03B0B" w:rsidRPr="00A700F7" w:rsidRDefault="00F03B0B" w:rsidP="00591957"/>
    <w:p w:rsidR="003621F8" w:rsidRDefault="002236DE" w:rsidP="009955DC">
      <w:pPr>
        <w:pStyle w:val="ListParagraph"/>
        <w:numPr>
          <w:ilvl w:val="1"/>
          <w:numId w:val="3"/>
        </w:numPr>
      </w:pPr>
      <w:r w:rsidRPr="00A20321">
        <w:t>The requested restriction largely matched the PBS listing of Botox for chronic migraine, with two key differences</w:t>
      </w:r>
      <w:r w:rsidR="000E4E80">
        <w:t xml:space="preserve">: </w:t>
      </w:r>
      <w:proofErr w:type="spellStart"/>
      <w:r w:rsidRPr="00A20321">
        <w:t>i</w:t>
      </w:r>
      <w:proofErr w:type="spellEnd"/>
      <w:r w:rsidRPr="00A20321">
        <w:t xml:space="preserve">) a patient must not have had previous exposure to Botox; and ii) </w:t>
      </w:r>
      <w:proofErr w:type="spellStart"/>
      <w:r w:rsidRPr="00A20321">
        <w:t>erenumab</w:t>
      </w:r>
      <w:proofErr w:type="spellEnd"/>
      <w:r w:rsidRPr="00A20321">
        <w:t xml:space="preserve"> must not be used in combination with Botox. </w:t>
      </w:r>
    </w:p>
    <w:p w:rsidR="000E4E80" w:rsidRDefault="00B943E1" w:rsidP="009955DC">
      <w:pPr>
        <w:pStyle w:val="ListParagraph"/>
        <w:numPr>
          <w:ilvl w:val="1"/>
          <w:numId w:val="3"/>
        </w:numPr>
      </w:pPr>
      <w:r>
        <w:t xml:space="preserve">The Drug Utilisation Sub-Committee (DUSC) noted that </w:t>
      </w:r>
      <w:r w:rsidRPr="00A700F7">
        <w:t>the need for patients to be naïve to Botox has not been justified and may not be able to be applied</w:t>
      </w:r>
      <w:r>
        <w:t xml:space="preserve"> in practice, therefore t</w:t>
      </w:r>
      <w:r w:rsidR="002236DE" w:rsidRPr="00A20321">
        <w:t xml:space="preserve">here is potential for use of </w:t>
      </w:r>
      <w:proofErr w:type="spellStart"/>
      <w:r w:rsidR="002236DE" w:rsidRPr="00A20321">
        <w:t>erenumab</w:t>
      </w:r>
      <w:proofErr w:type="spellEnd"/>
      <w:r w:rsidR="00F80BE0" w:rsidRPr="00A20321">
        <w:t xml:space="preserve"> outside the requested restriction</w:t>
      </w:r>
      <w:r w:rsidR="002236DE" w:rsidRPr="00A20321">
        <w:t xml:space="preserve"> in patients who have previously been treated with Botox.</w:t>
      </w:r>
      <w:r w:rsidR="00104400" w:rsidRPr="00A20321">
        <w:t xml:space="preserve"> The </w:t>
      </w:r>
      <w:r w:rsidR="00C6329B">
        <w:t>Economics Sub-Committee (ESC)</w:t>
      </w:r>
      <w:r w:rsidR="00C6329B" w:rsidRPr="00A20321">
        <w:t xml:space="preserve"> </w:t>
      </w:r>
      <w:r w:rsidR="00104400" w:rsidRPr="00A20321">
        <w:t xml:space="preserve">agreed that this was </w:t>
      </w:r>
      <w:r w:rsidR="00C07ECD">
        <w:t xml:space="preserve">clinically reasonable to </w:t>
      </w:r>
      <w:r w:rsidR="00104400" w:rsidRPr="00A20321">
        <w:t xml:space="preserve">try </w:t>
      </w:r>
      <w:proofErr w:type="spellStart"/>
      <w:r w:rsidR="00104400" w:rsidRPr="00A20321">
        <w:t>erenumab</w:t>
      </w:r>
      <w:proofErr w:type="spellEnd"/>
      <w:r w:rsidR="00104400" w:rsidRPr="00A20321">
        <w:t xml:space="preserve"> if </w:t>
      </w:r>
      <w:r w:rsidR="00E97BBF" w:rsidRPr="00A20321">
        <w:t>B</w:t>
      </w:r>
      <w:r w:rsidR="00104400" w:rsidRPr="00A20321">
        <w:t xml:space="preserve">otox </w:t>
      </w:r>
      <w:r w:rsidR="00C07ECD">
        <w:t xml:space="preserve">treatment </w:t>
      </w:r>
      <w:r w:rsidR="00104400" w:rsidRPr="00A20321">
        <w:t xml:space="preserve">had failed.  </w:t>
      </w:r>
    </w:p>
    <w:p w:rsidR="003621F8" w:rsidRPr="00A20321" w:rsidRDefault="003621F8" w:rsidP="003621F8">
      <w:pPr>
        <w:pStyle w:val="ListParagraph"/>
        <w:numPr>
          <w:ilvl w:val="1"/>
          <w:numId w:val="3"/>
        </w:numPr>
      </w:pPr>
      <w:r w:rsidRPr="00A20321">
        <w:t xml:space="preserve">The criterion that </w:t>
      </w:r>
      <w:proofErr w:type="spellStart"/>
      <w:r w:rsidRPr="00A20321">
        <w:t>erenumab</w:t>
      </w:r>
      <w:proofErr w:type="spellEnd"/>
      <w:r w:rsidRPr="00A20321">
        <w:t xml:space="preserve"> must not be used in combination with Botox is appropriate given absence of clinical evidence addressing the use of </w:t>
      </w:r>
      <w:r>
        <w:t xml:space="preserve">the two agents in combination. Should </w:t>
      </w:r>
      <w:proofErr w:type="spellStart"/>
      <w:r>
        <w:t>erenumab</w:t>
      </w:r>
      <w:proofErr w:type="spellEnd"/>
      <w:r>
        <w:t xml:space="preserve"> be PBS listed, a</w:t>
      </w:r>
      <w:r w:rsidRPr="00A20321">
        <w:t xml:space="preserve"> corresponding statement would need to be added to the Botox PBS listing, i.e. that it should not be used in combination with </w:t>
      </w:r>
      <w:proofErr w:type="spellStart"/>
      <w:proofErr w:type="gramStart"/>
      <w:r w:rsidRPr="00A20321">
        <w:t>erenumab</w:t>
      </w:r>
      <w:proofErr w:type="spellEnd"/>
      <w:r w:rsidRPr="00A20321">
        <w:t>.</w:t>
      </w:r>
      <w:proofErr w:type="gramEnd"/>
      <w:r w:rsidRPr="00A20321">
        <w:t xml:space="preserve"> The ESC noted that under the proposed restrictions for </w:t>
      </w:r>
      <w:proofErr w:type="spellStart"/>
      <w:r w:rsidRPr="00A20321">
        <w:t>erenumab</w:t>
      </w:r>
      <w:proofErr w:type="spellEnd"/>
      <w:r w:rsidRPr="00A20321">
        <w:t xml:space="preserve"> and the current restriction for Botox, clinicians would be likely to try </w:t>
      </w:r>
      <w:proofErr w:type="spellStart"/>
      <w:r w:rsidRPr="00A20321">
        <w:t>erenumab</w:t>
      </w:r>
      <w:proofErr w:type="spellEnd"/>
      <w:r w:rsidRPr="00A20321">
        <w:t xml:space="preserve"> but could still prescribe Botox in those with inadequate response to </w:t>
      </w:r>
      <w:proofErr w:type="spellStart"/>
      <w:r w:rsidRPr="00A20321">
        <w:t>erenumab</w:t>
      </w:r>
      <w:proofErr w:type="spellEnd"/>
      <w:r w:rsidRPr="00A20321">
        <w:t>.</w:t>
      </w:r>
      <w:r>
        <w:t xml:space="preserve"> </w:t>
      </w:r>
    </w:p>
    <w:p w:rsidR="003621F8" w:rsidRDefault="007B43EF" w:rsidP="003621F8">
      <w:pPr>
        <w:pStyle w:val="Bulletpoints"/>
      </w:pPr>
      <w:r>
        <w:t xml:space="preserve">Another </w:t>
      </w:r>
      <w:r w:rsidR="003621F8" w:rsidRPr="00A20321">
        <w:t>difference compared with the current Botox listing is that the requested restriction allows for prescribing of continuing therapy by a GP.  The submission stated that this would reduce waiting time relevant to continuing therapy.  The submission cited a 9 month waiting time for appointments with a neurologist</w:t>
      </w:r>
      <w:r w:rsidR="003621F8">
        <w:t>,</w:t>
      </w:r>
      <w:r w:rsidR="003621F8" w:rsidRPr="00A20321">
        <w:t xml:space="preserve"> sourced from market research commissioned by the sponsor.  </w:t>
      </w:r>
      <w:r w:rsidR="003621F8">
        <w:t>This estimate of the</w:t>
      </w:r>
      <w:r w:rsidR="003621F8" w:rsidRPr="00A20321">
        <w:t xml:space="preserve"> waiting period </w:t>
      </w:r>
      <w:r w:rsidR="003621F8">
        <w:t xml:space="preserve">was based on limited evidence, </w:t>
      </w:r>
      <w:r w:rsidR="003621F8" w:rsidRPr="00A20321">
        <w:t>and was not likely to represent all patients.</w:t>
      </w:r>
      <w:r w:rsidR="003621F8">
        <w:t xml:space="preserve">  </w:t>
      </w:r>
      <w:r w:rsidR="003621F8" w:rsidRPr="00A20321">
        <w:t xml:space="preserve">The PSCR reiterated </w:t>
      </w:r>
      <w:r w:rsidR="003621F8">
        <w:t xml:space="preserve">that </w:t>
      </w:r>
      <w:r w:rsidR="003621F8" w:rsidRPr="00A20321">
        <w:t>limiting prescribing to specialist</w:t>
      </w:r>
      <w:r w:rsidR="003621F8">
        <w:t>s</w:t>
      </w:r>
      <w:r w:rsidR="003621F8" w:rsidRPr="00A20321">
        <w:t xml:space="preserve"> would be at the expense of patient accessibility, particularly in the context of rural, regional and remote patients.</w:t>
      </w:r>
    </w:p>
    <w:p w:rsidR="00592B00" w:rsidRPr="00A650F8" w:rsidRDefault="00592B00" w:rsidP="00592B00">
      <w:pPr>
        <w:pStyle w:val="Bulletpoints"/>
      </w:pPr>
      <w:r w:rsidRPr="00A650F8">
        <w:rPr>
          <w:rFonts w:asciiTheme="minorHAnsi" w:hAnsiTheme="minorHAnsi" w:cs="Arial"/>
        </w:rPr>
        <w:t xml:space="preserve">DUSC considered neurologist initiation of </w:t>
      </w:r>
      <w:proofErr w:type="spellStart"/>
      <w:r w:rsidRPr="00A650F8">
        <w:rPr>
          <w:rFonts w:asciiTheme="minorHAnsi" w:hAnsiTheme="minorHAnsi" w:cs="Arial"/>
        </w:rPr>
        <w:t>erenumab</w:t>
      </w:r>
      <w:proofErr w:type="spellEnd"/>
      <w:r w:rsidRPr="00A650F8">
        <w:rPr>
          <w:rFonts w:asciiTheme="minorHAnsi" w:hAnsiTheme="minorHAnsi" w:cs="Arial"/>
        </w:rPr>
        <w:t xml:space="preserve"> is appropriate, given its positioning at the end of the treatment algorithm. DUSC recalled that a subset of neurologists prescribe botulinum toxin. There were 609 neurologists that prescribed at least one PBS prescription of any drug in 2016, and 156 (25.6%) of these </w:t>
      </w:r>
      <w:r w:rsidRPr="00A650F8">
        <w:rPr>
          <w:rFonts w:asciiTheme="minorHAnsi" w:hAnsiTheme="minorHAnsi" w:cs="Arial"/>
        </w:rPr>
        <w:lastRenderedPageBreak/>
        <w:t>prescribed botulinum toxin for chronic migraine.</w:t>
      </w:r>
      <w:r w:rsidRPr="00A650F8">
        <w:rPr>
          <w:rStyle w:val="FootnoteReference"/>
          <w:rFonts w:asciiTheme="minorHAnsi" w:hAnsiTheme="minorHAnsi" w:cs="Arial"/>
        </w:rPr>
        <w:footnoteReference w:id="1"/>
      </w:r>
      <w:r w:rsidRPr="00A650F8">
        <w:rPr>
          <w:rFonts w:eastAsia="MS Mincho"/>
        </w:rPr>
        <w:t xml:space="preserve"> </w:t>
      </w:r>
      <w:r w:rsidRPr="00A650F8">
        <w:rPr>
          <w:rFonts w:asciiTheme="minorHAnsi" w:hAnsiTheme="minorHAnsi" w:cs="Arial"/>
        </w:rPr>
        <w:t xml:space="preserve">DUSC considered it possible that a higher proportion of neurologists might prescribe </w:t>
      </w:r>
      <w:proofErr w:type="spellStart"/>
      <w:r w:rsidRPr="00A650F8">
        <w:rPr>
          <w:rFonts w:asciiTheme="minorHAnsi" w:hAnsiTheme="minorHAnsi" w:cs="Arial"/>
        </w:rPr>
        <w:t>erenumab</w:t>
      </w:r>
      <w:proofErr w:type="spellEnd"/>
      <w:r w:rsidRPr="00A650F8">
        <w:rPr>
          <w:rFonts w:asciiTheme="minorHAnsi" w:hAnsiTheme="minorHAnsi" w:cs="Arial"/>
        </w:rPr>
        <w:t>, which may drive higher uptake than anticipated.</w:t>
      </w:r>
      <w:r>
        <w:rPr>
          <w:rFonts w:asciiTheme="minorHAnsi" w:hAnsiTheme="minorHAnsi" w:cs="Arial"/>
        </w:rPr>
        <w:t xml:space="preserve"> In regards to the proposed prescribing by GPs, </w:t>
      </w:r>
      <w:r w:rsidRPr="00A650F8">
        <w:rPr>
          <w:rFonts w:asciiTheme="minorHAnsi" w:hAnsiTheme="minorHAnsi" w:cs="Arial"/>
        </w:rPr>
        <w:t xml:space="preserve">DUSC noted that the restriction therefore does not require a neurologist to assess the response to </w:t>
      </w:r>
      <w:proofErr w:type="spellStart"/>
      <w:r w:rsidRPr="00A650F8">
        <w:rPr>
          <w:rFonts w:asciiTheme="minorHAnsi" w:hAnsiTheme="minorHAnsi" w:cs="Arial"/>
        </w:rPr>
        <w:t>erenumab</w:t>
      </w:r>
      <w:proofErr w:type="spellEnd"/>
      <w:r w:rsidRPr="00A650F8">
        <w:rPr>
          <w:rFonts w:asciiTheme="minorHAnsi" w:hAnsiTheme="minorHAnsi" w:cs="Arial"/>
        </w:rPr>
        <w:t xml:space="preserve"> at any point. While DUSC noted that this would enhance access to ongoing treatment for people who may have difficulty accessing a neurologist, DUSC expressed concern that this may lead to indefinite continuation in patients who may not have achieved and maintained the necessary reduction in headache days. DUSC noted that some patients in the </w:t>
      </w:r>
      <w:proofErr w:type="spellStart"/>
      <w:r w:rsidRPr="00A650F8">
        <w:rPr>
          <w:rFonts w:asciiTheme="minorHAnsi" w:hAnsiTheme="minorHAnsi" w:cs="Arial"/>
        </w:rPr>
        <w:t>erenumab</w:t>
      </w:r>
      <w:proofErr w:type="spellEnd"/>
      <w:r w:rsidRPr="00A650F8">
        <w:rPr>
          <w:rFonts w:asciiTheme="minorHAnsi" w:hAnsiTheme="minorHAnsi" w:cs="Arial"/>
        </w:rPr>
        <w:t xml:space="preserve"> trial did not achieve and maintain a response. DUSC also noted that the potential for GP continuation would potentially provide capacity for neurologists to initiate more patients, since they would not be required to assess continuation.</w:t>
      </w:r>
    </w:p>
    <w:p w:rsidR="002236DE" w:rsidRPr="00A650F8" w:rsidRDefault="009955DC" w:rsidP="009955DC">
      <w:pPr>
        <w:pStyle w:val="ListParagraph"/>
        <w:numPr>
          <w:ilvl w:val="1"/>
          <w:numId w:val="3"/>
        </w:numPr>
      </w:pPr>
      <w:r w:rsidRPr="00A20321">
        <w:t xml:space="preserve">The ESC noted the </w:t>
      </w:r>
      <w:r w:rsidR="000E4E80" w:rsidRPr="00A20321">
        <w:t>criteri</w:t>
      </w:r>
      <w:r w:rsidR="000E4E80">
        <w:t>on</w:t>
      </w:r>
      <w:r w:rsidR="000E4E80" w:rsidRPr="00A20321">
        <w:t xml:space="preserve"> </w:t>
      </w:r>
      <w:r w:rsidRPr="00A20321">
        <w:t xml:space="preserve">‘Patient must have experienced an inadequate response, intolerance or a contraindication to at least three prophylactic migraine medications prior to commencement of treatment with </w:t>
      </w:r>
      <w:proofErr w:type="spellStart"/>
      <w:r w:rsidRPr="00A20321">
        <w:t>erenumab</w:t>
      </w:r>
      <w:proofErr w:type="spellEnd"/>
      <w:r w:rsidRPr="00A20321">
        <w:t xml:space="preserve">’.  While a similar </w:t>
      </w:r>
      <w:r w:rsidR="000E4E80" w:rsidRPr="00A20321">
        <w:t>criteri</w:t>
      </w:r>
      <w:r w:rsidR="000E4E80">
        <w:t>on</w:t>
      </w:r>
      <w:r w:rsidR="000E4E80" w:rsidRPr="00A20321">
        <w:t xml:space="preserve"> </w:t>
      </w:r>
      <w:r w:rsidRPr="00A20321">
        <w:t xml:space="preserve">is in the Botox restriction, the ESC </w:t>
      </w:r>
      <w:r w:rsidR="007B43EF">
        <w:t xml:space="preserve">and DUSC </w:t>
      </w:r>
      <w:r w:rsidRPr="00A20321">
        <w:t>considered that the prior agents are poorly tolerated and so a significant proportion of patients</w:t>
      </w:r>
      <w:r w:rsidR="00F153C9" w:rsidRPr="00A20321">
        <w:t xml:space="preserve"> with chronic migraine</w:t>
      </w:r>
      <w:r w:rsidRPr="00A20321">
        <w:t xml:space="preserve"> would meet this </w:t>
      </w:r>
      <w:r w:rsidR="000E4E80" w:rsidRPr="00A20321">
        <w:t>criteri</w:t>
      </w:r>
      <w:r w:rsidR="000E4E80">
        <w:t>on</w:t>
      </w:r>
      <w:r w:rsidRPr="00A20321">
        <w:t>.</w:t>
      </w:r>
      <w:r w:rsidR="00E9546D" w:rsidRPr="00A20321">
        <w:t xml:space="preserve"> </w:t>
      </w:r>
      <w:r w:rsidR="00E9546D" w:rsidRPr="00A650F8">
        <w:t>Furthermore, the ESC considered that a significant proportion of patients with three treatment failures may have a component of medication overuse headache contributing to their symptoms.</w:t>
      </w:r>
      <w:r w:rsidR="00A650F8" w:rsidRPr="00A650F8">
        <w:t xml:space="preserve"> </w:t>
      </w:r>
      <w:r w:rsidR="00A650F8" w:rsidRPr="00A650F8">
        <w:rPr>
          <w:rFonts w:asciiTheme="minorHAnsi" w:hAnsiTheme="minorHAnsi" w:cs="Arial"/>
        </w:rPr>
        <w:t>DUSC considered that medication overuse headache is not well recognised and noted that it can be a side effect of migraine medication. DUSC considered this may be difficult to manage in practice, given the overlap between migraine and medication overuse headache. DUSC also noted the TGA delegate’s overview, which stated that “for subjects with chronic migraine and medication overuse the mean extent of benefit was similar to that of the overall chronic migraine population.”</w:t>
      </w:r>
    </w:p>
    <w:p w:rsidR="00AE6F19" w:rsidRDefault="00104400" w:rsidP="00B12F90">
      <w:pPr>
        <w:pStyle w:val="ListParagraph"/>
        <w:numPr>
          <w:ilvl w:val="1"/>
          <w:numId w:val="3"/>
        </w:numPr>
      </w:pPr>
      <w:r w:rsidRPr="00A20321">
        <w:t xml:space="preserve">The ESC noted that assessment of response could be subjective, and that the continuation rates for Botox were much higher (71%) than the response rates in the clinical trials </w:t>
      </w:r>
      <w:r w:rsidR="000E4E80">
        <w:t xml:space="preserve">for Botox </w:t>
      </w:r>
      <w:r w:rsidRPr="00A20321">
        <w:t>(33%) (</w:t>
      </w:r>
      <w:r w:rsidR="00B12F90" w:rsidRPr="00A20321">
        <w:t xml:space="preserve">June 2017 </w:t>
      </w:r>
      <w:r w:rsidRPr="00A20321">
        <w:t xml:space="preserve">DUSC report).  The impact of assessment by a GP rather than a specialist on this assessment is not known.  </w:t>
      </w:r>
    </w:p>
    <w:p w:rsidR="007E1044" w:rsidRPr="00A20321" w:rsidRDefault="007E1044" w:rsidP="007B43EF">
      <w:pPr>
        <w:pStyle w:val="ListParagraph"/>
        <w:numPr>
          <w:ilvl w:val="1"/>
          <w:numId w:val="3"/>
        </w:numPr>
      </w:pPr>
      <w:r w:rsidRPr="00A20321">
        <w:t xml:space="preserve">The PSCR </w:t>
      </w:r>
      <w:r>
        <w:t>also</w:t>
      </w:r>
      <w:r w:rsidRPr="00A20321">
        <w:t xml:space="preserve"> stated that following the lodgement of this submission, the sponsor had been approached by pain/headache specialists practising in headache clinics who expressed an interest in initiating treatment for chronic migraine alongside neurologists. Unlike Botox, which requires neurologists to undertake certified injection training, </w:t>
      </w:r>
      <w:proofErr w:type="spellStart"/>
      <w:r w:rsidRPr="00A20321">
        <w:t>erenumab</w:t>
      </w:r>
      <w:proofErr w:type="spellEnd"/>
      <w:r w:rsidRPr="00A20321">
        <w:t xml:space="preserve"> is available as self-injected therapy, thus the PSCR requested that the PBAC to consider whether </w:t>
      </w:r>
      <w:proofErr w:type="spellStart"/>
      <w:r w:rsidRPr="00A20321">
        <w:t>erenumab</w:t>
      </w:r>
      <w:proofErr w:type="spellEnd"/>
      <w:r w:rsidRPr="00A20321">
        <w:t xml:space="preserve"> could be prescribed by pain/headache specialists with Fellow of the Royal Australasian College of Physicians (FRACP) and Fellowship of the Faculty of Pain Medicine, Australian and New Zealand </w:t>
      </w:r>
      <w:r w:rsidRPr="00A20321">
        <w:lastRenderedPageBreak/>
        <w:t xml:space="preserve">College of Anaesthetists (FFPMANCA) accreditations for initial therapy. The impact increasing the number of prescribers </w:t>
      </w:r>
      <w:r>
        <w:t xml:space="preserve">would have </w:t>
      </w:r>
      <w:r w:rsidRPr="00A20321">
        <w:t xml:space="preserve">on the number of patients initiating </w:t>
      </w:r>
      <w:r>
        <w:t>on</w:t>
      </w:r>
      <w:r w:rsidRPr="00A20321">
        <w:t xml:space="preserve"> </w:t>
      </w:r>
      <w:proofErr w:type="spellStart"/>
      <w:r w:rsidRPr="00A20321">
        <w:t>erenumab</w:t>
      </w:r>
      <w:proofErr w:type="spellEnd"/>
      <w:r w:rsidRPr="00A20321">
        <w:t xml:space="preserve"> is unknown. </w:t>
      </w:r>
    </w:p>
    <w:p w:rsidR="00496EBE" w:rsidRDefault="000E4E80" w:rsidP="005B2338">
      <w:pPr>
        <w:pStyle w:val="ListParagraph"/>
        <w:numPr>
          <w:ilvl w:val="1"/>
          <w:numId w:val="3"/>
        </w:numPr>
      </w:pPr>
      <w:r>
        <w:t>W</w:t>
      </w:r>
      <w:r w:rsidR="00AE6F19" w:rsidRPr="00A700F7">
        <w:t>h</w:t>
      </w:r>
      <w:r w:rsidR="002C6E18" w:rsidRPr="00A700F7">
        <w:t xml:space="preserve">ile the use of the 24 week </w:t>
      </w:r>
      <w:r w:rsidR="0078396F" w:rsidRPr="00A700F7">
        <w:t>time point</w:t>
      </w:r>
      <w:r w:rsidR="00AE6F19" w:rsidRPr="00A700F7">
        <w:t xml:space="preserve"> for assessment of response to determine continuing treatment corresponded to the Botox PBS listing, the trial evidence used to support the requested restriction assessed </w:t>
      </w:r>
      <w:r w:rsidR="006F49C3">
        <w:t xml:space="preserve">response </w:t>
      </w:r>
      <w:r w:rsidR="00AE6F19" w:rsidRPr="00A700F7">
        <w:t xml:space="preserve">at 12 weeks. </w:t>
      </w:r>
      <w:r w:rsidR="00845DE6">
        <w:t xml:space="preserve">The sponsor stated in its Pre-PBAC Response that it was willing to amend the requested restriction </w:t>
      </w:r>
      <w:r w:rsidR="0078396F">
        <w:t>time point</w:t>
      </w:r>
      <w:r w:rsidR="00845DE6">
        <w:t xml:space="preserve"> to 12 weeks to align with the trial instead of with the Botox listing. </w:t>
      </w:r>
    </w:p>
    <w:p w:rsidR="00496EBE" w:rsidRPr="00A20321" w:rsidRDefault="000E4E80" w:rsidP="00592B00">
      <w:pPr>
        <w:pStyle w:val="ListParagraph"/>
        <w:numPr>
          <w:ilvl w:val="1"/>
          <w:numId w:val="3"/>
        </w:numPr>
      </w:pPr>
      <w:r>
        <w:t>T</w:t>
      </w:r>
      <w:r w:rsidR="00AE6F19" w:rsidRPr="00A700F7">
        <w:t xml:space="preserve">he submission claimed that treatment response continues to improve for </w:t>
      </w:r>
      <w:proofErr w:type="spellStart"/>
      <w:r w:rsidR="00AE6F19" w:rsidRPr="00A700F7">
        <w:t>erenumab</w:t>
      </w:r>
      <w:proofErr w:type="spellEnd"/>
      <w:r w:rsidR="00AE6F19" w:rsidRPr="00A700F7">
        <w:t xml:space="preserve"> over time on the basis of evidence </w:t>
      </w:r>
      <w:r w:rsidR="006F49C3">
        <w:t>from</w:t>
      </w:r>
      <w:r w:rsidR="00AE6F19" w:rsidRPr="00A700F7">
        <w:t xml:space="preserve"> an open-label extension trial,</w:t>
      </w:r>
      <w:r w:rsidR="00496EBE">
        <w:t xml:space="preserve"> but</w:t>
      </w:r>
      <w:r w:rsidR="00AE6F19" w:rsidRPr="00A700F7">
        <w:t xml:space="preserve"> only 10% of patients in the open-label extension trial used the </w:t>
      </w:r>
      <w:proofErr w:type="spellStart"/>
      <w:r w:rsidR="00AE6F19" w:rsidRPr="00A700F7">
        <w:t>erenumab</w:t>
      </w:r>
      <w:proofErr w:type="spellEnd"/>
      <w:r w:rsidR="00AE6F19" w:rsidRPr="00A700F7">
        <w:t xml:space="preserve"> dose in the requested restriction (140</w:t>
      </w:r>
      <w:r w:rsidR="008A0AD1">
        <w:t xml:space="preserve"> </w:t>
      </w:r>
      <w:r w:rsidR="00AE6F19" w:rsidRPr="00A700F7">
        <w:t>mg).</w:t>
      </w:r>
    </w:p>
    <w:p w:rsidR="0034395F" w:rsidRPr="0034395F" w:rsidRDefault="0034395F" w:rsidP="0034395F">
      <w:pPr>
        <w:pStyle w:val="ListParagraph"/>
        <w:ind w:left="709"/>
        <w:rPr>
          <w:rFonts w:asciiTheme="minorHAnsi" w:hAnsiTheme="minorHAnsi"/>
          <w:i/>
        </w:rPr>
      </w:pPr>
      <w:r w:rsidRPr="00525B39">
        <w:rPr>
          <w:rFonts w:asciiTheme="minorHAnsi" w:hAnsiTheme="minorHAnsi"/>
          <w:i/>
        </w:rPr>
        <w:t>For more detail on PBAC’s view, see section 7 PBAC outcome.</w:t>
      </w:r>
    </w:p>
    <w:p w:rsidR="00B50DB8" w:rsidRPr="00A700F7" w:rsidRDefault="00B50DB8" w:rsidP="00721F3B">
      <w:pPr>
        <w:pStyle w:val="PBACHeading1"/>
      </w:pPr>
      <w:bookmarkStart w:id="3" w:name="_Toc513040436"/>
      <w:r w:rsidRPr="00A700F7">
        <w:t>Background</w:t>
      </w:r>
      <w:bookmarkEnd w:id="3"/>
    </w:p>
    <w:p w:rsidR="00591957" w:rsidRPr="000C7C48" w:rsidRDefault="00591957" w:rsidP="00B03551">
      <w:pPr>
        <w:pStyle w:val="Heading2"/>
        <w:spacing w:after="120"/>
        <w:rPr>
          <w:i w:val="0"/>
        </w:rPr>
      </w:pPr>
      <w:r w:rsidRPr="000C7C48">
        <w:rPr>
          <w:i w:val="0"/>
        </w:rPr>
        <w:t>Registration status</w:t>
      </w:r>
    </w:p>
    <w:p w:rsidR="00465727" w:rsidRPr="00A20321" w:rsidRDefault="00465727" w:rsidP="007A132D">
      <w:pPr>
        <w:pStyle w:val="ListParagraph"/>
        <w:numPr>
          <w:ilvl w:val="1"/>
          <w:numId w:val="3"/>
        </w:numPr>
      </w:pPr>
      <w:r w:rsidRPr="00A20321">
        <w:t xml:space="preserve">The submission was made under the TGA/PBAC parallel process. </w:t>
      </w:r>
      <w:r w:rsidR="00AD3EF5">
        <w:t>At the time of PBAC consideration, a</w:t>
      </w:r>
      <w:r w:rsidR="000D57CE" w:rsidRPr="00A20321">
        <w:t xml:space="preserve"> </w:t>
      </w:r>
      <w:r w:rsidR="00244EA1" w:rsidRPr="00A20321">
        <w:t xml:space="preserve">positive Delegate’s Overview, the sponsor’s pre-Advisory Committee on Medicines (ACM) meeting response and a draft product information </w:t>
      </w:r>
      <w:r w:rsidR="00AD3EF5">
        <w:t>were</w:t>
      </w:r>
      <w:r w:rsidR="00AD3EF5" w:rsidRPr="00A20321">
        <w:t xml:space="preserve"> </w:t>
      </w:r>
      <w:r w:rsidR="00AD3EF5">
        <w:t>available</w:t>
      </w:r>
      <w:r w:rsidR="00A8054C" w:rsidRPr="00A20321">
        <w:t>.</w:t>
      </w:r>
      <w:r w:rsidR="00C32C2D">
        <w:t xml:space="preserve"> </w:t>
      </w:r>
      <w:proofErr w:type="spellStart"/>
      <w:r w:rsidR="00C32C2D">
        <w:t>Erenumab</w:t>
      </w:r>
      <w:proofErr w:type="spellEnd"/>
      <w:r w:rsidR="00C32C2D">
        <w:t xml:space="preserve"> was registered on the Australian Register of Therapeutic Goods for the prophylaxis of migraine in adults on the 2</w:t>
      </w:r>
      <w:r w:rsidR="00C32C2D" w:rsidRPr="00C32C2D">
        <w:rPr>
          <w:vertAlign w:val="superscript"/>
        </w:rPr>
        <w:t>nd</w:t>
      </w:r>
      <w:r w:rsidR="00C32C2D">
        <w:t xml:space="preserve"> of July, 2018. </w:t>
      </w:r>
    </w:p>
    <w:p w:rsidR="006D2BF4" w:rsidRDefault="004440DF" w:rsidP="006D2BF4">
      <w:pPr>
        <w:pStyle w:val="ListParagraph"/>
        <w:numPr>
          <w:ilvl w:val="1"/>
          <w:numId w:val="3"/>
        </w:numPr>
      </w:pPr>
      <w:r w:rsidRPr="00A20321">
        <w:t xml:space="preserve">The submission stated that </w:t>
      </w:r>
      <w:proofErr w:type="spellStart"/>
      <w:r w:rsidRPr="00A20321">
        <w:t>erenumab</w:t>
      </w:r>
      <w:proofErr w:type="spellEnd"/>
      <w:r w:rsidRPr="00A20321">
        <w:t xml:space="preserve"> has not received registration in any country at the time of submission, with the regulatory submissions to the EMA and FDA currently under review.</w:t>
      </w:r>
      <w:r w:rsidR="00B60939" w:rsidRPr="00A20321">
        <w:t xml:space="preserve"> </w:t>
      </w:r>
      <w:r w:rsidR="00807647" w:rsidRPr="00A20321">
        <w:t xml:space="preserve">The PSCR stated that </w:t>
      </w:r>
      <w:proofErr w:type="spellStart"/>
      <w:r w:rsidR="00867472" w:rsidRPr="00A20321">
        <w:t>e</w:t>
      </w:r>
      <w:r w:rsidR="00807647" w:rsidRPr="00A20321">
        <w:t>renumab</w:t>
      </w:r>
      <w:proofErr w:type="spellEnd"/>
      <w:r w:rsidR="00807647" w:rsidRPr="00A20321">
        <w:t xml:space="preserve"> was approved by the FDA for the preventative treatm</w:t>
      </w:r>
      <w:r w:rsidR="00592B00">
        <w:t>ent of migraine in adults on</w:t>
      </w:r>
      <w:r w:rsidR="00807647" w:rsidRPr="00A20321">
        <w:t xml:space="preserve"> 17</w:t>
      </w:r>
      <w:r w:rsidR="00AD3EF5">
        <w:t xml:space="preserve"> </w:t>
      </w:r>
      <w:r w:rsidR="00807647" w:rsidRPr="00A20321">
        <w:t>May 2018.</w:t>
      </w:r>
      <w:r w:rsidR="000D57CE" w:rsidRPr="00A20321">
        <w:t xml:space="preserve"> </w:t>
      </w:r>
      <w:r w:rsidR="00807647" w:rsidRPr="00A20321">
        <w:t xml:space="preserve">The ESC noted that the recommended initial dose </w:t>
      </w:r>
      <w:r w:rsidR="00AD3EF5" w:rsidRPr="00A20321">
        <w:t xml:space="preserve">in the FDA approval </w:t>
      </w:r>
      <w:r w:rsidR="00807647" w:rsidRPr="00A20321">
        <w:t>was 70 mg for most patients.</w:t>
      </w:r>
      <w:r w:rsidR="006D2BF4" w:rsidRPr="00A20321">
        <w:t xml:space="preserve"> </w:t>
      </w:r>
      <w:r w:rsidR="00807647" w:rsidRPr="00A20321">
        <w:t xml:space="preserve"> </w:t>
      </w:r>
      <w:r w:rsidR="006D2BF4" w:rsidRPr="00A20321">
        <w:t xml:space="preserve">The TGA Delegate </w:t>
      </w:r>
      <w:r w:rsidR="00AD3EF5">
        <w:t xml:space="preserve">sought </w:t>
      </w:r>
      <w:r w:rsidR="006D2BF4" w:rsidRPr="00A20321">
        <w:t xml:space="preserve">advice from </w:t>
      </w:r>
      <w:r w:rsidR="00F3203C" w:rsidRPr="00A20321">
        <w:t xml:space="preserve">the </w:t>
      </w:r>
      <w:r w:rsidR="006D2BF4" w:rsidRPr="00A20321">
        <w:t xml:space="preserve">ACM on </w:t>
      </w:r>
      <w:r w:rsidR="00AD3EF5">
        <w:t xml:space="preserve">whether </w:t>
      </w:r>
      <w:r w:rsidR="006D2BF4" w:rsidRPr="00A20321">
        <w:t xml:space="preserve">the available evidence </w:t>
      </w:r>
      <w:r w:rsidR="00AD3EF5" w:rsidRPr="00A20321">
        <w:t>support</w:t>
      </w:r>
      <w:r w:rsidR="00AD3EF5">
        <w:t>ed</w:t>
      </w:r>
      <w:r w:rsidR="00AD3EF5" w:rsidRPr="00A20321">
        <w:t xml:space="preserve"> </w:t>
      </w:r>
      <w:r w:rsidR="006D2BF4" w:rsidRPr="00A20321">
        <w:t>a dose regimen of 70 mg QM with an increase to 140 mg QM only if there is an inadequate response</w:t>
      </w:r>
      <w:r w:rsidR="00AD3EF5">
        <w:t>.</w:t>
      </w:r>
      <w:r w:rsidR="00C32C2D">
        <w:t xml:space="preserve"> The updated </w:t>
      </w:r>
      <w:r w:rsidR="00592B00">
        <w:t>draft</w:t>
      </w:r>
      <w:r w:rsidR="00C32C2D">
        <w:t xml:space="preserve"> product information provided with the sponsor’s Pre-PBAC Response stated that some patients may benefit from a dosage of 140 mg, but the recommended dose is 70 mg. </w:t>
      </w:r>
    </w:p>
    <w:p w:rsidR="00C533A1" w:rsidRPr="000C7C48" w:rsidRDefault="00C533A1" w:rsidP="006D2BF4">
      <w:pPr>
        <w:pStyle w:val="ListParagraph"/>
        <w:numPr>
          <w:ilvl w:val="1"/>
          <w:numId w:val="3"/>
        </w:numPr>
      </w:pPr>
      <w:r w:rsidRPr="000C7C48">
        <w:rPr>
          <w:rFonts w:cs="Arial"/>
        </w:rPr>
        <w:t xml:space="preserve">The registration of </w:t>
      </w:r>
      <w:proofErr w:type="spellStart"/>
      <w:r w:rsidRPr="000C7C48">
        <w:rPr>
          <w:rFonts w:cs="Arial"/>
        </w:rPr>
        <w:t>erenumab</w:t>
      </w:r>
      <w:proofErr w:type="spellEnd"/>
      <w:r w:rsidRPr="000C7C48">
        <w:rPr>
          <w:rFonts w:cs="Arial"/>
        </w:rPr>
        <w:t xml:space="preserve"> includes both syringes and pre-filled pen (injection device)</w:t>
      </w:r>
      <w:proofErr w:type="gramStart"/>
      <w:r w:rsidRPr="000C7C48">
        <w:rPr>
          <w:rFonts w:cs="Arial"/>
        </w:rPr>
        <w:t>,</w:t>
      </w:r>
      <w:proofErr w:type="gramEnd"/>
      <w:r w:rsidRPr="000C7C48">
        <w:rPr>
          <w:rFonts w:cs="Arial"/>
        </w:rPr>
        <w:t xml:space="preserve"> the sponsor confirmed that only the injection devices have been requested for listing in the current submission.</w:t>
      </w:r>
    </w:p>
    <w:p w:rsidR="00B033E5" w:rsidRPr="00592B00" w:rsidRDefault="00B033E5" w:rsidP="00B03551">
      <w:pPr>
        <w:pStyle w:val="Heading2"/>
        <w:keepNext/>
        <w:keepLines/>
        <w:spacing w:after="120"/>
        <w:rPr>
          <w:i w:val="0"/>
        </w:rPr>
      </w:pPr>
      <w:r w:rsidRPr="000C7C48">
        <w:rPr>
          <w:i w:val="0"/>
        </w:rPr>
        <w:lastRenderedPageBreak/>
        <w:t>Previous PBAC consideration</w:t>
      </w:r>
    </w:p>
    <w:p w:rsidR="004440DF" w:rsidRDefault="004440DF" w:rsidP="00FE393C">
      <w:pPr>
        <w:pStyle w:val="ListParagraph"/>
        <w:keepNext/>
        <w:keepLines/>
        <w:numPr>
          <w:ilvl w:val="1"/>
          <w:numId w:val="3"/>
        </w:numPr>
      </w:pPr>
      <w:r w:rsidRPr="00A700F7">
        <w:t xml:space="preserve">This was the first submission to the PBAC for </w:t>
      </w:r>
      <w:proofErr w:type="spellStart"/>
      <w:r w:rsidRPr="00A700F7">
        <w:t>erenumab</w:t>
      </w:r>
      <w:proofErr w:type="spellEnd"/>
      <w:r w:rsidRPr="00A700F7">
        <w:t xml:space="preserve"> for the treatment of chronic migraine.  There have been four submissions to the PBAC for Botox for use in chronic migraine, in November 2011, July 2012, July 2013 and March 2018.</w:t>
      </w:r>
    </w:p>
    <w:p w:rsidR="0034395F" w:rsidRPr="0034395F" w:rsidRDefault="0034395F" w:rsidP="00FE393C">
      <w:pPr>
        <w:pStyle w:val="ListParagraph"/>
        <w:keepNext/>
        <w:keepLines/>
        <w:rPr>
          <w:i/>
        </w:rPr>
      </w:pPr>
      <w:r w:rsidRPr="0034395F">
        <w:rPr>
          <w:i/>
        </w:rPr>
        <w:t>For more detail on PBAC’s view, see section 7 PBAC outcome.</w:t>
      </w:r>
    </w:p>
    <w:p w:rsidR="00B50DB8" w:rsidRPr="00A700F7" w:rsidRDefault="00203181" w:rsidP="00721F3B">
      <w:pPr>
        <w:pStyle w:val="PBACHeading1"/>
      </w:pPr>
      <w:bookmarkStart w:id="4" w:name="_Toc513040437"/>
      <w:r w:rsidRPr="00A700F7">
        <w:t xml:space="preserve">Population and </w:t>
      </w:r>
      <w:r w:rsidR="008E0D3C" w:rsidRPr="00A700F7">
        <w:t>d</w:t>
      </w:r>
      <w:r w:rsidRPr="00A700F7">
        <w:t>isease</w:t>
      </w:r>
      <w:bookmarkEnd w:id="4"/>
    </w:p>
    <w:p w:rsidR="006627D3" w:rsidRPr="00A20321" w:rsidRDefault="006627D3" w:rsidP="00894489">
      <w:pPr>
        <w:pStyle w:val="ListParagraph"/>
        <w:numPr>
          <w:ilvl w:val="1"/>
          <w:numId w:val="3"/>
        </w:numPr>
      </w:pPr>
      <w:r w:rsidRPr="00A20321">
        <w:t xml:space="preserve">Migraine is characterised by recurrent headache lasting 4 to 72 hours and often accompanied by symptoms such as nausea, vomiting and hypersensitivity to light and sound.  The target population for treatment with </w:t>
      </w:r>
      <w:proofErr w:type="spellStart"/>
      <w:r w:rsidRPr="00A20321">
        <w:t>erenumab</w:t>
      </w:r>
      <w:proofErr w:type="spellEnd"/>
      <w:r w:rsidRPr="00A20321">
        <w:t xml:space="preserve"> </w:t>
      </w:r>
      <w:r w:rsidR="000D57CE" w:rsidRPr="00A20321">
        <w:t xml:space="preserve">is </w:t>
      </w:r>
      <w:r w:rsidRPr="00A20321">
        <w:t xml:space="preserve">adult patients with chronic migraine, defined as 15 or more headache days per month, at least 8 of which </w:t>
      </w:r>
      <w:r w:rsidR="00AD3EF5">
        <w:t>must</w:t>
      </w:r>
      <w:r w:rsidRPr="00A20321">
        <w:t xml:space="preserve"> be typical migraine days.</w:t>
      </w:r>
    </w:p>
    <w:p w:rsidR="006627D3" w:rsidRPr="00A20321" w:rsidRDefault="006627D3" w:rsidP="00894489">
      <w:pPr>
        <w:pStyle w:val="ListParagraph"/>
        <w:numPr>
          <w:ilvl w:val="1"/>
          <w:numId w:val="3"/>
        </w:numPr>
      </w:pPr>
      <w:r w:rsidRPr="00A20321">
        <w:t xml:space="preserve">The submission stated that about half of the migraine population in Australia are chronic migraine sufferers.  </w:t>
      </w:r>
      <w:r w:rsidR="00AD3EF5" w:rsidRPr="00A20321">
        <w:t>Th</w:t>
      </w:r>
      <w:r w:rsidR="00AD3EF5">
        <w:t>is</w:t>
      </w:r>
      <w:r w:rsidR="00AD3EF5" w:rsidRPr="00A20321">
        <w:t xml:space="preserve"> </w:t>
      </w:r>
      <w:r w:rsidRPr="00A20321">
        <w:t xml:space="preserve">was based on a literature review </w:t>
      </w:r>
      <w:r w:rsidR="00AD3EF5">
        <w:t>(</w:t>
      </w:r>
      <w:proofErr w:type="spellStart"/>
      <w:r w:rsidR="00AD3EF5">
        <w:t>Natoli</w:t>
      </w:r>
      <w:proofErr w:type="spellEnd"/>
      <w:r w:rsidR="00AD3EF5">
        <w:t xml:space="preserve"> 2010) </w:t>
      </w:r>
      <w:r w:rsidRPr="00A20321">
        <w:t xml:space="preserve">which used the search dates 1999 to 2007 and selected 12 studies, conducted in the US, Brazil, Europe and Taiwan.  As such, the proportion of chronic migraine sufferers reported by the submission </w:t>
      </w:r>
      <w:r w:rsidR="00CE03AE" w:rsidRPr="00A20321">
        <w:t>wa</w:t>
      </w:r>
      <w:r w:rsidRPr="00A20321">
        <w:t>s not Australia-based.  Headache Australia has estimated that 345,800 adults in Australia have chronic migraine</w:t>
      </w:r>
      <w:r w:rsidRPr="00A20321">
        <w:rPr>
          <w:rStyle w:val="FootnoteReference"/>
        </w:rPr>
        <w:footnoteReference w:id="2"/>
      </w:r>
      <w:r w:rsidRPr="00A20321">
        <w:t>, which represents approximately 1.4% of the total population and just over a tenth of the Australian population with migraine as identified by Stark (2007), which is considerably less than half of the population with migraine as claimed by the submission.</w:t>
      </w:r>
    </w:p>
    <w:p w:rsidR="00945D07" w:rsidRPr="00A20321" w:rsidRDefault="00945D07" w:rsidP="00894489">
      <w:pPr>
        <w:pStyle w:val="ListParagraph"/>
        <w:numPr>
          <w:ilvl w:val="1"/>
          <w:numId w:val="3"/>
        </w:numPr>
      </w:pPr>
      <w:r w:rsidRPr="00A20321">
        <w:t>The submission stated that patients report substantial impairment in their ability to perform daily or physical activities, attend school/work and function socially (</w:t>
      </w:r>
      <w:proofErr w:type="spellStart"/>
      <w:r w:rsidRPr="00A20321">
        <w:t>Munakata</w:t>
      </w:r>
      <w:proofErr w:type="spellEnd"/>
      <w:r w:rsidRPr="00A20321">
        <w:t xml:space="preserve"> 2009; Linde 2012).  Migraines are also associated with psychiatric and medical comorbidities such as depression, anxiety and vascular disorders (</w:t>
      </w:r>
      <w:proofErr w:type="spellStart"/>
      <w:r w:rsidRPr="00A20321">
        <w:t>Bigal</w:t>
      </w:r>
      <w:proofErr w:type="spellEnd"/>
      <w:r w:rsidRPr="00A20321">
        <w:t xml:space="preserve"> and Lipton 2009; </w:t>
      </w:r>
      <w:proofErr w:type="spellStart"/>
      <w:r w:rsidRPr="00A20321">
        <w:t>Buse</w:t>
      </w:r>
      <w:proofErr w:type="spellEnd"/>
      <w:r w:rsidRPr="00A20321">
        <w:t xml:space="preserve"> 2010).  Medication overuse is also common, particularly in chronic migraine (Bussone 2010; </w:t>
      </w:r>
      <w:proofErr w:type="spellStart"/>
      <w:r w:rsidRPr="00A20321">
        <w:t>Diener</w:t>
      </w:r>
      <w:proofErr w:type="spellEnd"/>
      <w:r w:rsidRPr="00A20321">
        <w:t xml:space="preserve"> 2016).</w:t>
      </w:r>
    </w:p>
    <w:p w:rsidR="00E55BB5" w:rsidRPr="00A20321" w:rsidRDefault="00CE49F4" w:rsidP="00CE03AE">
      <w:pPr>
        <w:pStyle w:val="ListParagraph"/>
        <w:numPr>
          <w:ilvl w:val="1"/>
          <w:numId w:val="3"/>
        </w:numPr>
      </w:pPr>
      <w:proofErr w:type="spellStart"/>
      <w:r w:rsidRPr="00A20321">
        <w:t>Erenumab</w:t>
      </w:r>
      <w:proofErr w:type="spellEnd"/>
      <w:r w:rsidRPr="00A20321">
        <w:t xml:space="preserve"> is a human monoclonal immunoglobulin (IgG2) which acts against the calcitonin gene-related peptide (CGRP) receptor</w:t>
      </w:r>
      <w:r w:rsidR="00F3203C" w:rsidRPr="00A20321">
        <w:t>.</w:t>
      </w:r>
      <w:r w:rsidRPr="00A20321">
        <w:t xml:space="preserve">  </w:t>
      </w:r>
      <w:r w:rsidR="00CE03AE" w:rsidRPr="00A20321">
        <w:t xml:space="preserve">The requested restriction placed </w:t>
      </w:r>
      <w:proofErr w:type="spellStart"/>
      <w:r w:rsidR="00CE03AE" w:rsidRPr="00A20321">
        <w:t>erenumab</w:t>
      </w:r>
      <w:proofErr w:type="spellEnd"/>
      <w:r w:rsidR="00CE03AE" w:rsidRPr="00A20321">
        <w:t xml:space="preserve"> as a later-line therapy along with Botox, following failure of at least three prophylactic agents. </w:t>
      </w:r>
    </w:p>
    <w:p w:rsidR="0034395F" w:rsidRPr="0034395F" w:rsidRDefault="0034395F" w:rsidP="0034395F">
      <w:pPr>
        <w:pStyle w:val="ListParagraph"/>
        <w:rPr>
          <w:i/>
        </w:rPr>
      </w:pPr>
      <w:r w:rsidRPr="0034395F">
        <w:rPr>
          <w:i/>
        </w:rPr>
        <w:t>For more detail on PBAC’s view, see section 7 PBAC outcome.</w:t>
      </w:r>
    </w:p>
    <w:p w:rsidR="00B50DB8" w:rsidRPr="00721F3B" w:rsidRDefault="00B50DB8" w:rsidP="00FE393C">
      <w:pPr>
        <w:pStyle w:val="PBACHeading1"/>
        <w:keepNext/>
        <w:keepLines/>
      </w:pPr>
      <w:bookmarkStart w:id="5" w:name="_Toc513040438"/>
      <w:r w:rsidRPr="00721F3B">
        <w:lastRenderedPageBreak/>
        <w:t>Comparator</w:t>
      </w:r>
      <w:bookmarkEnd w:id="5"/>
    </w:p>
    <w:p w:rsidR="00BD5FBE" w:rsidRDefault="00CE03AE" w:rsidP="00FE393C">
      <w:pPr>
        <w:pStyle w:val="ListParagraph"/>
        <w:keepNext/>
        <w:keepLines/>
        <w:numPr>
          <w:ilvl w:val="1"/>
          <w:numId w:val="3"/>
        </w:numPr>
      </w:pPr>
      <w:r w:rsidRPr="00A20321">
        <w:t xml:space="preserve">The submission nominated Botox as the main comparator as it is the only prophylactic medication listed on the PBS for the treatment of chronic migraine in adult patients with refractory chronic migraine.  </w:t>
      </w:r>
      <w:r w:rsidR="00153587" w:rsidRPr="00A20321">
        <w:t xml:space="preserve">The ESC agreed that </w:t>
      </w:r>
      <w:r w:rsidR="009E392A">
        <w:t>t</w:t>
      </w:r>
      <w:r w:rsidR="009E392A" w:rsidRPr="00A20321">
        <w:t xml:space="preserve">he selection of Botox as </w:t>
      </w:r>
      <w:r w:rsidR="009E392A">
        <w:t>a</w:t>
      </w:r>
      <w:r w:rsidR="009E392A" w:rsidRPr="00A20321">
        <w:t xml:space="preserve"> comparator </w:t>
      </w:r>
      <w:r w:rsidR="009E392A">
        <w:t>wa</w:t>
      </w:r>
      <w:r w:rsidR="009E392A" w:rsidRPr="00A20321">
        <w:t>s appropriate</w:t>
      </w:r>
      <w:r w:rsidR="00906E3F" w:rsidRPr="00A20321">
        <w:t xml:space="preserve">. </w:t>
      </w:r>
      <w:r w:rsidR="00E9546D" w:rsidRPr="00A20321">
        <w:t>However,</w:t>
      </w:r>
      <w:r w:rsidR="00A91C94">
        <w:t xml:space="preserve"> both the ESC and </w:t>
      </w:r>
      <w:r w:rsidR="00E561CA">
        <w:t>DUSC</w:t>
      </w:r>
      <w:r w:rsidR="00E9546D" w:rsidRPr="00A20321">
        <w:t xml:space="preserve"> noted that the use of Botox may be limited due to </w:t>
      </w:r>
      <w:r w:rsidR="009E392A">
        <w:t xml:space="preserve">the </w:t>
      </w:r>
      <w:r w:rsidR="009E392A" w:rsidRPr="00A20321">
        <w:t xml:space="preserve">need to see a neurologist </w:t>
      </w:r>
      <w:r w:rsidR="009E392A">
        <w:t xml:space="preserve">for both prescription and </w:t>
      </w:r>
      <w:r w:rsidR="00E9546D" w:rsidRPr="00A20321">
        <w:t>administration</w:t>
      </w:r>
      <w:r w:rsidR="00E561CA">
        <w:t xml:space="preserve">, and that </w:t>
      </w:r>
      <w:r w:rsidR="004829FC" w:rsidRPr="004829FC">
        <w:t xml:space="preserve">there would be eligible patients not currently treated with </w:t>
      </w:r>
      <w:r w:rsidR="004829FC">
        <w:t>Botox</w:t>
      </w:r>
      <w:r w:rsidR="004829FC" w:rsidRPr="004829FC">
        <w:t xml:space="preserve"> who may take up </w:t>
      </w:r>
      <w:proofErr w:type="spellStart"/>
      <w:r w:rsidR="004829FC" w:rsidRPr="004829FC">
        <w:t>erenumab</w:t>
      </w:r>
      <w:proofErr w:type="spellEnd"/>
      <w:r w:rsidR="004829FC" w:rsidRPr="004829FC">
        <w:t xml:space="preserve"> due to the relative ease of administration and/or the potential to be continued by a GP</w:t>
      </w:r>
      <w:r w:rsidR="004829FC">
        <w:t>.</w:t>
      </w:r>
    </w:p>
    <w:p w:rsidR="00E561CA" w:rsidRDefault="00BD5FBE" w:rsidP="002F042E">
      <w:pPr>
        <w:pStyle w:val="ListParagraph"/>
        <w:numPr>
          <w:ilvl w:val="1"/>
          <w:numId w:val="3"/>
        </w:numPr>
      </w:pPr>
      <w:r>
        <w:t xml:space="preserve">DUSC also questioned, given the range of presentations of migraine, whether the population treated with Botox is the same as the population who would be treated with </w:t>
      </w:r>
      <w:proofErr w:type="spellStart"/>
      <w:r>
        <w:t>erenumab</w:t>
      </w:r>
      <w:proofErr w:type="spellEnd"/>
      <w:r>
        <w:t xml:space="preserve">. </w:t>
      </w:r>
    </w:p>
    <w:p w:rsidR="00592B00" w:rsidRPr="00592B00" w:rsidRDefault="00906E3F" w:rsidP="0034395F">
      <w:pPr>
        <w:pStyle w:val="ListParagraph"/>
        <w:numPr>
          <w:ilvl w:val="1"/>
          <w:numId w:val="3"/>
        </w:numPr>
        <w:rPr>
          <w:i/>
        </w:rPr>
      </w:pPr>
      <w:r w:rsidRPr="00A20321">
        <w:t>In addition</w:t>
      </w:r>
      <w:r w:rsidR="00762FD4" w:rsidRPr="00A20321">
        <w:t>,</w:t>
      </w:r>
      <w:r w:rsidR="00153587" w:rsidRPr="00A20321">
        <w:t xml:space="preserve"> in practice</w:t>
      </w:r>
      <w:r w:rsidRPr="00A20321">
        <w:t xml:space="preserve"> it has been observed that Botox is frequently used with other prophylactic treatments </w:t>
      </w:r>
      <w:r w:rsidR="00153587" w:rsidRPr="00A20321">
        <w:t xml:space="preserve">(Stark et al., poster, </w:t>
      </w:r>
      <w:r w:rsidR="006D2BF4" w:rsidRPr="00A20321">
        <w:t>at Australian and New Zealand Association of Neurologists 2017 Annual Scientific Meeting</w:t>
      </w:r>
      <w:r w:rsidR="002F042E" w:rsidRPr="00A20321">
        <w:rPr>
          <w:rStyle w:val="FootnoteReference"/>
        </w:rPr>
        <w:footnoteReference w:id="3"/>
      </w:r>
      <w:r w:rsidR="00153587" w:rsidRPr="00A20321">
        <w:t>)</w:t>
      </w:r>
      <w:r w:rsidR="000D57CE" w:rsidRPr="00A20321">
        <w:t xml:space="preserve"> and</w:t>
      </w:r>
      <w:r w:rsidR="00153587" w:rsidRPr="00A20321">
        <w:t xml:space="preserve"> </w:t>
      </w:r>
      <w:r w:rsidRPr="00A20321">
        <w:t xml:space="preserve">there </w:t>
      </w:r>
      <w:r w:rsidR="00E9546D" w:rsidRPr="00A20321">
        <w:t>is</w:t>
      </w:r>
      <w:r w:rsidRPr="00A20321">
        <w:t xml:space="preserve"> a possibility that </w:t>
      </w:r>
      <w:proofErr w:type="spellStart"/>
      <w:r w:rsidR="00153587" w:rsidRPr="00A20321">
        <w:t>erenumab</w:t>
      </w:r>
      <w:proofErr w:type="spellEnd"/>
      <w:r w:rsidR="00153587" w:rsidRPr="00A20321">
        <w:t xml:space="preserve"> will </w:t>
      </w:r>
      <w:r w:rsidR="00E9546D" w:rsidRPr="00A20321">
        <w:t xml:space="preserve">also </w:t>
      </w:r>
      <w:r w:rsidR="00153587" w:rsidRPr="00A20321">
        <w:t xml:space="preserve">be used with other prophylactic medications.  </w:t>
      </w:r>
      <w:r w:rsidR="002F042E" w:rsidRPr="00A20321">
        <w:t>The TGA Delegate request</w:t>
      </w:r>
      <w:r w:rsidR="008C29CA" w:rsidRPr="00A20321">
        <w:t>ed</w:t>
      </w:r>
      <w:r w:rsidR="002F042E" w:rsidRPr="00A20321">
        <w:t xml:space="preserve"> advice </w:t>
      </w:r>
      <w:r w:rsidR="00592B00" w:rsidRPr="00A20321">
        <w:t>from ACM</w:t>
      </w:r>
      <w:r w:rsidR="00592B00">
        <w:t xml:space="preserve"> on concomitant administration of </w:t>
      </w:r>
      <w:proofErr w:type="spellStart"/>
      <w:r w:rsidR="00592B00" w:rsidRPr="00A20321">
        <w:t>erenumab</w:t>
      </w:r>
      <w:proofErr w:type="spellEnd"/>
      <w:r w:rsidR="00592B00" w:rsidRPr="00A20321">
        <w:t xml:space="preserve"> with other migraine prophylactic medications</w:t>
      </w:r>
      <w:r w:rsidR="00592B00">
        <w:t xml:space="preserve">. </w:t>
      </w:r>
    </w:p>
    <w:p w:rsidR="0034395F" w:rsidRPr="00592B00" w:rsidRDefault="0034395F" w:rsidP="00592B00">
      <w:pPr>
        <w:pStyle w:val="ListParagraph"/>
        <w:rPr>
          <w:i/>
        </w:rPr>
      </w:pPr>
      <w:r w:rsidRPr="00592B00">
        <w:rPr>
          <w:i/>
        </w:rPr>
        <w:t>For more detail on PBAC’s view, see section 7 PBAC outcome.</w:t>
      </w:r>
    </w:p>
    <w:p w:rsidR="00B50DB8" w:rsidRPr="00A700F7" w:rsidRDefault="00BD6CF3" w:rsidP="00721F3B">
      <w:pPr>
        <w:pStyle w:val="PBACHeading1"/>
      </w:pPr>
      <w:bookmarkStart w:id="6" w:name="_Toc513040439"/>
      <w:r w:rsidRPr="00A700F7">
        <w:t>C</w:t>
      </w:r>
      <w:r w:rsidR="00B50DB8" w:rsidRPr="00A700F7">
        <w:t>onsideration of the evidence</w:t>
      </w:r>
      <w:bookmarkEnd w:id="6"/>
    </w:p>
    <w:p w:rsidR="00104A52" w:rsidRPr="00104A52" w:rsidRDefault="00104A52" w:rsidP="00FE393C">
      <w:pPr>
        <w:pStyle w:val="Heading2"/>
        <w:spacing w:after="120"/>
      </w:pPr>
      <w:bookmarkStart w:id="7" w:name="_Toc513040440"/>
      <w:r w:rsidRPr="00104A52">
        <w:t>Sponsor hearing</w:t>
      </w:r>
    </w:p>
    <w:p w:rsidR="00104A52" w:rsidRPr="00721F3B" w:rsidRDefault="00104A52" w:rsidP="00104A52">
      <w:pPr>
        <w:pStyle w:val="Bulletpoints"/>
        <w:rPr>
          <w:i/>
        </w:rPr>
      </w:pPr>
      <w:r w:rsidRPr="00525B39">
        <w:rPr>
          <w:snapToGrid w:val="0"/>
        </w:rPr>
        <w:t>There was no hearing for this item</w:t>
      </w:r>
      <w:r w:rsidR="00255E45">
        <w:rPr>
          <w:snapToGrid w:val="0"/>
        </w:rPr>
        <w:t>.</w:t>
      </w:r>
    </w:p>
    <w:p w:rsidR="00721F3B" w:rsidRPr="00525B39" w:rsidRDefault="00721F3B" w:rsidP="00FE393C">
      <w:pPr>
        <w:pStyle w:val="Heading2"/>
        <w:spacing w:after="120"/>
      </w:pPr>
      <w:r w:rsidRPr="00525B39">
        <w:t>Consumer comments</w:t>
      </w:r>
    </w:p>
    <w:p w:rsidR="00811782" w:rsidRDefault="00EA2ADC" w:rsidP="00EA2ADC">
      <w:pPr>
        <w:pStyle w:val="Bulletpoints"/>
      </w:pPr>
      <w:r w:rsidRPr="00EA2ADC">
        <w:t>The PBAC noted and welcomed the input from individuals (</w:t>
      </w:r>
      <w:r>
        <w:t>1,886</w:t>
      </w:r>
      <w:r w:rsidRPr="00EA2ADC">
        <w:t>), health care professionals (</w:t>
      </w:r>
      <w:r>
        <w:t>24</w:t>
      </w:r>
      <w:r w:rsidRPr="00EA2ADC">
        <w:t>)</w:t>
      </w:r>
      <w:r w:rsidR="00811782">
        <w:t>,</w:t>
      </w:r>
      <w:r w:rsidRPr="00EA2ADC">
        <w:t xml:space="preserve"> and organisations (</w:t>
      </w:r>
      <w:r>
        <w:t>3</w:t>
      </w:r>
      <w:r w:rsidRPr="00EA2ADC">
        <w:t xml:space="preserve">) via the Consumer Comments facility on the PBS website.  </w:t>
      </w:r>
      <w:r w:rsidR="0057628C">
        <w:t xml:space="preserve">The comments described the </w:t>
      </w:r>
      <w:r w:rsidR="002A3A05">
        <w:t xml:space="preserve">physical, mental, and social </w:t>
      </w:r>
      <w:r w:rsidR="0057628C">
        <w:t>impact of migraine on sufferers</w:t>
      </w:r>
      <w:r w:rsidR="004D4246">
        <w:t xml:space="preserve"> (including episodic and chronic migraine)</w:t>
      </w:r>
      <w:r w:rsidR="002A3A05">
        <w:t xml:space="preserve"> and</w:t>
      </w:r>
      <w:r w:rsidR="0057628C">
        <w:t xml:space="preserve"> the inadequacy </w:t>
      </w:r>
      <w:r w:rsidR="002A3A05">
        <w:t xml:space="preserve">of other available treatments due to side effects, lack of </w:t>
      </w:r>
      <w:r w:rsidR="00811782">
        <w:t>effect</w:t>
      </w:r>
      <w:r w:rsidR="002A3A05">
        <w:t xml:space="preserve">, and, in the case of Botox, </w:t>
      </w:r>
      <w:proofErr w:type="gramStart"/>
      <w:r w:rsidR="002A3A05">
        <w:t>the</w:t>
      </w:r>
      <w:proofErr w:type="gramEnd"/>
      <w:r w:rsidR="002A3A05">
        <w:t xml:space="preserve"> </w:t>
      </w:r>
      <w:r w:rsidR="00CD1F2E">
        <w:t>‘horrific’</w:t>
      </w:r>
      <w:r w:rsidR="002A3A05">
        <w:t xml:space="preserve"> pain associated with administration. </w:t>
      </w:r>
    </w:p>
    <w:p w:rsidR="00EA2ADC" w:rsidRDefault="00811782" w:rsidP="00EA2ADC">
      <w:pPr>
        <w:pStyle w:val="Bulletpoints"/>
      </w:pPr>
      <w:r>
        <w:t xml:space="preserve">Many comments </w:t>
      </w:r>
      <w:r w:rsidR="00CD1F2E">
        <w:t>mentioned</w:t>
      </w:r>
      <w:r>
        <w:t xml:space="preserve"> that </w:t>
      </w:r>
      <w:proofErr w:type="spellStart"/>
      <w:r>
        <w:t>erenumab</w:t>
      </w:r>
      <w:proofErr w:type="spellEnd"/>
      <w:r>
        <w:t xml:space="preserve"> is the first drug specifically designed for migraine prophylaxis – the Australian and New Zealand Headache Society (ANZHS) noted that </w:t>
      </w:r>
      <w:proofErr w:type="spellStart"/>
      <w:r>
        <w:t>erenumab</w:t>
      </w:r>
      <w:proofErr w:type="spellEnd"/>
      <w:r>
        <w:t xml:space="preserve"> “… potentially fills a significant gap in current therapeutics to combat migraine.”</w:t>
      </w:r>
    </w:p>
    <w:p w:rsidR="00811782" w:rsidRDefault="00F50E35" w:rsidP="00CD1F2E">
      <w:pPr>
        <w:pStyle w:val="Bulletpoints"/>
      </w:pPr>
      <w:r>
        <w:lastRenderedPageBreak/>
        <w:t xml:space="preserve">There were </w:t>
      </w:r>
      <w:r w:rsidR="00811782">
        <w:t>few comments from patients with experie</w:t>
      </w:r>
      <w:r>
        <w:t xml:space="preserve">nce with </w:t>
      </w:r>
      <w:proofErr w:type="spellStart"/>
      <w:r>
        <w:t>erenumab</w:t>
      </w:r>
      <w:proofErr w:type="spellEnd"/>
      <w:r>
        <w:t xml:space="preserve">, </w:t>
      </w:r>
      <w:r w:rsidR="00904716">
        <w:t xml:space="preserve">with one comment describing </w:t>
      </w:r>
      <w:r w:rsidR="004D4246">
        <w:t xml:space="preserve">reduced migraine symptoms and </w:t>
      </w:r>
      <w:r>
        <w:t xml:space="preserve">a significant improvement </w:t>
      </w:r>
      <w:r w:rsidR="00CD1F2E">
        <w:t xml:space="preserve">in quality of life due to </w:t>
      </w:r>
      <w:proofErr w:type="spellStart"/>
      <w:r w:rsidR="00CD1F2E">
        <w:t>erenumab</w:t>
      </w:r>
      <w:proofErr w:type="spellEnd"/>
      <w:r w:rsidR="00904716">
        <w:t xml:space="preserve">. </w:t>
      </w:r>
    </w:p>
    <w:p w:rsidR="00B60939" w:rsidRPr="00A700F7" w:rsidRDefault="00B60939" w:rsidP="00FE393C">
      <w:pPr>
        <w:pStyle w:val="Heading2"/>
        <w:spacing w:after="120"/>
      </w:pPr>
      <w:r w:rsidRPr="00A700F7">
        <w:t>Clinical trials</w:t>
      </w:r>
      <w:bookmarkEnd w:id="7"/>
    </w:p>
    <w:p w:rsidR="00463E5B" w:rsidRPr="00104A52" w:rsidRDefault="00CE03AE" w:rsidP="00104A52">
      <w:pPr>
        <w:pStyle w:val="Bulletpoints"/>
      </w:pPr>
      <w:r w:rsidRPr="00104A52">
        <w:t xml:space="preserve">The submission was based on an indirect comparison using one </w:t>
      </w:r>
      <w:proofErr w:type="spellStart"/>
      <w:r w:rsidRPr="00104A52">
        <w:t>erenumab</w:t>
      </w:r>
      <w:proofErr w:type="spellEnd"/>
      <w:r w:rsidRPr="00104A52">
        <w:t xml:space="preserve"> trial (Study 295; N=476) and two Botox trials (PREEMPT 1; N=679 and PREEMPT 2; N=705) with placebo as the common comparator.  The submission also included data from Study 255, an open-label extension of Study 295.</w:t>
      </w:r>
      <w:r w:rsidR="006954FF" w:rsidRPr="00104A52">
        <w:t xml:space="preserve"> </w:t>
      </w:r>
      <w:r w:rsidR="00590B13" w:rsidRPr="00104A52">
        <w:t>Given the substantial differences in the responses observed in the placebo arms of the trials</w:t>
      </w:r>
      <w:r w:rsidR="0074790F" w:rsidRPr="00104A52">
        <w:t>,</w:t>
      </w:r>
      <w:r w:rsidR="00590B13" w:rsidRPr="00104A52">
        <w:t xml:space="preserve"> the ESC advise</w:t>
      </w:r>
      <w:r w:rsidR="00C56005">
        <w:t>d</w:t>
      </w:r>
      <w:r w:rsidR="00590B13" w:rsidRPr="00104A52">
        <w:t xml:space="preserve"> that this indirect comparison </w:t>
      </w:r>
      <w:r w:rsidR="00725A0E">
        <w:t>was</w:t>
      </w:r>
      <w:r w:rsidR="00725A0E" w:rsidRPr="00104A52">
        <w:t xml:space="preserve"> </w:t>
      </w:r>
      <w:r w:rsidR="00590B13" w:rsidRPr="00104A52">
        <w:t xml:space="preserve">likely to be invalid. This issue </w:t>
      </w:r>
      <w:r w:rsidR="008C29CA" w:rsidRPr="00104A52">
        <w:t xml:space="preserve">of differences </w:t>
      </w:r>
      <w:r w:rsidR="00725A0E">
        <w:t>between the response rates in the</w:t>
      </w:r>
      <w:r w:rsidR="008C29CA" w:rsidRPr="00104A52">
        <w:t xml:space="preserve"> placebo arms </w:t>
      </w:r>
      <w:r w:rsidR="00590B13" w:rsidRPr="00104A52">
        <w:t>was not addressed by the submi</w:t>
      </w:r>
      <w:r w:rsidR="008C29CA" w:rsidRPr="00104A52">
        <w:t>ssion</w:t>
      </w:r>
      <w:r w:rsidR="002019B5">
        <w:t xml:space="preserve">, but in its Pre-PBAC Response the sponsor stated that the odds ratios used to present the results of the indirect comparison would have included adequate adjustment for the different placebo response rates. </w:t>
      </w:r>
    </w:p>
    <w:p w:rsidR="00862502" w:rsidRPr="00825EA1" w:rsidRDefault="00463E5B" w:rsidP="00862502">
      <w:pPr>
        <w:pStyle w:val="ListParagraph"/>
        <w:numPr>
          <w:ilvl w:val="1"/>
          <w:numId w:val="3"/>
        </w:numPr>
      </w:pPr>
      <w:r w:rsidRPr="00A700F7">
        <w:t xml:space="preserve">The indirect comparison was based on a </w:t>
      </w:r>
      <w:r w:rsidR="00634CFF" w:rsidRPr="00A700F7">
        <w:t xml:space="preserve">post-hoc </w:t>
      </w:r>
      <w:r w:rsidRPr="00A700F7">
        <w:t xml:space="preserve">subgroup selected to correspond to the requested PBS restriction, patients who had failed ≥3 prophylactic medications and for </w:t>
      </w:r>
      <w:proofErr w:type="spellStart"/>
      <w:r w:rsidRPr="00A700F7">
        <w:t>erenumab</w:t>
      </w:r>
      <w:proofErr w:type="spellEnd"/>
      <w:r w:rsidRPr="00A700F7">
        <w:t xml:space="preserve">, were naïve to Botox.  For </w:t>
      </w:r>
      <w:proofErr w:type="spellStart"/>
      <w:r w:rsidRPr="00A20321">
        <w:t>erenumab</w:t>
      </w:r>
      <w:proofErr w:type="spellEnd"/>
      <w:r w:rsidRPr="00A20321">
        <w:t xml:space="preserve">, </w:t>
      </w:r>
      <w:r w:rsidR="00590B13" w:rsidRPr="00A20321">
        <w:t>where this level of prophylactic use was an exclusion criterion</w:t>
      </w:r>
      <w:r w:rsidR="00E9546D" w:rsidRPr="00A20321">
        <w:t xml:space="preserve"> for Study 295</w:t>
      </w:r>
      <w:r w:rsidR="00590B13" w:rsidRPr="00A20321">
        <w:t xml:space="preserve">, </w:t>
      </w:r>
      <w:r w:rsidRPr="00A20321">
        <w:t>this</w:t>
      </w:r>
      <w:r w:rsidRPr="00A700F7">
        <w:t xml:space="preserve"> subgroup comprised less </w:t>
      </w:r>
      <w:r w:rsidRPr="001D659C">
        <w:t xml:space="preserve">than </w:t>
      </w:r>
      <w:r w:rsidR="00AF24DF">
        <w:rPr>
          <w:noProof/>
          <w:color w:val="000000"/>
          <w:highlight w:val="black"/>
        </w:rPr>
        <w:t>''''''</w:t>
      </w:r>
      <w:r w:rsidRPr="00A700F7">
        <w:t>% of the Study 295 trial population.</w:t>
      </w:r>
      <w:r w:rsidR="00702F8F" w:rsidRPr="00A700F7">
        <w:rPr>
          <w:color w:val="3366FF"/>
        </w:rPr>
        <w:t xml:space="preserve"> </w:t>
      </w:r>
      <w:r w:rsidR="00021404">
        <w:t xml:space="preserve">The Pre-PBAC Response </w:t>
      </w:r>
      <w:r w:rsidR="00904716">
        <w:t xml:space="preserve">explained </w:t>
      </w:r>
      <w:r w:rsidR="00021404">
        <w:t>that the inclusion of these patients despite the exclusion criterion was due to the definition of ‘failure’ of prophylactic medications being stricter for the post-hoc subgroup than for the entire trial.</w:t>
      </w:r>
    </w:p>
    <w:p w:rsidR="00825EA1" w:rsidRPr="00A20321" w:rsidRDefault="00825EA1" w:rsidP="00825EA1">
      <w:pPr>
        <w:pStyle w:val="ListParagraph"/>
        <w:numPr>
          <w:ilvl w:val="1"/>
          <w:numId w:val="3"/>
        </w:numPr>
      </w:pPr>
      <w:r w:rsidRPr="00A20321">
        <w:t xml:space="preserve">The trials also excluded patients with psychiatric comorbidities, which </w:t>
      </w:r>
      <w:proofErr w:type="spellStart"/>
      <w:r w:rsidRPr="00A20321">
        <w:t>Teixeira</w:t>
      </w:r>
      <w:proofErr w:type="spellEnd"/>
      <w:r w:rsidRPr="00A20321">
        <w:t xml:space="preserve"> et al. (2012)</w:t>
      </w:r>
      <w:r w:rsidR="0074790F" w:rsidRPr="00A20321">
        <w:rPr>
          <w:rStyle w:val="FootnoteReference"/>
        </w:rPr>
        <w:footnoteReference w:id="4"/>
      </w:r>
      <w:r w:rsidRPr="00A20321">
        <w:t xml:space="preserve"> found to be prevalent with chronic migraine. The ESC advised that this exclusion could diminish the applicability of the results of this research to the </w:t>
      </w:r>
      <w:r w:rsidR="002B6178" w:rsidRPr="00A20321">
        <w:t>PBS</w:t>
      </w:r>
      <w:r w:rsidRPr="00A20321">
        <w:t xml:space="preserve"> chronic migraine population to some extent.  </w:t>
      </w:r>
    </w:p>
    <w:p w:rsidR="00647A46" w:rsidRDefault="00A73134" w:rsidP="00725A0E">
      <w:pPr>
        <w:pStyle w:val="ListParagraph"/>
        <w:numPr>
          <w:ilvl w:val="1"/>
          <w:numId w:val="3"/>
        </w:numPr>
        <w:jc w:val="left"/>
        <w:rPr>
          <w:rStyle w:val="CommentReference"/>
        </w:rPr>
      </w:pPr>
      <w:r w:rsidRPr="00725A0E">
        <w:rPr>
          <w:rFonts w:cs="Calibri"/>
          <w:lang w:val="en-US"/>
        </w:rPr>
        <w:t xml:space="preserve">Details of the trials presented in the submission are provided in the table below.  </w:t>
      </w:r>
    </w:p>
    <w:p w:rsidR="00144268" w:rsidRPr="00144268" w:rsidRDefault="00144268" w:rsidP="00B86AC4">
      <w:pPr>
        <w:pStyle w:val="Caption"/>
        <w:keepNext/>
        <w:keepLines/>
        <w:spacing w:after="0"/>
        <w:rPr>
          <w:rFonts w:ascii="Arial Narrow" w:hAnsi="Arial Narrow"/>
          <w:color w:val="auto"/>
          <w:sz w:val="20"/>
          <w:szCs w:val="20"/>
        </w:rPr>
      </w:pPr>
      <w:r w:rsidRPr="00144268">
        <w:rPr>
          <w:rFonts w:ascii="Arial Narrow" w:hAnsi="Arial Narrow"/>
          <w:color w:val="auto"/>
          <w:sz w:val="20"/>
          <w:szCs w:val="20"/>
        </w:rPr>
        <w:lastRenderedPageBreak/>
        <w:t xml:space="preserve">Table </w:t>
      </w:r>
      <w:r w:rsidR="00D8193A">
        <w:rPr>
          <w:rFonts w:ascii="Arial Narrow" w:hAnsi="Arial Narrow"/>
          <w:noProof/>
          <w:color w:val="auto"/>
          <w:sz w:val="20"/>
          <w:szCs w:val="20"/>
        </w:rPr>
        <w:t>2</w:t>
      </w:r>
      <w:r w:rsidRPr="00144268">
        <w:rPr>
          <w:rFonts w:ascii="Arial Narrow" w:hAnsi="Arial Narrow"/>
          <w:color w:val="auto"/>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0D1E96" w:rsidRPr="00A700F7" w:rsidTr="00191DAE">
        <w:trPr>
          <w:tblHeader/>
        </w:trPr>
        <w:tc>
          <w:tcPr>
            <w:tcW w:w="796" w:type="pct"/>
            <w:vAlign w:val="center"/>
          </w:tcPr>
          <w:p w:rsidR="000D1E96" w:rsidRPr="00A700F7" w:rsidRDefault="000D1E96" w:rsidP="00B86AC4">
            <w:pPr>
              <w:pStyle w:val="Tabletext"/>
              <w:keepNext/>
              <w:keepLines/>
              <w:rPr>
                <w:b/>
              </w:rPr>
            </w:pPr>
            <w:r w:rsidRPr="00A700F7">
              <w:rPr>
                <w:b/>
              </w:rPr>
              <w:t>Trial ID</w:t>
            </w:r>
          </w:p>
        </w:tc>
        <w:tc>
          <w:tcPr>
            <w:tcW w:w="3027" w:type="pct"/>
            <w:vAlign w:val="center"/>
          </w:tcPr>
          <w:p w:rsidR="000D1E96" w:rsidRPr="00A700F7" w:rsidRDefault="000D1E96" w:rsidP="00B86AC4">
            <w:pPr>
              <w:pStyle w:val="Tabletext"/>
              <w:keepNext/>
              <w:keepLines/>
              <w:jc w:val="center"/>
              <w:rPr>
                <w:b/>
              </w:rPr>
            </w:pPr>
            <w:r w:rsidRPr="00A700F7">
              <w:rPr>
                <w:b/>
              </w:rPr>
              <w:t>Protocol title/ Publication title</w:t>
            </w:r>
          </w:p>
        </w:tc>
        <w:tc>
          <w:tcPr>
            <w:tcW w:w="1177" w:type="pct"/>
            <w:vAlign w:val="center"/>
          </w:tcPr>
          <w:p w:rsidR="000D1E96" w:rsidRPr="00A700F7" w:rsidRDefault="000D1E96" w:rsidP="00B86AC4">
            <w:pPr>
              <w:pStyle w:val="Tabletext"/>
              <w:keepNext/>
              <w:keepLines/>
              <w:jc w:val="center"/>
              <w:rPr>
                <w:b/>
              </w:rPr>
            </w:pPr>
            <w:r w:rsidRPr="00A700F7">
              <w:rPr>
                <w:b/>
              </w:rPr>
              <w:t>Publication citation</w:t>
            </w:r>
          </w:p>
        </w:tc>
      </w:tr>
      <w:tr w:rsidR="000D1E96" w:rsidRPr="00B86E59" w:rsidTr="00191DAE">
        <w:tc>
          <w:tcPr>
            <w:tcW w:w="5000" w:type="pct"/>
            <w:gridSpan w:val="3"/>
            <w:tcBorders>
              <w:bottom w:val="nil"/>
            </w:tcBorders>
            <w:vAlign w:val="center"/>
          </w:tcPr>
          <w:p w:rsidR="000D1E96" w:rsidRPr="00B86E59" w:rsidRDefault="000D1E96" w:rsidP="00B86AC4">
            <w:pPr>
              <w:pStyle w:val="Tabletext"/>
              <w:keepNext/>
              <w:keepLines/>
              <w:rPr>
                <w:b/>
              </w:rPr>
            </w:pPr>
            <w:proofErr w:type="spellStart"/>
            <w:r w:rsidRPr="00B86E59">
              <w:rPr>
                <w:b/>
              </w:rPr>
              <w:t>Erenumab</w:t>
            </w:r>
            <w:proofErr w:type="spellEnd"/>
          </w:p>
        </w:tc>
      </w:tr>
      <w:tr w:rsidR="000D1E96" w:rsidRPr="00A700F7" w:rsidTr="00B86E59">
        <w:trPr>
          <w:trHeight w:val="825"/>
        </w:trPr>
        <w:tc>
          <w:tcPr>
            <w:tcW w:w="796" w:type="pct"/>
            <w:tcBorders>
              <w:bottom w:val="nil"/>
            </w:tcBorders>
          </w:tcPr>
          <w:p w:rsidR="000D1E96" w:rsidRPr="00A700F7" w:rsidRDefault="006013D1" w:rsidP="00B86AC4">
            <w:pPr>
              <w:pStyle w:val="Tabletext"/>
              <w:keepNext/>
              <w:keepLines/>
              <w:rPr>
                <w:rFonts w:ascii="Times" w:hAnsi="Times"/>
              </w:rPr>
            </w:pPr>
            <w:r w:rsidRPr="00A700F7">
              <w:t>Study 295</w:t>
            </w:r>
          </w:p>
        </w:tc>
        <w:tc>
          <w:tcPr>
            <w:tcW w:w="3027" w:type="pct"/>
            <w:tcBorders>
              <w:bottom w:val="nil"/>
            </w:tcBorders>
          </w:tcPr>
          <w:p w:rsidR="000D1E96" w:rsidRPr="00A700F7" w:rsidRDefault="000D1E96" w:rsidP="00B86AC4">
            <w:pPr>
              <w:keepNext/>
              <w:keepLines/>
              <w:autoSpaceDE w:val="0"/>
              <w:autoSpaceDN w:val="0"/>
              <w:adjustRightInd w:val="0"/>
              <w:jc w:val="left"/>
              <w:rPr>
                <w:rFonts w:ascii="Arial Narrow" w:hAnsi="Arial Narrow" w:cs="Times"/>
                <w:color w:val="000000"/>
                <w:sz w:val="20"/>
                <w:szCs w:val="20"/>
                <w:lang w:val="en-US" w:eastAsia="en-AU"/>
              </w:rPr>
            </w:pPr>
            <w:r w:rsidRPr="00A700F7">
              <w:rPr>
                <w:rFonts w:ascii="Arial Narrow" w:hAnsi="Arial Narrow" w:cs="Arial"/>
                <w:color w:val="000000"/>
                <w:sz w:val="20"/>
                <w:szCs w:val="20"/>
                <w:lang w:val="en-US" w:eastAsia="en-AU"/>
              </w:rPr>
              <w:t xml:space="preserve">A Phase 2, Randomized, Double-blind, Placebo-controlled Study to Evaluate the Efficacy and Safety of AMG 334 in Chronic Migraine Prevention. </w:t>
            </w:r>
          </w:p>
        </w:tc>
        <w:tc>
          <w:tcPr>
            <w:tcW w:w="1177" w:type="pct"/>
            <w:tcBorders>
              <w:bottom w:val="nil"/>
            </w:tcBorders>
            <w:vAlign w:val="center"/>
          </w:tcPr>
          <w:p w:rsidR="000D1E96" w:rsidRPr="00A700F7" w:rsidRDefault="000D1E96" w:rsidP="00B86AC4">
            <w:pPr>
              <w:pStyle w:val="Tabletext"/>
              <w:keepNext/>
              <w:keepLines/>
            </w:pPr>
            <w:r w:rsidRPr="00A700F7">
              <w:rPr>
                <w:szCs w:val="18"/>
              </w:rPr>
              <w:t>Amgen, Inc</w:t>
            </w:r>
            <w:r w:rsidR="00B86E59">
              <w:rPr>
                <w:szCs w:val="18"/>
              </w:rPr>
              <w:t>.</w:t>
            </w:r>
            <w:r w:rsidRPr="00A700F7">
              <w:rPr>
                <w:szCs w:val="18"/>
              </w:rPr>
              <w:t xml:space="preserve"> Clinical Study Report</w:t>
            </w:r>
            <w:r w:rsidR="00B86E59">
              <w:rPr>
                <w:szCs w:val="18"/>
              </w:rPr>
              <w:t xml:space="preserve">. </w:t>
            </w:r>
            <w:r w:rsidRPr="00A700F7">
              <w:t>September 2016</w:t>
            </w:r>
            <w:r w:rsidR="00B86E59">
              <w:t>.</w:t>
            </w:r>
          </w:p>
          <w:p w:rsidR="000D1E96" w:rsidRPr="00A700F7" w:rsidRDefault="000D1E96" w:rsidP="00B86AC4">
            <w:pPr>
              <w:pStyle w:val="Tabletext"/>
              <w:keepNext/>
              <w:keepLines/>
              <w:rPr>
                <w:rFonts w:ascii="Times" w:hAnsi="Times"/>
              </w:rPr>
            </w:pPr>
            <w:r w:rsidRPr="00A700F7">
              <w:t>clinicaltrials.gov identifier: NCT02066415</w:t>
            </w:r>
          </w:p>
        </w:tc>
      </w:tr>
      <w:tr w:rsidR="000D1E96" w:rsidRPr="00A700F7" w:rsidTr="00B86E59">
        <w:tc>
          <w:tcPr>
            <w:tcW w:w="796" w:type="pct"/>
            <w:tcBorders>
              <w:top w:val="nil"/>
              <w:bottom w:val="nil"/>
            </w:tcBorders>
          </w:tcPr>
          <w:p w:rsidR="000D1E96" w:rsidRPr="00A700F7" w:rsidRDefault="000D1E96" w:rsidP="00B86AC4">
            <w:pPr>
              <w:pStyle w:val="Tabletext"/>
              <w:keepNext/>
              <w:keepLines/>
            </w:pPr>
          </w:p>
        </w:tc>
        <w:tc>
          <w:tcPr>
            <w:tcW w:w="3027" w:type="pct"/>
            <w:tcBorders>
              <w:top w:val="nil"/>
              <w:bottom w:val="nil"/>
            </w:tcBorders>
          </w:tcPr>
          <w:p w:rsidR="00B86E59" w:rsidRDefault="00B86E59" w:rsidP="00B86AC4">
            <w:pPr>
              <w:pStyle w:val="Tabletext"/>
              <w:keepNext/>
              <w:keepLines/>
            </w:pPr>
          </w:p>
          <w:p w:rsidR="000D1E96" w:rsidRPr="00A700F7" w:rsidRDefault="000D1E96" w:rsidP="00B86AC4">
            <w:pPr>
              <w:pStyle w:val="Tabletext"/>
              <w:keepNext/>
              <w:keepLines/>
              <w:rPr>
                <w:szCs w:val="18"/>
              </w:rPr>
            </w:pPr>
            <w:proofErr w:type="spellStart"/>
            <w:r w:rsidRPr="00A700F7">
              <w:t>Tepper</w:t>
            </w:r>
            <w:proofErr w:type="spellEnd"/>
            <w:r w:rsidRPr="00A700F7">
              <w:t xml:space="preserve"> S </w:t>
            </w:r>
            <w:proofErr w:type="spellStart"/>
            <w:r w:rsidRPr="00A700F7">
              <w:t>Ashina</w:t>
            </w:r>
            <w:proofErr w:type="spellEnd"/>
            <w:r w:rsidRPr="00A700F7">
              <w:t xml:space="preserve"> M, Reuter U, </w:t>
            </w:r>
            <w:proofErr w:type="spellStart"/>
            <w:r w:rsidRPr="00A700F7">
              <w:t>Brandes</w:t>
            </w:r>
            <w:proofErr w:type="spellEnd"/>
            <w:r w:rsidRPr="00A700F7">
              <w:t xml:space="preserve"> JL et al. Safety and efficacy of </w:t>
            </w:r>
            <w:proofErr w:type="spellStart"/>
            <w:r w:rsidRPr="00A700F7">
              <w:t>erenumab</w:t>
            </w:r>
            <w:proofErr w:type="spellEnd"/>
            <w:r w:rsidRPr="00A700F7">
              <w:t xml:space="preserve"> for preventive treatment of chronic migraine: a randomised, double-blind, placebo-controlled phase 2 trial.</w:t>
            </w:r>
          </w:p>
        </w:tc>
        <w:tc>
          <w:tcPr>
            <w:tcW w:w="1177" w:type="pct"/>
            <w:tcBorders>
              <w:top w:val="nil"/>
              <w:bottom w:val="nil"/>
            </w:tcBorders>
            <w:vAlign w:val="center"/>
          </w:tcPr>
          <w:p w:rsidR="000D1E96" w:rsidRPr="00A700F7" w:rsidRDefault="000D1E96" w:rsidP="00B86AC4">
            <w:pPr>
              <w:pStyle w:val="Tabletext"/>
              <w:keepNext/>
              <w:keepLines/>
              <w:rPr>
                <w:szCs w:val="18"/>
              </w:rPr>
            </w:pPr>
            <w:r w:rsidRPr="00A700F7">
              <w:t xml:space="preserve">Lancet </w:t>
            </w:r>
            <w:proofErr w:type="spellStart"/>
            <w:r w:rsidRPr="00A700F7">
              <w:t>Neurol</w:t>
            </w:r>
            <w:proofErr w:type="spellEnd"/>
            <w:r w:rsidRPr="00A700F7">
              <w:t xml:space="preserve"> 2017; 16: 425-34.</w:t>
            </w:r>
          </w:p>
        </w:tc>
      </w:tr>
      <w:tr w:rsidR="000D1E96" w:rsidRPr="00A700F7" w:rsidTr="00B86E59">
        <w:tc>
          <w:tcPr>
            <w:tcW w:w="796" w:type="pct"/>
            <w:tcBorders>
              <w:bottom w:val="nil"/>
            </w:tcBorders>
          </w:tcPr>
          <w:p w:rsidR="000D1E96" w:rsidRPr="00A700F7" w:rsidRDefault="000D1E96" w:rsidP="00B86AC4">
            <w:pPr>
              <w:pStyle w:val="Tabletext"/>
              <w:keepNext/>
              <w:keepLines/>
              <w:rPr>
                <w:rFonts w:ascii="Times" w:hAnsi="Times"/>
              </w:rPr>
            </w:pPr>
            <w:r w:rsidRPr="00A700F7">
              <w:t>Study 255</w:t>
            </w:r>
          </w:p>
        </w:tc>
        <w:tc>
          <w:tcPr>
            <w:tcW w:w="3027" w:type="pct"/>
            <w:tcBorders>
              <w:bottom w:val="nil"/>
            </w:tcBorders>
          </w:tcPr>
          <w:p w:rsidR="000D1E96" w:rsidRPr="00A700F7" w:rsidRDefault="000D1E96" w:rsidP="00B86AC4">
            <w:pPr>
              <w:keepNext/>
              <w:keepLines/>
              <w:autoSpaceDE w:val="0"/>
              <w:autoSpaceDN w:val="0"/>
              <w:adjustRightInd w:val="0"/>
              <w:jc w:val="left"/>
              <w:rPr>
                <w:rFonts w:ascii="Arial Narrow" w:hAnsi="Arial Narrow"/>
                <w:snapToGrid w:val="0"/>
                <w:sz w:val="20"/>
              </w:rPr>
            </w:pPr>
            <w:r w:rsidRPr="00A700F7">
              <w:rPr>
                <w:rFonts w:ascii="Arial Narrow" w:hAnsi="Arial Narrow" w:cs="Arial"/>
                <w:color w:val="000000"/>
                <w:sz w:val="20"/>
                <w:szCs w:val="20"/>
                <w:lang w:val="en-US" w:eastAsia="en-AU"/>
              </w:rPr>
              <w:t>An Open-label Extension (OLE) Study to Assess the Long-term Safety and Efficacy of AMG 334</w:t>
            </w:r>
            <w:r w:rsidRPr="00A700F7">
              <w:rPr>
                <w:rFonts w:ascii="Arial Narrow" w:hAnsi="Arial Narrow"/>
                <w:snapToGrid w:val="0"/>
                <w:sz w:val="20"/>
              </w:rPr>
              <w:t xml:space="preserve">. </w:t>
            </w:r>
          </w:p>
        </w:tc>
        <w:tc>
          <w:tcPr>
            <w:tcW w:w="1177" w:type="pct"/>
            <w:tcBorders>
              <w:bottom w:val="nil"/>
            </w:tcBorders>
            <w:vAlign w:val="center"/>
          </w:tcPr>
          <w:p w:rsidR="000D1E96" w:rsidRPr="00A700F7" w:rsidRDefault="00B86E59" w:rsidP="00B86AC4">
            <w:pPr>
              <w:pStyle w:val="Tabletext"/>
              <w:keepNext/>
              <w:keepLines/>
            </w:pPr>
            <w:r>
              <w:rPr>
                <w:szCs w:val="18"/>
              </w:rPr>
              <w:t>Amgen, Inc. C</w:t>
            </w:r>
            <w:r w:rsidR="000D1E96" w:rsidRPr="00A700F7">
              <w:rPr>
                <w:szCs w:val="18"/>
              </w:rPr>
              <w:t>linical Study Report</w:t>
            </w:r>
            <w:r>
              <w:rPr>
                <w:szCs w:val="18"/>
              </w:rPr>
              <w:t xml:space="preserve">. </w:t>
            </w:r>
            <w:r w:rsidR="000D1E96" w:rsidRPr="00A700F7">
              <w:t>November 2017</w:t>
            </w:r>
            <w:r w:rsidR="0078396F">
              <w:t>.</w:t>
            </w:r>
          </w:p>
          <w:p w:rsidR="000D1E96" w:rsidRPr="00A700F7" w:rsidRDefault="000D1E96" w:rsidP="00B86AC4">
            <w:pPr>
              <w:keepNext/>
              <w:keepLines/>
              <w:jc w:val="left"/>
              <w:rPr>
                <w:rFonts w:ascii="Arial Narrow" w:hAnsi="Arial Narrow"/>
                <w:sz w:val="20"/>
                <w:szCs w:val="20"/>
              </w:rPr>
            </w:pPr>
            <w:r w:rsidRPr="00A700F7">
              <w:rPr>
                <w:rFonts w:ascii="Arial Narrow" w:hAnsi="Arial Narrow"/>
                <w:sz w:val="20"/>
                <w:szCs w:val="20"/>
              </w:rPr>
              <w:t>clinicaltrials.gov identifier:</w:t>
            </w:r>
            <w:r w:rsidRPr="00A700F7">
              <w:t xml:space="preserve"> </w:t>
            </w:r>
            <w:r w:rsidRPr="00A700F7">
              <w:rPr>
                <w:rFonts w:ascii="Arial Narrow" w:hAnsi="Arial Narrow"/>
                <w:color w:val="000000"/>
                <w:sz w:val="20"/>
                <w:szCs w:val="20"/>
                <w:shd w:val="clear" w:color="auto" w:fill="FFFFFF"/>
              </w:rPr>
              <w:t>NCT02174861</w:t>
            </w:r>
          </w:p>
        </w:tc>
      </w:tr>
      <w:tr w:rsidR="000D1E96" w:rsidRPr="00B86E59" w:rsidTr="00191DAE">
        <w:tc>
          <w:tcPr>
            <w:tcW w:w="5000" w:type="pct"/>
            <w:gridSpan w:val="3"/>
            <w:tcBorders>
              <w:bottom w:val="single" w:sz="4" w:space="0" w:color="auto"/>
            </w:tcBorders>
            <w:vAlign w:val="center"/>
          </w:tcPr>
          <w:p w:rsidR="000D1E96" w:rsidRPr="00B86E59" w:rsidRDefault="000D1E96" w:rsidP="00B86AC4">
            <w:pPr>
              <w:pStyle w:val="Tabletext"/>
              <w:keepNext/>
              <w:keepLines/>
              <w:rPr>
                <w:b/>
              </w:rPr>
            </w:pPr>
            <w:r w:rsidRPr="00B86E59">
              <w:rPr>
                <w:b/>
              </w:rPr>
              <w:t>Botox</w:t>
            </w:r>
          </w:p>
        </w:tc>
      </w:tr>
      <w:tr w:rsidR="000D1E96" w:rsidRPr="00A700F7" w:rsidTr="00B86E59">
        <w:tc>
          <w:tcPr>
            <w:tcW w:w="796" w:type="pct"/>
            <w:tcBorders>
              <w:top w:val="single" w:sz="4" w:space="0" w:color="auto"/>
              <w:bottom w:val="single" w:sz="4" w:space="0" w:color="auto"/>
            </w:tcBorders>
          </w:tcPr>
          <w:p w:rsidR="000D1E96" w:rsidRPr="00A700F7" w:rsidRDefault="000D1E96" w:rsidP="00B86AC4">
            <w:pPr>
              <w:pStyle w:val="Tabletext"/>
              <w:keepNext/>
              <w:keepLines/>
            </w:pPr>
            <w:r w:rsidRPr="00A700F7">
              <w:t>PREEMPT I</w:t>
            </w:r>
          </w:p>
        </w:tc>
        <w:tc>
          <w:tcPr>
            <w:tcW w:w="3027" w:type="pct"/>
            <w:tcBorders>
              <w:top w:val="single" w:sz="4" w:space="0" w:color="auto"/>
              <w:bottom w:val="single" w:sz="4" w:space="0" w:color="auto"/>
            </w:tcBorders>
            <w:vAlign w:val="center"/>
          </w:tcPr>
          <w:p w:rsidR="000D1E96" w:rsidRPr="00A700F7" w:rsidRDefault="000D1E96" w:rsidP="00B86AC4">
            <w:pPr>
              <w:pStyle w:val="Tabletext"/>
              <w:keepNext/>
              <w:keepLines/>
            </w:pPr>
            <w:r w:rsidRPr="00A700F7">
              <w:t xml:space="preserve">Aurora SK, </w:t>
            </w:r>
            <w:proofErr w:type="spellStart"/>
            <w:r w:rsidRPr="00A700F7">
              <w:t>Dodick</w:t>
            </w:r>
            <w:proofErr w:type="spellEnd"/>
            <w:r w:rsidRPr="00A700F7">
              <w:t xml:space="preserve"> DW, </w:t>
            </w:r>
            <w:proofErr w:type="spellStart"/>
            <w:r w:rsidRPr="00A700F7">
              <w:t>Turkel</w:t>
            </w:r>
            <w:proofErr w:type="spellEnd"/>
            <w:r w:rsidRPr="00A700F7">
              <w:t xml:space="preserve"> CC, </w:t>
            </w:r>
            <w:proofErr w:type="spellStart"/>
            <w:r w:rsidRPr="00A700F7">
              <w:t>DeGryse</w:t>
            </w:r>
            <w:proofErr w:type="spellEnd"/>
            <w:r w:rsidRPr="00A700F7">
              <w:t xml:space="preserve"> Re et al. </w:t>
            </w:r>
            <w:proofErr w:type="spellStart"/>
            <w:r w:rsidRPr="00A700F7">
              <w:t>OnabotulinumtoxinA</w:t>
            </w:r>
            <w:proofErr w:type="spellEnd"/>
            <w:r w:rsidRPr="00A700F7">
              <w:t xml:space="preserve"> for treatment of chronic migraine: Results from the double-blind, randomized, placebo-controlled phase of the PREEMPT 1 trial. </w:t>
            </w:r>
          </w:p>
        </w:tc>
        <w:tc>
          <w:tcPr>
            <w:tcW w:w="1177" w:type="pct"/>
            <w:tcBorders>
              <w:top w:val="single" w:sz="4" w:space="0" w:color="auto"/>
              <w:bottom w:val="single" w:sz="4" w:space="0" w:color="auto"/>
            </w:tcBorders>
          </w:tcPr>
          <w:p w:rsidR="000D1E96" w:rsidRPr="00A700F7" w:rsidRDefault="000D1E96" w:rsidP="00B86AC4">
            <w:pPr>
              <w:pStyle w:val="Tabletext"/>
              <w:keepNext/>
              <w:keepLines/>
            </w:pPr>
            <w:proofErr w:type="spellStart"/>
            <w:r w:rsidRPr="00A700F7">
              <w:t>Cephala</w:t>
            </w:r>
            <w:r w:rsidR="002C6E18" w:rsidRPr="00A700F7">
              <w:t>l</w:t>
            </w:r>
            <w:r w:rsidRPr="00A700F7">
              <w:t>gia</w:t>
            </w:r>
            <w:proofErr w:type="spellEnd"/>
            <w:r w:rsidRPr="00A700F7">
              <w:t xml:space="preserve"> 2010; 30(7): 793-803.</w:t>
            </w:r>
          </w:p>
        </w:tc>
      </w:tr>
      <w:tr w:rsidR="000D1E96" w:rsidRPr="00A700F7" w:rsidTr="00B86E59">
        <w:tc>
          <w:tcPr>
            <w:tcW w:w="796" w:type="pct"/>
            <w:tcBorders>
              <w:top w:val="single" w:sz="4" w:space="0" w:color="auto"/>
              <w:bottom w:val="single" w:sz="4" w:space="0" w:color="auto"/>
            </w:tcBorders>
          </w:tcPr>
          <w:p w:rsidR="000D1E96" w:rsidRPr="00A700F7" w:rsidRDefault="000D1E96" w:rsidP="00B86AC4">
            <w:pPr>
              <w:pStyle w:val="Tabletext"/>
              <w:keepNext/>
              <w:keepLines/>
            </w:pPr>
            <w:r w:rsidRPr="00A700F7">
              <w:t>PREEMPT II</w:t>
            </w:r>
          </w:p>
        </w:tc>
        <w:tc>
          <w:tcPr>
            <w:tcW w:w="3027" w:type="pct"/>
            <w:tcBorders>
              <w:top w:val="single" w:sz="4" w:space="0" w:color="auto"/>
              <w:bottom w:val="single" w:sz="4" w:space="0" w:color="auto"/>
            </w:tcBorders>
            <w:vAlign w:val="center"/>
          </w:tcPr>
          <w:p w:rsidR="000D1E96" w:rsidRPr="00A700F7" w:rsidRDefault="000D1E96" w:rsidP="00B86AC4">
            <w:pPr>
              <w:pStyle w:val="Tabletext"/>
              <w:keepNext/>
              <w:keepLines/>
              <w:rPr>
                <w:szCs w:val="18"/>
              </w:rPr>
            </w:pPr>
            <w:proofErr w:type="spellStart"/>
            <w:r w:rsidRPr="00A700F7">
              <w:t>Diener</w:t>
            </w:r>
            <w:proofErr w:type="spellEnd"/>
            <w:r w:rsidRPr="00A700F7">
              <w:t xml:space="preserve"> et al. </w:t>
            </w:r>
            <w:proofErr w:type="spellStart"/>
            <w:r w:rsidRPr="00A700F7">
              <w:t>OnabotulinumtoxinA</w:t>
            </w:r>
            <w:proofErr w:type="spellEnd"/>
            <w:r w:rsidRPr="00A700F7">
              <w:t xml:space="preserve"> for treatment of chronic migraine: Results from the double-blind, randomized, placebo-controlled phase of the PREEMPT 2 trial. </w:t>
            </w:r>
          </w:p>
        </w:tc>
        <w:tc>
          <w:tcPr>
            <w:tcW w:w="1177" w:type="pct"/>
            <w:tcBorders>
              <w:top w:val="single" w:sz="4" w:space="0" w:color="auto"/>
              <w:bottom w:val="single" w:sz="4" w:space="0" w:color="auto"/>
            </w:tcBorders>
          </w:tcPr>
          <w:p w:rsidR="000D1E96" w:rsidRPr="00A700F7" w:rsidRDefault="000D1E96" w:rsidP="00B86AC4">
            <w:pPr>
              <w:pStyle w:val="Tabletext"/>
              <w:keepNext/>
              <w:keepLines/>
              <w:rPr>
                <w:szCs w:val="18"/>
              </w:rPr>
            </w:pPr>
            <w:proofErr w:type="spellStart"/>
            <w:r w:rsidRPr="00A700F7">
              <w:t>Cephalalgia</w:t>
            </w:r>
            <w:proofErr w:type="spellEnd"/>
            <w:r w:rsidRPr="00A700F7">
              <w:t xml:space="preserve"> 2010; 30(7): 804-814.</w:t>
            </w:r>
          </w:p>
        </w:tc>
      </w:tr>
      <w:tr w:rsidR="000D1E96" w:rsidRPr="00A700F7" w:rsidTr="00B86E59">
        <w:tc>
          <w:tcPr>
            <w:tcW w:w="796" w:type="pct"/>
            <w:tcBorders>
              <w:top w:val="single" w:sz="4" w:space="0" w:color="auto"/>
              <w:bottom w:val="single" w:sz="4" w:space="0" w:color="auto"/>
            </w:tcBorders>
          </w:tcPr>
          <w:p w:rsidR="000D1E96" w:rsidRPr="00A700F7" w:rsidRDefault="000D1E96" w:rsidP="00B86AC4">
            <w:pPr>
              <w:pStyle w:val="Tabletext"/>
              <w:keepNext/>
              <w:keepLines/>
            </w:pPr>
            <w:r w:rsidRPr="00A700F7">
              <w:t>PREEMPT 1 and PREEMPT II pooled analysis</w:t>
            </w:r>
          </w:p>
        </w:tc>
        <w:tc>
          <w:tcPr>
            <w:tcW w:w="3027" w:type="pct"/>
            <w:tcBorders>
              <w:top w:val="single" w:sz="4" w:space="0" w:color="auto"/>
              <w:bottom w:val="single" w:sz="4" w:space="0" w:color="auto"/>
            </w:tcBorders>
            <w:vAlign w:val="center"/>
          </w:tcPr>
          <w:p w:rsidR="000D1E96" w:rsidRPr="00A700F7" w:rsidRDefault="000D1E96" w:rsidP="00B86AC4">
            <w:pPr>
              <w:pStyle w:val="Tabletext"/>
              <w:keepNext/>
              <w:keepLines/>
            </w:pPr>
            <w:proofErr w:type="spellStart"/>
            <w:r w:rsidRPr="00A700F7">
              <w:t>Dodick</w:t>
            </w:r>
            <w:proofErr w:type="spellEnd"/>
            <w:r w:rsidRPr="00A700F7">
              <w:t xml:space="preserve"> DW, </w:t>
            </w:r>
            <w:proofErr w:type="spellStart"/>
            <w:r w:rsidRPr="00A700F7">
              <w:t>Turkel</w:t>
            </w:r>
            <w:proofErr w:type="spellEnd"/>
            <w:r w:rsidRPr="00A700F7">
              <w:t xml:space="preserve"> CC, </w:t>
            </w:r>
            <w:proofErr w:type="spellStart"/>
            <w:r w:rsidRPr="00A700F7">
              <w:t>DeGryse</w:t>
            </w:r>
            <w:proofErr w:type="spellEnd"/>
            <w:r w:rsidRPr="00A700F7">
              <w:t xml:space="preserve"> RE, Aurora SK et al. </w:t>
            </w:r>
            <w:proofErr w:type="spellStart"/>
            <w:r w:rsidRPr="00A700F7">
              <w:t>OnabotulinumtoxinA</w:t>
            </w:r>
            <w:proofErr w:type="spellEnd"/>
            <w:r w:rsidRPr="00A700F7">
              <w:t xml:space="preserve"> treatment reduce headache duration in adults with chronic migraine: Pooled results from the double-blind, randomized, placebo-controlled phase of the PREEMPT clinical program. </w:t>
            </w:r>
          </w:p>
        </w:tc>
        <w:tc>
          <w:tcPr>
            <w:tcW w:w="1177" w:type="pct"/>
            <w:tcBorders>
              <w:top w:val="single" w:sz="4" w:space="0" w:color="auto"/>
              <w:bottom w:val="single" w:sz="4" w:space="0" w:color="auto"/>
            </w:tcBorders>
          </w:tcPr>
          <w:p w:rsidR="000D1E96" w:rsidRPr="00A700F7" w:rsidRDefault="000D1E96" w:rsidP="00B86AC4">
            <w:pPr>
              <w:pStyle w:val="Tabletext"/>
              <w:keepNext/>
              <w:keepLines/>
            </w:pPr>
            <w:r w:rsidRPr="00A700F7">
              <w:t>Headache 2010; 50: 58-59.</w:t>
            </w:r>
          </w:p>
        </w:tc>
      </w:tr>
    </w:tbl>
    <w:p w:rsidR="000D1E96" w:rsidRPr="00A700F7" w:rsidRDefault="000D1E96" w:rsidP="00B86AC4">
      <w:pPr>
        <w:pStyle w:val="TableFooter"/>
        <w:keepNext/>
        <w:keepLines/>
      </w:pPr>
      <w:r w:rsidRPr="00A700F7">
        <w:t>Source: Table 2.8, p20-24 of the submission.</w:t>
      </w:r>
    </w:p>
    <w:p w:rsidR="00862502" w:rsidRPr="00A700F7" w:rsidRDefault="00862502" w:rsidP="000D1E96"/>
    <w:p w:rsidR="007F1017" w:rsidRPr="00A700F7" w:rsidRDefault="008F120A" w:rsidP="00F6241C">
      <w:pPr>
        <w:pStyle w:val="ListParagraph"/>
        <w:numPr>
          <w:ilvl w:val="1"/>
          <w:numId w:val="3"/>
        </w:numPr>
      </w:pPr>
      <w:r w:rsidRPr="00A700F7">
        <w:t xml:space="preserve">The key features of the </w:t>
      </w:r>
      <w:r w:rsidR="00F5012D" w:rsidRPr="00A700F7">
        <w:t>randomised trials included in the indirect comparison are provided in the table below.  As the subgroup analysis presented by the submission formed the basis of the clinical claim, information relative to the subgroup is included in the table.</w:t>
      </w:r>
    </w:p>
    <w:p w:rsidR="00144268" w:rsidRPr="00144268" w:rsidRDefault="00144268" w:rsidP="00144268">
      <w:pPr>
        <w:pStyle w:val="Caption"/>
        <w:keepNext/>
        <w:spacing w:after="0"/>
        <w:rPr>
          <w:rFonts w:ascii="Arial Narrow" w:hAnsi="Arial Narrow"/>
          <w:color w:val="auto"/>
          <w:sz w:val="20"/>
          <w:szCs w:val="20"/>
        </w:rPr>
      </w:pPr>
      <w:r w:rsidRPr="00144268">
        <w:rPr>
          <w:rFonts w:ascii="Arial Narrow" w:hAnsi="Arial Narrow"/>
          <w:color w:val="auto"/>
          <w:sz w:val="20"/>
          <w:szCs w:val="20"/>
        </w:rPr>
        <w:t xml:space="preserve">Table </w:t>
      </w:r>
      <w:r w:rsidR="00D8193A">
        <w:rPr>
          <w:rFonts w:ascii="Arial Narrow" w:hAnsi="Arial Narrow"/>
          <w:noProof/>
          <w:color w:val="auto"/>
          <w:sz w:val="20"/>
          <w:szCs w:val="20"/>
        </w:rPr>
        <w:t>3</w:t>
      </w:r>
      <w:r w:rsidRPr="00144268">
        <w:rPr>
          <w:rFonts w:ascii="Arial Narrow" w:hAnsi="Arial Narrow"/>
          <w:color w:val="auto"/>
          <w:sz w:val="20"/>
          <w:szCs w:val="20"/>
        </w:rPr>
        <w:t>: Key features of the included evidence –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1028"/>
        <w:gridCol w:w="1387"/>
        <w:gridCol w:w="1093"/>
        <w:gridCol w:w="1519"/>
        <w:gridCol w:w="1109"/>
        <w:gridCol w:w="1552"/>
      </w:tblGrid>
      <w:tr w:rsidR="008E7ABD" w:rsidRPr="00A700F7" w:rsidTr="00144268">
        <w:trPr>
          <w:tblHeader/>
        </w:trPr>
        <w:tc>
          <w:tcPr>
            <w:tcW w:w="709" w:type="pct"/>
            <w:shd w:val="clear" w:color="auto" w:fill="auto"/>
            <w:vAlign w:val="center"/>
          </w:tcPr>
          <w:p w:rsidR="00F5012D" w:rsidRPr="00A700F7" w:rsidRDefault="00F5012D" w:rsidP="000F2311">
            <w:pPr>
              <w:pStyle w:val="Tabletext"/>
              <w:rPr>
                <w:b/>
                <w:lang w:val="en-US"/>
              </w:rPr>
            </w:pPr>
            <w:r w:rsidRPr="00A700F7">
              <w:rPr>
                <w:b/>
                <w:lang w:val="en-US"/>
              </w:rPr>
              <w:t>Trial</w:t>
            </w:r>
          </w:p>
        </w:tc>
        <w:tc>
          <w:tcPr>
            <w:tcW w:w="574" w:type="pct"/>
            <w:shd w:val="clear" w:color="auto" w:fill="auto"/>
            <w:vAlign w:val="center"/>
          </w:tcPr>
          <w:p w:rsidR="00F5012D" w:rsidRPr="00A700F7" w:rsidRDefault="00F5012D" w:rsidP="000F2311">
            <w:pPr>
              <w:pStyle w:val="Tabletext"/>
              <w:jc w:val="center"/>
              <w:rPr>
                <w:b/>
                <w:lang w:val="en-US"/>
              </w:rPr>
            </w:pPr>
            <w:r w:rsidRPr="00A700F7">
              <w:rPr>
                <w:b/>
                <w:lang w:val="en-US"/>
              </w:rPr>
              <w:t>N</w:t>
            </w:r>
          </w:p>
        </w:tc>
        <w:tc>
          <w:tcPr>
            <w:tcW w:w="774" w:type="pct"/>
            <w:shd w:val="clear" w:color="auto" w:fill="auto"/>
            <w:vAlign w:val="center"/>
          </w:tcPr>
          <w:p w:rsidR="00F5012D" w:rsidRPr="00A700F7" w:rsidRDefault="00F5012D" w:rsidP="000F2311">
            <w:pPr>
              <w:pStyle w:val="Tabletext"/>
              <w:jc w:val="center"/>
              <w:rPr>
                <w:b/>
                <w:lang w:val="en-US"/>
              </w:rPr>
            </w:pPr>
            <w:r w:rsidRPr="00A700F7">
              <w:rPr>
                <w:b/>
                <w:lang w:val="en-US"/>
              </w:rPr>
              <w:t>Design/ duration</w:t>
            </w:r>
          </w:p>
        </w:tc>
        <w:tc>
          <w:tcPr>
            <w:tcW w:w="610" w:type="pct"/>
            <w:shd w:val="clear" w:color="auto" w:fill="auto"/>
            <w:vAlign w:val="center"/>
          </w:tcPr>
          <w:p w:rsidR="00F5012D" w:rsidRPr="00A700F7" w:rsidRDefault="00F5012D" w:rsidP="000F2311">
            <w:pPr>
              <w:pStyle w:val="Tabletext"/>
              <w:jc w:val="center"/>
              <w:rPr>
                <w:b/>
                <w:lang w:val="en-US"/>
              </w:rPr>
            </w:pPr>
            <w:r w:rsidRPr="00A700F7">
              <w:rPr>
                <w:b/>
                <w:lang w:val="en-US"/>
              </w:rPr>
              <w:t>Risk of bias</w:t>
            </w:r>
          </w:p>
        </w:tc>
        <w:tc>
          <w:tcPr>
            <w:tcW w:w="848" w:type="pct"/>
            <w:shd w:val="clear" w:color="auto" w:fill="auto"/>
            <w:vAlign w:val="center"/>
          </w:tcPr>
          <w:p w:rsidR="00F5012D" w:rsidRPr="00A700F7" w:rsidRDefault="00F5012D" w:rsidP="000F2311">
            <w:pPr>
              <w:pStyle w:val="Tabletext"/>
              <w:jc w:val="center"/>
              <w:rPr>
                <w:b/>
                <w:lang w:val="en-US"/>
              </w:rPr>
            </w:pPr>
            <w:r w:rsidRPr="00A700F7">
              <w:rPr>
                <w:b/>
                <w:lang w:val="en-US"/>
              </w:rPr>
              <w:t>Patient population</w:t>
            </w:r>
          </w:p>
        </w:tc>
        <w:tc>
          <w:tcPr>
            <w:tcW w:w="619" w:type="pct"/>
            <w:shd w:val="clear" w:color="auto" w:fill="auto"/>
            <w:vAlign w:val="center"/>
          </w:tcPr>
          <w:p w:rsidR="00F5012D" w:rsidRPr="00A700F7" w:rsidRDefault="00AE615D" w:rsidP="000F2311">
            <w:pPr>
              <w:pStyle w:val="Tabletext"/>
              <w:jc w:val="center"/>
              <w:rPr>
                <w:b/>
                <w:lang w:val="en-US"/>
              </w:rPr>
            </w:pPr>
            <w:r w:rsidRPr="00A700F7">
              <w:rPr>
                <w:b/>
                <w:lang w:val="en-US"/>
              </w:rPr>
              <w:t>Outcomes</w:t>
            </w:r>
          </w:p>
        </w:tc>
        <w:tc>
          <w:tcPr>
            <w:tcW w:w="866" w:type="pct"/>
            <w:shd w:val="clear" w:color="auto" w:fill="auto"/>
            <w:vAlign w:val="center"/>
          </w:tcPr>
          <w:p w:rsidR="00F5012D" w:rsidRPr="00A700F7" w:rsidRDefault="00F5012D" w:rsidP="000F2311">
            <w:pPr>
              <w:pStyle w:val="Tabletext"/>
              <w:jc w:val="center"/>
              <w:rPr>
                <w:b/>
                <w:lang w:val="en-US"/>
              </w:rPr>
            </w:pPr>
            <w:r w:rsidRPr="00A700F7">
              <w:rPr>
                <w:b/>
                <w:lang w:val="en-US"/>
              </w:rPr>
              <w:t>Use in modelled evaluation</w:t>
            </w:r>
          </w:p>
        </w:tc>
      </w:tr>
      <w:tr w:rsidR="00F5012D" w:rsidRPr="00A700F7" w:rsidTr="000F2311">
        <w:tc>
          <w:tcPr>
            <w:tcW w:w="5000" w:type="pct"/>
            <w:gridSpan w:val="7"/>
            <w:shd w:val="clear" w:color="auto" w:fill="auto"/>
            <w:vAlign w:val="center"/>
          </w:tcPr>
          <w:p w:rsidR="00F5012D" w:rsidRPr="00A700F7" w:rsidRDefault="00F5012D" w:rsidP="000F2311">
            <w:pPr>
              <w:pStyle w:val="Tabletext"/>
              <w:rPr>
                <w:b/>
                <w:lang w:val="en-US"/>
              </w:rPr>
            </w:pPr>
            <w:proofErr w:type="spellStart"/>
            <w:r w:rsidRPr="00A700F7">
              <w:rPr>
                <w:b/>
                <w:lang w:val="en-US"/>
              </w:rPr>
              <w:t>Erenumab</w:t>
            </w:r>
            <w:proofErr w:type="spellEnd"/>
            <w:r w:rsidRPr="00A700F7">
              <w:rPr>
                <w:b/>
                <w:lang w:val="en-US"/>
              </w:rPr>
              <w:t xml:space="preserve"> vs. placebo</w:t>
            </w:r>
          </w:p>
        </w:tc>
      </w:tr>
      <w:tr w:rsidR="008E7ABD" w:rsidRPr="00A700F7" w:rsidTr="00144268">
        <w:tc>
          <w:tcPr>
            <w:tcW w:w="709" w:type="pct"/>
            <w:shd w:val="clear" w:color="auto" w:fill="auto"/>
            <w:vAlign w:val="center"/>
          </w:tcPr>
          <w:p w:rsidR="00F5012D" w:rsidRPr="00A700F7" w:rsidRDefault="00F5012D" w:rsidP="000F2311">
            <w:pPr>
              <w:pStyle w:val="Tabletext"/>
              <w:rPr>
                <w:lang w:val="en-US"/>
              </w:rPr>
            </w:pPr>
            <w:r w:rsidRPr="00A700F7">
              <w:rPr>
                <w:lang w:val="en-US"/>
              </w:rPr>
              <w:t>Study 295</w:t>
            </w:r>
          </w:p>
        </w:tc>
        <w:tc>
          <w:tcPr>
            <w:tcW w:w="574" w:type="pct"/>
            <w:shd w:val="clear" w:color="auto" w:fill="auto"/>
            <w:vAlign w:val="center"/>
          </w:tcPr>
          <w:p w:rsidR="00F5012D" w:rsidRPr="00A700F7" w:rsidRDefault="00D81CE6" w:rsidP="000F2311">
            <w:pPr>
              <w:pStyle w:val="Tabletext"/>
              <w:jc w:val="center"/>
              <w:rPr>
                <w:lang w:val="en-US"/>
              </w:rPr>
            </w:pPr>
            <w:r w:rsidRPr="00A700F7">
              <w:rPr>
                <w:lang w:val="en-US"/>
              </w:rPr>
              <w:t>476</w:t>
            </w:r>
            <w:r w:rsidR="006D12AC" w:rsidRPr="00A700F7">
              <w:rPr>
                <w:lang w:val="en-US"/>
              </w:rPr>
              <w:t xml:space="preserve"> (</w:t>
            </w:r>
            <w:proofErr w:type="spellStart"/>
            <w:r w:rsidR="006D12AC" w:rsidRPr="00A700F7">
              <w:rPr>
                <w:lang w:val="en-US"/>
              </w:rPr>
              <w:t>subgrp</w:t>
            </w:r>
            <w:proofErr w:type="spellEnd"/>
            <w:r w:rsidR="006D12AC" w:rsidRPr="00A700F7">
              <w:rPr>
                <w:lang w:val="en-US"/>
              </w:rPr>
              <w:t>=</w:t>
            </w:r>
            <w:r w:rsidR="00AF24DF">
              <w:rPr>
                <w:noProof/>
                <w:color w:val="000000"/>
                <w:highlight w:val="black"/>
                <w:lang w:val="en-US"/>
              </w:rPr>
              <w:t>''''''</w:t>
            </w:r>
            <w:r w:rsidR="008E7ABD" w:rsidRPr="00A700F7">
              <w:rPr>
                <w:lang w:val="en-US"/>
              </w:rPr>
              <w:t xml:space="preserve"> or </w:t>
            </w:r>
            <w:r w:rsidR="00AF24DF">
              <w:rPr>
                <w:noProof/>
                <w:color w:val="000000"/>
                <w:highlight w:val="black"/>
                <w:lang w:val="en-US"/>
              </w:rPr>
              <w:t>''''''</w:t>
            </w:r>
            <w:r w:rsidR="008E7ABD" w:rsidRPr="00A700F7">
              <w:rPr>
                <w:vertAlign w:val="superscript"/>
                <w:lang w:val="en-US"/>
              </w:rPr>
              <w:t>a</w:t>
            </w:r>
            <w:r w:rsidR="006D12AC" w:rsidRPr="00A700F7">
              <w:rPr>
                <w:lang w:val="en-US"/>
              </w:rPr>
              <w:t>)</w:t>
            </w:r>
          </w:p>
        </w:tc>
        <w:tc>
          <w:tcPr>
            <w:tcW w:w="774" w:type="pct"/>
            <w:shd w:val="clear" w:color="auto" w:fill="auto"/>
            <w:vAlign w:val="center"/>
          </w:tcPr>
          <w:p w:rsidR="00F5012D" w:rsidRPr="00A700F7" w:rsidRDefault="00F5012D" w:rsidP="000F2311">
            <w:pPr>
              <w:pStyle w:val="Tabletext"/>
              <w:jc w:val="center"/>
              <w:rPr>
                <w:lang w:val="en-US"/>
              </w:rPr>
            </w:pPr>
            <w:r w:rsidRPr="00A700F7">
              <w:rPr>
                <w:lang w:val="en-US"/>
              </w:rPr>
              <w:t>R, DB</w:t>
            </w:r>
            <w:r w:rsidR="00D81CE6" w:rsidRPr="00A700F7">
              <w:rPr>
                <w:lang w:val="en-US"/>
              </w:rPr>
              <w:t>, MC</w:t>
            </w:r>
          </w:p>
          <w:p w:rsidR="00F5012D" w:rsidRPr="00A700F7" w:rsidRDefault="00D81CE6" w:rsidP="000F2311">
            <w:pPr>
              <w:pStyle w:val="Tabletext"/>
              <w:jc w:val="center"/>
              <w:rPr>
                <w:lang w:val="en-US"/>
              </w:rPr>
            </w:pPr>
            <w:r w:rsidRPr="00A700F7">
              <w:rPr>
                <w:lang w:val="en-US"/>
              </w:rPr>
              <w:t>12 weeks</w:t>
            </w:r>
          </w:p>
        </w:tc>
        <w:tc>
          <w:tcPr>
            <w:tcW w:w="610" w:type="pct"/>
            <w:shd w:val="clear" w:color="auto" w:fill="auto"/>
            <w:vAlign w:val="center"/>
          </w:tcPr>
          <w:p w:rsidR="00F5012D" w:rsidRPr="00A700F7" w:rsidRDefault="00F5012D" w:rsidP="000F2311">
            <w:pPr>
              <w:pStyle w:val="Tabletext"/>
              <w:jc w:val="center"/>
              <w:rPr>
                <w:lang w:val="en-US"/>
              </w:rPr>
            </w:pPr>
            <w:r w:rsidRPr="00A700F7">
              <w:rPr>
                <w:lang w:val="en-US"/>
              </w:rPr>
              <w:t>Low</w:t>
            </w:r>
          </w:p>
        </w:tc>
        <w:tc>
          <w:tcPr>
            <w:tcW w:w="848" w:type="pct"/>
            <w:shd w:val="clear" w:color="auto" w:fill="auto"/>
            <w:vAlign w:val="center"/>
          </w:tcPr>
          <w:p w:rsidR="00F5012D" w:rsidRPr="00A700F7" w:rsidRDefault="00F5012D" w:rsidP="000F2311">
            <w:pPr>
              <w:pStyle w:val="Tabletext"/>
              <w:jc w:val="center"/>
              <w:rPr>
                <w:lang w:val="en-US"/>
              </w:rPr>
            </w:pPr>
            <w:r w:rsidRPr="00A700F7">
              <w:rPr>
                <w:lang w:val="en-US"/>
              </w:rPr>
              <w:t xml:space="preserve">Failed </w:t>
            </w:r>
            <w:r w:rsidR="00AE615D" w:rsidRPr="00A700F7">
              <w:rPr>
                <w:lang w:val="en-US"/>
              </w:rPr>
              <w:t>≥3 prophylactic medications and naïve to Botox</w:t>
            </w:r>
          </w:p>
        </w:tc>
        <w:tc>
          <w:tcPr>
            <w:tcW w:w="619" w:type="pct"/>
            <w:shd w:val="clear" w:color="auto" w:fill="auto"/>
            <w:vAlign w:val="center"/>
          </w:tcPr>
          <w:p w:rsidR="00F5012D" w:rsidRPr="00A700F7" w:rsidRDefault="006D12AC" w:rsidP="006D12AC">
            <w:pPr>
              <w:pStyle w:val="Tabletext"/>
              <w:rPr>
                <w:lang w:val="en-US"/>
              </w:rPr>
            </w:pPr>
            <w:r w:rsidRPr="00A700F7">
              <w:rPr>
                <w:lang w:val="en-US"/>
              </w:rPr>
              <w:t>Change from baseline in monthly migraine days</w:t>
            </w:r>
          </w:p>
        </w:tc>
        <w:tc>
          <w:tcPr>
            <w:tcW w:w="866" w:type="pct"/>
            <w:shd w:val="clear" w:color="auto" w:fill="auto"/>
            <w:vAlign w:val="center"/>
          </w:tcPr>
          <w:p w:rsidR="00F5012D" w:rsidRPr="00A700F7" w:rsidRDefault="006D12AC" w:rsidP="006D12AC">
            <w:pPr>
              <w:pStyle w:val="Tabletext"/>
              <w:rPr>
                <w:lang w:val="en-US"/>
              </w:rPr>
            </w:pPr>
            <w:r w:rsidRPr="00A700F7">
              <w:rPr>
                <w:lang w:val="en-US"/>
              </w:rPr>
              <w:t xml:space="preserve">≥50% responder </w:t>
            </w:r>
            <w:r w:rsidR="008E7ABD" w:rsidRPr="00A700F7">
              <w:rPr>
                <w:lang w:val="en-US"/>
              </w:rPr>
              <w:t xml:space="preserve">for change in headache days; </w:t>
            </w:r>
            <w:r w:rsidRPr="00A700F7">
              <w:rPr>
                <w:lang w:val="en-US"/>
              </w:rPr>
              <w:t>AEs</w:t>
            </w:r>
          </w:p>
        </w:tc>
      </w:tr>
      <w:tr w:rsidR="00F5012D" w:rsidRPr="00A700F7" w:rsidTr="000F2311">
        <w:tc>
          <w:tcPr>
            <w:tcW w:w="5000" w:type="pct"/>
            <w:gridSpan w:val="7"/>
            <w:shd w:val="clear" w:color="auto" w:fill="auto"/>
            <w:vAlign w:val="center"/>
          </w:tcPr>
          <w:p w:rsidR="00F5012D" w:rsidRPr="00A700F7" w:rsidRDefault="00D81CE6" w:rsidP="000F2311">
            <w:pPr>
              <w:pStyle w:val="Tabletext"/>
              <w:rPr>
                <w:b/>
                <w:lang w:val="en-US"/>
              </w:rPr>
            </w:pPr>
            <w:r w:rsidRPr="00A700F7">
              <w:rPr>
                <w:b/>
                <w:lang w:val="en-US"/>
              </w:rPr>
              <w:t>Botox vs. placebo</w:t>
            </w:r>
          </w:p>
        </w:tc>
      </w:tr>
      <w:tr w:rsidR="008E7ABD" w:rsidRPr="00A700F7" w:rsidTr="00144268">
        <w:tc>
          <w:tcPr>
            <w:tcW w:w="709" w:type="pct"/>
            <w:shd w:val="clear" w:color="auto" w:fill="auto"/>
            <w:vAlign w:val="center"/>
          </w:tcPr>
          <w:p w:rsidR="00F5012D" w:rsidRPr="00A700F7" w:rsidRDefault="00D81CE6" w:rsidP="000F2311">
            <w:pPr>
              <w:pStyle w:val="Tabletext"/>
              <w:rPr>
                <w:lang w:val="en-US"/>
              </w:rPr>
            </w:pPr>
            <w:r w:rsidRPr="00A700F7">
              <w:rPr>
                <w:lang w:val="en-US"/>
              </w:rPr>
              <w:t>PREEMPT I and PREEMPT II pooled analysis</w:t>
            </w:r>
          </w:p>
        </w:tc>
        <w:tc>
          <w:tcPr>
            <w:tcW w:w="574" w:type="pct"/>
            <w:shd w:val="clear" w:color="auto" w:fill="auto"/>
            <w:vAlign w:val="center"/>
          </w:tcPr>
          <w:p w:rsidR="00F5012D" w:rsidRPr="00A700F7" w:rsidRDefault="00D81CE6" w:rsidP="000F2311">
            <w:pPr>
              <w:pStyle w:val="Tabletext"/>
              <w:jc w:val="center"/>
              <w:rPr>
                <w:lang w:val="en-US"/>
              </w:rPr>
            </w:pPr>
            <w:r w:rsidRPr="00A700F7">
              <w:rPr>
                <w:lang w:val="en-US"/>
              </w:rPr>
              <w:t>1,384</w:t>
            </w:r>
            <w:r w:rsidR="00AE615D" w:rsidRPr="00A700F7">
              <w:rPr>
                <w:lang w:val="en-US"/>
              </w:rPr>
              <w:t xml:space="preserve"> (</w:t>
            </w:r>
            <w:proofErr w:type="spellStart"/>
            <w:r w:rsidR="00AE615D" w:rsidRPr="00A700F7">
              <w:rPr>
                <w:lang w:val="en-US"/>
              </w:rPr>
              <w:t>subgrp</w:t>
            </w:r>
            <w:proofErr w:type="spellEnd"/>
            <w:r w:rsidR="00AE615D" w:rsidRPr="00A700F7">
              <w:rPr>
                <w:lang w:val="en-US"/>
              </w:rPr>
              <w:t>=</w:t>
            </w:r>
            <w:r w:rsidR="008E7ABD" w:rsidRPr="00A700F7">
              <w:rPr>
                <w:lang w:val="en-US"/>
              </w:rPr>
              <w:t>396 or 479</w:t>
            </w:r>
            <w:r w:rsidR="008E7ABD" w:rsidRPr="00A700F7">
              <w:rPr>
                <w:vertAlign w:val="superscript"/>
                <w:lang w:val="en-US"/>
              </w:rPr>
              <w:t>a</w:t>
            </w:r>
            <w:r w:rsidR="00AE615D" w:rsidRPr="00A700F7">
              <w:rPr>
                <w:lang w:val="en-US"/>
              </w:rPr>
              <w:t>)</w:t>
            </w:r>
          </w:p>
        </w:tc>
        <w:tc>
          <w:tcPr>
            <w:tcW w:w="774" w:type="pct"/>
            <w:shd w:val="clear" w:color="auto" w:fill="auto"/>
            <w:vAlign w:val="center"/>
          </w:tcPr>
          <w:p w:rsidR="00AE615D" w:rsidRPr="00A700F7" w:rsidRDefault="00AE615D" w:rsidP="00AE615D">
            <w:pPr>
              <w:pStyle w:val="Tabletext"/>
              <w:jc w:val="center"/>
              <w:rPr>
                <w:lang w:val="en-US"/>
              </w:rPr>
            </w:pPr>
            <w:r w:rsidRPr="00A700F7">
              <w:rPr>
                <w:lang w:val="en-US"/>
              </w:rPr>
              <w:t>R, DB, MC</w:t>
            </w:r>
          </w:p>
          <w:p w:rsidR="00F5012D" w:rsidRPr="00A700F7" w:rsidRDefault="00AE615D" w:rsidP="00AE615D">
            <w:pPr>
              <w:pStyle w:val="Tabletext"/>
              <w:jc w:val="center"/>
              <w:rPr>
                <w:lang w:val="en-US"/>
              </w:rPr>
            </w:pPr>
            <w:r w:rsidRPr="00A700F7">
              <w:rPr>
                <w:lang w:val="en-US"/>
              </w:rPr>
              <w:t>24 weeks</w:t>
            </w:r>
          </w:p>
        </w:tc>
        <w:tc>
          <w:tcPr>
            <w:tcW w:w="610" w:type="pct"/>
            <w:shd w:val="clear" w:color="auto" w:fill="auto"/>
            <w:vAlign w:val="center"/>
          </w:tcPr>
          <w:p w:rsidR="00F5012D" w:rsidRPr="00A700F7" w:rsidRDefault="00AE615D" w:rsidP="000F2311">
            <w:pPr>
              <w:pStyle w:val="Tabletext"/>
              <w:jc w:val="center"/>
              <w:rPr>
                <w:lang w:val="en-US"/>
              </w:rPr>
            </w:pPr>
            <w:r w:rsidRPr="00A700F7">
              <w:rPr>
                <w:lang w:val="en-US"/>
              </w:rPr>
              <w:t>Low</w:t>
            </w:r>
          </w:p>
        </w:tc>
        <w:tc>
          <w:tcPr>
            <w:tcW w:w="848" w:type="pct"/>
            <w:shd w:val="clear" w:color="auto" w:fill="auto"/>
            <w:vAlign w:val="center"/>
          </w:tcPr>
          <w:p w:rsidR="00F5012D" w:rsidRPr="00A700F7" w:rsidRDefault="00AE615D" w:rsidP="000F2311">
            <w:pPr>
              <w:pStyle w:val="Tabletext"/>
              <w:jc w:val="center"/>
              <w:rPr>
                <w:lang w:val="en-US"/>
              </w:rPr>
            </w:pPr>
            <w:r w:rsidRPr="00A700F7">
              <w:rPr>
                <w:lang w:val="en-US"/>
              </w:rPr>
              <w:t>Failed ≥3 prophylactic medications</w:t>
            </w:r>
          </w:p>
        </w:tc>
        <w:tc>
          <w:tcPr>
            <w:tcW w:w="619" w:type="pct"/>
            <w:shd w:val="clear" w:color="auto" w:fill="auto"/>
            <w:vAlign w:val="center"/>
          </w:tcPr>
          <w:p w:rsidR="00F5012D" w:rsidRPr="00A700F7" w:rsidRDefault="00AE615D" w:rsidP="008E7ABD">
            <w:pPr>
              <w:pStyle w:val="Tabletext"/>
              <w:rPr>
                <w:lang w:val="en-US"/>
              </w:rPr>
            </w:pPr>
            <w:r w:rsidRPr="00A700F7">
              <w:rPr>
                <w:lang w:val="en-US"/>
              </w:rPr>
              <w:t>Change from baseline in headache days</w:t>
            </w:r>
          </w:p>
        </w:tc>
        <w:tc>
          <w:tcPr>
            <w:tcW w:w="866" w:type="pct"/>
            <w:shd w:val="clear" w:color="auto" w:fill="auto"/>
            <w:vAlign w:val="center"/>
          </w:tcPr>
          <w:p w:rsidR="00F5012D" w:rsidRPr="00A700F7" w:rsidRDefault="006D12AC" w:rsidP="006D12AC">
            <w:pPr>
              <w:pStyle w:val="Tabletext"/>
              <w:rPr>
                <w:lang w:val="en-US"/>
              </w:rPr>
            </w:pPr>
            <w:r w:rsidRPr="00A700F7">
              <w:rPr>
                <w:lang w:val="en-US"/>
              </w:rPr>
              <w:t xml:space="preserve">≥50% responder </w:t>
            </w:r>
            <w:r w:rsidR="008E7ABD" w:rsidRPr="00A700F7">
              <w:rPr>
                <w:lang w:val="en-US"/>
              </w:rPr>
              <w:t xml:space="preserve">for change in headache days; </w:t>
            </w:r>
            <w:r w:rsidRPr="00A700F7">
              <w:rPr>
                <w:lang w:val="en-US"/>
              </w:rPr>
              <w:t>AEs</w:t>
            </w:r>
          </w:p>
        </w:tc>
      </w:tr>
    </w:tbl>
    <w:p w:rsidR="008E7ABD" w:rsidRPr="00A700F7" w:rsidRDefault="008E7ABD" w:rsidP="008E7ABD">
      <w:pPr>
        <w:pStyle w:val="TableFooter"/>
        <w:tabs>
          <w:tab w:val="left" w:pos="142"/>
        </w:tabs>
      </w:pPr>
      <w:proofErr w:type="spellStart"/>
      <w:proofErr w:type="gramStart"/>
      <w:r w:rsidRPr="00A700F7">
        <w:rPr>
          <w:vertAlign w:val="superscript"/>
          <w:lang w:val="en-US"/>
        </w:rPr>
        <w:t>a</w:t>
      </w:r>
      <w:proofErr w:type="spellEnd"/>
      <w:proofErr w:type="gramEnd"/>
      <w:r w:rsidRPr="00A700F7">
        <w:rPr>
          <w:lang w:val="en-US"/>
        </w:rPr>
        <w:tab/>
        <w:t xml:space="preserve">The size of the subgroups varied depending on the outcome assessed.  For </w:t>
      </w:r>
      <w:proofErr w:type="spellStart"/>
      <w:r w:rsidRPr="00A700F7">
        <w:rPr>
          <w:lang w:val="en-US"/>
        </w:rPr>
        <w:t>erenumab</w:t>
      </w:r>
      <w:proofErr w:type="spellEnd"/>
      <w:r w:rsidRPr="00A700F7">
        <w:rPr>
          <w:lang w:val="en-US"/>
        </w:rPr>
        <w:t xml:space="preserve"> the analysis of change in headache days used N=85 and analysis of ≥50% responder rate used N=86; for Botox the subgroup Ns used were 396 and 479, respectively.</w:t>
      </w:r>
    </w:p>
    <w:p w:rsidR="00F5012D" w:rsidRPr="00A700F7" w:rsidRDefault="006D12AC" w:rsidP="00F5012D">
      <w:pPr>
        <w:pStyle w:val="TableFooter"/>
      </w:pPr>
      <w:r w:rsidRPr="00A700F7">
        <w:t xml:space="preserve">AEs=adverse events; </w:t>
      </w:r>
      <w:r w:rsidR="00F5012D" w:rsidRPr="00A700F7">
        <w:t>DB=double blind; MC=multi-centre; R=randomised</w:t>
      </w:r>
      <w:r w:rsidRPr="00A700F7">
        <w:t xml:space="preserve">; </w:t>
      </w:r>
      <w:proofErr w:type="spellStart"/>
      <w:r w:rsidRPr="00A700F7">
        <w:t>subgrp</w:t>
      </w:r>
      <w:proofErr w:type="spellEnd"/>
      <w:r w:rsidRPr="00A700F7">
        <w:t>=subgroup</w:t>
      </w:r>
    </w:p>
    <w:p w:rsidR="00F5012D" w:rsidRPr="00A700F7" w:rsidRDefault="00F5012D" w:rsidP="00F5012D">
      <w:pPr>
        <w:pStyle w:val="TableFooter"/>
        <w:rPr>
          <w:szCs w:val="18"/>
        </w:rPr>
      </w:pPr>
      <w:r w:rsidRPr="00A700F7">
        <w:t xml:space="preserve">Source: </w:t>
      </w:r>
      <w:r w:rsidR="008E7ABD" w:rsidRPr="00A700F7">
        <w:t>Compiled from Section 2 of the submission.</w:t>
      </w:r>
    </w:p>
    <w:p w:rsidR="00F5012D" w:rsidRPr="00A700F7" w:rsidRDefault="00F5012D" w:rsidP="00F5012D"/>
    <w:p w:rsidR="00767F5D" w:rsidRPr="00A20321" w:rsidRDefault="006C434E" w:rsidP="00021404">
      <w:pPr>
        <w:pStyle w:val="ListParagraph"/>
        <w:numPr>
          <w:ilvl w:val="1"/>
          <w:numId w:val="3"/>
        </w:numPr>
        <w:spacing w:after="120"/>
      </w:pPr>
      <w:r w:rsidRPr="00A20321">
        <w:t xml:space="preserve">As well as the small size of the Study 295 subgroup </w:t>
      </w:r>
      <w:proofErr w:type="gramStart"/>
      <w:r w:rsidRPr="00A20321">
        <w:t>population,</w:t>
      </w:r>
      <w:proofErr w:type="gramEnd"/>
      <w:r w:rsidRPr="00A20321">
        <w:t xml:space="preserve"> </w:t>
      </w:r>
      <w:r w:rsidR="00E9546D" w:rsidRPr="00A20321">
        <w:t xml:space="preserve">and the questions about adherence to protocol amongst these participants raised by this subgroup </w:t>
      </w:r>
      <w:r w:rsidR="00E9546D" w:rsidRPr="00A20321">
        <w:lastRenderedPageBreak/>
        <w:t xml:space="preserve">meeting exclusion criteria for the study, </w:t>
      </w:r>
      <w:r w:rsidRPr="00A20321">
        <w:t>t</w:t>
      </w:r>
      <w:r w:rsidR="00767F5D" w:rsidRPr="00A20321">
        <w:t>here were a number of concerns with the indirect comparisons presented by the submission</w:t>
      </w:r>
      <w:r w:rsidR="00904716">
        <w:t>.</w:t>
      </w:r>
    </w:p>
    <w:p w:rsidR="00767F5D" w:rsidRPr="00A20321" w:rsidRDefault="00E8516C" w:rsidP="00104A52">
      <w:pPr>
        <w:pStyle w:val="Bulletpoints"/>
      </w:pPr>
      <w:r w:rsidRPr="00A20321">
        <w:t>Other than</w:t>
      </w:r>
      <w:r w:rsidR="007D704E" w:rsidRPr="00A20321">
        <w:t xml:space="preserve"> reporting the mean age and proportion of females for the Study 295 subgroup population, the submission did not provide any assessment of potential differences between the subgroup and overall trial populations.</w:t>
      </w:r>
      <w:r w:rsidR="00660220" w:rsidRPr="00A20321">
        <w:t xml:space="preserve"> </w:t>
      </w:r>
    </w:p>
    <w:p w:rsidR="00D817E6" w:rsidRPr="00A20321" w:rsidRDefault="00D817E6" w:rsidP="00104A52">
      <w:pPr>
        <w:pStyle w:val="Bulletpoints"/>
      </w:pPr>
      <w:r w:rsidRPr="00A20321">
        <w:t xml:space="preserve">A key outcome used in the indirect comparison (and economic model), proportion of patients with ≥50% reduction in headache days, was not a primary, secondary or exploratory outcome in the </w:t>
      </w:r>
      <w:proofErr w:type="spellStart"/>
      <w:r w:rsidRPr="00A20321">
        <w:t>erenumab</w:t>
      </w:r>
      <w:proofErr w:type="spellEnd"/>
      <w:r w:rsidRPr="00A20321">
        <w:t xml:space="preserve"> trial.  The submission provided no information on how the required data from Study 295 used was collated, in particular whether blinding was maintained.</w:t>
      </w:r>
      <w:r w:rsidR="007D704E" w:rsidRPr="00A20321">
        <w:t xml:space="preserve">  Given that number of headache days is a subjective measure, there was potential for further bias in collection of the required data.</w:t>
      </w:r>
      <w:r w:rsidR="00153587" w:rsidRPr="00A20321">
        <w:t xml:space="preserve"> The ESC noted that this was a relative rather than absolute outcome, and suggested that an absolute reduction in headache days would be more clinically meaningful.</w:t>
      </w:r>
    </w:p>
    <w:p w:rsidR="007D704E" w:rsidRPr="00A20321" w:rsidRDefault="007D704E" w:rsidP="00104A52">
      <w:pPr>
        <w:pStyle w:val="Bulletpoints"/>
      </w:pPr>
      <w:r w:rsidRPr="00A20321">
        <w:t>While the indirect comparison for effectiveness outcomes was based on the subgroup population that corresponded to the proposed PBS population (failed ≥3 prophylactic medications and naïve to Botox)</w:t>
      </w:r>
      <w:r w:rsidR="00C6329B">
        <w:t>,</w:t>
      </w:r>
      <w:r w:rsidRPr="00A20321">
        <w:t xml:space="preserve"> the data for the safety outcomes </w:t>
      </w:r>
      <w:r w:rsidR="00C6329B">
        <w:t>were</w:t>
      </w:r>
      <w:r w:rsidR="00C6329B" w:rsidRPr="00A20321">
        <w:t xml:space="preserve"> </w:t>
      </w:r>
      <w:r w:rsidRPr="00A20321">
        <w:t>sourced from the overall trial populations.  It cannot be assumed that the observed results for the overall trial populations would apply to the subgroup population.</w:t>
      </w:r>
    </w:p>
    <w:p w:rsidR="00B60939" w:rsidRPr="00A700F7" w:rsidRDefault="00B60939" w:rsidP="00FE393C">
      <w:pPr>
        <w:pStyle w:val="Heading2"/>
        <w:spacing w:after="120"/>
      </w:pPr>
      <w:bookmarkStart w:id="8" w:name="_Toc513040441"/>
      <w:r w:rsidRPr="00A700F7">
        <w:t>Comparative effectiveness</w:t>
      </w:r>
      <w:bookmarkEnd w:id="8"/>
    </w:p>
    <w:p w:rsidR="00647A46" w:rsidRDefault="0049485E" w:rsidP="00AB01E0">
      <w:pPr>
        <w:pStyle w:val="ListParagraph"/>
        <w:numPr>
          <w:ilvl w:val="1"/>
          <w:numId w:val="3"/>
        </w:numPr>
        <w:jc w:val="left"/>
        <w:rPr>
          <w:rStyle w:val="CommentReference"/>
        </w:rPr>
      </w:pPr>
      <w:r w:rsidRPr="00A700F7">
        <w:t xml:space="preserve">The effectiveness results for the comparison of </w:t>
      </w:r>
      <w:proofErr w:type="spellStart"/>
      <w:r w:rsidRPr="00A700F7">
        <w:t>erenumab</w:t>
      </w:r>
      <w:proofErr w:type="spellEnd"/>
      <w:r w:rsidRPr="00A700F7">
        <w:t xml:space="preserve"> and Botox were based on the subgroup indirect comparison for two variables, change from baseline in monthly headache days and proportion of patients with ≥50% reduction in mean headache days.  Results of these indirect comparisons are provided in the tables below</w:t>
      </w:r>
      <w:r w:rsidR="00590B13" w:rsidRPr="00AB01E0">
        <w:rPr>
          <w:i/>
        </w:rPr>
        <w:t>.</w:t>
      </w:r>
      <w:r w:rsidR="00590B13" w:rsidRPr="00A700F7">
        <w:t xml:space="preserve"> </w:t>
      </w:r>
      <w:r w:rsidRPr="00A700F7">
        <w:t xml:space="preserve"> </w:t>
      </w:r>
    </w:p>
    <w:p w:rsidR="00144268" w:rsidRPr="00144268" w:rsidRDefault="00144268" w:rsidP="00144268">
      <w:pPr>
        <w:pStyle w:val="Caption"/>
        <w:keepNext/>
        <w:spacing w:after="0"/>
        <w:rPr>
          <w:rFonts w:ascii="Arial Narrow" w:hAnsi="Arial Narrow"/>
          <w:color w:val="auto"/>
          <w:sz w:val="20"/>
          <w:szCs w:val="20"/>
        </w:rPr>
      </w:pPr>
      <w:r w:rsidRPr="00144268">
        <w:rPr>
          <w:rFonts w:ascii="Arial Narrow" w:hAnsi="Arial Narrow"/>
          <w:color w:val="auto"/>
          <w:sz w:val="20"/>
          <w:szCs w:val="20"/>
        </w:rPr>
        <w:t xml:space="preserve">Table </w:t>
      </w:r>
      <w:r w:rsidR="00D8193A">
        <w:rPr>
          <w:rFonts w:ascii="Arial Narrow" w:hAnsi="Arial Narrow"/>
          <w:noProof/>
          <w:color w:val="auto"/>
          <w:sz w:val="20"/>
          <w:szCs w:val="20"/>
        </w:rPr>
        <w:t>4</w:t>
      </w:r>
      <w:r w:rsidRPr="00144268">
        <w:rPr>
          <w:rFonts w:ascii="Arial Narrow" w:hAnsi="Arial Narrow"/>
          <w:color w:val="auto"/>
          <w:sz w:val="20"/>
          <w:szCs w:val="20"/>
        </w:rPr>
        <w:t xml:space="preserve">: Results of the indirect comparison for change from baseline in monthly headache days – </w:t>
      </w:r>
      <w:proofErr w:type="spellStart"/>
      <w:r w:rsidRPr="00144268">
        <w:rPr>
          <w:rFonts w:ascii="Arial Narrow" w:hAnsi="Arial Narrow"/>
          <w:color w:val="auto"/>
          <w:sz w:val="20"/>
          <w:szCs w:val="20"/>
        </w:rPr>
        <w:t>erenumab</w:t>
      </w:r>
      <w:proofErr w:type="spellEnd"/>
      <w:r w:rsidRPr="00144268">
        <w:rPr>
          <w:rFonts w:ascii="Arial Narrow" w:hAnsi="Arial Narrow"/>
          <w:color w:val="auto"/>
          <w:sz w:val="20"/>
          <w:szCs w:val="20"/>
        </w:rPr>
        <w:t xml:space="preserve"> vs. Botox</w:t>
      </w:r>
    </w:p>
    <w:tbl>
      <w:tblPr>
        <w:tblW w:w="9116"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683"/>
        <w:gridCol w:w="1749"/>
        <w:gridCol w:w="1516"/>
        <w:gridCol w:w="2422"/>
      </w:tblGrid>
      <w:tr w:rsidR="007410A1" w:rsidRPr="00A700F7" w:rsidTr="0078396F">
        <w:trPr>
          <w:tblHeader/>
          <w:jc w:val="center"/>
        </w:trPr>
        <w:tc>
          <w:tcPr>
            <w:tcW w:w="1746" w:type="dxa"/>
            <w:vMerge w:val="restart"/>
            <w:shd w:val="clear" w:color="auto" w:fill="auto"/>
            <w:vAlign w:val="center"/>
          </w:tcPr>
          <w:p w:rsidR="007410A1" w:rsidRPr="00A700F7" w:rsidRDefault="007410A1" w:rsidP="00942765">
            <w:pPr>
              <w:pStyle w:val="Tabletext"/>
              <w:keepNext/>
              <w:rPr>
                <w:b/>
              </w:rPr>
            </w:pPr>
            <w:r w:rsidRPr="00A700F7">
              <w:rPr>
                <w:b/>
              </w:rPr>
              <w:t>Trial</w:t>
            </w:r>
          </w:p>
        </w:tc>
        <w:tc>
          <w:tcPr>
            <w:tcW w:w="4948" w:type="dxa"/>
            <w:gridSpan w:val="3"/>
            <w:shd w:val="clear" w:color="auto" w:fill="auto"/>
            <w:vAlign w:val="center"/>
          </w:tcPr>
          <w:p w:rsidR="007410A1" w:rsidRPr="00A700F7" w:rsidRDefault="007410A1" w:rsidP="00942765">
            <w:pPr>
              <w:pStyle w:val="Tabletext"/>
              <w:keepNext/>
              <w:jc w:val="center"/>
              <w:rPr>
                <w:b/>
              </w:rPr>
            </w:pPr>
            <w:r w:rsidRPr="00A700F7">
              <w:rPr>
                <w:b/>
              </w:rPr>
              <w:t>Mean change from baseline (SD) in monthly headache days</w:t>
            </w:r>
          </w:p>
        </w:tc>
        <w:tc>
          <w:tcPr>
            <w:tcW w:w="2422" w:type="dxa"/>
            <w:vMerge w:val="restart"/>
            <w:shd w:val="clear" w:color="auto" w:fill="auto"/>
            <w:vAlign w:val="center"/>
          </w:tcPr>
          <w:p w:rsidR="007410A1" w:rsidRPr="00A700F7" w:rsidRDefault="007410A1" w:rsidP="00942765">
            <w:pPr>
              <w:pStyle w:val="Tabletext"/>
              <w:keepNext/>
              <w:jc w:val="center"/>
              <w:rPr>
                <w:b/>
              </w:rPr>
            </w:pPr>
            <w:r w:rsidRPr="00A700F7">
              <w:rPr>
                <w:b/>
              </w:rPr>
              <w:t>WMD (95% CI)</w:t>
            </w:r>
          </w:p>
        </w:tc>
      </w:tr>
      <w:tr w:rsidR="007410A1" w:rsidRPr="00A700F7" w:rsidTr="0078396F">
        <w:trPr>
          <w:tblHeader/>
          <w:jc w:val="center"/>
        </w:trPr>
        <w:tc>
          <w:tcPr>
            <w:tcW w:w="1746" w:type="dxa"/>
            <w:vMerge/>
            <w:shd w:val="clear" w:color="auto" w:fill="auto"/>
            <w:vAlign w:val="center"/>
          </w:tcPr>
          <w:p w:rsidR="007410A1" w:rsidRPr="00A700F7" w:rsidRDefault="007410A1" w:rsidP="000F2311">
            <w:pPr>
              <w:pStyle w:val="Tabletext"/>
            </w:pPr>
          </w:p>
        </w:tc>
        <w:tc>
          <w:tcPr>
            <w:tcW w:w="1683" w:type="dxa"/>
            <w:shd w:val="clear" w:color="auto" w:fill="auto"/>
            <w:vAlign w:val="center"/>
          </w:tcPr>
          <w:p w:rsidR="007410A1" w:rsidRPr="00A700F7" w:rsidRDefault="007410A1" w:rsidP="000F2311">
            <w:pPr>
              <w:pStyle w:val="Tabletext"/>
              <w:jc w:val="center"/>
              <w:rPr>
                <w:b/>
              </w:rPr>
            </w:pPr>
            <w:proofErr w:type="spellStart"/>
            <w:r w:rsidRPr="00A700F7">
              <w:rPr>
                <w:b/>
              </w:rPr>
              <w:t>Erenumab</w:t>
            </w:r>
            <w:proofErr w:type="spellEnd"/>
          </w:p>
        </w:tc>
        <w:tc>
          <w:tcPr>
            <w:tcW w:w="1749" w:type="dxa"/>
            <w:shd w:val="clear" w:color="auto" w:fill="auto"/>
            <w:vAlign w:val="center"/>
          </w:tcPr>
          <w:p w:rsidR="007410A1" w:rsidRPr="00A700F7" w:rsidRDefault="007410A1" w:rsidP="000F2311">
            <w:pPr>
              <w:pStyle w:val="Tabletext"/>
              <w:jc w:val="center"/>
              <w:rPr>
                <w:b/>
              </w:rPr>
            </w:pPr>
            <w:r w:rsidRPr="00A700F7">
              <w:rPr>
                <w:b/>
              </w:rPr>
              <w:t>Placebo</w:t>
            </w:r>
          </w:p>
        </w:tc>
        <w:tc>
          <w:tcPr>
            <w:tcW w:w="1516" w:type="dxa"/>
            <w:shd w:val="clear" w:color="auto" w:fill="auto"/>
            <w:vAlign w:val="center"/>
          </w:tcPr>
          <w:p w:rsidR="007410A1" w:rsidRPr="00A700F7" w:rsidRDefault="007410A1" w:rsidP="000F2311">
            <w:pPr>
              <w:pStyle w:val="Tabletext"/>
              <w:jc w:val="center"/>
              <w:rPr>
                <w:b/>
              </w:rPr>
            </w:pPr>
            <w:r w:rsidRPr="00A700F7">
              <w:rPr>
                <w:b/>
              </w:rPr>
              <w:t>Botox</w:t>
            </w:r>
          </w:p>
        </w:tc>
        <w:tc>
          <w:tcPr>
            <w:tcW w:w="2422" w:type="dxa"/>
            <w:vMerge/>
            <w:shd w:val="clear" w:color="auto" w:fill="auto"/>
            <w:vAlign w:val="center"/>
          </w:tcPr>
          <w:p w:rsidR="007410A1" w:rsidRPr="00A700F7" w:rsidRDefault="007410A1" w:rsidP="000F2311">
            <w:pPr>
              <w:pStyle w:val="Tabletext"/>
              <w:jc w:val="center"/>
            </w:pPr>
          </w:p>
        </w:tc>
      </w:tr>
      <w:tr w:rsidR="007410A1" w:rsidRPr="00A700F7" w:rsidTr="0078396F">
        <w:trPr>
          <w:jc w:val="center"/>
        </w:trPr>
        <w:tc>
          <w:tcPr>
            <w:tcW w:w="1746" w:type="dxa"/>
            <w:shd w:val="clear" w:color="auto" w:fill="auto"/>
            <w:vAlign w:val="center"/>
          </w:tcPr>
          <w:p w:rsidR="007410A1" w:rsidRPr="00A700F7" w:rsidRDefault="007410A1" w:rsidP="000F2311">
            <w:pPr>
              <w:pStyle w:val="Tabletext"/>
            </w:pPr>
            <w:r w:rsidRPr="00A700F7">
              <w:t xml:space="preserve">Study 295 </w:t>
            </w:r>
          </w:p>
          <w:p w:rsidR="007410A1" w:rsidRPr="00A700F7" w:rsidRDefault="007410A1" w:rsidP="000F2311">
            <w:pPr>
              <w:pStyle w:val="Tabletext"/>
            </w:pPr>
            <w:r w:rsidRPr="00A700F7">
              <w:t>(12 weeks)</w:t>
            </w:r>
          </w:p>
        </w:tc>
        <w:tc>
          <w:tcPr>
            <w:tcW w:w="1683" w:type="dxa"/>
            <w:shd w:val="clear" w:color="auto" w:fill="auto"/>
            <w:vAlign w:val="center"/>
          </w:tcPr>
          <w:p w:rsidR="007410A1" w:rsidRPr="00A700F7" w:rsidRDefault="007410A1" w:rsidP="000F2311">
            <w:pPr>
              <w:pStyle w:val="Tabletext"/>
              <w:jc w:val="center"/>
            </w:pPr>
            <w:r w:rsidRPr="00A700F7">
              <w:t>N=</w:t>
            </w:r>
            <w:r w:rsidR="00AF24DF">
              <w:rPr>
                <w:noProof/>
                <w:color w:val="000000"/>
                <w:highlight w:val="black"/>
              </w:rPr>
              <w:t>'''''''</w:t>
            </w:r>
          </w:p>
          <w:p w:rsidR="007410A1" w:rsidRPr="00A700F7" w:rsidRDefault="007410A1" w:rsidP="000F2311">
            <w:pPr>
              <w:pStyle w:val="Tabletext"/>
              <w:jc w:val="center"/>
            </w:pPr>
            <w:r w:rsidRPr="00A700F7">
              <w:t>-</w:t>
            </w:r>
            <w:r w:rsidR="00AF24DF">
              <w:rPr>
                <w:noProof/>
                <w:color w:val="000000"/>
                <w:highlight w:val="black"/>
              </w:rPr>
              <w:t>'''''''''''</w:t>
            </w:r>
            <w:r w:rsidRPr="00A700F7">
              <w:t xml:space="preserve"> (</w:t>
            </w:r>
            <w:r w:rsidR="00AF24DF">
              <w:rPr>
                <w:noProof/>
                <w:color w:val="000000"/>
                <w:highlight w:val="black"/>
              </w:rPr>
              <w:t>'''''''''''</w:t>
            </w:r>
            <w:r w:rsidRPr="00A700F7">
              <w:t>)</w:t>
            </w:r>
          </w:p>
        </w:tc>
        <w:tc>
          <w:tcPr>
            <w:tcW w:w="1749" w:type="dxa"/>
            <w:shd w:val="clear" w:color="auto" w:fill="auto"/>
            <w:vAlign w:val="center"/>
          </w:tcPr>
          <w:p w:rsidR="007410A1" w:rsidRPr="00A700F7" w:rsidRDefault="007410A1" w:rsidP="000F2311">
            <w:pPr>
              <w:pStyle w:val="Tabletext"/>
              <w:jc w:val="center"/>
            </w:pPr>
            <w:r w:rsidRPr="00A700F7">
              <w:t>N=</w:t>
            </w:r>
            <w:r w:rsidR="00AF24DF">
              <w:rPr>
                <w:noProof/>
                <w:color w:val="000000"/>
                <w:highlight w:val="black"/>
              </w:rPr>
              <w:t>''''''</w:t>
            </w:r>
          </w:p>
          <w:p w:rsidR="007410A1" w:rsidRPr="00A700F7" w:rsidRDefault="007410A1" w:rsidP="000F2311">
            <w:pPr>
              <w:pStyle w:val="Tabletext"/>
              <w:jc w:val="center"/>
            </w:pPr>
            <w:r w:rsidRPr="00A700F7">
              <w:t>-</w:t>
            </w:r>
            <w:r w:rsidR="00AF24DF">
              <w:rPr>
                <w:noProof/>
                <w:color w:val="000000"/>
                <w:highlight w:val="black"/>
              </w:rPr>
              <w:t>''''''''''</w:t>
            </w:r>
            <w:r w:rsidRPr="00A700F7">
              <w:t xml:space="preserve"> (</w:t>
            </w:r>
            <w:r w:rsidR="00AF24DF">
              <w:rPr>
                <w:noProof/>
                <w:color w:val="000000"/>
                <w:highlight w:val="black"/>
              </w:rPr>
              <w:t>''''''''''</w:t>
            </w:r>
            <w:r w:rsidRPr="00A700F7">
              <w:t>)</w:t>
            </w:r>
          </w:p>
        </w:tc>
        <w:tc>
          <w:tcPr>
            <w:tcW w:w="1516" w:type="dxa"/>
            <w:shd w:val="clear" w:color="auto" w:fill="auto"/>
            <w:vAlign w:val="center"/>
          </w:tcPr>
          <w:p w:rsidR="007410A1" w:rsidRPr="00A700F7" w:rsidRDefault="007410A1" w:rsidP="000F2311">
            <w:pPr>
              <w:pStyle w:val="Tabletext"/>
              <w:jc w:val="center"/>
            </w:pPr>
            <w:r w:rsidRPr="00A700F7">
              <w:t>-</w:t>
            </w:r>
          </w:p>
        </w:tc>
        <w:tc>
          <w:tcPr>
            <w:tcW w:w="2422" w:type="dxa"/>
            <w:shd w:val="clear" w:color="auto" w:fill="auto"/>
            <w:vAlign w:val="center"/>
          </w:tcPr>
          <w:p w:rsidR="007410A1" w:rsidRPr="00A700F7" w:rsidRDefault="007410A1" w:rsidP="00C6329B">
            <w:pPr>
              <w:pStyle w:val="Tabletext"/>
              <w:jc w:val="center"/>
            </w:pPr>
            <w:r w:rsidRPr="00A700F7">
              <w:t>-</w:t>
            </w:r>
            <w:r w:rsidR="00AF24DF">
              <w:rPr>
                <w:noProof/>
                <w:color w:val="000000"/>
                <w:highlight w:val="black"/>
              </w:rPr>
              <w:t>'''''''''''</w:t>
            </w:r>
            <w:r w:rsidRPr="00A700F7">
              <w:t xml:space="preserve"> (-</w:t>
            </w:r>
            <w:r w:rsidR="00AF24DF">
              <w:rPr>
                <w:noProof/>
                <w:color w:val="000000"/>
                <w:highlight w:val="black"/>
              </w:rPr>
              <w:t>''''''''''</w:t>
            </w:r>
            <w:r w:rsidRPr="00A700F7">
              <w:t>, -</w:t>
            </w:r>
            <w:r w:rsidR="00AF24DF">
              <w:rPr>
                <w:noProof/>
                <w:color w:val="000000"/>
                <w:highlight w:val="black"/>
              </w:rPr>
              <w:t>''''''''''</w:t>
            </w:r>
            <w:r w:rsidRPr="00A700F7">
              <w:t>)</w:t>
            </w:r>
          </w:p>
        </w:tc>
      </w:tr>
      <w:tr w:rsidR="007410A1" w:rsidRPr="00A700F7" w:rsidTr="0078396F">
        <w:trPr>
          <w:jc w:val="center"/>
        </w:trPr>
        <w:tc>
          <w:tcPr>
            <w:tcW w:w="1746" w:type="dxa"/>
            <w:shd w:val="clear" w:color="auto" w:fill="auto"/>
            <w:vAlign w:val="center"/>
          </w:tcPr>
          <w:p w:rsidR="007410A1" w:rsidRPr="00A700F7" w:rsidRDefault="007410A1" w:rsidP="000F2311">
            <w:pPr>
              <w:pStyle w:val="Tabletext"/>
            </w:pPr>
            <w:r w:rsidRPr="00A700F7">
              <w:t>Pooled PREEMPT trials (24 weeks)</w:t>
            </w:r>
          </w:p>
        </w:tc>
        <w:tc>
          <w:tcPr>
            <w:tcW w:w="1683" w:type="dxa"/>
            <w:shd w:val="clear" w:color="auto" w:fill="auto"/>
            <w:vAlign w:val="center"/>
          </w:tcPr>
          <w:p w:rsidR="007410A1" w:rsidRPr="00A700F7" w:rsidRDefault="00C6329B" w:rsidP="000F2311">
            <w:pPr>
              <w:pStyle w:val="Tabletext"/>
              <w:jc w:val="center"/>
            </w:pPr>
            <w:r>
              <w:t>-</w:t>
            </w:r>
          </w:p>
        </w:tc>
        <w:tc>
          <w:tcPr>
            <w:tcW w:w="1749" w:type="dxa"/>
            <w:shd w:val="clear" w:color="auto" w:fill="auto"/>
            <w:vAlign w:val="center"/>
          </w:tcPr>
          <w:p w:rsidR="007410A1" w:rsidRPr="00A700F7" w:rsidRDefault="007410A1" w:rsidP="000F2311">
            <w:pPr>
              <w:pStyle w:val="Tabletext"/>
              <w:jc w:val="center"/>
            </w:pPr>
            <w:r w:rsidRPr="00A700F7">
              <w:t>N=248</w:t>
            </w:r>
          </w:p>
          <w:p w:rsidR="007410A1" w:rsidRPr="00A700F7" w:rsidRDefault="007410A1" w:rsidP="000F2311">
            <w:pPr>
              <w:pStyle w:val="Tabletext"/>
              <w:jc w:val="center"/>
            </w:pPr>
            <w:r w:rsidRPr="00A700F7">
              <w:t>-4.7 (6.4)</w:t>
            </w:r>
          </w:p>
        </w:tc>
        <w:tc>
          <w:tcPr>
            <w:tcW w:w="1516" w:type="dxa"/>
            <w:shd w:val="clear" w:color="auto" w:fill="auto"/>
            <w:vAlign w:val="center"/>
          </w:tcPr>
          <w:p w:rsidR="007410A1" w:rsidRPr="00A700F7" w:rsidRDefault="007410A1" w:rsidP="000F2311">
            <w:pPr>
              <w:pStyle w:val="Tabletext"/>
              <w:jc w:val="center"/>
            </w:pPr>
            <w:r w:rsidRPr="00A700F7">
              <w:t>N=231</w:t>
            </w:r>
          </w:p>
          <w:p w:rsidR="007410A1" w:rsidRPr="00A700F7" w:rsidRDefault="007410A1" w:rsidP="000F2311">
            <w:pPr>
              <w:pStyle w:val="Tabletext"/>
              <w:jc w:val="center"/>
            </w:pPr>
            <w:r w:rsidRPr="00A700F7">
              <w:t>-7.4 (6.6)</w:t>
            </w:r>
          </w:p>
        </w:tc>
        <w:tc>
          <w:tcPr>
            <w:tcW w:w="2422" w:type="dxa"/>
            <w:shd w:val="clear" w:color="auto" w:fill="auto"/>
            <w:vAlign w:val="center"/>
          </w:tcPr>
          <w:p w:rsidR="007410A1" w:rsidRPr="00A700F7" w:rsidRDefault="007410A1" w:rsidP="00C6329B">
            <w:pPr>
              <w:pStyle w:val="Tabletext"/>
              <w:jc w:val="center"/>
            </w:pPr>
            <w:r w:rsidRPr="00A700F7">
              <w:t>-2.70 (-3.87, -1.53)</w:t>
            </w:r>
          </w:p>
        </w:tc>
      </w:tr>
      <w:tr w:rsidR="007410A1" w:rsidRPr="00A700F7" w:rsidTr="0078396F">
        <w:trPr>
          <w:jc w:val="center"/>
        </w:trPr>
        <w:tc>
          <w:tcPr>
            <w:tcW w:w="6694" w:type="dxa"/>
            <w:gridSpan w:val="4"/>
            <w:shd w:val="clear" w:color="auto" w:fill="auto"/>
            <w:vAlign w:val="center"/>
          </w:tcPr>
          <w:p w:rsidR="007410A1" w:rsidRPr="00A700F7" w:rsidRDefault="007410A1" w:rsidP="000F2311">
            <w:pPr>
              <w:pStyle w:val="Tabletext"/>
              <w:jc w:val="right"/>
              <w:rPr>
                <w:b/>
              </w:rPr>
            </w:pPr>
            <w:r w:rsidRPr="00A700F7">
              <w:rPr>
                <w:b/>
              </w:rPr>
              <w:t>Indirect mean difference (random effects)</w:t>
            </w:r>
          </w:p>
        </w:tc>
        <w:tc>
          <w:tcPr>
            <w:tcW w:w="2422" w:type="dxa"/>
            <w:shd w:val="clear" w:color="auto" w:fill="auto"/>
            <w:vAlign w:val="center"/>
          </w:tcPr>
          <w:p w:rsidR="007410A1" w:rsidRPr="00A700F7" w:rsidRDefault="007410A1" w:rsidP="000F2311">
            <w:pPr>
              <w:pStyle w:val="Tabletext"/>
              <w:jc w:val="center"/>
              <w:rPr>
                <w:b/>
              </w:rPr>
            </w:pPr>
            <w:r w:rsidRPr="00A700F7">
              <w:rPr>
                <w:b/>
              </w:rPr>
              <w:t>-</w:t>
            </w:r>
            <w:r w:rsidR="00AF24DF">
              <w:rPr>
                <w:b/>
                <w:noProof/>
                <w:color w:val="000000"/>
                <w:highlight w:val="black"/>
              </w:rPr>
              <w:t>'''''''''</w:t>
            </w:r>
            <w:r w:rsidRPr="00A700F7">
              <w:rPr>
                <w:b/>
              </w:rPr>
              <w:t xml:space="preserve"> (-</w:t>
            </w:r>
            <w:r w:rsidR="00AF24DF">
              <w:rPr>
                <w:b/>
                <w:noProof/>
                <w:color w:val="000000"/>
                <w:highlight w:val="black"/>
              </w:rPr>
              <w:t>''''''''</w:t>
            </w:r>
            <w:r w:rsidRPr="00A700F7">
              <w:rPr>
                <w:b/>
              </w:rPr>
              <w:t>, -</w:t>
            </w:r>
            <w:r w:rsidR="00AF24DF">
              <w:rPr>
                <w:b/>
                <w:noProof/>
                <w:color w:val="000000"/>
                <w:highlight w:val="black"/>
              </w:rPr>
              <w:t>''''''''</w:t>
            </w:r>
            <w:r w:rsidRPr="00A700F7">
              <w:rPr>
                <w:b/>
              </w:rPr>
              <w:t>)</w:t>
            </w:r>
          </w:p>
        </w:tc>
      </w:tr>
    </w:tbl>
    <w:p w:rsidR="007410A1" w:rsidRPr="00A700F7" w:rsidRDefault="007410A1" w:rsidP="007410A1">
      <w:pPr>
        <w:pStyle w:val="TableFooter"/>
      </w:pPr>
      <w:r w:rsidRPr="00A700F7">
        <w:t xml:space="preserve">CI=confidence interval; SD=standard deviation; WMD=weighted mean difference; </w:t>
      </w:r>
      <w:r w:rsidRPr="00A700F7">
        <w:rPr>
          <w:b/>
        </w:rPr>
        <w:t>bold</w:t>
      </w:r>
      <w:r w:rsidRPr="00A700F7">
        <w:t>=statistically significant</w:t>
      </w:r>
    </w:p>
    <w:p w:rsidR="00384DC4" w:rsidRPr="00A700F7" w:rsidRDefault="00384DC4" w:rsidP="007410A1">
      <w:pPr>
        <w:pStyle w:val="TableFooter"/>
        <w:rPr>
          <w:sz w:val="20"/>
        </w:rPr>
      </w:pPr>
      <w:r w:rsidRPr="00A700F7">
        <w:t>Source: Table 2.29, p56-57 of the submission.</w:t>
      </w:r>
    </w:p>
    <w:p w:rsidR="007410A1" w:rsidRPr="00A700F7" w:rsidRDefault="007410A1" w:rsidP="007410A1"/>
    <w:p w:rsidR="00144268" w:rsidRPr="00144268" w:rsidRDefault="00144268" w:rsidP="00B86AC4">
      <w:pPr>
        <w:pStyle w:val="Caption"/>
        <w:keepNext/>
        <w:keepLines/>
        <w:spacing w:after="0"/>
        <w:rPr>
          <w:rFonts w:ascii="Arial Narrow" w:hAnsi="Arial Narrow"/>
          <w:color w:val="auto"/>
          <w:sz w:val="20"/>
          <w:szCs w:val="20"/>
        </w:rPr>
      </w:pPr>
      <w:r w:rsidRPr="00144268">
        <w:rPr>
          <w:rFonts w:ascii="Arial Narrow" w:hAnsi="Arial Narrow"/>
          <w:color w:val="auto"/>
          <w:sz w:val="20"/>
          <w:szCs w:val="20"/>
        </w:rPr>
        <w:lastRenderedPageBreak/>
        <w:t xml:space="preserve">Table </w:t>
      </w:r>
      <w:r w:rsidR="00D8193A">
        <w:rPr>
          <w:rFonts w:ascii="Arial Narrow" w:hAnsi="Arial Narrow"/>
          <w:noProof/>
          <w:color w:val="auto"/>
          <w:sz w:val="20"/>
          <w:szCs w:val="20"/>
        </w:rPr>
        <w:t>5</w:t>
      </w:r>
      <w:r w:rsidRPr="00144268">
        <w:rPr>
          <w:rFonts w:ascii="Arial Narrow" w:hAnsi="Arial Narrow"/>
          <w:color w:val="auto"/>
          <w:sz w:val="20"/>
          <w:szCs w:val="20"/>
        </w:rPr>
        <w:t>: Summary of results of the indirect comparison for proportion of patients with ≥50% reduction in monthly headache days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5"/>
        <w:gridCol w:w="1416"/>
        <w:gridCol w:w="1416"/>
        <w:gridCol w:w="1838"/>
        <w:gridCol w:w="1698"/>
      </w:tblGrid>
      <w:tr w:rsidR="007410A1" w:rsidRPr="00A700F7" w:rsidTr="00384DC4">
        <w:trPr>
          <w:tblHeader/>
        </w:trPr>
        <w:tc>
          <w:tcPr>
            <w:tcW w:w="2715" w:type="dxa"/>
            <w:vMerge w:val="restart"/>
            <w:vAlign w:val="center"/>
          </w:tcPr>
          <w:p w:rsidR="007410A1" w:rsidRPr="00A700F7" w:rsidRDefault="007410A1" w:rsidP="00B86AC4">
            <w:pPr>
              <w:pStyle w:val="Tabletext"/>
              <w:keepNext/>
              <w:keepLines/>
              <w:rPr>
                <w:b/>
              </w:rPr>
            </w:pPr>
            <w:r w:rsidRPr="00A700F7">
              <w:rPr>
                <w:b/>
              </w:rPr>
              <w:t xml:space="preserve">Trial </w:t>
            </w:r>
          </w:p>
        </w:tc>
        <w:tc>
          <w:tcPr>
            <w:tcW w:w="2832" w:type="dxa"/>
            <w:gridSpan w:val="2"/>
            <w:shd w:val="clear" w:color="auto" w:fill="auto"/>
            <w:vAlign w:val="center"/>
          </w:tcPr>
          <w:p w:rsidR="007410A1" w:rsidRPr="00A700F7" w:rsidRDefault="007410A1" w:rsidP="00B86AC4">
            <w:pPr>
              <w:pStyle w:val="Tabletext"/>
              <w:keepNext/>
              <w:keepLines/>
              <w:jc w:val="center"/>
              <w:rPr>
                <w:b/>
              </w:rPr>
            </w:pPr>
            <w:proofErr w:type="gramStart"/>
            <w:r w:rsidRPr="00A700F7">
              <w:rPr>
                <w:b/>
              </w:rPr>
              <w:t>n</w:t>
            </w:r>
            <w:proofErr w:type="gramEnd"/>
            <w:r w:rsidRPr="00A700F7">
              <w:rPr>
                <w:b/>
              </w:rPr>
              <w:t xml:space="preserve"> with event/N (%)</w:t>
            </w:r>
          </w:p>
        </w:tc>
        <w:tc>
          <w:tcPr>
            <w:tcW w:w="3536" w:type="dxa"/>
            <w:gridSpan w:val="2"/>
            <w:shd w:val="clear" w:color="auto" w:fill="auto"/>
            <w:vAlign w:val="center"/>
          </w:tcPr>
          <w:p w:rsidR="007410A1" w:rsidRPr="00A700F7" w:rsidRDefault="007410A1" w:rsidP="00B86AC4">
            <w:pPr>
              <w:pStyle w:val="Tabletext"/>
              <w:keepNext/>
              <w:keepLines/>
              <w:jc w:val="center"/>
              <w:rPr>
                <w:b/>
              </w:rPr>
            </w:pPr>
            <w:r w:rsidRPr="00A700F7">
              <w:rPr>
                <w:b/>
              </w:rPr>
              <w:t>Treatment effect</w:t>
            </w:r>
          </w:p>
        </w:tc>
      </w:tr>
      <w:tr w:rsidR="007410A1" w:rsidRPr="00A700F7" w:rsidTr="00384DC4">
        <w:trPr>
          <w:tblHeader/>
        </w:trPr>
        <w:tc>
          <w:tcPr>
            <w:tcW w:w="2715" w:type="dxa"/>
            <w:vMerge/>
            <w:vAlign w:val="center"/>
          </w:tcPr>
          <w:p w:rsidR="007410A1" w:rsidRPr="00A700F7" w:rsidRDefault="007410A1" w:rsidP="00B86AC4">
            <w:pPr>
              <w:pStyle w:val="Tabletext"/>
              <w:keepNext/>
              <w:keepLines/>
              <w:rPr>
                <w:b/>
              </w:rPr>
            </w:pPr>
          </w:p>
        </w:tc>
        <w:tc>
          <w:tcPr>
            <w:tcW w:w="1416" w:type="dxa"/>
            <w:shd w:val="clear" w:color="auto" w:fill="auto"/>
            <w:vAlign w:val="center"/>
          </w:tcPr>
          <w:p w:rsidR="007410A1" w:rsidRPr="00A700F7" w:rsidRDefault="007410A1" w:rsidP="00B86AC4">
            <w:pPr>
              <w:pStyle w:val="Tabletext"/>
              <w:keepNext/>
              <w:keepLines/>
              <w:jc w:val="center"/>
              <w:rPr>
                <w:b/>
              </w:rPr>
            </w:pPr>
            <w:r w:rsidRPr="00A700F7">
              <w:rPr>
                <w:b/>
              </w:rPr>
              <w:t xml:space="preserve">Intervention </w:t>
            </w:r>
          </w:p>
        </w:tc>
        <w:tc>
          <w:tcPr>
            <w:tcW w:w="1416" w:type="dxa"/>
            <w:shd w:val="clear" w:color="auto" w:fill="auto"/>
            <w:vAlign w:val="center"/>
          </w:tcPr>
          <w:p w:rsidR="007410A1" w:rsidRPr="00A700F7" w:rsidRDefault="007410A1" w:rsidP="00B86AC4">
            <w:pPr>
              <w:pStyle w:val="Tabletext"/>
              <w:keepNext/>
              <w:keepLines/>
              <w:jc w:val="center"/>
              <w:rPr>
                <w:b/>
              </w:rPr>
            </w:pPr>
            <w:r w:rsidRPr="00A700F7">
              <w:rPr>
                <w:b/>
              </w:rPr>
              <w:t>Placebo</w:t>
            </w:r>
          </w:p>
        </w:tc>
        <w:tc>
          <w:tcPr>
            <w:tcW w:w="1838" w:type="dxa"/>
            <w:shd w:val="clear" w:color="auto" w:fill="auto"/>
            <w:vAlign w:val="center"/>
          </w:tcPr>
          <w:p w:rsidR="007410A1" w:rsidRPr="00A700F7" w:rsidRDefault="007410A1" w:rsidP="00B86AC4">
            <w:pPr>
              <w:pStyle w:val="Tabletext"/>
              <w:keepNext/>
              <w:keepLines/>
              <w:jc w:val="center"/>
              <w:rPr>
                <w:b/>
              </w:rPr>
            </w:pPr>
            <w:r w:rsidRPr="00A700F7">
              <w:rPr>
                <w:b/>
              </w:rPr>
              <w:t xml:space="preserve"> OR (95% CI)</w:t>
            </w:r>
          </w:p>
        </w:tc>
        <w:tc>
          <w:tcPr>
            <w:tcW w:w="1698" w:type="dxa"/>
            <w:shd w:val="clear" w:color="auto" w:fill="auto"/>
            <w:vAlign w:val="center"/>
          </w:tcPr>
          <w:p w:rsidR="007410A1" w:rsidRPr="00A700F7" w:rsidRDefault="007410A1" w:rsidP="00B86AC4">
            <w:pPr>
              <w:pStyle w:val="Tabletext"/>
              <w:keepNext/>
              <w:keepLines/>
              <w:jc w:val="center"/>
              <w:rPr>
                <w:b/>
              </w:rPr>
            </w:pPr>
            <w:r w:rsidRPr="00A700F7">
              <w:rPr>
                <w:b/>
              </w:rPr>
              <w:t>RR (95% CI)</w:t>
            </w:r>
          </w:p>
        </w:tc>
      </w:tr>
      <w:tr w:rsidR="007410A1" w:rsidRPr="00A700F7" w:rsidTr="00384DC4">
        <w:tc>
          <w:tcPr>
            <w:tcW w:w="2715" w:type="dxa"/>
            <w:vAlign w:val="center"/>
          </w:tcPr>
          <w:p w:rsidR="007410A1" w:rsidRPr="00A700F7" w:rsidRDefault="007410A1" w:rsidP="00B86AC4">
            <w:pPr>
              <w:pStyle w:val="Tabletext"/>
              <w:keepNext/>
              <w:keepLines/>
            </w:pPr>
            <w:proofErr w:type="spellStart"/>
            <w:r w:rsidRPr="00A700F7">
              <w:t>Erenumab</w:t>
            </w:r>
            <w:proofErr w:type="spellEnd"/>
            <w:r w:rsidRPr="00A700F7">
              <w:t xml:space="preserve"> - Study 295 </w:t>
            </w:r>
          </w:p>
          <w:p w:rsidR="007410A1" w:rsidRPr="00A700F7" w:rsidRDefault="007410A1" w:rsidP="00B86AC4">
            <w:pPr>
              <w:pStyle w:val="Tabletext"/>
              <w:keepNext/>
              <w:keepLines/>
            </w:pPr>
            <w:r w:rsidRPr="00A700F7">
              <w:t>(12 weeks)</w:t>
            </w:r>
          </w:p>
        </w:tc>
        <w:tc>
          <w:tcPr>
            <w:tcW w:w="1416" w:type="dxa"/>
            <w:shd w:val="clear" w:color="auto" w:fill="auto"/>
            <w:vAlign w:val="center"/>
          </w:tcPr>
          <w:p w:rsidR="007410A1" w:rsidRPr="00A700F7" w:rsidRDefault="00AF24DF" w:rsidP="00B86AC4">
            <w:pPr>
              <w:pStyle w:val="Tabletext"/>
              <w:keepNext/>
              <w:keepLines/>
              <w:jc w:val="center"/>
            </w:pPr>
            <w:r>
              <w:rPr>
                <w:noProof/>
                <w:color w:val="000000"/>
                <w:highlight w:val="black"/>
              </w:rPr>
              <w:t>'''''''</w:t>
            </w:r>
            <w:r w:rsidR="007410A1" w:rsidRPr="00A700F7">
              <w:t>/</w:t>
            </w:r>
            <w:r>
              <w:rPr>
                <w:noProof/>
                <w:color w:val="000000"/>
                <w:highlight w:val="black"/>
              </w:rPr>
              <w:t>''''''</w:t>
            </w:r>
            <w:r w:rsidR="007410A1" w:rsidRPr="00A700F7">
              <w:t xml:space="preserve"> (39.4%)</w:t>
            </w:r>
          </w:p>
        </w:tc>
        <w:tc>
          <w:tcPr>
            <w:tcW w:w="1416" w:type="dxa"/>
            <w:shd w:val="clear" w:color="auto" w:fill="auto"/>
            <w:vAlign w:val="center"/>
          </w:tcPr>
          <w:p w:rsidR="007410A1" w:rsidRPr="00A700F7" w:rsidRDefault="00AF24DF" w:rsidP="00B86AC4">
            <w:pPr>
              <w:pStyle w:val="Tabletext"/>
              <w:keepNext/>
              <w:keepLines/>
              <w:jc w:val="center"/>
            </w:pPr>
            <w:r>
              <w:rPr>
                <w:noProof/>
                <w:color w:val="000000"/>
                <w:highlight w:val="black"/>
              </w:rPr>
              <w:t>''''</w:t>
            </w:r>
            <w:r w:rsidR="007410A1" w:rsidRPr="00A700F7">
              <w:t>/</w:t>
            </w:r>
            <w:r>
              <w:rPr>
                <w:noProof/>
                <w:color w:val="000000"/>
                <w:highlight w:val="black"/>
              </w:rPr>
              <w:t>''''''</w:t>
            </w:r>
            <w:r w:rsidR="007410A1" w:rsidRPr="00A700F7">
              <w:t xml:space="preserve"> (</w:t>
            </w:r>
            <w:r>
              <w:rPr>
                <w:noProof/>
                <w:color w:val="000000"/>
                <w:highlight w:val="black"/>
              </w:rPr>
              <w:t>'''''''</w:t>
            </w:r>
            <w:r w:rsidR="007410A1" w:rsidRPr="00A700F7">
              <w:t>%)</w:t>
            </w:r>
          </w:p>
        </w:tc>
        <w:tc>
          <w:tcPr>
            <w:tcW w:w="1838" w:type="dxa"/>
            <w:shd w:val="clear" w:color="auto" w:fill="auto"/>
            <w:vAlign w:val="center"/>
          </w:tcPr>
          <w:p w:rsidR="007410A1" w:rsidRPr="00A700F7" w:rsidRDefault="00AF24DF" w:rsidP="00B86AC4">
            <w:pPr>
              <w:pStyle w:val="Tabletext"/>
              <w:keepNext/>
              <w:keepLines/>
              <w:jc w:val="center"/>
            </w:pPr>
            <w:r>
              <w:rPr>
                <w:noProof/>
                <w:color w:val="000000"/>
                <w:highlight w:val="black"/>
              </w:rPr>
              <w:t>'''''''''''</w:t>
            </w:r>
            <w:r w:rsidR="007410A1" w:rsidRPr="00A700F7">
              <w:t xml:space="preserve"> (</w:t>
            </w:r>
            <w:r>
              <w:rPr>
                <w:noProof/>
                <w:color w:val="000000"/>
                <w:highlight w:val="black"/>
              </w:rPr>
              <w:t>''''''''''''</w:t>
            </w:r>
            <w:r w:rsidR="007410A1" w:rsidRPr="00A700F7">
              <w:t xml:space="preserve">, </w:t>
            </w:r>
            <w:r>
              <w:rPr>
                <w:noProof/>
                <w:color w:val="000000"/>
                <w:highlight w:val="black"/>
              </w:rPr>
              <w:t>''''''''''''''</w:t>
            </w:r>
            <w:r w:rsidR="007410A1" w:rsidRPr="00A700F7">
              <w:t>)</w:t>
            </w:r>
          </w:p>
        </w:tc>
        <w:tc>
          <w:tcPr>
            <w:tcW w:w="1698" w:type="dxa"/>
            <w:shd w:val="clear" w:color="auto" w:fill="auto"/>
            <w:vAlign w:val="center"/>
          </w:tcPr>
          <w:p w:rsidR="007410A1" w:rsidRPr="00A700F7" w:rsidRDefault="00AF24DF" w:rsidP="00B86AC4">
            <w:pPr>
              <w:pStyle w:val="Tabletext"/>
              <w:keepNext/>
              <w:keepLines/>
              <w:jc w:val="center"/>
            </w:pPr>
            <w:r>
              <w:rPr>
                <w:noProof/>
                <w:color w:val="000000"/>
                <w:highlight w:val="black"/>
              </w:rPr>
              <w:t>'''''''''''</w:t>
            </w:r>
            <w:r w:rsidR="007410A1" w:rsidRPr="00A700F7">
              <w:t xml:space="preserve"> (</w:t>
            </w:r>
            <w:r>
              <w:rPr>
                <w:noProof/>
                <w:color w:val="000000"/>
                <w:highlight w:val="black"/>
              </w:rPr>
              <w:t>''''''''''</w:t>
            </w:r>
            <w:r w:rsidR="007410A1" w:rsidRPr="00A700F7">
              <w:t xml:space="preserve">, </w:t>
            </w:r>
            <w:r>
              <w:rPr>
                <w:noProof/>
                <w:color w:val="000000"/>
                <w:highlight w:val="black"/>
              </w:rPr>
              <w:t>''''''''''''</w:t>
            </w:r>
            <w:r w:rsidR="007410A1" w:rsidRPr="00A700F7">
              <w:t>)</w:t>
            </w:r>
          </w:p>
        </w:tc>
      </w:tr>
      <w:tr w:rsidR="007410A1" w:rsidRPr="00A700F7" w:rsidTr="00384DC4">
        <w:tc>
          <w:tcPr>
            <w:tcW w:w="2715" w:type="dxa"/>
            <w:vAlign w:val="center"/>
          </w:tcPr>
          <w:p w:rsidR="007410A1" w:rsidRPr="00A700F7" w:rsidRDefault="007410A1" w:rsidP="00B86AC4">
            <w:pPr>
              <w:pStyle w:val="Tabletext"/>
              <w:keepNext/>
              <w:keepLines/>
            </w:pPr>
            <w:r w:rsidRPr="00A700F7">
              <w:t xml:space="preserve">Botox - Pooled PREEMPT trials </w:t>
            </w:r>
          </w:p>
          <w:p w:rsidR="007410A1" w:rsidRPr="00A700F7" w:rsidRDefault="007410A1" w:rsidP="00B86AC4">
            <w:pPr>
              <w:pStyle w:val="Tabletext"/>
              <w:keepNext/>
              <w:keepLines/>
            </w:pPr>
            <w:r w:rsidRPr="00A700F7">
              <w:t>(24 weeks)</w:t>
            </w:r>
          </w:p>
        </w:tc>
        <w:tc>
          <w:tcPr>
            <w:tcW w:w="1416" w:type="dxa"/>
            <w:shd w:val="clear" w:color="auto" w:fill="auto"/>
            <w:vAlign w:val="center"/>
          </w:tcPr>
          <w:p w:rsidR="007410A1" w:rsidRPr="00A700F7" w:rsidRDefault="007410A1" w:rsidP="00B86AC4">
            <w:pPr>
              <w:pStyle w:val="Tabletext"/>
              <w:keepNext/>
              <w:keepLines/>
              <w:jc w:val="center"/>
            </w:pPr>
            <w:r w:rsidRPr="00A700F7">
              <w:t>76/189 (40.2%)</w:t>
            </w:r>
          </w:p>
        </w:tc>
        <w:tc>
          <w:tcPr>
            <w:tcW w:w="1416" w:type="dxa"/>
            <w:shd w:val="clear" w:color="auto" w:fill="auto"/>
            <w:vAlign w:val="center"/>
          </w:tcPr>
          <w:p w:rsidR="007410A1" w:rsidRPr="00A700F7" w:rsidRDefault="007410A1" w:rsidP="00B86AC4">
            <w:pPr>
              <w:pStyle w:val="Tabletext"/>
              <w:keepNext/>
              <w:keepLines/>
              <w:jc w:val="center"/>
            </w:pPr>
            <w:r w:rsidRPr="00A700F7">
              <w:t>51/207 (24.6%)</w:t>
            </w:r>
          </w:p>
        </w:tc>
        <w:tc>
          <w:tcPr>
            <w:tcW w:w="1838" w:type="dxa"/>
            <w:shd w:val="clear" w:color="auto" w:fill="auto"/>
            <w:vAlign w:val="center"/>
          </w:tcPr>
          <w:p w:rsidR="007410A1" w:rsidRPr="00A700F7" w:rsidRDefault="007410A1" w:rsidP="00B86AC4">
            <w:pPr>
              <w:pStyle w:val="Tabletext"/>
              <w:keepNext/>
              <w:keepLines/>
              <w:jc w:val="center"/>
            </w:pPr>
            <w:r w:rsidRPr="00A700F7">
              <w:t>2.06 (1.34, 3.16)</w:t>
            </w:r>
          </w:p>
        </w:tc>
        <w:tc>
          <w:tcPr>
            <w:tcW w:w="1698" w:type="dxa"/>
            <w:shd w:val="clear" w:color="auto" w:fill="auto"/>
            <w:vAlign w:val="center"/>
          </w:tcPr>
          <w:p w:rsidR="007410A1" w:rsidRPr="00A700F7" w:rsidRDefault="007410A1" w:rsidP="00B86AC4">
            <w:pPr>
              <w:pStyle w:val="Tabletext"/>
              <w:keepNext/>
              <w:keepLines/>
              <w:jc w:val="center"/>
            </w:pPr>
            <w:r w:rsidRPr="00A700F7">
              <w:t>1.63 (1.22, 2.19)</w:t>
            </w:r>
          </w:p>
        </w:tc>
      </w:tr>
      <w:tr w:rsidR="007410A1" w:rsidRPr="00A700F7" w:rsidTr="00384DC4">
        <w:tc>
          <w:tcPr>
            <w:tcW w:w="5547" w:type="dxa"/>
            <w:gridSpan w:val="3"/>
            <w:vAlign w:val="center"/>
          </w:tcPr>
          <w:p w:rsidR="007410A1" w:rsidRPr="00A700F7" w:rsidRDefault="007410A1" w:rsidP="00B86AC4">
            <w:pPr>
              <w:pStyle w:val="Tabletext"/>
              <w:keepNext/>
              <w:keepLines/>
              <w:jc w:val="right"/>
              <w:rPr>
                <w:b/>
              </w:rPr>
            </w:pPr>
            <w:r w:rsidRPr="00A700F7">
              <w:rPr>
                <w:b/>
              </w:rPr>
              <w:t xml:space="preserve">Indirect comparison </w:t>
            </w:r>
          </w:p>
        </w:tc>
        <w:tc>
          <w:tcPr>
            <w:tcW w:w="1838" w:type="dxa"/>
            <w:shd w:val="clear" w:color="auto" w:fill="auto"/>
            <w:vAlign w:val="center"/>
          </w:tcPr>
          <w:p w:rsidR="007410A1" w:rsidRPr="00A700F7" w:rsidRDefault="007410A1" w:rsidP="00B86AC4">
            <w:pPr>
              <w:pStyle w:val="Tabletext"/>
              <w:keepNext/>
              <w:keepLines/>
              <w:jc w:val="center"/>
            </w:pPr>
            <w:r w:rsidRPr="00A700F7">
              <w:t>OR=</w:t>
            </w:r>
            <w:r w:rsidR="00AF24DF">
              <w:rPr>
                <w:noProof/>
                <w:color w:val="000000"/>
                <w:highlight w:val="black"/>
              </w:rPr>
              <w:t>'''''''''''</w:t>
            </w:r>
            <w:r w:rsidRPr="00A700F7">
              <w:t xml:space="preserve"> (</w:t>
            </w:r>
            <w:r w:rsidR="00AF24DF">
              <w:rPr>
                <w:noProof/>
                <w:color w:val="000000"/>
                <w:highlight w:val="black"/>
              </w:rPr>
              <w:t>''''''''''</w:t>
            </w:r>
            <w:r w:rsidRPr="00A700F7">
              <w:t xml:space="preserve">, </w:t>
            </w:r>
            <w:r w:rsidR="00AF24DF">
              <w:rPr>
                <w:noProof/>
                <w:color w:val="000000"/>
                <w:highlight w:val="black"/>
              </w:rPr>
              <w:t>''''''''''''''</w:t>
            </w:r>
            <w:r w:rsidRPr="00A700F7">
              <w:t>)</w:t>
            </w:r>
          </w:p>
        </w:tc>
        <w:tc>
          <w:tcPr>
            <w:tcW w:w="1698" w:type="dxa"/>
            <w:shd w:val="clear" w:color="auto" w:fill="auto"/>
            <w:vAlign w:val="center"/>
          </w:tcPr>
          <w:p w:rsidR="007410A1" w:rsidRPr="00A700F7" w:rsidRDefault="007410A1" w:rsidP="00B86AC4">
            <w:pPr>
              <w:pStyle w:val="Tabletext"/>
              <w:keepNext/>
              <w:keepLines/>
              <w:jc w:val="center"/>
            </w:pPr>
            <w:r w:rsidRPr="00A700F7">
              <w:t>RR=</w:t>
            </w:r>
            <w:r w:rsidR="00AF24DF">
              <w:rPr>
                <w:noProof/>
                <w:color w:val="000000"/>
                <w:highlight w:val="black"/>
              </w:rPr>
              <w:t>''''''''''</w:t>
            </w:r>
            <w:r w:rsidRPr="00A700F7">
              <w:t xml:space="preserve"> (</w:t>
            </w:r>
            <w:r w:rsidR="00AF24DF">
              <w:rPr>
                <w:noProof/>
                <w:color w:val="000000"/>
                <w:highlight w:val="black"/>
              </w:rPr>
              <w:t>''''''''''</w:t>
            </w:r>
            <w:r w:rsidRPr="001D659C">
              <w:t>,</w:t>
            </w:r>
            <w:r w:rsidRPr="00A700F7">
              <w:t xml:space="preserve"> </w:t>
            </w:r>
            <w:r w:rsidR="00AF24DF">
              <w:rPr>
                <w:noProof/>
                <w:color w:val="000000"/>
                <w:highlight w:val="black"/>
              </w:rPr>
              <w:t>''''''''''</w:t>
            </w:r>
            <w:r w:rsidRPr="00A700F7">
              <w:t>)</w:t>
            </w:r>
          </w:p>
        </w:tc>
      </w:tr>
    </w:tbl>
    <w:p w:rsidR="00384DC4" w:rsidRPr="00A700F7" w:rsidRDefault="00384DC4" w:rsidP="00B86AC4">
      <w:pPr>
        <w:pStyle w:val="TableFooter"/>
        <w:keepNext/>
        <w:keepLines/>
      </w:pPr>
      <w:r w:rsidRPr="00A700F7">
        <w:t>CI=confidence interval; OR=odds ratio; RR=relative risk</w:t>
      </w:r>
    </w:p>
    <w:p w:rsidR="007410A1" w:rsidRPr="00A700F7" w:rsidRDefault="007410A1" w:rsidP="00B86AC4">
      <w:pPr>
        <w:pStyle w:val="TableFooter"/>
        <w:keepNext/>
        <w:keepLines/>
      </w:pPr>
      <w:r w:rsidRPr="00A700F7">
        <w:t>Source: Table 2.30, p58-59 of the submission</w:t>
      </w:r>
      <w:r w:rsidR="00384DC4" w:rsidRPr="00A700F7">
        <w:t>.</w:t>
      </w:r>
    </w:p>
    <w:p w:rsidR="007410A1" w:rsidRPr="00A700F7" w:rsidRDefault="007410A1" w:rsidP="00B86AC4">
      <w:pPr>
        <w:keepNext/>
        <w:keepLines/>
      </w:pPr>
    </w:p>
    <w:p w:rsidR="007410A1" w:rsidRPr="00A700F7" w:rsidRDefault="007410A1" w:rsidP="00C6329B">
      <w:pPr>
        <w:pStyle w:val="ListParagraph"/>
        <w:numPr>
          <w:ilvl w:val="1"/>
          <w:numId w:val="3"/>
        </w:numPr>
        <w:spacing w:after="120"/>
      </w:pPr>
      <w:r w:rsidRPr="00A700F7">
        <w:t xml:space="preserve">The indirect comparisons demonstrated a statistically significant difference between </w:t>
      </w:r>
      <w:proofErr w:type="spellStart"/>
      <w:r w:rsidRPr="00A700F7">
        <w:t>erenumab</w:t>
      </w:r>
      <w:proofErr w:type="spellEnd"/>
      <w:r w:rsidRPr="00A700F7">
        <w:t xml:space="preserve"> and Botox for mean change in headache days, but no statistically significant difference between </w:t>
      </w:r>
      <w:proofErr w:type="spellStart"/>
      <w:r w:rsidRPr="00A700F7">
        <w:t>erenumab</w:t>
      </w:r>
      <w:proofErr w:type="spellEnd"/>
      <w:r w:rsidRPr="00A700F7">
        <w:t xml:space="preserve"> and Botox for proportion of patients with ≥50% reduction in headache days.  </w:t>
      </w:r>
    </w:p>
    <w:p w:rsidR="00C6329B" w:rsidRDefault="00E50663" w:rsidP="00144268">
      <w:pPr>
        <w:pStyle w:val="Bulletpoints"/>
      </w:pPr>
      <w:r w:rsidRPr="00144268">
        <w:t xml:space="preserve">The post-hoc subgroup from the </w:t>
      </w:r>
      <w:proofErr w:type="spellStart"/>
      <w:r w:rsidRPr="00144268">
        <w:t>erenumab</w:t>
      </w:r>
      <w:proofErr w:type="spellEnd"/>
      <w:r w:rsidRPr="00144268">
        <w:t xml:space="preserve"> trial including patients who had failed ≥3 prophylactic medications and were naïve to Botox comprised less than </w:t>
      </w:r>
      <w:r w:rsidR="00AF24DF">
        <w:rPr>
          <w:noProof/>
          <w:color w:val="000000"/>
          <w:highlight w:val="black"/>
        </w:rPr>
        <w:t>''''''</w:t>
      </w:r>
      <w:r w:rsidRPr="00144268">
        <w:t xml:space="preserve">% of the overall trial population. While the submission argued that the nominated subgroup was applicable to the proposed PBS population as the subgroup had a similar age and proportion of females to that observed in the overall trial, there was no discussion provided by the submission as to whether the subgroup may have differed from the overall trial population on relevant disease characteristics such as duration of chronic migraine, number of headache or migraine days per month.  </w:t>
      </w:r>
    </w:p>
    <w:p w:rsidR="007410A1" w:rsidRPr="00144268" w:rsidRDefault="00E50663" w:rsidP="00144268">
      <w:pPr>
        <w:pStyle w:val="Bulletpoints"/>
      </w:pPr>
      <w:r w:rsidRPr="00144268">
        <w:t>The</w:t>
      </w:r>
      <w:r w:rsidR="00C30851" w:rsidRPr="00144268">
        <w:t xml:space="preserve"> data </w:t>
      </w:r>
      <w:r w:rsidRPr="00144268">
        <w:t>available within the submission for number of migraine days and headache days for the overall trial population and the subgroup</w:t>
      </w:r>
      <w:r w:rsidR="00C30851" w:rsidRPr="00144268">
        <w:t xml:space="preserve"> </w:t>
      </w:r>
      <w:r w:rsidRPr="00144268">
        <w:t>is summarised in the table below.  Comparisons were conducted during the evaluation to assess the overall trial population and subgroup differences.</w:t>
      </w:r>
    </w:p>
    <w:p w:rsidR="00144268" w:rsidRPr="00144268" w:rsidRDefault="00144268" w:rsidP="0078396F">
      <w:pPr>
        <w:pStyle w:val="Caption"/>
        <w:keepNext/>
        <w:spacing w:after="0"/>
        <w:rPr>
          <w:rFonts w:ascii="Arial Narrow" w:hAnsi="Arial Narrow"/>
          <w:color w:val="auto"/>
          <w:sz w:val="20"/>
          <w:szCs w:val="20"/>
        </w:rPr>
      </w:pPr>
      <w:r w:rsidRPr="00144268">
        <w:rPr>
          <w:rFonts w:ascii="Arial Narrow" w:hAnsi="Arial Narrow"/>
          <w:color w:val="auto"/>
          <w:sz w:val="20"/>
          <w:szCs w:val="20"/>
        </w:rPr>
        <w:t xml:space="preserve">Table </w:t>
      </w:r>
      <w:r w:rsidR="00D8193A">
        <w:rPr>
          <w:rFonts w:ascii="Arial Narrow" w:hAnsi="Arial Narrow"/>
          <w:noProof/>
          <w:color w:val="auto"/>
          <w:sz w:val="20"/>
          <w:szCs w:val="20"/>
        </w:rPr>
        <w:t>6</w:t>
      </w:r>
      <w:r w:rsidRPr="00144268">
        <w:rPr>
          <w:rFonts w:ascii="Arial Narrow" w:hAnsi="Arial Narrow"/>
          <w:color w:val="auto"/>
          <w:sz w:val="20"/>
          <w:szCs w:val="20"/>
        </w:rPr>
        <w:t xml:space="preserve">: Overall trial population and subgroup population baseline values for </w:t>
      </w:r>
      <w:proofErr w:type="spellStart"/>
      <w:r w:rsidRPr="00144268">
        <w:rPr>
          <w:rFonts w:ascii="Arial Narrow" w:hAnsi="Arial Narrow"/>
          <w:color w:val="auto"/>
          <w:sz w:val="20"/>
          <w:szCs w:val="20"/>
        </w:rPr>
        <w:t>erenumab</w:t>
      </w:r>
      <w:proofErr w:type="spellEnd"/>
    </w:p>
    <w:tbl>
      <w:tblPr>
        <w:tblStyle w:val="TableGrid"/>
        <w:tblW w:w="9072" w:type="dxa"/>
        <w:tblInd w:w="28" w:type="dxa"/>
        <w:tblCellMar>
          <w:left w:w="28" w:type="dxa"/>
          <w:right w:w="28" w:type="dxa"/>
        </w:tblCellMar>
        <w:tblLook w:val="04A0" w:firstRow="1" w:lastRow="0" w:firstColumn="1" w:lastColumn="0" w:noHBand="0" w:noVBand="1"/>
        <w:tblCaption w:val="Overall trial population and subgroup population baseline values for erenumab"/>
      </w:tblPr>
      <w:tblGrid>
        <w:gridCol w:w="3709"/>
        <w:gridCol w:w="2812"/>
        <w:gridCol w:w="2551"/>
      </w:tblGrid>
      <w:tr w:rsidR="008C29CA" w:rsidRPr="00904716" w:rsidTr="0078396F">
        <w:trPr>
          <w:trHeight w:val="47"/>
          <w:tblHeader/>
        </w:trPr>
        <w:tc>
          <w:tcPr>
            <w:tcW w:w="3709" w:type="dxa"/>
            <w:vMerge w:val="restart"/>
            <w:vAlign w:val="center"/>
          </w:tcPr>
          <w:p w:rsidR="008C29CA" w:rsidRPr="00904716" w:rsidRDefault="008C29CA" w:rsidP="00685A14">
            <w:pPr>
              <w:pStyle w:val="Bulletpoints"/>
              <w:numPr>
                <w:ilvl w:val="0"/>
                <w:numId w:val="0"/>
              </w:numPr>
              <w:spacing w:after="0"/>
              <w:ind w:left="720" w:hanging="720"/>
              <w:jc w:val="center"/>
              <w:rPr>
                <w:rFonts w:ascii="Arial Narrow" w:hAnsi="Arial Narrow" w:cs="Arial"/>
                <w:b/>
                <w:sz w:val="20"/>
              </w:rPr>
            </w:pPr>
            <w:r w:rsidRPr="00904716">
              <w:rPr>
                <w:rFonts w:ascii="Arial Narrow" w:hAnsi="Arial Narrow" w:cs="Arial"/>
                <w:b/>
                <w:sz w:val="20"/>
              </w:rPr>
              <w:t>Outcome</w:t>
            </w:r>
          </w:p>
        </w:tc>
        <w:tc>
          <w:tcPr>
            <w:tcW w:w="5363" w:type="dxa"/>
            <w:gridSpan w:val="2"/>
            <w:vAlign w:val="center"/>
          </w:tcPr>
          <w:p w:rsidR="008C29CA" w:rsidRPr="00904716" w:rsidRDefault="008C29CA" w:rsidP="00685A14">
            <w:pPr>
              <w:pStyle w:val="Bulletpoints"/>
              <w:numPr>
                <w:ilvl w:val="0"/>
                <w:numId w:val="0"/>
              </w:numPr>
              <w:spacing w:after="0"/>
              <w:jc w:val="center"/>
              <w:rPr>
                <w:rFonts w:ascii="Arial Narrow" w:hAnsi="Arial Narrow" w:cs="Arial"/>
                <w:b/>
                <w:sz w:val="20"/>
              </w:rPr>
            </w:pPr>
            <w:r w:rsidRPr="00904716">
              <w:rPr>
                <w:rFonts w:ascii="Arial Narrow" w:hAnsi="Arial Narrow" w:cs="Arial"/>
                <w:b/>
                <w:sz w:val="20"/>
              </w:rPr>
              <w:t>Baseline mean ± SD</w:t>
            </w:r>
          </w:p>
        </w:tc>
      </w:tr>
      <w:tr w:rsidR="008C29CA" w:rsidRPr="00904716" w:rsidTr="0078396F">
        <w:trPr>
          <w:trHeight w:val="42"/>
          <w:tblHeader/>
        </w:trPr>
        <w:tc>
          <w:tcPr>
            <w:tcW w:w="3709" w:type="dxa"/>
            <w:vMerge/>
            <w:vAlign w:val="center"/>
          </w:tcPr>
          <w:p w:rsidR="008C29CA" w:rsidRPr="00904716" w:rsidRDefault="008C29CA" w:rsidP="00685A14">
            <w:pPr>
              <w:pStyle w:val="Bulletpoints"/>
              <w:numPr>
                <w:ilvl w:val="0"/>
                <w:numId w:val="0"/>
              </w:numPr>
              <w:spacing w:after="0"/>
              <w:rPr>
                <w:rFonts w:ascii="Arial Narrow" w:hAnsi="Arial Narrow" w:cs="Arial"/>
                <w:b/>
                <w:sz w:val="20"/>
              </w:rPr>
            </w:pP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b/>
                <w:sz w:val="20"/>
              </w:rPr>
            </w:pPr>
            <w:r w:rsidRPr="00904716">
              <w:rPr>
                <w:rFonts w:ascii="Arial Narrow" w:hAnsi="Arial Narrow" w:cs="Arial"/>
                <w:b/>
                <w:sz w:val="20"/>
              </w:rPr>
              <w:t>Overall</w:t>
            </w:r>
            <w:r w:rsidR="00685A14" w:rsidRPr="00904716">
              <w:rPr>
                <w:rFonts w:ascii="Arial Narrow" w:hAnsi="Arial Narrow" w:cs="Arial"/>
                <w:b/>
                <w:sz w:val="20"/>
              </w:rPr>
              <w:t xml:space="preserve"> </w:t>
            </w:r>
            <w:r w:rsidRPr="00904716">
              <w:rPr>
                <w:rFonts w:ascii="Arial Narrow" w:hAnsi="Arial Narrow" w:cs="Arial"/>
                <w:b/>
                <w:sz w:val="20"/>
              </w:rPr>
              <w:t>trial population</w:t>
            </w:r>
          </w:p>
        </w:tc>
        <w:tc>
          <w:tcPr>
            <w:tcW w:w="2551" w:type="dxa"/>
            <w:vAlign w:val="center"/>
          </w:tcPr>
          <w:p w:rsidR="008C29CA" w:rsidRPr="00904716" w:rsidRDefault="008C29CA" w:rsidP="00685A14">
            <w:pPr>
              <w:pStyle w:val="Bulletpoints"/>
              <w:numPr>
                <w:ilvl w:val="0"/>
                <w:numId w:val="0"/>
              </w:numPr>
              <w:spacing w:after="0"/>
              <w:jc w:val="center"/>
              <w:rPr>
                <w:rFonts w:ascii="Arial Narrow" w:hAnsi="Arial Narrow" w:cs="Arial"/>
                <w:b/>
                <w:sz w:val="20"/>
              </w:rPr>
            </w:pPr>
            <w:r w:rsidRPr="00904716">
              <w:rPr>
                <w:rFonts w:ascii="Arial Narrow" w:hAnsi="Arial Narrow" w:cs="Arial"/>
                <w:b/>
                <w:sz w:val="20"/>
              </w:rPr>
              <w:t>Subgroup population</w:t>
            </w:r>
          </w:p>
        </w:tc>
      </w:tr>
      <w:tr w:rsidR="008C29CA" w:rsidRPr="00904716" w:rsidTr="0078396F">
        <w:trPr>
          <w:trHeight w:val="42"/>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b/>
                <w:sz w:val="20"/>
              </w:rPr>
            </w:pPr>
            <w:proofErr w:type="spellStart"/>
            <w:r w:rsidRPr="00904716">
              <w:rPr>
                <w:rFonts w:ascii="Arial Narrow" w:hAnsi="Arial Narrow" w:cs="Arial"/>
                <w:b/>
                <w:sz w:val="20"/>
              </w:rPr>
              <w:t>Erenumab</w:t>
            </w:r>
            <w:proofErr w:type="spellEnd"/>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N=190</w:t>
            </w:r>
          </w:p>
        </w:tc>
        <w:tc>
          <w:tcPr>
            <w:tcW w:w="2551"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N=</w:t>
            </w:r>
            <w:r w:rsidR="00AF24DF">
              <w:rPr>
                <w:rFonts w:ascii="Arial Narrow" w:hAnsi="Arial Narrow" w:cs="Arial"/>
                <w:noProof/>
                <w:color w:val="000000"/>
                <w:sz w:val="20"/>
                <w:highlight w:val="black"/>
              </w:rPr>
              <w:t>''''''</w:t>
            </w:r>
          </w:p>
        </w:tc>
      </w:tr>
      <w:tr w:rsidR="008C29CA" w:rsidRPr="00904716" w:rsidTr="0078396F">
        <w:trPr>
          <w:trHeight w:val="42"/>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sz w:val="20"/>
              </w:rPr>
            </w:pPr>
            <w:r w:rsidRPr="00904716">
              <w:rPr>
                <w:rFonts w:ascii="Arial Narrow" w:hAnsi="Arial Narrow" w:cs="Arial"/>
                <w:sz w:val="20"/>
              </w:rPr>
              <w:t>Monthly headache days</w:t>
            </w: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20.7 ± 3.8</w:t>
            </w:r>
          </w:p>
        </w:tc>
        <w:tc>
          <w:tcPr>
            <w:tcW w:w="2551" w:type="dxa"/>
            <w:vAlign w:val="center"/>
          </w:tcPr>
          <w:p w:rsidR="008C29CA" w:rsidRPr="00904716" w:rsidRDefault="00AF24DF" w:rsidP="00685A14">
            <w:pPr>
              <w:pStyle w:val="Bulletpoints"/>
              <w:numPr>
                <w:ilvl w:val="0"/>
                <w:numId w:val="0"/>
              </w:numPr>
              <w:spacing w:after="0"/>
              <w:jc w:val="center"/>
              <w:rPr>
                <w:rFonts w:ascii="Arial Narrow" w:hAnsi="Arial Narrow" w:cs="Arial"/>
                <w:sz w:val="20"/>
              </w:rPr>
            </w:pPr>
            <w:r>
              <w:rPr>
                <w:rFonts w:ascii="Arial Narrow" w:hAnsi="Arial Narrow" w:cs="Arial"/>
                <w:noProof/>
                <w:color w:val="000000"/>
                <w:sz w:val="20"/>
                <w:highlight w:val="black"/>
              </w:rPr>
              <w:t>''''''''''</w:t>
            </w:r>
            <w:r w:rsidR="008C29CA" w:rsidRPr="00904716">
              <w:rPr>
                <w:rFonts w:ascii="Arial Narrow" w:hAnsi="Arial Narrow" w:cs="Arial"/>
                <w:sz w:val="20"/>
              </w:rPr>
              <w:t xml:space="preserve"> ± </w:t>
            </w:r>
            <w:r>
              <w:rPr>
                <w:rFonts w:ascii="Arial Narrow" w:hAnsi="Arial Narrow" w:cs="Arial"/>
                <w:noProof/>
                <w:color w:val="000000"/>
                <w:sz w:val="20"/>
                <w:highlight w:val="black"/>
              </w:rPr>
              <w:t>''''''''</w:t>
            </w:r>
          </w:p>
        </w:tc>
      </w:tr>
      <w:tr w:rsidR="008C29CA" w:rsidRPr="00904716" w:rsidTr="0078396F">
        <w:trPr>
          <w:trHeight w:val="218"/>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sz w:val="20"/>
              </w:rPr>
            </w:pPr>
            <w:r w:rsidRPr="00904716">
              <w:rPr>
                <w:rFonts w:ascii="Arial Narrow" w:hAnsi="Arial Narrow" w:cs="Arial"/>
                <w:sz w:val="20"/>
              </w:rPr>
              <w:t>Monthly migraine days</w:t>
            </w: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17.8 ± 4.7</w:t>
            </w:r>
          </w:p>
        </w:tc>
        <w:tc>
          <w:tcPr>
            <w:tcW w:w="2551" w:type="dxa"/>
            <w:vAlign w:val="center"/>
          </w:tcPr>
          <w:p w:rsidR="008C29CA" w:rsidRPr="00904716" w:rsidRDefault="00AF24DF" w:rsidP="00685A14">
            <w:pPr>
              <w:pStyle w:val="Bulletpoints"/>
              <w:numPr>
                <w:ilvl w:val="0"/>
                <w:numId w:val="0"/>
              </w:numPr>
              <w:spacing w:after="0"/>
              <w:jc w:val="center"/>
              <w:rPr>
                <w:rFonts w:ascii="Arial Narrow" w:hAnsi="Arial Narrow" w:cs="Arial"/>
                <w:sz w:val="20"/>
              </w:rPr>
            </w:pPr>
            <w:r>
              <w:rPr>
                <w:rFonts w:ascii="Arial Narrow" w:hAnsi="Arial Narrow" w:cs="Arial"/>
                <w:noProof/>
                <w:color w:val="000000"/>
                <w:sz w:val="20"/>
                <w:highlight w:val="black"/>
              </w:rPr>
              <w:t>''''''''''</w:t>
            </w:r>
            <w:r w:rsidR="008C29CA" w:rsidRPr="00904716">
              <w:rPr>
                <w:rFonts w:ascii="Arial Narrow" w:hAnsi="Arial Narrow" w:cs="Arial"/>
                <w:sz w:val="20"/>
              </w:rPr>
              <w:t xml:space="preserve"> ± </w:t>
            </w:r>
            <w:r>
              <w:rPr>
                <w:rFonts w:ascii="Arial Narrow" w:hAnsi="Arial Narrow" w:cs="Arial"/>
                <w:noProof/>
                <w:color w:val="000000"/>
                <w:sz w:val="20"/>
                <w:highlight w:val="black"/>
              </w:rPr>
              <w:t>'''''''''</w:t>
            </w:r>
          </w:p>
        </w:tc>
      </w:tr>
      <w:tr w:rsidR="008C29CA" w:rsidRPr="00904716" w:rsidTr="0078396F">
        <w:trPr>
          <w:trHeight w:val="139"/>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b/>
                <w:sz w:val="20"/>
              </w:rPr>
            </w:pPr>
            <w:r w:rsidRPr="00904716">
              <w:rPr>
                <w:rFonts w:ascii="Arial Narrow" w:hAnsi="Arial Narrow" w:cs="Arial"/>
                <w:b/>
                <w:sz w:val="20"/>
              </w:rPr>
              <w:t>Placebo</w:t>
            </w: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N=286</w:t>
            </w:r>
          </w:p>
        </w:tc>
        <w:tc>
          <w:tcPr>
            <w:tcW w:w="2551"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N=</w:t>
            </w:r>
            <w:r w:rsidR="00AF24DF">
              <w:rPr>
                <w:rFonts w:ascii="Arial Narrow" w:hAnsi="Arial Narrow" w:cs="Arial"/>
                <w:noProof/>
                <w:color w:val="000000"/>
                <w:sz w:val="20"/>
                <w:highlight w:val="black"/>
              </w:rPr>
              <w:t>''''''</w:t>
            </w:r>
          </w:p>
        </w:tc>
      </w:tr>
      <w:tr w:rsidR="008C29CA" w:rsidRPr="00904716" w:rsidTr="0078396F">
        <w:trPr>
          <w:trHeight w:val="167"/>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sz w:val="20"/>
              </w:rPr>
            </w:pPr>
            <w:r w:rsidRPr="00904716">
              <w:rPr>
                <w:rFonts w:ascii="Arial Narrow" w:hAnsi="Arial Narrow" w:cs="Arial"/>
                <w:sz w:val="20"/>
              </w:rPr>
              <w:t>Monthly headache days</w:t>
            </w: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21.1 ± 3.9</w:t>
            </w:r>
          </w:p>
        </w:tc>
        <w:tc>
          <w:tcPr>
            <w:tcW w:w="2551" w:type="dxa"/>
            <w:vAlign w:val="center"/>
          </w:tcPr>
          <w:p w:rsidR="008C29CA" w:rsidRPr="00904716" w:rsidRDefault="00AF24DF" w:rsidP="00685A14">
            <w:pPr>
              <w:pStyle w:val="Bulletpoints"/>
              <w:numPr>
                <w:ilvl w:val="0"/>
                <w:numId w:val="0"/>
              </w:numPr>
              <w:spacing w:after="0"/>
              <w:jc w:val="center"/>
              <w:rPr>
                <w:rFonts w:ascii="Arial Narrow" w:hAnsi="Arial Narrow" w:cs="Arial"/>
                <w:sz w:val="20"/>
              </w:rPr>
            </w:pPr>
            <w:r>
              <w:rPr>
                <w:rFonts w:ascii="Arial Narrow" w:hAnsi="Arial Narrow" w:cs="Arial"/>
                <w:noProof/>
                <w:color w:val="000000"/>
                <w:sz w:val="20"/>
                <w:highlight w:val="black"/>
              </w:rPr>
              <w:t>''''''''''</w:t>
            </w:r>
            <w:r w:rsidR="008C29CA" w:rsidRPr="00904716">
              <w:rPr>
                <w:rFonts w:ascii="Arial Narrow" w:hAnsi="Arial Narrow" w:cs="Arial"/>
                <w:sz w:val="20"/>
              </w:rPr>
              <w:t xml:space="preserve"> ± </w:t>
            </w:r>
            <w:r>
              <w:rPr>
                <w:rFonts w:ascii="Arial Narrow" w:hAnsi="Arial Narrow" w:cs="Arial"/>
                <w:noProof/>
                <w:color w:val="000000"/>
                <w:sz w:val="20"/>
                <w:highlight w:val="black"/>
              </w:rPr>
              <w:t>'''''''</w:t>
            </w:r>
          </w:p>
        </w:tc>
      </w:tr>
      <w:tr w:rsidR="008C29CA" w:rsidRPr="00904716" w:rsidTr="0078396F">
        <w:trPr>
          <w:trHeight w:val="71"/>
        </w:trPr>
        <w:tc>
          <w:tcPr>
            <w:tcW w:w="3709" w:type="dxa"/>
            <w:vAlign w:val="center"/>
          </w:tcPr>
          <w:p w:rsidR="008C29CA" w:rsidRPr="00904716" w:rsidRDefault="008C29CA" w:rsidP="00685A14">
            <w:pPr>
              <w:pStyle w:val="Bulletpoints"/>
              <w:numPr>
                <w:ilvl w:val="0"/>
                <w:numId w:val="0"/>
              </w:numPr>
              <w:spacing w:after="0"/>
              <w:rPr>
                <w:rFonts w:ascii="Arial Narrow" w:hAnsi="Arial Narrow" w:cs="Arial"/>
                <w:sz w:val="20"/>
              </w:rPr>
            </w:pPr>
            <w:r w:rsidRPr="00904716">
              <w:rPr>
                <w:rFonts w:ascii="Arial Narrow" w:hAnsi="Arial Narrow" w:cs="Arial"/>
                <w:sz w:val="20"/>
              </w:rPr>
              <w:t>Monthly migraine days</w:t>
            </w:r>
          </w:p>
        </w:tc>
        <w:tc>
          <w:tcPr>
            <w:tcW w:w="2812" w:type="dxa"/>
            <w:vAlign w:val="center"/>
          </w:tcPr>
          <w:p w:rsidR="008C29CA" w:rsidRPr="00904716" w:rsidRDefault="008C29CA" w:rsidP="00685A14">
            <w:pPr>
              <w:pStyle w:val="Bulletpoints"/>
              <w:numPr>
                <w:ilvl w:val="0"/>
                <w:numId w:val="0"/>
              </w:numPr>
              <w:spacing w:after="0"/>
              <w:jc w:val="center"/>
              <w:rPr>
                <w:rFonts w:ascii="Arial Narrow" w:hAnsi="Arial Narrow" w:cs="Arial"/>
                <w:sz w:val="20"/>
              </w:rPr>
            </w:pPr>
            <w:r w:rsidRPr="00904716">
              <w:rPr>
                <w:rFonts w:ascii="Arial Narrow" w:hAnsi="Arial Narrow" w:cs="Arial"/>
                <w:sz w:val="20"/>
              </w:rPr>
              <w:t>18.2 ± 4.7</w:t>
            </w:r>
          </w:p>
        </w:tc>
        <w:tc>
          <w:tcPr>
            <w:tcW w:w="2551" w:type="dxa"/>
            <w:vAlign w:val="center"/>
          </w:tcPr>
          <w:p w:rsidR="008C29CA" w:rsidRPr="00904716" w:rsidRDefault="00AF24DF" w:rsidP="00685A14">
            <w:pPr>
              <w:pStyle w:val="Bulletpoints"/>
              <w:numPr>
                <w:ilvl w:val="0"/>
                <w:numId w:val="0"/>
              </w:numPr>
              <w:spacing w:after="0"/>
              <w:jc w:val="center"/>
              <w:rPr>
                <w:rFonts w:ascii="Arial Narrow" w:hAnsi="Arial Narrow" w:cs="Arial"/>
                <w:sz w:val="20"/>
              </w:rPr>
            </w:pPr>
            <w:r>
              <w:rPr>
                <w:rFonts w:ascii="Arial Narrow" w:hAnsi="Arial Narrow" w:cs="Arial"/>
                <w:noProof/>
                <w:color w:val="000000"/>
                <w:sz w:val="20"/>
                <w:highlight w:val="black"/>
              </w:rPr>
              <w:t>''''''''''</w:t>
            </w:r>
            <w:r w:rsidR="008C29CA" w:rsidRPr="00904716">
              <w:rPr>
                <w:rFonts w:ascii="Arial Narrow" w:hAnsi="Arial Narrow" w:cs="Arial"/>
                <w:sz w:val="20"/>
              </w:rPr>
              <w:t xml:space="preserve"> ± </w:t>
            </w:r>
            <w:r>
              <w:rPr>
                <w:rFonts w:ascii="Arial Narrow" w:hAnsi="Arial Narrow" w:cs="Arial"/>
                <w:noProof/>
                <w:color w:val="000000"/>
                <w:sz w:val="20"/>
                <w:highlight w:val="black"/>
              </w:rPr>
              <w:t>'''''''''</w:t>
            </w:r>
          </w:p>
        </w:tc>
      </w:tr>
    </w:tbl>
    <w:p w:rsidR="00F63878" w:rsidRPr="00A700F7" w:rsidRDefault="00F63878" w:rsidP="0078396F">
      <w:pPr>
        <w:pStyle w:val="TableFooter"/>
      </w:pPr>
      <w:r w:rsidRPr="00A700F7">
        <w:t xml:space="preserve">SD=standard deviation; </w:t>
      </w:r>
    </w:p>
    <w:p w:rsidR="00C52695" w:rsidRDefault="00C52695" w:rsidP="0078396F">
      <w:pPr>
        <w:pStyle w:val="TableFooter"/>
      </w:pPr>
      <w:r w:rsidRPr="00A700F7">
        <w:t>Source:  Table 2.12, p31 and Table 2.26, p54 of the submission; differences calculated during the evaluation.</w:t>
      </w:r>
      <w:r w:rsidR="00F63878" w:rsidRPr="00A700F7">
        <w:t xml:space="preserve"> </w:t>
      </w:r>
    </w:p>
    <w:p w:rsidR="00904716" w:rsidRPr="00A700F7" w:rsidRDefault="00904716" w:rsidP="00F63878">
      <w:pPr>
        <w:pStyle w:val="TableFooter"/>
        <w:ind w:left="1134"/>
      </w:pPr>
    </w:p>
    <w:p w:rsidR="007410A1" w:rsidRPr="00144268" w:rsidRDefault="00C6329B" w:rsidP="00144268">
      <w:pPr>
        <w:pStyle w:val="Bulletpoints"/>
      </w:pPr>
      <w:r>
        <w:t>T</w:t>
      </w:r>
      <w:r w:rsidRPr="00144268">
        <w:t xml:space="preserve">here </w:t>
      </w:r>
      <w:r w:rsidR="00C52695" w:rsidRPr="00144268">
        <w:t xml:space="preserve">were differences </w:t>
      </w:r>
      <w:r>
        <w:t xml:space="preserve">(albeit numerically small) </w:t>
      </w:r>
      <w:r w:rsidR="00C52695" w:rsidRPr="00144268">
        <w:t xml:space="preserve">in baseline values between the overall trial population and the subgroup for </w:t>
      </w:r>
      <w:proofErr w:type="spellStart"/>
      <w:r w:rsidR="00C52695" w:rsidRPr="00144268">
        <w:t>erenumab</w:t>
      </w:r>
      <w:proofErr w:type="spellEnd"/>
      <w:r w:rsidR="00C52695" w:rsidRPr="00144268">
        <w:t xml:space="preserve">, with </w:t>
      </w:r>
      <w:r>
        <w:t>more</w:t>
      </w:r>
      <w:r w:rsidR="00C52695" w:rsidRPr="00144268">
        <w:t xml:space="preserve"> migraine and headache days in the subgroup compared to baseline values.  For the placebo group, there was essentially no difference between the overall trial population and the subgroup for monthly migraine days, and </w:t>
      </w:r>
      <w:r>
        <w:t>slightly fewer</w:t>
      </w:r>
      <w:r w:rsidR="00C52695" w:rsidRPr="00144268">
        <w:t xml:space="preserve"> monthly headache days</w:t>
      </w:r>
      <w:r>
        <w:t xml:space="preserve"> for the subgroup</w:t>
      </w:r>
      <w:r w:rsidR="00C52695" w:rsidRPr="00144268">
        <w:t>.</w:t>
      </w:r>
    </w:p>
    <w:p w:rsidR="00E30CC8" w:rsidRPr="00A20321" w:rsidRDefault="00C6329B" w:rsidP="00C6329B">
      <w:pPr>
        <w:pStyle w:val="Bulletpoints"/>
      </w:pPr>
      <w:r w:rsidRPr="00A20321">
        <w:lastRenderedPageBreak/>
        <w:t xml:space="preserve">The </w:t>
      </w:r>
      <w:r w:rsidR="0078396F" w:rsidRPr="00A20321">
        <w:t>time point</w:t>
      </w:r>
      <w:r w:rsidRPr="00A20321">
        <w:t xml:space="preserve"> for assessment in Study 295 was 12 weeks and in the Botox trials was 24 weeks.  The submission argued that the indirect comparisons were conservative as the treatment effect for </w:t>
      </w:r>
      <w:proofErr w:type="spellStart"/>
      <w:r w:rsidRPr="00A20321">
        <w:t>erenumab</w:t>
      </w:r>
      <w:proofErr w:type="spellEnd"/>
      <w:r w:rsidRPr="00A20321">
        <w:t xml:space="preserve"> is expected to improve over time, based on the open-label extension study 255.  However, as only </w:t>
      </w:r>
      <w:r w:rsidR="00AF24DF">
        <w:rPr>
          <w:noProof/>
          <w:color w:val="000000"/>
          <w:highlight w:val="black"/>
        </w:rPr>
        <w:t>'''''</w:t>
      </w:r>
      <w:r w:rsidRPr="00A20321">
        <w:t xml:space="preserve">% of the patients in Study 255 used the 140 mg/day dose of </w:t>
      </w:r>
      <w:proofErr w:type="spellStart"/>
      <w:r w:rsidRPr="00A20321">
        <w:t>erenumab</w:t>
      </w:r>
      <w:proofErr w:type="spellEnd"/>
      <w:r w:rsidRPr="00A20321">
        <w:t xml:space="preserve"> and results were sourced from an overall population using the 70mg dose or having changed doses, it is not reasonable to assume that Study 255 results will be representative of longer-term results with the 140 mg/day dose. </w:t>
      </w:r>
    </w:p>
    <w:p w:rsidR="003E5DB9" w:rsidRDefault="004F1352" w:rsidP="00153587">
      <w:pPr>
        <w:pStyle w:val="ListParagraph"/>
        <w:numPr>
          <w:ilvl w:val="1"/>
          <w:numId w:val="3"/>
        </w:numPr>
      </w:pPr>
      <w:r w:rsidRPr="00A20321">
        <w:t xml:space="preserve">Overall, there was a statistically significantly greater reduction in headache days per month for </w:t>
      </w:r>
      <w:proofErr w:type="spellStart"/>
      <w:r w:rsidRPr="00A20321">
        <w:t>erenumab</w:t>
      </w:r>
      <w:proofErr w:type="spellEnd"/>
      <w:r w:rsidRPr="00A20321">
        <w:t xml:space="preserve"> compared to Botox based on the indirect comparison presented by the submission, and this difference corresponds to that considered clinically meaningful by the PBAC in relation to Botox (2-3 days, p</w:t>
      </w:r>
      <w:r w:rsidR="00E30CC8" w:rsidRPr="00A20321">
        <w:t xml:space="preserve">4 July 2013 Botox </w:t>
      </w:r>
      <w:r w:rsidR="00C6329B">
        <w:t>Public Summary Document</w:t>
      </w:r>
      <w:r w:rsidR="00E30CC8" w:rsidRPr="00A20321">
        <w:t>)</w:t>
      </w:r>
      <w:r w:rsidR="00320B9D" w:rsidRPr="00A20321">
        <w:t>. However,</w:t>
      </w:r>
      <w:r w:rsidR="00E30CC8" w:rsidRPr="00A20321">
        <w:t xml:space="preserve"> there was no statistically significant difference between </w:t>
      </w:r>
      <w:proofErr w:type="spellStart"/>
      <w:r w:rsidR="00E30CC8" w:rsidRPr="00A20321">
        <w:t>erenumab</w:t>
      </w:r>
      <w:proofErr w:type="spellEnd"/>
      <w:r w:rsidR="00E30CC8" w:rsidRPr="00A20321">
        <w:t xml:space="preserve"> and Botox for proportion of patients with a ≥50% reduction in headache days.  </w:t>
      </w:r>
    </w:p>
    <w:p w:rsidR="002C2775" w:rsidRPr="00A20321" w:rsidRDefault="00320B9D" w:rsidP="00153587">
      <w:pPr>
        <w:pStyle w:val="ListParagraph"/>
        <w:numPr>
          <w:ilvl w:val="1"/>
          <w:numId w:val="3"/>
        </w:numPr>
      </w:pPr>
      <w:r w:rsidRPr="00A20321">
        <w:t>The ESC agreed that t</w:t>
      </w:r>
      <w:r w:rsidR="00E30CC8" w:rsidRPr="00A20321">
        <w:t xml:space="preserve">he issues with </w:t>
      </w:r>
      <w:r w:rsidR="00590B13" w:rsidRPr="00A20321">
        <w:t xml:space="preserve">the </w:t>
      </w:r>
      <w:r w:rsidR="00AA45F6" w:rsidRPr="00A20321">
        <w:t>substantial</w:t>
      </w:r>
      <w:r w:rsidR="00590B13" w:rsidRPr="00A20321">
        <w:t xml:space="preserve"> differences in the placebo response rates across the trials and </w:t>
      </w:r>
      <w:r w:rsidR="00E30CC8" w:rsidRPr="00A20321">
        <w:t xml:space="preserve">the </w:t>
      </w:r>
      <w:r w:rsidR="00AA45F6" w:rsidRPr="00A20321">
        <w:t xml:space="preserve">use of the small </w:t>
      </w:r>
      <w:r w:rsidR="00E30CC8" w:rsidRPr="00A20321">
        <w:t xml:space="preserve">subgroup </w:t>
      </w:r>
      <w:r w:rsidR="001B3433" w:rsidRPr="00A20321">
        <w:t xml:space="preserve">meant that the </w:t>
      </w:r>
      <w:r w:rsidR="00E30CC8" w:rsidRPr="00A20321">
        <w:t>indirect comparisons (</w:t>
      </w:r>
      <w:r w:rsidR="00BB66D4" w:rsidRPr="00A20321">
        <w:t>described above</w:t>
      </w:r>
      <w:r w:rsidR="00E30CC8" w:rsidRPr="00A20321">
        <w:t>) do not support a claim of superiority</w:t>
      </w:r>
      <w:r w:rsidR="00BB66D4" w:rsidRPr="00A20321">
        <w:t xml:space="preserve"> (see ‘Clinical claim’ below)</w:t>
      </w:r>
      <w:r w:rsidR="00E30CC8" w:rsidRPr="00A20321">
        <w:t>.</w:t>
      </w:r>
      <w:r w:rsidR="00153587" w:rsidRPr="00A20321">
        <w:t xml:space="preserve"> </w:t>
      </w:r>
    </w:p>
    <w:p w:rsidR="00B60939" w:rsidRPr="00A700F7" w:rsidRDefault="00B60939" w:rsidP="00FE393C">
      <w:pPr>
        <w:pStyle w:val="Heading2"/>
        <w:spacing w:after="120"/>
      </w:pPr>
      <w:bookmarkStart w:id="9" w:name="_Toc513040442"/>
      <w:r w:rsidRPr="00A700F7">
        <w:t>Comparative harms</w:t>
      </w:r>
      <w:bookmarkEnd w:id="9"/>
    </w:p>
    <w:p w:rsidR="00726CC2" w:rsidRPr="00A700F7" w:rsidRDefault="00E30CC8" w:rsidP="00726CC2">
      <w:pPr>
        <w:pStyle w:val="ListParagraph"/>
        <w:numPr>
          <w:ilvl w:val="1"/>
          <w:numId w:val="3"/>
        </w:numPr>
      </w:pPr>
      <w:r w:rsidRPr="00A700F7">
        <w:t>The table below provides a summary of the results of the indirect comparisons presented by the submission for safety outcomes.  As noted above</w:t>
      </w:r>
      <w:r w:rsidR="002B772A">
        <w:t>,</w:t>
      </w:r>
      <w:r w:rsidRPr="00A700F7">
        <w:t xml:space="preserve"> these comparisons were based on the overall trial populations, and not the nominated subgroup of patients who had failed ≥3 prophylactic medications and for </w:t>
      </w:r>
      <w:proofErr w:type="spellStart"/>
      <w:r w:rsidRPr="00A700F7">
        <w:t>erenumab</w:t>
      </w:r>
      <w:proofErr w:type="spellEnd"/>
      <w:r w:rsidRPr="00A700F7">
        <w:t>, were naïve to Botox.</w:t>
      </w:r>
      <w:r w:rsidR="00235580" w:rsidRPr="00235580">
        <w:t xml:space="preserve"> </w:t>
      </w:r>
      <w:r w:rsidR="00235580" w:rsidRPr="00A700F7">
        <w:t xml:space="preserve">As the submission did not provide a comparison of the </w:t>
      </w:r>
      <w:proofErr w:type="spellStart"/>
      <w:r w:rsidR="00235580" w:rsidRPr="00A700F7">
        <w:t>erenumab</w:t>
      </w:r>
      <w:proofErr w:type="spellEnd"/>
      <w:r w:rsidR="00235580" w:rsidRPr="00A700F7">
        <w:t xml:space="preserve"> subgroup and the overall Study 295 population, it may not be reasonable to assume that overall trial results will apply to the nominated subgroup</w:t>
      </w:r>
      <w:r w:rsidR="00235580">
        <w:t>.</w:t>
      </w:r>
    </w:p>
    <w:p w:rsidR="00144268" w:rsidRPr="00144268" w:rsidRDefault="00144268" w:rsidP="00144268">
      <w:pPr>
        <w:pStyle w:val="Caption"/>
        <w:keepNext/>
        <w:spacing w:after="0"/>
        <w:rPr>
          <w:rFonts w:ascii="Arial Narrow" w:hAnsi="Arial Narrow"/>
          <w:color w:val="auto"/>
          <w:sz w:val="20"/>
          <w:szCs w:val="20"/>
        </w:rPr>
      </w:pPr>
      <w:r w:rsidRPr="00144268">
        <w:rPr>
          <w:rFonts w:ascii="Arial Narrow" w:hAnsi="Arial Narrow"/>
          <w:color w:val="auto"/>
          <w:sz w:val="20"/>
          <w:szCs w:val="20"/>
        </w:rPr>
        <w:t xml:space="preserve">Table </w:t>
      </w:r>
      <w:r w:rsidR="00D8193A">
        <w:rPr>
          <w:rFonts w:ascii="Arial Narrow" w:hAnsi="Arial Narrow"/>
          <w:noProof/>
          <w:color w:val="auto"/>
          <w:sz w:val="20"/>
          <w:szCs w:val="20"/>
        </w:rPr>
        <w:t>7</w:t>
      </w:r>
      <w:r w:rsidRPr="00144268">
        <w:rPr>
          <w:rFonts w:ascii="Arial Narrow" w:hAnsi="Arial Narrow"/>
          <w:color w:val="auto"/>
          <w:sz w:val="20"/>
          <w:szCs w:val="20"/>
        </w:rPr>
        <w:t xml:space="preserve">: Results of the indirect comparisons between </w:t>
      </w:r>
      <w:proofErr w:type="spellStart"/>
      <w:r w:rsidRPr="00144268">
        <w:rPr>
          <w:rFonts w:ascii="Arial Narrow" w:hAnsi="Arial Narrow"/>
          <w:color w:val="auto"/>
          <w:sz w:val="20"/>
          <w:szCs w:val="20"/>
        </w:rPr>
        <w:t>erenumab</w:t>
      </w:r>
      <w:proofErr w:type="spellEnd"/>
      <w:r w:rsidRPr="00144268">
        <w:rPr>
          <w:rFonts w:ascii="Arial Narrow" w:hAnsi="Arial Narrow"/>
          <w:color w:val="auto"/>
          <w:sz w:val="20"/>
          <w:szCs w:val="20"/>
        </w:rPr>
        <w:t xml:space="preserve"> and Botox for safety outcomes</w:t>
      </w:r>
    </w:p>
    <w:tbl>
      <w:tblPr>
        <w:tblStyle w:val="TableGrid"/>
        <w:tblW w:w="9181" w:type="dxa"/>
        <w:tblInd w:w="108" w:type="dxa"/>
        <w:tblLook w:val="04A0" w:firstRow="1" w:lastRow="0" w:firstColumn="1" w:lastColumn="0" w:noHBand="0" w:noVBand="1"/>
        <w:tblCaption w:val="Results of the indirect comparisons between erenumab and Botox for safety outcomes"/>
      </w:tblPr>
      <w:tblGrid>
        <w:gridCol w:w="1338"/>
        <w:gridCol w:w="1139"/>
        <w:gridCol w:w="1123"/>
        <w:gridCol w:w="1142"/>
        <w:gridCol w:w="1114"/>
        <w:gridCol w:w="1124"/>
        <w:gridCol w:w="1082"/>
        <w:gridCol w:w="1119"/>
      </w:tblGrid>
      <w:tr w:rsidR="00726CC2" w:rsidRPr="00A700F7" w:rsidTr="0078396F">
        <w:trPr>
          <w:tblHeader/>
        </w:trPr>
        <w:tc>
          <w:tcPr>
            <w:tcW w:w="1338" w:type="dxa"/>
            <w:vAlign w:val="center"/>
          </w:tcPr>
          <w:p w:rsidR="00726CC2" w:rsidRPr="00A700F7" w:rsidRDefault="00726CC2" w:rsidP="000F2311">
            <w:pPr>
              <w:jc w:val="left"/>
              <w:rPr>
                <w:rFonts w:ascii="Arial Narrow" w:hAnsi="Arial Narrow"/>
                <w:b/>
                <w:sz w:val="20"/>
                <w:szCs w:val="20"/>
              </w:rPr>
            </w:pPr>
          </w:p>
        </w:tc>
        <w:tc>
          <w:tcPr>
            <w:tcW w:w="2262" w:type="dxa"/>
            <w:gridSpan w:val="2"/>
            <w:vAlign w:val="center"/>
          </w:tcPr>
          <w:p w:rsidR="00726CC2" w:rsidRPr="00A700F7" w:rsidRDefault="00726CC2" w:rsidP="000F2311">
            <w:pPr>
              <w:jc w:val="center"/>
              <w:rPr>
                <w:rFonts w:ascii="Arial Narrow" w:hAnsi="Arial Narrow"/>
                <w:b/>
                <w:sz w:val="20"/>
                <w:szCs w:val="20"/>
              </w:rPr>
            </w:pPr>
            <w:proofErr w:type="gramStart"/>
            <w:r w:rsidRPr="00A700F7">
              <w:rPr>
                <w:rFonts w:ascii="Arial Narrow" w:hAnsi="Arial Narrow"/>
                <w:b/>
                <w:sz w:val="20"/>
                <w:szCs w:val="20"/>
              </w:rPr>
              <w:t>n</w:t>
            </w:r>
            <w:proofErr w:type="gramEnd"/>
            <w:r w:rsidRPr="00A700F7">
              <w:rPr>
                <w:rFonts w:ascii="Arial Narrow" w:hAnsi="Arial Narrow"/>
                <w:b/>
                <w:sz w:val="20"/>
                <w:szCs w:val="20"/>
              </w:rPr>
              <w:t xml:space="preserve"> with event/N (%)</w:t>
            </w:r>
          </w:p>
        </w:tc>
        <w:tc>
          <w:tcPr>
            <w:tcW w:w="1142" w:type="dxa"/>
            <w:vMerge w:val="restart"/>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OR</w:t>
            </w:r>
          </w:p>
        </w:tc>
        <w:tc>
          <w:tcPr>
            <w:tcW w:w="2238" w:type="dxa"/>
            <w:gridSpan w:val="2"/>
            <w:vAlign w:val="center"/>
          </w:tcPr>
          <w:p w:rsidR="00726CC2" w:rsidRPr="00A700F7" w:rsidRDefault="00726CC2" w:rsidP="000F2311">
            <w:pPr>
              <w:jc w:val="center"/>
              <w:rPr>
                <w:rFonts w:ascii="Arial Narrow" w:hAnsi="Arial Narrow"/>
                <w:b/>
                <w:sz w:val="20"/>
                <w:szCs w:val="20"/>
              </w:rPr>
            </w:pPr>
            <w:proofErr w:type="gramStart"/>
            <w:r w:rsidRPr="00A700F7">
              <w:rPr>
                <w:rFonts w:ascii="Arial Narrow" w:hAnsi="Arial Narrow"/>
                <w:b/>
                <w:sz w:val="20"/>
                <w:szCs w:val="20"/>
              </w:rPr>
              <w:t>n</w:t>
            </w:r>
            <w:proofErr w:type="gramEnd"/>
            <w:r w:rsidRPr="00A700F7">
              <w:rPr>
                <w:rFonts w:ascii="Arial Narrow" w:hAnsi="Arial Narrow"/>
                <w:b/>
                <w:sz w:val="20"/>
                <w:szCs w:val="20"/>
              </w:rPr>
              <w:t xml:space="preserve"> with event/N (%)</w:t>
            </w:r>
          </w:p>
        </w:tc>
        <w:tc>
          <w:tcPr>
            <w:tcW w:w="1082" w:type="dxa"/>
            <w:vMerge w:val="restart"/>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OR</w:t>
            </w:r>
          </w:p>
        </w:tc>
        <w:tc>
          <w:tcPr>
            <w:tcW w:w="1119" w:type="dxa"/>
            <w:vMerge w:val="restart"/>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Indirect OR (95% CI)</w:t>
            </w:r>
          </w:p>
        </w:tc>
      </w:tr>
      <w:tr w:rsidR="00726CC2" w:rsidRPr="00A700F7" w:rsidTr="0078396F">
        <w:trPr>
          <w:tblHeader/>
        </w:trPr>
        <w:tc>
          <w:tcPr>
            <w:tcW w:w="1338" w:type="dxa"/>
            <w:vAlign w:val="center"/>
          </w:tcPr>
          <w:p w:rsidR="00726CC2" w:rsidRPr="00A700F7" w:rsidRDefault="00726CC2" w:rsidP="000F2311">
            <w:pPr>
              <w:jc w:val="left"/>
              <w:rPr>
                <w:rFonts w:ascii="Arial Narrow" w:hAnsi="Arial Narrow"/>
                <w:b/>
                <w:sz w:val="20"/>
                <w:szCs w:val="20"/>
              </w:rPr>
            </w:pPr>
            <w:r w:rsidRPr="00A700F7">
              <w:rPr>
                <w:rFonts w:ascii="Arial Narrow" w:hAnsi="Arial Narrow"/>
                <w:b/>
                <w:sz w:val="20"/>
                <w:szCs w:val="20"/>
              </w:rPr>
              <w:t>Outcome</w:t>
            </w:r>
          </w:p>
        </w:tc>
        <w:tc>
          <w:tcPr>
            <w:tcW w:w="1139" w:type="dxa"/>
            <w:vAlign w:val="center"/>
          </w:tcPr>
          <w:p w:rsidR="00726CC2" w:rsidRPr="00A700F7" w:rsidRDefault="00726CC2" w:rsidP="000F2311">
            <w:pPr>
              <w:jc w:val="center"/>
              <w:rPr>
                <w:rFonts w:ascii="Arial Narrow" w:hAnsi="Arial Narrow"/>
                <w:b/>
                <w:sz w:val="20"/>
                <w:szCs w:val="20"/>
              </w:rPr>
            </w:pPr>
            <w:proofErr w:type="spellStart"/>
            <w:r w:rsidRPr="00A700F7">
              <w:rPr>
                <w:rFonts w:ascii="Arial Narrow" w:hAnsi="Arial Narrow"/>
                <w:b/>
                <w:sz w:val="20"/>
                <w:szCs w:val="20"/>
              </w:rPr>
              <w:t>Erenumab</w:t>
            </w:r>
            <w:proofErr w:type="spellEnd"/>
          </w:p>
        </w:tc>
        <w:tc>
          <w:tcPr>
            <w:tcW w:w="1123" w:type="dxa"/>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Placebo</w:t>
            </w:r>
          </w:p>
        </w:tc>
        <w:tc>
          <w:tcPr>
            <w:tcW w:w="1142" w:type="dxa"/>
            <w:vMerge/>
            <w:vAlign w:val="center"/>
          </w:tcPr>
          <w:p w:rsidR="00726CC2" w:rsidRPr="00A700F7" w:rsidRDefault="00726CC2" w:rsidP="000F2311">
            <w:pPr>
              <w:jc w:val="center"/>
              <w:rPr>
                <w:rFonts w:ascii="Arial Narrow" w:hAnsi="Arial Narrow"/>
                <w:b/>
                <w:sz w:val="20"/>
                <w:szCs w:val="20"/>
              </w:rPr>
            </w:pPr>
          </w:p>
        </w:tc>
        <w:tc>
          <w:tcPr>
            <w:tcW w:w="1114" w:type="dxa"/>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 xml:space="preserve">Botox </w:t>
            </w:r>
          </w:p>
        </w:tc>
        <w:tc>
          <w:tcPr>
            <w:tcW w:w="1124" w:type="dxa"/>
            <w:vAlign w:val="center"/>
          </w:tcPr>
          <w:p w:rsidR="00726CC2" w:rsidRPr="00A700F7" w:rsidRDefault="00726CC2" w:rsidP="000F2311">
            <w:pPr>
              <w:jc w:val="center"/>
              <w:rPr>
                <w:rFonts w:ascii="Arial Narrow" w:hAnsi="Arial Narrow"/>
                <w:b/>
                <w:sz w:val="20"/>
                <w:szCs w:val="20"/>
              </w:rPr>
            </w:pPr>
            <w:r w:rsidRPr="00A700F7">
              <w:rPr>
                <w:rFonts w:ascii="Arial Narrow" w:hAnsi="Arial Narrow"/>
                <w:b/>
                <w:sz w:val="20"/>
                <w:szCs w:val="20"/>
              </w:rPr>
              <w:t xml:space="preserve">Placebo </w:t>
            </w:r>
          </w:p>
        </w:tc>
        <w:tc>
          <w:tcPr>
            <w:tcW w:w="1082" w:type="dxa"/>
            <w:vMerge/>
            <w:vAlign w:val="center"/>
          </w:tcPr>
          <w:p w:rsidR="00726CC2" w:rsidRPr="00A700F7" w:rsidRDefault="00726CC2" w:rsidP="000F2311">
            <w:pPr>
              <w:jc w:val="center"/>
              <w:rPr>
                <w:rFonts w:ascii="Arial Narrow" w:hAnsi="Arial Narrow"/>
                <w:b/>
                <w:sz w:val="20"/>
                <w:szCs w:val="20"/>
              </w:rPr>
            </w:pPr>
          </w:p>
        </w:tc>
        <w:tc>
          <w:tcPr>
            <w:tcW w:w="1119" w:type="dxa"/>
            <w:vMerge/>
            <w:vAlign w:val="center"/>
          </w:tcPr>
          <w:p w:rsidR="00726CC2" w:rsidRPr="00A700F7" w:rsidRDefault="00726CC2" w:rsidP="000F2311">
            <w:pPr>
              <w:jc w:val="center"/>
              <w:rPr>
                <w:rFonts w:ascii="Arial Narrow" w:hAnsi="Arial Narrow"/>
                <w:b/>
                <w:sz w:val="20"/>
                <w:szCs w:val="20"/>
              </w:rPr>
            </w:pPr>
          </w:p>
        </w:tc>
      </w:tr>
      <w:tr w:rsidR="00726CC2" w:rsidRPr="00A700F7" w:rsidTr="0078396F">
        <w:tc>
          <w:tcPr>
            <w:tcW w:w="1338" w:type="dxa"/>
            <w:vAlign w:val="center"/>
          </w:tcPr>
          <w:p w:rsidR="00726CC2" w:rsidRPr="00A700F7" w:rsidRDefault="00726CC2" w:rsidP="000F2311">
            <w:pPr>
              <w:jc w:val="left"/>
              <w:rPr>
                <w:rFonts w:ascii="Arial Narrow" w:hAnsi="Arial Narrow"/>
                <w:sz w:val="20"/>
                <w:szCs w:val="20"/>
              </w:rPr>
            </w:pPr>
            <w:r w:rsidRPr="00A700F7">
              <w:rPr>
                <w:rFonts w:ascii="Arial Narrow" w:hAnsi="Arial Narrow"/>
                <w:sz w:val="20"/>
                <w:szCs w:val="20"/>
              </w:rPr>
              <w:t>Any AE</w:t>
            </w:r>
          </w:p>
        </w:tc>
        <w:tc>
          <w:tcPr>
            <w:tcW w:w="113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88/188 (46.81%)</w:t>
            </w:r>
          </w:p>
        </w:tc>
        <w:tc>
          <w:tcPr>
            <w:tcW w:w="1123"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110/282 (39.01%)</w:t>
            </w:r>
          </w:p>
        </w:tc>
        <w:tc>
          <w:tcPr>
            <w:tcW w:w="114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1.38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(0.95, 2.00)</w:t>
            </w:r>
          </w:p>
        </w:tc>
        <w:tc>
          <w:tcPr>
            <w:tcW w:w="111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429/687 (62.45%)</w:t>
            </w:r>
          </w:p>
        </w:tc>
        <w:tc>
          <w:tcPr>
            <w:tcW w:w="112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358/692 (51.73%)</w:t>
            </w:r>
          </w:p>
        </w:tc>
        <w:tc>
          <w:tcPr>
            <w:tcW w:w="108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1.55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(1.25, 1.92)</w:t>
            </w:r>
          </w:p>
        </w:tc>
        <w:tc>
          <w:tcPr>
            <w:tcW w:w="111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0.89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(0.58, 1.37)</w:t>
            </w:r>
          </w:p>
        </w:tc>
      </w:tr>
      <w:tr w:rsidR="00726CC2" w:rsidRPr="00A700F7" w:rsidTr="0078396F">
        <w:tc>
          <w:tcPr>
            <w:tcW w:w="1338" w:type="dxa"/>
            <w:vAlign w:val="center"/>
          </w:tcPr>
          <w:p w:rsidR="00726CC2" w:rsidRPr="00A700F7" w:rsidRDefault="00726CC2" w:rsidP="000F2311">
            <w:pPr>
              <w:jc w:val="left"/>
              <w:rPr>
                <w:rFonts w:ascii="Arial Narrow" w:hAnsi="Arial Narrow"/>
                <w:sz w:val="20"/>
                <w:szCs w:val="20"/>
              </w:rPr>
            </w:pPr>
            <w:r w:rsidRPr="00A700F7">
              <w:rPr>
                <w:rFonts w:ascii="Arial Narrow" w:hAnsi="Arial Narrow"/>
                <w:sz w:val="20"/>
                <w:szCs w:val="20"/>
              </w:rPr>
              <w:t>SAE</w:t>
            </w:r>
          </w:p>
        </w:tc>
        <w:tc>
          <w:tcPr>
            <w:tcW w:w="113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2/188 (1.06%)</w:t>
            </w:r>
          </w:p>
        </w:tc>
        <w:tc>
          <w:tcPr>
            <w:tcW w:w="1123"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7/282 (2.48%)</w:t>
            </w:r>
          </w:p>
        </w:tc>
        <w:tc>
          <w:tcPr>
            <w:tcW w:w="114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0.42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(0.09, 2.06)</w:t>
            </w:r>
          </w:p>
        </w:tc>
        <w:tc>
          <w:tcPr>
            <w:tcW w:w="111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33/687 (4.8%)</w:t>
            </w:r>
          </w:p>
        </w:tc>
        <w:tc>
          <w:tcPr>
            <w:tcW w:w="112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16/692 (2.31%)</w:t>
            </w:r>
          </w:p>
        </w:tc>
        <w:tc>
          <w:tcPr>
            <w:tcW w:w="108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2.13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(1.16, 3.91)</w:t>
            </w:r>
          </w:p>
        </w:tc>
        <w:tc>
          <w:tcPr>
            <w:tcW w:w="111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0.2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(0.04, 1.06)</w:t>
            </w:r>
          </w:p>
        </w:tc>
      </w:tr>
      <w:tr w:rsidR="00726CC2" w:rsidRPr="00A700F7" w:rsidTr="0078396F">
        <w:tc>
          <w:tcPr>
            <w:tcW w:w="1338" w:type="dxa"/>
            <w:vAlign w:val="center"/>
          </w:tcPr>
          <w:p w:rsidR="00726CC2" w:rsidRPr="00A700F7" w:rsidRDefault="00726CC2" w:rsidP="000F2311">
            <w:pPr>
              <w:jc w:val="left"/>
              <w:rPr>
                <w:rFonts w:ascii="Arial Narrow" w:hAnsi="Arial Narrow"/>
                <w:sz w:val="20"/>
                <w:szCs w:val="20"/>
              </w:rPr>
            </w:pPr>
            <w:r w:rsidRPr="00A700F7">
              <w:rPr>
                <w:rFonts w:ascii="Arial Narrow" w:hAnsi="Arial Narrow"/>
                <w:sz w:val="20"/>
                <w:szCs w:val="20"/>
              </w:rPr>
              <w:t>Discontinuation due to AE</w:t>
            </w:r>
          </w:p>
        </w:tc>
        <w:tc>
          <w:tcPr>
            <w:tcW w:w="113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2/188 (1.06%)</w:t>
            </w:r>
          </w:p>
        </w:tc>
        <w:tc>
          <w:tcPr>
            <w:tcW w:w="1123"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2/282 (0.71%)</w:t>
            </w:r>
          </w:p>
        </w:tc>
        <w:tc>
          <w:tcPr>
            <w:tcW w:w="114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1.51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(0.21, 10.78)</w:t>
            </w:r>
          </w:p>
        </w:tc>
        <w:tc>
          <w:tcPr>
            <w:tcW w:w="111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26/687 (3.78%)</w:t>
            </w:r>
          </w:p>
        </w:tc>
        <w:tc>
          <w:tcPr>
            <w:tcW w:w="112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8/692 (1.16%)</w:t>
            </w:r>
          </w:p>
        </w:tc>
        <w:tc>
          <w:tcPr>
            <w:tcW w:w="108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3.36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(1.51, 7.48)</w:t>
            </w:r>
          </w:p>
        </w:tc>
        <w:tc>
          <w:tcPr>
            <w:tcW w:w="1119"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0.45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(0.05, 3.76)</w:t>
            </w:r>
          </w:p>
        </w:tc>
      </w:tr>
      <w:tr w:rsidR="00726CC2" w:rsidRPr="00A700F7" w:rsidTr="0078396F">
        <w:tc>
          <w:tcPr>
            <w:tcW w:w="1338" w:type="dxa"/>
            <w:vAlign w:val="center"/>
          </w:tcPr>
          <w:p w:rsidR="00726CC2" w:rsidRPr="00A700F7" w:rsidRDefault="00726CC2" w:rsidP="000F2311">
            <w:pPr>
              <w:jc w:val="left"/>
              <w:rPr>
                <w:rFonts w:ascii="Arial Narrow" w:hAnsi="Arial Narrow"/>
                <w:sz w:val="20"/>
                <w:szCs w:val="20"/>
              </w:rPr>
            </w:pPr>
            <w:r w:rsidRPr="00A700F7">
              <w:rPr>
                <w:rFonts w:ascii="Arial Narrow" w:hAnsi="Arial Narrow"/>
                <w:sz w:val="20"/>
                <w:szCs w:val="20"/>
              </w:rPr>
              <w:t>Death due to AE</w:t>
            </w:r>
          </w:p>
        </w:tc>
        <w:tc>
          <w:tcPr>
            <w:tcW w:w="1139" w:type="dxa"/>
            <w:vAlign w:val="center"/>
          </w:tcPr>
          <w:p w:rsidR="00726CC2"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726CC2" w:rsidRPr="00A700F7">
              <w:rPr>
                <w:rFonts w:ascii="Arial Narrow" w:hAnsi="Arial Narrow"/>
                <w:sz w:val="20"/>
                <w:szCs w:val="20"/>
              </w:rPr>
              <w:t>/</w:t>
            </w:r>
            <w:r>
              <w:rPr>
                <w:rFonts w:ascii="Arial Narrow" w:hAnsi="Arial Narrow"/>
                <w:noProof/>
                <w:color w:val="000000"/>
                <w:sz w:val="20"/>
                <w:szCs w:val="20"/>
                <w:highlight w:val="black"/>
              </w:rPr>
              <w:t>''''''''''</w:t>
            </w:r>
            <w:r w:rsidR="00726CC2" w:rsidRPr="00A700F7">
              <w:rPr>
                <w:rFonts w:ascii="Arial Narrow" w:hAnsi="Arial Narrow"/>
                <w:sz w:val="20"/>
                <w:szCs w:val="20"/>
              </w:rPr>
              <w:t xml:space="preserve">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r w:rsidRPr="00A700F7">
              <w:rPr>
                <w:rFonts w:ascii="Arial Narrow" w:hAnsi="Arial Narrow"/>
                <w:sz w:val="20"/>
                <w:szCs w:val="20"/>
              </w:rPr>
              <w:t>%)</w:t>
            </w:r>
          </w:p>
        </w:tc>
        <w:tc>
          <w:tcPr>
            <w:tcW w:w="1123" w:type="dxa"/>
            <w:vAlign w:val="center"/>
          </w:tcPr>
          <w:p w:rsidR="00726CC2"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726CC2" w:rsidRPr="00A700F7">
              <w:rPr>
                <w:rFonts w:ascii="Arial Narrow" w:hAnsi="Arial Narrow"/>
                <w:sz w:val="20"/>
                <w:szCs w:val="20"/>
              </w:rPr>
              <w:t>/</w:t>
            </w:r>
            <w:r>
              <w:rPr>
                <w:rFonts w:ascii="Arial Narrow" w:hAnsi="Arial Narrow"/>
                <w:noProof/>
                <w:color w:val="000000"/>
                <w:sz w:val="20"/>
                <w:szCs w:val="20"/>
                <w:highlight w:val="black"/>
              </w:rPr>
              <w:t>'''''''''</w:t>
            </w:r>
            <w:r w:rsidR="00726CC2" w:rsidRPr="00A700F7">
              <w:rPr>
                <w:rFonts w:ascii="Arial Narrow" w:hAnsi="Arial Narrow"/>
                <w:sz w:val="20"/>
                <w:szCs w:val="20"/>
              </w:rPr>
              <w:t xml:space="preserve">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r w:rsidRPr="00A700F7">
              <w:rPr>
                <w:rFonts w:ascii="Arial Narrow" w:hAnsi="Arial Narrow"/>
                <w:sz w:val="20"/>
                <w:szCs w:val="20"/>
              </w:rPr>
              <w:t>%)</w:t>
            </w:r>
          </w:p>
        </w:tc>
        <w:tc>
          <w:tcPr>
            <w:tcW w:w="1142" w:type="dxa"/>
            <w:vAlign w:val="center"/>
          </w:tcPr>
          <w:p w:rsidR="00726CC2" w:rsidRPr="00AF24DF" w:rsidRDefault="00AF24DF" w:rsidP="000F2311">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r w:rsidRPr="008E2DCB">
              <w:rPr>
                <w:rFonts w:ascii="Arial Narrow" w:hAnsi="Arial Narrow"/>
                <w:sz w:val="20"/>
                <w:szCs w:val="20"/>
              </w:rPr>
              <w:t>,</w:t>
            </w:r>
            <w:r w:rsidR="00AF24DF">
              <w:rPr>
                <w:rFonts w:ascii="Arial Narrow" w:hAnsi="Arial Narrow"/>
                <w:noProof/>
                <w:color w:val="000000"/>
                <w:sz w:val="20"/>
                <w:szCs w:val="20"/>
                <w:highlight w:val="black"/>
              </w:rPr>
              <w:t xml:space="preserve"> ''''</w:t>
            </w:r>
            <w:r w:rsidRPr="008E2DCB">
              <w:rPr>
                <w:rFonts w:ascii="Arial Narrow" w:hAnsi="Arial Narrow"/>
                <w:sz w:val="20"/>
                <w:szCs w:val="20"/>
              </w:rPr>
              <w:t>)</w:t>
            </w:r>
          </w:p>
        </w:tc>
        <w:tc>
          <w:tcPr>
            <w:tcW w:w="111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0/687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w:t>
            </w:r>
          </w:p>
        </w:tc>
        <w:tc>
          <w:tcPr>
            <w:tcW w:w="1124"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0/692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w:t>
            </w:r>
          </w:p>
        </w:tc>
        <w:tc>
          <w:tcPr>
            <w:tcW w:w="1082" w:type="dxa"/>
            <w:vAlign w:val="center"/>
          </w:tcPr>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 xml:space="preserve">0 </w:t>
            </w:r>
          </w:p>
          <w:p w:rsidR="00726CC2" w:rsidRPr="00A700F7" w:rsidRDefault="00726CC2" w:rsidP="000F2311">
            <w:pPr>
              <w:jc w:val="center"/>
              <w:rPr>
                <w:rFonts w:ascii="Arial Narrow" w:hAnsi="Arial Narrow"/>
                <w:sz w:val="20"/>
                <w:szCs w:val="20"/>
              </w:rPr>
            </w:pPr>
            <w:r w:rsidRPr="00A700F7">
              <w:rPr>
                <w:rFonts w:ascii="Arial Narrow" w:hAnsi="Arial Narrow"/>
                <w:sz w:val="20"/>
                <w:szCs w:val="20"/>
              </w:rPr>
              <w:t>(0,0)</w:t>
            </w:r>
          </w:p>
        </w:tc>
        <w:tc>
          <w:tcPr>
            <w:tcW w:w="1119" w:type="dxa"/>
            <w:vAlign w:val="center"/>
          </w:tcPr>
          <w:p w:rsidR="00726CC2" w:rsidRPr="00AF24DF" w:rsidRDefault="00AF24DF" w:rsidP="000F2311">
            <w:pPr>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726CC2" w:rsidRPr="00A700F7" w:rsidRDefault="00726CC2" w:rsidP="00726CC2">
      <w:pPr>
        <w:pStyle w:val="TableFooter"/>
      </w:pPr>
      <w:r w:rsidRPr="00A700F7">
        <w:t>AE=adverse event; CI=confidence interval; OR=odds ratio; SAE=serious adverse events</w:t>
      </w:r>
    </w:p>
    <w:p w:rsidR="00726CC2" w:rsidRPr="00A700F7" w:rsidRDefault="00726CC2" w:rsidP="00726CC2">
      <w:pPr>
        <w:pStyle w:val="TableFooter"/>
      </w:pPr>
      <w:r w:rsidRPr="00A700F7">
        <w:t>Source:  Table 2.31, p60 of the submission.</w:t>
      </w:r>
    </w:p>
    <w:p w:rsidR="00726CC2" w:rsidRPr="00A700F7" w:rsidRDefault="00726CC2" w:rsidP="00726CC2"/>
    <w:p w:rsidR="001530CD" w:rsidRDefault="001530CD" w:rsidP="007A132D">
      <w:pPr>
        <w:pStyle w:val="ListParagraph"/>
        <w:numPr>
          <w:ilvl w:val="1"/>
          <w:numId w:val="3"/>
        </w:numPr>
      </w:pPr>
      <w:r w:rsidRPr="00A20321">
        <w:lastRenderedPageBreak/>
        <w:t xml:space="preserve">There were no statistically significant differences between </w:t>
      </w:r>
      <w:proofErr w:type="spellStart"/>
      <w:r w:rsidRPr="00A20321">
        <w:t>erenumab</w:t>
      </w:r>
      <w:proofErr w:type="spellEnd"/>
      <w:r w:rsidRPr="00A20321">
        <w:t xml:space="preserve"> and Botox for the occurrence of any AE, serious AEs, AEs leading to trial discontinuation or AEs leading to death.  It was difficult to draw conclusions regarding the comparative safety of </w:t>
      </w:r>
      <w:proofErr w:type="spellStart"/>
      <w:r w:rsidRPr="00A20321">
        <w:t>erenumab</w:t>
      </w:r>
      <w:proofErr w:type="spellEnd"/>
      <w:r w:rsidRPr="00A20321">
        <w:t xml:space="preserve"> and Botox given that no information </w:t>
      </w:r>
      <w:r w:rsidR="005E4BFB">
        <w:t>was</w:t>
      </w:r>
      <w:r w:rsidRPr="00A20321">
        <w:t xml:space="preserve"> provided </w:t>
      </w:r>
      <w:r w:rsidR="005E4BFB">
        <w:t xml:space="preserve">in </w:t>
      </w:r>
      <w:r w:rsidRPr="00A20321">
        <w:t xml:space="preserve">the submission regarding the specific type of adverse events that were classified as serious AEs, or that may have led to discontinuation.  There </w:t>
      </w:r>
      <w:r w:rsidR="005E4BFB">
        <w:t>were</w:t>
      </w:r>
      <w:r w:rsidR="005E4BFB" w:rsidRPr="00A20321">
        <w:t xml:space="preserve"> </w:t>
      </w:r>
      <w:r w:rsidRPr="00A20321">
        <w:t>data available in the publication of the pooled Botox trials (</w:t>
      </w:r>
      <w:proofErr w:type="spellStart"/>
      <w:r w:rsidRPr="00A20321">
        <w:t>Dodick</w:t>
      </w:r>
      <w:proofErr w:type="spellEnd"/>
      <w:r w:rsidRPr="00A20321">
        <w:t xml:space="preserve"> 2010) that would have permitted comparison of treatment-related AEs such as injection site pain between </w:t>
      </w:r>
      <w:proofErr w:type="spellStart"/>
      <w:r w:rsidRPr="00A20321">
        <w:t>erenumab</w:t>
      </w:r>
      <w:proofErr w:type="spellEnd"/>
      <w:r w:rsidRPr="00A20321">
        <w:t xml:space="preserve"> and Botox, however this was not considered by the submission.</w:t>
      </w:r>
      <w:r w:rsidR="00845DE6">
        <w:t xml:space="preserve"> </w:t>
      </w:r>
    </w:p>
    <w:p w:rsidR="001530CD" w:rsidRPr="00A20321" w:rsidRDefault="00D168BD" w:rsidP="00DC60D7">
      <w:pPr>
        <w:pStyle w:val="ListParagraph"/>
        <w:numPr>
          <w:ilvl w:val="1"/>
          <w:numId w:val="3"/>
        </w:numPr>
      </w:pPr>
      <w:r w:rsidRPr="00A20321">
        <w:t xml:space="preserve">A higher proportion of patients </w:t>
      </w:r>
      <w:r>
        <w:t xml:space="preserve">in the </w:t>
      </w:r>
      <w:proofErr w:type="spellStart"/>
      <w:r>
        <w:t>erenumab</w:t>
      </w:r>
      <w:proofErr w:type="spellEnd"/>
      <w:r>
        <w:t xml:space="preserve"> group </w:t>
      </w:r>
      <w:r w:rsidRPr="00A20321">
        <w:t>reported treatment-</w:t>
      </w:r>
      <w:r>
        <w:t>emergent</w:t>
      </w:r>
      <w:r w:rsidRPr="00A20321">
        <w:t xml:space="preserve"> </w:t>
      </w:r>
      <w:proofErr w:type="gramStart"/>
      <w:r w:rsidRPr="00A20321">
        <w:t xml:space="preserve">AEs </w:t>
      </w:r>
      <w:r w:rsidR="001530CD" w:rsidRPr="00A20321">
        <w:t xml:space="preserve"> than</w:t>
      </w:r>
      <w:proofErr w:type="gramEnd"/>
      <w:r w:rsidR="001530CD" w:rsidRPr="00A20321">
        <w:t xml:space="preserve"> Botox-treated patients as reported in the pooled analysis of the PREEMPT trials (29.4%; Table 4 of </w:t>
      </w:r>
      <w:proofErr w:type="spellStart"/>
      <w:r w:rsidR="001530CD" w:rsidRPr="00A20321">
        <w:t>Dodick</w:t>
      </w:r>
      <w:proofErr w:type="spellEnd"/>
      <w:r w:rsidR="001530CD" w:rsidRPr="00A20321">
        <w:t xml:space="preserve"> 2010).  </w:t>
      </w:r>
      <w:r w:rsidR="00DC60D7" w:rsidRPr="00A20321">
        <w:t>The evaluation stated that d</w:t>
      </w:r>
      <w:r w:rsidR="00506171" w:rsidRPr="00A20321">
        <w:t xml:space="preserve">ata </w:t>
      </w:r>
      <w:r w:rsidR="001530CD" w:rsidRPr="00A20321">
        <w:t>for comparable treatment-related AEs across the trials</w:t>
      </w:r>
      <w:r w:rsidR="00506171" w:rsidRPr="00A20321">
        <w:t xml:space="preserve"> may be</w:t>
      </w:r>
      <w:r w:rsidR="001530CD" w:rsidRPr="00A20321">
        <w:t xml:space="preserve"> informative </w:t>
      </w:r>
      <w:r w:rsidR="00506171" w:rsidRPr="00A20321">
        <w:t>for assessing the comparative safety</w:t>
      </w:r>
      <w:r w:rsidR="001530CD" w:rsidRPr="00A20321">
        <w:t>.</w:t>
      </w:r>
      <w:r w:rsidR="00DC60D7" w:rsidRPr="00A20321">
        <w:t xml:space="preserve"> The PSCR presented the indirect comparison with treatment related AE</w:t>
      </w:r>
      <w:r w:rsidR="005E4BFB">
        <w:t>s</w:t>
      </w:r>
      <w:r w:rsidR="00DC60D7" w:rsidRPr="00A20321">
        <w:t xml:space="preserve"> from </w:t>
      </w:r>
      <w:proofErr w:type="spellStart"/>
      <w:r w:rsidR="00DC60D7" w:rsidRPr="00A20321">
        <w:t>Dodick</w:t>
      </w:r>
      <w:proofErr w:type="spellEnd"/>
      <w:r w:rsidR="00DC60D7" w:rsidRPr="00A20321">
        <w:t xml:space="preserve"> 2010, which demonstrated a statistically significant reduction in favour of </w:t>
      </w:r>
      <w:proofErr w:type="spellStart"/>
      <w:r w:rsidR="00DC60D7" w:rsidRPr="00A20321">
        <w:t>erenumab</w:t>
      </w:r>
      <w:proofErr w:type="spellEnd"/>
      <w:r w:rsidR="00DC60D7" w:rsidRPr="00A20321">
        <w:t xml:space="preserve"> (OR=</w:t>
      </w:r>
      <w:r w:rsidR="00AF24DF">
        <w:rPr>
          <w:noProof/>
          <w:color w:val="000000"/>
          <w:highlight w:val="black"/>
        </w:rPr>
        <w:t>''''''''</w:t>
      </w:r>
      <w:r w:rsidR="00DC60D7" w:rsidRPr="00A20321">
        <w:t xml:space="preserve">; 95% CI: </w:t>
      </w:r>
      <w:r w:rsidR="00AF24DF">
        <w:rPr>
          <w:noProof/>
          <w:color w:val="000000"/>
          <w:highlight w:val="black"/>
        </w:rPr>
        <w:t>'''''''''</w:t>
      </w:r>
      <w:r w:rsidR="00DC60D7" w:rsidRPr="00A20321">
        <w:t xml:space="preserve">, </w:t>
      </w:r>
      <w:r w:rsidR="00AF24DF">
        <w:rPr>
          <w:noProof/>
          <w:color w:val="000000"/>
          <w:highlight w:val="black"/>
        </w:rPr>
        <w:t>''''''''</w:t>
      </w:r>
      <w:r w:rsidR="00DC60D7" w:rsidRPr="001D659C">
        <w:t>).</w:t>
      </w:r>
      <w:r w:rsidR="00DC60D7" w:rsidRPr="00A20321">
        <w:t xml:space="preserve"> For injection site pain, the only common treatment related AE in the </w:t>
      </w:r>
      <w:proofErr w:type="spellStart"/>
      <w:r w:rsidR="00DC60D7" w:rsidRPr="00A20321">
        <w:t>erenumab</w:t>
      </w:r>
      <w:proofErr w:type="spellEnd"/>
      <w:r w:rsidR="00DC60D7" w:rsidRPr="00A20321">
        <w:t xml:space="preserve"> and Botox </w:t>
      </w:r>
      <w:proofErr w:type="gramStart"/>
      <w:r w:rsidR="00DC60D7" w:rsidRPr="00A20321">
        <w:t>studies,</w:t>
      </w:r>
      <w:proofErr w:type="gramEnd"/>
      <w:r w:rsidR="00DC60D7" w:rsidRPr="00A20321">
        <w:t xml:space="preserve"> there were no statistically significant differences between </w:t>
      </w:r>
      <w:proofErr w:type="spellStart"/>
      <w:r w:rsidR="00DC60D7" w:rsidRPr="00A20321">
        <w:t>erenumab</w:t>
      </w:r>
      <w:proofErr w:type="spellEnd"/>
      <w:r w:rsidR="00DC60D7" w:rsidRPr="00A20321">
        <w:t xml:space="preserve"> and Botox.</w:t>
      </w:r>
    </w:p>
    <w:p w:rsidR="00647A46" w:rsidRPr="002B772A" w:rsidRDefault="005E4BFB" w:rsidP="005E4BFB">
      <w:pPr>
        <w:pStyle w:val="ListParagraph"/>
        <w:numPr>
          <w:ilvl w:val="1"/>
          <w:numId w:val="3"/>
        </w:numPr>
        <w:jc w:val="left"/>
        <w:rPr>
          <w:rFonts w:ascii="Arial Narrow" w:hAnsi="Arial Narrow"/>
          <w:b/>
          <w:sz w:val="20"/>
          <w:szCs w:val="20"/>
        </w:rPr>
      </w:pPr>
      <w:r>
        <w:t>B</w:t>
      </w:r>
      <w:r w:rsidR="001530CD" w:rsidRPr="00A20321">
        <w:t xml:space="preserve">elow is a summary of AEs </w:t>
      </w:r>
      <w:r>
        <w:t xml:space="preserve">for </w:t>
      </w:r>
      <w:proofErr w:type="spellStart"/>
      <w:r>
        <w:t>erenumab</w:t>
      </w:r>
      <w:proofErr w:type="spellEnd"/>
      <w:r>
        <w:t xml:space="preserve"> only </w:t>
      </w:r>
      <w:r w:rsidR="001530CD" w:rsidRPr="00A20321">
        <w:t>that was presented in Section 2.5.2 of the submission.  The submission did not include between-group comparisons of these AEs, but the information has been presented here to provide a summary of treatment-related events in Study 295.</w:t>
      </w:r>
    </w:p>
    <w:p w:rsidR="005E4BFB" w:rsidRDefault="005E4BFB">
      <w:pPr>
        <w:jc w:val="left"/>
        <w:rPr>
          <w:rFonts w:ascii="Arial Narrow" w:hAnsi="Arial Narrow"/>
          <w:b/>
          <w:sz w:val="20"/>
          <w:szCs w:val="20"/>
        </w:rPr>
      </w:pPr>
    </w:p>
    <w:p w:rsidR="00144268" w:rsidRPr="00144268" w:rsidRDefault="00144268" w:rsidP="00144268">
      <w:pPr>
        <w:pStyle w:val="Caption"/>
        <w:keepNext/>
        <w:spacing w:after="0"/>
        <w:rPr>
          <w:rFonts w:ascii="Arial Narrow" w:hAnsi="Arial Narrow"/>
          <w:color w:val="auto"/>
          <w:sz w:val="20"/>
          <w:szCs w:val="20"/>
        </w:rPr>
      </w:pPr>
      <w:r w:rsidRPr="00144268">
        <w:rPr>
          <w:rFonts w:ascii="Arial Narrow" w:hAnsi="Arial Narrow"/>
          <w:color w:val="auto"/>
          <w:sz w:val="20"/>
          <w:szCs w:val="20"/>
        </w:rPr>
        <w:t xml:space="preserve">Table </w:t>
      </w:r>
      <w:r w:rsidR="00D8193A">
        <w:rPr>
          <w:rFonts w:ascii="Arial Narrow" w:hAnsi="Arial Narrow"/>
          <w:noProof/>
          <w:color w:val="auto"/>
          <w:sz w:val="20"/>
          <w:szCs w:val="20"/>
        </w:rPr>
        <w:t>8</w:t>
      </w:r>
      <w:r w:rsidRPr="00144268">
        <w:rPr>
          <w:rFonts w:ascii="Arial Narrow" w:hAnsi="Arial Narrow"/>
          <w:color w:val="auto"/>
          <w:sz w:val="20"/>
          <w:szCs w:val="20"/>
        </w:rPr>
        <w:t xml:space="preserve">: Treatment-emergent AEs in ≥2% of patients in Study 295 for </w:t>
      </w:r>
      <w:proofErr w:type="spellStart"/>
      <w:r w:rsidRPr="00144268">
        <w:rPr>
          <w:rFonts w:ascii="Arial Narrow" w:hAnsi="Arial Narrow"/>
          <w:color w:val="auto"/>
          <w:sz w:val="20"/>
          <w:szCs w:val="20"/>
        </w:rPr>
        <w:t>erenumab</w:t>
      </w:r>
      <w:proofErr w:type="spellEnd"/>
    </w:p>
    <w:tbl>
      <w:tblPr>
        <w:tblStyle w:val="TableGrid"/>
        <w:tblW w:w="0" w:type="auto"/>
        <w:tblInd w:w="108" w:type="dxa"/>
        <w:tblLook w:val="04A0" w:firstRow="1" w:lastRow="0" w:firstColumn="1" w:lastColumn="0" w:noHBand="0" w:noVBand="1"/>
        <w:tblCaption w:val="Treatment-emergent AEs in ≥2% of patients in Study 295 for erenumab "/>
      </w:tblPr>
      <w:tblGrid>
        <w:gridCol w:w="2973"/>
        <w:gridCol w:w="3081"/>
        <w:gridCol w:w="3018"/>
      </w:tblGrid>
      <w:tr w:rsidR="001530CD" w:rsidRPr="00A700F7" w:rsidTr="0078396F">
        <w:trPr>
          <w:tblHeader/>
        </w:trPr>
        <w:tc>
          <w:tcPr>
            <w:tcW w:w="2973" w:type="dxa"/>
          </w:tcPr>
          <w:p w:rsidR="001530CD" w:rsidRPr="00A700F7" w:rsidRDefault="001530CD" w:rsidP="000F2311">
            <w:pPr>
              <w:jc w:val="left"/>
              <w:rPr>
                <w:rFonts w:ascii="Arial Narrow" w:hAnsi="Arial Narrow"/>
                <w:b/>
                <w:sz w:val="20"/>
                <w:szCs w:val="20"/>
              </w:rPr>
            </w:pPr>
            <w:r w:rsidRPr="00A700F7">
              <w:rPr>
                <w:rFonts w:ascii="Arial Narrow" w:hAnsi="Arial Narrow"/>
                <w:b/>
                <w:sz w:val="20"/>
                <w:szCs w:val="20"/>
              </w:rPr>
              <w:t>Adverse event</w:t>
            </w:r>
          </w:p>
        </w:tc>
        <w:tc>
          <w:tcPr>
            <w:tcW w:w="3081" w:type="dxa"/>
          </w:tcPr>
          <w:p w:rsidR="001530CD" w:rsidRPr="00A700F7" w:rsidRDefault="001530CD" w:rsidP="000F2311">
            <w:pPr>
              <w:jc w:val="center"/>
              <w:rPr>
                <w:rFonts w:ascii="Arial Narrow" w:hAnsi="Arial Narrow"/>
                <w:b/>
                <w:sz w:val="20"/>
                <w:szCs w:val="20"/>
              </w:rPr>
            </w:pPr>
            <w:proofErr w:type="spellStart"/>
            <w:r w:rsidRPr="00A700F7">
              <w:rPr>
                <w:rFonts w:ascii="Arial Narrow" w:hAnsi="Arial Narrow"/>
                <w:b/>
                <w:sz w:val="20"/>
                <w:szCs w:val="20"/>
              </w:rPr>
              <w:t>Erenumab</w:t>
            </w:r>
            <w:proofErr w:type="spellEnd"/>
            <w:r w:rsidRPr="00A700F7">
              <w:rPr>
                <w:rFonts w:ascii="Arial Narrow" w:hAnsi="Arial Narrow"/>
                <w:b/>
                <w:sz w:val="20"/>
                <w:szCs w:val="20"/>
              </w:rPr>
              <w:t xml:space="preserve"> (N=188)</w:t>
            </w:r>
          </w:p>
        </w:tc>
        <w:tc>
          <w:tcPr>
            <w:tcW w:w="3018" w:type="dxa"/>
          </w:tcPr>
          <w:p w:rsidR="001530CD" w:rsidRPr="00A700F7" w:rsidRDefault="001530CD" w:rsidP="000F2311">
            <w:pPr>
              <w:jc w:val="center"/>
              <w:rPr>
                <w:rFonts w:ascii="Arial Narrow" w:hAnsi="Arial Narrow"/>
                <w:b/>
                <w:sz w:val="20"/>
                <w:szCs w:val="20"/>
              </w:rPr>
            </w:pPr>
            <w:r w:rsidRPr="00A700F7">
              <w:rPr>
                <w:rFonts w:ascii="Arial Narrow" w:hAnsi="Arial Narrow"/>
                <w:b/>
                <w:sz w:val="20"/>
                <w:szCs w:val="20"/>
              </w:rPr>
              <w:t>Placebo (N=282)</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Any treatment-emergent AE</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88 (46.8%)</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110 (39.0%)</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Injection site pain</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7 (3.7%)</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3 (1.1%)</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Upper respiratory tract infection</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6 (3.2%)</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4 (1.4%)</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Nausea</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6 (3.2%)</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7 (2.5%)</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proofErr w:type="spellStart"/>
            <w:r w:rsidRPr="00A700F7">
              <w:rPr>
                <w:rFonts w:ascii="Arial Narrow" w:hAnsi="Arial Narrow"/>
                <w:sz w:val="20"/>
                <w:szCs w:val="20"/>
              </w:rPr>
              <w:t>Nasopharyngitis</w:t>
            </w:r>
            <w:proofErr w:type="spellEnd"/>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3 (1.6%)</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16 (5.7%)</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Constipation</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8 (4.3%)</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1 (0.4%)</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Muscle spasms</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7 (3.7%)</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4 (1.4%)</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Migraine</w:t>
            </w:r>
          </w:p>
        </w:tc>
        <w:tc>
          <w:tcPr>
            <w:tcW w:w="3081"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5 (2.7%)</w:t>
            </w:r>
          </w:p>
        </w:tc>
        <w:tc>
          <w:tcPr>
            <w:tcW w:w="3018" w:type="dxa"/>
          </w:tcPr>
          <w:p w:rsidR="001530CD" w:rsidRPr="00A700F7" w:rsidRDefault="001530CD" w:rsidP="000F2311">
            <w:pPr>
              <w:jc w:val="center"/>
              <w:rPr>
                <w:rFonts w:ascii="Arial Narrow" w:hAnsi="Arial Narrow"/>
                <w:sz w:val="20"/>
                <w:szCs w:val="20"/>
              </w:rPr>
            </w:pPr>
            <w:r w:rsidRPr="00A700F7">
              <w:rPr>
                <w:rFonts w:ascii="Arial Narrow" w:hAnsi="Arial Narrow"/>
                <w:sz w:val="20"/>
                <w:szCs w:val="20"/>
              </w:rPr>
              <w:t>3 (1.1%)</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Cough</w:t>
            </w:r>
          </w:p>
        </w:tc>
        <w:tc>
          <w:tcPr>
            <w:tcW w:w="3081"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c>
          <w:tcPr>
            <w:tcW w:w="3018"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Fatigue</w:t>
            </w:r>
          </w:p>
        </w:tc>
        <w:tc>
          <w:tcPr>
            <w:tcW w:w="3081"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c>
          <w:tcPr>
            <w:tcW w:w="3018"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Diarrhoea</w:t>
            </w:r>
          </w:p>
        </w:tc>
        <w:tc>
          <w:tcPr>
            <w:tcW w:w="3081"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2F0B51">
              <w:rPr>
                <w:rFonts w:ascii="Arial Narrow" w:hAnsi="Arial Narrow"/>
                <w:sz w:val="20"/>
                <w:szCs w:val="20"/>
              </w:rPr>
              <w:t xml:space="preserve"> </w:t>
            </w:r>
            <w:r w:rsidR="001530CD" w:rsidRPr="00A700F7">
              <w:rPr>
                <w:rFonts w:ascii="Arial Narrow" w:hAnsi="Arial Narrow"/>
                <w:sz w:val="20"/>
                <w:szCs w:val="20"/>
              </w:rPr>
              <w:t>(</w:t>
            </w:r>
            <w:r>
              <w:rPr>
                <w:rFonts w:ascii="Arial Narrow" w:hAnsi="Arial Narrow"/>
                <w:noProof/>
                <w:color w:val="000000"/>
                <w:sz w:val="20"/>
                <w:szCs w:val="20"/>
                <w:highlight w:val="black"/>
              </w:rPr>
              <w:t>'''''''''</w:t>
            </w:r>
            <w:r w:rsidR="001530CD" w:rsidRPr="00A700F7">
              <w:rPr>
                <w:rFonts w:ascii="Arial Narrow" w:hAnsi="Arial Narrow"/>
                <w:sz w:val="20"/>
                <w:szCs w:val="20"/>
              </w:rPr>
              <w:t>%)</w:t>
            </w:r>
          </w:p>
        </w:tc>
        <w:tc>
          <w:tcPr>
            <w:tcW w:w="3018"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Injection site erythema</w:t>
            </w:r>
          </w:p>
        </w:tc>
        <w:tc>
          <w:tcPr>
            <w:tcW w:w="3081"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c>
          <w:tcPr>
            <w:tcW w:w="3018"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r>
      <w:tr w:rsidR="001530CD" w:rsidRPr="00A700F7" w:rsidTr="0078396F">
        <w:tc>
          <w:tcPr>
            <w:tcW w:w="2973" w:type="dxa"/>
          </w:tcPr>
          <w:p w:rsidR="001530CD" w:rsidRPr="00A700F7" w:rsidRDefault="001530CD" w:rsidP="000F2311">
            <w:pPr>
              <w:jc w:val="left"/>
              <w:rPr>
                <w:rFonts w:ascii="Arial Narrow" w:hAnsi="Arial Narrow"/>
                <w:sz w:val="20"/>
                <w:szCs w:val="20"/>
              </w:rPr>
            </w:pPr>
            <w:r w:rsidRPr="00A700F7">
              <w:rPr>
                <w:rFonts w:ascii="Arial Narrow" w:hAnsi="Arial Narrow"/>
                <w:sz w:val="20"/>
                <w:szCs w:val="20"/>
              </w:rPr>
              <w:t>Rhinitis</w:t>
            </w:r>
          </w:p>
        </w:tc>
        <w:tc>
          <w:tcPr>
            <w:tcW w:w="3081"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A700F7">
              <w:rPr>
                <w:rFonts w:ascii="Arial Narrow" w:hAnsi="Arial Narrow"/>
                <w:sz w:val="20"/>
                <w:szCs w:val="20"/>
              </w:rPr>
              <w:t xml:space="preserve"> (</w:t>
            </w:r>
            <w:r>
              <w:rPr>
                <w:rFonts w:ascii="Arial Narrow" w:hAnsi="Arial Narrow"/>
                <w:noProof/>
                <w:color w:val="000000"/>
                <w:sz w:val="20"/>
                <w:szCs w:val="20"/>
                <w:highlight w:val="black"/>
              </w:rPr>
              <w:t>'''''''''</w:t>
            </w:r>
            <w:r w:rsidR="001530CD" w:rsidRPr="00A700F7">
              <w:rPr>
                <w:rFonts w:ascii="Arial Narrow" w:hAnsi="Arial Narrow"/>
                <w:sz w:val="20"/>
                <w:szCs w:val="20"/>
              </w:rPr>
              <w:t>%)</w:t>
            </w:r>
          </w:p>
        </w:tc>
        <w:tc>
          <w:tcPr>
            <w:tcW w:w="3018" w:type="dxa"/>
          </w:tcPr>
          <w:p w:rsidR="001530CD" w:rsidRPr="00A700F7" w:rsidRDefault="00AF24DF" w:rsidP="000F2311">
            <w:pPr>
              <w:jc w:val="center"/>
              <w:rPr>
                <w:rFonts w:ascii="Arial Narrow" w:hAnsi="Arial Narrow"/>
                <w:sz w:val="20"/>
                <w:szCs w:val="20"/>
              </w:rPr>
            </w:pPr>
            <w:r>
              <w:rPr>
                <w:rFonts w:ascii="Arial Narrow" w:hAnsi="Arial Narrow"/>
                <w:noProof/>
                <w:color w:val="000000"/>
                <w:sz w:val="20"/>
                <w:szCs w:val="20"/>
                <w:highlight w:val="black"/>
              </w:rPr>
              <w:t>''''</w:t>
            </w:r>
            <w:r w:rsidR="001530CD" w:rsidRPr="001D659C">
              <w:rPr>
                <w:rFonts w:ascii="Arial Narrow" w:hAnsi="Arial Narrow"/>
                <w:sz w:val="20"/>
                <w:szCs w:val="20"/>
              </w:rPr>
              <w:t xml:space="preserve"> (</w:t>
            </w:r>
            <w:r>
              <w:rPr>
                <w:rFonts w:ascii="Arial Narrow" w:hAnsi="Arial Narrow"/>
                <w:noProof/>
                <w:color w:val="000000"/>
                <w:sz w:val="20"/>
                <w:szCs w:val="20"/>
                <w:highlight w:val="black"/>
              </w:rPr>
              <w:t>''''''''</w:t>
            </w:r>
            <w:r w:rsidR="001530CD" w:rsidRPr="001D659C">
              <w:rPr>
                <w:rFonts w:ascii="Arial Narrow" w:hAnsi="Arial Narrow"/>
                <w:sz w:val="20"/>
                <w:szCs w:val="20"/>
              </w:rPr>
              <w:t>%)</w:t>
            </w:r>
          </w:p>
        </w:tc>
      </w:tr>
    </w:tbl>
    <w:p w:rsidR="001530CD" w:rsidRPr="00A700F7" w:rsidRDefault="001530CD" w:rsidP="001530CD">
      <w:pPr>
        <w:pStyle w:val="TableFooter"/>
      </w:pPr>
      <w:r w:rsidRPr="00A700F7">
        <w:t>Source:  Table 2.24, p52 of the submission.</w:t>
      </w:r>
    </w:p>
    <w:p w:rsidR="001530CD" w:rsidRPr="00A700F7" w:rsidRDefault="001530CD" w:rsidP="001530CD"/>
    <w:p w:rsidR="001530CD" w:rsidRPr="00A20321" w:rsidRDefault="001530CD" w:rsidP="007A132D">
      <w:pPr>
        <w:pStyle w:val="ListParagraph"/>
        <w:numPr>
          <w:ilvl w:val="1"/>
          <w:numId w:val="3"/>
        </w:numPr>
      </w:pPr>
      <w:r w:rsidRPr="00A20321">
        <w:t xml:space="preserve">In general, </w:t>
      </w:r>
      <w:r w:rsidR="001B3433" w:rsidRPr="00A20321">
        <w:t xml:space="preserve">each specific </w:t>
      </w:r>
      <w:r w:rsidRPr="00A20321">
        <w:t>treatment-emergent AE</w:t>
      </w:r>
      <w:r w:rsidR="001B3433" w:rsidRPr="00A20321">
        <w:t xml:space="preserve"> was</w:t>
      </w:r>
      <w:r w:rsidRPr="00A20321">
        <w:t xml:space="preserve"> observed in a small proportion of patients, with </w:t>
      </w:r>
      <w:r w:rsidR="001B3433" w:rsidRPr="00A20321">
        <w:t>each</w:t>
      </w:r>
      <w:r w:rsidRPr="00A20321">
        <w:t xml:space="preserve"> AE for </w:t>
      </w:r>
      <w:proofErr w:type="spellStart"/>
      <w:r w:rsidRPr="00A20321">
        <w:t>erenumab</w:t>
      </w:r>
      <w:proofErr w:type="spellEnd"/>
      <w:r w:rsidRPr="00A20321">
        <w:t xml:space="preserve"> reported by less than 5% of patients.  </w:t>
      </w:r>
      <w:r w:rsidR="001B3433" w:rsidRPr="00A20321">
        <w:t>I</w:t>
      </w:r>
      <w:r w:rsidRPr="00A20321">
        <w:t xml:space="preserve">njection site pain was the most frequently experienced AE, being reported by just </w:t>
      </w:r>
      <w:proofErr w:type="gramStart"/>
      <w:r w:rsidRPr="00A20321">
        <w:t>under</w:t>
      </w:r>
      <w:proofErr w:type="gramEnd"/>
      <w:r w:rsidRPr="00A20321">
        <w:t xml:space="preserve"> 4% of patients treated with </w:t>
      </w:r>
      <w:proofErr w:type="spellStart"/>
      <w:r w:rsidRPr="00A20321">
        <w:t>erenumab</w:t>
      </w:r>
      <w:proofErr w:type="spellEnd"/>
      <w:r w:rsidRPr="00A20321">
        <w:t>.</w:t>
      </w:r>
      <w:r w:rsidR="00153587" w:rsidRPr="00A20321">
        <w:t xml:space="preserve"> Other common AEs </w:t>
      </w:r>
      <w:r w:rsidR="00842173" w:rsidRPr="00A20321">
        <w:t>noted in</w:t>
      </w:r>
      <w:r w:rsidR="00153587" w:rsidRPr="00A20321">
        <w:t xml:space="preserve"> the draft PI are constipation, muscle spasm and prurit</w:t>
      </w:r>
      <w:r w:rsidR="000E5B09" w:rsidRPr="00A20321">
        <w:t>u</w:t>
      </w:r>
      <w:r w:rsidR="00153587" w:rsidRPr="00A20321">
        <w:t>s.</w:t>
      </w:r>
    </w:p>
    <w:p w:rsidR="002D1BED" w:rsidRPr="00A20321" w:rsidRDefault="00DC60D7" w:rsidP="007A132D">
      <w:pPr>
        <w:pStyle w:val="ListParagraph"/>
        <w:numPr>
          <w:ilvl w:val="1"/>
          <w:numId w:val="3"/>
        </w:numPr>
      </w:pPr>
      <w:r w:rsidRPr="00A20321">
        <w:lastRenderedPageBreak/>
        <w:t>The ESC noted that</w:t>
      </w:r>
      <w:r w:rsidR="002D1BED" w:rsidRPr="00A20321">
        <w:t xml:space="preserve"> there </w:t>
      </w:r>
      <w:r w:rsidRPr="00A20321">
        <w:t>was limited longer-term safety evidence available</w:t>
      </w:r>
      <w:r w:rsidR="002D1BED" w:rsidRPr="00A20321">
        <w:t xml:space="preserve"> for </w:t>
      </w:r>
      <w:proofErr w:type="spellStart"/>
      <w:r w:rsidR="002D1BED" w:rsidRPr="00A20321">
        <w:t>erenumab</w:t>
      </w:r>
      <w:proofErr w:type="spellEnd"/>
      <w:r w:rsidR="002D1BED" w:rsidRPr="00A20321">
        <w:t>, given that the longest trial appears to be the 13 month open-label extension trial Study 255</w:t>
      </w:r>
      <w:r w:rsidRPr="00A20321">
        <w:t>.</w:t>
      </w:r>
    </w:p>
    <w:p w:rsidR="007F1017" w:rsidRPr="00A700F7" w:rsidRDefault="007F1017" w:rsidP="00FE393C">
      <w:pPr>
        <w:pStyle w:val="Heading2"/>
        <w:spacing w:after="120"/>
      </w:pPr>
      <w:bookmarkStart w:id="10" w:name="_Toc513040443"/>
      <w:r w:rsidRPr="00A700F7">
        <w:t>Benefits/harms</w:t>
      </w:r>
      <w:bookmarkEnd w:id="10"/>
    </w:p>
    <w:p w:rsidR="00C37732" w:rsidRPr="00A20321" w:rsidRDefault="00C37732" w:rsidP="007A132D">
      <w:pPr>
        <w:pStyle w:val="ListParagraph"/>
        <w:numPr>
          <w:ilvl w:val="1"/>
          <w:numId w:val="3"/>
        </w:numPr>
      </w:pPr>
      <w:r w:rsidRPr="00A20321">
        <w:t xml:space="preserve">A summary of the comparative benefits </w:t>
      </w:r>
      <w:r w:rsidR="005E4BFB">
        <w:t>of</w:t>
      </w:r>
      <w:r w:rsidR="005E4BFB" w:rsidRPr="00A20321">
        <w:t xml:space="preserve"> </w:t>
      </w:r>
      <w:proofErr w:type="spellStart"/>
      <w:r w:rsidRPr="00A20321">
        <w:t>erenumab</w:t>
      </w:r>
      <w:proofErr w:type="spellEnd"/>
      <w:r w:rsidRPr="00A20321">
        <w:t xml:space="preserve"> versus Botox is presented in the table below.</w:t>
      </w:r>
      <w:r w:rsidR="008B07C7" w:rsidRPr="00A20321">
        <w:t xml:space="preserve">  As the indirect comparison for safety outcomes did not indicate any statistically significant differences between </w:t>
      </w:r>
      <w:proofErr w:type="spellStart"/>
      <w:r w:rsidR="008B07C7" w:rsidRPr="00A20321">
        <w:t>erenumab</w:t>
      </w:r>
      <w:proofErr w:type="spellEnd"/>
      <w:r w:rsidR="008B07C7" w:rsidRPr="00A20321">
        <w:t xml:space="preserve"> and Botox, comparative harms are not presented.</w:t>
      </w:r>
    </w:p>
    <w:p w:rsidR="00144268" w:rsidRPr="00144268" w:rsidRDefault="00144268" w:rsidP="00B86AC4">
      <w:pPr>
        <w:pStyle w:val="Caption"/>
        <w:keepNext/>
        <w:keepLines/>
        <w:spacing w:after="0"/>
        <w:rPr>
          <w:rFonts w:ascii="Arial Narrow" w:hAnsi="Arial Narrow"/>
          <w:color w:val="auto"/>
          <w:sz w:val="20"/>
        </w:rPr>
      </w:pPr>
      <w:r w:rsidRPr="00144268">
        <w:rPr>
          <w:rFonts w:ascii="Arial Narrow" w:hAnsi="Arial Narrow"/>
          <w:color w:val="auto"/>
          <w:sz w:val="20"/>
        </w:rPr>
        <w:t xml:space="preserve">Table </w:t>
      </w:r>
      <w:r w:rsidR="00D8193A">
        <w:rPr>
          <w:rFonts w:ascii="Arial Narrow" w:hAnsi="Arial Narrow"/>
          <w:noProof/>
          <w:color w:val="auto"/>
          <w:sz w:val="20"/>
        </w:rPr>
        <w:t>9</w:t>
      </w:r>
      <w:r w:rsidRPr="00144268">
        <w:rPr>
          <w:rFonts w:ascii="Arial Narrow" w:hAnsi="Arial Narrow"/>
          <w:color w:val="auto"/>
          <w:sz w:val="20"/>
        </w:rPr>
        <w:t xml:space="preserve">: Summary of comparative benefits for </w:t>
      </w:r>
      <w:proofErr w:type="spellStart"/>
      <w:r w:rsidRPr="00144268">
        <w:rPr>
          <w:rFonts w:ascii="Arial Narrow" w:hAnsi="Arial Narrow"/>
          <w:color w:val="auto"/>
          <w:sz w:val="20"/>
        </w:rPr>
        <w:t>erenumab</w:t>
      </w:r>
      <w:proofErr w:type="spellEnd"/>
      <w:r w:rsidRPr="00144268">
        <w:rPr>
          <w:rFonts w:ascii="Arial Narrow" w:hAnsi="Arial Narrow"/>
          <w:color w:val="auto"/>
          <w:sz w:val="20"/>
        </w:rPr>
        <w:t xml:space="preserve"> versus Botox</w:t>
      </w:r>
    </w:p>
    <w:tbl>
      <w:tblPr>
        <w:tblW w:w="4990" w:type="pct"/>
        <w:tblLayout w:type="fixed"/>
        <w:tblCellMar>
          <w:left w:w="28" w:type="dxa"/>
          <w:right w:w="28" w:type="dxa"/>
        </w:tblCellMar>
        <w:tblLook w:val="04A0" w:firstRow="1" w:lastRow="0" w:firstColumn="1" w:lastColumn="0" w:noHBand="0" w:noVBand="1"/>
      </w:tblPr>
      <w:tblGrid>
        <w:gridCol w:w="1158"/>
        <w:gridCol w:w="571"/>
        <w:gridCol w:w="277"/>
        <w:gridCol w:w="711"/>
        <w:gridCol w:w="431"/>
        <w:gridCol w:w="567"/>
        <w:gridCol w:w="709"/>
        <w:gridCol w:w="426"/>
        <w:gridCol w:w="992"/>
        <w:gridCol w:w="141"/>
        <w:gridCol w:w="694"/>
        <w:gridCol w:w="16"/>
        <w:gridCol w:w="1275"/>
        <w:gridCol w:w="1097"/>
      </w:tblGrid>
      <w:tr w:rsidR="005D044D" w:rsidRPr="00A700F7" w:rsidTr="00AF2372">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62715" w:rsidRPr="00A700F7" w:rsidRDefault="00B62715" w:rsidP="00B86AC4">
            <w:pPr>
              <w:keepNext/>
              <w:keepLines/>
              <w:rPr>
                <w:rFonts w:ascii="Arial Narrow" w:hAnsi="Arial Narrow"/>
                <w:b/>
                <w:color w:val="000000"/>
                <w:sz w:val="20"/>
                <w:szCs w:val="18"/>
              </w:rPr>
            </w:pPr>
            <w:r w:rsidRPr="00A700F7">
              <w:rPr>
                <w:rFonts w:ascii="Arial Narrow" w:hAnsi="Arial Narrow"/>
                <w:b/>
                <w:color w:val="000000"/>
                <w:sz w:val="20"/>
                <w:szCs w:val="18"/>
              </w:rPr>
              <w:t>Benefits</w:t>
            </w:r>
          </w:p>
        </w:tc>
      </w:tr>
      <w:tr w:rsidR="005D044D" w:rsidRPr="00A700F7" w:rsidTr="00AF2372">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B62715" w:rsidRPr="00A700F7" w:rsidRDefault="00842173" w:rsidP="00B86AC4">
            <w:pPr>
              <w:keepNext/>
              <w:keepLines/>
              <w:rPr>
                <w:rFonts w:ascii="Arial Narrow" w:hAnsi="Arial Narrow"/>
                <w:b/>
                <w:color w:val="000000"/>
                <w:sz w:val="20"/>
                <w:szCs w:val="18"/>
              </w:rPr>
            </w:pPr>
            <w:r>
              <w:rPr>
                <w:rFonts w:ascii="Arial Narrow" w:hAnsi="Arial Narrow"/>
                <w:b/>
                <w:color w:val="000000"/>
                <w:sz w:val="20"/>
                <w:szCs w:val="18"/>
              </w:rPr>
              <w:t>I</w:t>
            </w:r>
            <w:r w:rsidR="00B62715" w:rsidRPr="00A700F7">
              <w:rPr>
                <w:rFonts w:ascii="Arial Narrow" w:hAnsi="Arial Narrow"/>
                <w:b/>
                <w:color w:val="000000"/>
                <w:sz w:val="20"/>
                <w:szCs w:val="18"/>
              </w:rPr>
              <w:t>ndirect comparison</w:t>
            </w:r>
            <w:r w:rsidR="00405DEC" w:rsidRPr="00A700F7">
              <w:rPr>
                <w:rFonts w:ascii="Arial Narrow" w:hAnsi="Arial Narrow"/>
                <w:b/>
                <w:color w:val="000000"/>
                <w:sz w:val="20"/>
                <w:szCs w:val="18"/>
              </w:rPr>
              <w:t xml:space="preserve">: </w:t>
            </w:r>
            <w:r w:rsidR="00405DEC" w:rsidRPr="00A700F7">
              <w:rPr>
                <w:rStyle w:val="CommentReference"/>
              </w:rPr>
              <w:t>proportion of patients with ≥50% reduction in monthly headache days</w:t>
            </w:r>
          </w:p>
        </w:tc>
      </w:tr>
      <w:tr w:rsidR="003D4A30" w:rsidRPr="00A700F7" w:rsidTr="0078396F">
        <w:trPr>
          <w:trHeight w:val="10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A700F7" w:rsidRDefault="00B62715" w:rsidP="00B86AC4">
            <w:pPr>
              <w:keepNext/>
              <w:keepLines/>
              <w:jc w:val="left"/>
              <w:rPr>
                <w:rFonts w:ascii="Arial Narrow" w:hAnsi="Arial Narrow"/>
                <w:color w:val="000000"/>
                <w:sz w:val="20"/>
                <w:szCs w:val="18"/>
              </w:rPr>
            </w:pPr>
          </w:p>
        </w:tc>
        <w:tc>
          <w:tcPr>
            <w:tcW w:w="468" w:type="pct"/>
            <w:gridSpan w:val="2"/>
            <w:vMerge w:val="restart"/>
            <w:tcBorders>
              <w:top w:val="single" w:sz="4" w:space="0" w:color="auto"/>
              <w:left w:val="single" w:sz="4" w:space="0" w:color="auto"/>
              <w:bottom w:val="single" w:sz="4" w:space="0" w:color="auto"/>
              <w:right w:val="single" w:sz="4" w:space="0" w:color="auto"/>
            </w:tcBorders>
            <w:vAlign w:val="center"/>
          </w:tcPr>
          <w:p w:rsidR="00B62715" w:rsidRPr="00A700F7" w:rsidRDefault="00405DEC" w:rsidP="00B86AC4">
            <w:pPr>
              <w:keepNext/>
              <w:keepLines/>
              <w:jc w:val="center"/>
              <w:rPr>
                <w:rFonts w:ascii="Arial Narrow" w:hAnsi="Arial Narrow"/>
                <w:b/>
                <w:color w:val="000000"/>
                <w:sz w:val="20"/>
                <w:szCs w:val="18"/>
              </w:rPr>
            </w:pPr>
            <w:proofErr w:type="spellStart"/>
            <w:r w:rsidRPr="00A700F7">
              <w:rPr>
                <w:rFonts w:ascii="Arial Narrow" w:hAnsi="Arial Narrow"/>
                <w:b/>
                <w:color w:val="000000"/>
                <w:sz w:val="20"/>
                <w:szCs w:val="18"/>
              </w:rPr>
              <w:t>Eren</w:t>
            </w:r>
            <w:proofErr w:type="spellEnd"/>
          </w:p>
          <w:p w:rsidR="002C5889" w:rsidRPr="00A700F7" w:rsidRDefault="002C5889"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n/N</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PBO</w:t>
            </w:r>
          </w:p>
          <w:p w:rsidR="002C5889" w:rsidRPr="00A700F7" w:rsidRDefault="002C5889"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n/N</w:t>
            </w:r>
          </w:p>
        </w:tc>
        <w:tc>
          <w:tcPr>
            <w:tcW w:w="550" w:type="pct"/>
            <w:gridSpan w:val="2"/>
            <w:vMerge w:val="restart"/>
            <w:tcBorders>
              <w:top w:val="single" w:sz="4" w:space="0" w:color="auto"/>
              <w:left w:val="single" w:sz="4" w:space="0" w:color="auto"/>
              <w:bottom w:val="single" w:sz="4" w:space="0" w:color="auto"/>
              <w:right w:val="single" w:sz="4" w:space="0" w:color="auto"/>
            </w:tcBorders>
            <w:vAlign w:val="center"/>
          </w:tcPr>
          <w:p w:rsidR="00B62715" w:rsidRPr="00A700F7" w:rsidRDefault="00405DEC"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Botox</w:t>
            </w:r>
          </w:p>
          <w:p w:rsidR="002C5889" w:rsidRPr="00A700F7" w:rsidRDefault="002C5889"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n/N</w:t>
            </w:r>
          </w:p>
        </w:tc>
        <w:tc>
          <w:tcPr>
            <w:tcW w:w="626" w:type="pct"/>
            <w:gridSpan w:val="2"/>
            <w:vMerge w:val="restart"/>
            <w:tcBorders>
              <w:top w:val="single" w:sz="4" w:space="0" w:color="auto"/>
              <w:left w:val="single" w:sz="4" w:space="0" w:color="auto"/>
              <w:bottom w:val="single" w:sz="4" w:space="0" w:color="auto"/>
              <w:right w:val="single" w:sz="4" w:space="0" w:color="auto"/>
            </w:tcBorders>
            <w:vAlign w:val="center"/>
          </w:tcPr>
          <w:p w:rsidR="00B62715" w:rsidRPr="00A700F7" w:rsidRDefault="00405DEC"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O</w:t>
            </w:r>
            <w:r w:rsidR="00B62715" w:rsidRPr="00A700F7">
              <w:rPr>
                <w:rFonts w:ascii="Arial Narrow" w:hAnsi="Arial Narrow"/>
                <w:b/>
                <w:color w:val="000000"/>
                <w:sz w:val="20"/>
                <w:szCs w:val="18"/>
              </w:rPr>
              <w:t>R</w:t>
            </w:r>
          </w:p>
          <w:p w:rsidR="00B62715" w:rsidRPr="00A700F7" w:rsidRDefault="00B62715" w:rsidP="00B86AC4">
            <w:pPr>
              <w:keepNext/>
              <w:keepLines/>
              <w:jc w:val="center"/>
              <w:rPr>
                <w:rFonts w:ascii="Arial Narrow" w:hAnsi="Arial Narrow"/>
                <w:color w:val="000000"/>
                <w:sz w:val="20"/>
                <w:szCs w:val="18"/>
              </w:rPr>
            </w:pPr>
            <w:r w:rsidRPr="00A700F7">
              <w:rPr>
                <w:rFonts w:ascii="Arial Narrow" w:hAnsi="Arial Narrow"/>
                <w:b/>
                <w:color w:val="000000"/>
                <w:sz w:val="20"/>
                <w:szCs w:val="18"/>
              </w:rPr>
              <w:t>(95% CI)</w:t>
            </w:r>
          </w:p>
        </w:tc>
        <w:tc>
          <w:tcPr>
            <w:tcW w:w="1720" w:type="pct"/>
            <w:gridSpan w:val="5"/>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 xml:space="preserve">Event rate/100 patients* </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RD</w:t>
            </w:r>
          </w:p>
          <w:p w:rsidR="00B62715" w:rsidRPr="00A700F7" w:rsidRDefault="00B62715" w:rsidP="00B86AC4">
            <w:pPr>
              <w:keepNext/>
              <w:keepLines/>
              <w:jc w:val="center"/>
              <w:rPr>
                <w:rFonts w:ascii="Arial Narrow" w:hAnsi="Arial Narrow"/>
                <w:color w:val="000000"/>
                <w:sz w:val="20"/>
                <w:szCs w:val="18"/>
              </w:rPr>
            </w:pPr>
            <w:r w:rsidRPr="00A700F7">
              <w:rPr>
                <w:rFonts w:ascii="Arial Narrow" w:hAnsi="Arial Narrow"/>
                <w:b/>
                <w:color w:val="000000"/>
                <w:sz w:val="20"/>
                <w:szCs w:val="18"/>
              </w:rPr>
              <w:t>(95% CI)</w:t>
            </w:r>
          </w:p>
        </w:tc>
      </w:tr>
      <w:tr w:rsidR="003D4A30" w:rsidRPr="00A700F7" w:rsidTr="0078396F">
        <w:trPr>
          <w:trHeight w:val="7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A700F7" w:rsidRDefault="00B62715" w:rsidP="00B86AC4">
            <w:pPr>
              <w:keepNext/>
              <w:keepLines/>
              <w:jc w:val="left"/>
              <w:rPr>
                <w:rFonts w:ascii="Arial Narrow" w:hAnsi="Arial Narrow"/>
                <w:color w:val="000000"/>
                <w:sz w:val="20"/>
                <w:szCs w:val="18"/>
              </w:rPr>
            </w:pPr>
          </w:p>
        </w:tc>
        <w:tc>
          <w:tcPr>
            <w:tcW w:w="468" w:type="pct"/>
            <w:gridSpan w:val="2"/>
            <w:vMerge/>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p>
        </w:tc>
        <w:tc>
          <w:tcPr>
            <w:tcW w:w="550" w:type="pct"/>
            <w:gridSpan w:val="2"/>
            <w:vMerge/>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p>
        </w:tc>
        <w:tc>
          <w:tcPr>
            <w:tcW w:w="626" w:type="pct"/>
            <w:gridSpan w:val="2"/>
            <w:vMerge/>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p>
        </w:tc>
        <w:tc>
          <w:tcPr>
            <w:tcW w:w="547" w:type="pct"/>
            <w:tcBorders>
              <w:top w:val="single" w:sz="4" w:space="0" w:color="auto"/>
              <w:left w:val="single" w:sz="4" w:space="0" w:color="auto"/>
              <w:bottom w:val="single" w:sz="4" w:space="0" w:color="auto"/>
              <w:right w:val="single" w:sz="4" w:space="0" w:color="auto"/>
            </w:tcBorders>
            <w:vAlign w:val="center"/>
          </w:tcPr>
          <w:p w:rsidR="00B62715" w:rsidRPr="00A700F7" w:rsidRDefault="00405DEC" w:rsidP="00B86AC4">
            <w:pPr>
              <w:keepNext/>
              <w:keepLines/>
              <w:jc w:val="center"/>
              <w:rPr>
                <w:rFonts w:ascii="Arial Narrow" w:hAnsi="Arial Narrow"/>
                <w:b/>
                <w:color w:val="000000"/>
                <w:sz w:val="20"/>
                <w:szCs w:val="18"/>
              </w:rPr>
            </w:pPr>
            <w:proofErr w:type="spellStart"/>
            <w:r w:rsidRPr="00A700F7">
              <w:rPr>
                <w:rFonts w:ascii="Arial Narrow" w:hAnsi="Arial Narrow"/>
                <w:b/>
                <w:color w:val="000000"/>
                <w:sz w:val="20"/>
                <w:szCs w:val="18"/>
              </w:rPr>
              <w:t>Eren</w:t>
            </w:r>
            <w:proofErr w:type="spellEnd"/>
          </w:p>
        </w:tc>
        <w:tc>
          <w:tcPr>
            <w:tcW w:w="461" w:type="pct"/>
            <w:gridSpan w:val="2"/>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PBO</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62715" w:rsidRPr="00A700F7" w:rsidRDefault="00405DEC"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Botox</w:t>
            </w:r>
          </w:p>
        </w:tc>
        <w:tc>
          <w:tcPr>
            <w:tcW w:w="605" w:type="pct"/>
            <w:vMerge/>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b/>
                <w:color w:val="000000"/>
                <w:sz w:val="20"/>
                <w:szCs w:val="18"/>
              </w:rPr>
            </w:pPr>
          </w:p>
        </w:tc>
      </w:tr>
      <w:tr w:rsidR="003D4A30" w:rsidRPr="00A700F7" w:rsidTr="0078396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B62715" w:rsidRPr="00A700F7" w:rsidRDefault="004001AB" w:rsidP="00B86AC4">
            <w:pPr>
              <w:keepNext/>
              <w:keepLines/>
              <w:jc w:val="left"/>
              <w:rPr>
                <w:rFonts w:ascii="Arial Narrow" w:hAnsi="Arial Narrow"/>
                <w:color w:val="000000"/>
                <w:sz w:val="20"/>
                <w:szCs w:val="18"/>
              </w:rPr>
            </w:pPr>
            <w:r w:rsidRPr="00A700F7">
              <w:rPr>
                <w:rFonts w:ascii="Arial Narrow" w:hAnsi="Arial Narrow"/>
                <w:color w:val="000000"/>
                <w:sz w:val="20"/>
                <w:szCs w:val="18"/>
              </w:rPr>
              <w:t>Study 295</w:t>
            </w:r>
          </w:p>
        </w:tc>
        <w:tc>
          <w:tcPr>
            <w:tcW w:w="468" w:type="pct"/>
            <w:gridSpan w:val="2"/>
            <w:tcBorders>
              <w:top w:val="single" w:sz="4" w:space="0" w:color="auto"/>
              <w:left w:val="single" w:sz="4" w:space="0" w:color="auto"/>
              <w:bottom w:val="single" w:sz="4" w:space="0" w:color="auto"/>
              <w:right w:val="single" w:sz="4" w:space="0" w:color="auto"/>
            </w:tcBorders>
            <w:vAlign w:val="center"/>
          </w:tcPr>
          <w:p w:rsidR="00B62715" w:rsidRPr="00A700F7" w:rsidRDefault="00AF24DF" w:rsidP="00B86AC4">
            <w:pPr>
              <w:keepNext/>
              <w:keepLines/>
              <w:jc w:val="center"/>
              <w:rPr>
                <w:rFonts w:ascii="Arial Narrow" w:hAnsi="Arial Narrow"/>
                <w:sz w:val="20"/>
                <w:szCs w:val="20"/>
              </w:rPr>
            </w:pPr>
            <w:r>
              <w:rPr>
                <w:rFonts w:ascii="Arial Narrow" w:hAnsi="Arial Narrow"/>
                <w:noProof/>
                <w:color w:val="000000"/>
                <w:sz w:val="20"/>
                <w:szCs w:val="20"/>
                <w:highlight w:val="black"/>
              </w:rPr>
              <w:t>''''''</w:t>
            </w:r>
            <w:r w:rsidR="00405DEC" w:rsidRPr="00A700F7">
              <w:rPr>
                <w:rFonts w:ascii="Arial Narrow" w:hAnsi="Arial Narrow"/>
                <w:sz w:val="20"/>
                <w:szCs w:val="20"/>
              </w:rPr>
              <w:t>/</w:t>
            </w:r>
            <w:r>
              <w:rPr>
                <w:rFonts w:ascii="Arial Narrow" w:hAnsi="Arial Narrow"/>
                <w:noProof/>
                <w:color w:val="000000"/>
                <w:sz w:val="20"/>
                <w:szCs w:val="20"/>
                <w:highlight w:val="black"/>
              </w:rPr>
              <w:t>''''''</w:t>
            </w:r>
            <w:r w:rsidR="00405DEC" w:rsidRPr="00A700F7">
              <w:rPr>
                <w:rFonts w:ascii="Arial Narrow" w:hAnsi="Arial Narrow"/>
                <w:sz w:val="20"/>
                <w:szCs w:val="20"/>
              </w:rPr>
              <w:t xml:space="preserve"> (</w:t>
            </w:r>
            <w:r>
              <w:rPr>
                <w:rFonts w:ascii="Arial Narrow" w:hAnsi="Arial Narrow"/>
                <w:noProof/>
                <w:color w:val="000000"/>
                <w:sz w:val="20"/>
                <w:szCs w:val="20"/>
                <w:highlight w:val="black"/>
              </w:rPr>
              <w:t>''''''''''</w:t>
            </w:r>
            <w:r w:rsidR="00405DEC" w:rsidRPr="00A700F7">
              <w:rPr>
                <w:rFonts w:ascii="Arial Narrow" w:hAnsi="Arial Narrow"/>
                <w:sz w:val="20"/>
                <w:szCs w:val="20"/>
              </w:rPr>
              <w:t>%)</w:t>
            </w:r>
          </w:p>
        </w:tc>
        <w:tc>
          <w:tcPr>
            <w:tcW w:w="392" w:type="pct"/>
            <w:tcBorders>
              <w:top w:val="single" w:sz="4" w:space="0" w:color="auto"/>
              <w:left w:val="single" w:sz="4" w:space="0" w:color="auto"/>
              <w:bottom w:val="single" w:sz="4" w:space="0" w:color="auto"/>
              <w:right w:val="single" w:sz="4" w:space="0" w:color="auto"/>
            </w:tcBorders>
            <w:vAlign w:val="center"/>
          </w:tcPr>
          <w:p w:rsidR="00B62715" w:rsidRPr="00A700F7" w:rsidRDefault="00AF24DF" w:rsidP="00B86AC4">
            <w:pPr>
              <w:keepNext/>
              <w:keepLines/>
              <w:jc w:val="center"/>
              <w:rPr>
                <w:rFonts w:ascii="Arial Narrow" w:hAnsi="Arial Narrow" w:cs="Arial"/>
                <w:sz w:val="20"/>
                <w:szCs w:val="20"/>
              </w:rPr>
            </w:pPr>
            <w:r>
              <w:rPr>
                <w:rFonts w:ascii="Arial Narrow" w:hAnsi="Arial Narrow" w:cs="Arial"/>
                <w:noProof/>
                <w:color w:val="000000"/>
                <w:sz w:val="20"/>
                <w:szCs w:val="20"/>
                <w:highlight w:val="black"/>
              </w:rPr>
              <w:t>'''</w:t>
            </w:r>
            <w:r w:rsidR="00405DEC" w:rsidRPr="00A700F7">
              <w:rPr>
                <w:rFonts w:ascii="Arial Narrow" w:hAnsi="Arial Narrow" w:cs="Arial"/>
                <w:sz w:val="20"/>
                <w:szCs w:val="20"/>
              </w:rPr>
              <w:t>/</w:t>
            </w:r>
            <w:r>
              <w:rPr>
                <w:rFonts w:ascii="Arial Narrow" w:hAnsi="Arial Narrow" w:cs="Arial"/>
                <w:noProof/>
                <w:color w:val="000000"/>
                <w:sz w:val="20"/>
                <w:szCs w:val="20"/>
                <w:highlight w:val="black"/>
              </w:rPr>
              <w:t>'''''</w:t>
            </w:r>
            <w:r w:rsidR="00405DEC" w:rsidRPr="00A700F7">
              <w:rPr>
                <w:rFonts w:ascii="Arial Narrow" w:hAnsi="Arial Narrow" w:cs="Arial"/>
                <w:sz w:val="20"/>
                <w:szCs w:val="20"/>
              </w:rPr>
              <w:t xml:space="preserve"> (</w:t>
            </w:r>
            <w:r>
              <w:rPr>
                <w:rFonts w:ascii="Arial Narrow" w:hAnsi="Arial Narrow" w:cs="Arial"/>
                <w:noProof/>
                <w:color w:val="000000"/>
                <w:sz w:val="20"/>
                <w:szCs w:val="20"/>
                <w:highlight w:val="black"/>
              </w:rPr>
              <w:t>''''''''</w:t>
            </w:r>
            <w:r w:rsidR="00405DEC" w:rsidRPr="00A700F7">
              <w:rPr>
                <w:rFonts w:ascii="Arial Narrow" w:hAnsi="Arial Narrow" w:cs="Arial"/>
                <w:sz w:val="20"/>
                <w:szCs w:val="20"/>
              </w:rPr>
              <w:t>%)</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130FED" w:rsidRPr="00AF24DF" w:rsidRDefault="00AF24DF" w:rsidP="00B86AC4">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p w:rsidR="00B62715" w:rsidRPr="00A700F7" w:rsidRDefault="00405DEC" w:rsidP="00B86AC4">
            <w:pPr>
              <w:keepNext/>
              <w:keepLines/>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r w:rsidRPr="00A700F7">
              <w:rPr>
                <w:rFonts w:ascii="Arial Narrow" w:hAnsi="Arial Narrow"/>
                <w:sz w:val="20"/>
                <w:szCs w:val="20"/>
              </w:rPr>
              <w:t xml:space="preserve">, </w:t>
            </w:r>
            <w:r w:rsidR="00AF24DF">
              <w:rPr>
                <w:rFonts w:ascii="Arial Narrow" w:hAnsi="Arial Narrow"/>
                <w:noProof/>
                <w:color w:val="000000"/>
                <w:sz w:val="20"/>
                <w:szCs w:val="20"/>
                <w:highlight w:val="black"/>
              </w:rPr>
              <w:t>'''''''''''''''</w:t>
            </w:r>
            <w:r w:rsidRPr="00A700F7">
              <w:rPr>
                <w:rFonts w:ascii="Arial Narrow" w:hAnsi="Arial Narrow"/>
                <w:sz w:val="20"/>
                <w:szCs w:val="20"/>
              </w:rPr>
              <w:t>)</w:t>
            </w:r>
          </w:p>
        </w:tc>
        <w:tc>
          <w:tcPr>
            <w:tcW w:w="547" w:type="pct"/>
            <w:tcBorders>
              <w:top w:val="single" w:sz="4" w:space="0" w:color="auto"/>
              <w:left w:val="single" w:sz="4" w:space="0" w:color="auto"/>
              <w:bottom w:val="single" w:sz="4" w:space="0" w:color="auto"/>
              <w:right w:val="single" w:sz="4" w:space="0" w:color="auto"/>
            </w:tcBorders>
            <w:vAlign w:val="center"/>
          </w:tcPr>
          <w:p w:rsidR="00B62715" w:rsidRPr="00AF24DF" w:rsidRDefault="00AF24DF" w:rsidP="00B86AC4">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62715" w:rsidRPr="00AF24DF" w:rsidRDefault="00AF24DF" w:rsidP="00B86AC4">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62715" w:rsidRPr="00A700F7" w:rsidRDefault="00B62715"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w:t>
            </w:r>
          </w:p>
        </w:tc>
        <w:tc>
          <w:tcPr>
            <w:tcW w:w="605" w:type="pct"/>
            <w:tcBorders>
              <w:top w:val="single" w:sz="4" w:space="0" w:color="auto"/>
              <w:left w:val="single" w:sz="4" w:space="0" w:color="auto"/>
              <w:bottom w:val="single" w:sz="4" w:space="0" w:color="auto"/>
              <w:right w:val="single" w:sz="4" w:space="0" w:color="auto"/>
            </w:tcBorders>
            <w:vAlign w:val="center"/>
          </w:tcPr>
          <w:p w:rsidR="00680558" w:rsidRPr="00AF24DF" w:rsidRDefault="00AF24DF" w:rsidP="00B86AC4">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p>
          <w:p w:rsidR="00B62715" w:rsidRPr="00A700F7" w:rsidRDefault="00AF24DF" w:rsidP="00B86AC4">
            <w:pPr>
              <w:keepNext/>
              <w:keepLines/>
              <w:jc w:val="center"/>
              <w:rPr>
                <w:rFonts w:ascii="Arial Narrow" w:hAnsi="Arial Narrow"/>
                <w:color w:val="000000"/>
                <w:sz w:val="20"/>
                <w:szCs w:val="18"/>
              </w:rPr>
            </w:pPr>
            <w:r>
              <w:rPr>
                <w:rFonts w:ascii="Arial Narrow" w:hAnsi="Arial Narrow"/>
                <w:noProof/>
                <w:color w:val="000000"/>
                <w:sz w:val="20"/>
                <w:szCs w:val="18"/>
                <w:highlight w:val="black"/>
              </w:rPr>
              <w:t>'''''''''''</w:t>
            </w:r>
            <w:r w:rsidR="00680558" w:rsidRPr="00A700F7">
              <w:rPr>
                <w:rFonts w:ascii="Arial Narrow" w:hAnsi="Arial Narrow"/>
                <w:color w:val="000000"/>
                <w:sz w:val="20"/>
                <w:szCs w:val="18"/>
              </w:rPr>
              <w:t xml:space="preserve">, </w:t>
            </w:r>
            <w:r>
              <w:rPr>
                <w:rFonts w:ascii="Arial Narrow" w:hAnsi="Arial Narrow"/>
                <w:noProof/>
                <w:color w:val="000000"/>
                <w:sz w:val="20"/>
                <w:szCs w:val="18"/>
                <w:highlight w:val="black"/>
              </w:rPr>
              <w:t>'''''''''''</w:t>
            </w:r>
            <w:r w:rsidR="00680558" w:rsidRPr="00A700F7">
              <w:rPr>
                <w:rFonts w:ascii="Arial Narrow" w:hAnsi="Arial Narrow"/>
                <w:color w:val="000000"/>
                <w:sz w:val="20"/>
                <w:szCs w:val="18"/>
              </w:rPr>
              <w:t>)</w:t>
            </w:r>
          </w:p>
        </w:tc>
      </w:tr>
      <w:tr w:rsidR="00405DEC" w:rsidRPr="00A700F7" w:rsidTr="0078396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405DEC" w:rsidRPr="00A700F7" w:rsidRDefault="00405DEC" w:rsidP="00B86AC4">
            <w:pPr>
              <w:keepNext/>
              <w:keepLines/>
              <w:jc w:val="left"/>
              <w:rPr>
                <w:rFonts w:ascii="Arial Narrow" w:hAnsi="Arial Narrow"/>
                <w:color w:val="000000"/>
                <w:sz w:val="20"/>
                <w:szCs w:val="18"/>
              </w:rPr>
            </w:pPr>
            <w:r w:rsidRPr="00A700F7">
              <w:rPr>
                <w:rFonts w:ascii="Arial Narrow" w:hAnsi="Arial Narrow"/>
                <w:color w:val="000000"/>
                <w:sz w:val="20"/>
                <w:szCs w:val="18"/>
              </w:rPr>
              <w:t>PREEMPT I and II</w:t>
            </w:r>
          </w:p>
        </w:tc>
        <w:tc>
          <w:tcPr>
            <w:tcW w:w="468" w:type="pct"/>
            <w:gridSpan w:val="2"/>
            <w:tcBorders>
              <w:top w:val="single" w:sz="4" w:space="0" w:color="auto"/>
              <w:left w:val="single" w:sz="4" w:space="0" w:color="auto"/>
              <w:bottom w:val="single" w:sz="4" w:space="0" w:color="auto"/>
              <w:right w:val="single" w:sz="4" w:space="0" w:color="auto"/>
            </w:tcBorders>
            <w:vAlign w:val="center"/>
          </w:tcPr>
          <w:p w:rsidR="00405DEC" w:rsidRPr="00A700F7" w:rsidRDefault="008B07C7"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w:t>
            </w:r>
          </w:p>
        </w:tc>
        <w:tc>
          <w:tcPr>
            <w:tcW w:w="392" w:type="pct"/>
            <w:tcBorders>
              <w:top w:val="single" w:sz="4" w:space="0" w:color="auto"/>
              <w:left w:val="single" w:sz="4" w:space="0" w:color="auto"/>
              <w:bottom w:val="single" w:sz="4" w:space="0" w:color="auto"/>
              <w:right w:val="single" w:sz="4" w:space="0" w:color="auto"/>
            </w:tcBorders>
            <w:vAlign w:val="center"/>
          </w:tcPr>
          <w:p w:rsidR="00405DEC" w:rsidRPr="00A700F7" w:rsidRDefault="00405DEC" w:rsidP="00B86AC4">
            <w:pPr>
              <w:keepNext/>
              <w:keepLines/>
              <w:jc w:val="center"/>
              <w:rPr>
                <w:rFonts w:ascii="Arial Narrow" w:hAnsi="Arial Narrow"/>
                <w:color w:val="000000"/>
                <w:sz w:val="20"/>
                <w:szCs w:val="20"/>
              </w:rPr>
            </w:pPr>
            <w:r w:rsidRPr="00A700F7">
              <w:rPr>
                <w:rFonts w:ascii="Arial Narrow" w:hAnsi="Arial Narrow"/>
                <w:sz w:val="20"/>
                <w:szCs w:val="20"/>
              </w:rPr>
              <w:t>51/207 (24.6%)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405DEC" w:rsidRPr="00A700F7" w:rsidRDefault="00405DEC" w:rsidP="00B86AC4">
            <w:pPr>
              <w:keepNext/>
              <w:keepLines/>
              <w:jc w:val="center"/>
              <w:rPr>
                <w:rFonts w:ascii="Arial Narrow" w:hAnsi="Arial Narrow"/>
                <w:color w:val="000000"/>
                <w:sz w:val="20"/>
                <w:szCs w:val="20"/>
              </w:rPr>
            </w:pPr>
            <w:r w:rsidRPr="00A700F7">
              <w:rPr>
                <w:rFonts w:ascii="Arial Narrow" w:hAnsi="Arial Narrow"/>
                <w:sz w:val="20"/>
                <w:szCs w:val="20"/>
              </w:rPr>
              <w:t>76/189 (40.2%)</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130FED" w:rsidRPr="00A700F7" w:rsidRDefault="00405DEC" w:rsidP="00B86AC4">
            <w:pPr>
              <w:keepNext/>
              <w:keepLines/>
              <w:jc w:val="center"/>
              <w:rPr>
                <w:rFonts w:ascii="Arial Narrow" w:hAnsi="Arial Narrow"/>
                <w:sz w:val="20"/>
                <w:szCs w:val="20"/>
              </w:rPr>
            </w:pPr>
            <w:r w:rsidRPr="00A700F7">
              <w:rPr>
                <w:rFonts w:ascii="Arial Narrow" w:hAnsi="Arial Narrow"/>
                <w:sz w:val="20"/>
                <w:szCs w:val="20"/>
              </w:rPr>
              <w:t xml:space="preserve">2.06 </w:t>
            </w:r>
          </w:p>
          <w:p w:rsidR="00405DEC" w:rsidRPr="00A700F7" w:rsidRDefault="00405DEC" w:rsidP="00B86AC4">
            <w:pPr>
              <w:keepNext/>
              <w:keepLines/>
              <w:jc w:val="center"/>
              <w:rPr>
                <w:rFonts w:ascii="Arial Narrow" w:hAnsi="Arial Narrow"/>
                <w:color w:val="000000"/>
                <w:sz w:val="20"/>
                <w:szCs w:val="20"/>
              </w:rPr>
            </w:pPr>
            <w:r w:rsidRPr="00A700F7">
              <w:rPr>
                <w:rFonts w:ascii="Arial Narrow" w:hAnsi="Arial Narrow"/>
                <w:sz w:val="20"/>
                <w:szCs w:val="20"/>
              </w:rPr>
              <w:t>(1.34, 3.16)</w:t>
            </w:r>
          </w:p>
        </w:tc>
        <w:tc>
          <w:tcPr>
            <w:tcW w:w="547" w:type="pct"/>
            <w:tcBorders>
              <w:top w:val="single" w:sz="4" w:space="0" w:color="auto"/>
              <w:left w:val="single" w:sz="4" w:space="0" w:color="auto"/>
              <w:bottom w:val="single" w:sz="4" w:space="0" w:color="auto"/>
              <w:right w:val="single" w:sz="4" w:space="0" w:color="auto"/>
            </w:tcBorders>
            <w:vAlign w:val="center"/>
          </w:tcPr>
          <w:p w:rsidR="00405DEC" w:rsidRPr="00A700F7" w:rsidRDefault="00405DEC"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405DEC" w:rsidRPr="00A700F7" w:rsidRDefault="002E3218"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24.6</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405DEC" w:rsidRPr="00A700F7" w:rsidRDefault="002E3218"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40.2</w:t>
            </w:r>
          </w:p>
        </w:tc>
        <w:tc>
          <w:tcPr>
            <w:tcW w:w="605" w:type="pct"/>
            <w:tcBorders>
              <w:top w:val="single" w:sz="4" w:space="0" w:color="auto"/>
              <w:left w:val="single" w:sz="4" w:space="0" w:color="auto"/>
              <w:bottom w:val="single" w:sz="4" w:space="0" w:color="auto"/>
              <w:right w:val="single" w:sz="4" w:space="0" w:color="auto"/>
            </w:tcBorders>
            <w:vAlign w:val="center"/>
          </w:tcPr>
          <w:p w:rsidR="00680558" w:rsidRPr="00A700F7" w:rsidRDefault="00680558"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 xml:space="preserve">0.16 </w:t>
            </w:r>
          </w:p>
          <w:p w:rsidR="00405DEC" w:rsidRPr="00A700F7" w:rsidRDefault="00680558"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(0.06, 0.25)</w:t>
            </w:r>
          </w:p>
        </w:tc>
      </w:tr>
      <w:tr w:rsidR="00405DEC" w:rsidRPr="00A700F7" w:rsidTr="0078396F">
        <w:tc>
          <w:tcPr>
            <w:tcW w:w="2049" w:type="pct"/>
            <w:gridSpan w:val="6"/>
            <w:tcBorders>
              <w:top w:val="single" w:sz="4" w:space="0" w:color="auto"/>
              <w:left w:val="single" w:sz="4" w:space="0" w:color="auto"/>
              <w:bottom w:val="double" w:sz="4" w:space="0" w:color="auto"/>
              <w:right w:val="single" w:sz="4" w:space="0" w:color="auto"/>
            </w:tcBorders>
            <w:shd w:val="clear" w:color="auto" w:fill="auto"/>
            <w:vAlign w:val="center"/>
          </w:tcPr>
          <w:p w:rsidR="00405DEC" w:rsidRPr="00A700F7" w:rsidRDefault="00405DEC" w:rsidP="00B86AC4">
            <w:pPr>
              <w:keepNext/>
              <w:keepLines/>
              <w:jc w:val="right"/>
              <w:rPr>
                <w:rFonts w:ascii="Arial Narrow" w:hAnsi="Arial Narrow"/>
                <w:b/>
                <w:color w:val="000000"/>
                <w:sz w:val="20"/>
                <w:szCs w:val="18"/>
              </w:rPr>
            </w:pPr>
            <w:r w:rsidRPr="00A700F7">
              <w:rPr>
                <w:rFonts w:ascii="Arial Narrow" w:hAnsi="Arial Narrow"/>
                <w:b/>
                <w:color w:val="000000"/>
                <w:sz w:val="20"/>
                <w:szCs w:val="18"/>
              </w:rPr>
              <w:t>Indirect comparison</w:t>
            </w:r>
          </w:p>
        </w:tc>
        <w:tc>
          <w:tcPr>
            <w:tcW w:w="626" w:type="pct"/>
            <w:gridSpan w:val="2"/>
            <w:tcBorders>
              <w:top w:val="single" w:sz="4" w:space="0" w:color="auto"/>
              <w:left w:val="single" w:sz="4" w:space="0" w:color="auto"/>
              <w:bottom w:val="double" w:sz="4" w:space="0" w:color="auto"/>
              <w:right w:val="single" w:sz="4" w:space="0" w:color="auto"/>
            </w:tcBorders>
            <w:vAlign w:val="center"/>
          </w:tcPr>
          <w:p w:rsidR="00405DEC" w:rsidRPr="00A700F7" w:rsidRDefault="00405DEC" w:rsidP="00B86AC4">
            <w:pPr>
              <w:keepNext/>
              <w:keepLines/>
              <w:jc w:val="center"/>
              <w:rPr>
                <w:rFonts w:ascii="Arial Narrow" w:hAnsi="Arial Narrow"/>
                <w:b/>
                <w:color w:val="000000"/>
                <w:sz w:val="20"/>
                <w:szCs w:val="20"/>
              </w:rPr>
            </w:pPr>
            <w:r w:rsidRPr="00A700F7">
              <w:rPr>
                <w:rFonts w:ascii="Arial Narrow" w:hAnsi="Arial Narrow"/>
                <w:b/>
                <w:sz w:val="20"/>
                <w:szCs w:val="20"/>
              </w:rPr>
              <w:t>OR=</w:t>
            </w:r>
            <w:r w:rsidR="00AF24DF">
              <w:rPr>
                <w:rFonts w:ascii="Arial Narrow" w:hAnsi="Arial Narrow"/>
                <w:b/>
                <w:noProof/>
                <w:color w:val="000000"/>
                <w:sz w:val="20"/>
                <w:szCs w:val="20"/>
                <w:highlight w:val="black"/>
              </w:rPr>
              <w:t>'''''''''</w:t>
            </w:r>
            <w:r w:rsidRPr="00A700F7">
              <w:rPr>
                <w:rFonts w:ascii="Arial Narrow" w:hAnsi="Arial Narrow"/>
                <w:b/>
                <w:sz w:val="20"/>
                <w:szCs w:val="20"/>
              </w:rPr>
              <w:t xml:space="preserve"> (</w:t>
            </w:r>
            <w:r w:rsidR="00AF24DF">
              <w:rPr>
                <w:rFonts w:ascii="Arial Narrow" w:hAnsi="Arial Narrow"/>
                <w:b/>
                <w:noProof/>
                <w:color w:val="000000"/>
                <w:sz w:val="20"/>
                <w:szCs w:val="20"/>
                <w:highlight w:val="black"/>
              </w:rPr>
              <w:t>'''''''''</w:t>
            </w:r>
            <w:r w:rsidRPr="00A700F7">
              <w:rPr>
                <w:rFonts w:ascii="Arial Narrow" w:hAnsi="Arial Narrow"/>
                <w:b/>
                <w:sz w:val="20"/>
                <w:szCs w:val="20"/>
              </w:rPr>
              <w:t>, 10.40)</w:t>
            </w:r>
          </w:p>
        </w:tc>
        <w:tc>
          <w:tcPr>
            <w:tcW w:w="1720" w:type="pct"/>
            <w:gridSpan w:val="5"/>
            <w:tcBorders>
              <w:top w:val="single" w:sz="4" w:space="0" w:color="auto"/>
              <w:left w:val="single" w:sz="4" w:space="0" w:color="auto"/>
              <w:bottom w:val="double" w:sz="4" w:space="0" w:color="auto"/>
              <w:right w:val="single" w:sz="4" w:space="0" w:color="auto"/>
            </w:tcBorders>
            <w:shd w:val="clear" w:color="auto" w:fill="auto"/>
            <w:vAlign w:val="center"/>
          </w:tcPr>
          <w:p w:rsidR="00405DEC" w:rsidRPr="00A700F7" w:rsidRDefault="00405DEC" w:rsidP="00B86AC4">
            <w:pPr>
              <w:keepNext/>
              <w:keepLines/>
              <w:jc w:val="center"/>
              <w:rPr>
                <w:rFonts w:ascii="Arial Narrow" w:hAnsi="Arial Narrow"/>
                <w:color w:val="000000"/>
                <w:sz w:val="20"/>
                <w:szCs w:val="18"/>
              </w:rPr>
            </w:pPr>
            <w:r w:rsidRPr="00A700F7">
              <w:rPr>
                <w:rFonts w:ascii="Arial Narrow" w:hAnsi="Arial Narrow"/>
                <w:color w:val="000000"/>
                <w:sz w:val="20"/>
                <w:szCs w:val="18"/>
              </w:rPr>
              <w:t>-</w:t>
            </w:r>
          </w:p>
        </w:tc>
        <w:tc>
          <w:tcPr>
            <w:tcW w:w="605" w:type="pct"/>
            <w:tcBorders>
              <w:top w:val="single" w:sz="4" w:space="0" w:color="auto"/>
              <w:left w:val="single" w:sz="4" w:space="0" w:color="auto"/>
              <w:bottom w:val="double" w:sz="4" w:space="0" w:color="auto"/>
              <w:right w:val="single" w:sz="4" w:space="0" w:color="auto"/>
            </w:tcBorders>
            <w:vAlign w:val="center"/>
          </w:tcPr>
          <w:p w:rsidR="00680558" w:rsidRPr="00AF24DF" w:rsidRDefault="00AF24DF" w:rsidP="00B86AC4">
            <w:pPr>
              <w:keepNext/>
              <w:keepLines/>
              <w:jc w:val="center"/>
              <w:rPr>
                <w:rFonts w:ascii="Arial Narrow" w:hAnsi="Arial Narrow"/>
                <w:sz w:val="20"/>
                <w:szCs w:val="18"/>
                <w:highlight w:val="black"/>
              </w:rPr>
            </w:pPr>
            <w:r>
              <w:rPr>
                <w:rFonts w:ascii="Arial Narrow" w:hAnsi="Arial Narrow"/>
                <w:noProof/>
                <w:color w:val="000000"/>
                <w:sz w:val="20"/>
                <w:szCs w:val="18"/>
                <w:highlight w:val="black"/>
              </w:rPr>
              <w:t xml:space="preserve">'''''''''' </w:t>
            </w:r>
          </w:p>
          <w:p w:rsidR="00405DEC" w:rsidRPr="00A700F7" w:rsidRDefault="00FA1C1A" w:rsidP="00B86AC4">
            <w:pPr>
              <w:keepNext/>
              <w:keepLines/>
              <w:jc w:val="center"/>
              <w:rPr>
                <w:rFonts w:ascii="Arial Narrow" w:hAnsi="Arial Narrow"/>
                <w:color w:val="000000"/>
                <w:sz w:val="20"/>
                <w:szCs w:val="18"/>
              </w:rPr>
            </w:pPr>
            <w:r w:rsidRPr="00A700F7">
              <w:rPr>
                <w:rFonts w:ascii="Arial Narrow" w:hAnsi="Arial Narrow"/>
                <w:sz w:val="20"/>
                <w:szCs w:val="18"/>
              </w:rPr>
              <w:t>(-</w:t>
            </w:r>
            <w:r w:rsidR="00AF24DF">
              <w:rPr>
                <w:rFonts w:ascii="Arial Narrow" w:hAnsi="Arial Narrow"/>
                <w:noProof/>
                <w:color w:val="000000"/>
                <w:sz w:val="20"/>
                <w:szCs w:val="18"/>
                <w:highlight w:val="black"/>
              </w:rPr>
              <w:t>'''''''''''</w:t>
            </w:r>
            <w:r w:rsidRPr="00A700F7">
              <w:rPr>
                <w:rFonts w:ascii="Arial Narrow" w:hAnsi="Arial Narrow"/>
                <w:sz w:val="20"/>
                <w:szCs w:val="18"/>
              </w:rPr>
              <w:t xml:space="preserve">, </w:t>
            </w:r>
            <w:r w:rsidR="00AF24DF">
              <w:rPr>
                <w:rFonts w:ascii="Arial Narrow" w:hAnsi="Arial Narrow"/>
                <w:noProof/>
                <w:color w:val="000000"/>
                <w:sz w:val="20"/>
                <w:szCs w:val="18"/>
                <w:highlight w:val="black"/>
              </w:rPr>
              <w:t>''''''''''</w:t>
            </w:r>
            <w:r w:rsidRPr="00A700F7">
              <w:rPr>
                <w:rFonts w:ascii="Arial Narrow" w:hAnsi="Arial Narrow"/>
                <w:sz w:val="20"/>
                <w:szCs w:val="18"/>
              </w:rPr>
              <w:t>)</w:t>
            </w:r>
          </w:p>
        </w:tc>
      </w:tr>
      <w:tr w:rsidR="00405DEC" w:rsidRPr="00A700F7" w:rsidTr="003D1DE4">
        <w:tc>
          <w:tcPr>
            <w:tcW w:w="5000" w:type="pct"/>
            <w:gridSpan w:val="14"/>
            <w:tcBorders>
              <w:top w:val="double" w:sz="4" w:space="0" w:color="auto"/>
              <w:left w:val="single" w:sz="4" w:space="0" w:color="auto"/>
              <w:bottom w:val="single" w:sz="4" w:space="0" w:color="auto"/>
              <w:right w:val="single" w:sz="4" w:space="0" w:color="auto"/>
            </w:tcBorders>
            <w:shd w:val="clear" w:color="auto" w:fill="auto"/>
            <w:vAlign w:val="center"/>
          </w:tcPr>
          <w:p w:rsidR="00405DEC" w:rsidRPr="00A700F7" w:rsidRDefault="00842173" w:rsidP="00B86AC4">
            <w:pPr>
              <w:keepNext/>
              <w:keepLines/>
              <w:rPr>
                <w:rFonts w:ascii="Arial Narrow" w:hAnsi="Arial Narrow"/>
                <w:b/>
                <w:color w:val="000000"/>
                <w:sz w:val="20"/>
                <w:szCs w:val="18"/>
              </w:rPr>
            </w:pPr>
            <w:r>
              <w:rPr>
                <w:rFonts w:ascii="Arial Narrow" w:hAnsi="Arial Narrow"/>
                <w:b/>
                <w:color w:val="000000"/>
                <w:sz w:val="20"/>
                <w:szCs w:val="18"/>
              </w:rPr>
              <w:t>I</w:t>
            </w:r>
            <w:r w:rsidR="00405DEC" w:rsidRPr="00A700F7">
              <w:rPr>
                <w:rFonts w:ascii="Arial Narrow" w:hAnsi="Arial Narrow"/>
                <w:b/>
                <w:color w:val="000000"/>
                <w:sz w:val="20"/>
                <w:szCs w:val="18"/>
              </w:rPr>
              <w:t>ndirect comparison: change from baseline in monthly headache days</w:t>
            </w:r>
          </w:p>
        </w:tc>
      </w:tr>
      <w:tr w:rsidR="0078396F" w:rsidRPr="00A700F7" w:rsidTr="0078396F">
        <w:trPr>
          <w:trHeight w:val="225"/>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396F" w:rsidRPr="00A700F7" w:rsidRDefault="0078396F" w:rsidP="00B86AC4">
            <w:pPr>
              <w:keepNext/>
              <w:keepLines/>
              <w:rPr>
                <w:rFonts w:ascii="Arial Narrow" w:hAnsi="Arial Narrow"/>
                <w:color w:val="000000"/>
                <w:sz w:val="20"/>
                <w:szCs w:val="18"/>
              </w:rPr>
            </w:pPr>
          </w:p>
        </w:tc>
        <w:tc>
          <w:tcPr>
            <w:tcW w:w="1410" w:type="pct"/>
            <w:gridSpan w:val="5"/>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color w:val="000000"/>
                <w:sz w:val="20"/>
                <w:szCs w:val="18"/>
              </w:rPr>
            </w:pPr>
            <w:r w:rsidRPr="00A700F7">
              <w:rPr>
                <w:rFonts w:ascii="Arial Narrow" w:hAnsi="Arial Narrow"/>
                <w:b/>
                <w:color w:val="000000"/>
                <w:sz w:val="20"/>
                <w:szCs w:val="18"/>
              </w:rPr>
              <w:t>Active treatment group</w:t>
            </w:r>
          </w:p>
        </w:tc>
        <w:tc>
          <w:tcPr>
            <w:tcW w:w="1643" w:type="pct"/>
            <w:gridSpan w:val="6"/>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color w:val="000000"/>
                <w:sz w:val="20"/>
                <w:szCs w:val="18"/>
              </w:rPr>
            </w:pPr>
            <w:r w:rsidRPr="00A700F7">
              <w:rPr>
                <w:rFonts w:ascii="Arial Narrow" w:hAnsi="Arial Narrow"/>
                <w:b/>
                <w:color w:val="000000"/>
                <w:sz w:val="20"/>
                <w:szCs w:val="18"/>
              </w:rPr>
              <w:t>Common arm comparator</w:t>
            </w:r>
          </w:p>
        </w:tc>
        <w:tc>
          <w:tcPr>
            <w:tcW w:w="1308" w:type="pct"/>
            <w:gridSpan w:val="2"/>
            <w:vMerge w:val="restart"/>
            <w:tcBorders>
              <w:top w:val="single" w:sz="4" w:space="0" w:color="auto"/>
              <w:left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 xml:space="preserve">Indirect comparison: </w:t>
            </w:r>
          </w:p>
          <w:p w:rsidR="0078396F" w:rsidRDefault="0078396F" w:rsidP="00B86AC4">
            <w:pPr>
              <w:keepNext/>
              <w:keepLines/>
              <w:jc w:val="center"/>
              <w:rPr>
                <w:rFonts w:ascii="Arial Narrow" w:hAnsi="Arial Narrow"/>
                <w:b/>
                <w:sz w:val="20"/>
                <w:szCs w:val="18"/>
              </w:rPr>
            </w:pPr>
            <w:r w:rsidRPr="00A700F7">
              <w:rPr>
                <w:rFonts w:ascii="Arial Narrow" w:hAnsi="Arial Narrow"/>
                <w:b/>
                <w:sz w:val="20"/>
                <w:szCs w:val="18"/>
              </w:rPr>
              <w:t>WMD</w:t>
            </w:r>
            <w:r>
              <w:rPr>
                <w:rFonts w:ascii="Arial Narrow" w:hAnsi="Arial Narrow"/>
                <w:b/>
                <w:sz w:val="20"/>
                <w:szCs w:val="18"/>
              </w:rPr>
              <w:t xml:space="preserve"> </w:t>
            </w:r>
          </w:p>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(95% CI)</w:t>
            </w:r>
          </w:p>
        </w:tc>
      </w:tr>
      <w:tr w:rsidR="0078396F" w:rsidRPr="00A700F7" w:rsidTr="0078396F">
        <w:trPr>
          <w:trHeight w:val="225"/>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8396F" w:rsidRPr="00A700F7" w:rsidRDefault="0078396F" w:rsidP="00B86AC4">
            <w:pPr>
              <w:keepNext/>
              <w:keepLines/>
              <w:rPr>
                <w:rFonts w:ascii="Arial Narrow" w:hAnsi="Arial Narrow"/>
                <w:color w:val="000000"/>
                <w:sz w:val="20"/>
                <w:szCs w:val="18"/>
              </w:rPr>
            </w:pPr>
          </w:p>
        </w:tc>
        <w:tc>
          <w:tcPr>
            <w:tcW w:w="315" w:type="pct"/>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N</w:t>
            </w:r>
          </w:p>
        </w:tc>
        <w:tc>
          <w:tcPr>
            <w:tcW w:w="783" w:type="pct"/>
            <w:gridSpan w:val="3"/>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 xml:space="preserve">Mean </w:t>
            </w:r>
            <w:r>
              <w:rPr>
                <w:rFonts w:ascii="Arial Narrow" w:hAnsi="Arial Narrow"/>
                <w:b/>
                <w:sz w:val="20"/>
                <w:szCs w:val="18"/>
              </w:rPr>
              <w:br/>
            </w:r>
            <w:r w:rsidRPr="00A700F7">
              <w:rPr>
                <w:rFonts w:ascii="Arial Narrow" w:hAnsi="Arial Narrow"/>
                <w:b/>
                <w:sz w:val="20"/>
                <w:szCs w:val="18"/>
              </w:rPr>
              <w:t>∆ baseline MHD</w:t>
            </w:r>
          </w:p>
        </w:tc>
        <w:tc>
          <w:tcPr>
            <w:tcW w:w="313" w:type="pct"/>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SD</w:t>
            </w:r>
          </w:p>
        </w:tc>
        <w:tc>
          <w:tcPr>
            <w:tcW w:w="391" w:type="pct"/>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color w:val="000000"/>
                <w:sz w:val="20"/>
                <w:szCs w:val="18"/>
              </w:rPr>
            </w:pPr>
            <w:r w:rsidRPr="00A700F7">
              <w:rPr>
                <w:rFonts w:ascii="Arial Narrow" w:hAnsi="Arial Narrow"/>
                <w:b/>
                <w:color w:val="000000"/>
                <w:sz w:val="20"/>
                <w:szCs w:val="18"/>
              </w:rPr>
              <w:t>N</w:t>
            </w:r>
          </w:p>
        </w:tc>
        <w:tc>
          <w:tcPr>
            <w:tcW w:w="860" w:type="pct"/>
            <w:gridSpan w:val="3"/>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 xml:space="preserve">Mean </w:t>
            </w:r>
            <w:r>
              <w:rPr>
                <w:rFonts w:ascii="Arial Narrow" w:hAnsi="Arial Narrow"/>
                <w:b/>
                <w:sz w:val="20"/>
                <w:szCs w:val="18"/>
              </w:rPr>
              <w:br/>
            </w:r>
            <w:r w:rsidRPr="00A700F7">
              <w:rPr>
                <w:rFonts w:ascii="Arial Narrow" w:hAnsi="Arial Narrow"/>
                <w:b/>
                <w:sz w:val="20"/>
                <w:szCs w:val="18"/>
              </w:rPr>
              <w:t>∆ baseline MHD</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r w:rsidRPr="00A700F7">
              <w:rPr>
                <w:rFonts w:ascii="Arial Narrow" w:hAnsi="Arial Narrow"/>
                <w:b/>
                <w:sz w:val="20"/>
                <w:szCs w:val="18"/>
              </w:rPr>
              <w:t>SD</w:t>
            </w:r>
          </w:p>
        </w:tc>
        <w:tc>
          <w:tcPr>
            <w:tcW w:w="1308" w:type="pct"/>
            <w:gridSpan w:val="2"/>
            <w:vMerge/>
            <w:tcBorders>
              <w:left w:val="single" w:sz="4" w:space="0" w:color="auto"/>
              <w:bottom w:val="single" w:sz="4" w:space="0" w:color="auto"/>
              <w:right w:val="single" w:sz="4" w:space="0" w:color="auto"/>
            </w:tcBorders>
            <w:vAlign w:val="center"/>
          </w:tcPr>
          <w:p w:rsidR="0078396F" w:rsidRPr="00A700F7" w:rsidRDefault="0078396F" w:rsidP="00B86AC4">
            <w:pPr>
              <w:keepNext/>
              <w:keepLines/>
              <w:jc w:val="center"/>
              <w:rPr>
                <w:rFonts w:ascii="Arial Narrow" w:hAnsi="Arial Narrow"/>
                <w:b/>
                <w:sz w:val="20"/>
                <w:szCs w:val="18"/>
              </w:rPr>
            </w:pPr>
          </w:p>
        </w:tc>
      </w:tr>
      <w:tr w:rsidR="00635C3B" w:rsidRPr="00A700F7" w:rsidTr="0078396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35C3B" w:rsidRPr="00A700F7" w:rsidRDefault="00635C3B" w:rsidP="00B86AC4">
            <w:pPr>
              <w:keepNext/>
              <w:keepLines/>
              <w:jc w:val="left"/>
              <w:rPr>
                <w:rFonts w:ascii="Arial Narrow" w:hAnsi="Arial Narrow"/>
                <w:color w:val="000000"/>
                <w:sz w:val="20"/>
                <w:szCs w:val="18"/>
              </w:rPr>
            </w:pPr>
            <w:r w:rsidRPr="00A700F7">
              <w:rPr>
                <w:rFonts w:ascii="Arial Narrow" w:hAnsi="Arial Narrow"/>
                <w:color w:val="000000"/>
                <w:sz w:val="20"/>
                <w:szCs w:val="18"/>
              </w:rPr>
              <w:t>Study 295</w:t>
            </w:r>
          </w:p>
        </w:tc>
        <w:tc>
          <w:tcPr>
            <w:tcW w:w="315" w:type="pct"/>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sz w:val="20"/>
                <w:highlight w:val="black"/>
              </w:rPr>
            </w:pPr>
            <w:r>
              <w:rPr>
                <w:rFonts w:ascii="Arial Narrow" w:hAnsi="Arial Narrow"/>
                <w:noProof/>
                <w:color w:val="000000"/>
                <w:sz w:val="20"/>
                <w:highlight w:val="black"/>
              </w:rPr>
              <w:t>''''''</w:t>
            </w:r>
          </w:p>
        </w:tc>
        <w:tc>
          <w:tcPr>
            <w:tcW w:w="783" w:type="pct"/>
            <w:gridSpan w:val="3"/>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391" w:type="pct"/>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860" w:type="pct"/>
            <w:gridSpan w:val="3"/>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35C3B" w:rsidRPr="00AF24DF" w:rsidRDefault="00AF24DF" w:rsidP="00B86AC4">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308" w:type="pct"/>
            <w:gridSpan w:val="2"/>
            <w:vMerge w:val="restart"/>
            <w:tcBorders>
              <w:top w:val="single" w:sz="4" w:space="0" w:color="auto"/>
              <w:left w:val="single" w:sz="4" w:space="0" w:color="auto"/>
              <w:bottom w:val="single" w:sz="4" w:space="0" w:color="auto"/>
              <w:right w:val="single" w:sz="4" w:space="0" w:color="auto"/>
            </w:tcBorders>
            <w:vAlign w:val="center"/>
          </w:tcPr>
          <w:p w:rsidR="00635C3B" w:rsidRPr="00A700F7" w:rsidRDefault="000D7338" w:rsidP="00B86AC4">
            <w:pPr>
              <w:keepNext/>
              <w:keepLines/>
              <w:jc w:val="center"/>
              <w:rPr>
                <w:rFonts w:ascii="Arial Narrow" w:hAnsi="Arial Narrow"/>
                <w:b/>
                <w:sz w:val="20"/>
              </w:rPr>
            </w:pPr>
            <w:r w:rsidRPr="00A700F7">
              <w:rPr>
                <w:rFonts w:ascii="Arial Narrow" w:hAnsi="Arial Narrow"/>
                <w:b/>
                <w:sz w:val="20"/>
              </w:rPr>
              <w:t>-</w:t>
            </w:r>
            <w:r w:rsidR="00AF24DF">
              <w:rPr>
                <w:rFonts w:ascii="Arial Narrow" w:hAnsi="Arial Narrow"/>
                <w:b/>
                <w:noProof/>
                <w:color w:val="000000"/>
                <w:sz w:val="20"/>
                <w:highlight w:val="black"/>
              </w:rPr>
              <w:t>''''''''</w:t>
            </w:r>
            <w:r w:rsidR="00635C3B" w:rsidRPr="00A700F7">
              <w:rPr>
                <w:rFonts w:ascii="Arial Narrow" w:hAnsi="Arial Narrow"/>
                <w:b/>
                <w:sz w:val="20"/>
              </w:rPr>
              <w:t xml:space="preserve"> (-</w:t>
            </w:r>
            <w:r w:rsidR="00AF24DF">
              <w:rPr>
                <w:rFonts w:ascii="Arial Narrow" w:hAnsi="Arial Narrow"/>
                <w:b/>
                <w:noProof/>
                <w:color w:val="000000"/>
                <w:sz w:val="20"/>
                <w:highlight w:val="black"/>
              </w:rPr>
              <w:t>'''''''''</w:t>
            </w:r>
            <w:r w:rsidR="00635C3B" w:rsidRPr="001D659C">
              <w:rPr>
                <w:rFonts w:ascii="Arial Narrow" w:hAnsi="Arial Narrow"/>
                <w:b/>
                <w:sz w:val="20"/>
              </w:rPr>
              <w:t xml:space="preserve">, </w:t>
            </w:r>
            <w:r w:rsidRPr="001D659C">
              <w:rPr>
                <w:rFonts w:ascii="Arial Narrow" w:hAnsi="Arial Narrow"/>
                <w:b/>
                <w:sz w:val="20"/>
              </w:rPr>
              <w:t>-</w:t>
            </w:r>
            <w:r w:rsidR="00AF24DF">
              <w:rPr>
                <w:rFonts w:ascii="Arial Narrow" w:hAnsi="Arial Narrow"/>
                <w:b/>
                <w:noProof/>
                <w:color w:val="000000"/>
                <w:sz w:val="20"/>
                <w:highlight w:val="black"/>
              </w:rPr>
              <w:t>'''''''''</w:t>
            </w:r>
          </w:p>
        </w:tc>
      </w:tr>
      <w:tr w:rsidR="00635C3B" w:rsidRPr="00A700F7" w:rsidTr="0078396F">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635C3B" w:rsidRPr="00A700F7" w:rsidRDefault="00635C3B" w:rsidP="00B86AC4">
            <w:pPr>
              <w:keepNext/>
              <w:keepLines/>
              <w:jc w:val="left"/>
              <w:rPr>
                <w:rFonts w:ascii="Arial Narrow" w:hAnsi="Arial Narrow"/>
                <w:color w:val="000000"/>
                <w:sz w:val="20"/>
                <w:szCs w:val="18"/>
              </w:rPr>
            </w:pPr>
            <w:r w:rsidRPr="00A700F7">
              <w:rPr>
                <w:rFonts w:ascii="Arial Narrow" w:hAnsi="Arial Narrow"/>
                <w:color w:val="000000"/>
                <w:sz w:val="20"/>
                <w:szCs w:val="18"/>
              </w:rPr>
              <w:t>PREEMPT I and II</w:t>
            </w:r>
          </w:p>
        </w:tc>
        <w:tc>
          <w:tcPr>
            <w:tcW w:w="315" w:type="pct"/>
            <w:tcBorders>
              <w:top w:val="single" w:sz="4" w:space="0" w:color="auto"/>
              <w:left w:val="single" w:sz="4" w:space="0" w:color="auto"/>
              <w:bottom w:val="single" w:sz="4" w:space="0" w:color="auto"/>
              <w:right w:val="single" w:sz="4" w:space="0" w:color="auto"/>
            </w:tcBorders>
            <w:vAlign w:val="center"/>
          </w:tcPr>
          <w:p w:rsidR="00635C3B" w:rsidRPr="00A700F7" w:rsidRDefault="00635C3B" w:rsidP="00B86AC4">
            <w:pPr>
              <w:keepNext/>
              <w:keepLines/>
              <w:jc w:val="center"/>
              <w:rPr>
                <w:rFonts w:ascii="Arial Narrow" w:hAnsi="Arial Narrow"/>
                <w:color w:val="000000"/>
                <w:sz w:val="20"/>
              </w:rPr>
            </w:pPr>
            <w:r w:rsidRPr="00A700F7">
              <w:rPr>
                <w:rFonts w:ascii="Arial Narrow" w:hAnsi="Arial Narrow"/>
                <w:color w:val="000000"/>
                <w:sz w:val="20"/>
              </w:rPr>
              <w:t>231</w:t>
            </w:r>
          </w:p>
        </w:tc>
        <w:tc>
          <w:tcPr>
            <w:tcW w:w="783" w:type="pct"/>
            <w:gridSpan w:val="3"/>
            <w:tcBorders>
              <w:top w:val="single" w:sz="4" w:space="0" w:color="auto"/>
              <w:left w:val="single" w:sz="4" w:space="0" w:color="auto"/>
              <w:bottom w:val="single" w:sz="4" w:space="0" w:color="auto"/>
              <w:right w:val="single" w:sz="4" w:space="0" w:color="auto"/>
            </w:tcBorders>
            <w:vAlign w:val="center"/>
          </w:tcPr>
          <w:p w:rsidR="00635C3B" w:rsidRPr="00A700F7" w:rsidRDefault="00635C3B" w:rsidP="00B86AC4">
            <w:pPr>
              <w:keepNext/>
              <w:keepLines/>
              <w:jc w:val="center"/>
              <w:rPr>
                <w:rFonts w:ascii="Arial Narrow" w:hAnsi="Arial Narrow"/>
                <w:color w:val="000000"/>
                <w:sz w:val="20"/>
              </w:rPr>
            </w:pPr>
            <w:r w:rsidRPr="00A700F7">
              <w:rPr>
                <w:rFonts w:ascii="Arial Narrow" w:hAnsi="Arial Narrow"/>
                <w:color w:val="000000"/>
                <w:sz w:val="20"/>
              </w:rPr>
              <w:t>-7.4</w:t>
            </w:r>
          </w:p>
        </w:tc>
        <w:tc>
          <w:tcPr>
            <w:tcW w:w="313" w:type="pct"/>
            <w:tcBorders>
              <w:top w:val="single" w:sz="4" w:space="0" w:color="auto"/>
              <w:left w:val="single" w:sz="4" w:space="0" w:color="auto"/>
              <w:bottom w:val="single" w:sz="4" w:space="0" w:color="auto"/>
              <w:right w:val="single" w:sz="4" w:space="0" w:color="auto"/>
            </w:tcBorders>
            <w:vAlign w:val="center"/>
          </w:tcPr>
          <w:p w:rsidR="00635C3B" w:rsidRPr="00A700F7" w:rsidRDefault="000D7338" w:rsidP="00B86AC4">
            <w:pPr>
              <w:keepNext/>
              <w:keepLines/>
              <w:jc w:val="center"/>
              <w:rPr>
                <w:rFonts w:ascii="Arial Narrow" w:hAnsi="Arial Narrow"/>
                <w:color w:val="000000"/>
                <w:sz w:val="20"/>
              </w:rPr>
            </w:pPr>
            <w:r w:rsidRPr="00A700F7">
              <w:rPr>
                <w:rFonts w:ascii="Arial Narrow" w:hAnsi="Arial Narrow"/>
                <w:color w:val="000000"/>
                <w:sz w:val="20"/>
              </w:rPr>
              <w:t>6.6</w:t>
            </w:r>
          </w:p>
        </w:tc>
        <w:tc>
          <w:tcPr>
            <w:tcW w:w="391" w:type="pct"/>
            <w:tcBorders>
              <w:top w:val="single" w:sz="4" w:space="0" w:color="auto"/>
              <w:left w:val="single" w:sz="4" w:space="0" w:color="auto"/>
              <w:bottom w:val="single" w:sz="4" w:space="0" w:color="auto"/>
              <w:right w:val="single" w:sz="4" w:space="0" w:color="auto"/>
            </w:tcBorders>
            <w:vAlign w:val="center"/>
          </w:tcPr>
          <w:p w:rsidR="00635C3B" w:rsidRPr="00A700F7" w:rsidRDefault="00635C3B" w:rsidP="00B86AC4">
            <w:pPr>
              <w:keepNext/>
              <w:keepLines/>
              <w:jc w:val="center"/>
              <w:rPr>
                <w:rFonts w:ascii="Arial Narrow" w:hAnsi="Arial Narrow"/>
                <w:color w:val="000000"/>
                <w:sz w:val="20"/>
              </w:rPr>
            </w:pPr>
            <w:r w:rsidRPr="00A700F7">
              <w:rPr>
                <w:rFonts w:ascii="Arial Narrow" w:hAnsi="Arial Narrow"/>
                <w:color w:val="000000"/>
                <w:sz w:val="20"/>
              </w:rPr>
              <w:t>248</w:t>
            </w:r>
          </w:p>
        </w:tc>
        <w:tc>
          <w:tcPr>
            <w:tcW w:w="860" w:type="pct"/>
            <w:gridSpan w:val="3"/>
            <w:tcBorders>
              <w:top w:val="single" w:sz="4" w:space="0" w:color="auto"/>
              <w:left w:val="single" w:sz="4" w:space="0" w:color="auto"/>
              <w:bottom w:val="single" w:sz="4" w:space="0" w:color="auto"/>
              <w:right w:val="single" w:sz="4" w:space="0" w:color="auto"/>
            </w:tcBorders>
            <w:vAlign w:val="center"/>
          </w:tcPr>
          <w:p w:rsidR="00635C3B" w:rsidRPr="00A700F7" w:rsidRDefault="000D7338" w:rsidP="00B86AC4">
            <w:pPr>
              <w:keepNext/>
              <w:keepLines/>
              <w:jc w:val="center"/>
              <w:rPr>
                <w:rFonts w:ascii="Arial Narrow" w:hAnsi="Arial Narrow"/>
                <w:color w:val="000000"/>
                <w:sz w:val="20"/>
              </w:rPr>
            </w:pPr>
            <w:r w:rsidRPr="00A700F7">
              <w:rPr>
                <w:rFonts w:ascii="Arial Narrow" w:hAnsi="Arial Narrow"/>
                <w:color w:val="000000"/>
                <w:sz w:val="20"/>
              </w:rPr>
              <w:t>-4.7</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635C3B" w:rsidRPr="00A700F7" w:rsidRDefault="000D7338" w:rsidP="00B86AC4">
            <w:pPr>
              <w:keepNext/>
              <w:keepLines/>
              <w:jc w:val="center"/>
              <w:rPr>
                <w:rFonts w:ascii="Arial Narrow" w:hAnsi="Arial Narrow"/>
                <w:color w:val="000000"/>
                <w:sz w:val="20"/>
              </w:rPr>
            </w:pPr>
            <w:r w:rsidRPr="00A700F7">
              <w:rPr>
                <w:rFonts w:ascii="Arial Narrow" w:hAnsi="Arial Narrow"/>
                <w:color w:val="000000"/>
                <w:sz w:val="20"/>
              </w:rPr>
              <w:t>6.4</w:t>
            </w:r>
          </w:p>
        </w:tc>
        <w:tc>
          <w:tcPr>
            <w:tcW w:w="1308" w:type="pct"/>
            <w:gridSpan w:val="2"/>
            <w:vMerge/>
            <w:tcBorders>
              <w:top w:val="single" w:sz="4" w:space="0" w:color="auto"/>
              <w:left w:val="single" w:sz="4" w:space="0" w:color="auto"/>
              <w:bottom w:val="single" w:sz="4" w:space="0" w:color="auto"/>
              <w:right w:val="single" w:sz="4" w:space="0" w:color="auto"/>
            </w:tcBorders>
            <w:vAlign w:val="center"/>
          </w:tcPr>
          <w:p w:rsidR="00635C3B" w:rsidRPr="00A700F7" w:rsidRDefault="00635C3B" w:rsidP="00B86AC4">
            <w:pPr>
              <w:keepNext/>
              <w:keepLines/>
              <w:jc w:val="center"/>
              <w:rPr>
                <w:rFonts w:ascii="Arial Narrow" w:hAnsi="Arial Narrow"/>
                <w:b/>
                <w:sz w:val="20"/>
                <w:szCs w:val="18"/>
              </w:rPr>
            </w:pPr>
          </w:p>
        </w:tc>
      </w:tr>
    </w:tbl>
    <w:p w:rsidR="00B62715" w:rsidRPr="00A700F7" w:rsidRDefault="00B62715" w:rsidP="00B86AC4">
      <w:pPr>
        <w:pStyle w:val="TableFooter"/>
        <w:keepNext/>
        <w:keepLines/>
      </w:pPr>
      <w:r w:rsidRPr="00A700F7">
        <w:t xml:space="preserve">* </w:t>
      </w:r>
      <w:r w:rsidR="00114E9F" w:rsidRPr="00A700F7">
        <w:t xml:space="preserve">Study 295 had a 12 week double-blind treatment phase and PREMPT I and PREEMPT II had a 24 week double-blind treatment </w:t>
      </w:r>
      <w:proofErr w:type="gramStart"/>
      <w:r w:rsidR="00114E9F" w:rsidRPr="00A700F7">
        <w:t>phase</w:t>
      </w:r>
      <w:proofErr w:type="gramEnd"/>
      <w:r w:rsidR="00114E9F" w:rsidRPr="00A700F7">
        <w:t>.</w:t>
      </w:r>
    </w:p>
    <w:p w:rsidR="00B62715" w:rsidRPr="00A700F7" w:rsidRDefault="00343B62" w:rsidP="00B86AC4">
      <w:pPr>
        <w:pStyle w:val="TableFooter"/>
        <w:keepNext/>
        <w:keepLines/>
      </w:pPr>
      <w:proofErr w:type="spellStart"/>
      <w:r w:rsidRPr="00A700F7">
        <w:t>Eren</w:t>
      </w:r>
      <w:proofErr w:type="spellEnd"/>
      <w:r w:rsidRPr="00A700F7">
        <w:t>=</w:t>
      </w:r>
      <w:proofErr w:type="spellStart"/>
      <w:r w:rsidRPr="00A700F7">
        <w:t>er</w:t>
      </w:r>
      <w:r w:rsidR="002C6E18" w:rsidRPr="00A700F7">
        <w:t>e</w:t>
      </w:r>
      <w:r w:rsidRPr="00A700F7">
        <w:t>numab</w:t>
      </w:r>
      <w:proofErr w:type="spellEnd"/>
      <w:r w:rsidRPr="00A700F7">
        <w:t xml:space="preserve">; </w:t>
      </w:r>
      <w:r w:rsidR="00AF2372" w:rsidRPr="00A700F7">
        <w:t xml:space="preserve">MHD=monthly headache days; </w:t>
      </w:r>
      <w:r w:rsidRPr="00A700F7">
        <w:t>OR=odds</w:t>
      </w:r>
      <w:r w:rsidR="00F91219" w:rsidRPr="00A700F7">
        <w:t xml:space="preserve"> ratio; </w:t>
      </w:r>
      <w:r w:rsidRPr="00A700F7">
        <w:t>PBO=</w:t>
      </w:r>
      <w:r w:rsidR="00B62715" w:rsidRPr="00A700F7">
        <w:t xml:space="preserve">placebo; </w:t>
      </w:r>
      <w:r w:rsidR="00114E9F" w:rsidRPr="00A700F7">
        <w:t xml:space="preserve">RD=risk difference; </w:t>
      </w:r>
      <w:r w:rsidR="00D40E57" w:rsidRPr="00A700F7">
        <w:t xml:space="preserve">SD=standard deviation; </w:t>
      </w:r>
      <w:r w:rsidRPr="00A700F7">
        <w:t>WMD=weighted mean difference</w:t>
      </w:r>
      <w:r w:rsidR="007F57A6" w:rsidRPr="00A700F7">
        <w:t xml:space="preserve">; </w:t>
      </w:r>
      <w:r w:rsidR="007F57A6" w:rsidRPr="00A700F7">
        <w:rPr>
          <w:b/>
        </w:rPr>
        <w:t>bold</w:t>
      </w:r>
      <w:r w:rsidR="007F57A6" w:rsidRPr="00A700F7">
        <w:t>=statistically significant</w:t>
      </w:r>
    </w:p>
    <w:p w:rsidR="00B62715" w:rsidRPr="00A700F7" w:rsidRDefault="003D4A30" w:rsidP="00B86AC4">
      <w:pPr>
        <w:pStyle w:val="TableFooter"/>
        <w:keepNext/>
        <w:keepLines/>
      </w:pPr>
      <w:r w:rsidRPr="00A700F7">
        <w:t xml:space="preserve">Source: </w:t>
      </w:r>
      <w:r w:rsidR="000D7338" w:rsidRPr="00A700F7">
        <w:t xml:space="preserve">Table 2.29, p56-57, Table 2.30, p58-59 </w:t>
      </w:r>
      <w:r w:rsidRPr="00A700F7">
        <w:t>of the submission.</w:t>
      </w:r>
    </w:p>
    <w:p w:rsidR="003D4A30" w:rsidRPr="00A700F7" w:rsidRDefault="003D4A30" w:rsidP="001507FA"/>
    <w:p w:rsidR="002E15B9" w:rsidRPr="00A20321" w:rsidRDefault="00AD5DD9" w:rsidP="00AD5DD9">
      <w:pPr>
        <w:pStyle w:val="ListParagraph"/>
        <w:numPr>
          <w:ilvl w:val="1"/>
          <w:numId w:val="3"/>
        </w:numPr>
        <w:spacing w:after="0"/>
      </w:pPr>
      <w:r w:rsidRPr="00A20321">
        <w:t>Given the ESC’s concerns about the indirect comparison, a statement of benefits/harms has not been presented.</w:t>
      </w:r>
    </w:p>
    <w:p w:rsidR="00B60939" w:rsidRPr="00A700F7" w:rsidRDefault="00B60939" w:rsidP="00FE393C">
      <w:pPr>
        <w:pStyle w:val="Heading2"/>
        <w:spacing w:after="120"/>
      </w:pPr>
      <w:bookmarkStart w:id="11" w:name="_Toc513040444"/>
      <w:r w:rsidRPr="00A700F7">
        <w:t>Clinical claim</w:t>
      </w:r>
      <w:bookmarkEnd w:id="11"/>
    </w:p>
    <w:p w:rsidR="002B772A" w:rsidRDefault="00DC1BB3" w:rsidP="002B772A">
      <w:pPr>
        <w:pStyle w:val="ListParagraph"/>
        <w:numPr>
          <w:ilvl w:val="1"/>
          <w:numId w:val="3"/>
        </w:numPr>
        <w:spacing w:after="120"/>
      </w:pPr>
      <w:r w:rsidRPr="00A700F7">
        <w:t xml:space="preserve">The submission described </w:t>
      </w:r>
      <w:proofErr w:type="spellStart"/>
      <w:r w:rsidRPr="00A700F7">
        <w:t>erenumab</w:t>
      </w:r>
      <w:proofErr w:type="spellEnd"/>
      <w:r w:rsidRPr="00A700F7">
        <w:t xml:space="preserve"> as superior in terms of comparative </w:t>
      </w:r>
      <w:r w:rsidRPr="00A20321">
        <w:t xml:space="preserve">effectiveness and equivalent in terms of comparative safety </w:t>
      </w:r>
      <w:r w:rsidR="005E4BFB">
        <w:t>to</w:t>
      </w:r>
      <w:r w:rsidR="005E4BFB" w:rsidRPr="00A20321">
        <w:t xml:space="preserve"> </w:t>
      </w:r>
      <w:r w:rsidRPr="00A20321">
        <w:t>Botox.  Th</w:t>
      </w:r>
      <w:r w:rsidR="005E4BFB">
        <w:t>is</w:t>
      </w:r>
      <w:r w:rsidRPr="00A20321">
        <w:t xml:space="preserve"> conclusion is not adequately supported by the evidence presented in the submission</w:t>
      </w:r>
      <w:r w:rsidR="002B772A">
        <w:t xml:space="preserve">. </w:t>
      </w:r>
    </w:p>
    <w:p w:rsidR="002B772A" w:rsidRDefault="002B772A" w:rsidP="002B772A">
      <w:pPr>
        <w:pStyle w:val="ListParagraph"/>
        <w:numPr>
          <w:ilvl w:val="1"/>
          <w:numId w:val="3"/>
        </w:numPr>
        <w:spacing w:after="120"/>
      </w:pPr>
      <w:r>
        <w:t>T</w:t>
      </w:r>
      <w:r w:rsidR="00590B13" w:rsidRPr="00A20321">
        <w:t xml:space="preserve">here were substantial differences in the placebo response rates </w:t>
      </w:r>
      <w:r w:rsidR="00E9546D" w:rsidRPr="00A20321">
        <w:t xml:space="preserve">and the placebo adverse event rates </w:t>
      </w:r>
      <w:r w:rsidR="00DD4425">
        <w:t>between</w:t>
      </w:r>
      <w:r w:rsidR="00DD4425" w:rsidRPr="00A20321">
        <w:t xml:space="preserve"> </w:t>
      </w:r>
      <w:r w:rsidR="00590B13" w:rsidRPr="00A20321">
        <w:t xml:space="preserve">the studies. </w:t>
      </w:r>
    </w:p>
    <w:p w:rsidR="002B772A" w:rsidRDefault="00DC1BB3" w:rsidP="002B772A">
      <w:pPr>
        <w:pStyle w:val="ListParagraph"/>
        <w:numPr>
          <w:ilvl w:val="1"/>
          <w:numId w:val="3"/>
        </w:numPr>
        <w:spacing w:after="120"/>
      </w:pPr>
      <w:r w:rsidRPr="00A20321">
        <w:t xml:space="preserve">The identified subgroup (patients who had failed ≥3 prophylactic medications and were naïve to Botox) comprised less </w:t>
      </w:r>
      <w:r w:rsidRPr="001D659C">
        <w:t xml:space="preserve">than </w:t>
      </w:r>
      <w:r w:rsidR="00AF24DF">
        <w:rPr>
          <w:noProof/>
          <w:color w:val="000000"/>
          <w:highlight w:val="black"/>
        </w:rPr>
        <w:t>'''''</w:t>
      </w:r>
      <w:r w:rsidRPr="001D659C">
        <w:t>%</w:t>
      </w:r>
      <w:r w:rsidRPr="00A20321">
        <w:t xml:space="preserve"> of patients in Study 295</w:t>
      </w:r>
      <w:r w:rsidR="002B772A">
        <w:t xml:space="preserve">. </w:t>
      </w:r>
      <w:r w:rsidR="005E4BFB">
        <w:t>T</w:t>
      </w:r>
      <w:r w:rsidRPr="00A20321">
        <w:t xml:space="preserve">here were </w:t>
      </w:r>
      <w:r w:rsidRPr="001D659C">
        <w:t xml:space="preserve">only </w:t>
      </w:r>
      <w:r w:rsidR="00AF24DF">
        <w:rPr>
          <w:noProof/>
          <w:color w:val="000000"/>
          <w:highlight w:val="black"/>
        </w:rPr>
        <w:t>'''''</w:t>
      </w:r>
      <w:r w:rsidRPr="001D659C">
        <w:t xml:space="preserve"> patients</w:t>
      </w:r>
      <w:r w:rsidRPr="00A20321">
        <w:t xml:space="preserve"> treated with </w:t>
      </w:r>
      <w:proofErr w:type="spellStart"/>
      <w:r w:rsidRPr="00A20321">
        <w:t>erenumab</w:t>
      </w:r>
      <w:proofErr w:type="spellEnd"/>
      <w:r w:rsidR="005E4BFB">
        <w:t>, which is</w:t>
      </w:r>
      <w:r w:rsidRPr="00A20321">
        <w:t xml:space="preserve"> a relatively small sample size</w:t>
      </w:r>
      <w:r w:rsidR="002B772A">
        <w:t>, particularly in the context of the size of the overall market.</w:t>
      </w:r>
    </w:p>
    <w:p w:rsidR="00DC1BB3" w:rsidRPr="00A20321" w:rsidRDefault="00842173" w:rsidP="002B772A">
      <w:pPr>
        <w:pStyle w:val="ListParagraph"/>
        <w:numPr>
          <w:ilvl w:val="1"/>
          <w:numId w:val="3"/>
        </w:numPr>
        <w:spacing w:after="120"/>
      </w:pPr>
      <w:r w:rsidRPr="00A20321">
        <w:lastRenderedPageBreak/>
        <w:t>Apart from</w:t>
      </w:r>
      <w:r w:rsidR="00DC1BB3" w:rsidRPr="00A20321">
        <w:t xml:space="preserve"> age and gender, there was no comparison provided of relevant baseline data to assess whether the subgroup differed from either the whole trial population, or whether there were differences between the </w:t>
      </w:r>
      <w:proofErr w:type="spellStart"/>
      <w:r w:rsidR="00DC1BB3" w:rsidRPr="00A20321">
        <w:t>erenumab</w:t>
      </w:r>
      <w:proofErr w:type="spellEnd"/>
      <w:r w:rsidR="00DC1BB3" w:rsidRPr="00A20321">
        <w:t xml:space="preserve"> and placebo arms of Study 295 for the subgroup.  Analyses conducted during the evaluation revealed a difference between the overall trial population and the subgroup in Study 295 for monthly migraine days.</w:t>
      </w:r>
    </w:p>
    <w:p w:rsidR="00DC1BB3" w:rsidRPr="00A20321" w:rsidRDefault="00DC1BB3" w:rsidP="00104A52">
      <w:pPr>
        <w:pStyle w:val="Bulletpoints"/>
      </w:pPr>
      <w:r w:rsidRPr="00A20321">
        <w:t xml:space="preserve">As </w:t>
      </w:r>
      <w:r w:rsidR="00A94C23">
        <w:t>acknowledged by the submission</w:t>
      </w:r>
      <w:r w:rsidRPr="00A20321">
        <w:t>, headache days are a subjective outcome.  In addition, the change from baseline in headache days per month was not a primary or</w:t>
      </w:r>
      <w:r w:rsidR="002C6E18" w:rsidRPr="00A20321">
        <w:t xml:space="preserve"> secondary outcome in Study 295</w:t>
      </w:r>
      <w:r w:rsidRPr="00A20321">
        <w:t xml:space="preserve"> but was an exploratory outcome</w:t>
      </w:r>
      <w:r w:rsidR="002C6E18" w:rsidRPr="00A20321">
        <w:t>,</w:t>
      </w:r>
      <w:r w:rsidRPr="00A20321">
        <w:t xml:space="preserve"> and the proportion of patients with a ≥50% reduction in headache days was not an outcome, </w:t>
      </w:r>
      <w:proofErr w:type="gramStart"/>
      <w:r w:rsidRPr="00A20321">
        <w:t>either primary</w:t>
      </w:r>
      <w:proofErr w:type="gramEnd"/>
      <w:r w:rsidRPr="00A20321">
        <w:t>, secondary or exploratory, in Study 295.</w:t>
      </w:r>
    </w:p>
    <w:p w:rsidR="009E35E3" w:rsidRPr="00A20321" w:rsidRDefault="009E35E3" w:rsidP="00104A52">
      <w:pPr>
        <w:pStyle w:val="Bulletpoints"/>
      </w:pPr>
      <w:r w:rsidRPr="00A20321">
        <w:t>While the indirect comparison for effectiveness outcomes was based on the subgroup population that corresponded to the proposed PBS population (failed ≥3 prophylactic medications and naïve to Botox) the data for the safety outcomes was sourced from the overall trial populations.  It cannot be assumed that the observed results for the overall trial populations will apply to the PBS-population relevant subgroup.</w:t>
      </w:r>
    </w:p>
    <w:p w:rsidR="009E35E3" w:rsidRPr="00A20321" w:rsidRDefault="009E35E3" w:rsidP="00104A52">
      <w:pPr>
        <w:pStyle w:val="Bulletpoints"/>
      </w:pPr>
      <w:r w:rsidRPr="00A20321">
        <w:t xml:space="preserve">It is difficult to draw conclusions regarding the comparative safety of </w:t>
      </w:r>
      <w:proofErr w:type="spellStart"/>
      <w:r w:rsidRPr="00A20321">
        <w:t>erenumab</w:t>
      </w:r>
      <w:proofErr w:type="spellEnd"/>
      <w:r w:rsidRPr="00A20321">
        <w:t xml:space="preserve"> and Botox given that no information has been provided by the submission regarding the specific type of adverse events that were classified as serious AEs, or that may have led to discontinuation.</w:t>
      </w:r>
    </w:p>
    <w:p w:rsidR="00B23403" w:rsidRPr="00A20321" w:rsidRDefault="00590B13" w:rsidP="00597BF9">
      <w:pPr>
        <w:pStyle w:val="ListParagraph"/>
        <w:numPr>
          <w:ilvl w:val="1"/>
          <w:numId w:val="3"/>
        </w:numPr>
      </w:pPr>
      <w:r w:rsidRPr="00A20321">
        <w:t xml:space="preserve">The ESC </w:t>
      </w:r>
      <w:r w:rsidR="00FE464A" w:rsidRPr="00A20321">
        <w:t>noted that the evaluation</w:t>
      </w:r>
      <w:r w:rsidRPr="00A20321">
        <w:t xml:space="preserve"> </w:t>
      </w:r>
      <w:r w:rsidR="00FE464A" w:rsidRPr="00A20321">
        <w:t>suggested</w:t>
      </w:r>
      <w:r w:rsidR="00DD4425">
        <w:t>,</w:t>
      </w:r>
      <w:r w:rsidRPr="00A20321">
        <w:t xml:space="preserve"> g</w:t>
      </w:r>
      <w:r w:rsidR="00B23403" w:rsidRPr="00A20321">
        <w:t xml:space="preserve">iven the </w:t>
      </w:r>
      <w:r w:rsidR="00E2461F" w:rsidRPr="00A20321">
        <w:t xml:space="preserve">substantive </w:t>
      </w:r>
      <w:r w:rsidR="00B23403" w:rsidRPr="00A20321">
        <w:t>points made above regarding the indirect comparison,</w:t>
      </w:r>
      <w:r w:rsidR="00DD4425">
        <w:t xml:space="preserve"> that</w:t>
      </w:r>
      <w:r w:rsidR="00B23403" w:rsidRPr="00A20321">
        <w:t xml:space="preserve"> a more reasonable therapeutic conclusion </w:t>
      </w:r>
      <w:r w:rsidR="003E3541" w:rsidRPr="00A20321">
        <w:t xml:space="preserve">may </w:t>
      </w:r>
      <w:r w:rsidR="00B23403" w:rsidRPr="00A20321">
        <w:t xml:space="preserve">be that </w:t>
      </w:r>
      <w:proofErr w:type="spellStart"/>
      <w:r w:rsidR="00B23403" w:rsidRPr="00A20321">
        <w:t>erenumab</w:t>
      </w:r>
      <w:proofErr w:type="spellEnd"/>
      <w:r w:rsidR="00B23403" w:rsidRPr="00A20321">
        <w:t xml:space="preserve"> and Botox are non-inferior in regard to </w:t>
      </w:r>
      <w:r w:rsidR="00DD4425">
        <w:t xml:space="preserve">both </w:t>
      </w:r>
      <w:r w:rsidR="00B23403" w:rsidRPr="00A20321">
        <w:t>effectiveness and safety.</w:t>
      </w:r>
      <w:r w:rsidR="00153587" w:rsidRPr="00A20321">
        <w:t xml:space="preserve"> </w:t>
      </w:r>
      <w:r w:rsidR="00FE464A" w:rsidRPr="00A20321">
        <w:t>However, g</w:t>
      </w:r>
      <w:r w:rsidR="00153587" w:rsidRPr="00A20321">
        <w:t xml:space="preserve">iven the limitations of the data (small subgroup with high risk of bias), the ESC was not confident that </w:t>
      </w:r>
      <w:r w:rsidR="00176D74" w:rsidRPr="00A20321">
        <w:t>the data adequately supported a</w:t>
      </w:r>
      <w:r w:rsidR="00153587" w:rsidRPr="00A20321">
        <w:t xml:space="preserve"> claim of non-inferiority</w:t>
      </w:r>
      <w:r w:rsidR="00176D74" w:rsidRPr="00A20321">
        <w:t>.</w:t>
      </w:r>
      <w:r w:rsidR="00CA2BE5" w:rsidRPr="00A20321">
        <w:t xml:space="preserve"> </w:t>
      </w:r>
    </w:p>
    <w:p w:rsidR="00B60939" w:rsidRPr="00A20321" w:rsidRDefault="003E3541" w:rsidP="002001A2">
      <w:pPr>
        <w:pStyle w:val="ListParagraph"/>
        <w:numPr>
          <w:ilvl w:val="1"/>
          <w:numId w:val="3"/>
        </w:numPr>
      </w:pPr>
      <w:r w:rsidRPr="00A20321">
        <w:t>A</w:t>
      </w:r>
      <w:r w:rsidR="00B23403" w:rsidRPr="00A20321">
        <w:t xml:space="preserve"> recent review of CGRP inhibitors (</w:t>
      </w:r>
      <w:proofErr w:type="spellStart"/>
      <w:r w:rsidR="00B23403" w:rsidRPr="00A20321">
        <w:t>erenumab</w:t>
      </w:r>
      <w:proofErr w:type="spellEnd"/>
      <w:r w:rsidR="00B23403" w:rsidRPr="00A20321">
        <w:t xml:space="preserve">, </w:t>
      </w:r>
      <w:proofErr w:type="spellStart"/>
      <w:r w:rsidR="00B23403" w:rsidRPr="00A20321">
        <w:t>eptinezumab</w:t>
      </w:r>
      <w:proofErr w:type="spellEnd"/>
      <w:r w:rsidR="00B23403" w:rsidRPr="00A20321">
        <w:t xml:space="preserve">, </w:t>
      </w:r>
      <w:proofErr w:type="spellStart"/>
      <w:r w:rsidR="00B23403" w:rsidRPr="00A20321">
        <w:t>fremanezumab</w:t>
      </w:r>
      <w:proofErr w:type="spellEnd"/>
      <w:r w:rsidR="00B23403" w:rsidRPr="00A20321">
        <w:t xml:space="preserve">, </w:t>
      </w:r>
      <w:proofErr w:type="spellStart"/>
      <w:r w:rsidR="00B23403" w:rsidRPr="00A20321">
        <w:t>galcanezumab</w:t>
      </w:r>
      <w:proofErr w:type="spellEnd"/>
      <w:r w:rsidR="00B23403" w:rsidRPr="00A20321">
        <w:t>)</w:t>
      </w:r>
      <w:r w:rsidR="00942765" w:rsidRPr="00A20321">
        <w:t xml:space="preserve"> </w:t>
      </w:r>
      <w:r w:rsidR="00B23403" w:rsidRPr="00A20321">
        <w:t>stated that the efficacy of all four drugs is modest over placebo and overall is comparable with oral preventative treatments (</w:t>
      </w:r>
      <w:proofErr w:type="spellStart"/>
      <w:r w:rsidR="00B23403" w:rsidRPr="00A20321">
        <w:t>Paemeleire</w:t>
      </w:r>
      <w:proofErr w:type="spellEnd"/>
      <w:r w:rsidR="00B23403" w:rsidRPr="00A20321">
        <w:t xml:space="preserve"> 2018).</w:t>
      </w:r>
    </w:p>
    <w:p w:rsidR="00B60939" w:rsidRPr="00A700F7" w:rsidRDefault="00B60939" w:rsidP="00FE393C">
      <w:pPr>
        <w:pStyle w:val="Heading2"/>
        <w:spacing w:after="120"/>
      </w:pPr>
      <w:bookmarkStart w:id="12" w:name="_Toc513040445"/>
      <w:r w:rsidRPr="00A700F7">
        <w:t>Economic analysis</w:t>
      </w:r>
      <w:bookmarkEnd w:id="12"/>
      <w:r w:rsidR="00491B3A" w:rsidRPr="00A700F7">
        <w:t xml:space="preserve"> </w:t>
      </w:r>
    </w:p>
    <w:p w:rsidR="00DD4425" w:rsidRDefault="000F2311" w:rsidP="000F2311">
      <w:pPr>
        <w:pStyle w:val="ListParagraph"/>
        <w:numPr>
          <w:ilvl w:val="1"/>
          <w:numId w:val="3"/>
        </w:numPr>
      </w:pPr>
      <w:r w:rsidRPr="00A20321">
        <w:t xml:space="preserve">The submission presented a cost-utility analysis based on an indirect comparison of the </w:t>
      </w:r>
      <w:proofErr w:type="spellStart"/>
      <w:r w:rsidRPr="00A20321">
        <w:t>erenumab</w:t>
      </w:r>
      <w:proofErr w:type="spellEnd"/>
      <w:r w:rsidRPr="00A20321">
        <w:t xml:space="preserve"> randomised trial Study 295 and the pooled results of the two Botox randomised trials, PREEMPT I and PREEMPT II.</w:t>
      </w:r>
      <w:r w:rsidR="008E1B3C" w:rsidRPr="00A20321">
        <w:t xml:space="preserve">  The submission presented comparisons against Botox and best supportive care (BSC).</w:t>
      </w:r>
      <w:r w:rsidR="00B23403" w:rsidRPr="00A20321">
        <w:t xml:space="preserve">  As the indirect comparisons presented by the submission did not support a claim of superiority for </w:t>
      </w:r>
      <w:proofErr w:type="spellStart"/>
      <w:r w:rsidR="00B23403" w:rsidRPr="00A20321">
        <w:t>erenumab</w:t>
      </w:r>
      <w:proofErr w:type="spellEnd"/>
      <w:r w:rsidR="00B23403" w:rsidRPr="00A20321">
        <w:t xml:space="preserve"> over Botox, a cost utility analysis was not supported</w:t>
      </w:r>
      <w:r w:rsidR="00E2461F" w:rsidRPr="00A20321">
        <w:t xml:space="preserve"> and likely invalid</w:t>
      </w:r>
      <w:r w:rsidR="00B23403" w:rsidRPr="00A20321">
        <w:t>.</w:t>
      </w:r>
    </w:p>
    <w:p w:rsidR="00B23403" w:rsidRPr="00A20321" w:rsidRDefault="00DD4425" w:rsidP="000F2311">
      <w:pPr>
        <w:pStyle w:val="ListParagraph"/>
        <w:numPr>
          <w:ilvl w:val="1"/>
          <w:numId w:val="3"/>
        </w:numPr>
      </w:pPr>
      <w:r>
        <w:t>T</w:t>
      </w:r>
      <w:r w:rsidR="00340D16" w:rsidRPr="00A20321">
        <w:t xml:space="preserve">he ESC considered that the comparison with BSC was not informative for assessing the cost-effectiveness of </w:t>
      </w:r>
      <w:proofErr w:type="spellStart"/>
      <w:r w:rsidR="00340D16" w:rsidRPr="00A20321">
        <w:t>erenumab</w:t>
      </w:r>
      <w:proofErr w:type="spellEnd"/>
      <w:r w:rsidR="00340D16" w:rsidRPr="00A20321">
        <w:t xml:space="preserve">. </w:t>
      </w:r>
      <w:r w:rsidR="00414D02">
        <w:t>This view was based on</w:t>
      </w:r>
      <w:r w:rsidR="007D624B" w:rsidRPr="00A20321">
        <w:t xml:space="preserve"> </w:t>
      </w:r>
      <w:r w:rsidR="00414D02">
        <w:t xml:space="preserve">the </w:t>
      </w:r>
      <w:r w:rsidR="007D624B" w:rsidRPr="00A20321">
        <w:t>clinical place</w:t>
      </w:r>
      <w:r w:rsidR="00414D02">
        <w:t xml:space="preserve"> of </w:t>
      </w:r>
      <w:proofErr w:type="spellStart"/>
      <w:r w:rsidR="00414D02">
        <w:lastRenderedPageBreak/>
        <w:t>erenumab</w:t>
      </w:r>
      <w:proofErr w:type="spellEnd"/>
      <w:r w:rsidR="00414D02">
        <w:t xml:space="preserve"> which is </w:t>
      </w:r>
      <w:r>
        <w:t>unlikely to be</w:t>
      </w:r>
      <w:r w:rsidR="007D624B" w:rsidRPr="00A20321">
        <w:t xml:space="preserve"> “last in line”, as well as</w:t>
      </w:r>
      <w:r w:rsidR="00340D16" w:rsidRPr="00A20321">
        <w:t xml:space="preserve"> concern</w:t>
      </w:r>
      <w:r w:rsidR="007D624B" w:rsidRPr="00A20321">
        <w:t>s</w:t>
      </w:r>
      <w:r w:rsidR="00340D16" w:rsidRPr="00A20321">
        <w:t xml:space="preserve"> about the subgroup</w:t>
      </w:r>
      <w:r w:rsidR="007D624B" w:rsidRPr="00A20321">
        <w:t xml:space="preserve"> (and small sample size)</w:t>
      </w:r>
      <w:r w:rsidR="00340D16" w:rsidRPr="00A20321">
        <w:t xml:space="preserve"> from the </w:t>
      </w:r>
      <w:proofErr w:type="spellStart"/>
      <w:r w:rsidR="00340D16" w:rsidRPr="00A20321">
        <w:t>erenumab</w:t>
      </w:r>
      <w:proofErr w:type="spellEnd"/>
      <w:r w:rsidR="00340D16" w:rsidRPr="00A20321">
        <w:t xml:space="preserve"> trial</w:t>
      </w:r>
      <w:r w:rsidR="00647A46" w:rsidRPr="00A20321">
        <w:t xml:space="preserve"> and</w:t>
      </w:r>
      <w:r w:rsidR="00340D16" w:rsidRPr="00A20321">
        <w:t xml:space="preserve"> the model structure and assumptions relating to the Botox comparison.  </w:t>
      </w:r>
    </w:p>
    <w:p w:rsidR="00617121" w:rsidRPr="00A700F7" w:rsidRDefault="000F2311" w:rsidP="003E3541">
      <w:pPr>
        <w:pStyle w:val="ListParagraph"/>
        <w:numPr>
          <w:ilvl w:val="1"/>
          <w:numId w:val="3"/>
        </w:numPr>
        <w:rPr>
          <w:rStyle w:val="CommentReference"/>
          <w:rFonts w:ascii="Calibri" w:hAnsi="Calibri"/>
          <w:b w:val="0"/>
          <w:sz w:val="24"/>
          <w:szCs w:val="24"/>
        </w:rPr>
      </w:pPr>
      <w:r w:rsidRPr="00A700F7">
        <w:t>The table below provides a summary of the key components of the economic evaluation.</w:t>
      </w:r>
    </w:p>
    <w:p w:rsidR="00144268" w:rsidRPr="00144268" w:rsidRDefault="00144268" w:rsidP="00144268">
      <w:pPr>
        <w:pStyle w:val="Caption"/>
        <w:keepNext/>
        <w:spacing w:after="0"/>
        <w:rPr>
          <w:rFonts w:ascii="Arial Narrow" w:hAnsi="Arial Narrow"/>
          <w:color w:val="auto"/>
          <w:sz w:val="20"/>
        </w:rPr>
      </w:pPr>
      <w:r w:rsidRPr="00144268">
        <w:rPr>
          <w:rFonts w:ascii="Arial Narrow" w:hAnsi="Arial Narrow"/>
          <w:color w:val="auto"/>
          <w:sz w:val="20"/>
        </w:rPr>
        <w:t xml:space="preserve">Table </w:t>
      </w:r>
      <w:r w:rsidR="00D8193A">
        <w:rPr>
          <w:rFonts w:ascii="Arial Narrow" w:hAnsi="Arial Narrow"/>
          <w:noProof/>
          <w:color w:val="auto"/>
          <w:sz w:val="20"/>
        </w:rPr>
        <w:t>10</w:t>
      </w:r>
      <w:r w:rsidRPr="00144268">
        <w:rPr>
          <w:rFonts w:ascii="Arial Narrow" w:hAnsi="Arial Narrow"/>
          <w:color w:val="auto"/>
          <w:sz w:val="20"/>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275C5A" w:rsidRPr="00A700F7" w:rsidTr="003C7D19">
        <w:trPr>
          <w:tblHeader/>
        </w:trPr>
        <w:tc>
          <w:tcPr>
            <w:tcW w:w="1396" w:type="pct"/>
            <w:shd w:val="clear" w:color="auto" w:fill="auto"/>
            <w:vAlign w:val="center"/>
          </w:tcPr>
          <w:p w:rsidR="00275C5A" w:rsidRPr="00A700F7" w:rsidRDefault="00275C5A" w:rsidP="009F5A01">
            <w:pPr>
              <w:pStyle w:val="Tabletext"/>
              <w:keepNext/>
              <w:rPr>
                <w:b/>
              </w:rPr>
            </w:pPr>
            <w:r w:rsidRPr="00A700F7">
              <w:rPr>
                <w:b/>
              </w:rPr>
              <w:t>Component</w:t>
            </w:r>
          </w:p>
        </w:tc>
        <w:tc>
          <w:tcPr>
            <w:tcW w:w="3604" w:type="pct"/>
            <w:shd w:val="clear" w:color="auto" w:fill="auto"/>
            <w:vAlign w:val="center"/>
          </w:tcPr>
          <w:p w:rsidR="00275C5A" w:rsidRPr="00A700F7" w:rsidRDefault="00275C5A" w:rsidP="009F5A01">
            <w:pPr>
              <w:pStyle w:val="Tabletext"/>
              <w:keepNext/>
              <w:jc w:val="center"/>
              <w:rPr>
                <w:b/>
              </w:rPr>
            </w:pPr>
            <w:r w:rsidRPr="00A700F7">
              <w:rPr>
                <w:b/>
              </w:rPr>
              <w:t>Summary</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Time horizon</w:t>
            </w:r>
          </w:p>
        </w:tc>
        <w:tc>
          <w:tcPr>
            <w:tcW w:w="3604" w:type="pct"/>
            <w:shd w:val="clear" w:color="auto" w:fill="auto"/>
            <w:vAlign w:val="center"/>
          </w:tcPr>
          <w:p w:rsidR="00275C5A" w:rsidRPr="00A700F7" w:rsidRDefault="000F2311" w:rsidP="009F5A01">
            <w:pPr>
              <w:pStyle w:val="Tabletext"/>
              <w:keepNext/>
            </w:pPr>
            <w:r w:rsidRPr="00A700F7">
              <w:t xml:space="preserve">5 years in the model base case vs. 12 weeks in the </w:t>
            </w:r>
            <w:proofErr w:type="spellStart"/>
            <w:r w:rsidRPr="00A700F7">
              <w:t>erenumab</w:t>
            </w:r>
            <w:proofErr w:type="spellEnd"/>
            <w:r w:rsidRPr="00A700F7">
              <w:t xml:space="preserve"> trial and 24 weeks in the Botox trials.</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Outcomes</w:t>
            </w:r>
          </w:p>
        </w:tc>
        <w:tc>
          <w:tcPr>
            <w:tcW w:w="3604" w:type="pct"/>
            <w:shd w:val="clear" w:color="auto" w:fill="auto"/>
            <w:vAlign w:val="center"/>
          </w:tcPr>
          <w:p w:rsidR="00275C5A" w:rsidRPr="00A700F7" w:rsidRDefault="00B23403" w:rsidP="009F5A01">
            <w:pPr>
              <w:pStyle w:val="Tabletext"/>
              <w:keepNext/>
            </w:pPr>
            <w:r w:rsidRPr="00A700F7">
              <w:t>Quality-adjusted life years (QALYs).</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Methods used to generate results</w:t>
            </w:r>
          </w:p>
        </w:tc>
        <w:tc>
          <w:tcPr>
            <w:tcW w:w="3604" w:type="pct"/>
            <w:shd w:val="clear" w:color="auto" w:fill="auto"/>
            <w:vAlign w:val="center"/>
          </w:tcPr>
          <w:p w:rsidR="00275C5A" w:rsidRPr="00A700F7" w:rsidRDefault="00B23403" w:rsidP="009F5A01">
            <w:pPr>
              <w:pStyle w:val="Tabletext"/>
              <w:keepNext/>
            </w:pPr>
            <w:r w:rsidRPr="00A700F7">
              <w:t>Markov cohort analysis.</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Health states</w:t>
            </w:r>
          </w:p>
        </w:tc>
        <w:tc>
          <w:tcPr>
            <w:tcW w:w="3604" w:type="pct"/>
            <w:shd w:val="clear" w:color="auto" w:fill="auto"/>
            <w:vAlign w:val="center"/>
          </w:tcPr>
          <w:p w:rsidR="00B23403" w:rsidRPr="00A700F7" w:rsidRDefault="00B23403" w:rsidP="009F5A01">
            <w:pPr>
              <w:pStyle w:val="Tabletext"/>
              <w:keepNext/>
            </w:pPr>
            <w:r w:rsidRPr="00A700F7">
              <w:t>6 health states:</w:t>
            </w:r>
          </w:p>
          <w:p w:rsidR="00B23403" w:rsidRPr="00A700F7" w:rsidRDefault="00B23403" w:rsidP="009F5A01">
            <w:pPr>
              <w:pStyle w:val="Tabletext"/>
              <w:keepNext/>
            </w:pPr>
            <w:r w:rsidRPr="00A700F7">
              <w:t>Responder;</w:t>
            </w:r>
          </w:p>
          <w:p w:rsidR="00B23403" w:rsidRPr="00A700F7" w:rsidRDefault="00B23403" w:rsidP="009F5A01">
            <w:pPr>
              <w:pStyle w:val="Tabletext"/>
              <w:keepNext/>
            </w:pPr>
            <w:r w:rsidRPr="00A700F7">
              <w:t>Non-responder;</w:t>
            </w:r>
          </w:p>
          <w:p w:rsidR="00B23403" w:rsidRPr="00A700F7" w:rsidRDefault="00B23403" w:rsidP="009F5A01">
            <w:pPr>
              <w:pStyle w:val="Tabletext"/>
              <w:keepNext/>
            </w:pPr>
            <w:r w:rsidRPr="00A700F7">
              <w:t>In response/on treatment;</w:t>
            </w:r>
          </w:p>
          <w:p w:rsidR="00B23403" w:rsidRPr="00A700F7" w:rsidRDefault="00B23403" w:rsidP="009F5A01">
            <w:pPr>
              <w:pStyle w:val="Tabletext"/>
              <w:keepNext/>
            </w:pPr>
            <w:r w:rsidRPr="00A700F7">
              <w:t>Discontinued due to poor response;</w:t>
            </w:r>
          </w:p>
          <w:p w:rsidR="00B23403" w:rsidRPr="00A700F7" w:rsidRDefault="00B23403" w:rsidP="009F5A01">
            <w:pPr>
              <w:pStyle w:val="Tabletext"/>
              <w:keepNext/>
            </w:pPr>
            <w:r w:rsidRPr="00A700F7">
              <w:t>Discontinued due to adverse events;</w:t>
            </w:r>
          </w:p>
          <w:p w:rsidR="00275C5A" w:rsidRPr="00A700F7" w:rsidRDefault="00B23403" w:rsidP="009F5A01">
            <w:pPr>
              <w:pStyle w:val="Tabletext"/>
              <w:keepNext/>
            </w:pPr>
            <w:r w:rsidRPr="00A700F7">
              <w:t>Dead.</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Cycle length</w:t>
            </w:r>
          </w:p>
        </w:tc>
        <w:tc>
          <w:tcPr>
            <w:tcW w:w="3604" w:type="pct"/>
            <w:shd w:val="clear" w:color="auto" w:fill="auto"/>
            <w:vAlign w:val="center"/>
          </w:tcPr>
          <w:p w:rsidR="00275C5A" w:rsidRPr="00A700F7" w:rsidRDefault="00B23403" w:rsidP="009F5A01">
            <w:pPr>
              <w:pStyle w:val="Tabletext"/>
              <w:keepNext/>
            </w:pPr>
            <w:r w:rsidRPr="00A700F7">
              <w:t xml:space="preserve">3 months with half cycle correction.  While this corresponded to the length of the </w:t>
            </w:r>
            <w:proofErr w:type="spellStart"/>
            <w:r w:rsidRPr="00A700F7">
              <w:t>erenumab</w:t>
            </w:r>
            <w:proofErr w:type="spellEnd"/>
            <w:r w:rsidRPr="00A700F7">
              <w:t xml:space="preserve"> trial (12 weeks)</w:t>
            </w:r>
            <w:r w:rsidR="00DD4425">
              <w:t>,</w:t>
            </w:r>
            <w:r w:rsidRPr="00A700F7">
              <w:t xml:space="preserve"> it did no</w:t>
            </w:r>
            <w:r w:rsidR="000E78F1" w:rsidRPr="00A700F7">
              <w:t>t correspond to the requested r</w:t>
            </w:r>
            <w:r w:rsidRPr="00A700F7">
              <w:t>estriction, where assessment for continuing therapy occurs at 24 weeks (6 months).</w:t>
            </w:r>
          </w:p>
        </w:tc>
      </w:tr>
      <w:tr w:rsidR="00275C5A" w:rsidRPr="00A700F7" w:rsidTr="003C7D19">
        <w:tc>
          <w:tcPr>
            <w:tcW w:w="1396" w:type="pct"/>
            <w:shd w:val="clear" w:color="auto" w:fill="auto"/>
            <w:vAlign w:val="center"/>
          </w:tcPr>
          <w:p w:rsidR="00275C5A" w:rsidRPr="00A700F7" w:rsidRDefault="00275C5A" w:rsidP="009F5A01">
            <w:pPr>
              <w:pStyle w:val="Tabletext"/>
              <w:keepNext/>
            </w:pPr>
            <w:r w:rsidRPr="00A700F7">
              <w:t>Transition probabilities</w:t>
            </w:r>
          </w:p>
        </w:tc>
        <w:tc>
          <w:tcPr>
            <w:tcW w:w="3604" w:type="pct"/>
            <w:shd w:val="clear" w:color="auto" w:fill="auto"/>
            <w:vAlign w:val="center"/>
          </w:tcPr>
          <w:p w:rsidR="00275C5A" w:rsidRPr="00A700F7" w:rsidRDefault="00B23403" w:rsidP="009F5A01">
            <w:pPr>
              <w:pStyle w:val="Tabletext"/>
              <w:keepNext/>
            </w:pPr>
            <w:r w:rsidRPr="00A700F7">
              <w:t>Study 295 and the indirect comparison versus Botox.</w:t>
            </w:r>
          </w:p>
        </w:tc>
      </w:tr>
    </w:tbl>
    <w:p w:rsidR="003270E4" w:rsidRPr="00A700F7" w:rsidRDefault="00B23403" w:rsidP="003270E4">
      <w:pPr>
        <w:pStyle w:val="TableFooter"/>
      </w:pPr>
      <w:r w:rsidRPr="00A700F7">
        <w:t>Source: Table 3.1, p66 of the submission.</w:t>
      </w:r>
    </w:p>
    <w:p w:rsidR="00275C5A" w:rsidRPr="00A700F7" w:rsidRDefault="00275C5A" w:rsidP="0023209F"/>
    <w:p w:rsidR="00275C5A" w:rsidRPr="00A700F7" w:rsidRDefault="002001A2" w:rsidP="00275C5A">
      <w:pPr>
        <w:pStyle w:val="ListParagraph"/>
        <w:numPr>
          <w:ilvl w:val="1"/>
          <w:numId w:val="3"/>
        </w:numPr>
      </w:pPr>
      <w:r w:rsidRPr="00A700F7">
        <w:t>A summary of the key drivers of the economic model i</w:t>
      </w:r>
      <w:r w:rsidR="00C102D3">
        <w:t>s provided in the table below.</w:t>
      </w:r>
    </w:p>
    <w:p w:rsidR="009F5A01" w:rsidRPr="00A700F7" w:rsidRDefault="009F5A01">
      <w:pPr>
        <w:jc w:val="left"/>
        <w:rPr>
          <w:rStyle w:val="CommentReference"/>
        </w:rPr>
      </w:pPr>
    </w:p>
    <w:p w:rsidR="00144268" w:rsidRPr="00144268" w:rsidRDefault="00144268" w:rsidP="00144268">
      <w:pPr>
        <w:pStyle w:val="Caption"/>
        <w:keepNext/>
        <w:spacing w:after="0"/>
        <w:rPr>
          <w:rFonts w:ascii="Arial Narrow" w:hAnsi="Arial Narrow"/>
          <w:color w:val="auto"/>
          <w:sz w:val="20"/>
        </w:rPr>
      </w:pPr>
      <w:r w:rsidRPr="00144268">
        <w:rPr>
          <w:rFonts w:ascii="Arial Narrow" w:hAnsi="Arial Narrow"/>
          <w:color w:val="auto"/>
          <w:sz w:val="20"/>
        </w:rPr>
        <w:lastRenderedPageBreak/>
        <w:t xml:space="preserve">Table </w:t>
      </w:r>
      <w:r w:rsidR="00D8193A">
        <w:rPr>
          <w:rFonts w:ascii="Arial Narrow" w:hAnsi="Arial Narrow"/>
          <w:noProof/>
          <w:color w:val="auto"/>
          <w:sz w:val="20"/>
        </w:rPr>
        <w:t>11</w:t>
      </w:r>
      <w:r w:rsidRPr="00144268">
        <w:rPr>
          <w:rFonts w:ascii="Arial Narrow" w:hAnsi="Arial Narrow"/>
          <w:color w:val="auto"/>
          <w:sz w:val="20"/>
        </w:rPr>
        <w:t>: Key drivers of the model</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firstRow="1" w:lastRow="0" w:firstColumn="1" w:lastColumn="0" w:noHBand="0" w:noVBand="1"/>
      </w:tblPr>
      <w:tblGrid>
        <w:gridCol w:w="1728"/>
        <w:gridCol w:w="6004"/>
        <w:gridCol w:w="1446"/>
      </w:tblGrid>
      <w:tr w:rsidR="00C9666C" w:rsidRPr="00A700F7" w:rsidTr="00DD4425">
        <w:trPr>
          <w:tblHeader/>
        </w:trPr>
        <w:tc>
          <w:tcPr>
            <w:tcW w:w="941" w:type="pct"/>
            <w:shd w:val="clear" w:color="auto" w:fill="auto"/>
            <w:vAlign w:val="center"/>
          </w:tcPr>
          <w:p w:rsidR="00D110BD" w:rsidRPr="00A700F7" w:rsidRDefault="00D110BD" w:rsidP="009F5A01">
            <w:pPr>
              <w:pStyle w:val="Tabletext"/>
              <w:keepNext/>
              <w:rPr>
                <w:b/>
                <w:lang w:val="en-US"/>
              </w:rPr>
            </w:pPr>
            <w:r w:rsidRPr="00A700F7">
              <w:rPr>
                <w:b/>
                <w:lang w:val="en-US"/>
              </w:rPr>
              <w:t>Description</w:t>
            </w:r>
          </w:p>
        </w:tc>
        <w:tc>
          <w:tcPr>
            <w:tcW w:w="3271" w:type="pct"/>
            <w:shd w:val="clear" w:color="auto" w:fill="auto"/>
            <w:vAlign w:val="center"/>
          </w:tcPr>
          <w:p w:rsidR="00D110BD" w:rsidRPr="00A700F7" w:rsidRDefault="00D110BD" w:rsidP="009F5A01">
            <w:pPr>
              <w:pStyle w:val="Tabletext"/>
              <w:keepNext/>
              <w:jc w:val="center"/>
              <w:rPr>
                <w:b/>
                <w:lang w:val="en-US"/>
              </w:rPr>
            </w:pPr>
            <w:r w:rsidRPr="00A700F7">
              <w:rPr>
                <w:b/>
                <w:lang w:val="en-US"/>
              </w:rPr>
              <w:t>Method/Value</w:t>
            </w:r>
          </w:p>
        </w:tc>
        <w:tc>
          <w:tcPr>
            <w:tcW w:w="788" w:type="pct"/>
            <w:shd w:val="clear" w:color="auto" w:fill="auto"/>
            <w:vAlign w:val="center"/>
          </w:tcPr>
          <w:p w:rsidR="00D110BD" w:rsidRPr="00A700F7" w:rsidRDefault="00D110BD" w:rsidP="00B43A3C">
            <w:pPr>
              <w:pStyle w:val="Tabletext"/>
              <w:jc w:val="center"/>
              <w:rPr>
                <w:b/>
                <w:lang w:val="en-US"/>
              </w:rPr>
            </w:pPr>
            <w:r w:rsidRPr="00A700F7">
              <w:rPr>
                <w:b/>
                <w:lang w:val="en-US"/>
              </w:rPr>
              <w:t>Impact</w:t>
            </w:r>
          </w:p>
        </w:tc>
      </w:tr>
      <w:tr w:rsidR="00C9666C" w:rsidRPr="00A700F7" w:rsidTr="00DD4425">
        <w:tc>
          <w:tcPr>
            <w:tcW w:w="941" w:type="pct"/>
            <w:shd w:val="clear" w:color="auto" w:fill="auto"/>
            <w:vAlign w:val="center"/>
          </w:tcPr>
          <w:p w:rsidR="00D110BD" w:rsidRPr="00A700F7" w:rsidRDefault="00B23403" w:rsidP="00176D74">
            <w:pPr>
              <w:pStyle w:val="Tabletext"/>
              <w:keepNext/>
              <w:rPr>
                <w:lang w:val="en-US"/>
              </w:rPr>
            </w:pPr>
            <w:r w:rsidRPr="00A700F7">
              <w:rPr>
                <w:lang w:val="en-US"/>
              </w:rPr>
              <w:t xml:space="preserve">Clinical </w:t>
            </w:r>
            <w:r w:rsidR="00176D74">
              <w:rPr>
                <w:lang w:val="en-US"/>
              </w:rPr>
              <w:t>efficacy</w:t>
            </w:r>
          </w:p>
        </w:tc>
        <w:tc>
          <w:tcPr>
            <w:tcW w:w="3271" w:type="pct"/>
            <w:shd w:val="clear" w:color="auto" w:fill="auto"/>
            <w:vAlign w:val="center"/>
          </w:tcPr>
          <w:p w:rsidR="00580639" w:rsidRPr="00A700F7" w:rsidRDefault="00B43A3C" w:rsidP="009F5A01">
            <w:pPr>
              <w:pStyle w:val="Tabletext"/>
              <w:keepNext/>
              <w:numPr>
                <w:ilvl w:val="0"/>
                <w:numId w:val="2"/>
              </w:numPr>
              <w:ind w:left="120" w:hanging="120"/>
              <w:rPr>
                <w:lang w:val="en-US"/>
              </w:rPr>
            </w:pPr>
            <w:r w:rsidRPr="00A700F7">
              <w:rPr>
                <w:lang w:val="en-US"/>
              </w:rPr>
              <w:t xml:space="preserve">The economic model was based on results from the indirect comparison of </w:t>
            </w:r>
            <w:proofErr w:type="spellStart"/>
            <w:r w:rsidRPr="00A700F7">
              <w:rPr>
                <w:lang w:val="en-US"/>
              </w:rPr>
              <w:t>erenumab</w:t>
            </w:r>
            <w:proofErr w:type="spellEnd"/>
            <w:r w:rsidRPr="00A700F7">
              <w:rPr>
                <w:lang w:val="en-US"/>
              </w:rPr>
              <w:t xml:space="preserve"> and Botox for proportion of patients with ≥50% reduction in headache days.  There was no statistically significant difference between </w:t>
            </w:r>
            <w:proofErr w:type="spellStart"/>
            <w:r w:rsidRPr="00A700F7">
              <w:rPr>
                <w:lang w:val="en-US"/>
              </w:rPr>
              <w:t>erenumab</w:t>
            </w:r>
            <w:proofErr w:type="spellEnd"/>
            <w:r w:rsidRPr="00A700F7">
              <w:rPr>
                <w:lang w:val="en-US"/>
              </w:rPr>
              <w:t xml:space="preserve"> an</w:t>
            </w:r>
            <w:r w:rsidR="00580639" w:rsidRPr="00A700F7">
              <w:rPr>
                <w:lang w:val="en-US"/>
              </w:rPr>
              <w:t>d Botox for this outcome.</w:t>
            </w:r>
          </w:p>
          <w:p w:rsidR="00580639" w:rsidRPr="00A700F7" w:rsidRDefault="00580639" w:rsidP="009F5A01">
            <w:pPr>
              <w:pStyle w:val="Tabletext"/>
              <w:keepNext/>
              <w:numPr>
                <w:ilvl w:val="0"/>
                <w:numId w:val="2"/>
              </w:numPr>
              <w:ind w:left="120" w:hanging="120"/>
              <w:rPr>
                <w:lang w:val="en-US"/>
              </w:rPr>
            </w:pPr>
            <w:r w:rsidRPr="00A700F7">
              <w:rPr>
                <w:lang w:val="en-US"/>
              </w:rPr>
              <w:t xml:space="preserve">The model used an assessment point of 24 weeks to determine responders.  While this was consistent with the requested restriction and the Botox data, the </w:t>
            </w:r>
            <w:proofErr w:type="spellStart"/>
            <w:r w:rsidRPr="00A700F7">
              <w:rPr>
                <w:lang w:val="en-US"/>
              </w:rPr>
              <w:t>erenumab</w:t>
            </w:r>
            <w:proofErr w:type="spellEnd"/>
            <w:r w:rsidRPr="00A700F7">
              <w:rPr>
                <w:lang w:val="en-US"/>
              </w:rPr>
              <w:t xml:space="preserve"> trial used a 12 week assessment point.</w:t>
            </w:r>
          </w:p>
          <w:p w:rsidR="00106B80" w:rsidRPr="00A700F7" w:rsidRDefault="00580639" w:rsidP="009F5A01">
            <w:pPr>
              <w:pStyle w:val="Tabletext"/>
              <w:keepNext/>
              <w:numPr>
                <w:ilvl w:val="0"/>
                <w:numId w:val="2"/>
              </w:numPr>
              <w:ind w:left="120" w:hanging="120"/>
              <w:rPr>
                <w:lang w:val="en-US"/>
              </w:rPr>
            </w:pPr>
            <w:r w:rsidRPr="00A700F7">
              <w:rPr>
                <w:lang w:val="en-US"/>
              </w:rPr>
              <w:t>For rates of discontinuation the model used data from the overall trial populations, which was not consistent with the model population or the proposed PBS population.</w:t>
            </w:r>
          </w:p>
        </w:tc>
        <w:tc>
          <w:tcPr>
            <w:tcW w:w="788" w:type="pct"/>
            <w:shd w:val="clear" w:color="auto" w:fill="auto"/>
            <w:vAlign w:val="center"/>
          </w:tcPr>
          <w:p w:rsidR="00D110BD" w:rsidRPr="00A700F7" w:rsidRDefault="006B3B24" w:rsidP="00B43A3C">
            <w:pPr>
              <w:pStyle w:val="Tabletext"/>
              <w:rPr>
                <w:lang w:val="en-US"/>
              </w:rPr>
            </w:pPr>
            <w:r w:rsidRPr="00A700F7">
              <w:rPr>
                <w:lang w:val="en-US"/>
              </w:rPr>
              <w:t xml:space="preserve">High, favours </w:t>
            </w:r>
            <w:proofErr w:type="spellStart"/>
            <w:r w:rsidRPr="00A700F7">
              <w:rPr>
                <w:lang w:val="en-US"/>
              </w:rPr>
              <w:t>erenumab</w:t>
            </w:r>
            <w:proofErr w:type="spellEnd"/>
          </w:p>
        </w:tc>
      </w:tr>
      <w:tr w:rsidR="00C9666C" w:rsidRPr="00A700F7" w:rsidTr="00DD4425">
        <w:tc>
          <w:tcPr>
            <w:tcW w:w="941" w:type="pct"/>
            <w:shd w:val="clear" w:color="auto" w:fill="auto"/>
            <w:vAlign w:val="center"/>
          </w:tcPr>
          <w:p w:rsidR="006B3B24" w:rsidRPr="00A700F7" w:rsidRDefault="006B3B24" w:rsidP="009F5A01">
            <w:pPr>
              <w:pStyle w:val="Tabletext"/>
              <w:keepNext/>
              <w:rPr>
                <w:lang w:val="en-US"/>
              </w:rPr>
            </w:pPr>
            <w:r w:rsidRPr="00A700F7">
              <w:rPr>
                <w:lang w:val="en-US"/>
              </w:rPr>
              <w:t>Parametric distributions</w:t>
            </w:r>
          </w:p>
        </w:tc>
        <w:tc>
          <w:tcPr>
            <w:tcW w:w="3271" w:type="pct"/>
            <w:shd w:val="clear" w:color="auto" w:fill="auto"/>
            <w:vAlign w:val="center"/>
          </w:tcPr>
          <w:p w:rsidR="006B3B24" w:rsidRPr="00A700F7" w:rsidRDefault="006B3B24" w:rsidP="009F5A01">
            <w:pPr>
              <w:pStyle w:val="Tabletext"/>
              <w:keepNext/>
              <w:numPr>
                <w:ilvl w:val="0"/>
                <w:numId w:val="37"/>
              </w:numPr>
              <w:ind w:left="120" w:hanging="120"/>
              <w:rPr>
                <w:lang w:val="en-US"/>
              </w:rPr>
            </w:pPr>
            <w:r w:rsidRPr="00A700F7">
              <w:t xml:space="preserve">The model is structured so that cost and utility values for each </w:t>
            </w:r>
            <w:r w:rsidR="002001A2" w:rsidRPr="00A700F7">
              <w:t>monthly migraine day (</w:t>
            </w:r>
            <w:r w:rsidRPr="00A700F7">
              <w:t>MMD</w:t>
            </w:r>
            <w:r w:rsidR="002001A2" w:rsidRPr="00A700F7">
              <w:t>)</w:t>
            </w:r>
            <w:r w:rsidRPr="00A700F7">
              <w:t xml:space="preserve"> frequency are calculated and then weighted according to a predicted MMD distribution, generating mean values for that health state.</w:t>
            </w:r>
            <w:r w:rsidR="00B43A3C" w:rsidRPr="00A700F7">
              <w:t xml:space="preserve">  The determination of MMD distributions was done using parametric models based on Study 295 data.</w:t>
            </w:r>
            <w:r w:rsidR="00297590" w:rsidRPr="00A700F7">
              <w:t xml:space="preserve">  MMDs including da</w:t>
            </w:r>
            <w:r w:rsidR="00B43A3C" w:rsidRPr="00A700F7">
              <w:t>ta from the 70</w:t>
            </w:r>
            <w:r w:rsidR="00DD4425">
              <w:t xml:space="preserve"> </w:t>
            </w:r>
            <w:r w:rsidR="00B43A3C" w:rsidRPr="00A700F7">
              <w:t>mg/day dos</w:t>
            </w:r>
            <w:r w:rsidR="00297590" w:rsidRPr="00A700F7">
              <w:t>e</w:t>
            </w:r>
            <w:r w:rsidR="00B43A3C" w:rsidRPr="00A700F7">
              <w:t xml:space="preserve"> </w:t>
            </w:r>
            <w:r w:rsidR="00297590" w:rsidRPr="00A700F7">
              <w:t xml:space="preserve">of </w:t>
            </w:r>
            <w:proofErr w:type="spellStart"/>
            <w:r w:rsidR="00297590" w:rsidRPr="00A700F7">
              <w:t>erenumab</w:t>
            </w:r>
            <w:proofErr w:type="spellEnd"/>
            <w:r w:rsidR="00B43A3C" w:rsidRPr="00A700F7">
              <w:t xml:space="preserve"> were used in the assessment of response period while MMDs based on the overall trial population were used for the remainder of the model (with patients returning to baseline MMD distributions if they discontinued).  As such, the populations used to determine the MMD distributions did not match the model or proposed PBS population.</w:t>
            </w:r>
            <w:r w:rsidRPr="00A700F7">
              <w:t xml:space="preserve"> </w:t>
            </w:r>
          </w:p>
        </w:tc>
        <w:tc>
          <w:tcPr>
            <w:tcW w:w="788" w:type="pct"/>
            <w:shd w:val="clear" w:color="auto" w:fill="auto"/>
            <w:vAlign w:val="center"/>
          </w:tcPr>
          <w:p w:rsidR="006B3B24" w:rsidRPr="00A700F7" w:rsidRDefault="00B43A3C" w:rsidP="00B43A3C">
            <w:pPr>
              <w:pStyle w:val="Tabletext"/>
              <w:rPr>
                <w:lang w:val="en-US"/>
              </w:rPr>
            </w:pPr>
            <w:r w:rsidRPr="00A700F7">
              <w:rPr>
                <w:lang w:val="en-US"/>
              </w:rPr>
              <w:t xml:space="preserve">Moderate, favours </w:t>
            </w:r>
            <w:proofErr w:type="spellStart"/>
            <w:r w:rsidRPr="00A700F7">
              <w:rPr>
                <w:lang w:val="en-US"/>
              </w:rPr>
              <w:t>erenumab</w:t>
            </w:r>
            <w:proofErr w:type="spellEnd"/>
          </w:p>
        </w:tc>
      </w:tr>
      <w:tr w:rsidR="00C9666C" w:rsidRPr="00A700F7" w:rsidTr="00DD4425">
        <w:tc>
          <w:tcPr>
            <w:tcW w:w="941" w:type="pct"/>
            <w:shd w:val="clear" w:color="auto" w:fill="auto"/>
            <w:vAlign w:val="center"/>
          </w:tcPr>
          <w:p w:rsidR="006B3B24" w:rsidRPr="00A700F7" w:rsidRDefault="006B3B24" w:rsidP="009F5A01">
            <w:pPr>
              <w:pStyle w:val="Tabletext"/>
              <w:keepNext/>
              <w:rPr>
                <w:lang w:val="en-US"/>
              </w:rPr>
            </w:pPr>
            <w:r w:rsidRPr="00A700F7">
              <w:rPr>
                <w:lang w:val="en-US"/>
              </w:rPr>
              <w:t>Extrapolation</w:t>
            </w:r>
          </w:p>
        </w:tc>
        <w:tc>
          <w:tcPr>
            <w:tcW w:w="3271" w:type="pct"/>
            <w:shd w:val="clear" w:color="auto" w:fill="auto"/>
            <w:vAlign w:val="center"/>
          </w:tcPr>
          <w:p w:rsidR="00560EE5" w:rsidRPr="00A700F7" w:rsidRDefault="006B3B24" w:rsidP="009F5A01">
            <w:pPr>
              <w:pStyle w:val="Tabletext"/>
              <w:keepNext/>
              <w:numPr>
                <w:ilvl w:val="0"/>
                <w:numId w:val="37"/>
              </w:numPr>
              <w:ind w:left="120" w:hanging="120"/>
            </w:pPr>
            <w:r w:rsidRPr="00A700F7">
              <w:rPr>
                <w:lang w:val="en-US"/>
              </w:rPr>
              <w:t xml:space="preserve">The submission stated that extrapolation </w:t>
            </w:r>
            <w:r w:rsidRPr="00A700F7">
              <w:t>of the clinical data was in principle performed on the last observation carried forward (LOCF) basis – patients who were deemed as responders at 12 weeks continue on treatment and remain in response into the post-assessment phase, although they were subject to the risk of treatment discontinuation and death.  As such, for patients who do not die due to all-cause mortality or do not discontinue due to AEs or other reasons, the model assumed that the respo</w:t>
            </w:r>
            <w:r w:rsidR="00B43A3C" w:rsidRPr="00A700F7">
              <w:t>nse over 12 weeks in Study 295 wa</w:t>
            </w:r>
            <w:r w:rsidRPr="00A700F7">
              <w:t xml:space="preserve">s maintained up to 5 years.  Given the lack of long-term data for </w:t>
            </w:r>
            <w:proofErr w:type="spellStart"/>
            <w:r w:rsidRPr="00A700F7">
              <w:t>erenumab</w:t>
            </w:r>
            <w:proofErr w:type="spellEnd"/>
            <w:r w:rsidRPr="00A700F7">
              <w:t>, it is not likely to be reasonable to assume that response may be maintained over such a time period.</w:t>
            </w:r>
          </w:p>
        </w:tc>
        <w:tc>
          <w:tcPr>
            <w:tcW w:w="788" w:type="pct"/>
            <w:shd w:val="clear" w:color="auto" w:fill="auto"/>
            <w:vAlign w:val="center"/>
          </w:tcPr>
          <w:p w:rsidR="006B3B24" w:rsidRPr="00A700F7" w:rsidRDefault="00B43A3C" w:rsidP="00B43A3C">
            <w:pPr>
              <w:pStyle w:val="Tabletext"/>
              <w:rPr>
                <w:lang w:val="en-US"/>
              </w:rPr>
            </w:pPr>
            <w:r w:rsidRPr="00A700F7">
              <w:rPr>
                <w:lang w:val="en-US"/>
              </w:rPr>
              <w:t xml:space="preserve">High, favours </w:t>
            </w:r>
            <w:proofErr w:type="spellStart"/>
            <w:r w:rsidRPr="00A700F7">
              <w:rPr>
                <w:lang w:val="en-US"/>
              </w:rPr>
              <w:t>erenumab</w:t>
            </w:r>
            <w:proofErr w:type="spellEnd"/>
          </w:p>
        </w:tc>
      </w:tr>
    </w:tbl>
    <w:p w:rsidR="00D110BD" w:rsidRPr="00A700F7" w:rsidRDefault="009D792E" w:rsidP="009D792E">
      <w:pPr>
        <w:pStyle w:val="TableFooter"/>
      </w:pPr>
      <w:r w:rsidRPr="00A700F7">
        <w:t xml:space="preserve">Source: </w:t>
      </w:r>
      <w:r w:rsidR="00580639" w:rsidRPr="00A700F7">
        <w:t>compiled from Section 3 of the submission during the evaluation</w:t>
      </w:r>
      <w:r w:rsidRPr="00A700F7">
        <w:t>.</w:t>
      </w:r>
    </w:p>
    <w:p w:rsidR="001A65DD" w:rsidRPr="00A700F7" w:rsidRDefault="001A65DD" w:rsidP="00275C5A"/>
    <w:p w:rsidR="008E1B3C" w:rsidRPr="00A700F7" w:rsidRDefault="008E1B3C" w:rsidP="007A132D">
      <w:pPr>
        <w:pStyle w:val="ListParagraph"/>
        <w:numPr>
          <w:ilvl w:val="1"/>
          <w:numId w:val="3"/>
        </w:numPr>
      </w:pPr>
      <w:r w:rsidRPr="00A700F7">
        <w:t>The results of the economic evaluation are provided below, for the comparison</w:t>
      </w:r>
      <w:r w:rsidR="00DD4425">
        <w:t>s</w:t>
      </w:r>
      <w:r w:rsidRPr="00A700F7">
        <w:t xml:space="preserve"> against </w:t>
      </w:r>
      <w:r w:rsidR="00DD4425">
        <w:t xml:space="preserve">both </w:t>
      </w:r>
      <w:r w:rsidRPr="00A700F7">
        <w:t>Botox and BSC.</w:t>
      </w:r>
    </w:p>
    <w:p w:rsidR="00144268" w:rsidRPr="00144268" w:rsidRDefault="00144268" w:rsidP="00144268">
      <w:pPr>
        <w:pStyle w:val="Caption"/>
        <w:keepNext/>
        <w:spacing w:after="0"/>
        <w:rPr>
          <w:rFonts w:ascii="Arial Narrow" w:hAnsi="Arial Narrow"/>
          <w:color w:val="auto"/>
          <w:sz w:val="20"/>
        </w:rPr>
      </w:pPr>
      <w:r w:rsidRPr="00144268">
        <w:rPr>
          <w:rFonts w:ascii="Arial Narrow" w:hAnsi="Arial Narrow"/>
          <w:color w:val="auto"/>
          <w:sz w:val="20"/>
        </w:rPr>
        <w:t xml:space="preserve">Table </w:t>
      </w:r>
      <w:r w:rsidR="00D8193A">
        <w:rPr>
          <w:rFonts w:ascii="Arial Narrow" w:hAnsi="Arial Narrow"/>
          <w:noProof/>
          <w:color w:val="auto"/>
          <w:sz w:val="20"/>
        </w:rPr>
        <w:t>12</w:t>
      </w:r>
      <w:r w:rsidRPr="00144268">
        <w:rPr>
          <w:rFonts w:ascii="Arial Narrow" w:hAnsi="Arial Narrow"/>
          <w:color w:val="auto"/>
          <w:sz w:val="20"/>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8E1B3C" w:rsidRPr="00414D02" w:rsidTr="00191DAE">
        <w:trPr>
          <w:tblHeader/>
        </w:trPr>
        <w:tc>
          <w:tcPr>
            <w:tcW w:w="1529" w:type="pct"/>
            <w:vAlign w:val="center"/>
          </w:tcPr>
          <w:p w:rsidR="008E1B3C" w:rsidRPr="00414D02" w:rsidRDefault="008E1B3C" w:rsidP="00191DAE">
            <w:pPr>
              <w:pStyle w:val="Tabletext"/>
              <w:keepNext/>
              <w:rPr>
                <w:b/>
              </w:rPr>
            </w:pPr>
            <w:proofErr w:type="spellStart"/>
            <w:r w:rsidRPr="00414D02">
              <w:rPr>
                <w:b/>
              </w:rPr>
              <w:t>Erenumab</w:t>
            </w:r>
            <w:proofErr w:type="spellEnd"/>
            <w:r w:rsidRPr="00414D02">
              <w:rPr>
                <w:b/>
              </w:rPr>
              <w:t xml:space="preserve"> vs. Botox</w:t>
            </w:r>
            <w:r w:rsidR="005B1DF5" w:rsidRPr="00414D02">
              <w:rPr>
                <w:b/>
              </w:rPr>
              <w:t xml:space="preserve"> </w:t>
            </w:r>
            <w:r w:rsidR="005B1DF5" w:rsidRPr="00414D02">
              <w:rPr>
                <w:rStyle w:val="CommentReference"/>
              </w:rPr>
              <w:t>with corrected odds ratio (</w:t>
            </w:r>
            <w:r w:rsidR="00AF24DF">
              <w:rPr>
                <w:rStyle w:val="CommentReference"/>
                <w:noProof/>
                <w:color w:val="000000"/>
                <w:highlight w:val="black"/>
              </w:rPr>
              <w:t>'''''''''</w:t>
            </w:r>
            <w:r w:rsidR="005B1DF5" w:rsidRPr="00414D02">
              <w:rPr>
                <w:rStyle w:val="CommentReference"/>
              </w:rPr>
              <w:t>)</w:t>
            </w:r>
            <w:r w:rsidR="005B1DF5" w:rsidRPr="00414D02">
              <w:rPr>
                <w:rStyle w:val="CommentReference"/>
                <w:vertAlign w:val="superscript"/>
              </w:rPr>
              <w:t>a</w:t>
            </w:r>
          </w:p>
        </w:tc>
        <w:tc>
          <w:tcPr>
            <w:tcW w:w="1359" w:type="pct"/>
            <w:vAlign w:val="center"/>
          </w:tcPr>
          <w:p w:rsidR="008E1B3C" w:rsidRPr="00414D02" w:rsidRDefault="008E1B3C" w:rsidP="00191DAE">
            <w:pPr>
              <w:pStyle w:val="Tabletext"/>
              <w:keepNext/>
              <w:jc w:val="center"/>
              <w:rPr>
                <w:b/>
              </w:rPr>
            </w:pPr>
            <w:proofErr w:type="spellStart"/>
            <w:r w:rsidRPr="00414D02">
              <w:rPr>
                <w:b/>
              </w:rPr>
              <w:t>Erenumab</w:t>
            </w:r>
            <w:proofErr w:type="spellEnd"/>
          </w:p>
        </w:tc>
        <w:tc>
          <w:tcPr>
            <w:tcW w:w="1274" w:type="pct"/>
            <w:vAlign w:val="center"/>
          </w:tcPr>
          <w:p w:rsidR="008E1B3C" w:rsidRPr="00414D02" w:rsidRDefault="008E1B3C" w:rsidP="00191DAE">
            <w:pPr>
              <w:pStyle w:val="Tabletext"/>
              <w:keepNext/>
              <w:jc w:val="center"/>
              <w:rPr>
                <w:b/>
              </w:rPr>
            </w:pPr>
            <w:r w:rsidRPr="00414D02">
              <w:rPr>
                <w:b/>
              </w:rPr>
              <w:t>Botox</w:t>
            </w:r>
          </w:p>
        </w:tc>
        <w:tc>
          <w:tcPr>
            <w:tcW w:w="838" w:type="pct"/>
            <w:vAlign w:val="center"/>
          </w:tcPr>
          <w:p w:rsidR="008E1B3C" w:rsidRPr="00414D02" w:rsidRDefault="008E1B3C" w:rsidP="00191DAE">
            <w:pPr>
              <w:pStyle w:val="Tabletext"/>
              <w:keepNext/>
              <w:jc w:val="center"/>
              <w:rPr>
                <w:b/>
              </w:rPr>
            </w:pPr>
            <w:r w:rsidRPr="00414D02">
              <w:rPr>
                <w:b/>
              </w:rPr>
              <w:t>Increment</w:t>
            </w:r>
          </w:p>
        </w:tc>
      </w:tr>
      <w:tr w:rsidR="008E1B3C" w:rsidRPr="00414D02" w:rsidTr="00191DAE">
        <w:tc>
          <w:tcPr>
            <w:tcW w:w="1529" w:type="pct"/>
            <w:vAlign w:val="center"/>
          </w:tcPr>
          <w:p w:rsidR="008E1B3C" w:rsidRPr="00414D02" w:rsidRDefault="008E1B3C" w:rsidP="00191DAE">
            <w:pPr>
              <w:pStyle w:val="Tabletext"/>
            </w:pPr>
            <w:r w:rsidRPr="00414D02">
              <w:t>Costs</w:t>
            </w:r>
          </w:p>
        </w:tc>
        <w:tc>
          <w:tcPr>
            <w:tcW w:w="1359" w:type="pct"/>
            <w:vAlign w:val="center"/>
          </w:tcPr>
          <w:p w:rsidR="008E1B3C" w:rsidRPr="00414D02" w:rsidRDefault="008E1B3C" w:rsidP="00191DAE">
            <w:pPr>
              <w:pStyle w:val="Tabletext"/>
              <w:jc w:val="center"/>
            </w:pPr>
            <w:r w:rsidRPr="00414D02">
              <w:t>$</w:t>
            </w:r>
            <w:r w:rsidR="00AF24DF">
              <w:rPr>
                <w:noProof/>
                <w:color w:val="000000"/>
                <w:highlight w:val="black"/>
              </w:rPr>
              <w:t>''''''''''''''''</w:t>
            </w:r>
          </w:p>
        </w:tc>
        <w:tc>
          <w:tcPr>
            <w:tcW w:w="1274" w:type="pct"/>
            <w:vAlign w:val="center"/>
          </w:tcPr>
          <w:p w:rsidR="008E1B3C" w:rsidRPr="00414D02" w:rsidRDefault="008E1B3C" w:rsidP="00191DAE">
            <w:pPr>
              <w:pStyle w:val="Tabletext"/>
              <w:jc w:val="center"/>
            </w:pPr>
            <w:r w:rsidRPr="00414D02">
              <w:t>$</w:t>
            </w:r>
            <w:r w:rsidR="00AF24DF">
              <w:rPr>
                <w:noProof/>
                <w:color w:val="000000"/>
                <w:highlight w:val="black"/>
              </w:rPr>
              <w:t>''''''''''''''''</w:t>
            </w:r>
          </w:p>
        </w:tc>
        <w:tc>
          <w:tcPr>
            <w:tcW w:w="838" w:type="pct"/>
            <w:vAlign w:val="center"/>
          </w:tcPr>
          <w:p w:rsidR="008E1B3C" w:rsidRPr="00414D02" w:rsidRDefault="008E1B3C" w:rsidP="00E4516C">
            <w:pPr>
              <w:pStyle w:val="Tabletext"/>
              <w:jc w:val="center"/>
            </w:pPr>
            <w:r w:rsidRPr="001D659C">
              <w:t>$</w:t>
            </w:r>
            <w:r w:rsidR="00AF24DF">
              <w:rPr>
                <w:noProof/>
                <w:color w:val="000000"/>
                <w:highlight w:val="black"/>
              </w:rPr>
              <w:t>''''''''''''''''</w:t>
            </w:r>
          </w:p>
        </w:tc>
      </w:tr>
      <w:tr w:rsidR="008E1B3C" w:rsidRPr="00414D02" w:rsidTr="00191DAE">
        <w:tc>
          <w:tcPr>
            <w:tcW w:w="1529" w:type="pct"/>
            <w:vAlign w:val="center"/>
          </w:tcPr>
          <w:p w:rsidR="008E1B3C" w:rsidRPr="00414D02" w:rsidRDefault="008E1B3C" w:rsidP="00191DAE">
            <w:pPr>
              <w:pStyle w:val="Tabletext"/>
            </w:pPr>
            <w:r w:rsidRPr="00414D02">
              <w:t>QALYs</w:t>
            </w:r>
          </w:p>
        </w:tc>
        <w:tc>
          <w:tcPr>
            <w:tcW w:w="1359" w:type="pct"/>
            <w:vAlign w:val="center"/>
          </w:tcPr>
          <w:p w:rsidR="008E1B3C" w:rsidRPr="00AF24DF" w:rsidRDefault="00AF24DF" w:rsidP="00191DAE">
            <w:pPr>
              <w:pStyle w:val="Tabletext"/>
              <w:jc w:val="center"/>
              <w:rPr>
                <w:highlight w:val="black"/>
              </w:rPr>
            </w:pPr>
            <w:r>
              <w:rPr>
                <w:noProof/>
                <w:color w:val="000000"/>
                <w:highlight w:val="black"/>
              </w:rPr>
              <w:t>''''''''''''''''''</w:t>
            </w:r>
          </w:p>
        </w:tc>
        <w:tc>
          <w:tcPr>
            <w:tcW w:w="1274" w:type="pct"/>
            <w:vAlign w:val="center"/>
          </w:tcPr>
          <w:p w:rsidR="008E1B3C" w:rsidRPr="00AF24DF" w:rsidRDefault="00AF24DF" w:rsidP="00E4516C">
            <w:pPr>
              <w:pStyle w:val="Tabletext"/>
              <w:jc w:val="center"/>
              <w:rPr>
                <w:highlight w:val="black"/>
              </w:rPr>
            </w:pPr>
            <w:r>
              <w:rPr>
                <w:noProof/>
                <w:color w:val="000000"/>
                <w:highlight w:val="black"/>
              </w:rPr>
              <w:t>''''''''''''''''</w:t>
            </w:r>
          </w:p>
        </w:tc>
        <w:tc>
          <w:tcPr>
            <w:tcW w:w="838" w:type="pct"/>
            <w:vAlign w:val="center"/>
          </w:tcPr>
          <w:p w:rsidR="008E1B3C" w:rsidRPr="00AF24DF" w:rsidRDefault="00AF24DF" w:rsidP="00E4516C">
            <w:pPr>
              <w:pStyle w:val="Tabletext"/>
              <w:jc w:val="center"/>
              <w:rPr>
                <w:highlight w:val="black"/>
              </w:rPr>
            </w:pPr>
            <w:r>
              <w:rPr>
                <w:noProof/>
                <w:color w:val="000000"/>
                <w:highlight w:val="black"/>
              </w:rPr>
              <w:t>''''''''''''''''</w:t>
            </w:r>
          </w:p>
        </w:tc>
      </w:tr>
      <w:tr w:rsidR="008E1B3C" w:rsidRPr="00414D02" w:rsidTr="00191DAE">
        <w:tc>
          <w:tcPr>
            <w:tcW w:w="4162" w:type="pct"/>
            <w:gridSpan w:val="3"/>
            <w:vAlign w:val="center"/>
          </w:tcPr>
          <w:p w:rsidR="008E1B3C" w:rsidRPr="00414D02" w:rsidRDefault="008E1B3C" w:rsidP="00191DAE">
            <w:pPr>
              <w:pStyle w:val="Tabletext"/>
            </w:pPr>
            <w:r w:rsidRPr="00414D02">
              <w:rPr>
                <w:b/>
              </w:rPr>
              <w:t>Incremental cost/extra QALY gained</w:t>
            </w:r>
          </w:p>
        </w:tc>
        <w:tc>
          <w:tcPr>
            <w:tcW w:w="838" w:type="pct"/>
            <w:vAlign w:val="center"/>
          </w:tcPr>
          <w:p w:rsidR="008E1B3C" w:rsidRPr="00414D02" w:rsidRDefault="008E1B3C" w:rsidP="00E4516C">
            <w:pPr>
              <w:pStyle w:val="Tabletext"/>
              <w:jc w:val="center"/>
              <w:rPr>
                <w:b/>
              </w:rPr>
            </w:pPr>
            <w:r w:rsidRPr="00414D02">
              <w:rPr>
                <w:b/>
              </w:rPr>
              <w:t>$</w:t>
            </w:r>
            <w:r w:rsidR="00AF24DF">
              <w:rPr>
                <w:b/>
                <w:noProof/>
                <w:color w:val="000000"/>
                <w:highlight w:val="black"/>
              </w:rPr>
              <w:t>'''''''''''''</w:t>
            </w:r>
          </w:p>
        </w:tc>
      </w:tr>
      <w:tr w:rsidR="008E1B3C" w:rsidRPr="00414D02" w:rsidTr="00191DAE">
        <w:tc>
          <w:tcPr>
            <w:tcW w:w="1529" w:type="pct"/>
            <w:vAlign w:val="center"/>
          </w:tcPr>
          <w:p w:rsidR="008E1B3C" w:rsidRPr="00414D02" w:rsidRDefault="008E1B3C" w:rsidP="00191DAE">
            <w:pPr>
              <w:pStyle w:val="Tabletext"/>
              <w:rPr>
                <w:b/>
              </w:rPr>
            </w:pPr>
            <w:proofErr w:type="spellStart"/>
            <w:r w:rsidRPr="00414D02">
              <w:rPr>
                <w:b/>
              </w:rPr>
              <w:t>Erenumab</w:t>
            </w:r>
            <w:proofErr w:type="spellEnd"/>
            <w:r w:rsidRPr="00414D02">
              <w:rPr>
                <w:b/>
              </w:rPr>
              <w:t xml:space="preserve"> vs. BSC</w:t>
            </w:r>
          </w:p>
        </w:tc>
        <w:tc>
          <w:tcPr>
            <w:tcW w:w="1359" w:type="pct"/>
          </w:tcPr>
          <w:p w:rsidR="008E1B3C" w:rsidRPr="00414D02" w:rsidRDefault="008E1B3C" w:rsidP="00191DAE">
            <w:pPr>
              <w:pStyle w:val="Tabletext"/>
              <w:jc w:val="center"/>
              <w:rPr>
                <w:b/>
              </w:rPr>
            </w:pPr>
            <w:proofErr w:type="spellStart"/>
            <w:r w:rsidRPr="00414D02">
              <w:rPr>
                <w:b/>
              </w:rPr>
              <w:t>Erenumab</w:t>
            </w:r>
            <w:proofErr w:type="spellEnd"/>
          </w:p>
        </w:tc>
        <w:tc>
          <w:tcPr>
            <w:tcW w:w="1274" w:type="pct"/>
          </w:tcPr>
          <w:p w:rsidR="008E1B3C" w:rsidRPr="00414D02" w:rsidRDefault="008E1B3C" w:rsidP="00191DAE">
            <w:pPr>
              <w:pStyle w:val="Tabletext"/>
              <w:jc w:val="center"/>
              <w:rPr>
                <w:b/>
              </w:rPr>
            </w:pPr>
            <w:r w:rsidRPr="00414D02">
              <w:rPr>
                <w:b/>
              </w:rPr>
              <w:t>BSC</w:t>
            </w:r>
          </w:p>
        </w:tc>
        <w:tc>
          <w:tcPr>
            <w:tcW w:w="838" w:type="pct"/>
          </w:tcPr>
          <w:p w:rsidR="008E1B3C" w:rsidRPr="00414D02" w:rsidRDefault="008E1B3C" w:rsidP="00191DAE">
            <w:pPr>
              <w:pStyle w:val="Tabletext"/>
              <w:jc w:val="center"/>
              <w:rPr>
                <w:b/>
              </w:rPr>
            </w:pPr>
          </w:p>
        </w:tc>
      </w:tr>
      <w:tr w:rsidR="008E1B3C" w:rsidRPr="00414D02" w:rsidTr="00191DAE">
        <w:tc>
          <w:tcPr>
            <w:tcW w:w="1529" w:type="pct"/>
            <w:vAlign w:val="center"/>
          </w:tcPr>
          <w:p w:rsidR="008E1B3C" w:rsidRPr="00414D02" w:rsidRDefault="008E1B3C" w:rsidP="00191DAE">
            <w:pPr>
              <w:pStyle w:val="Tabletext"/>
              <w:rPr>
                <w:rFonts w:ascii="Times" w:hAnsi="Times"/>
              </w:rPr>
            </w:pPr>
            <w:r w:rsidRPr="00414D02">
              <w:t>Costs</w:t>
            </w:r>
          </w:p>
        </w:tc>
        <w:tc>
          <w:tcPr>
            <w:tcW w:w="1359" w:type="pct"/>
            <w:vAlign w:val="center"/>
          </w:tcPr>
          <w:p w:rsidR="008E1B3C" w:rsidRPr="00414D02" w:rsidRDefault="008E1B3C" w:rsidP="00191DAE">
            <w:pPr>
              <w:pStyle w:val="Tabletext"/>
              <w:jc w:val="center"/>
            </w:pPr>
            <w:r w:rsidRPr="00414D02">
              <w:t>$</w:t>
            </w:r>
            <w:r w:rsidR="00AF24DF">
              <w:rPr>
                <w:noProof/>
                <w:color w:val="000000"/>
                <w:highlight w:val="black"/>
              </w:rPr>
              <w:t>'''''''''''''''''</w:t>
            </w:r>
          </w:p>
        </w:tc>
        <w:tc>
          <w:tcPr>
            <w:tcW w:w="1274" w:type="pct"/>
          </w:tcPr>
          <w:p w:rsidR="008E1B3C" w:rsidRPr="00414D02" w:rsidRDefault="008E1B3C" w:rsidP="00191DAE">
            <w:pPr>
              <w:pStyle w:val="Tabletext"/>
              <w:jc w:val="center"/>
            </w:pPr>
            <w:r w:rsidRPr="00414D02">
              <w:t>$</w:t>
            </w:r>
            <w:r w:rsidR="00AF24DF">
              <w:rPr>
                <w:noProof/>
                <w:color w:val="000000"/>
                <w:highlight w:val="black"/>
              </w:rPr>
              <w:t>''''''''''''''''''</w:t>
            </w:r>
          </w:p>
        </w:tc>
        <w:tc>
          <w:tcPr>
            <w:tcW w:w="838" w:type="pct"/>
          </w:tcPr>
          <w:p w:rsidR="008E1B3C" w:rsidRPr="00414D02" w:rsidRDefault="008E1B3C" w:rsidP="00191DAE">
            <w:pPr>
              <w:pStyle w:val="Tabletext"/>
              <w:jc w:val="center"/>
            </w:pPr>
            <w:r w:rsidRPr="00414D02">
              <w:t>$</w:t>
            </w:r>
            <w:r w:rsidR="00AF24DF">
              <w:rPr>
                <w:noProof/>
                <w:color w:val="000000"/>
                <w:highlight w:val="black"/>
              </w:rPr>
              <w:t>''''''''''''''''</w:t>
            </w:r>
          </w:p>
        </w:tc>
      </w:tr>
      <w:tr w:rsidR="008E1B3C" w:rsidRPr="00414D02" w:rsidTr="00191DAE">
        <w:tc>
          <w:tcPr>
            <w:tcW w:w="1529" w:type="pct"/>
            <w:vAlign w:val="center"/>
          </w:tcPr>
          <w:p w:rsidR="008E1B3C" w:rsidRPr="00414D02" w:rsidRDefault="008E1B3C" w:rsidP="00191DAE">
            <w:pPr>
              <w:pStyle w:val="Tabletext"/>
              <w:rPr>
                <w:rFonts w:ascii="Times" w:hAnsi="Times"/>
              </w:rPr>
            </w:pPr>
            <w:r w:rsidRPr="00414D02">
              <w:t>QALYs</w:t>
            </w:r>
          </w:p>
        </w:tc>
        <w:tc>
          <w:tcPr>
            <w:tcW w:w="1359" w:type="pct"/>
            <w:vAlign w:val="center"/>
          </w:tcPr>
          <w:p w:rsidR="008E1B3C" w:rsidRPr="00AF24DF" w:rsidRDefault="00AF24DF" w:rsidP="00191DAE">
            <w:pPr>
              <w:pStyle w:val="Tabletext"/>
              <w:jc w:val="center"/>
              <w:rPr>
                <w:highlight w:val="black"/>
              </w:rPr>
            </w:pPr>
            <w:r>
              <w:rPr>
                <w:noProof/>
                <w:color w:val="000000"/>
                <w:highlight w:val="black"/>
              </w:rPr>
              <w:t>''''''''''''''''</w:t>
            </w:r>
          </w:p>
        </w:tc>
        <w:tc>
          <w:tcPr>
            <w:tcW w:w="1274" w:type="pct"/>
          </w:tcPr>
          <w:p w:rsidR="008E1B3C" w:rsidRPr="00AF24DF" w:rsidRDefault="00AF24DF" w:rsidP="00191DAE">
            <w:pPr>
              <w:pStyle w:val="Tabletext"/>
              <w:jc w:val="center"/>
              <w:rPr>
                <w:highlight w:val="black"/>
              </w:rPr>
            </w:pPr>
            <w:r>
              <w:rPr>
                <w:noProof/>
                <w:color w:val="000000"/>
                <w:highlight w:val="black"/>
              </w:rPr>
              <w:t>'''''''''''''''</w:t>
            </w:r>
          </w:p>
        </w:tc>
        <w:tc>
          <w:tcPr>
            <w:tcW w:w="838" w:type="pct"/>
          </w:tcPr>
          <w:p w:rsidR="008E1B3C" w:rsidRPr="00AF24DF" w:rsidRDefault="00AF24DF" w:rsidP="00191DAE">
            <w:pPr>
              <w:pStyle w:val="Tabletext"/>
              <w:jc w:val="center"/>
              <w:rPr>
                <w:highlight w:val="black"/>
              </w:rPr>
            </w:pPr>
            <w:r>
              <w:rPr>
                <w:noProof/>
                <w:color w:val="000000"/>
                <w:highlight w:val="black"/>
              </w:rPr>
              <w:t>'''''''''''''''</w:t>
            </w:r>
          </w:p>
        </w:tc>
      </w:tr>
      <w:tr w:rsidR="008E1B3C" w:rsidRPr="00414D02" w:rsidTr="00191DAE">
        <w:tc>
          <w:tcPr>
            <w:tcW w:w="4162" w:type="pct"/>
            <w:gridSpan w:val="3"/>
            <w:vAlign w:val="center"/>
          </w:tcPr>
          <w:p w:rsidR="008E1B3C" w:rsidRPr="00414D02" w:rsidRDefault="008E1B3C" w:rsidP="00191DAE">
            <w:pPr>
              <w:pStyle w:val="Tabletext"/>
              <w:rPr>
                <w:rFonts w:ascii="Times" w:hAnsi="Times"/>
                <w:b/>
              </w:rPr>
            </w:pPr>
            <w:r w:rsidRPr="00414D02">
              <w:rPr>
                <w:b/>
              </w:rPr>
              <w:t>Incremental cost/extra QALY gained</w:t>
            </w:r>
          </w:p>
        </w:tc>
        <w:tc>
          <w:tcPr>
            <w:tcW w:w="838" w:type="pct"/>
            <w:vAlign w:val="center"/>
          </w:tcPr>
          <w:p w:rsidR="008E1B3C" w:rsidRPr="00414D02" w:rsidRDefault="008E1B3C" w:rsidP="00191DAE">
            <w:pPr>
              <w:pStyle w:val="Tabletext"/>
              <w:jc w:val="center"/>
              <w:rPr>
                <w:rFonts w:ascii="Times" w:hAnsi="Times"/>
                <w:b/>
              </w:rPr>
            </w:pPr>
            <w:r w:rsidRPr="00414D02">
              <w:rPr>
                <w:b/>
              </w:rPr>
              <w:t>$</w:t>
            </w:r>
            <w:r w:rsidR="00AF24DF">
              <w:rPr>
                <w:b/>
                <w:noProof/>
                <w:color w:val="000000"/>
                <w:highlight w:val="black"/>
              </w:rPr>
              <w:t>''''''''''''</w:t>
            </w:r>
          </w:p>
        </w:tc>
      </w:tr>
    </w:tbl>
    <w:p w:rsidR="008E1B3C" w:rsidRPr="00414D02" w:rsidRDefault="008E1B3C" w:rsidP="008E1B3C">
      <w:pPr>
        <w:pStyle w:val="TableFooter"/>
      </w:pPr>
      <w:r w:rsidRPr="00414D02">
        <w:t>BSC=best supportive care</w:t>
      </w:r>
    </w:p>
    <w:p w:rsidR="00A65FDB" w:rsidRPr="00414D02" w:rsidRDefault="00A65FDB" w:rsidP="008E1B3C">
      <w:pPr>
        <w:pStyle w:val="TableFooter"/>
      </w:pPr>
      <w:proofErr w:type="spellStart"/>
      <w:proofErr w:type="gramStart"/>
      <w:r w:rsidRPr="00414D02">
        <w:rPr>
          <w:vertAlign w:val="superscript"/>
        </w:rPr>
        <w:t>a</w:t>
      </w:r>
      <w:proofErr w:type="spellEnd"/>
      <w:proofErr w:type="gramEnd"/>
      <w:r w:rsidR="0078396F">
        <w:rPr>
          <w:vertAlign w:val="superscript"/>
        </w:rPr>
        <w:t xml:space="preserve"> </w:t>
      </w:r>
      <w:r w:rsidRPr="00414D02">
        <w:t xml:space="preserve">Analysis </w:t>
      </w:r>
      <w:r w:rsidR="005B1DF5" w:rsidRPr="00414D02">
        <w:t xml:space="preserve">vs Botox </w:t>
      </w:r>
      <w:r w:rsidRPr="00414D02">
        <w:t xml:space="preserve">has been updated </w:t>
      </w:r>
      <w:r w:rsidR="00FE464A" w:rsidRPr="00414D02">
        <w:t>by replacing the incorrect odds ratio with the</w:t>
      </w:r>
      <w:r w:rsidRPr="00414D02">
        <w:t xml:space="preserve"> correct odds ratio as acknowledged in the PSCR (p5)</w:t>
      </w:r>
    </w:p>
    <w:p w:rsidR="008E1B3C" w:rsidRPr="00414D02" w:rsidRDefault="008E1B3C" w:rsidP="008E1B3C">
      <w:pPr>
        <w:pStyle w:val="TableFooter"/>
      </w:pPr>
      <w:r w:rsidRPr="00414D02">
        <w:t xml:space="preserve">Source: Table 3.32, p108 of the submission and the Excel workbook ‘Attachment 7_Section 3 </w:t>
      </w:r>
      <w:proofErr w:type="spellStart"/>
      <w:r w:rsidRPr="00414D02">
        <w:t>Erenumab</w:t>
      </w:r>
      <w:proofErr w:type="spellEnd"/>
      <w:r w:rsidRPr="00414D02">
        <w:t>’.</w:t>
      </w:r>
    </w:p>
    <w:p w:rsidR="008E1B3C" w:rsidRPr="00A700F7" w:rsidRDefault="008E1B3C" w:rsidP="008E1B3C"/>
    <w:p w:rsidR="003C6524" w:rsidRPr="00A20321" w:rsidRDefault="003C6524" w:rsidP="00DD4425">
      <w:pPr>
        <w:pStyle w:val="ListParagraph"/>
        <w:numPr>
          <w:ilvl w:val="1"/>
          <w:numId w:val="3"/>
        </w:numPr>
        <w:spacing w:after="120"/>
      </w:pPr>
      <w:r w:rsidRPr="00A20321">
        <w:t xml:space="preserve">The base case ICER versus Botox is not likely to accurately represent the cost-effectiveness of </w:t>
      </w:r>
      <w:proofErr w:type="spellStart"/>
      <w:r w:rsidRPr="00A20321">
        <w:t>erenumab</w:t>
      </w:r>
      <w:proofErr w:type="spellEnd"/>
      <w:r w:rsidR="00414D02">
        <w:t>.</w:t>
      </w:r>
    </w:p>
    <w:p w:rsidR="004824E8" w:rsidRPr="00A20321" w:rsidRDefault="004824E8" w:rsidP="00104A52">
      <w:pPr>
        <w:pStyle w:val="Bulletpoints"/>
      </w:pPr>
      <w:r w:rsidRPr="00A20321">
        <w:lastRenderedPageBreak/>
        <w:t xml:space="preserve">The efficacy outcome applied in the economic model (50% responder rate based on the indirect comparison of </w:t>
      </w:r>
      <w:proofErr w:type="spellStart"/>
      <w:r w:rsidRPr="00A20321">
        <w:t>erenumab</w:t>
      </w:r>
      <w:proofErr w:type="spellEnd"/>
      <w:r w:rsidRPr="00A20321">
        <w:t xml:space="preserve"> and Botox) </w:t>
      </w:r>
      <w:r w:rsidR="00590B13" w:rsidRPr="00A20321">
        <w:t>is not valid and did not reach statistical significance</w:t>
      </w:r>
      <w:r w:rsidR="002D3180" w:rsidRPr="00A20321">
        <w:t>.</w:t>
      </w:r>
    </w:p>
    <w:p w:rsidR="004B5DCF" w:rsidRPr="00A20321" w:rsidRDefault="004B5DCF" w:rsidP="00104A52">
      <w:pPr>
        <w:pStyle w:val="Bulletpoints"/>
      </w:pPr>
      <w:r w:rsidRPr="00A20321">
        <w:t>The model assumed that responders will maintain response for the duration of the economic model (5 years), unless they die or discontinue.  The submission did not provide any evidence to support maintenance of response.</w:t>
      </w:r>
    </w:p>
    <w:p w:rsidR="004824E8" w:rsidRPr="00A20321" w:rsidRDefault="004824E8" w:rsidP="00104A52">
      <w:pPr>
        <w:pStyle w:val="Bulletpoints"/>
      </w:pPr>
      <w:r w:rsidRPr="00A20321">
        <w:t xml:space="preserve">The rates of discontinuation used in the model were sourced from results of the overall trial population and not the proposed PBS population, with no discussion of the applicability of these results to the proposed PBS population specific to the model provided </w:t>
      </w:r>
      <w:r w:rsidR="00906E46">
        <w:t>in</w:t>
      </w:r>
      <w:r w:rsidR="00906E46" w:rsidRPr="00A20321">
        <w:t xml:space="preserve"> </w:t>
      </w:r>
      <w:r w:rsidRPr="00A20321">
        <w:t>the submission.</w:t>
      </w:r>
    </w:p>
    <w:p w:rsidR="00740E8A" w:rsidRPr="00A20321" w:rsidRDefault="00740E8A" w:rsidP="00104A52">
      <w:pPr>
        <w:pStyle w:val="Bulletpoints"/>
      </w:pPr>
      <w:r w:rsidRPr="00A20321">
        <w:t>Severity of headache was not factored into the model, despite the fact that it can have a large impact on utility, as shown by Stafford et al, 2012</w:t>
      </w:r>
      <w:r w:rsidR="00CE764C" w:rsidRPr="00A20321">
        <w:rPr>
          <w:rStyle w:val="FootnoteReference"/>
        </w:rPr>
        <w:footnoteReference w:id="5"/>
      </w:r>
      <w:r w:rsidRPr="00A20321">
        <w:t xml:space="preserve">. </w:t>
      </w:r>
    </w:p>
    <w:p w:rsidR="00695955" w:rsidRPr="00A20321" w:rsidRDefault="00740E8A" w:rsidP="00104A52">
      <w:pPr>
        <w:pStyle w:val="Bulletpoints"/>
      </w:pPr>
      <w:r w:rsidRPr="00A20321">
        <w:t xml:space="preserve">The model assumed that the availability of </w:t>
      </w:r>
      <w:proofErr w:type="spellStart"/>
      <w:r w:rsidRPr="00A20321">
        <w:t>erenumab</w:t>
      </w:r>
      <w:proofErr w:type="spellEnd"/>
      <w:r w:rsidRPr="00A20321">
        <w:t xml:space="preserve"> would lead to fewer specialist visits, due to its relatively simple</w:t>
      </w:r>
      <w:r w:rsidR="00695955" w:rsidRPr="00A20321">
        <w:t xml:space="preserve"> administration, and factored this in as a cost offset to the MBS. The ESC advised that self-administration was more likely to lead to wastage </w:t>
      </w:r>
      <w:r w:rsidR="00681446" w:rsidRPr="00A20321">
        <w:t>compared with</w:t>
      </w:r>
      <w:r w:rsidR="00695955" w:rsidRPr="00A20321">
        <w:t xml:space="preserve"> specialist administration, and that the potential financial</w:t>
      </w:r>
      <w:r w:rsidR="003228E5" w:rsidRPr="00A20321">
        <w:t xml:space="preserve"> (as well as effectiveness)</w:t>
      </w:r>
      <w:r w:rsidR="00695955" w:rsidRPr="00A20321">
        <w:t xml:space="preserve"> impact of this was worth consideration.</w:t>
      </w:r>
    </w:p>
    <w:p w:rsidR="00740E8A" w:rsidRPr="00A20321" w:rsidRDefault="006E237B" w:rsidP="00104A52">
      <w:pPr>
        <w:pStyle w:val="Bulletpoints"/>
      </w:pPr>
      <w:r w:rsidRPr="00A20321">
        <w:rPr>
          <w:rStyle w:val="CommentReference"/>
          <w:rFonts w:asciiTheme="minorHAnsi" w:hAnsiTheme="minorHAnsi"/>
          <w:b w:val="0"/>
          <w:sz w:val="24"/>
          <w:szCs w:val="24"/>
        </w:rPr>
        <w:t>A</w:t>
      </w:r>
      <w:r w:rsidRPr="00A20321">
        <w:rPr>
          <w:rFonts w:asciiTheme="minorHAnsi" w:hAnsiTheme="minorHAnsi"/>
          <w:b/>
        </w:rPr>
        <w:t xml:space="preserve"> </w:t>
      </w:r>
      <w:r w:rsidRPr="00A20321">
        <w:t xml:space="preserve">lesser issue is that maintenance healthcare costs were based on data from a European study which is likely </w:t>
      </w:r>
      <w:r w:rsidR="002D3180" w:rsidRPr="00A20321">
        <w:t>to differ to</w:t>
      </w:r>
      <w:r w:rsidRPr="00A20321">
        <w:t xml:space="preserve"> the Australian context. </w:t>
      </w:r>
      <w:r w:rsidR="00695955" w:rsidRPr="00A20321">
        <w:t>Sanderson et al., 2013</w:t>
      </w:r>
      <w:r w:rsidR="00CE764C" w:rsidRPr="00A20321">
        <w:rPr>
          <w:rStyle w:val="FootnoteReference"/>
        </w:rPr>
        <w:footnoteReference w:id="6"/>
      </w:r>
      <w:r w:rsidR="00695955" w:rsidRPr="00A20321">
        <w:t xml:space="preserve">, observed differences </w:t>
      </w:r>
      <w:r w:rsidR="00513361" w:rsidRPr="00A20321">
        <w:t xml:space="preserve">between Australia and other countries </w:t>
      </w:r>
      <w:r w:rsidR="00695955" w:rsidRPr="00A20321">
        <w:t>in service u</w:t>
      </w:r>
      <w:r w:rsidR="00513361" w:rsidRPr="00A20321">
        <w:t>tilisation due to chronic migraine</w:t>
      </w:r>
      <w:r w:rsidR="00695955" w:rsidRPr="00A20321">
        <w:t xml:space="preserve">. The ESC noted that this may </w:t>
      </w:r>
      <w:r w:rsidR="00513361" w:rsidRPr="00A20321">
        <w:t xml:space="preserve">have </w:t>
      </w:r>
      <w:r w:rsidR="00695955" w:rsidRPr="00A20321">
        <w:t>led to bias</w:t>
      </w:r>
      <w:r w:rsidR="00513361" w:rsidRPr="00A20321">
        <w:t xml:space="preserve"> in the estimates of the disease management cost</w:t>
      </w:r>
      <w:r w:rsidRPr="00A20321">
        <w:t>s, but that these costs do not impact the ICER substantially.</w:t>
      </w:r>
      <w:r w:rsidR="00695955" w:rsidRPr="00A20321">
        <w:t xml:space="preserve"> </w:t>
      </w:r>
    </w:p>
    <w:p w:rsidR="00906E46" w:rsidRDefault="004824E8" w:rsidP="00104A52">
      <w:pPr>
        <w:pStyle w:val="Bulletpoints"/>
      </w:pPr>
      <w:r w:rsidRPr="00A20321">
        <w:t xml:space="preserve">The economic model determined health state costs and utility values </w:t>
      </w:r>
      <w:r w:rsidR="002D3180" w:rsidRPr="00A20321">
        <w:t>using MMD</w:t>
      </w:r>
      <w:r w:rsidRPr="00A20321">
        <w:t xml:space="preserve"> distributions.  </w:t>
      </w:r>
      <w:r w:rsidR="004B5DCF" w:rsidRPr="00A20321">
        <w:t>T</w:t>
      </w:r>
      <w:r w:rsidRPr="00A20321">
        <w:t>here were a number of issues with the MMD distributions</w:t>
      </w:r>
      <w:r w:rsidR="00906E46">
        <w:t>:</w:t>
      </w:r>
    </w:p>
    <w:p w:rsidR="00906E46" w:rsidRDefault="00DF0FAB" w:rsidP="0078396F">
      <w:pPr>
        <w:pStyle w:val="Bulletpoints"/>
        <w:numPr>
          <w:ilvl w:val="0"/>
          <w:numId w:val="42"/>
        </w:numPr>
        <w:ind w:left="1077" w:hanging="357"/>
      </w:pPr>
      <w:r w:rsidRPr="00A20321">
        <w:t>The trial used monthly headache days (MHD</w:t>
      </w:r>
      <w:r w:rsidR="00906E46">
        <w:t>s</w:t>
      </w:r>
      <w:r w:rsidRPr="00A20321">
        <w:t xml:space="preserve">), so MMDs were calculated using parametric techniques, and the submission did not present the full model fit criteria, only </w:t>
      </w:r>
      <w:proofErr w:type="spellStart"/>
      <w:r w:rsidRPr="00A20321">
        <w:t>Akaike’s</w:t>
      </w:r>
      <w:proofErr w:type="spellEnd"/>
      <w:r w:rsidRPr="00A20321">
        <w:t xml:space="preserve"> information criterion. </w:t>
      </w:r>
    </w:p>
    <w:p w:rsidR="00906E46" w:rsidRDefault="00DF0FAB" w:rsidP="0078396F">
      <w:pPr>
        <w:pStyle w:val="Bulletpoints"/>
        <w:numPr>
          <w:ilvl w:val="0"/>
          <w:numId w:val="42"/>
        </w:numPr>
        <w:ind w:left="1077" w:hanging="357"/>
      </w:pPr>
      <w:r w:rsidRPr="00A20321">
        <w:t xml:space="preserve">Baseline </w:t>
      </w:r>
      <w:r w:rsidR="004824E8" w:rsidRPr="00A20321">
        <w:t>distributions included data for the 70</w:t>
      </w:r>
      <w:r w:rsidRPr="00A20321">
        <w:t xml:space="preserve"> </w:t>
      </w:r>
      <w:r w:rsidR="004824E8" w:rsidRPr="00A20321">
        <w:t xml:space="preserve">mg dose of </w:t>
      </w:r>
      <w:proofErr w:type="spellStart"/>
      <w:r w:rsidR="004824E8" w:rsidRPr="00A20321">
        <w:t>erenumab</w:t>
      </w:r>
      <w:proofErr w:type="spellEnd"/>
      <w:r w:rsidRPr="00A20321">
        <w:t>;</w:t>
      </w:r>
      <w:r w:rsidR="004824E8" w:rsidRPr="00A20321">
        <w:t xml:space="preserve"> the submission claimed </w:t>
      </w:r>
      <w:r w:rsidRPr="00A20321">
        <w:t xml:space="preserve">this </w:t>
      </w:r>
      <w:r w:rsidR="004824E8" w:rsidRPr="00A20321">
        <w:t>would have no</w:t>
      </w:r>
      <w:r w:rsidR="004824E8" w:rsidRPr="00A700F7">
        <w:t xml:space="preserve"> </w:t>
      </w:r>
      <w:r w:rsidR="0078396F" w:rsidRPr="00A20321">
        <w:t>impact;</w:t>
      </w:r>
      <w:r w:rsidR="004824E8" w:rsidRPr="00A20321">
        <w:t xml:space="preserve"> however this claim was not </w:t>
      </w:r>
      <w:r w:rsidR="001B0796" w:rsidRPr="00A20321">
        <w:t>supported</w:t>
      </w:r>
      <w:r w:rsidR="004824E8" w:rsidRPr="00A20321">
        <w:t xml:space="preserve">.  </w:t>
      </w:r>
    </w:p>
    <w:p w:rsidR="00906E46" w:rsidRPr="00A20321" w:rsidRDefault="00906E46" w:rsidP="0078396F">
      <w:pPr>
        <w:pStyle w:val="Bulletpoints"/>
        <w:numPr>
          <w:ilvl w:val="0"/>
          <w:numId w:val="42"/>
        </w:numPr>
        <w:ind w:left="1077" w:hanging="357"/>
      </w:pPr>
      <w:r w:rsidRPr="00A20321">
        <w:t xml:space="preserve">The economic model applied an assessment point of 24 weeks for responders for consistency with the requested PBS restriction and Botox listing. However, the </w:t>
      </w:r>
      <w:r w:rsidRPr="00A20321">
        <w:lastRenderedPageBreak/>
        <w:t xml:space="preserve">MMD distributions applied in the economic model appeared to define responders and non-responders at 12 weeks, which was the assessment point in the </w:t>
      </w:r>
      <w:proofErr w:type="spellStart"/>
      <w:r w:rsidRPr="00A20321">
        <w:t>erenumab</w:t>
      </w:r>
      <w:proofErr w:type="spellEnd"/>
      <w:r w:rsidRPr="00A20321">
        <w:t xml:space="preserve"> clinical trial.</w:t>
      </w:r>
      <w:r w:rsidR="00845DE6">
        <w:t xml:space="preserve"> </w:t>
      </w:r>
    </w:p>
    <w:p w:rsidR="00906E46" w:rsidRDefault="004824E8" w:rsidP="0078396F">
      <w:pPr>
        <w:pStyle w:val="Bulletpoints"/>
        <w:numPr>
          <w:ilvl w:val="0"/>
          <w:numId w:val="42"/>
        </w:numPr>
        <w:ind w:left="1077" w:hanging="357"/>
      </w:pPr>
      <w:r w:rsidRPr="00A20321">
        <w:t xml:space="preserve">The use of a sample in which over 80% of patients are not eligible for </w:t>
      </w:r>
      <w:r w:rsidR="00906E46">
        <w:t xml:space="preserve">the proposed </w:t>
      </w:r>
      <w:r w:rsidRPr="00A20321">
        <w:t>PBS listing to determine MMD distributions raised questions regarding the applicability of the derived values</w:t>
      </w:r>
      <w:r w:rsidR="00DF0FAB" w:rsidRPr="00A20321">
        <w:t>.</w:t>
      </w:r>
      <w:r w:rsidR="00590B13" w:rsidRPr="00A20321">
        <w:t xml:space="preserve"> </w:t>
      </w:r>
    </w:p>
    <w:p w:rsidR="00906E46" w:rsidRDefault="00DF0FAB" w:rsidP="0078396F">
      <w:pPr>
        <w:pStyle w:val="Bulletpoints"/>
        <w:numPr>
          <w:ilvl w:val="0"/>
          <w:numId w:val="42"/>
        </w:numPr>
        <w:ind w:left="1077" w:hanging="357"/>
      </w:pPr>
      <w:r w:rsidRPr="00A20321">
        <w:t>L</w:t>
      </w:r>
      <w:r w:rsidR="00590B13" w:rsidRPr="00A20321">
        <w:t>astly</w:t>
      </w:r>
      <w:r w:rsidR="00F32E17" w:rsidRPr="00A20321">
        <w:t>,</w:t>
      </w:r>
      <w:r w:rsidR="00590B13" w:rsidRPr="00A20321">
        <w:t xml:space="preserve"> </w:t>
      </w:r>
      <w:r w:rsidRPr="00A20321">
        <w:t xml:space="preserve">the ESC questioned the ‘tail’ of the distribution, </w:t>
      </w:r>
      <w:r w:rsidR="00F32E17" w:rsidRPr="00A20321">
        <w:t xml:space="preserve">as </w:t>
      </w:r>
      <w:r w:rsidR="00906E46">
        <w:t xml:space="preserve">it showed </w:t>
      </w:r>
      <w:r w:rsidR="00F32E17" w:rsidRPr="00A20321">
        <w:t xml:space="preserve">some responders </w:t>
      </w:r>
      <w:r w:rsidR="00906E46">
        <w:t xml:space="preserve">with </w:t>
      </w:r>
      <w:r w:rsidR="00F32E17" w:rsidRPr="00A20321">
        <w:t>as many as 28 MMDs (im</w:t>
      </w:r>
      <w:r w:rsidRPr="00A20321">
        <w:t xml:space="preserve">plausible </w:t>
      </w:r>
      <w:r w:rsidR="00DF1A59" w:rsidRPr="00A20321">
        <w:t>due</w:t>
      </w:r>
      <w:r w:rsidRPr="00A20321">
        <w:t xml:space="preserve"> to the definition of the outcome</w:t>
      </w:r>
      <w:r w:rsidR="00F32E17" w:rsidRPr="00A20321">
        <w:t>)</w:t>
      </w:r>
      <w:r w:rsidRPr="00A20321">
        <w:t>, and the fact that 36% of responders were shown to be reduced to just one MMD</w:t>
      </w:r>
      <w:r w:rsidR="00AF12B6" w:rsidRPr="00A20321">
        <w:t>.</w:t>
      </w:r>
      <w:r w:rsidR="0046476D" w:rsidRPr="00A20321">
        <w:t xml:space="preserve">  </w:t>
      </w:r>
    </w:p>
    <w:p w:rsidR="001A65DD" w:rsidRPr="00906E46" w:rsidRDefault="00795CD3" w:rsidP="00906E46">
      <w:pPr>
        <w:pStyle w:val="ListParagraph"/>
        <w:numPr>
          <w:ilvl w:val="1"/>
          <w:numId w:val="3"/>
        </w:numPr>
        <w:rPr>
          <w:rStyle w:val="CommentReference"/>
          <w:rFonts w:ascii="Calibri" w:hAnsi="Calibri"/>
          <w:b w:val="0"/>
          <w:sz w:val="24"/>
          <w:szCs w:val="24"/>
        </w:rPr>
      </w:pPr>
      <w:r w:rsidRPr="00906E46">
        <w:t xml:space="preserve">While the same MMD distributions were applied to the </w:t>
      </w:r>
      <w:proofErr w:type="spellStart"/>
      <w:r w:rsidRPr="00906E46">
        <w:t>erenumab</w:t>
      </w:r>
      <w:proofErr w:type="spellEnd"/>
      <w:r w:rsidRPr="00906E46">
        <w:t xml:space="preserve"> and Botox arms of the model, limiting their impact on the ICER, </w:t>
      </w:r>
      <w:r w:rsidR="00DC0B54" w:rsidRPr="00906E46">
        <w:t xml:space="preserve">the use of </w:t>
      </w:r>
      <w:r w:rsidRPr="00906E46">
        <w:t xml:space="preserve">varying sources for model variables that do not correspond to the proposed PBS population, along with application of identical values to the two treatment arms means that the ability of the model to accurately represent the cost-effectiveness of </w:t>
      </w:r>
      <w:proofErr w:type="spellStart"/>
      <w:r w:rsidRPr="00906E46">
        <w:t>erenumab</w:t>
      </w:r>
      <w:proofErr w:type="spellEnd"/>
      <w:r w:rsidRPr="00906E46">
        <w:t xml:space="preserve"> is limited.  </w:t>
      </w:r>
      <w:r w:rsidR="00906E46">
        <w:t>T</w:t>
      </w:r>
      <w:r w:rsidRPr="00906E46">
        <w:t xml:space="preserve">he economic model </w:t>
      </w:r>
      <w:r w:rsidR="0093029F" w:rsidRPr="00906E46">
        <w:t>wa</w:t>
      </w:r>
      <w:r w:rsidRPr="00906E46">
        <w:t>s therefore essentially running on the treatment effect (proportion of patients with ≥50% reduction in monthly headache days)</w:t>
      </w:r>
      <w:r w:rsidR="00906E46">
        <w:t>. T</w:t>
      </w:r>
      <w:r w:rsidRPr="00906E46">
        <w:t xml:space="preserve">his treatment effect was not statistically significantly different between </w:t>
      </w:r>
      <w:proofErr w:type="spellStart"/>
      <w:r w:rsidRPr="00906E46">
        <w:t>erenumab</w:t>
      </w:r>
      <w:proofErr w:type="spellEnd"/>
      <w:r w:rsidRPr="00906E46">
        <w:t xml:space="preserve"> and Botox, and the base case ICER at just less than $</w:t>
      </w:r>
      <w:r w:rsidR="00541E72">
        <w:t>45,000</w:t>
      </w:r>
      <w:r w:rsidR="00C769D8" w:rsidRPr="00906E46">
        <w:t>/QALY</w:t>
      </w:r>
      <w:r w:rsidR="00541E72">
        <w:t xml:space="preserve"> - $75,000/QALY</w:t>
      </w:r>
      <w:r w:rsidR="00B86AC4">
        <w:t xml:space="preserve"> </w:t>
      </w:r>
      <w:r w:rsidRPr="00906E46">
        <w:t>appears to be a function of a number of assumptions that may not reflect use in clinical practice.</w:t>
      </w:r>
    </w:p>
    <w:p w:rsidR="00AF12B6" w:rsidRPr="00A20321" w:rsidRDefault="00AF12B6" w:rsidP="000C0119">
      <w:pPr>
        <w:pStyle w:val="ListParagraph"/>
        <w:numPr>
          <w:ilvl w:val="1"/>
          <w:numId w:val="3"/>
        </w:numPr>
      </w:pPr>
      <w:r w:rsidRPr="00A20321">
        <w:t>The</w:t>
      </w:r>
      <w:r w:rsidR="000E165E" w:rsidRPr="00A20321">
        <w:t xml:space="preserve"> utilities had little impact</w:t>
      </w:r>
      <w:r w:rsidR="00513759" w:rsidRPr="00A20321">
        <w:t xml:space="preserve"> on the model</w:t>
      </w:r>
      <w:r w:rsidR="000E165E" w:rsidRPr="00A20321">
        <w:t xml:space="preserve">, as </w:t>
      </w:r>
      <w:r w:rsidR="00CE764C" w:rsidRPr="00A20321">
        <w:t>the same value</w:t>
      </w:r>
      <w:r w:rsidR="001B0796" w:rsidRPr="00A20321">
        <w:t>s</w:t>
      </w:r>
      <w:r w:rsidR="000E165E" w:rsidRPr="00A20321">
        <w:t xml:space="preserve"> were applied to both arms</w:t>
      </w:r>
      <w:r w:rsidRPr="00A20321">
        <w:t>.</w:t>
      </w:r>
      <w:r w:rsidR="000E165E" w:rsidRPr="00A20321">
        <w:t xml:space="preserve"> </w:t>
      </w:r>
      <w:r w:rsidRPr="00A20321">
        <w:t xml:space="preserve">The ESC noted that there are other sources of utilities that could be used </w:t>
      </w:r>
      <w:r w:rsidR="00906E46">
        <w:t>to increase the</w:t>
      </w:r>
      <w:r w:rsidR="00906E46" w:rsidRPr="00A20321">
        <w:t xml:space="preserve"> </w:t>
      </w:r>
      <w:r w:rsidRPr="00A20321">
        <w:t>validity of the modelling, such as Brown et al (2008)</w:t>
      </w:r>
      <w:r w:rsidRPr="00A20321">
        <w:rPr>
          <w:rStyle w:val="FootnoteReference"/>
        </w:rPr>
        <w:footnoteReference w:id="7"/>
      </w:r>
      <w:r w:rsidRPr="00A20321">
        <w:t>. The ESC noted that utility differences in Brown et al (2008) were smaller than those presented in the submission.</w:t>
      </w:r>
    </w:p>
    <w:p w:rsidR="00560EE5" w:rsidRPr="00A20321" w:rsidRDefault="00AF12B6" w:rsidP="000C0119">
      <w:pPr>
        <w:pStyle w:val="ListParagraph"/>
        <w:numPr>
          <w:ilvl w:val="1"/>
          <w:numId w:val="3"/>
        </w:numPr>
      </w:pPr>
      <w:r w:rsidRPr="00A20321">
        <w:t>T</w:t>
      </w:r>
      <w:r w:rsidR="000E165E" w:rsidRPr="00A20321">
        <w:t>he model demonstrate</w:t>
      </w:r>
      <w:r w:rsidR="00906E46">
        <w:t>d</w:t>
      </w:r>
      <w:r w:rsidR="00560EE5" w:rsidRPr="00A20321">
        <w:t xml:space="preserve"> sensitivity to </w:t>
      </w:r>
      <w:r w:rsidR="000E165E" w:rsidRPr="00A20321">
        <w:t xml:space="preserve">differential response rates and to </w:t>
      </w:r>
      <w:r w:rsidR="00560EE5" w:rsidRPr="00A20321">
        <w:t xml:space="preserve">the time horizon.  Benefits appeared to increase considerably once a year passed.  Given that there is no long-term evidence for maintenance of response for </w:t>
      </w:r>
      <w:proofErr w:type="spellStart"/>
      <w:r w:rsidR="00560EE5" w:rsidRPr="00A20321">
        <w:t>erenumab</w:t>
      </w:r>
      <w:proofErr w:type="spellEnd"/>
      <w:r w:rsidR="00560EE5" w:rsidRPr="00A20321">
        <w:t>, the ICERs based on shorter time periods (6 months</w:t>
      </w:r>
      <w:r w:rsidR="004B5DCF" w:rsidRPr="00A20321">
        <w:t>: $</w:t>
      </w:r>
      <w:r w:rsidR="00541E72">
        <w:t>105,000</w:t>
      </w:r>
      <w:r w:rsidR="00C769D8" w:rsidRPr="00A20321">
        <w:t>/QALY</w:t>
      </w:r>
      <w:r w:rsidR="00541E72">
        <w:t xml:space="preserve"> - $200,000/QALY</w:t>
      </w:r>
      <w:r w:rsidR="00560EE5" w:rsidRPr="00A20321">
        <w:t xml:space="preserve"> and 1 year</w:t>
      </w:r>
      <w:r w:rsidR="004B5DCF" w:rsidRPr="00A20321">
        <w:t>: $</w:t>
      </w:r>
      <w:r w:rsidR="00541E72">
        <w:t>75,000</w:t>
      </w:r>
      <w:r w:rsidR="00C769D8" w:rsidRPr="00A20321">
        <w:t>/QALY</w:t>
      </w:r>
      <w:r w:rsidR="00541E72">
        <w:t xml:space="preserve"> - $105,000/QALY</w:t>
      </w:r>
      <w:r w:rsidR="00560EE5" w:rsidRPr="00A20321">
        <w:t>) may</w:t>
      </w:r>
      <w:r w:rsidR="001B0796" w:rsidRPr="00A20321">
        <w:t xml:space="preserve"> better</w:t>
      </w:r>
      <w:r w:rsidR="00560EE5" w:rsidRPr="00A20321">
        <w:t xml:space="preserve"> represent </w:t>
      </w:r>
      <w:r w:rsidR="00906E46">
        <w:t xml:space="preserve">the </w:t>
      </w:r>
      <w:r w:rsidR="00560EE5" w:rsidRPr="00A20321">
        <w:t xml:space="preserve">cost-effectiveness of </w:t>
      </w:r>
      <w:proofErr w:type="spellStart"/>
      <w:r w:rsidR="00560EE5" w:rsidRPr="00A20321">
        <w:t>erenumab</w:t>
      </w:r>
      <w:proofErr w:type="spellEnd"/>
      <w:r w:rsidR="00560EE5" w:rsidRPr="00A20321">
        <w:t xml:space="preserve"> versus Botox given </w:t>
      </w:r>
      <w:r w:rsidR="00906E46">
        <w:t xml:space="preserve">the </w:t>
      </w:r>
      <w:r w:rsidR="00560EE5" w:rsidRPr="00A20321">
        <w:t>lack of long</w:t>
      </w:r>
      <w:r w:rsidR="0093029F" w:rsidRPr="00A20321">
        <w:t>er</w:t>
      </w:r>
      <w:r w:rsidR="00560EE5" w:rsidRPr="00A20321">
        <w:t>-term data.  Except to state that e</w:t>
      </w:r>
      <w:r w:rsidR="008A08EC">
        <w:t xml:space="preserve">xtrapolation is important, </w:t>
      </w:r>
      <w:r w:rsidR="00560EE5" w:rsidRPr="00A20321">
        <w:t>the submission did not consider extrapolation of the observed short-term (12 weeks or 3 months) benefit and assumed that the benefit would be maintained on a last observation carried forward basis</w:t>
      </w:r>
      <w:r w:rsidR="00B03551">
        <w:t>.</w:t>
      </w:r>
    </w:p>
    <w:p w:rsidR="00560EE5" w:rsidRPr="00A20321" w:rsidRDefault="00560EE5" w:rsidP="007A132D">
      <w:pPr>
        <w:pStyle w:val="ListParagraph"/>
        <w:numPr>
          <w:ilvl w:val="1"/>
          <w:numId w:val="3"/>
        </w:numPr>
      </w:pPr>
      <w:r w:rsidRPr="00A20321">
        <w:lastRenderedPageBreak/>
        <w:t xml:space="preserve">Given the </w:t>
      </w:r>
      <w:r w:rsidR="00906E46">
        <w:t>above</w:t>
      </w:r>
      <w:r w:rsidR="008A08EC">
        <w:t xml:space="preserve"> limitations</w:t>
      </w:r>
      <w:r w:rsidRPr="00A20321">
        <w:t xml:space="preserve">, it is not likely that the base case </w:t>
      </w:r>
      <w:r w:rsidR="004B5DCF" w:rsidRPr="00A20321">
        <w:t>versus either Botox or BSC</w:t>
      </w:r>
      <w:r w:rsidRPr="00A20321">
        <w:t xml:space="preserve"> accurately estimates the cost-effectiveness of </w:t>
      </w:r>
      <w:proofErr w:type="spellStart"/>
      <w:r w:rsidRPr="00A20321">
        <w:t>erenumab</w:t>
      </w:r>
      <w:proofErr w:type="spellEnd"/>
      <w:r w:rsidRPr="00A20321">
        <w:t>.</w:t>
      </w:r>
    </w:p>
    <w:p w:rsidR="00C25D9C" w:rsidRPr="00A700F7" w:rsidRDefault="00560EE5" w:rsidP="00FE393C">
      <w:pPr>
        <w:pStyle w:val="Heading2"/>
        <w:spacing w:after="120"/>
      </w:pPr>
      <w:bookmarkStart w:id="13" w:name="_Toc513040446"/>
      <w:r w:rsidRPr="007B43EF">
        <w:t>Drug cost/patient/</w:t>
      </w:r>
      <w:r w:rsidR="00C25D9C" w:rsidRPr="007B43EF">
        <w:t>year</w:t>
      </w:r>
      <w:bookmarkEnd w:id="13"/>
      <w:r w:rsidR="007B43EF">
        <w:t>: $</w:t>
      </w:r>
      <w:r w:rsidR="00AF24DF">
        <w:rPr>
          <w:noProof/>
          <w:color w:val="000000"/>
          <w:highlight w:val="black"/>
        </w:rPr>
        <w:t>''''''''''''''</w:t>
      </w:r>
    </w:p>
    <w:p w:rsidR="00E112F3" w:rsidRPr="00A20321" w:rsidRDefault="00E112F3" w:rsidP="00E112F3">
      <w:pPr>
        <w:pStyle w:val="ListParagraph"/>
        <w:keepNext/>
        <w:numPr>
          <w:ilvl w:val="1"/>
          <w:numId w:val="3"/>
        </w:numPr>
      </w:pPr>
      <w:r w:rsidRPr="00A20321">
        <w:t xml:space="preserve">The table below provides a summary of annual treatment costs for </w:t>
      </w:r>
      <w:proofErr w:type="spellStart"/>
      <w:r w:rsidRPr="00A20321">
        <w:t>erenumab</w:t>
      </w:r>
      <w:proofErr w:type="spellEnd"/>
      <w:r w:rsidR="00A65FDB" w:rsidRPr="00A20321">
        <w:t xml:space="preserve">. </w:t>
      </w:r>
      <w:r w:rsidRPr="00A20321">
        <w:t xml:space="preserve">The submission provided an estimate of costs without the proposed stopping rule (50% responder rate) which assumed 13 doses of </w:t>
      </w:r>
      <w:proofErr w:type="spellStart"/>
      <w:r w:rsidRPr="00A20321">
        <w:t>erenumab</w:t>
      </w:r>
      <w:proofErr w:type="spellEnd"/>
      <w:r w:rsidRPr="00A20321">
        <w:t xml:space="preserve"> over a year ($</w:t>
      </w:r>
      <w:r w:rsidR="00AF24DF">
        <w:rPr>
          <w:noProof/>
          <w:color w:val="000000"/>
          <w:highlight w:val="black"/>
        </w:rPr>
        <w:t>''''''''''''</w:t>
      </w:r>
      <w:r w:rsidRPr="00A20321">
        <w:t xml:space="preserve"> per dose) resulting in an annual cost of $</w:t>
      </w:r>
      <w:r w:rsidR="00AF24DF">
        <w:rPr>
          <w:noProof/>
          <w:color w:val="000000"/>
          <w:highlight w:val="black"/>
        </w:rPr>
        <w:t>''''''''''''''''</w:t>
      </w:r>
      <w:r w:rsidRPr="00A20321">
        <w:t>.  Estimation of annual cost with the stopping rule applied (</w:t>
      </w:r>
      <w:r w:rsidR="00AF24DF">
        <w:rPr>
          <w:noProof/>
          <w:color w:val="000000"/>
          <w:highlight w:val="black"/>
        </w:rPr>
        <w:t>'''''''''</w:t>
      </w:r>
      <w:r w:rsidRPr="001D659C">
        <w:t>%</w:t>
      </w:r>
      <w:r w:rsidRPr="00A20321">
        <w:t xml:space="preserve"> of </w:t>
      </w:r>
      <w:proofErr w:type="spellStart"/>
      <w:r w:rsidRPr="00A20321">
        <w:t>erenumab</w:t>
      </w:r>
      <w:proofErr w:type="spellEnd"/>
      <w:r w:rsidRPr="00A20321">
        <w:t>-treated patients were responders)</w:t>
      </w:r>
      <w:r w:rsidR="00906E46">
        <w:t>, result</w:t>
      </w:r>
      <w:r w:rsidR="008A08EC">
        <w:t>ed</w:t>
      </w:r>
      <w:r w:rsidR="00906E46">
        <w:t xml:space="preserve"> </w:t>
      </w:r>
      <w:r w:rsidRPr="00A20321">
        <w:t xml:space="preserve">in an </w:t>
      </w:r>
      <w:r w:rsidR="001B0796" w:rsidRPr="00A20321">
        <w:t xml:space="preserve">average </w:t>
      </w:r>
      <w:r w:rsidRPr="00A20321">
        <w:t>annual cost of $</w:t>
      </w:r>
      <w:r w:rsidR="00AF24DF">
        <w:rPr>
          <w:noProof/>
          <w:color w:val="000000"/>
          <w:highlight w:val="black"/>
        </w:rPr>
        <w:t>'''''''''''''''''</w:t>
      </w:r>
      <w:r w:rsidRPr="00A20321">
        <w:t xml:space="preserve">.  </w:t>
      </w:r>
    </w:p>
    <w:p w:rsidR="00144268" w:rsidRPr="00144268" w:rsidRDefault="00144268" w:rsidP="00144268">
      <w:pPr>
        <w:pStyle w:val="Caption"/>
        <w:keepNext/>
        <w:spacing w:after="0"/>
        <w:rPr>
          <w:rFonts w:ascii="Arial Narrow" w:hAnsi="Arial Narrow"/>
          <w:color w:val="auto"/>
          <w:sz w:val="20"/>
        </w:rPr>
      </w:pPr>
      <w:r w:rsidRPr="00144268">
        <w:rPr>
          <w:rFonts w:ascii="Arial Narrow" w:hAnsi="Arial Narrow"/>
          <w:color w:val="auto"/>
          <w:sz w:val="20"/>
        </w:rPr>
        <w:t xml:space="preserve">Table </w:t>
      </w:r>
      <w:r w:rsidR="00D8193A">
        <w:rPr>
          <w:rFonts w:ascii="Arial Narrow" w:hAnsi="Arial Narrow"/>
          <w:noProof/>
          <w:color w:val="auto"/>
          <w:sz w:val="20"/>
        </w:rPr>
        <w:t>13</w:t>
      </w:r>
      <w:r w:rsidRPr="00144268">
        <w:rPr>
          <w:rFonts w:ascii="Arial Narrow" w:hAnsi="Arial Narrow"/>
          <w:color w:val="auto"/>
          <w:sz w:val="20"/>
        </w:rPr>
        <w:t xml:space="preserve">: Annual treatment costs per patient for </w:t>
      </w:r>
      <w:proofErr w:type="spellStart"/>
      <w:r w:rsidRPr="00144268">
        <w:rPr>
          <w:rFonts w:ascii="Arial Narrow" w:hAnsi="Arial Narrow"/>
          <w:color w:val="auto"/>
          <w:sz w:val="20"/>
        </w:rPr>
        <w:t>erenumab</w:t>
      </w:r>
      <w:proofErr w:type="spellEnd"/>
    </w:p>
    <w:tbl>
      <w:tblPr>
        <w:tblStyle w:val="TableGrid"/>
        <w:tblW w:w="9072" w:type="dxa"/>
        <w:tblInd w:w="108" w:type="dxa"/>
        <w:tblLook w:val="04A0" w:firstRow="1" w:lastRow="0" w:firstColumn="1" w:lastColumn="0" w:noHBand="0" w:noVBand="1"/>
        <w:tblCaption w:val="Annual treatment costs per patient for erenumab "/>
      </w:tblPr>
      <w:tblGrid>
        <w:gridCol w:w="6237"/>
        <w:gridCol w:w="2835"/>
      </w:tblGrid>
      <w:tr w:rsidR="00E112F3" w:rsidRPr="00A700F7" w:rsidTr="0078396F">
        <w:trPr>
          <w:tblHeader/>
        </w:trPr>
        <w:tc>
          <w:tcPr>
            <w:tcW w:w="6237" w:type="dxa"/>
          </w:tcPr>
          <w:p w:rsidR="00E112F3" w:rsidRPr="00A700F7" w:rsidRDefault="00E112F3" w:rsidP="00191DAE">
            <w:pPr>
              <w:jc w:val="left"/>
              <w:rPr>
                <w:rFonts w:ascii="Arial Narrow" w:hAnsi="Arial Narrow"/>
                <w:b/>
                <w:sz w:val="20"/>
                <w:szCs w:val="20"/>
              </w:rPr>
            </w:pPr>
          </w:p>
        </w:tc>
        <w:tc>
          <w:tcPr>
            <w:tcW w:w="2835" w:type="dxa"/>
          </w:tcPr>
          <w:p w:rsidR="00E112F3" w:rsidRPr="00A700F7" w:rsidRDefault="00E112F3" w:rsidP="00191DAE">
            <w:pPr>
              <w:jc w:val="center"/>
              <w:rPr>
                <w:rFonts w:ascii="Arial Narrow" w:hAnsi="Arial Narrow"/>
                <w:b/>
                <w:sz w:val="20"/>
                <w:szCs w:val="20"/>
              </w:rPr>
            </w:pPr>
            <w:proofErr w:type="spellStart"/>
            <w:r w:rsidRPr="00A700F7">
              <w:rPr>
                <w:rFonts w:ascii="Arial Narrow" w:hAnsi="Arial Narrow"/>
                <w:b/>
                <w:sz w:val="20"/>
                <w:szCs w:val="20"/>
              </w:rPr>
              <w:t>Erenumab</w:t>
            </w:r>
            <w:proofErr w:type="spellEnd"/>
          </w:p>
        </w:tc>
      </w:tr>
      <w:tr w:rsidR="00E112F3" w:rsidRPr="00A700F7" w:rsidTr="0078396F">
        <w:tc>
          <w:tcPr>
            <w:tcW w:w="9072" w:type="dxa"/>
            <w:gridSpan w:val="2"/>
          </w:tcPr>
          <w:p w:rsidR="00E112F3" w:rsidRPr="00A700F7" w:rsidRDefault="00E112F3" w:rsidP="00E112F3">
            <w:pPr>
              <w:jc w:val="left"/>
              <w:rPr>
                <w:rFonts w:ascii="Arial Narrow" w:hAnsi="Arial Narrow"/>
                <w:b/>
                <w:sz w:val="20"/>
                <w:szCs w:val="20"/>
              </w:rPr>
            </w:pPr>
            <w:r w:rsidRPr="00A700F7">
              <w:rPr>
                <w:rFonts w:ascii="Arial Narrow" w:hAnsi="Arial Narrow"/>
                <w:b/>
                <w:sz w:val="20"/>
                <w:szCs w:val="20"/>
              </w:rPr>
              <w:t>Annual cost with no stopping rule</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Drug cost per dose</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Administration cost</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Total drug cost</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w:t>
            </w:r>
            <w:r w:rsidR="00AF24DF">
              <w:rPr>
                <w:rFonts w:ascii="Arial Narrow" w:hAnsi="Arial Narrow"/>
                <w:noProof/>
                <w:color w:val="000000"/>
                <w:sz w:val="20"/>
                <w:szCs w:val="20"/>
                <w:highlight w:val="black"/>
              </w:rPr>
              <w:t>'''''''''''''''</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Number of treatment cycles</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13</w:t>
            </w:r>
          </w:p>
        </w:tc>
      </w:tr>
      <w:tr w:rsidR="00E112F3" w:rsidRPr="00A700F7" w:rsidTr="0078396F">
        <w:tc>
          <w:tcPr>
            <w:tcW w:w="6237" w:type="dxa"/>
          </w:tcPr>
          <w:p w:rsidR="00E112F3" w:rsidRPr="00A700F7" w:rsidRDefault="00E112F3" w:rsidP="00191DAE">
            <w:pPr>
              <w:jc w:val="left"/>
              <w:rPr>
                <w:rFonts w:ascii="Arial Narrow" w:hAnsi="Arial Narrow"/>
                <w:b/>
                <w:sz w:val="20"/>
                <w:szCs w:val="20"/>
              </w:rPr>
            </w:pPr>
            <w:r w:rsidRPr="00A700F7">
              <w:rPr>
                <w:rFonts w:ascii="Arial Narrow" w:hAnsi="Arial Narrow"/>
                <w:b/>
                <w:sz w:val="20"/>
                <w:szCs w:val="20"/>
              </w:rPr>
              <w:t>Total cost over 12 months</w:t>
            </w:r>
          </w:p>
        </w:tc>
        <w:tc>
          <w:tcPr>
            <w:tcW w:w="2835" w:type="dxa"/>
          </w:tcPr>
          <w:p w:rsidR="00E112F3" w:rsidRPr="00A700F7" w:rsidRDefault="00E112F3" w:rsidP="00191DAE">
            <w:pPr>
              <w:jc w:val="center"/>
              <w:rPr>
                <w:rFonts w:ascii="Arial Narrow" w:hAnsi="Arial Narrow"/>
                <w:b/>
                <w:sz w:val="20"/>
                <w:szCs w:val="20"/>
              </w:rPr>
            </w:pPr>
            <w:r w:rsidRPr="00A700F7">
              <w:rPr>
                <w:rFonts w:ascii="Arial Narrow" w:hAnsi="Arial Narrow"/>
                <w:b/>
                <w:sz w:val="20"/>
                <w:szCs w:val="20"/>
              </w:rPr>
              <w:t>$</w:t>
            </w:r>
            <w:r w:rsidR="00AF24DF">
              <w:rPr>
                <w:rFonts w:ascii="Arial Narrow" w:hAnsi="Arial Narrow"/>
                <w:b/>
                <w:noProof/>
                <w:color w:val="000000"/>
                <w:sz w:val="20"/>
                <w:szCs w:val="20"/>
                <w:highlight w:val="black"/>
              </w:rPr>
              <w:t>''''''''''''''''''</w:t>
            </w:r>
          </w:p>
        </w:tc>
      </w:tr>
      <w:tr w:rsidR="00E112F3" w:rsidRPr="00A700F7" w:rsidTr="0078396F">
        <w:tc>
          <w:tcPr>
            <w:tcW w:w="9072" w:type="dxa"/>
            <w:gridSpan w:val="2"/>
          </w:tcPr>
          <w:p w:rsidR="00E112F3" w:rsidRPr="00A700F7" w:rsidRDefault="00E112F3" w:rsidP="00E112F3">
            <w:pPr>
              <w:jc w:val="left"/>
              <w:rPr>
                <w:rFonts w:ascii="Arial Narrow" w:hAnsi="Arial Narrow"/>
                <w:b/>
                <w:sz w:val="20"/>
                <w:szCs w:val="20"/>
              </w:rPr>
            </w:pPr>
            <w:r w:rsidRPr="00A700F7">
              <w:rPr>
                <w:rFonts w:ascii="Arial Narrow" w:hAnsi="Arial Narrow"/>
                <w:b/>
                <w:sz w:val="20"/>
                <w:szCs w:val="20"/>
              </w:rPr>
              <w:t>A</w:t>
            </w:r>
            <w:r w:rsidR="001B0796">
              <w:rPr>
                <w:rFonts w:ascii="Arial Narrow" w:hAnsi="Arial Narrow"/>
                <w:b/>
                <w:sz w:val="20"/>
                <w:szCs w:val="20"/>
              </w:rPr>
              <w:t>verage a</w:t>
            </w:r>
            <w:r w:rsidRPr="00A700F7">
              <w:rPr>
                <w:rFonts w:ascii="Arial Narrow" w:hAnsi="Arial Narrow"/>
                <w:b/>
                <w:sz w:val="20"/>
                <w:szCs w:val="20"/>
              </w:rPr>
              <w:t>nnual cost with stopping rule in place</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Number of treatment cycles to response assessment (24 weeks)</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6</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 xml:space="preserve">Response </w:t>
            </w:r>
            <w:proofErr w:type="spellStart"/>
            <w:r w:rsidRPr="00A700F7">
              <w:rPr>
                <w:rFonts w:ascii="Arial Narrow" w:hAnsi="Arial Narrow"/>
                <w:sz w:val="20"/>
                <w:szCs w:val="20"/>
              </w:rPr>
              <w:t>rate</w:t>
            </w:r>
            <w:r w:rsidRPr="00A700F7">
              <w:rPr>
                <w:rFonts w:ascii="Arial Narrow" w:hAnsi="Arial Narrow"/>
                <w:sz w:val="20"/>
                <w:szCs w:val="20"/>
                <w:vertAlign w:val="superscript"/>
              </w:rPr>
              <w:t>a</w:t>
            </w:r>
            <w:proofErr w:type="spellEnd"/>
          </w:p>
        </w:tc>
        <w:tc>
          <w:tcPr>
            <w:tcW w:w="2835" w:type="dxa"/>
          </w:tcPr>
          <w:p w:rsidR="00E112F3" w:rsidRPr="00A700F7" w:rsidRDefault="00AF24DF" w:rsidP="00191DAE">
            <w:pPr>
              <w:jc w:val="center"/>
              <w:rPr>
                <w:rFonts w:ascii="Arial Narrow" w:hAnsi="Arial Narrow"/>
                <w:sz w:val="20"/>
                <w:szCs w:val="20"/>
              </w:rPr>
            </w:pPr>
            <w:r>
              <w:rPr>
                <w:rFonts w:ascii="Arial Narrow" w:hAnsi="Arial Narrow"/>
                <w:noProof/>
                <w:color w:val="000000"/>
                <w:sz w:val="20"/>
                <w:szCs w:val="20"/>
                <w:highlight w:val="black"/>
              </w:rPr>
              <w:t>''''''''''''''</w:t>
            </w:r>
            <w:r w:rsidR="00E112F3" w:rsidRPr="00A700F7">
              <w:rPr>
                <w:rFonts w:ascii="Arial Narrow" w:hAnsi="Arial Narrow"/>
                <w:sz w:val="20"/>
                <w:szCs w:val="20"/>
              </w:rPr>
              <w:t>%</w:t>
            </w:r>
          </w:p>
        </w:tc>
      </w:tr>
      <w:tr w:rsidR="00E112F3" w:rsidRPr="00A700F7" w:rsidTr="0078396F">
        <w:tc>
          <w:tcPr>
            <w:tcW w:w="6237" w:type="dxa"/>
          </w:tcPr>
          <w:p w:rsidR="00E112F3" w:rsidRPr="00A700F7" w:rsidRDefault="00E112F3" w:rsidP="00191DAE">
            <w:pPr>
              <w:jc w:val="left"/>
              <w:rPr>
                <w:rFonts w:ascii="Arial Narrow" w:hAnsi="Arial Narrow"/>
                <w:sz w:val="20"/>
                <w:szCs w:val="20"/>
              </w:rPr>
            </w:pPr>
            <w:r w:rsidRPr="00A700F7">
              <w:rPr>
                <w:rFonts w:ascii="Arial Narrow" w:hAnsi="Arial Narrow"/>
                <w:sz w:val="20"/>
                <w:szCs w:val="20"/>
              </w:rPr>
              <w:t>Number of treatment cycles post-assessment to 12 months</w:t>
            </w:r>
          </w:p>
        </w:tc>
        <w:tc>
          <w:tcPr>
            <w:tcW w:w="2835" w:type="dxa"/>
          </w:tcPr>
          <w:p w:rsidR="00E112F3" w:rsidRPr="00A700F7" w:rsidRDefault="00E112F3" w:rsidP="00191DAE">
            <w:pPr>
              <w:jc w:val="center"/>
              <w:rPr>
                <w:rFonts w:ascii="Arial Narrow" w:hAnsi="Arial Narrow"/>
                <w:sz w:val="20"/>
                <w:szCs w:val="20"/>
              </w:rPr>
            </w:pPr>
            <w:r w:rsidRPr="00A700F7">
              <w:rPr>
                <w:rFonts w:ascii="Arial Narrow" w:hAnsi="Arial Narrow"/>
                <w:sz w:val="20"/>
                <w:szCs w:val="20"/>
              </w:rPr>
              <w:t>7</w:t>
            </w:r>
          </w:p>
        </w:tc>
      </w:tr>
      <w:tr w:rsidR="00E112F3" w:rsidRPr="00A700F7" w:rsidTr="0078396F">
        <w:tc>
          <w:tcPr>
            <w:tcW w:w="6237" w:type="dxa"/>
          </w:tcPr>
          <w:p w:rsidR="00E112F3" w:rsidRPr="00A700F7" w:rsidRDefault="00E112F3" w:rsidP="00191DAE">
            <w:pPr>
              <w:jc w:val="left"/>
              <w:rPr>
                <w:rFonts w:ascii="Arial Narrow" w:hAnsi="Arial Narrow"/>
                <w:b/>
                <w:sz w:val="20"/>
                <w:szCs w:val="20"/>
              </w:rPr>
            </w:pPr>
            <w:r w:rsidRPr="00A700F7">
              <w:rPr>
                <w:rFonts w:ascii="Arial Narrow" w:hAnsi="Arial Narrow"/>
                <w:b/>
                <w:sz w:val="20"/>
                <w:szCs w:val="20"/>
              </w:rPr>
              <w:t>Cost over 12 months for responders</w:t>
            </w:r>
          </w:p>
        </w:tc>
        <w:tc>
          <w:tcPr>
            <w:tcW w:w="2835" w:type="dxa"/>
          </w:tcPr>
          <w:p w:rsidR="00E112F3" w:rsidRPr="00A700F7" w:rsidRDefault="00E112F3" w:rsidP="00191DAE">
            <w:pPr>
              <w:jc w:val="center"/>
              <w:rPr>
                <w:rFonts w:ascii="Arial Narrow" w:hAnsi="Arial Narrow"/>
                <w:b/>
                <w:sz w:val="20"/>
                <w:szCs w:val="20"/>
              </w:rPr>
            </w:pPr>
            <w:r w:rsidRPr="00A700F7">
              <w:rPr>
                <w:rFonts w:ascii="Arial Narrow" w:hAnsi="Arial Narrow"/>
                <w:b/>
                <w:sz w:val="20"/>
                <w:szCs w:val="20"/>
              </w:rPr>
              <w:t>$</w:t>
            </w:r>
            <w:r w:rsidR="00AF24DF">
              <w:rPr>
                <w:rFonts w:ascii="Arial Narrow" w:hAnsi="Arial Narrow"/>
                <w:b/>
                <w:noProof/>
                <w:color w:val="000000"/>
                <w:sz w:val="20"/>
                <w:szCs w:val="20"/>
                <w:highlight w:val="black"/>
              </w:rPr>
              <w:t>''''''''''''''''''</w:t>
            </w:r>
            <w:r w:rsidRPr="00A700F7">
              <w:rPr>
                <w:rFonts w:ascii="Arial Narrow" w:hAnsi="Arial Narrow"/>
                <w:b/>
                <w:sz w:val="20"/>
                <w:szCs w:val="20"/>
                <w:vertAlign w:val="superscript"/>
              </w:rPr>
              <w:t>b</w:t>
            </w:r>
          </w:p>
        </w:tc>
      </w:tr>
    </w:tbl>
    <w:p w:rsidR="00E112F3" w:rsidRPr="00A700F7" w:rsidRDefault="00E112F3" w:rsidP="00E112F3">
      <w:pPr>
        <w:pStyle w:val="TableFooter"/>
        <w:tabs>
          <w:tab w:val="left" w:pos="142"/>
        </w:tabs>
        <w:ind w:left="142" w:hanging="142"/>
      </w:pPr>
      <w:proofErr w:type="spellStart"/>
      <w:proofErr w:type="gramStart"/>
      <w:r w:rsidRPr="00A700F7">
        <w:rPr>
          <w:vertAlign w:val="superscript"/>
        </w:rPr>
        <w:t>a</w:t>
      </w:r>
      <w:proofErr w:type="spellEnd"/>
      <w:proofErr w:type="gramEnd"/>
      <w:r w:rsidRPr="00A700F7">
        <w:tab/>
        <w:t xml:space="preserve">The response rate for </w:t>
      </w:r>
      <w:proofErr w:type="spellStart"/>
      <w:r w:rsidRPr="00A700F7">
        <w:t>erenumab</w:t>
      </w:r>
      <w:proofErr w:type="spellEnd"/>
      <w:r w:rsidRPr="00A700F7">
        <w:t xml:space="preserve"> is sourced from the indirect comparison, see Section 2.6 of the commentary. </w:t>
      </w:r>
    </w:p>
    <w:p w:rsidR="00E112F3" w:rsidRPr="00A700F7" w:rsidRDefault="00E112F3" w:rsidP="00E112F3">
      <w:pPr>
        <w:pStyle w:val="TableFooter"/>
        <w:tabs>
          <w:tab w:val="left" w:pos="142"/>
        </w:tabs>
        <w:ind w:left="142" w:hanging="142"/>
      </w:pPr>
      <w:proofErr w:type="gramStart"/>
      <w:r w:rsidRPr="00A700F7">
        <w:rPr>
          <w:vertAlign w:val="superscript"/>
        </w:rPr>
        <w:t>b</w:t>
      </w:r>
      <w:proofErr w:type="gramEnd"/>
      <w:r w:rsidRPr="00A700F7">
        <w:tab/>
        <w:t>$</w:t>
      </w:r>
      <w:r w:rsidR="00AF24DF">
        <w:rPr>
          <w:noProof/>
          <w:color w:val="000000"/>
          <w:highlight w:val="black"/>
        </w:rPr>
        <w:t>'''''''''''''''''''</w:t>
      </w:r>
      <w:r w:rsidRPr="00A700F7">
        <w:t>=($</w:t>
      </w:r>
      <w:r w:rsidR="00AF24DF">
        <w:rPr>
          <w:noProof/>
          <w:color w:val="000000"/>
          <w:highlight w:val="black"/>
        </w:rPr>
        <w:t xml:space="preserve">''''''''''''''' </w:t>
      </w:r>
      <w:r w:rsidRPr="00A700F7">
        <w:t>× 6) + (</w:t>
      </w:r>
      <w:r w:rsidR="00AF24DF">
        <w:rPr>
          <w:noProof/>
          <w:color w:val="000000"/>
          <w:highlight w:val="black"/>
        </w:rPr>
        <w:t>'''''''''''''''</w:t>
      </w:r>
      <w:r w:rsidRPr="00A700F7">
        <w:t>% × 7 × $</w:t>
      </w:r>
      <w:r w:rsidR="00AF24DF">
        <w:rPr>
          <w:noProof/>
          <w:color w:val="000000"/>
          <w:highlight w:val="black"/>
        </w:rPr>
        <w:t>'''''''''''''''</w:t>
      </w:r>
      <w:r w:rsidRPr="00A700F7">
        <w:t>)</w:t>
      </w:r>
    </w:p>
    <w:p w:rsidR="00E112F3" w:rsidRPr="00A700F7" w:rsidRDefault="00E112F3" w:rsidP="00E112F3">
      <w:pPr>
        <w:pStyle w:val="TableFooter"/>
      </w:pPr>
      <w:r w:rsidRPr="00A700F7">
        <w:t>Source:  Table 3.30, p107 of the submission</w:t>
      </w:r>
    </w:p>
    <w:p w:rsidR="00B60939" w:rsidRPr="00A700F7" w:rsidRDefault="00B60939" w:rsidP="00E112F3">
      <w:pPr>
        <w:keepNext/>
      </w:pPr>
    </w:p>
    <w:p w:rsidR="006129CC" w:rsidRPr="00A700F7" w:rsidRDefault="006129CC" w:rsidP="00E05630">
      <w:pPr>
        <w:pStyle w:val="ListParagraph"/>
        <w:keepNext/>
        <w:numPr>
          <w:ilvl w:val="1"/>
          <w:numId w:val="3"/>
        </w:numPr>
      </w:pPr>
      <w:r w:rsidRPr="00A700F7">
        <w:t xml:space="preserve">The annual cost </w:t>
      </w:r>
      <w:r w:rsidR="00906E46">
        <w:t>with</w:t>
      </w:r>
      <w:r w:rsidR="00906E46" w:rsidRPr="00A700F7">
        <w:t xml:space="preserve"> </w:t>
      </w:r>
      <w:r w:rsidRPr="00A700F7">
        <w:t xml:space="preserve">the stopping rule </w:t>
      </w:r>
      <w:bookmarkStart w:id="14" w:name="_GoBack"/>
      <w:r w:rsidRPr="00A700F7">
        <w:t>(p</w:t>
      </w:r>
      <w:bookmarkEnd w:id="14"/>
      <w:r w:rsidRPr="00A700F7">
        <w:t>roportion of patients with ≥50% reduction in headache days per month) was based on the results of the indirect comparison.  Given that this indirect comparison had a number of potential sources of bias (</w:t>
      </w:r>
      <w:r w:rsidR="00906E46">
        <w:t>detailed above</w:t>
      </w:r>
      <w:r w:rsidRPr="00A700F7">
        <w:t xml:space="preserve">), the proportion responding </w:t>
      </w:r>
      <w:proofErr w:type="gramStart"/>
      <w:r w:rsidRPr="00A700F7">
        <w:t>may</w:t>
      </w:r>
      <w:proofErr w:type="gramEnd"/>
      <w:r w:rsidRPr="00A700F7">
        <w:t xml:space="preserve"> not represent what will occur in clinical practice.  </w:t>
      </w:r>
    </w:p>
    <w:p w:rsidR="00B60939" w:rsidRPr="00802560" w:rsidRDefault="00B60939" w:rsidP="00FE393C">
      <w:pPr>
        <w:pStyle w:val="Heading2"/>
        <w:spacing w:after="120"/>
      </w:pPr>
      <w:bookmarkStart w:id="15" w:name="_Toc513040447"/>
      <w:r w:rsidRPr="00802560">
        <w:t>Estimated PBS usage &amp; financial implications</w:t>
      </w:r>
      <w:bookmarkEnd w:id="15"/>
    </w:p>
    <w:p w:rsidR="00FA59A3" w:rsidRPr="00802560" w:rsidRDefault="00FA59A3" w:rsidP="00906E46">
      <w:pPr>
        <w:pStyle w:val="ListParagraph"/>
        <w:numPr>
          <w:ilvl w:val="1"/>
          <w:numId w:val="3"/>
        </w:numPr>
        <w:rPr>
          <w:rStyle w:val="CommentReference"/>
          <w:rFonts w:ascii="Calibri" w:hAnsi="Calibri"/>
          <w:b w:val="0"/>
          <w:sz w:val="24"/>
          <w:szCs w:val="24"/>
        </w:rPr>
      </w:pPr>
      <w:bookmarkStart w:id="16" w:name="_Toc513040448"/>
      <w:r w:rsidRPr="00802560">
        <w:t>This submission was considered by DUSC</w:t>
      </w:r>
      <w:r w:rsidRPr="00802560">
        <w:rPr>
          <w:color w:val="0070C0"/>
        </w:rPr>
        <w:t xml:space="preserve">. </w:t>
      </w:r>
      <w:r w:rsidRPr="00802560">
        <w:t xml:space="preserve">The submission applied data from the June 2017 DUSC review of Botox (Botulinum toxin type A for chronic migraine: 24-month predicted versus actual analysis) along with PBS statistics for the use of Botox and uptake assumptions to estimate usage and financial implications of the PBS listing of </w:t>
      </w:r>
      <w:proofErr w:type="spellStart"/>
      <w:r w:rsidRPr="00802560">
        <w:t>erenumab</w:t>
      </w:r>
      <w:proofErr w:type="spellEnd"/>
      <w:r w:rsidRPr="00802560">
        <w:t>.</w:t>
      </w:r>
      <w:r w:rsidRPr="00802560">
        <w:rPr>
          <w:color w:val="0070C0"/>
        </w:rPr>
        <w:t xml:space="preserve"> </w:t>
      </w:r>
      <w:r w:rsidRPr="00802560">
        <w:t>The table below provides a summary</w:t>
      </w:r>
      <w:r w:rsidR="00906E46" w:rsidRPr="00802560">
        <w:t>.</w:t>
      </w:r>
    </w:p>
    <w:p w:rsidR="008A08EC" w:rsidRDefault="008A08EC">
      <w:pPr>
        <w:jc w:val="left"/>
        <w:rPr>
          <w:rFonts w:ascii="Arial Narrow" w:eastAsia="Calibri" w:hAnsi="Arial Narrow" w:cs="Arial"/>
          <w:b/>
          <w:sz w:val="20"/>
          <w:szCs w:val="22"/>
        </w:rPr>
      </w:pPr>
      <w:r>
        <w:rPr>
          <w:rFonts w:ascii="Arial Narrow" w:eastAsia="Calibri" w:hAnsi="Arial Narrow" w:cs="Arial"/>
          <w:b/>
          <w:sz w:val="20"/>
          <w:szCs w:val="22"/>
        </w:rPr>
        <w:br w:type="page"/>
      </w:r>
    </w:p>
    <w:p w:rsidR="0077667A" w:rsidRPr="00802560" w:rsidRDefault="0077667A" w:rsidP="0077667A">
      <w:r w:rsidRPr="00802560">
        <w:rPr>
          <w:rFonts w:ascii="Arial Narrow" w:eastAsia="Calibri" w:hAnsi="Arial Narrow" w:cs="Arial"/>
          <w:b/>
          <w:sz w:val="20"/>
          <w:szCs w:val="22"/>
        </w:rPr>
        <w:lastRenderedPageBreak/>
        <w:t>Table 1</w:t>
      </w:r>
      <w:r w:rsidR="0078396F">
        <w:rPr>
          <w:rFonts w:ascii="Arial Narrow" w:eastAsia="Calibri" w:hAnsi="Arial Narrow" w:cs="Arial"/>
          <w:b/>
          <w:sz w:val="20"/>
          <w:szCs w:val="22"/>
        </w:rPr>
        <w:t>4</w:t>
      </w:r>
      <w:r w:rsidRPr="00802560">
        <w:rPr>
          <w:rFonts w:ascii="Arial Narrow" w:eastAsia="Calibri" w:hAnsi="Arial Narrow" w:cs="Arial"/>
          <w:b/>
          <w:sz w:val="20"/>
          <w:szCs w:val="22"/>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165"/>
        <w:gridCol w:w="1165"/>
        <w:gridCol w:w="1165"/>
        <w:gridCol w:w="1165"/>
        <w:gridCol w:w="1165"/>
        <w:gridCol w:w="1162"/>
      </w:tblGrid>
      <w:tr w:rsidR="0077667A" w:rsidRPr="00802560" w:rsidTr="00C32C2D">
        <w:trPr>
          <w:tblHeader/>
        </w:trPr>
        <w:tc>
          <w:tcPr>
            <w:tcW w:w="1120" w:type="pct"/>
            <w:shd w:val="clear" w:color="auto" w:fill="auto"/>
            <w:vAlign w:val="center"/>
          </w:tcPr>
          <w:p w:rsidR="0077667A" w:rsidRPr="00802560" w:rsidRDefault="0077667A" w:rsidP="00C32C2D">
            <w:pPr>
              <w:jc w:val="left"/>
              <w:rPr>
                <w:rFonts w:ascii="Arial Narrow" w:hAnsi="Arial Narrow"/>
                <w:sz w:val="20"/>
              </w:rPr>
            </w:pPr>
          </w:p>
        </w:tc>
        <w:tc>
          <w:tcPr>
            <w:tcW w:w="647" w:type="pct"/>
            <w:shd w:val="clear" w:color="auto" w:fill="auto"/>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1</w:t>
            </w:r>
          </w:p>
        </w:tc>
        <w:tc>
          <w:tcPr>
            <w:tcW w:w="647" w:type="pct"/>
            <w:shd w:val="clear" w:color="auto" w:fill="auto"/>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2</w:t>
            </w:r>
          </w:p>
        </w:tc>
        <w:tc>
          <w:tcPr>
            <w:tcW w:w="647" w:type="pct"/>
            <w:shd w:val="clear" w:color="auto" w:fill="auto"/>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3</w:t>
            </w:r>
          </w:p>
        </w:tc>
        <w:tc>
          <w:tcPr>
            <w:tcW w:w="647" w:type="pct"/>
            <w:shd w:val="clear" w:color="auto" w:fill="auto"/>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4</w:t>
            </w:r>
          </w:p>
        </w:tc>
        <w:tc>
          <w:tcPr>
            <w:tcW w:w="647" w:type="pct"/>
            <w:shd w:val="clear" w:color="auto" w:fill="auto"/>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5</w:t>
            </w:r>
          </w:p>
        </w:tc>
        <w:tc>
          <w:tcPr>
            <w:tcW w:w="646" w:type="pct"/>
            <w:vAlign w:val="center"/>
          </w:tcPr>
          <w:p w:rsidR="0077667A" w:rsidRPr="00802560" w:rsidRDefault="0077667A" w:rsidP="00C32C2D">
            <w:pPr>
              <w:jc w:val="center"/>
              <w:rPr>
                <w:rFonts w:ascii="Arial Narrow" w:hAnsi="Arial Narrow"/>
                <w:b/>
                <w:sz w:val="20"/>
              </w:rPr>
            </w:pPr>
            <w:r w:rsidRPr="00802560">
              <w:rPr>
                <w:rFonts w:ascii="Arial Narrow" w:hAnsi="Arial Narrow"/>
                <w:b/>
                <w:sz w:val="20"/>
              </w:rPr>
              <w:t>Year 6</w:t>
            </w:r>
          </w:p>
        </w:tc>
      </w:tr>
      <w:tr w:rsidR="0077667A" w:rsidRPr="00802560" w:rsidTr="00C32C2D">
        <w:tc>
          <w:tcPr>
            <w:tcW w:w="5000" w:type="pct"/>
            <w:gridSpan w:val="7"/>
            <w:shd w:val="clear" w:color="auto" w:fill="auto"/>
            <w:vAlign w:val="center"/>
          </w:tcPr>
          <w:p w:rsidR="0077667A" w:rsidRPr="00802560" w:rsidRDefault="0077667A" w:rsidP="00C32C2D">
            <w:pPr>
              <w:jc w:val="left"/>
              <w:rPr>
                <w:rFonts w:ascii="Arial Narrow" w:hAnsi="Arial Narrow"/>
                <w:b/>
                <w:bCs/>
                <w:sz w:val="20"/>
              </w:rPr>
            </w:pPr>
            <w:r w:rsidRPr="00802560">
              <w:rPr>
                <w:rFonts w:ascii="Arial Narrow" w:hAnsi="Arial Narrow"/>
                <w:b/>
                <w:bCs/>
                <w:sz w:val="20"/>
              </w:rPr>
              <w:t>Estimated extent of use</w:t>
            </w:r>
          </w:p>
        </w:tc>
      </w:tr>
      <w:tr w:rsidR="0077667A" w:rsidRPr="00802560" w:rsidTr="00C32C2D">
        <w:tc>
          <w:tcPr>
            <w:tcW w:w="1120" w:type="pct"/>
            <w:shd w:val="clear" w:color="auto" w:fill="auto"/>
            <w:vAlign w:val="center"/>
          </w:tcPr>
          <w:p w:rsidR="0077667A" w:rsidRPr="00802560" w:rsidRDefault="0077667A" w:rsidP="00C32C2D">
            <w:pPr>
              <w:jc w:val="left"/>
              <w:rPr>
                <w:rFonts w:ascii="Times" w:hAnsi="Times"/>
                <w:sz w:val="20"/>
              </w:rPr>
            </w:pPr>
            <w:r w:rsidRPr="00802560">
              <w:rPr>
                <w:rFonts w:ascii="Arial Narrow" w:hAnsi="Arial Narrow"/>
                <w:sz w:val="20"/>
              </w:rPr>
              <w:t>Number of patients treated</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6" w:type="pct"/>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Times" w:hAnsi="Times"/>
                <w:sz w:val="20"/>
              </w:rPr>
            </w:pPr>
            <w:r w:rsidRPr="00802560">
              <w:rPr>
                <w:rFonts w:ascii="Arial Narrow" w:hAnsi="Arial Narrow"/>
                <w:sz w:val="20"/>
              </w:rPr>
              <w:t xml:space="preserve">Number of scripts </w:t>
            </w:r>
            <w:proofErr w:type="spellStart"/>
            <w:r w:rsidRPr="00802560">
              <w:rPr>
                <w:rFonts w:ascii="Arial Narrow" w:hAnsi="Arial Narrow"/>
                <w:sz w:val="20"/>
              </w:rPr>
              <w:t>dispensed</w:t>
            </w:r>
            <w:r w:rsidRPr="00802560">
              <w:rPr>
                <w:rFonts w:ascii="Arial Narrow" w:hAnsi="Arial Narrow"/>
                <w:sz w:val="20"/>
                <w:vertAlign w:val="superscript"/>
              </w:rPr>
              <w:t>a</w:t>
            </w:r>
            <w:proofErr w:type="spellEnd"/>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7" w:type="pct"/>
            <w:shd w:val="clear" w:color="auto" w:fill="auto"/>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c>
          <w:tcPr>
            <w:tcW w:w="646" w:type="pct"/>
            <w:vAlign w:val="center"/>
          </w:tcPr>
          <w:p w:rsidR="0077667A" w:rsidRPr="00AF24DF" w:rsidRDefault="00AF24DF" w:rsidP="00C32C2D">
            <w:pPr>
              <w:jc w:val="center"/>
              <w:rPr>
                <w:rFonts w:ascii="Arial Narrow" w:hAnsi="Arial Narrow"/>
                <w:bCs/>
                <w:sz w:val="20"/>
                <w:highlight w:val="black"/>
              </w:rPr>
            </w:pPr>
            <w:r>
              <w:rPr>
                <w:rFonts w:ascii="Arial Narrow" w:hAnsi="Arial Narrow" w:cs="Arial"/>
                <w:noProof/>
                <w:color w:val="000000"/>
                <w:sz w:val="20"/>
                <w:highlight w:val="black"/>
              </w:rPr>
              <w:t>'''''''''''''''''</w:t>
            </w:r>
          </w:p>
        </w:tc>
      </w:tr>
      <w:tr w:rsidR="0077667A" w:rsidRPr="00802560" w:rsidTr="00C32C2D">
        <w:tc>
          <w:tcPr>
            <w:tcW w:w="5000" w:type="pct"/>
            <w:gridSpan w:val="7"/>
            <w:shd w:val="clear" w:color="auto" w:fill="auto"/>
            <w:vAlign w:val="center"/>
          </w:tcPr>
          <w:p w:rsidR="0077667A" w:rsidRPr="00802560" w:rsidRDefault="0077667A" w:rsidP="00C32C2D">
            <w:pPr>
              <w:jc w:val="left"/>
              <w:rPr>
                <w:rFonts w:ascii="Arial Narrow" w:hAnsi="Arial Narrow"/>
                <w:b/>
                <w:bCs/>
                <w:sz w:val="20"/>
              </w:rPr>
            </w:pPr>
            <w:r w:rsidRPr="00802560">
              <w:rPr>
                <w:rFonts w:ascii="Arial Narrow" w:hAnsi="Arial Narrow"/>
                <w:b/>
                <w:bCs/>
                <w:sz w:val="20"/>
              </w:rPr>
              <w:t xml:space="preserve">Estimated financial implications of </w:t>
            </w:r>
            <w:proofErr w:type="spellStart"/>
            <w:r w:rsidRPr="00802560">
              <w:rPr>
                <w:rFonts w:ascii="Arial Narrow" w:hAnsi="Arial Narrow"/>
                <w:b/>
                <w:bCs/>
                <w:sz w:val="20"/>
              </w:rPr>
              <w:t>erenumab</w:t>
            </w:r>
            <w:proofErr w:type="spellEnd"/>
          </w:p>
        </w:tc>
      </w:tr>
      <w:tr w:rsidR="0077667A" w:rsidRPr="00802560" w:rsidTr="00C32C2D">
        <w:tc>
          <w:tcPr>
            <w:tcW w:w="1120" w:type="pct"/>
            <w:shd w:val="clear" w:color="auto" w:fill="auto"/>
            <w:vAlign w:val="center"/>
          </w:tcPr>
          <w:p w:rsidR="0077667A" w:rsidRPr="00802560" w:rsidRDefault="0077667A" w:rsidP="00C32C2D">
            <w:pPr>
              <w:jc w:val="left"/>
              <w:rPr>
                <w:rFonts w:ascii="Times" w:hAnsi="Times"/>
                <w:sz w:val="20"/>
              </w:rPr>
            </w:pPr>
            <w:r w:rsidRPr="00802560">
              <w:rPr>
                <w:rFonts w:ascii="Arial Narrow" w:hAnsi="Arial Narrow"/>
                <w:sz w:val="20"/>
              </w:rPr>
              <w:t>Cost to PBS/RPBS</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Arial Narrow" w:hAnsi="Arial Narrow"/>
                <w:sz w:val="20"/>
              </w:rPr>
            </w:pPr>
            <w:proofErr w:type="spellStart"/>
            <w:r w:rsidRPr="00802560">
              <w:rPr>
                <w:rFonts w:ascii="Arial Narrow" w:hAnsi="Arial Narrow"/>
                <w:sz w:val="20"/>
              </w:rPr>
              <w:t>Copayments</w:t>
            </w:r>
            <w:proofErr w:type="spellEnd"/>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Arial Narrow" w:hAnsi="Arial Narrow"/>
                <w:sz w:val="20"/>
              </w:rPr>
            </w:pPr>
            <w:r w:rsidRPr="00802560">
              <w:rPr>
                <w:rFonts w:ascii="Arial Narrow" w:hAnsi="Arial Narrow"/>
                <w:sz w:val="20"/>
              </w:rPr>
              <w:t xml:space="preserve">Cost to PBS/RPBS less </w:t>
            </w:r>
            <w:proofErr w:type="spellStart"/>
            <w:r w:rsidRPr="00802560">
              <w:rPr>
                <w:rFonts w:ascii="Arial Narrow" w:hAnsi="Arial Narrow"/>
                <w:sz w:val="20"/>
              </w:rPr>
              <w:t>copayments</w:t>
            </w:r>
            <w:proofErr w:type="spellEnd"/>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Arial Narrow" w:hAnsi="Arial Narrow"/>
                <w:sz w:val="20"/>
              </w:rPr>
            </w:pPr>
            <w:r w:rsidRPr="00802560">
              <w:rPr>
                <w:rFonts w:ascii="Arial Narrow" w:hAnsi="Arial Narrow"/>
                <w:sz w:val="20"/>
              </w:rPr>
              <w:t>Cost offsets for substituted Botox</w:t>
            </w:r>
          </w:p>
        </w:tc>
        <w:tc>
          <w:tcPr>
            <w:tcW w:w="647" w:type="pct"/>
            <w:shd w:val="clear" w:color="auto" w:fill="auto"/>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center"/>
          </w:tcPr>
          <w:p w:rsidR="0077667A" w:rsidRPr="00802560" w:rsidRDefault="0077667A" w:rsidP="00C32C2D">
            <w:pPr>
              <w:jc w:val="center"/>
              <w:rPr>
                <w:rFonts w:ascii="Arial Narrow" w:hAnsi="Arial Narrow" w:cs="Arial"/>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5000" w:type="pct"/>
            <w:gridSpan w:val="7"/>
            <w:shd w:val="clear" w:color="auto" w:fill="auto"/>
            <w:vAlign w:val="center"/>
          </w:tcPr>
          <w:p w:rsidR="0077667A" w:rsidRPr="00802560" w:rsidRDefault="0077667A" w:rsidP="00C32C2D">
            <w:pPr>
              <w:jc w:val="left"/>
              <w:rPr>
                <w:rFonts w:ascii="Arial Narrow" w:hAnsi="Arial Narrow"/>
                <w:b/>
                <w:bCs/>
                <w:sz w:val="20"/>
              </w:rPr>
            </w:pPr>
            <w:r w:rsidRPr="00802560">
              <w:rPr>
                <w:rFonts w:ascii="Arial Narrow" w:hAnsi="Arial Narrow"/>
                <w:b/>
                <w:bCs/>
                <w:sz w:val="20"/>
              </w:rPr>
              <w:t xml:space="preserve">Net financial implications </w:t>
            </w:r>
          </w:p>
        </w:tc>
      </w:tr>
      <w:tr w:rsidR="0077667A" w:rsidRPr="00802560" w:rsidTr="00C32C2D">
        <w:tc>
          <w:tcPr>
            <w:tcW w:w="1120" w:type="pct"/>
            <w:shd w:val="clear" w:color="auto" w:fill="auto"/>
            <w:vAlign w:val="center"/>
          </w:tcPr>
          <w:p w:rsidR="0077667A" w:rsidRPr="00802560" w:rsidRDefault="0077667A" w:rsidP="00C32C2D">
            <w:pPr>
              <w:jc w:val="left"/>
              <w:rPr>
                <w:rFonts w:ascii="Arial Narrow" w:hAnsi="Arial Narrow"/>
                <w:sz w:val="20"/>
              </w:rPr>
            </w:pPr>
            <w:r w:rsidRPr="00802560">
              <w:rPr>
                <w:rFonts w:ascii="Arial Narrow" w:hAnsi="Arial Narrow"/>
                <w:sz w:val="20"/>
              </w:rPr>
              <w:t>Net cost to PBS/RPBS</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center"/>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Times" w:hAnsi="Times"/>
                <w:sz w:val="20"/>
              </w:rPr>
            </w:pPr>
            <w:r w:rsidRPr="00802560">
              <w:rPr>
                <w:rFonts w:ascii="Arial Narrow" w:hAnsi="Arial Narrow"/>
                <w:sz w:val="20"/>
              </w:rPr>
              <w:t xml:space="preserve">Net cost to </w:t>
            </w:r>
            <w:proofErr w:type="spellStart"/>
            <w:r w:rsidRPr="00802560">
              <w:rPr>
                <w:rFonts w:ascii="Arial Narrow" w:hAnsi="Arial Narrow"/>
                <w:sz w:val="20"/>
              </w:rPr>
              <w:t>MBS</w:t>
            </w:r>
            <w:r w:rsidRPr="00802560">
              <w:rPr>
                <w:rFonts w:ascii="Arial Narrow" w:hAnsi="Arial Narrow"/>
                <w:sz w:val="20"/>
                <w:vertAlign w:val="superscript"/>
              </w:rPr>
              <w:t>b</w:t>
            </w:r>
            <w:proofErr w:type="spellEnd"/>
          </w:p>
        </w:tc>
        <w:tc>
          <w:tcPr>
            <w:tcW w:w="647" w:type="pct"/>
            <w:shd w:val="clear" w:color="auto" w:fill="auto"/>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7" w:type="pct"/>
            <w:shd w:val="clear" w:color="auto" w:fill="auto"/>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c>
          <w:tcPr>
            <w:tcW w:w="646" w:type="pct"/>
            <w:vAlign w:val="bottom"/>
          </w:tcPr>
          <w:p w:rsidR="0077667A" w:rsidRPr="00802560" w:rsidRDefault="0077667A" w:rsidP="00C32C2D">
            <w:pPr>
              <w:jc w:val="center"/>
              <w:rPr>
                <w:rFonts w:ascii="Arial Narrow" w:hAnsi="Arial Narrow"/>
                <w:bCs/>
                <w:sz w:val="20"/>
              </w:rPr>
            </w:pPr>
            <w:r w:rsidRPr="00802560">
              <w:rPr>
                <w:rFonts w:ascii="Arial Narrow" w:hAnsi="Arial Narrow" w:cs="Arial"/>
                <w:sz w:val="20"/>
              </w:rPr>
              <w:t>-$</w:t>
            </w:r>
            <w:r w:rsidR="00AF24DF">
              <w:rPr>
                <w:rFonts w:ascii="Arial Narrow" w:hAnsi="Arial Narrow" w:cs="Arial"/>
                <w:noProof/>
                <w:color w:val="000000"/>
                <w:sz w:val="20"/>
                <w:highlight w:val="black"/>
              </w:rPr>
              <w:t>''''''''''''''''''''''</w:t>
            </w:r>
          </w:p>
        </w:tc>
      </w:tr>
      <w:tr w:rsidR="0077667A" w:rsidRPr="00802560" w:rsidTr="00C32C2D">
        <w:tc>
          <w:tcPr>
            <w:tcW w:w="1120" w:type="pct"/>
            <w:shd w:val="clear" w:color="auto" w:fill="auto"/>
            <w:vAlign w:val="center"/>
          </w:tcPr>
          <w:p w:rsidR="0077667A" w:rsidRPr="00802560" w:rsidRDefault="0077667A" w:rsidP="00C32C2D">
            <w:pPr>
              <w:jc w:val="left"/>
              <w:rPr>
                <w:rFonts w:ascii="Arial Narrow" w:hAnsi="Arial Narrow"/>
                <w:sz w:val="20"/>
              </w:rPr>
            </w:pPr>
            <w:r w:rsidRPr="00802560">
              <w:rPr>
                <w:rFonts w:ascii="Arial Narrow" w:hAnsi="Arial Narrow"/>
                <w:b/>
                <w:sz w:val="20"/>
              </w:rPr>
              <w:t>Overall net cost to Government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c>
          <w:tcPr>
            <w:tcW w:w="647" w:type="pct"/>
            <w:shd w:val="clear" w:color="auto" w:fill="auto"/>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c>
          <w:tcPr>
            <w:tcW w:w="646" w:type="pct"/>
            <w:vAlign w:val="center"/>
          </w:tcPr>
          <w:p w:rsidR="0077667A" w:rsidRPr="00802560" w:rsidRDefault="0077667A" w:rsidP="00C32C2D">
            <w:pPr>
              <w:jc w:val="center"/>
              <w:rPr>
                <w:rFonts w:ascii="Arial Narrow" w:hAnsi="Arial Narrow"/>
                <w:bCs/>
                <w:sz w:val="20"/>
              </w:rPr>
            </w:pPr>
            <w:r w:rsidRPr="00802560">
              <w:rPr>
                <w:rFonts w:ascii="Arial Narrow" w:hAnsi="Arial Narrow" w:cs="Arial"/>
                <w:b/>
                <w:sz w:val="20"/>
              </w:rPr>
              <w:t>$</w:t>
            </w:r>
            <w:r w:rsidR="00AF24DF">
              <w:rPr>
                <w:rFonts w:ascii="Arial Narrow" w:hAnsi="Arial Narrow" w:cs="Arial"/>
                <w:b/>
                <w:noProof/>
                <w:color w:val="000000"/>
                <w:sz w:val="20"/>
                <w:highlight w:val="black"/>
              </w:rPr>
              <w:t>'''''''''''''''''''</w:t>
            </w:r>
          </w:p>
        </w:tc>
      </w:tr>
    </w:tbl>
    <w:p w:rsidR="0077667A" w:rsidRPr="00802560" w:rsidRDefault="0077667A" w:rsidP="0077667A">
      <w:pPr>
        <w:pStyle w:val="TableFooter"/>
        <w:tabs>
          <w:tab w:val="left" w:pos="142"/>
        </w:tabs>
        <w:ind w:left="142" w:hanging="142"/>
        <w:jc w:val="left"/>
      </w:pPr>
      <w:proofErr w:type="spellStart"/>
      <w:proofErr w:type="gramStart"/>
      <w:r w:rsidRPr="00802560">
        <w:rPr>
          <w:vertAlign w:val="superscript"/>
        </w:rPr>
        <w:t>a</w:t>
      </w:r>
      <w:proofErr w:type="spellEnd"/>
      <w:proofErr w:type="gramEnd"/>
      <w:r w:rsidRPr="00802560">
        <w:tab/>
        <w:t>Assuming 13.04 scripts per year as estimated by the submission.  The submission also applied a half-year correction for patients in their first year of treatment (6.52 scripts).</w:t>
      </w:r>
    </w:p>
    <w:p w:rsidR="0077667A" w:rsidRPr="00802560" w:rsidRDefault="0077667A" w:rsidP="0077667A">
      <w:pPr>
        <w:pStyle w:val="TableFooter"/>
        <w:tabs>
          <w:tab w:val="left" w:pos="142"/>
        </w:tabs>
        <w:ind w:left="142" w:hanging="142"/>
        <w:jc w:val="left"/>
      </w:pPr>
      <w:proofErr w:type="gramStart"/>
      <w:r w:rsidRPr="00802560">
        <w:rPr>
          <w:vertAlign w:val="superscript"/>
        </w:rPr>
        <w:t>b</w:t>
      </w:r>
      <w:proofErr w:type="gramEnd"/>
      <w:r w:rsidRPr="00802560">
        <w:tab/>
        <w:t>The submission’s Excel Workbook (‘Attachment 8_Utilisation-and-financial_estimates’) in the worksheet ‘Net changes – MBS’ applied the cost for Botox administration ($106.15) instead of the cost for specialist consults ($64.20).  This was corrected during the evaluation, with resultant changes made to the overall net cost to Government.</w:t>
      </w:r>
    </w:p>
    <w:p w:rsidR="0077667A" w:rsidRPr="00802560" w:rsidRDefault="0077667A" w:rsidP="0077667A">
      <w:pPr>
        <w:pStyle w:val="TableFooter"/>
        <w:rPr>
          <w:rStyle w:val="CommentReference"/>
          <w:szCs w:val="20"/>
        </w:rPr>
      </w:pPr>
      <w:r w:rsidRPr="00802560">
        <w:t>Source:  Table 14, 5.05.COM.20</w:t>
      </w:r>
    </w:p>
    <w:p w:rsidR="00FA59A3" w:rsidRPr="00802560" w:rsidRDefault="00FA59A3" w:rsidP="00FA59A3"/>
    <w:p w:rsidR="00EF6044" w:rsidRPr="00802560" w:rsidRDefault="00FA59A3" w:rsidP="00FA59A3">
      <w:pPr>
        <w:pStyle w:val="ListParagraph"/>
        <w:numPr>
          <w:ilvl w:val="1"/>
          <w:numId w:val="3"/>
        </w:numPr>
      </w:pPr>
      <w:r w:rsidRPr="00802560">
        <w:t xml:space="preserve">Based on the estimated usage of </w:t>
      </w:r>
      <w:proofErr w:type="spellStart"/>
      <w:r w:rsidRPr="00802560">
        <w:t>erenumab</w:t>
      </w:r>
      <w:proofErr w:type="spellEnd"/>
      <w:r w:rsidRPr="00802560">
        <w:t xml:space="preserve"> and substitution for Botox, along with a decrease in MBS costs due to displaced Botox administration, the overall estimated net cost to the Government for the first 6 years of </w:t>
      </w:r>
      <w:proofErr w:type="spellStart"/>
      <w:r w:rsidRPr="00802560">
        <w:t>erenumab</w:t>
      </w:r>
      <w:proofErr w:type="spellEnd"/>
      <w:r w:rsidRPr="00802560">
        <w:t xml:space="preserve"> listing was</w:t>
      </w:r>
      <w:r w:rsidR="004F2D87">
        <w:t xml:space="preserve"> more than</w:t>
      </w:r>
      <w:r w:rsidRPr="00802560">
        <w:t xml:space="preserve"> $</w:t>
      </w:r>
      <w:r w:rsidR="004F2D87">
        <w:t>100 million</w:t>
      </w:r>
      <w:r w:rsidRPr="00802560">
        <w:t xml:space="preserve">.  </w:t>
      </w:r>
      <w:r w:rsidR="00EF6044" w:rsidRPr="00802560">
        <w:t xml:space="preserve">At year 6, the estimated number of patients was </w:t>
      </w:r>
      <w:r w:rsidR="004F2D87">
        <w:t>less than 10,000</w:t>
      </w:r>
      <w:r w:rsidR="00EF6044" w:rsidRPr="00802560">
        <w:t xml:space="preserve"> and the net cost to the PBS would be $</w:t>
      </w:r>
      <w:r w:rsidR="004F2D87">
        <w:t>30 - $60 million</w:t>
      </w:r>
      <w:r w:rsidR="00EF6044" w:rsidRPr="00802560">
        <w:t>.</w:t>
      </w:r>
    </w:p>
    <w:p w:rsidR="00FA59A3" w:rsidRPr="00802560" w:rsidRDefault="00FA59A3" w:rsidP="009838FF">
      <w:pPr>
        <w:pStyle w:val="Bulletpoints"/>
      </w:pPr>
      <w:r w:rsidRPr="00802560">
        <w:t xml:space="preserve">There is potential this could be an underestimate given the relatively small uptake in Year 1 (30% of eligible patients), the lack of inclusion of MBS costs for patients visiting a specialist to initiate </w:t>
      </w:r>
      <w:proofErr w:type="spellStart"/>
      <w:r w:rsidRPr="00802560">
        <w:t>erenumab</w:t>
      </w:r>
      <w:proofErr w:type="spellEnd"/>
      <w:r w:rsidRPr="00802560">
        <w:t>, as well as the use of the known Botox patient pool to estimate the eligible treatment population, which was not likely to identify all eligible chronic migraine patients.</w:t>
      </w:r>
      <w:r w:rsidRPr="00802560">
        <w:rPr>
          <w:i/>
        </w:rPr>
        <w:t xml:space="preserve"> </w:t>
      </w:r>
      <w:r w:rsidR="009838FF">
        <w:t>DUSC considered that p</w:t>
      </w:r>
      <w:r w:rsidR="009838FF" w:rsidRPr="009838FF">
        <w:t xml:space="preserve">atients for whom Botox was unacceptable or inconvenient may take up </w:t>
      </w:r>
      <w:proofErr w:type="spellStart"/>
      <w:r w:rsidR="009838FF" w:rsidRPr="009838FF">
        <w:t>erenumab</w:t>
      </w:r>
      <w:proofErr w:type="spellEnd"/>
      <w:r w:rsidR="009838FF" w:rsidRPr="009838FF">
        <w:t xml:space="preserve"> due to the relative ease of administration and/or potential for continuation by a GP. DUSC also questioned, given the range of presentations of migraine, whether the population treated with Botox is the same as the population who would be treated with </w:t>
      </w:r>
      <w:proofErr w:type="spellStart"/>
      <w:r w:rsidR="009838FF" w:rsidRPr="009838FF">
        <w:t>erenumab</w:t>
      </w:r>
      <w:proofErr w:type="spellEnd"/>
      <w:r w:rsidR="009838FF" w:rsidRPr="009838FF">
        <w:t>.</w:t>
      </w:r>
    </w:p>
    <w:p w:rsidR="00E9761C" w:rsidRPr="00802560" w:rsidRDefault="00E9761C" w:rsidP="00E9761C">
      <w:pPr>
        <w:pStyle w:val="Bulletpoints"/>
      </w:pPr>
      <w:r w:rsidRPr="00802560">
        <w:t xml:space="preserve">The submission extrapolated the available Botox data to estimate the total number of patients in 2018 and the first 6 years of the proposed listing (2019 to 2024). An adjustment was made to the linear growth rate to reflect what the submission described as a more reasonable market curve. No justification for the market growth rates was provided. DUSC considered that the extrapolation of the </w:t>
      </w:r>
      <w:r w:rsidR="00743B0A" w:rsidRPr="00802560">
        <w:t>Botox</w:t>
      </w:r>
      <w:r w:rsidRPr="00802560">
        <w:t xml:space="preserve"> market out to 2024 was highly uncertain because it was based on a limited number of data points.</w:t>
      </w:r>
    </w:p>
    <w:p w:rsidR="00FA59A3" w:rsidRPr="00802560" w:rsidRDefault="00BD5FBE" w:rsidP="00FA59A3">
      <w:pPr>
        <w:pStyle w:val="ListParagraph"/>
        <w:numPr>
          <w:ilvl w:val="1"/>
          <w:numId w:val="3"/>
        </w:numPr>
      </w:pPr>
      <w:r w:rsidRPr="00802560">
        <w:rPr>
          <w:rFonts w:asciiTheme="minorHAnsi" w:hAnsiTheme="minorHAnsi" w:cs="Arial"/>
        </w:rPr>
        <w:lastRenderedPageBreak/>
        <w:t>DUSC</w:t>
      </w:r>
      <w:r w:rsidRPr="00802560">
        <w:rPr>
          <w:rFonts w:cs="Arial"/>
          <w:color w:val="000000"/>
        </w:rPr>
        <w:t xml:space="preserve"> </w:t>
      </w:r>
      <w:r w:rsidR="00EF0A05" w:rsidRPr="00802560">
        <w:rPr>
          <w:rFonts w:cs="Arial"/>
          <w:color w:val="000000"/>
        </w:rPr>
        <w:t>advised</w:t>
      </w:r>
      <w:r w:rsidRPr="00802560">
        <w:rPr>
          <w:rFonts w:cs="Arial"/>
          <w:color w:val="000000"/>
        </w:rPr>
        <w:t xml:space="preserve"> that t</w:t>
      </w:r>
      <w:r w:rsidR="00FA59A3" w:rsidRPr="00802560">
        <w:rPr>
          <w:rFonts w:cs="Arial"/>
          <w:color w:val="000000"/>
        </w:rPr>
        <w:t xml:space="preserve">here is a risk that </w:t>
      </w:r>
      <w:proofErr w:type="spellStart"/>
      <w:r w:rsidR="00FA59A3" w:rsidRPr="00802560">
        <w:rPr>
          <w:rFonts w:cs="Arial"/>
          <w:color w:val="000000"/>
        </w:rPr>
        <w:t>erenumab</w:t>
      </w:r>
      <w:proofErr w:type="spellEnd"/>
      <w:r w:rsidR="00FA59A3" w:rsidRPr="00802560">
        <w:rPr>
          <w:rFonts w:cs="Arial"/>
          <w:color w:val="000000"/>
        </w:rPr>
        <w:t xml:space="preserve"> could be used outside of its requested restriction in patients who are not naïve to Botox</w:t>
      </w:r>
      <w:r w:rsidRPr="00802560">
        <w:rPr>
          <w:rFonts w:cs="Arial"/>
          <w:color w:val="000000"/>
        </w:rPr>
        <w:t>, and</w:t>
      </w:r>
      <w:r w:rsidRPr="00802560">
        <w:rPr>
          <w:rFonts w:asciiTheme="minorHAnsi" w:hAnsiTheme="minorHAnsi" w:cs="Arial"/>
        </w:rPr>
        <w:t xml:space="preserve"> noted that the </w:t>
      </w:r>
      <w:proofErr w:type="spellStart"/>
      <w:r w:rsidRPr="00802560">
        <w:rPr>
          <w:rFonts w:asciiTheme="minorHAnsi" w:hAnsiTheme="minorHAnsi" w:cs="Arial"/>
        </w:rPr>
        <w:t>erenumab</w:t>
      </w:r>
      <w:proofErr w:type="spellEnd"/>
      <w:r w:rsidRPr="00802560">
        <w:rPr>
          <w:rFonts w:asciiTheme="minorHAnsi" w:hAnsiTheme="minorHAnsi" w:cs="Arial"/>
        </w:rPr>
        <w:t xml:space="preserve"> trial included patients previously treated with </w:t>
      </w:r>
      <w:r w:rsidR="00743B0A" w:rsidRPr="00802560">
        <w:rPr>
          <w:rFonts w:asciiTheme="minorHAnsi" w:hAnsiTheme="minorHAnsi" w:cs="Arial"/>
        </w:rPr>
        <w:t>Botox</w:t>
      </w:r>
      <w:r w:rsidRPr="00802560">
        <w:rPr>
          <w:rFonts w:asciiTheme="minorHAnsi" w:hAnsiTheme="minorHAnsi" w:cs="Arial"/>
        </w:rPr>
        <w:t xml:space="preserve"> (23%). DUSC considered it unreasonable to exclude patients where there is evidence of a clinical benefit.</w:t>
      </w:r>
    </w:p>
    <w:p w:rsidR="00666F99" w:rsidRPr="00802560" w:rsidRDefault="00677530" w:rsidP="00677530">
      <w:pPr>
        <w:pStyle w:val="Bulletpoints"/>
      </w:pPr>
      <w:r w:rsidRPr="00802560">
        <w:t xml:space="preserve">The submission applied the </w:t>
      </w:r>
      <w:r w:rsidR="00743B0A" w:rsidRPr="00802560">
        <w:t>Botox</w:t>
      </w:r>
      <w:r w:rsidRPr="00802560">
        <w:t xml:space="preserve"> continuation rate to </w:t>
      </w:r>
      <w:proofErr w:type="spellStart"/>
      <w:r w:rsidRPr="00802560">
        <w:t>erenumab</w:t>
      </w:r>
      <w:proofErr w:type="spellEnd"/>
      <w:r w:rsidRPr="00802560">
        <w:t xml:space="preserve">. The submission considered that there was a medium degree of uncertainty regarding </w:t>
      </w:r>
      <w:r w:rsidR="00743B0A" w:rsidRPr="00802560">
        <w:t xml:space="preserve">Botox </w:t>
      </w:r>
      <w:r w:rsidRPr="00802560">
        <w:t xml:space="preserve">continuation rates, as only 24 months of follow-up were available at the time of the DUSC analysis. DUSC considered that the continuation rate from the </w:t>
      </w:r>
      <w:proofErr w:type="spellStart"/>
      <w:r w:rsidRPr="00802560">
        <w:t>erenumab</w:t>
      </w:r>
      <w:proofErr w:type="spellEnd"/>
      <w:r w:rsidRPr="00802560">
        <w:t xml:space="preserve"> trial should be used in the base case financial estimates, </w:t>
      </w:r>
      <w:r w:rsidR="00800FFA" w:rsidRPr="00802560">
        <w:t>as</w:t>
      </w:r>
      <w:r w:rsidRPr="00802560">
        <w:t xml:space="preserve"> this is the source of the efficacy data</w:t>
      </w:r>
      <w:r w:rsidR="00800FFA" w:rsidRPr="00802560">
        <w:t>, and as the cost-effectiveness of prolonged Botox use has not been established</w:t>
      </w:r>
      <w:r w:rsidRPr="00802560">
        <w:t xml:space="preserve">. </w:t>
      </w:r>
      <w:r w:rsidR="00666F99" w:rsidRPr="00802560">
        <w:t xml:space="preserve">The sponsor agreed with this proposed approach in its Pre-PBAC Response. </w:t>
      </w:r>
    </w:p>
    <w:p w:rsidR="009017CC" w:rsidRDefault="009017CC" w:rsidP="009017CC">
      <w:pPr>
        <w:pStyle w:val="Bulletpoints"/>
      </w:pPr>
      <w:r>
        <w:t>As discussed in Section 2</w:t>
      </w:r>
      <w:r w:rsidR="0060475A">
        <w:t xml:space="preserve"> above: </w:t>
      </w:r>
    </w:p>
    <w:p w:rsidR="009017CC" w:rsidRDefault="009017CC" w:rsidP="0078396F">
      <w:pPr>
        <w:pStyle w:val="Bulletpoints"/>
        <w:numPr>
          <w:ilvl w:val="1"/>
          <w:numId w:val="44"/>
        </w:numPr>
        <w:ind w:left="1077" w:hanging="357"/>
      </w:pPr>
      <w:r>
        <w:t xml:space="preserve">A higher proportion of neurologists might prescribe </w:t>
      </w:r>
      <w:proofErr w:type="spellStart"/>
      <w:r>
        <w:t>erenumab</w:t>
      </w:r>
      <w:proofErr w:type="spellEnd"/>
      <w:r>
        <w:t xml:space="preserve"> compared with Botox, which may drive higher uptake than anticipated</w:t>
      </w:r>
      <w:r w:rsidR="0060475A">
        <w:t>;</w:t>
      </w:r>
    </w:p>
    <w:p w:rsidR="00677530" w:rsidRPr="00802560" w:rsidRDefault="00677530" w:rsidP="0078396F">
      <w:pPr>
        <w:pStyle w:val="Bulletpoints"/>
        <w:numPr>
          <w:ilvl w:val="1"/>
          <w:numId w:val="44"/>
        </w:numPr>
        <w:ind w:left="1077" w:hanging="357"/>
      </w:pPr>
      <w:proofErr w:type="gramStart"/>
      <w:r w:rsidRPr="00802560">
        <w:t>there</w:t>
      </w:r>
      <w:proofErr w:type="gramEnd"/>
      <w:r w:rsidRPr="00802560">
        <w:t xml:space="preserve"> is a risk of continuation beyond the trial </w:t>
      </w:r>
      <w:r w:rsidR="0060475A">
        <w:t>duration</w:t>
      </w:r>
      <w:r w:rsidRPr="00802560">
        <w:t>, for example, a risk of indefinite continuation if response is</w:t>
      </w:r>
      <w:r w:rsidR="00666F99" w:rsidRPr="00802560">
        <w:t xml:space="preserve"> not adequately assessed by GPs. T</w:t>
      </w:r>
      <w:r w:rsidRPr="00802560">
        <w:t xml:space="preserve">he cost-effectiveness of </w:t>
      </w:r>
      <w:proofErr w:type="spellStart"/>
      <w:r w:rsidRPr="00802560">
        <w:t>erenumab</w:t>
      </w:r>
      <w:proofErr w:type="spellEnd"/>
      <w:r w:rsidRPr="00802560">
        <w:t xml:space="preserve"> in this scenario is unknown.</w:t>
      </w:r>
    </w:p>
    <w:p w:rsidR="006201D1" w:rsidRPr="00802560" w:rsidRDefault="006201D1" w:rsidP="00986F65">
      <w:pPr>
        <w:pStyle w:val="Bulletpoints"/>
      </w:pPr>
      <w:r w:rsidRPr="00802560">
        <w:t xml:space="preserve">The number of </w:t>
      </w:r>
      <w:proofErr w:type="spellStart"/>
      <w:r w:rsidRPr="00802560">
        <w:t>erenumab</w:t>
      </w:r>
      <w:proofErr w:type="spellEnd"/>
      <w:r w:rsidRPr="00802560">
        <w:t xml:space="preserve"> prescriptions was calculated based on full compliance (13.04 prescriptions per year), and the submission base case assumed a one-for-one patient exchange of </w:t>
      </w:r>
      <w:proofErr w:type="spellStart"/>
      <w:r w:rsidRPr="00802560">
        <w:t>erenumab</w:t>
      </w:r>
      <w:proofErr w:type="spellEnd"/>
      <w:r w:rsidRPr="00802560">
        <w:t xml:space="preserve"> for </w:t>
      </w:r>
      <w:r w:rsidR="00743B0A" w:rsidRPr="00802560">
        <w:t>Botox</w:t>
      </w:r>
      <w:r w:rsidR="00986F65" w:rsidRPr="00802560">
        <w:t xml:space="preserve"> at full compliance; DUSC advised that full compliance with B</w:t>
      </w:r>
      <w:r w:rsidR="00E11BDE" w:rsidRPr="00802560">
        <w:t xml:space="preserve">otox or </w:t>
      </w:r>
      <w:proofErr w:type="spellStart"/>
      <w:r w:rsidR="00E11BDE" w:rsidRPr="00802560">
        <w:t>erenumab</w:t>
      </w:r>
      <w:proofErr w:type="spellEnd"/>
      <w:r w:rsidR="00E11BDE" w:rsidRPr="00802560">
        <w:t xml:space="preserve"> was unlikely, and</w:t>
      </w:r>
      <w:r w:rsidRPr="00802560">
        <w:t xml:space="preserve"> considered that this may overestimate cost-offsets. Patients in the ‘growth population’ who have not previously received Botox may not have the same extent of neurologist consultations and therefore fewer or no offsets. They also should have no offsets applied for </w:t>
      </w:r>
      <w:r w:rsidR="000053CD" w:rsidRPr="00802560">
        <w:t>Botox</w:t>
      </w:r>
      <w:r w:rsidRPr="00802560">
        <w:t xml:space="preserve"> administration or </w:t>
      </w:r>
      <w:r w:rsidR="000053CD" w:rsidRPr="00802560">
        <w:t xml:space="preserve">Botox </w:t>
      </w:r>
      <w:r w:rsidRPr="00802560">
        <w:t>supply. DUSC also considered it is possible more patients would be referred to neurologists with a new treatment available, so the offsets for neurologist consultations may not be realised.</w:t>
      </w:r>
    </w:p>
    <w:p w:rsidR="005D6320" w:rsidRPr="00802560" w:rsidRDefault="005D6320" w:rsidP="005D6320">
      <w:pPr>
        <w:pStyle w:val="Bulletpoints"/>
      </w:pPr>
      <w:r w:rsidRPr="00802560">
        <w:t xml:space="preserve">DUSC noted that the sponsor is also seeking TGA registration for use in episodic migraine, which could be a very large market. Clinicians might commence patients with episodic migraine on </w:t>
      </w:r>
      <w:proofErr w:type="spellStart"/>
      <w:r w:rsidRPr="00802560">
        <w:t>erenumab</w:t>
      </w:r>
      <w:proofErr w:type="spellEnd"/>
      <w:r w:rsidRPr="00802560">
        <w:t xml:space="preserve"> under the chronic migraine listing, particularly given the TGA delegate’s overview identifies evidence of clinical benefit in episodic migraine.</w:t>
      </w:r>
    </w:p>
    <w:p w:rsidR="00FA59A3" w:rsidRPr="00802560" w:rsidRDefault="00FA59A3" w:rsidP="00FA59A3">
      <w:pPr>
        <w:pStyle w:val="ListParagraph"/>
        <w:numPr>
          <w:ilvl w:val="1"/>
          <w:numId w:val="3"/>
        </w:numPr>
      </w:pPr>
      <w:r w:rsidRPr="00802560">
        <w:t xml:space="preserve">The submission provided, in a sensitivity analysis, estimated costs associated with use of </w:t>
      </w:r>
      <w:proofErr w:type="spellStart"/>
      <w:r w:rsidRPr="00802560">
        <w:t>erenumab</w:t>
      </w:r>
      <w:proofErr w:type="spellEnd"/>
      <w:r w:rsidRPr="00802560">
        <w:t xml:space="preserve"> by patients who were not captured in the base case eligible patient pool; i.e. patients who have not been supplied Botox and therefore were not captured in the DUSC review.  However, the submission considered it highly uncertain whether this group of patients exists.  The additional patients estimated by </w:t>
      </w:r>
      <w:r w:rsidRPr="00802560">
        <w:lastRenderedPageBreak/>
        <w:t>the submission would add an estimated $</w:t>
      </w:r>
      <w:r w:rsidR="00D23D95">
        <w:t xml:space="preserve">10 - $20 </w:t>
      </w:r>
      <w:r w:rsidR="0084133C">
        <w:t>million</w:t>
      </w:r>
      <w:r w:rsidRPr="00802560">
        <w:t xml:space="preserve"> over the first 6 years of listing to the</w:t>
      </w:r>
      <w:r w:rsidR="00D23D95">
        <w:t xml:space="preserve"> more than</w:t>
      </w:r>
      <w:r w:rsidRPr="00802560">
        <w:t xml:space="preserve"> $</w:t>
      </w:r>
      <w:r w:rsidR="00D23D95">
        <w:t>100 million</w:t>
      </w:r>
      <w:r w:rsidR="00D23D95" w:rsidRPr="00802560">
        <w:t xml:space="preserve"> </w:t>
      </w:r>
      <w:r w:rsidRPr="00802560">
        <w:t xml:space="preserve">already estimated in the base case.  These additional costs were likely to be underestimated, given the submission assumed the eligible patient pool would only increase by 10% (over the existing Botox patient pool), and the uptake rate was half of what was used for the base case estimates.  If the additional proportion of patients not treated with Botox </w:t>
      </w:r>
      <w:r w:rsidR="00924716" w:rsidRPr="00802560">
        <w:t xml:space="preserve">were </w:t>
      </w:r>
      <w:r w:rsidRPr="00802560">
        <w:t>increased from 10% to 25%, estimated net costs to the PBS over the first 6 years of listing would increase to $</w:t>
      </w:r>
      <w:r w:rsidR="00FD5434">
        <w:t>30 - $60 million</w:t>
      </w:r>
      <w:r w:rsidRPr="00802560">
        <w:t>.  If uptake rates matching those used for the base case estimates were also applied, the estimated additional cost over the first 6 years of listing would be $</w:t>
      </w:r>
      <w:r w:rsidR="00D23D95">
        <w:t>60 - $100 million</w:t>
      </w:r>
      <w:r w:rsidRPr="00802560">
        <w:t xml:space="preserve">.  </w:t>
      </w:r>
    </w:p>
    <w:p w:rsidR="00647A46" w:rsidRPr="00802560" w:rsidRDefault="00FA59A3" w:rsidP="00F5172B">
      <w:pPr>
        <w:pStyle w:val="ListParagraph"/>
        <w:numPr>
          <w:ilvl w:val="1"/>
          <w:numId w:val="3"/>
        </w:numPr>
        <w:rPr>
          <w:b/>
          <w:sz w:val="28"/>
        </w:rPr>
      </w:pPr>
      <w:r w:rsidRPr="00802560">
        <w:t xml:space="preserve">Overall, </w:t>
      </w:r>
      <w:r w:rsidR="00802560">
        <w:t xml:space="preserve">DUSC considered </w:t>
      </w:r>
      <w:r w:rsidRPr="00802560">
        <w:t xml:space="preserve">the estimates </w:t>
      </w:r>
      <w:r w:rsidR="00545212" w:rsidRPr="00802560">
        <w:t xml:space="preserve">presented by the submission of the number of patients treated with </w:t>
      </w:r>
      <w:proofErr w:type="spellStart"/>
      <w:r w:rsidR="00545212" w:rsidRPr="00802560">
        <w:t>erenumab</w:t>
      </w:r>
      <w:proofErr w:type="spellEnd"/>
      <w:r w:rsidR="00545212" w:rsidRPr="00802560">
        <w:t xml:space="preserve"> and associated costs </w:t>
      </w:r>
      <w:r w:rsidRPr="00802560">
        <w:t xml:space="preserve">were underestimated.  Given it is highly likely there would be </w:t>
      </w:r>
      <w:r w:rsidR="00545212" w:rsidRPr="00802560">
        <w:t xml:space="preserve">eligible </w:t>
      </w:r>
      <w:r w:rsidRPr="00802560">
        <w:t>patients in addition to those captured in the DUSC review (e.g. patients who preferred not to use Botox with its injection schedule; patients in small centres or rural areas who could not access a neurologist to administer Botox), it may have been more appropriate to include these additional patients as part of the base case estimates.  Inclusion of this additional $</w:t>
      </w:r>
      <w:r w:rsidR="008E7F96">
        <w:t>60 - $100 million</w:t>
      </w:r>
      <w:r w:rsidRPr="00802560">
        <w:t xml:space="preserve"> would increase the estimated net cost to the Government over the first 6 years of listing to</w:t>
      </w:r>
      <w:r w:rsidR="0084133C">
        <w:t xml:space="preserve"> more than</w:t>
      </w:r>
      <w:r w:rsidRPr="00802560">
        <w:t xml:space="preserve"> $</w:t>
      </w:r>
      <w:r w:rsidR="0084133C">
        <w:t>100 million</w:t>
      </w:r>
      <w:r w:rsidR="0084133C" w:rsidRPr="00802560">
        <w:t xml:space="preserve"> </w:t>
      </w:r>
      <w:r w:rsidRPr="00802560">
        <w:t>from the</w:t>
      </w:r>
      <w:r w:rsidR="0084133C">
        <w:t xml:space="preserve"> more than</w:t>
      </w:r>
      <w:r w:rsidRPr="00802560">
        <w:t xml:space="preserve"> $</w:t>
      </w:r>
      <w:r w:rsidR="0084133C">
        <w:t>100 million</w:t>
      </w:r>
      <w:r w:rsidR="0084133C" w:rsidRPr="00802560">
        <w:t xml:space="preserve"> </w:t>
      </w:r>
      <w:r w:rsidRPr="00802560">
        <w:t xml:space="preserve">estimated in the submission’s base case. </w:t>
      </w:r>
    </w:p>
    <w:p w:rsidR="00986F65" w:rsidRPr="00802560" w:rsidRDefault="00576972" w:rsidP="00FE393C">
      <w:pPr>
        <w:pStyle w:val="Heading2"/>
        <w:spacing w:after="120"/>
        <w:rPr>
          <w:i w:val="0"/>
          <w:szCs w:val="24"/>
        </w:rPr>
      </w:pPr>
      <w:r w:rsidRPr="00802560">
        <w:t>Quality Use of Medicines</w:t>
      </w:r>
      <w:bookmarkEnd w:id="16"/>
    </w:p>
    <w:p w:rsidR="002D346A" w:rsidRPr="00802560" w:rsidRDefault="00986F65" w:rsidP="00986F65">
      <w:pPr>
        <w:pStyle w:val="Bulletpoints"/>
      </w:pPr>
      <w:r w:rsidRPr="00802560">
        <w:t xml:space="preserve">The submission did not provide discussion of quality use of medicines. DUSC was concerned about this, particularly given that </w:t>
      </w:r>
      <w:proofErr w:type="spellStart"/>
      <w:r w:rsidRPr="00802560">
        <w:t>erenumab</w:t>
      </w:r>
      <w:proofErr w:type="spellEnd"/>
      <w:r w:rsidRPr="00802560">
        <w:t xml:space="preserve"> is a first in class medicine with limited safety data available. </w:t>
      </w:r>
    </w:p>
    <w:p w:rsidR="002D346A" w:rsidRPr="00802560" w:rsidRDefault="00986F65" w:rsidP="00986F65">
      <w:pPr>
        <w:pStyle w:val="Bulletpoints"/>
      </w:pPr>
      <w:r w:rsidRPr="00802560">
        <w:t xml:space="preserve">DUSC noted the available safety data is largely for the 70 mg dose, which was approved by the US FDA, while </w:t>
      </w:r>
      <w:r w:rsidR="00802560">
        <w:t xml:space="preserve">the proposed </w:t>
      </w:r>
      <w:r w:rsidRPr="00802560">
        <w:t xml:space="preserve">PBS listing is being sought for the 140 mg dose. </w:t>
      </w:r>
    </w:p>
    <w:p w:rsidR="00BF5011" w:rsidRPr="00802560" w:rsidRDefault="00986F65" w:rsidP="00986F65">
      <w:pPr>
        <w:pStyle w:val="Bulletpoints"/>
      </w:pPr>
      <w:r w:rsidRPr="00802560">
        <w:t xml:space="preserve">DUSC considered a quality use of medicines strategy for </w:t>
      </w:r>
      <w:proofErr w:type="spellStart"/>
      <w:r w:rsidRPr="00802560">
        <w:t>erenumab</w:t>
      </w:r>
      <w:proofErr w:type="spellEnd"/>
      <w:r w:rsidRPr="00802560">
        <w:t xml:space="preserve"> should also consider GP training for continuing and discontinuing therapy, and recognition of medication overuse headache.</w:t>
      </w:r>
    </w:p>
    <w:p w:rsidR="00576972" w:rsidRPr="00802560" w:rsidRDefault="00576972" w:rsidP="00FE393C">
      <w:pPr>
        <w:pStyle w:val="Heading2"/>
        <w:spacing w:after="120"/>
      </w:pPr>
      <w:bookmarkStart w:id="17" w:name="_Toc513040449"/>
      <w:r w:rsidRPr="00802560">
        <w:t>Financial Management – Risk Sharing Arrangements</w:t>
      </w:r>
      <w:bookmarkEnd w:id="17"/>
    </w:p>
    <w:p w:rsidR="00F30BB2" w:rsidRPr="00802560" w:rsidRDefault="00F30BB2" w:rsidP="00545212">
      <w:pPr>
        <w:pStyle w:val="ListParagraph"/>
        <w:numPr>
          <w:ilvl w:val="1"/>
          <w:numId w:val="3"/>
        </w:numPr>
        <w:spacing w:after="120"/>
      </w:pPr>
      <w:r w:rsidRPr="00802560">
        <w:t xml:space="preserve">The submission stated that if the PBAC </w:t>
      </w:r>
      <w:r w:rsidR="00545212" w:rsidRPr="00802560">
        <w:t xml:space="preserve">were to </w:t>
      </w:r>
      <w:r w:rsidRPr="00802560">
        <w:t xml:space="preserve">recommend </w:t>
      </w:r>
      <w:proofErr w:type="spellStart"/>
      <w:r w:rsidRPr="00802560">
        <w:t>erenumab</w:t>
      </w:r>
      <w:proofErr w:type="spellEnd"/>
      <w:r w:rsidRPr="00802560">
        <w:t xml:space="preserve"> for chronic migraine the sponsor </w:t>
      </w:r>
      <w:r w:rsidR="00545212" w:rsidRPr="00802560">
        <w:t xml:space="preserve">would be </w:t>
      </w:r>
      <w:r w:rsidRPr="00802560">
        <w:t xml:space="preserve">willing to share the risk </w:t>
      </w:r>
      <w:r w:rsidR="00545212" w:rsidRPr="00802560">
        <w:t xml:space="preserve">caused by the </w:t>
      </w:r>
      <w:r w:rsidRPr="00802560">
        <w:t xml:space="preserve">uncertainty in the estimates and to negotiate expenditure caps applicable specifically to </w:t>
      </w:r>
      <w:proofErr w:type="spellStart"/>
      <w:r w:rsidRPr="00802560">
        <w:t>erenumab</w:t>
      </w:r>
      <w:proofErr w:type="spellEnd"/>
      <w:r w:rsidRPr="00802560">
        <w:t>.  The submission made the following points regarding the proposed risk-sharing arrangement:</w:t>
      </w:r>
    </w:p>
    <w:p w:rsidR="00F30BB2" w:rsidRPr="00802560" w:rsidRDefault="00F30BB2" w:rsidP="0078396F">
      <w:pPr>
        <w:pStyle w:val="Bulletpoints"/>
        <w:numPr>
          <w:ilvl w:val="0"/>
          <w:numId w:val="48"/>
        </w:numPr>
        <w:ind w:left="1077" w:hanging="357"/>
      </w:pPr>
      <w:r w:rsidRPr="00802560">
        <w:t>The arrangement may include allowance for the uncertain impact of any patients not treated with Botox under the existing treatment algorithm.</w:t>
      </w:r>
    </w:p>
    <w:p w:rsidR="00F30BB2" w:rsidRPr="00802560" w:rsidRDefault="00F30BB2" w:rsidP="0078396F">
      <w:pPr>
        <w:pStyle w:val="Bulletpoints"/>
        <w:numPr>
          <w:ilvl w:val="0"/>
          <w:numId w:val="48"/>
        </w:numPr>
        <w:ind w:left="1077" w:hanging="357"/>
      </w:pPr>
      <w:r w:rsidRPr="00802560">
        <w:lastRenderedPageBreak/>
        <w:t xml:space="preserve">It should not include risk to Commonwealth expenditure identified in the </w:t>
      </w:r>
      <w:r w:rsidR="002E4434" w:rsidRPr="00802560">
        <w:t xml:space="preserve">June 2017 </w:t>
      </w:r>
      <w:r w:rsidRPr="00802560">
        <w:t>DUSC review of the potential use of Botox beyond the restriction for its cosmetic benefits.</w:t>
      </w:r>
    </w:p>
    <w:p w:rsidR="00F30BB2" w:rsidRPr="00802560" w:rsidRDefault="00F30BB2" w:rsidP="0078396F">
      <w:pPr>
        <w:pStyle w:val="Bulletpoints"/>
        <w:numPr>
          <w:ilvl w:val="0"/>
          <w:numId w:val="48"/>
        </w:numPr>
        <w:ind w:left="1077" w:hanging="357"/>
      </w:pPr>
      <w:r w:rsidRPr="00802560">
        <w:t xml:space="preserve">Any negotiated caps should also take known treatment patterns identified in the </w:t>
      </w:r>
      <w:r w:rsidR="002E4434" w:rsidRPr="00802560">
        <w:t xml:space="preserve">June 2017 </w:t>
      </w:r>
      <w:r w:rsidRPr="00802560">
        <w:t xml:space="preserve">DUSC review </w:t>
      </w:r>
      <w:r w:rsidR="00545212" w:rsidRPr="00802560">
        <w:t xml:space="preserve">into account, </w:t>
      </w:r>
      <w:r w:rsidRPr="00802560">
        <w:t>and should not be linked to estimates made by the sponsor at the time of the Botox submission.</w:t>
      </w:r>
    </w:p>
    <w:p w:rsidR="00871FA9" w:rsidRPr="00802560" w:rsidRDefault="0060475A" w:rsidP="00C7151A">
      <w:pPr>
        <w:pStyle w:val="ListParagraph"/>
        <w:numPr>
          <w:ilvl w:val="1"/>
          <w:numId w:val="3"/>
        </w:numPr>
      </w:pPr>
      <w:r>
        <w:t>T</w:t>
      </w:r>
      <w:r w:rsidR="00F30BB2" w:rsidRPr="00802560">
        <w:t>here was no further information provided on the potential risk-sharing arrangement.</w:t>
      </w:r>
    </w:p>
    <w:p w:rsidR="0034395F" w:rsidRPr="0034395F" w:rsidRDefault="0034395F" w:rsidP="0060475A">
      <w:pPr>
        <w:ind w:firstLine="720"/>
        <w:rPr>
          <w:rFonts w:asciiTheme="minorHAnsi" w:hAnsiTheme="minorHAnsi"/>
          <w:i/>
        </w:rPr>
      </w:pPr>
      <w:r w:rsidRPr="00802560">
        <w:rPr>
          <w:rFonts w:asciiTheme="minorHAnsi" w:hAnsiTheme="minorHAnsi"/>
          <w:i/>
        </w:rPr>
        <w:t>For more detail on PBAC’s view, see section 7 PBAC outcome.</w:t>
      </w:r>
    </w:p>
    <w:p w:rsidR="00545212" w:rsidRDefault="00545212" w:rsidP="00545212">
      <w:pPr>
        <w:pStyle w:val="PBACHeading1"/>
        <w:rPr>
          <w:snapToGrid/>
        </w:rPr>
      </w:pPr>
      <w:r>
        <w:rPr>
          <w:snapToGrid/>
        </w:rPr>
        <w:t>PBAC Outcome</w:t>
      </w:r>
    </w:p>
    <w:p w:rsidR="00292094" w:rsidRDefault="000B6530" w:rsidP="000B6530">
      <w:pPr>
        <w:pStyle w:val="ListParagraph"/>
        <w:numPr>
          <w:ilvl w:val="1"/>
          <w:numId w:val="3"/>
        </w:numPr>
      </w:pPr>
      <w:r>
        <w:t xml:space="preserve">The PBAC did not recommend the </w:t>
      </w:r>
      <w:r w:rsidRPr="00A20321">
        <w:t xml:space="preserve">Authority Required (Streamlined) listing </w:t>
      </w:r>
      <w:r w:rsidR="00ED4BFB">
        <w:t>of</w:t>
      </w:r>
      <w:r w:rsidRPr="00A20321">
        <w:t xml:space="preserve"> </w:t>
      </w:r>
      <w:proofErr w:type="spellStart"/>
      <w:r w:rsidRPr="00A20321">
        <w:t>erenumab</w:t>
      </w:r>
      <w:proofErr w:type="spellEnd"/>
      <w:r w:rsidRPr="00A20321">
        <w:t xml:space="preserve"> for </w:t>
      </w:r>
      <w:r w:rsidR="00ED4BFB">
        <w:t xml:space="preserve">the </w:t>
      </w:r>
      <w:r w:rsidRPr="00A20321">
        <w:t xml:space="preserve">treatment of chronic </w:t>
      </w:r>
      <w:r>
        <w:t>migraine</w:t>
      </w:r>
      <w:r w:rsidR="000C713D">
        <w:t>. The PBAC consid</w:t>
      </w:r>
      <w:r w:rsidR="00292094">
        <w:t>ered that the submission had neither</w:t>
      </w:r>
      <w:r w:rsidR="000C713D">
        <w:t xml:space="preserve"> </w:t>
      </w:r>
      <w:r w:rsidR="00374AE2">
        <w:t xml:space="preserve">adequately </w:t>
      </w:r>
      <w:r w:rsidR="000C713D">
        <w:t xml:space="preserve">justified the place in therapy </w:t>
      </w:r>
      <w:r w:rsidR="00374AE2">
        <w:t>nor</w:t>
      </w:r>
      <w:r w:rsidR="000C713D">
        <w:t xml:space="preserve"> </w:t>
      </w:r>
      <w:r w:rsidR="00374AE2">
        <w:t xml:space="preserve">justified </w:t>
      </w:r>
      <w:r w:rsidR="000C713D">
        <w:t>th</w:t>
      </w:r>
      <w:r w:rsidR="00374AE2">
        <w:t>e proposed PBS</w:t>
      </w:r>
      <w:r w:rsidR="00292094">
        <w:t xml:space="preserve"> </w:t>
      </w:r>
      <w:r w:rsidR="007B43EF">
        <w:t>population that</w:t>
      </w:r>
      <w:r w:rsidR="00292094">
        <w:t xml:space="preserve"> </w:t>
      </w:r>
      <w:r w:rsidR="000C4CC9">
        <w:t xml:space="preserve">may </w:t>
      </w:r>
      <w:r w:rsidR="00292094">
        <w:t>exclude</w:t>
      </w:r>
      <w:r w:rsidR="000C713D">
        <w:t xml:space="preserve"> migraine</w:t>
      </w:r>
      <w:r w:rsidR="00292094">
        <w:t xml:space="preserve"> patients</w:t>
      </w:r>
      <w:r w:rsidR="007B43EF">
        <w:t xml:space="preserve"> who</w:t>
      </w:r>
      <w:r w:rsidR="000C713D">
        <w:t xml:space="preserve"> </w:t>
      </w:r>
      <w:r w:rsidR="00292094">
        <w:t xml:space="preserve">may </w:t>
      </w:r>
      <w:r w:rsidR="000C713D">
        <w:t xml:space="preserve">benefit from this treatment. </w:t>
      </w:r>
      <w:r w:rsidR="00292094">
        <w:t xml:space="preserve">The subgroup analysis used as a basis of the clinical claim </w:t>
      </w:r>
      <w:r w:rsidR="007B43EF">
        <w:t xml:space="preserve">that </w:t>
      </w:r>
      <w:proofErr w:type="spellStart"/>
      <w:r w:rsidR="007B43EF">
        <w:t>erenumab</w:t>
      </w:r>
      <w:proofErr w:type="spellEnd"/>
      <w:r w:rsidR="007B43EF">
        <w:t xml:space="preserve"> was superior to Botox </w:t>
      </w:r>
      <w:r w:rsidR="00292094">
        <w:t xml:space="preserve">had significant limitations resulting in a cost-effectiveness estimate that was highly unreliable for decision making. </w:t>
      </w:r>
    </w:p>
    <w:p w:rsidR="00292094" w:rsidRDefault="00292094" w:rsidP="00292094">
      <w:pPr>
        <w:pStyle w:val="Bulletpoints"/>
      </w:pPr>
      <w:r>
        <w:t xml:space="preserve">The PBAC acknowledged the clinical need for effective prophylactic treatment of chronic migraine, and the significant number of consumer comments received in regard to this submission. The Committee noted that the comments highlighted the </w:t>
      </w:r>
      <w:r w:rsidRPr="007B43EF">
        <w:t>inefficacy</w:t>
      </w:r>
      <w:r>
        <w:t xml:space="preserve"> and limitations of botulinum toxin (Botox), the submission’s nominated comparator, and the difficulties associated with its administration. </w:t>
      </w:r>
      <w:r w:rsidR="007B43EF">
        <w:t>The</w:t>
      </w:r>
      <w:r>
        <w:t xml:space="preserve"> comments reflected the significant impact that migraines have on physical, mental, and social wellbeing and the opportunity that </w:t>
      </w:r>
      <w:proofErr w:type="spellStart"/>
      <w:r>
        <w:t>erenumab</w:t>
      </w:r>
      <w:proofErr w:type="spellEnd"/>
      <w:r>
        <w:t xml:space="preserve"> presents. The PBAC noted that comments reflected the community’s interest in treatments being available for patients with chronic migraine (the subject of this submission) and episodic migraine (</w:t>
      </w:r>
      <w:r w:rsidR="00A021E8">
        <w:t>a population included in the TGA’s registration of</w:t>
      </w:r>
      <w:r>
        <w:t xml:space="preserve"> </w:t>
      </w:r>
      <w:proofErr w:type="spellStart"/>
      <w:r>
        <w:t>erenumab</w:t>
      </w:r>
      <w:proofErr w:type="spellEnd"/>
      <w:r w:rsidR="00A021E8">
        <w:t>)</w:t>
      </w:r>
      <w:r>
        <w:t xml:space="preserve">.  The PBAC noted </w:t>
      </w:r>
      <w:r w:rsidR="007B43EF">
        <w:t xml:space="preserve">the significant burden of disease of migraines, with </w:t>
      </w:r>
      <w:r>
        <w:t xml:space="preserve">more than a tenth </w:t>
      </w:r>
      <w:r w:rsidRPr="00A20321">
        <w:t xml:space="preserve">of the Australian population </w:t>
      </w:r>
      <w:r>
        <w:t>estimated to be affected by</w:t>
      </w:r>
      <w:r w:rsidRPr="00A20321">
        <w:t xml:space="preserve"> migraine</w:t>
      </w:r>
      <w:r>
        <w:t xml:space="preserve">. </w:t>
      </w:r>
    </w:p>
    <w:p w:rsidR="000B6530" w:rsidRPr="007B43EF" w:rsidRDefault="00292094" w:rsidP="007B43EF">
      <w:pPr>
        <w:pStyle w:val="Bulletpoints"/>
      </w:pPr>
      <w:r>
        <w:t xml:space="preserve">The Committee noted that the </w:t>
      </w:r>
      <w:r w:rsidRPr="00A20321">
        <w:t>submission was made under the TGA/PBAC parallel process</w:t>
      </w:r>
      <w:r>
        <w:t xml:space="preserve"> and the proposed dose of </w:t>
      </w:r>
      <w:proofErr w:type="spellStart"/>
      <w:r>
        <w:t>erenumab</w:t>
      </w:r>
      <w:proofErr w:type="spellEnd"/>
      <w:r>
        <w:t xml:space="preserve"> in the submission was 140 mg.  The PBAC noted that </w:t>
      </w:r>
      <w:proofErr w:type="spellStart"/>
      <w:r>
        <w:t>erenumab</w:t>
      </w:r>
      <w:proofErr w:type="spellEnd"/>
      <w:r>
        <w:t xml:space="preserve"> was registered on the ARTG immediately before the PBAC meeting. The latest version of the production information provided </w:t>
      </w:r>
      <w:r w:rsidR="00232416">
        <w:t xml:space="preserve">to the Committee </w:t>
      </w:r>
      <w:r>
        <w:t>with the Pre-PBAC response, which stated ‘</w:t>
      </w:r>
      <w:r w:rsidRPr="00C533A1">
        <w:t>The recommended dose of AIMOVIG is 70 mg injected subcutaneously once every 4 weeks. Some patients may benefit from a dosage of 140 mg injected subcutaneously once every 4 weeks</w:t>
      </w:r>
      <w:r>
        <w:t xml:space="preserve">’ The PBAC noted that this was in line with the initial dose recommended by the US Food and Drugs Administration. As the submission had only proposed a dose of 140 mg and as the clinical trial outcomes suggested that there was little </w:t>
      </w:r>
      <w:r w:rsidR="000C4CC9">
        <w:t xml:space="preserve">or no </w:t>
      </w:r>
      <w:r>
        <w:t xml:space="preserve">difference </w:t>
      </w:r>
      <w:r>
        <w:lastRenderedPageBreak/>
        <w:t xml:space="preserve">between a treatment dose of 140 mg and 70 mg, the PBAC considered that the impact of the majority of patients being treated with 70mg on the submission is unknown. </w:t>
      </w:r>
    </w:p>
    <w:p w:rsidR="00292094" w:rsidRPr="00232416" w:rsidRDefault="00255A7D" w:rsidP="005D6DB3">
      <w:pPr>
        <w:pStyle w:val="Bulletpoints"/>
      </w:pPr>
      <w:r w:rsidRPr="00232416">
        <w:t xml:space="preserve">The submission placed </w:t>
      </w:r>
      <w:proofErr w:type="spellStart"/>
      <w:r w:rsidRPr="00232416">
        <w:t>erenumab</w:t>
      </w:r>
      <w:proofErr w:type="spellEnd"/>
      <w:r w:rsidRPr="00232416">
        <w:t xml:space="preserve"> as a later-line therapy</w:t>
      </w:r>
      <w:r w:rsidR="00292094" w:rsidRPr="00232416">
        <w:t xml:space="preserve"> in Botox naïve patients</w:t>
      </w:r>
      <w:r w:rsidRPr="00232416">
        <w:t xml:space="preserve"> following failure of at least three prophylactic agents.  </w:t>
      </w:r>
      <w:r w:rsidR="005D6DB3" w:rsidRPr="00232416">
        <w:t xml:space="preserve">The PBAC considered that </w:t>
      </w:r>
      <w:r w:rsidR="00292094" w:rsidRPr="00232416">
        <w:t xml:space="preserve">the </w:t>
      </w:r>
      <w:r w:rsidR="005D6DB3" w:rsidRPr="00232416">
        <w:t>clinical place in therapy</w:t>
      </w:r>
      <w:r w:rsidR="00292094" w:rsidRPr="00232416">
        <w:t xml:space="preserve"> of </w:t>
      </w:r>
      <w:proofErr w:type="spellStart"/>
      <w:r w:rsidR="00292094" w:rsidRPr="00232416">
        <w:t>erenumab</w:t>
      </w:r>
      <w:proofErr w:type="spellEnd"/>
      <w:r w:rsidR="005D6DB3" w:rsidRPr="00232416">
        <w:t xml:space="preserve"> is </w:t>
      </w:r>
      <w:r w:rsidR="00292094" w:rsidRPr="00232416">
        <w:t>unclear</w:t>
      </w:r>
      <w:r w:rsidRPr="00232416">
        <w:t>, but considered that there was no demonstration that prior treatment for chronic migraine modifies treatment effect</w:t>
      </w:r>
      <w:r w:rsidR="00292094" w:rsidRPr="00232416">
        <w:t>. As such, the PBAC considered that there wa</w:t>
      </w:r>
      <w:r w:rsidRPr="00232416">
        <w:t xml:space="preserve">s no justification for excluding </w:t>
      </w:r>
      <w:r w:rsidR="00292094" w:rsidRPr="00232416">
        <w:t xml:space="preserve">patients who had previously been treated with Botox, as </w:t>
      </w:r>
      <w:r w:rsidRPr="00232416">
        <w:t xml:space="preserve">this patient population </w:t>
      </w:r>
      <w:r w:rsidR="00292094" w:rsidRPr="00232416">
        <w:t>may</w:t>
      </w:r>
      <w:r w:rsidRPr="00232416">
        <w:t xml:space="preserve"> benefit</w:t>
      </w:r>
      <w:r w:rsidR="00292094" w:rsidRPr="00232416">
        <w:t xml:space="preserve"> from treatment as</w:t>
      </w:r>
      <w:r w:rsidRPr="00232416">
        <w:t xml:space="preserve"> </w:t>
      </w:r>
      <w:r w:rsidR="00BA4A6D" w:rsidRPr="00232416">
        <w:t xml:space="preserve">shown in clinical trials, but agreed that concomitant use of </w:t>
      </w:r>
      <w:proofErr w:type="spellStart"/>
      <w:r w:rsidR="00BA4A6D" w:rsidRPr="00232416">
        <w:t>erenumab</w:t>
      </w:r>
      <w:proofErr w:type="spellEnd"/>
      <w:r w:rsidR="00BA4A6D" w:rsidRPr="00232416">
        <w:t xml:space="preserve"> and Botox should not be permitted. </w:t>
      </w:r>
    </w:p>
    <w:p w:rsidR="005D6DB3" w:rsidRPr="00232416" w:rsidRDefault="00292094" w:rsidP="005D6DB3">
      <w:pPr>
        <w:pStyle w:val="Bulletpoints"/>
      </w:pPr>
      <w:r w:rsidRPr="00232416">
        <w:t>G</w:t>
      </w:r>
      <w:r w:rsidR="005D6DB3" w:rsidRPr="00232416">
        <w:t xml:space="preserve">iven the evidence that shows </w:t>
      </w:r>
      <w:proofErr w:type="spellStart"/>
      <w:r w:rsidR="005D6DB3" w:rsidRPr="00232416">
        <w:t>erenumab</w:t>
      </w:r>
      <w:proofErr w:type="spellEnd"/>
      <w:r w:rsidR="005D6DB3" w:rsidRPr="00232416">
        <w:t xml:space="preserve"> provides benefit to patients with episodic migraine</w:t>
      </w:r>
      <w:r w:rsidR="00255A7D" w:rsidRPr="00232416">
        <w:t xml:space="preserve"> (trial ARISE/</w:t>
      </w:r>
      <w:r w:rsidR="00255A7D" w:rsidRPr="00232416">
        <w:rPr>
          <w:rFonts w:ascii="Helvetica" w:hAnsi="Helvetica"/>
          <w:sz w:val="23"/>
          <w:szCs w:val="23"/>
        </w:rPr>
        <w:t xml:space="preserve"> NCT02483585</w:t>
      </w:r>
      <w:r w:rsidR="00255A7D" w:rsidRPr="00232416">
        <w:t xml:space="preserve"> and STRIVE/</w:t>
      </w:r>
      <w:r w:rsidR="00255A7D" w:rsidRPr="00232416">
        <w:rPr>
          <w:rFonts w:ascii="Helvetica" w:hAnsi="Helvetica"/>
          <w:sz w:val="23"/>
          <w:szCs w:val="23"/>
        </w:rPr>
        <w:t>NCT02456740</w:t>
      </w:r>
      <w:r w:rsidR="00255A7D" w:rsidRPr="00232416">
        <w:t>)</w:t>
      </w:r>
      <w:r w:rsidR="005D6DB3" w:rsidRPr="00232416">
        <w:t>, as well as chronic</w:t>
      </w:r>
      <w:r w:rsidR="00255A7D" w:rsidRPr="00232416">
        <w:t xml:space="preserve"> migraine</w:t>
      </w:r>
      <w:r w:rsidR="005D6DB3" w:rsidRPr="00232416">
        <w:t xml:space="preserve">, the Committee agreed with its DUSC’s advice that it is very likely </w:t>
      </w:r>
      <w:proofErr w:type="spellStart"/>
      <w:r w:rsidR="005D6DB3" w:rsidRPr="00232416">
        <w:t>erenumab</w:t>
      </w:r>
      <w:proofErr w:type="spellEnd"/>
      <w:r w:rsidR="005D6DB3" w:rsidRPr="00232416">
        <w:t xml:space="preserve"> would be used outside of the proposed PBS population</w:t>
      </w:r>
      <w:r w:rsidR="00232416">
        <w:t xml:space="preserve"> (chronic migraine only)</w:t>
      </w:r>
      <w:r w:rsidR="005D6DB3" w:rsidRPr="00232416">
        <w:t xml:space="preserve">. </w:t>
      </w:r>
      <w:r w:rsidR="00255A7D" w:rsidRPr="00232416">
        <w:t xml:space="preserve">The PBAC noted that </w:t>
      </w:r>
      <w:proofErr w:type="spellStart"/>
      <w:r w:rsidR="00255A7D" w:rsidRPr="00232416">
        <w:t>erenumab</w:t>
      </w:r>
      <w:proofErr w:type="spellEnd"/>
      <w:r w:rsidR="00255A7D" w:rsidRPr="00232416">
        <w:t xml:space="preserve"> is the </w:t>
      </w:r>
      <w:r w:rsidR="00232416">
        <w:t xml:space="preserve">first </w:t>
      </w:r>
      <w:r w:rsidR="00114482" w:rsidRPr="00232416">
        <w:t>CGRP</w:t>
      </w:r>
      <w:r w:rsidR="00232416">
        <w:t xml:space="preserve"> inhibitor seeking PBS listing</w:t>
      </w:r>
      <w:r w:rsidR="00E607B3" w:rsidRPr="00232416">
        <w:t>, with a range of new targeted therapies entering the market</w:t>
      </w:r>
      <w:r w:rsidR="00114482" w:rsidRPr="00232416">
        <w:t xml:space="preserve">. The PBAC considered that the clinical place of </w:t>
      </w:r>
      <w:proofErr w:type="spellStart"/>
      <w:r w:rsidR="00114482" w:rsidRPr="00232416">
        <w:t>erenumab</w:t>
      </w:r>
      <w:proofErr w:type="spellEnd"/>
      <w:r w:rsidR="00114482" w:rsidRPr="00232416">
        <w:t xml:space="preserve"> </w:t>
      </w:r>
      <w:r w:rsidR="00E607B3" w:rsidRPr="00232416">
        <w:t xml:space="preserve">may become clearer with further experience in using these medicines. </w:t>
      </w:r>
    </w:p>
    <w:p w:rsidR="00A021E8" w:rsidRDefault="005D6DB3" w:rsidP="00C533A1">
      <w:pPr>
        <w:pStyle w:val="Bulletpoints"/>
      </w:pPr>
      <w:r w:rsidRPr="00232416">
        <w:t xml:space="preserve">The PBAC </w:t>
      </w:r>
      <w:r w:rsidR="001878D8" w:rsidRPr="00232416">
        <w:t xml:space="preserve">noted that the restriction proposed </w:t>
      </w:r>
      <w:r w:rsidR="00BA4A6D" w:rsidRPr="00232416">
        <w:t xml:space="preserve">in the </w:t>
      </w:r>
      <w:r w:rsidR="001878D8" w:rsidRPr="00232416">
        <w:t xml:space="preserve">submission was based on the current Botox listing, as the submission claimed that </w:t>
      </w:r>
      <w:proofErr w:type="spellStart"/>
      <w:r w:rsidR="001878D8" w:rsidRPr="00232416">
        <w:t>erenumab</w:t>
      </w:r>
      <w:proofErr w:type="spellEnd"/>
      <w:r w:rsidR="001878D8" w:rsidRPr="00232416">
        <w:t xml:space="preserve"> would be used in the same clinical place as Botox. </w:t>
      </w:r>
      <w:r w:rsidR="00BA4A6D" w:rsidRPr="00232416">
        <w:t>As</w:t>
      </w:r>
      <w:r w:rsidR="001878D8" w:rsidRPr="00232416">
        <w:t xml:space="preserve"> the Committee did not agree with the submission’s clinical place, the PBAC acknowledge</w:t>
      </w:r>
      <w:r w:rsidR="000C4CC9">
        <w:t>d</w:t>
      </w:r>
      <w:r w:rsidR="001878D8" w:rsidRPr="00232416">
        <w:t xml:space="preserve"> that there will be difference in the listing compared to Botox, depending on the</w:t>
      </w:r>
      <w:r w:rsidR="00BA4A6D" w:rsidRPr="00232416">
        <w:t xml:space="preserve"> agreed</w:t>
      </w:r>
      <w:r w:rsidR="001878D8" w:rsidRPr="00232416">
        <w:t xml:space="preserve"> clinical place of </w:t>
      </w:r>
      <w:proofErr w:type="spellStart"/>
      <w:r w:rsidR="001878D8" w:rsidRPr="00232416">
        <w:t>erenumab</w:t>
      </w:r>
      <w:proofErr w:type="spellEnd"/>
      <w:r w:rsidR="001878D8" w:rsidRPr="00232416">
        <w:t xml:space="preserve">. </w:t>
      </w:r>
    </w:p>
    <w:p w:rsidR="007017B2" w:rsidRPr="007017B2" w:rsidRDefault="001878D8" w:rsidP="00C533A1">
      <w:pPr>
        <w:pStyle w:val="Bulletpoints"/>
      </w:pPr>
      <w:r w:rsidRPr="00232416">
        <w:t>The PBAC supported a</w:t>
      </w:r>
      <w:r w:rsidR="00DB1BAD" w:rsidRPr="00232416">
        <w:t xml:space="preserve"> listing with an initial prescription, init</w:t>
      </w:r>
      <w:r w:rsidR="008F5DAA">
        <w:t>iated by neurologists or FRACP/</w:t>
      </w:r>
      <w:r w:rsidR="00DB1BAD" w:rsidRPr="00232416">
        <w:t>FFPMANCA-accredited pain/headache specialists, and a continuing prescription</w:t>
      </w:r>
      <w:r w:rsidR="00BA4A6D" w:rsidRPr="00232416">
        <w:t xml:space="preserve"> </w:t>
      </w:r>
      <w:r w:rsidR="00DB1BAD" w:rsidRPr="00232416">
        <w:t xml:space="preserve">for patients </w:t>
      </w:r>
      <w:r w:rsidR="00BA4A6D" w:rsidRPr="00232416">
        <w:t>achieving</w:t>
      </w:r>
      <w:r w:rsidR="00DB1BAD" w:rsidRPr="00232416">
        <w:t xml:space="preserve"> a response with initial treatment</w:t>
      </w:r>
      <w:r w:rsidR="00DB1BAD">
        <w:t xml:space="preserve">.  </w:t>
      </w:r>
      <w:r w:rsidR="00C533A1">
        <w:t xml:space="preserve">The PBAC considered that the time </w:t>
      </w:r>
      <w:r w:rsidR="00C533A1" w:rsidRPr="00C533A1">
        <w:t>of response assessmen</w:t>
      </w:r>
      <w:r w:rsidR="00C533A1">
        <w:t xml:space="preserve">t did not necessarily need to match Botox (24 weeks), but </w:t>
      </w:r>
      <w:r w:rsidR="00BA4A6D">
        <w:t xml:space="preserve">should </w:t>
      </w:r>
      <w:r w:rsidR="00C533A1">
        <w:t xml:space="preserve">be informed by the product information and clinical guidelines. </w:t>
      </w:r>
      <w:r w:rsidR="002A71E9">
        <w:t xml:space="preserve">While the PBAC noted that </w:t>
      </w:r>
      <w:r w:rsidR="002A71E9" w:rsidRPr="00A20321">
        <w:t>prescribing of continuing therapy by a GP</w:t>
      </w:r>
      <w:r w:rsidR="002A71E9">
        <w:t xml:space="preserve"> would increase patient access to treatment, the Committee</w:t>
      </w:r>
      <w:r w:rsidR="00DB1BAD">
        <w:t xml:space="preserve"> shared the DUSC’s concerns</w:t>
      </w:r>
      <w:r w:rsidR="002A71E9">
        <w:t xml:space="preserve"> that </w:t>
      </w:r>
      <w:r w:rsidR="002A71E9" w:rsidRPr="00A650F8">
        <w:rPr>
          <w:rFonts w:asciiTheme="minorHAnsi" w:hAnsiTheme="minorHAnsi" w:cs="Arial"/>
        </w:rPr>
        <w:t xml:space="preserve">the </w:t>
      </w:r>
      <w:r w:rsidR="002A71E9">
        <w:rPr>
          <w:rFonts w:asciiTheme="minorHAnsi" w:hAnsiTheme="minorHAnsi" w:cs="Arial"/>
        </w:rPr>
        <w:t xml:space="preserve">proposed </w:t>
      </w:r>
      <w:r w:rsidR="002A71E9" w:rsidRPr="00A650F8">
        <w:rPr>
          <w:rFonts w:asciiTheme="minorHAnsi" w:hAnsiTheme="minorHAnsi" w:cs="Arial"/>
        </w:rPr>
        <w:t xml:space="preserve">restriction does not require a </w:t>
      </w:r>
      <w:r w:rsidR="002A71E9">
        <w:rPr>
          <w:rFonts w:asciiTheme="minorHAnsi" w:hAnsiTheme="minorHAnsi" w:cs="Arial"/>
        </w:rPr>
        <w:t>specialist</w:t>
      </w:r>
      <w:r w:rsidR="002A71E9" w:rsidRPr="00A650F8">
        <w:rPr>
          <w:rFonts w:asciiTheme="minorHAnsi" w:hAnsiTheme="minorHAnsi" w:cs="Arial"/>
        </w:rPr>
        <w:t xml:space="preserve"> to assess the response to </w:t>
      </w:r>
      <w:proofErr w:type="spellStart"/>
      <w:r w:rsidR="002A71E9" w:rsidRPr="00A650F8">
        <w:rPr>
          <w:rFonts w:asciiTheme="minorHAnsi" w:hAnsiTheme="minorHAnsi" w:cs="Arial"/>
        </w:rPr>
        <w:t>erenumab</w:t>
      </w:r>
      <w:proofErr w:type="spellEnd"/>
      <w:r w:rsidR="002A71E9" w:rsidRPr="00A650F8">
        <w:rPr>
          <w:rFonts w:asciiTheme="minorHAnsi" w:hAnsiTheme="minorHAnsi" w:cs="Arial"/>
        </w:rPr>
        <w:t xml:space="preserve"> at any point</w:t>
      </w:r>
      <w:r w:rsidR="002A71E9">
        <w:rPr>
          <w:rFonts w:asciiTheme="minorHAnsi" w:hAnsiTheme="minorHAnsi" w:cs="Arial"/>
        </w:rPr>
        <w:t xml:space="preserve"> after initiation. The PBAC considered that a specialist should be involved in the continuing on</w:t>
      </w:r>
      <w:r w:rsidR="00BA4A6D">
        <w:rPr>
          <w:rFonts w:asciiTheme="minorHAnsi" w:hAnsiTheme="minorHAnsi" w:cs="Arial"/>
        </w:rPr>
        <w:t xml:space="preserve">going treatment with </w:t>
      </w:r>
      <w:proofErr w:type="spellStart"/>
      <w:r w:rsidR="00BA4A6D">
        <w:rPr>
          <w:rFonts w:asciiTheme="minorHAnsi" w:hAnsiTheme="minorHAnsi" w:cs="Arial"/>
        </w:rPr>
        <w:t>erenumab</w:t>
      </w:r>
      <w:proofErr w:type="spellEnd"/>
      <w:r w:rsidR="00BA4A6D">
        <w:rPr>
          <w:rFonts w:asciiTheme="minorHAnsi" w:hAnsiTheme="minorHAnsi" w:cs="Arial"/>
        </w:rPr>
        <w:t xml:space="preserve">, and that this should be addressed in a resubmission. </w:t>
      </w:r>
    </w:p>
    <w:p w:rsidR="005F69E2" w:rsidRDefault="00036BF0" w:rsidP="005F69E2">
      <w:pPr>
        <w:pStyle w:val="Bulletpoints"/>
      </w:pPr>
      <w:r>
        <w:t xml:space="preserve">The PBAC </w:t>
      </w:r>
      <w:r w:rsidR="00BA4A6D">
        <w:t>considered that Botox was an appropriate comparator</w:t>
      </w:r>
      <w:r>
        <w:t xml:space="preserve"> </w:t>
      </w:r>
      <w:r w:rsidR="00973299">
        <w:t xml:space="preserve">if </w:t>
      </w:r>
      <w:r w:rsidR="00BA4A6D">
        <w:t xml:space="preserve">the clinical place for </w:t>
      </w:r>
      <w:proofErr w:type="spellStart"/>
      <w:r w:rsidR="00BA4A6D">
        <w:t>erenumab</w:t>
      </w:r>
      <w:proofErr w:type="spellEnd"/>
      <w:r w:rsidR="00BA4A6D">
        <w:t xml:space="preserve"> is limited to later line therapy as a substitute for Botox. </w:t>
      </w:r>
      <w:r w:rsidR="00973299">
        <w:t>However, with the PBAC’s view of the</w:t>
      </w:r>
      <w:r w:rsidR="00BA4A6D">
        <w:t xml:space="preserve"> clinical place of </w:t>
      </w:r>
      <w:proofErr w:type="spellStart"/>
      <w:r w:rsidR="00BA4A6D">
        <w:t>erenumab</w:t>
      </w:r>
      <w:proofErr w:type="spellEnd"/>
      <w:r w:rsidR="00BA4A6D">
        <w:t>, and noting that there is likely a population who will not be</w:t>
      </w:r>
      <w:r>
        <w:t xml:space="preserve"> treated with Botox due to the inaccessibility of neurologists or the discomfort as</w:t>
      </w:r>
      <w:r w:rsidR="00BA4A6D">
        <w:t xml:space="preserve">sociated with the administration, Botox may not be </w:t>
      </w:r>
      <w:r w:rsidR="00BA4A6D">
        <w:lastRenderedPageBreak/>
        <w:t>the appropriate comparator</w:t>
      </w:r>
      <w:r>
        <w:t xml:space="preserve">. </w:t>
      </w:r>
      <w:r w:rsidR="00A82DE0">
        <w:t xml:space="preserve">The PBAC considered that </w:t>
      </w:r>
      <w:r w:rsidR="00BA4A6D">
        <w:t xml:space="preserve">agreeing the clinical place of </w:t>
      </w:r>
      <w:proofErr w:type="spellStart"/>
      <w:r w:rsidR="00BA4A6D">
        <w:t>erenumab</w:t>
      </w:r>
      <w:proofErr w:type="spellEnd"/>
      <w:r w:rsidR="00BA4A6D">
        <w:t xml:space="preserve"> will </w:t>
      </w:r>
      <w:r w:rsidR="00A82DE0">
        <w:t>inform the comparator choice</w:t>
      </w:r>
      <w:r w:rsidR="00BA4A6D">
        <w:t>.</w:t>
      </w:r>
    </w:p>
    <w:p w:rsidR="000A1AB0" w:rsidRDefault="005F69E2" w:rsidP="000A1AB0">
      <w:pPr>
        <w:pStyle w:val="Bulletpoints"/>
      </w:pPr>
      <w:r>
        <w:t xml:space="preserve">The PBAC noted that the efficacy and safety of </w:t>
      </w:r>
      <w:proofErr w:type="spellStart"/>
      <w:r>
        <w:t>erenumab</w:t>
      </w:r>
      <w:proofErr w:type="spellEnd"/>
      <w:r>
        <w:t xml:space="preserve"> was predominately based Study 295, a p</w:t>
      </w:r>
      <w:r w:rsidRPr="005F69E2">
        <w:t xml:space="preserve">hase 2, </w:t>
      </w:r>
      <w:r>
        <w:t>r</w:t>
      </w:r>
      <w:r w:rsidRPr="005F69E2">
        <w:t xml:space="preserve">andomized, </w:t>
      </w:r>
      <w:r>
        <w:t>d</w:t>
      </w:r>
      <w:r w:rsidRPr="005F69E2">
        <w:t xml:space="preserve">ouble-blind, </w:t>
      </w:r>
      <w:r>
        <w:t>p</w:t>
      </w:r>
      <w:r w:rsidRPr="005F69E2">
        <w:t xml:space="preserve">lacebo-controlled </w:t>
      </w:r>
      <w:r>
        <w:t>trial. The PBAC noted that in the whole trial population</w:t>
      </w:r>
      <w:r w:rsidR="00587090">
        <w:t xml:space="preserve">, </w:t>
      </w:r>
      <w:proofErr w:type="spellStart"/>
      <w:r w:rsidR="00496B0E">
        <w:t>erenumab</w:t>
      </w:r>
      <w:proofErr w:type="spellEnd"/>
      <w:r w:rsidR="00496B0E">
        <w:t xml:space="preserve"> reported a statistically significant reduction in monthly headache days (MHD) compared to placebo [-2.46, (95% CI: -3.52, -1.41), p&lt;0.001)]. </w:t>
      </w:r>
      <w:r w:rsidR="00587090">
        <w:t xml:space="preserve"> </w:t>
      </w:r>
      <w:r w:rsidR="00496B0E">
        <w:t xml:space="preserve">While a relatively modest treatment effect </w:t>
      </w:r>
      <w:r w:rsidR="005B74CF">
        <w:t xml:space="preserve">after 12 weeks of treatment </w:t>
      </w:r>
      <w:r w:rsidR="00496B0E">
        <w:t>in patients with a baseline of approximately 20 MHD, t</w:t>
      </w:r>
      <w:r w:rsidR="00587090" w:rsidRPr="00587090">
        <w:t xml:space="preserve">he PBAC recalled that in </w:t>
      </w:r>
      <w:r w:rsidR="00BA4A6D">
        <w:t xml:space="preserve">considering Botox for chronic migraine in </w:t>
      </w:r>
      <w:r w:rsidR="00587090" w:rsidRPr="00587090">
        <w:t>July 2012, it was accepted that a change of two to three headache days</w:t>
      </w:r>
      <w:r w:rsidR="00BA4A6D">
        <w:t xml:space="preserve"> per month</w:t>
      </w:r>
      <w:r w:rsidR="00587090" w:rsidRPr="00587090">
        <w:t xml:space="preserve"> as shown in the </w:t>
      </w:r>
      <w:r w:rsidR="00587090">
        <w:t xml:space="preserve">Botox </w:t>
      </w:r>
      <w:r w:rsidR="00587090" w:rsidRPr="00587090">
        <w:t>PREEMPT trials</w:t>
      </w:r>
      <w:r w:rsidR="005B74CF">
        <w:t xml:space="preserve"> (24 weeks)</w:t>
      </w:r>
      <w:r w:rsidR="00587090" w:rsidRPr="00587090">
        <w:t xml:space="preserve"> represented a clinically meaningful outcome</w:t>
      </w:r>
      <w:r w:rsidR="005B74CF">
        <w:t>.</w:t>
      </w:r>
    </w:p>
    <w:p w:rsidR="005B74CF" w:rsidRDefault="000A1AB0" w:rsidP="005B74CF">
      <w:pPr>
        <w:pStyle w:val="Bulletpoints"/>
      </w:pPr>
      <w:r>
        <w:t>The PBAC noted that the clinical claim of the submission was based</w:t>
      </w:r>
      <w:r w:rsidR="00B321A7">
        <w:t xml:space="preserve"> on an indirect comparison of a </w:t>
      </w:r>
      <w:r>
        <w:t xml:space="preserve">sub-group analysis with </w:t>
      </w:r>
      <w:r w:rsidRPr="00A20321">
        <w:t>patients who had failed ≥3 prophylactic medications and were naïve to Botox</w:t>
      </w:r>
      <w:r>
        <w:t xml:space="preserve">. The PBAC shared the ESC’s concern about the indirect comparison in the submission.  </w:t>
      </w:r>
      <w:r w:rsidR="005B74CF">
        <w:t xml:space="preserve">The PBAC noted the significant differences between the response rates in the placebo arms of the </w:t>
      </w:r>
      <w:proofErr w:type="spellStart"/>
      <w:r w:rsidR="005B74CF">
        <w:t>erenumab</w:t>
      </w:r>
      <w:proofErr w:type="spellEnd"/>
      <w:r w:rsidR="005B74CF">
        <w:t xml:space="preserve"> and Botox clinical trials. The PBAC also noted</w:t>
      </w:r>
      <w:r w:rsidR="005B74CF" w:rsidRPr="00B81027">
        <w:t xml:space="preserve"> </w:t>
      </w:r>
      <w:r w:rsidR="00B321A7">
        <w:t>the sponsor’s claim in its Pre-PBAC Response</w:t>
      </w:r>
      <w:r w:rsidR="005B74CF">
        <w:t xml:space="preserve"> that the different response rates were adjusted for in the odds ratios used to present the results of the trials. The assumption of transitivity inherent in the indirect comparison is contingent on consistent response rates to the common treatment (placebo), so the Committee advised that this discrepancy was likely to invalidate the clinical claim that </w:t>
      </w:r>
      <w:proofErr w:type="spellStart"/>
      <w:r w:rsidR="005B74CF">
        <w:t>erenumab</w:t>
      </w:r>
      <w:proofErr w:type="spellEnd"/>
      <w:r w:rsidR="005B74CF">
        <w:t xml:space="preserve"> is superior</w:t>
      </w:r>
      <w:r w:rsidR="00B321A7">
        <w:t xml:space="preserve"> compared</w:t>
      </w:r>
      <w:r w:rsidR="005B74CF">
        <w:t xml:space="preserve"> to Botox. </w:t>
      </w:r>
    </w:p>
    <w:p w:rsidR="005B74CF" w:rsidRPr="007C3CE6" w:rsidRDefault="005B74CF" w:rsidP="005B74CF">
      <w:pPr>
        <w:pStyle w:val="Bulletpoints"/>
      </w:pPr>
      <w:r>
        <w:t xml:space="preserve">Further, the PBAC noted that only </w:t>
      </w:r>
      <w:r w:rsidR="00AF24DF">
        <w:rPr>
          <w:noProof/>
          <w:color w:val="000000"/>
          <w:highlight w:val="black"/>
        </w:rPr>
        <w:t>'''''</w:t>
      </w:r>
      <w:r>
        <w:t xml:space="preserve"> </w:t>
      </w:r>
      <w:r w:rsidRPr="001D659C">
        <w:t xml:space="preserve">of </w:t>
      </w:r>
      <w:r w:rsidR="008D249A" w:rsidRPr="001D659C">
        <w:t>the</w:t>
      </w:r>
      <w:r w:rsidRPr="001D659C">
        <w:t xml:space="preserve"> </w:t>
      </w:r>
      <w:r w:rsidR="00AF24DF">
        <w:rPr>
          <w:noProof/>
          <w:color w:val="000000"/>
          <w:highlight w:val="black"/>
        </w:rPr>
        <w:t>''''''</w:t>
      </w:r>
      <w:r>
        <w:t xml:space="preserve"> patients in the open-label extension trial on which the clinical claim and economic model are based were treated with </w:t>
      </w:r>
      <w:proofErr w:type="spellStart"/>
      <w:r>
        <w:t>erenumab</w:t>
      </w:r>
      <w:proofErr w:type="spellEnd"/>
      <w:r>
        <w:t>. The PBAC considered this sub-group insufficient, given that the population eligible for treatment in Australia was estimated to be 300,000 – 700,000 people. Basing the analysis on this subgroup became necessary because the majority of patients in the whole trial (</w:t>
      </w:r>
      <w:r w:rsidR="00AF24DF">
        <w:rPr>
          <w:noProof/>
          <w:color w:val="000000"/>
          <w:highlight w:val="black"/>
        </w:rPr>
        <w:t>''''''''</w:t>
      </w:r>
      <w:r w:rsidRPr="001D659C">
        <w:t>/476</w:t>
      </w:r>
      <w:r>
        <w:t xml:space="preserve">) did not match the proposed PBS population, as failure of </w:t>
      </w:r>
      <w:r>
        <w:rPr>
          <w:rFonts w:cs="Calibri"/>
        </w:rPr>
        <w:t>≥</w:t>
      </w:r>
      <w:r>
        <w:t xml:space="preserve">3 prophylactic migraine medications was an exclusion criterion for the whole trial, but an inclusion criterion for the proposed PBS listing. However, the definition of failure for the whole trial referred only to insufficient efficacy, whereas the definition for the sub-group included both efficacy </w:t>
      </w:r>
      <w:r w:rsidRPr="007C3CE6">
        <w:t xml:space="preserve">and tolerability issues. </w:t>
      </w:r>
      <w:r>
        <w:t xml:space="preserve">Thus, 86 patients who had failed </w:t>
      </w:r>
      <w:r>
        <w:rPr>
          <w:rFonts w:cs="Calibri"/>
        </w:rPr>
        <w:t>≥</w:t>
      </w:r>
      <w:r>
        <w:t>3 prophylactic migraine medications were included in the trial nonetheless.</w:t>
      </w:r>
    </w:p>
    <w:p w:rsidR="005F69E2" w:rsidRDefault="005B74CF" w:rsidP="00587090">
      <w:pPr>
        <w:pStyle w:val="Bulletpoints"/>
      </w:pPr>
      <w:r>
        <w:t xml:space="preserve">The PBAC did not accept the submission’s claim that </w:t>
      </w:r>
      <w:proofErr w:type="spellStart"/>
      <w:r w:rsidRPr="00A700F7">
        <w:t>erenumab</w:t>
      </w:r>
      <w:proofErr w:type="spellEnd"/>
      <w:r w:rsidRPr="00A700F7">
        <w:t xml:space="preserve"> as superior in terms of comparative </w:t>
      </w:r>
      <w:r w:rsidRPr="00A20321">
        <w:t xml:space="preserve">effectiveness and equivalent in terms of comparative safety </w:t>
      </w:r>
      <w:r>
        <w:t>to</w:t>
      </w:r>
      <w:r w:rsidRPr="00A20321">
        <w:t xml:space="preserve"> Botox</w:t>
      </w:r>
      <w:r w:rsidR="00303FD7">
        <w:t xml:space="preserve">, given the Committee’s concerns about the clinical evidence to support the indirect </w:t>
      </w:r>
      <w:r w:rsidR="0078396F">
        <w:t>comparison</w:t>
      </w:r>
      <w:r>
        <w:t xml:space="preserve">. The PBAC considered that the Study 295 did support a claim of superior efficacy </w:t>
      </w:r>
      <w:r w:rsidR="00303FD7">
        <w:t xml:space="preserve">of </w:t>
      </w:r>
      <w:proofErr w:type="spellStart"/>
      <w:r w:rsidR="00303FD7">
        <w:t>erenumab</w:t>
      </w:r>
      <w:proofErr w:type="spellEnd"/>
      <w:r w:rsidR="00303FD7">
        <w:t xml:space="preserve"> </w:t>
      </w:r>
      <w:r>
        <w:t>over placebo</w:t>
      </w:r>
      <w:r w:rsidR="00B321A7">
        <w:t>.</w:t>
      </w:r>
      <w:r>
        <w:t xml:space="preserve"> </w:t>
      </w:r>
      <w:r w:rsidR="00303FD7">
        <w:t xml:space="preserve">The PBAC further noted that </w:t>
      </w:r>
      <w:proofErr w:type="spellStart"/>
      <w:r w:rsidR="00303FD7">
        <w:t>erenumab</w:t>
      </w:r>
      <w:proofErr w:type="spellEnd"/>
      <w:r w:rsidR="00303FD7">
        <w:t xml:space="preserve"> was easier to administer compared to Botox, and that many consumer comments highlighted the negative </w:t>
      </w:r>
      <w:r w:rsidR="00B321A7">
        <w:t>aspects of</w:t>
      </w:r>
      <w:r w:rsidR="00303FD7">
        <w:t xml:space="preserve"> Botox treatment. </w:t>
      </w:r>
    </w:p>
    <w:p w:rsidR="0050040D" w:rsidRDefault="00B321A7" w:rsidP="007C3CE6">
      <w:pPr>
        <w:pStyle w:val="Bulletpoints"/>
      </w:pPr>
      <w:r>
        <w:lastRenderedPageBreak/>
        <w:t>Based on the limitations of the clinical evidence provided,</w:t>
      </w:r>
      <w:r w:rsidR="0050040D">
        <w:t xml:space="preserve"> t</w:t>
      </w:r>
      <w:r w:rsidR="00303FD7">
        <w:t xml:space="preserve">he PBAC agreed with the ESC that </w:t>
      </w:r>
      <w:r>
        <w:t>use a cost-utility analysis to</w:t>
      </w:r>
      <w:r w:rsidR="00303FD7">
        <w:t xml:space="preserve"> assess the cost-effectiveness of </w:t>
      </w:r>
      <w:proofErr w:type="spellStart"/>
      <w:r w:rsidR="00303FD7">
        <w:t>erenumab</w:t>
      </w:r>
      <w:proofErr w:type="spellEnd"/>
      <w:r>
        <w:t xml:space="preserve"> over Botox</w:t>
      </w:r>
      <w:r w:rsidR="00303FD7">
        <w:t xml:space="preserve"> </w:t>
      </w:r>
      <w:r>
        <w:t xml:space="preserve">was unreliable. </w:t>
      </w:r>
    </w:p>
    <w:p w:rsidR="00C83AFE" w:rsidRDefault="007C3CE6" w:rsidP="007C3CE6">
      <w:pPr>
        <w:pStyle w:val="Bulletpoints"/>
      </w:pPr>
      <w:r w:rsidRPr="007B43EF">
        <w:t xml:space="preserve">The PBAC also questioned the assumption that for patients who did not </w:t>
      </w:r>
      <w:r w:rsidR="00632F91" w:rsidRPr="007B43EF">
        <w:t xml:space="preserve">discontinue or </w:t>
      </w:r>
      <w:r w:rsidRPr="007B43EF">
        <w:t xml:space="preserve">die due to all-cause mortality, the response over 12 weeks would be maintained for up to 5 years.  Given the lack of long-term data for </w:t>
      </w:r>
      <w:proofErr w:type="spellStart"/>
      <w:r w:rsidRPr="007B43EF">
        <w:t>erenumab</w:t>
      </w:r>
      <w:proofErr w:type="spellEnd"/>
      <w:r w:rsidRPr="007B43EF">
        <w:t xml:space="preserve">, it is not likely to be reasonable to assume that response would be maintained over such a time period. </w:t>
      </w:r>
    </w:p>
    <w:p w:rsidR="007C3CE6" w:rsidRDefault="007C3CE6" w:rsidP="007C3CE6">
      <w:pPr>
        <w:pStyle w:val="Bulletpoints"/>
      </w:pPr>
      <w:r>
        <w:t xml:space="preserve">The PBAC considered the derivation of the distribution of monthly migraine days and the </w:t>
      </w:r>
      <w:r w:rsidR="00D751E6">
        <w:t xml:space="preserve">resulting </w:t>
      </w:r>
      <w:r>
        <w:t xml:space="preserve">utility estimates sub-optimal. The derivation of monthly migraine days using parametric techniques was necessary, because the outcome used in the trial was monthly headache </w:t>
      </w:r>
      <w:proofErr w:type="gramStart"/>
      <w:r>
        <w:t>days</w:t>
      </w:r>
      <w:proofErr w:type="gramEnd"/>
      <w:r w:rsidR="00D751E6">
        <w:t xml:space="preserve"> not monthly migraine days</w:t>
      </w:r>
      <w:r w:rsidR="00632F91">
        <w:t>. However,</w:t>
      </w:r>
      <w:r>
        <w:t xml:space="preserve"> the majority </w:t>
      </w:r>
      <w:r w:rsidR="008D249A" w:rsidRPr="001D659C">
        <w:t>(</w:t>
      </w:r>
      <w:r w:rsidR="00AF24DF">
        <w:rPr>
          <w:noProof/>
          <w:color w:val="000000"/>
          <w:highlight w:val="black"/>
        </w:rPr>
        <w:t>'''''''</w:t>
      </w:r>
      <w:r w:rsidR="008D249A" w:rsidRPr="001D659C">
        <w:t>%</w:t>
      </w:r>
      <w:r w:rsidRPr="001D659C">
        <w:t xml:space="preserve">) of the population on which </w:t>
      </w:r>
      <w:r w:rsidR="00D751E6" w:rsidRPr="001D659C">
        <w:t>the estimation</w:t>
      </w:r>
      <w:r w:rsidRPr="001D659C">
        <w:t xml:space="preserve"> was based </w:t>
      </w:r>
      <w:r w:rsidR="00D751E6" w:rsidRPr="001D659C">
        <w:t>did not fit the criteria for the proposed</w:t>
      </w:r>
      <w:r w:rsidR="00D751E6">
        <w:t xml:space="preserve"> PBS population. In addition, </w:t>
      </w:r>
      <w:r w:rsidR="00403F27">
        <w:t xml:space="preserve">headache severity </w:t>
      </w:r>
      <w:r w:rsidR="00D751E6">
        <w:t xml:space="preserve">was not factored into the utility estimates, despite evidence that it has significant </w:t>
      </w:r>
      <w:r w:rsidR="004F24F7">
        <w:t>influence</w:t>
      </w:r>
      <w:r w:rsidR="00D751E6">
        <w:t xml:space="preserve"> on the</w:t>
      </w:r>
      <w:r w:rsidR="004F24F7">
        <w:t xml:space="preserve"> overall</w:t>
      </w:r>
      <w:r w:rsidR="00D751E6">
        <w:t xml:space="preserve"> </w:t>
      </w:r>
      <w:r w:rsidR="00403F27">
        <w:t>wellbeing of patients who experience migraines</w:t>
      </w:r>
      <w:r w:rsidR="00D751E6">
        <w:t>.</w:t>
      </w:r>
    </w:p>
    <w:p w:rsidR="005B74CF" w:rsidRDefault="005B74CF" w:rsidP="005B74CF">
      <w:pPr>
        <w:pStyle w:val="Bulletpoints"/>
      </w:pPr>
      <w:r>
        <w:t xml:space="preserve">The PBAC noted the estimates of the number of people with chronic migraine in Australia, which varied between 300,000 and 700,000 depending on the assumptions used. The PBAC advised that this ambiguity surrounding the prevalence of chronic migraine introduced significant uncertainty into the estimates of the financial implication of listing </w:t>
      </w:r>
      <w:proofErr w:type="spellStart"/>
      <w:r>
        <w:t>erenumab</w:t>
      </w:r>
      <w:proofErr w:type="spellEnd"/>
      <w:r>
        <w:t xml:space="preserve"> on the PBS. </w:t>
      </w:r>
    </w:p>
    <w:p w:rsidR="00E607B3" w:rsidRPr="00E607B3" w:rsidRDefault="00E607B3" w:rsidP="00545212">
      <w:pPr>
        <w:pStyle w:val="Bulletpoints"/>
      </w:pPr>
      <w:r w:rsidRPr="007C3CE6">
        <w:t xml:space="preserve">The PBAC agreed with </w:t>
      </w:r>
      <w:r w:rsidRPr="007B43EF">
        <w:t xml:space="preserve">its DUSC that the extrapolation of available Botox data to estimate the total number of patients in 2018 and the first 6 years of the proposed listing (2019 to 2024) was highly uncertain because it was based on a limited number </w:t>
      </w:r>
      <w:r w:rsidRPr="00E607B3">
        <w:t>of data points.</w:t>
      </w:r>
    </w:p>
    <w:p w:rsidR="00E607B3" w:rsidRPr="00E607B3" w:rsidRDefault="00E607B3" w:rsidP="00545212">
      <w:pPr>
        <w:pStyle w:val="Bulletpoints"/>
      </w:pPr>
      <w:r w:rsidRPr="00E607B3">
        <w:t>The PBAC noted DUSC advice that the continuation rates applied in the submission were likely to be underestimates.</w:t>
      </w:r>
    </w:p>
    <w:p w:rsidR="00296BE2" w:rsidRDefault="00B321A7" w:rsidP="00545212">
      <w:pPr>
        <w:pStyle w:val="Bulletpoints"/>
      </w:pPr>
      <w:r>
        <w:t>The PBAC agreed with</w:t>
      </w:r>
      <w:r w:rsidR="00522E91">
        <w:t xml:space="preserve"> DUSC</w:t>
      </w:r>
      <w:r w:rsidR="00A45D94">
        <w:t xml:space="preserve"> that the </w:t>
      </w:r>
      <w:r w:rsidR="00BD0877">
        <w:t xml:space="preserve">utilisation of </w:t>
      </w:r>
      <w:proofErr w:type="spellStart"/>
      <w:r w:rsidR="00BD0877">
        <w:t>erenumab</w:t>
      </w:r>
      <w:proofErr w:type="spellEnd"/>
      <w:r w:rsidR="00BD0877">
        <w:t xml:space="preserve"> and resulting financial impact were likely to have been significantly underestimated in the submission. </w:t>
      </w:r>
      <w:r w:rsidR="008A2B6F">
        <w:t xml:space="preserve">In particular, </w:t>
      </w:r>
      <w:r w:rsidR="009861BF">
        <w:t xml:space="preserve">given that </w:t>
      </w:r>
      <w:proofErr w:type="spellStart"/>
      <w:r w:rsidR="009861BF">
        <w:t>erenumab</w:t>
      </w:r>
      <w:proofErr w:type="spellEnd"/>
      <w:r w:rsidR="009861BF">
        <w:t xml:space="preserve"> has been shown to be beneficial for patients with episodic migraine, PBAC noted the risk of leakage to a much broader population. </w:t>
      </w:r>
      <w:r w:rsidR="000C713D">
        <w:t>Further, the PBAC noted that the im</w:t>
      </w:r>
      <w:r w:rsidR="00E54FB4">
        <w:t xml:space="preserve">pact of increasing prescribers (for example, </w:t>
      </w:r>
      <w:r w:rsidR="000C713D">
        <w:t xml:space="preserve">pain/headache specialists) who can initiate treatment had not been factored in the utilisation estimates. </w:t>
      </w:r>
    </w:p>
    <w:p w:rsidR="001458C2" w:rsidRDefault="00E12822" w:rsidP="00F465FE">
      <w:pPr>
        <w:widowControl w:val="0"/>
        <w:numPr>
          <w:ilvl w:val="1"/>
          <w:numId w:val="3"/>
        </w:numPr>
        <w:spacing w:after="120"/>
        <w:rPr>
          <w:rFonts w:asciiTheme="minorHAnsi" w:hAnsiTheme="minorHAnsi"/>
          <w:bCs/>
          <w:lang w:val="en-GB"/>
        </w:rPr>
      </w:pPr>
      <w:r>
        <w:rPr>
          <w:rFonts w:asciiTheme="minorHAnsi" w:hAnsiTheme="minorHAnsi"/>
          <w:bCs/>
          <w:lang w:val="en-GB"/>
        </w:rPr>
        <w:t xml:space="preserve">The PBAC re-iterated that </w:t>
      </w:r>
      <w:proofErr w:type="spellStart"/>
      <w:r>
        <w:rPr>
          <w:rFonts w:asciiTheme="minorHAnsi" w:hAnsiTheme="minorHAnsi"/>
          <w:bCs/>
          <w:lang w:val="en-GB"/>
        </w:rPr>
        <w:t>erenumab</w:t>
      </w:r>
      <w:proofErr w:type="spellEnd"/>
      <w:r>
        <w:rPr>
          <w:rFonts w:asciiTheme="minorHAnsi" w:hAnsiTheme="minorHAnsi"/>
          <w:bCs/>
          <w:lang w:val="en-GB"/>
        </w:rPr>
        <w:t xml:space="preserve"> has been shown to provide a clinical benefit to a </w:t>
      </w:r>
      <w:r w:rsidR="001458C2">
        <w:rPr>
          <w:rFonts w:asciiTheme="minorHAnsi" w:hAnsiTheme="minorHAnsi"/>
          <w:bCs/>
          <w:lang w:val="en-GB"/>
        </w:rPr>
        <w:t xml:space="preserve">large </w:t>
      </w:r>
      <w:r>
        <w:rPr>
          <w:rFonts w:asciiTheme="minorHAnsi" w:hAnsiTheme="minorHAnsi"/>
          <w:bCs/>
          <w:lang w:val="en-GB"/>
        </w:rPr>
        <w:t xml:space="preserve">population </w:t>
      </w:r>
      <w:r w:rsidR="001458C2">
        <w:rPr>
          <w:rFonts w:asciiTheme="minorHAnsi" w:hAnsiTheme="minorHAnsi"/>
          <w:bCs/>
          <w:lang w:val="en-GB"/>
        </w:rPr>
        <w:t xml:space="preserve">of Australian </w:t>
      </w:r>
      <w:r>
        <w:rPr>
          <w:rFonts w:asciiTheme="minorHAnsi" w:hAnsiTheme="minorHAnsi"/>
          <w:bCs/>
          <w:lang w:val="en-GB"/>
        </w:rPr>
        <w:t xml:space="preserve">with </w:t>
      </w:r>
      <w:r w:rsidR="001458C2">
        <w:rPr>
          <w:rFonts w:asciiTheme="minorHAnsi" w:hAnsiTheme="minorHAnsi"/>
          <w:bCs/>
          <w:lang w:val="en-GB"/>
        </w:rPr>
        <w:t>a</w:t>
      </w:r>
      <w:r>
        <w:rPr>
          <w:rFonts w:asciiTheme="minorHAnsi" w:hAnsiTheme="minorHAnsi"/>
          <w:bCs/>
          <w:lang w:val="en-GB"/>
        </w:rPr>
        <w:t xml:space="preserve"> need</w:t>
      </w:r>
      <w:r w:rsidR="00B321A7">
        <w:rPr>
          <w:rFonts w:asciiTheme="minorHAnsi" w:hAnsiTheme="minorHAnsi"/>
          <w:bCs/>
          <w:lang w:val="en-GB"/>
        </w:rPr>
        <w:t xml:space="preserve"> for new treatment options.</w:t>
      </w:r>
      <w:r>
        <w:rPr>
          <w:rFonts w:asciiTheme="minorHAnsi" w:hAnsiTheme="minorHAnsi"/>
          <w:bCs/>
          <w:lang w:val="en-GB"/>
        </w:rPr>
        <w:t xml:space="preserve"> </w:t>
      </w:r>
      <w:r w:rsidR="00F465FE" w:rsidRPr="00426BFB">
        <w:rPr>
          <w:rFonts w:asciiTheme="minorHAnsi" w:hAnsiTheme="minorHAnsi"/>
          <w:bCs/>
          <w:lang w:val="en-GB"/>
        </w:rPr>
        <w:t xml:space="preserve">The PBAC considered that any resubmission </w:t>
      </w:r>
      <w:r w:rsidR="00AB155B">
        <w:rPr>
          <w:rFonts w:asciiTheme="minorHAnsi" w:hAnsiTheme="minorHAnsi"/>
          <w:bCs/>
          <w:lang w:val="en-GB"/>
        </w:rPr>
        <w:t>should</w:t>
      </w:r>
      <w:r w:rsidR="00F465FE" w:rsidRPr="00426BFB">
        <w:rPr>
          <w:rFonts w:asciiTheme="minorHAnsi" w:hAnsiTheme="minorHAnsi"/>
          <w:bCs/>
          <w:lang w:val="en-GB"/>
        </w:rPr>
        <w:t xml:space="preserve"> be a major submission</w:t>
      </w:r>
      <w:r w:rsidR="00AB155B">
        <w:rPr>
          <w:rFonts w:asciiTheme="minorHAnsi" w:hAnsiTheme="minorHAnsi"/>
          <w:bCs/>
          <w:lang w:val="en-GB"/>
        </w:rPr>
        <w:t>, and should</w:t>
      </w:r>
      <w:r w:rsidR="00B321A7">
        <w:rPr>
          <w:rFonts w:asciiTheme="minorHAnsi" w:hAnsiTheme="minorHAnsi"/>
          <w:bCs/>
          <w:lang w:val="en-GB"/>
        </w:rPr>
        <w:t>:</w:t>
      </w:r>
      <w:r w:rsidR="00AB155B">
        <w:rPr>
          <w:rFonts w:asciiTheme="minorHAnsi" w:hAnsiTheme="minorHAnsi"/>
          <w:bCs/>
          <w:lang w:val="en-GB"/>
        </w:rPr>
        <w:t xml:space="preserve"> </w:t>
      </w:r>
    </w:p>
    <w:p w:rsidR="001458C2" w:rsidRDefault="00AB155B" w:rsidP="0078396F">
      <w:pPr>
        <w:widowControl w:val="0"/>
        <w:numPr>
          <w:ilvl w:val="1"/>
          <w:numId w:val="46"/>
        </w:numPr>
        <w:spacing w:after="120"/>
        <w:ind w:left="1077" w:hanging="357"/>
        <w:rPr>
          <w:rFonts w:asciiTheme="minorHAnsi" w:hAnsiTheme="minorHAnsi"/>
          <w:bCs/>
          <w:lang w:val="en-GB"/>
        </w:rPr>
      </w:pPr>
      <w:r>
        <w:rPr>
          <w:rFonts w:asciiTheme="minorHAnsi" w:hAnsiTheme="minorHAnsi"/>
          <w:bCs/>
          <w:lang w:val="en-GB"/>
        </w:rPr>
        <w:t>re-evaluate</w:t>
      </w:r>
      <w:r w:rsidR="00B321A7">
        <w:rPr>
          <w:rFonts w:asciiTheme="minorHAnsi" w:hAnsiTheme="minorHAnsi"/>
          <w:bCs/>
          <w:lang w:val="en-GB"/>
        </w:rPr>
        <w:t xml:space="preserve"> and justify</w:t>
      </w:r>
      <w:r>
        <w:rPr>
          <w:rFonts w:asciiTheme="minorHAnsi" w:hAnsiTheme="minorHAnsi"/>
          <w:bCs/>
          <w:lang w:val="en-GB"/>
        </w:rPr>
        <w:t xml:space="preserve"> the clinical place of </w:t>
      </w:r>
      <w:proofErr w:type="spellStart"/>
      <w:r>
        <w:rPr>
          <w:rFonts w:asciiTheme="minorHAnsi" w:hAnsiTheme="minorHAnsi"/>
          <w:bCs/>
          <w:lang w:val="en-GB"/>
        </w:rPr>
        <w:t>erenumab</w:t>
      </w:r>
      <w:proofErr w:type="spellEnd"/>
      <w:r w:rsidR="00B321A7">
        <w:rPr>
          <w:rFonts w:asciiTheme="minorHAnsi" w:hAnsiTheme="minorHAnsi"/>
          <w:bCs/>
          <w:lang w:val="en-GB"/>
        </w:rPr>
        <w:t xml:space="preserve"> and the comparator(s)</w:t>
      </w:r>
      <w:r w:rsidR="00E607B3">
        <w:rPr>
          <w:rFonts w:asciiTheme="minorHAnsi" w:hAnsiTheme="minorHAnsi"/>
          <w:bCs/>
          <w:lang w:val="en-GB"/>
        </w:rPr>
        <w:t>, and how this aligns with the whole clinical trial population</w:t>
      </w:r>
      <w:r w:rsidR="00E54FB4">
        <w:rPr>
          <w:rFonts w:asciiTheme="minorHAnsi" w:hAnsiTheme="minorHAnsi"/>
          <w:bCs/>
          <w:lang w:val="en-GB"/>
        </w:rPr>
        <w:t xml:space="preserve"> and with the final product information with regards to the 70 mg and 140mg doses</w:t>
      </w:r>
      <w:r w:rsidR="00B321A7">
        <w:rPr>
          <w:rFonts w:asciiTheme="minorHAnsi" w:hAnsiTheme="minorHAnsi"/>
          <w:bCs/>
          <w:lang w:val="en-GB"/>
        </w:rPr>
        <w:t>;</w:t>
      </w:r>
    </w:p>
    <w:p w:rsidR="00B321A7" w:rsidRDefault="001458C2" w:rsidP="0078396F">
      <w:pPr>
        <w:widowControl w:val="0"/>
        <w:numPr>
          <w:ilvl w:val="1"/>
          <w:numId w:val="46"/>
        </w:numPr>
        <w:spacing w:after="120"/>
        <w:ind w:left="1077" w:hanging="357"/>
        <w:rPr>
          <w:rFonts w:asciiTheme="minorHAnsi" w:hAnsiTheme="minorHAnsi"/>
          <w:bCs/>
          <w:lang w:val="en-GB"/>
        </w:rPr>
      </w:pPr>
      <w:r>
        <w:rPr>
          <w:rFonts w:asciiTheme="minorHAnsi" w:hAnsiTheme="minorHAnsi"/>
          <w:bCs/>
          <w:lang w:val="en-GB"/>
        </w:rPr>
        <w:lastRenderedPageBreak/>
        <w:t xml:space="preserve">address the concerns raised by </w:t>
      </w:r>
      <w:r w:rsidR="000C713D">
        <w:rPr>
          <w:rFonts w:asciiTheme="minorHAnsi" w:hAnsiTheme="minorHAnsi"/>
          <w:bCs/>
          <w:lang w:val="en-GB"/>
        </w:rPr>
        <w:t xml:space="preserve">the PBAC, </w:t>
      </w:r>
      <w:r>
        <w:rPr>
          <w:rFonts w:asciiTheme="minorHAnsi" w:hAnsiTheme="minorHAnsi"/>
          <w:bCs/>
          <w:lang w:val="en-GB"/>
        </w:rPr>
        <w:t>ESC and D</w:t>
      </w:r>
      <w:r w:rsidR="00E54FB4">
        <w:rPr>
          <w:rFonts w:asciiTheme="minorHAnsi" w:hAnsiTheme="minorHAnsi"/>
          <w:bCs/>
          <w:lang w:val="en-GB"/>
        </w:rPr>
        <w:t>USC;</w:t>
      </w:r>
    </w:p>
    <w:p w:rsidR="001458C2" w:rsidRPr="00E607B3" w:rsidRDefault="001458C2" w:rsidP="0078396F">
      <w:pPr>
        <w:widowControl w:val="0"/>
        <w:numPr>
          <w:ilvl w:val="1"/>
          <w:numId w:val="46"/>
        </w:numPr>
        <w:spacing w:after="120"/>
        <w:ind w:left="1077" w:hanging="357"/>
        <w:rPr>
          <w:rFonts w:asciiTheme="minorHAnsi" w:hAnsiTheme="minorHAnsi"/>
          <w:bCs/>
          <w:lang w:val="en-GB"/>
        </w:rPr>
      </w:pPr>
      <w:r>
        <w:rPr>
          <w:rFonts w:asciiTheme="minorHAnsi" w:hAnsiTheme="minorHAnsi"/>
          <w:bCs/>
          <w:lang w:val="en-GB"/>
        </w:rPr>
        <w:t xml:space="preserve">based on the clinical evidence </w:t>
      </w:r>
      <w:r w:rsidR="00A863EB">
        <w:rPr>
          <w:rFonts w:asciiTheme="minorHAnsi" w:hAnsiTheme="minorHAnsi"/>
          <w:bCs/>
          <w:lang w:val="en-GB"/>
        </w:rPr>
        <w:t>and the</w:t>
      </w:r>
      <w:r>
        <w:rPr>
          <w:rFonts w:asciiTheme="minorHAnsi" w:hAnsiTheme="minorHAnsi"/>
          <w:bCs/>
          <w:lang w:val="en-GB"/>
        </w:rPr>
        <w:t xml:space="preserve"> uncertainty in assumption</w:t>
      </w:r>
      <w:r w:rsidR="00A863EB">
        <w:rPr>
          <w:rFonts w:asciiTheme="minorHAnsi" w:hAnsiTheme="minorHAnsi"/>
          <w:bCs/>
          <w:lang w:val="en-GB"/>
        </w:rPr>
        <w:t>s</w:t>
      </w:r>
      <w:r>
        <w:rPr>
          <w:rFonts w:asciiTheme="minorHAnsi" w:hAnsiTheme="minorHAnsi"/>
          <w:bCs/>
          <w:lang w:val="en-GB"/>
        </w:rPr>
        <w:t xml:space="preserve"> in the economic model, </w:t>
      </w:r>
      <w:proofErr w:type="spellStart"/>
      <w:r>
        <w:rPr>
          <w:rFonts w:asciiTheme="minorHAnsi" w:hAnsiTheme="minorHAnsi"/>
          <w:bCs/>
          <w:lang w:val="en-GB"/>
        </w:rPr>
        <w:t>erenumab</w:t>
      </w:r>
      <w:proofErr w:type="spellEnd"/>
      <w:r>
        <w:rPr>
          <w:rFonts w:asciiTheme="minorHAnsi" w:hAnsiTheme="minorHAnsi"/>
          <w:bCs/>
          <w:lang w:val="en-GB"/>
        </w:rPr>
        <w:t xml:space="preserve"> woul</w:t>
      </w:r>
      <w:r w:rsidR="00B321A7">
        <w:rPr>
          <w:rFonts w:asciiTheme="minorHAnsi" w:hAnsiTheme="minorHAnsi"/>
          <w:bCs/>
          <w:lang w:val="en-GB"/>
        </w:rPr>
        <w:t xml:space="preserve">d be cost-effective with an </w:t>
      </w:r>
      <w:r w:rsidR="00B321A7" w:rsidRPr="00E607B3">
        <w:rPr>
          <w:rFonts w:asciiTheme="minorHAnsi" w:hAnsiTheme="minorHAnsi"/>
          <w:bCs/>
          <w:lang w:val="en-GB"/>
        </w:rPr>
        <w:t>ICER</w:t>
      </w:r>
      <w:r w:rsidRPr="00E607B3">
        <w:rPr>
          <w:rFonts w:asciiTheme="minorHAnsi" w:hAnsiTheme="minorHAnsi"/>
          <w:bCs/>
          <w:lang w:val="en-GB"/>
        </w:rPr>
        <w:t xml:space="preserve"> </w:t>
      </w:r>
      <w:r w:rsidR="00B321A7" w:rsidRPr="00E607B3">
        <w:rPr>
          <w:rFonts w:asciiTheme="minorHAnsi" w:hAnsiTheme="minorHAnsi"/>
          <w:bCs/>
          <w:lang w:val="en-GB"/>
        </w:rPr>
        <w:t>between $15,000 - $45,000 per QALY, in line with the base case ICER of Botox for chronic migraine</w:t>
      </w:r>
      <w:r w:rsidR="0078396F">
        <w:rPr>
          <w:rFonts w:asciiTheme="minorHAnsi" w:hAnsiTheme="minorHAnsi"/>
          <w:bCs/>
          <w:lang w:val="en-GB"/>
        </w:rPr>
        <w:t>; and</w:t>
      </w:r>
    </w:p>
    <w:p w:rsidR="00F465FE" w:rsidRPr="00A863EB" w:rsidRDefault="00AB155B" w:rsidP="0078396F">
      <w:pPr>
        <w:widowControl w:val="0"/>
        <w:numPr>
          <w:ilvl w:val="1"/>
          <w:numId w:val="46"/>
        </w:numPr>
        <w:spacing w:after="120"/>
        <w:ind w:left="1077" w:hanging="357"/>
        <w:rPr>
          <w:rFonts w:asciiTheme="minorHAnsi" w:hAnsiTheme="minorHAnsi"/>
          <w:bCs/>
          <w:lang w:val="en-GB"/>
        </w:rPr>
      </w:pPr>
      <w:proofErr w:type="gramStart"/>
      <w:r w:rsidRPr="00A863EB">
        <w:rPr>
          <w:rFonts w:asciiTheme="minorHAnsi" w:hAnsiTheme="minorHAnsi"/>
          <w:bCs/>
          <w:lang w:val="en-GB"/>
        </w:rPr>
        <w:t>propose</w:t>
      </w:r>
      <w:proofErr w:type="gramEnd"/>
      <w:r w:rsidRPr="00A863EB">
        <w:rPr>
          <w:rFonts w:asciiTheme="minorHAnsi" w:hAnsiTheme="minorHAnsi"/>
          <w:bCs/>
          <w:lang w:val="en-GB"/>
        </w:rPr>
        <w:t xml:space="preserve"> a risk sharing arrangement including caps on Government expenditure, </w:t>
      </w:r>
      <w:r w:rsidR="001458C2" w:rsidRPr="00A863EB">
        <w:rPr>
          <w:rFonts w:asciiTheme="minorHAnsi" w:hAnsiTheme="minorHAnsi"/>
          <w:bCs/>
          <w:lang w:val="en-GB"/>
        </w:rPr>
        <w:t>preferably for</w:t>
      </w:r>
      <w:r w:rsidR="00E54FB4">
        <w:rPr>
          <w:rFonts w:asciiTheme="minorHAnsi" w:hAnsiTheme="minorHAnsi"/>
          <w:bCs/>
          <w:lang w:val="en-GB"/>
        </w:rPr>
        <w:t xml:space="preserve"> the treatment of all migraine.</w:t>
      </w:r>
    </w:p>
    <w:p w:rsidR="003B68A1" w:rsidRDefault="00F465FE" w:rsidP="00905BA2">
      <w:pPr>
        <w:pStyle w:val="Bulletpoints"/>
      </w:pPr>
      <w:r>
        <w:t xml:space="preserve">The PBAC noted that this submission is </w:t>
      </w:r>
      <w:r w:rsidR="00905BA2">
        <w:t xml:space="preserve">eligible for an </w:t>
      </w:r>
      <w:r w:rsidR="00E12822">
        <w:t>I</w:t>
      </w:r>
      <w:r w:rsidR="00905BA2">
        <w:t xml:space="preserve">ndependent </w:t>
      </w:r>
      <w:r w:rsidR="00E12822">
        <w:t>R</w:t>
      </w:r>
      <w:r w:rsidR="00905BA2">
        <w:t xml:space="preserve">eview. </w:t>
      </w:r>
    </w:p>
    <w:p w:rsidR="00545212" w:rsidRPr="00525B39" w:rsidRDefault="00545212" w:rsidP="00545212">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rsidR="0023495C" w:rsidRPr="00B03551" w:rsidRDefault="00545212" w:rsidP="0023495C">
      <w:pPr>
        <w:rPr>
          <w:rFonts w:asciiTheme="minorHAnsi" w:hAnsiTheme="minorHAnsi" w:cs="Arial"/>
          <w:bCs/>
          <w:snapToGrid w:val="0"/>
          <w:lang w:val="en-GB"/>
        </w:rPr>
      </w:pPr>
      <w:r w:rsidRPr="00525B39">
        <w:rPr>
          <w:rFonts w:asciiTheme="minorHAnsi" w:hAnsiTheme="minorHAnsi" w:cs="Arial"/>
          <w:bCs/>
          <w:snapToGrid w:val="0"/>
          <w:lang w:val="en-GB"/>
        </w:rPr>
        <w:t>Rejected</w:t>
      </w:r>
    </w:p>
    <w:p w:rsidR="0023495C" w:rsidRDefault="0023495C" w:rsidP="0023495C">
      <w:pPr>
        <w:pStyle w:val="PBACHeading1"/>
        <w:rPr>
          <w:snapToGrid/>
        </w:rPr>
      </w:pPr>
      <w:r>
        <w:rPr>
          <w:snapToGrid/>
        </w:rPr>
        <w:t xml:space="preserve">Context for Decision </w:t>
      </w:r>
    </w:p>
    <w:p w:rsidR="0023495C" w:rsidRPr="00C07617" w:rsidRDefault="0023495C" w:rsidP="0023495C">
      <w:pPr>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3495C" w:rsidRPr="0023495C" w:rsidRDefault="0023495C" w:rsidP="0023495C">
      <w:pPr>
        <w:pStyle w:val="PBACHeading1"/>
        <w:rPr>
          <w:snapToGrid/>
        </w:rPr>
      </w:pPr>
      <w:r w:rsidRPr="0023495C">
        <w:rPr>
          <w:snapToGrid/>
        </w:rPr>
        <w:t xml:space="preserve">Sponsor’s Comment </w:t>
      </w:r>
    </w:p>
    <w:p w:rsidR="00545212" w:rsidRPr="00B03551" w:rsidRDefault="008D249A" w:rsidP="0023495C">
      <w:r w:rsidRPr="008D249A">
        <w:rPr>
          <w:rFonts w:asciiTheme="minorHAnsi" w:hAnsiTheme="minorHAnsi" w:cs="Arial"/>
          <w:bCs/>
          <w:lang w:val="en-GB"/>
        </w:rPr>
        <w:t xml:space="preserve">Novartis remains committed to working with the PBAC to enable reimbursed access to </w:t>
      </w:r>
      <w:proofErr w:type="spellStart"/>
      <w:r w:rsidRPr="008D249A">
        <w:rPr>
          <w:rFonts w:asciiTheme="minorHAnsi" w:hAnsiTheme="minorHAnsi" w:cs="Arial"/>
          <w:bCs/>
          <w:lang w:val="en-GB"/>
        </w:rPr>
        <w:t>erenumab</w:t>
      </w:r>
      <w:proofErr w:type="spellEnd"/>
      <w:r w:rsidRPr="008D249A">
        <w:rPr>
          <w:rFonts w:asciiTheme="minorHAnsi" w:hAnsiTheme="minorHAnsi" w:cs="Arial"/>
          <w:bCs/>
          <w:lang w:val="en-GB"/>
        </w:rPr>
        <w:t xml:space="preserve"> for Australian patients with migraine.</w:t>
      </w:r>
    </w:p>
    <w:sectPr w:rsidR="00545212" w:rsidRPr="00B03551" w:rsidSect="00F5172B">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0038A" w15:done="0"/>
  <w15:commentEx w15:paraId="06E6CE89" w15:done="0"/>
  <w15:commentEx w15:paraId="37B5D6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A2FC8" w16cid:durableId="1ED37980"/>
  <w16cid:commentId w16cid:paraId="6237A43F" w16cid:durableId="1ED37981"/>
  <w16cid:commentId w16cid:paraId="236B3981" w16cid:durableId="1ED37982"/>
  <w16cid:commentId w16cid:paraId="0F20CED9" w16cid:durableId="1ED379DE"/>
  <w16cid:commentId w16cid:paraId="37D98EDE" w16cid:durableId="1ED37983"/>
  <w16cid:commentId w16cid:paraId="79DB6273" w16cid:durableId="1ED37984"/>
  <w16cid:commentId w16cid:paraId="33308091" w16cid:durableId="1ED37A0C"/>
  <w16cid:commentId w16cid:paraId="696548F6" w16cid:durableId="1ED37985"/>
  <w16cid:commentId w16cid:paraId="4C2F6AC5" w16cid:durableId="1ED37986"/>
  <w16cid:commentId w16cid:paraId="05E32013" w16cid:durableId="1ED37987"/>
  <w16cid:commentId w16cid:paraId="4766CB82" w16cid:durableId="1ED37988"/>
  <w16cid:commentId w16cid:paraId="04EF8EDF" w16cid:durableId="1ED37989"/>
  <w16cid:commentId w16cid:paraId="0BD329DA" w16cid:durableId="1ED379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DF" w:rsidRDefault="00AF24DF" w:rsidP="00124A51">
      <w:r>
        <w:separator/>
      </w:r>
    </w:p>
    <w:p w:rsidR="00AF24DF" w:rsidRDefault="00AF24DF"/>
  </w:endnote>
  <w:endnote w:type="continuationSeparator" w:id="0">
    <w:p w:rsidR="00AF24DF" w:rsidRDefault="00AF24DF" w:rsidP="00124A51">
      <w:r>
        <w:continuationSeparator/>
      </w:r>
    </w:p>
    <w:p w:rsidR="00AF24DF" w:rsidRDefault="00AF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9C" w:rsidRDefault="001D659C">
    <w:pPr>
      <w:pStyle w:val="Footer"/>
      <w:jc w:val="center"/>
    </w:pPr>
  </w:p>
  <w:p w:rsidR="001D659C" w:rsidRPr="0034395F" w:rsidRDefault="00A94C23" w:rsidP="0034395F">
    <w:pPr>
      <w:pStyle w:val="Footer"/>
      <w:jc w:val="center"/>
    </w:pPr>
    <w:sdt>
      <w:sdtPr>
        <w:id w:val="-2014754305"/>
        <w:docPartObj>
          <w:docPartGallery w:val="Page Numbers (Bottom of Page)"/>
          <w:docPartUnique/>
        </w:docPartObj>
      </w:sdtPr>
      <w:sdtEndPr>
        <w:rPr>
          <w:noProof/>
        </w:rPr>
      </w:sdtEndPr>
      <w:sdtContent>
        <w:r w:rsidR="001D659C">
          <w:fldChar w:fldCharType="begin"/>
        </w:r>
        <w:r w:rsidR="001D659C">
          <w:instrText xml:space="preserve"> PAGE   \* MERGEFORMAT </w:instrText>
        </w:r>
        <w:r w:rsidR="001D659C">
          <w:fldChar w:fldCharType="separate"/>
        </w:r>
        <w:r>
          <w:rPr>
            <w:noProof/>
          </w:rPr>
          <w:t>22</w:t>
        </w:r>
        <w:r w:rsidR="001D659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DF" w:rsidRDefault="00AF24DF" w:rsidP="00124A51">
      <w:r>
        <w:separator/>
      </w:r>
    </w:p>
    <w:p w:rsidR="00AF24DF" w:rsidRDefault="00AF24DF"/>
  </w:footnote>
  <w:footnote w:type="continuationSeparator" w:id="0">
    <w:p w:rsidR="00AF24DF" w:rsidRDefault="00AF24DF" w:rsidP="00124A51">
      <w:r>
        <w:continuationSeparator/>
      </w:r>
    </w:p>
    <w:p w:rsidR="00AF24DF" w:rsidRDefault="00AF24DF"/>
  </w:footnote>
  <w:footnote w:id="1">
    <w:p w:rsidR="001D659C" w:rsidRDefault="001D659C" w:rsidP="00592B00">
      <w:pPr>
        <w:pStyle w:val="FootnoteText"/>
      </w:pPr>
      <w:r w:rsidRPr="00EC6C9B">
        <w:rPr>
          <w:rStyle w:val="FootnoteReference"/>
          <w:rFonts w:asciiTheme="minorHAnsi" w:hAnsiTheme="minorHAnsi"/>
        </w:rPr>
        <w:footnoteRef/>
      </w:r>
      <w:r w:rsidRPr="00EC6C9B">
        <w:rPr>
          <w:rFonts w:asciiTheme="minorHAnsi" w:hAnsiTheme="minorHAnsi"/>
        </w:rPr>
        <w:t xml:space="preserve"> </w:t>
      </w:r>
      <w:proofErr w:type="gramStart"/>
      <w:r w:rsidRPr="00EC6C9B">
        <w:rPr>
          <w:rFonts w:asciiTheme="minorHAnsi" w:hAnsiTheme="minorHAnsi"/>
          <w:szCs w:val="24"/>
        </w:rPr>
        <w:t>Department of Health.</w:t>
      </w:r>
      <w:proofErr w:type="gramEnd"/>
      <w:r w:rsidRPr="00EC6C9B">
        <w:rPr>
          <w:rFonts w:asciiTheme="minorHAnsi" w:hAnsiTheme="minorHAnsi"/>
          <w:szCs w:val="24"/>
        </w:rPr>
        <w:t xml:space="preserve"> Botulinum toxin type A for chronic migraine: 24-month predicted versus actual an</w:t>
      </w:r>
      <w:r>
        <w:rPr>
          <w:szCs w:val="24"/>
        </w:rPr>
        <w:t>alysis.</w:t>
      </w:r>
      <w:r w:rsidRPr="00C12CE9">
        <w:rPr>
          <w:szCs w:val="24"/>
        </w:rPr>
        <w:t xml:space="preserve"> Canb</w:t>
      </w:r>
      <w:r>
        <w:rPr>
          <w:szCs w:val="24"/>
        </w:rPr>
        <w:t>erra: Department of Health; 2017</w:t>
      </w:r>
      <w:r w:rsidRPr="00C12CE9">
        <w:rPr>
          <w:szCs w:val="24"/>
        </w:rPr>
        <w:t xml:space="preserve">. </w:t>
      </w:r>
      <w:proofErr w:type="gramStart"/>
      <w:r w:rsidRPr="00C12CE9">
        <w:rPr>
          <w:szCs w:val="24"/>
        </w:rPr>
        <w:t>Available from</w:t>
      </w:r>
      <w:r>
        <w:rPr>
          <w:szCs w:val="24"/>
        </w:rPr>
        <w:t xml:space="preserve"> the </w:t>
      </w:r>
      <w:hyperlink r:id="rId1" w:history="1">
        <w:r w:rsidRPr="00B20FDD">
          <w:rPr>
            <w:rStyle w:val="Hyperlink"/>
            <w:szCs w:val="24"/>
          </w:rPr>
          <w:t>PBS website</w:t>
        </w:r>
      </w:hyperlink>
      <w:r>
        <w:rPr>
          <w:szCs w:val="24"/>
        </w:rPr>
        <w:t>.</w:t>
      </w:r>
      <w:proofErr w:type="gramEnd"/>
    </w:p>
  </w:footnote>
  <w:footnote w:id="2">
    <w:p w:rsidR="001D659C" w:rsidRDefault="001D659C" w:rsidP="006627D3">
      <w:pPr>
        <w:pStyle w:val="FootnoteText"/>
      </w:pPr>
      <w:r>
        <w:rPr>
          <w:rStyle w:val="FootnoteReference"/>
        </w:rPr>
        <w:footnoteRef/>
      </w:r>
      <w:r>
        <w:t xml:space="preserve"> Sourced from: </w:t>
      </w:r>
      <w:hyperlink r:id="rId2" w:history="1">
        <w:r w:rsidRPr="00966B7D">
          <w:rPr>
            <w:rStyle w:val="Hyperlink"/>
          </w:rPr>
          <w:t>http://headacheaustralia.org.au/migraine/chronic-migraine/</w:t>
        </w:r>
      </w:hyperlink>
      <w:r>
        <w:t>.  This source also cites a chronic migraine fact sheet which states that the number of Australian adults with chronic migraine is approximately 450,000 or about 2% of the total population (</w:t>
      </w:r>
      <w:hyperlink r:id="rId3" w:history="1">
        <w:r w:rsidRPr="00966B7D">
          <w:rPr>
            <w:rStyle w:val="Hyperlink"/>
          </w:rPr>
          <w:t>http://headacheaustralia.org.au/wp-content/uploads/2015/06/Chronic_Migraine_Fact_Sheet_FINAL.pdf</w:t>
        </w:r>
      </w:hyperlink>
      <w:r>
        <w:t>).</w:t>
      </w:r>
    </w:p>
  </w:footnote>
  <w:footnote w:id="3">
    <w:p w:rsidR="001D659C" w:rsidRPr="0078396F" w:rsidRDefault="001D659C">
      <w:pPr>
        <w:pStyle w:val="FootnoteText"/>
      </w:pPr>
      <w:r w:rsidRPr="0078396F">
        <w:rPr>
          <w:rStyle w:val="FootnoteReference"/>
        </w:rPr>
        <w:footnoteRef/>
      </w:r>
      <w:r w:rsidRPr="0078396F">
        <w:t xml:space="preserve"> http://dx.doi.org/10.1136/jnnp-2017-316074.60</w:t>
      </w:r>
    </w:p>
  </w:footnote>
  <w:footnote w:id="4">
    <w:p w:rsidR="001D659C" w:rsidRPr="0078396F" w:rsidRDefault="001D659C">
      <w:pPr>
        <w:pStyle w:val="FootnoteText"/>
      </w:pPr>
      <w:r w:rsidRPr="0078396F">
        <w:rPr>
          <w:rStyle w:val="FootnoteReference"/>
        </w:rPr>
        <w:footnoteRef/>
      </w:r>
      <w:r w:rsidRPr="0078396F">
        <w:t xml:space="preserve"> </w:t>
      </w:r>
      <w:proofErr w:type="spellStart"/>
      <w:r w:rsidRPr="0078396F">
        <w:t>Teixeira</w:t>
      </w:r>
      <w:proofErr w:type="spellEnd"/>
      <w:r w:rsidRPr="0078396F">
        <w:t xml:space="preserve">, A L, Costa, E A C, da Silva, </w:t>
      </w:r>
      <w:proofErr w:type="gramStart"/>
      <w:r w:rsidRPr="0078396F">
        <w:t>A</w:t>
      </w:r>
      <w:proofErr w:type="gramEnd"/>
      <w:r w:rsidRPr="0078396F">
        <w:t xml:space="preserve"> </w:t>
      </w:r>
      <w:proofErr w:type="spellStart"/>
      <w:r w:rsidRPr="0078396F">
        <w:t>A</w:t>
      </w:r>
      <w:proofErr w:type="spellEnd"/>
      <w:r w:rsidRPr="0078396F">
        <w:t xml:space="preserve"> (2012). </w:t>
      </w:r>
      <w:proofErr w:type="gramStart"/>
      <w:r w:rsidRPr="0078396F">
        <w:t>Psychiatric comorbidities of chronic migraine in community and tertiary care clinical samples.</w:t>
      </w:r>
      <w:proofErr w:type="gramEnd"/>
      <w:r w:rsidRPr="0078396F">
        <w:t xml:space="preserve"> The Journal of Headache and Pain 13: 480</w:t>
      </w:r>
    </w:p>
  </w:footnote>
  <w:footnote w:id="5">
    <w:p w:rsidR="001D659C" w:rsidRPr="00B86E59" w:rsidRDefault="001D659C" w:rsidP="00CE764C">
      <w:pPr>
        <w:pStyle w:val="FootnoteText"/>
      </w:pPr>
      <w:r w:rsidRPr="00B86E59">
        <w:rPr>
          <w:rStyle w:val="FootnoteReference"/>
        </w:rPr>
        <w:footnoteRef/>
      </w:r>
      <w:r w:rsidRPr="00B86E59">
        <w:t xml:space="preserve"> Stafford et al (2012). EQ-5D™-derived utility values for different levels of migraine severity from a UK sample of </w:t>
      </w:r>
      <w:proofErr w:type="spellStart"/>
      <w:r w:rsidRPr="00B86E59">
        <w:t>Migraineurs</w:t>
      </w:r>
      <w:proofErr w:type="spellEnd"/>
      <w:r w:rsidRPr="00B86E59">
        <w:t>. Health and Quality of Life Outcomes 2012, 10:65</w:t>
      </w:r>
    </w:p>
  </w:footnote>
  <w:footnote w:id="6">
    <w:p w:rsidR="001D659C" w:rsidRPr="00B86E59" w:rsidRDefault="001D659C">
      <w:pPr>
        <w:pStyle w:val="FootnoteText"/>
      </w:pPr>
      <w:r w:rsidRPr="00B86E59">
        <w:rPr>
          <w:rStyle w:val="FootnoteReference"/>
        </w:rPr>
        <w:footnoteRef/>
      </w:r>
      <w:r w:rsidRPr="00B86E59">
        <w:t xml:space="preserve"> </w:t>
      </w:r>
      <w:proofErr w:type="gramStart"/>
      <w:r w:rsidRPr="00B86E59">
        <w:t>Sanderson, J C, et al (2013).</w:t>
      </w:r>
      <w:proofErr w:type="gramEnd"/>
      <w:r w:rsidRPr="00B86E59">
        <w:t xml:space="preserve"> </w:t>
      </w:r>
      <w:proofErr w:type="gramStart"/>
      <w:r w:rsidRPr="00B86E59">
        <w:t>Headache-related health resource utilisation in chronic and episodic migraine across six countries.</w:t>
      </w:r>
      <w:proofErr w:type="gramEnd"/>
      <w:r w:rsidRPr="00B86E59">
        <w:t xml:space="preserve"> </w:t>
      </w:r>
      <w:proofErr w:type="gramStart"/>
      <w:r w:rsidRPr="00B86E59">
        <w:t>Journal of Neurology, Neurosurgery &amp; Psychiatry 2013, 84.</w:t>
      </w:r>
      <w:proofErr w:type="gramEnd"/>
      <w:r w:rsidRPr="00B86E59">
        <w:t xml:space="preserve"> 1309–1317</w:t>
      </w:r>
    </w:p>
  </w:footnote>
  <w:footnote w:id="7">
    <w:p w:rsidR="001D659C" w:rsidRPr="00B86E59" w:rsidRDefault="001D659C" w:rsidP="00AF12B6">
      <w:pPr>
        <w:pStyle w:val="FootnoteText"/>
      </w:pPr>
      <w:r w:rsidRPr="00B86E59">
        <w:rPr>
          <w:rStyle w:val="FootnoteReference"/>
        </w:rPr>
        <w:footnoteRef/>
      </w:r>
      <w:r w:rsidRPr="00B86E59">
        <w:t xml:space="preserve"> Brown JS, Neumann PJ, Papadopoulos G, </w:t>
      </w:r>
      <w:proofErr w:type="spellStart"/>
      <w:r w:rsidRPr="00B86E59">
        <w:t>Ruoff</w:t>
      </w:r>
      <w:proofErr w:type="spellEnd"/>
      <w:r w:rsidRPr="00B86E59">
        <w:t xml:space="preserve"> G, Diamond M, </w:t>
      </w:r>
      <w:proofErr w:type="spellStart"/>
      <w:r w:rsidRPr="00B86E59">
        <w:t>Menzin</w:t>
      </w:r>
      <w:proofErr w:type="spellEnd"/>
      <w:r w:rsidRPr="00B86E59">
        <w:t xml:space="preserve"> J. Migraine frequency and health utilities: findings from a multisite survey. </w:t>
      </w:r>
      <w:proofErr w:type="gramStart"/>
      <w:r w:rsidRPr="00B86E59">
        <w:t>Value Health.</w:t>
      </w:r>
      <w:proofErr w:type="gramEnd"/>
      <w:r w:rsidRPr="00B86E59">
        <w:t xml:space="preserve"> 2008 11(2):315-21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9C" w:rsidRPr="0023495C" w:rsidRDefault="001D659C" w:rsidP="0023495C">
    <w:pPr>
      <w:pStyle w:val="Header"/>
      <w:jc w:val="center"/>
      <w:rPr>
        <w:rFonts w:asciiTheme="minorHAnsi" w:eastAsiaTheme="minorHAnsi" w:hAnsiTheme="minorHAnsi" w:cstheme="minorHAnsi"/>
        <w:i/>
        <w:color w:val="808080"/>
        <w:sz w:val="22"/>
        <w:szCs w:val="22"/>
      </w:rPr>
    </w:pPr>
    <w:r w:rsidRPr="0011352E">
      <w:rPr>
        <w:rFonts w:asciiTheme="minorHAnsi" w:hAnsiTheme="minorHAnsi" w:cs="Arial"/>
        <w:i/>
        <w:sz w:val="22"/>
      </w:rPr>
      <w:t xml:space="preserve"> </w:t>
    </w:r>
    <w:r w:rsidRPr="0023495C">
      <w:rPr>
        <w:rFonts w:asciiTheme="minorHAnsi" w:eastAsiaTheme="minorHAnsi" w:hAnsiTheme="minorHAnsi" w:cstheme="minorHAnsi"/>
        <w:i/>
        <w:color w:val="808080"/>
        <w:sz w:val="22"/>
        <w:szCs w:val="22"/>
      </w:rPr>
      <w:t xml:space="preserve">Public Summary Document – </w:t>
    </w:r>
    <w:r>
      <w:rPr>
        <w:rFonts w:asciiTheme="minorHAnsi" w:eastAsiaTheme="minorHAnsi" w:hAnsiTheme="minorHAnsi" w:cstheme="minorHAnsi"/>
        <w:i/>
        <w:color w:val="808080"/>
        <w:sz w:val="22"/>
        <w:szCs w:val="22"/>
      </w:rPr>
      <w:t>July 2018</w:t>
    </w:r>
    <w:r w:rsidRPr="0023495C">
      <w:rPr>
        <w:rFonts w:asciiTheme="minorHAnsi" w:eastAsiaTheme="minorHAnsi" w:hAnsiTheme="minorHAnsi" w:cstheme="minorHAnsi"/>
        <w:i/>
        <w:color w:val="808080"/>
        <w:sz w:val="22"/>
        <w:szCs w:val="22"/>
      </w:rPr>
      <w:t xml:space="preserve"> PBAC Meeting</w:t>
    </w:r>
  </w:p>
  <w:p w:rsidR="001D659C" w:rsidRPr="0034395F" w:rsidRDefault="001D659C" w:rsidP="0023495C">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B6EC1"/>
    <w:multiLevelType w:val="hybridMultilevel"/>
    <w:tmpl w:val="0734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E233C"/>
    <w:multiLevelType w:val="hybridMultilevel"/>
    <w:tmpl w:val="D210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07B67"/>
    <w:multiLevelType w:val="hybridMultilevel"/>
    <w:tmpl w:val="DEC26C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422025D"/>
    <w:multiLevelType w:val="hybridMultilevel"/>
    <w:tmpl w:val="D0B2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56BA3"/>
    <w:multiLevelType w:val="hybridMultilevel"/>
    <w:tmpl w:val="33BC3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30C9"/>
    <w:multiLevelType w:val="hybridMultilevel"/>
    <w:tmpl w:val="7546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669FD"/>
    <w:multiLevelType w:val="hybridMultilevel"/>
    <w:tmpl w:val="B1D021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9AF0F27"/>
    <w:multiLevelType w:val="hybridMultilevel"/>
    <w:tmpl w:val="5554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D560F"/>
    <w:multiLevelType w:val="hybridMultilevel"/>
    <w:tmpl w:val="507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33C50"/>
    <w:multiLevelType w:val="hybridMultilevel"/>
    <w:tmpl w:val="0F2A12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0CE30CF"/>
    <w:multiLevelType w:val="hybridMultilevel"/>
    <w:tmpl w:val="571A1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679EB"/>
    <w:multiLevelType w:val="hybridMultilevel"/>
    <w:tmpl w:val="14AEC47C"/>
    <w:lvl w:ilvl="0" w:tplc="49A2384A">
      <w:start w:val="1"/>
      <w:numFmt w:val="bullet"/>
      <w:lvlText w:val="•"/>
      <w:lvlJc w:val="left"/>
      <w:pPr>
        <w:tabs>
          <w:tab w:val="num" w:pos="720"/>
        </w:tabs>
        <w:ind w:left="720" w:hanging="360"/>
      </w:pPr>
      <w:rPr>
        <w:rFonts w:ascii="Arial" w:hAnsi="Arial" w:hint="default"/>
      </w:rPr>
    </w:lvl>
    <w:lvl w:ilvl="1" w:tplc="FB5E0AE0" w:tentative="1">
      <w:start w:val="1"/>
      <w:numFmt w:val="bullet"/>
      <w:lvlText w:val="•"/>
      <w:lvlJc w:val="left"/>
      <w:pPr>
        <w:tabs>
          <w:tab w:val="num" w:pos="1440"/>
        </w:tabs>
        <w:ind w:left="1440" w:hanging="360"/>
      </w:pPr>
      <w:rPr>
        <w:rFonts w:ascii="Arial" w:hAnsi="Arial" w:hint="default"/>
      </w:rPr>
    </w:lvl>
    <w:lvl w:ilvl="2" w:tplc="7708E600" w:tentative="1">
      <w:start w:val="1"/>
      <w:numFmt w:val="bullet"/>
      <w:lvlText w:val="•"/>
      <w:lvlJc w:val="left"/>
      <w:pPr>
        <w:tabs>
          <w:tab w:val="num" w:pos="2160"/>
        </w:tabs>
        <w:ind w:left="2160" w:hanging="360"/>
      </w:pPr>
      <w:rPr>
        <w:rFonts w:ascii="Arial" w:hAnsi="Arial" w:hint="default"/>
      </w:rPr>
    </w:lvl>
    <w:lvl w:ilvl="3" w:tplc="2606017E" w:tentative="1">
      <w:start w:val="1"/>
      <w:numFmt w:val="bullet"/>
      <w:lvlText w:val="•"/>
      <w:lvlJc w:val="left"/>
      <w:pPr>
        <w:tabs>
          <w:tab w:val="num" w:pos="2880"/>
        </w:tabs>
        <w:ind w:left="2880" w:hanging="360"/>
      </w:pPr>
      <w:rPr>
        <w:rFonts w:ascii="Arial" w:hAnsi="Arial" w:hint="default"/>
      </w:rPr>
    </w:lvl>
    <w:lvl w:ilvl="4" w:tplc="BEF41A8E" w:tentative="1">
      <w:start w:val="1"/>
      <w:numFmt w:val="bullet"/>
      <w:lvlText w:val="•"/>
      <w:lvlJc w:val="left"/>
      <w:pPr>
        <w:tabs>
          <w:tab w:val="num" w:pos="3600"/>
        </w:tabs>
        <w:ind w:left="3600" w:hanging="360"/>
      </w:pPr>
      <w:rPr>
        <w:rFonts w:ascii="Arial" w:hAnsi="Arial" w:hint="default"/>
      </w:rPr>
    </w:lvl>
    <w:lvl w:ilvl="5" w:tplc="1DB4DBB6" w:tentative="1">
      <w:start w:val="1"/>
      <w:numFmt w:val="bullet"/>
      <w:lvlText w:val="•"/>
      <w:lvlJc w:val="left"/>
      <w:pPr>
        <w:tabs>
          <w:tab w:val="num" w:pos="4320"/>
        </w:tabs>
        <w:ind w:left="4320" w:hanging="360"/>
      </w:pPr>
      <w:rPr>
        <w:rFonts w:ascii="Arial" w:hAnsi="Arial" w:hint="default"/>
      </w:rPr>
    </w:lvl>
    <w:lvl w:ilvl="6" w:tplc="54B89D4E" w:tentative="1">
      <w:start w:val="1"/>
      <w:numFmt w:val="bullet"/>
      <w:lvlText w:val="•"/>
      <w:lvlJc w:val="left"/>
      <w:pPr>
        <w:tabs>
          <w:tab w:val="num" w:pos="5040"/>
        </w:tabs>
        <w:ind w:left="5040" w:hanging="360"/>
      </w:pPr>
      <w:rPr>
        <w:rFonts w:ascii="Arial" w:hAnsi="Arial" w:hint="default"/>
      </w:rPr>
    </w:lvl>
    <w:lvl w:ilvl="7" w:tplc="20A6D678" w:tentative="1">
      <w:start w:val="1"/>
      <w:numFmt w:val="bullet"/>
      <w:lvlText w:val="•"/>
      <w:lvlJc w:val="left"/>
      <w:pPr>
        <w:tabs>
          <w:tab w:val="num" w:pos="5760"/>
        </w:tabs>
        <w:ind w:left="5760" w:hanging="360"/>
      </w:pPr>
      <w:rPr>
        <w:rFonts w:ascii="Arial" w:hAnsi="Arial" w:hint="default"/>
      </w:rPr>
    </w:lvl>
    <w:lvl w:ilvl="8" w:tplc="3A44AE8A" w:tentative="1">
      <w:start w:val="1"/>
      <w:numFmt w:val="bullet"/>
      <w:lvlText w:val="•"/>
      <w:lvlJc w:val="left"/>
      <w:pPr>
        <w:tabs>
          <w:tab w:val="num" w:pos="6480"/>
        </w:tabs>
        <w:ind w:left="6480" w:hanging="360"/>
      </w:pPr>
      <w:rPr>
        <w:rFonts w:ascii="Arial" w:hAnsi="Arial" w:hint="default"/>
      </w:rPr>
    </w:lvl>
  </w:abstractNum>
  <w:abstractNum w:abstractNumId="13">
    <w:nsid w:val="2E256F2B"/>
    <w:multiLevelType w:val="hybridMultilevel"/>
    <w:tmpl w:val="D7708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E1D31"/>
    <w:multiLevelType w:val="multilevel"/>
    <w:tmpl w:val="E692F1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A50F5A"/>
    <w:multiLevelType w:val="hybridMultilevel"/>
    <w:tmpl w:val="3D5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55724"/>
    <w:multiLevelType w:val="hybridMultilevel"/>
    <w:tmpl w:val="A7D8743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A83036B"/>
    <w:multiLevelType w:val="hybridMultilevel"/>
    <w:tmpl w:val="8E805B4C"/>
    <w:lvl w:ilvl="0" w:tplc="64AA2A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C34E2"/>
    <w:multiLevelType w:val="hybridMultilevel"/>
    <w:tmpl w:val="651E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814F0D"/>
    <w:multiLevelType w:val="hybridMultilevel"/>
    <w:tmpl w:val="CA8264DC"/>
    <w:lvl w:ilvl="0" w:tplc="53E4B8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0CF1"/>
    <w:multiLevelType w:val="multilevel"/>
    <w:tmpl w:val="27622560"/>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2500A2"/>
    <w:multiLevelType w:val="multilevel"/>
    <w:tmpl w:val="E692F1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B2875A5"/>
    <w:multiLevelType w:val="hybridMultilevel"/>
    <w:tmpl w:val="4D8C6658"/>
    <w:lvl w:ilvl="0" w:tplc="CF184C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10D19"/>
    <w:multiLevelType w:val="multilevel"/>
    <w:tmpl w:val="5F3CFAC0"/>
    <w:lvl w:ilvl="0">
      <w:start w:val="1"/>
      <w:numFmt w:val="decimal"/>
      <w:lvlText w:val="%1"/>
      <w:lvlJc w:val="left"/>
      <w:pPr>
        <w:ind w:left="720" w:hanging="720"/>
      </w:pPr>
      <w:rPr>
        <w:rFonts w:ascii="Calibri" w:hAnsi="Calibri" w:hint="default"/>
        <w:b/>
        <w:sz w:val="32"/>
      </w:rPr>
    </w:lvl>
    <w:lvl w:ilvl="1">
      <w:start w:val="6"/>
      <w:numFmt w:val="decimal"/>
      <w:lvlText w:val="%1.%2"/>
      <w:lvlJc w:val="left"/>
      <w:pPr>
        <w:ind w:left="720" w:hanging="720"/>
      </w:pPr>
      <w:rPr>
        <w:rFonts w:ascii="Calibri" w:hAnsi="Calibr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EFF4AEF"/>
    <w:multiLevelType w:val="multilevel"/>
    <w:tmpl w:val="5FEAF6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11B3313"/>
    <w:multiLevelType w:val="hybridMultilevel"/>
    <w:tmpl w:val="56BCEE9A"/>
    <w:lvl w:ilvl="0" w:tplc="4C3051E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127C3"/>
    <w:multiLevelType w:val="hybridMultilevel"/>
    <w:tmpl w:val="414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4012F5"/>
    <w:multiLevelType w:val="hybridMultilevel"/>
    <w:tmpl w:val="D2BE7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FA1508"/>
    <w:multiLevelType w:val="multilevel"/>
    <w:tmpl w:val="145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A244C4"/>
    <w:multiLevelType w:val="multilevel"/>
    <w:tmpl w:val="8E805B4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B161A86"/>
    <w:multiLevelType w:val="hybridMultilevel"/>
    <w:tmpl w:val="5F8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3A7635"/>
    <w:multiLevelType w:val="multilevel"/>
    <w:tmpl w:val="E6FE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E797FBB"/>
    <w:multiLevelType w:val="hybridMultilevel"/>
    <w:tmpl w:val="EC0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8A2897"/>
    <w:multiLevelType w:val="hybridMultilevel"/>
    <w:tmpl w:val="E5F8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F4D05"/>
    <w:multiLevelType w:val="hybridMultilevel"/>
    <w:tmpl w:val="EEB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162E78"/>
    <w:multiLevelType w:val="hybridMultilevel"/>
    <w:tmpl w:val="9C02A74A"/>
    <w:lvl w:ilvl="0" w:tplc="366A03AC">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43C6D27"/>
    <w:multiLevelType w:val="hybridMultilevel"/>
    <w:tmpl w:val="B540C670"/>
    <w:lvl w:ilvl="0" w:tplc="B622B2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893F41"/>
    <w:multiLevelType w:val="hybridMultilevel"/>
    <w:tmpl w:val="C762A22A"/>
    <w:lvl w:ilvl="0" w:tplc="64AA2AD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4D033C"/>
    <w:multiLevelType w:val="multilevel"/>
    <w:tmpl w:val="4BE644F4"/>
    <w:lvl w:ilvl="0">
      <w:start w:val="1"/>
      <w:numFmt w:val="decimal"/>
      <w:pStyle w:val="PBACHeading1"/>
      <w:lvlText w:val="%1"/>
      <w:lvlJc w:val="left"/>
      <w:pPr>
        <w:ind w:left="720" w:hanging="720"/>
      </w:pPr>
      <w:rPr>
        <w:rFonts w:hint="default"/>
        <w:b/>
      </w:rPr>
    </w:lvl>
    <w:lvl w:ilvl="1">
      <w:start w:val="1"/>
      <w:numFmt w:val="decimal"/>
      <w:pStyle w:val="Bulletpoints"/>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EE33065"/>
    <w:multiLevelType w:val="multilevel"/>
    <w:tmpl w:val="C762A22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3"/>
  </w:num>
  <w:num w:numId="4">
    <w:abstractNumId w:val="25"/>
  </w:num>
  <w:num w:numId="5">
    <w:abstractNumId w:val="8"/>
  </w:num>
  <w:num w:numId="6">
    <w:abstractNumId w:val="6"/>
  </w:num>
  <w:num w:numId="7">
    <w:abstractNumId w:val="37"/>
  </w:num>
  <w:num w:numId="8">
    <w:abstractNumId w:val="15"/>
  </w:num>
  <w:num w:numId="9">
    <w:abstractNumId w:val="30"/>
  </w:num>
  <w:num w:numId="10">
    <w:abstractNumId w:val="4"/>
  </w:num>
  <w:num w:numId="11">
    <w:abstractNumId w:val="39"/>
  </w:num>
  <w:num w:numId="12">
    <w:abstractNumId w:val="2"/>
  </w:num>
  <w:num w:numId="13">
    <w:abstractNumId w:val="40"/>
  </w:num>
  <w:num w:numId="14">
    <w:abstractNumId w:val="5"/>
  </w:num>
  <w:num w:numId="15">
    <w:abstractNumId w:val="45"/>
  </w:num>
  <w:num w:numId="16">
    <w:abstractNumId w:val="31"/>
  </w:num>
  <w:num w:numId="17">
    <w:abstractNumId w:val="13"/>
  </w:num>
  <w:num w:numId="18">
    <w:abstractNumId w:val="11"/>
  </w:num>
  <w:num w:numId="19">
    <w:abstractNumId w:val="20"/>
  </w:num>
  <w:num w:numId="20">
    <w:abstractNumId w:val="23"/>
  </w:num>
  <w:num w:numId="21">
    <w:abstractNumId w:val="33"/>
  </w:num>
  <w:num w:numId="22">
    <w:abstractNumId w:val="28"/>
  </w:num>
  <w:num w:numId="23">
    <w:abstractNumId w:val="42"/>
  </w:num>
  <w:num w:numId="24">
    <w:abstractNumId w:val="18"/>
  </w:num>
  <w:num w:numId="25">
    <w:abstractNumId w:val="34"/>
  </w:num>
  <w:num w:numId="26">
    <w:abstractNumId w:val="26"/>
  </w:num>
  <w:num w:numId="27">
    <w:abstractNumId w:val="35"/>
  </w:num>
  <w:num w:numId="28">
    <w:abstractNumId w:val="21"/>
  </w:num>
  <w:num w:numId="29">
    <w:abstractNumId w:val="38"/>
  </w:num>
  <w:num w:numId="30">
    <w:abstractNumId w:val="44"/>
  </w:num>
  <w:num w:numId="31">
    <w:abstractNumId w:val="22"/>
  </w:num>
  <w:num w:numId="32">
    <w:abstractNumId w:val="36"/>
  </w:num>
  <w:num w:numId="33">
    <w:abstractNumId w:val="16"/>
  </w:num>
  <w:num w:numId="34">
    <w:abstractNumId w:val="32"/>
  </w:num>
  <w:num w:numId="35">
    <w:abstractNumId w:val="0"/>
  </w:num>
  <w:num w:numId="36">
    <w:abstractNumId w:val="29"/>
  </w:num>
  <w:num w:numId="37">
    <w:abstractNumId w:val="9"/>
  </w:num>
  <w:num w:numId="38">
    <w:abstractNumId w:val="17"/>
  </w:num>
  <w:num w:numId="39">
    <w:abstractNumId w:val="21"/>
  </w:num>
  <w:num w:numId="40">
    <w:abstractNumId w:val="41"/>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7"/>
  </w:num>
  <w:num w:numId="44">
    <w:abstractNumId w:val="24"/>
  </w:num>
  <w:num w:numId="45">
    <w:abstractNumId w:val="12"/>
  </w:num>
  <w:num w:numId="46">
    <w:abstractNumId w:val="14"/>
  </w:num>
  <w:num w:numId="47">
    <w:abstractNumId w:val="10"/>
  </w:num>
  <w:num w:numId="48">
    <w:abstractNumId w:val="7"/>
  </w:num>
  <w:numIdMacAtCleanup w:val="1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3701"/>
    <w:rsid w:val="000039B7"/>
    <w:rsid w:val="00004CBB"/>
    <w:rsid w:val="000053CD"/>
    <w:rsid w:val="000119E1"/>
    <w:rsid w:val="00012FD6"/>
    <w:rsid w:val="00013247"/>
    <w:rsid w:val="00013453"/>
    <w:rsid w:val="0001364C"/>
    <w:rsid w:val="000142AF"/>
    <w:rsid w:val="00015886"/>
    <w:rsid w:val="00015DE4"/>
    <w:rsid w:val="000162EF"/>
    <w:rsid w:val="00021404"/>
    <w:rsid w:val="0002225F"/>
    <w:rsid w:val="00023763"/>
    <w:rsid w:val="00023D02"/>
    <w:rsid w:val="000257C0"/>
    <w:rsid w:val="0002582C"/>
    <w:rsid w:val="00030121"/>
    <w:rsid w:val="00032A2B"/>
    <w:rsid w:val="00032C78"/>
    <w:rsid w:val="00032FAF"/>
    <w:rsid w:val="00033863"/>
    <w:rsid w:val="00034623"/>
    <w:rsid w:val="00035DC0"/>
    <w:rsid w:val="00036829"/>
    <w:rsid w:val="00036BF0"/>
    <w:rsid w:val="00040895"/>
    <w:rsid w:val="000420AE"/>
    <w:rsid w:val="00043C37"/>
    <w:rsid w:val="00045017"/>
    <w:rsid w:val="000450AD"/>
    <w:rsid w:val="0004590D"/>
    <w:rsid w:val="00045A2B"/>
    <w:rsid w:val="000460EE"/>
    <w:rsid w:val="0004698F"/>
    <w:rsid w:val="00047309"/>
    <w:rsid w:val="000473B1"/>
    <w:rsid w:val="00052F60"/>
    <w:rsid w:val="000539D0"/>
    <w:rsid w:val="00054621"/>
    <w:rsid w:val="000546D7"/>
    <w:rsid w:val="00054C0D"/>
    <w:rsid w:val="00056D4E"/>
    <w:rsid w:val="0006088F"/>
    <w:rsid w:val="000627DF"/>
    <w:rsid w:val="000634F2"/>
    <w:rsid w:val="000637D7"/>
    <w:rsid w:val="00064377"/>
    <w:rsid w:val="00064555"/>
    <w:rsid w:val="00064F17"/>
    <w:rsid w:val="000656B4"/>
    <w:rsid w:val="00066360"/>
    <w:rsid w:val="00070350"/>
    <w:rsid w:val="00071248"/>
    <w:rsid w:val="000720B9"/>
    <w:rsid w:val="000720ED"/>
    <w:rsid w:val="0007236A"/>
    <w:rsid w:val="000734A1"/>
    <w:rsid w:val="000737F7"/>
    <w:rsid w:val="0007672F"/>
    <w:rsid w:val="000768E8"/>
    <w:rsid w:val="000774F0"/>
    <w:rsid w:val="00080909"/>
    <w:rsid w:val="00080DFF"/>
    <w:rsid w:val="000812CA"/>
    <w:rsid w:val="000819C5"/>
    <w:rsid w:val="000820AF"/>
    <w:rsid w:val="000822E6"/>
    <w:rsid w:val="0008258D"/>
    <w:rsid w:val="00083DD0"/>
    <w:rsid w:val="00083E99"/>
    <w:rsid w:val="00084E00"/>
    <w:rsid w:val="000856C5"/>
    <w:rsid w:val="000860C0"/>
    <w:rsid w:val="00086C15"/>
    <w:rsid w:val="0009075E"/>
    <w:rsid w:val="00090AC6"/>
    <w:rsid w:val="00090C7E"/>
    <w:rsid w:val="00092600"/>
    <w:rsid w:val="0009262B"/>
    <w:rsid w:val="00092697"/>
    <w:rsid w:val="00092C47"/>
    <w:rsid w:val="00093310"/>
    <w:rsid w:val="00093A8F"/>
    <w:rsid w:val="00093D06"/>
    <w:rsid w:val="0009445C"/>
    <w:rsid w:val="00094CAB"/>
    <w:rsid w:val="000950BF"/>
    <w:rsid w:val="00095FE5"/>
    <w:rsid w:val="00096284"/>
    <w:rsid w:val="000A1AB0"/>
    <w:rsid w:val="000A3730"/>
    <w:rsid w:val="000A3B30"/>
    <w:rsid w:val="000A5B8E"/>
    <w:rsid w:val="000A7D08"/>
    <w:rsid w:val="000B0483"/>
    <w:rsid w:val="000B0670"/>
    <w:rsid w:val="000B0E75"/>
    <w:rsid w:val="000B1748"/>
    <w:rsid w:val="000B1C9D"/>
    <w:rsid w:val="000B2B82"/>
    <w:rsid w:val="000B6238"/>
    <w:rsid w:val="000B6530"/>
    <w:rsid w:val="000B6CAC"/>
    <w:rsid w:val="000B6CE3"/>
    <w:rsid w:val="000B6DB6"/>
    <w:rsid w:val="000B6FB8"/>
    <w:rsid w:val="000B7612"/>
    <w:rsid w:val="000C0119"/>
    <w:rsid w:val="000C25F3"/>
    <w:rsid w:val="000C2C05"/>
    <w:rsid w:val="000C30B4"/>
    <w:rsid w:val="000C3DF9"/>
    <w:rsid w:val="000C4CC9"/>
    <w:rsid w:val="000C6670"/>
    <w:rsid w:val="000C6713"/>
    <w:rsid w:val="000C713D"/>
    <w:rsid w:val="000C7C48"/>
    <w:rsid w:val="000C7E85"/>
    <w:rsid w:val="000D0CE9"/>
    <w:rsid w:val="000D1013"/>
    <w:rsid w:val="000D1BFC"/>
    <w:rsid w:val="000D1E96"/>
    <w:rsid w:val="000D1EE1"/>
    <w:rsid w:val="000D281A"/>
    <w:rsid w:val="000D326A"/>
    <w:rsid w:val="000D39C0"/>
    <w:rsid w:val="000D4304"/>
    <w:rsid w:val="000D51FB"/>
    <w:rsid w:val="000D57CE"/>
    <w:rsid w:val="000D7338"/>
    <w:rsid w:val="000E135D"/>
    <w:rsid w:val="000E165E"/>
    <w:rsid w:val="000E268F"/>
    <w:rsid w:val="000E4E80"/>
    <w:rsid w:val="000E4FE8"/>
    <w:rsid w:val="000E5B09"/>
    <w:rsid w:val="000E78F1"/>
    <w:rsid w:val="000E7A21"/>
    <w:rsid w:val="000F00BA"/>
    <w:rsid w:val="000F2311"/>
    <w:rsid w:val="000F316A"/>
    <w:rsid w:val="000F3C74"/>
    <w:rsid w:val="000F3EA2"/>
    <w:rsid w:val="000F4BB8"/>
    <w:rsid w:val="000F5074"/>
    <w:rsid w:val="000F5980"/>
    <w:rsid w:val="000F5D94"/>
    <w:rsid w:val="000F5EF8"/>
    <w:rsid w:val="000F7070"/>
    <w:rsid w:val="000F7127"/>
    <w:rsid w:val="00100F8A"/>
    <w:rsid w:val="00102A2B"/>
    <w:rsid w:val="00102BA4"/>
    <w:rsid w:val="00103B00"/>
    <w:rsid w:val="00104400"/>
    <w:rsid w:val="00104A52"/>
    <w:rsid w:val="00105AE2"/>
    <w:rsid w:val="001069D6"/>
    <w:rsid w:val="00106B80"/>
    <w:rsid w:val="00107139"/>
    <w:rsid w:val="0010738B"/>
    <w:rsid w:val="0011032E"/>
    <w:rsid w:val="00110687"/>
    <w:rsid w:val="00111237"/>
    <w:rsid w:val="00111345"/>
    <w:rsid w:val="00112AF4"/>
    <w:rsid w:val="0011348B"/>
    <w:rsid w:val="0011352E"/>
    <w:rsid w:val="00113AFC"/>
    <w:rsid w:val="00114482"/>
    <w:rsid w:val="001146C6"/>
    <w:rsid w:val="00114E9F"/>
    <w:rsid w:val="00115982"/>
    <w:rsid w:val="00116C53"/>
    <w:rsid w:val="00120B11"/>
    <w:rsid w:val="00121799"/>
    <w:rsid w:val="00121DE5"/>
    <w:rsid w:val="001222FC"/>
    <w:rsid w:val="00123A35"/>
    <w:rsid w:val="00124A51"/>
    <w:rsid w:val="00126621"/>
    <w:rsid w:val="0012759C"/>
    <w:rsid w:val="0012785D"/>
    <w:rsid w:val="00127BF9"/>
    <w:rsid w:val="001301E9"/>
    <w:rsid w:val="00130FED"/>
    <w:rsid w:val="001311A8"/>
    <w:rsid w:val="00131D82"/>
    <w:rsid w:val="00131DC4"/>
    <w:rsid w:val="001323DE"/>
    <w:rsid w:val="00133D36"/>
    <w:rsid w:val="0013492E"/>
    <w:rsid w:val="00134F66"/>
    <w:rsid w:val="001358B7"/>
    <w:rsid w:val="00137645"/>
    <w:rsid w:val="0014015A"/>
    <w:rsid w:val="00140E99"/>
    <w:rsid w:val="00141393"/>
    <w:rsid w:val="00142F83"/>
    <w:rsid w:val="001436D9"/>
    <w:rsid w:val="00144268"/>
    <w:rsid w:val="0014502F"/>
    <w:rsid w:val="00145540"/>
    <w:rsid w:val="001456B0"/>
    <w:rsid w:val="001458C2"/>
    <w:rsid w:val="00145A87"/>
    <w:rsid w:val="001507FA"/>
    <w:rsid w:val="001530CD"/>
    <w:rsid w:val="00153587"/>
    <w:rsid w:val="0015607E"/>
    <w:rsid w:val="0015636F"/>
    <w:rsid w:val="00156F07"/>
    <w:rsid w:val="00157130"/>
    <w:rsid w:val="001576B1"/>
    <w:rsid w:val="001576C2"/>
    <w:rsid w:val="00157C61"/>
    <w:rsid w:val="00157D10"/>
    <w:rsid w:val="0016066A"/>
    <w:rsid w:val="00160818"/>
    <w:rsid w:val="00160A4C"/>
    <w:rsid w:val="00162913"/>
    <w:rsid w:val="0016372F"/>
    <w:rsid w:val="00163EFF"/>
    <w:rsid w:val="001660A2"/>
    <w:rsid w:val="001661FB"/>
    <w:rsid w:val="00166B09"/>
    <w:rsid w:val="001679C8"/>
    <w:rsid w:val="00167AAC"/>
    <w:rsid w:val="0017355E"/>
    <w:rsid w:val="00173565"/>
    <w:rsid w:val="00173B07"/>
    <w:rsid w:val="00173C38"/>
    <w:rsid w:val="001750A3"/>
    <w:rsid w:val="00176D74"/>
    <w:rsid w:val="00177EEE"/>
    <w:rsid w:val="0018033C"/>
    <w:rsid w:val="001812BD"/>
    <w:rsid w:val="00181D9C"/>
    <w:rsid w:val="00182C41"/>
    <w:rsid w:val="00182E48"/>
    <w:rsid w:val="0018555D"/>
    <w:rsid w:val="00186977"/>
    <w:rsid w:val="00186A7E"/>
    <w:rsid w:val="0018752F"/>
    <w:rsid w:val="001878D8"/>
    <w:rsid w:val="00190FB5"/>
    <w:rsid w:val="0019105F"/>
    <w:rsid w:val="00191830"/>
    <w:rsid w:val="00191DAE"/>
    <w:rsid w:val="00194E68"/>
    <w:rsid w:val="00195222"/>
    <w:rsid w:val="0019535F"/>
    <w:rsid w:val="001975D8"/>
    <w:rsid w:val="00197C26"/>
    <w:rsid w:val="00197F99"/>
    <w:rsid w:val="001A1585"/>
    <w:rsid w:val="001A1E20"/>
    <w:rsid w:val="001A3981"/>
    <w:rsid w:val="001A43FA"/>
    <w:rsid w:val="001A4C28"/>
    <w:rsid w:val="001A59FB"/>
    <w:rsid w:val="001A6354"/>
    <w:rsid w:val="001A65DD"/>
    <w:rsid w:val="001A6978"/>
    <w:rsid w:val="001A6FCA"/>
    <w:rsid w:val="001A7084"/>
    <w:rsid w:val="001A7AE8"/>
    <w:rsid w:val="001B0166"/>
    <w:rsid w:val="001B0796"/>
    <w:rsid w:val="001B0EBE"/>
    <w:rsid w:val="001B204E"/>
    <w:rsid w:val="001B3433"/>
    <w:rsid w:val="001B3443"/>
    <w:rsid w:val="001B3776"/>
    <w:rsid w:val="001B4D20"/>
    <w:rsid w:val="001B6197"/>
    <w:rsid w:val="001B6406"/>
    <w:rsid w:val="001C08C7"/>
    <w:rsid w:val="001C1139"/>
    <w:rsid w:val="001C16F1"/>
    <w:rsid w:val="001C213A"/>
    <w:rsid w:val="001C2148"/>
    <w:rsid w:val="001C2A9B"/>
    <w:rsid w:val="001C3F3B"/>
    <w:rsid w:val="001C4299"/>
    <w:rsid w:val="001C48FF"/>
    <w:rsid w:val="001C5F94"/>
    <w:rsid w:val="001C659C"/>
    <w:rsid w:val="001C6E66"/>
    <w:rsid w:val="001D0C90"/>
    <w:rsid w:val="001D2EED"/>
    <w:rsid w:val="001D42FE"/>
    <w:rsid w:val="001D4B44"/>
    <w:rsid w:val="001D565B"/>
    <w:rsid w:val="001D659C"/>
    <w:rsid w:val="001E0E2A"/>
    <w:rsid w:val="001E238E"/>
    <w:rsid w:val="001E2483"/>
    <w:rsid w:val="001E25DF"/>
    <w:rsid w:val="001E2B1E"/>
    <w:rsid w:val="001E30D4"/>
    <w:rsid w:val="001E52EB"/>
    <w:rsid w:val="001E61D2"/>
    <w:rsid w:val="001E6C54"/>
    <w:rsid w:val="001E740C"/>
    <w:rsid w:val="001F0444"/>
    <w:rsid w:val="001F0577"/>
    <w:rsid w:val="001F1235"/>
    <w:rsid w:val="001F15FD"/>
    <w:rsid w:val="001F1CB3"/>
    <w:rsid w:val="001F38B5"/>
    <w:rsid w:val="001F41A4"/>
    <w:rsid w:val="001F42AE"/>
    <w:rsid w:val="001F4845"/>
    <w:rsid w:val="001F7361"/>
    <w:rsid w:val="002001A2"/>
    <w:rsid w:val="002009E4"/>
    <w:rsid w:val="002011B0"/>
    <w:rsid w:val="002019B5"/>
    <w:rsid w:val="00202B5A"/>
    <w:rsid w:val="00203181"/>
    <w:rsid w:val="00203783"/>
    <w:rsid w:val="0020385F"/>
    <w:rsid w:val="002068DE"/>
    <w:rsid w:val="00207021"/>
    <w:rsid w:val="0020732F"/>
    <w:rsid w:val="00207D00"/>
    <w:rsid w:val="002105C1"/>
    <w:rsid w:val="002147C3"/>
    <w:rsid w:val="00215377"/>
    <w:rsid w:val="00216349"/>
    <w:rsid w:val="00216C63"/>
    <w:rsid w:val="00217630"/>
    <w:rsid w:val="00217677"/>
    <w:rsid w:val="002236DE"/>
    <w:rsid w:val="00223B49"/>
    <w:rsid w:val="00224DD4"/>
    <w:rsid w:val="00226A23"/>
    <w:rsid w:val="002278C5"/>
    <w:rsid w:val="0023069F"/>
    <w:rsid w:val="002309CC"/>
    <w:rsid w:val="00231CFB"/>
    <w:rsid w:val="0023209F"/>
    <w:rsid w:val="00232416"/>
    <w:rsid w:val="00233982"/>
    <w:rsid w:val="0023495C"/>
    <w:rsid w:val="00235580"/>
    <w:rsid w:val="00235725"/>
    <w:rsid w:val="0023629D"/>
    <w:rsid w:val="00236A11"/>
    <w:rsid w:val="00236C1C"/>
    <w:rsid w:val="00237255"/>
    <w:rsid w:val="002424AF"/>
    <w:rsid w:val="00243343"/>
    <w:rsid w:val="002439DC"/>
    <w:rsid w:val="00244DC8"/>
    <w:rsid w:val="00244EA1"/>
    <w:rsid w:val="00245148"/>
    <w:rsid w:val="002458BA"/>
    <w:rsid w:val="00245CE4"/>
    <w:rsid w:val="0024635F"/>
    <w:rsid w:val="0024636C"/>
    <w:rsid w:val="002464B9"/>
    <w:rsid w:val="00247925"/>
    <w:rsid w:val="00250F5B"/>
    <w:rsid w:val="00252AAE"/>
    <w:rsid w:val="002542A2"/>
    <w:rsid w:val="002542B6"/>
    <w:rsid w:val="00254DCF"/>
    <w:rsid w:val="0025534B"/>
    <w:rsid w:val="00255A7D"/>
    <w:rsid w:val="00255BB7"/>
    <w:rsid w:val="00255E45"/>
    <w:rsid w:val="002573FA"/>
    <w:rsid w:val="00257541"/>
    <w:rsid w:val="00257CD6"/>
    <w:rsid w:val="00262390"/>
    <w:rsid w:val="00262A1A"/>
    <w:rsid w:val="00262A87"/>
    <w:rsid w:val="00264D26"/>
    <w:rsid w:val="0026693B"/>
    <w:rsid w:val="00267642"/>
    <w:rsid w:val="00267AEA"/>
    <w:rsid w:val="002700E6"/>
    <w:rsid w:val="00271639"/>
    <w:rsid w:val="0027196B"/>
    <w:rsid w:val="00271DFE"/>
    <w:rsid w:val="0027236E"/>
    <w:rsid w:val="0027294B"/>
    <w:rsid w:val="00272B7C"/>
    <w:rsid w:val="00273C07"/>
    <w:rsid w:val="00275C5A"/>
    <w:rsid w:val="00276E4B"/>
    <w:rsid w:val="002802B6"/>
    <w:rsid w:val="0028052B"/>
    <w:rsid w:val="00281014"/>
    <w:rsid w:val="00290D14"/>
    <w:rsid w:val="00292094"/>
    <w:rsid w:val="002921F7"/>
    <w:rsid w:val="00295521"/>
    <w:rsid w:val="00296BE2"/>
    <w:rsid w:val="00297590"/>
    <w:rsid w:val="002A14AB"/>
    <w:rsid w:val="002A16C8"/>
    <w:rsid w:val="002A2F50"/>
    <w:rsid w:val="002A31FA"/>
    <w:rsid w:val="002A3A05"/>
    <w:rsid w:val="002A71E9"/>
    <w:rsid w:val="002A7EE5"/>
    <w:rsid w:val="002B09A4"/>
    <w:rsid w:val="002B1C1F"/>
    <w:rsid w:val="002B1FF6"/>
    <w:rsid w:val="002B432F"/>
    <w:rsid w:val="002B597D"/>
    <w:rsid w:val="002B6178"/>
    <w:rsid w:val="002B62B3"/>
    <w:rsid w:val="002B6754"/>
    <w:rsid w:val="002B6CCE"/>
    <w:rsid w:val="002B772A"/>
    <w:rsid w:val="002C2510"/>
    <w:rsid w:val="002C2775"/>
    <w:rsid w:val="002C27C1"/>
    <w:rsid w:val="002C5099"/>
    <w:rsid w:val="002C5889"/>
    <w:rsid w:val="002C67E8"/>
    <w:rsid w:val="002C6E18"/>
    <w:rsid w:val="002C71CE"/>
    <w:rsid w:val="002D18F3"/>
    <w:rsid w:val="002D1989"/>
    <w:rsid w:val="002D1BED"/>
    <w:rsid w:val="002D3180"/>
    <w:rsid w:val="002D346A"/>
    <w:rsid w:val="002D4DFC"/>
    <w:rsid w:val="002D577C"/>
    <w:rsid w:val="002D7622"/>
    <w:rsid w:val="002E108C"/>
    <w:rsid w:val="002E15B9"/>
    <w:rsid w:val="002E2158"/>
    <w:rsid w:val="002E282D"/>
    <w:rsid w:val="002E3218"/>
    <w:rsid w:val="002E3521"/>
    <w:rsid w:val="002E4434"/>
    <w:rsid w:val="002E4D5E"/>
    <w:rsid w:val="002E6043"/>
    <w:rsid w:val="002E619F"/>
    <w:rsid w:val="002E7722"/>
    <w:rsid w:val="002E7D72"/>
    <w:rsid w:val="002E7EC5"/>
    <w:rsid w:val="002F042E"/>
    <w:rsid w:val="002F07BA"/>
    <w:rsid w:val="002F08F2"/>
    <w:rsid w:val="002F0B51"/>
    <w:rsid w:val="002F0DA9"/>
    <w:rsid w:val="002F16E6"/>
    <w:rsid w:val="002F1E80"/>
    <w:rsid w:val="002F2826"/>
    <w:rsid w:val="002F2895"/>
    <w:rsid w:val="002F3373"/>
    <w:rsid w:val="002F33DB"/>
    <w:rsid w:val="002F507E"/>
    <w:rsid w:val="002F5E0A"/>
    <w:rsid w:val="002F643C"/>
    <w:rsid w:val="002F658B"/>
    <w:rsid w:val="002F71C0"/>
    <w:rsid w:val="00301017"/>
    <w:rsid w:val="0030155F"/>
    <w:rsid w:val="0030260A"/>
    <w:rsid w:val="00303FD7"/>
    <w:rsid w:val="0030587B"/>
    <w:rsid w:val="00305F13"/>
    <w:rsid w:val="00306D98"/>
    <w:rsid w:val="0030786C"/>
    <w:rsid w:val="0031031A"/>
    <w:rsid w:val="00310981"/>
    <w:rsid w:val="003142C7"/>
    <w:rsid w:val="003153F1"/>
    <w:rsid w:val="00315498"/>
    <w:rsid w:val="00316A82"/>
    <w:rsid w:val="00317AA9"/>
    <w:rsid w:val="00317AEC"/>
    <w:rsid w:val="003203A4"/>
    <w:rsid w:val="00320B9D"/>
    <w:rsid w:val="00322107"/>
    <w:rsid w:val="003223D5"/>
    <w:rsid w:val="00322846"/>
    <w:rsid w:val="003228E5"/>
    <w:rsid w:val="0032692F"/>
    <w:rsid w:val="00326DA7"/>
    <w:rsid w:val="003270E4"/>
    <w:rsid w:val="003300E1"/>
    <w:rsid w:val="0033066A"/>
    <w:rsid w:val="00330F5C"/>
    <w:rsid w:val="00332BA3"/>
    <w:rsid w:val="00333AD1"/>
    <w:rsid w:val="003341E0"/>
    <w:rsid w:val="00334856"/>
    <w:rsid w:val="0033510A"/>
    <w:rsid w:val="00335D53"/>
    <w:rsid w:val="003366C9"/>
    <w:rsid w:val="003371B0"/>
    <w:rsid w:val="00340D16"/>
    <w:rsid w:val="00340DF1"/>
    <w:rsid w:val="0034395F"/>
    <w:rsid w:val="00343B62"/>
    <w:rsid w:val="00343D59"/>
    <w:rsid w:val="0034496C"/>
    <w:rsid w:val="003517F9"/>
    <w:rsid w:val="00352E63"/>
    <w:rsid w:val="0035620E"/>
    <w:rsid w:val="00360C2D"/>
    <w:rsid w:val="003621F8"/>
    <w:rsid w:val="003624C4"/>
    <w:rsid w:val="003654AC"/>
    <w:rsid w:val="00367C55"/>
    <w:rsid w:val="0037040B"/>
    <w:rsid w:val="003709D6"/>
    <w:rsid w:val="003710CF"/>
    <w:rsid w:val="003712E8"/>
    <w:rsid w:val="003717B3"/>
    <w:rsid w:val="0037321B"/>
    <w:rsid w:val="0037358A"/>
    <w:rsid w:val="00374AE2"/>
    <w:rsid w:val="003750F6"/>
    <w:rsid w:val="00375A51"/>
    <w:rsid w:val="003760FC"/>
    <w:rsid w:val="00376416"/>
    <w:rsid w:val="0037681A"/>
    <w:rsid w:val="0038214F"/>
    <w:rsid w:val="0038332F"/>
    <w:rsid w:val="0038365C"/>
    <w:rsid w:val="0038369B"/>
    <w:rsid w:val="00383B78"/>
    <w:rsid w:val="00384797"/>
    <w:rsid w:val="00384DC4"/>
    <w:rsid w:val="00385A9D"/>
    <w:rsid w:val="003861B5"/>
    <w:rsid w:val="003902B1"/>
    <w:rsid w:val="00396896"/>
    <w:rsid w:val="00396FD0"/>
    <w:rsid w:val="00397FDE"/>
    <w:rsid w:val="003A02B3"/>
    <w:rsid w:val="003A1A7A"/>
    <w:rsid w:val="003A1B8A"/>
    <w:rsid w:val="003A1EAC"/>
    <w:rsid w:val="003A2392"/>
    <w:rsid w:val="003A2831"/>
    <w:rsid w:val="003A312B"/>
    <w:rsid w:val="003A34C5"/>
    <w:rsid w:val="003A3ED1"/>
    <w:rsid w:val="003A4F10"/>
    <w:rsid w:val="003A69A2"/>
    <w:rsid w:val="003A6C31"/>
    <w:rsid w:val="003A6CF0"/>
    <w:rsid w:val="003B0244"/>
    <w:rsid w:val="003B0FD2"/>
    <w:rsid w:val="003B1F69"/>
    <w:rsid w:val="003B5B61"/>
    <w:rsid w:val="003B6280"/>
    <w:rsid w:val="003B6740"/>
    <w:rsid w:val="003B68A1"/>
    <w:rsid w:val="003C1654"/>
    <w:rsid w:val="003C1EEE"/>
    <w:rsid w:val="003C6524"/>
    <w:rsid w:val="003C7D19"/>
    <w:rsid w:val="003D1828"/>
    <w:rsid w:val="003D1DE4"/>
    <w:rsid w:val="003D2174"/>
    <w:rsid w:val="003D2422"/>
    <w:rsid w:val="003D39A1"/>
    <w:rsid w:val="003D3FBF"/>
    <w:rsid w:val="003D4534"/>
    <w:rsid w:val="003D4A30"/>
    <w:rsid w:val="003D5B20"/>
    <w:rsid w:val="003D77ED"/>
    <w:rsid w:val="003D79BB"/>
    <w:rsid w:val="003D7C98"/>
    <w:rsid w:val="003E0543"/>
    <w:rsid w:val="003E17C5"/>
    <w:rsid w:val="003E3529"/>
    <w:rsid w:val="003E3541"/>
    <w:rsid w:val="003E5504"/>
    <w:rsid w:val="003E5DB9"/>
    <w:rsid w:val="003E6B77"/>
    <w:rsid w:val="003E798C"/>
    <w:rsid w:val="003F05A2"/>
    <w:rsid w:val="003F129D"/>
    <w:rsid w:val="003F15E1"/>
    <w:rsid w:val="003F4156"/>
    <w:rsid w:val="003F5805"/>
    <w:rsid w:val="003F5AA2"/>
    <w:rsid w:val="003F5C13"/>
    <w:rsid w:val="003F6BEE"/>
    <w:rsid w:val="003F7EA8"/>
    <w:rsid w:val="004001AB"/>
    <w:rsid w:val="00400B29"/>
    <w:rsid w:val="00401A8E"/>
    <w:rsid w:val="00403F27"/>
    <w:rsid w:val="004048C4"/>
    <w:rsid w:val="00404CB4"/>
    <w:rsid w:val="0040504B"/>
    <w:rsid w:val="0040520C"/>
    <w:rsid w:val="00405DEC"/>
    <w:rsid w:val="0040759F"/>
    <w:rsid w:val="00410708"/>
    <w:rsid w:val="00410EC7"/>
    <w:rsid w:val="004113F6"/>
    <w:rsid w:val="00411689"/>
    <w:rsid w:val="00411B39"/>
    <w:rsid w:val="004124DD"/>
    <w:rsid w:val="00412A9E"/>
    <w:rsid w:val="00413902"/>
    <w:rsid w:val="00413A1E"/>
    <w:rsid w:val="00414476"/>
    <w:rsid w:val="00414727"/>
    <w:rsid w:val="00414C2E"/>
    <w:rsid w:val="00414D02"/>
    <w:rsid w:val="004151CF"/>
    <w:rsid w:val="00415804"/>
    <w:rsid w:val="00416364"/>
    <w:rsid w:val="004164E9"/>
    <w:rsid w:val="0042088C"/>
    <w:rsid w:val="00420AA6"/>
    <w:rsid w:val="00420B9F"/>
    <w:rsid w:val="00422260"/>
    <w:rsid w:val="0042413F"/>
    <w:rsid w:val="00424453"/>
    <w:rsid w:val="00424EFD"/>
    <w:rsid w:val="00426CA7"/>
    <w:rsid w:val="00430864"/>
    <w:rsid w:val="004319F8"/>
    <w:rsid w:val="00431E55"/>
    <w:rsid w:val="00431F59"/>
    <w:rsid w:val="004321F6"/>
    <w:rsid w:val="00433044"/>
    <w:rsid w:val="004331E8"/>
    <w:rsid w:val="0043445B"/>
    <w:rsid w:val="004375B9"/>
    <w:rsid w:val="00437E96"/>
    <w:rsid w:val="00440797"/>
    <w:rsid w:val="004428D0"/>
    <w:rsid w:val="004435A0"/>
    <w:rsid w:val="00443E42"/>
    <w:rsid w:val="004440DF"/>
    <w:rsid w:val="004443A7"/>
    <w:rsid w:val="0044442C"/>
    <w:rsid w:val="00445941"/>
    <w:rsid w:val="004464EB"/>
    <w:rsid w:val="00447D26"/>
    <w:rsid w:val="00451CDD"/>
    <w:rsid w:val="0045238D"/>
    <w:rsid w:val="00452DF5"/>
    <w:rsid w:val="00453611"/>
    <w:rsid w:val="00455D45"/>
    <w:rsid w:val="00462B87"/>
    <w:rsid w:val="00462D52"/>
    <w:rsid w:val="00463435"/>
    <w:rsid w:val="0046345C"/>
    <w:rsid w:val="00463E5B"/>
    <w:rsid w:val="004641F5"/>
    <w:rsid w:val="00464595"/>
    <w:rsid w:val="0046476D"/>
    <w:rsid w:val="00465043"/>
    <w:rsid w:val="00465727"/>
    <w:rsid w:val="00465C52"/>
    <w:rsid w:val="00466C3F"/>
    <w:rsid w:val="00466CB1"/>
    <w:rsid w:val="004724BA"/>
    <w:rsid w:val="00472A79"/>
    <w:rsid w:val="00473F19"/>
    <w:rsid w:val="004741A4"/>
    <w:rsid w:val="00475108"/>
    <w:rsid w:val="004751B7"/>
    <w:rsid w:val="0047521B"/>
    <w:rsid w:val="00475E22"/>
    <w:rsid w:val="00476F9B"/>
    <w:rsid w:val="0048088E"/>
    <w:rsid w:val="00480CE3"/>
    <w:rsid w:val="0048166D"/>
    <w:rsid w:val="00481A6C"/>
    <w:rsid w:val="004824E8"/>
    <w:rsid w:val="004825B5"/>
    <w:rsid w:val="00482720"/>
    <w:rsid w:val="004829CF"/>
    <w:rsid w:val="004829FC"/>
    <w:rsid w:val="004835E7"/>
    <w:rsid w:val="00484EE6"/>
    <w:rsid w:val="004867E2"/>
    <w:rsid w:val="00491B3A"/>
    <w:rsid w:val="004927A8"/>
    <w:rsid w:val="00492CFD"/>
    <w:rsid w:val="00493629"/>
    <w:rsid w:val="00493EA7"/>
    <w:rsid w:val="0049485E"/>
    <w:rsid w:val="00494AC1"/>
    <w:rsid w:val="00494DD5"/>
    <w:rsid w:val="00495D03"/>
    <w:rsid w:val="004962D2"/>
    <w:rsid w:val="00496B0E"/>
    <w:rsid w:val="00496EBE"/>
    <w:rsid w:val="004A0DA1"/>
    <w:rsid w:val="004A4AA1"/>
    <w:rsid w:val="004A52E9"/>
    <w:rsid w:val="004A6172"/>
    <w:rsid w:val="004A6597"/>
    <w:rsid w:val="004A65C0"/>
    <w:rsid w:val="004A7848"/>
    <w:rsid w:val="004B02E7"/>
    <w:rsid w:val="004B074E"/>
    <w:rsid w:val="004B169B"/>
    <w:rsid w:val="004B1CB4"/>
    <w:rsid w:val="004B2F18"/>
    <w:rsid w:val="004B3DDB"/>
    <w:rsid w:val="004B44FD"/>
    <w:rsid w:val="004B5CFC"/>
    <w:rsid w:val="004B5DCF"/>
    <w:rsid w:val="004B6D08"/>
    <w:rsid w:val="004B774D"/>
    <w:rsid w:val="004C0838"/>
    <w:rsid w:val="004C4AED"/>
    <w:rsid w:val="004D2C2D"/>
    <w:rsid w:val="004D3195"/>
    <w:rsid w:val="004D4246"/>
    <w:rsid w:val="004D52C1"/>
    <w:rsid w:val="004D6186"/>
    <w:rsid w:val="004D63EF"/>
    <w:rsid w:val="004D6782"/>
    <w:rsid w:val="004D7227"/>
    <w:rsid w:val="004E09D1"/>
    <w:rsid w:val="004E0E7F"/>
    <w:rsid w:val="004E0EB8"/>
    <w:rsid w:val="004E1B5D"/>
    <w:rsid w:val="004E2709"/>
    <w:rsid w:val="004E2ADC"/>
    <w:rsid w:val="004E2F06"/>
    <w:rsid w:val="004E43B2"/>
    <w:rsid w:val="004E4435"/>
    <w:rsid w:val="004E47D9"/>
    <w:rsid w:val="004E515F"/>
    <w:rsid w:val="004E6CAC"/>
    <w:rsid w:val="004F1352"/>
    <w:rsid w:val="004F13D2"/>
    <w:rsid w:val="004F1924"/>
    <w:rsid w:val="004F1D02"/>
    <w:rsid w:val="004F24F7"/>
    <w:rsid w:val="004F2679"/>
    <w:rsid w:val="004F2D87"/>
    <w:rsid w:val="004F2F21"/>
    <w:rsid w:val="004F307B"/>
    <w:rsid w:val="004F523E"/>
    <w:rsid w:val="004F5D43"/>
    <w:rsid w:val="004F6913"/>
    <w:rsid w:val="004F77CF"/>
    <w:rsid w:val="004F7865"/>
    <w:rsid w:val="00500279"/>
    <w:rsid w:val="0050040D"/>
    <w:rsid w:val="0050129D"/>
    <w:rsid w:val="0050219B"/>
    <w:rsid w:val="00503F17"/>
    <w:rsid w:val="0050532D"/>
    <w:rsid w:val="00505CC2"/>
    <w:rsid w:val="00506171"/>
    <w:rsid w:val="00506928"/>
    <w:rsid w:val="00510C49"/>
    <w:rsid w:val="00510DAA"/>
    <w:rsid w:val="0051128F"/>
    <w:rsid w:val="00513361"/>
    <w:rsid w:val="00513759"/>
    <w:rsid w:val="00513948"/>
    <w:rsid w:val="00514AA3"/>
    <w:rsid w:val="00514F78"/>
    <w:rsid w:val="005152B5"/>
    <w:rsid w:val="00520FB6"/>
    <w:rsid w:val="005210F2"/>
    <w:rsid w:val="00521319"/>
    <w:rsid w:val="00521A79"/>
    <w:rsid w:val="00522BC8"/>
    <w:rsid w:val="00522E91"/>
    <w:rsid w:val="005230A6"/>
    <w:rsid w:val="00523C28"/>
    <w:rsid w:val="005250A6"/>
    <w:rsid w:val="00525820"/>
    <w:rsid w:val="0053238B"/>
    <w:rsid w:val="00535437"/>
    <w:rsid w:val="00536017"/>
    <w:rsid w:val="00536C55"/>
    <w:rsid w:val="00536F42"/>
    <w:rsid w:val="00537182"/>
    <w:rsid w:val="00537D45"/>
    <w:rsid w:val="0054052F"/>
    <w:rsid w:val="00541E72"/>
    <w:rsid w:val="005421ED"/>
    <w:rsid w:val="00542743"/>
    <w:rsid w:val="00542BB2"/>
    <w:rsid w:val="00542C2D"/>
    <w:rsid w:val="00545212"/>
    <w:rsid w:val="00545B54"/>
    <w:rsid w:val="00545E2F"/>
    <w:rsid w:val="0055025D"/>
    <w:rsid w:val="00551985"/>
    <w:rsid w:val="00552BD3"/>
    <w:rsid w:val="00553666"/>
    <w:rsid w:val="00553957"/>
    <w:rsid w:val="00555109"/>
    <w:rsid w:val="0055519C"/>
    <w:rsid w:val="005570E9"/>
    <w:rsid w:val="0055775A"/>
    <w:rsid w:val="00560EE5"/>
    <w:rsid w:val="005615A5"/>
    <w:rsid w:val="00566136"/>
    <w:rsid w:val="0056696F"/>
    <w:rsid w:val="00572269"/>
    <w:rsid w:val="0057244A"/>
    <w:rsid w:val="0057439D"/>
    <w:rsid w:val="00575D8D"/>
    <w:rsid w:val="0057628C"/>
    <w:rsid w:val="00576972"/>
    <w:rsid w:val="00577297"/>
    <w:rsid w:val="00580639"/>
    <w:rsid w:val="005818B2"/>
    <w:rsid w:val="00581CB2"/>
    <w:rsid w:val="00581EA0"/>
    <w:rsid w:val="005820D4"/>
    <w:rsid w:val="00583699"/>
    <w:rsid w:val="00585644"/>
    <w:rsid w:val="005856EF"/>
    <w:rsid w:val="00585ADE"/>
    <w:rsid w:val="00585B5E"/>
    <w:rsid w:val="00585CDD"/>
    <w:rsid w:val="00586B62"/>
    <w:rsid w:val="00587058"/>
    <w:rsid w:val="00587090"/>
    <w:rsid w:val="00590B13"/>
    <w:rsid w:val="00591957"/>
    <w:rsid w:val="00592B00"/>
    <w:rsid w:val="00593917"/>
    <w:rsid w:val="00594B98"/>
    <w:rsid w:val="00597BF9"/>
    <w:rsid w:val="005A0D53"/>
    <w:rsid w:val="005A3158"/>
    <w:rsid w:val="005A373D"/>
    <w:rsid w:val="005A3FF0"/>
    <w:rsid w:val="005A5A25"/>
    <w:rsid w:val="005B1DF5"/>
    <w:rsid w:val="005B2338"/>
    <w:rsid w:val="005B26E0"/>
    <w:rsid w:val="005B2BEC"/>
    <w:rsid w:val="005B40A5"/>
    <w:rsid w:val="005B4A86"/>
    <w:rsid w:val="005B4B3D"/>
    <w:rsid w:val="005B5857"/>
    <w:rsid w:val="005B74CF"/>
    <w:rsid w:val="005B76EB"/>
    <w:rsid w:val="005C0F27"/>
    <w:rsid w:val="005C1B83"/>
    <w:rsid w:val="005C2D55"/>
    <w:rsid w:val="005C346B"/>
    <w:rsid w:val="005C4EE3"/>
    <w:rsid w:val="005D044D"/>
    <w:rsid w:val="005D0ABD"/>
    <w:rsid w:val="005D18AD"/>
    <w:rsid w:val="005D1A24"/>
    <w:rsid w:val="005D2600"/>
    <w:rsid w:val="005D26B4"/>
    <w:rsid w:val="005D38F0"/>
    <w:rsid w:val="005D6320"/>
    <w:rsid w:val="005D6DB3"/>
    <w:rsid w:val="005E1656"/>
    <w:rsid w:val="005E3548"/>
    <w:rsid w:val="005E4BFB"/>
    <w:rsid w:val="005E62A7"/>
    <w:rsid w:val="005E6CBC"/>
    <w:rsid w:val="005E73C0"/>
    <w:rsid w:val="005E77C2"/>
    <w:rsid w:val="005E7D98"/>
    <w:rsid w:val="005F03E2"/>
    <w:rsid w:val="005F2121"/>
    <w:rsid w:val="005F2155"/>
    <w:rsid w:val="005F236D"/>
    <w:rsid w:val="005F2706"/>
    <w:rsid w:val="005F28B9"/>
    <w:rsid w:val="005F4034"/>
    <w:rsid w:val="005F5E06"/>
    <w:rsid w:val="005F69E2"/>
    <w:rsid w:val="005F6A8F"/>
    <w:rsid w:val="005F7D17"/>
    <w:rsid w:val="00600BF9"/>
    <w:rsid w:val="006013D1"/>
    <w:rsid w:val="0060248C"/>
    <w:rsid w:val="00603DB9"/>
    <w:rsid w:val="0060475A"/>
    <w:rsid w:val="00607669"/>
    <w:rsid w:val="00607724"/>
    <w:rsid w:val="00607AFD"/>
    <w:rsid w:val="00612711"/>
    <w:rsid w:val="00612778"/>
    <w:rsid w:val="006129CC"/>
    <w:rsid w:val="00612F97"/>
    <w:rsid w:val="00613239"/>
    <w:rsid w:val="0061345D"/>
    <w:rsid w:val="00613A21"/>
    <w:rsid w:val="00616802"/>
    <w:rsid w:val="00617121"/>
    <w:rsid w:val="00617E12"/>
    <w:rsid w:val="006201D1"/>
    <w:rsid w:val="006205A1"/>
    <w:rsid w:val="00621477"/>
    <w:rsid w:val="00625196"/>
    <w:rsid w:val="00625D1D"/>
    <w:rsid w:val="006279CA"/>
    <w:rsid w:val="0063158F"/>
    <w:rsid w:val="00631D6B"/>
    <w:rsid w:val="0063298D"/>
    <w:rsid w:val="00632F91"/>
    <w:rsid w:val="006330A1"/>
    <w:rsid w:val="00633234"/>
    <w:rsid w:val="0063479F"/>
    <w:rsid w:val="00634CFF"/>
    <w:rsid w:val="00634D97"/>
    <w:rsid w:val="00634E3E"/>
    <w:rsid w:val="006353F0"/>
    <w:rsid w:val="00635BC2"/>
    <w:rsid w:val="00635C3B"/>
    <w:rsid w:val="006364A1"/>
    <w:rsid w:val="00636C20"/>
    <w:rsid w:val="00637BFD"/>
    <w:rsid w:val="00641C4E"/>
    <w:rsid w:val="00641EDA"/>
    <w:rsid w:val="0064259E"/>
    <w:rsid w:val="00643DFB"/>
    <w:rsid w:val="006455ED"/>
    <w:rsid w:val="00646543"/>
    <w:rsid w:val="00646C8B"/>
    <w:rsid w:val="006471CC"/>
    <w:rsid w:val="00647544"/>
    <w:rsid w:val="006476BD"/>
    <w:rsid w:val="00647A46"/>
    <w:rsid w:val="0065079F"/>
    <w:rsid w:val="006520A1"/>
    <w:rsid w:val="006524DA"/>
    <w:rsid w:val="0065379F"/>
    <w:rsid w:val="00653BBC"/>
    <w:rsid w:val="00656754"/>
    <w:rsid w:val="00660220"/>
    <w:rsid w:val="00660829"/>
    <w:rsid w:val="00660A9F"/>
    <w:rsid w:val="00661C6B"/>
    <w:rsid w:val="006627D3"/>
    <w:rsid w:val="006632F0"/>
    <w:rsid w:val="00664564"/>
    <w:rsid w:val="00664D2A"/>
    <w:rsid w:val="00664D79"/>
    <w:rsid w:val="00666F99"/>
    <w:rsid w:val="00670EBC"/>
    <w:rsid w:val="006712F8"/>
    <w:rsid w:val="00674E42"/>
    <w:rsid w:val="00675ADC"/>
    <w:rsid w:val="00676CCD"/>
    <w:rsid w:val="00677129"/>
    <w:rsid w:val="00677530"/>
    <w:rsid w:val="00677B0D"/>
    <w:rsid w:val="00680558"/>
    <w:rsid w:val="00681446"/>
    <w:rsid w:val="00681544"/>
    <w:rsid w:val="00682112"/>
    <w:rsid w:val="00685A14"/>
    <w:rsid w:val="00685E0D"/>
    <w:rsid w:val="00686957"/>
    <w:rsid w:val="006872BA"/>
    <w:rsid w:val="006912DF"/>
    <w:rsid w:val="00691648"/>
    <w:rsid w:val="006917D7"/>
    <w:rsid w:val="00693C38"/>
    <w:rsid w:val="00694F44"/>
    <w:rsid w:val="006954FF"/>
    <w:rsid w:val="006958A2"/>
    <w:rsid w:val="00695955"/>
    <w:rsid w:val="0069776B"/>
    <w:rsid w:val="006A6AA2"/>
    <w:rsid w:val="006A7327"/>
    <w:rsid w:val="006A7C7B"/>
    <w:rsid w:val="006A7CA1"/>
    <w:rsid w:val="006A7E5F"/>
    <w:rsid w:val="006B15CE"/>
    <w:rsid w:val="006B261B"/>
    <w:rsid w:val="006B2C90"/>
    <w:rsid w:val="006B3B24"/>
    <w:rsid w:val="006B3BC8"/>
    <w:rsid w:val="006B5FCC"/>
    <w:rsid w:val="006B6DD0"/>
    <w:rsid w:val="006B7D1D"/>
    <w:rsid w:val="006C0BF0"/>
    <w:rsid w:val="006C0E07"/>
    <w:rsid w:val="006C205C"/>
    <w:rsid w:val="006C258E"/>
    <w:rsid w:val="006C2A8E"/>
    <w:rsid w:val="006C434E"/>
    <w:rsid w:val="006C559D"/>
    <w:rsid w:val="006C6080"/>
    <w:rsid w:val="006C7379"/>
    <w:rsid w:val="006C742A"/>
    <w:rsid w:val="006D0222"/>
    <w:rsid w:val="006D12AC"/>
    <w:rsid w:val="006D18F7"/>
    <w:rsid w:val="006D299A"/>
    <w:rsid w:val="006D2BF4"/>
    <w:rsid w:val="006D3C7D"/>
    <w:rsid w:val="006D498A"/>
    <w:rsid w:val="006D5302"/>
    <w:rsid w:val="006D54E0"/>
    <w:rsid w:val="006D5D5F"/>
    <w:rsid w:val="006D5DDB"/>
    <w:rsid w:val="006E1E87"/>
    <w:rsid w:val="006E20E9"/>
    <w:rsid w:val="006E237B"/>
    <w:rsid w:val="006E3853"/>
    <w:rsid w:val="006E4E66"/>
    <w:rsid w:val="006E50CD"/>
    <w:rsid w:val="006E6ABC"/>
    <w:rsid w:val="006E7467"/>
    <w:rsid w:val="006F0E43"/>
    <w:rsid w:val="006F306C"/>
    <w:rsid w:val="006F49C3"/>
    <w:rsid w:val="006F63A5"/>
    <w:rsid w:val="006F6547"/>
    <w:rsid w:val="007003AE"/>
    <w:rsid w:val="0070142B"/>
    <w:rsid w:val="007017B2"/>
    <w:rsid w:val="00701A60"/>
    <w:rsid w:val="0070276E"/>
    <w:rsid w:val="00702EC7"/>
    <w:rsid w:val="00702F8F"/>
    <w:rsid w:val="0070300C"/>
    <w:rsid w:val="00706608"/>
    <w:rsid w:val="00707227"/>
    <w:rsid w:val="00710983"/>
    <w:rsid w:val="007116E7"/>
    <w:rsid w:val="00711A36"/>
    <w:rsid w:val="00711BCD"/>
    <w:rsid w:val="00711E58"/>
    <w:rsid w:val="00712350"/>
    <w:rsid w:val="0071260D"/>
    <w:rsid w:val="00713661"/>
    <w:rsid w:val="0071529C"/>
    <w:rsid w:val="00716417"/>
    <w:rsid w:val="007172AD"/>
    <w:rsid w:val="007175BF"/>
    <w:rsid w:val="00721E1B"/>
    <w:rsid w:val="00721F3B"/>
    <w:rsid w:val="00722705"/>
    <w:rsid w:val="00722B1B"/>
    <w:rsid w:val="0072416F"/>
    <w:rsid w:val="0072562B"/>
    <w:rsid w:val="00725A0E"/>
    <w:rsid w:val="00726CC2"/>
    <w:rsid w:val="00727C94"/>
    <w:rsid w:val="00730B34"/>
    <w:rsid w:val="00731985"/>
    <w:rsid w:val="00731EAE"/>
    <w:rsid w:val="00734255"/>
    <w:rsid w:val="00735033"/>
    <w:rsid w:val="00735328"/>
    <w:rsid w:val="00735A6C"/>
    <w:rsid w:val="00735E39"/>
    <w:rsid w:val="0073685B"/>
    <w:rsid w:val="00740425"/>
    <w:rsid w:val="00740E8A"/>
    <w:rsid w:val="007410A1"/>
    <w:rsid w:val="00743B0A"/>
    <w:rsid w:val="00746881"/>
    <w:rsid w:val="00746E44"/>
    <w:rsid w:val="007477B5"/>
    <w:rsid w:val="0074790F"/>
    <w:rsid w:val="00752142"/>
    <w:rsid w:val="007523F9"/>
    <w:rsid w:val="007540CB"/>
    <w:rsid w:val="00756F3F"/>
    <w:rsid w:val="007573E8"/>
    <w:rsid w:val="00757C0E"/>
    <w:rsid w:val="00760670"/>
    <w:rsid w:val="00760C4E"/>
    <w:rsid w:val="00760F22"/>
    <w:rsid w:val="00762FD4"/>
    <w:rsid w:val="00765B1A"/>
    <w:rsid w:val="00765B8E"/>
    <w:rsid w:val="00767F5D"/>
    <w:rsid w:val="00770403"/>
    <w:rsid w:val="0077257A"/>
    <w:rsid w:val="00772C5B"/>
    <w:rsid w:val="00774D2D"/>
    <w:rsid w:val="007752ED"/>
    <w:rsid w:val="007764FF"/>
    <w:rsid w:val="0077667A"/>
    <w:rsid w:val="00776800"/>
    <w:rsid w:val="00777A8B"/>
    <w:rsid w:val="00783313"/>
    <w:rsid w:val="0078396F"/>
    <w:rsid w:val="007843F2"/>
    <w:rsid w:val="007852AA"/>
    <w:rsid w:val="00787B63"/>
    <w:rsid w:val="00790B4C"/>
    <w:rsid w:val="00790FB3"/>
    <w:rsid w:val="007910F1"/>
    <w:rsid w:val="00791122"/>
    <w:rsid w:val="00792BEF"/>
    <w:rsid w:val="00793D0E"/>
    <w:rsid w:val="007944C4"/>
    <w:rsid w:val="00795CD3"/>
    <w:rsid w:val="00796583"/>
    <w:rsid w:val="0079783D"/>
    <w:rsid w:val="007A0A12"/>
    <w:rsid w:val="007A132D"/>
    <w:rsid w:val="007A1CF0"/>
    <w:rsid w:val="007A1F29"/>
    <w:rsid w:val="007A20B9"/>
    <w:rsid w:val="007A333C"/>
    <w:rsid w:val="007A3C87"/>
    <w:rsid w:val="007A3E53"/>
    <w:rsid w:val="007A4699"/>
    <w:rsid w:val="007A4944"/>
    <w:rsid w:val="007A5216"/>
    <w:rsid w:val="007A5628"/>
    <w:rsid w:val="007A6ACE"/>
    <w:rsid w:val="007B0D68"/>
    <w:rsid w:val="007B251D"/>
    <w:rsid w:val="007B38C6"/>
    <w:rsid w:val="007B43EF"/>
    <w:rsid w:val="007B47E3"/>
    <w:rsid w:val="007B48CD"/>
    <w:rsid w:val="007B4F58"/>
    <w:rsid w:val="007B528D"/>
    <w:rsid w:val="007B71FF"/>
    <w:rsid w:val="007B77D1"/>
    <w:rsid w:val="007C00AA"/>
    <w:rsid w:val="007C04FC"/>
    <w:rsid w:val="007C09C9"/>
    <w:rsid w:val="007C0D9F"/>
    <w:rsid w:val="007C1CD9"/>
    <w:rsid w:val="007C1D8E"/>
    <w:rsid w:val="007C361D"/>
    <w:rsid w:val="007C3CE6"/>
    <w:rsid w:val="007C4B84"/>
    <w:rsid w:val="007C6E57"/>
    <w:rsid w:val="007C7055"/>
    <w:rsid w:val="007C7F4B"/>
    <w:rsid w:val="007D004F"/>
    <w:rsid w:val="007D0B38"/>
    <w:rsid w:val="007D11F1"/>
    <w:rsid w:val="007D22FD"/>
    <w:rsid w:val="007D2302"/>
    <w:rsid w:val="007D2592"/>
    <w:rsid w:val="007D5440"/>
    <w:rsid w:val="007D580B"/>
    <w:rsid w:val="007D624B"/>
    <w:rsid w:val="007D704E"/>
    <w:rsid w:val="007E1044"/>
    <w:rsid w:val="007E478A"/>
    <w:rsid w:val="007E4DEC"/>
    <w:rsid w:val="007E5381"/>
    <w:rsid w:val="007E5A50"/>
    <w:rsid w:val="007E637E"/>
    <w:rsid w:val="007F08E9"/>
    <w:rsid w:val="007F1017"/>
    <w:rsid w:val="007F2519"/>
    <w:rsid w:val="007F27C4"/>
    <w:rsid w:val="007F44B5"/>
    <w:rsid w:val="007F4A3F"/>
    <w:rsid w:val="007F4A61"/>
    <w:rsid w:val="007F4B5E"/>
    <w:rsid w:val="007F57A6"/>
    <w:rsid w:val="007F61C2"/>
    <w:rsid w:val="007F7C32"/>
    <w:rsid w:val="0080009C"/>
    <w:rsid w:val="008000EA"/>
    <w:rsid w:val="008008C6"/>
    <w:rsid w:val="00800FFA"/>
    <w:rsid w:val="00802560"/>
    <w:rsid w:val="00805142"/>
    <w:rsid w:val="00805AF4"/>
    <w:rsid w:val="00807647"/>
    <w:rsid w:val="00807A8B"/>
    <w:rsid w:val="00811383"/>
    <w:rsid w:val="00811782"/>
    <w:rsid w:val="00812149"/>
    <w:rsid w:val="00812CAC"/>
    <w:rsid w:val="00813174"/>
    <w:rsid w:val="00814002"/>
    <w:rsid w:val="00814434"/>
    <w:rsid w:val="00815973"/>
    <w:rsid w:val="008166EF"/>
    <w:rsid w:val="00817982"/>
    <w:rsid w:val="0082526F"/>
    <w:rsid w:val="00825751"/>
    <w:rsid w:val="00825EA1"/>
    <w:rsid w:val="008264D0"/>
    <w:rsid w:val="008264EB"/>
    <w:rsid w:val="00826825"/>
    <w:rsid w:val="00832A59"/>
    <w:rsid w:val="00833B05"/>
    <w:rsid w:val="00834593"/>
    <w:rsid w:val="008362B4"/>
    <w:rsid w:val="00840CA2"/>
    <w:rsid w:val="0084133C"/>
    <w:rsid w:val="00842173"/>
    <w:rsid w:val="0084374F"/>
    <w:rsid w:val="00844CAF"/>
    <w:rsid w:val="00844F43"/>
    <w:rsid w:val="00845DE6"/>
    <w:rsid w:val="00846EE0"/>
    <w:rsid w:val="00846FB4"/>
    <w:rsid w:val="0084740D"/>
    <w:rsid w:val="0084742E"/>
    <w:rsid w:val="008475F9"/>
    <w:rsid w:val="00847DF5"/>
    <w:rsid w:val="0085196C"/>
    <w:rsid w:val="0085309D"/>
    <w:rsid w:val="00854584"/>
    <w:rsid w:val="00855198"/>
    <w:rsid w:val="0085532C"/>
    <w:rsid w:val="00856897"/>
    <w:rsid w:val="00856E9A"/>
    <w:rsid w:val="00857110"/>
    <w:rsid w:val="0085721A"/>
    <w:rsid w:val="0086075D"/>
    <w:rsid w:val="00861BFF"/>
    <w:rsid w:val="00862502"/>
    <w:rsid w:val="008635B0"/>
    <w:rsid w:val="008660D4"/>
    <w:rsid w:val="00866D53"/>
    <w:rsid w:val="00867472"/>
    <w:rsid w:val="00867CA2"/>
    <w:rsid w:val="00871FA9"/>
    <w:rsid w:val="008728E9"/>
    <w:rsid w:val="00873A2E"/>
    <w:rsid w:val="00880BC7"/>
    <w:rsid w:val="00881B77"/>
    <w:rsid w:val="00882874"/>
    <w:rsid w:val="00883787"/>
    <w:rsid w:val="00885A68"/>
    <w:rsid w:val="00886CD2"/>
    <w:rsid w:val="0088753C"/>
    <w:rsid w:val="00887F83"/>
    <w:rsid w:val="0089028A"/>
    <w:rsid w:val="00890CEC"/>
    <w:rsid w:val="00891390"/>
    <w:rsid w:val="00891874"/>
    <w:rsid w:val="00891CCA"/>
    <w:rsid w:val="00892A36"/>
    <w:rsid w:val="00893239"/>
    <w:rsid w:val="0089335C"/>
    <w:rsid w:val="00894489"/>
    <w:rsid w:val="008963A5"/>
    <w:rsid w:val="00896475"/>
    <w:rsid w:val="008A055B"/>
    <w:rsid w:val="008A08EC"/>
    <w:rsid w:val="008A0AD1"/>
    <w:rsid w:val="008A11AB"/>
    <w:rsid w:val="008A1AD8"/>
    <w:rsid w:val="008A2B6F"/>
    <w:rsid w:val="008A3363"/>
    <w:rsid w:val="008A3371"/>
    <w:rsid w:val="008A3C3E"/>
    <w:rsid w:val="008A42F6"/>
    <w:rsid w:val="008A4EA1"/>
    <w:rsid w:val="008A73DD"/>
    <w:rsid w:val="008A79DE"/>
    <w:rsid w:val="008B07C7"/>
    <w:rsid w:val="008B1757"/>
    <w:rsid w:val="008B2EFA"/>
    <w:rsid w:val="008B332B"/>
    <w:rsid w:val="008B6202"/>
    <w:rsid w:val="008B65C3"/>
    <w:rsid w:val="008B675D"/>
    <w:rsid w:val="008B78CC"/>
    <w:rsid w:val="008B7D7E"/>
    <w:rsid w:val="008B7EA8"/>
    <w:rsid w:val="008B7EC7"/>
    <w:rsid w:val="008C29CA"/>
    <w:rsid w:val="008C3926"/>
    <w:rsid w:val="008C449F"/>
    <w:rsid w:val="008C7926"/>
    <w:rsid w:val="008C7ECB"/>
    <w:rsid w:val="008D249A"/>
    <w:rsid w:val="008D32EC"/>
    <w:rsid w:val="008D43FD"/>
    <w:rsid w:val="008D4755"/>
    <w:rsid w:val="008D4C3D"/>
    <w:rsid w:val="008D4CB1"/>
    <w:rsid w:val="008E0D3C"/>
    <w:rsid w:val="008E1B3C"/>
    <w:rsid w:val="008E1B9E"/>
    <w:rsid w:val="008E2925"/>
    <w:rsid w:val="008E2DCB"/>
    <w:rsid w:val="008E4716"/>
    <w:rsid w:val="008E4F27"/>
    <w:rsid w:val="008E53C6"/>
    <w:rsid w:val="008E55AB"/>
    <w:rsid w:val="008E6064"/>
    <w:rsid w:val="008E6971"/>
    <w:rsid w:val="008E7ABD"/>
    <w:rsid w:val="008E7B98"/>
    <w:rsid w:val="008E7F96"/>
    <w:rsid w:val="008F120A"/>
    <w:rsid w:val="008F1DCB"/>
    <w:rsid w:val="008F27E0"/>
    <w:rsid w:val="008F3823"/>
    <w:rsid w:val="008F4000"/>
    <w:rsid w:val="008F48EB"/>
    <w:rsid w:val="008F4F0B"/>
    <w:rsid w:val="008F5397"/>
    <w:rsid w:val="008F5DAA"/>
    <w:rsid w:val="00901579"/>
    <w:rsid w:val="009017CC"/>
    <w:rsid w:val="00901B9A"/>
    <w:rsid w:val="00903051"/>
    <w:rsid w:val="009046C4"/>
    <w:rsid w:val="00904716"/>
    <w:rsid w:val="00905BA2"/>
    <w:rsid w:val="009062A5"/>
    <w:rsid w:val="009064AC"/>
    <w:rsid w:val="00906E3F"/>
    <w:rsid w:val="00906E46"/>
    <w:rsid w:val="00911272"/>
    <w:rsid w:val="0091299E"/>
    <w:rsid w:val="009135D6"/>
    <w:rsid w:val="00913F48"/>
    <w:rsid w:val="00914C77"/>
    <w:rsid w:val="00921A4B"/>
    <w:rsid w:val="009224D3"/>
    <w:rsid w:val="009225E1"/>
    <w:rsid w:val="0092369B"/>
    <w:rsid w:val="00924716"/>
    <w:rsid w:val="00926BB7"/>
    <w:rsid w:val="0093029F"/>
    <w:rsid w:val="009318FE"/>
    <w:rsid w:val="00932EBC"/>
    <w:rsid w:val="00933A83"/>
    <w:rsid w:val="00934051"/>
    <w:rsid w:val="00935144"/>
    <w:rsid w:val="00936764"/>
    <w:rsid w:val="0093710E"/>
    <w:rsid w:val="009375AF"/>
    <w:rsid w:val="00937D02"/>
    <w:rsid w:val="009400C0"/>
    <w:rsid w:val="009424D6"/>
    <w:rsid w:val="00942765"/>
    <w:rsid w:val="00942C1D"/>
    <w:rsid w:val="00943BAB"/>
    <w:rsid w:val="0094459C"/>
    <w:rsid w:val="00945D07"/>
    <w:rsid w:val="00946E0C"/>
    <w:rsid w:val="00947EB8"/>
    <w:rsid w:val="009510A2"/>
    <w:rsid w:val="00952123"/>
    <w:rsid w:val="009523F6"/>
    <w:rsid w:val="00952986"/>
    <w:rsid w:val="00952B7A"/>
    <w:rsid w:val="00953257"/>
    <w:rsid w:val="00953624"/>
    <w:rsid w:val="00954AA1"/>
    <w:rsid w:val="00954E1F"/>
    <w:rsid w:val="0096201F"/>
    <w:rsid w:val="00962417"/>
    <w:rsid w:val="00962849"/>
    <w:rsid w:val="00962CB9"/>
    <w:rsid w:val="00963F72"/>
    <w:rsid w:val="00964312"/>
    <w:rsid w:val="00965B8A"/>
    <w:rsid w:val="009717AC"/>
    <w:rsid w:val="00973299"/>
    <w:rsid w:val="009742CD"/>
    <w:rsid w:val="009755BA"/>
    <w:rsid w:val="00976AA7"/>
    <w:rsid w:val="00977CC8"/>
    <w:rsid w:val="00980129"/>
    <w:rsid w:val="00980C0F"/>
    <w:rsid w:val="00980D7E"/>
    <w:rsid w:val="0098372B"/>
    <w:rsid w:val="009838FF"/>
    <w:rsid w:val="00983A26"/>
    <w:rsid w:val="00983E57"/>
    <w:rsid w:val="009861BF"/>
    <w:rsid w:val="0098675D"/>
    <w:rsid w:val="00986F65"/>
    <w:rsid w:val="0099009A"/>
    <w:rsid w:val="00990C19"/>
    <w:rsid w:val="0099133C"/>
    <w:rsid w:val="009918E8"/>
    <w:rsid w:val="009935CC"/>
    <w:rsid w:val="00994A05"/>
    <w:rsid w:val="00995197"/>
    <w:rsid w:val="0099543E"/>
    <w:rsid w:val="009955DC"/>
    <w:rsid w:val="00996B1A"/>
    <w:rsid w:val="009A0B71"/>
    <w:rsid w:val="009A37E9"/>
    <w:rsid w:val="009A53B9"/>
    <w:rsid w:val="009A7940"/>
    <w:rsid w:val="009A7F10"/>
    <w:rsid w:val="009B022C"/>
    <w:rsid w:val="009B0DA8"/>
    <w:rsid w:val="009B1192"/>
    <w:rsid w:val="009B3E26"/>
    <w:rsid w:val="009B7FC7"/>
    <w:rsid w:val="009C23F6"/>
    <w:rsid w:val="009C52A3"/>
    <w:rsid w:val="009C56DF"/>
    <w:rsid w:val="009C6CEA"/>
    <w:rsid w:val="009C7091"/>
    <w:rsid w:val="009C7B85"/>
    <w:rsid w:val="009D2A99"/>
    <w:rsid w:val="009D35A5"/>
    <w:rsid w:val="009D40A3"/>
    <w:rsid w:val="009D5B91"/>
    <w:rsid w:val="009D792E"/>
    <w:rsid w:val="009E0DFE"/>
    <w:rsid w:val="009E35E3"/>
    <w:rsid w:val="009E392A"/>
    <w:rsid w:val="009E4AFF"/>
    <w:rsid w:val="009E4C07"/>
    <w:rsid w:val="009E4DC4"/>
    <w:rsid w:val="009E5266"/>
    <w:rsid w:val="009F1EA4"/>
    <w:rsid w:val="009F1EF8"/>
    <w:rsid w:val="009F364F"/>
    <w:rsid w:val="009F5067"/>
    <w:rsid w:val="009F5A01"/>
    <w:rsid w:val="00A01184"/>
    <w:rsid w:val="00A01CD0"/>
    <w:rsid w:val="00A021E8"/>
    <w:rsid w:val="00A03D43"/>
    <w:rsid w:val="00A04380"/>
    <w:rsid w:val="00A05A92"/>
    <w:rsid w:val="00A06F14"/>
    <w:rsid w:val="00A10373"/>
    <w:rsid w:val="00A108F6"/>
    <w:rsid w:val="00A1103F"/>
    <w:rsid w:val="00A11CD0"/>
    <w:rsid w:val="00A133BC"/>
    <w:rsid w:val="00A13948"/>
    <w:rsid w:val="00A13E15"/>
    <w:rsid w:val="00A144F6"/>
    <w:rsid w:val="00A146D0"/>
    <w:rsid w:val="00A1555B"/>
    <w:rsid w:val="00A155C5"/>
    <w:rsid w:val="00A16AD8"/>
    <w:rsid w:val="00A1718B"/>
    <w:rsid w:val="00A20321"/>
    <w:rsid w:val="00A20AA3"/>
    <w:rsid w:val="00A21CF3"/>
    <w:rsid w:val="00A24352"/>
    <w:rsid w:val="00A261F3"/>
    <w:rsid w:val="00A26229"/>
    <w:rsid w:val="00A26945"/>
    <w:rsid w:val="00A26A8C"/>
    <w:rsid w:val="00A27AEC"/>
    <w:rsid w:val="00A301D4"/>
    <w:rsid w:val="00A30BCB"/>
    <w:rsid w:val="00A30BFE"/>
    <w:rsid w:val="00A320DB"/>
    <w:rsid w:val="00A33FD1"/>
    <w:rsid w:val="00A34A17"/>
    <w:rsid w:val="00A352C6"/>
    <w:rsid w:val="00A35D15"/>
    <w:rsid w:val="00A35D16"/>
    <w:rsid w:val="00A36F20"/>
    <w:rsid w:val="00A37A72"/>
    <w:rsid w:val="00A37BCD"/>
    <w:rsid w:val="00A37C7E"/>
    <w:rsid w:val="00A40534"/>
    <w:rsid w:val="00A41861"/>
    <w:rsid w:val="00A43C59"/>
    <w:rsid w:val="00A4415F"/>
    <w:rsid w:val="00A4431D"/>
    <w:rsid w:val="00A45D94"/>
    <w:rsid w:val="00A46061"/>
    <w:rsid w:val="00A46B61"/>
    <w:rsid w:val="00A477B9"/>
    <w:rsid w:val="00A503CB"/>
    <w:rsid w:val="00A50979"/>
    <w:rsid w:val="00A50ECD"/>
    <w:rsid w:val="00A518F3"/>
    <w:rsid w:val="00A51DBB"/>
    <w:rsid w:val="00A52729"/>
    <w:rsid w:val="00A532AE"/>
    <w:rsid w:val="00A53675"/>
    <w:rsid w:val="00A542DD"/>
    <w:rsid w:val="00A554E5"/>
    <w:rsid w:val="00A56424"/>
    <w:rsid w:val="00A564D7"/>
    <w:rsid w:val="00A56B6A"/>
    <w:rsid w:val="00A578DC"/>
    <w:rsid w:val="00A614E5"/>
    <w:rsid w:val="00A62EAF"/>
    <w:rsid w:val="00A63291"/>
    <w:rsid w:val="00A634B8"/>
    <w:rsid w:val="00A650F8"/>
    <w:rsid w:val="00A65FDB"/>
    <w:rsid w:val="00A67048"/>
    <w:rsid w:val="00A6725B"/>
    <w:rsid w:val="00A672E3"/>
    <w:rsid w:val="00A700F7"/>
    <w:rsid w:val="00A70605"/>
    <w:rsid w:val="00A70F61"/>
    <w:rsid w:val="00A73134"/>
    <w:rsid w:val="00A74EB0"/>
    <w:rsid w:val="00A777B2"/>
    <w:rsid w:val="00A8054C"/>
    <w:rsid w:val="00A8098F"/>
    <w:rsid w:val="00A80DDC"/>
    <w:rsid w:val="00A81BB1"/>
    <w:rsid w:val="00A828BD"/>
    <w:rsid w:val="00A82DE0"/>
    <w:rsid w:val="00A82ECE"/>
    <w:rsid w:val="00A863EB"/>
    <w:rsid w:val="00A86E8B"/>
    <w:rsid w:val="00A87164"/>
    <w:rsid w:val="00A90416"/>
    <w:rsid w:val="00A91C94"/>
    <w:rsid w:val="00A9236F"/>
    <w:rsid w:val="00A93072"/>
    <w:rsid w:val="00A93953"/>
    <w:rsid w:val="00A94C23"/>
    <w:rsid w:val="00A959D8"/>
    <w:rsid w:val="00A973E9"/>
    <w:rsid w:val="00A97452"/>
    <w:rsid w:val="00A97FD5"/>
    <w:rsid w:val="00AA113D"/>
    <w:rsid w:val="00AA1C97"/>
    <w:rsid w:val="00AA371C"/>
    <w:rsid w:val="00AA45F6"/>
    <w:rsid w:val="00AA478D"/>
    <w:rsid w:val="00AA48D5"/>
    <w:rsid w:val="00AA49F1"/>
    <w:rsid w:val="00AA4E23"/>
    <w:rsid w:val="00AA5F51"/>
    <w:rsid w:val="00AA6C7D"/>
    <w:rsid w:val="00AA7FD6"/>
    <w:rsid w:val="00AB01E0"/>
    <w:rsid w:val="00AB042A"/>
    <w:rsid w:val="00AB155B"/>
    <w:rsid w:val="00AB16A6"/>
    <w:rsid w:val="00AB2D34"/>
    <w:rsid w:val="00AB341D"/>
    <w:rsid w:val="00AB3430"/>
    <w:rsid w:val="00AB3B8C"/>
    <w:rsid w:val="00AB4413"/>
    <w:rsid w:val="00AB4AD1"/>
    <w:rsid w:val="00AB4C7D"/>
    <w:rsid w:val="00AB75BA"/>
    <w:rsid w:val="00AB7CFA"/>
    <w:rsid w:val="00AC11D2"/>
    <w:rsid w:val="00AC2E9D"/>
    <w:rsid w:val="00AC53B2"/>
    <w:rsid w:val="00AC5647"/>
    <w:rsid w:val="00AC5B48"/>
    <w:rsid w:val="00AD13B2"/>
    <w:rsid w:val="00AD1428"/>
    <w:rsid w:val="00AD1579"/>
    <w:rsid w:val="00AD2E8C"/>
    <w:rsid w:val="00AD3EF5"/>
    <w:rsid w:val="00AD45E2"/>
    <w:rsid w:val="00AD5DD9"/>
    <w:rsid w:val="00AD6502"/>
    <w:rsid w:val="00AD796F"/>
    <w:rsid w:val="00AE007A"/>
    <w:rsid w:val="00AE0769"/>
    <w:rsid w:val="00AE1391"/>
    <w:rsid w:val="00AE2C85"/>
    <w:rsid w:val="00AE2C90"/>
    <w:rsid w:val="00AE4834"/>
    <w:rsid w:val="00AE4BBD"/>
    <w:rsid w:val="00AE5DD0"/>
    <w:rsid w:val="00AE615D"/>
    <w:rsid w:val="00AE6F19"/>
    <w:rsid w:val="00AF12B6"/>
    <w:rsid w:val="00AF1315"/>
    <w:rsid w:val="00AF19BF"/>
    <w:rsid w:val="00AF2372"/>
    <w:rsid w:val="00AF24DF"/>
    <w:rsid w:val="00AF2732"/>
    <w:rsid w:val="00AF27E8"/>
    <w:rsid w:val="00AF2DC3"/>
    <w:rsid w:val="00AF32D2"/>
    <w:rsid w:val="00AF49A2"/>
    <w:rsid w:val="00B00E86"/>
    <w:rsid w:val="00B019C0"/>
    <w:rsid w:val="00B01BAC"/>
    <w:rsid w:val="00B033E5"/>
    <w:rsid w:val="00B03551"/>
    <w:rsid w:val="00B03A63"/>
    <w:rsid w:val="00B054DA"/>
    <w:rsid w:val="00B10C8C"/>
    <w:rsid w:val="00B12F90"/>
    <w:rsid w:val="00B132E4"/>
    <w:rsid w:val="00B15097"/>
    <w:rsid w:val="00B201A4"/>
    <w:rsid w:val="00B213A6"/>
    <w:rsid w:val="00B21A45"/>
    <w:rsid w:val="00B23403"/>
    <w:rsid w:val="00B24DF6"/>
    <w:rsid w:val="00B31F4C"/>
    <w:rsid w:val="00B321A7"/>
    <w:rsid w:val="00B32973"/>
    <w:rsid w:val="00B34FE2"/>
    <w:rsid w:val="00B351B6"/>
    <w:rsid w:val="00B353BF"/>
    <w:rsid w:val="00B357D8"/>
    <w:rsid w:val="00B3775F"/>
    <w:rsid w:val="00B378A6"/>
    <w:rsid w:val="00B37A36"/>
    <w:rsid w:val="00B37BFC"/>
    <w:rsid w:val="00B40358"/>
    <w:rsid w:val="00B41614"/>
    <w:rsid w:val="00B41D4F"/>
    <w:rsid w:val="00B42851"/>
    <w:rsid w:val="00B42F80"/>
    <w:rsid w:val="00B435CB"/>
    <w:rsid w:val="00B43A3C"/>
    <w:rsid w:val="00B4460D"/>
    <w:rsid w:val="00B460DD"/>
    <w:rsid w:val="00B46347"/>
    <w:rsid w:val="00B4730B"/>
    <w:rsid w:val="00B47D83"/>
    <w:rsid w:val="00B47FA1"/>
    <w:rsid w:val="00B50DB8"/>
    <w:rsid w:val="00B53654"/>
    <w:rsid w:val="00B53905"/>
    <w:rsid w:val="00B53AE0"/>
    <w:rsid w:val="00B54900"/>
    <w:rsid w:val="00B54B5B"/>
    <w:rsid w:val="00B5562E"/>
    <w:rsid w:val="00B57000"/>
    <w:rsid w:val="00B57332"/>
    <w:rsid w:val="00B57698"/>
    <w:rsid w:val="00B60939"/>
    <w:rsid w:val="00B60AFD"/>
    <w:rsid w:val="00B60F22"/>
    <w:rsid w:val="00B623B1"/>
    <w:rsid w:val="00B62715"/>
    <w:rsid w:val="00B62C2E"/>
    <w:rsid w:val="00B635E1"/>
    <w:rsid w:val="00B6654F"/>
    <w:rsid w:val="00B6730F"/>
    <w:rsid w:val="00B7479C"/>
    <w:rsid w:val="00B77C10"/>
    <w:rsid w:val="00B81027"/>
    <w:rsid w:val="00B81146"/>
    <w:rsid w:val="00B8134C"/>
    <w:rsid w:val="00B818A4"/>
    <w:rsid w:val="00B82308"/>
    <w:rsid w:val="00B82E51"/>
    <w:rsid w:val="00B84117"/>
    <w:rsid w:val="00B846FB"/>
    <w:rsid w:val="00B8556A"/>
    <w:rsid w:val="00B85AA2"/>
    <w:rsid w:val="00B8649C"/>
    <w:rsid w:val="00B86617"/>
    <w:rsid w:val="00B86AC4"/>
    <w:rsid w:val="00B86E59"/>
    <w:rsid w:val="00B8762D"/>
    <w:rsid w:val="00B8782F"/>
    <w:rsid w:val="00B87B82"/>
    <w:rsid w:val="00B87CC0"/>
    <w:rsid w:val="00B87F0A"/>
    <w:rsid w:val="00B9161F"/>
    <w:rsid w:val="00B91FF6"/>
    <w:rsid w:val="00B92D0B"/>
    <w:rsid w:val="00B92E48"/>
    <w:rsid w:val="00B934D3"/>
    <w:rsid w:val="00B943E1"/>
    <w:rsid w:val="00B94945"/>
    <w:rsid w:val="00B96131"/>
    <w:rsid w:val="00BA1150"/>
    <w:rsid w:val="00BA322D"/>
    <w:rsid w:val="00BA4A6D"/>
    <w:rsid w:val="00BA5765"/>
    <w:rsid w:val="00BA5A5D"/>
    <w:rsid w:val="00BA5F10"/>
    <w:rsid w:val="00BA6F7A"/>
    <w:rsid w:val="00BB01DF"/>
    <w:rsid w:val="00BB0BDD"/>
    <w:rsid w:val="00BB2A73"/>
    <w:rsid w:val="00BB2ADF"/>
    <w:rsid w:val="00BB4ACC"/>
    <w:rsid w:val="00BB5FF7"/>
    <w:rsid w:val="00BB66D4"/>
    <w:rsid w:val="00BB6B9B"/>
    <w:rsid w:val="00BB703E"/>
    <w:rsid w:val="00BB718C"/>
    <w:rsid w:val="00BB7405"/>
    <w:rsid w:val="00BB7E3B"/>
    <w:rsid w:val="00BC0744"/>
    <w:rsid w:val="00BC3430"/>
    <w:rsid w:val="00BC3631"/>
    <w:rsid w:val="00BC5229"/>
    <w:rsid w:val="00BC6A8D"/>
    <w:rsid w:val="00BC7A55"/>
    <w:rsid w:val="00BD0877"/>
    <w:rsid w:val="00BD0CAF"/>
    <w:rsid w:val="00BD0FD6"/>
    <w:rsid w:val="00BD147B"/>
    <w:rsid w:val="00BD1B8D"/>
    <w:rsid w:val="00BD50A9"/>
    <w:rsid w:val="00BD54C5"/>
    <w:rsid w:val="00BD583D"/>
    <w:rsid w:val="00BD5FBE"/>
    <w:rsid w:val="00BD68A3"/>
    <w:rsid w:val="00BD6938"/>
    <w:rsid w:val="00BD6CF3"/>
    <w:rsid w:val="00BE053B"/>
    <w:rsid w:val="00BE2180"/>
    <w:rsid w:val="00BE21F2"/>
    <w:rsid w:val="00BE4027"/>
    <w:rsid w:val="00BE4275"/>
    <w:rsid w:val="00BE5BEA"/>
    <w:rsid w:val="00BE68E4"/>
    <w:rsid w:val="00BF0E33"/>
    <w:rsid w:val="00BF0F95"/>
    <w:rsid w:val="00BF13A0"/>
    <w:rsid w:val="00BF18DD"/>
    <w:rsid w:val="00BF1C68"/>
    <w:rsid w:val="00BF1CC1"/>
    <w:rsid w:val="00BF1E38"/>
    <w:rsid w:val="00BF2433"/>
    <w:rsid w:val="00BF27A0"/>
    <w:rsid w:val="00BF4695"/>
    <w:rsid w:val="00BF48CF"/>
    <w:rsid w:val="00BF5011"/>
    <w:rsid w:val="00BF61C9"/>
    <w:rsid w:val="00BF6C94"/>
    <w:rsid w:val="00C00424"/>
    <w:rsid w:val="00C044C5"/>
    <w:rsid w:val="00C0681D"/>
    <w:rsid w:val="00C07ECD"/>
    <w:rsid w:val="00C102D3"/>
    <w:rsid w:val="00C11548"/>
    <w:rsid w:val="00C12C14"/>
    <w:rsid w:val="00C13E17"/>
    <w:rsid w:val="00C148EC"/>
    <w:rsid w:val="00C1508D"/>
    <w:rsid w:val="00C15D18"/>
    <w:rsid w:val="00C17A87"/>
    <w:rsid w:val="00C200AA"/>
    <w:rsid w:val="00C21866"/>
    <w:rsid w:val="00C237ED"/>
    <w:rsid w:val="00C23CE1"/>
    <w:rsid w:val="00C23D48"/>
    <w:rsid w:val="00C24632"/>
    <w:rsid w:val="00C25418"/>
    <w:rsid w:val="00C256E6"/>
    <w:rsid w:val="00C2586C"/>
    <w:rsid w:val="00C25D9C"/>
    <w:rsid w:val="00C26616"/>
    <w:rsid w:val="00C271FC"/>
    <w:rsid w:val="00C2778B"/>
    <w:rsid w:val="00C30851"/>
    <w:rsid w:val="00C309A1"/>
    <w:rsid w:val="00C31649"/>
    <w:rsid w:val="00C3263E"/>
    <w:rsid w:val="00C326A3"/>
    <w:rsid w:val="00C32B4B"/>
    <w:rsid w:val="00C32C2D"/>
    <w:rsid w:val="00C32DC9"/>
    <w:rsid w:val="00C35AAF"/>
    <w:rsid w:val="00C3772A"/>
    <w:rsid w:val="00C37732"/>
    <w:rsid w:val="00C40385"/>
    <w:rsid w:val="00C41128"/>
    <w:rsid w:val="00C41B37"/>
    <w:rsid w:val="00C4415C"/>
    <w:rsid w:val="00C44CC9"/>
    <w:rsid w:val="00C475AA"/>
    <w:rsid w:val="00C476DF"/>
    <w:rsid w:val="00C47DC2"/>
    <w:rsid w:val="00C5138F"/>
    <w:rsid w:val="00C52695"/>
    <w:rsid w:val="00C52A66"/>
    <w:rsid w:val="00C53076"/>
    <w:rsid w:val="00C533A1"/>
    <w:rsid w:val="00C53CDE"/>
    <w:rsid w:val="00C56005"/>
    <w:rsid w:val="00C57A63"/>
    <w:rsid w:val="00C60E9E"/>
    <w:rsid w:val="00C61106"/>
    <w:rsid w:val="00C61DC0"/>
    <w:rsid w:val="00C6208C"/>
    <w:rsid w:val="00C62A4E"/>
    <w:rsid w:val="00C6329B"/>
    <w:rsid w:val="00C65576"/>
    <w:rsid w:val="00C66165"/>
    <w:rsid w:val="00C70754"/>
    <w:rsid w:val="00C7151A"/>
    <w:rsid w:val="00C71CED"/>
    <w:rsid w:val="00C71F60"/>
    <w:rsid w:val="00C72241"/>
    <w:rsid w:val="00C73182"/>
    <w:rsid w:val="00C732C9"/>
    <w:rsid w:val="00C750C8"/>
    <w:rsid w:val="00C75583"/>
    <w:rsid w:val="00C7560F"/>
    <w:rsid w:val="00C76099"/>
    <w:rsid w:val="00C769D8"/>
    <w:rsid w:val="00C80A0E"/>
    <w:rsid w:val="00C81266"/>
    <w:rsid w:val="00C8213F"/>
    <w:rsid w:val="00C82197"/>
    <w:rsid w:val="00C839BE"/>
    <w:rsid w:val="00C83AFE"/>
    <w:rsid w:val="00C8797A"/>
    <w:rsid w:val="00C900B8"/>
    <w:rsid w:val="00C90C71"/>
    <w:rsid w:val="00C913F7"/>
    <w:rsid w:val="00C91AD0"/>
    <w:rsid w:val="00C931CF"/>
    <w:rsid w:val="00C938CF"/>
    <w:rsid w:val="00C94177"/>
    <w:rsid w:val="00C952AE"/>
    <w:rsid w:val="00C9624D"/>
    <w:rsid w:val="00C9666C"/>
    <w:rsid w:val="00C969DA"/>
    <w:rsid w:val="00CA2BE5"/>
    <w:rsid w:val="00CA2C77"/>
    <w:rsid w:val="00CA336D"/>
    <w:rsid w:val="00CA3D50"/>
    <w:rsid w:val="00CA444F"/>
    <w:rsid w:val="00CA5245"/>
    <w:rsid w:val="00CA5948"/>
    <w:rsid w:val="00CA71F4"/>
    <w:rsid w:val="00CA7B09"/>
    <w:rsid w:val="00CB2F2A"/>
    <w:rsid w:val="00CB4B6B"/>
    <w:rsid w:val="00CB5675"/>
    <w:rsid w:val="00CB5AAC"/>
    <w:rsid w:val="00CB5B1A"/>
    <w:rsid w:val="00CB68F6"/>
    <w:rsid w:val="00CB6B22"/>
    <w:rsid w:val="00CB7A91"/>
    <w:rsid w:val="00CB7F5F"/>
    <w:rsid w:val="00CC0F08"/>
    <w:rsid w:val="00CC1B39"/>
    <w:rsid w:val="00CD1F2E"/>
    <w:rsid w:val="00CD2388"/>
    <w:rsid w:val="00CD4548"/>
    <w:rsid w:val="00CD6ADC"/>
    <w:rsid w:val="00CD6AF8"/>
    <w:rsid w:val="00CD78B6"/>
    <w:rsid w:val="00CD7912"/>
    <w:rsid w:val="00CD7BE5"/>
    <w:rsid w:val="00CE03AE"/>
    <w:rsid w:val="00CE264D"/>
    <w:rsid w:val="00CE3699"/>
    <w:rsid w:val="00CE49F4"/>
    <w:rsid w:val="00CE4FFF"/>
    <w:rsid w:val="00CE6274"/>
    <w:rsid w:val="00CE74B8"/>
    <w:rsid w:val="00CE764C"/>
    <w:rsid w:val="00CF2B8D"/>
    <w:rsid w:val="00CF2BEE"/>
    <w:rsid w:val="00CF2CD0"/>
    <w:rsid w:val="00CF3C8E"/>
    <w:rsid w:val="00CF456B"/>
    <w:rsid w:val="00CF5A22"/>
    <w:rsid w:val="00D0262E"/>
    <w:rsid w:val="00D0492A"/>
    <w:rsid w:val="00D05635"/>
    <w:rsid w:val="00D06A3E"/>
    <w:rsid w:val="00D110BD"/>
    <w:rsid w:val="00D11BD1"/>
    <w:rsid w:val="00D135A7"/>
    <w:rsid w:val="00D13675"/>
    <w:rsid w:val="00D13AB3"/>
    <w:rsid w:val="00D13FC3"/>
    <w:rsid w:val="00D141E1"/>
    <w:rsid w:val="00D14543"/>
    <w:rsid w:val="00D152FE"/>
    <w:rsid w:val="00D168BD"/>
    <w:rsid w:val="00D16CD9"/>
    <w:rsid w:val="00D17D6C"/>
    <w:rsid w:val="00D205B6"/>
    <w:rsid w:val="00D20986"/>
    <w:rsid w:val="00D22164"/>
    <w:rsid w:val="00D22B21"/>
    <w:rsid w:val="00D23D95"/>
    <w:rsid w:val="00D25F90"/>
    <w:rsid w:val="00D270A4"/>
    <w:rsid w:val="00D273AE"/>
    <w:rsid w:val="00D2754D"/>
    <w:rsid w:val="00D27A15"/>
    <w:rsid w:val="00D27B27"/>
    <w:rsid w:val="00D328E0"/>
    <w:rsid w:val="00D32F9E"/>
    <w:rsid w:val="00D33BE9"/>
    <w:rsid w:val="00D357FF"/>
    <w:rsid w:val="00D362D7"/>
    <w:rsid w:val="00D37A0E"/>
    <w:rsid w:val="00D40E57"/>
    <w:rsid w:val="00D424C7"/>
    <w:rsid w:val="00D43B2A"/>
    <w:rsid w:val="00D43E54"/>
    <w:rsid w:val="00D444F4"/>
    <w:rsid w:val="00D44D75"/>
    <w:rsid w:val="00D45B63"/>
    <w:rsid w:val="00D47575"/>
    <w:rsid w:val="00D501CF"/>
    <w:rsid w:val="00D51710"/>
    <w:rsid w:val="00D51A6E"/>
    <w:rsid w:val="00D51EE2"/>
    <w:rsid w:val="00D526F3"/>
    <w:rsid w:val="00D5298C"/>
    <w:rsid w:val="00D532C7"/>
    <w:rsid w:val="00D53EE8"/>
    <w:rsid w:val="00D575A0"/>
    <w:rsid w:val="00D57F09"/>
    <w:rsid w:val="00D616D4"/>
    <w:rsid w:val="00D63CFA"/>
    <w:rsid w:val="00D653E2"/>
    <w:rsid w:val="00D70F16"/>
    <w:rsid w:val="00D712D8"/>
    <w:rsid w:val="00D71995"/>
    <w:rsid w:val="00D723A4"/>
    <w:rsid w:val="00D7265D"/>
    <w:rsid w:val="00D72B3D"/>
    <w:rsid w:val="00D751E6"/>
    <w:rsid w:val="00D762F5"/>
    <w:rsid w:val="00D76A44"/>
    <w:rsid w:val="00D80405"/>
    <w:rsid w:val="00D815EF"/>
    <w:rsid w:val="00D817E6"/>
    <w:rsid w:val="00D8193A"/>
    <w:rsid w:val="00D81CE6"/>
    <w:rsid w:val="00D83AB5"/>
    <w:rsid w:val="00D83C99"/>
    <w:rsid w:val="00D84ECC"/>
    <w:rsid w:val="00D90884"/>
    <w:rsid w:val="00D91923"/>
    <w:rsid w:val="00D922E6"/>
    <w:rsid w:val="00D93753"/>
    <w:rsid w:val="00D9386E"/>
    <w:rsid w:val="00D94547"/>
    <w:rsid w:val="00D94B92"/>
    <w:rsid w:val="00D96655"/>
    <w:rsid w:val="00DA3167"/>
    <w:rsid w:val="00DA347E"/>
    <w:rsid w:val="00DA3E59"/>
    <w:rsid w:val="00DA4C2F"/>
    <w:rsid w:val="00DA4DC3"/>
    <w:rsid w:val="00DA6524"/>
    <w:rsid w:val="00DA7622"/>
    <w:rsid w:val="00DA77A5"/>
    <w:rsid w:val="00DA7B7E"/>
    <w:rsid w:val="00DB15DE"/>
    <w:rsid w:val="00DB1BAD"/>
    <w:rsid w:val="00DB26B9"/>
    <w:rsid w:val="00DB2C69"/>
    <w:rsid w:val="00DB41C3"/>
    <w:rsid w:val="00DB484F"/>
    <w:rsid w:val="00DB6C4D"/>
    <w:rsid w:val="00DB79E9"/>
    <w:rsid w:val="00DC00B1"/>
    <w:rsid w:val="00DC04F6"/>
    <w:rsid w:val="00DC0B54"/>
    <w:rsid w:val="00DC1BB3"/>
    <w:rsid w:val="00DC1D50"/>
    <w:rsid w:val="00DC2442"/>
    <w:rsid w:val="00DC3C57"/>
    <w:rsid w:val="00DC5501"/>
    <w:rsid w:val="00DC56F8"/>
    <w:rsid w:val="00DC60D7"/>
    <w:rsid w:val="00DC6D15"/>
    <w:rsid w:val="00DD0E7B"/>
    <w:rsid w:val="00DD1059"/>
    <w:rsid w:val="00DD1957"/>
    <w:rsid w:val="00DD227D"/>
    <w:rsid w:val="00DD273C"/>
    <w:rsid w:val="00DD3071"/>
    <w:rsid w:val="00DD3F28"/>
    <w:rsid w:val="00DD4425"/>
    <w:rsid w:val="00DD4537"/>
    <w:rsid w:val="00DD4E15"/>
    <w:rsid w:val="00DD65E9"/>
    <w:rsid w:val="00DD6F6A"/>
    <w:rsid w:val="00DE169A"/>
    <w:rsid w:val="00DE1A04"/>
    <w:rsid w:val="00DE3138"/>
    <w:rsid w:val="00DE37F8"/>
    <w:rsid w:val="00DE4FCB"/>
    <w:rsid w:val="00DE7832"/>
    <w:rsid w:val="00DF0FAB"/>
    <w:rsid w:val="00DF10E1"/>
    <w:rsid w:val="00DF18FC"/>
    <w:rsid w:val="00DF1A59"/>
    <w:rsid w:val="00DF2D65"/>
    <w:rsid w:val="00DF5D2B"/>
    <w:rsid w:val="00DF60E9"/>
    <w:rsid w:val="00DF6E56"/>
    <w:rsid w:val="00DF7837"/>
    <w:rsid w:val="00E0093A"/>
    <w:rsid w:val="00E00AEA"/>
    <w:rsid w:val="00E00E8E"/>
    <w:rsid w:val="00E02286"/>
    <w:rsid w:val="00E02F66"/>
    <w:rsid w:val="00E03B48"/>
    <w:rsid w:val="00E04EF6"/>
    <w:rsid w:val="00E05630"/>
    <w:rsid w:val="00E06695"/>
    <w:rsid w:val="00E06DBB"/>
    <w:rsid w:val="00E07385"/>
    <w:rsid w:val="00E10149"/>
    <w:rsid w:val="00E112F3"/>
    <w:rsid w:val="00E11BDE"/>
    <w:rsid w:val="00E12822"/>
    <w:rsid w:val="00E12AB4"/>
    <w:rsid w:val="00E139B4"/>
    <w:rsid w:val="00E1508C"/>
    <w:rsid w:val="00E16372"/>
    <w:rsid w:val="00E171E1"/>
    <w:rsid w:val="00E17806"/>
    <w:rsid w:val="00E20E4D"/>
    <w:rsid w:val="00E20ED6"/>
    <w:rsid w:val="00E21064"/>
    <w:rsid w:val="00E21358"/>
    <w:rsid w:val="00E2214E"/>
    <w:rsid w:val="00E2249B"/>
    <w:rsid w:val="00E22A0D"/>
    <w:rsid w:val="00E24389"/>
    <w:rsid w:val="00E2461F"/>
    <w:rsid w:val="00E247E3"/>
    <w:rsid w:val="00E27624"/>
    <w:rsid w:val="00E2771E"/>
    <w:rsid w:val="00E30CC8"/>
    <w:rsid w:val="00E315EA"/>
    <w:rsid w:val="00E31D14"/>
    <w:rsid w:val="00E32F1A"/>
    <w:rsid w:val="00E33F19"/>
    <w:rsid w:val="00E3422E"/>
    <w:rsid w:val="00E34948"/>
    <w:rsid w:val="00E350D9"/>
    <w:rsid w:val="00E352AF"/>
    <w:rsid w:val="00E37569"/>
    <w:rsid w:val="00E37EDE"/>
    <w:rsid w:val="00E40352"/>
    <w:rsid w:val="00E4128D"/>
    <w:rsid w:val="00E41E30"/>
    <w:rsid w:val="00E43D4B"/>
    <w:rsid w:val="00E43D70"/>
    <w:rsid w:val="00E4516C"/>
    <w:rsid w:val="00E456DC"/>
    <w:rsid w:val="00E458BB"/>
    <w:rsid w:val="00E466F3"/>
    <w:rsid w:val="00E46936"/>
    <w:rsid w:val="00E47B2C"/>
    <w:rsid w:val="00E504F8"/>
    <w:rsid w:val="00E50663"/>
    <w:rsid w:val="00E51560"/>
    <w:rsid w:val="00E5195D"/>
    <w:rsid w:val="00E54347"/>
    <w:rsid w:val="00E547B3"/>
    <w:rsid w:val="00E54FB4"/>
    <w:rsid w:val="00E55424"/>
    <w:rsid w:val="00E555EC"/>
    <w:rsid w:val="00E55BB5"/>
    <w:rsid w:val="00E561CA"/>
    <w:rsid w:val="00E5666B"/>
    <w:rsid w:val="00E607B3"/>
    <w:rsid w:val="00E60A9B"/>
    <w:rsid w:val="00E61862"/>
    <w:rsid w:val="00E62486"/>
    <w:rsid w:val="00E62AE0"/>
    <w:rsid w:val="00E633E2"/>
    <w:rsid w:val="00E65E79"/>
    <w:rsid w:val="00E66BA2"/>
    <w:rsid w:val="00E67416"/>
    <w:rsid w:val="00E67653"/>
    <w:rsid w:val="00E70DF7"/>
    <w:rsid w:val="00E718B6"/>
    <w:rsid w:val="00E723BA"/>
    <w:rsid w:val="00E73581"/>
    <w:rsid w:val="00E74C2E"/>
    <w:rsid w:val="00E755CA"/>
    <w:rsid w:val="00E76651"/>
    <w:rsid w:val="00E770CC"/>
    <w:rsid w:val="00E8264D"/>
    <w:rsid w:val="00E833F7"/>
    <w:rsid w:val="00E83816"/>
    <w:rsid w:val="00E83A8B"/>
    <w:rsid w:val="00E83BDF"/>
    <w:rsid w:val="00E848A2"/>
    <w:rsid w:val="00E84C22"/>
    <w:rsid w:val="00E8516C"/>
    <w:rsid w:val="00E876FA"/>
    <w:rsid w:val="00E87A1D"/>
    <w:rsid w:val="00E90501"/>
    <w:rsid w:val="00E92547"/>
    <w:rsid w:val="00E926A5"/>
    <w:rsid w:val="00E92AA2"/>
    <w:rsid w:val="00E93C70"/>
    <w:rsid w:val="00E93D4D"/>
    <w:rsid w:val="00E94639"/>
    <w:rsid w:val="00E94CE1"/>
    <w:rsid w:val="00E94E6D"/>
    <w:rsid w:val="00E9546D"/>
    <w:rsid w:val="00E967FB"/>
    <w:rsid w:val="00E9761C"/>
    <w:rsid w:val="00E9789D"/>
    <w:rsid w:val="00E97BBF"/>
    <w:rsid w:val="00E97C62"/>
    <w:rsid w:val="00EA17C3"/>
    <w:rsid w:val="00EA2ADC"/>
    <w:rsid w:val="00EA2CAA"/>
    <w:rsid w:val="00EA37B2"/>
    <w:rsid w:val="00EA3864"/>
    <w:rsid w:val="00EA4298"/>
    <w:rsid w:val="00EA5584"/>
    <w:rsid w:val="00EB04A7"/>
    <w:rsid w:val="00EB15B6"/>
    <w:rsid w:val="00EB1B06"/>
    <w:rsid w:val="00EB1F5E"/>
    <w:rsid w:val="00EB3063"/>
    <w:rsid w:val="00EB3D6C"/>
    <w:rsid w:val="00EB4916"/>
    <w:rsid w:val="00EB4B94"/>
    <w:rsid w:val="00EC00C9"/>
    <w:rsid w:val="00EC1417"/>
    <w:rsid w:val="00EC1F80"/>
    <w:rsid w:val="00EC2649"/>
    <w:rsid w:val="00EC326C"/>
    <w:rsid w:val="00EC3B69"/>
    <w:rsid w:val="00EC3F21"/>
    <w:rsid w:val="00EC7002"/>
    <w:rsid w:val="00EC7222"/>
    <w:rsid w:val="00EC7967"/>
    <w:rsid w:val="00ED1DE1"/>
    <w:rsid w:val="00ED4066"/>
    <w:rsid w:val="00ED49CA"/>
    <w:rsid w:val="00ED4BFB"/>
    <w:rsid w:val="00ED57EA"/>
    <w:rsid w:val="00ED6D30"/>
    <w:rsid w:val="00EE07D3"/>
    <w:rsid w:val="00EE22AF"/>
    <w:rsid w:val="00EE5938"/>
    <w:rsid w:val="00EF0171"/>
    <w:rsid w:val="00EF07D0"/>
    <w:rsid w:val="00EF0A05"/>
    <w:rsid w:val="00EF11E0"/>
    <w:rsid w:val="00EF1B25"/>
    <w:rsid w:val="00EF2EAE"/>
    <w:rsid w:val="00EF44FA"/>
    <w:rsid w:val="00EF4747"/>
    <w:rsid w:val="00EF4BF8"/>
    <w:rsid w:val="00EF6044"/>
    <w:rsid w:val="00EF6BF1"/>
    <w:rsid w:val="00F01306"/>
    <w:rsid w:val="00F0191C"/>
    <w:rsid w:val="00F02029"/>
    <w:rsid w:val="00F02253"/>
    <w:rsid w:val="00F03B0B"/>
    <w:rsid w:val="00F03C2E"/>
    <w:rsid w:val="00F04A66"/>
    <w:rsid w:val="00F0516C"/>
    <w:rsid w:val="00F0517E"/>
    <w:rsid w:val="00F067A2"/>
    <w:rsid w:val="00F075B1"/>
    <w:rsid w:val="00F10BEE"/>
    <w:rsid w:val="00F12284"/>
    <w:rsid w:val="00F1263A"/>
    <w:rsid w:val="00F1304C"/>
    <w:rsid w:val="00F13FB3"/>
    <w:rsid w:val="00F153C9"/>
    <w:rsid w:val="00F1663E"/>
    <w:rsid w:val="00F17B0A"/>
    <w:rsid w:val="00F212BC"/>
    <w:rsid w:val="00F23ED8"/>
    <w:rsid w:val="00F24837"/>
    <w:rsid w:val="00F2575F"/>
    <w:rsid w:val="00F27565"/>
    <w:rsid w:val="00F3073E"/>
    <w:rsid w:val="00F30BB2"/>
    <w:rsid w:val="00F30DB5"/>
    <w:rsid w:val="00F310D4"/>
    <w:rsid w:val="00F31D5A"/>
    <w:rsid w:val="00F3203C"/>
    <w:rsid w:val="00F3276E"/>
    <w:rsid w:val="00F32E17"/>
    <w:rsid w:val="00F33D3B"/>
    <w:rsid w:val="00F33DE9"/>
    <w:rsid w:val="00F34122"/>
    <w:rsid w:val="00F34C38"/>
    <w:rsid w:val="00F3619A"/>
    <w:rsid w:val="00F40AAA"/>
    <w:rsid w:val="00F40BA7"/>
    <w:rsid w:val="00F41569"/>
    <w:rsid w:val="00F41EB1"/>
    <w:rsid w:val="00F427BF"/>
    <w:rsid w:val="00F465FE"/>
    <w:rsid w:val="00F46CB6"/>
    <w:rsid w:val="00F46CD0"/>
    <w:rsid w:val="00F46EBD"/>
    <w:rsid w:val="00F47DE8"/>
    <w:rsid w:val="00F5012D"/>
    <w:rsid w:val="00F5091B"/>
    <w:rsid w:val="00F50E35"/>
    <w:rsid w:val="00F5112B"/>
    <w:rsid w:val="00F5172B"/>
    <w:rsid w:val="00F51915"/>
    <w:rsid w:val="00F52104"/>
    <w:rsid w:val="00F542C1"/>
    <w:rsid w:val="00F54CE1"/>
    <w:rsid w:val="00F557B5"/>
    <w:rsid w:val="00F55E73"/>
    <w:rsid w:val="00F55EDA"/>
    <w:rsid w:val="00F56801"/>
    <w:rsid w:val="00F60092"/>
    <w:rsid w:val="00F61933"/>
    <w:rsid w:val="00F620FB"/>
    <w:rsid w:val="00F6241C"/>
    <w:rsid w:val="00F63878"/>
    <w:rsid w:val="00F65F4B"/>
    <w:rsid w:val="00F70C9D"/>
    <w:rsid w:val="00F715DD"/>
    <w:rsid w:val="00F731E4"/>
    <w:rsid w:val="00F742A2"/>
    <w:rsid w:val="00F74CD9"/>
    <w:rsid w:val="00F75216"/>
    <w:rsid w:val="00F75346"/>
    <w:rsid w:val="00F7543F"/>
    <w:rsid w:val="00F80A7B"/>
    <w:rsid w:val="00F80BE0"/>
    <w:rsid w:val="00F80E5D"/>
    <w:rsid w:val="00F82600"/>
    <w:rsid w:val="00F828DB"/>
    <w:rsid w:val="00F851CE"/>
    <w:rsid w:val="00F860B3"/>
    <w:rsid w:val="00F907A8"/>
    <w:rsid w:val="00F907AB"/>
    <w:rsid w:val="00F91219"/>
    <w:rsid w:val="00F916FD"/>
    <w:rsid w:val="00F91853"/>
    <w:rsid w:val="00F92053"/>
    <w:rsid w:val="00F935D5"/>
    <w:rsid w:val="00F94F40"/>
    <w:rsid w:val="00F95FCA"/>
    <w:rsid w:val="00F96780"/>
    <w:rsid w:val="00F976CD"/>
    <w:rsid w:val="00F97A78"/>
    <w:rsid w:val="00FA0B20"/>
    <w:rsid w:val="00FA0C37"/>
    <w:rsid w:val="00FA10E6"/>
    <w:rsid w:val="00FA1B68"/>
    <w:rsid w:val="00FA1C1A"/>
    <w:rsid w:val="00FA24E7"/>
    <w:rsid w:val="00FA2E1B"/>
    <w:rsid w:val="00FA40DB"/>
    <w:rsid w:val="00FA40E6"/>
    <w:rsid w:val="00FA59A3"/>
    <w:rsid w:val="00FA624F"/>
    <w:rsid w:val="00FA6722"/>
    <w:rsid w:val="00FA6736"/>
    <w:rsid w:val="00FA6DCF"/>
    <w:rsid w:val="00FA7091"/>
    <w:rsid w:val="00FA738C"/>
    <w:rsid w:val="00FB0629"/>
    <w:rsid w:val="00FB2013"/>
    <w:rsid w:val="00FB2A28"/>
    <w:rsid w:val="00FB2FCB"/>
    <w:rsid w:val="00FB404D"/>
    <w:rsid w:val="00FB4D58"/>
    <w:rsid w:val="00FB6C8B"/>
    <w:rsid w:val="00FB7D94"/>
    <w:rsid w:val="00FC1074"/>
    <w:rsid w:val="00FC13C4"/>
    <w:rsid w:val="00FC1602"/>
    <w:rsid w:val="00FC1884"/>
    <w:rsid w:val="00FC2F6D"/>
    <w:rsid w:val="00FC371D"/>
    <w:rsid w:val="00FC3B61"/>
    <w:rsid w:val="00FC5BC9"/>
    <w:rsid w:val="00FC5F0B"/>
    <w:rsid w:val="00FC6D9B"/>
    <w:rsid w:val="00FC750B"/>
    <w:rsid w:val="00FD07EA"/>
    <w:rsid w:val="00FD2100"/>
    <w:rsid w:val="00FD2532"/>
    <w:rsid w:val="00FD2831"/>
    <w:rsid w:val="00FD2CEA"/>
    <w:rsid w:val="00FD3F59"/>
    <w:rsid w:val="00FD41CE"/>
    <w:rsid w:val="00FD42CC"/>
    <w:rsid w:val="00FD436C"/>
    <w:rsid w:val="00FD446D"/>
    <w:rsid w:val="00FD5434"/>
    <w:rsid w:val="00FD6394"/>
    <w:rsid w:val="00FD683D"/>
    <w:rsid w:val="00FD7B2A"/>
    <w:rsid w:val="00FD7D7A"/>
    <w:rsid w:val="00FD7F59"/>
    <w:rsid w:val="00FE0E6C"/>
    <w:rsid w:val="00FE223B"/>
    <w:rsid w:val="00FE32DA"/>
    <w:rsid w:val="00FE393C"/>
    <w:rsid w:val="00FE3C72"/>
    <w:rsid w:val="00FE429E"/>
    <w:rsid w:val="00FE464A"/>
    <w:rsid w:val="00FE6A78"/>
    <w:rsid w:val="00FE70C3"/>
    <w:rsid w:val="00FF013B"/>
    <w:rsid w:val="00FF3723"/>
    <w:rsid w:val="00FF381F"/>
    <w:rsid w:val="00FF3D8B"/>
    <w:rsid w:val="00FF3DCF"/>
    <w:rsid w:val="00FF4413"/>
    <w:rsid w:val="00FF492C"/>
    <w:rsid w:val="00FF4A21"/>
    <w:rsid w:val="00FF5AA3"/>
    <w:rsid w:val="00FF5AD8"/>
    <w:rsid w:val="00FF65B7"/>
    <w:rsid w:val="00FF7C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D83AB5"/>
    <w:pPr>
      <w:jc w:val="both"/>
    </w:pPr>
    <w:rPr>
      <w:rFonts w:ascii="Calibri" w:hAnsi="Calibri"/>
      <w:sz w:val="24"/>
      <w:szCs w:val="24"/>
      <w:lang w:eastAsia="en-US"/>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qFormat/>
    <w:rsid w:val="00104A52"/>
    <w:pPr>
      <w:widowControl w:val="0"/>
      <w:spacing w:before="240" w:line="276" w:lineRule="auto"/>
      <w:outlineLvl w:val="1"/>
    </w:pPr>
    <w:rPr>
      <w:rFonts w:asciiTheme="minorHAnsi" w:hAnsiTheme="minorHAnsi" w:cs="Arial"/>
      <w:b/>
      <w:bCs/>
      <w:i/>
      <w:snapToGrid w:val="0"/>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4A52"/>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jc w:val="left"/>
    </w:pPr>
    <w:rPr>
      <w:rFonts w:ascii="Arial Narrow" w:hAnsi="Arial Narrow"/>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104A52"/>
    <w:pPr>
      <w:numPr>
        <w:ilvl w:val="1"/>
        <w:numId w:val="3"/>
      </w:numPr>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21F3B"/>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nhideWhenUsed/>
    <w:rsid w:val="0024635F"/>
    <w:rPr>
      <w:sz w:val="20"/>
      <w:szCs w:val="20"/>
    </w:rPr>
  </w:style>
  <w:style w:type="character" w:customStyle="1" w:styleId="FootnoteTextChar">
    <w:name w:val="Footnote Text Char"/>
    <w:basedOn w:val="DefaultParagraphFont"/>
    <w:link w:val="FootnoteText"/>
    <w:rsid w:val="0024635F"/>
    <w:rPr>
      <w:rFonts w:ascii="Calibri" w:hAnsi="Calibri" w:cs="Arial"/>
      <w:snapToGrid w:val="0"/>
      <w:lang w:eastAsia="en-US"/>
    </w:rPr>
  </w:style>
  <w:style w:type="character" w:styleId="FootnoteReference">
    <w:name w:val="footnote reference"/>
    <w:basedOn w:val="DefaultParagraphFont"/>
    <w:unhideWhenUsed/>
    <w:rsid w:val="0024635F"/>
    <w:rPr>
      <w:vertAlign w:val="superscript"/>
    </w:rPr>
  </w:style>
  <w:style w:type="character" w:customStyle="1" w:styleId="UnresolvedMention1">
    <w:name w:val="Unresolved Mention1"/>
    <w:basedOn w:val="DefaultParagraphFont"/>
    <w:uiPriority w:val="99"/>
    <w:semiHidden/>
    <w:unhideWhenUsed/>
    <w:rsid w:val="0024635F"/>
    <w:rPr>
      <w:color w:val="808080"/>
      <w:shd w:val="clear" w:color="auto" w:fill="E6E6E6"/>
    </w:rPr>
  </w:style>
  <w:style w:type="character" w:customStyle="1" w:styleId="apple-converted-space">
    <w:name w:val="apple-converted-space"/>
    <w:basedOn w:val="DefaultParagraphFont"/>
    <w:rsid w:val="00D762F5"/>
  </w:style>
  <w:style w:type="character" w:customStyle="1" w:styleId="ej-keyword">
    <w:name w:val="ej-keyword"/>
    <w:basedOn w:val="DefaultParagraphFont"/>
    <w:rsid w:val="00384797"/>
  </w:style>
  <w:style w:type="character" w:customStyle="1" w:styleId="Heading1Char">
    <w:name w:val="Heading 1 Char"/>
    <w:basedOn w:val="DefaultParagraphFont"/>
    <w:link w:val="Heading1"/>
    <w:uiPriority w:val="9"/>
    <w:rsid w:val="005D2600"/>
    <w:rPr>
      <w:rFonts w:ascii="Calibri" w:hAnsi="Calibri" w:cs="Arial"/>
      <w:b/>
      <w:caps/>
      <w:snapToGrid w:val="0"/>
      <w:sz w:val="32"/>
      <w:szCs w:val="22"/>
      <w:lang w:eastAsia="en-US"/>
    </w:rPr>
  </w:style>
  <w:style w:type="character" w:customStyle="1" w:styleId="abstract-section-header">
    <w:name w:val="abstract-section-header"/>
    <w:basedOn w:val="DefaultParagraphFont"/>
    <w:rsid w:val="005D2600"/>
  </w:style>
  <w:style w:type="character" w:customStyle="1" w:styleId="ui-ncbitoggler-master-text">
    <w:name w:val="ui-ncbitoggler-master-text"/>
    <w:basedOn w:val="DefaultParagraphFont"/>
    <w:rsid w:val="005D2600"/>
  </w:style>
  <w:style w:type="paragraph" w:customStyle="1" w:styleId="PBACcaption">
    <w:name w:val="PBAC caption"/>
    <w:basedOn w:val="Normal"/>
    <w:link w:val="PBACcaptionChar"/>
    <w:qFormat/>
    <w:rsid w:val="005B26E0"/>
    <w:pPr>
      <w:ind w:left="1440" w:hanging="1440"/>
      <w:jc w:val="left"/>
    </w:pPr>
    <w:rPr>
      <w:rFonts w:ascii="Sabon" w:eastAsiaTheme="minorHAnsi" w:hAnsi="Sabon" w:cs="Arial"/>
      <w:b/>
      <w:sz w:val="22"/>
      <w:szCs w:val="22"/>
    </w:rPr>
  </w:style>
  <w:style w:type="character" w:customStyle="1" w:styleId="PBACcaptionChar">
    <w:name w:val="PBAC caption Char"/>
    <w:basedOn w:val="DefaultParagraphFont"/>
    <w:link w:val="PBACcaption"/>
    <w:rsid w:val="005B26E0"/>
    <w:rPr>
      <w:rFonts w:ascii="Sabon" w:eastAsiaTheme="minorHAnsi" w:hAnsi="Sabon" w:cs="Arial"/>
      <w:b/>
      <w:sz w:val="22"/>
      <w:szCs w:val="22"/>
      <w:lang w:eastAsia="en-US"/>
    </w:rPr>
  </w:style>
  <w:style w:type="paragraph" w:customStyle="1" w:styleId="PBACTableText">
    <w:name w:val="PBAC Table Text"/>
    <w:basedOn w:val="Normal"/>
    <w:link w:val="PBACTableTextChar"/>
    <w:qFormat/>
    <w:rsid w:val="005B26E0"/>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sid w:val="005B26E0"/>
    <w:rPr>
      <w:rFonts w:ascii="Arial Narrow" w:hAnsi="Arial Narrow"/>
      <w:lang w:eastAsia="en-US"/>
    </w:rPr>
  </w:style>
  <w:style w:type="character" w:customStyle="1" w:styleId="NoSpacingChar">
    <w:name w:val="No Spacing Char"/>
    <w:aliases w:val="PBAC Table Footnote Char"/>
    <w:basedOn w:val="DefaultParagraphFont"/>
    <w:link w:val="NoSpacing"/>
    <w:uiPriority w:val="1"/>
    <w:rsid w:val="005B26E0"/>
    <w:rPr>
      <w:rFonts w:ascii="Arial" w:hAnsi="Arial" w:cs="Arial"/>
      <w:snapToGrid w:val="0"/>
      <w:sz w:val="22"/>
      <w:lang w:eastAsia="en-US"/>
    </w:rPr>
  </w:style>
  <w:style w:type="paragraph" w:customStyle="1" w:styleId="PbacTableHeading">
    <w:name w:val="Pbac Table Heading"/>
    <w:basedOn w:val="PBACTableText"/>
    <w:qFormat/>
    <w:rsid w:val="00832A59"/>
    <w:pPr>
      <w:spacing w:before="0" w:after="80"/>
    </w:pPr>
    <w:rPr>
      <w:rFonts w:eastAsiaTheme="minorHAnsi" w:cs="Arial"/>
      <w:b/>
    </w:rPr>
  </w:style>
  <w:style w:type="character" w:customStyle="1" w:styleId="authors">
    <w:name w:val="authors"/>
    <w:basedOn w:val="DefaultParagraphFont"/>
    <w:rsid w:val="00A13E15"/>
  </w:style>
  <w:style w:type="character" w:customStyle="1" w:styleId="Date1">
    <w:name w:val="Date1"/>
    <w:basedOn w:val="DefaultParagraphFont"/>
    <w:rsid w:val="00A13E15"/>
  </w:style>
  <w:style w:type="character" w:customStyle="1" w:styleId="arttitle">
    <w:name w:val="art_title"/>
    <w:basedOn w:val="DefaultParagraphFont"/>
    <w:rsid w:val="00A13E15"/>
  </w:style>
  <w:style w:type="character" w:customStyle="1" w:styleId="serialtitle">
    <w:name w:val="serial_title"/>
    <w:basedOn w:val="DefaultParagraphFont"/>
    <w:rsid w:val="00A13E15"/>
  </w:style>
  <w:style w:type="character" w:customStyle="1" w:styleId="doilink">
    <w:name w:val="doi_link"/>
    <w:basedOn w:val="DefaultParagraphFont"/>
    <w:rsid w:val="00A13E15"/>
  </w:style>
  <w:style w:type="paragraph" w:customStyle="1" w:styleId="PBACTabletext0">
    <w:name w:val="PBAC Table text"/>
    <w:basedOn w:val="Normal"/>
    <w:link w:val="PBACTabletextChar0"/>
    <w:rsid w:val="002E282D"/>
    <w:pPr>
      <w:spacing w:after="80"/>
      <w:jc w:val="left"/>
    </w:pPr>
    <w:rPr>
      <w:rFonts w:ascii="Arial Narrow" w:eastAsiaTheme="minorHAnsi" w:hAnsi="Arial Narrow" w:cs="Arial"/>
      <w:sz w:val="20"/>
      <w:szCs w:val="20"/>
    </w:rPr>
  </w:style>
  <w:style w:type="character" w:customStyle="1" w:styleId="PBACTabletextChar0">
    <w:name w:val="PBAC Table text Char"/>
    <w:basedOn w:val="DefaultParagraphFont"/>
    <w:link w:val="PBACTabletext0"/>
    <w:rsid w:val="002E282D"/>
    <w:rPr>
      <w:rFonts w:ascii="Arial Narrow" w:eastAsiaTheme="minorHAnsi" w:hAnsi="Arial Narrow" w:cs="Arial"/>
      <w:lang w:eastAsia="en-US"/>
    </w:rPr>
  </w:style>
  <w:style w:type="table" w:customStyle="1" w:styleId="Summarybox2">
    <w:name w:val="Summary box2"/>
    <w:basedOn w:val="TableNormal"/>
    <w:uiPriority w:val="59"/>
    <w:rsid w:val="00A110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740D"/>
    <w:pPr>
      <w:spacing w:after="160" w:line="240" w:lineRule="exact"/>
      <w:jc w:val="left"/>
    </w:pPr>
    <w:rPr>
      <w:rFonts w:ascii="Verdana" w:eastAsia="MS Mincho" w:hAnsi="Verdana" w:cs="Verdana"/>
      <w:sz w:val="20"/>
      <w:szCs w:val="20"/>
      <w:lang w:val="en-US"/>
    </w:rPr>
  </w:style>
  <w:style w:type="paragraph" w:styleId="EndnoteText">
    <w:name w:val="endnote text"/>
    <w:basedOn w:val="Normal"/>
    <w:link w:val="EndnoteTextChar"/>
    <w:semiHidden/>
    <w:unhideWhenUsed/>
    <w:rsid w:val="00CE764C"/>
    <w:rPr>
      <w:sz w:val="20"/>
      <w:szCs w:val="20"/>
    </w:rPr>
  </w:style>
  <w:style w:type="character" w:customStyle="1" w:styleId="EndnoteTextChar">
    <w:name w:val="Endnote Text Char"/>
    <w:basedOn w:val="DefaultParagraphFont"/>
    <w:link w:val="EndnoteText"/>
    <w:semiHidden/>
    <w:rsid w:val="00CE764C"/>
    <w:rPr>
      <w:rFonts w:ascii="Calibri" w:hAnsi="Calibri"/>
      <w:lang w:eastAsia="en-US"/>
    </w:rPr>
  </w:style>
  <w:style w:type="character" w:styleId="EndnoteReference">
    <w:name w:val="endnote reference"/>
    <w:basedOn w:val="DefaultParagraphFont"/>
    <w:semiHidden/>
    <w:unhideWhenUsed/>
    <w:rsid w:val="00CE764C"/>
    <w:rPr>
      <w:vertAlign w:val="superscript"/>
    </w:rPr>
  </w:style>
  <w:style w:type="character" w:styleId="IntenseReference">
    <w:name w:val="Intense Reference"/>
    <w:basedOn w:val="DefaultParagraphFont"/>
    <w:uiPriority w:val="32"/>
    <w:qFormat/>
    <w:rsid w:val="00F50E35"/>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D83AB5"/>
    <w:pPr>
      <w:jc w:val="both"/>
    </w:pPr>
    <w:rPr>
      <w:rFonts w:ascii="Calibri" w:hAnsi="Calibri"/>
      <w:sz w:val="24"/>
      <w:szCs w:val="24"/>
      <w:lang w:eastAsia="en-US"/>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qFormat/>
    <w:rsid w:val="00104A52"/>
    <w:pPr>
      <w:widowControl w:val="0"/>
      <w:spacing w:before="240" w:line="276" w:lineRule="auto"/>
      <w:outlineLvl w:val="1"/>
    </w:pPr>
    <w:rPr>
      <w:rFonts w:asciiTheme="minorHAnsi" w:hAnsiTheme="minorHAnsi" w:cs="Arial"/>
      <w:b/>
      <w:bCs/>
      <w:i/>
      <w:snapToGrid w:val="0"/>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4A52"/>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34"/>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jc w:val="left"/>
    </w:pPr>
    <w:rPr>
      <w:rFonts w:ascii="Arial Narrow" w:hAnsi="Arial Narrow"/>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104A52"/>
    <w:pPr>
      <w:numPr>
        <w:ilvl w:val="1"/>
        <w:numId w:val="3"/>
      </w:numPr>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21F3B"/>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nhideWhenUsed/>
    <w:rsid w:val="0024635F"/>
    <w:rPr>
      <w:sz w:val="20"/>
      <w:szCs w:val="20"/>
    </w:rPr>
  </w:style>
  <w:style w:type="character" w:customStyle="1" w:styleId="FootnoteTextChar">
    <w:name w:val="Footnote Text Char"/>
    <w:basedOn w:val="DefaultParagraphFont"/>
    <w:link w:val="FootnoteText"/>
    <w:rsid w:val="0024635F"/>
    <w:rPr>
      <w:rFonts w:ascii="Calibri" w:hAnsi="Calibri" w:cs="Arial"/>
      <w:snapToGrid w:val="0"/>
      <w:lang w:eastAsia="en-US"/>
    </w:rPr>
  </w:style>
  <w:style w:type="character" w:styleId="FootnoteReference">
    <w:name w:val="footnote reference"/>
    <w:basedOn w:val="DefaultParagraphFont"/>
    <w:unhideWhenUsed/>
    <w:rsid w:val="0024635F"/>
    <w:rPr>
      <w:vertAlign w:val="superscript"/>
    </w:rPr>
  </w:style>
  <w:style w:type="character" w:customStyle="1" w:styleId="UnresolvedMention1">
    <w:name w:val="Unresolved Mention1"/>
    <w:basedOn w:val="DefaultParagraphFont"/>
    <w:uiPriority w:val="99"/>
    <w:semiHidden/>
    <w:unhideWhenUsed/>
    <w:rsid w:val="0024635F"/>
    <w:rPr>
      <w:color w:val="808080"/>
      <w:shd w:val="clear" w:color="auto" w:fill="E6E6E6"/>
    </w:rPr>
  </w:style>
  <w:style w:type="character" w:customStyle="1" w:styleId="apple-converted-space">
    <w:name w:val="apple-converted-space"/>
    <w:basedOn w:val="DefaultParagraphFont"/>
    <w:rsid w:val="00D762F5"/>
  </w:style>
  <w:style w:type="character" w:customStyle="1" w:styleId="ej-keyword">
    <w:name w:val="ej-keyword"/>
    <w:basedOn w:val="DefaultParagraphFont"/>
    <w:rsid w:val="00384797"/>
  </w:style>
  <w:style w:type="character" w:customStyle="1" w:styleId="Heading1Char">
    <w:name w:val="Heading 1 Char"/>
    <w:basedOn w:val="DefaultParagraphFont"/>
    <w:link w:val="Heading1"/>
    <w:uiPriority w:val="9"/>
    <w:rsid w:val="005D2600"/>
    <w:rPr>
      <w:rFonts w:ascii="Calibri" w:hAnsi="Calibri" w:cs="Arial"/>
      <w:b/>
      <w:caps/>
      <w:snapToGrid w:val="0"/>
      <w:sz w:val="32"/>
      <w:szCs w:val="22"/>
      <w:lang w:eastAsia="en-US"/>
    </w:rPr>
  </w:style>
  <w:style w:type="character" w:customStyle="1" w:styleId="abstract-section-header">
    <w:name w:val="abstract-section-header"/>
    <w:basedOn w:val="DefaultParagraphFont"/>
    <w:rsid w:val="005D2600"/>
  </w:style>
  <w:style w:type="character" w:customStyle="1" w:styleId="ui-ncbitoggler-master-text">
    <w:name w:val="ui-ncbitoggler-master-text"/>
    <w:basedOn w:val="DefaultParagraphFont"/>
    <w:rsid w:val="005D2600"/>
  </w:style>
  <w:style w:type="paragraph" w:customStyle="1" w:styleId="PBACcaption">
    <w:name w:val="PBAC caption"/>
    <w:basedOn w:val="Normal"/>
    <w:link w:val="PBACcaptionChar"/>
    <w:qFormat/>
    <w:rsid w:val="005B26E0"/>
    <w:pPr>
      <w:ind w:left="1440" w:hanging="1440"/>
      <w:jc w:val="left"/>
    </w:pPr>
    <w:rPr>
      <w:rFonts w:ascii="Sabon" w:eastAsiaTheme="minorHAnsi" w:hAnsi="Sabon" w:cs="Arial"/>
      <w:b/>
      <w:sz w:val="22"/>
      <w:szCs w:val="22"/>
    </w:rPr>
  </w:style>
  <w:style w:type="character" w:customStyle="1" w:styleId="PBACcaptionChar">
    <w:name w:val="PBAC caption Char"/>
    <w:basedOn w:val="DefaultParagraphFont"/>
    <w:link w:val="PBACcaption"/>
    <w:rsid w:val="005B26E0"/>
    <w:rPr>
      <w:rFonts w:ascii="Sabon" w:eastAsiaTheme="minorHAnsi" w:hAnsi="Sabon" w:cs="Arial"/>
      <w:b/>
      <w:sz w:val="22"/>
      <w:szCs w:val="22"/>
      <w:lang w:eastAsia="en-US"/>
    </w:rPr>
  </w:style>
  <w:style w:type="paragraph" w:customStyle="1" w:styleId="PBACTableText">
    <w:name w:val="PBAC Table Text"/>
    <w:basedOn w:val="Normal"/>
    <w:link w:val="PBACTableTextChar"/>
    <w:qFormat/>
    <w:rsid w:val="005B26E0"/>
    <w:pPr>
      <w:spacing w:before="40" w:after="40"/>
      <w:jc w:val="left"/>
    </w:pPr>
    <w:rPr>
      <w:rFonts w:ascii="Arial Narrow" w:hAnsi="Arial Narrow"/>
      <w:sz w:val="20"/>
      <w:szCs w:val="20"/>
    </w:rPr>
  </w:style>
  <w:style w:type="character" w:customStyle="1" w:styleId="PBACTableTextChar">
    <w:name w:val="PBAC Table Text Char"/>
    <w:basedOn w:val="DefaultParagraphFont"/>
    <w:link w:val="PBACTableText"/>
    <w:rsid w:val="005B26E0"/>
    <w:rPr>
      <w:rFonts w:ascii="Arial Narrow" w:hAnsi="Arial Narrow"/>
      <w:lang w:eastAsia="en-US"/>
    </w:rPr>
  </w:style>
  <w:style w:type="character" w:customStyle="1" w:styleId="NoSpacingChar">
    <w:name w:val="No Spacing Char"/>
    <w:aliases w:val="PBAC Table Footnote Char"/>
    <w:basedOn w:val="DefaultParagraphFont"/>
    <w:link w:val="NoSpacing"/>
    <w:uiPriority w:val="1"/>
    <w:rsid w:val="005B26E0"/>
    <w:rPr>
      <w:rFonts w:ascii="Arial" w:hAnsi="Arial" w:cs="Arial"/>
      <w:snapToGrid w:val="0"/>
      <w:sz w:val="22"/>
      <w:lang w:eastAsia="en-US"/>
    </w:rPr>
  </w:style>
  <w:style w:type="paragraph" w:customStyle="1" w:styleId="PbacTableHeading">
    <w:name w:val="Pbac Table Heading"/>
    <w:basedOn w:val="PBACTableText"/>
    <w:qFormat/>
    <w:rsid w:val="00832A59"/>
    <w:pPr>
      <w:spacing w:before="0" w:after="80"/>
    </w:pPr>
    <w:rPr>
      <w:rFonts w:eastAsiaTheme="minorHAnsi" w:cs="Arial"/>
      <w:b/>
    </w:rPr>
  </w:style>
  <w:style w:type="character" w:customStyle="1" w:styleId="authors">
    <w:name w:val="authors"/>
    <w:basedOn w:val="DefaultParagraphFont"/>
    <w:rsid w:val="00A13E15"/>
  </w:style>
  <w:style w:type="character" w:customStyle="1" w:styleId="Date1">
    <w:name w:val="Date1"/>
    <w:basedOn w:val="DefaultParagraphFont"/>
    <w:rsid w:val="00A13E15"/>
  </w:style>
  <w:style w:type="character" w:customStyle="1" w:styleId="arttitle">
    <w:name w:val="art_title"/>
    <w:basedOn w:val="DefaultParagraphFont"/>
    <w:rsid w:val="00A13E15"/>
  </w:style>
  <w:style w:type="character" w:customStyle="1" w:styleId="serialtitle">
    <w:name w:val="serial_title"/>
    <w:basedOn w:val="DefaultParagraphFont"/>
    <w:rsid w:val="00A13E15"/>
  </w:style>
  <w:style w:type="character" w:customStyle="1" w:styleId="doilink">
    <w:name w:val="doi_link"/>
    <w:basedOn w:val="DefaultParagraphFont"/>
    <w:rsid w:val="00A13E15"/>
  </w:style>
  <w:style w:type="paragraph" w:customStyle="1" w:styleId="PBACTabletext0">
    <w:name w:val="PBAC Table text"/>
    <w:basedOn w:val="Normal"/>
    <w:link w:val="PBACTabletextChar0"/>
    <w:rsid w:val="002E282D"/>
    <w:pPr>
      <w:spacing w:after="80"/>
      <w:jc w:val="left"/>
    </w:pPr>
    <w:rPr>
      <w:rFonts w:ascii="Arial Narrow" w:eastAsiaTheme="minorHAnsi" w:hAnsi="Arial Narrow" w:cs="Arial"/>
      <w:sz w:val="20"/>
      <w:szCs w:val="20"/>
    </w:rPr>
  </w:style>
  <w:style w:type="character" w:customStyle="1" w:styleId="PBACTabletextChar0">
    <w:name w:val="PBAC Table text Char"/>
    <w:basedOn w:val="DefaultParagraphFont"/>
    <w:link w:val="PBACTabletext0"/>
    <w:rsid w:val="002E282D"/>
    <w:rPr>
      <w:rFonts w:ascii="Arial Narrow" w:eastAsiaTheme="minorHAnsi" w:hAnsi="Arial Narrow" w:cs="Arial"/>
      <w:lang w:eastAsia="en-US"/>
    </w:rPr>
  </w:style>
  <w:style w:type="table" w:customStyle="1" w:styleId="Summarybox2">
    <w:name w:val="Summary box2"/>
    <w:basedOn w:val="TableNormal"/>
    <w:uiPriority w:val="59"/>
    <w:rsid w:val="00A110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740D"/>
    <w:pPr>
      <w:spacing w:after="160" w:line="240" w:lineRule="exact"/>
      <w:jc w:val="left"/>
    </w:pPr>
    <w:rPr>
      <w:rFonts w:ascii="Verdana" w:eastAsia="MS Mincho" w:hAnsi="Verdana" w:cs="Verdana"/>
      <w:sz w:val="20"/>
      <w:szCs w:val="20"/>
      <w:lang w:val="en-US"/>
    </w:rPr>
  </w:style>
  <w:style w:type="paragraph" w:styleId="EndnoteText">
    <w:name w:val="endnote text"/>
    <w:basedOn w:val="Normal"/>
    <w:link w:val="EndnoteTextChar"/>
    <w:semiHidden/>
    <w:unhideWhenUsed/>
    <w:rsid w:val="00CE764C"/>
    <w:rPr>
      <w:sz w:val="20"/>
      <w:szCs w:val="20"/>
    </w:rPr>
  </w:style>
  <w:style w:type="character" w:customStyle="1" w:styleId="EndnoteTextChar">
    <w:name w:val="Endnote Text Char"/>
    <w:basedOn w:val="DefaultParagraphFont"/>
    <w:link w:val="EndnoteText"/>
    <w:semiHidden/>
    <w:rsid w:val="00CE764C"/>
    <w:rPr>
      <w:rFonts w:ascii="Calibri" w:hAnsi="Calibri"/>
      <w:lang w:eastAsia="en-US"/>
    </w:rPr>
  </w:style>
  <w:style w:type="character" w:styleId="EndnoteReference">
    <w:name w:val="endnote reference"/>
    <w:basedOn w:val="DefaultParagraphFont"/>
    <w:semiHidden/>
    <w:unhideWhenUsed/>
    <w:rsid w:val="00CE764C"/>
    <w:rPr>
      <w:vertAlign w:val="superscript"/>
    </w:rPr>
  </w:style>
  <w:style w:type="character" w:styleId="IntenseReference">
    <w:name w:val="Intense Reference"/>
    <w:basedOn w:val="DefaultParagraphFont"/>
    <w:uiPriority w:val="32"/>
    <w:qFormat/>
    <w:rsid w:val="00F50E35"/>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395">
      <w:bodyDiv w:val="1"/>
      <w:marLeft w:val="0"/>
      <w:marRight w:val="0"/>
      <w:marTop w:val="0"/>
      <w:marBottom w:val="0"/>
      <w:divBdr>
        <w:top w:val="none" w:sz="0" w:space="0" w:color="auto"/>
        <w:left w:val="none" w:sz="0" w:space="0" w:color="auto"/>
        <w:bottom w:val="none" w:sz="0" w:space="0" w:color="auto"/>
        <w:right w:val="none" w:sz="0" w:space="0" w:color="auto"/>
      </w:divBdr>
    </w:div>
    <w:div w:id="56756394">
      <w:bodyDiv w:val="1"/>
      <w:marLeft w:val="0"/>
      <w:marRight w:val="0"/>
      <w:marTop w:val="0"/>
      <w:marBottom w:val="0"/>
      <w:divBdr>
        <w:top w:val="none" w:sz="0" w:space="0" w:color="auto"/>
        <w:left w:val="none" w:sz="0" w:space="0" w:color="auto"/>
        <w:bottom w:val="none" w:sz="0" w:space="0" w:color="auto"/>
        <w:right w:val="none" w:sz="0" w:space="0" w:color="auto"/>
      </w:divBdr>
    </w:div>
    <w:div w:id="88431674">
      <w:bodyDiv w:val="1"/>
      <w:marLeft w:val="0"/>
      <w:marRight w:val="0"/>
      <w:marTop w:val="0"/>
      <w:marBottom w:val="0"/>
      <w:divBdr>
        <w:top w:val="none" w:sz="0" w:space="0" w:color="auto"/>
        <w:left w:val="none" w:sz="0" w:space="0" w:color="auto"/>
        <w:bottom w:val="none" w:sz="0" w:space="0" w:color="auto"/>
        <w:right w:val="none" w:sz="0" w:space="0" w:color="auto"/>
      </w:divBdr>
    </w:div>
    <w:div w:id="149444890">
      <w:bodyDiv w:val="1"/>
      <w:marLeft w:val="0"/>
      <w:marRight w:val="0"/>
      <w:marTop w:val="0"/>
      <w:marBottom w:val="0"/>
      <w:divBdr>
        <w:top w:val="none" w:sz="0" w:space="0" w:color="auto"/>
        <w:left w:val="none" w:sz="0" w:space="0" w:color="auto"/>
        <w:bottom w:val="none" w:sz="0" w:space="0" w:color="auto"/>
        <w:right w:val="none" w:sz="0" w:space="0" w:color="auto"/>
      </w:divBdr>
    </w:div>
    <w:div w:id="172771384">
      <w:bodyDiv w:val="1"/>
      <w:marLeft w:val="0"/>
      <w:marRight w:val="0"/>
      <w:marTop w:val="0"/>
      <w:marBottom w:val="0"/>
      <w:divBdr>
        <w:top w:val="none" w:sz="0" w:space="0" w:color="auto"/>
        <w:left w:val="none" w:sz="0" w:space="0" w:color="auto"/>
        <w:bottom w:val="none" w:sz="0" w:space="0" w:color="auto"/>
        <w:right w:val="none" w:sz="0" w:space="0" w:color="auto"/>
      </w:divBdr>
      <w:divsChild>
        <w:div w:id="70087250">
          <w:marLeft w:val="0"/>
          <w:marRight w:val="0"/>
          <w:marTop w:val="0"/>
          <w:marBottom w:val="0"/>
          <w:divBdr>
            <w:top w:val="none" w:sz="0" w:space="0" w:color="auto"/>
            <w:left w:val="none" w:sz="0" w:space="0" w:color="auto"/>
            <w:bottom w:val="none" w:sz="0" w:space="0" w:color="auto"/>
            <w:right w:val="none" w:sz="0" w:space="0" w:color="auto"/>
          </w:divBdr>
        </w:div>
        <w:div w:id="85620084">
          <w:marLeft w:val="0"/>
          <w:marRight w:val="0"/>
          <w:marTop w:val="0"/>
          <w:marBottom w:val="0"/>
          <w:divBdr>
            <w:top w:val="none" w:sz="0" w:space="0" w:color="auto"/>
            <w:left w:val="none" w:sz="0" w:space="0" w:color="auto"/>
            <w:bottom w:val="none" w:sz="0" w:space="0" w:color="auto"/>
            <w:right w:val="none" w:sz="0" w:space="0" w:color="auto"/>
          </w:divBdr>
          <w:divsChild>
            <w:div w:id="809396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98268281">
          <w:marLeft w:val="0"/>
          <w:marRight w:val="0"/>
          <w:marTop w:val="0"/>
          <w:marBottom w:val="0"/>
          <w:divBdr>
            <w:top w:val="none" w:sz="0" w:space="0" w:color="auto"/>
            <w:left w:val="none" w:sz="0" w:space="0" w:color="auto"/>
            <w:bottom w:val="none" w:sz="0" w:space="0" w:color="auto"/>
            <w:right w:val="none" w:sz="0" w:space="0" w:color="auto"/>
          </w:divBdr>
        </w:div>
        <w:div w:id="1286347123">
          <w:marLeft w:val="0"/>
          <w:marRight w:val="0"/>
          <w:marTop w:val="0"/>
          <w:marBottom w:val="0"/>
          <w:divBdr>
            <w:top w:val="none" w:sz="0" w:space="0" w:color="auto"/>
            <w:left w:val="none" w:sz="0" w:space="0" w:color="auto"/>
            <w:bottom w:val="none" w:sz="0" w:space="0" w:color="auto"/>
            <w:right w:val="none" w:sz="0" w:space="0" w:color="auto"/>
          </w:divBdr>
        </w:div>
      </w:divsChild>
    </w:div>
    <w:div w:id="290093673">
      <w:bodyDiv w:val="1"/>
      <w:marLeft w:val="0"/>
      <w:marRight w:val="0"/>
      <w:marTop w:val="0"/>
      <w:marBottom w:val="0"/>
      <w:divBdr>
        <w:top w:val="none" w:sz="0" w:space="0" w:color="auto"/>
        <w:left w:val="none" w:sz="0" w:space="0" w:color="auto"/>
        <w:bottom w:val="none" w:sz="0" w:space="0" w:color="auto"/>
        <w:right w:val="none" w:sz="0" w:space="0" w:color="auto"/>
      </w:divBdr>
    </w:div>
    <w:div w:id="432936786">
      <w:bodyDiv w:val="1"/>
      <w:marLeft w:val="0"/>
      <w:marRight w:val="0"/>
      <w:marTop w:val="0"/>
      <w:marBottom w:val="0"/>
      <w:divBdr>
        <w:top w:val="none" w:sz="0" w:space="0" w:color="auto"/>
        <w:left w:val="none" w:sz="0" w:space="0" w:color="auto"/>
        <w:bottom w:val="none" w:sz="0" w:space="0" w:color="auto"/>
        <w:right w:val="none" w:sz="0" w:space="0" w:color="auto"/>
      </w:divBdr>
    </w:div>
    <w:div w:id="498545000">
      <w:bodyDiv w:val="1"/>
      <w:marLeft w:val="0"/>
      <w:marRight w:val="0"/>
      <w:marTop w:val="0"/>
      <w:marBottom w:val="0"/>
      <w:divBdr>
        <w:top w:val="none" w:sz="0" w:space="0" w:color="auto"/>
        <w:left w:val="none" w:sz="0" w:space="0" w:color="auto"/>
        <w:bottom w:val="none" w:sz="0" w:space="0" w:color="auto"/>
        <w:right w:val="none" w:sz="0" w:space="0" w:color="auto"/>
      </w:divBdr>
    </w:div>
    <w:div w:id="726729920">
      <w:bodyDiv w:val="1"/>
      <w:marLeft w:val="0"/>
      <w:marRight w:val="0"/>
      <w:marTop w:val="0"/>
      <w:marBottom w:val="0"/>
      <w:divBdr>
        <w:top w:val="none" w:sz="0" w:space="0" w:color="auto"/>
        <w:left w:val="none" w:sz="0" w:space="0" w:color="auto"/>
        <w:bottom w:val="none" w:sz="0" w:space="0" w:color="auto"/>
        <w:right w:val="none" w:sz="0" w:space="0" w:color="auto"/>
      </w:divBdr>
      <w:divsChild>
        <w:div w:id="980621078">
          <w:marLeft w:val="0"/>
          <w:marRight w:val="0"/>
          <w:marTop w:val="0"/>
          <w:marBottom w:val="0"/>
          <w:divBdr>
            <w:top w:val="none" w:sz="0" w:space="0" w:color="auto"/>
            <w:left w:val="none" w:sz="0" w:space="0" w:color="auto"/>
            <w:bottom w:val="none" w:sz="0" w:space="0" w:color="auto"/>
            <w:right w:val="none" w:sz="0" w:space="0" w:color="auto"/>
          </w:divBdr>
          <w:divsChild>
            <w:div w:id="404187208">
              <w:marLeft w:val="0"/>
              <w:marRight w:val="0"/>
              <w:marTop w:val="0"/>
              <w:marBottom w:val="0"/>
              <w:divBdr>
                <w:top w:val="none" w:sz="0" w:space="0" w:color="auto"/>
                <w:left w:val="none" w:sz="0" w:space="0" w:color="auto"/>
                <w:bottom w:val="none" w:sz="0" w:space="0" w:color="auto"/>
                <w:right w:val="none" w:sz="0" w:space="0" w:color="auto"/>
              </w:divBdr>
              <w:divsChild>
                <w:div w:id="1899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9303">
      <w:bodyDiv w:val="1"/>
      <w:marLeft w:val="0"/>
      <w:marRight w:val="0"/>
      <w:marTop w:val="0"/>
      <w:marBottom w:val="0"/>
      <w:divBdr>
        <w:top w:val="none" w:sz="0" w:space="0" w:color="auto"/>
        <w:left w:val="none" w:sz="0" w:space="0" w:color="auto"/>
        <w:bottom w:val="none" w:sz="0" w:space="0" w:color="auto"/>
        <w:right w:val="none" w:sz="0" w:space="0" w:color="auto"/>
      </w:divBdr>
      <w:divsChild>
        <w:div w:id="1843012545">
          <w:marLeft w:val="360"/>
          <w:marRight w:val="0"/>
          <w:marTop w:val="200"/>
          <w:marBottom w:val="0"/>
          <w:divBdr>
            <w:top w:val="none" w:sz="0" w:space="0" w:color="auto"/>
            <w:left w:val="none" w:sz="0" w:space="0" w:color="auto"/>
            <w:bottom w:val="none" w:sz="0" w:space="0" w:color="auto"/>
            <w:right w:val="none" w:sz="0" w:space="0" w:color="auto"/>
          </w:divBdr>
        </w:div>
      </w:divsChild>
    </w:div>
    <w:div w:id="841968470">
      <w:bodyDiv w:val="1"/>
      <w:marLeft w:val="0"/>
      <w:marRight w:val="0"/>
      <w:marTop w:val="0"/>
      <w:marBottom w:val="0"/>
      <w:divBdr>
        <w:top w:val="none" w:sz="0" w:space="0" w:color="auto"/>
        <w:left w:val="none" w:sz="0" w:space="0" w:color="auto"/>
        <w:bottom w:val="none" w:sz="0" w:space="0" w:color="auto"/>
        <w:right w:val="none" w:sz="0" w:space="0" w:color="auto"/>
      </w:divBdr>
    </w:div>
    <w:div w:id="869684753">
      <w:bodyDiv w:val="1"/>
      <w:marLeft w:val="0"/>
      <w:marRight w:val="0"/>
      <w:marTop w:val="0"/>
      <w:marBottom w:val="0"/>
      <w:divBdr>
        <w:top w:val="none" w:sz="0" w:space="0" w:color="auto"/>
        <w:left w:val="none" w:sz="0" w:space="0" w:color="auto"/>
        <w:bottom w:val="none" w:sz="0" w:space="0" w:color="auto"/>
        <w:right w:val="none" w:sz="0" w:space="0" w:color="auto"/>
      </w:divBdr>
    </w:div>
    <w:div w:id="1025910771">
      <w:bodyDiv w:val="1"/>
      <w:marLeft w:val="0"/>
      <w:marRight w:val="0"/>
      <w:marTop w:val="0"/>
      <w:marBottom w:val="0"/>
      <w:divBdr>
        <w:top w:val="none" w:sz="0" w:space="0" w:color="auto"/>
        <w:left w:val="none" w:sz="0" w:space="0" w:color="auto"/>
        <w:bottom w:val="none" w:sz="0" w:space="0" w:color="auto"/>
        <w:right w:val="none" w:sz="0" w:space="0" w:color="auto"/>
      </w:divBdr>
    </w:div>
    <w:div w:id="1171720312">
      <w:bodyDiv w:val="1"/>
      <w:marLeft w:val="0"/>
      <w:marRight w:val="0"/>
      <w:marTop w:val="0"/>
      <w:marBottom w:val="0"/>
      <w:divBdr>
        <w:top w:val="none" w:sz="0" w:space="0" w:color="auto"/>
        <w:left w:val="none" w:sz="0" w:space="0" w:color="auto"/>
        <w:bottom w:val="none" w:sz="0" w:space="0" w:color="auto"/>
        <w:right w:val="none" w:sz="0" w:space="0" w:color="auto"/>
      </w:divBdr>
      <w:divsChild>
        <w:div w:id="1127117251">
          <w:marLeft w:val="0"/>
          <w:marRight w:val="0"/>
          <w:marTop w:val="0"/>
          <w:marBottom w:val="0"/>
          <w:divBdr>
            <w:top w:val="none" w:sz="0" w:space="0" w:color="auto"/>
            <w:left w:val="none" w:sz="0" w:space="0" w:color="auto"/>
            <w:bottom w:val="none" w:sz="0" w:space="0" w:color="auto"/>
            <w:right w:val="none" w:sz="0" w:space="0" w:color="auto"/>
          </w:divBdr>
        </w:div>
        <w:div w:id="1215777579">
          <w:marLeft w:val="0"/>
          <w:marRight w:val="0"/>
          <w:marTop w:val="0"/>
          <w:marBottom w:val="0"/>
          <w:divBdr>
            <w:top w:val="none" w:sz="0" w:space="0" w:color="auto"/>
            <w:left w:val="none" w:sz="0" w:space="0" w:color="auto"/>
            <w:bottom w:val="none" w:sz="0" w:space="0" w:color="auto"/>
            <w:right w:val="none" w:sz="0" w:space="0" w:color="auto"/>
          </w:divBdr>
        </w:div>
        <w:div w:id="1658456304">
          <w:marLeft w:val="0"/>
          <w:marRight w:val="0"/>
          <w:marTop w:val="288"/>
          <w:marBottom w:val="100"/>
          <w:divBdr>
            <w:top w:val="none" w:sz="0" w:space="0" w:color="auto"/>
            <w:left w:val="none" w:sz="0" w:space="0" w:color="auto"/>
            <w:bottom w:val="none" w:sz="0" w:space="0" w:color="auto"/>
            <w:right w:val="none" w:sz="0" w:space="0" w:color="auto"/>
          </w:divBdr>
          <w:divsChild>
            <w:div w:id="2088381005">
              <w:marLeft w:val="0"/>
              <w:marRight w:val="0"/>
              <w:marTop w:val="0"/>
              <w:marBottom w:val="0"/>
              <w:divBdr>
                <w:top w:val="none" w:sz="0" w:space="0" w:color="auto"/>
                <w:left w:val="none" w:sz="0" w:space="0" w:color="auto"/>
                <w:bottom w:val="none" w:sz="0" w:space="0" w:color="auto"/>
                <w:right w:val="none" w:sz="0" w:space="0" w:color="auto"/>
              </w:divBdr>
            </w:div>
          </w:divsChild>
        </w:div>
        <w:div w:id="1822386785">
          <w:marLeft w:val="0"/>
          <w:marRight w:val="0"/>
          <w:marTop w:val="288"/>
          <w:marBottom w:val="100"/>
          <w:divBdr>
            <w:top w:val="none" w:sz="0" w:space="0" w:color="auto"/>
            <w:left w:val="none" w:sz="0" w:space="0" w:color="auto"/>
            <w:bottom w:val="none" w:sz="0" w:space="0" w:color="auto"/>
            <w:right w:val="none" w:sz="0" w:space="0" w:color="auto"/>
          </w:divBdr>
        </w:div>
        <w:div w:id="2003196270">
          <w:marLeft w:val="0"/>
          <w:marRight w:val="0"/>
          <w:marTop w:val="0"/>
          <w:marBottom w:val="0"/>
          <w:divBdr>
            <w:top w:val="none" w:sz="0" w:space="0" w:color="auto"/>
            <w:left w:val="none" w:sz="0" w:space="0" w:color="auto"/>
            <w:bottom w:val="none" w:sz="0" w:space="0" w:color="auto"/>
            <w:right w:val="none" w:sz="0" w:space="0" w:color="auto"/>
          </w:divBdr>
        </w:div>
      </w:divsChild>
    </w:div>
    <w:div w:id="1185561216">
      <w:bodyDiv w:val="1"/>
      <w:marLeft w:val="0"/>
      <w:marRight w:val="0"/>
      <w:marTop w:val="0"/>
      <w:marBottom w:val="0"/>
      <w:divBdr>
        <w:top w:val="none" w:sz="0" w:space="0" w:color="auto"/>
        <w:left w:val="none" w:sz="0" w:space="0" w:color="auto"/>
        <w:bottom w:val="none" w:sz="0" w:space="0" w:color="auto"/>
        <w:right w:val="none" w:sz="0" w:space="0" w:color="auto"/>
      </w:divBdr>
    </w:div>
    <w:div w:id="1232545261">
      <w:bodyDiv w:val="1"/>
      <w:marLeft w:val="0"/>
      <w:marRight w:val="0"/>
      <w:marTop w:val="0"/>
      <w:marBottom w:val="0"/>
      <w:divBdr>
        <w:top w:val="none" w:sz="0" w:space="0" w:color="auto"/>
        <w:left w:val="none" w:sz="0" w:space="0" w:color="auto"/>
        <w:bottom w:val="none" w:sz="0" w:space="0" w:color="auto"/>
        <w:right w:val="none" w:sz="0" w:space="0" w:color="auto"/>
      </w:divBdr>
    </w:div>
    <w:div w:id="1261529715">
      <w:bodyDiv w:val="1"/>
      <w:marLeft w:val="0"/>
      <w:marRight w:val="0"/>
      <w:marTop w:val="0"/>
      <w:marBottom w:val="0"/>
      <w:divBdr>
        <w:top w:val="none" w:sz="0" w:space="0" w:color="auto"/>
        <w:left w:val="none" w:sz="0" w:space="0" w:color="auto"/>
        <w:bottom w:val="none" w:sz="0" w:space="0" w:color="auto"/>
        <w:right w:val="none" w:sz="0" w:space="0" w:color="auto"/>
      </w:divBdr>
    </w:div>
    <w:div w:id="1414158524">
      <w:bodyDiv w:val="1"/>
      <w:marLeft w:val="0"/>
      <w:marRight w:val="0"/>
      <w:marTop w:val="0"/>
      <w:marBottom w:val="0"/>
      <w:divBdr>
        <w:top w:val="none" w:sz="0" w:space="0" w:color="auto"/>
        <w:left w:val="none" w:sz="0" w:space="0" w:color="auto"/>
        <w:bottom w:val="none" w:sz="0" w:space="0" w:color="auto"/>
        <w:right w:val="none" w:sz="0" w:space="0" w:color="auto"/>
      </w:divBdr>
    </w:div>
    <w:div w:id="1758938109">
      <w:bodyDiv w:val="1"/>
      <w:marLeft w:val="0"/>
      <w:marRight w:val="0"/>
      <w:marTop w:val="0"/>
      <w:marBottom w:val="0"/>
      <w:divBdr>
        <w:top w:val="none" w:sz="0" w:space="0" w:color="auto"/>
        <w:left w:val="none" w:sz="0" w:space="0" w:color="auto"/>
        <w:bottom w:val="none" w:sz="0" w:space="0" w:color="auto"/>
        <w:right w:val="none" w:sz="0" w:space="0" w:color="auto"/>
      </w:divBdr>
    </w:div>
    <w:div w:id="1933775444">
      <w:bodyDiv w:val="1"/>
      <w:marLeft w:val="0"/>
      <w:marRight w:val="0"/>
      <w:marTop w:val="0"/>
      <w:marBottom w:val="0"/>
      <w:divBdr>
        <w:top w:val="none" w:sz="0" w:space="0" w:color="auto"/>
        <w:left w:val="none" w:sz="0" w:space="0" w:color="auto"/>
        <w:bottom w:val="none" w:sz="0" w:space="0" w:color="auto"/>
        <w:right w:val="none" w:sz="0" w:space="0" w:color="auto"/>
      </w:divBdr>
    </w:div>
    <w:div w:id="2017876876">
      <w:bodyDiv w:val="1"/>
      <w:marLeft w:val="0"/>
      <w:marRight w:val="0"/>
      <w:marTop w:val="0"/>
      <w:marBottom w:val="0"/>
      <w:divBdr>
        <w:top w:val="none" w:sz="0" w:space="0" w:color="auto"/>
        <w:left w:val="none" w:sz="0" w:space="0" w:color="auto"/>
        <w:bottom w:val="none" w:sz="0" w:space="0" w:color="auto"/>
        <w:right w:val="none" w:sz="0" w:space="0" w:color="auto"/>
      </w:divBdr>
    </w:div>
    <w:div w:id="20308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eadacheaustralia.org.au/wp-content/uploads/2015/06/Chronic_Migraine_Fact_Sheet_FINAL.pdf" TargetMode="External"/><Relationship Id="rId2" Type="http://schemas.openxmlformats.org/officeDocument/2006/relationships/hyperlink" Target="http://headacheaustralia.org.au/migraine/chronic-migraine/" TargetMode="External"/><Relationship Id="rId1" Type="http://schemas.openxmlformats.org/officeDocument/2006/relationships/hyperlink" Target="http://www.pbs.gov.au/info/industry/listing/participants/public-release-docs/2017-06/botulinum-toxin-chronic-migraine-june-2017-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8B47-EEAB-4CD9-9030-F64474E7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11313</Words>
  <Characters>63589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2018-10-10T01:44:00Z</dcterms:created>
  <dcterms:modified xsi:type="dcterms:W3CDTF">2018-10-18T02:26:00Z</dcterms:modified>
</cp:coreProperties>
</file>