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3F" w:rsidRPr="00B616BC" w:rsidRDefault="00FE1FCB" w:rsidP="00746D07">
      <w:pPr>
        <w:rPr>
          <w:b/>
          <w:sz w:val="36"/>
          <w:szCs w:val="36"/>
        </w:rPr>
      </w:pPr>
      <w:r w:rsidRPr="00B616BC">
        <w:rPr>
          <w:b/>
          <w:sz w:val="36"/>
          <w:szCs w:val="36"/>
        </w:rPr>
        <w:t>5.06</w:t>
      </w:r>
      <w:r w:rsidR="00B60939" w:rsidRPr="00B616BC">
        <w:rPr>
          <w:b/>
          <w:sz w:val="36"/>
          <w:szCs w:val="36"/>
        </w:rPr>
        <w:tab/>
      </w:r>
      <w:r w:rsidR="00746D07" w:rsidRPr="00B616BC">
        <w:rPr>
          <w:b/>
          <w:sz w:val="36"/>
          <w:szCs w:val="36"/>
        </w:rPr>
        <w:t>F</w:t>
      </w:r>
      <w:r w:rsidR="009D70B8" w:rsidRPr="00B616BC">
        <w:rPr>
          <w:b/>
          <w:sz w:val="36"/>
          <w:szCs w:val="36"/>
        </w:rPr>
        <w:t>ERRIC DERISOMALTOSE</w:t>
      </w:r>
      <w:r w:rsidR="00746D07" w:rsidRPr="00B616BC">
        <w:rPr>
          <w:b/>
          <w:sz w:val="36"/>
          <w:szCs w:val="36"/>
        </w:rPr>
        <w:t xml:space="preserve">, </w:t>
      </w:r>
    </w:p>
    <w:p w:rsidR="003E523F" w:rsidRPr="00B616BC" w:rsidRDefault="00EA0FEC" w:rsidP="003E523F">
      <w:pPr>
        <w:ind w:firstLine="720"/>
        <w:rPr>
          <w:b/>
          <w:sz w:val="36"/>
          <w:szCs w:val="36"/>
        </w:rPr>
      </w:pPr>
      <w:r w:rsidRPr="00B616BC">
        <w:rPr>
          <w:b/>
          <w:sz w:val="36"/>
          <w:szCs w:val="36"/>
        </w:rPr>
        <w:t xml:space="preserve">Injection </w:t>
      </w:r>
      <w:r w:rsidR="00867B68" w:rsidRPr="00B616BC">
        <w:rPr>
          <w:b/>
          <w:sz w:val="36"/>
          <w:szCs w:val="36"/>
        </w:rPr>
        <w:t>500 mg</w:t>
      </w:r>
      <w:r w:rsidRPr="00B616BC">
        <w:rPr>
          <w:b/>
          <w:sz w:val="36"/>
          <w:szCs w:val="36"/>
        </w:rPr>
        <w:t xml:space="preserve"> (iron) in </w:t>
      </w:r>
      <w:r w:rsidR="00746D07" w:rsidRPr="00B616BC">
        <w:rPr>
          <w:b/>
          <w:sz w:val="36"/>
          <w:szCs w:val="36"/>
        </w:rPr>
        <w:t xml:space="preserve">5 mL, </w:t>
      </w:r>
    </w:p>
    <w:p w:rsidR="003E523F" w:rsidRPr="00B83746" w:rsidRDefault="00746D07" w:rsidP="00B83746">
      <w:pPr>
        <w:spacing w:after="300"/>
        <w:ind w:firstLine="720"/>
        <w:rPr>
          <w:b/>
          <w:sz w:val="36"/>
          <w:szCs w:val="36"/>
        </w:rPr>
      </w:pPr>
      <w:r w:rsidRPr="00B616BC">
        <w:rPr>
          <w:b/>
          <w:sz w:val="36"/>
          <w:szCs w:val="36"/>
        </w:rPr>
        <w:t>Mono</w:t>
      </w:r>
      <w:bookmarkStart w:id="0" w:name="_Toc511461235"/>
      <w:r w:rsidR="00B83746">
        <w:rPr>
          <w:b/>
          <w:sz w:val="36"/>
          <w:szCs w:val="36"/>
        </w:rPr>
        <w:t>fer ®, Pfizer Australia Pty Ltd</w:t>
      </w:r>
    </w:p>
    <w:p w:rsidR="00B60939" w:rsidRPr="00B616BC" w:rsidRDefault="00B50DB8" w:rsidP="008A225D">
      <w:pPr>
        <w:pStyle w:val="Heading1"/>
        <w:spacing w:before="240" w:after="120"/>
      </w:pPr>
      <w:r w:rsidRPr="00B616BC">
        <w:t>Purpose of Application</w:t>
      </w:r>
      <w:bookmarkEnd w:id="0"/>
    </w:p>
    <w:p w:rsidR="001B768E" w:rsidRPr="00B616BC" w:rsidRDefault="007B5E3E" w:rsidP="008A225D">
      <w:pPr>
        <w:pStyle w:val="ListParagraph"/>
        <w:keepNext/>
        <w:keepLines/>
        <w:widowControl/>
        <w:numPr>
          <w:ilvl w:val="1"/>
          <w:numId w:val="1"/>
        </w:numPr>
        <w:spacing w:after="120"/>
      </w:pPr>
      <w:r w:rsidRPr="00B616BC">
        <w:t xml:space="preserve">The submission requested a </w:t>
      </w:r>
      <w:r w:rsidR="001B768E" w:rsidRPr="00B616BC">
        <w:t>Section 85 General Schedule, Unrestricted listing for ferric derisomaltose for treatment of iron deficiency anaemia when treatment with oral iron is ineffective or not tolerated. This was the first application to the</w:t>
      </w:r>
      <w:r w:rsidR="0075231C">
        <w:t xml:space="preserve"> PBAC for ferric </w:t>
      </w:r>
      <w:proofErr w:type="spellStart"/>
      <w:r w:rsidR="0075231C">
        <w:t>derisomaltose</w:t>
      </w:r>
      <w:proofErr w:type="spellEnd"/>
      <w:r w:rsidR="0075231C">
        <w:t>.</w:t>
      </w:r>
    </w:p>
    <w:p w:rsidR="001B768E" w:rsidRPr="00B616BC" w:rsidRDefault="001B768E" w:rsidP="008A225D">
      <w:pPr>
        <w:pStyle w:val="ListParagraph"/>
        <w:widowControl/>
        <w:numPr>
          <w:ilvl w:val="1"/>
          <w:numId w:val="1"/>
        </w:numPr>
        <w:spacing w:after="120"/>
      </w:pPr>
      <w:r w:rsidRPr="00B616BC">
        <w:t>The submission presented a cost-minimisation analysis compared to the main comparator, ferric carboxymaltose.</w:t>
      </w:r>
    </w:p>
    <w:p w:rsidR="001B768E" w:rsidRPr="00B616BC" w:rsidRDefault="00C04F78" w:rsidP="007739FB">
      <w:pPr>
        <w:keepNext/>
        <w:keepLines/>
        <w:rPr>
          <w:rStyle w:val="CommentReference"/>
        </w:rPr>
      </w:pPr>
      <w:r w:rsidRPr="00B616BC">
        <w:rPr>
          <w:rStyle w:val="CommentReference"/>
        </w:rPr>
        <w:t>Table 1:</w:t>
      </w:r>
      <w:r w:rsidR="001B768E" w:rsidRPr="00B616BC">
        <w:rPr>
          <w:rStyle w:val="CommentReference"/>
        </w:rPr>
        <w:t xml:space="preserve">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1B768E" w:rsidRPr="00B616BC" w:rsidTr="00982541">
        <w:trPr>
          <w:cantSplit/>
          <w:tblHeader/>
        </w:trPr>
        <w:tc>
          <w:tcPr>
            <w:tcW w:w="1418" w:type="dxa"/>
            <w:shd w:val="clear" w:color="auto" w:fill="auto"/>
          </w:tcPr>
          <w:p w:rsidR="001B768E" w:rsidRPr="00B616BC" w:rsidRDefault="001B768E" w:rsidP="007739FB">
            <w:pPr>
              <w:pStyle w:val="Tabletext"/>
              <w:keepNext/>
              <w:keepLines/>
              <w:rPr>
                <w:b/>
                <w:szCs w:val="20"/>
              </w:rPr>
            </w:pPr>
            <w:r w:rsidRPr="00B616BC">
              <w:rPr>
                <w:b/>
              </w:rPr>
              <w:t>Component</w:t>
            </w:r>
          </w:p>
        </w:tc>
        <w:tc>
          <w:tcPr>
            <w:tcW w:w="7654" w:type="dxa"/>
            <w:shd w:val="clear" w:color="auto" w:fill="auto"/>
          </w:tcPr>
          <w:p w:rsidR="001B768E" w:rsidRPr="00B616BC" w:rsidRDefault="001B768E" w:rsidP="007739FB">
            <w:pPr>
              <w:pStyle w:val="Tabletext"/>
              <w:keepNext/>
              <w:keepLines/>
              <w:jc w:val="center"/>
              <w:rPr>
                <w:b/>
              </w:rPr>
            </w:pPr>
            <w:r w:rsidRPr="00B616BC">
              <w:rPr>
                <w:b/>
              </w:rPr>
              <w:t>Description</w:t>
            </w:r>
          </w:p>
        </w:tc>
      </w:tr>
      <w:tr w:rsidR="001B768E" w:rsidRPr="00B616BC" w:rsidTr="00982541">
        <w:trPr>
          <w:cantSplit/>
        </w:trPr>
        <w:tc>
          <w:tcPr>
            <w:tcW w:w="1418" w:type="dxa"/>
            <w:shd w:val="clear" w:color="auto" w:fill="auto"/>
          </w:tcPr>
          <w:p w:rsidR="001B768E" w:rsidRPr="00B616BC" w:rsidRDefault="001B768E" w:rsidP="007739FB">
            <w:pPr>
              <w:pStyle w:val="Tabletext"/>
              <w:keepNext/>
              <w:keepLines/>
            </w:pPr>
            <w:r w:rsidRPr="00B616BC">
              <w:t>Population</w:t>
            </w:r>
          </w:p>
        </w:tc>
        <w:tc>
          <w:tcPr>
            <w:tcW w:w="7654" w:type="dxa"/>
            <w:shd w:val="clear" w:color="auto" w:fill="auto"/>
            <w:vAlign w:val="center"/>
          </w:tcPr>
          <w:p w:rsidR="001B768E" w:rsidRPr="00B616BC" w:rsidRDefault="00190209" w:rsidP="007739FB">
            <w:pPr>
              <w:pStyle w:val="Tabletext"/>
              <w:keepNext/>
              <w:keepLines/>
            </w:pPr>
            <w:r w:rsidRPr="00B616BC">
              <w:t>Adult p</w:t>
            </w:r>
            <w:r w:rsidR="001B768E" w:rsidRPr="00B616BC">
              <w:t xml:space="preserve">atients with iron deficiency anaemia, when treatment with oral iron is ineffective or unsuitable. </w:t>
            </w:r>
          </w:p>
        </w:tc>
      </w:tr>
      <w:tr w:rsidR="001B768E" w:rsidRPr="00B616BC" w:rsidTr="00982541">
        <w:trPr>
          <w:cantSplit/>
        </w:trPr>
        <w:tc>
          <w:tcPr>
            <w:tcW w:w="1418" w:type="dxa"/>
            <w:shd w:val="clear" w:color="auto" w:fill="auto"/>
          </w:tcPr>
          <w:p w:rsidR="001B768E" w:rsidRPr="00B616BC" w:rsidRDefault="001B768E" w:rsidP="007739FB">
            <w:pPr>
              <w:pStyle w:val="Tabletext"/>
              <w:keepNext/>
              <w:keepLines/>
            </w:pPr>
            <w:r w:rsidRPr="00B616BC">
              <w:t>Intervention</w:t>
            </w:r>
          </w:p>
        </w:tc>
        <w:tc>
          <w:tcPr>
            <w:tcW w:w="7654" w:type="dxa"/>
            <w:shd w:val="clear" w:color="auto" w:fill="auto"/>
            <w:vAlign w:val="center"/>
          </w:tcPr>
          <w:p w:rsidR="001B768E" w:rsidRPr="00B616BC" w:rsidRDefault="001B768E" w:rsidP="007739FB">
            <w:pPr>
              <w:pStyle w:val="Tabletext"/>
              <w:keepNext/>
              <w:keepLines/>
            </w:pPr>
            <w:r w:rsidRPr="00B616BC">
              <w:t xml:space="preserve">Ferric derisomaltose delivered by intravenous infusion. Dose is determined by calculation of cumulative iron need using either the Ganzoni formula </w:t>
            </w:r>
            <w:r w:rsidR="00C04F78" w:rsidRPr="00B616BC">
              <w:rPr>
                <w:vertAlign w:val="superscript"/>
              </w:rPr>
              <w:t>a</w:t>
            </w:r>
            <w:r w:rsidRPr="00B616BC">
              <w:t xml:space="preserve"> or simplified dosing table </w:t>
            </w:r>
            <w:r w:rsidR="00C04F78" w:rsidRPr="00B616BC">
              <w:rPr>
                <w:vertAlign w:val="superscript"/>
              </w:rPr>
              <w:t>b</w:t>
            </w:r>
            <w:r w:rsidRPr="00B616BC">
              <w:t>.</w:t>
            </w:r>
          </w:p>
        </w:tc>
      </w:tr>
      <w:tr w:rsidR="001B768E" w:rsidRPr="00B616BC" w:rsidTr="00982541">
        <w:trPr>
          <w:cantSplit/>
        </w:trPr>
        <w:tc>
          <w:tcPr>
            <w:tcW w:w="1418" w:type="dxa"/>
            <w:shd w:val="clear" w:color="auto" w:fill="auto"/>
          </w:tcPr>
          <w:p w:rsidR="001B768E" w:rsidRPr="00B616BC" w:rsidRDefault="001B768E" w:rsidP="007739FB">
            <w:pPr>
              <w:pStyle w:val="Tabletext"/>
              <w:keepNext/>
              <w:keepLines/>
            </w:pPr>
            <w:r w:rsidRPr="00B616BC">
              <w:t>Comparator</w:t>
            </w:r>
          </w:p>
        </w:tc>
        <w:tc>
          <w:tcPr>
            <w:tcW w:w="7654" w:type="dxa"/>
            <w:shd w:val="clear" w:color="auto" w:fill="auto"/>
            <w:vAlign w:val="center"/>
          </w:tcPr>
          <w:p w:rsidR="001B768E" w:rsidRPr="00B616BC" w:rsidRDefault="001B768E" w:rsidP="007739FB">
            <w:pPr>
              <w:pStyle w:val="Tabletext"/>
              <w:keepNext/>
              <w:keepLines/>
            </w:pPr>
            <w:r w:rsidRPr="00B616BC">
              <w:t>Ferric carboxymaltose</w:t>
            </w:r>
            <w:r w:rsidRPr="00B616BC" w:rsidDel="000F3FEB">
              <w:t xml:space="preserve"> </w:t>
            </w:r>
            <w:r w:rsidRPr="00B616BC">
              <w:t xml:space="preserve">delivered by intravenous infusion. Dose is determined by calculation of cumulative iron need using either </w:t>
            </w:r>
            <w:r w:rsidR="00C04F78" w:rsidRPr="00B616BC">
              <w:t xml:space="preserve">the Ganzoni formula </w:t>
            </w:r>
            <w:r w:rsidR="00C04F78" w:rsidRPr="00B616BC">
              <w:rPr>
                <w:vertAlign w:val="superscript"/>
              </w:rPr>
              <w:t>a</w:t>
            </w:r>
            <w:r w:rsidR="00C04F78" w:rsidRPr="00B616BC">
              <w:t xml:space="preserve"> or simplified dosing table </w:t>
            </w:r>
            <w:r w:rsidR="00327C0A" w:rsidRPr="00B616BC">
              <w:rPr>
                <w:vertAlign w:val="superscript"/>
              </w:rPr>
              <w:t>c</w:t>
            </w:r>
            <w:r w:rsidR="004837A6" w:rsidRPr="00B616BC">
              <w:t>.</w:t>
            </w:r>
          </w:p>
        </w:tc>
      </w:tr>
      <w:tr w:rsidR="001B768E" w:rsidRPr="00B616BC" w:rsidTr="00982541">
        <w:trPr>
          <w:cantSplit/>
        </w:trPr>
        <w:tc>
          <w:tcPr>
            <w:tcW w:w="1418" w:type="dxa"/>
            <w:shd w:val="clear" w:color="auto" w:fill="auto"/>
          </w:tcPr>
          <w:p w:rsidR="001B768E" w:rsidRPr="00B616BC" w:rsidRDefault="001B768E" w:rsidP="007739FB">
            <w:pPr>
              <w:pStyle w:val="Tabletext"/>
              <w:keepNext/>
              <w:keepLines/>
            </w:pPr>
            <w:r w:rsidRPr="00B616BC">
              <w:t>Outcomes</w:t>
            </w:r>
          </w:p>
        </w:tc>
        <w:tc>
          <w:tcPr>
            <w:tcW w:w="7654" w:type="dxa"/>
            <w:shd w:val="clear" w:color="auto" w:fill="auto"/>
            <w:vAlign w:val="center"/>
          </w:tcPr>
          <w:p w:rsidR="001B768E" w:rsidRPr="00B616BC" w:rsidRDefault="001B768E" w:rsidP="007739FB">
            <w:pPr>
              <w:pStyle w:val="Tabletext"/>
              <w:keepNext/>
              <w:keepLines/>
            </w:pPr>
            <w:r w:rsidRPr="00B616BC">
              <w:t>Improvement in Hb status, as measured</w:t>
            </w:r>
            <w:r w:rsidR="00B15806" w:rsidRPr="00B616BC">
              <w:t xml:space="preserve"> by</w:t>
            </w:r>
            <w:r w:rsidRPr="00B616BC">
              <w:t>:</w:t>
            </w:r>
          </w:p>
          <w:p w:rsidR="001B768E" w:rsidRPr="00B616BC" w:rsidRDefault="001B768E" w:rsidP="007739FB">
            <w:pPr>
              <w:pStyle w:val="Tabletext"/>
              <w:keepNext/>
              <w:keepLines/>
            </w:pPr>
            <w:r w:rsidRPr="00B616BC">
              <w:t>- change in Hb from baseline; or</w:t>
            </w:r>
          </w:p>
          <w:p w:rsidR="001B768E" w:rsidRPr="00B616BC" w:rsidRDefault="001B768E" w:rsidP="007739FB">
            <w:pPr>
              <w:pStyle w:val="Tabletext"/>
              <w:keepNext/>
              <w:keepLines/>
            </w:pPr>
            <w:r w:rsidRPr="00B616BC">
              <w:t>-</w:t>
            </w:r>
            <w:r w:rsidR="00B15806" w:rsidRPr="00B616BC">
              <w:t xml:space="preserve"> </w:t>
            </w:r>
            <w:r w:rsidRPr="00B616BC">
              <w:t>proportion of responders (defined as an increase in Hb of ≥ 2.0 g/dL, or normalisation of Hb)</w:t>
            </w:r>
            <w:r w:rsidR="004837A6" w:rsidRPr="00B616BC">
              <w:t>.</w:t>
            </w:r>
          </w:p>
        </w:tc>
      </w:tr>
      <w:tr w:rsidR="001B768E" w:rsidRPr="00B616BC" w:rsidTr="00982541">
        <w:trPr>
          <w:cantSplit/>
        </w:trPr>
        <w:tc>
          <w:tcPr>
            <w:tcW w:w="1418" w:type="dxa"/>
            <w:shd w:val="clear" w:color="auto" w:fill="auto"/>
          </w:tcPr>
          <w:p w:rsidR="001B768E" w:rsidRPr="00B616BC" w:rsidRDefault="001B768E" w:rsidP="007739FB">
            <w:pPr>
              <w:pStyle w:val="Tabletext"/>
              <w:keepNext/>
              <w:keepLines/>
            </w:pPr>
            <w:r w:rsidRPr="00B616BC">
              <w:t>Clinical claim</w:t>
            </w:r>
          </w:p>
        </w:tc>
        <w:tc>
          <w:tcPr>
            <w:tcW w:w="7654" w:type="dxa"/>
            <w:shd w:val="clear" w:color="auto" w:fill="auto"/>
            <w:vAlign w:val="center"/>
          </w:tcPr>
          <w:p w:rsidR="001B768E" w:rsidRPr="00B616BC" w:rsidRDefault="001B768E" w:rsidP="007739FB">
            <w:pPr>
              <w:pStyle w:val="Tabletext"/>
              <w:keepNext/>
              <w:keepLines/>
            </w:pPr>
            <w:r w:rsidRPr="00B616BC">
              <w:t>In patients with iron deficiency anaemia, treatment with ferric derisomaltose</w:t>
            </w:r>
            <w:r w:rsidRPr="00B616BC" w:rsidDel="000F3FEB">
              <w:t xml:space="preserve"> </w:t>
            </w:r>
            <w:r w:rsidRPr="00B616BC">
              <w:t>is non-inferior to ferric carboxymaltose</w:t>
            </w:r>
            <w:r w:rsidRPr="00B616BC" w:rsidDel="000F3FEB">
              <w:t xml:space="preserve"> </w:t>
            </w:r>
            <w:r w:rsidRPr="00B616BC">
              <w:t>in improving Hb levels. In terms of safety, ferric derisomaltose</w:t>
            </w:r>
            <w:r w:rsidRPr="00B616BC" w:rsidDel="000F3FEB">
              <w:t xml:space="preserve"> </w:t>
            </w:r>
            <w:r w:rsidRPr="00B616BC">
              <w:t>is non-inferior to ferric carboxymaltose. The equi-effective dose is a ratio of elemental iron of 1 mg: 1 mg.</w:t>
            </w:r>
          </w:p>
        </w:tc>
      </w:tr>
    </w:tbl>
    <w:p w:rsidR="001B768E" w:rsidRPr="00B616BC" w:rsidRDefault="001B768E" w:rsidP="007739FB">
      <w:pPr>
        <w:pStyle w:val="TableFooter"/>
        <w:keepNext/>
        <w:keepLines/>
      </w:pPr>
      <w:r w:rsidRPr="00B616BC">
        <w:t xml:space="preserve">Source: Table 1-1, p3 of the submission </w:t>
      </w:r>
    </w:p>
    <w:p w:rsidR="001B768E" w:rsidRPr="00B616BC" w:rsidRDefault="001B768E" w:rsidP="007739FB">
      <w:pPr>
        <w:pStyle w:val="TableFooter"/>
        <w:keepNext/>
        <w:keepLines/>
      </w:pPr>
      <w:r w:rsidRPr="00B616BC">
        <w:t>g/dL = grams per decilitre; g/L = grams per litre; Hb = haemoglobin</w:t>
      </w:r>
    </w:p>
    <w:p w:rsidR="001B768E" w:rsidRPr="00B616BC" w:rsidRDefault="00C04F78" w:rsidP="007739FB">
      <w:pPr>
        <w:pStyle w:val="TableFooter"/>
        <w:keepNext/>
        <w:keepLines/>
      </w:pPr>
      <w:r w:rsidRPr="00B616BC">
        <w:rPr>
          <w:vertAlign w:val="superscript"/>
        </w:rPr>
        <w:t>a</w:t>
      </w:r>
      <w:r w:rsidR="001B768E" w:rsidRPr="00B616BC">
        <w:t xml:space="preserve"> Iron need = body weight (kg) x (Target Hb (g/L) – Actual Hb (g/L)) x </w:t>
      </w:r>
      <w:r w:rsidR="005D1E26" w:rsidRPr="00B616BC">
        <w:t>0.</w:t>
      </w:r>
      <w:r w:rsidR="001B768E" w:rsidRPr="00B616BC">
        <w:t>24</w:t>
      </w:r>
      <w:r w:rsidR="00727108" w:rsidRPr="00B616BC">
        <w:t xml:space="preserve"> </w:t>
      </w:r>
      <w:r w:rsidR="001B768E" w:rsidRPr="00B616BC">
        <w:t>+ Iron for iron stores (mg)</w:t>
      </w:r>
    </w:p>
    <w:p w:rsidR="001B768E" w:rsidRPr="00B616BC" w:rsidRDefault="00C04F78" w:rsidP="007739FB">
      <w:pPr>
        <w:pStyle w:val="TableFooter"/>
        <w:keepNext/>
        <w:keepLines/>
      </w:pPr>
      <w:r w:rsidRPr="00B616BC">
        <w:rPr>
          <w:vertAlign w:val="superscript"/>
        </w:rPr>
        <w:t>b</w:t>
      </w:r>
      <w:r w:rsidR="001B768E" w:rsidRPr="00B616BC">
        <w:t xml:space="preserve"> An</w:t>
      </w:r>
      <w:r w:rsidR="00B15806" w:rsidRPr="00B616BC">
        <w:t>a</w:t>
      </w:r>
      <w:r w:rsidR="0038061E" w:rsidRPr="00B616BC">
        <w:t xml:space="preserve">emia with Hb </w:t>
      </w:r>
      <w:r w:rsidR="001B768E" w:rsidRPr="00B616BC">
        <w:t xml:space="preserve">≥ 100 g/L patients would be given 1000 mg of iron if bodyweight is 50 kg to &lt;70 kg or 1500 mg of iron if bodyweight ≥70 kg; anaemia with Hb &lt;100 g/L </w:t>
      </w:r>
      <w:r w:rsidR="007B5E3E" w:rsidRPr="00B616BC">
        <w:t xml:space="preserve">patients would be given </w:t>
      </w:r>
      <w:r w:rsidR="001B768E" w:rsidRPr="00B616BC">
        <w:t>1500 mg of iron if bodyweight is 50kg to &lt;70 kg or 2000 mg of iron if bodyweight is ≥70 kg.</w:t>
      </w:r>
    </w:p>
    <w:p w:rsidR="00327C0A" w:rsidRPr="00B616BC" w:rsidRDefault="004837A6" w:rsidP="009B5CA5">
      <w:pPr>
        <w:pStyle w:val="TableFooter"/>
        <w:keepNext/>
        <w:keepLines/>
        <w:rPr>
          <w:sz w:val="20"/>
        </w:rPr>
      </w:pPr>
      <w:r w:rsidRPr="00B616BC">
        <w:rPr>
          <w:vertAlign w:val="superscript"/>
        </w:rPr>
        <w:t>c</w:t>
      </w:r>
      <w:r w:rsidR="00AC3DF6" w:rsidRPr="00B616BC">
        <w:t xml:space="preserve"> Anaemia with Hb </w:t>
      </w:r>
      <w:r w:rsidR="00327C0A" w:rsidRPr="00B616BC">
        <w:t xml:space="preserve">≥ 100 g/L patients would be given 1000 mg of iron if bodyweight is 35 kg to &lt;70 kg or 1500 mg of iron if bodyweight </w:t>
      </w:r>
      <w:r w:rsidR="00A54A7A" w:rsidRPr="00B616BC">
        <w:br/>
      </w:r>
      <w:r w:rsidR="00327C0A" w:rsidRPr="00B616BC">
        <w:t>≥</w:t>
      </w:r>
      <w:r w:rsidR="00A54A7A" w:rsidRPr="00B616BC">
        <w:t xml:space="preserve"> </w:t>
      </w:r>
      <w:r w:rsidR="00327C0A" w:rsidRPr="00B616BC">
        <w:t>70 kg; anaemia with Hb &lt;100 g/L patients would be given 1500 mg of iron if bodyweight is 50kg to &lt;70 kg or 2000 mg of iron if bodyweight is ≥70 kg.</w:t>
      </w:r>
    </w:p>
    <w:p w:rsidR="00B60939" w:rsidRPr="00B616BC" w:rsidRDefault="00B50DB8" w:rsidP="007739FB">
      <w:pPr>
        <w:pStyle w:val="Heading1"/>
        <w:keepLines/>
        <w:spacing w:before="240" w:after="120"/>
      </w:pPr>
      <w:bookmarkStart w:id="1" w:name="_Toc511461236"/>
      <w:r w:rsidRPr="00B616BC">
        <w:t>Requested listing</w:t>
      </w:r>
      <w:bookmarkEnd w:id="1"/>
    </w:p>
    <w:p w:rsidR="001B768E" w:rsidRPr="00B616BC" w:rsidRDefault="001B768E" w:rsidP="007739FB">
      <w:pPr>
        <w:pStyle w:val="TableFooter"/>
        <w:keepLines/>
      </w:pPr>
    </w:p>
    <w:tbl>
      <w:tblPr>
        <w:tblW w:w="4977" w:type="pct"/>
        <w:tblInd w:w="28" w:type="dxa"/>
        <w:tblCellMar>
          <w:left w:w="28" w:type="dxa"/>
          <w:right w:w="28" w:type="dxa"/>
        </w:tblCellMar>
        <w:tblLook w:val="0000" w:firstRow="0" w:lastRow="0" w:firstColumn="0" w:lastColumn="0" w:noHBand="0" w:noVBand="0"/>
      </w:tblPr>
      <w:tblGrid>
        <w:gridCol w:w="3324"/>
        <w:gridCol w:w="1056"/>
        <w:gridCol w:w="812"/>
        <w:gridCol w:w="1486"/>
        <w:gridCol w:w="900"/>
        <w:gridCol w:w="1463"/>
      </w:tblGrid>
      <w:tr w:rsidR="001B768E" w:rsidRPr="00B616BC" w:rsidTr="001B768E">
        <w:trPr>
          <w:cantSplit/>
          <w:trHeight w:val="463"/>
        </w:trPr>
        <w:tc>
          <w:tcPr>
            <w:tcW w:w="1838" w:type="pct"/>
            <w:tcBorders>
              <w:top w:val="single" w:sz="4" w:space="0" w:color="auto"/>
              <w:bottom w:val="single" w:sz="4" w:space="0" w:color="auto"/>
            </w:tcBorders>
            <w:vAlign w:val="center"/>
          </w:tcPr>
          <w:p w:rsidR="001B768E" w:rsidRPr="00B616BC" w:rsidRDefault="001B768E" w:rsidP="007739FB">
            <w:pPr>
              <w:keepLines/>
              <w:jc w:val="left"/>
              <w:rPr>
                <w:rFonts w:ascii="Arial Narrow" w:hAnsi="Arial Narrow"/>
                <w:b/>
                <w:sz w:val="20"/>
              </w:rPr>
            </w:pPr>
            <w:r w:rsidRPr="00B616BC">
              <w:rPr>
                <w:rFonts w:ascii="Arial Narrow" w:hAnsi="Arial Narrow"/>
                <w:b/>
                <w:sz w:val="20"/>
              </w:rPr>
              <w:t>Name, Restriction,</w:t>
            </w:r>
          </w:p>
          <w:p w:rsidR="001B768E" w:rsidRPr="00B616BC" w:rsidRDefault="001B768E" w:rsidP="007739FB">
            <w:pPr>
              <w:keepLines/>
              <w:jc w:val="left"/>
              <w:rPr>
                <w:rFonts w:ascii="Arial Narrow" w:hAnsi="Arial Narrow"/>
                <w:b/>
                <w:sz w:val="20"/>
              </w:rPr>
            </w:pPr>
            <w:r w:rsidRPr="00B616BC">
              <w:rPr>
                <w:rFonts w:ascii="Arial Narrow" w:hAnsi="Arial Narrow"/>
                <w:b/>
                <w:sz w:val="20"/>
              </w:rPr>
              <w:t>Manner of administration and form</w:t>
            </w:r>
          </w:p>
        </w:tc>
        <w:tc>
          <w:tcPr>
            <w:tcW w:w="584" w:type="pct"/>
            <w:tcBorders>
              <w:top w:val="single" w:sz="4" w:space="0" w:color="auto"/>
              <w:bottom w:val="single" w:sz="4" w:space="0" w:color="auto"/>
            </w:tcBorders>
            <w:vAlign w:val="center"/>
          </w:tcPr>
          <w:p w:rsidR="001B768E" w:rsidRPr="00B616BC" w:rsidRDefault="001B768E" w:rsidP="007739FB">
            <w:pPr>
              <w:keepLines/>
              <w:jc w:val="center"/>
              <w:rPr>
                <w:rFonts w:ascii="Arial Narrow" w:hAnsi="Arial Narrow"/>
                <w:b/>
                <w:sz w:val="20"/>
              </w:rPr>
            </w:pPr>
            <w:r w:rsidRPr="00B616BC">
              <w:rPr>
                <w:rFonts w:ascii="Arial Narrow" w:hAnsi="Arial Narrow"/>
                <w:b/>
                <w:sz w:val="20"/>
              </w:rPr>
              <w:t>Max.</w:t>
            </w:r>
          </w:p>
          <w:p w:rsidR="001B768E" w:rsidRPr="00B616BC" w:rsidRDefault="001B768E" w:rsidP="007739FB">
            <w:pPr>
              <w:keepLines/>
              <w:jc w:val="center"/>
              <w:rPr>
                <w:rFonts w:ascii="Arial Narrow" w:hAnsi="Arial Narrow"/>
                <w:b/>
                <w:sz w:val="20"/>
              </w:rPr>
            </w:pPr>
            <w:r w:rsidRPr="00B616BC">
              <w:rPr>
                <w:rFonts w:ascii="Arial Narrow" w:hAnsi="Arial Narrow"/>
                <w:b/>
                <w:sz w:val="20"/>
              </w:rPr>
              <w:t xml:space="preserve">Qty </w:t>
            </w:r>
          </w:p>
        </w:tc>
        <w:tc>
          <w:tcPr>
            <w:tcW w:w="449" w:type="pct"/>
            <w:tcBorders>
              <w:top w:val="single" w:sz="4" w:space="0" w:color="auto"/>
              <w:bottom w:val="single" w:sz="4" w:space="0" w:color="auto"/>
            </w:tcBorders>
            <w:vAlign w:val="center"/>
          </w:tcPr>
          <w:p w:rsidR="001B768E" w:rsidRPr="00B616BC" w:rsidRDefault="001B768E" w:rsidP="007739FB">
            <w:pPr>
              <w:keepLines/>
              <w:jc w:val="center"/>
              <w:rPr>
                <w:rFonts w:ascii="Arial Narrow" w:hAnsi="Arial Narrow"/>
                <w:b/>
                <w:sz w:val="20"/>
              </w:rPr>
            </w:pPr>
            <w:r w:rsidRPr="00B616BC">
              <w:rPr>
                <w:rFonts w:ascii="Arial Narrow" w:hAnsi="Arial Narrow" w:cs="Times New Roman"/>
                <w:b/>
                <w:sz w:val="20"/>
              </w:rPr>
              <w:t>№</w:t>
            </w:r>
            <w:r w:rsidRPr="00B616BC">
              <w:rPr>
                <w:rFonts w:ascii="Arial Narrow" w:hAnsi="Arial Narrow"/>
                <w:b/>
                <w:sz w:val="20"/>
              </w:rPr>
              <w:t>.of</w:t>
            </w:r>
          </w:p>
          <w:p w:rsidR="001B768E" w:rsidRPr="00B616BC" w:rsidRDefault="001B768E" w:rsidP="007739FB">
            <w:pPr>
              <w:keepLines/>
              <w:jc w:val="center"/>
              <w:rPr>
                <w:rFonts w:ascii="Arial Narrow" w:hAnsi="Arial Narrow"/>
                <w:b/>
                <w:sz w:val="20"/>
              </w:rPr>
            </w:pPr>
            <w:r w:rsidRPr="00B616BC">
              <w:rPr>
                <w:rFonts w:ascii="Arial Narrow" w:hAnsi="Arial Narrow"/>
                <w:b/>
                <w:sz w:val="20"/>
              </w:rPr>
              <w:t>Rpts</w:t>
            </w:r>
          </w:p>
        </w:tc>
        <w:tc>
          <w:tcPr>
            <w:tcW w:w="822" w:type="pct"/>
            <w:tcBorders>
              <w:top w:val="single" w:sz="4" w:space="0" w:color="auto"/>
              <w:bottom w:val="single" w:sz="4" w:space="0" w:color="auto"/>
            </w:tcBorders>
            <w:vAlign w:val="center"/>
          </w:tcPr>
          <w:p w:rsidR="001B768E" w:rsidRPr="00B616BC" w:rsidRDefault="001B768E" w:rsidP="007739FB">
            <w:pPr>
              <w:keepLines/>
              <w:jc w:val="center"/>
              <w:rPr>
                <w:rFonts w:ascii="Arial Narrow" w:hAnsi="Arial Narrow"/>
                <w:b/>
                <w:sz w:val="20"/>
              </w:rPr>
            </w:pPr>
            <w:r w:rsidRPr="00B616BC">
              <w:rPr>
                <w:rFonts w:ascii="Arial Narrow" w:hAnsi="Arial Narrow"/>
                <w:b/>
                <w:sz w:val="20"/>
              </w:rPr>
              <w:t xml:space="preserve">Dispensed Price for Max. Qty </w:t>
            </w:r>
          </w:p>
        </w:tc>
        <w:tc>
          <w:tcPr>
            <w:tcW w:w="1307" w:type="pct"/>
            <w:gridSpan w:val="2"/>
            <w:tcBorders>
              <w:top w:val="single" w:sz="4" w:space="0" w:color="auto"/>
              <w:bottom w:val="single" w:sz="4" w:space="0" w:color="auto"/>
            </w:tcBorders>
            <w:vAlign w:val="center"/>
          </w:tcPr>
          <w:p w:rsidR="001B768E" w:rsidRPr="00B616BC" w:rsidRDefault="001B768E" w:rsidP="007739FB">
            <w:pPr>
              <w:keepLines/>
              <w:jc w:val="center"/>
              <w:rPr>
                <w:rFonts w:ascii="Arial Narrow" w:hAnsi="Arial Narrow"/>
                <w:b/>
                <w:sz w:val="20"/>
              </w:rPr>
            </w:pPr>
            <w:r w:rsidRPr="00B616BC">
              <w:rPr>
                <w:rFonts w:ascii="Arial Narrow" w:hAnsi="Arial Narrow"/>
                <w:b/>
                <w:sz w:val="20"/>
              </w:rPr>
              <w:t>Proprietary Name and Manufacturer</w:t>
            </w:r>
          </w:p>
        </w:tc>
      </w:tr>
      <w:tr w:rsidR="001B768E" w:rsidRPr="00B616BC" w:rsidTr="00867B68">
        <w:trPr>
          <w:cantSplit/>
          <w:trHeight w:val="397"/>
        </w:trPr>
        <w:tc>
          <w:tcPr>
            <w:tcW w:w="1838" w:type="pct"/>
            <w:tcBorders>
              <w:top w:val="single" w:sz="4" w:space="0" w:color="auto"/>
              <w:bottom w:val="single" w:sz="4" w:space="0" w:color="auto"/>
            </w:tcBorders>
          </w:tcPr>
          <w:p w:rsidR="001B768E" w:rsidRPr="00B616BC" w:rsidRDefault="00A54A7A" w:rsidP="007739FB">
            <w:pPr>
              <w:keepLines/>
              <w:jc w:val="left"/>
              <w:rPr>
                <w:rStyle w:val="CommentReference"/>
                <w:b w:val="0"/>
              </w:rPr>
            </w:pPr>
            <w:r w:rsidRPr="00B616BC">
              <w:rPr>
                <w:rStyle w:val="CommentReference"/>
                <w:b w:val="0"/>
              </w:rPr>
              <w:t>IRON</w:t>
            </w:r>
          </w:p>
          <w:p w:rsidR="00A54A7A" w:rsidRPr="00B616BC" w:rsidRDefault="00A54A7A" w:rsidP="007739FB">
            <w:pPr>
              <w:keepLines/>
              <w:jc w:val="left"/>
              <w:rPr>
                <w:rFonts w:ascii="Arial Narrow" w:hAnsi="Arial Narrow"/>
                <w:b/>
                <w:sz w:val="20"/>
              </w:rPr>
            </w:pPr>
            <w:r w:rsidRPr="00B616BC">
              <w:rPr>
                <w:rStyle w:val="CommentReference"/>
                <w:b w:val="0"/>
              </w:rPr>
              <w:t>Iron (as ferric derisomaltose) 500 mg/5 mL injection, 1 x 5 mL vial</w:t>
            </w:r>
          </w:p>
        </w:tc>
        <w:tc>
          <w:tcPr>
            <w:tcW w:w="584" w:type="pct"/>
            <w:tcBorders>
              <w:top w:val="single" w:sz="4" w:space="0" w:color="auto"/>
              <w:bottom w:val="single" w:sz="4" w:space="0" w:color="auto"/>
            </w:tcBorders>
          </w:tcPr>
          <w:p w:rsidR="001B768E" w:rsidRPr="00B616BC" w:rsidRDefault="001B768E" w:rsidP="007739FB">
            <w:pPr>
              <w:keepLines/>
              <w:jc w:val="center"/>
              <w:rPr>
                <w:rFonts w:ascii="Arial Narrow" w:hAnsi="Arial Narrow"/>
                <w:sz w:val="20"/>
              </w:rPr>
            </w:pPr>
            <w:r w:rsidRPr="00B616BC">
              <w:rPr>
                <w:rFonts w:ascii="Arial Narrow" w:hAnsi="Arial Narrow"/>
                <w:sz w:val="20"/>
              </w:rPr>
              <w:t>2</w:t>
            </w:r>
          </w:p>
        </w:tc>
        <w:tc>
          <w:tcPr>
            <w:tcW w:w="449" w:type="pct"/>
            <w:tcBorders>
              <w:top w:val="single" w:sz="4" w:space="0" w:color="auto"/>
              <w:bottom w:val="single" w:sz="4" w:space="0" w:color="auto"/>
            </w:tcBorders>
          </w:tcPr>
          <w:p w:rsidR="001B768E" w:rsidRPr="00B616BC" w:rsidRDefault="001B768E" w:rsidP="007739FB">
            <w:pPr>
              <w:keepLines/>
              <w:jc w:val="center"/>
              <w:rPr>
                <w:rFonts w:ascii="Arial Narrow" w:hAnsi="Arial Narrow"/>
                <w:sz w:val="20"/>
              </w:rPr>
            </w:pPr>
            <w:r w:rsidRPr="00B616BC">
              <w:rPr>
                <w:rFonts w:ascii="Arial Narrow" w:hAnsi="Arial Narrow"/>
                <w:sz w:val="20"/>
              </w:rPr>
              <w:t>1</w:t>
            </w:r>
          </w:p>
        </w:tc>
        <w:tc>
          <w:tcPr>
            <w:tcW w:w="822" w:type="pct"/>
            <w:tcBorders>
              <w:top w:val="single" w:sz="4" w:space="0" w:color="auto"/>
              <w:bottom w:val="single" w:sz="4" w:space="0" w:color="auto"/>
            </w:tcBorders>
          </w:tcPr>
          <w:p w:rsidR="001B768E" w:rsidRPr="00B616BC" w:rsidRDefault="001B768E" w:rsidP="007739FB">
            <w:pPr>
              <w:keepLines/>
              <w:jc w:val="center"/>
              <w:rPr>
                <w:rFonts w:ascii="Arial Narrow" w:hAnsi="Arial Narrow"/>
                <w:sz w:val="20"/>
              </w:rPr>
            </w:pPr>
            <w:r w:rsidRPr="00B616BC">
              <w:rPr>
                <w:rFonts w:ascii="Arial Narrow" w:hAnsi="Arial Narrow"/>
                <w:sz w:val="20"/>
              </w:rPr>
              <w:t>$SPA (TBA)</w:t>
            </w:r>
          </w:p>
          <w:p w:rsidR="001B768E" w:rsidRPr="00B616BC" w:rsidRDefault="001B768E" w:rsidP="007739FB">
            <w:pPr>
              <w:keepLines/>
              <w:jc w:val="center"/>
              <w:rPr>
                <w:rFonts w:ascii="Arial Narrow" w:hAnsi="Arial Narrow"/>
                <w:sz w:val="20"/>
              </w:rPr>
            </w:pPr>
            <w:r w:rsidRPr="00B616BC">
              <w:rPr>
                <w:rFonts w:ascii="Arial Narrow" w:hAnsi="Arial Narrow"/>
                <w:sz w:val="20"/>
              </w:rPr>
              <w:t>$307.</w:t>
            </w:r>
            <w:r w:rsidR="007B5E3E" w:rsidRPr="00B616BC">
              <w:rPr>
                <w:rFonts w:ascii="Arial Narrow" w:hAnsi="Arial Narrow"/>
                <w:sz w:val="20"/>
              </w:rPr>
              <w:t>4</w:t>
            </w:r>
            <w:r w:rsidRPr="00B616BC">
              <w:rPr>
                <w:rFonts w:ascii="Arial Narrow" w:hAnsi="Arial Narrow"/>
                <w:sz w:val="20"/>
              </w:rPr>
              <w:t>9</w:t>
            </w:r>
          </w:p>
        </w:tc>
        <w:tc>
          <w:tcPr>
            <w:tcW w:w="498" w:type="pct"/>
            <w:tcBorders>
              <w:top w:val="single" w:sz="4" w:space="0" w:color="auto"/>
              <w:bottom w:val="single" w:sz="4" w:space="0" w:color="auto"/>
            </w:tcBorders>
          </w:tcPr>
          <w:p w:rsidR="001B768E" w:rsidRPr="00B616BC" w:rsidRDefault="001B768E" w:rsidP="007739FB">
            <w:pPr>
              <w:keepLines/>
              <w:jc w:val="center"/>
              <w:rPr>
                <w:rFonts w:ascii="Arial Narrow" w:hAnsi="Arial Narrow"/>
                <w:sz w:val="20"/>
              </w:rPr>
            </w:pPr>
            <w:r w:rsidRPr="00B616BC">
              <w:rPr>
                <w:rFonts w:ascii="Arial Narrow" w:hAnsi="Arial Narrow"/>
                <w:sz w:val="20"/>
              </w:rPr>
              <w:t>M</w:t>
            </w:r>
            <w:r w:rsidR="00B15806" w:rsidRPr="00B616BC">
              <w:rPr>
                <w:rFonts w:ascii="Arial Narrow" w:hAnsi="Arial Narrow"/>
                <w:sz w:val="20"/>
              </w:rPr>
              <w:t xml:space="preserve">onofer </w:t>
            </w:r>
            <w:r w:rsidR="00B15806" w:rsidRPr="00B616BC">
              <w:rPr>
                <w:rFonts w:ascii="Arial Narrow" w:hAnsi="Arial Narrow"/>
                <w:sz w:val="20"/>
                <w:vertAlign w:val="superscript"/>
              </w:rPr>
              <w:t>®</w:t>
            </w:r>
          </w:p>
        </w:tc>
        <w:tc>
          <w:tcPr>
            <w:tcW w:w="809" w:type="pct"/>
            <w:tcBorders>
              <w:top w:val="single" w:sz="4" w:space="0" w:color="auto"/>
              <w:bottom w:val="single" w:sz="4" w:space="0" w:color="auto"/>
            </w:tcBorders>
          </w:tcPr>
          <w:p w:rsidR="001B768E" w:rsidRPr="00B616BC" w:rsidRDefault="001B768E" w:rsidP="007739FB">
            <w:pPr>
              <w:keepLines/>
              <w:jc w:val="center"/>
              <w:rPr>
                <w:rFonts w:ascii="Arial Narrow" w:hAnsi="Arial Narrow"/>
                <w:sz w:val="20"/>
              </w:rPr>
            </w:pPr>
            <w:r w:rsidRPr="00B616BC">
              <w:rPr>
                <w:rFonts w:ascii="Arial Narrow" w:hAnsi="Arial Narrow"/>
                <w:sz w:val="20"/>
              </w:rPr>
              <w:t>Pfizer Australia</w:t>
            </w:r>
          </w:p>
        </w:tc>
      </w:tr>
    </w:tbl>
    <w:p w:rsidR="001B768E" w:rsidRPr="00B616BC" w:rsidRDefault="001B768E" w:rsidP="007739FB">
      <w:pPr>
        <w:pStyle w:val="TableFooter"/>
        <w:keepLines/>
      </w:pPr>
      <w:r w:rsidRPr="00B616BC">
        <w:t xml:space="preserve">Max = maximum; Qty = quantity; </w:t>
      </w:r>
      <w:r w:rsidR="004D1872" w:rsidRPr="00B616BC">
        <w:t xml:space="preserve">Rpts = repeats; </w:t>
      </w:r>
      <w:r w:rsidRPr="00B616BC">
        <w:t xml:space="preserve">SPA = Special Price </w:t>
      </w:r>
      <w:r w:rsidR="00A103A5" w:rsidRPr="00B616BC">
        <w:t>Arrangement</w:t>
      </w:r>
      <w:r w:rsidRPr="00B616BC">
        <w:t xml:space="preserve">; TBA = to be advised based on </w:t>
      </w:r>
      <w:r w:rsidR="00393E09" w:rsidRPr="00B616BC">
        <w:t xml:space="preserve">main </w:t>
      </w:r>
      <w:r w:rsidRPr="00B616BC">
        <w:t>comparator</w:t>
      </w:r>
      <w:r w:rsidR="00393E09" w:rsidRPr="00B616BC">
        <w:t>,</w:t>
      </w:r>
      <w:r w:rsidRPr="00B616BC">
        <w:t xml:space="preserve"> ferric carboxymaltose </w:t>
      </w:r>
    </w:p>
    <w:p w:rsidR="001B768E" w:rsidRPr="00B616BC" w:rsidRDefault="001B768E" w:rsidP="008A225D">
      <w:pPr>
        <w:spacing w:after="120"/>
      </w:pPr>
    </w:p>
    <w:p w:rsidR="001B768E" w:rsidRPr="00B616BC" w:rsidRDefault="001B768E" w:rsidP="008A225D">
      <w:pPr>
        <w:pStyle w:val="ListParagraph"/>
        <w:widowControl/>
        <w:numPr>
          <w:ilvl w:val="1"/>
          <w:numId w:val="1"/>
        </w:numPr>
        <w:spacing w:after="120"/>
      </w:pPr>
      <w:r w:rsidRPr="00B616BC">
        <w:lastRenderedPageBreak/>
        <w:t>The submission acknowledge</w:t>
      </w:r>
      <w:r w:rsidR="009E524F" w:rsidRPr="00B616BC">
        <w:t>d</w:t>
      </w:r>
      <w:r w:rsidRPr="00B616BC">
        <w:t xml:space="preserve"> that the main comparator, ferric carboxymaltose</w:t>
      </w:r>
      <w:r w:rsidR="00863380" w:rsidRPr="00B616BC">
        <w:t>,</w:t>
      </w:r>
      <w:r w:rsidRPr="00B616BC">
        <w:t xml:space="preserve"> is subject to a confidential Special Pricing Arrangement (SPA) and was willing to adopt an equivalent SPA to ensure the cost-minimisation framework was maintained. </w:t>
      </w:r>
    </w:p>
    <w:p w:rsidR="007253B8" w:rsidRPr="00B616BC" w:rsidRDefault="007253B8" w:rsidP="00A504E1">
      <w:pPr>
        <w:pStyle w:val="PBACHeading1"/>
        <w:numPr>
          <w:ilvl w:val="0"/>
          <w:numId w:val="0"/>
        </w:numPr>
        <w:ind w:left="720" w:hanging="720"/>
        <w:rPr>
          <w:b w:val="0"/>
          <w:i/>
          <w:sz w:val="24"/>
        </w:rPr>
      </w:pPr>
      <w:r w:rsidRPr="00B616BC">
        <w:rPr>
          <w:b w:val="0"/>
          <w:i/>
          <w:sz w:val="24"/>
        </w:rPr>
        <w:t>For more detail on PBAC’s view, see section 7 PBAC outcome.</w:t>
      </w:r>
    </w:p>
    <w:p w:rsidR="003E523F" w:rsidRPr="008A225D" w:rsidRDefault="00B50DB8" w:rsidP="00B60939">
      <w:pPr>
        <w:pStyle w:val="Heading1"/>
        <w:spacing w:before="240" w:after="120"/>
      </w:pPr>
      <w:bookmarkStart w:id="2" w:name="_Toc511461237"/>
      <w:r w:rsidRPr="00B616BC">
        <w:t>Background</w:t>
      </w:r>
      <w:bookmarkEnd w:id="2"/>
    </w:p>
    <w:p w:rsidR="00591957" w:rsidRPr="0075231C" w:rsidRDefault="00591957" w:rsidP="0075231C">
      <w:pPr>
        <w:spacing w:after="120"/>
        <w:rPr>
          <w:b/>
          <w:sz w:val="28"/>
          <w:szCs w:val="28"/>
        </w:rPr>
      </w:pPr>
      <w:r w:rsidRPr="00B616BC">
        <w:rPr>
          <w:b/>
          <w:sz w:val="28"/>
          <w:szCs w:val="28"/>
        </w:rPr>
        <w:t>Registration status</w:t>
      </w:r>
    </w:p>
    <w:p w:rsidR="001B768E" w:rsidRPr="00B616BC" w:rsidRDefault="001B768E" w:rsidP="008A225D">
      <w:pPr>
        <w:pStyle w:val="ListParagraph"/>
        <w:widowControl/>
        <w:numPr>
          <w:ilvl w:val="1"/>
          <w:numId w:val="1"/>
        </w:numPr>
        <w:spacing w:after="120"/>
      </w:pPr>
      <w:r w:rsidRPr="00B616BC">
        <w:t>Ferric derisomaltose was approved by the TGA on 4 December 2017 for:</w:t>
      </w:r>
    </w:p>
    <w:p w:rsidR="001B768E" w:rsidRPr="00B616BC" w:rsidRDefault="001B768E" w:rsidP="001B768E">
      <w:pPr>
        <w:ind w:left="170" w:firstLine="550"/>
      </w:pPr>
      <w:r w:rsidRPr="00B616BC">
        <w:t xml:space="preserve">“The treatment of iron deficiency in adults, under the following conditions: </w:t>
      </w:r>
    </w:p>
    <w:p w:rsidR="001B768E" w:rsidRPr="00B616BC" w:rsidRDefault="001B768E" w:rsidP="007739FB">
      <w:pPr>
        <w:pStyle w:val="ListParagraph"/>
        <w:numPr>
          <w:ilvl w:val="1"/>
          <w:numId w:val="9"/>
        </w:numPr>
        <w:spacing w:after="120"/>
      </w:pPr>
      <w:r w:rsidRPr="00B616BC">
        <w:t>When oral iron preparation</w:t>
      </w:r>
      <w:r w:rsidR="00B15806" w:rsidRPr="00B616BC">
        <w:t>s</w:t>
      </w:r>
      <w:r w:rsidRPr="00B616BC">
        <w:t xml:space="preserve"> are ineffective or cannot be used; or</w:t>
      </w:r>
    </w:p>
    <w:p w:rsidR="001B768E" w:rsidRPr="00B616BC" w:rsidRDefault="001B768E" w:rsidP="007739FB">
      <w:pPr>
        <w:pStyle w:val="ListParagraph"/>
        <w:numPr>
          <w:ilvl w:val="1"/>
          <w:numId w:val="9"/>
        </w:numPr>
        <w:spacing w:after="120"/>
      </w:pPr>
      <w:r w:rsidRPr="00B616BC">
        <w:t xml:space="preserve">Where there is a clinical need to deliver iron rapidly; and </w:t>
      </w:r>
    </w:p>
    <w:p w:rsidR="001B768E" w:rsidRDefault="001B768E" w:rsidP="007739FB">
      <w:pPr>
        <w:spacing w:after="120"/>
        <w:ind w:left="1080"/>
      </w:pPr>
      <w:r w:rsidRPr="00B616BC">
        <w:t>The diagnosis must be based on laboratory tests.”</w:t>
      </w:r>
    </w:p>
    <w:p w:rsidR="00B60939" w:rsidRPr="00B616BC" w:rsidRDefault="00203181" w:rsidP="008A225D">
      <w:pPr>
        <w:pStyle w:val="Heading1"/>
        <w:spacing w:before="240" w:after="120"/>
      </w:pPr>
      <w:bookmarkStart w:id="3" w:name="_Toc511461238"/>
      <w:r w:rsidRPr="00B616BC">
        <w:t xml:space="preserve">Population and </w:t>
      </w:r>
      <w:r w:rsidR="008E0D3C" w:rsidRPr="00B616BC">
        <w:t>d</w:t>
      </w:r>
      <w:r w:rsidRPr="00B616BC">
        <w:t>isease</w:t>
      </w:r>
      <w:bookmarkEnd w:id="3"/>
    </w:p>
    <w:p w:rsidR="001B768E" w:rsidRPr="00B616BC" w:rsidRDefault="001B768E" w:rsidP="008A225D">
      <w:pPr>
        <w:pStyle w:val="ListParagraph"/>
        <w:keepNext/>
        <w:widowControl/>
        <w:numPr>
          <w:ilvl w:val="1"/>
          <w:numId w:val="1"/>
        </w:numPr>
        <w:spacing w:after="120"/>
      </w:pPr>
      <w:r w:rsidRPr="00B616BC">
        <w:t>The target PBS population proposed by the submission for treatment with ferric derisomaltose were patients with iron deficiency anaemia, w</w:t>
      </w:r>
      <w:r w:rsidR="00C04F78" w:rsidRPr="00B616BC">
        <w:t>hen</w:t>
      </w:r>
      <w:r w:rsidRPr="00B616BC">
        <w:t xml:space="preserve"> treatment with oral iron is ineffective or not tolerated. </w:t>
      </w:r>
    </w:p>
    <w:p w:rsidR="001B768E" w:rsidRPr="00B616BC" w:rsidRDefault="001B768E" w:rsidP="008A225D">
      <w:pPr>
        <w:pStyle w:val="ListParagraph"/>
        <w:widowControl/>
        <w:numPr>
          <w:ilvl w:val="1"/>
          <w:numId w:val="1"/>
        </w:numPr>
        <w:spacing w:after="120"/>
      </w:pPr>
      <w:r w:rsidRPr="00B616BC">
        <w:t xml:space="preserve">Populations at high risk of iron deficiency anaemia include </w:t>
      </w:r>
      <w:r w:rsidR="00863380" w:rsidRPr="00B616BC">
        <w:t xml:space="preserve">post-partum women and </w:t>
      </w:r>
      <w:r w:rsidRPr="00B616BC">
        <w:t>patients with chronic kidney disease</w:t>
      </w:r>
      <w:r w:rsidR="00863380" w:rsidRPr="00B616BC">
        <w:t xml:space="preserve"> or</w:t>
      </w:r>
      <w:r w:rsidRPr="00B616BC">
        <w:t xml:space="preserve"> inflammatory bowel diseases.</w:t>
      </w:r>
    </w:p>
    <w:p w:rsidR="001B768E" w:rsidRPr="00B616BC" w:rsidRDefault="001B768E" w:rsidP="008A225D">
      <w:pPr>
        <w:pStyle w:val="ListParagraph"/>
        <w:widowControl/>
        <w:numPr>
          <w:ilvl w:val="1"/>
          <w:numId w:val="1"/>
        </w:numPr>
        <w:spacing w:after="120"/>
      </w:pPr>
      <w:r w:rsidRPr="00B616BC">
        <w:t>Ferric derisomaltose is an intravenous</w:t>
      </w:r>
      <w:r w:rsidR="009E1B74" w:rsidRPr="00B616BC">
        <w:t xml:space="preserve"> (IV)</w:t>
      </w:r>
      <w:r w:rsidRPr="00B616BC">
        <w:t xml:space="preserve"> iron, suitable for</w:t>
      </w:r>
      <w:r w:rsidR="009E524F" w:rsidRPr="00B616BC">
        <w:t xml:space="preserve"> fast infusion and </w:t>
      </w:r>
      <w:r w:rsidRPr="00B616BC">
        <w:t>administration in primary care and other non-hospital settings. Ferric derisomaltose is a colloid with strongly bound iron in spheroidal iron-carbohydrate particles, which enables a controlled and slow release of bioavailable iron to iron-binding proteins with little risk of free iron. This allows for flexible dosing, which includes high and rapid dosing of up to 1500</w:t>
      </w:r>
      <w:r w:rsidR="00C04F78" w:rsidRPr="00B616BC">
        <w:t xml:space="preserve"> </w:t>
      </w:r>
      <w:r w:rsidRPr="00B616BC">
        <w:t>mg in 30 minutes or less.</w:t>
      </w:r>
      <w:r w:rsidR="0075231C">
        <w:t xml:space="preserve"> </w:t>
      </w:r>
    </w:p>
    <w:p w:rsidR="001B768E" w:rsidRPr="00B616BC" w:rsidRDefault="001B768E" w:rsidP="008A225D">
      <w:pPr>
        <w:pStyle w:val="ListParagraph"/>
        <w:widowControl/>
        <w:numPr>
          <w:ilvl w:val="1"/>
          <w:numId w:val="1"/>
        </w:numPr>
        <w:spacing w:after="120"/>
      </w:pPr>
      <w:r w:rsidRPr="00B616BC">
        <w:t xml:space="preserve">The submission stated that oral iron remains </w:t>
      </w:r>
      <w:r w:rsidR="009E524F" w:rsidRPr="00B616BC">
        <w:t xml:space="preserve">the </w:t>
      </w:r>
      <w:r w:rsidRPr="00B616BC">
        <w:t xml:space="preserve">first-line treatment of iron deficiency anaemia, with </w:t>
      </w:r>
      <w:r w:rsidR="009E1B74" w:rsidRPr="00B616BC">
        <w:t xml:space="preserve">IV </w:t>
      </w:r>
      <w:r w:rsidRPr="00B616BC">
        <w:t>irons such as ferric carboxymaltose</w:t>
      </w:r>
      <w:r w:rsidR="009E524F" w:rsidRPr="00B616BC">
        <w:t>,</w:t>
      </w:r>
      <w:r w:rsidRPr="00B616BC">
        <w:t xml:space="preserve"> iron polymaltose and iron sucrose</w:t>
      </w:r>
      <w:r w:rsidR="00F21EA0" w:rsidRPr="00B616BC">
        <w:t>,</w:t>
      </w:r>
      <w:r w:rsidRPr="00B616BC">
        <w:t xml:space="preserve"> appropriate in specific scenarios. </w:t>
      </w:r>
      <w:r w:rsidR="009B2AAE" w:rsidRPr="00B616BC">
        <w:t xml:space="preserve">The </w:t>
      </w:r>
      <w:r w:rsidR="00E2485E" w:rsidRPr="00B616BC">
        <w:t>PBAC</w:t>
      </w:r>
      <w:r w:rsidR="009B2AAE" w:rsidRPr="00B616BC">
        <w:t xml:space="preserve"> considered that</w:t>
      </w:r>
      <w:r w:rsidR="009B2AAE" w:rsidRPr="00B616BC">
        <w:rPr>
          <w:i/>
        </w:rPr>
        <w:t xml:space="preserve"> </w:t>
      </w:r>
      <w:r w:rsidR="009B2AAE" w:rsidRPr="00B616BC">
        <w:t>t</w:t>
      </w:r>
      <w:r w:rsidRPr="00B616BC">
        <w:t xml:space="preserve">his was reasonable. </w:t>
      </w:r>
    </w:p>
    <w:p w:rsidR="00F22E9C" w:rsidRPr="00B616BC" w:rsidRDefault="00F22E9C" w:rsidP="00F22E9C">
      <w:pPr>
        <w:widowControl/>
        <w:rPr>
          <w:i/>
        </w:rPr>
      </w:pPr>
      <w:r w:rsidRPr="00B616BC">
        <w:rPr>
          <w:i/>
        </w:rPr>
        <w:t>For more detail on PBAC’s view, see section 7 PBAC outcome.</w:t>
      </w:r>
    </w:p>
    <w:p w:rsidR="00A2009C" w:rsidRPr="00B616BC" w:rsidRDefault="00A2009C" w:rsidP="00F22E9C">
      <w:pPr>
        <w:widowControl/>
      </w:pPr>
    </w:p>
    <w:p w:rsidR="00B60939" w:rsidRPr="00B616BC" w:rsidRDefault="00B50DB8" w:rsidP="00B83746">
      <w:pPr>
        <w:pStyle w:val="Heading1"/>
        <w:keepNext/>
        <w:keepLines/>
        <w:spacing w:before="240" w:after="120"/>
      </w:pPr>
      <w:bookmarkStart w:id="4" w:name="_Toc511461239"/>
      <w:r w:rsidRPr="00B616BC">
        <w:lastRenderedPageBreak/>
        <w:t>Comparator</w:t>
      </w:r>
      <w:bookmarkEnd w:id="4"/>
    </w:p>
    <w:p w:rsidR="001B768E" w:rsidRPr="00B616BC" w:rsidRDefault="001B768E" w:rsidP="00B83746">
      <w:pPr>
        <w:pStyle w:val="ListParagraph"/>
        <w:keepNext/>
        <w:keepLines/>
        <w:widowControl/>
        <w:numPr>
          <w:ilvl w:val="1"/>
          <w:numId w:val="1"/>
        </w:numPr>
        <w:spacing w:after="120"/>
        <w:rPr>
          <w:rFonts w:cs="Calibri"/>
          <w:snapToGrid/>
          <w:szCs w:val="24"/>
          <w:lang w:eastAsia="en-AU"/>
        </w:rPr>
      </w:pPr>
      <w:r w:rsidRPr="00B616BC">
        <w:t xml:space="preserve">The submission proposed that ferric derisomaltose would have the same place in therapy as ferric carboxymaltose. </w:t>
      </w:r>
      <w:r w:rsidRPr="00B616BC">
        <w:rPr>
          <w:rFonts w:cs="Calibri"/>
          <w:snapToGrid/>
          <w:szCs w:val="24"/>
          <w:lang w:eastAsia="en-AU"/>
        </w:rPr>
        <w:t>The main arguments provided in support of this nomination by the submission were that:</w:t>
      </w:r>
    </w:p>
    <w:p w:rsidR="001B768E" w:rsidRPr="00B616BC" w:rsidRDefault="001B768E" w:rsidP="00B83746">
      <w:pPr>
        <w:pStyle w:val="ListParagraph"/>
        <w:keepNext/>
        <w:keepLines/>
        <w:numPr>
          <w:ilvl w:val="1"/>
          <w:numId w:val="9"/>
        </w:numPr>
        <w:spacing w:after="120"/>
        <w:ind w:left="1077" w:hanging="357"/>
      </w:pPr>
      <w:r w:rsidRPr="00B616BC">
        <w:t>ferric carboxymaltose was a pharmacological analogue of ferric derisomaltose;</w:t>
      </w:r>
    </w:p>
    <w:p w:rsidR="001B768E" w:rsidRPr="00B616BC" w:rsidRDefault="001B768E" w:rsidP="00B83746">
      <w:pPr>
        <w:pStyle w:val="ListParagraph"/>
        <w:keepNext/>
        <w:keepLines/>
        <w:numPr>
          <w:ilvl w:val="1"/>
          <w:numId w:val="9"/>
        </w:numPr>
        <w:spacing w:after="120"/>
        <w:ind w:left="1077" w:hanging="357"/>
      </w:pPr>
      <w:r w:rsidRPr="00B616BC">
        <w:t xml:space="preserve">ferric carboxymaltose was the most widely used </w:t>
      </w:r>
      <w:r w:rsidR="009E1B74" w:rsidRPr="00B616BC">
        <w:t xml:space="preserve">IV </w:t>
      </w:r>
      <w:r w:rsidRPr="00B616BC">
        <w:t>iron, with at least 75% market share; and</w:t>
      </w:r>
    </w:p>
    <w:p w:rsidR="001B768E" w:rsidRPr="00B616BC" w:rsidRDefault="001B768E" w:rsidP="001B768E">
      <w:pPr>
        <w:pStyle w:val="ListParagraph"/>
        <w:keepNext/>
        <w:keepLines/>
        <w:numPr>
          <w:ilvl w:val="1"/>
          <w:numId w:val="9"/>
        </w:numPr>
        <w:spacing w:after="120"/>
        <w:ind w:left="1077" w:hanging="357"/>
      </w:pPr>
      <w:proofErr w:type="gramStart"/>
      <w:r w:rsidRPr="00B616BC">
        <w:t>due</w:t>
      </w:r>
      <w:proofErr w:type="gramEnd"/>
      <w:r w:rsidRPr="00B616BC">
        <w:t xml:space="preserve"> to </w:t>
      </w:r>
      <w:r w:rsidR="00F21EA0" w:rsidRPr="00B616BC">
        <w:t xml:space="preserve">the comparable administration requirements and infusion time of </w:t>
      </w:r>
      <w:r w:rsidRPr="00B616BC">
        <w:t xml:space="preserve">ferric carboxymaltose, </w:t>
      </w:r>
      <w:r w:rsidR="00F21EA0" w:rsidRPr="00B616BC">
        <w:t>it</w:t>
      </w:r>
      <w:r w:rsidRPr="00B616BC">
        <w:t xml:space="preserve"> would be the therapy most likely to be replaced by the PBS listing of ferric derisomaltose. </w:t>
      </w:r>
    </w:p>
    <w:p w:rsidR="001B768E" w:rsidRPr="00B616BC" w:rsidRDefault="001B768E" w:rsidP="007739FB">
      <w:pPr>
        <w:pStyle w:val="ListParagraph"/>
        <w:widowControl/>
        <w:numPr>
          <w:ilvl w:val="1"/>
          <w:numId w:val="1"/>
        </w:numPr>
        <w:spacing w:after="120"/>
      </w:pPr>
      <w:r w:rsidRPr="00B616BC">
        <w:t xml:space="preserve">There </w:t>
      </w:r>
      <w:r w:rsidR="00B52422" w:rsidRPr="00B616BC">
        <w:t xml:space="preserve">are </w:t>
      </w:r>
      <w:r w:rsidRPr="00B616BC">
        <w:t xml:space="preserve">three PBS listed </w:t>
      </w:r>
      <w:r w:rsidR="009E1B74" w:rsidRPr="00B616BC">
        <w:t xml:space="preserve">IV </w:t>
      </w:r>
      <w:r w:rsidRPr="00B616BC">
        <w:t>iron</w:t>
      </w:r>
      <w:r w:rsidR="00B52422" w:rsidRPr="00B616BC">
        <w:t xml:space="preserve"> </w:t>
      </w:r>
      <w:r w:rsidR="00DB4101" w:rsidRPr="00B616BC">
        <w:t>formulations</w:t>
      </w:r>
      <w:r w:rsidRPr="00B616BC">
        <w:t>: iron polymaltose, iron sucrose and ferric carboxymaltose. The submission considered that the infusion time and administration requirements meant that these therapies could not be considered interchangeable. Iron polymaltose is required to be infused over a five hour period and would therefore not be suitable for administration in non-hospital settings</w:t>
      </w:r>
      <w:r w:rsidR="006B172A" w:rsidRPr="00B616BC">
        <w:t xml:space="preserve">. However, patients treated with iron polymaltose may receive up to 2500 mg </w:t>
      </w:r>
      <w:r w:rsidR="0036530F" w:rsidRPr="00B616BC">
        <w:t xml:space="preserve">of iron </w:t>
      </w:r>
      <w:r w:rsidR="006B172A" w:rsidRPr="00B616BC">
        <w:t>in a single infusion</w:t>
      </w:r>
      <w:r w:rsidRPr="00B616BC">
        <w:t xml:space="preserve">. Iron sucrose is administered during dialysis and is TGA restricted to patients undergoing haemodialysis and receiving erythropoietin stimulating agents. In comparison, ferric carboxymaltose is a fast-infusion iron </w:t>
      </w:r>
      <w:r w:rsidR="00B616BC" w:rsidRPr="00B616BC">
        <w:t>formulation that</w:t>
      </w:r>
      <w:r w:rsidRPr="00B616BC">
        <w:t xml:space="preserve"> can be administered in</w:t>
      </w:r>
      <w:r w:rsidR="006B172A" w:rsidRPr="00B616BC">
        <w:t xml:space="preserve"> a</w:t>
      </w:r>
      <w:r w:rsidRPr="00B616BC">
        <w:t xml:space="preserve"> single </w:t>
      </w:r>
      <w:r w:rsidR="006B172A" w:rsidRPr="00B616BC">
        <w:t>infusion</w:t>
      </w:r>
      <w:r w:rsidRPr="00B616BC">
        <w:t xml:space="preserve"> up to 1000 mg in 20 minutes, and would </w:t>
      </w:r>
      <w:r w:rsidR="006B172A" w:rsidRPr="00B616BC">
        <w:t xml:space="preserve">therefore </w:t>
      </w:r>
      <w:r w:rsidRPr="00B616BC">
        <w:t>be suitable for administration in non-hospital settings.</w:t>
      </w:r>
      <w:r w:rsidR="0075231C">
        <w:t xml:space="preserve"> </w:t>
      </w:r>
    </w:p>
    <w:p w:rsidR="00993FDC" w:rsidRPr="00B616BC" w:rsidRDefault="00527975" w:rsidP="007739FB">
      <w:pPr>
        <w:pStyle w:val="ListParagraph"/>
        <w:widowControl/>
        <w:numPr>
          <w:ilvl w:val="1"/>
          <w:numId w:val="1"/>
        </w:numPr>
        <w:spacing w:after="120"/>
      </w:pPr>
      <w:r w:rsidRPr="00B616BC">
        <w:t>The nominated comparator was reasonable</w:t>
      </w:r>
      <w:r w:rsidR="00DD65B0" w:rsidRPr="00B616BC">
        <w:t xml:space="preserve">; however it should be noted </w:t>
      </w:r>
      <w:r w:rsidRPr="00B616BC">
        <w:t xml:space="preserve">that ferric derisomaltose could be used as a substitute to iron polymaltose in patients who require rapid high dosing of iron (up to 1500 mg). </w:t>
      </w:r>
      <w:r w:rsidR="006B172A" w:rsidRPr="00B616BC">
        <w:t xml:space="preserve">Ferric derisomaltose </w:t>
      </w:r>
      <w:r w:rsidRPr="00B616BC">
        <w:t xml:space="preserve">could also be a substitute for iron sucrose in haemodialysis patients, especially as a </w:t>
      </w:r>
      <w:r w:rsidR="001B768E" w:rsidRPr="00B616BC">
        <w:t xml:space="preserve">recent clinical trial </w:t>
      </w:r>
      <w:r w:rsidR="006B172A" w:rsidRPr="00B616BC">
        <w:t xml:space="preserve">has </w:t>
      </w:r>
      <w:r w:rsidR="001B768E" w:rsidRPr="00B616BC">
        <w:t xml:space="preserve">found ferric derisomaltose to have comparable safety and efficacy to iron sucrose in haemodialysis patients. Therefore, iron polymaltose and iron sucrose </w:t>
      </w:r>
      <w:r w:rsidR="00DD65B0" w:rsidRPr="00B616BC">
        <w:t xml:space="preserve">may be </w:t>
      </w:r>
      <w:r w:rsidR="001B768E" w:rsidRPr="00B616BC">
        <w:t xml:space="preserve">appropriate comparators in these </w:t>
      </w:r>
      <w:r w:rsidR="008E7BEE" w:rsidRPr="00B616BC">
        <w:t>patient groups</w:t>
      </w:r>
      <w:r w:rsidR="001B768E" w:rsidRPr="00B616BC">
        <w:t xml:space="preserve">. </w:t>
      </w:r>
      <w:r w:rsidR="00993FDC" w:rsidRPr="00B616BC">
        <w:t xml:space="preserve">In its Pre-Sub-Committee Response </w:t>
      </w:r>
      <w:bookmarkStart w:id="5" w:name="_GoBack"/>
      <w:r w:rsidR="00993FDC" w:rsidRPr="00B616BC">
        <w:t>(P</w:t>
      </w:r>
      <w:bookmarkEnd w:id="5"/>
      <w:r w:rsidR="00993FDC" w:rsidRPr="00B616BC">
        <w:t xml:space="preserve">SCR), the sponsor </w:t>
      </w:r>
      <w:r w:rsidR="00374384" w:rsidRPr="00B616BC">
        <w:t>argued</w:t>
      </w:r>
      <w:r w:rsidR="00993FDC" w:rsidRPr="00B616BC">
        <w:t xml:space="preserve"> that iron sucrose and iron polymaltose should not be considered relevant comparators for ferric derisomaltose due to differences in administration requirements, infusion time, specific dose restrictions and TGA indications. </w:t>
      </w:r>
      <w:r w:rsidR="00DD65B0" w:rsidRPr="00B616BC">
        <w:t xml:space="preserve">The ESC noted the results of a utilisation review of ferric carboxymaltose performed in 2017 by the Drug Utilisation Sub Committee (DUSC) indicating that ferric carboxymaltose holds the majority of the market share with use of iron polymaltose low and negligible use of iron sucrose. </w:t>
      </w:r>
      <w:r w:rsidR="00E841B3" w:rsidRPr="00B616BC">
        <w:t xml:space="preserve">The ESC agreed with the sponsor </w:t>
      </w:r>
      <w:r w:rsidR="00DD65B0" w:rsidRPr="00B616BC">
        <w:t>that</w:t>
      </w:r>
      <w:r w:rsidR="002A1E7B" w:rsidRPr="00B616BC">
        <w:t xml:space="preserve"> iron sucrose was not an appropriate comparator</w:t>
      </w:r>
      <w:r w:rsidR="00DD65B0" w:rsidRPr="00B616BC">
        <w:t xml:space="preserve"> due to differences in </w:t>
      </w:r>
      <w:r w:rsidR="002A1E7B" w:rsidRPr="00B616BC">
        <w:t xml:space="preserve">administration requirements, dosing and TGA </w:t>
      </w:r>
      <w:r w:rsidR="00DD65B0" w:rsidRPr="00B616BC">
        <w:t>indication</w:t>
      </w:r>
      <w:r w:rsidR="002A1E7B" w:rsidRPr="00B616BC">
        <w:t>. The ESC noted that administration requirements mean that unless administered intramuscularly</w:t>
      </w:r>
      <w:r w:rsidR="00567853" w:rsidRPr="00B616BC">
        <w:t xml:space="preserve"> (up to 200 mg)</w:t>
      </w:r>
      <w:r w:rsidR="002A1E7B" w:rsidRPr="00B616BC">
        <w:t xml:space="preserve">, iron polymaltose is not suitable for administration in the non-hospital setting. As </w:t>
      </w:r>
      <w:r w:rsidR="00567853" w:rsidRPr="00B616BC">
        <w:t xml:space="preserve">such, the ESC also agreed with the sponsor that iron polymaltose was not </w:t>
      </w:r>
      <w:r w:rsidR="00567853" w:rsidRPr="00B616BC">
        <w:lastRenderedPageBreak/>
        <w:t xml:space="preserve">an appropriate comparator. </w:t>
      </w:r>
      <w:r w:rsidR="00E841B3" w:rsidRPr="00B616BC">
        <w:t xml:space="preserve">The </w:t>
      </w:r>
      <w:r w:rsidR="00E2485E" w:rsidRPr="00B616BC">
        <w:t xml:space="preserve">PBAC agreed with the </w:t>
      </w:r>
      <w:r w:rsidR="00E841B3" w:rsidRPr="00B616BC">
        <w:t xml:space="preserve">ESC </w:t>
      </w:r>
      <w:r w:rsidR="00E2485E" w:rsidRPr="00B616BC">
        <w:t xml:space="preserve">and </w:t>
      </w:r>
      <w:r w:rsidR="00E31BA1" w:rsidRPr="00B616BC">
        <w:t xml:space="preserve">further </w:t>
      </w:r>
      <w:r w:rsidR="00E841B3" w:rsidRPr="00B616BC">
        <w:t xml:space="preserve">considered that, due to similarities in administration, dosing and TGA indications, ferric derisomaltose would most likely replace ferric carboxymaltose in practice, and therefore ferric carboxymaltose was the appropriate comparator. </w:t>
      </w:r>
    </w:p>
    <w:p w:rsidR="00A2009C" w:rsidRPr="00BE41F8" w:rsidRDefault="00F22E9C" w:rsidP="00F22E9C">
      <w:pPr>
        <w:widowControl/>
        <w:rPr>
          <w:i/>
        </w:rPr>
      </w:pPr>
      <w:r w:rsidRPr="00B616BC">
        <w:rPr>
          <w:i/>
        </w:rPr>
        <w:t>For more detail on PBAC’s vi</w:t>
      </w:r>
      <w:r w:rsidR="00BE41F8">
        <w:rPr>
          <w:i/>
        </w:rPr>
        <w:t>ew, see section 7 PBAC outcome.</w:t>
      </w:r>
    </w:p>
    <w:p w:rsidR="00B60939" w:rsidRPr="00B616BC" w:rsidRDefault="00BD6CF3" w:rsidP="008A225D">
      <w:pPr>
        <w:pStyle w:val="Heading1"/>
        <w:spacing w:before="240" w:after="120"/>
      </w:pPr>
      <w:bookmarkStart w:id="6" w:name="_Toc511461240"/>
      <w:r w:rsidRPr="00B616BC">
        <w:t>C</w:t>
      </w:r>
      <w:r w:rsidR="00B50DB8" w:rsidRPr="00B616BC">
        <w:t>onsideration of the evidence</w:t>
      </w:r>
      <w:bookmarkEnd w:id="6"/>
    </w:p>
    <w:p w:rsidR="00F22E9C" w:rsidRDefault="00F22E9C" w:rsidP="007739FB">
      <w:pPr>
        <w:spacing w:before="240" w:after="120" w:line="276" w:lineRule="auto"/>
        <w:rPr>
          <w:rFonts w:asciiTheme="minorHAnsi" w:hAnsiTheme="minorHAnsi"/>
          <w:b/>
          <w:bCs/>
          <w:i/>
          <w:sz w:val="28"/>
          <w:szCs w:val="28"/>
        </w:rPr>
      </w:pPr>
      <w:bookmarkStart w:id="7" w:name="_Toc511461241"/>
      <w:r w:rsidRPr="00B616BC">
        <w:rPr>
          <w:rFonts w:asciiTheme="minorHAnsi" w:hAnsiTheme="minorHAnsi"/>
          <w:b/>
          <w:bCs/>
          <w:i/>
          <w:sz w:val="28"/>
          <w:szCs w:val="28"/>
        </w:rPr>
        <w:t>Sponsor hearing</w:t>
      </w:r>
    </w:p>
    <w:p w:rsidR="00F22E9C" w:rsidRPr="00B616BC" w:rsidRDefault="00F22E9C" w:rsidP="007739FB">
      <w:pPr>
        <w:numPr>
          <w:ilvl w:val="1"/>
          <w:numId w:val="1"/>
        </w:numPr>
        <w:spacing w:after="120"/>
        <w:rPr>
          <w:rFonts w:asciiTheme="minorHAnsi" w:hAnsiTheme="minorHAnsi"/>
          <w:bCs/>
        </w:rPr>
      </w:pPr>
      <w:r w:rsidRPr="00B616BC">
        <w:rPr>
          <w:rFonts w:asciiTheme="minorHAnsi" w:hAnsiTheme="minorHAnsi"/>
          <w:bCs/>
        </w:rPr>
        <w:t>There was no hearing for this item.</w:t>
      </w:r>
    </w:p>
    <w:p w:rsidR="009C5CDA" w:rsidRPr="009C5CDA" w:rsidRDefault="009C5CDA" w:rsidP="007739FB">
      <w:pPr>
        <w:spacing w:before="240" w:after="120" w:line="276" w:lineRule="auto"/>
        <w:rPr>
          <w:rFonts w:asciiTheme="minorHAnsi" w:hAnsiTheme="minorHAnsi"/>
          <w:b/>
          <w:bCs/>
          <w:i/>
          <w:sz w:val="28"/>
          <w:szCs w:val="28"/>
        </w:rPr>
      </w:pPr>
      <w:r>
        <w:rPr>
          <w:rFonts w:asciiTheme="minorHAnsi" w:hAnsiTheme="minorHAnsi"/>
          <w:b/>
          <w:bCs/>
          <w:i/>
          <w:sz w:val="28"/>
          <w:szCs w:val="28"/>
        </w:rPr>
        <w:t>Consumer comments</w:t>
      </w:r>
    </w:p>
    <w:p w:rsidR="00F22E9C" w:rsidRPr="00B616BC" w:rsidRDefault="00F22E9C" w:rsidP="007739FB">
      <w:pPr>
        <w:numPr>
          <w:ilvl w:val="1"/>
          <w:numId w:val="1"/>
        </w:numPr>
        <w:spacing w:after="120"/>
        <w:rPr>
          <w:rFonts w:asciiTheme="minorHAnsi" w:hAnsiTheme="minorHAnsi"/>
          <w:bCs/>
        </w:rPr>
      </w:pPr>
      <w:r w:rsidRPr="00B616BC">
        <w:rPr>
          <w:rFonts w:asciiTheme="minorHAnsi" w:hAnsiTheme="minorHAnsi"/>
          <w:bCs/>
        </w:rPr>
        <w:t>The PBAC noted that no consumer comments were received for this i</w:t>
      </w:r>
      <w:r w:rsidR="002112B4" w:rsidRPr="00B616BC">
        <w:rPr>
          <w:rFonts w:asciiTheme="minorHAnsi" w:hAnsiTheme="minorHAnsi"/>
          <w:bCs/>
        </w:rPr>
        <w:t>tem</w:t>
      </w:r>
      <w:r w:rsidRPr="00B616BC">
        <w:rPr>
          <w:rFonts w:asciiTheme="minorHAnsi" w:hAnsiTheme="minorHAnsi"/>
          <w:bCs/>
        </w:rPr>
        <w:t>.</w:t>
      </w:r>
    </w:p>
    <w:p w:rsidR="001B768E" w:rsidRPr="00BE41F8" w:rsidRDefault="00B60939" w:rsidP="00BE41F8">
      <w:pPr>
        <w:pStyle w:val="Heading2"/>
        <w:spacing w:before="240" w:after="120"/>
        <w:rPr>
          <w:i w:val="0"/>
        </w:rPr>
      </w:pPr>
      <w:r w:rsidRPr="00B616BC">
        <w:rPr>
          <w:i w:val="0"/>
        </w:rPr>
        <w:t>Clinical trials</w:t>
      </w:r>
      <w:bookmarkEnd w:id="7"/>
    </w:p>
    <w:p w:rsidR="003E523F" w:rsidRPr="00B616BC" w:rsidRDefault="001B768E" w:rsidP="007739FB">
      <w:pPr>
        <w:pStyle w:val="ListParagraph"/>
        <w:widowControl/>
        <w:numPr>
          <w:ilvl w:val="1"/>
          <w:numId w:val="1"/>
        </w:numPr>
        <w:spacing w:after="120"/>
      </w:pPr>
      <w:r w:rsidRPr="00B616BC">
        <w:rPr>
          <w:rFonts w:cs="Calibri"/>
          <w:snapToGrid/>
          <w:szCs w:val="24"/>
          <w:lang w:eastAsia="en-AU"/>
        </w:rPr>
        <w:t>The submission was based on an indirect comparison</w:t>
      </w:r>
      <w:r w:rsidR="00F21EA0" w:rsidRPr="00B616BC">
        <w:rPr>
          <w:rFonts w:cs="Calibri"/>
          <w:snapToGrid/>
          <w:szCs w:val="24"/>
          <w:lang w:eastAsia="en-AU"/>
        </w:rPr>
        <w:t xml:space="preserve"> and included</w:t>
      </w:r>
      <w:r w:rsidRPr="00B616BC">
        <w:rPr>
          <w:rFonts w:cs="Calibri"/>
          <w:snapToGrid/>
          <w:szCs w:val="24"/>
          <w:lang w:eastAsia="en-AU"/>
        </w:rPr>
        <w:t xml:space="preserve"> four randomi</w:t>
      </w:r>
      <w:r w:rsidR="00F21EA0" w:rsidRPr="00B616BC">
        <w:rPr>
          <w:rFonts w:cs="Calibri"/>
          <w:snapToGrid/>
          <w:szCs w:val="24"/>
          <w:lang w:eastAsia="en-AU"/>
        </w:rPr>
        <w:t>s</w:t>
      </w:r>
      <w:r w:rsidRPr="00B616BC">
        <w:rPr>
          <w:rFonts w:cs="Calibri"/>
          <w:snapToGrid/>
          <w:szCs w:val="24"/>
          <w:lang w:eastAsia="en-AU"/>
        </w:rPr>
        <w:t>ed control</w:t>
      </w:r>
      <w:r w:rsidR="00F21EA0" w:rsidRPr="00B616BC">
        <w:rPr>
          <w:rFonts w:cs="Calibri"/>
          <w:snapToGrid/>
          <w:szCs w:val="24"/>
          <w:lang w:eastAsia="en-AU"/>
        </w:rPr>
        <w:t>led</w:t>
      </w:r>
      <w:r w:rsidRPr="00B616BC">
        <w:rPr>
          <w:rFonts w:cs="Calibri"/>
          <w:snapToGrid/>
          <w:szCs w:val="24"/>
          <w:lang w:eastAsia="en-AU"/>
        </w:rPr>
        <w:t xml:space="preserve"> trials</w:t>
      </w:r>
      <w:r w:rsidR="007E387C" w:rsidRPr="00B616BC">
        <w:rPr>
          <w:rFonts w:cs="Calibri"/>
          <w:snapToGrid/>
          <w:szCs w:val="24"/>
          <w:lang w:eastAsia="en-AU"/>
        </w:rPr>
        <w:t xml:space="preserve"> (RCT)</w:t>
      </w:r>
      <w:r w:rsidR="00F21EA0" w:rsidRPr="00B616BC">
        <w:rPr>
          <w:rFonts w:cs="Calibri"/>
          <w:snapToGrid/>
          <w:szCs w:val="24"/>
          <w:lang w:eastAsia="en-AU"/>
        </w:rPr>
        <w:t>. F</w:t>
      </w:r>
      <w:r w:rsidRPr="00B616BC">
        <w:rPr>
          <w:rFonts w:cs="Calibri"/>
          <w:snapToGrid/>
          <w:szCs w:val="24"/>
          <w:lang w:eastAsia="en-AU"/>
        </w:rPr>
        <w:t>erric derisomaltose (</w:t>
      </w:r>
      <w:r w:rsidR="00016344" w:rsidRPr="00B616BC">
        <w:rPr>
          <w:rFonts w:cs="Calibri"/>
          <w:snapToGrid/>
          <w:szCs w:val="24"/>
          <w:lang w:eastAsia="en-AU"/>
        </w:rPr>
        <w:t>PROVIDE</w:t>
      </w:r>
      <w:r w:rsidRPr="00B616BC">
        <w:rPr>
          <w:rFonts w:cs="Calibri"/>
          <w:snapToGrid/>
          <w:szCs w:val="24"/>
          <w:lang w:eastAsia="en-AU"/>
        </w:rPr>
        <w:t xml:space="preserve">) </w:t>
      </w:r>
      <w:r w:rsidR="00F21EA0" w:rsidRPr="00B616BC">
        <w:rPr>
          <w:rFonts w:cs="Calibri"/>
          <w:snapToGrid/>
          <w:szCs w:val="24"/>
          <w:lang w:eastAsia="en-AU"/>
        </w:rPr>
        <w:t xml:space="preserve">was </w:t>
      </w:r>
      <w:r w:rsidRPr="00B616BC">
        <w:rPr>
          <w:rFonts w:cs="Calibri"/>
          <w:snapToGrid/>
          <w:szCs w:val="24"/>
          <w:lang w:eastAsia="en-AU"/>
        </w:rPr>
        <w:t>compared with ferric carboxymaltose (</w:t>
      </w:r>
      <w:r w:rsidR="00016344" w:rsidRPr="00B616BC">
        <w:rPr>
          <w:rFonts w:cs="Calibri"/>
          <w:snapToGrid/>
          <w:szCs w:val="24"/>
          <w:lang w:eastAsia="en-AU"/>
        </w:rPr>
        <w:t>FERGICor, Mahey 2016 and REPAIR-IDA</w:t>
      </w:r>
      <w:r w:rsidRPr="00B616BC">
        <w:rPr>
          <w:rFonts w:cs="Calibri"/>
          <w:snapToGrid/>
          <w:szCs w:val="24"/>
          <w:lang w:eastAsia="en-AU"/>
        </w:rPr>
        <w:t>)</w:t>
      </w:r>
      <w:r w:rsidR="007E387C" w:rsidRPr="00B616BC">
        <w:rPr>
          <w:rFonts w:cs="Calibri"/>
          <w:snapToGrid/>
          <w:szCs w:val="24"/>
          <w:lang w:eastAsia="en-AU"/>
        </w:rPr>
        <w:t xml:space="preserve"> via the common comparator, </w:t>
      </w:r>
      <w:r w:rsidRPr="00B616BC">
        <w:rPr>
          <w:rFonts w:cs="Calibri"/>
          <w:snapToGrid/>
          <w:szCs w:val="24"/>
          <w:lang w:eastAsia="en-AU"/>
        </w:rPr>
        <w:t xml:space="preserve">iron sucrose. </w:t>
      </w:r>
    </w:p>
    <w:p w:rsidR="00CE2408" w:rsidRPr="00B616BC" w:rsidRDefault="00CE2408" w:rsidP="007739FB">
      <w:pPr>
        <w:pStyle w:val="ListParagraph"/>
        <w:widowControl/>
        <w:numPr>
          <w:ilvl w:val="1"/>
          <w:numId w:val="1"/>
        </w:numPr>
        <w:spacing w:after="120"/>
        <w:rPr>
          <w:rFonts w:cs="Calibri"/>
          <w:snapToGrid/>
          <w:szCs w:val="24"/>
          <w:lang w:eastAsia="en-AU"/>
        </w:rPr>
      </w:pPr>
      <w:r w:rsidRPr="00B616BC">
        <w:rPr>
          <w:rFonts w:cs="Calibri"/>
          <w:snapToGrid/>
          <w:szCs w:val="24"/>
          <w:lang w:eastAsia="en-AU"/>
        </w:rPr>
        <w:t>During the evaluation, it was considered that iron sucrose was an appropriate comparator for ferric derisomaltose in h</w:t>
      </w:r>
      <w:r w:rsidR="00A1177E">
        <w:rPr>
          <w:rFonts w:cs="Calibri"/>
          <w:snapToGrid/>
          <w:szCs w:val="24"/>
          <w:lang w:eastAsia="en-AU"/>
        </w:rPr>
        <w:t>a</w:t>
      </w:r>
      <w:r w:rsidRPr="00B616BC">
        <w:rPr>
          <w:rFonts w:cs="Calibri"/>
          <w:snapToGrid/>
          <w:szCs w:val="24"/>
          <w:lang w:eastAsia="en-AU"/>
        </w:rPr>
        <w:t xml:space="preserve">emodialysis patients. The evaluation identified one RCT, which was excluded by the submission, which compared ferric derisomaltose to iron sucrose in patients undergoing haemodialysis (P-Monofer-CKD-03). However, the PBAC </w:t>
      </w:r>
      <w:r w:rsidR="00E31BA1" w:rsidRPr="00B616BC">
        <w:rPr>
          <w:rFonts w:cs="Calibri"/>
          <w:snapToGrid/>
          <w:szCs w:val="24"/>
          <w:lang w:eastAsia="en-AU"/>
        </w:rPr>
        <w:t>considered</w:t>
      </w:r>
      <w:r w:rsidRPr="00B616BC">
        <w:rPr>
          <w:rFonts w:cs="Calibri"/>
          <w:snapToGrid/>
          <w:szCs w:val="24"/>
          <w:lang w:eastAsia="en-AU"/>
        </w:rPr>
        <w:t xml:space="preserve"> that ferric carboxymaltose was the only appropriate comparator (see paragraph 5.3).</w:t>
      </w:r>
    </w:p>
    <w:p w:rsidR="001B768E" w:rsidRPr="00B616BC" w:rsidRDefault="001B768E" w:rsidP="007739FB">
      <w:pPr>
        <w:pStyle w:val="ListParagraph"/>
        <w:widowControl/>
        <w:numPr>
          <w:ilvl w:val="1"/>
          <w:numId w:val="1"/>
        </w:numPr>
        <w:spacing w:after="120"/>
      </w:pPr>
      <w:r w:rsidRPr="00B616BC">
        <w:rPr>
          <w:rFonts w:cs="Calibri"/>
          <w:snapToGrid/>
          <w:szCs w:val="24"/>
          <w:lang w:eastAsia="en-AU"/>
        </w:rPr>
        <w:t xml:space="preserve">Details of the trials presented in the submission </w:t>
      </w:r>
      <w:r w:rsidR="00161E65" w:rsidRPr="00B616BC">
        <w:rPr>
          <w:rFonts w:cs="Calibri"/>
          <w:snapToGrid/>
          <w:szCs w:val="24"/>
          <w:lang w:eastAsia="en-AU"/>
        </w:rPr>
        <w:t xml:space="preserve">and by the evaluation </w:t>
      </w:r>
      <w:r w:rsidRPr="00B616BC">
        <w:rPr>
          <w:rFonts w:cs="Calibri"/>
          <w:snapToGrid/>
          <w:szCs w:val="24"/>
          <w:lang w:eastAsia="en-AU"/>
        </w:rPr>
        <w:t xml:space="preserve">are provided in the table below. </w:t>
      </w:r>
    </w:p>
    <w:p w:rsidR="0036530F" w:rsidRPr="00B616BC" w:rsidRDefault="0036530F" w:rsidP="0036530F">
      <w:pPr>
        <w:pStyle w:val="TableHeading0"/>
        <w:spacing w:after="0"/>
        <w:rPr>
          <w:rStyle w:val="CommentReference"/>
          <w:b/>
          <w:szCs w:val="22"/>
        </w:rPr>
      </w:pPr>
      <w:r w:rsidRPr="00B616BC">
        <w:rPr>
          <w:rStyle w:val="CommentReference"/>
          <w:b/>
          <w:szCs w:val="22"/>
        </w:rPr>
        <w:lastRenderedPageBreak/>
        <w:t xml:space="preserve">Table 2: </w:t>
      </w:r>
      <w:r w:rsidRPr="00B616BC">
        <w:rPr>
          <w:rStyle w:val="CommentReference"/>
          <w:b/>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93"/>
        <w:gridCol w:w="5324"/>
        <w:gridCol w:w="1966"/>
      </w:tblGrid>
      <w:tr w:rsidR="001B768E" w:rsidRPr="00B616BC" w:rsidTr="00CE2408">
        <w:trPr>
          <w:tblHeader/>
        </w:trPr>
        <w:tc>
          <w:tcPr>
            <w:tcW w:w="987" w:type="pct"/>
            <w:tcBorders>
              <w:top w:val="single" w:sz="4" w:space="0" w:color="auto"/>
              <w:left w:val="single" w:sz="4" w:space="0" w:color="auto"/>
              <w:bottom w:val="single" w:sz="4" w:space="0" w:color="auto"/>
              <w:right w:val="single" w:sz="4" w:space="0" w:color="auto"/>
            </w:tcBorders>
            <w:vAlign w:val="center"/>
          </w:tcPr>
          <w:p w:rsidR="001B768E" w:rsidRPr="00B616BC" w:rsidRDefault="001B768E" w:rsidP="001B768E">
            <w:pPr>
              <w:pStyle w:val="Tabletext"/>
              <w:keepNext/>
              <w:keepLines/>
              <w:rPr>
                <w:b/>
              </w:rPr>
            </w:pPr>
            <w:r w:rsidRPr="00B616BC">
              <w:rPr>
                <w:b/>
              </w:rPr>
              <w:t>Trial ID</w:t>
            </w:r>
          </w:p>
        </w:tc>
        <w:tc>
          <w:tcPr>
            <w:tcW w:w="2931" w:type="pct"/>
            <w:tcBorders>
              <w:top w:val="single" w:sz="4" w:space="0" w:color="auto"/>
              <w:left w:val="single" w:sz="4" w:space="0" w:color="auto"/>
              <w:bottom w:val="single" w:sz="4" w:space="0" w:color="auto"/>
              <w:right w:val="single" w:sz="4" w:space="0" w:color="auto"/>
            </w:tcBorders>
            <w:vAlign w:val="center"/>
          </w:tcPr>
          <w:p w:rsidR="001B768E" w:rsidRPr="00B616BC" w:rsidRDefault="001B768E" w:rsidP="001B768E">
            <w:pPr>
              <w:pStyle w:val="Tabletext"/>
              <w:keepNext/>
              <w:keepLines/>
              <w:jc w:val="center"/>
              <w:rPr>
                <w:b/>
              </w:rPr>
            </w:pPr>
            <w:r w:rsidRPr="00B616BC">
              <w:rPr>
                <w:b/>
              </w:rPr>
              <w:t>Protocol title/ Publication title</w:t>
            </w:r>
          </w:p>
        </w:tc>
        <w:tc>
          <w:tcPr>
            <w:tcW w:w="1082" w:type="pct"/>
            <w:tcBorders>
              <w:top w:val="single" w:sz="4" w:space="0" w:color="auto"/>
              <w:left w:val="single" w:sz="4" w:space="0" w:color="auto"/>
              <w:bottom w:val="single" w:sz="4" w:space="0" w:color="auto"/>
              <w:right w:val="single" w:sz="4" w:space="0" w:color="auto"/>
            </w:tcBorders>
            <w:vAlign w:val="center"/>
          </w:tcPr>
          <w:p w:rsidR="001B768E" w:rsidRPr="00B616BC" w:rsidRDefault="001B768E" w:rsidP="001B768E">
            <w:pPr>
              <w:pStyle w:val="Tabletext"/>
              <w:keepNext/>
              <w:keepLines/>
              <w:jc w:val="center"/>
              <w:rPr>
                <w:b/>
              </w:rPr>
            </w:pPr>
            <w:r w:rsidRPr="00B616BC">
              <w:rPr>
                <w:b/>
              </w:rPr>
              <w:t>Publication citation</w:t>
            </w:r>
          </w:p>
        </w:tc>
      </w:tr>
      <w:tr w:rsidR="001B768E" w:rsidRPr="00B616BC" w:rsidTr="00CE2408">
        <w:trPr>
          <w:tblHeader/>
        </w:trPr>
        <w:tc>
          <w:tcPr>
            <w:tcW w:w="5000" w:type="pct"/>
            <w:gridSpan w:val="3"/>
            <w:vAlign w:val="center"/>
          </w:tcPr>
          <w:p w:rsidR="001B768E" w:rsidRPr="00B616BC" w:rsidRDefault="001B768E" w:rsidP="001B768E">
            <w:pPr>
              <w:pStyle w:val="Tabletext"/>
              <w:keepNext/>
              <w:keepLines/>
              <w:rPr>
                <w:b/>
              </w:rPr>
            </w:pPr>
            <w:r w:rsidRPr="00B616BC">
              <w:rPr>
                <w:b/>
              </w:rPr>
              <w:t>Ferric derisomaltose</w:t>
            </w:r>
          </w:p>
        </w:tc>
      </w:tr>
      <w:tr w:rsidR="001B768E" w:rsidRPr="00B616BC" w:rsidTr="00CE2408">
        <w:tc>
          <w:tcPr>
            <w:tcW w:w="987" w:type="pct"/>
            <w:vMerge w:val="restart"/>
          </w:tcPr>
          <w:p w:rsidR="001B768E" w:rsidRPr="00B616BC" w:rsidRDefault="001B768E" w:rsidP="00867B68">
            <w:pPr>
              <w:pStyle w:val="Tabletext"/>
              <w:keepNext/>
              <w:keepLines/>
            </w:pPr>
            <w:r w:rsidRPr="00B616BC">
              <w:t>PROVIDE</w:t>
            </w:r>
          </w:p>
          <w:p w:rsidR="001B768E" w:rsidRPr="00B616BC" w:rsidRDefault="001B768E" w:rsidP="00867B68">
            <w:pPr>
              <w:pStyle w:val="Tabletext"/>
              <w:keepNext/>
              <w:keepLines/>
              <w:rPr>
                <w:rFonts w:ascii="Times" w:hAnsi="Times"/>
              </w:rPr>
            </w:pPr>
            <w:r w:rsidRPr="00B616BC">
              <w:t>(NCT02130063)</w:t>
            </w:r>
          </w:p>
        </w:tc>
        <w:tc>
          <w:tcPr>
            <w:tcW w:w="2931" w:type="pct"/>
            <w:tcBorders>
              <w:bottom w:val="nil"/>
            </w:tcBorders>
          </w:tcPr>
          <w:p w:rsidR="001B768E" w:rsidRPr="00B616BC" w:rsidRDefault="001B768E" w:rsidP="00867B68">
            <w:pPr>
              <w:pStyle w:val="Tabletext"/>
              <w:keepNext/>
              <w:keepLines/>
            </w:pPr>
            <w:r w:rsidRPr="00B616BC">
              <w:t>A Phase III, Randomised, Open-Label, Comparative Study of Intravenous Iron Isomaltoside 1000 (Monofer®) and Iron Sucrose in Subjects with Iron Deficiency Anaemia and who are Intolerant or Unresponsive to Oral Iron Therapy or who need Iron rapidly</w:t>
            </w:r>
            <w:r w:rsidR="007B5E3E" w:rsidRPr="00B616BC">
              <w:t>. Clinical Study Report.</w:t>
            </w:r>
          </w:p>
        </w:tc>
        <w:tc>
          <w:tcPr>
            <w:tcW w:w="1082" w:type="pct"/>
            <w:tcBorders>
              <w:bottom w:val="nil"/>
            </w:tcBorders>
          </w:tcPr>
          <w:p w:rsidR="001B768E" w:rsidRPr="00B616BC" w:rsidRDefault="001B768E" w:rsidP="00867B68">
            <w:pPr>
              <w:pStyle w:val="Tabletext"/>
              <w:keepNext/>
              <w:keepLines/>
              <w:rPr>
                <w:rFonts w:ascii="Times" w:hAnsi="Times"/>
              </w:rPr>
            </w:pPr>
            <w:r w:rsidRPr="00B616BC">
              <w:t>February 2016</w:t>
            </w:r>
          </w:p>
        </w:tc>
      </w:tr>
      <w:tr w:rsidR="001B768E" w:rsidRPr="00B616BC" w:rsidTr="00CE2408">
        <w:tc>
          <w:tcPr>
            <w:tcW w:w="987" w:type="pct"/>
            <w:vMerge/>
            <w:tcBorders>
              <w:bottom w:val="single" w:sz="4" w:space="0" w:color="auto"/>
            </w:tcBorders>
          </w:tcPr>
          <w:p w:rsidR="001B768E" w:rsidRPr="00B616BC" w:rsidRDefault="001B768E" w:rsidP="00867B68">
            <w:pPr>
              <w:pStyle w:val="Tabletext"/>
              <w:keepNext/>
              <w:keepLines/>
            </w:pPr>
          </w:p>
        </w:tc>
        <w:tc>
          <w:tcPr>
            <w:tcW w:w="2931" w:type="pct"/>
            <w:tcBorders>
              <w:top w:val="nil"/>
              <w:bottom w:val="single" w:sz="4" w:space="0" w:color="auto"/>
            </w:tcBorders>
          </w:tcPr>
          <w:p w:rsidR="001B768E" w:rsidRPr="00B616BC" w:rsidRDefault="001B768E" w:rsidP="00867B68">
            <w:pPr>
              <w:pStyle w:val="Tabletext"/>
              <w:keepNext/>
              <w:keepLines/>
              <w:rPr>
                <w:szCs w:val="18"/>
                <w:lang w:eastAsia="en-AU"/>
              </w:rPr>
            </w:pPr>
            <w:r w:rsidRPr="00B616BC">
              <w:t>Derman R, Roman E, Modiano MR et al. A randomized trial of iron isomaltoside versus iron sucrose in patients with iron deficiency anaemia.</w:t>
            </w:r>
          </w:p>
        </w:tc>
        <w:tc>
          <w:tcPr>
            <w:tcW w:w="1082" w:type="pct"/>
            <w:tcBorders>
              <w:top w:val="nil"/>
              <w:bottom w:val="single" w:sz="4" w:space="0" w:color="auto"/>
            </w:tcBorders>
          </w:tcPr>
          <w:p w:rsidR="001B768E" w:rsidRPr="00B616BC" w:rsidRDefault="001B768E" w:rsidP="00867B68">
            <w:pPr>
              <w:pStyle w:val="Tabletext"/>
              <w:keepNext/>
              <w:keepLines/>
            </w:pPr>
            <w:r w:rsidRPr="00B616BC">
              <w:t>American Journal of Hematology 2017;</w:t>
            </w:r>
          </w:p>
          <w:p w:rsidR="001B768E" w:rsidRPr="00B616BC" w:rsidRDefault="001B768E" w:rsidP="00867B68">
            <w:pPr>
              <w:pStyle w:val="Tabletext"/>
              <w:keepNext/>
              <w:keepLines/>
              <w:rPr>
                <w:szCs w:val="18"/>
                <w:lang w:eastAsia="en-AU"/>
              </w:rPr>
            </w:pPr>
            <w:r w:rsidRPr="00B616BC">
              <w:t>92(3):286-291</w:t>
            </w:r>
          </w:p>
        </w:tc>
      </w:tr>
      <w:tr w:rsidR="00161E65" w:rsidRPr="00B616BC" w:rsidTr="00161E65">
        <w:tc>
          <w:tcPr>
            <w:tcW w:w="987" w:type="pct"/>
            <w:tcBorders>
              <w:top w:val="single" w:sz="4" w:space="0" w:color="auto"/>
              <w:left w:val="single" w:sz="4" w:space="0" w:color="auto"/>
              <w:bottom w:val="single" w:sz="4" w:space="0" w:color="auto"/>
            </w:tcBorders>
          </w:tcPr>
          <w:p w:rsidR="00161E65" w:rsidRPr="00B616BC" w:rsidRDefault="00161E65" w:rsidP="00161E65">
            <w:pPr>
              <w:pStyle w:val="Tabletext"/>
              <w:keepNext/>
              <w:keepLines/>
            </w:pPr>
            <w:r w:rsidRPr="00B616BC">
              <w:t>P-Monofer-CKD-03 (NCT01222884)</w:t>
            </w:r>
          </w:p>
        </w:tc>
        <w:tc>
          <w:tcPr>
            <w:tcW w:w="2931" w:type="pct"/>
            <w:tcBorders>
              <w:top w:val="single" w:sz="4" w:space="0" w:color="auto"/>
              <w:bottom w:val="single" w:sz="4" w:space="0" w:color="auto"/>
            </w:tcBorders>
          </w:tcPr>
          <w:p w:rsidR="00161E65" w:rsidRPr="00B616BC" w:rsidRDefault="00161E65" w:rsidP="00161E65">
            <w:pPr>
              <w:pStyle w:val="Tabletext"/>
              <w:keepNext/>
              <w:keepLines/>
            </w:pPr>
            <w:r w:rsidRPr="00B616BC">
              <w:t xml:space="preserve">Bhandari S, Kalra P, Kothari J et al. </w:t>
            </w:r>
            <w:r w:rsidRPr="00B616BC">
              <w:rPr>
                <w:lang w:eastAsia="en-AU"/>
              </w:rPr>
              <w:t>A randomized, open-label trial of iron isomaltoside1000 (Monofer®) compared with iron sucrose (Venofer®) as maintenance therapy in haemodialysis patients.</w:t>
            </w:r>
          </w:p>
        </w:tc>
        <w:tc>
          <w:tcPr>
            <w:tcW w:w="1082" w:type="pct"/>
            <w:tcBorders>
              <w:top w:val="single" w:sz="4" w:space="0" w:color="auto"/>
              <w:bottom w:val="single" w:sz="4" w:space="0" w:color="auto"/>
              <w:right w:val="single" w:sz="4" w:space="0" w:color="auto"/>
            </w:tcBorders>
          </w:tcPr>
          <w:p w:rsidR="00161E65" w:rsidRPr="00B616BC" w:rsidRDefault="00161E65" w:rsidP="00161E65">
            <w:pPr>
              <w:pStyle w:val="Tabletext"/>
              <w:keepNext/>
              <w:keepLines/>
            </w:pPr>
            <w:r w:rsidRPr="00B616BC">
              <w:t>Nephrol Dial Transplant 2015;</w:t>
            </w:r>
          </w:p>
          <w:p w:rsidR="00161E65" w:rsidRPr="00B616BC" w:rsidRDefault="00161E65" w:rsidP="00161E65">
            <w:pPr>
              <w:pStyle w:val="Tabletext"/>
              <w:keepNext/>
              <w:keepLines/>
            </w:pPr>
            <w:r w:rsidRPr="00B616BC">
              <w:t>30:1577-1589</w:t>
            </w:r>
          </w:p>
        </w:tc>
      </w:tr>
      <w:tr w:rsidR="001B768E" w:rsidRPr="00B616BC" w:rsidTr="00CE2408">
        <w:tc>
          <w:tcPr>
            <w:tcW w:w="5000" w:type="pct"/>
            <w:gridSpan w:val="3"/>
            <w:tcBorders>
              <w:top w:val="single" w:sz="4" w:space="0" w:color="auto"/>
              <w:bottom w:val="single" w:sz="4" w:space="0" w:color="auto"/>
            </w:tcBorders>
          </w:tcPr>
          <w:p w:rsidR="001B768E" w:rsidRPr="00B616BC" w:rsidRDefault="001B768E" w:rsidP="00867B68">
            <w:pPr>
              <w:pStyle w:val="Tabletext"/>
              <w:keepNext/>
              <w:keepLines/>
            </w:pPr>
            <w:r w:rsidRPr="00B616BC">
              <w:rPr>
                <w:b/>
              </w:rPr>
              <w:t xml:space="preserve">Ferric carboxymaltose </w:t>
            </w:r>
          </w:p>
        </w:tc>
      </w:tr>
      <w:tr w:rsidR="001B768E" w:rsidRPr="00B616BC" w:rsidTr="00CE2408">
        <w:tc>
          <w:tcPr>
            <w:tcW w:w="987" w:type="pct"/>
            <w:tcBorders>
              <w:top w:val="single" w:sz="4" w:space="0" w:color="auto"/>
              <w:bottom w:val="single" w:sz="4" w:space="0" w:color="auto"/>
            </w:tcBorders>
          </w:tcPr>
          <w:p w:rsidR="001B768E" w:rsidRPr="00B616BC" w:rsidRDefault="001B768E" w:rsidP="00867B68">
            <w:pPr>
              <w:pStyle w:val="Tabletext"/>
              <w:keepNext/>
              <w:keepLines/>
            </w:pPr>
            <w:r w:rsidRPr="00B616BC">
              <w:t>FERGICor</w:t>
            </w:r>
          </w:p>
          <w:p w:rsidR="001B768E" w:rsidRPr="00B616BC" w:rsidRDefault="001B768E" w:rsidP="00867B68">
            <w:pPr>
              <w:pStyle w:val="Tabletext"/>
              <w:keepNext/>
              <w:keepLines/>
            </w:pPr>
            <w:r w:rsidRPr="00B616BC">
              <w:t>(NCT00810030)</w:t>
            </w:r>
          </w:p>
        </w:tc>
        <w:tc>
          <w:tcPr>
            <w:tcW w:w="2931" w:type="pct"/>
            <w:tcBorders>
              <w:top w:val="single" w:sz="4" w:space="0" w:color="auto"/>
              <w:bottom w:val="single" w:sz="4" w:space="0" w:color="auto"/>
            </w:tcBorders>
          </w:tcPr>
          <w:p w:rsidR="001B768E" w:rsidRPr="00B616BC" w:rsidRDefault="001B768E" w:rsidP="00867B68">
            <w:pPr>
              <w:pStyle w:val="Tabletext"/>
              <w:keepNext/>
              <w:keepLines/>
              <w:rPr>
                <w:szCs w:val="18"/>
              </w:rPr>
            </w:pPr>
            <w:r w:rsidRPr="00B616BC">
              <w:t>Evstatiev R, Marteau P, Iqbal T, et al. FERGICor, a randomized controlled trial on ferric carboxymaltose for iron deficiency anaemia in inflammatory bowel disease.</w:t>
            </w:r>
          </w:p>
        </w:tc>
        <w:tc>
          <w:tcPr>
            <w:tcW w:w="1082" w:type="pct"/>
            <w:tcBorders>
              <w:top w:val="single" w:sz="4" w:space="0" w:color="auto"/>
              <w:bottom w:val="single" w:sz="4" w:space="0" w:color="auto"/>
            </w:tcBorders>
          </w:tcPr>
          <w:p w:rsidR="00867B68" w:rsidRPr="00B616BC" w:rsidRDefault="001B768E" w:rsidP="00867B68">
            <w:pPr>
              <w:pStyle w:val="Tabletext"/>
              <w:keepNext/>
              <w:keepLines/>
            </w:pPr>
            <w:r w:rsidRPr="00B616BC">
              <w:t>American Journal of Obstetrics and Gynecology 2008</w:t>
            </w:r>
            <w:r w:rsidR="00867B68" w:rsidRPr="00B616BC">
              <w:t>;</w:t>
            </w:r>
          </w:p>
          <w:p w:rsidR="001B768E" w:rsidRPr="00B616BC" w:rsidRDefault="00082584" w:rsidP="00867B68">
            <w:pPr>
              <w:pStyle w:val="Tabletext"/>
              <w:keepNext/>
              <w:keepLines/>
            </w:pPr>
            <w:r w:rsidRPr="00B616BC">
              <w:rPr>
                <w:iCs/>
              </w:rPr>
              <w:t>141</w:t>
            </w:r>
            <w:r w:rsidRPr="00B616BC">
              <w:t>(3):846-853</w:t>
            </w:r>
          </w:p>
        </w:tc>
      </w:tr>
      <w:tr w:rsidR="001B768E" w:rsidRPr="00B616BC" w:rsidTr="00CE2408">
        <w:tc>
          <w:tcPr>
            <w:tcW w:w="987" w:type="pct"/>
            <w:tcBorders>
              <w:top w:val="single" w:sz="4" w:space="0" w:color="auto"/>
              <w:bottom w:val="single" w:sz="4" w:space="0" w:color="auto"/>
            </w:tcBorders>
          </w:tcPr>
          <w:p w:rsidR="001B768E" w:rsidRPr="00B616BC" w:rsidRDefault="001B768E" w:rsidP="00867B68">
            <w:pPr>
              <w:pStyle w:val="Tabletext"/>
              <w:keepNext/>
              <w:keepLines/>
            </w:pPr>
            <w:r w:rsidRPr="00B616BC">
              <w:t>REPAIR-IDA</w:t>
            </w:r>
          </w:p>
          <w:p w:rsidR="001B768E" w:rsidRPr="00B616BC" w:rsidRDefault="001B768E" w:rsidP="00867B68">
            <w:pPr>
              <w:pStyle w:val="Tabletext"/>
              <w:keepNext/>
              <w:keepLines/>
            </w:pPr>
            <w:r w:rsidRPr="00B616BC">
              <w:t>(NCT00981045)</w:t>
            </w:r>
          </w:p>
        </w:tc>
        <w:tc>
          <w:tcPr>
            <w:tcW w:w="2931" w:type="pct"/>
            <w:tcBorders>
              <w:top w:val="single" w:sz="4" w:space="0" w:color="auto"/>
              <w:bottom w:val="single" w:sz="4" w:space="0" w:color="auto"/>
            </w:tcBorders>
          </w:tcPr>
          <w:p w:rsidR="001B768E" w:rsidRPr="00B616BC" w:rsidRDefault="001B768E" w:rsidP="00867B68">
            <w:pPr>
              <w:pStyle w:val="Tabletext"/>
              <w:keepNext/>
              <w:keepLines/>
            </w:pPr>
            <w:r w:rsidRPr="00B616BC">
              <w:t>Onken JE, Bregman DB, Harrington RA, et al. Ferric carboxymaltose in patients with iron-deficiency anaemia and impaired renal function: the REPAIR-IDA trial.</w:t>
            </w:r>
          </w:p>
        </w:tc>
        <w:tc>
          <w:tcPr>
            <w:tcW w:w="1082" w:type="pct"/>
            <w:tcBorders>
              <w:top w:val="single" w:sz="4" w:space="0" w:color="auto"/>
              <w:bottom w:val="single" w:sz="4" w:space="0" w:color="auto"/>
            </w:tcBorders>
          </w:tcPr>
          <w:p w:rsidR="00867B68" w:rsidRPr="00B616BC" w:rsidRDefault="001B768E" w:rsidP="00867B68">
            <w:pPr>
              <w:pStyle w:val="Tabletext"/>
              <w:keepNext/>
              <w:keepLines/>
            </w:pPr>
            <w:r w:rsidRPr="00B616BC">
              <w:t>Nephrol Dial Transplant 2014</w:t>
            </w:r>
            <w:r w:rsidR="00867B68" w:rsidRPr="00B616BC">
              <w:t>;</w:t>
            </w:r>
          </w:p>
          <w:p w:rsidR="001B768E" w:rsidRPr="00B616BC" w:rsidRDefault="001B768E" w:rsidP="00867B68">
            <w:pPr>
              <w:pStyle w:val="Tabletext"/>
              <w:keepNext/>
              <w:keepLines/>
            </w:pPr>
            <w:r w:rsidRPr="00B616BC">
              <w:t>29(4):833-</w:t>
            </w:r>
            <w:r w:rsidR="0036530F" w:rsidRPr="00B616BC">
              <w:t>8</w:t>
            </w:r>
            <w:r w:rsidRPr="00B616BC">
              <w:t>42</w:t>
            </w:r>
          </w:p>
        </w:tc>
      </w:tr>
      <w:tr w:rsidR="001B768E" w:rsidRPr="00B616BC" w:rsidTr="00CE2408">
        <w:tc>
          <w:tcPr>
            <w:tcW w:w="987" w:type="pct"/>
          </w:tcPr>
          <w:p w:rsidR="001B768E" w:rsidRPr="00B616BC" w:rsidRDefault="001B768E" w:rsidP="00867B68">
            <w:pPr>
              <w:pStyle w:val="Tabletext"/>
              <w:keepNext/>
              <w:keepLines/>
            </w:pPr>
            <w:r w:rsidRPr="00B616BC">
              <w:t>Mahey (2016)</w:t>
            </w:r>
          </w:p>
          <w:p w:rsidR="001B768E" w:rsidRPr="00B616BC" w:rsidRDefault="001B768E" w:rsidP="00867B68">
            <w:pPr>
              <w:pStyle w:val="Tabletext"/>
              <w:keepNext/>
              <w:keepLines/>
            </w:pPr>
            <w:r w:rsidRPr="00B616BC">
              <w:t>(CTRI/2015/09/006224)</w:t>
            </w:r>
          </w:p>
        </w:tc>
        <w:tc>
          <w:tcPr>
            <w:tcW w:w="2931" w:type="pct"/>
          </w:tcPr>
          <w:p w:rsidR="001B768E" w:rsidRPr="00B616BC" w:rsidRDefault="001B768E" w:rsidP="00867B68">
            <w:pPr>
              <w:pStyle w:val="Tabletext"/>
              <w:keepNext/>
              <w:keepLines/>
              <w:rPr>
                <w:rFonts w:ascii="Times" w:hAnsi="Times"/>
              </w:rPr>
            </w:pPr>
            <w:r w:rsidRPr="00B616BC">
              <w:t>Mahey R, Kriplani A, Mogili KD, et al. Randomized controlled trial comparing ferric carboxymaltose and iron sucrose for treatment of iron deficiency anaemia due to abnormal uterine bleeding.</w:t>
            </w:r>
          </w:p>
        </w:tc>
        <w:tc>
          <w:tcPr>
            <w:tcW w:w="1082" w:type="pct"/>
          </w:tcPr>
          <w:p w:rsidR="001B768E" w:rsidRPr="00B616BC" w:rsidRDefault="001B768E" w:rsidP="00867B68">
            <w:pPr>
              <w:pStyle w:val="Tabletext"/>
              <w:keepNext/>
              <w:keepLines/>
            </w:pPr>
            <w:r w:rsidRPr="00B616BC">
              <w:t xml:space="preserve">International Journal of Gynaecology and Obstetrics 2016, </w:t>
            </w:r>
          </w:p>
          <w:p w:rsidR="001B768E" w:rsidRPr="00B616BC" w:rsidRDefault="001B768E" w:rsidP="00082584">
            <w:pPr>
              <w:pStyle w:val="Tabletext"/>
              <w:keepNext/>
              <w:keepLines/>
              <w:rPr>
                <w:rFonts w:ascii="Times" w:hAnsi="Times"/>
              </w:rPr>
            </w:pPr>
            <w:r w:rsidRPr="00B616BC">
              <w:t>133(1):43-48</w:t>
            </w:r>
          </w:p>
        </w:tc>
      </w:tr>
    </w:tbl>
    <w:p w:rsidR="001B768E" w:rsidRPr="00B616BC" w:rsidRDefault="001B768E" w:rsidP="001B768E">
      <w:pPr>
        <w:pStyle w:val="TableFooter"/>
      </w:pPr>
      <w:r w:rsidRPr="00B616BC">
        <w:t>Source:</w:t>
      </w:r>
      <w:r w:rsidR="00082584" w:rsidRPr="00B616BC">
        <w:t xml:space="preserve"> </w:t>
      </w:r>
      <w:r w:rsidRPr="00B616BC">
        <w:t>Compiled during the evaluation from Table 2-5, p</w:t>
      </w:r>
      <w:r w:rsidR="0036530F" w:rsidRPr="00B616BC">
        <w:t>p</w:t>
      </w:r>
      <w:r w:rsidRPr="00B616BC">
        <w:t>11-12 of the submission and Bhandari (2015)</w:t>
      </w:r>
    </w:p>
    <w:p w:rsidR="00862502" w:rsidRPr="00B616BC" w:rsidRDefault="00862502" w:rsidP="008F120A">
      <w:pPr>
        <w:widowControl/>
      </w:pPr>
    </w:p>
    <w:p w:rsidR="007F1017" w:rsidRPr="00B616BC" w:rsidRDefault="008F120A" w:rsidP="007739FB">
      <w:pPr>
        <w:pStyle w:val="ListParagraph"/>
        <w:widowControl/>
        <w:numPr>
          <w:ilvl w:val="1"/>
          <w:numId w:val="1"/>
        </w:numPr>
        <w:spacing w:after="120"/>
        <w:rPr>
          <w:rFonts w:cs="Calibri"/>
          <w:snapToGrid/>
          <w:szCs w:val="24"/>
          <w:lang w:eastAsia="en-AU"/>
        </w:rPr>
      </w:pPr>
      <w:r w:rsidRPr="00B616BC">
        <w:rPr>
          <w:rFonts w:cs="Calibri"/>
          <w:snapToGrid/>
          <w:szCs w:val="24"/>
          <w:lang w:eastAsia="en-AU"/>
        </w:rPr>
        <w:t>The key features of the direct randomised trial</w:t>
      </w:r>
      <w:r w:rsidR="008B0F19" w:rsidRPr="00B616BC">
        <w:rPr>
          <w:rFonts w:cs="Calibri"/>
          <w:snapToGrid/>
          <w:szCs w:val="24"/>
          <w:lang w:eastAsia="en-AU"/>
        </w:rPr>
        <w:t>s</w:t>
      </w:r>
      <w:r w:rsidRPr="00B616BC">
        <w:rPr>
          <w:rFonts w:cs="Calibri"/>
          <w:snapToGrid/>
          <w:szCs w:val="24"/>
          <w:lang w:eastAsia="en-AU"/>
        </w:rPr>
        <w:t xml:space="preserve"> are </w:t>
      </w:r>
      <w:r w:rsidR="008E7BEE" w:rsidRPr="00B616BC">
        <w:rPr>
          <w:rFonts w:cs="Calibri"/>
          <w:snapToGrid/>
          <w:szCs w:val="24"/>
          <w:lang w:eastAsia="en-AU"/>
        </w:rPr>
        <w:t>summarised</w:t>
      </w:r>
      <w:r w:rsidR="00D84049">
        <w:rPr>
          <w:rFonts w:cs="Calibri"/>
          <w:snapToGrid/>
          <w:szCs w:val="24"/>
          <w:lang w:eastAsia="en-AU"/>
        </w:rPr>
        <w:t xml:space="preserve"> in the table below.</w:t>
      </w:r>
    </w:p>
    <w:p w:rsidR="007F1017" w:rsidRPr="00B616BC" w:rsidRDefault="007F1017" w:rsidP="007739FB">
      <w:pPr>
        <w:keepNext/>
        <w:keepLines/>
        <w:rPr>
          <w:rStyle w:val="CommentReference"/>
        </w:rPr>
      </w:pPr>
      <w:r w:rsidRPr="00B616BC">
        <w:rPr>
          <w:rStyle w:val="CommentReference"/>
        </w:rPr>
        <w:lastRenderedPageBreak/>
        <w:t xml:space="preserve">Table </w:t>
      </w:r>
      <w:r w:rsidR="008B0F19" w:rsidRPr="00B616BC">
        <w:rPr>
          <w:rStyle w:val="CommentReference"/>
        </w:rPr>
        <w:t>3</w:t>
      </w:r>
      <w:r w:rsidRPr="00B616BC">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9"/>
        <w:gridCol w:w="674"/>
        <w:gridCol w:w="1355"/>
        <w:gridCol w:w="758"/>
        <w:gridCol w:w="999"/>
        <w:gridCol w:w="2144"/>
        <w:gridCol w:w="1804"/>
      </w:tblGrid>
      <w:tr w:rsidR="00F47F4E" w:rsidRPr="00B616BC" w:rsidTr="00AC3DF6">
        <w:trPr>
          <w:trHeight w:val="448"/>
          <w:tblHeader/>
        </w:trPr>
        <w:tc>
          <w:tcPr>
            <w:tcW w:w="743" w:type="pct"/>
            <w:shd w:val="clear" w:color="auto" w:fill="auto"/>
          </w:tcPr>
          <w:p w:rsidR="007B4258" w:rsidRPr="00B616BC" w:rsidRDefault="007B4258" w:rsidP="007739FB">
            <w:pPr>
              <w:pStyle w:val="Tabletext"/>
              <w:keepNext/>
              <w:keepLines/>
              <w:rPr>
                <w:b/>
              </w:rPr>
            </w:pPr>
            <w:r w:rsidRPr="00B616BC">
              <w:rPr>
                <w:b/>
              </w:rPr>
              <w:t>Trial</w:t>
            </w:r>
          </w:p>
        </w:tc>
        <w:tc>
          <w:tcPr>
            <w:tcW w:w="371" w:type="pct"/>
            <w:shd w:val="clear" w:color="auto" w:fill="auto"/>
          </w:tcPr>
          <w:p w:rsidR="007B4258" w:rsidRPr="00B616BC" w:rsidRDefault="007B4258" w:rsidP="007739FB">
            <w:pPr>
              <w:pStyle w:val="Tabletext"/>
              <w:keepNext/>
              <w:keepLines/>
              <w:jc w:val="center"/>
              <w:rPr>
                <w:b/>
              </w:rPr>
            </w:pPr>
            <w:r w:rsidRPr="00B616BC">
              <w:rPr>
                <w:b/>
              </w:rPr>
              <w:t>N</w:t>
            </w:r>
          </w:p>
        </w:tc>
        <w:tc>
          <w:tcPr>
            <w:tcW w:w="746" w:type="pct"/>
            <w:shd w:val="clear" w:color="auto" w:fill="auto"/>
          </w:tcPr>
          <w:p w:rsidR="007B4258" w:rsidRPr="00B616BC" w:rsidRDefault="007B4258" w:rsidP="007739FB">
            <w:pPr>
              <w:pStyle w:val="Tabletext"/>
              <w:keepNext/>
              <w:keepLines/>
              <w:jc w:val="center"/>
              <w:rPr>
                <w:b/>
              </w:rPr>
            </w:pPr>
            <w:r w:rsidRPr="00B616BC">
              <w:rPr>
                <w:b/>
              </w:rPr>
              <w:t>Design/ duration</w:t>
            </w:r>
          </w:p>
        </w:tc>
        <w:tc>
          <w:tcPr>
            <w:tcW w:w="417" w:type="pct"/>
            <w:shd w:val="clear" w:color="auto" w:fill="auto"/>
          </w:tcPr>
          <w:p w:rsidR="007B4258" w:rsidRPr="00B616BC" w:rsidRDefault="007B4258" w:rsidP="007739FB">
            <w:pPr>
              <w:pStyle w:val="Tabletext"/>
              <w:keepNext/>
              <w:keepLines/>
              <w:jc w:val="center"/>
              <w:rPr>
                <w:b/>
              </w:rPr>
            </w:pPr>
            <w:r w:rsidRPr="00B616BC">
              <w:rPr>
                <w:b/>
              </w:rPr>
              <w:t>Risk of bias</w:t>
            </w:r>
          </w:p>
        </w:tc>
        <w:tc>
          <w:tcPr>
            <w:tcW w:w="550" w:type="pct"/>
            <w:shd w:val="clear" w:color="auto" w:fill="auto"/>
          </w:tcPr>
          <w:p w:rsidR="007B4258" w:rsidRPr="00B616BC" w:rsidRDefault="007B4258" w:rsidP="007739FB">
            <w:pPr>
              <w:pStyle w:val="Tabletext"/>
              <w:keepNext/>
              <w:keepLines/>
              <w:jc w:val="center"/>
              <w:rPr>
                <w:b/>
              </w:rPr>
            </w:pPr>
            <w:r w:rsidRPr="00B616BC">
              <w:rPr>
                <w:b/>
              </w:rPr>
              <w:t>Patient population</w:t>
            </w:r>
          </w:p>
        </w:tc>
        <w:tc>
          <w:tcPr>
            <w:tcW w:w="1180" w:type="pct"/>
            <w:shd w:val="clear" w:color="auto" w:fill="auto"/>
          </w:tcPr>
          <w:p w:rsidR="007B4258" w:rsidRPr="00B616BC" w:rsidRDefault="007B4258" w:rsidP="007739FB">
            <w:pPr>
              <w:pStyle w:val="Tabletext"/>
              <w:keepNext/>
              <w:keepLines/>
              <w:jc w:val="center"/>
              <w:rPr>
                <w:b/>
              </w:rPr>
            </w:pPr>
            <w:r w:rsidRPr="00B616BC">
              <w:rPr>
                <w:b/>
              </w:rPr>
              <w:t>Outcome</w:t>
            </w:r>
            <w:r w:rsidR="00B52422" w:rsidRPr="00B616BC">
              <w:rPr>
                <w:b/>
              </w:rPr>
              <w:t>s</w:t>
            </w:r>
          </w:p>
        </w:tc>
        <w:tc>
          <w:tcPr>
            <w:tcW w:w="993" w:type="pct"/>
          </w:tcPr>
          <w:p w:rsidR="007B4258" w:rsidRPr="00B616BC" w:rsidRDefault="007B4258" w:rsidP="007739FB">
            <w:pPr>
              <w:pStyle w:val="Tabletext"/>
              <w:keepNext/>
              <w:keepLines/>
              <w:jc w:val="center"/>
              <w:rPr>
                <w:b/>
              </w:rPr>
            </w:pPr>
            <w:r w:rsidRPr="00B616BC">
              <w:rPr>
                <w:b/>
              </w:rPr>
              <w:t>Use in indirect comparison</w:t>
            </w:r>
          </w:p>
        </w:tc>
      </w:tr>
      <w:tr w:rsidR="007B4258" w:rsidRPr="00B616BC" w:rsidTr="00082584">
        <w:trPr>
          <w:trHeight w:val="224"/>
        </w:trPr>
        <w:tc>
          <w:tcPr>
            <w:tcW w:w="5000" w:type="pct"/>
            <w:gridSpan w:val="7"/>
            <w:shd w:val="clear" w:color="auto" w:fill="auto"/>
          </w:tcPr>
          <w:p w:rsidR="007B4258" w:rsidRPr="00B616BC" w:rsidRDefault="007B4258" w:rsidP="007739FB">
            <w:pPr>
              <w:pStyle w:val="Tabletext"/>
              <w:keepNext/>
              <w:keepLines/>
              <w:rPr>
                <w:b/>
              </w:rPr>
            </w:pPr>
            <w:r w:rsidRPr="00B616BC">
              <w:rPr>
                <w:b/>
              </w:rPr>
              <w:t>Ferric derisomaltose vs iron sucrose</w:t>
            </w:r>
          </w:p>
        </w:tc>
      </w:tr>
      <w:tr w:rsidR="00F47F4E" w:rsidRPr="00B616BC" w:rsidTr="00082584">
        <w:trPr>
          <w:trHeight w:val="673"/>
        </w:trPr>
        <w:tc>
          <w:tcPr>
            <w:tcW w:w="743" w:type="pct"/>
            <w:shd w:val="clear" w:color="auto" w:fill="auto"/>
          </w:tcPr>
          <w:p w:rsidR="007B4258" w:rsidRPr="00B616BC" w:rsidRDefault="00161E65" w:rsidP="007739FB">
            <w:pPr>
              <w:pStyle w:val="Tabletext"/>
              <w:keepNext/>
              <w:keepLines/>
            </w:pPr>
            <w:r w:rsidRPr="00B616BC">
              <w:t>PROV</w:t>
            </w:r>
            <w:r w:rsidR="007B4258" w:rsidRPr="00B616BC">
              <w:t>IDE</w:t>
            </w:r>
          </w:p>
        </w:tc>
        <w:tc>
          <w:tcPr>
            <w:tcW w:w="371" w:type="pct"/>
            <w:shd w:val="clear" w:color="auto" w:fill="auto"/>
          </w:tcPr>
          <w:p w:rsidR="007B4258" w:rsidRPr="00B616BC" w:rsidRDefault="004C34F0" w:rsidP="007739FB">
            <w:pPr>
              <w:pStyle w:val="Tabletext"/>
              <w:keepNext/>
              <w:keepLines/>
              <w:jc w:val="center"/>
            </w:pPr>
            <w:r w:rsidRPr="00B616BC">
              <w:t>491</w:t>
            </w:r>
          </w:p>
        </w:tc>
        <w:tc>
          <w:tcPr>
            <w:tcW w:w="746" w:type="pct"/>
            <w:shd w:val="clear" w:color="auto" w:fill="auto"/>
          </w:tcPr>
          <w:p w:rsidR="007B4258" w:rsidRPr="00B616BC" w:rsidRDefault="007B4258" w:rsidP="007739FB">
            <w:pPr>
              <w:pStyle w:val="Tabletext"/>
              <w:keepNext/>
              <w:keepLines/>
              <w:jc w:val="center"/>
            </w:pPr>
            <w:r w:rsidRPr="00B616BC">
              <w:t>R, OL</w:t>
            </w:r>
            <w:r w:rsidR="00C618FD" w:rsidRPr="00B616BC">
              <w:t>, NI</w:t>
            </w:r>
          </w:p>
          <w:p w:rsidR="007B4258" w:rsidRPr="00B616BC" w:rsidRDefault="007B4258" w:rsidP="007739FB">
            <w:pPr>
              <w:pStyle w:val="Tabletext"/>
              <w:keepNext/>
              <w:keepLines/>
              <w:jc w:val="center"/>
            </w:pPr>
            <w:r w:rsidRPr="00B616BC">
              <w:t>5 week</w:t>
            </w:r>
            <w:r w:rsidR="00B52422" w:rsidRPr="00B616BC">
              <w:t>s</w:t>
            </w:r>
          </w:p>
        </w:tc>
        <w:tc>
          <w:tcPr>
            <w:tcW w:w="417" w:type="pct"/>
            <w:shd w:val="clear" w:color="auto" w:fill="auto"/>
          </w:tcPr>
          <w:p w:rsidR="007B4258" w:rsidRPr="00B616BC" w:rsidRDefault="00CA688C" w:rsidP="007739FB">
            <w:pPr>
              <w:pStyle w:val="Tabletext"/>
              <w:keepNext/>
              <w:keepLines/>
              <w:jc w:val="center"/>
            </w:pPr>
            <w:r w:rsidRPr="00B616BC">
              <w:t>High</w:t>
            </w:r>
          </w:p>
        </w:tc>
        <w:tc>
          <w:tcPr>
            <w:tcW w:w="550" w:type="pct"/>
            <w:shd w:val="clear" w:color="auto" w:fill="auto"/>
          </w:tcPr>
          <w:p w:rsidR="007B4258" w:rsidRPr="00B616BC" w:rsidRDefault="007B4258" w:rsidP="007739FB">
            <w:pPr>
              <w:pStyle w:val="Tabletext"/>
              <w:keepNext/>
              <w:keepLines/>
              <w:jc w:val="center"/>
            </w:pPr>
            <w:r w:rsidRPr="00B616BC">
              <w:t>Various</w:t>
            </w:r>
          </w:p>
        </w:tc>
        <w:tc>
          <w:tcPr>
            <w:tcW w:w="1180" w:type="pct"/>
            <w:shd w:val="clear" w:color="auto" w:fill="auto"/>
          </w:tcPr>
          <w:p w:rsidR="007B4258" w:rsidRPr="00B616BC" w:rsidRDefault="007B4258" w:rsidP="007739FB">
            <w:pPr>
              <w:pStyle w:val="Tabletext"/>
              <w:keepNext/>
              <w:keepLines/>
              <w:jc w:val="center"/>
            </w:pPr>
            <w:r w:rsidRPr="00B616BC">
              <w:t xml:space="preserve">% Hb responders; Δ Hb from </w:t>
            </w:r>
            <w:r w:rsidR="00DB4101" w:rsidRPr="00B616BC">
              <w:t>baseline; safety</w:t>
            </w:r>
          </w:p>
        </w:tc>
        <w:tc>
          <w:tcPr>
            <w:tcW w:w="993" w:type="pct"/>
          </w:tcPr>
          <w:p w:rsidR="007B4258" w:rsidRPr="00B616BC" w:rsidRDefault="007B4258" w:rsidP="007739FB">
            <w:pPr>
              <w:pStyle w:val="Tabletext"/>
              <w:keepNext/>
              <w:keepLines/>
              <w:jc w:val="center"/>
            </w:pPr>
            <w:r w:rsidRPr="00B616BC">
              <w:t>Yes</w:t>
            </w:r>
          </w:p>
        </w:tc>
      </w:tr>
      <w:tr w:rsidR="00161E65" w:rsidRPr="00B616BC" w:rsidTr="00082584">
        <w:trPr>
          <w:trHeight w:val="673"/>
        </w:trPr>
        <w:tc>
          <w:tcPr>
            <w:tcW w:w="743" w:type="pct"/>
            <w:shd w:val="clear" w:color="auto" w:fill="auto"/>
          </w:tcPr>
          <w:p w:rsidR="00161E65" w:rsidRPr="00B616BC" w:rsidRDefault="00161E65" w:rsidP="007739FB">
            <w:pPr>
              <w:pStyle w:val="Tabletext"/>
              <w:keepNext/>
              <w:keepLines/>
            </w:pPr>
            <w:r w:rsidRPr="00B616BC">
              <w:t>P-Monofer-CKD-03</w:t>
            </w:r>
          </w:p>
        </w:tc>
        <w:tc>
          <w:tcPr>
            <w:tcW w:w="371" w:type="pct"/>
            <w:shd w:val="clear" w:color="auto" w:fill="auto"/>
          </w:tcPr>
          <w:p w:rsidR="00161E65" w:rsidRPr="00B616BC" w:rsidRDefault="00161E65" w:rsidP="007739FB">
            <w:pPr>
              <w:pStyle w:val="Tabletext"/>
              <w:keepNext/>
              <w:keepLines/>
              <w:jc w:val="center"/>
            </w:pPr>
            <w:r w:rsidRPr="00B616BC">
              <w:t>341</w:t>
            </w:r>
          </w:p>
        </w:tc>
        <w:tc>
          <w:tcPr>
            <w:tcW w:w="746" w:type="pct"/>
            <w:shd w:val="clear" w:color="auto" w:fill="auto"/>
          </w:tcPr>
          <w:p w:rsidR="00161E65" w:rsidRPr="00B616BC" w:rsidRDefault="00161E65" w:rsidP="007739FB">
            <w:pPr>
              <w:pStyle w:val="Tabletext"/>
              <w:keepNext/>
              <w:keepLines/>
              <w:jc w:val="center"/>
            </w:pPr>
            <w:r w:rsidRPr="00B616BC">
              <w:t>R, OL, NI</w:t>
            </w:r>
          </w:p>
          <w:p w:rsidR="00161E65" w:rsidRPr="00B616BC" w:rsidRDefault="00161E65" w:rsidP="007739FB">
            <w:pPr>
              <w:pStyle w:val="Tabletext"/>
              <w:keepNext/>
              <w:keepLines/>
              <w:jc w:val="center"/>
            </w:pPr>
            <w:r w:rsidRPr="00B616BC">
              <w:t>6 weeks</w:t>
            </w:r>
          </w:p>
        </w:tc>
        <w:tc>
          <w:tcPr>
            <w:tcW w:w="417" w:type="pct"/>
            <w:shd w:val="clear" w:color="auto" w:fill="auto"/>
          </w:tcPr>
          <w:p w:rsidR="00161E65" w:rsidRPr="00B616BC" w:rsidRDefault="00161E65" w:rsidP="007739FB">
            <w:pPr>
              <w:pStyle w:val="Tabletext"/>
              <w:keepNext/>
              <w:keepLines/>
              <w:jc w:val="center"/>
            </w:pPr>
            <w:r w:rsidRPr="00B616BC">
              <w:t>High</w:t>
            </w:r>
          </w:p>
        </w:tc>
        <w:tc>
          <w:tcPr>
            <w:tcW w:w="550" w:type="pct"/>
            <w:shd w:val="clear" w:color="auto" w:fill="auto"/>
          </w:tcPr>
          <w:p w:rsidR="00161E65" w:rsidRPr="00B616BC" w:rsidRDefault="00161E65" w:rsidP="007739FB">
            <w:pPr>
              <w:pStyle w:val="Tabletext"/>
              <w:keepNext/>
              <w:keepLines/>
              <w:jc w:val="center"/>
            </w:pPr>
            <w:r w:rsidRPr="00B616BC">
              <w:t>HD-CKD</w:t>
            </w:r>
          </w:p>
        </w:tc>
        <w:tc>
          <w:tcPr>
            <w:tcW w:w="1180" w:type="pct"/>
            <w:shd w:val="clear" w:color="auto" w:fill="auto"/>
          </w:tcPr>
          <w:p w:rsidR="00161E65" w:rsidRPr="00B616BC" w:rsidRDefault="00161E65" w:rsidP="007739FB">
            <w:pPr>
              <w:pStyle w:val="Tabletext"/>
              <w:keepNext/>
              <w:keepLines/>
              <w:jc w:val="center"/>
            </w:pPr>
            <w:r w:rsidRPr="00B616BC">
              <w:t>% Hb responders; Δ Hb from baseline; safety</w:t>
            </w:r>
          </w:p>
        </w:tc>
        <w:tc>
          <w:tcPr>
            <w:tcW w:w="993" w:type="pct"/>
          </w:tcPr>
          <w:p w:rsidR="00161E65" w:rsidRPr="00B616BC" w:rsidRDefault="00161E65" w:rsidP="007739FB">
            <w:pPr>
              <w:pStyle w:val="Tabletext"/>
              <w:keepNext/>
              <w:keepLines/>
              <w:jc w:val="center"/>
            </w:pPr>
            <w:r w:rsidRPr="00B616BC">
              <w:t>Not used in the indirection comparison with FCM as IS was considered the appropriate comparator in haemodialysis patients.</w:t>
            </w:r>
          </w:p>
        </w:tc>
      </w:tr>
      <w:tr w:rsidR="00161E65" w:rsidRPr="00B616BC" w:rsidTr="00082584">
        <w:trPr>
          <w:trHeight w:val="214"/>
        </w:trPr>
        <w:tc>
          <w:tcPr>
            <w:tcW w:w="5000" w:type="pct"/>
            <w:gridSpan w:val="7"/>
            <w:shd w:val="clear" w:color="auto" w:fill="auto"/>
          </w:tcPr>
          <w:p w:rsidR="00161E65" w:rsidRPr="00B616BC" w:rsidRDefault="00161E65" w:rsidP="007739FB">
            <w:pPr>
              <w:pStyle w:val="Tabletext"/>
              <w:keepNext/>
              <w:keepLines/>
            </w:pPr>
            <w:r w:rsidRPr="00B616BC">
              <w:rPr>
                <w:b/>
              </w:rPr>
              <w:t>Ferric carboxymaltose vs iron sucrose</w:t>
            </w:r>
          </w:p>
        </w:tc>
      </w:tr>
      <w:tr w:rsidR="00161E65" w:rsidRPr="00B616BC" w:rsidTr="00082584">
        <w:trPr>
          <w:trHeight w:val="224"/>
        </w:trPr>
        <w:tc>
          <w:tcPr>
            <w:tcW w:w="743" w:type="pct"/>
            <w:shd w:val="clear" w:color="auto" w:fill="auto"/>
          </w:tcPr>
          <w:p w:rsidR="00161E65" w:rsidRPr="00B616BC" w:rsidRDefault="00161E65" w:rsidP="007739FB">
            <w:pPr>
              <w:pStyle w:val="Tabletext"/>
              <w:keepNext/>
              <w:keepLines/>
            </w:pPr>
            <w:r w:rsidRPr="00B616BC">
              <w:t>FERGICor</w:t>
            </w:r>
          </w:p>
        </w:tc>
        <w:tc>
          <w:tcPr>
            <w:tcW w:w="371" w:type="pct"/>
            <w:shd w:val="clear" w:color="auto" w:fill="auto"/>
          </w:tcPr>
          <w:p w:rsidR="00161E65" w:rsidRPr="00B616BC" w:rsidRDefault="00161E65" w:rsidP="007739FB">
            <w:pPr>
              <w:pStyle w:val="Tabletext"/>
              <w:keepNext/>
              <w:keepLines/>
              <w:jc w:val="center"/>
            </w:pPr>
            <w:r w:rsidRPr="00B616BC">
              <w:t>475</w:t>
            </w:r>
          </w:p>
        </w:tc>
        <w:tc>
          <w:tcPr>
            <w:tcW w:w="746" w:type="pct"/>
            <w:shd w:val="clear" w:color="auto" w:fill="auto"/>
          </w:tcPr>
          <w:p w:rsidR="00161E65" w:rsidRPr="00B616BC" w:rsidRDefault="00161E65" w:rsidP="007739FB">
            <w:pPr>
              <w:pStyle w:val="Tabletext"/>
              <w:keepNext/>
              <w:keepLines/>
              <w:jc w:val="center"/>
            </w:pPr>
            <w:r w:rsidRPr="00B616BC">
              <w:t>R, OL, NI</w:t>
            </w:r>
          </w:p>
          <w:p w:rsidR="00161E65" w:rsidRPr="00B616BC" w:rsidRDefault="00161E65" w:rsidP="007739FB">
            <w:pPr>
              <w:pStyle w:val="Tabletext"/>
              <w:keepNext/>
              <w:keepLines/>
              <w:jc w:val="center"/>
              <w:rPr>
                <w:b/>
              </w:rPr>
            </w:pPr>
            <w:r w:rsidRPr="00B616BC">
              <w:t>12 weeks</w:t>
            </w:r>
          </w:p>
        </w:tc>
        <w:tc>
          <w:tcPr>
            <w:tcW w:w="417" w:type="pct"/>
            <w:shd w:val="clear" w:color="auto" w:fill="auto"/>
          </w:tcPr>
          <w:p w:rsidR="00161E65" w:rsidRPr="00B616BC" w:rsidRDefault="00161E65" w:rsidP="007739FB">
            <w:pPr>
              <w:pStyle w:val="Tabletext"/>
              <w:keepNext/>
              <w:keepLines/>
              <w:jc w:val="center"/>
            </w:pPr>
            <w:r w:rsidRPr="00B616BC">
              <w:t>High</w:t>
            </w:r>
          </w:p>
        </w:tc>
        <w:tc>
          <w:tcPr>
            <w:tcW w:w="550" w:type="pct"/>
            <w:shd w:val="clear" w:color="auto" w:fill="auto"/>
          </w:tcPr>
          <w:p w:rsidR="00161E65" w:rsidRPr="00B616BC" w:rsidRDefault="00161E65" w:rsidP="007739FB">
            <w:pPr>
              <w:pStyle w:val="Tabletext"/>
              <w:keepNext/>
              <w:keepLines/>
              <w:jc w:val="center"/>
            </w:pPr>
            <w:r w:rsidRPr="00B616BC">
              <w:t>Gastro: IBD</w:t>
            </w:r>
          </w:p>
        </w:tc>
        <w:tc>
          <w:tcPr>
            <w:tcW w:w="1180" w:type="pct"/>
            <w:shd w:val="clear" w:color="auto" w:fill="auto"/>
          </w:tcPr>
          <w:p w:rsidR="00161E65" w:rsidRPr="00B616BC" w:rsidRDefault="00161E65" w:rsidP="007739FB">
            <w:pPr>
              <w:pStyle w:val="Tabletext"/>
              <w:keepNext/>
              <w:keepLines/>
              <w:jc w:val="center"/>
            </w:pPr>
            <w:r w:rsidRPr="00B616BC">
              <w:t>% Hb responders; safety</w:t>
            </w:r>
          </w:p>
        </w:tc>
        <w:tc>
          <w:tcPr>
            <w:tcW w:w="993" w:type="pct"/>
            <w:vMerge w:val="restart"/>
          </w:tcPr>
          <w:p w:rsidR="00161E65" w:rsidRPr="00B616BC" w:rsidRDefault="00161E65" w:rsidP="007739FB">
            <w:pPr>
              <w:pStyle w:val="Tabletext"/>
              <w:keepNext/>
              <w:keepLines/>
              <w:jc w:val="center"/>
            </w:pPr>
            <w:r w:rsidRPr="00B616BC">
              <w:t>Yes</w:t>
            </w:r>
          </w:p>
        </w:tc>
      </w:tr>
      <w:tr w:rsidR="00161E65" w:rsidRPr="00B616BC" w:rsidTr="00082584">
        <w:trPr>
          <w:trHeight w:val="224"/>
        </w:trPr>
        <w:tc>
          <w:tcPr>
            <w:tcW w:w="743" w:type="pct"/>
            <w:shd w:val="clear" w:color="auto" w:fill="auto"/>
          </w:tcPr>
          <w:p w:rsidR="00161E65" w:rsidRPr="00B616BC" w:rsidRDefault="00161E65" w:rsidP="007739FB">
            <w:pPr>
              <w:pStyle w:val="Tabletext"/>
              <w:keepNext/>
              <w:keepLines/>
            </w:pPr>
            <w:r w:rsidRPr="00B616BC">
              <w:t>REPAIR-IDA</w:t>
            </w:r>
          </w:p>
        </w:tc>
        <w:tc>
          <w:tcPr>
            <w:tcW w:w="371" w:type="pct"/>
            <w:shd w:val="clear" w:color="auto" w:fill="auto"/>
          </w:tcPr>
          <w:p w:rsidR="00161E65" w:rsidRPr="00B616BC" w:rsidRDefault="00161E65" w:rsidP="007739FB">
            <w:pPr>
              <w:pStyle w:val="Tabletext"/>
              <w:keepNext/>
              <w:keepLines/>
              <w:jc w:val="center"/>
            </w:pPr>
            <w:r w:rsidRPr="00B616BC">
              <w:t>2520</w:t>
            </w:r>
          </w:p>
        </w:tc>
        <w:tc>
          <w:tcPr>
            <w:tcW w:w="746" w:type="pct"/>
            <w:shd w:val="clear" w:color="auto" w:fill="auto"/>
          </w:tcPr>
          <w:p w:rsidR="00161E65" w:rsidRPr="00B616BC" w:rsidRDefault="00161E65" w:rsidP="007739FB">
            <w:pPr>
              <w:pStyle w:val="Tabletext"/>
              <w:keepNext/>
              <w:keepLines/>
              <w:jc w:val="center"/>
            </w:pPr>
            <w:r w:rsidRPr="00B616BC">
              <w:t>R, OL, NI</w:t>
            </w:r>
          </w:p>
          <w:p w:rsidR="00161E65" w:rsidRPr="00B616BC" w:rsidRDefault="00161E65" w:rsidP="007739FB">
            <w:pPr>
              <w:pStyle w:val="Tabletext"/>
              <w:keepNext/>
              <w:keepLines/>
              <w:jc w:val="center"/>
              <w:rPr>
                <w:b/>
              </w:rPr>
            </w:pPr>
            <w:r w:rsidRPr="00B616BC">
              <w:t>8 weeks</w:t>
            </w:r>
          </w:p>
        </w:tc>
        <w:tc>
          <w:tcPr>
            <w:tcW w:w="417" w:type="pct"/>
            <w:shd w:val="clear" w:color="auto" w:fill="auto"/>
          </w:tcPr>
          <w:p w:rsidR="00161E65" w:rsidRPr="00B616BC" w:rsidRDefault="00161E65" w:rsidP="007739FB">
            <w:pPr>
              <w:pStyle w:val="Tabletext"/>
              <w:keepNext/>
              <w:keepLines/>
              <w:jc w:val="center"/>
            </w:pPr>
            <w:r w:rsidRPr="00B616BC">
              <w:t>High</w:t>
            </w:r>
          </w:p>
        </w:tc>
        <w:tc>
          <w:tcPr>
            <w:tcW w:w="550" w:type="pct"/>
            <w:shd w:val="clear" w:color="auto" w:fill="auto"/>
          </w:tcPr>
          <w:p w:rsidR="00161E65" w:rsidRPr="00B616BC" w:rsidRDefault="00161E65" w:rsidP="007739FB">
            <w:pPr>
              <w:pStyle w:val="Tabletext"/>
              <w:keepNext/>
              <w:keepLines/>
              <w:jc w:val="center"/>
            </w:pPr>
            <w:r w:rsidRPr="00B616BC">
              <w:t>NDD-CKD</w:t>
            </w:r>
          </w:p>
        </w:tc>
        <w:tc>
          <w:tcPr>
            <w:tcW w:w="1180" w:type="pct"/>
            <w:shd w:val="clear" w:color="auto" w:fill="auto"/>
          </w:tcPr>
          <w:p w:rsidR="00161E65" w:rsidRPr="00B616BC" w:rsidRDefault="00161E65" w:rsidP="007739FB">
            <w:pPr>
              <w:pStyle w:val="Tabletext"/>
              <w:keepNext/>
              <w:keepLines/>
              <w:jc w:val="center"/>
            </w:pPr>
            <w:r w:rsidRPr="00B616BC">
              <w:t>% Hb responders; Δ Hb from baseline; safety</w:t>
            </w:r>
          </w:p>
        </w:tc>
        <w:tc>
          <w:tcPr>
            <w:tcW w:w="993" w:type="pct"/>
            <w:vMerge/>
          </w:tcPr>
          <w:p w:rsidR="00161E65" w:rsidRPr="00B616BC" w:rsidRDefault="00161E65" w:rsidP="007739FB">
            <w:pPr>
              <w:pStyle w:val="Tabletext"/>
              <w:keepNext/>
              <w:keepLines/>
              <w:jc w:val="center"/>
            </w:pPr>
          </w:p>
        </w:tc>
      </w:tr>
      <w:tr w:rsidR="00161E65" w:rsidRPr="00B616BC" w:rsidTr="00082584">
        <w:trPr>
          <w:trHeight w:val="224"/>
        </w:trPr>
        <w:tc>
          <w:tcPr>
            <w:tcW w:w="743" w:type="pct"/>
            <w:shd w:val="clear" w:color="auto" w:fill="auto"/>
          </w:tcPr>
          <w:p w:rsidR="00161E65" w:rsidRPr="00B616BC" w:rsidRDefault="00161E65" w:rsidP="007739FB">
            <w:pPr>
              <w:pStyle w:val="Tabletext"/>
              <w:keepNext/>
              <w:keepLines/>
            </w:pPr>
            <w:r w:rsidRPr="00B616BC">
              <w:t>Mahey (2016)</w:t>
            </w:r>
          </w:p>
        </w:tc>
        <w:tc>
          <w:tcPr>
            <w:tcW w:w="371" w:type="pct"/>
            <w:shd w:val="clear" w:color="auto" w:fill="auto"/>
          </w:tcPr>
          <w:p w:rsidR="00161E65" w:rsidRPr="00B616BC" w:rsidRDefault="00161E65" w:rsidP="007739FB">
            <w:pPr>
              <w:pStyle w:val="Tabletext"/>
              <w:keepNext/>
              <w:keepLines/>
              <w:jc w:val="center"/>
            </w:pPr>
            <w:r w:rsidRPr="00B616BC">
              <w:t>58</w:t>
            </w:r>
          </w:p>
        </w:tc>
        <w:tc>
          <w:tcPr>
            <w:tcW w:w="746" w:type="pct"/>
            <w:shd w:val="clear" w:color="auto" w:fill="auto"/>
          </w:tcPr>
          <w:p w:rsidR="00161E65" w:rsidRPr="00B616BC" w:rsidRDefault="00161E65" w:rsidP="007739FB">
            <w:pPr>
              <w:pStyle w:val="Tabletext"/>
              <w:keepNext/>
              <w:keepLines/>
              <w:jc w:val="center"/>
            </w:pPr>
            <w:r w:rsidRPr="00B616BC">
              <w:t>R, OL, NI</w:t>
            </w:r>
          </w:p>
          <w:p w:rsidR="00161E65" w:rsidRPr="00B616BC" w:rsidRDefault="00161E65" w:rsidP="007739FB">
            <w:pPr>
              <w:pStyle w:val="Tabletext"/>
              <w:keepNext/>
              <w:keepLines/>
              <w:jc w:val="center"/>
              <w:rPr>
                <w:b/>
              </w:rPr>
            </w:pPr>
            <w:r w:rsidRPr="00B616BC">
              <w:t>12 weeks</w:t>
            </w:r>
          </w:p>
        </w:tc>
        <w:tc>
          <w:tcPr>
            <w:tcW w:w="417" w:type="pct"/>
            <w:shd w:val="clear" w:color="auto" w:fill="auto"/>
          </w:tcPr>
          <w:p w:rsidR="00161E65" w:rsidRPr="00B616BC" w:rsidRDefault="00161E65" w:rsidP="007739FB">
            <w:pPr>
              <w:pStyle w:val="Tabletext"/>
              <w:keepNext/>
              <w:keepLines/>
              <w:jc w:val="center"/>
            </w:pPr>
            <w:r w:rsidRPr="00B616BC">
              <w:t>High</w:t>
            </w:r>
          </w:p>
        </w:tc>
        <w:tc>
          <w:tcPr>
            <w:tcW w:w="550" w:type="pct"/>
            <w:shd w:val="clear" w:color="auto" w:fill="auto"/>
          </w:tcPr>
          <w:p w:rsidR="00161E65" w:rsidRPr="00B616BC" w:rsidRDefault="00161E65" w:rsidP="007739FB">
            <w:pPr>
              <w:pStyle w:val="Tabletext"/>
              <w:keepNext/>
              <w:keepLines/>
              <w:jc w:val="center"/>
            </w:pPr>
            <w:r w:rsidRPr="00B616BC">
              <w:t>Gynae</w:t>
            </w:r>
          </w:p>
        </w:tc>
        <w:tc>
          <w:tcPr>
            <w:tcW w:w="1180" w:type="pct"/>
            <w:shd w:val="clear" w:color="auto" w:fill="auto"/>
          </w:tcPr>
          <w:p w:rsidR="00161E65" w:rsidRPr="00B616BC" w:rsidRDefault="00161E65" w:rsidP="007739FB">
            <w:pPr>
              <w:pStyle w:val="Tabletext"/>
              <w:keepNext/>
              <w:keepLines/>
              <w:jc w:val="center"/>
            </w:pPr>
            <w:r w:rsidRPr="00B616BC">
              <w:t>% Hb responders; Δ Hb from baseline; safety</w:t>
            </w:r>
          </w:p>
        </w:tc>
        <w:tc>
          <w:tcPr>
            <w:tcW w:w="993" w:type="pct"/>
            <w:vMerge/>
          </w:tcPr>
          <w:p w:rsidR="00161E65" w:rsidRPr="00B616BC" w:rsidRDefault="00161E65" w:rsidP="007739FB">
            <w:pPr>
              <w:pStyle w:val="Tabletext"/>
              <w:keepNext/>
              <w:keepLines/>
              <w:jc w:val="center"/>
            </w:pPr>
          </w:p>
        </w:tc>
      </w:tr>
      <w:tr w:rsidR="00161E65" w:rsidRPr="00B616BC" w:rsidTr="00082584">
        <w:trPr>
          <w:trHeight w:val="673"/>
        </w:trPr>
        <w:tc>
          <w:tcPr>
            <w:tcW w:w="743" w:type="pct"/>
            <w:shd w:val="clear" w:color="auto" w:fill="auto"/>
          </w:tcPr>
          <w:p w:rsidR="00161E65" w:rsidRPr="00B616BC" w:rsidRDefault="00161E65" w:rsidP="007739FB">
            <w:pPr>
              <w:pStyle w:val="Tabletext"/>
              <w:keepNext/>
              <w:keepLines/>
            </w:pPr>
            <w:r w:rsidRPr="00B616BC">
              <w:t>Meta-analysis</w:t>
            </w:r>
          </w:p>
        </w:tc>
        <w:tc>
          <w:tcPr>
            <w:tcW w:w="371" w:type="pct"/>
            <w:shd w:val="clear" w:color="auto" w:fill="auto"/>
          </w:tcPr>
          <w:p w:rsidR="00161E65" w:rsidRPr="00B616BC" w:rsidRDefault="00161E65" w:rsidP="007739FB">
            <w:pPr>
              <w:pStyle w:val="Tabletext"/>
              <w:keepNext/>
              <w:keepLines/>
              <w:jc w:val="center"/>
            </w:pPr>
            <w:r w:rsidRPr="00B616BC">
              <w:t>3053</w:t>
            </w:r>
          </w:p>
        </w:tc>
        <w:tc>
          <w:tcPr>
            <w:tcW w:w="2893" w:type="pct"/>
            <w:gridSpan w:val="4"/>
            <w:shd w:val="clear" w:color="auto" w:fill="auto"/>
          </w:tcPr>
          <w:p w:rsidR="00161E65" w:rsidRPr="00B616BC" w:rsidRDefault="00161E65" w:rsidP="007739FB">
            <w:pPr>
              <w:pStyle w:val="Tabletext"/>
              <w:keepNext/>
              <w:keepLines/>
              <w:jc w:val="center"/>
            </w:pPr>
            <w:r w:rsidRPr="00B616BC">
              <w:t>Included FERGICor, REPAIR-IDA, Mahey (2016) for efficacy outcomes: % Hb responders and Δ Hb from baseline</w:t>
            </w:r>
          </w:p>
        </w:tc>
        <w:tc>
          <w:tcPr>
            <w:tcW w:w="993" w:type="pct"/>
            <w:vMerge/>
          </w:tcPr>
          <w:p w:rsidR="00161E65" w:rsidRPr="00B616BC" w:rsidRDefault="00161E65" w:rsidP="007739FB">
            <w:pPr>
              <w:pStyle w:val="Tabletext"/>
              <w:keepNext/>
              <w:keepLines/>
              <w:jc w:val="center"/>
            </w:pPr>
          </w:p>
        </w:tc>
      </w:tr>
    </w:tbl>
    <w:p w:rsidR="004C34F0" w:rsidRPr="00B616BC" w:rsidRDefault="004C34F0" w:rsidP="007739FB">
      <w:pPr>
        <w:pStyle w:val="TableFooter"/>
        <w:keepNext/>
        <w:keepLines/>
      </w:pPr>
      <w:r w:rsidRPr="00B616BC">
        <w:t>Source: Complied during the evaluation from Section 2</w:t>
      </w:r>
      <w:r w:rsidR="00082584" w:rsidRPr="00B616BC">
        <w:t>,</w:t>
      </w:r>
      <w:r w:rsidRPr="00B616BC">
        <w:t xml:space="preserve"> pp 1-60 of the submission and Bhandari (2015)</w:t>
      </w:r>
      <w:r w:rsidR="0075231C">
        <w:t xml:space="preserve"> </w:t>
      </w:r>
    </w:p>
    <w:p w:rsidR="00F47F4E" w:rsidRPr="00B616BC" w:rsidRDefault="004C34F0" w:rsidP="007739FB">
      <w:pPr>
        <w:pStyle w:val="TableFooter"/>
        <w:keepNext/>
        <w:keepLines/>
      </w:pPr>
      <w:r w:rsidRPr="00B616BC">
        <w:t>gastro = gastrointestinal; gynae = gynaecology;</w:t>
      </w:r>
      <w:r w:rsidR="00082584" w:rsidRPr="00B616BC">
        <w:t xml:space="preserve"> Hb = haemoglobin;</w:t>
      </w:r>
      <w:r w:rsidRPr="00B616BC">
        <w:t xml:space="preserve"> HD-CKD = haemodialysis dependent chronic kidney disease; IBD</w:t>
      </w:r>
      <w:r w:rsidR="00082584" w:rsidRPr="00B616BC">
        <w:t> </w:t>
      </w:r>
      <w:r w:rsidRPr="00B616BC">
        <w:t>=</w:t>
      </w:r>
      <w:r w:rsidR="00082584" w:rsidRPr="00B616BC">
        <w:t> </w:t>
      </w:r>
      <w:r w:rsidRPr="00B616BC">
        <w:t xml:space="preserve">inflammatory bowel disease; </w:t>
      </w:r>
      <w:r w:rsidR="00082584" w:rsidRPr="00B616BC">
        <w:t xml:space="preserve">IS = iron sucrose; </w:t>
      </w:r>
      <w:r w:rsidRPr="00B616BC">
        <w:t>NDD-CKD = non-dialysis dependent chronic</w:t>
      </w:r>
      <w:r w:rsidR="00E42D7D" w:rsidRPr="00B616BC">
        <w:t xml:space="preserve"> kidney disease</w:t>
      </w:r>
      <w:r w:rsidRPr="00B616BC">
        <w:t xml:space="preserve">; </w:t>
      </w:r>
      <w:r w:rsidR="00C618FD" w:rsidRPr="00B616BC">
        <w:t xml:space="preserve">NI = non-inferiority; </w:t>
      </w:r>
      <w:r w:rsidRPr="00B616BC">
        <w:t>OL</w:t>
      </w:r>
      <w:r w:rsidR="002E765C" w:rsidRPr="00B616BC">
        <w:t> </w:t>
      </w:r>
      <w:r w:rsidRPr="00B616BC">
        <w:t>=</w:t>
      </w:r>
      <w:r w:rsidR="002E765C" w:rsidRPr="00B616BC">
        <w:t> </w:t>
      </w:r>
      <w:r w:rsidRPr="00B616BC">
        <w:t>open label; R</w:t>
      </w:r>
      <w:r w:rsidR="00082584" w:rsidRPr="00B616BC">
        <w:t> </w:t>
      </w:r>
      <w:r w:rsidRPr="00B616BC">
        <w:t>= randomised</w:t>
      </w:r>
      <w:r w:rsidR="008B3D01" w:rsidRPr="00B616BC">
        <w:t xml:space="preserve">; </w:t>
      </w:r>
    </w:p>
    <w:p w:rsidR="00A45C2B" w:rsidRPr="00B616BC" w:rsidRDefault="00A45C2B" w:rsidP="00A45C2B">
      <w:pPr>
        <w:widowControl/>
      </w:pPr>
    </w:p>
    <w:p w:rsidR="00F01450" w:rsidRPr="00B616BC" w:rsidRDefault="009E306F" w:rsidP="007739FB">
      <w:pPr>
        <w:widowControl/>
        <w:numPr>
          <w:ilvl w:val="1"/>
          <w:numId w:val="1"/>
        </w:numPr>
        <w:spacing w:after="120"/>
      </w:pPr>
      <w:r w:rsidRPr="00B616BC">
        <w:t>The PBAC noted that o</w:t>
      </w:r>
      <w:r w:rsidR="00F01450" w:rsidRPr="00B616BC">
        <w:t xml:space="preserve">verall, the trials had a high risk </w:t>
      </w:r>
      <w:r w:rsidR="00F0225D">
        <w:t xml:space="preserve">of </w:t>
      </w:r>
      <w:r w:rsidR="00F01450" w:rsidRPr="00B616BC">
        <w:t>bias as all were open label and</w:t>
      </w:r>
      <w:r w:rsidR="00F21EA0" w:rsidRPr="00B616BC">
        <w:t>,</w:t>
      </w:r>
      <w:r w:rsidR="00F01450" w:rsidRPr="00B616BC">
        <w:t xml:space="preserve"> </w:t>
      </w:r>
      <w:r w:rsidR="008E7BEE" w:rsidRPr="00B616BC">
        <w:t xml:space="preserve">with the exception of Mahey (2016), all </w:t>
      </w:r>
      <w:r w:rsidR="00F21EA0" w:rsidRPr="00B616BC">
        <w:t xml:space="preserve">were </w:t>
      </w:r>
      <w:r w:rsidR="00F01450" w:rsidRPr="00B616BC">
        <w:t>sponsored by pharmaceutical companies</w:t>
      </w:r>
      <w:r w:rsidR="006C0D2C">
        <w:t>.</w:t>
      </w:r>
    </w:p>
    <w:p w:rsidR="009475E3" w:rsidRPr="00B616BC" w:rsidRDefault="009475E3" w:rsidP="007739FB">
      <w:pPr>
        <w:widowControl/>
        <w:numPr>
          <w:ilvl w:val="1"/>
          <w:numId w:val="1"/>
        </w:numPr>
        <w:spacing w:after="120"/>
      </w:pPr>
      <w:r w:rsidRPr="00B616BC">
        <w:t>Patients in the intervention arms of PROVIDE (i.e. ferric derisomaltose)</w:t>
      </w:r>
      <w:r w:rsidR="00C12D62" w:rsidRPr="00B616BC">
        <w:t>,</w:t>
      </w:r>
      <w:r w:rsidRPr="00B616BC">
        <w:t xml:space="preserve"> FERGICor </w:t>
      </w:r>
      <w:r w:rsidR="00C12D62" w:rsidRPr="00B616BC">
        <w:t xml:space="preserve">and REPAIR-IDA </w:t>
      </w:r>
      <w:r w:rsidRPr="00B616BC">
        <w:t>(i.e. ferric carboxymaltose) received significantly higher doses of iron than patients in the comparator arms (i.e. iron sucrose)</w:t>
      </w:r>
      <w:r w:rsidR="00C12D62" w:rsidRPr="00B616BC">
        <w:t xml:space="preserve"> of the trials</w:t>
      </w:r>
      <w:r w:rsidRPr="00B616BC">
        <w:t xml:space="preserve">. </w:t>
      </w:r>
      <w:r w:rsidR="00C12D62" w:rsidRPr="00B616BC">
        <w:t>Therefore</w:t>
      </w:r>
      <w:r w:rsidR="00F21EA0" w:rsidRPr="00B616BC">
        <w:t>,</w:t>
      </w:r>
      <w:r w:rsidR="00C12D62" w:rsidRPr="00B616BC">
        <w:t xml:space="preserve"> t</w:t>
      </w:r>
      <w:r w:rsidRPr="00B616BC">
        <w:t>he results from PROVIDE, FERGICor and REPAIR-IDA were biased in favour of ferric derisomaltose and ferric carboxymaltose.</w:t>
      </w:r>
    </w:p>
    <w:p w:rsidR="00290D6A" w:rsidRPr="00B616BC" w:rsidRDefault="00290D6A" w:rsidP="007739FB">
      <w:pPr>
        <w:widowControl/>
        <w:numPr>
          <w:ilvl w:val="1"/>
          <w:numId w:val="1"/>
        </w:numPr>
        <w:spacing w:after="120"/>
      </w:pPr>
      <w:r w:rsidRPr="00B616BC">
        <w:t xml:space="preserve">The </w:t>
      </w:r>
      <w:r w:rsidR="009E306F" w:rsidRPr="00B616BC">
        <w:t xml:space="preserve">PBAC considered that the </w:t>
      </w:r>
      <w:r w:rsidRPr="00B616BC">
        <w:t xml:space="preserve">key differences </w:t>
      </w:r>
      <w:r w:rsidR="00631BBD" w:rsidRPr="00B616BC">
        <w:t xml:space="preserve">between the trials </w:t>
      </w:r>
      <w:r w:rsidRPr="00B616BC">
        <w:t>that</w:t>
      </w:r>
      <w:r w:rsidR="00631BBD" w:rsidRPr="00B616BC">
        <w:t xml:space="preserve"> </w:t>
      </w:r>
      <w:r w:rsidRPr="00B616BC">
        <w:t xml:space="preserve">may impact on the transitivity were: </w:t>
      </w:r>
    </w:p>
    <w:p w:rsidR="00D53BD5" w:rsidRPr="00B616BC" w:rsidRDefault="00D53BD5" w:rsidP="007739FB">
      <w:pPr>
        <w:pStyle w:val="ListParagraph"/>
        <w:numPr>
          <w:ilvl w:val="1"/>
          <w:numId w:val="9"/>
        </w:numPr>
        <w:spacing w:after="120"/>
        <w:ind w:left="1077" w:hanging="357"/>
      </w:pPr>
      <w:r w:rsidRPr="00B616BC">
        <w:t>Patients in the ferric derisomaltose arm of PROVIDE received higher doses of iron than patients in the ferric carboxymaltose arms of FERGICor and REP</w:t>
      </w:r>
      <w:r w:rsidR="00DF4381" w:rsidRPr="00B616BC">
        <w:t>A</w:t>
      </w:r>
      <w:r w:rsidRPr="00B616BC">
        <w:t>IR-IDA (</w:t>
      </w:r>
      <w:r w:rsidR="00631BBD" w:rsidRPr="00B616BC">
        <w:t xml:space="preserve">mean doses of </w:t>
      </w:r>
      <w:r w:rsidRPr="00B616BC">
        <w:t>1640 mg vs 1377 mg and 1464 mg</w:t>
      </w:r>
      <w:r w:rsidR="00631BBD" w:rsidRPr="00B616BC">
        <w:t xml:space="preserve"> respectively</w:t>
      </w:r>
      <w:r w:rsidRPr="00B616BC">
        <w:t>);</w:t>
      </w:r>
    </w:p>
    <w:p w:rsidR="00D53BD5" w:rsidRPr="00B616BC" w:rsidRDefault="00D53BD5" w:rsidP="007739FB">
      <w:pPr>
        <w:pStyle w:val="ListParagraph"/>
        <w:numPr>
          <w:ilvl w:val="1"/>
          <w:numId w:val="9"/>
        </w:numPr>
        <w:spacing w:after="120"/>
        <w:ind w:left="1077" w:hanging="357"/>
      </w:pPr>
      <w:r w:rsidRPr="00B616BC">
        <w:t>Patients in PROVIDE had a lower baseline</w:t>
      </w:r>
      <w:r w:rsidR="00293220" w:rsidRPr="00B616BC">
        <w:t xml:space="preserve"> haemoglobin</w:t>
      </w:r>
      <w:r w:rsidRPr="00B616BC">
        <w:t xml:space="preserve"> </w:t>
      </w:r>
      <w:r w:rsidR="00293220" w:rsidRPr="00B616BC">
        <w:t>(</w:t>
      </w:r>
      <w:r w:rsidRPr="00B616BC">
        <w:t>Hb</w:t>
      </w:r>
      <w:r w:rsidR="00293220" w:rsidRPr="00B616BC">
        <w:t>)</w:t>
      </w:r>
      <w:r w:rsidRPr="00B616BC">
        <w:t xml:space="preserve"> level (mean </w:t>
      </w:r>
      <w:r w:rsidR="00342C96" w:rsidRPr="00B616BC">
        <w:t>Hb</w:t>
      </w:r>
      <w:r w:rsidR="00F21EA0" w:rsidRPr="00B616BC">
        <w:t xml:space="preserve"> =</w:t>
      </w:r>
      <w:r w:rsidR="00342C96" w:rsidRPr="00B616BC">
        <w:t xml:space="preserve"> 9.4</w:t>
      </w:r>
      <w:r w:rsidRPr="00B616BC">
        <w:t xml:space="preserve"> g/dL) than patients </w:t>
      </w:r>
      <w:r w:rsidR="005C6448" w:rsidRPr="00B616BC">
        <w:t xml:space="preserve">in </w:t>
      </w:r>
      <w:r w:rsidRPr="00B616BC">
        <w:t>FERGICor and REP</w:t>
      </w:r>
      <w:r w:rsidR="00DF4381" w:rsidRPr="00B616BC">
        <w:t>A</w:t>
      </w:r>
      <w:r w:rsidRPr="00B616BC">
        <w:t>IR-IDA (mean Hb</w:t>
      </w:r>
      <w:r w:rsidR="00F21EA0" w:rsidRPr="00B616BC">
        <w:t xml:space="preserve"> =</w:t>
      </w:r>
      <w:r w:rsidRPr="00B616BC">
        <w:t xml:space="preserve"> 10.</w:t>
      </w:r>
      <w:r w:rsidR="00121FF4" w:rsidRPr="00B616BC">
        <w:t>2</w:t>
      </w:r>
      <w:r w:rsidR="003E273C" w:rsidRPr="00B616BC">
        <w:t xml:space="preserve"> </w:t>
      </w:r>
      <w:r w:rsidRPr="00B616BC">
        <w:t>g/dL</w:t>
      </w:r>
      <w:r w:rsidR="00C12D62" w:rsidRPr="00B616BC">
        <w:t xml:space="preserve"> and </w:t>
      </w:r>
      <w:r w:rsidR="00121FF4" w:rsidRPr="00B616BC">
        <w:t xml:space="preserve">10.3 g/dL </w:t>
      </w:r>
      <w:r w:rsidR="00C12D62" w:rsidRPr="00B616BC">
        <w:t>respectively</w:t>
      </w:r>
      <w:r w:rsidRPr="00B616BC">
        <w:t xml:space="preserve">). </w:t>
      </w:r>
      <w:r w:rsidR="00F21EA0" w:rsidRPr="00B616BC">
        <w:t>P</w:t>
      </w:r>
      <w:r w:rsidRPr="00B616BC">
        <w:t xml:space="preserve">atients in Mahey (2016) had </w:t>
      </w:r>
      <w:r w:rsidR="00F21EA0" w:rsidRPr="00B616BC">
        <w:t xml:space="preserve">the </w:t>
      </w:r>
      <w:r w:rsidRPr="00B616BC">
        <w:t>lowe</w:t>
      </w:r>
      <w:r w:rsidR="00F21EA0" w:rsidRPr="00B616BC">
        <w:t>st</w:t>
      </w:r>
      <w:r w:rsidRPr="00B616BC">
        <w:t xml:space="preserve"> baseline Hb levels (mean Hb </w:t>
      </w:r>
      <w:r w:rsidR="00F21EA0" w:rsidRPr="00B616BC">
        <w:t xml:space="preserve">= </w:t>
      </w:r>
      <w:r w:rsidRPr="00B616BC">
        <w:t>7.6 g/dL);</w:t>
      </w:r>
    </w:p>
    <w:p w:rsidR="00982541" w:rsidRPr="00B616BC" w:rsidRDefault="00D53BD5" w:rsidP="007739FB">
      <w:pPr>
        <w:pStyle w:val="ListParagraph"/>
        <w:numPr>
          <w:ilvl w:val="1"/>
          <w:numId w:val="9"/>
        </w:numPr>
        <w:spacing w:after="120"/>
        <w:ind w:left="1077" w:hanging="357"/>
      </w:pPr>
      <w:r w:rsidRPr="00B616BC">
        <w:t xml:space="preserve">The </w:t>
      </w:r>
      <w:r w:rsidR="00121FF4" w:rsidRPr="00B616BC">
        <w:t xml:space="preserve">Hb </w:t>
      </w:r>
      <w:r w:rsidRPr="00B616BC">
        <w:t xml:space="preserve">response rate in the common reference arm of REPAIR-IDA was lower </w:t>
      </w:r>
      <w:r w:rsidRPr="00B616BC">
        <w:lastRenderedPageBreak/>
        <w:t>than the response rate in the common reference arm of PROVIDE (41</w:t>
      </w:r>
      <w:r w:rsidR="005C6448" w:rsidRPr="00B616BC">
        <w:t>%</w:t>
      </w:r>
      <w:r w:rsidRPr="00B616BC">
        <w:t xml:space="preserve"> vs 52%), whilst the response rate w</w:t>
      </w:r>
      <w:r w:rsidR="00F21EA0" w:rsidRPr="00B616BC">
        <w:t>as</w:t>
      </w:r>
      <w:r w:rsidRPr="00B616BC">
        <w:t xml:space="preserve"> higher in the common reference </w:t>
      </w:r>
      <w:r w:rsidR="005C6448" w:rsidRPr="00B616BC">
        <w:t xml:space="preserve">arm </w:t>
      </w:r>
      <w:r w:rsidRPr="00B616BC">
        <w:t>of Mahey (2016) (66%); and</w:t>
      </w:r>
    </w:p>
    <w:p w:rsidR="00F47F4E" w:rsidRPr="00B616BC" w:rsidRDefault="00D53BD5" w:rsidP="00F47F4E">
      <w:pPr>
        <w:pStyle w:val="ListParagraph"/>
        <w:numPr>
          <w:ilvl w:val="1"/>
          <w:numId w:val="9"/>
        </w:numPr>
        <w:spacing w:after="120"/>
        <w:ind w:left="1077" w:hanging="357"/>
      </w:pPr>
      <w:r w:rsidRPr="00B616BC">
        <w:t>The results from the studies in</w:t>
      </w:r>
      <w:r w:rsidR="005C6448" w:rsidRPr="00B616BC">
        <w:t>cluded in</w:t>
      </w:r>
      <w:r w:rsidRPr="00B616BC">
        <w:t xml:space="preserve"> the network </w:t>
      </w:r>
      <w:r w:rsidR="005C6448" w:rsidRPr="00B616BC">
        <w:t xml:space="preserve">analysis </w:t>
      </w:r>
      <w:r w:rsidRPr="00B616BC">
        <w:t xml:space="preserve">were reported at different time points: </w:t>
      </w:r>
      <w:r w:rsidR="005C6448" w:rsidRPr="00B616BC">
        <w:t xml:space="preserve">results for </w:t>
      </w:r>
      <w:r w:rsidRPr="00B616BC">
        <w:t>ferric derisomaltose w</w:t>
      </w:r>
      <w:r w:rsidR="005C6448" w:rsidRPr="00B616BC">
        <w:t>ere</w:t>
      </w:r>
      <w:r w:rsidRPr="00B616BC">
        <w:t xml:space="preserve"> reported at five weeks (PROVIDE) and </w:t>
      </w:r>
      <w:r w:rsidR="005C6448" w:rsidRPr="00B616BC">
        <w:t xml:space="preserve">for </w:t>
      </w:r>
      <w:r w:rsidRPr="00B616BC">
        <w:t>ferric carboxymaltose at eight (REPAIR-IDA) and 12 weeks (FERGICor and Mahey (2016</w:t>
      </w:r>
      <w:r w:rsidR="00C12D62" w:rsidRPr="00B616BC">
        <w:t>)</w:t>
      </w:r>
      <w:r w:rsidRPr="00B616BC">
        <w:t>)</w:t>
      </w:r>
      <w:r w:rsidR="00126AC2" w:rsidRPr="00B616BC">
        <w:t xml:space="preserve">. </w:t>
      </w:r>
      <w:r w:rsidR="00DF3B04" w:rsidRPr="00B616BC">
        <w:t xml:space="preserve">As higher doses of iron may be given </w:t>
      </w:r>
      <w:r w:rsidR="003936FE" w:rsidRPr="00B616BC">
        <w:t xml:space="preserve">in a single infusion </w:t>
      </w:r>
      <w:r w:rsidR="00DF3B04" w:rsidRPr="00B616BC">
        <w:t>with ferric derisomaltose</w:t>
      </w:r>
      <w:r w:rsidR="00E12338" w:rsidRPr="00B616BC">
        <w:t xml:space="preserve"> (up to 1500 mg)</w:t>
      </w:r>
      <w:r w:rsidR="00DF3B04" w:rsidRPr="00B616BC">
        <w:t xml:space="preserve"> and ferric carboxymaltose</w:t>
      </w:r>
      <w:r w:rsidR="00E12338" w:rsidRPr="00B616BC">
        <w:t xml:space="preserve"> (</w:t>
      </w:r>
      <w:r w:rsidR="00A35845" w:rsidRPr="00B616BC">
        <w:t xml:space="preserve">up to </w:t>
      </w:r>
      <w:r w:rsidR="00E12338" w:rsidRPr="00B616BC">
        <w:t>1000 mg</w:t>
      </w:r>
      <w:r w:rsidR="00A35845" w:rsidRPr="00B616BC">
        <w:t>)</w:t>
      </w:r>
      <w:r w:rsidR="00DF3B04" w:rsidRPr="00B616BC">
        <w:t xml:space="preserve"> </w:t>
      </w:r>
      <w:r w:rsidR="003936FE" w:rsidRPr="00B616BC">
        <w:t xml:space="preserve">than with </w:t>
      </w:r>
      <w:r w:rsidR="00DF3B04" w:rsidRPr="00B616BC">
        <w:t>iron sucrose</w:t>
      </w:r>
      <w:r w:rsidR="00E12338" w:rsidRPr="00B616BC">
        <w:t xml:space="preserve"> (up to 200 mg in the trials), </w:t>
      </w:r>
      <w:r w:rsidR="00AC3DF6" w:rsidRPr="00B616BC">
        <w:t>this</w:t>
      </w:r>
      <w:r w:rsidR="00E12338" w:rsidRPr="00B616BC">
        <w:t xml:space="preserve"> would result in a faster response time for </w:t>
      </w:r>
      <w:r w:rsidR="00DD1495" w:rsidRPr="00B616BC">
        <w:t xml:space="preserve">patients treated with </w:t>
      </w:r>
      <w:r w:rsidR="00E12338" w:rsidRPr="00B616BC">
        <w:t>ferric derisomaltose and ferric carboxymaltose</w:t>
      </w:r>
      <w:r w:rsidR="00DD1495" w:rsidRPr="00B616BC">
        <w:t xml:space="preserve"> </w:t>
      </w:r>
      <w:r w:rsidR="00E12338" w:rsidRPr="00B616BC">
        <w:t xml:space="preserve">compared </w:t>
      </w:r>
      <w:r w:rsidR="00DD1495" w:rsidRPr="00B616BC">
        <w:t>to</w:t>
      </w:r>
      <w:r w:rsidR="00E12338" w:rsidRPr="00B616BC">
        <w:t xml:space="preserve"> patients</w:t>
      </w:r>
      <w:r w:rsidR="00DD1495" w:rsidRPr="00B616BC">
        <w:t xml:space="preserve"> treated</w:t>
      </w:r>
      <w:r w:rsidR="002E765C" w:rsidRPr="00B616BC">
        <w:t xml:space="preserve"> with</w:t>
      </w:r>
      <w:r w:rsidR="00DD1495" w:rsidRPr="00B616BC">
        <w:t xml:space="preserve"> iron sucrose</w:t>
      </w:r>
      <w:r w:rsidR="00E12338" w:rsidRPr="00B616BC">
        <w:t>. H</w:t>
      </w:r>
      <w:r w:rsidR="00126AC2" w:rsidRPr="00B616BC">
        <w:t>owever</w:t>
      </w:r>
      <w:r w:rsidR="00DD1495" w:rsidRPr="00B616BC">
        <w:t>, over</w:t>
      </w:r>
      <w:r w:rsidR="00C62897" w:rsidRPr="00B616BC">
        <w:t xml:space="preserve"> </w:t>
      </w:r>
      <w:r w:rsidR="00DD1495" w:rsidRPr="00B616BC">
        <w:t xml:space="preserve">time </w:t>
      </w:r>
      <w:r w:rsidR="00293220" w:rsidRPr="00B616BC">
        <w:t>Hb</w:t>
      </w:r>
      <w:r w:rsidR="003936FE" w:rsidRPr="00B616BC">
        <w:t xml:space="preserve"> levels would converge as patients treated with iron sucrose would eventually </w:t>
      </w:r>
      <w:r w:rsidR="00E12338" w:rsidRPr="00B616BC">
        <w:t>receive equivalent dose</w:t>
      </w:r>
      <w:r w:rsidR="002E765C" w:rsidRPr="00B616BC">
        <w:t>s</w:t>
      </w:r>
      <w:r w:rsidR="00E12338" w:rsidRPr="00B616BC">
        <w:t xml:space="preserve"> of iron</w:t>
      </w:r>
      <w:r w:rsidR="00187204" w:rsidRPr="00B616BC">
        <w:t xml:space="preserve">. </w:t>
      </w:r>
      <w:r w:rsidR="00E12338" w:rsidRPr="00B616BC">
        <w:t>The</w:t>
      </w:r>
      <w:r w:rsidR="00DD1495" w:rsidRPr="00B616BC">
        <w:t xml:space="preserve"> shorter reporting time points in PROVIDE likely biased the results in favour </w:t>
      </w:r>
      <w:r w:rsidR="005C6448" w:rsidRPr="00B616BC">
        <w:t xml:space="preserve">of </w:t>
      </w:r>
      <w:r w:rsidRPr="00B616BC">
        <w:t>ferric derisomaltose.</w:t>
      </w:r>
    </w:p>
    <w:p w:rsidR="00B60939" w:rsidRPr="007739FB" w:rsidRDefault="00B60939" w:rsidP="007739FB">
      <w:pPr>
        <w:pStyle w:val="Heading2"/>
        <w:keepNext/>
        <w:keepLines/>
        <w:spacing w:before="240" w:after="120"/>
        <w:rPr>
          <w:i w:val="0"/>
        </w:rPr>
      </w:pPr>
      <w:bookmarkStart w:id="8" w:name="_Toc511461242"/>
      <w:r w:rsidRPr="00B616BC">
        <w:rPr>
          <w:i w:val="0"/>
        </w:rPr>
        <w:t>Comparative effectiveness</w:t>
      </w:r>
      <w:bookmarkEnd w:id="8"/>
    </w:p>
    <w:p w:rsidR="00290D6A" w:rsidRPr="00B616BC" w:rsidRDefault="00290D6A" w:rsidP="007739FB">
      <w:pPr>
        <w:pStyle w:val="ListParagraph"/>
        <w:keepNext/>
        <w:keepLines/>
        <w:widowControl/>
        <w:numPr>
          <w:ilvl w:val="1"/>
          <w:numId w:val="1"/>
        </w:numPr>
        <w:spacing w:after="120"/>
      </w:pPr>
      <w:r w:rsidRPr="00B616BC">
        <w:t>The primary outcomes for each of the included trials w</w:t>
      </w:r>
      <w:r w:rsidR="005C6448" w:rsidRPr="00B616BC">
        <w:t>ere the</w:t>
      </w:r>
      <w:r w:rsidRPr="00B616BC">
        <w:t xml:space="preserve">: </w:t>
      </w:r>
    </w:p>
    <w:p w:rsidR="00290D6A" w:rsidRPr="00B616BC" w:rsidRDefault="009A05CA" w:rsidP="007739FB">
      <w:pPr>
        <w:pStyle w:val="ListParagraph"/>
        <w:numPr>
          <w:ilvl w:val="1"/>
          <w:numId w:val="9"/>
        </w:numPr>
        <w:spacing w:after="120"/>
      </w:pPr>
      <w:r w:rsidRPr="00B616BC">
        <w:t xml:space="preserve">proportion </w:t>
      </w:r>
      <w:r w:rsidR="00290D6A" w:rsidRPr="00B616BC">
        <w:t>of patients achieving a clinically relevant Hb response (defined in most studies as ≥</w:t>
      </w:r>
      <w:r w:rsidR="005C6448" w:rsidRPr="00B616BC">
        <w:t xml:space="preserve"> </w:t>
      </w:r>
      <w:r w:rsidR="00290D6A" w:rsidRPr="00B616BC">
        <w:t xml:space="preserve">2.0 g/dL </w:t>
      </w:r>
      <w:r w:rsidR="005C6448" w:rsidRPr="00B616BC">
        <w:t xml:space="preserve">increase </w:t>
      </w:r>
      <w:r w:rsidR="00290D6A" w:rsidRPr="00B616BC">
        <w:t>from baseline)</w:t>
      </w:r>
      <w:r w:rsidR="005C6448" w:rsidRPr="00B616BC">
        <w:t>; and</w:t>
      </w:r>
      <w:r w:rsidR="0075231C">
        <w:t xml:space="preserve"> </w:t>
      </w:r>
    </w:p>
    <w:p w:rsidR="00290D6A" w:rsidRPr="00B616BC" w:rsidRDefault="009A05CA" w:rsidP="007739FB">
      <w:pPr>
        <w:pStyle w:val="ListParagraph"/>
        <w:numPr>
          <w:ilvl w:val="1"/>
          <w:numId w:val="9"/>
        </w:numPr>
        <w:spacing w:after="120"/>
      </w:pPr>
      <w:proofErr w:type="gramStart"/>
      <w:r w:rsidRPr="00B616BC">
        <w:t>change</w:t>
      </w:r>
      <w:proofErr w:type="gramEnd"/>
      <w:r w:rsidRPr="00B616BC">
        <w:t xml:space="preserve"> </w:t>
      </w:r>
      <w:r w:rsidR="00290D6A" w:rsidRPr="00B616BC">
        <w:t xml:space="preserve">in </w:t>
      </w:r>
      <w:r w:rsidR="005C6448" w:rsidRPr="00B616BC">
        <w:t>Hb</w:t>
      </w:r>
      <w:r w:rsidR="00290D6A" w:rsidRPr="00B616BC">
        <w:t xml:space="preserve"> levels from baseline (g/</w:t>
      </w:r>
      <w:proofErr w:type="spellStart"/>
      <w:r w:rsidR="00290D6A" w:rsidRPr="00B616BC">
        <w:t>dL</w:t>
      </w:r>
      <w:proofErr w:type="spellEnd"/>
      <w:r w:rsidR="00290D6A" w:rsidRPr="00B616BC">
        <w:t>)</w:t>
      </w:r>
      <w:r w:rsidR="00B858AE" w:rsidRPr="00B616BC">
        <w:t>.</w:t>
      </w:r>
    </w:p>
    <w:p w:rsidR="00290D6A" w:rsidRPr="00B616BC" w:rsidRDefault="00290D6A" w:rsidP="007739FB">
      <w:pPr>
        <w:pStyle w:val="ListParagraph"/>
        <w:widowControl/>
        <w:numPr>
          <w:ilvl w:val="1"/>
          <w:numId w:val="1"/>
        </w:numPr>
        <w:spacing w:after="120"/>
      </w:pPr>
      <w:r w:rsidRPr="00B616BC">
        <w:rPr>
          <w:rFonts w:cs="Calibri"/>
          <w:snapToGrid/>
          <w:szCs w:val="24"/>
          <w:lang w:eastAsia="en-AU"/>
        </w:rPr>
        <w:t>The key efficacy outcomes presented by the submission were appropriate and consistent with the outcomes presented in the ferric carboxymaltose submission (</w:t>
      </w:r>
      <w:r w:rsidR="00D07F83" w:rsidRPr="00B616BC">
        <w:rPr>
          <w:rFonts w:cs="Calibri"/>
          <w:snapToGrid/>
          <w:szCs w:val="24"/>
          <w:lang w:eastAsia="en-AU"/>
        </w:rPr>
        <w:t xml:space="preserve">paragraph </w:t>
      </w:r>
      <w:r w:rsidR="00760AE8" w:rsidRPr="00B616BC">
        <w:rPr>
          <w:rFonts w:cs="Calibri"/>
          <w:snapToGrid/>
          <w:szCs w:val="24"/>
          <w:lang w:eastAsia="en-AU"/>
        </w:rPr>
        <w:t>8</w:t>
      </w:r>
      <w:r w:rsidR="00D07F83" w:rsidRPr="00B616BC">
        <w:rPr>
          <w:rFonts w:cs="Calibri"/>
          <w:snapToGrid/>
          <w:szCs w:val="24"/>
          <w:lang w:eastAsia="en-AU"/>
        </w:rPr>
        <w:t xml:space="preserve">, </w:t>
      </w:r>
      <w:r w:rsidRPr="00B616BC">
        <w:rPr>
          <w:rFonts w:cs="Calibri"/>
          <w:snapToGrid/>
          <w:szCs w:val="24"/>
          <w:lang w:eastAsia="en-AU"/>
        </w:rPr>
        <w:t xml:space="preserve">March 2013 </w:t>
      </w:r>
      <w:r w:rsidR="00190209" w:rsidRPr="00B616BC">
        <w:rPr>
          <w:rFonts w:cs="Calibri"/>
          <w:snapToGrid/>
          <w:szCs w:val="24"/>
          <w:lang w:eastAsia="en-AU"/>
        </w:rPr>
        <w:t>P</w:t>
      </w:r>
      <w:r w:rsidR="00E42D7D" w:rsidRPr="00B616BC">
        <w:rPr>
          <w:rFonts w:cs="Calibri"/>
          <w:snapToGrid/>
          <w:szCs w:val="24"/>
          <w:lang w:eastAsia="en-AU"/>
        </w:rPr>
        <w:t xml:space="preserve">ublic </w:t>
      </w:r>
      <w:r w:rsidR="00190209" w:rsidRPr="00B616BC">
        <w:rPr>
          <w:rFonts w:cs="Calibri"/>
          <w:snapToGrid/>
          <w:szCs w:val="24"/>
          <w:lang w:eastAsia="en-AU"/>
        </w:rPr>
        <w:t>S</w:t>
      </w:r>
      <w:r w:rsidR="00E42D7D" w:rsidRPr="00B616BC">
        <w:rPr>
          <w:rFonts w:cs="Calibri"/>
          <w:snapToGrid/>
          <w:szCs w:val="24"/>
          <w:lang w:eastAsia="en-AU"/>
        </w:rPr>
        <w:t xml:space="preserve">ummary </w:t>
      </w:r>
      <w:r w:rsidR="00190209" w:rsidRPr="00B616BC">
        <w:rPr>
          <w:rFonts w:cs="Calibri"/>
          <w:snapToGrid/>
          <w:szCs w:val="24"/>
          <w:lang w:eastAsia="en-AU"/>
        </w:rPr>
        <w:t>D</w:t>
      </w:r>
      <w:r w:rsidR="00E42D7D" w:rsidRPr="00B616BC">
        <w:rPr>
          <w:rFonts w:cs="Calibri"/>
          <w:snapToGrid/>
          <w:szCs w:val="24"/>
          <w:lang w:eastAsia="en-AU"/>
        </w:rPr>
        <w:t>ocument (PSD)</w:t>
      </w:r>
      <w:r w:rsidR="00190209" w:rsidRPr="00B616BC">
        <w:rPr>
          <w:rFonts w:cs="Calibri"/>
          <w:snapToGrid/>
          <w:szCs w:val="24"/>
          <w:lang w:eastAsia="en-AU"/>
        </w:rPr>
        <w:t xml:space="preserve"> ferric carboxymaltose</w:t>
      </w:r>
      <w:r w:rsidRPr="00B616BC">
        <w:rPr>
          <w:rFonts w:cs="Calibri"/>
          <w:snapToGrid/>
          <w:szCs w:val="24"/>
          <w:lang w:eastAsia="en-AU"/>
        </w:rPr>
        <w:t xml:space="preserve">). </w:t>
      </w:r>
    </w:p>
    <w:p w:rsidR="00290D6A" w:rsidRPr="00B616BC" w:rsidRDefault="00290D6A" w:rsidP="007739FB">
      <w:pPr>
        <w:pStyle w:val="ListParagraph"/>
        <w:widowControl/>
        <w:numPr>
          <w:ilvl w:val="1"/>
          <w:numId w:val="1"/>
        </w:numPr>
        <w:spacing w:after="120"/>
      </w:pPr>
      <w:r w:rsidRPr="00B616BC">
        <w:t>The submission applied non-inferiority (NI) margins of -0.5 g/dL for change in Hb from baseline and -12.5% for the difference in proportion of Hb responders (i.e. increase in Hb of ≥</w:t>
      </w:r>
      <w:r w:rsidR="00332776" w:rsidRPr="00B616BC">
        <w:t xml:space="preserve"> </w:t>
      </w:r>
      <w:r w:rsidRPr="00B616BC">
        <w:t xml:space="preserve">2 g/dL). The submission stated </w:t>
      </w:r>
      <w:r w:rsidR="00B858AE" w:rsidRPr="00B616BC">
        <w:t xml:space="preserve">that </w:t>
      </w:r>
      <w:r w:rsidRPr="00B616BC">
        <w:t>these NI margins were applied as the</w:t>
      </w:r>
      <w:r w:rsidR="00B858AE" w:rsidRPr="00B616BC">
        <w:t>y had previously been accepted by the</w:t>
      </w:r>
      <w:r w:rsidRPr="00B616BC">
        <w:t xml:space="preserve"> PBAC in </w:t>
      </w:r>
      <w:r w:rsidR="00B858AE" w:rsidRPr="00B616BC">
        <w:t xml:space="preserve">consideration of </w:t>
      </w:r>
      <w:r w:rsidRPr="00B616BC">
        <w:t xml:space="preserve">ferric carboxymaltose (paragraph 8, March </w:t>
      </w:r>
      <w:r w:rsidR="00D53BD5" w:rsidRPr="00B616BC">
        <w:t xml:space="preserve">2013 </w:t>
      </w:r>
      <w:r w:rsidRPr="00B616BC">
        <w:t>PSD</w:t>
      </w:r>
      <w:r w:rsidR="00E42D7D" w:rsidRPr="00B616BC">
        <w:t xml:space="preserve"> </w:t>
      </w:r>
      <w:r w:rsidR="00E42D7D" w:rsidRPr="00B616BC">
        <w:rPr>
          <w:rFonts w:cs="Calibri"/>
          <w:snapToGrid/>
          <w:szCs w:val="24"/>
          <w:lang w:eastAsia="en-AU"/>
        </w:rPr>
        <w:t>ferric carboxymaltose</w:t>
      </w:r>
      <w:r w:rsidRPr="00B616BC">
        <w:t>). The proposed NI margins were appropriate.</w:t>
      </w:r>
    </w:p>
    <w:p w:rsidR="00161E65" w:rsidRPr="00B616BC" w:rsidRDefault="00161E65" w:rsidP="007739FB">
      <w:pPr>
        <w:pStyle w:val="PBACHeading1"/>
        <w:numPr>
          <w:ilvl w:val="0"/>
          <w:numId w:val="0"/>
        </w:numPr>
        <w:spacing w:after="120"/>
        <w:rPr>
          <w:b w:val="0"/>
          <w:sz w:val="24"/>
          <w:szCs w:val="24"/>
          <w:u w:val="single"/>
        </w:rPr>
      </w:pPr>
      <w:r w:rsidRPr="00B616BC">
        <w:rPr>
          <w:b w:val="0"/>
          <w:sz w:val="24"/>
          <w:szCs w:val="24"/>
          <w:u w:val="single"/>
        </w:rPr>
        <w:t xml:space="preserve">Ferric derisomaltose vs ferric carboxymaltose (indirect comparison) </w:t>
      </w:r>
    </w:p>
    <w:p w:rsidR="00161E65" w:rsidRPr="00B616BC" w:rsidRDefault="00161E65" w:rsidP="007739FB">
      <w:pPr>
        <w:pStyle w:val="ListParagraph"/>
        <w:widowControl/>
        <w:numPr>
          <w:ilvl w:val="1"/>
          <w:numId w:val="1"/>
        </w:numPr>
        <w:spacing w:after="120"/>
      </w:pPr>
      <w:r w:rsidRPr="00B616BC">
        <w:t>Table 4 presents the results of the indirect comparison between ferric derisomaltose and ferric carboxymaltose for the outcome: proportion of patients achieving a clinically relevant Hb response at the primary endpoint.</w:t>
      </w:r>
    </w:p>
    <w:p w:rsidR="00161E65" w:rsidRPr="00B616BC" w:rsidRDefault="00161E65" w:rsidP="00161E65">
      <w:pPr>
        <w:pStyle w:val="TableHeading0"/>
        <w:rPr>
          <w:rStyle w:val="CommentReference"/>
          <w:b/>
        </w:rPr>
      </w:pPr>
      <w:r w:rsidRPr="00B616BC">
        <w:rPr>
          <w:rStyle w:val="CommentReference"/>
          <w:b/>
        </w:rPr>
        <w:lastRenderedPageBreak/>
        <w:t>Table 4: Results of the indirect comparison: proportion of patients achieving a clinically relevant Hb response at the primary endpoint</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962"/>
        <w:gridCol w:w="1512"/>
        <w:gridCol w:w="1512"/>
        <w:gridCol w:w="1512"/>
        <w:gridCol w:w="1809"/>
      </w:tblGrid>
      <w:tr w:rsidR="00161E65" w:rsidRPr="00B616BC" w:rsidTr="00161E65">
        <w:trPr>
          <w:trHeight w:val="193"/>
          <w:tblHeader/>
          <w:jc w:val="center"/>
        </w:trPr>
        <w:tc>
          <w:tcPr>
            <w:tcW w:w="1727" w:type="dxa"/>
            <w:vMerge w:val="restart"/>
            <w:shd w:val="clear" w:color="auto" w:fill="auto"/>
          </w:tcPr>
          <w:p w:rsidR="00161E65" w:rsidRPr="00B616BC" w:rsidRDefault="00161E65" w:rsidP="00161E65">
            <w:pPr>
              <w:keepNext/>
              <w:keepLines/>
              <w:jc w:val="left"/>
              <w:rPr>
                <w:rStyle w:val="CommentReference"/>
              </w:rPr>
            </w:pPr>
            <w:r w:rsidRPr="00B616BC">
              <w:rPr>
                <w:rStyle w:val="CommentReference"/>
              </w:rPr>
              <w:t>Trial</w:t>
            </w:r>
          </w:p>
        </w:tc>
        <w:tc>
          <w:tcPr>
            <w:tcW w:w="962" w:type="dxa"/>
            <w:vMerge w:val="restart"/>
          </w:tcPr>
          <w:p w:rsidR="00161E65" w:rsidRPr="00B616BC" w:rsidRDefault="00161E65" w:rsidP="00161E65">
            <w:pPr>
              <w:keepNext/>
              <w:keepLines/>
              <w:jc w:val="center"/>
              <w:rPr>
                <w:rStyle w:val="CommentReference"/>
              </w:rPr>
            </w:pPr>
            <w:r w:rsidRPr="00B616BC">
              <w:rPr>
                <w:rStyle w:val="CommentReference"/>
              </w:rPr>
              <w:t>Primary</w:t>
            </w:r>
          </w:p>
          <w:p w:rsidR="00161E65" w:rsidRPr="00B616BC" w:rsidRDefault="00161E65" w:rsidP="00161E65">
            <w:pPr>
              <w:keepNext/>
              <w:keepLines/>
              <w:jc w:val="center"/>
              <w:rPr>
                <w:rStyle w:val="CommentReference"/>
              </w:rPr>
            </w:pPr>
            <w:r w:rsidRPr="00B616BC">
              <w:rPr>
                <w:rStyle w:val="CommentReference"/>
              </w:rPr>
              <w:t>endpoint</w:t>
            </w:r>
          </w:p>
        </w:tc>
        <w:tc>
          <w:tcPr>
            <w:tcW w:w="4536" w:type="dxa"/>
            <w:gridSpan w:val="3"/>
            <w:shd w:val="clear" w:color="auto" w:fill="auto"/>
          </w:tcPr>
          <w:p w:rsidR="00161E65" w:rsidRPr="00B616BC" w:rsidRDefault="00161E65" w:rsidP="00161E65">
            <w:pPr>
              <w:keepNext/>
              <w:keepLines/>
              <w:jc w:val="center"/>
              <w:rPr>
                <w:rStyle w:val="CommentReference"/>
              </w:rPr>
            </w:pPr>
            <w:r w:rsidRPr="00B616BC">
              <w:rPr>
                <w:rStyle w:val="CommentReference"/>
              </w:rPr>
              <w:t>Proportion of Hb responders (n/N)</w:t>
            </w:r>
          </w:p>
        </w:tc>
        <w:tc>
          <w:tcPr>
            <w:tcW w:w="1809" w:type="dxa"/>
            <w:vMerge w:val="restart"/>
            <w:shd w:val="clear" w:color="auto" w:fill="auto"/>
          </w:tcPr>
          <w:p w:rsidR="00161E65" w:rsidRPr="00B616BC" w:rsidRDefault="00161E65" w:rsidP="00161E65">
            <w:pPr>
              <w:keepNext/>
              <w:keepLines/>
              <w:jc w:val="center"/>
              <w:rPr>
                <w:rStyle w:val="CommentReference"/>
              </w:rPr>
            </w:pPr>
            <w:r w:rsidRPr="00B616BC">
              <w:rPr>
                <w:rStyle w:val="CommentReference"/>
              </w:rPr>
              <w:t>Risk difference</w:t>
            </w:r>
          </w:p>
          <w:p w:rsidR="00161E65" w:rsidRPr="00B616BC" w:rsidRDefault="00161E65" w:rsidP="00161E65">
            <w:pPr>
              <w:keepNext/>
              <w:keepLines/>
              <w:jc w:val="center"/>
              <w:rPr>
                <w:rStyle w:val="CommentReference"/>
              </w:rPr>
            </w:pPr>
            <w:r w:rsidRPr="00B616BC">
              <w:rPr>
                <w:rStyle w:val="CommentReference"/>
              </w:rPr>
              <w:t>(95% CI)</w:t>
            </w:r>
          </w:p>
        </w:tc>
      </w:tr>
      <w:tr w:rsidR="00161E65" w:rsidRPr="00B616BC" w:rsidTr="00161E65">
        <w:trPr>
          <w:trHeight w:val="201"/>
          <w:tblHeader/>
          <w:jc w:val="center"/>
        </w:trPr>
        <w:tc>
          <w:tcPr>
            <w:tcW w:w="1727" w:type="dxa"/>
            <w:vMerge/>
            <w:shd w:val="clear" w:color="auto" w:fill="auto"/>
          </w:tcPr>
          <w:p w:rsidR="00161E65" w:rsidRPr="00B616BC" w:rsidRDefault="00161E65" w:rsidP="00161E65">
            <w:pPr>
              <w:keepNext/>
              <w:keepLines/>
              <w:jc w:val="left"/>
              <w:rPr>
                <w:rStyle w:val="CommentReference"/>
              </w:rPr>
            </w:pPr>
          </w:p>
        </w:tc>
        <w:tc>
          <w:tcPr>
            <w:tcW w:w="962" w:type="dxa"/>
            <w:vMerge/>
          </w:tcPr>
          <w:p w:rsidR="00161E65" w:rsidRPr="00B616BC" w:rsidRDefault="00161E65" w:rsidP="00161E65">
            <w:pPr>
              <w:keepNext/>
              <w:keepLines/>
              <w:jc w:val="center"/>
              <w:rPr>
                <w:rStyle w:val="CommentReference"/>
              </w:rPr>
            </w:pPr>
          </w:p>
        </w:tc>
        <w:tc>
          <w:tcPr>
            <w:tcW w:w="1512" w:type="dxa"/>
            <w:shd w:val="clear" w:color="auto" w:fill="auto"/>
          </w:tcPr>
          <w:p w:rsidR="00161E65" w:rsidRPr="00B616BC" w:rsidRDefault="00161E65" w:rsidP="00161E65">
            <w:pPr>
              <w:keepNext/>
              <w:keepLines/>
              <w:jc w:val="center"/>
              <w:rPr>
                <w:rStyle w:val="CommentReference"/>
              </w:rPr>
            </w:pPr>
            <w:r w:rsidRPr="00B616BC">
              <w:rPr>
                <w:rStyle w:val="CommentReference"/>
              </w:rPr>
              <w:t>FD</w:t>
            </w:r>
          </w:p>
        </w:tc>
        <w:tc>
          <w:tcPr>
            <w:tcW w:w="1512" w:type="dxa"/>
            <w:shd w:val="clear" w:color="auto" w:fill="auto"/>
          </w:tcPr>
          <w:p w:rsidR="00161E65" w:rsidRPr="00B616BC" w:rsidRDefault="00161E65" w:rsidP="00161E65">
            <w:pPr>
              <w:keepNext/>
              <w:keepLines/>
              <w:jc w:val="center"/>
              <w:rPr>
                <w:rStyle w:val="CommentReference"/>
              </w:rPr>
            </w:pPr>
            <w:r w:rsidRPr="00B616BC">
              <w:rPr>
                <w:rStyle w:val="CommentReference"/>
              </w:rPr>
              <w:t>IS</w:t>
            </w:r>
          </w:p>
        </w:tc>
        <w:tc>
          <w:tcPr>
            <w:tcW w:w="1512" w:type="dxa"/>
            <w:shd w:val="clear" w:color="auto" w:fill="auto"/>
          </w:tcPr>
          <w:p w:rsidR="00161E65" w:rsidRPr="00B616BC" w:rsidRDefault="00161E65" w:rsidP="00161E65">
            <w:pPr>
              <w:keepNext/>
              <w:keepLines/>
              <w:jc w:val="center"/>
              <w:rPr>
                <w:rStyle w:val="CommentReference"/>
              </w:rPr>
            </w:pPr>
            <w:r w:rsidRPr="00B616BC">
              <w:rPr>
                <w:rStyle w:val="CommentReference"/>
              </w:rPr>
              <w:t>FCM</w:t>
            </w:r>
          </w:p>
        </w:tc>
        <w:tc>
          <w:tcPr>
            <w:tcW w:w="1809" w:type="dxa"/>
            <w:vMerge/>
            <w:shd w:val="clear" w:color="auto" w:fill="auto"/>
          </w:tcPr>
          <w:p w:rsidR="00161E65" w:rsidRPr="00B616BC" w:rsidRDefault="00161E65" w:rsidP="00161E65">
            <w:pPr>
              <w:keepNext/>
              <w:keepLines/>
              <w:jc w:val="center"/>
              <w:rPr>
                <w:rStyle w:val="CommentReference"/>
              </w:rPr>
            </w:pPr>
          </w:p>
        </w:tc>
      </w:tr>
      <w:tr w:rsidR="00161E65" w:rsidRPr="00B616BC" w:rsidTr="00161E65">
        <w:trPr>
          <w:trHeight w:val="193"/>
          <w:jc w:val="center"/>
        </w:trPr>
        <w:tc>
          <w:tcPr>
            <w:tcW w:w="9034" w:type="dxa"/>
            <w:gridSpan w:val="6"/>
            <w:shd w:val="clear" w:color="auto" w:fill="auto"/>
          </w:tcPr>
          <w:p w:rsidR="00161E65" w:rsidRPr="00B616BC" w:rsidRDefault="00161E65" w:rsidP="00161E65">
            <w:pPr>
              <w:keepNext/>
              <w:keepLines/>
              <w:jc w:val="left"/>
              <w:rPr>
                <w:rStyle w:val="CommentReference"/>
              </w:rPr>
            </w:pPr>
            <w:r w:rsidRPr="00B616BC">
              <w:rPr>
                <w:rStyle w:val="CommentReference"/>
              </w:rPr>
              <w:t>Ferric derisomaltose vs iron sucrose</w:t>
            </w:r>
          </w:p>
        </w:tc>
      </w:tr>
      <w:tr w:rsidR="00161E65" w:rsidRPr="00B616BC" w:rsidTr="00161E65">
        <w:trPr>
          <w:trHeight w:val="113"/>
          <w:jc w:val="center"/>
        </w:trPr>
        <w:tc>
          <w:tcPr>
            <w:tcW w:w="1727" w:type="dxa"/>
            <w:shd w:val="clear" w:color="auto" w:fill="auto"/>
          </w:tcPr>
          <w:p w:rsidR="00161E65" w:rsidRPr="00B616BC" w:rsidRDefault="00161E65" w:rsidP="00161E65">
            <w:pPr>
              <w:keepNext/>
              <w:keepLines/>
              <w:jc w:val="left"/>
              <w:rPr>
                <w:rStyle w:val="CommentReference"/>
                <w:b w:val="0"/>
              </w:rPr>
            </w:pPr>
            <w:r w:rsidRPr="00B616BC">
              <w:rPr>
                <w:rStyle w:val="CommentReference"/>
                <w:b w:val="0"/>
              </w:rPr>
              <w:t>PROVIDE</w:t>
            </w:r>
          </w:p>
        </w:tc>
        <w:tc>
          <w:tcPr>
            <w:tcW w:w="962" w:type="dxa"/>
          </w:tcPr>
          <w:p w:rsidR="00161E65" w:rsidRPr="00B616BC" w:rsidRDefault="00161E65" w:rsidP="00161E65">
            <w:pPr>
              <w:keepNext/>
              <w:keepLines/>
              <w:jc w:val="center"/>
              <w:rPr>
                <w:rStyle w:val="CommentReference"/>
                <w:b w:val="0"/>
              </w:rPr>
            </w:pPr>
            <w:r w:rsidRPr="00B616BC">
              <w:rPr>
                <w:rStyle w:val="CommentReference"/>
                <w:b w:val="0"/>
              </w:rPr>
              <w:t>5 weeks</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226 / 330 (69%)</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83/161 (52%)</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w:t>
            </w:r>
          </w:p>
        </w:tc>
        <w:tc>
          <w:tcPr>
            <w:tcW w:w="1809" w:type="dxa"/>
            <w:shd w:val="clear" w:color="auto" w:fill="auto"/>
          </w:tcPr>
          <w:p w:rsidR="00161E65" w:rsidRPr="00B616BC" w:rsidRDefault="00161E65" w:rsidP="00161E65">
            <w:pPr>
              <w:keepNext/>
              <w:keepLines/>
              <w:jc w:val="center"/>
              <w:rPr>
                <w:rStyle w:val="CommentReference"/>
              </w:rPr>
            </w:pPr>
            <w:r w:rsidRPr="00B616BC">
              <w:rPr>
                <w:rStyle w:val="CommentReference"/>
              </w:rPr>
              <w:t>16.7% (7.5; 25.7)</w:t>
            </w:r>
          </w:p>
        </w:tc>
      </w:tr>
      <w:tr w:rsidR="00161E65" w:rsidRPr="00B616BC" w:rsidTr="00161E65">
        <w:trPr>
          <w:trHeight w:val="193"/>
          <w:jc w:val="center"/>
        </w:trPr>
        <w:tc>
          <w:tcPr>
            <w:tcW w:w="9034" w:type="dxa"/>
            <w:gridSpan w:val="6"/>
            <w:shd w:val="clear" w:color="auto" w:fill="auto"/>
          </w:tcPr>
          <w:p w:rsidR="00161E65" w:rsidRPr="00B616BC" w:rsidRDefault="00161E65" w:rsidP="00161E65">
            <w:pPr>
              <w:keepNext/>
              <w:keepLines/>
              <w:jc w:val="left"/>
              <w:rPr>
                <w:rStyle w:val="CommentReference"/>
              </w:rPr>
            </w:pPr>
            <w:r w:rsidRPr="00B616BC">
              <w:rPr>
                <w:rStyle w:val="CommentReference"/>
              </w:rPr>
              <w:t>Ferric carboxymaltose vs iron sucrose</w:t>
            </w:r>
          </w:p>
        </w:tc>
      </w:tr>
      <w:tr w:rsidR="00161E65" w:rsidRPr="00B616BC" w:rsidTr="00161E65">
        <w:trPr>
          <w:trHeight w:val="170"/>
          <w:jc w:val="center"/>
        </w:trPr>
        <w:tc>
          <w:tcPr>
            <w:tcW w:w="1727" w:type="dxa"/>
            <w:shd w:val="clear" w:color="auto" w:fill="auto"/>
          </w:tcPr>
          <w:p w:rsidR="00161E65" w:rsidRPr="00B616BC" w:rsidRDefault="00161E65" w:rsidP="00161E65">
            <w:pPr>
              <w:keepNext/>
              <w:keepLines/>
              <w:jc w:val="left"/>
              <w:rPr>
                <w:rStyle w:val="CommentReference"/>
                <w:b w:val="0"/>
              </w:rPr>
            </w:pPr>
            <w:r w:rsidRPr="00B616BC">
              <w:rPr>
                <w:rStyle w:val="CommentReference"/>
                <w:b w:val="0"/>
              </w:rPr>
              <w:t>FERGICor</w:t>
            </w:r>
          </w:p>
        </w:tc>
        <w:tc>
          <w:tcPr>
            <w:tcW w:w="962" w:type="dxa"/>
          </w:tcPr>
          <w:p w:rsidR="00161E65" w:rsidRPr="00B616BC" w:rsidRDefault="00161E65" w:rsidP="00161E65">
            <w:pPr>
              <w:keepNext/>
              <w:keepLines/>
              <w:jc w:val="center"/>
              <w:rPr>
                <w:rStyle w:val="CommentReference"/>
                <w:b w:val="0"/>
              </w:rPr>
            </w:pPr>
            <w:r w:rsidRPr="00B616BC">
              <w:rPr>
                <w:rStyle w:val="CommentReference"/>
                <w:b w:val="0"/>
              </w:rPr>
              <w:t>12 weeks</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150/240 (66%)</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118/235 (54%)</w:t>
            </w:r>
          </w:p>
        </w:tc>
        <w:tc>
          <w:tcPr>
            <w:tcW w:w="1809" w:type="dxa"/>
            <w:shd w:val="clear" w:color="auto" w:fill="auto"/>
          </w:tcPr>
          <w:p w:rsidR="00161E65" w:rsidRPr="00B616BC" w:rsidRDefault="00161E65" w:rsidP="00161E65">
            <w:pPr>
              <w:keepNext/>
              <w:keepLines/>
              <w:jc w:val="center"/>
              <w:rPr>
                <w:rStyle w:val="CommentReference"/>
              </w:rPr>
            </w:pPr>
            <w:r w:rsidRPr="00B616BC">
              <w:rPr>
                <w:rStyle w:val="CommentReference"/>
              </w:rPr>
              <w:t>12.2% (3.1; 20.1)</w:t>
            </w:r>
          </w:p>
        </w:tc>
      </w:tr>
      <w:tr w:rsidR="00161E65" w:rsidRPr="00B616BC" w:rsidTr="00161E65">
        <w:trPr>
          <w:trHeight w:val="170"/>
          <w:jc w:val="center"/>
        </w:trPr>
        <w:tc>
          <w:tcPr>
            <w:tcW w:w="1727" w:type="dxa"/>
            <w:shd w:val="clear" w:color="auto" w:fill="auto"/>
          </w:tcPr>
          <w:p w:rsidR="00161E65" w:rsidRPr="00B616BC" w:rsidRDefault="00161E65" w:rsidP="00161E65">
            <w:pPr>
              <w:keepNext/>
              <w:keepLines/>
              <w:jc w:val="left"/>
              <w:rPr>
                <w:rStyle w:val="CommentReference"/>
                <w:b w:val="0"/>
              </w:rPr>
            </w:pPr>
            <w:r w:rsidRPr="00B616BC">
              <w:rPr>
                <w:rStyle w:val="CommentReference"/>
                <w:b w:val="0"/>
              </w:rPr>
              <w:t>REPAIR-IDA</w:t>
            </w:r>
          </w:p>
        </w:tc>
        <w:tc>
          <w:tcPr>
            <w:tcW w:w="962" w:type="dxa"/>
          </w:tcPr>
          <w:p w:rsidR="00161E65" w:rsidRPr="00B616BC" w:rsidRDefault="00161E65" w:rsidP="00161E65">
            <w:pPr>
              <w:keepNext/>
              <w:keepLines/>
              <w:jc w:val="center"/>
              <w:rPr>
                <w:rStyle w:val="CommentReference"/>
                <w:b w:val="0"/>
              </w:rPr>
            </w:pPr>
            <w:r w:rsidRPr="00B616BC">
              <w:rPr>
                <w:rStyle w:val="CommentReference"/>
                <w:b w:val="0"/>
              </w:rPr>
              <w:t>8 weeks</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607/1249 (49%)</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510/1244 (41%)</w:t>
            </w:r>
          </w:p>
        </w:tc>
        <w:tc>
          <w:tcPr>
            <w:tcW w:w="1809" w:type="dxa"/>
            <w:shd w:val="clear" w:color="auto" w:fill="auto"/>
          </w:tcPr>
          <w:p w:rsidR="00161E65" w:rsidRPr="00B616BC" w:rsidRDefault="00161E65" w:rsidP="00161E65">
            <w:pPr>
              <w:keepNext/>
              <w:keepLines/>
              <w:jc w:val="center"/>
              <w:rPr>
                <w:rStyle w:val="CommentReference"/>
              </w:rPr>
            </w:pPr>
            <w:r w:rsidRPr="00B616BC">
              <w:rPr>
                <w:rStyle w:val="CommentReference"/>
              </w:rPr>
              <w:t>7.6% (3.6; 11.6)</w:t>
            </w:r>
          </w:p>
        </w:tc>
      </w:tr>
      <w:tr w:rsidR="00161E65" w:rsidRPr="00B616BC" w:rsidTr="00161E65">
        <w:trPr>
          <w:trHeight w:val="170"/>
          <w:jc w:val="center"/>
        </w:trPr>
        <w:tc>
          <w:tcPr>
            <w:tcW w:w="1727" w:type="dxa"/>
            <w:shd w:val="clear" w:color="auto" w:fill="auto"/>
          </w:tcPr>
          <w:p w:rsidR="00161E65" w:rsidRPr="00B616BC" w:rsidRDefault="00161E65" w:rsidP="00161E65">
            <w:pPr>
              <w:keepNext/>
              <w:keepLines/>
              <w:jc w:val="left"/>
              <w:rPr>
                <w:rStyle w:val="CommentReference"/>
                <w:b w:val="0"/>
              </w:rPr>
            </w:pPr>
            <w:r w:rsidRPr="00B616BC">
              <w:rPr>
                <w:rStyle w:val="CommentReference"/>
                <w:b w:val="0"/>
              </w:rPr>
              <w:t>Mahey (2016)</w:t>
            </w:r>
          </w:p>
        </w:tc>
        <w:tc>
          <w:tcPr>
            <w:tcW w:w="962" w:type="dxa"/>
          </w:tcPr>
          <w:p w:rsidR="00161E65" w:rsidRPr="00B616BC" w:rsidRDefault="00161E65" w:rsidP="00161E65">
            <w:pPr>
              <w:keepNext/>
              <w:keepLines/>
              <w:jc w:val="center"/>
              <w:rPr>
                <w:rStyle w:val="CommentReference"/>
                <w:b w:val="0"/>
              </w:rPr>
            </w:pPr>
            <w:r w:rsidRPr="00B616BC">
              <w:rPr>
                <w:rStyle w:val="CommentReference"/>
                <w:b w:val="0"/>
              </w:rPr>
              <w:t>12 weeks</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w:t>
            </w:r>
          </w:p>
        </w:tc>
        <w:tc>
          <w:tcPr>
            <w:tcW w:w="1512" w:type="dxa"/>
            <w:shd w:val="clear" w:color="auto" w:fill="auto"/>
            <w:tcMar>
              <w:left w:w="28" w:type="dxa"/>
              <w:right w:w="28" w:type="dxa"/>
            </w:tcMar>
          </w:tcPr>
          <w:p w:rsidR="00161E65" w:rsidRPr="00B616BC" w:rsidRDefault="00161E65" w:rsidP="00161E65">
            <w:pPr>
              <w:keepNext/>
              <w:keepLines/>
              <w:jc w:val="center"/>
              <w:rPr>
                <w:rStyle w:val="CommentReference"/>
                <w:b w:val="0"/>
              </w:rPr>
            </w:pPr>
            <w:r w:rsidRPr="00B616BC">
              <w:rPr>
                <w:rStyle w:val="CommentReference"/>
                <w:b w:val="0"/>
              </w:rPr>
              <w:t>22/29 (75%)</w:t>
            </w:r>
          </w:p>
        </w:tc>
        <w:tc>
          <w:tcPr>
            <w:tcW w:w="1512"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19/29 (66%)</w:t>
            </w:r>
          </w:p>
        </w:tc>
        <w:tc>
          <w:tcPr>
            <w:tcW w:w="1809" w:type="dxa"/>
            <w:shd w:val="clear" w:color="auto" w:fill="auto"/>
          </w:tcPr>
          <w:p w:rsidR="00161E65" w:rsidRPr="00B616BC" w:rsidRDefault="00161E65" w:rsidP="00161E65">
            <w:pPr>
              <w:keepNext/>
              <w:keepLines/>
              <w:jc w:val="center"/>
              <w:rPr>
                <w:rStyle w:val="CommentReference"/>
                <w:b w:val="0"/>
                <w:i/>
              </w:rPr>
            </w:pPr>
            <w:r w:rsidRPr="00B616BC">
              <w:rPr>
                <w:rStyle w:val="CommentReference"/>
                <w:b w:val="0"/>
                <w:i/>
              </w:rPr>
              <w:t>10.3% (-12.9; 36.6)</w:t>
            </w:r>
          </w:p>
        </w:tc>
      </w:tr>
      <w:tr w:rsidR="00161E65" w:rsidRPr="00B616BC" w:rsidTr="00161E65">
        <w:trPr>
          <w:trHeight w:val="193"/>
          <w:jc w:val="center"/>
        </w:trPr>
        <w:tc>
          <w:tcPr>
            <w:tcW w:w="7225" w:type="dxa"/>
            <w:gridSpan w:val="5"/>
            <w:shd w:val="clear" w:color="auto" w:fill="auto"/>
          </w:tcPr>
          <w:p w:rsidR="00161E65" w:rsidRPr="00B616BC" w:rsidRDefault="00161E65" w:rsidP="00161E65">
            <w:pPr>
              <w:keepNext/>
              <w:keepLines/>
              <w:jc w:val="left"/>
              <w:rPr>
                <w:rStyle w:val="CommentReference"/>
                <w:b w:val="0"/>
              </w:rPr>
            </w:pPr>
            <w:r w:rsidRPr="00B616BC">
              <w:rPr>
                <w:rStyle w:val="CommentReference"/>
                <w:b w:val="0"/>
              </w:rPr>
              <w:t>Pooled Result: FCM vs IS (Chi</w:t>
            </w:r>
            <w:r w:rsidRPr="00B616BC">
              <w:rPr>
                <w:rStyle w:val="CommentReference"/>
                <w:b w:val="0"/>
                <w:vertAlign w:val="superscript"/>
              </w:rPr>
              <w:t>2</w:t>
            </w:r>
            <w:r w:rsidRPr="00B616BC">
              <w:rPr>
                <w:rStyle w:val="CommentReference"/>
                <w:b w:val="0"/>
              </w:rPr>
              <w:t xml:space="preserve"> p-value =0.63; I</w:t>
            </w:r>
            <w:r w:rsidRPr="00B616BC">
              <w:rPr>
                <w:rStyle w:val="CommentReference"/>
                <w:b w:val="0"/>
                <w:vertAlign w:val="superscript"/>
              </w:rPr>
              <w:t>2</w:t>
            </w:r>
            <w:r w:rsidRPr="00B616BC">
              <w:rPr>
                <w:rStyle w:val="CommentReference"/>
                <w:b w:val="0"/>
              </w:rPr>
              <w:t xml:space="preserve"> = 0%)</w:t>
            </w:r>
          </w:p>
        </w:tc>
        <w:tc>
          <w:tcPr>
            <w:tcW w:w="1809" w:type="dxa"/>
            <w:shd w:val="clear" w:color="auto" w:fill="auto"/>
          </w:tcPr>
          <w:p w:rsidR="00161E65" w:rsidRPr="00B616BC" w:rsidRDefault="00161E65" w:rsidP="00161E65">
            <w:pPr>
              <w:keepNext/>
              <w:keepLines/>
              <w:jc w:val="center"/>
              <w:rPr>
                <w:rStyle w:val="CommentReference"/>
              </w:rPr>
            </w:pPr>
            <w:r w:rsidRPr="00B616BC">
              <w:rPr>
                <w:rStyle w:val="CommentReference"/>
              </w:rPr>
              <w:t>8.0% (5.0; 12.0)</w:t>
            </w:r>
          </w:p>
        </w:tc>
      </w:tr>
      <w:tr w:rsidR="00161E65" w:rsidRPr="00B616BC" w:rsidTr="00161E65">
        <w:trPr>
          <w:trHeight w:val="247"/>
          <w:jc w:val="center"/>
        </w:trPr>
        <w:tc>
          <w:tcPr>
            <w:tcW w:w="7225" w:type="dxa"/>
            <w:gridSpan w:val="5"/>
          </w:tcPr>
          <w:p w:rsidR="00161E65" w:rsidRPr="00B616BC" w:rsidRDefault="00161E65" w:rsidP="00161E65">
            <w:pPr>
              <w:keepNext/>
              <w:keepLines/>
              <w:jc w:val="left"/>
              <w:rPr>
                <w:rStyle w:val="CommentReference"/>
                <w:b w:val="0"/>
              </w:rPr>
            </w:pPr>
            <w:r w:rsidRPr="00B616BC">
              <w:rPr>
                <w:rStyle w:val="CommentReference"/>
                <w:b w:val="0"/>
              </w:rPr>
              <w:t>Indirect Comparison (95% CI): FD vs FCM</w:t>
            </w:r>
          </w:p>
        </w:tc>
        <w:tc>
          <w:tcPr>
            <w:tcW w:w="1809"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8.5% (-1.3; 18.3)</w:t>
            </w:r>
          </w:p>
        </w:tc>
      </w:tr>
      <w:tr w:rsidR="00161E65" w:rsidRPr="00B616BC" w:rsidTr="00161E65">
        <w:trPr>
          <w:trHeight w:val="247"/>
          <w:jc w:val="center"/>
        </w:trPr>
        <w:tc>
          <w:tcPr>
            <w:tcW w:w="7225" w:type="dxa"/>
            <w:gridSpan w:val="5"/>
          </w:tcPr>
          <w:p w:rsidR="00161E65" w:rsidRPr="00B616BC" w:rsidRDefault="00161E65" w:rsidP="00161E65">
            <w:pPr>
              <w:keepNext/>
              <w:keepLines/>
              <w:jc w:val="left"/>
              <w:rPr>
                <w:rStyle w:val="CommentReference"/>
                <w:b w:val="0"/>
              </w:rPr>
            </w:pPr>
            <w:r w:rsidRPr="00B616BC">
              <w:rPr>
                <w:rStyle w:val="CommentReference"/>
                <w:b w:val="0"/>
              </w:rPr>
              <w:t>NI margin</w:t>
            </w:r>
          </w:p>
        </w:tc>
        <w:tc>
          <w:tcPr>
            <w:tcW w:w="1809" w:type="dxa"/>
            <w:shd w:val="clear" w:color="auto" w:fill="auto"/>
          </w:tcPr>
          <w:p w:rsidR="00161E65" w:rsidRPr="00B616BC" w:rsidRDefault="00161E65" w:rsidP="00161E65">
            <w:pPr>
              <w:keepNext/>
              <w:keepLines/>
              <w:jc w:val="center"/>
              <w:rPr>
                <w:rStyle w:val="CommentReference"/>
                <w:b w:val="0"/>
              </w:rPr>
            </w:pPr>
            <w:r w:rsidRPr="00B616BC">
              <w:rPr>
                <w:rStyle w:val="CommentReference"/>
                <w:b w:val="0"/>
              </w:rPr>
              <w:t>-12.5%</w:t>
            </w:r>
          </w:p>
        </w:tc>
      </w:tr>
    </w:tbl>
    <w:p w:rsidR="00161E65" w:rsidRPr="00B616BC" w:rsidRDefault="00161E65" w:rsidP="00161E65">
      <w:pPr>
        <w:pStyle w:val="TableFooter"/>
        <w:rPr>
          <w:rStyle w:val="CommentReference"/>
          <w:b w:val="0"/>
          <w:sz w:val="18"/>
          <w:szCs w:val="22"/>
        </w:rPr>
      </w:pPr>
      <w:r w:rsidRPr="00B616BC">
        <w:rPr>
          <w:rStyle w:val="CommentReference"/>
          <w:b w:val="0"/>
          <w:sz w:val="18"/>
          <w:szCs w:val="22"/>
        </w:rPr>
        <w:t xml:space="preserve">Source: Table 2-17, p29; Tables 2-19-2-20; pp31-32; Table 2-21, p32, Figure 2.8, p46 and Table 2-36, p49 of the submission </w:t>
      </w:r>
    </w:p>
    <w:p w:rsidR="00161E65" w:rsidRPr="00B616BC" w:rsidRDefault="00161E65" w:rsidP="00161E65">
      <w:pPr>
        <w:pStyle w:val="TableFooter"/>
        <w:rPr>
          <w:rStyle w:val="CommentReference"/>
          <w:b w:val="0"/>
          <w:sz w:val="18"/>
          <w:szCs w:val="22"/>
        </w:rPr>
      </w:pPr>
      <w:r w:rsidRPr="00B616BC">
        <w:rPr>
          <w:rStyle w:val="CommentReference"/>
          <w:b w:val="0"/>
          <w:sz w:val="18"/>
          <w:szCs w:val="22"/>
        </w:rPr>
        <w:t xml:space="preserve">CI = confidence interval; FCM = ferric carboxymaltose; FD = ferric derisomaltose; Hb = haemoglobin; IS = iron sucrose; </w:t>
      </w:r>
      <w:r w:rsidRPr="00B616BC">
        <w:t>n = number of participants with event; N = total participants in group</w:t>
      </w:r>
      <w:r w:rsidRPr="00B616BC">
        <w:rPr>
          <w:rStyle w:val="CommentReference"/>
          <w:b w:val="0"/>
          <w:sz w:val="18"/>
          <w:szCs w:val="22"/>
        </w:rPr>
        <w:t xml:space="preserve">; </w:t>
      </w:r>
      <w:r w:rsidRPr="00B616BC">
        <w:rPr>
          <w:rStyle w:val="CommentReference"/>
          <w:sz w:val="18"/>
          <w:szCs w:val="22"/>
        </w:rPr>
        <w:t xml:space="preserve">bold </w:t>
      </w:r>
      <w:r w:rsidRPr="00B616BC">
        <w:rPr>
          <w:rStyle w:val="CommentReference"/>
          <w:b w:val="0"/>
          <w:sz w:val="18"/>
          <w:szCs w:val="22"/>
        </w:rPr>
        <w:t xml:space="preserve">= statistically significant; </w:t>
      </w:r>
      <w:r w:rsidRPr="00B616BC">
        <w:rPr>
          <w:rStyle w:val="CommentReference"/>
          <w:b w:val="0"/>
          <w:i/>
          <w:sz w:val="18"/>
          <w:szCs w:val="22"/>
        </w:rPr>
        <w:t>italics</w:t>
      </w:r>
      <w:r w:rsidRPr="00B616BC">
        <w:rPr>
          <w:rStyle w:val="CommentReference"/>
          <w:b w:val="0"/>
          <w:sz w:val="18"/>
          <w:szCs w:val="22"/>
        </w:rPr>
        <w:t xml:space="preserve"> = calculated during evaluation </w:t>
      </w:r>
    </w:p>
    <w:p w:rsidR="00161E65" w:rsidRPr="00B616BC" w:rsidRDefault="00161E65" w:rsidP="00161E65">
      <w:pPr>
        <w:pStyle w:val="PBACHeading1"/>
        <w:numPr>
          <w:ilvl w:val="0"/>
          <w:numId w:val="0"/>
        </w:numPr>
        <w:rPr>
          <w:rFonts w:ascii="Arial Narrow" w:hAnsi="Arial Narrow"/>
          <w:b w:val="0"/>
          <w:sz w:val="20"/>
          <w:szCs w:val="16"/>
        </w:rPr>
      </w:pPr>
    </w:p>
    <w:p w:rsidR="00161E65" w:rsidRPr="00B616BC" w:rsidRDefault="00161E65" w:rsidP="001B5CF6">
      <w:pPr>
        <w:pStyle w:val="ListParagraph"/>
        <w:widowControl/>
        <w:numPr>
          <w:ilvl w:val="1"/>
          <w:numId w:val="1"/>
        </w:numPr>
        <w:spacing w:after="120"/>
        <w:rPr>
          <w:i/>
        </w:rPr>
      </w:pPr>
      <w:r w:rsidRPr="00B616BC">
        <w:t>The risk difference in response rates between ferric derisomaltose and ferric carboxymaltose was 8.5% (95% confidence interval (CI): -1.3%; 18.3%). As the lower bound of the 95% CI was above the NI margin of -12.5%, the submission claimed non-inferiority for ferric derisomaltose. This may not be reasonable given the high level of clinical heterogeneity between trials and the transitivity issues identified by the evaluation.</w:t>
      </w:r>
      <w:r w:rsidRPr="00B616BC">
        <w:rPr>
          <w:i/>
        </w:rPr>
        <w:t xml:space="preserve"> </w:t>
      </w:r>
    </w:p>
    <w:p w:rsidR="00161E65" w:rsidRPr="00B616BC" w:rsidRDefault="00161E65" w:rsidP="001B5CF6">
      <w:pPr>
        <w:pStyle w:val="ListParagraph"/>
        <w:widowControl/>
        <w:numPr>
          <w:ilvl w:val="1"/>
          <w:numId w:val="1"/>
        </w:numPr>
        <w:spacing w:after="120"/>
      </w:pPr>
      <w:r w:rsidRPr="00B616BC">
        <w:t>Table 5 presents the results of the indirect comparison between ferric derisomaltose and ferric carboxymaltose for the outcome: mean change in Hb level from baseline at the primary endpoint.</w:t>
      </w:r>
    </w:p>
    <w:p w:rsidR="00161E65" w:rsidRPr="00B616BC" w:rsidRDefault="00161E65" w:rsidP="00161E65">
      <w:pPr>
        <w:keepNext/>
        <w:keepLines/>
      </w:pPr>
      <w:r w:rsidRPr="00B616BC">
        <w:rPr>
          <w:rStyle w:val="CommentReference"/>
        </w:rPr>
        <w:t>Table 5: Results of the indirect comparison: mean change in Hb (g/dL)</w:t>
      </w:r>
      <w:r w:rsidRPr="00B616BC">
        <w:rPr>
          <w:rStyle w:val="CommentReference"/>
          <w:b w:val="0"/>
          <w:i/>
        </w:rPr>
        <w:t xml:space="preserve"> </w:t>
      </w:r>
      <w:r w:rsidRPr="00B616BC">
        <w:rPr>
          <w:rStyle w:val="CommentReference"/>
        </w:rPr>
        <w:t>level from baseline at the primary endpoint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056"/>
        <w:gridCol w:w="1186"/>
        <w:gridCol w:w="1186"/>
        <w:gridCol w:w="1186"/>
        <w:gridCol w:w="2977"/>
      </w:tblGrid>
      <w:tr w:rsidR="00161E65" w:rsidRPr="00B616BC" w:rsidTr="00161E65">
        <w:trPr>
          <w:trHeight w:val="194"/>
          <w:tblHeader/>
          <w:jc w:val="center"/>
        </w:trPr>
        <w:tc>
          <w:tcPr>
            <w:tcW w:w="1345" w:type="dxa"/>
            <w:vMerge w:val="restart"/>
            <w:shd w:val="clear" w:color="auto" w:fill="auto"/>
            <w:vAlign w:val="center"/>
          </w:tcPr>
          <w:p w:rsidR="00161E65" w:rsidRPr="00B616BC" w:rsidRDefault="00161E65" w:rsidP="00161E65">
            <w:pPr>
              <w:pStyle w:val="Tabletext"/>
              <w:keepNext/>
              <w:keepLines/>
              <w:rPr>
                <w:b/>
              </w:rPr>
            </w:pPr>
            <w:r w:rsidRPr="00B616BC">
              <w:rPr>
                <w:b/>
              </w:rPr>
              <w:t>Trial</w:t>
            </w:r>
          </w:p>
        </w:tc>
        <w:tc>
          <w:tcPr>
            <w:tcW w:w="1056" w:type="dxa"/>
            <w:vMerge w:val="restart"/>
            <w:vAlign w:val="center"/>
          </w:tcPr>
          <w:p w:rsidR="00161E65" w:rsidRPr="00B616BC" w:rsidRDefault="00161E65" w:rsidP="00161E65">
            <w:pPr>
              <w:pStyle w:val="Tabletext"/>
              <w:keepNext/>
              <w:keepLines/>
              <w:jc w:val="center"/>
              <w:rPr>
                <w:b/>
              </w:rPr>
            </w:pPr>
            <w:r w:rsidRPr="00B616BC">
              <w:rPr>
                <w:b/>
              </w:rPr>
              <w:t>Primary</w:t>
            </w:r>
          </w:p>
          <w:p w:rsidR="00161E65" w:rsidRPr="00B616BC" w:rsidRDefault="00161E65" w:rsidP="00161E65">
            <w:pPr>
              <w:pStyle w:val="Tabletext"/>
              <w:keepNext/>
              <w:keepLines/>
              <w:jc w:val="center"/>
              <w:rPr>
                <w:b/>
              </w:rPr>
            </w:pPr>
            <w:r w:rsidRPr="00B616BC">
              <w:rPr>
                <w:b/>
              </w:rPr>
              <w:t>Endpoint</w:t>
            </w:r>
          </w:p>
        </w:tc>
        <w:tc>
          <w:tcPr>
            <w:tcW w:w="3558" w:type="dxa"/>
            <w:gridSpan w:val="3"/>
            <w:shd w:val="clear" w:color="auto" w:fill="auto"/>
            <w:vAlign w:val="center"/>
          </w:tcPr>
          <w:p w:rsidR="00161E65" w:rsidRPr="00B616BC" w:rsidRDefault="00161E65" w:rsidP="00161E65">
            <w:pPr>
              <w:pStyle w:val="Tabletext"/>
              <w:keepNext/>
              <w:keepLines/>
              <w:jc w:val="center"/>
              <w:rPr>
                <w:b/>
              </w:rPr>
            </w:pPr>
            <w:r w:rsidRPr="00B616BC">
              <w:rPr>
                <w:b/>
              </w:rPr>
              <w:t>Mean change in Hb level (g/dL) from baseline (SD)</w:t>
            </w:r>
          </w:p>
        </w:tc>
        <w:tc>
          <w:tcPr>
            <w:tcW w:w="2977" w:type="dxa"/>
            <w:vMerge w:val="restart"/>
            <w:shd w:val="clear" w:color="auto" w:fill="auto"/>
            <w:vAlign w:val="center"/>
          </w:tcPr>
          <w:p w:rsidR="00161E65" w:rsidRPr="00B616BC" w:rsidRDefault="00161E65" w:rsidP="00161E65">
            <w:pPr>
              <w:pStyle w:val="Tabletext"/>
              <w:keepNext/>
              <w:keepLines/>
              <w:jc w:val="center"/>
              <w:rPr>
                <w:b/>
              </w:rPr>
            </w:pPr>
            <w:r w:rsidRPr="00B616BC">
              <w:rPr>
                <w:b/>
              </w:rPr>
              <w:t>Mean difference, g/dL</w:t>
            </w:r>
          </w:p>
          <w:p w:rsidR="00161E65" w:rsidRPr="00B616BC" w:rsidRDefault="00161E65" w:rsidP="00161E65">
            <w:pPr>
              <w:pStyle w:val="Tabletext"/>
              <w:keepNext/>
              <w:keepLines/>
              <w:jc w:val="center"/>
              <w:rPr>
                <w:b/>
              </w:rPr>
            </w:pPr>
            <w:r w:rsidRPr="00B616BC">
              <w:rPr>
                <w:b/>
              </w:rPr>
              <w:t>(95% CI)</w:t>
            </w:r>
          </w:p>
        </w:tc>
      </w:tr>
      <w:tr w:rsidR="00161E65" w:rsidRPr="00B616BC" w:rsidTr="00161E65">
        <w:trPr>
          <w:trHeight w:val="202"/>
          <w:tblHeader/>
          <w:jc w:val="center"/>
        </w:trPr>
        <w:tc>
          <w:tcPr>
            <w:tcW w:w="1345" w:type="dxa"/>
            <w:vMerge/>
            <w:shd w:val="clear" w:color="auto" w:fill="auto"/>
            <w:vAlign w:val="center"/>
          </w:tcPr>
          <w:p w:rsidR="00161E65" w:rsidRPr="00B616BC" w:rsidRDefault="00161E65" w:rsidP="00161E65">
            <w:pPr>
              <w:pStyle w:val="Tabletext"/>
              <w:keepNext/>
              <w:keepLines/>
            </w:pPr>
          </w:p>
        </w:tc>
        <w:tc>
          <w:tcPr>
            <w:tcW w:w="1056" w:type="dxa"/>
            <w:vMerge/>
          </w:tcPr>
          <w:p w:rsidR="00161E65" w:rsidRPr="00B616BC" w:rsidRDefault="00161E65" w:rsidP="00161E65">
            <w:pPr>
              <w:pStyle w:val="Tabletext"/>
              <w:keepNext/>
              <w:keepLines/>
              <w:jc w:val="center"/>
              <w:rPr>
                <w:b/>
              </w:rPr>
            </w:pPr>
          </w:p>
        </w:tc>
        <w:tc>
          <w:tcPr>
            <w:tcW w:w="1186" w:type="dxa"/>
            <w:shd w:val="clear" w:color="auto" w:fill="auto"/>
            <w:vAlign w:val="center"/>
          </w:tcPr>
          <w:p w:rsidR="00161E65" w:rsidRPr="00B616BC" w:rsidRDefault="00161E65" w:rsidP="00161E65">
            <w:pPr>
              <w:pStyle w:val="Tabletext"/>
              <w:keepNext/>
              <w:keepLines/>
              <w:jc w:val="center"/>
              <w:rPr>
                <w:b/>
              </w:rPr>
            </w:pPr>
            <w:r w:rsidRPr="00B616BC">
              <w:rPr>
                <w:b/>
              </w:rPr>
              <w:t xml:space="preserve">FD </w:t>
            </w:r>
          </w:p>
        </w:tc>
        <w:tc>
          <w:tcPr>
            <w:tcW w:w="1186" w:type="dxa"/>
            <w:shd w:val="clear" w:color="auto" w:fill="auto"/>
            <w:vAlign w:val="center"/>
          </w:tcPr>
          <w:p w:rsidR="00161E65" w:rsidRPr="00B616BC" w:rsidRDefault="00161E65" w:rsidP="00161E65">
            <w:pPr>
              <w:pStyle w:val="Tabletext"/>
              <w:keepNext/>
              <w:keepLines/>
              <w:jc w:val="center"/>
              <w:rPr>
                <w:b/>
              </w:rPr>
            </w:pPr>
            <w:r w:rsidRPr="00B616BC">
              <w:rPr>
                <w:b/>
              </w:rPr>
              <w:t>IS</w:t>
            </w:r>
          </w:p>
        </w:tc>
        <w:tc>
          <w:tcPr>
            <w:tcW w:w="1186" w:type="dxa"/>
            <w:shd w:val="clear" w:color="auto" w:fill="auto"/>
            <w:vAlign w:val="center"/>
          </w:tcPr>
          <w:p w:rsidR="00161E65" w:rsidRPr="00B616BC" w:rsidRDefault="00161E65" w:rsidP="00161E65">
            <w:pPr>
              <w:pStyle w:val="Tabletext"/>
              <w:keepNext/>
              <w:keepLines/>
              <w:jc w:val="center"/>
              <w:rPr>
                <w:b/>
              </w:rPr>
            </w:pPr>
            <w:r w:rsidRPr="00B616BC">
              <w:rPr>
                <w:b/>
              </w:rPr>
              <w:t xml:space="preserve">FCM </w:t>
            </w:r>
          </w:p>
        </w:tc>
        <w:tc>
          <w:tcPr>
            <w:tcW w:w="2977" w:type="dxa"/>
            <w:vMerge/>
            <w:shd w:val="clear" w:color="auto" w:fill="auto"/>
            <w:vAlign w:val="center"/>
          </w:tcPr>
          <w:p w:rsidR="00161E65" w:rsidRPr="00B616BC" w:rsidRDefault="00161E65" w:rsidP="00161E65">
            <w:pPr>
              <w:pStyle w:val="Tabletext"/>
              <w:keepNext/>
              <w:keepLines/>
              <w:jc w:val="center"/>
            </w:pPr>
          </w:p>
        </w:tc>
      </w:tr>
      <w:tr w:rsidR="00161E65" w:rsidRPr="00B616BC" w:rsidTr="00161E65">
        <w:trPr>
          <w:trHeight w:val="194"/>
          <w:jc w:val="center"/>
        </w:trPr>
        <w:tc>
          <w:tcPr>
            <w:tcW w:w="8936" w:type="dxa"/>
            <w:gridSpan w:val="6"/>
            <w:shd w:val="clear" w:color="auto" w:fill="auto"/>
            <w:vAlign w:val="center"/>
          </w:tcPr>
          <w:p w:rsidR="00161E65" w:rsidRPr="00B616BC" w:rsidRDefault="00161E65" w:rsidP="00161E65">
            <w:pPr>
              <w:pStyle w:val="Tabletext"/>
              <w:keepNext/>
              <w:keepLines/>
              <w:rPr>
                <w:b/>
              </w:rPr>
            </w:pPr>
            <w:r w:rsidRPr="00B616BC">
              <w:rPr>
                <w:b/>
              </w:rPr>
              <w:t>Ferric derisomaltose vs iron sucrose</w:t>
            </w:r>
          </w:p>
        </w:tc>
      </w:tr>
      <w:tr w:rsidR="00161E65" w:rsidRPr="00B616BC" w:rsidTr="00161E65">
        <w:trPr>
          <w:trHeight w:val="389"/>
          <w:jc w:val="center"/>
        </w:trPr>
        <w:tc>
          <w:tcPr>
            <w:tcW w:w="1345" w:type="dxa"/>
            <w:shd w:val="clear" w:color="auto" w:fill="auto"/>
            <w:vAlign w:val="center"/>
          </w:tcPr>
          <w:p w:rsidR="00161E65" w:rsidRPr="00B616BC" w:rsidRDefault="00161E65" w:rsidP="00161E65">
            <w:pPr>
              <w:pStyle w:val="Tabletext"/>
              <w:keepNext/>
              <w:keepLines/>
            </w:pPr>
            <w:r w:rsidRPr="00B616BC">
              <w:t xml:space="preserve">PROVIDE </w:t>
            </w:r>
          </w:p>
        </w:tc>
        <w:tc>
          <w:tcPr>
            <w:tcW w:w="1056" w:type="dxa"/>
            <w:vAlign w:val="center"/>
          </w:tcPr>
          <w:p w:rsidR="00161E65" w:rsidRPr="00B616BC" w:rsidRDefault="00161E65" w:rsidP="00161E65">
            <w:pPr>
              <w:pStyle w:val="Tabletext"/>
              <w:keepNext/>
              <w:keepLines/>
              <w:jc w:val="center"/>
            </w:pPr>
            <w:r w:rsidRPr="00B616BC">
              <w:t>5 weeks</w:t>
            </w:r>
          </w:p>
        </w:tc>
        <w:tc>
          <w:tcPr>
            <w:tcW w:w="1186" w:type="dxa"/>
            <w:shd w:val="clear" w:color="auto" w:fill="auto"/>
            <w:vAlign w:val="center"/>
          </w:tcPr>
          <w:p w:rsidR="00161E65" w:rsidRPr="00B616BC" w:rsidRDefault="00161E65" w:rsidP="00161E65">
            <w:pPr>
              <w:pStyle w:val="Tabletext"/>
              <w:keepNext/>
              <w:keepLines/>
              <w:jc w:val="center"/>
            </w:pPr>
            <w:r w:rsidRPr="00B616BC">
              <w:t>N = 322</w:t>
            </w:r>
          </w:p>
          <w:p w:rsidR="00161E65" w:rsidRPr="00B616BC" w:rsidRDefault="00161E65" w:rsidP="00161E65">
            <w:pPr>
              <w:pStyle w:val="Tabletext"/>
              <w:keepNext/>
              <w:keepLines/>
              <w:jc w:val="center"/>
            </w:pPr>
            <w:r w:rsidRPr="00B616BC">
              <w:t>2.52 (1.41)</w:t>
            </w:r>
          </w:p>
        </w:tc>
        <w:tc>
          <w:tcPr>
            <w:tcW w:w="1186" w:type="dxa"/>
            <w:shd w:val="clear" w:color="auto" w:fill="auto"/>
            <w:vAlign w:val="center"/>
          </w:tcPr>
          <w:p w:rsidR="00161E65" w:rsidRPr="00B616BC" w:rsidRDefault="00161E65" w:rsidP="00161E65">
            <w:pPr>
              <w:pStyle w:val="Tabletext"/>
              <w:keepNext/>
              <w:keepLines/>
              <w:jc w:val="center"/>
            </w:pPr>
            <w:r w:rsidRPr="00B616BC">
              <w:t xml:space="preserve">N =155 </w:t>
            </w:r>
          </w:p>
          <w:p w:rsidR="00161E65" w:rsidRPr="00B616BC" w:rsidRDefault="00161E65" w:rsidP="00161E65">
            <w:pPr>
              <w:pStyle w:val="Tabletext"/>
              <w:keepNext/>
              <w:keepLines/>
              <w:jc w:val="center"/>
            </w:pPr>
            <w:r w:rsidRPr="00B616BC">
              <w:t>2.05 (1.27)</w:t>
            </w:r>
          </w:p>
        </w:tc>
        <w:tc>
          <w:tcPr>
            <w:tcW w:w="1186" w:type="dxa"/>
            <w:shd w:val="clear" w:color="auto" w:fill="auto"/>
            <w:vAlign w:val="center"/>
          </w:tcPr>
          <w:p w:rsidR="00161E65" w:rsidRPr="00B616BC" w:rsidRDefault="00161E65" w:rsidP="00161E65">
            <w:pPr>
              <w:pStyle w:val="Tabletext"/>
              <w:keepNext/>
              <w:keepLines/>
              <w:jc w:val="center"/>
            </w:pPr>
          </w:p>
        </w:tc>
        <w:tc>
          <w:tcPr>
            <w:tcW w:w="2977" w:type="dxa"/>
            <w:shd w:val="clear" w:color="auto" w:fill="auto"/>
            <w:vAlign w:val="center"/>
          </w:tcPr>
          <w:p w:rsidR="00161E65" w:rsidRPr="00B616BC" w:rsidRDefault="00161E65" w:rsidP="00161E65">
            <w:pPr>
              <w:pStyle w:val="Tabletext"/>
              <w:keepNext/>
              <w:keepLines/>
              <w:jc w:val="center"/>
            </w:pPr>
            <w:r w:rsidRPr="00B616BC">
              <w:rPr>
                <w:b/>
              </w:rPr>
              <w:t>0.46 (0.30; 0.62)</w:t>
            </w:r>
          </w:p>
        </w:tc>
      </w:tr>
      <w:tr w:rsidR="00161E65" w:rsidRPr="00B616BC" w:rsidTr="00161E65">
        <w:trPr>
          <w:trHeight w:val="194"/>
          <w:jc w:val="center"/>
        </w:trPr>
        <w:tc>
          <w:tcPr>
            <w:tcW w:w="8936" w:type="dxa"/>
            <w:gridSpan w:val="6"/>
            <w:shd w:val="clear" w:color="auto" w:fill="auto"/>
            <w:vAlign w:val="center"/>
          </w:tcPr>
          <w:p w:rsidR="00161E65" w:rsidRPr="00B616BC" w:rsidRDefault="00161E65" w:rsidP="00161E65">
            <w:pPr>
              <w:pStyle w:val="Tabletext"/>
              <w:keepNext/>
              <w:keepLines/>
              <w:rPr>
                <w:b/>
              </w:rPr>
            </w:pPr>
            <w:r w:rsidRPr="00B616BC">
              <w:rPr>
                <w:b/>
              </w:rPr>
              <w:t>Ferric carboxymaltose vs iron sucrose</w:t>
            </w:r>
          </w:p>
        </w:tc>
      </w:tr>
      <w:tr w:rsidR="00161E65" w:rsidRPr="00B616BC" w:rsidTr="00161E65">
        <w:trPr>
          <w:trHeight w:val="389"/>
          <w:jc w:val="center"/>
        </w:trPr>
        <w:tc>
          <w:tcPr>
            <w:tcW w:w="1345" w:type="dxa"/>
            <w:shd w:val="clear" w:color="auto" w:fill="auto"/>
            <w:vAlign w:val="center"/>
          </w:tcPr>
          <w:p w:rsidR="00161E65" w:rsidRPr="00B616BC" w:rsidRDefault="00161E65" w:rsidP="00161E65">
            <w:pPr>
              <w:pStyle w:val="Tabletext"/>
              <w:keepNext/>
              <w:keepLines/>
            </w:pPr>
            <w:r w:rsidRPr="00B616BC">
              <w:t>REPAIR-IDA</w:t>
            </w:r>
          </w:p>
        </w:tc>
        <w:tc>
          <w:tcPr>
            <w:tcW w:w="1056" w:type="dxa"/>
            <w:vAlign w:val="center"/>
          </w:tcPr>
          <w:p w:rsidR="00161E65" w:rsidRPr="00B616BC" w:rsidRDefault="00161E65" w:rsidP="00161E65">
            <w:pPr>
              <w:pStyle w:val="Tabletext"/>
              <w:keepNext/>
              <w:keepLines/>
              <w:jc w:val="center"/>
            </w:pPr>
            <w:r w:rsidRPr="00B616BC">
              <w:t>8 weeks</w:t>
            </w:r>
          </w:p>
        </w:tc>
        <w:tc>
          <w:tcPr>
            <w:tcW w:w="1186" w:type="dxa"/>
            <w:shd w:val="clear" w:color="auto" w:fill="auto"/>
            <w:vAlign w:val="center"/>
          </w:tcPr>
          <w:p w:rsidR="00161E65" w:rsidRPr="00B616BC" w:rsidRDefault="00161E65" w:rsidP="00161E65">
            <w:pPr>
              <w:pStyle w:val="Tabletext"/>
              <w:keepNext/>
              <w:keepLines/>
              <w:jc w:val="center"/>
            </w:pPr>
          </w:p>
        </w:tc>
        <w:tc>
          <w:tcPr>
            <w:tcW w:w="1186" w:type="dxa"/>
            <w:shd w:val="clear" w:color="auto" w:fill="auto"/>
            <w:vAlign w:val="center"/>
          </w:tcPr>
          <w:p w:rsidR="00161E65" w:rsidRPr="00B616BC" w:rsidRDefault="00161E65" w:rsidP="00161E65">
            <w:pPr>
              <w:pStyle w:val="Tabletext"/>
              <w:keepNext/>
              <w:keepLines/>
              <w:jc w:val="center"/>
            </w:pPr>
            <w:r w:rsidRPr="00B616BC">
              <w:t>N =1244</w:t>
            </w:r>
          </w:p>
          <w:p w:rsidR="00161E65" w:rsidRPr="00B616BC" w:rsidRDefault="00161E65" w:rsidP="00161E65">
            <w:pPr>
              <w:pStyle w:val="Tabletext"/>
              <w:keepNext/>
              <w:keepLines/>
              <w:jc w:val="center"/>
            </w:pPr>
            <w:r w:rsidRPr="00B616BC">
              <w:t>0.92 (0.92)</w:t>
            </w:r>
          </w:p>
        </w:tc>
        <w:tc>
          <w:tcPr>
            <w:tcW w:w="1186" w:type="dxa"/>
            <w:shd w:val="clear" w:color="auto" w:fill="auto"/>
            <w:vAlign w:val="center"/>
          </w:tcPr>
          <w:p w:rsidR="00161E65" w:rsidRPr="00B616BC" w:rsidRDefault="00161E65" w:rsidP="00161E65">
            <w:pPr>
              <w:pStyle w:val="Tabletext"/>
              <w:keepNext/>
              <w:keepLines/>
              <w:jc w:val="center"/>
            </w:pPr>
            <w:r w:rsidRPr="00B616BC">
              <w:t>N = 1249</w:t>
            </w:r>
          </w:p>
          <w:p w:rsidR="00161E65" w:rsidRPr="00B616BC" w:rsidRDefault="00161E65" w:rsidP="00161E65">
            <w:pPr>
              <w:pStyle w:val="Tabletext"/>
              <w:keepNext/>
              <w:keepLines/>
              <w:jc w:val="center"/>
            </w:pPr>
            <w:r w:rsidRPr="00B616BC">
              <w:rPr>
                <w:szCs w:val="20"/>
              </w:rPr>
              <w:t>1.13 (1.04)</w:t>
            </w:r>
          </w:p>
        </w:tc>
        <w:tc>
          <w:tcPr>
            <w:tcW w:w="2977" w:type="dxa"/>
            <w:shd w:val="clear" w:color="auto" w:fill="auto"/>
            <w:vAlign w:val="center"/>
          </w:tcPr>
          <w:p w:rsidR="00161E65" w:rsidRPr="00B616BC" w:rsidRDefault="00161E65" w:rsidP="00161E65">
            <w:pPr>
              <w:pStyle w:val="Tabletext"/>
              <w:keepNext/>
              <w:keepLines/>
              <w:jc w:val="center"/>
              <w:rPr>
                <w:b/>
              </w:rPr>
            </w:pPr>
            <w:r w:rsidRPr="00B616BC">
              <w:rPr>
                <w:b/>
              </w:rPr>
              <w:t>0.21 (0.13; 0.28)</w:t>
            </w:r>
          </w:p>
        </w:tc>
      </w:tr>
      <w:tr w:rsidR="00161E65" w:rsidRPr="00B616BC" w:rsidTr="00161E65">
        <w:trPr>
          <w:trHeight w:val="389"/>
          <w:jc w:val="center"/>
        </w:trPr>
        <w:tc>
          <w:tcPr>
            <w:tcW w:w="1345" w:type="dxa"/>
            <w:shd w:val="clear" w:color="auto" w:fill="auto"/>
            <w:vAlign w:val="center"/>
          </w:tcPr>
          <w:p w:rsidR="00161E65" w:rsidRPr="00B616BC" w:rsidRDefault="00161E65" w:rsidP="00161E65">
            <w:pPr>
              <w:pStyle w:val="Tabletext"/>
              <w:keepNext/>
              <w:keepLines/>
            </w:pPr>
            <w:r w:rsidRPr="00B616BC">
              <w:t>Mahey (2016)</w:t>
            </w:r>
          </w:p>
        </w:tc>
        <w:tc>
          <w:tcPr>
            <w:tcW w:w="1056" w:type="dxa"/>
            <w:vAlign w:val="center"/>
          </w:tcPr>
          <w:p w:rsidR="00161E65" w:rsidRPr="00B616BC" w:rsidRDefault="00161E65" w:rsidP="00161E65">
            <w:pPr>
              <w:pStyle w:val="Tabletext"/>
              <w:keepNext/>
              <w:keepLines/>
              <w:jc w:val="center"/>
            </w:pPr>
            <w:r w:rsidRPr="00B616BC">
              <w:t>12 weeks</w:t>
            </w:r>
          </w:p>
        </w:tc>
        <w:tc>
          <w:tcPr>
            <w:tcW w:w="1186" w:type="dxa"/>
            <w:shd w:val="clear" w:color="auto" w:fill="auto"/>
            <w:vAlign w:val="center"/>
          </w:tcPr>
          <w:p w:rsidR="00161E65" w:rsidRPr="00B616BC" w:rsidRDefault="00161E65" w:rsidP="00161E65">
            <w:pPr>
              <w:pStyle w:val="Tabletext"/>
              <w:keepNext/>
              <w:keepLines/>
              <w:jc w:val="center"/>
            </w:pPr>
          </w:p>
        </w:tc>
        <w:tc>
          <w:tcPr>
            <w:tcW w:w="1186" w:type="dxa"/>
            <w:shd w:val="clear" w:color="auto" w:fill="auto"/>
            <w:vAlign w:val="center"/>
          </w:tcPr>
          <w:p w:rsidR="00161E65" w:rsidRPr="00B616BC" w:rsidRDefault="00161E65" w:rsidP="00161E65">
            <w:pPr>
              <w:pStyle w:val="Tabletext"/>
              <w:keepNext/>
              <w:keepLines/>
              <w:jc w:val="center"/>
            </w:pPr>
            <w:r w:rsidRPr="00B616BC">
              <w:t>N = 29</w:t>
            </w:r>
          </w:p>
          <w:p w:rsidR="00161E65" w:rsidRPr="00B616BC" w:rsidRDefault="00161E65" w:rsidP="00161E65">
            <w:pPr>
              <w:pStyle w:val="Tabletext"/>
              <w:keepNext/>
              <w:keepLines/>
              <w:jc w:val="center"/>
            </w:pPr>
            <w:r w:rsidRPr="00B616BC">
              <w:t>NR</w:t>
            </w:r>
          </w:p>
        </w:tc>
        <w:tc>
          <w:tcPr>
            <w:tcW w:w="1186" w:type="dxa"/>
            <w:shd w:val="clear" w:color="auto" w:fill="auto"/>
            <w:vAlign w:val="center"/>
          </w:tcPr>
          <w:p w:rsidR="00161E65" w:rsidRPr="00B616BC" w:rsidRDefault="00161E65" w:rsidP="00161E65">
            <w:pPr>
              <w:pStyle w:val="Tabletext"/>
              <w:keepNext/>
              <w:keepLines/>
              <w:jc w:val="center"/>
            </w:pPr>
            <w:r w:rsidRPr="00B616BC">
              <w:t>N = 29</w:t>
            </w:r>
          </w:p>
          <w:p w:rsidR="00161E65" w:rsidRPr="00B616BC" w:rsidRDefault="00161E65" w:rsidP="00161E65">
            <w:pPr>
              <w:pStyle w:val="Tabletext"/>
              <w:keepNext/>
              <w:keepLines/>
              <w:jc w:val="center"/>
            </w:pPr>
            <w:r w:rsidRPr="00B616BC">
              <w:t>NR</w:t>
            </w:r>
          </w:p>
        </w:tc>
        <w:tc>
          <w:tcPr>
            <w:tcW w:w="2977" w:type="dxa"/>
            <w:shd w:val="clear" w:color="auto" w:fill="auto"/>
            <w:vAlign w:val="center"/>
          </w:tcPr>
          <w:p w:rsidR="00161E65" w:rsidRPr="00B616BC" w:rsidRDefault="00161E65" w:rsidP="00161E65">
            <w:pPr>
              <w:pStyle w:val="Tabletext"/>
              <w:keepNext/>
              <w:keepLines/>
              <w:jc w:val="center"/>
            </w:pPr>
            <w:r w:rsidRPr="00B616BC">
              <w:t>0.29 (−0.26; 0.84)</w:t>
            </w:r>
          </w:p>
        </w:tc>
      </w:tr>
      <w:tr w:rsidR="00161E65" w:rsidRPr="00B616BC" w:rsidTr="00161E65">
        <w:trPr>
          <w:trHeight w:val="194"/>
          <w:jc w:val="center"/>
        </w:trPr>
        <w:tc>
          <w:tcPr>
            <w:tcW w:w="5959" w:type="dxa"/>
            <w:gridSpan w:val="5"/>
            <w:shd w:val="clear" w:color="auto" w:fill="auto"/>
            <w:vAlign w:val="center"/>
          </w:tcPr>
          <w:p w:rsidR="00161E65" w:rsidRPr="00B616BC" w:rsidRDefault="00161E65" w:rsidP="00161E65">
            <w:pPr>
              <w:pStyle w:val="Tabletext"/>
              <w:keepNext/>
              <w:keepLines/>
            </w:pPr>
            <w:r w:rsidRPr="00B616BC">
              <w:t>Pooled Result: FCM vs IS (Chi</w:t>
            </w:r>
            <w:r w:rsidRPr="00B616BC">
              <w:rPr>
                <w:vertAlign w:val="superscript"/>
              </w:rPr>
              <w:t>2</w:t>
            </w:r>
            <w:r w:rsidRPr="00B616BC">
              <w:t xml:space="preserve"> p-value =0.86; I</w:t>
            </w:r>
            <w:r w:rsidRPr="00B616BC">
              <w:rPr>
                <w:vertAlign w:val="superscript"/>
              </w:rPr>
              <w:t>2</w:t>
            </w:r>
            <w:r w:rsidRPr="00B616BC">
              <w:t xml:space="preserve"> = 0%)</w:t>
            </w:r>
          </w:p>
        </w:tc>
        <w:tc>
          <w:tcPr>
            <w:tcW w:w="2977" w:type="dxa"/>
            <w:shd w:val="clear" w:color="auto" w:fill="auto"/>
            <w:vAlign w:val="center"/>
          </w:tcPr>
          <w:p w:rsidR="00161E65" w:rsidRPr="00B616BC" w:rsidRDefault="00161E65" w:rsidP="00161E65">
            <w:pPr>
              <w:pStyle w:val="Tabletext"/>
              <w:keepNext/>
              <w:keepLines/>
              <w:jc w:val="center"/>
              <w:rPr>
                <w:b/>
              </w:rPr>
            </w:pPr>
            <w:r w:rsidRPr="00B616BC">
              <w:rPr>
                <w:b/>
              </w:rPr>
              <w:t>0.21 (0.13; 0.29)</w:t>
            </w:r>
          </w:p>
        </w:tc>
      </w:tr>
      <w:tr w:rsidR="00161E65" w:rsidRPr="00B616BC" w:rsidTr="00161E65">
        <w:trPr>
          <w:trHeight w:val="249"/>
          <w:jc w:val="center"/>
        </w:trPr>
        <w:tc>
          <w:tcPr>
            <w:tcW w:w="5959" w:type="dxa"/>
            <w:gridSpan w:val="5"/>
          </w:tcPr>
          <w:p w:rsidR="00161E65" w:rsidRPr="00B616BC" w:rsidRDefault="00161E65" w:rsidP="00161E65">
            <w:pPr>
              <w:pStyle w:val="Tabletext"/>
              <w:keepNext/>
              <w:keepLines/>
            </w:pPr>
            <w:r w:rsidRPr="00B616BC">
              <w:t>Indirect WMD (95% CI): FD vs FCM</w:t>
            </w:r>
          </w:p>
        </w:tc>
        <w:tc>
          <w:tcPr>
            <w:tcW w:w="2977" w:type="dxa"/>
            <w:shd w:val="clear" w:color="auto" w:fill="auto"/>
            <w:vAlign w:val="center"/>
          </w:tcPr>
          <w:p w:rsidR="00161E65" w:rsidRPr="00B616BC" w:rsidRDefault="00161E65" w:rsidP="00161E65">
            <w:pPr>
              <w:pStyle w:val="Tabletext"/>
              <w:keepNext/>
              <w:keepLines/>
              <w:jc w:val="center"/>
              <w:rPr>
                <w:b/>
              </w:rPr>
            </w:pPr>
            <w:r w:rsidRPr="00B616BC">
              <w:rPr>
                <w:b/>
              </w:rPr>
              <w:t>0.25 (0.07; 0.43)</w:t>
            </w:r>
          </w:p>
        </w:tc>
      </w:tr>
      <w:tr w:rsidR="00161E65" w:rsidRPr="00B616BC" w:rsidTr="00161E65">
        <w:trPr>
          <w:trHeight w:val="249"/>
          <w:jc w:val="center"/>
        </w:trPr>
        <w:tc>
          <w:tcPr>
            <w:tcW w:w="5959" w:type="dxa"/>
            <w:gridSpan w:val="5"/>
          </w:tcPr>
          <w:p w:rsidR="00161E65" w:rsidRPr="00B616BC" w:rsidRDefault="00161E65" w:rsidP="00161E65">
            <w:pPr>
              <w:pStyle w:val="Tabletext"/>
              <w:keepNext/>
              <w:keepLines/>
            </w:pPr>
            <w:r w:rsidRPr="00B616BC">
              <w:t>NI margin</w:t>
            </w:r>
          </w:p>
        </w:tc>
        <w:tc>
          <w:tcPr>
            <w:tcW w:w="2977" w:type="dxa"/>
            <w:shd w:val="clear" w:color="auto" w:fill="auto"/>
            <w:vAlign w:val="center"/>
          </w:tcPr>
          <w:p w:rsidR="00161E65" w:rsidRPr="00B616BC" w:rsidRDefault="00161E65" w:rsidP="00161E65">
            <w:pPr>
              <w:pStyle w:val="Tabletext"/>
              <w:keepNext/>
              <w:keepLines/>
              <w:jc w:val="center"/>
              <w:rPr>
                <w:b/>
              </w:rPr>
            </w:pPr>
            <w:r w:rsidRPr="00B616BC">
              <w:t>-0.5 g/dL</w:t>
            </w:r>
          </w:p>
        </w:tc>
      </w:tr>
    </w:tbl>
    <w:p w:rsidR="00161E65" w:rsidRPr="00B616BC" w:rsidRDefault="00161E65" w:rsidP="00161E65">
      <w:pPr>
        <w:pStyle w:val="TableFooter"/>
        <w:keepNext/>
        <w:keepLines/>
      </w:pPr>
      <w:r w:rsidRPr="00B616BC">
        <w:t>Source: Table 2-18, p30; Table 2-20, p32; Table 2-23, p33</w:t>
      </w:r>
      <w:r w:rsidRPr="00B616BC">
        <w:rPr>
          <w:rStyle w:val="CommentReference"/>
          <w:b w:val="0"/>
          <w:sz w:val="18"/>
          <w:szCs w:val="22"/>
        </w:rPr>
        <w:t>, Figure 2.7, p46</w:t>
      </w:r>
      <w:r w:rsidRPr="00B616BC">
        <w:t xml:space="preserve"> and Table 2-36, p49 of the submission </w:t>
      </w:r>
    </w:p>
    <w:p w:rsidR="00161E65" w:rsidRPr="00B616BC" w:rsidRDefault="00161E65" w:rsidP="00161E65">
      <w:pPr>
        <w:pStyle w:val="TableFooter"/>
      </w:pPr>
      <w:r w:rsidRPr="00B616BC">
        <w:t xml:space="preserve">CI = confidence interval; FCM = ferric carboxymaltose; </w:t>
      </w:r>
      <w:r w:rsidRPr="00B616BC">
        <w:rPr>
          <w:rStyle w:val="CommentReference"/>
          <w:b w:val="0"/>
          <w:sz w:val="18"/>
          <w:szCs w:val="22"/>
        </w:rPr>
        <w:t xml:space="preserve">FD = ferric derisomaltose; </w:t>
      </w:r>
      <w:r w:rsidRPr="00B616BC">
        <w:t>g/dL =</w:t>
      </w:r>
      <w:r w:rsidRPr="00B616BC">
        <w:rPr>
          <w:rStyle w:val="y0nh2b"/>
        </w:rPr>
        <w:t>grams per decilitre;</w:t>
      </w:r>
      <w:r w:rsidRPr="00B616BC">
        <w:t xml:space="preserve"> Hb = haemoglobin; IS = iron sucrose; N =</w:t>
      </w:r>
      <w:r w:rsidRPr="00B616BC">
        <w:rPr>
          <w:i/>
        </w:rPr>
        <w:t xml:space="preserve"> </w:t>
      </w:r>
      <w:r w:rsidRPr="00B616BC">
        <w:t xml:space="preserve">number of participants reporting data; NI = non-inferiority; SD = standard deviation; WMD = weighted mean difference; </w:t>
      </w:r>
      <w:r w:rsidRPr="00B616BC">
        <w:rPr>
          <w:b/>
        </w:rPr>
        <w:t>bold</w:t>
      </w:r>
      <w:r w:rsidRPr="00B616BC">
        <w:t> = statistically significant</w:t>
      </w:r>
      <w:r w:rsidRPr="00B616BC">
        <w:rPr>
          <w:rStyle w:val="CommentReference"/>
          <w:b w:val="0"/>
          <w:sz w:val="18"/>
          <w:szCs w:val="22"/>
        </w:rPr>
        <w:t xml:space="preserve"> </w:t>
      </w:r>
    </w:p>
    <w:p w:rsidR="00161E65" w:rsidRPr="00B616BC" w:rsidRDefault="00161E65" w:rsidP="00161E65">
      <w:pPr>
        <w:widowControl/>
      </w:pPr>
    </w:p>
    <w:p w:rsidR="00E31BA1" w:rsidRPr="00B616BC" w:rsidRDefault="00161E65" w:rsidP="001B5CF6">
      <w:pPr>
        <w:pStyle w:val="ListParagraph"/>
        <w:widowControl/>
        <w:numPr>
          <w:ilvl w:val="1"/>
          <w:numId w:val="1"/>
        </w:numPr>
        <w:spacing w:after="120"/>
        <w:rPr>
          <w:i/>
        </w:rPr>
      </w:pPr>
      <w:r w:rsidRPr="00B616BC">
        <w:t xml:space="preserve">The result of the indirect comparison for the mean difference in Hb from baseline was 0.25 g/dL (95% CI: 0.07; 0.43). As the lower bound of the 95% CI was below the NI threshold of -0.5g/dL the submission claimed non-inferiority. Again, this may not </w:t>
      </w:r>
      <w:r w:rsidRPr="00B616BC">
        <w:lastRenderedPageBreak/>
        <w:t>be reasonable given the high level of clinical heterogeneity between trials and the transitivity issues identified by the evaluation.</w:t>
      </w:r>
    </w:p>
    <w:p w:rsidR="00161E65" w:rsidRPr="00B616BC" w:rsidRDefault="00161E65" w:rsidP="001B5CF6">
      <w:pPr>
        <w:spacing w:after="120"/>
        <w:rPr>
          <w:u w:val="single"/>
        </w:rPr>
      </w:pPr>
      <w:r w:rsidRPr="00B616BC">
        <w:rPr>
          <w:u w:val="single"/>
        </w:rPr>
        <w:t xml:space="preserve">Ferric derisomaltose vs iron sucrose in haemodialysis patients (direct comparison) </w:t>
      </w:r>
    </w:p>
    <w:p w:rsidR="00161E65" w:rsidRPr="00B616BC" w:rsidRDefault="00161E65" w:rsidP="001B5CF6">
      <w:pPr>
        <w:pStyle w:val="ListParagraph"/>
        <w:widowControl/>
        <w:numPr>
          <w:ilvl w:val="1"/>
          <w:numId w:val="1"/>
        </w:numPr>
        <w:spacing w:after="120"/>
        <w:rPr>
          <w:rStyle w:val="CommentReference"/>
          <w:rFonts w:ascii="Calibri" w:hAnsi="Calibri"/>
          <w:b w:val="0"/>
          <w:sz w:val="24"/>
          <w:szCs w:val="22"/>
        </w:rPr>
      </w:pPr>
      <w:r w:rsidRPr="00B616BC">
        <w:t>Table 6 presents the results of the primary outcome from trial P-Monofer-CKD-03: the proportion of patients with Hb in the target range of 9.5 and 12.5 g/dL at 6 weeks follow-up.</w:t>
      </w:r>
    </w:p>
    <w:p w:rsidR="00161E65" w:rsidRPr="00B616BC" w:rsidRDefault="00161E65" w:rsidP="00161E65">
      <w:pPr>
        <w:pStyle w:val="Tabletext"/>
        <w:keepNext/>
        <w:keepLines/>
        <w:rPr>
          <w:rStyle w:val="CommentReference"/>
          <w:b w:val="0"/>
        </w:rPr>
      </w:pPr>
      <w:r w:rsidRPr="00B616BC">
        <w:rPr>
          <w:rStyle w:val="CommentReference"/>
        </w:rPr>
        <w:t xml:space="preserve">Table 6: Trial results from </w:t>
      </w:r>
      <w:r w:rsidRPr="00B616BC">
        <w:rPr>
          <w:b/>
        </w:rPr>
        <w:t>P-Monofer-CKD-03 for the proportion of patients with Hb in the target range of 9.5 and 12.5 g/dL at 6 weeks follow-up</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3775"/>
        <w:gridCol w:w="1548"/>
      </w:tblGrid>
      <w:tr w:rsidR="00161E65" w:rsidRPr="00B616BC" w:rsidTr="009C5CDA">
        <w:trPr>
          <w:trHeight w:val="70"/>
          <w:tblHeader/>
        </w:trPr>
        <w:tc>
          <w:tcPr>
            <w:tcW w:w="4153" w:type="pct"/>
            <w:gridSpan w:val="2"/>
          </w:tcPr>
          <w:p w:rsidR="00161E65" w:rsidRPr="00B616BC" w:rsidRDefault="00161E65" w:rsidP="00161E65">
            <w:pPr>
              <w:pStyle w:val="Tabletext"/>
              <w:keepNext/>
              <w:keepLines/>
              <w:jc w:val="center"/>
              <w:rPr>
                <w:b/>
              </w:rPr>
            </w:pPr>
            <w:r w:rsidRPr="00B616BC">
              <w:rPr>
                <w:b/>
              </w:rPr>
              <w:t>Proportion of responders</w:t>
            </w:r>
          </w:p>
        </w:tc>
        <w:tc>
          <w:tcPr>
            <w:tcW w:w="847" w:type="pct"/>
            <w:vMerge w:val="restart"/>
            <w:vAlign w:val="center"/>
          </w:tcPr>
          <w:p w:rsidR="00161E65" w:rsidRPr="00B616BC" w:rsidRDefault="00161E65" w:rsidP="00161E65">
            <w:pPr>
              <w:pStyle w:val="Tabletext"/>
              <w:keepNext/>
              <w:keepLines/>
              <w:jc w:val="center"/>
              <w:rPr>
                <w:b/>
              </w:rPr>
            </w:pPr>
            <w:r w:rsidRPr="00B616BC">
              <w:rPr>
                <w:b/>
              </w:rPr>
              <w:t>RD (95% CI)</w:t>
            </w:r>
          </w:p>
        </w:tc>
      </w:tr>
      <w:tr w:rsidR="00161E65" w:rsidRPr="00B616BC" w:rsidTr="009C5CDA">
        <w:trPr>
          <w:trHeight w:val="121"/>
        </w:trPr>
        <w:tc>
          <w:tcPr>
            <w:tcW w:w="2087" w:type="pct"/>
          </w:tcPr>
          <w:p w:rsidR="00161E65" w:rsidRPr="00B616BC" w:rsidRDefault="00161E65" w:rsidP="00161E65">
            <w:pPr>
              <w:pStyle w:val="Tabletext"/>
              <w:keepNext/>
              <w:keepLines/>
              <w:jc w:val="center"/>
              <w:rPr>
                <w:b/>
                <w:vertAlign w:val="superscript"/>
              </w:rPr>
            </w:pPr>
            <w:r w:rsidRPr="00B616BC">
              <w:rPr>
                <w:b/>
              </w:rPr>
              <w:t>Ferric derisomaltose</w:t>
            </w:r>
            <w:r w:rsidRPr="00B616BC">
              <w:rPr>
                <w:b/>
                <w:vertAlign w:val="superscript"/>
              </w:rPr>
              <w:t xml:space="preserve"> a</w:t>
            </w:r>
          </w:p>
          <w:p w:rsidR="00161E65" w:rsidRPr="00B616BC" w:rsidRDefault="00161E65" w:rsidP="00161E65">
            <w:pPr>
              <w:pStyle w:val="Tabletext"/>
              <w:keepNext/>
              <w:keepLines/>
              <w:jc w:val="center"/>
              <w:rPr>
                <w:b/>
                <w:vertAlign w:val="superscript"/>
              </w:rPr>
            </w:pPr>
            <w:r w:rsidRPr="00B616BC">
              <w:rPr>
                <w:b/>
              </w:rPr>
              <w:t>n/N (%)</w:t>
            </w:r>
          </w:p>
        </w:tc>
        <w:tc>
          <w:tcPr>
            <w:tcW w:w="2066" w:type="pct"/>
          </w:tcPr>
          <w:p w:rsidR="00161E65" w:rsidRPr="00B616BC" w:rsidRDefault="00161E65" w:rsidP="00161E65">
            <w:pPr>
              <w:pStyle w:val="Tabletext"/>
              <w:keepNext/>
              <w:keepLines/>
              <w:jc w:val="center"/>
              <w:rPr>
                <w:b/>
              </w:rPr>
            </w:pPr>
            <w:r w:rsidRPr="00B616BC">
              <w:rPr>
                <w:b/>
              </w:rPr>
              <w:t>Iron sucrose</w:t>
            </w:r>
          </w:p>
          <w:p w:rsidR="00161E65" w:rsidRPr="00B616BC" w:rsidRDefault="00161E65" w:rsidP="00161E65">
            <w:pPr>
              <w:pStyle w:val="Tabletext"/>
              <w:keepNext/>
              <w:keepLines/>
              <w:jc w:val="center"/>
              <w:rPr>
                <w:b/>
              </w:rPr>
            </w:pPr>
            <w:r w:rsidRPr="00B616BC">
              <w:rPr>
                <w:b/>
              </w:rPr>
              <w:t>n/N (%)</w:t>
            </w:r>
          </w:p>
        </w:tc>
        <w:tc>
          <w:tcPr>
            <w:tcW w:w="847" w:type="pct"/>
            <w:vMerge/>
          </w:tcPr>
          <w:p w:rsidR="00161E65" w:rsidRPr="00B616BC" w:rsidRDefault="00161E65" w:rsidP="00161E65">
            <w:pPr>
              <w:pStyle w:val="Tabletext"/>
              <w:keepNext/>
              <w:keepLines/>
              <w:jc w:val="center"/>
              <w:rPr>
                <w:b/>
              </w:rPr>
            </w:pPr>
          </w:p>
        </w:tc>
      </w:tr>
      <w:tr w:rsidR="00161E65" w:rsidRPr="00B616BC" w:rsidTr="009C5CDA">
        <w:trPr>
          <w:trHeight w:val="121"/>
        </w:trPr>
        <w:tc>
          <w:tcPr>
            <w:tcW w:w="2087" w:type="pct"/>
          </w:tcPr>
          <w:p w:rsidR="00161E65" w:rsidRPr="00B616BC" w:rsidRDefault="00161E65" w:rsidP="00161E65">
            <w:pPr>
              <w:pStyle w:val="Tabletext"/>
              <w:keepNext/>
              <w:keepLines/>
              <w:jc w:val="center"/>
              <w:rPr>
                <w:vertAlign w:val="superscript"/>
              </w:rPr>
            </w:pPr>
            <w:r w:rsidRPr="00B616BC">
              <w:t>187/226 (83%)</w:t>
            </w:r>
          </w:p>
        </w:tc>
        <w:tc>
          <w:tcPr>
            <w:tcW w:w="2066" w:type="pct"/>
          </w:tcPr>
          <w:p w:rsidR="00161E65" w:rsidRPr="00B616BC" w:rsidRDefault="00161E65" w:rsidP="00161E65">
            <w:pPr>
              <w:pStyle w:val="Tabletext"/>
              <w:keepNext/>
              <w:keepLines/>
              <w:jc w:val="center"/>
            </w:pPr>
            <w:r w:rsidRPr="00B616BC">
              <w:t>95/115 (83%)</w:t>
            </w:r>
          </w:p>
        </w:tc>
        <w:tc>
          <w:tcPr>
            <w:tcW w:w="847" w:type="pct"/>
          </w:tcPr>
          <w:p w:rsidR="00161E65" w:rsidRPr="00B616BC" w:rsidRDefault="00161E65" w:rsidP="00161E65">
            <w:pPr>
              <w:pStyle w:val="Tabletext"/>
              <w:keepNext/>
              <w:keepLines/>
              <w:jc w:val="center"/>
            </w:pPr>
            <w:r w:rsidRPr="00B616BC">
              <w:t>1.0% (-7.4; 9.4)</w:t>
            </w:r>
          </w:p>
        </w:tc>
      </w:tr>
    </w:tbl>
    <w:p w:rsidR="00161E65" w:rsidRPr="00B616BC" w:rsidRDefault="00161E65" w:rsidP="00161E65">
      <w:pPr>
        <w:pStyle w:val="TableFooter"/>
        <w:keepNext/>
        <w:keepLines/>
        <w:rPr>
          <w:sz w:val="20"/>
        </w:rPr>
      </w:pPr>
      <w:r w:rsidRPr="00B616BC">
        <w:t>Source: Compiled from text, p1581 and Figure 5, p1582 of Bhandari (2015)</w:t>
      </w:r>
    </w:p>
    <w:p w:rsidR="00161E65" w:rsidRPr="00B616BC" w:rsidRDefault="00161E65" w:rsidP="00161E65">
      <w:pPr>
        <w:pStyle w:val="TableFooter"/>
        <w:rPr>
          <w:rFonts w:eastAsia="Calibri"/>
        </w:rPr>
      </w:pPr>
      <w:r w:rsidRPr="00B616BC">
        <w:rPr>
          <w:rFonts w:eastAsia="Calibri"/>
        </w:rPr>
        <w:t xml:space="preserve">CI = confidence interval; </w:t>
      </w:r>
      <w:r w:rsidRPr="00B616BC">
        <w:t>g/dL =</w:t>
      </w:r>
      <w:r w:rsidRPr="00B616BC">
        <w:rPr>
          <w:rStyle w:val="y0nh2b"/>
        </w:rPr>
        <w:t>grams per decilitre;</w:t>
      </w:r>
      <w:r w:rsidRPr="00B616BC">
        <w:t xml:space="preserve"> Hb = haemoglobin;</w:t>
      </w:r>
      <w:r w:rsidRPr="00B616BC">
        <w:rPr>
          <w:rFonts w:eastAsia="Calibri"/>
        </w:rPr>
        <w:t xml:space="preserve"> n = number of participants with event; N = total participants in group</w:t>
      </w:r>
    </w:p>
    <w:p w:rsidR="00161E65" w:rsidRPr="00B616BC" w:rsidRDefault="00161E65" w:rsidP="00161E65">
      <w:pPr>
        <w:pStyle w:val="TableFooter"/>
        <w:keepNext/>
        <w:keepLines/>
        <w:rPr>
          <w:rFonts w:eastAsia="Calibri"/>
        </w:rPr>
      </w:pPr>
      <w:r w:rsidRPr="00B616BC">
        <w:rPr>
          <w:rFonts w:eastAsia="Calibri"/>
        </w:rPr>
        <w:t xml:space="preserve"> RD = risk difference; </w:t>
      </w:r>
      <w:r w:rsidRPr="00B616BC">
        <w:rPr>
          <w:rStyle w:val="CommentReference"/>
          <w:b w:val="0"/>
          <w:sz w:val="18"/>
          <w:szCs w:val="22"/>
        </w:rPr>
        <w:t>italics = extracted during evaluation</w:t>
      </w:r>
    </w:p>
    <w:p w:rsidR="00161E65" w:rsidRPr="00B616BC" w:rsidRDefault="00161E65" w:rsidP="00161E65">
      <w:pPr>
        <w:pStyle w:val="TableFooter"/>
        <w:keepNext/>
        <w:keepLines/>
      </w:pPr>
      <w:r w:rsidRPr="00B616BC">
        <w:rPr>
          <w:rFonts w:eastAsia="Calibri"/>
          <w:vertAlign w:val="superscript"/>
        </w:rPr>
        <w:t xml:space="preserve">a </w:t>
      </w:r>
      <w:r w:rsidRPr="00B616BC">
        <w:t>Trial results of the ferric derisomaltose arms (single or split dose) were combined</w:t>
      </w:r>
    </w:p>
    <w:p w:rsidR="00161E65" w:rsidRPr="00B616BC" w:rsidRDefault="00161E65" w:rsidP="00161E65">
      <w:pPr>
        <w:widowControl/>
      </w:pPr>
    </w:p>
    <w:p w:rsidR="00161E65" w:rsidRPr="00B616BC" w:rsidRDefault="00161E65" w:rsidP="001B5CF6">
      <w:pPr>
        <w:pStyle w:val="ListParagraph"/>
        <w:widowControl/>
        <w:numPr>
          <w:ilvl w:val="1"/>
          <w:numId w:val="1"/>
        </w:numPr>
        <w:spacing w:after="120"/>
      </w:pPr>
      <w:r w:rsidRPr="00B616BC">
        <w:t xml:space="preserve">The results demonstrated ferric derisomaltose (split or single dose) to be non-inferior to iron sucrose for the maintenance of Hb in patients undergoing haemodialysis. </w:t>
      </w:r>
    </w:p>
    <w:p w:rsidR="00161E65" w:rsidRPr="00B616BC" w:rsidRDefault="00161E65" w:rsidP="001B5CF6">
      <w:pPr>
        <w:pStyle w:val="ListParagraph"/>
        <w:widowControl/>
        <w:numPr>
          <w:ilvl w:val="1"/>
          <w:numId w:val="1"/>
        </w:numPr>
        <w:spacing w:after="120"/>
      </w:pPr>
      <w:r w:rsidRPr="00B616BC">
        <w:t>Table 7 presents the results of the secondary outcome from trial P-Monofer-CKD-03: the mean change in Hb from baseline at 6 weeks follow-up.</w:t>
      </w:r>
    </w:p>
    <w:p w:rsidR="00161E65" w:rsidRPr="00B616BC" w:rsidRDefault="00161E65" w:rsidP="00161E65">
      <w:pPr>
        <w:pStyle w:val="TableHeading0"/>
        <w:keepLines/>
        <w:spacing w:after="0"/>
        <w:rPr>
          <w:rStyle w:val="CommentReference"/>
          <w:b/>
          <w:szCs w:val="22"/>
        </w:rPr>
      </w:pPr>
      <w:r w:rsidRPr="00B616BC">
        <w:rPr>
          <w:rStyle w:val="CommentReference"/>
          <w:b/>
          <w:szCs w:val="22"/>
        </w:rPr>
        <w:t xml:space="preserve">Table 7: Trial results from </w:t>
      </w:r>
      <w:r w:rsidRPr="00B616BC">
        <w:t>P-Monofer-CKD-03 for the outcome</w:t>
      </w:r>
      <w:r w:rsidRPr="00B616BC">
        <w:rPr>
          <w:b w:val="0"/>
        </w:rPr>
        <w:t xml:space="preserve">: </w:t>
      </w:r>
      <w:r w:rsidRPr="00B616BC">
        <w:rPr>
          <w:rStyle w:val="CommentReference"/>
          <w:b/>
        </w:rPr>
        <w:t>mean change in Hb (g/dL) from baseline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55"/>
        <w:gridCol w:w="1211"/>
        <w:gridCol w:w="1009"/>
        <w:gridCol w:w="1411"/>
        <w:gridCol w:w="1211"/>
        <w:gridCol w:w="1977"/>
      </w:tblGrid>
      <w:tr w:rsidR="00161E65" w:rsidRPr="00B616BC" w:rsidTr="009C5CDA">
        <w:trPr>
          <w:trHeight w:val="286"/>
          <w:tblHeader/>
        </w:trPr>
        <w:tc>
          <w:tcPr>
            <w:tcW w:w="1930" w:type="pct"/>
            <w:gridSpan w:val="3"/>
          </w:tcPr>
          <w:p w:rsidR="00161E65" w:rsidRPr="00B616BC" w:rsidRDefault="00161E65" w:rsidP="00161E65">
            <w:pPr>
              <w:pStyle w:val="Tabletext"/>
              <w:keepNext/>
              <w:keepLines/>
              <w:jc w:val="center"/>
              <w:rPr>
                <w:b/>
              </w:rPr>
            </w:pPr>
            <w:r w:rsidRPr="00B616BC">
              <w:rPr>
                <w:b/>
              </w:rPr>
              <w:t>Ferric derisomaltose</w:t>
            </w:r>
            <w:r w:rsidRPr="00B616BC">
              <w:rPr>
                <w:b/>
                <w:vertAlign w:val="superscript"/>
              </w:rPr>
              <w:t xml:space="preserve"> a</w:t>
            </w:r>
          </w:p>
        </w:tc>
        <w:tc>
          <w:tcPr>
            <w:tcW w:w="1987" w:type="pct"/>
            <w:gridSpan w:val="3"/>
          </w:tcPr>
          <w:p w:rsidR="00161E65" w:rsidRPr="00B616BC" w:rsidRDefault="00161E65" w:rsidP="00161E65">
            <w:pPr>
              <w:pStyle w:val="Tabletext"/>
              <w:keepNext/>
              <w:keepLines/>
              <w:jc w:val="center"/>
              <w:rPr>
                <w:b/>
              </w:rPr>
            </w:pPr>
            <w:r w:rsidRPr="00B616BC">
              <w:rPr>
                <w:b/>
              </w:rPr>
              <w:t>Iron Sucrose</w:t>
            </w:r>
          </w:p>
        </w:tc>
        <w:tc>
          <w:tcPr>
            <w:tcW w:w="1083" w:type="pct"/>
            <w:vMerge w:val="restart"/>
          </w:tcPr>
          <w:p w:rsidR="00161E65" w:rsidRPr="00B616BC" w:rsidRDefault="00161E65" w:rsidP="00161E65">
            <w:pPr>
              <w:pStyle w:val="Tabletext"/>
              <w:keepNext/>
              <w:keepLines/>
              <w:jc w:val="center"/>
              <w:rPr>
                <w:b/>
              </w:rPr>
            </w:pPr>
            <w:r w:rsidRPr="00B616BC">
              <w:rPr>
                <w:b/>
              </w:rPr>
              <w:t>Mean difference</w:t>
            </w:r>
          </w:p>
          <w:p w:rsidR="00161E65" w:rsidRPr="00B616BC" w:rsidRDefault="00161E65" w:rsidP="00161E65">
            <w:pPr>
              <w:pStyle w:val="Tabletext"/>
              <w:keepNext/>
              <w:keepLines/>
              <w:jc w:val="center"/>
              <w:rPr>
                <w:b/>
              </w:rPr>
            </w:pPr>
            <w:r w:rsidRPr="00B616BC">
              <w:rPr>
                <w:b/>
              </w:rPr>
              <w:t>(95% CI)</w:t>
            </w:r>
          </w:p>
        </w:tc>
      </w:tr>
      <w:tr w:rsidR="00161E65" w:rsidRPr="00B616BC" w:rsidTr="009C5CDA">
        <w:trPr>
          <w:trHeight w:val="142"/>
        </w:trPr>
        <w:tc>
          <w:tcPr>
            <w:tcW w:w="417" w:type="pct"/>
          </w:tcPr>
          <w:p w:rsidR="00161E65" w:rsidRPr="00B616BC" w:rsidRDefault="00161E65" w:rsidP="00161E65">
            <w:pPr>
              <w:pStyle w:val="Tabletext"/>
              <w:keepNext/>
              <w:keepLines/>
              <w:jc w:val="center"/>
            </w:pPr>
            <w:r w:rsidRPr="00B616BC">
              <w:rPr>
                <w:b/>
              </w:rPr>
              <w:t xml:space="preserve">N </w:t>
            </w:r>
          </w:p>
        </w:tc>
        <w:tc>
          <w:tcPr>
            <w:tcW w:w="851" w:type="pct"/>
          </w:tcPr>
          <w:p w:rsidR="00161E65" w:rsidRPr="00B616BC" w:rsidRDefault="00161E65" w:rsidP="00161E65">
            <w:pPr>
              <w:pStyle w:val="Tabletext"/>
              <w:keepNext/>
              <w:keepLines/>
              <w:jc w:val="center"/>
            </w:pPr>
            <w:r w:rsidRPr="00B616BC">
              <w:rPr>
                <w:b/>
              </w:rPr>
              <w:t>Mean at baseline (SD)</w:t>
            </w:r>
          </w:p>
        </w:tc>
        <w:tc>
          <w:tcPr>
            <w:tcW w:w="663" w:type="pct"/>
          </w:tcPr>
          <w:p w:rsidR="00161E65" w:rsidRPr="00B616BC" w:rsidRDefault="00161E65" w:rsidP="00161E65">
            <w:pPr>
              <w:pStyle w:val="Tabletext"/>
              <w:keepNext/>
              <w:keepLines/>
              <w:jc w:val="center"/>
            </w:pPr>
            <w:r w:rsidRPr="00B616BC">
              <w:rPr>
                <w:b/>
              </w:rPr>
              <w:t>Mean change</w:t>
            </w:r>
          </w:p>
        </w:tc>
        <w:tc>
          <w:tcPr>
            <w:tcW w:w="552" w:type="pct"/>
          </w:tcPr>
          <w:p w:rsidR="00161E65" w:rsidRPr="00B616BC" w:rsidRDefault="00161E65" w:rsidP="00161E65">
            <w:pPr>
              <w:pStyle w:val="Tabletext"/>
              <w:keepNext/>
              <w:keepLines/>
              <w:jc w:val="center"/>
            </w:pPr>
            <w:r w:rsidRPr="00B616BC">
              <w:rPr>
                <w:b/>
              </w:rPr>
              <w:t xml:space="preserve">N </w:t>
            </w:r>
          </w:p>
        </w:tc>
        <w:tc>
          <w:tcPr>
            <w:tcW w:w="772" w:type="pct"/>
          </w:tcPr>
          <w:p w:rsidR="00161E65" w:rsidRPr="00B616BC" w:rsidRDefault="00161E65" w:rsidP="00161E65">
            <w:pPr>
              <w:pStyle w:val="Tabletext"/>
              <w:keepNext/>
              <w:keepLines/>
              <w:jc w:val="center"/>
            </w:pPr>
            <w:r w:rsidRPr="00B616BC">
              <w:rPr>
                <w:b/>
              </w:rPr>
              <w:t>Mean at baseline (SD)</w:t>
            </w:r>
          </w:p>
        </w:tc>
        <w:tc>
          <w:tcPr>
            <w:tcW w:w="663" w:type="pct"/>
          </w:tcPr>
          <w:p w:rsidR="00161E65" w:rsidRPr="00B616BC" w:rsidRDefault="00161E65" w:rsidP="00161E65">
            <w:pPr>
              <w:pStyle w:val="Tabletext"/>
              <w:keepNext/>
              <w:keepLines/>
              <w:jc w:val="center"/>
            </w:pPr>
            <w:r w:rsidRPr="00B616BC">
              <w:rPr>
                <w:b/>
              </w:rPr>
              <w:t>Mean change</w:t>
            </w:r>
          </w:p>
        </w:tc>
        <w:tc>
          <w:tcPr>
            <w:tcW w:w="1083" w:type="pct"/>
            <w:vMerge/>
          </w:tcPr>
          <w:p w:rsidR="00161E65" w:rsidRPr="00B616BC" w:rsidRDefault="00161E65" w:rsidP="00161E65">
            <w:pPr>
              <w:pStyle w:val="Tabletext"/>
              <w:keepNext/>
              <w:keepLines/>
              <w:jc w:val="center"/>
            </w:pPr>
          </w:p>
        </w:tc>
      </w:tr>
      <w:tr w:rsidR="00161E65" w:rsidRPr="00B616BC" w:rsidTr="009C5CDA">
        <w:trPr>
          <w:trHeight w:val="142"/>
        </w:trPr>
        <w:tc>
          <w:tcPr>
            <w:tcW w:w="417" w:type="pct"/>
          </w:tcPr>
          <w:p w:rsidR="00161E65" w:rsidRPr="00B616BC" w:rsidRDefault="00161E65" w:rsidP="00161E65">
            <w:pPr>
              <w:pStyle w:val="Tabletext"/>
              <w:keepNext/>
              <w:keepLines/>
              <w:jc w:val="center"/>
            </w:pPr>
            <w:r w:rsidRPr="00B616BC">
              <w:t>226</w:t>
            </w:r>
          </w:p>
        </w:tc>
        <w:tc>
          <w:tcPr>
            <w:tcW w:w="851" w:type="pct"/>
          </w:tcPr>
          <w:p w:rsidR="00161E65" w:rsidRPr="00B616BC" w:rsidRDefault="00161E65" w:rsidP="00161E65">
            <w:pPr>
              <w:pStyle w:val="Tabletext"/>
              <w:keepNext/>
              <w:keepLines/>
              <w:jc w:val="center"/>
            </w:pPr>
            <w:r w:rsidRPr="00B616BC">
              <w:t>11.20 (0.83)</w:t>
            </w:r>
          </w:p>
        </w:tc>
        <w:tc>
          <w:tcPr>
            <w:tcW w:w="663" w:type="pct"/>
          </w:tcPr>
          <w:p w:rsidR="00161E65" w:rsidRPr="00B616BC" w:rsidRDefault="00161E65" w:rsidP="00161E65">
            <w:pPr>
              <w:pStyle w:val="Tabletext"/>
              <w:keepNext/>
              <w:keepLines/>
              <w:jc w:val="center"/>
            </w:pPr>
            <w:r w:rsidRPr="00B616BC">
              <w:t>-0.01</w:t>
            </w:r>
          </w:p>
        </w:tc>
        <w:tc>
          <w:tcPr>
            <w:tcW w:w="552" w:type="pct"/>
          </w:tcPr>
          <w:p w:rsidR="00161E65" w:rsidRPr="00B616BC" w:rsidRDefault="00161E65" w:rsidP="00161E65">
            <w:pPr>
              <w:pStyle w:val="Tabletext"/>
              <w:keepNext/>
              <w:keepLines/>
              <w:jc w:val="center"/>
            </w:pPr>
            <w:r w:rsidRPr="00B616BC">
              <w:t>115</w:t>
            </w:r>
          </w:p>
        </w:tc>
        <w:tc>
          <w:tcPr>
            <w:tcW w:w="772" w:type="pct"/>
          </w:tcPr>
          <w:p w:rsidR="00161E65" w:rsidRPr="00B616BC" w:rsidRDefault="00161E65" w:rsidP="00161E65">
            <w:pPr>
              <w:pStyle w:val="Tabletext"/>
              <w:keepNext/>
              <w:keepLines/>
              <w:jc w:val="center"/>
            </w:pPr>
            <w:r w:rsidRPr="00B616BC">
              <w:rPr>
                <w:szCs w:val="20"/>
              </w:rPr>
              <w:t>11.08 (0.93)</w:t>
            </w:r>
          </w:p>
        </w:tc>
        <w:tc>
          <w:tcPr>
            <w:tcW w:w="663" w:type="pct"/>
          </w:tcPr>
          <w:p w:rsidR="00161E65" w:rsidRPr="00B616BC" w:rsidRDefault="00161E65" w:rsidP="00161E65">
            <w:pPr>
              <w:pStyle w:val="Tabletext"/>
              <w:keepNext/>
              <w:keepLines/>
              <w:jc w:val="center"/>
            </w:pPr>
            <w:r w:rsidRPr="00B616BC">
              <w:t>-0.03</w:t>
            </w:r>
          </w:p>
        </w:tc>
        <w:tc>
          <w:tcPr>
            <w:tcW w:w="1083" w:type="pct"/>
          </w:tcPr>
          <w:p w:rsidR="00161E65" w:rsidRPr="00B616BC" w:rsidRDefault="00161E65" w:rsidP="00161E65">
            <w:pPr>
              <w:pStyle w:val="Tabletext"/>
              <w:keepNext/>
              <w:keepLines/>
              <w:jc w:val="center"/>
            </w:pPr>
            <w:r w:rsidRPr="00B616BC">
              <w:t>0.02 (-0.20; 0.25)</w:t>
            </w:r>
          </w:p>
        </w:tc>
      </w:tr>
    </w:tbl>
    <w:p w:rsidR="00161E65" w:rsidRPr="00B616BC" w:rsidRDefault="00161E65" w:rsidP="00161E65">
      <w:pPr>
        <w:pStyle w:val="TableFooter"/>
        <w:keepNext/>
        <w:keepLines/>
        <w:rPr>
          <w:sz w:val="20"/>
        </w:rPr>
      </w:pPr>
      <w:r w:rsidRPr="00B616BC">
        <w:t>Source: Compiled from Table 4, p 1583 of Bhandari (2015)</w:t>
      </w:r>
    </w:p>
    <w:p w:rsidR="00161E65" w:rsidRPr="00B616BC" w:rsidRDefault="00161E65" w:rsidP="00161E65">
      <w:pPr>
        <w:pStyle w:val="TableFooter"/>
        <w:keepNext/>
        <w:keepLines/>
        <w:rPr>
          <w:rFonts w:eastAsia="Calibri"/>
        </w:rPr>
      </w:pPr>
      <w:r w:rsidRPr="00B616BC">
        <w:rPr>
          <w:rFonts w:eastAsia="Calibri"/>
        </w:rPr>
        <w:t xml:space="preserve">CI = confidence interval; </w:t>
      </w:r>
      <w:r w:rsidRPr="00B616BC">
        <w:t>g/dL =</w:t>
      </w:r>
      <w:r w:rsidRPr="00B616BC">
        <w:rPr>
          <w:rStyle w:val="y0nh2b"/>
        </w:rPr>
        <w:t>grams per decilitre;</w:t>
      </w:r>
      <w:r w:rsidRPr="00B616BC">
        <w:t xml:space="preserve"> Hb = haemoglobin; N = total number of patients; SD = standard deviation</w:t>
      </w:r>
    </w:p>
    <w:p w:rsidR="00161E65" w:rsidRPr="00B616BC" w:rsidRDefault="00161E65" w:rsidP="00161E65">
      <w:pPr>
        <w:pStyle w:val="TableFooter"/>
        <w:keepNext/>
        <w:keepLines/>
      </w:pPr>
      <w:r w:rsidRPr="00B616BC">
        <w:rPr>
          <w:rFonts w:eastAsia="Calibri"/>
          <w:vertAlign w:val="superscript"/>
        </w:rPr>
        <w:t xml:space="preserve">a </w:t>
      </w:r>
      <w:r w:rsidRPr="00B616BC">
        <w:t>Trial results of the ferric derisomaltose arms (single or split dose) were combined</w:t>
      </w:r>
    </w:p>
    <w:p w:rsidR="00161E65" w:rsidRPr="00B616BC" w:rsidRDefault="00161E65" w:rsidP="00161E65">
      <w:pPr>
        <w:widowControl/>
      </w:pPr>
    </w:p>
    <w:p w:rsidR="00161E65" w:rsidRPr="00B616BC" w:rsidRDefault="00161E65" w:rsidP="001B5CF6">
      <w:pPr>
        <w:pStyle w:val="ListParagraph"/>
        <w:widowControl/>
        <w:numPr>
          <w:ilvl w:val="1"/>
          <w:numId w:val="1"/>
        </w:numPr>
        <w:spacing w:after="120"/>
      </w:pPr>
      <w:r w:rsidRPr="00B616BC">
        <w:t xml:space="preserve">The results showed no statistically significant changes from baseline at 6 weeks between patients treated with ferric derisomaltose (single or split dose) and patients treated with iron sucrose. </w:t>
      </w:r>
    </w:p>
    <w:p w:rsidR="00161E65" w:rsidRPr="00B616BC" w:rsidRDefault="00161E65" w:rsidP="001B5CF6">
      <w:pPr>
        <w:pStyle w:val="ListParagraph"/>
        <w:widowControl/>
        <w:numPr>
          <w:ilvl w:val="1"/>
          <w:numId w:val="1"/>
        </w:numPr>
        <w:spacing w:after="120"/>
        <w:rPr>
          <w:rStyle w:val="CommentReference"/>
          <w:rFonts w:ascii="Calibri" w:hAnsi="Calibri"/>
          <w:b w:val="0"/>
          <w:sz w:val="24"/>
          <w:szCs w:val="22"/>
        </w:rPr>
      </w:pPr>
      <w:r w:rsidRPr="00B616BC">
        <w:t xml:space="preserve">Overall, the results suggested that ferric derisomaltose was non-inferior to iron sucrose in patients undergoing haemodialysis, as the lower bounds of the 95% CIs were above the NI margins for the mean change in Hb from baseline (NI margin = </w:t>
      </w:r>
      <w:r w:rsidRPr="00B616BC">
        <w:br/>
        <w:t>-0.5g/dL) at 6 weeks follow-up.</w:t>
      </w:r>
    </w:p>
    <w:p w:rsidR="00E31BA1" w:rsidRPr="001B5CF6" w:rsidRDefault="00B60939" w:rsidP="001B5CF6">
      <w:pPr>
        <w:pStyle w:val="Heading2"/>
        <w:keepNext/>
        <w:spacing w:before="240" w:after="120"/>
        <w:rPr>
          <w:i w:val="0"/>
        </w:rPr>
      </w:pPr>
      <w:bookmarkStart w:id="9" w:name="_Toc511461243"/>
      <w:r w:rsidRPr="00B616BC">
        <w:rPr>
          <w:i w:val="0"/>
        </w:rPr>
        <w:lastRenderedPageBreak/>
        <w:t>Comparative harms</w:t>
      </w:r>
      <w:bookmarkEnd w:id="9"/>
    </w:p>
    <w:p w:rsidR="00016344" w:rsidRPr="00B616BC" w:rsidRDefault="00E31BA1" w:rsidP="001B5CF6">
      <w:pPr>
        <w:keepNext/>
        <w:spacing w:after="120"/>
        <w:rPr>
          <w:u w:val="single"/>
        </w:rPr>
      </w:pPr>
      <w:r w:rsidRPr="00B616BC">
        <w:rPr>
          <w:u w:val="single"/>
        </w:rPr>
        <w:t xml:space="preserve">Ferric derisomaltose vs ferric carboxymaltose (indirect comparison) </w:t>
      </w:r>
    </w:p>
    <w:p w:rsidR="00B14D05" w:rsidRPr="00B616BC" w:rsidRDefault="00B14D05" w:rsidP="001B5CF6">
      <w:pPr>
        <w:pStyle w:val="ListParagraph"/>
        <w:keepNext/>
        <w:widowControl/>
        <w:numPr>
          <w:ilvl w:val="1"/>
          <w:numId w:val="1"/>
        </w:numPr>
        <w:spacing w:after="120"/>
      </w:pPr>
      <w:r w:rsidRPr="00B616BC">
        <w:t xml:space="preserve">The submission presented a naïve </w:t>
      </w:r>
      <w:r w:rsidR="00E022C8" w:rsidRPr="00B616BC">
        <w:t xml:space="preserve">indirect </w:t>
      </w:r>
      <w:r w:rsidRPr="00B616BC">
        <w:t>comparison of adverse events between ferric derisomaltose and ferric carboxymaltose</w:t>
      </w:r>
      <w:r w:rsidR="00A6681D" w:rsidRPr="00B616BC">
        <w:t xml:space="preserve"> (Table </w:t>
      </w:r>
      <w:r w:rsidR="00BE157A" w:rsidRPr="00B616BC">
        <w:t>8</w:t>
      </w:r>
      <w:r w:rsidR="00A6681D" w:rsidRPr="00B616BC">
        <w:t>)</w:t>
      </w:r>
      <w:r w:rsidR="00575A3A" w:rsidRPr="00B616BC">
        <w:t>,</w:t>
      </w:r>
      <w:r w:rsidR="00E022C8" w:rsidRPr="00B616BC">
        <w:t xml:space="preserve"> as a formal indirect</w:t>
      </w:r>
      <w:r w:rsidRPr="00B616BC">
        <w:t xml:space="preserve"> comparison was not possible</w:t>
      </w:r>
      <w:r w:rsidR="00A6681D" w:rsidRPr="00B616BC">
        <w:t>.</w:t>
      </w:r>
      <w:r w:rsidRPr="00B616BC">
        <w:t xml:space="preserve"> </w:t>
      </w:r>
      <w:r w:rsidR="00DE0FB5" w:rsidRPr="00B616BC">
        <w:t xml:space="preserve">The </w:t>
      </w:r>
      <w:r w:rsidR="00032BE0" w:rsidRPr="00B616BC">
        <w:t>PBAC</w:t>
      </w:r>
      <w:r w:rsidR="00DE0FB5" w:rsidRPr="00B616BC">
        <w:t xml:space="preserve"> considered that</w:t>
      </w:r>
      <w:r w:rsidR="00DE0FB5" w:rsidRPr="00B616BC">
        <w:rPr>
          <w:i/>
        </w:rPr>
        <w:t xml:space="preserve"> </w:t>
      </w:r>
      <w:r w:rsidR="00DE0FB5" w:rsidRPr="00B616BC">
        <w:t>t</w:t>
      </w:r>
      <w:r w:rsidRPr="00B616BC">
        <w:t xml:space="preserve">his was reasonable. </w:t>
      </w:r>
    </w:p>
    <w:p w:rsidR="00B14D05" w:rsidRPr="00B616BC" w:rsidRDefault="00B14D05" w:rsidP="0075231C">
      <w:pPr>
        <w:pStyle w:val="TableHeading0"/>
        <w:keepLines/>
        <w:spacing w:after="0"/>
        <w:rPr>
          <w:b w:val="0"/>
        </w:rPr>
      </w:pPr>
      <w:r w:rsidRPr="00B616BC">
        <w:rPr>
          <w:snapToGrid w:val="0"/>
        </w:rPr>
        <w:t xml:space="preserve">Table </w:t>
      </w:r>
      <w:r w:rsidR="00BE157A" w:rsidRPr="00B616BC">
        <w:rPr>
          <w:snapToGrid w:val="0"/>
        </w:rPr>
        <w:t>8</w:t>
      </w:r>
      <w:r w:rsidRPr="00B616BC">
        <w:rPr>
          <w:snapToGrid w:val="0"/>
        </w:rPr>
        <w:t>: Naïve comparison of safety</w:t>
      </w:r>
      <w:r w:rsidR="00A6681D" w:rsidRPr="00B616BC">
        <w:rPr>
          <w:snapToGrid w:val="0"/>
        </w:rPr>
        <w:t xml:space="preserve"> reported in the trials</w:t>
      </w:r>
      <w:r w:rsidR="009A05CA" w:rsidRPr="00B616BC">
        <w:rPr>
          <w:snapToGrid w:val="0"/>
        </w:rPr>
        <w:t xml:space="preserve"> </w:t>
      </w:r>
      <w:r w:rsidRPr="00B616BC">
        <w:rPr>
          <w:snapToGrid w:val="0"/>
        </w:rPr>
        <w:t xml:space="preserve">between ferric derisomaltose and ferric carboxymaltose </w:t>
      </w:r>
      <w:r w:rsidR="00575A3A" w:rsidRPr="00B616BC">
        <w:rPr>
          <w:snapToGrid w:val="0"/>
          <w:vertAlign w:val="superscript"/>
        </w:rPr>
        <w:t>a</w:t>
      </w:r>
    </w:p>
    <w:tbl>
      <w:tblPr>
        <w:tblStyle w:val="TableGrid"/>
        <w:tblW w:w="9012" w:type="dxa"/>
        <w:tblInd w:w="108" w:type="dxa"/>
        <w:tblLayout w:type="fixed"/>
        <w:tblLook w:val="04A0" w:firstRow="1" w:lastRow="0" w:firstColumn="1" w:lastColumn="0" w:noHBand="0" w:noVBand="1"/>
        <w:tblCaption w:val="Table 8: Naïve comparison of safety reported in the trials between ferric derisomaltose and ferric carboxymaltose "/>
      </w:tblPr>
      <w:tblGrid>
        <w:gridCol w:w="4049"/>
        <w:gridCol w:w="1654"/>
        <w:gridCol w:w="1655"/>
        <w:gridCol w:w="1654"/>
      </w:tblGrid>
      <w:tr w:rsidR="00301468" w:rsidRPr="00B616BC" w:rsidTr="0075231C">
        <w:trPr>
          <w:trHeight w:val="23"/>
          <w:tblHeader/>
        </w:trPr>
        <w:tc>
          <w:tcPr>
            <w:tcW w:w="4049" w:type="dxa"/>
          </w:tcPr>
          <w:p w:rsidR="00301468" w:rsidRPr="00B616BC" w:rsidRDefault="00301468" w:rsidP="00B14D05">
            <w:pPr>
              <w:pStyle w:val="Tabletext"/>
              <w:keepNext/>
              <w:keepLines/>
              <w:rPr>
                <w:rStyle w:val="SmallBold"/>
                <w:rFonts w:ascii="Arial Narrow" w:hAnsi="Arial Narrow"/>
                <w:sz w:val="20"/>
                <w:szCs w:val="20"/>
              </w:rPr>
            </w:pPr>
            <w:r w:rsidRPr="00B616BC">
              <w:rPr>
                <w:rStyle w:val="SmallBold"/>
                <w:rFonts w:ascii="Arial Narrow" w:hAnsi="Arial Narrow"/>
                <w:sz w:val="20"/>
                <w:szCs w:val="20"/>
              </w:rPr>
              <w:t xml:space="preserve">Trial </w:t>
            </w:r>
          </w:p>
        </w:tc>
        <w:tc>
          <w:tcPr>
            <w:tcW w:w="1654" w:type="dxa"/>
            <w:vAlign w:val="center"/>
          </w:tcPr>
          <w:p w:rsidR="00301468" w:rsidRPr="00B616BC" w:rsidRDefault="00301468" w:rsidP="00575A3A">
            <w:pPr>
              <w:pStyle w:val="Tabletext"/>
              <w:keepNext/>
              <w:keepLines/>
              <w:jc w:val="center"/>
              <w:rPr>
                <w:rStyle w:val="SmallBold"/>
                <w:rFonts w:ascii="Arial Narrow" w:hAnsi="Arial Narrow"/>
                <w:sz w:val="20"/>
                <w:szCs w:val="20"/>
                <w:vertAlign w:val="superscript"/>
              </w:rPr>
            </w:pPr>
            <w:r w:rsidRPr="00B616BC">
              <w:rPr>
                <w:rStyle w:val="SmallBold"/>
                <w:rFonts w:ascii="Arial Narrow" w:hAnsi="Arial Narrow"/>
                <w:sz w:val="20"/>
                <w:szCs w:val="20"/>
              </w:rPr>
              <w:t xml:space="preserve">PROVIDE </w:t>
            </w:r>
            <w:r w:rsidRPr="00B616BC">
              <w:rPr>
                <w:rStyle w:val="SmallBold"/>
                <w:rFonts w:ascii="Arial Narrow" w:hAnsi="Arial Narrow"/>
                <w:sz w:val="20"/>
                <w:szCs w:val="20"/>
                <w:vertAlign w:val="superscript"/>
              </w:rPr>
              <w:t>b</w:t>
            </w:r>
          </w:p>
        </w:tc>
        <w:tc>
          <w:tcPr>
            <w:tcW w:w="1655" w:type="dxa"/>
            <w:vAlign w:val="center"/>
          </w:tcPr>
          <w:p w:rsidR="00301468" w:rsidRPr="00B616BC" w:rsidRDefault="00301468" w:rsidP="00575A3A">
            <w:pPr>
              <w:pStyle w:val="Tabletext"/>
              <w:keepNext/>
              <w:keepLines/>
              <w:jc w:val="center"/>
              <w:rPr>
                <w:rStyle w:val="SmallBold"/>
                <w:rFonts w:ascii="Arial Narrow" w:hAnsi="Arial Narrow"/>
                <w:sz w:val="20"/>
                <w:szCs w:val="20"/>
              </w:rPr>
            </w:pPr>
            <w:r w:rsidRPr="00B616BC">
              <w:rPr>
                <w:rStyle w:val="SmallBold"/>
                <w:rFonts w:ascii="Arial Narrow" w:hAnsi="Arial Narrow"/>
                <w:sz w:val="20"/>
                <w:szCs w:val="20"/>
              </w:rPr>
              <w:t>FERGICor</w:t>
            </w:r>
          </w:p>
        </w:tc>
        <w:tc>
          <w:tcPr>
            <w:tcW w:w="1654" w:type="dxa"/>
            <w:vAlign w:val="center"/>
          </w:tcPr>
          <w:p w:rsidR="00301468" w:rsidRPr="00B616BC" w:rsidRDefault="00301468" w:rsidP="00575A3A">
            <w:pPr>
              <w:pStyle w:val="Tabletext"/>
              <w:keepNext/>
              <w:keepLines/>
              <w:jc w:val="center"/>
              <w:rPr>
                <w:rStyle w:val="SmallBold"/>
                <w:rFonts w:ascii="Arial Narrow" w:hAnsi="Arial Narrow"/>
                <w:sz w:val="20"/>
                <w:szCs w:val="20"/>
                <w:vertAlign w:val="superscript"/>
              </w:rPr>
            </w:pPr>
            <w:r w:rsidRPr="00B616BC">
              <w:rPr>
                <w:rStyle w:val="SmallBold"/>
                <w:rFonts w:ascii="Arial Narrow" w:hAnsi="Arial Narrow"/>
                <w:sz w:val="20"/>
                <w:szCs w:val="20"/>
              </w:rPr>
              <w:t>REPAIR-</w:t>
            </w:r>
            <w:r w:rsidR="00C139DE" w:rsidRPr="00B616BC">
              <w:rPr>
                <w:rStyle w:val="SmallBold"/>
                <w:rFonts w:ascii="Arial Narrow" w:hAnsi="Arial Narrow"/>
                <w:sz w:val="20"/>
                <w:szCs w:val="20"/>
              </w:rPr>
              <w:t xml:space="preserve">IDA </w:t>
            </w:r>
            <w:r w:rsidRPr="00B616BC">
              <w:rPr>
                <w:rStyle w:val="SmallBold"/>
                <w:rFonts w:ascii="Arial Narrow" w:hAnsi="Arial Narrow"/>
                <w:sz w:val="20"/>
                <w:szCs w:val="20"/>
                <w:vertAlign w:val="superscript"/>
              </w:rPr>
              <w:t>b</w:t>
            </w:r>
          </w:p>
        </w:tc>
      </w:tr>
      <w:tr w:rsidR="00301468" w:rsidRPr="00B616BC" w:rsidTr="0075231C">
        <w:trPr>
          <w:trHeight w:val="23"/>
          <w:tblHeader/>
        </w:trPr>
        <w:tc>
          <w:tcPr>
            <w:tcW w:w="4049" w:type="dxa"/>
          </w:tcPr>
          <w:p w:rsidR="00301468" w:rsidRPr="00B616BC" w:rsidRDefault="00301468" w:rsidP="00B14D05">
            <w:pPr>
              <w:pStyle w:val="Tabletext"/>
              <w:keepNext/>
              <w:keepLines/>
              <w:rPr>
                <w:rStyle w:val="SmallBold"/>
                <w:rFonts w:ascii="Arial Narrow" w:hAnsi="Arial Narrow"/>
                <w:sz w:val="20"/>
                <w:szCs w:val="20"/>
              </w:rPr>
            </w:pPr>
            <w:r w:rsidRPr="00B616BC">
              <w:rPr>
                <w:rStyle w:val="SmallBold"/>
                <w:rFonts w:ascii="Arial Narrow" w:hAnsi="Arial Narrow"/>
                <w:sz w:val="20"/>
                <w:szCs w:val="20"/>
              </w:rPr>
              <w:t xml:space="preserve">Intervention </w:t>
            </w:r>
          </w:p>
        </w:tc>
        <w:tc>
          <w:tcPr>
            <w:tcW w:w="1654" w:type="dxa"/>
            <w:vAlign w:val="center"/>
          </w:tcPr>
          <w:p w:rsidR="00301468" w:rsidRPr="00B616BC" w:rsidRDefault="00301468" w:rsidP="00575A3A">
            <w:pPr>
              <w:pStyle w:val="Tabletext"/>
              <w:keepNext/>
              <w:keepLines/>
              <w:jc w:val="center"/>
              <w:rPr>
                <w:rStyle w:val="SmallBold"/>
                <w:rFonts w:ascii="Arial Narrow" w:hAnsi="Arial Narrow"/>
                <w:sz w:val="20"/>
                <w:szCs w:val="20"/>
              </w:rPr>
            </w:pPr>
            <w:r w:rsidRPr="00B616BC">
              <w:rPr>
                <w:rStyle w:val="SmallBold"/>
                <w:rFonts w:ascii="Arial Narrow" w:hAnsi="Arial Narrow"/>
                <w:sz w:val="20"/>
                <w:szCs w:val="20"/>
              </w:rPr>
              <w:t>FD</w:t>
            </w:r>
          </w:p>
        </w:tc>
        <w:tc>
          <w:tcPr>
            <w:tcW w:w="1655" w:type="dxa"/>
            <w:vAlign w:val="center"/>
          </w:tcPr>
          <w:p w:rsidR="00301468" w:rsidRPr="00B616BC" w:rsidRDefault="00301468" w:rsidP="00575A3A">
            <w:pPr>
              <w:pStyle w:val="Tabletext"/>
              <w:keepNext/>
              <w:keepLines/>
              <w:jc w:val="center"/>
              <w:rPr>
                <w:rStyle w:val="SmallBold"/>
                <w:rFonts w:ascii="Arial Narrow" w:hAnsi="Arial Narrow"/>
                <w:sz w:val="20"/>
                <w:szCs w:val="20"/>
              </w:rPr>
            </w:pPr>
            <w:r w:rsidRPr="00B616BC">
              <w:rPr>
                <w:rStyle w:val="SmallBold"/>
                <w:rFonts w:ascii="Arial Narrow" w:hAnsi="Arial Narrow"/>
                <w:sz w:val="20"/>
                <w:szCs w:val="20"/>
              </w:rPr>
              <w:t>FCM</w:t>
            </w:r>
          </w:p>
        </w:tc>
        <w:tc>
          <w:tcPr>
            <w:tcW w:w="1654" w:type="dxa"/>
            <w:vAlign w:val="center"/>
          </w:tcPr>
          <w:p w:rsidR="00301468" w:rsidRPr="00B616BC" w:rsidRDefault="00301468" w:rsidP="00575A3A">
            <w:pPr>
              <w:pStyle w:val="Tabletext"/>
              <w:keepNext/>
              <w:keepLines/>
              <w:jc w:val="center"/>
              <w:rPr>
                <w:rStyle w:val="SmallBold"/>
                <w:rFonts w:ascii="Arial Narrow" w:hAnsi="Arial Narrow"/>
                <w:sz w:val="20"/>
                <w:szCs w:val="20"/>
              </w:rPr>
            </w:pPr>
            <w:r w:rsidRPr="00B616BC">
              <w:rPr>
                <w:rStyle w:val="SmallBold"/>
                <w:rFonts w:ascii="Arial Narrow" w:hAnsi="Arial Narrow"/>
                <w:sz w:val="20"/>
                <w:szCs w:val="20"/>
              </w:rPr>
              <w:t>FCM</w:t>
            </w:r>
          </w:p>
        </w:tc>
      </w:tr>
      <w:tr w:rsidR="00301468" w:rsidRPr="00B616BC" w:rsidTr="00982541">
        <w:trPr>
          <w:trHeight w:val="23"/>
        </w:trPr>
        <w:tc>
          <w:tcPr>
            <w:tcW w:w="4049" w:type="dxa"/>
          </w:tcPr>
          <w:p w:rsidR="00301468" w:rsidRPr="00B616BC" w:rsidRDefault="00301468" w:rsidP="00B14D05">
            <w:pPr>
              <w:pStyle w:val="Tabletext"/>
              <w:keepNext/>
              <w:keepLines/>
              <w:rPr>
                <w:rStyle w:val="SmallBold"/>
                <w:rFonts w:ascii="Arial Narrow" w:hAnsi="Arial Narrow"/>
                <w:b w:val="0"/>
                <w:sz w:val="20"/>
                <w:szCs w:val="20"/>
              </w:rPr>
            </w:pPr>
            <w:r w:rsidRPr="00B616BC">
              <w:rPr>
                <w:bCs/>
                <w:szCs w:val="20"/>
              </w:rPr>
              <w:t>Safety Analysis Set, N</w:t>
            </w:r>
          </w:p>
        </w:tc>
        <w:tc>
          <w:tcPr>
            <w:tcW w:w="1654" w:type="dxa"/>
            <w:vAlign w:val="center"/>
          </w:tcPr>
          <w:p w:rsidR="00301468" w:rsidRPr="00B616BC" w:rsidRDefault="00301468" w:rsidP="00575A3A">
            <w:pPr>
              <w:pStyle w:val="Tabletext"/>
              <w:keepNext/>
              <w:keepLines/>
              <w:jc w:val="center"/>
              <w:rPr>
                <w:rStyle w:val="SmallBold"/>
                <w:rFonts w:ascii="Arial Narrow" w:hAnsi="Arial Narrow"/>
                <w:b w:val="0"/>
                <w:sz w:val="20"/>
                <w:szCs w:val="20"/>
              </w:rPr>
            </w:pPr>
            <w:r w:rsidRPr="00B616BC">
              <w:rPr>
                <w:rStyle w:val="SmallBold"/>
                <w:rFonts w:ascii="Arial Narrow" w:hAnsi="Arial Narrow"/>
                <w:b w:val="0"/>
                <w:sz w:val="20"/>
                <w:szCs w:val="20"/>
              </w:rPr>
              <w:t>333</w:t>
            </w:r>
          </w:p>
        </w:tc>
        <w:tc>
          <w:tcPr>
            <w:tcW w:w="1655" w:type="dxa"/>
            <w:vAlign w:val="center"/>
          </w:tcPr>
          <w:p w:rsidR="00301468" w:rsidRPr="00B616BC" w:rsidRDefault="00301468" w:rsidP="00575A3A">
            <w:pPr>
              <w:pStyle w:val="Tabletext"/>
              <w:keepNext/>
              <w:keepLines/>
              <w:jc w:val="center"/>
              <w:rPr>
                <w:rStyle w:val="SmallBold"/>
                <w:rFonts w:ascii="Arial Narrow" w:hAnsi="Arial Narrow"/>
                <w:b w:val="0"/>
                <w:sz w:val="20"/>
                <w:szCs w:val="20"/>
              </w:rPr>
            </w:pPr>
            <w:r w:rsidRPr="00B616BC">
              <w:rPr>
                <w:rStyle w:val="SmallBold"/>
                <w:rFonts w:ascii="Arial Narrow" w:hAnsi="Arial Narrow"/>
                <w:b w:val="0"/>
                <w:sz w:val="20"/>
                <w:szCs w:val="20"/>
              </w:rPr>
              <w:t>244</w:t>
            </w:r>
          </w:p>
        </w:tc>
        <w:tc>
          <w:tcPr>
            <w:tcW w:w="1654" w:type="dxa"/>
            <w:vAlign w:val="center"/>
          </w:tcPr>
          <w:p w:rsidR="00301468" w:rsidRPr="00B616BC" w:rsidRDefault="00301468" w:rsidP="00575A3A">
            <w:pPr>
              <w:pStyle w:val="Tabletext"/>
              <w:keepNext/>
              <w:keepLines/>
              <w:jc w:val="center"/>
              <w:rPr>
                <w:rStyle w:val="SmallBold"/>
                <w:rFonts w:ascii="Arial Narrow" w:hAnsi="Arial Narrow"/>
                <w:b w:val="0"/>
                <w:sz w:val="20"/>
                <w:szCs w:val="20"/>
              </w:rPr>
            </w:pPr>
            <w:r w:rsidRPr="00B616BC">
              <w:rPr>
                <w:rStyle w:val="SmallBold"/>
                <w:rFonts w:ascii="Arial Narrow" w:hAnsi="Arial Narrow"/>
                <w:b w:val="0"/>
                <w:sz w:val="20"/>
                <w:szCs w:val="20"/>
              </w:rPr>
              <w:t>1276</w:t>
            </w:r>
          </w:p>
        </w:tc>
      </w:tr>
      <w:tr w:rsidR="00301468" w:rsidRPr="00B616BC" w:rsidTr="00982541">
        <w:trPr>
          <w:trHeight w:val="23"/>
        </w:trPr>
        <w:tc>
          <w:tcPr>
            <w:tcW w:w="4049" w:type="dxa"/>
          </w:tcPr>
          <w:p w:rsidR="00301468" w:rsidRPr="00B616BC" w:rsidRDefault="00301468" w:rsidP="00B14D05">
            <w:pPr>
              <w:pStyle w:val="Tabletext"/>
              <w:keepNext/>
              <w:keepLines/>
              <w:rPr>
                <w:szCs w:val="20"/>
              </w:rPr>
            </w:pPr>
            <w:r w:rsidRPr="00B616BC">
              <w:rPr>
                <w:szCs w:val="20"/>
              </w:rPr>
              <w:t xml:space="preserve">Any adverse event, n (%) </w:t>
            </w:r>
          </w:p>
        </w:tc>
        <w:tc>
          <w:tcPr>
            <w:tcW w:w="1654" w:type="dxa"/>
            <w:vAlign w:val="center"/>
          </w:tcPr>
          <w:p w:rsidR="00301468" w:rsidRPr="00B616BC" w:rsidRDefault="00301468" w:rsidP="00575A3A">
            <w:pPr>
              <w:pStyle w:val="Tabletext"/>
              <w:keepNext/>
              <w:keepLines/>
              <w:jc w:val="center"/>
              <w:rPr>
                <w:szCs w:val="20"/>
              </w:rPr>
            </w:pPr>
            <w:r w:rsidRPr="00B616BC">
              <w:rPr>
                <w:szCs w:val="20"/>
              </w:rPr>
              <w:t>144 (43%)</w:t>
            </w:r>
          </w:p>
        </w:tc>
        <w:tc>
          <w:tcPr>
            <w:tcW w:w="1655" w:type="dxa"/>
            <w:vAlign w:val="center"/>
          </w:tcPr>
          <w:p w:rsidR="00301468" w:rsidRPr="00B616BC" w:rsidRDefault="00301468" w:rsidP="00575A3A">
            <w:pPr>
              <w:pStyle w:val="Tabletext"/>
              <w:keepNext/>
              <w:keepLines/>
              <w:jc w:val="center"/>
              <w:rPr>
                <w:szCs w:val="20"/>
              </w:rPr>
            </w:pPr>
            <w:r w:rsidRPr="00B616BC">
              <w:rPr>
                <w:szCs w:val="20"/>
              </w:rPr>
              <w:t>34 (14%)</w:t>
            </w:r>
          </w:p>
        </w:tc>
        <w:tc>
          <w:tcPr>
            <w:tcW w:w="1654" w:type="dxa"/>
            <w:vAlign w:val="center"/>
          </w:tcPr>
          <w:p w:rsidR="00301468" w:rsidRPr="00B616BC" w:rsidRDefault="00301468" w:rsidP="00575A3A">
            <w:pPr>
              <w:pStyle w:val="Tabletext"/>
              <w:keepNext/>
              <w:keepLines/>
              <w:jc w:val="center"/>
              <w:rPr>
                <w:szCs w:val="20"/>
              </w:rPr>
            </w:pPr>
            <w:r w:rsidRPr="00B616BC">
              <w:rPr>
                <w:szCs w:val="20"/>
              </w:rPr>
              <w:t>-</w:t>
            </w:r>
          </w:p>
        </w:tc>
      </w:tr>
      <w:tr w:rsidR="00301468" w:rsidRPr="00B616BC" w:rsidTr="00982541">
        <w:trPr>
          <w:trHeight w:val="23"/>
        </w:trPr>
        <w:tc>
          <w:tcPr>
            <w:tcW w:w="4049" w:type="dxa"/>
          </w:tcPr>
          <w:p w:rsidR="00301468" w:rsidRPr="00B616BC" w:rsidRDefault="00301468" w:rsidP="00B14D05">
            <w:pPr>
              <w:pStyle w:val="Tabletext"/>
              <w:keepNext/>
              <w:keepLines/>
              <w:rPr>
                <w:szCs w:val="20"/>
              </w:rPr>
            </w:pPr>
            <w:r w:rsidRPr="00B616BC">
              <w:rPr>
                <w:szCs w:val="20"/>
              </w:rPr>
              <w:t>Serious adverse events, n (%)</w:t>
            </w:r>
          </w:p>
        </w:tc>
        <w:tc>
          <w:tcPr>
            <w:tcW w:w="1654" w:type="dxa"/>
            <w:vAlign w:val="center"/>
          </w:tcPr>
          <w:p w:rsidR="00301468" w:rsidRPr="00B616BC" w:rsidRDefault="00301468" w:rsidP="00575A3A">
            <w:pPr>
              <w:pStyle w:val="Tabletext"/>
              <w:keepNext/>
              <w:keepLines/>
              <w:jc w:val="center"/>
              <w:rPr>
                <w:szCs w:val="20"/>
              </w:rPr>
            </w:pPr>
            <w:r w:rsidRPr="00B616BC">
              <w:rPr>
                <w:szCs w:val="20"/>
              </w:rPr>
              <w:t>11 (3%)</w:t>
            </w:r>
          </w:p>
        </w:tc>
        <w:tc>
          <w:tcPr>
            <w:tcW w:w="1655" w:type="dxa"/>
            <w:vAlign w:val="center"/>
          </w:tcPr>
          <w:p w:rsidR="00301468" w:rsidRPr="00B616BC" w:rsidRDefault="00301468" w:rsidP="00575A3A">
            <w:pPr>
              <w:pStyle w:val="Tabletext"/>
              <w:keepNext/>
              <w:keepLines/>
              <w:jc w:val="center"/>
              <w:rPr>
                <w:szCs w:val="20"/>
              </w:rPr>
            </w:pPr>
            <w:r w:rsidRPr="00B616BC">
              <w:rPr>
                <w:szCs w:val="20"/>
              </w:rPr>
              <w:t>-</w:t>
            </w:r>
          </w:p>
        </w:tc>
        <w:tc>
          <w:tcPr>
            <w:tcW w:w="1654" w:type="dxa"/>
            <w:vAlign w:val="center"/>
          </w:tcPr>
          <w:p w:rsidR="00301468" w:rsidRPr="00B616BC" w:rsidRDefault="00301468" w:rsidP="00575A3A">
            <w:pPr>
              <w:pStyle w:val="Tabletext"/>
              <w:keepNext/>
              <w:keepLines/>
              <w:jc w:val="center"/>
              <w:rPr>
                <w:szCs w:val="20"/>
              </w:rPr>
            </w:pPr>
            <w:r w:rsidRPr="00B616BC">
              <w:rPr>
                <w:szCs w:val="20"/>
              </w:rPr>
              <w:t>202 (16%)</w:t>
            </w:r>
          </w:p>
        </w:tc>
      </w:tr>
      <w:tr w:rsidR="00301468" w:rsidRPr="00B616BC" w:rsidTr="00982541">
        <w:trPr>
          <w:trHeight w:val="23"/>
        </w:trPr>
        <w:tc>
          <w:tcPr>
            <w:tcW w:w="4049" w:type="dxa"/>
            <w:vAlign w:val="bottom"/>
          </w:tcPr>
          <w:p w:rsidR="00301468" w:rsidRPr="00B616BC" w:rsidRDefault="00301468" w:rsidP="00B14D05">
            <w:pPr>
              <w:pStyle w:val="Tabletext"/>
              <w:keepNext/>
              <w:keepLines/>
              <w:rPr>
                <w:szCs w:val="20"/>
              </w:rPr>
            </w:pPr>
            <w:r w:rsidRPr="00B616BC">
              <w:rPr>
                <w:szCs w:val="20"/>
              </w:rPr>
              <w:t>-</w:t>
            </w:r>
            <w:r w:rsidR="00575A3A" w:rsidRPr="00B616BC">
              <w:rPr>
                <w:szCs w:val="20"/>
              </w:rPr>
              <w:t xml:space="preserve"> </w:t>
            </w:r>
            <w:r w:rsidRPr="00B616BC">
              <w:rPr>
                <w:szCs w:val="20"/>
              </w:rPr>
              <w:t>Leading to death, n (%)</w:t>
            </w:r>
          </w:p>
        </w:tc>
        <w:tc>
          <w:tcPr>
            <w:tcW w:w="1654" w:type="dxa"/>
            <w:vAlign w:val="center"/>
          </w:tcPr>
          <w:p w:rsidR="00301468" w:rsidRPr="00B616BC" w:rsidRDefault="00301468" w:rsidP="00575A3A">
            <w:pPr>
              <w:pStyle w:val="Tabletext"/>
              <w:keepNext/>
              <w:keepLines/>
              <w:jc w:val="center"/>
              <w:rPr>
                <w:szCs w:val="20"/>
              </w:rPr>
            </w:pPr>
            <w:r w:rsidRPr="00B616BC">
              <w:rPr>
                <w:szCs w:val="20"/>
              </w:rPr>
              <w:t>1 (&lt;1%)</w:t>
            </w:r>
          </w:p>
        </w:tc>
        <w:tc>
          <w:tcPr>
            <w:tcW w:w="1655" w:type="dxa"/>
            <w:vAlign w:val="center"/>
          </w:tcPr>
          <w:p w:rsidR="00301468" w:rsidRPr="00B616BC" w:rsidRDefault="00301468" w:rsidP="00575A3A">
            <w:pPr>
              <w:pStyle w:val="Tabletext"/>
              <w:keepNext/>
              <w:keepLines/>
              <w:jc w:val="center"/>
              <w:rPr>
                <w:szCs w:val="20"/>
              </w:rPr>
            </w:pPr>
            <w:r w:rsidRPr="00B616BC">
              <w:rPr>
                <w:szCs w:val="20"/>
              </w:rPr>
              <w:t>-</w:t>
            </w:r>
          </w:p>
        </w:tc>
        <w:tc>
          <w:tcPr>
            <w:tcW w:w="1654" w:type="dxa"/>
            <w:vAlign w:val="center"/>
          </w:tcPr>
          <w:p w:rsidR="00301468" w:rsidRPr="00B616BC" w:rsidRDefault="00301468" w:rsidP="00575A3A">
            <w:pPr>
              <w:pStyle w:val="Tabletext"/>
              <w:keepNext/>
              <w:keepLines/>
              <w:jc w:val="center"/>
              <w:rPr>
                <w:szCs w:val="20"/>
              </w:rPr>
            </w:pPr>
            <w:r w:rsidRPr="00B616BC">
              <w:rPr>
                <w:szCs w:val="20"/>
              </w:rPr>
              <w:t>-</w:t>
            </w:r>
          </w:p>
        </w:tc>
      </w:tr>
      <w:tr w:rsidR="00301468" w:rsidRPr="00B616BC" w:rsidTr="00982541">
        <w:trPr>
          <w:trHeight w:val="23"/>
        </w:trPr>
        <w:tc>
          <w:tcPr>
            <w:tcW w:w="4049" w:type="dxa"/>
            <w:vAlign w:val="bottom"/>
          </w:tcPr>
          <w:p w:rsidR="00301468" w:rsidRPr="00B616BC" w:rsidRDefault="00301468" w:rsidP="00B14D05">
            <w:pPr>
              <w:pStyle w:val="Tabletext"/>
              <w:keepNext/>
              <w:keepLines/>
              <w:rPr>
                <w:szCs w:val="20"/>
              </w:rPr>
            </w:pPr>
            <w:r w:rsidRPr="00B616BC">
              <w:rPr>
                <w:szCs w:val="20"/>
              </w:rPr>
              <w:t>-</w:t>
            </w:r>
            <w:r w:rsidR="00575A3A" w:rsidRPr="00B616BC">
              <w:rPr>
                <w:szCs w:val="20"/>
              </w:rPr>
              <w:t xml:space="preserve"> </w:t>
            </w:r>
            <w:r w:rsidRPr="00B616BC">
              <w:rPr>
                <w:szCs w:val="20"/>
              </w:rPr>
              <w:t>Leading to dose reduction, n (%)</w:t>
            </w:r>
          </w:p>
        </w:tc>
        <w:tc>
          <w:tcPr>
            <w:tcW w:w="1654" w:type="dxa"/>
            <w:vAlign w:val="center"/>
          </w:tcPr>
          <w:p w:rsidR="00301468" w:rsidRPr="00B616BC" w:rsidRDefault="00301468" w:rsidP="00575A3A">
            <w:pPr>
              <w:pStyle w:val="Tabletext"/>
              <w:keepNext/>
              <w:keepLines/>
              <w:jc w:val="center"/>
              <w:rPr>
                <w:szCs w:val="20"/>
              </w:rPr>
            </w:pPr>
            <w:r w:rsidRPr="00B616BC">
              <w:rPr>
                <w:szCs w:val="20"/>
              </w:rPr>
              <w:t>3 (1%)</w:t>
            </w:r>
          </w:p>
        </w:tc>
        <w:tc>
          <w:tcPr>
            <w:tcW w:w="1655" w:type="dxa"/>
            <w:vAlign w:val="center"/>
          </w:tcPr>
          <w:p w:rsidR="00301468" w:rsidRPr="00B616BC" w:rsidRDefault="00301468" w:rsidP="00575A3A">
            <w:pPr>
              <w:pStyle w:val="Tabletext"/>
              <w:keepNext/>
              <w:keepLines/>
              <w:jc w:val="center"/>
              <w:rPr>
                <w:szCs w:val="20"/>
              </w:rPr>
            </w:pPr>
            <w:r w:rsidRPr="00B616BC">
              <w:rPr>
                <w:szCs w:val="20"/>
              </w:rPr>
              <w:t>-</w:t>
            </w:r>
          </w:p>
        </w:tc>
        <w:tc>
          <w:tcPr>
            <w:tcW w:w="1654" w:type="dxa"/>
            <w:vAlign w:val="center"/>
          </w:tcPr>
          <w:p w:rsidR="00301468" w:rsidRPr="00B616BC" w:rsidRDefault="00301468" w:rsidP="00575A3A">
            <w:pPr>
              <w:pStyle w:val="Tabletext"/>
              <w:keepNext/>
              <w:keepLines/>
              <w:jc w:val="center"/>
              <w:rPr>
                <w:szCs w:val="20"/>
              </w:rPr>
            </w:pPr>
            <w:r w:rsidRPr="00B616BC">
              <w:rPr>
                <w:szCs w:val="20"/>
              </w:rPr>
              <w:t>-</w:t>
            </w:r>
          </w:p>
        </w:tc>
      </w:tr>
      <w:tr w:rsidR="00301468" w:rsidRPr="00B616BC" w:rsidTr="00982541">
        <w:trPr>
          <w:trHeight w:val="56"/>
        </w:trPr>
        <w:tc>
          <w:tcPr>
            <w:tcW w:w="4049" w:type="dxa"/>
            <w:vAlign w:val="bottom"/>
          </w:tcPr>
          <w:p w:rsidR="00301468" w:rsidRPr="00B616BC" w:rsidRDefault="00301468" w:rsidP="00B14D05">
            <w:pPr>
              <w:pStyle w:val="Tabletext"/>
              <w:keepNext/>
              <w:keepLines/>
              <w:rPr>
                <w:szCs w:val="20"/>
              </w:rPr>
            </w:pPr>
            <w:r w:rsidRPr="00B616BC">
              <w:rPr>
                <w:szCs w:val="20"/>
              </w:rPr>
              <w:t>-</w:t>
            </w:r>
            <w:r w:rsidR="00575A3A" w:rsidRPr="00B616BC">
              <w:rPr>
                <w:szCs w:val="20"/>
              </w:rPr>
              <w:t xml:space="preserve"> </w:t>
            </w:r>
            <w:r w:rsidRPr="00B616BC">
              <w:rPr>
                <w:szCs w:val="20"/>
              </w:rPr>
              <w:t>Leading to drug withdrawal, n (%)</w:t>
            </w:r>
          </w:p>
        </w:tc>
        <w:tc>
          <w:tcPr>
            <w:tcW w:w="1654" w:type="dxa"/>
            <w:vAlign w:val="center"/>
          </w:tcPr>
          <w:p w:rsidR="00301468" w:rsidRPr="00B616BC" w:rsidRDefault="00301468" w:rsidP="00575A3A">
            <w:pPr>
              <w:pStyle w:val="Tabletext"/>
              <w:keepNext/>
              <w:keepLines/>
              <w:jc w:val="center"/>
              <w:rPr>
                <w:szCs w:val="20"/>
              </w:rPr>
            </w:pPr>
            <w:r w:rsidRPr="00B616BC">
              <w:rPr>
                <w:szCs w:val="20"/>
              </w:rPr>
              <w:t>10 (3%)</w:t>
            </w:r>
          </w:p>
        </w:tc>
        <w:tc>
          <w:tcPr>
            <w:tcW w:w="1655" w:type="dxa"/>
            <w:vAlign w:val="center"/>
          </w:tcPr>
          <w:p w:rsidR="00301468" w:rsidRPr="00B616BC" w:rsidRDefault="00301468" w:rsidP="00575A3A">
            <w:pPr>
              <w:pStyle w:val="Tabletext"/>
              <w:keepNext/>
              <w:keepLines/>
              <w:jc w:val="center"/>
              <w:rPr>
                <w:szCs w:val="20"/>
              </w:rPr>
            </w:pPr>
            <w:r w:rsidRPr="00B616BC">
              <w:rPr>
                <w:szCs w:val="20"/>
              </w:rPr>
              <w:t>7 (3%)</w:t>
            </w:r>
          </w:p>
        </w:tc>
        <w:tc>
          <w:tcPr>
            <w:tcW w:w="1654" w:type="dxa"/>
            <w:vAlign w:val="center"/>
          </w:tcPr>
          <w:p w:rsidR="00301468" w:rsidRPr="00B616BC" w:rsidRDefault="00301468" w:rsidP="00575A3A">
            <w:pPr>
              <w:pStyle w:val="Tabletext"/>
              <w:keepNext/>
              <w:keepLines/>
              <w:jc w:val="center"/>
              <w:rPr>
                <w:szCs w:val="20"/>
              </w:rPr>
            </w:pPr>
            <w:r w:rsidRPr="00B616BC">
              <w:rPr>
                <w:szCs w:val="20"/>
              </w:rPr>
              <w:t>-</w:t>
            </w:r>
          </w:p>
        </w:tc>
      </w:tr>
      <w:tr w:rsidR="00301468" w:rsidRPr="00B616BC" w:rsidTr="00982541">
        <w:trPr>
          <w:trHeight w:val="23"/>
        </w:trPr>
        <w:tc>
          <w:tcPr>
            <w:tcW w:w="4049" w:type="dxa"/>
          </w:tcPr>
          <w:p w:rsidR="00301468" w:rsidRPr="00B616BC" w:rsidRDefault="00301468" w:rsidP="00B14D05">
            <w:pPr>
              <w:pStyle w:val="Tabletext"/>
              <w:keepNext/>
              <w:keepLines/>
              <w:rPr>
                <w:szCs w:val="20"/>
                <w:vertAlign w:val="superscript"/>
              </w:rPr>
            </w:pPr>
            <w:r w:rsidRPr="00B616BC">
              <w:rPr>
                <w:szCs w:val="20"/>
              </w:rPr>
              <w:t>Hypersensitivity</w:t>
            </w:r>
            <w:r w:rsidR="00575A3A" w:rsidRPr="00B616BC">
              <w:rPr>
                <w:szCs w:val="20"/>
              </w:rPr>
              <w:t xml:space="preserve"> </w:t>
            </w:r>
            <w:r w:rsidR="00575A3A" w:rsidRPr="00B616BC">
              <w:rPr>
                <w:szCs w:val="20"/>
                <w:vertAlign w:val="superscript"/>
              </w:rPr>
              <w:t>c</w:t>
            </w:r>
          </w:p>
        </w:tc>
        <w:tc>
          <w:tcPr>
            <w:tcW w:w="1654" w:type="dxa"/>
            <w:vAlign w:val="center"/>
          </w:tcPr>
          <w:p w:rsidR="00301468" w:rsidRPr="00B616BC" w:rsidRDefault="00301468" w:rsidP="00575A3A">
            <w:pPr>
              <w:pStyle w:val="Tabletext"/>
              <w:keepNext/>
              <w:keepLines/>
              <w:jc w:val="center"/>
              <w:rPr>
                <w:szCs w:val="20"/>
              </w:rPr>
            </w:pPr>
            <w:r w:rsidRPr="00B616BC">
              <w:rPr>
                <w:szCs w:val="20"/>
              </w:rPr>
              <w:t>31 (9%)</w:t>
            </w:r>
          </w:p>
        </w:tc>
        <w:tc>
          <w:tcPr>
            <w:tcW w:w="1655" w:type="dxa"/>
            <w:vAlign w:val="center"/>
          </w:tcPr>
          <w:p w:rsidR="00301468" w:rsidRPr="00B616BC" w:rsidRDefault="00301468" w:rsidP="00575A3A">
            <w:pPr>
              <w:pStyle w:val="Tabletext"/>
              <w:keepNext/>
              <w:keepLines/>
              <w:jc w:val="center"/>
              <w:rPr>
                <w:szCs w:val="20"/>
              </w:rPr>
            </w:pPr>
            <w:r w:rsidRPr="00B616BC">
              <w:rPr>
                <w:szCs w:val="20"/>
              </w:rPr>
              <w:t>4 (2%)</w:t>
            </w:r>
          </w:p>
        </w:tc>
        <w:tc>
          <w:tcPr>
            <w:tcW w:w="1654" w:type="dxa"/>
            <w:vAlign w:val="center"/>
          </w:tcPr>
          <w:p w:rsidR="00301468" w:rsidRPr="00B616BC" w:rsidRDefault="00301468" w:rsidP="00575A3A">
            <w:pPr>
              <w:pStyle w:val="Tabletext"/>
              <w:keepNext/>
              <w:keepLines/>
              <w:jc w:val="center"/>
              <w:rPr>
                <w:szCs w:val="20"/>
              </w:rPr>
            </w:pPr>
            <w:r w:rsidRPr="00B616BC">
              <w:rPr>
                <w:szCs w:val="20"/>
              </w:rPr>
              <w:t>9 (1%)</w:t>
            </w:r>
          </w:p>
        </w:tc>
      </w:tr>
    </w:tbl>
    <w:p w:rsidR="00B14D05" w:rsidRPr="00B616BC" w:rsidRDefault="00B14D05" w:rsidP="00B14D05">
      <w:pPr>
        <w:pStyle w:val="TableFooter"/>
        <w:keepNext/>
        <w:keepLines/>
      </w:pPr>
      <w:r w:rsidRPr="00B616BC">
        <w:t>Source: Table 2-26, Table 2-27</w:t>
      </w:r>
      <w:r w:rsidR="00C574F7" w:rsidRPr="00B616BC">
        <w:t>,</w:t>
      </w:r>
      <w:r w:rsidRPr="00B616BC">
        <w:t xml:space="preserve"> Table 2-35 and complied from text, pp35-47 of the submission </w:t>
      </w:r>
    </w:p>
    <w:p w:rsidR="00575A3A" w:rsidRPr="00B616BC" w:rsidRDefault="00575A3A" w:rsidP="00B14D05">
      <w:pPr>
        <w:pStyle w:val="TableFooter"/>
        <w:keepNext/>
        <w:keepLines/>
      </w:pPr>
      <w:r w:rsidRPr="00B616BC">
        <w:rPr>
          <w:rFonts w:eastAsia="Calibri"/>
        </w:rPr>
        <w:t>FCM = ferric carboxymaltose; FD = ferric derisomaltose; n = number of participants with event; N = total participants in group</w:t>
      </w:r>
    </w:p>
    <w:p w:rsidR="00301468" w:rsidRPr="00B616BC" w:rsidRDefault="00301468" w:rsidP="00B14D05">
      <w:pPr>
        <w:pStyle w:val="TableFooter"/>
        <w:keepNext/>
        <w:keepLines/>
      </w:pPr>
      <w:r w:rsidRPr="00B616BC">
        <w:rPr>
          <w:vertAlign w:val="superscript"/>
        </w:rPr>
        <w:t>a</w:t>
      </w:r>
      <w:r w:rsidRPr="00B616BC">
        <w:t xml:space="preserve"> Only limited safety data was reported by Mahey (2016) and was therefore not presented </w:t>
      </w:r>
    </w:p>
    <w:p w:rsidR="00B14D05" w:rsidRPr="00B616BC" w:rsidRDefault="00F232E8" w:rsidP="00B14D05">
      <w:pPr>
        <w:pStyle w:val="TableFooter"/>
        <w:keepNext/>
        <w:keepLines/>
      </w:pPr>
      <w:r w:rsidRPr="00B616BC">
        <w:rPr>
          <w:vertAlign w:val="superscript"/>
        </w:rPr>
        <w:t xml:space="preserve">b </w:t>
      </w:r>
      <w:r w:rsidR="00B14D05" w:rsidRPr="00B616BC">
        <w:t>Trial reported treatment emergent adverse events</w:t>
      </w:r>
    </w:p>
    <w:p w:rsidR="00575A3A" w:rsidRPr="00B616BC" w:rsidRDefault="00575A3A" w:rsidP="00B14D05">
      <w:pPr>
        <w:pStyle w:val="TableFooter"/>
        <w:keepNext/>
        <w:keepLines/>
      </w:pPr>
      <w:r w:rsidRPr="00B616BC">
        <w:rPr>
          <w:vertAlign w:val="superscript"/>
        </w:rPr>
        <w:t xml:space="preserve">c </w:t>
      </w:r>
      <w:r w:rsidRPr="00B616BC">
        <w:t>Hypersensitivity events were defined differently across the trials and were not comparable</w:t>
      </w:r>
    </w:p>
    <w:p w:rsidR="004151CF" w:rsidRPr="00B616BC" w:rsidRDefault="004151CF" w:rsidP="004151CF"/>
    <w:p w:rsidR="00B14D05" w:rsidRPr="00B616BC" w:rsidRDefault="00B14D05" w:rsidP="001B5CF6">
      <w:pPr>
        <w:pStyle w:val="ListParagraph"/>
        <w:widowControl/>
        <w:numPr>
          <w:ilvl w:val="1"/>
          <w:numId w:val="1"/>
        </w:numPr>
        <w:spacing w:after="120"/>
      </w:pPr>
      <w:r w:rsidRPr="00B616BC">
        <w:t>Patients treated with ferric derisomaltose reported a higher number of adverse events (43% vs 14%) and rates of hypersensitivity (9% vs 1</w:t>
      </w:r>
      <w:r w:rsidR="00521560" w:rsidRPr="00B616BC">
        <w:t xml:space="preserve"> to </w:t>
      </w:r>
      <w:r w:rsidRPr="00B616BC">
        <w:t xml:space="preserve">2%) than patients treated with ferric carboxymaltose. However, the number of serious adverse </w:t>
      </w:r>
      <w:r w:rsidR="00F430D1">
        <w:t xml:space="preserve">events </w:t>
      </w:r>
      <w:r w:rsidRPr="00B616BC">
        <w:t xml:space="preserve">was lower (3% vs 16%) in the ferric derisomaltose arm. </w:t>
      </w:r>
      <w:r w:rsidR="00332776" w:rsidRPr="00B616BC">
        <w:t>T</w:t>
      </w:r>
      <w:r w:rsidR="00D63251" w:rsidRPr="00B616BC">
        <w:t>hese differences were likely due to</w:t>
      </w:r>
      <w:r w:rsidR="00DF0B45" w:rsidRPr="00B616BC">
        <w:t xml:space="preserve"> </w:t>
      </w:r>
      <w:r w:rsidR="008D186A" w:rsidRPr="00B616BC">
        <w:t>the patient groups enrolled in</w:t>
      </w:r>
      <w:r w:rsidR="00DC2249" w:rsidRPr="00B616BC">
        <w:t xml:space="preserve"> each of</w:t>
      </w:r>
      <w:r w:rsidR="008D186A" w:rsidRPr="00B616BC">
        <w:t xml:space="preserve"> the trials. </w:t>
      </w:r>
      <w:r w:rsidR="00DF0B45" w:rsidRPr="00B616BC">
        <w:t xml:space="preserve">PROVIDE </w:t>
      </w:r>
      <w:r w:rsidR="00D63251" w:rsidRPr="00B616BC">
        <w:t xml:space="preserve">predominately </w:t>
      </w:r>
      <w:r w:rsidR="00DF0B45" w:rsidRPr="00B616BC">
        <w:t xml:space="preserve">enrolled patients with iron deficiency anaemia caused by gastrointestinal and gynaecological </w:t>
      </w:r>
      <w:r w:rsidR="00D63251" w:rsidRPr="00B616BC">
        <w:t>etiologies, whilst REPAIR-IDA</w:t>
      </w:r>
      <w:r w:rsidR="00DF0B45" w:rsidRPr="00B616BC">
        <w:t xml:space="preserve"> </w:t>
      </w:r>
      <w:r w:rsidR="00D63251" w:rsidRPr="00B616BC">
        <w:t>exclusively enrolled patients with chronic kidney disease.</w:t>
      </w:r>
      <w:r w:rsidR="0075231C">
        <w:t xml:space="preserve"> </w:t>
      </w:r>
    </w:p>
    <w:p w:rsidR="00B14D05" w:rsidRPr="00B616BC" w:rsidRDefault="00B14D05" w:rsidP="001B5CF6">
      <w:pPr>
        <w:pStyle w:val="ListParagraph"/>
        <w:widowControl/>
        <w:numPr>
          <w:ilvl w:val="1"/>
          <w:numId w:val="1"/>
        </w:numPr>
        <w:spacing w:after="120"/>
      </w:pPr>
      <w:r w:rsidRPr="00B616BC">
        <w:t xml:space="preserve">Overall, the submission’s claim of non-inferior safety was uncertain as the evidence presented by the submission </w:t>
      </w:r>
      <w:r w:rsidR="00521560" w:rsidRPr="00B616BC">
        <w:t>was based on a naïve indirect</w:t>
      </w:r>
      <w:r w:rsidRPr="00B616BC">
        <w:t xml:space="preserve"> comparison between heterogeneous patient populations and only limited data was provided by the publications.</w:t>
      </w:r>
    </w:p>
    <w:p w:rsidR="002A0EEB" w:rsidRPr="00B616BC" w:rsidRDefault="002A0EEB" w:rsidP="001B5CF6">
      <w:pPr>
        <w:spacing w:after="120"/>
        <w:rPr>
          <w:u w:val="single"/>
        </w:rPr>
      </w:pPr>
      <w:r w:rsidRPr="00B616BC">
        <w:rPr>
          <w:u w:val="single"/>
        </w:rPr>
        <w:t xml:space="preserve">Ferric derisomaltose vs iron sucrose in haemodialysis patients (direct comparison) </w:t>
      </w:r>
    </w:p>
    <w:p w:rsidR="002A0EEB" w:rsidRPr="00B616BC" w:rsidRDefault="002A0EEB" w:rsidP="001B5CF6">
      <w:pPr>
        <w:pStyle w:val="ListParagraph"/>
        <w:widowControl/>
        <w:numPr>
          <w:ilvl w:val="1"/>
          <w:numId w:val="1"/>
        </w:numPr>
        <w:spacing w:after="120"/>
      </w:pPr>
      <w:r w:rsidRPr="00B616BC">
        <w:t>Table 9 summarises the overall safety profile of ferric derisomaltose compared with iron sucrose in patients undergoing haemodialysis in the P-Monofer-CKD trial.</w:t>
      </w:r>
    </w:p>
    <w:p w:rsidR="006C0D2C" w:rsidRDefault="006C0D2C">
      <w:pPr>
        <w:widowControl/>
        <w:jc w:val="left"/>
        <w:rPr>
          <w:rFonts w:ascii="Arial Narrow" w:eastAsiaTheme="minorHAnsi" w:hAnsi="Arial Narrow" w:cstheme="minorBidi"/>
          <w:b/>
          <w:snapToGrid/>
          <w:sz w:val="20"/>
        </w:rPr>
      </w:pPr>
      <w:r>
        <w:br w:type="page"/>
      </w:r>
    </w:p>
    <w:p w:rsidR="002A0EEB" w:rsidRPr="00B616BC" w:rsidRDefault="002A0EEB" w:rsidP="002A0EEB">
      <w:pPr>
        <w:pStyle w:val="TableHeading0"/>
        <w:spacing w:after="0"/>
      </w:pPr>
      <w:r w:rsidRPr="00B616BC">
        <w:lastRenderedPageBreak/>
        <w:t>Table 9: Summary of key adverse events in P-Monofer-CKD trial</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34"/>
        <w:gridCol w:w="1021"/>
        <w:gridCol w:w="2055"/>
        <w:gridCol w:w="2056"/>
      </w:tblGrid>
      <w:tr w:rsidR="002A0EEB" w:rsidRPr="00B616BC" w:rsidTr="00552C81">
        <w:trPr>
          <w:trHeight w:val="16"/>
          <w:tblHeader/>
        </w:trPr>
        <w:tc>
          <w:tcPr>
            <w:tcW w:w="1560" w:type="dxa"/>
            <w:vAlign w:val="center"/>
          </w:tcPr>
          <w:p w:rsidR="002A0EEB" w:rsidRPr="00B616BC" w:rsidRDefault="002A0EEB" w:rsidP="00552C81">
            <w:pPr>
              <w:pStyle w:val="Tabletext"/>
              <w:keepNext/>
              <w:rPr>
                <w:b/>
              </w:rPr>
            </w:pPr>
          </w:p>
        </w:tc>
        <w:tc>
          <w:tcPr>
            <w:tcW w:w="1275" w:type="dxa"/>
          </w:tcPr>
          <w:p w:rsidR="002A0EEB" w:rsidRPr="00B616BC" w:rsidRDefault="002A0EEB" w:rsidP="00552C81">
            <w:pPr>
              <w:pStyle w:val="Tabletext"/>
              <w:keepNext/>
              <w:jc w:val="center"/>
              <w:rPr>
                <w:b/>
              </w:rPr>
            </w:pPr>
            <w:r w:rsidRPr="00B616BC">
              <w:rPr>
                <w:b/>
              </w:rPr>
              <w:t>FD</w:t>
            </w:r>
          </w:p>
          <w:p w:rsidR="002A0EEB" w:rsidRPr="00B616BC" w:rsidRDefault="002A0EEB" w:rsidP="00552C81">
            <w:pPr>
              <w:pStyle w:val="Tabletext"/>
              <w:keepNext/>
              <w:jc w:val="center"/>
              <w:rPr>
                <w:b/>
              </w:rPr>
            </w:pPr>
            <w:r w:rsidRPr="00B616BC">
              <w:rPr>
                <w:b/>
              </w:rPr>
              <w:t>(single dose)</w:t>
            </w:r>
          </w:p>
        </w:tc>
        <w:tc>
          <w:tcPr>
            <w:tcW w:w="1134" w:type="dxa"/>
          </w:tcPr>
          <w:p w:rsidR="002A0EEB" w:rsidRPr="00B616BC" w:rsidRDefault="002A0EEB" w:rsidP="00552C81">
            <w:pPr>
              <w:pStyle w:val="Tabletext"/>
              <w:keepNext/>
              <w:jc w:val="center"/>
              <w:rPr>
                <w:b/>
              </w:rPr>
            </w:pPr>
            <w:r w:rsidRPr="00B616BC">
              <w:rPr>
                <w:b/>
              </w:rPr>
              <w:t>FD</w:t>
            </w:r>
          </w:p>
          <w:p w:rsidR="002A0EEB" w:rsidRPr="00B616BC" w:rsidRDefault="002A0EEB" w:rsidP="00552C81">
            <w:pPr>
              <w:pStyle w:val="Tabletext"/>
              <w:keepNext/>
              <w:jc w:val="center"/>
              <w:rPr>
                <w:b/>
              </w:rPr>
            </w:pPr>
            <w:r w:rsidRPr="00B616BC">
              <w:rPr>
                <w:b/>
              </w:rPr>
              <w:t>(split dose)</w:t>
            </w:r>
          </w:p>
        </w:tc>
        <w:tc>
          <w:tcPr>
            <w:tcW w:w="1021" w:type="dxa"/>
          </w:tcPr>
          <w:p w:rsidR="002A0EEB" w:rsidRPr="00B616BC" w:rsidRDefault="002A0EEB" w:rsidP="00552C81">
            <w:pPr>
              <w:pStyle w:val="Tabletext"/>
              <w:keepNext/>
              <w:jc w:val="center"/>
              <w:rPr>
                <w:b/>
              </w:rPr>
            </w:pPr>
            <w:r w:rsidRPr="00B616BC">
              <w:rPr>
                <w:b/>
              </w:rPr>
              <w:t>IS</w:t>
            </w:r>
          </w:p>
        </w:tc>
        <w:tc>
          <w:tcPr>
            <w:tcW w:w="2055" w:type="dxa"/>
          </w:tcPr>
          <w:p w:rsidR="002A0EEB" w:rsidRPr="00B616BC" w:rsidRDefault="002A0EEB" w:rsidP="00552C81">
            <w:pPr>
              <w:pStyle w:val="Tabletext"/>
              <w:keepNext/>
              <w:jc w:val="center"/>
              <w:rPr>
                <w:b/>
              </w:rPr>
            </w:pPr>
            <w:r w:rsidRPr="00B616BC">
              <w:rPr>
                <w:b/>
              </w:rPr>
              <w:t>FD (single dose) vs IS</w:t>
            </w:r>
          </w:p>
          <w:p w:rsidR="002A0EEB" w:rsidRPr="00B616BC" w:rsidRDefault="002A0EEB" w:rsidP="00552C81">
            <w:pPr>
              <w:pStyle w:val="Tabletext"/>
              <w:keepNext/>
              <w:jc w:val="center"/>
              <w:rPr>
                <w:b/>
              </w:rPr>
            </w:pPr>
            <w:r w:rsidRPr="00B616BC">
              <w:rPr>
                <w:b/>
              </w:rPr>
              <w:t>RD (95% CI)</w:t>
            </w:r>
          </w:p>
        </w:tc>
        <w:tc>
          <w:tcPr>
            <w:tcW w:w="2056" w:type="dxa"/>
          </w:tcPr>
          <w:p w:rsidR="002A0EEB" w:rsidRPr="00B616BC" w:rsidRDefault="002A0EEB" w:rsidP="00552C81">
            <w:pPr>
              <w:pStyle w:val="Tabletext"/>
              <w:keepNext/>
              <w:jc w:val="center"/>
              <w:rPr>
                <w:b/>
              </w:rPr>
            </w:pPr>
            <w:r w:rsidRPr="00B616BC">
              <w:rPr>
                <w:b/>
              </w:rPr>
              <w:t>FD (split dose) vs IS</w:t>
            </w:r>
          </w:p>
          <w:p w:rsidR="002A0EEB" w:rsidRPr="00B616BC" w:rsidRDefault="002A0EEB" w:rsidP="00552C81">
            <w:pPr>
              <w:pStyle w:val="Tabletext"/>
              <w:keepNext/>
              <w:jc w:val="center"/>
              <w:rPr>
                <w:b/>
              </w:rPr>
            </w:pPr>
            <w:r w:rsidRPr="00B616BC">
              <w:rPr>
                <w:b/>
              </w:rPr>
              <w:t>RD (95% CI)</w:t>
            </w:r>
          </w:p>
        </w:tc>
      </w:tr>
      <w:tr w:rsidR="002A0EEB" w:rsidRPr="00B616BC" w:rsidTr="00552C81">
        <w:trPr>
          <w:trHeight w:val="16"/>
        </w:trPr>
        <w:tc>
          <w:tcPr>
            <w:tcW w:w="1560" w:type="dxa"/>
            <w:vAlign w:val="center"/>
          </w:tcPr>
          <w:p w:rsidR="002A0EEB" w:rsidRPr="00B616BC" w:rsidRDefault="002A0EEB" w:rsidP="00552C81">
            <w:pPr>
              <w:pStyle w:val="Tabletext"/>
              <w:keepNext/>
            </w:pPr>
            <w:r w:rsidRPr="00B616BC">
              <w:t>N</w:t>
            </w:r>
          </w:p>
        </w:tc>
        <w:tc>
          <w:tcPr>
            <w:tcW w:w="1275" w:type="dxa"/>
          </w:tcPr>
          <w:p w:rsidR="002A0EEB" w:rsidRPr="00B616BC" w:rsidRDefault="002A0EEB" w:rsidP="00552C81">
            <w:pPr>
              <w:pStyle w:val="Tabletext"/>
              <w:keepNext/>
              <w:jc w:val="center"/>
            </w:pPr>
            <w:r w:rsidRPr="00B616BC">
              <w:t>114</w:t>
            </w:r>
          </w:p>
        </w:tc>
        <w:tc>
          <w:tcPr>
            <w:tcW w:w="1134" w:type="dxa"/>
          </w:tcPr>
          <w:p w:rsidR="002A0EEB" w:rsidRPr="00B616BC" w:rsidRDefault="002A0EEB" w:rsidP="00552C81">
            <w:pPr>
              <w:pStyle w:val="Tabletext"/>
              <w:keepNext/>
              <w:jc w:val="center"/>
            </w:pPr>
            <w:r w:rsidRPr="00B616BC">
              <w:t>116</w:t>
            </w:r>
          </w:p>
        </w:tc>
        <w:tc>
          <w:tcPr>
            <w:tcW w:w="1021" w:type="dxa"/>
          </w:tcPr>
          <w:p w:rsidR="002A0EEB" w:rsidRPr="00B616BC" w:rsidRDefault="002A0EEB" w:rsidP="00552C81">
            <w:pPr>
              <w:pStyle w:val="Tabletext"/>
              <w:keepNext/>
              <w:jc w:val="center"/>
            </w:pPr>
            <w:r w:rsidRPr="00B616BC">
              <w:t>114</w:t>
            </w:r>
          </w:p>
        </w:tc>
        <w:tc>
          <w:tcPr>
            <w:tcW w:w="2055" w:type="dxa"/>
          </w:tcPr>
          <w:p w:rsidR="002A0EEB" w:rsidRPr="00B616BC" w:rsidRDefault="002A0EEB" w:rsidP="00552C81">
            <w:pPr>
              <w:pStyle w:val="Tabletext"/>
              <w:keepNext/>
              <w:jc w:val="center"/>
            </w:pPr>
          </w:p>
        </w:tc>
        <w:tc>
          <w:tcPr>
            <w:tcW w:w="2056" w:type="dxa"/>
          </w:tcPr>
          <w:p w:rsidR="002A0EEB" w:rsidRPr="00B616BC" w:rsidRDefault="002A0EEB" w:rsidP="00552C81">
            <w:pPr>
              <w:pStyle w:val="Tabletext"/>
              <w:keepNext/>
              <w:jc w:val="center"/>
            </w:pPr>
          </w:p>
        </w:tc>
      </w:tr>
      <w:tr w:rsidR="002A0EEB" w:rsidRPr="00B616BC" w:rsidTr="00552C81">
        <w:trPr>
          <w:trHeight w:val="16"/>
        </w:trPr>
        <w:tc>
          <w:tcPr>
            <w:tcW w:w="1560" w:type="dxa"/>
            <w:vAlign w:val="center"/>
          </w:tcPr>
          <w:p w:rsidR="002A0EEB" w:rsidRPr="00B616BC" w:rsidRDefault="002A0EEB" w:rsidP="00552C81">
            <w:pPr>
              <w:pStyle w:val="Tabletext"/>
              <w:keepNext/>
            </w:pPr>
            <w:r w:rsidRPr="00B616BC">
              <w:t>AE, n (%)</w:t>
            </w:r>
          </w:p>
        </w:tc>
        <w:tc>
          <w:tcPr>
            <w:tcW w:w="1275" w:type="dxa"/>
          </w:tcPr>
          <w:p w:rsidR="002A0EEB" w:rsidRPr="00B616BC" w:rsidRDefault="002A0EEB" w:rsidP="00552C81">
            <w:pPr>
              <w:pStyle w:val="Tabletext"/>
              <w:keepNext/>
              <w:jc w:val="center"/>
            </w:pPr>
            <w:r w:rsidRPr="00B616BC">
              <w:t>51 (45%)</w:t>
            </w:r>
          </w:p>
        </w:tc>
        <w:tc>
          <w:tcPr>
            <w:tcW w:w="1134" w:type="dxa"/>
          </w:tcPr>
          <w:p w:rsidR="002A0EEB" w:rsidRPr="00B616BC" w:rsidRDefault="002A0EEB" w:rsidP="00552C81">
            <w:pPr>
              <w:pStyle w:val="Tabletext"/>
              <w:keepNext/>
              <w:jc w:val="center"/>
            </w:pPr>
            <w:r w:rsidRPr="00B616BC">
              <w:t>59 (51%)</w:t>
            </w:r>
          </w:p>
        </w:tc>
        <w:tc>
          <w:tcPr>
            <w:tcW w:w="1021" w:type="dxa"/>
          </w:tcPr>
          <w:p w:rsidR="002A0EEB" w:rsidRPr="00B616BC" w:rsidRDefault="002A0EEB" w:rsidP="00552C81">
            <w:pPr>
              <w:pStyle w:val="Tabletext"/>
              <w:keepNext/>
              <w:jc w:val="center"/>
            </w:pPr>
            <w:r w:rsidRPr="00B616BC">
              <w:t>47 (41%)</w:t>
            </w:r>
          </w:p>
        </w:tc>
        <w:tc>
          <w:tcPr>
            <w:tcW w:w="2055" w:type="dxa"/>
          </w:tcPr>
          <w:p w:rsidR="002A0EEB" w:rsidRPr="00B616BC" w:rsidRDefault="002A0EEB" w:rsidP="00552C81">
            <w:pPr>
              <w:pStyle w:val="Tabletext"/>
              <w:keepNext/>
              <w:jc w:val="center"/>
            </w:pPr>
            <w:r w:rsidRPr="00B616BC">
              <w:t>4% (-9%, 16%)</w:t>
            </w:r>
          </w:p>
        </w:tc>
        <w:tc>
          <w:tcPr>
            <w:tcW w:w="2056" w:type="dxa"/>
          </w:tcPr>
          <w:p w:rsidR="002A0EEB" w:rsidRPr="00B616BC" w:rsidRDefault="002A0EEB" w:rsidP="00552C81">
            <w:pPr>
              <w:pStyle w:val="Tabletext"/>
              <w:keepNext/>
              <w:jc w:val="center"/>
            </w:pPr>
            <w:r w:rsidRPr="00B616BC">
              <w:t>11% (-2%, 23%)</w:t>
            </w:r>
          </w:p>
        </w:tc>
      </w:tr>
      <w:tr w:rsidR="002A0EEB" w:rsidRPr="00B616BC" w:rsidTr="00552C81">
        <w:trPr>
          <w:trHeight w:val="16"/>
        </w:trPr>
        <w:tc>
          <w:tcPr>
            <w:tcW w:w="1560" w:type="dxa"/>
            <w:vAlign w:val="center"/>
          </w:tcPr>
          <w:p w:rsidR="002A0EEB" w:rsidRPr="00B616BC" w:rsidRDefault="002A0EEB" w:rsidP="00552C81">
            <w:pPr>
              <w:pStyle w:val="Tabletext"/>
              <w:keepNext/>
            </w:pPr>
            <w:r w:rsidRPr="00B616BC">
              <w:t>ARD, n (%)</w:t>
            </w:r>
          </w:p>
        </w:tc>
        <w:tc>
          <w:tcPr>
            <w:tcW w:w="1275" w:type="dxa"/>
          </w:tcPr>
          <w:p w:rsidR="002A0EEB" w:rsidRPr="00B616BC" w:rsidRDefault="002A0EEB" w:rsidP="00552C81">
            <w:pPr>
              <w:pStyle w:val="Tabletext"/>
              <w:keepNext/>
              <w:jc w:val="center"/>
            </w:pPr>
            <w:r w:rsidRPr="00B616BC">
              <w:t>6 (5%)</w:t>
            </w:r>
          </w:p>
        </w:tc>
        <w:tc>
          <w:tcPr>
            <w:tcW w:w="1134" w:type="dxa"/>
          </w:tcPr>
          <w:p w:rsidR="002A0EEB" w:rsidRPr="00B616BC" w:rsidRDefault="002A0EEB" w:rsidP="00552C81">
            <w:pPr>
              <w:pStyle w:val="Tabletext"/>
              <w:keepNext/>
              <w:jc w:val="center"/>
            </w:pPr>
            <w:r w:rsidRPr="00B616BC">
              <w:t>6 (5%)</w:t>
            </w:r>
          </w:p>
        </w:tc>
        <w:tc>
          <w:tcPr>
            <w:tcW w:w="1021" w:type="dxa"/>
          </w:tcPr>
          <w:p w:rsidR="002A0EEB" w:rsidRPr="00B616BC" w:rsidRDefault="002A0EEB" w:rsidP="00552C81">
            <w:pPr>
              <w:pStyle w:val="Tabletext"/>
              <w:keepNext/>
              <w:jc w:val="center"/>
            </w:pPr>
            <w:r w:rsidRPr="00B616BC">
              <w:t>3 (3%)</w:t>
            </w:r>
          </w:p>
        </w:tc>
        <w:tc>
          <w:tcPr>
            <w:tcW w:w="2055" w:type="dxa"/>
          </w:tcPr>
          <w:p w:rsidR="002A0EEB" w:rsidRPr="00B616BC" w:rsidRDefault="002A0EEB" w:rsidP="00552C81">
            <w:pPr>
              <w:pStyle w:val="Tabletext"/>
              <w:keepNext/>
              <w:jc w:val="center"/>
            </w:pPr>
            <w:r w:rsidRPr="00B616BC">
              <w:t>3% (-2%, 8%)</w:t>
            </w:r>
          </w:p>
        </w:tc>
        <w:tc>
          <w:tcPr>
            <w:tcW w:w="2056" w:type="dxa"/>
          </w:tcPr>
          <w:p w:rsidR="002A0EEB" w:rsidRPr="00B616BC" w:rsidRDefault="002A0EEB" w:rsidP="00552C81">
            <w:pPr>
              <w:pStyle w:val="Tabletext"/>
              <w:keepNext/>
              <w:jc w:val="center"/>
            </w:pPr>
            <w:r w:rsidRPr="00B616BC">
              <w:t>3% (-2%, 8%)</w:t>
            </w:r>
          </w:p>
        </w:tc>
      </w:tr>
      <w:tr w:rsidR="002A0EEB" w:rsidRPr="00B616BC" w:rsidTr="00552C81">
        <w:trPr>
          <w:trHeight w:val="50"/>
        </w:trPr>
        <w:tc>
          <w:tcPr>
            <w:tcW w:w="1560" w:type="dxa"/>
            <w:vAlign w:val="center"/>
          </w:tcPr>
          <w:p w:rsidR="002A0EEB" w:rsidRPr="00B616BC" w:rsidRDefault="002A0EEB" w:rsidP="00552C81">
            <w:pPr>
              <w:pStyle w:val="Tabletext"/>
              <w:keepNext/>
            </w:pPr>
            <w:r w:rsidRPr="00B616BC">
              <w:t>Serious AE, n (%)</w:t>
            </w:r>
          </w:p>
        </w:tc>
        <w:tc>
          <w:tcPr>
            <w:tcW w:w="1275" w:type="dxa"/>
          </w:tcPr>
          <w:p w:rsidR="002A0EEB" w:rsidRPr="00B616BC" w:rsidRDefault="002A0EEB" w:rsidP="00552C81">
            <w:pPr>
              <w:pStyle w:val="Tabletext"/>
              <w:keepNext/>
              <w:jc w:val="center"/>
            </w:pPr>
            <w:r w:rsidRPr="00B616BC">
              <w:t>9 (8%)</w:t>
            </w:r>
          </w:p>
        </w:tc>
        <w:tc>
          <w:tcPr>
            <w:tcW w:w="1134" w:type="dxa"/>
          </w:tcPr>
          <w:p w:rsidR="002A0EEB" w:rsidRPr="00B616BC" w:rsidRDefault="002A0EEB" w:rsidP="00552C81">
            <w:pPr>
              <w:pStyle w:val="Tabletext"/>
              <w:keepNext/>
              <w:jc w:val="center"/>
            </w:pPr>
            <w:r w:rsidRPr="00B616BC">
              <w:t>13 (11%)</w:t>
            </w:r>
          </w:p>
        </w:tc>
        <w:tc>
          <w:tcPr>
            <w:tcW w:w="1021" w:type="dxa"/>
          </w:tcPr>
          <w:p w:rsidR="002A0EEB" w:rsidRPr="00B616BC" w:rsidRDefault="002A0EEB" w:rsidP="00552C81">
            <w:pPr>
              <w:pStyle w:val="Tabletext"/>
              <w:keepNext/>
              <w:jc w:val="center"/>
            </w:pPr>
            <w:r w:rsidRPr="00B616BC">
              <w:t>6 (5%)</w:t>
            </w:r>
          </w:p>
        </w:tc>
        <w:tc>
          <w:tcPr>
            <w:tcW w:w="2055" w:type="dxa"/>
          </w:tcPr>
          <w:p w:rsidR="002A0EEB" w:rsidRPr="00B616BC" w:rsidRDefault="002A0EEB" w:rsidP="00552C81">
            <w:pPr>
              <w:pStyle w:val="Tabletext"/>
              <w:keepNext/>
              <w:jc w:val="center"/>
            </w:pPr>
            <w:r w:rsidRPr="00B616BC">
              <w:t>3% (-4%, 9%)</w:t>
            </w:r>
          </w:p>
        </w:tc>
        <w:tc>
          <w:tcPr>
            <w:tcW w:w="2056" w:type="dxa"/>
          </w:tcPr>
          <w:p w:rsidR="002A0EEB" w:rsidRPr="00B616BC" w:rsidRDefault="002A0EEB" w:rsidP="00552C81">
            <w:pPr>
              <w:pStyle w:val="Tabletext"/>
              <w:keepNext/>
              <w:jc w:val="center"/>
            </w:pPr>
            <w:r w:rsidRPr="00B616BC">
              <w:t>6% (-1%, 13%)</w:t>
            </w:r>
          </w:p>
        </w:tc>
      </w:tr>
      <w:tr w:rsidR="002A0EEB" w:rsidRPr="00B616BC" w:rsidTr="00552C81">
        <w:trPr>
          <w:trHeight w:val="16"/>
        </w:trPr>
        <w:tc>
          <w:tcPr>
            <w:tcW w:w="1560" w:type="dxa"/>
            <w:vAlign w:val="bottom"/>
          </w:tcPr>
          <w:p w:rsidR="002A0EEB" w:rsidRPr="00B616BC" w:rsidRDefault="002A0EEB" w:rsidP="00552C81">
            <w:pPr>
              <w:pStyle w:val="Tabletext"/>
              <w:keepNext/>
              <w:rPr>
                <w:b/>
              </w:rPr>
            </w:pPr>
            <w:r w:rsidRPr="00B616BC">
              <w:t>Serious ARDs (%)</w:t>
            </w:r>
          </w:p>
        </w:tc>
        <w:tc>
          <w:tcPr>
            <w:tcW w:w="1275" w:type="dxa"/>
          </w:tcPr>
          <w:p w:rsidR="002A0EEB" w:rsidRPr="00B616BC" w:rsidRDefault="002A0EEB" w:rsidP="00552C81">
            <w:pPr>
              <w:pStyle w:val="Tabletext"/>
              <w:keepNext/>
              <w:jc w:val="center"/>
            </w:pPr>
            <w:r w:rsidRPr="00B616BC">
              <w:t>1 (1&lt;%)</w:t>
            </w:r>
          </w:p>
        </w:tc>
        <w:tc>
          <w:tcPr>
            <w:tcW w:w="1134" w:type="dxa"/>
          </w:tcPr>
          <w:p w:rsidR="002A0EEB" w:rsidRPr="00B616BC" w:rsidRDefault="002A0EEB" w:rsidP="00552C81">
            <w:pPr>
              <w:pStyle w:val="Tabletext"/>
              <w:keepNext/>
              <w:jc w:val="center"/>
            </w:pPr>
            <w:r w:rsidRPr="00B616BC">
              <w:t>0</w:t>
            </w:r>
          </w:p>
        </w:tc>
        <w:tc>
          <w:tcPr>
            <w:tcW w:w="1021" w:type="dxa"/>
          </w:tcPr>
          <w:p w:rsidR="002A0EEB" w:rsidRPr="00B616BC" w:rsidRDefault="002A0EEB" w:rsidP="00552C81">
            <w:pPr>
              <w:pStyle w:val="Tabletext"/>
              <w:keepNext/>
              <w:jc w:val="center"/>
            </w:pPr>
            <w:r w:rsidRPr="00B616BC">
              <w:t>2 (2%)</w:t>
            </w:r>
          </w:p>
        </w:tc>
        <w:tc>
          <w:tcPr>
            <w:tcW w:w="2055" w:type="dxa"/>
          </w:tcPr>
          <w:p w:rsidR="002A0EEB" w:rsidRPr="00B616BC" w:rsidRDefault="002A0EEB" w:rsidP="00552C81">
            <w:pPr>
              <w:pStyle w:val="Tabletext"/>
              <w:keepNext/>
              <w:jc w:val="center"/>
            </w:pPr>
            <w:r w:rsidRPr="00B616BC">
              <w:t>1% (-4%, 2%)</w:t>
            </w:r>
          </w:p>
        </w:tc>
        <w:tc>
          <w:tcPr>
            <w:tcW w:w="2056" w:type="dxa"/>
          </w:tcPr>
          <w:p w:rsidR="002A0EEB" w:rsidRPr="00B616BC" w:rsidRDefault="002A0EEB" w:rsidP="00552C81">
            <w:pPr>
              <w:pStyle w:val="Tabletext"/>
              <w:keepNext/>
              <w:jc w:val="center"/>
            </w:pPr>
            <w:r w:rsidRPr="00B616BC">
              <w:t>-2% (-4%, 1%)</w:t>
            </w:r>
          </w:p>
        </w:tc>
      </w:tr>
    </w:tbl>
    <w:p w:rsidR="002A0EEB" w:rsidRPr="00B616BC" w:rsidRDefault="002A0EEB" w:rsidP="002A0EEB">
      <w:pPr>
        <w:pStyle w:val="TableFooter"/>
        <w:rPr>
          <w:sz w:val="20"/>
        </w:rPr>
      </w:pPr>
      <w:r w:rsidRPr="00B616BC">
        <w:t>Source: Table 8, p1587 of Bhandari (2015)</w:t>
      </w:r>
    </w:p>
    <w:p w:rsidR="002A0EEB" w:rsidRPr="00B616BC" w:rsidRDefault="002A0EEB" w:rsidP="002A0EEB">
      <w:pPr>
        <w:pStyle w:val="TableFooter"/>
      </w:pPr>
      <w:r w:rsidRPr="00B616BC">
        <w:t>AE = adverse event, ARD = adverse drug reaction; CI = confidence interval; FD = ferric derisomaltose; IS = iron sucrose;</w:t>
      </w:r>
      <w:r w:rsidRPr="00B616BC">
        <w:rPr>
          <w:rFonts w:eastAsia="Calibri"/>
        </w:rPr>
        <w:t xml:space="preserve"> n = number of participants with event; N = total participants in group</w:t>
      </w:r>
      <w:r w:rsidRPr="00B616BC">
        <w:t xml:space="preserve"> RD = risk difference.</w:t>
      </w:r>
    </w:p>
    <w:p w:rsidR="002A0EEB" w:rsidRPr="00B616BC" w:rsidRDefault="002A0EEB" w:rsidP="002A0EEB">
      <w:pPr>
        <w:widowControl/>
      </w:pPr>
    </w:p>
    <w:p w:rsidR="002A0EEB" w:rsidRPr="00B616BC" w:rsidRDefault="002A0EEB" w:rsidP="001B5CF6">
      <w:pPr>
        <w:pStyle w:val="ListParagraph"/>
        <w:widowControl/>
        <w:numPr>
          <w:ilvl w:val="1"/>
          <w:numId w:val="1"/>
        </w:numPr>
        <w:spacing w:after="120"/>
      </w:pPr>
      <w:r w:rsidRPr="00B616BC">
        <w:t>While the number of adverse events (45% and 51% vs 41%) and serious adverse events (8% and 11% vs 5%) were all higher in the ferric derisomaltose arms than the iron sucrose arm, these differences were not statistically significant. The results suggested that ferric derisomaltose had non-inferior safety to iron sucrose in haemodialysis patients.</w:t>
      </w:r>
    </w:p>
    <w:p w:rsidR="002A0EEB" w:rsidRPr="001B5CF6" w:rsidRDefault="00B60939" w:rsidP="001B5CF6">
      <w:pPr>
        <w:pStyle w:val="Heading2"/>
        <w:spacing w:before="240" w:after="120"/>
        <w:rPr>
          <w:i w:val="0"/>
        </w:rPr>
      </w:pPr>
      <w:bookmarkStart w:id="10" w:name="_Toc511461244"/>
      <w:r w:rsidRPr="00B616BC">
        <w:rPr>
          <w:i w:val="0"/>
        </w:rPr>
        <w:t>Clinical claim</w:t>
      </w:r>
      <w:bookmarkEnd w:id="10"/>
    </w:p>
    <w:p w:rsidR="002A0EEB" w:rsidRPr="00B616BC" w:rsidRDefault="002A0EEB" w:rsidP="001B5CF6">
      <w:pPr>
        <w:spacing w:after="120"/>
        <w:rPr>
          <w:u w:val="single"/>
        </w:rPr>
      </w:pPr>
      <w:r w:rsidRPr="00B616BC">
        <w:rPr>
          <w:u w:val="single"/>
        </w:rPr>
        <w:t xml:space="preserve">Ferric derisomaltose vs ferric carboxymaltose (indirect comparison) </w:t>
      </w:r>
    </w:p>
    <w:p w:rsidR="00B14D05" w:rsidRPr="00B616BC" w:rsidRDefault="00B14D05" w:rsidP="001B5CF6">
      <w:pPr>
        <w:pStyle w:val="ListParagraph"/>
        <w:widowControl/>
        <w:numPr>
          <w:ilvl w:val="1"/>
          <w:numId w:val="1"/>
        </w:numPr>
        <w:spacing w:after="120"/>
      </w:pPr>
      <w:r w:rsidRPr="00B616BC">
        <w:t xml:space="preserve">The submission described ferric derisomaltose as non-inferior in terms of </w:t>
      </w:r>
      <w:r w:rsidR="00E81C2B" w:rsidRPr="00B616BC">
        <w:t xml:space="preserve">efficacy </w:t>
      </w:r>
      <w:r w:rsidRPr="00B616BC">
        <w:t>compared with ferric carboxymaltose and non-inferior in terms of safety compared to ferric carboxymaltose for the treatment of iron deficiency anaemia.</w:t>
      </w:r>
    </w:p>
    <w:p w:rsidR="00B2415F" w:rsidRPr="00B616BC" w:rsidRDefault="00B14D05" w:rsidP="001B5CF6">
      <w:pPr>
        <w:pStyle w:val="ListParagraph"/>
        <w:widowControl/>
        <w:numPr>
          <w:ilvl w:val="1"/>
          <w:numId w:val="1"/>
        </w:numPr>
        <w:spacing w:after="120"/>
      </w:pPr>
      <w:r w:rsidRPr="00B616BC">
        <w:t>Overall, the submission</w:t>
      </w:r>
      <w:r w:rsidR="007004E5" w:rsidRPr="00B616BC">
        <w:t>’</w:t>
      </w:r>
      <w:r w:rsidR="00B03948" w:rsidRPr="00B616BC">
        <w:t xml:space="preserve">s claim of </w:t>
      </w:r>
      <w:r w:rsidRPr="00B616BC">
        <w:t>non-inferior</w:t>
      </w:r>
      <w:r w:rsidR="00B03948" w:rsidRPr="00B616BC">
        <w:t xml:space="preserve"> efficacy and safety </w:t>
      </w:r>
      <w:r w:rsidR="00FB4326" w:rsidRPr="00B616BC">
        <w:t>for ferric derisomaltose</w:t>
      </w:r>
      <w:r w:rsidR="00B03948" w:rsidRPr="00B616BC">
        <w:t xml:space="preserve"> compared to </w:t>
      </w:r>
      <w:r w:rsidRPr="00B616BC">
        <w:t>ferric carboxymaltose</w:t>
      </w:r>
      <w:r w:rsidR="00B03948" w:rsidRPr="00B616BC">
        <w:t xml:space="preserve"> was not supported by the evidence as there was considerable </w:t>
      </w:r>
      <w:r w:rsidRPr="00B616BC">
        <w:t>uncertain</w:t>
      </w:r>
      <w:r w:rsidR="00B03948" w:rsidRPr="00B616BC">
        <w:t xml:space="preserve">ty in the results </w:t>
      </w:r>
      <w:r w:rsidRPr="00B616BC">
        <w:t>d</w:t>
      </w:r>
      <w:r w:rsidR="00FE7F89" w:rsidRPr="00B616BC">
        <w:t>ue</w:t>
      </w:r>
      <w:r w:rsidRPr="00B616BC">
        <w:t xml:space="preserve"> to clinical heterogeneity</w:t>
      </w:r>
      <w:r w:rsidR="00FB4326" w:rsidRPr="00B616BC">
        <w:t xml:space="preserve"> between trials</w:t>
      </w:r>
      <w:r w:rsidRPr="00B616BC">
        <w:t xml:space="preserve"> and transitivity issues</w:t>
      </w:r>
      <w:r w:rsidR="00FB4326" w:rsidRPr="00B616BC">
        <w:t xml:space="preserve"> associated with the indirect comparison</w:t>
      </w:r>
      <w:r w:rsidRPr="00B616BC">
        <w:t>.</w:t>
      </w:r>
      <w:r w:rsidR="00413EC1" w:rsidRPr="00B616BC">
        <w:t xml:space="preserve"> The PSCR acknowledged the transitivity issues associated with the indirect comparison and noted that the results of the indirect comparison did meet the margins previously accepted by the PBAC for assessment of non-inferiority. The ESC considered that this may not be reasonable given the high level of clinical heterogeneity between trials and the transitivity issues identified by the evaluation.</w:t>
      </w:r>
      <w:bookmarkStart w:id="11" w:name="_Toc511461245"/>
      <w:r w:rsidR="00E8536E">
        <w:t xml:space="preserve"> The pre-PBAC response </w:t>
      </w:r>
      <w:r w:rsidR="002A0EEB" w:rsidRPr="00B616BC">
        <w:t>requested that the clinical claims be considered in the context of the broader knowledge of the use of IV iron in the management of iron deficiency anaemia. T</w:t>
      </w:r>
      <w:r w:rsidR="00E8536E">
        <w:t xml:space="preserve">he pre-PBAC response </w:t>
      </w:r>
      <w:r w:rsidR="00B2415F" w:rsidRPr="00B616BC">
        <w:t>stated</w:t>
      </w:r>
      <w:r w:rsidR="002A0EEB" w:rsidRPr="00B616BC">
        <w:t xml:space="preserve"> that IV iron </w:t>
      </w:r>
      <w:r w:rsidR="00F80F93" w:rsidRPr="00B616BC">
        <w:t>delivers a dose of elemental iron to satisfy a measured deficit in an individual patient and it is generally accepted that in equivalent doses, all IV iron compounds are likely to lead to comparable efficacy as measured by the</w:t>
      </w:r>
      <w:r w:rsidR="00293220" w:rsidRPr="00B616BC">
        <w:t xml:space="preserve"> ability to increase Hb</w:t>
      </w:r>
      <w:r w:rsidR="00F80F93" w:rsidRPr="00B616BC">
        <w:t xml:space="preserve">. </w:t>
      </w:r>
      <w:r w:rsidR="00E8536E">
        <w:t xml:space="preserve">The pre-PBAC response </w:t>
      </w:r>
      <w:r w:rsidR="00DF4381" w:rsidRPr="00B616BC">
        <w:t>stated that this</w:t>
      </w:r>
      <w:r w:rsidR="00A504E1" w:rsidRPr="00B616BC">
        <w:t xml:space="preserve"> premise </w:t>
      </w:r>
      <w:r w:rsidR="00F80F93" w:rsidRPr="00B616BC">
        <w:t>is consistent with the Therapeutic Relativity statements (PBS 2018)</w:t>
      </w:r>
      <w:r w:rsidR="00226939" w:rsidRPr="00B616BC">
        <w:t xml:space="preserve"> that IV iron formulations are equi-effective</w:t>
      </w:r>
      <w:r w:rsidR="00B2415F" w:rsidRPr="00B616BC">
        <w:t xml:space="preserve"> on a “per mg of elemental iron” basis and </w:t>
      </w:r>
      <w:r w:rsidR="00DF4381" w:rsidRPr="00B616BC">
        <w:t>that</w:t>
      </w:r>
      <w:r w:rsidR="00B2415F" w:rsidRPr="00B616BC">
        <w:t xml:space="preserve"> national (NBA 2015, Pasricha et al 2010, eTG 2018) and international (Goddard et al 2011) treatment guidelines </w:t>
      </w:r>
      <w:r w:rsidR="00DF4381" w:rsidRPr="00B616BC">
        <w:t xml:space="preserve">do </w:t>
      </w:r>
      <w:r w:rsidR="00B2415F" w:rsidRPr="00B616BC">
        <w:t xml:space="preserve">not distinguish </w:t>
      </w:r>
      <w:r w:rsidR="00032BE0" w:rsidRPr="00B616BC">
        <w:t xml:space="preserve">between </w:t>
      </w:r>
      <w:r w:rsidR="00B2415F" w:rsidRPr="00B616BC">
        <w:t>IV irons for the purposes of dose calculation.</w:t>
      </w:r>
    </w:p>
    <w:p w:rsidR="002A0EEB" w:rsidRPr="00B616BC" w:rsidRDefault="00040244" w:rsidP="001B5CF6">
      <w:pPr>
        <w:pStyle w:val="ListParagraph"/>
        <w:widowControl/>
        <w:numPr>
          <w:ilvl w:val="1"/>
          <w:numId w:val="1"/>
        </w:numPr>
        <w:spacing w:after="120"/>
      </w:pPr>
      <w:r w:rsidRPr="00B616BC">
        <w:lastRenderedPageBreak/>
        <w:t xml:space="preserve">The PBAC considered that on balance, the claim of non-inferior comparative effectiveness and safety was reasonable. </w:t>
      </w:r>
      <w:r w:rsidR="00552C81" w:rsidRPr="00B616BC">
        <w:t>The PBAC noted</w:t>
      </w:r>
      <w:r w:rsidR="00D93186" w:rsidRPr="00B616BC">
        <w:t xml:space="preserve"> that heterogeneity and transitivity issues between the trials made it difficult to draw accurate conclusions</w:t>
      </w:r>
      <w:r w:rsidR="009D206F" w:rsidRPr="00B616BC">
        <w:t>.</w:t>
      </w:r>
      <w:r w:rsidR="0075231C">
        <w:t xml:space="preserve"> </w:t>
      </w:r>
      <w:r w:rsidR="009D206F" w:rsidRPr="00B616BC">
        <w:t>H</w:t>
      </w:r>
      <w:r w:rsidR="00D93186" w:rsidRPr="00B616BC">
        <w:t>owever, the PB</w:t>
      </w:r>
      <w:r w:rsidR="00552C81" w:rsidRPr="00B616BC">
        <w:t>AC considered</w:t>
      </w:r>
      <w:r w:rsidR="009D206F" w:rsidRPr="00B616BC">
        <w:t xml:space="preserve"> that the results of the direct comparison between ferric derisomaltose v</w:t>
      </w:r>
      <w:r w:rsidR="007B66BB" w:rsidRPr="00B616BC">
        <w:t>er</w:t>
      </w:r>
      <w:r w:rsidR="009D206F" w:rsidRPr="00B616BC">
        <w:t>s</w:t>
      </w:r>
      <w:r w:rsidR="007B66BB" w:rsidRPr="00B616BC">
        <w:t>us</w:t>
      </w:r>
      <w:r w:rsidR="009D206F" w:rsidRPr="00B616BC">
        <w:t xml:space="preserve"> iron sucrose further supported the premise that in equivalent doses, IV iron compounds are likely to lead to comparable efficacy.</w:t>
      </w:r>
      <w:r w:rsidR="0075231C">
        <w:t xml:space="preserve"> </w:t>
      </w:r>
    </w:p>
    <w:p w:rsidR="007A3F2F" w:rsidRPr="00B616BC" w:rsidRDefault="007A3F2F" w:rsidP="001B5CF6">
      <w:pPr>
        <w:spacing w:after="120"/>
        <w:rPr>
          <w:u w:val="single"/>
        </w:rPr>
      </w:pPr>
      <w:r w:rsidRPr="00B616BC">
        <w:rPr>
          <w:u w:val="single"/>
        </w:rPr>
        <w:t xml:space="preserve">Ferric </w:t>
      </w:r>
      <w:proofErr w:type="spellStart"/>
      <w:r w:rsidRPr="00B616BC">
        <w:rPr>
          <w:u w:val="single"/>
        </w:rPr>
        <w:t>derisomaltose</w:t>
      </w:r>
      <w:proofErr w:type="spellEnd"/>
      <w:r w:rsidRPr="00B616BC">
        <w:rPr>
          <w:u w:val="single"/>
        </w:rPr>
        <w:t xml:space="preserve"> vs iron sucrose in haemodialysis patients (direct comparison) </w:t>
      </w:r>
    </w:p>
    <w:p w:rsidR="007A3F2F" w:rsidRPr="00B616BC" w:rsidRDefault="007A3F2F" w:rsidP="001B5CF6">
      <w:pPr>
        <w:pStyle w:val="ListParagraph"/>
        <w:widowControl/>
        <w:numPr>
          <w:ilvl w:val="1"/>
          <w:numId w:val="1"/>
        </w:numPr>
        <w:spacing w:after="120"/>
      </w:pPr>
      <w:r w:rsidRPr="00B616BC">
        <w:t>The results from P-Monofer-CKD</w:t>
      </w:r>
      <w:r w:rsidRPr="00B616BC">
        <w:rPr>
          <w:b/>
        </w:rPr>
        <w:t xml:space="preserve"> </w:t>
      </w:r>
      <w:r w:rsidRPr="00B616BC">
        <w:t>demonstrated ferric derisomaltose to have non-inferior efficacy to iron sucrose for the maintenance of Hb levels in haemodialysis patients.</w:t>
      </w:r>
    </w:p>
    <w:p w:rsidR="007A3F2F" w:rsidRPr="00B616BC" w:rsidRDefault="007A3F2F" w:rsidP="001B5CF6">
      <w:pPr>
        <w:pStyle w:val="ListParagraph"/>
        <w:widowControl/>
        <w:numPr>
          <w:ilvl w:val="1"/>
          <w:numId w:val="1"/>
        </w:numPr>
        <w:spacing w:after="120"/>
      </w:pPr>
      <w:r w:rsidRPr="00B616BC">
        <w:t>The results suggested that ferric derisomaltose had non-inferior safety to iron sucrose in haemodialysis patients.</w:t>
      </w:r>
    </w:p>
    <w:p w:rsidR="00F22E9C" w:rsidRPr="00B616BC" w:rsidRDefault="009D206F" w:rsidP="001B5CF6">
      <w:pPr>
        <w:pStyle w:val="ListParagraph"/>
        <w:widowControl/>
        <w:numPr>
          <w:ilvl w:val="1"/>
          <w:numId w:val="1"/>
        </w:numPr>
        <w:spacing w:after="120"/>
        <w:ind w:left="709" w:hanging="709"/>
        <w:rPr>
          <w:rFonts w:asciiTheme="minorHAnsi" w:hAnsiTheme="minorHAnsi"/>
          <w:szCs w:val="20"/>
        </w:rPr>
      </w:pPr>
      <w:r w:rsidRPr="00B616BC">
        <w:rPr>
          <w:rFonts w:asciiTheme="minorHAnsi" w:hAnsiTheme="minorHAnsi"/>
          <w:szCs w:val="20"/>
        </w:rPr>
        <w:t>T</w:t>
      </w:r>
      <w:r w:rsidR="00F22E9C" w:rsidRPr="00B616BC">
        <w:rPr>
          <w:rFonts w:asciiTheme="minorHAnsi" w:hAnsiTheme="minorHAnsi"/>
          <w:szCs w:val="20"/>
        </w:rPr>
        <w:t xml:space="preserve">he PBAC considered the claim </w:t>
      </w:r>
      <w:r w:rsidR="00A94CEA" w:rsidRPr="00B616BC">
        <w:rPr>
          <w:rFonts w:asciiTheme="minorHAnsi" w:hAnsiTheme="minorHAnsi"/>
          <w:szCs w:val="20"/>
        </w:rPr>
        <w:t xml:space="preserve">that ferric derisomaltose is </w:t>
      </w:r>
      <w:r w:rsidR="00F22E9C" w:rsidRPr="00B616BC">
        <w:rPr>
          <w:rFonts w:asciiTheme="minorHAnsi" w:hAnsiTheme="minorHAnsi"/>
          <w:szCs w:val="20"/>
        </w:rPr>
        <w:t xml:space="preserve">non-inferior </w:t>
      </w:r>
      <w:r w:rsidR="00A94CEA" w:rsidRPr="00B616BC">
        <w:rPr>
          <w:rFonts w:asciiTheme="minorHAnsi" w:hAnsiTheme="minorHAnsi"/>
          <w:szCs w:val="20"/>
        </w:rPr>
        <w:t xml:space="preserve">in terms of </w:t>
      </w:r>
      <w:r w:rsidR="00F22E9C" w:rsidRPr="00B616BC">
        <w:rPr>
          <w:rFonts w:asciiTheme="minorHAnsi" w:hAnsiTheme="minorHAnsi"/>
          <w:szCs w:val="20"/>
        </w:rPr>
        <w:t xml:space="preserve">comparative effectiveness </w:t>
      </w:r>
      <w:r w:rsidR="003D5C4D" w:rsidRPr="00B616BC">
        <w:rPr>
          <w:rFonts w:asciiTheme="minorHAnsi" w:hAnsiTheme="minorHAnsi"/>
          <w:szCs w:val="20"/>
        </w:rPr>
        <w:t xml:space="preserve">and safety </w:t>
      </w:r>
      <w:r w:rsidR="00A94CEA" w:rsidRPr="00B616BC">
        <w:rPr>
          <w:rFonts w:asciiTheme="minorHAnsi" w:hAnsiTheme="minorHAnsi"/>
          <w:szCs w:val="20"/>
        </w:rPr>
        <w:t xml:space="preserve">to iron sucrose </w:t>
      </w:r>
      <w:r w:rsidR="00F22E9C" w:rsidRPr="00B616BC">
        <w:rPr>
          <w:rFonts w:asciiTheme="minorHAnsi" w:hAnsiTheme="minorHAnsi"/>
          <w:szCs w:val="20"/>
        </w:rPr>
        <w:t>was reasonable</w:t>
      </w:r>
      <w:r w:rsidR="003D5C4D" w:rsidRPr="00B616BC">
        <w:rPr>
          <w:rFonts w:asciiTheme="minorHAnsi" w:hAnsiTheme="minorHAnsi"/>
          <w:szCs w:val="20"/>
        </w:rPr>
        <w:t xml:space="preserve">. </w:t>
      </w:r>
    </w:p>
    <w:p w:rsidR="00B60939" w:rsidRPr="001B5CF6" w:rsidRDefault="00B60939" w:rsidP="001B5CF6">
      <w:pPr>
        <w:pStyle w:val="Heading2"/>
        <w:spacing w:before="240" w:after="120"/>
        <w:rPr>
          <w:i w:val="0"/>
        </w:rPr>
      </w:pPr>
      <w:r w:rsidRPr="00B616BC">
        <w:rPr>
          <w:i w:val="0"/>
        </w:rPr>
        <w:t>Economic analysis</w:t>
      </w:r>
      <w:bookmarkEnd w:id="11"/>
      <w:r w:rsidR="00491B3A" w:rsidRPr="00B616BC">
        <w:rPr>
          <w:i w:val="0"/>
        </w:rPr>
        <w:t xml:space="preserve"> </w:t>
      </w:r>
    </w:p>
    <w:p w:rsidR="00C4030C" w:rsidRPr="00B616BC" w:rsidRDefault="00C4030C" w:rsidP="001B5CF6">
      <w:pPr>
        <w:pStyle w:val="ListParagraph"/>
        <w:widowControl/>
        <w:numPr>
          <w:ilvl w:val="1"/>
          <w:numId w:val="1"/>
        </w:numPr>
        <w:spacing w:after="120"/>
      </w:pPr>
      <w:r w:rsidRPr="00B616BC">
        <w:rPr>
          <w:rFonts w:cs="Calibri"/>
          <w:snapToGrid/>
          <w:szCs w:val="24"/>
          <w:lang w:eastAsia="en-AU"/>
        </w:rPr>
        <w:t xml:space="preserve">For the economic evaluation the submission presented a cost-minimisation approach compared to ferric carboxymaltose. </w:t>
      </w:r>
      <w:r w:rsidR="00A06E8A" w:rsidRPr="00B616BC">
        <w:t xml:space="preserve">The </w:t>
      </w:r>
      <w:r w:rsidR="00297155" w:rsidRPr="00B616BC">
        <w:t>PBAC</w:t>
      </w:r>
      <w:r w:rsidR="00A06E8A" w:rsidRPr="00B616BC">
        <w:t xml:space="preserve"> considered that this was appropriate.</w:t>
      </w:r>
    </w:p>
    <w:p w:rsidR="00C4030C" w:rsidRPr="00B616BC" w:rsidRDefault="00C4030C" w:rsidP="00C4030C">
      <w:pPr>
        <w:pStyle w:val="Table"/>
        <w:rPr>
          <w:rStyle w:val="CommentReference"/>
        </w:rPr>
      </w:pPr>
      <w:r w:rsidRPr="00B616BC">
        <w:rPr>
          <w:rStyle w:val="CommentReference"/>
        </w:rPr>
        <w:t xml:space="preserve">Table </w:t>
      </w:r>
      <w:r w:rsidR="000F4A80" w:rsidRPr="00B616BC">
        <w:rPr>
          <w:rStyle w:val="CommentReference"/>
        </w:rPr>
        <w:t>1</w:t>
      </w:r>
      <w:r w:rsidR="00BE157A" w:rsidRPr="00B616BC">
        <w:rPr>
          <w:rStyle w:val="CommentReference"/>
        </w:rPr>
        <w:t>0</w:t>
      </w:r>
      <w:r w:rsidRPr="00B616BC">
        <w:rPr>
          <w:rStyle w:val="CommentReference"/>
        </w:rPr>
        <w:t>: Key components and assumptions of the cost-minimisation analysis</w:t>
      </w:r>
      <w:r w:rsidR="00B03948" w:rsidRPr="00B616BC">
        <w:rPr>
          <w:rStyle w:val="CommentReference"/>
        </w:rPr>
        <w:t xml:space="preserve"> presented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C4030C" w:rsidRPr="00B616BC" w:rsidTr="00982541">
        <w:tc>
          <w:tcPr>
            <w:tcW w:w="2552" w:type="dxa"/>
          </w:tcPr>
          <w:p w:rsidR="00C4030C" w:rsidRPr="00B616BC" w:rsidRDefault="00C4030C" w:rsidP="00FB4326">
            <w:pPr>
              <w:pStyle w:val="Tabletext"/>
              <w:keepNext/>
              <w:rPr>
                <w:b/>
              </w:rPr>
            </w:pPr>
            <w:r w:rsidRPr="00B616BC">
              <w:rPr>
                <w:b/>
              </w:rPr>
              <w:t>Component</w:t>
            </w:r>
          </w:p>
        </w:tc>
        <w:tc>
          <w:tcPr>
            <w:tcW w:w="6520" w:type="dxa"/>
          </w:tcPr>
          <w:p w:rsidR="00C4030C" w:rsidRPr="00B616BC" w:rsidRDefault="00C4030C" w:rsidP="00FB4326">
            <w:pPr>
              <w:pStyle w:val="Tabletext"/>
              <w:rPr>
                <w:b/>
              </w:rPr>
            </w:pPr>
            <w:r w:rsidRPr="00B616BC">
              <w:rPr>
                <w:b/>
              </w:rPr>
              <w:t>Claim or assumption</w:t>
            </w:r>
          </w:p>
        </w:tc>
      </w:tr>
      <w:tr w:rsidR="00C4030C" w:rsidRPr="00B616BC" w:rsidTr="00982541">
        <w:tc>
          <w:tcPr>
            <w:tcW w:w="2552" w:type="dxa"/>
          </w:tcPr>
          <w:p w:rsidR="00C4030C" w:rsidRPr="00B616BC" w:rsidRDefault="00C4030C" w:rsidP="00C463FF">
            <w:pPr>
              <w:pStyle w:val="Tabletext"/>
            </w:pPr>
            <w:r w:rsidRPr="00B616BC">
              <w:t xml:space="preserve">Therapeutic claim: </w:t>
            </w:r>
            <w:r w:rsidR="00C463FF" w:rsidRPr="00B616BC">
              <w:t>efficacy</w:t>
            </w:r>
          </w:p>
        </w:tc>
        <w:tc>
          <w:tcPr>
            <w:tcW w:w="6520" w:type="dxa"/>
          </w:tcPr>
          <w:p w:rsidR="00C4030C" w:rsidRPr="00B616BC" w:rsidRDefault="00C4030C" w:rsidP="00C463FF">
            <w:pPr>
              <w:pStyle w:val="Tabletext"/>
              <w:rPr>
                <w:rStyle w:val="CommentReference"/>
                <w:b w:val="0"/>
                <w:szCs w:val="22"/>
              </w:rPr>
            </w:pPr>
            <w:r w:rsidRPr="00B616BC">
              <w:rPr>
                <w:rStyle w:val="CommentReference"/>
                <w:b w:val="0"/>
                <w:szCs w:val="22"/>
              </w:rPr>
              <w:t xml:space="preserve">Non-inferior </w:t>
            </w:r>
            <w:r w:rsidR="00C463FF" w:rsidRPr="00B616BC">
              <w:rPr>
                <w:rStyle w:val="CommentReference"/>
                <w:b w:val="0"/>
                <w:szCs w:val="22"/>
              </w:rPr>
              <w:t xml:space="preserve">efficacy </w:t>
            </w:r>
            <w:r w:rsidRPr="00B616BC">
              <w:rPr>
                <w:rStyle w:val="CommentReference"/>
                <w:b w:val="0"/>
                <w:szCs w:val="22"/>
              </w:rPr>
              <w:t xml:space="preserve">for Hb responder rate and </w:t>
            </w:r>
            <w:r w:rsidR="00FB4326" w:rsidRPr="00B616BC">
              <w:rPr>
                <w:rStyle w:val="CommentReference"/>
                <w:b w:val="0"/>
                <w:szCs w:val="22"/>
              </w:rPr>
              <w:t xml:space="preserve">change </w:t>
            </w:r>
            <w:r w:rsidRPr="00B616BC">
              <w:rPr>
                <w:rStyle w:val="CommentReference"/>
                <w:b w:val="0"/>
                <w:szCs w:val="22"/>
              </w:rPr>
              <w:t>in Hb from baseline</w:t>
            </w:r>
          </w:p>
        </w:tc>
      </w:tr>
      <w:tr w:rsidR="00C4030C" w:rsidRPr="00B616BC" w:rsidTr="00982541">
        <w:tc>
          <w:tcPr>
            <w:tcW w:w="2552" w:type="dxa"/>
          </w:tcPr>
          <w:p w:rsidR="00C4030C" w:rsidRPr="00B616BC" w:rsidRDefault="00C4030C" w:rsidP="00FB4326">
            <w:pPr>
              <w:pStyle w:val="Tabletext"/>
            </w:pPr>
            <w:r w:rsidRPr="00B616BC">
              <w:t>Therapeutic claim: safety</w:t>
            </w:r>
          </w:p>
        </w:tc>
        <w:tc>
          <w:tcPr>
            <w:tcW w:w="6520" w:type="dxa"/>
          </w:tcPr>
          <w:p w:rsidR="00C4030C" w:rsidRPr="00B616BC" w:rsidRDefault="00C4030C" w:rsidP="00FB4326">
            <w:pPr>
              <w:pStyle w:val="Tabletext"/>
              <w:rPr>
                <w:rStyle w:val="CommentReference"/>
                <w:b w:val="0"/>
                <w:szCs w:val="22"/>
              </w:rPr>
            </w:pPr>
            <w:r w:rsidRPr="00B616BC">
              <w:rPr>
                <w:rStyle w:val="CommentReference"/>
                <w:b w:val="0"/>
                <w:szCs w:val="22"/>
              </w:rPr>
              <w:t>Non-inferior safety with similar profile of adverse events</w:t>
            </w:r>
          </w:p>
        </w:tc>
      </w:tr>
      <w:tr w:rsidR="00C4030C" w:rsidRPr="00B616BC" w:rsidTr="00982541">
        <w:tc>
          <w:tcPr>
            <w:tcW w:w="2552" w:type="dxa"/>
          </w:tcPr>
          <w:p w:rsidR="00C4030C" w:rsidRPr="00B616BC" w:rsidRDefault="00C4030C" w:rsidP="00FB4326">
            <w:pPr>
              <w:pStyle w:val="Tabletext"/>
            </w:pPr>
            <w:r w:rsidRPr="00B616BC">
              <w:t>Evidence base</w:t>
            </w:r>
          </w:p>
        </w:tc>
        <w:tc>
          <w:tcPr>
            <w:tcW w:w="6520" w:type="dxa"/>
          </w:tcPr>
          <w:p w:rsidR="00C4030C" w:rsidRPr="00B616BC" w:rsidRDefault="00C4030C" w:rsidP="00FB4326">
            <w:pPr>
              <w:pStyle w:val="Tabletext"/>
              <w:rPr>
                <w:rStyle w:val="CommentReference"/>
                <w:b w:val="0"/>
                <w:szCs w:val="22"/>
              </w:rPr>
            </w:pPr>
            <w:r w:rsidRPr="00B616BC">
              <w:rPr>
                <w:rStyle w:val="CommentReference"/>
                <w:b w:val="0"/>
                <w:szCs w:val="22"/>
              </w:rPr>
              <w:t>Indirect comparison based on PROVIDE and; a meta-analysis of Mahey (2016), REPAIR-IDA and FERGICor</w:t>
            </w:r>
          </w:p>
        </w:tc>
      </w:tr>
      <w:tr w:rsidR="00C4030C" w:rsidRPr="00B616BC" w:rsidTr="00982541">
        <w:tc>
          <w:tcPr>
            <w:tcW w:w="2552" w:type="dxa"/>
          </w:tcPr>
          <w:p w:rsidR="00C4030C" w:rsidRPr="00B616BC" w:rsidRDefault="00C4030C" w:rsidP="00FB4326">
            <w:pPr>
              <w:pStyle w:val="Tabletext"/>
            </w:pPr>
            <w:r w:rsidRPr="00B616BC">
              <w:t>Equi-effective doses</w:t>
            </w:r>
          </w:p>
        </w:tc>
        <w:tc>
          <w:tcPr>
            <w:tcW w:w="6520" w:type="dxa"/>
          </w:tcPr>
          <w:p w:rsidR="00C4030C" w:rsidRPr="00B616BC" w:rsidRDefault="00C4030C" w:rsidP="00FB4326">
            <w:pPr>
              <w:pStyle w:val="Tabletext"/>
              <w:rPr>
                <w:rStyle w:val="CommentReference"/>
                <w:b w:val="0"/>
                <w:szCs w:val="22"/>
              </w:rPr>
            </w:pPr>
            <w:r w:rsidRPr="00B616BC">
              <w:rPr>
                <w:rStyle w:val="CommentReference"/>
                <w:b w:val="0"/>
                <w:szCs w:val="22"/>
              </w:rPr>
              <w:t>1 mg FD = 1 mg FCM</w:t>
            </w:r>
          </w:p>
        </w:tc>
      </w:tr>
      <w:tr w:rsidR="00C4030C" w:rsidRPr="00B616BC" w:rsidTr="00982541">
        <w:tc>
          <w:tcPr>
            <w:tcW w:w="2552" w:type="dxa"/>
          </w:tcPr>
          <w:p w:rsidR="00C4030C" w:rsidRPr="00B616BC" w:rsidRDefault="00C4030C" w:rsidP="00FB4326">
            <w:pPr>
              <w:pStyle w:val="Tabletext"/>
            </w:pPr>
            <w:r w:rsidRPr="00B616BC">
              <w:t>Direct medicine costs</w:t>
            </w:r>
          </w:p>
        </w:tc>
        <w:tc>
          <w:tcPr>
            <w:tcW w:w="6520" w:type="dxa"/>
          </w:tcPr>
          <w:p w:rsidR="00C4030C" w:rsidRPr="00B616BC" w:rsidRDefault="00C4030C" w:rsidP="00285192">
            <w:pPr>
              <w:pStyle w:val="Tabletext"/>
              <w:rPr>
                <w:rStyle w:val="CommentReference"/>
                <w:b w:val="0"/>
                <w:szCs w:val="22"/>
              </w:rPr>
            </w:pPr>
            <w:r w:rsidRPr="00B616BC">
              <w:rPr>
                <w:rStyle w:val="CommentReference"/>
                <w:b w:val="0"/>
                <w:szCs w:val="22"/>
              </w:rPr>
              <w:t>1000 mg FD = 1000 mg FCM = $</w:t>
            </w:r>
            <w:r w:rsidR="00285192">
              <w:rPr>
                <w:rStyle w:val="CommentReference"/>
                <w:b w:val="0"/>
                <w:szCs w:val="22"/>
              </w:rPr>
              <w:t>272</w:t>
            </w:r>
            <w:r w:rsidRPr="00B616BC">
              <w:rPr>
                <w:rStyle w:val="CommentReference"/>
                <w:b w:val="0"/>
                <w:szCs w:val="22"/>
              </w:rPr>
              <w:t xml:space="preserve">.00 (AEMP) </w:t>
            </w:r>
          </w:p>
        </w:tc>
      </w:tr>
      <w:tr w:rsidR="00C4030C" w:rsidRPr="00B616BC" w:rsidTr="00982541">
        <w:trPr>
          <w:trHeight w:val="20"/>
        </w:trPr>
        <w:tc>
          <w:tcPr>
            <w:tcW w:w="2552" w:type="dxa"/>
          </w:tcPr>
          <w:p w:rsidR="00C4030C" w:rsidRPr="00B616BC" w:rsidRDefault="00C4030C" w:rsidP="00FB4326">
            <w:pPr>
              <w:pStyle w:val="Tabletext"/>
            </w:pPr>
            <w:r w:rsidRPr="00B616BC">
              <w:t>Other costs or cost offsets</w:t>
            </w:r>
          </w:p>
        </w:tc>
        <w:tc>
          <w:tcPr>
            <w:tcW w:w="6520" w:type="dxa"/>
          </w:tcPr>
          <w:p w:rsidR="00C4030C" w:rsidRPr="00B616BC" w:rsidRDefault="00C4030C" w:rsidP="00FB4326">
            <w:pPr>
              <w:pStyle w:val="Tabletext"/>
              <w:rPr>
                <w:rStyle w:val="CommentReference"/>
                <w:b w:val="0"/>
                <w:szCs w:val="22"/>
              </w:rPr>
            </w:pPr>
            <w:r w:rsidRPr="00B616BC">
              <w:rPr>
                <w:rStyle w:val="CommentReference"/>
                <w:b w:val="0"/>
                <w:szCs w:val="22"/>
              </w:rPr>
              <w:t xml:space="preserve">None. Although the submission noted that at some doses higher than 1000 mg, treatment with FD will involve fewer infusions (not quantified). </w:t>
            </w:r>
          </w:p>
        </w:tc>
      </w:tr>
    </w:tbl>
    <w:p w:rsidR="00C4030C" w:rsidRPr="00B616BC" w:rsidRDefault="00C4030C" w:rsidP="00C4030C">
      <w:pPr>
        <w:pStyle w:val="TableFooter"/>
      </w:pPr>
      <w:r w:rsidRPr="00B616BC">
        <w:t xml:space="preserve">Source: Section 3.1, p62 of the submission </w:t>
      </w:r>
    </w:p>
    <w:p w:rsidR="00C4030C" w:rsidRPr="00B616BC" w:rsidRDefault="008B3D01" w:rsidP="00C4030C">
      <w:pPr>
        <w:pStyle w:val="TableFooter"/>
        <w:rPr>
          <w:sz w:val="20"/>
        </w:rPr>
      </w:pPr>
      <w:r w:rsidRPr="00B616BC">
        <w:t>AEMP = approved ex-manufacturer price;</w:t>
      </w:r>
      <w:r w:rsidRPr="00B616BC">
        <w:rPr>
          <w:sz w:val="20"/>
        </w:rPr>
        <w:t xml:space="preserve"> </w:t>
      </w:r>
      <w:r w:rsidR="00C4030C" w:rsidRPr="00B616BC">
        <w:t xml:space="preserve">FCM = ferric carboxymaltose; </w:t>
      </w:r>
      <w:r w:rsidRPr="00B616BC">
        <w:t xml:space="preserve">FD = ferric derisomaltose; </w:t>
      </w:r>
      <w:r w:rsidR="00C4030C" w:rsidRPr="00B616BC">
        <w:t>Hb = haemoglobin</w:t>
      </w:r>
    </w:p>
    <w:p w:rsidR="00C4030C" w:rsidRPr="00B616BC" w:rsidRDefault="00C4030C" w:rsidP="00C4030C">
      <w:pPr>
        <w:widowControl/>
      </w:pPr>
    </w:p>
    <w:p w:rsidR="008E50D0" w:rsidRPr="00B616BC" w:rsidRDefault="00C4030C" w:rsidP="001B5CF6">
      <w:pPr>
        <w:pStyle w:val="ListParagraph"/>
        <w:numPr>
          <w:ilvl w:val="1"/>
          <w:numId w:val="1"/>
        </w:numPr>
        <w:spacing w:after="120"/>
        <w:rPr>
          <w:rFonts w:cs="Calibri"/>
          <w:snapToGrid/>
          <w:szCs w:val="24"/>
          <w:lang w:eastAsia="en-AU"/>
        </w:rPr>
      </w:pPr>
      <w:r w:rsidRPr="00B616BC">
        <w:rPr>
          <w:rFonts w:cs="Calibri"/>
          <w:snapToGrid/>
          <w:szCs w:val="24"/>
          <w:lang w:eastAsia="en-AU"/>
        </w:rPr>
        <w:t>The submission applied an equi-effective dose based on a 1 mg: 1</w:t>
      </w:r>
      <w:r w:rsidR="009451B4" w:rsidRPr="00B616BC">
        <w:rPr>
          <w:rFonts w:cs="Calibri"/>
          <w:snapToGrid/>
          <w:szCs w:val="24"/>
          <w:lang w:eastAsia="en-AU"/>
        </w:rPr>
        <w:t xml:space="preserve"> </w:t>
      </w:r>
      <w:r w:rsidRPr="00B616BC">
        <w:rPr>
          <w:rFonts w:cs="Calibri"/>
          <w:snapToGrid/>
          <w:szCs w:val="24"/>
          <w:lang w:eastAsia="en-AU"/>
        </w:rPr>
        <w:t xml:space="preserve">mg </w:t>
      </w:r>
      <w:r w:rsidR="00D36EE3" w:rsidRPr="00B616BC">
        <w:rPr>
          <w:rFonts w:cs="Calibri"/>
          <w:snapToGrid/>
          <w:szCs w:val="24"/>
          <w:lang w:eastAsia="en-AU"/>
        </w:rPr>
        <w:t xml:space="preserve">of </w:t>
      </w:r>
      <w:r w:rsidRPr="00B616BC">
        <w:rPr>
          <w:rFonts w:cs="Calibri"/>
          <w:snapToGrid/>
          <w:szCs w:val="24"/>
          <w:lang w:eastAsia="en-AU"/>
        </w:rPr>
        <w:t xml:space="preserve">iron delivered. </w:t>
      </w:r>
      <w:r w:rsidR="008B55C1" w:rsidRPr="00B616BC">
        <w:rPr>
          <w:rFonts w:cs="Calibri"/>
          <w:snapToGrid/>
          <w:szCs w:val="24"/>
          <w:lang w:eastAsia="en-AU"/>
        </w:rPr>
        <w:t xml:space="preserve">The submission’s reasoning was that the PBAC </w:t>
      </w:r>
      <w:r w:rsidR="00B03948" w:rsidRPr="00B616BC">
        <w:rPr>
          <w:rFonts w:cs="Calibri"/>
          <w:snapToGrid/>
          <w:szCs w:val="24"/>
          <w:lang w:eastAsia="en-AU"/>
        </w:rPr>
        <w:t>had previously accepted an</w:t>
      </w:r>
      <w:r w:rsidR="008B55C1" w:rsidRPr="00B616BC">
        <w:rPr>
          <w:rFonts w:cs="Calibri"/>
          <w:snapToGrid/>
          <w:szCs w:val="24"/>
          <w:lang w:eastAsia="en-AU"/>
        </w:rPr>
        <w:t xml:space="preserve"> equi-effective dose of 1 mg: 1 mg for ferric carboxymaltose, </w:t>
      </w:r>
      <w:r w:rsidR="00902095" w:rsidRPr="00B616BC">
        <w:rPr>
          <w:rFonts w:cs="Calibri"/>
          <w:snapToGrid/>
          <w:szCs w:val="24"/>
          <w:lang w:eastAsia="en-AU"/>
        </w:rPr>
        <w:t xml:space="preserve">which was </w:t>
      </w:r>
      <w:r w:rsidR="008B55C1" w:rsidRPr="00B616BC">
        <w:rPr>
          <w:rFonts w:cs="Calibri"/>
          <w:snapToGrid/>
          <w:szCs w:val="24"/>
          <w:lang w:eastAsia="en-AU"/>
        </w:rPr>
        <w:t>based on a naïve indirect comparison with iron polymaltose (paragraph 12, March 2013 PSD</w:t>
      </w:r>
      <w:r w:rsidR="00D07F83" w:rsidRPr="00B616BC">
        <w:rPr>
          <w:rFonts w:cs="Calibri"/>
          <w:snapToGrid/>
          <w:szCs w:val="24"/>
          <w:lang w:eastAsia="en-AU"/>
        </w:rPr>
        <w:t xml:space="preserve"> ferric carboxymaltose</w:t>
      </w:r>
      <w:r w:rsidR="008B55C1" w:rsidRPr="00B616BC">
        <w:rPr>
          <w:rFonts w:cs="Calibri"/>
          <w:snapToGrid/>
          <w:szCs w:val="24"/>
          <w:lang w:eastAsia="en-AU"/>
        </w:rPr>
        <w:t xml:space="preserve">). </w:t>
      </w:r>
      <w:r w:rsidR="008E50D0" w:rsidRPr="00B616BC">
        <w:rPr>
          <w:rFonts w:cs="Calibri"/>
          <w:snapToGrid/>
          <w:szCs w:val="24"/>
          <w:lang w:eastAsia="en-AU"/>
        </w:rPr>
        <w:t xml:space="preserve">The submission also noted the advice of the Therapeutic Relatively statements (PBS 2018) which states that ferric carboxymaltose, iron polymaltose and iron sucrose equi-effective on a “per mg of elemental iron” basis. The submission considered it was reasonable to extend this to include ferric derisomaltose. </w:t>
      </w:r>
      <w:r w:rsidR="008E50D0" w:rsidRPr="00B616BC">
        <w:t>However, the PBAC Version 5 Guidelines (p98) recommend</w:t>
      </w:r>
      <w:r w:rsidR="00C6515A" w:rsidRPr="00B616BC">
        <w:t>s</w:t>
      </w:r>
      <w:r w:rsidR="008E50D0" w:rsidRPr="00B616BC">
        <w:t xml:space="preserve"> trial data be used to estimate the equi-effective dose. </w:t>
      </w:r>
    </w:p>
    <w:p w:rsidR="00297155" w:rsidRPr="00B616BC" w:rsidRDefault="00297155" w:rsidP="001B5CF6">
      <w:pPr>
        <w:pStyle w:val="ListParagraph"/>
        <w:widowControl/>
        <w:numPr>
          <w:ilvl w:val="1"/>
          <w:numId w:val="1"/>
        </w:numPr>
        <w:spacing w:after="120"/>
      </w:pPr>
      <w:r w:rsidRPr="00B616BC">
        <w:t xml:space="preserve">A comparison of trial doses showed that patients in </w:t>
      </w:r>
      <w:r w:rsidR="00812F98" w:rsidRPr="00B616BC">
        <w:t xml:space="preserve">the </w:t>
      </w:r>
      <w:r w:rsidRPr="00B616BC">
        <w:t xml:space="preserve">ferric derisomaltose treatment arm of PROVIDE received higher doses of iron than patients in the ferric </w:t>
      </w:r>
      <w:r w:rsidRPr="00B616BC">
        <w:lastRenderedPageBreak/>
        <w:t xml:space="preserve">carboxymaltose treatment arms. An equi-effective dose of ferric derisomaltose to ferric carboxymaltose of 1.15 mg: 1 mg of iron delivered, based on trial data was calculated by the evaluation. </w:t>
      </w:r>
    </w:p>
    <w:p w:rsidR="00297155" w:rsidRPr="00B616BC" w:rsidRDefault="00297155" w:rsidP="001B5CF6">
      <w:pPr>
        <w:pStyle w:val="ListParagraph"/>
        <w:widowControl/>
        <w:numPr>
          <w:ilvl w:val="1"/>
          <w:numId w:val="1"/>
        </w:numPr>
        <w:spacing w:after="120"/>
      </w:pPr>
      <w:r w:rsidRPr="00B616BC">
        <w:t xml:space="preserve">The PSCR rejected the </w:t>
      </w:r>
      <w:proofErr w:type="spellStart"/>
      <w:r w:rsidRPr="00B616BC">
        <w:t>equi</w:t>
      </w:r>
      <w:proofErr w:type="spellEnd"/>
      <w:r w:rsidRPr="00B616BC">
        <w:t>-effective dose of 1.15 mg ferric derisomaltose to 1 mg ferric carboxymaltose as calculated in the evaluation, and reiterated the reasoning outlined in paragraph 6.34 as to why it believed the equi-effective dose should be 1 mg:</w:t>
      </w:r>
      <w:r w:rsidR="00A1177E">
        <w:t xml:space="preserve"> </w:t>
      </w:r>
      <w:r w:rsidRPr="00B616BC">
        <w:t>1 mg.</w:t>
      </w:r>
    </w:p>
    <w:p w:rsidR="00982541" w:rsidRPr="00B616BC" w:rsidRDefault="00A06E8A" w:rsidP="001B5CF6">
      <w:pPr>
        <w:pStyle w:val="ListParagraph"/>
        <w:widowControl/>
        <w:numPr>
          <w:ilvl w:val="1"/>
          <w:numId w:val="1"/>
        </w:numPr>
        <w:spacing w:after="120"/>
      </w:pPr>
      <w:r w:rsidRPr="00B616BC">
        <w:t>The ESC considered that an equi-effective dose of 1 mg:</w:t>
      </w:r>
      <w:r w:rsidR="00A1177E">
        <w:t xml:space="preserve"> </w:t>
      </w:r>
      <w:r w:rsidRPr="00B616BC">
        <w:t>1 mg was reasonable</w:t>
      </w:r>
      <w:r w:rsidR="00560988" w:rsidRPr="00B616BC">
        <w:t>,</w:t>
      </w:r>
      <w:r w:rsidR="0055284F" w:rsidRPr="00B616BC">
        <w:t xml:space="preserve"> </w:t>
      </w:r>
      <w:r w:rsidR="00560988" w:rsidRPr="00B616BC">
        <w:t>as</w:t>
      </w:r>
      <w:r w:rsidR="0055284F" w:rsidRPr="00B616BC">
        <w:t xml:space="preserve"> </w:t>
      </w:r>
      <w:r w:rsidR="008B2A80" w:rsidRPr="00B616BC">
        <w:t>in practice ferric carboxymaltose is commonly</w:t>
      </w:r>
      <w:r w:rsidR="0055284F" w:rsidRPr="00B616BC">
        <w:t xml:space="preserve"> </w:t>
      </w:r>
      <w:r w:rsidR="0022073A" w:rsidRPr="00B616BC">
        <w:t>administered in amounts of 500 mg or 1000 mg</w:t>
      </w:r>
      <w:r w:rsidR="0055284F" w:rsidRPr="00B616BC">
        <w:t xml:space="preserve"> rather than by smaller </w:t>
      </w:r>
      <w:r w:rsidR="0022073A" w:rsidRPr="00B616BC">
        <w:t xml:space="preserve">incremental </w:t>
      </w:r>
      <w:r w:rsidR="0055284F" w:rsidRPr="00B616BC">
        <w:t>amounts.</w:t>
      </w:r>
      <w:r w:rsidR="008B2A80" w:rsidRPr="00B616BC">
        <w:t xml:space="preserve"> The ESC considered a similar approach would be expected for ferric derisomaltose.</w:t>
      </w:r>
      <w:r w:rsidR="0055284F" w:rsidRPr="00B616BC">
        <w:t xml:space="preserve"> </w:t>
      </w:r>
      <w:r w:rsidR="00297155" w:rsidRPr="00B616BC">
        <w:t>The PBAC agreed with the ESC that an equi-effective dose of 1 mg:</w:t>
      </w:r>
      <w:r w:rsidR="00A1177E">
        <w:t xml:space="preserve"> </w:t>
      </w:r>
      <w:r w:rsidR="00297155" w:rsidRPr="00B616BC">
        <w:t>1 mg was reasonable.</w:t>
      </w:r>
    </w:p>
    <w:p w:rsidR="00987D40" w:rsidRPr="00B616BC" w:rsidRDefault="00C4030C" w:rsidP="001B5CF6">
      <w:pPr>
        <w:pStyle w:val="ListParagraph"/>
        <w:widowControl/>
        <w:numPr>
          <w:ilvl w:val="1"/>
          <w:numId w:val="1"/>
        </w:numPr>
        <w:spacing w:after="120"/>
      </w:pPr>
      <w:r w:rsidRPr="00B616BC">
        <w:t xml:space="preserve">The submission stated that ferric derisomaltose will have the same overall cost of treatment as ferric carboxymaltose with an </w:t>
      </w:r>
      <w:r w:rsidR="00D36EE3" w:rsidRPr="00B616BC">
        <w:t>approved ex-manufacture price (</w:t>
      </w:r>
      <w:r w:rsidRPr="00B616BC">
        <w:t>AEMP</w:t>
      </w:r>
      <w:r w:rsidR="00D36EE3" w:rsidRPr="00B616BC">
        <w:t>)</w:t>
      </w:r>
      <w:r w:rsidRPr="00B616BC">
        <w:t xml:space="preserve"> of $</w:t>
      </w:r>
      <w:r w:rsidR="00285192">
        <w:t>272</w:t>
      </w:r>
      <w:r w:rsidRPr="00B616BC">
        <w:t xml:space="preserve"> per 1000</w:t>
      </w:r>
      <w:r w:rsidR="00C463FF" w:rsidRPr="00B616BC">
        <w:t xml:space="preserve"> </w:t>
      </w:r>
      <w:r w:rsidRPr="00B616BC">
        <w:t>mg</w:t>
      </w:r>
      <w:r w:rsidR="00790032" w:rsidRPr="00B616BC">
        <w:t xml:space="preserve">, assuming an </w:t>
      </w:r>
      <w:proofErr w:type="spellStart"/>
      <w:r w:rsidR="00790032" w:rsidRPr="00B616BC">
        <w:t>equi</w:t>
      </w:r>
      <w:proofErr w:type="spellEnd"/>
      <w:r w:rsidR="00790032" w:rsidRPr="00B616BC">
        <w:t>-effective dose of 1 mg</w:t>
      </w:r>
      <w:r w:rsidR="00323593" w:rsidRPr="00B616BC">
        <w:t xml:space="preserve"> (ferric derisomaltose)</w:t>
      </w:r>
      <w:r w:rsidR="00790032" w:rsidRPr="00B616BC">
        <w:t>:</w:t>
      </w:r>
      <w:r w:rsidR="00323593" w:rsidRPr="00B616BC">
        <w:t> </w:t>
      </w:r>
      <w:r w:rsidR="00790032" w:rsidRPr="00B616BC">
        <w:t>1 mg</w:t>
      </w:r>
      <w:r w:rsidR="00323593" w:rsidRPr="00B616BC">
        <w:t xml:space="preserve"> (ferric carboxymaltose)</w:t>
      </w:r>
      <w:r w:rsidRPr="00B616BC">
        <w:t>.</w:t>
      </w:r>
      <w:r w:rsidR="000407AE" w:rsidRPr="00B616BC">
        <w:t xml:space="preserve"> </w:t>
      </w:r>
    </w:p>
    <w:p w:rsidR="00E05005" w:rsidRPr="00BE41F8" w:rsidRDefault="00C4030C" w:rsidP="00BE41F8">
      <w:pPr>
        <w:pStyle w:val="Heading2"/>
        <w:keepNext/>
        <w:keepLines/>
        <w:spacing w:before="240" w:after="120"/>
        <w:rPr>
          <w:i w:val="0"/>
        </w:rPr>
      </w:pPr>
      <w:bookmarkStart w:id="12" w:name="_Toc511461246"/>
      <w:r w:rsidRPr="00B616BC">
        <w:rPr>
          <w:i w:val="0"/>
        </w:rPr>
        <w:t>Drug cost/patient/course = $307.49</w:t>
      </w:r>
      <w:bookmarkEnd w:id="12"/>
    </w:p>
    <w:p w:rsidR="00C4030C" w:rsidRPr="00B616BC" w:rsidRDefault="00C4030C" w:rsidP="001B5CF6">
      <w:pPr>
        <w:pStyle w:val="ListParagraph"/>
        <w:keepNext/>
        <w:keepLines/>
        <w:widowControl/>
        <w:numPr>
          <w:ilvl w:val="1"/>
          <w:numId w:val="1"/>
        </w:numPr>
        <w:spacing w:after="120"/>
      </w:pPr>
      <w:r w:rsidRPr="00B616BC">
        <w:t>The cost per patient per course of treatment with ferric derisomaltose, assuming th</w:t>
      </w:r>
      <w:r w:rsidR="00565425" w:rsidRPr="00B616BC">
        <w:t xml:space="preserve">e most commonly prescribed dose (based on the 2017 DUSC </w:t>
      </w:r>
      <w:r w:rsidR="0052671A" w:rsidRPr="00B616BC">
        <w:t>utilisation review</w:t>
      </w:r>
      <w:r w:rsidR="00565425" w:rsidRPr="00B616BC">
        <w:t xml:space="preserve">) </w:t>
      </w:r>
      <w:r w:rsidRPr="00B616BC">
        <w:t>of 1000 mg was $307.49 (</w:t>
      </w:r>
      <w:r w:rsidR="0089795C" w:rsidRPr="00B616BC">
        <w:t>P</w:t>
      </w:r>
      <w:r w:rsidRPr="00B616BC">
        <w:t>ublished</w:t>
      </w:r>
      <w:r w:rsidR="0089795C" w:rsidRPr="00B616BC">
        <w:rPr>
          <w:rStyle w:val="Heading2Char"/>
          <w:i w:val="0"/>
        </w:rPr>
        <w:t xml:space="preserve"> </w:t>
      </w:r>
      <w:r w:rsidR="0089795C" w:rsidRPr="00B616BC">
        <w:rPr>
          <w:rStyle w:val="st"/>
        </w:rPr>
        <w:t>Dispensed Price for Maximum Quantity</w:t>
      </w:r>
      <w:r w:rsidR="0089795C" w:rsidRPr="00B616BC">
        <w:t xml:space="preserve"> (</w:t>
      </w:r>
      <w:r w:rsidRPr="00B616BC">
        <w:t>DPMQ</w:t>
      </w:r>
      <w:r w:rsidR="0089795C" w:rsidRPr="00B616BC">
        <w:t>)</w:t>
      </w:r>
      <w:r w:rsidRPr="00B616BC">
        <w:t xml:space="preserve">). </w:t>
      </w:r>
      <w:r w:rsidR="00B03948" w:rsidRPr="00B616BC">
        <w:t xml:space="preserve">Based on the mean dose in the </w:t>
      </w:r>
      <w:r w:rsidR="00B83080" w:rsidRPr="00B616BC">
        <w:t>pivotal</w:t>
      </w:r>
      <w:r w:rsidR="00B03948" w:rsidRPr="00B616BC">
        <w:t xml:space="preserve"> trial (PROVIDE</w:t>
      </w:r>
      <w:r w:rsidR="00395558" w:rsidRPr="00B616BC">
        <w:t>; 1640 mg</w:t>
      </w:r>
      <w:r w:rsidR="00B03948" w:rsidRPr="00B616BC">
        <w:t>) the cost per patient per course would be</w:t>
      </w:r>
      <w:r w:rsidR="00395558" w:rsidRPr="00B616BC">
        <w:t xml:space="preserve"> $</w:t>
      </w:r>
      <w:r w:rsidR="00395558" w:rsidRPr="00384EAE">
        <w:t>614.98</w:t>
      </w:r>
      <w:r w:rsidR="00285192" w:rsidRPr="00384EAE">
        <w:t xml:space="preserve"> </w:t>
      </w:r>
      <w:r w:rsidR="00806074" w:rsidRPr="00384EAE">
        <w:t>(based on DPMQ of $307.49)</w:t>
      </w:r>
      <w:r w:rsidR="00395558" w:rsidRPr="00384EAE">
        <w:t>.</w:t>
      </w:r>
      <w:r w:rsidR="00370C5B" w:rsidRPr="00384EAE">
        <w:t xml:space="preserve"> </w:t>
      </w:r>
      <w:r w:rsidR="00370C5B" w:rsidRPr="00B616BC">
        <w:t>The PBAC noted that the maximum dose per IV infusion for ferric derisomaltose (1500 mg) is higher than that of ferric carboxymaltose (1000 mg)</w:t>
      </w:r>
      <w:r w:rsidR="001134D3" w:rsidRPr="00B616BC">
        <w:t xml:space="preserve"> and considered that listing may result in a rise in the most commonly prescribed dose and the resulting drug cost/patient/course</w:t>
      </w:r>
      <w:r w:rsidR="00370C5B" w:rsidRPr="00B616BC">
        <w:t xml:space="preserve">. </w:t>
      </w:r>
    </w:p>
    <w:p w:rsidR="00B60939" w:rsidRPr="00BE41F8" w:rsidRDefault="00B60939" w:rsidP="00BE41F8">
      <w:pPr>
        <w:pStyle w:val="Heading2"/>
        <w:spacing w:before="240" w:after="120"/>
        <w:rPr>
          <w:i w:val="0"/>
        </w:rPr>
      </w:pPr>
      <w:bookmarkStart w:id="13" w:name="_Toc511461247"/>
      <w:r w:rsidRPr="00B616BC">
        <w:rPr>
          <w:i w:val="0"/>
        </w:rPr>
        <w:t>Estimated PBS usage &amp; financial implications</w:t>
      </w:r>
      <w:bookmarkEnd w:id="13"/>
    </w:p>
    <w:p w:rsidR="00C4030C" w:rsidRPr="00B616BC" w:rsidRDefault="00C4030C" w:rsidP="001B5CF6">
      <w:pPr>
        <w:pStyle w:val="ListParagraph"/>
        <w:widowControl/>
        <w:numPr>
          <w:ilvl w:val="1"/>
          <w:numId w:val="1"/>
        </w:numPr>
        <w:spacing w:after="120"/>
      </w:pPr>
      <w:r w:rsidRPr="00B616BC">
        <w:t>This submission w</w:t>
      </w:r>
      <w:r w:rsidR="0055284F" w:rsidRPr="00B616BC">
        <w:t>as</w:t>
      </w:r>
      <w:r w:rsidRPr="00B616BC">
        <w:t xml:space="preserve"> not</w:t>
      </w:r>
      <w:r w:rsidR="00DB5290" w:rsidRPr="00B616BC">
        <w:t xml:space="preserve"> </w:t>
      </w:r>
      <w:r w:rsidRPr="00B616BC">
        <w:t>considered by DUSC</w:t>
      </w:r>
      <w:r w:rsidRPr="00B616BC">
        <w:rPr>
          <w:color w:val="0070C0"/>
        </w:rPr>
        <w:t>.</w:t>
      </w:r>
    </w:p>
    <w:p w:rsidR="00C4030C" w:rsidRPr="00B616BC" w:rsidRDefault="00C4030C" w:rsidP="001B5CF6">
      <w:pPr>
        <w:pStyle w:val="ListParagraph"/>
        <w:widowControl/>
        <w:numPr>
          <w:ilvl w:val="1"/>
          <w:numId w:val="1"/>
        </w:numPr>
        <w:spacing w:after="120"/>
      </w:pPr>
      <w:r w:rsidRPr="00B616BC">
        <w:t>The submission used a market share approach to estimate the utilisation and financial implications associated with listing ferric derisomaltose.</w:t>
      </w:r>
    </w:p>
    <w:p w:rsidR="00C4030C" w:rsidRPr="00B616BC" w:rsidRDefault="00C4030C" w:rsidP="00982541">
      <w:pPr>
        <w:keepNext/>
      </w:pPr>
      <w:r w:rsidRPr="00B616BC" w:rsidDel="003B3862">
        <w:rPr>
          <w:color w:val="3366FF"/>
        </w:rPr>
        <w:lastRenderedPageBreak/>
        <w:t xml:space="preserve"> </w:t>
      </w:r>
      <w:r w:rsidRPr="00B616BC">
        <w:rPr>
          <w:rStyle w:val="CommentReference"/>
        </w:rPr>
        <w:t xml:space="preserve">Table </w:t>
      </w:r>
      <w:r w:rsidR="000F4A80" w:rsidRPr="00B616BC">
        <w:rPr>
          <w:rStyle w:val="CommentReference"/>
        </w:rPr>
        <w:t>1</w:t>
      </w:r>
      <w:r w:rsidR="00BE157A" w:rsidRPr="00B616BC">
        <w:rPr>
          <w:rStyle w:val="CommentReference"/>
        </w:rPr>
        <w:t>1</w:t>
      </w:r>
      <w:r w:rsidRPr="00B616BC">
        <w:rPr>
          <w:rStyle w:val="CommentReference"/>
        </w:rPr>
        <w:t>: Estimated utilisation and financial implications of recommending ferric derisomaltose to the PBS/RPBS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2"/>
        <w:gridCol w:w="1193"/>
        <w:gridCol w:w="1192"/>
        <w:gridCol w:w="1192"/>
        <w:gridCol w:w="1192"/>
        <w:gridCol w:w="1192"/>
        <w:gridCol w:w="1192"/>
      </w:tblGrid>
      <w:tr w:rsidR="00C4030C" w:rsidRPr="00B616BC" w:rsidTr="008D243C">
        <w:trPr>
          <w:tblHeader/>
        </w:trPr>
        <w:tc>
          <w:tcPr>
            <w:tcW w:w="1028" w:type="pct"/>
            <w:shd w:val="clear" w:color="auto" w:fill="auto"/>
          </w:tcPr>
          <w:p w:rsidR="00C4030C" w:rsidRPr="00B616BC" w:rsidRDefault="00C4030C" w:rsidP="00982541">
            <w:pPr>
              <w:pStyle w:val="Tabletext"/>
              <w:keepNext/>
            </w:pPr>
          </w:p>
        </w:tc>
        <w:tc>
          <w:tcPr>
            <w:tcW w:w="662" w:type="pct"/>
            <w:shd w:val="clear" w:color="auto" w:fill="auto"/>
          </w:tcPr>
          <w:p w:rsidR="00C4030C" w:rsidRPr="00B616BC" w:rsidRDefault="00C4030C" w:rsidP="00982541">
            <w:pPr>
              <w:pStyle w:val="Tabletext"/>
              <w:keepNext/>
              <w:jc w:val="center"/>
              <w:rPr>
                <w:b/>
              </w:rPr>
            </w:pPr>
            <w:r w:rsidRPr="00B616BC">
              <w:rPr>
                <w:b/>
              </w:rPr>
              <w:t>Year 1</w:t>
            </w:r>
          </w:p>
          <w:p w:rsidR="00C4030C" w:rsidRPr="00B616BC" w:rsidRDefault="00C4030C" w:rsidP="00982541">
            <w:pPr>
              <w:pStyle w:val="Tabletext"/>
              <w:keepNext/>
              <w:jc w:val="center"/>
              <w:rPr>
                <w:b/>
              </w:rPr>
            </w:pPr>
            <w:r w:rsidRPr="00B616BC">
              <w:rPr>
                <w:b/>
              </w:rPr>
              <w:t>(2019)</w:t>
            </w:r>
          </w:p>
        </w:tc>
        <w:tc>
          <w:tcPr>
            <w:tcW w:w="662" w:type="pct"/>
            <w:shd w:val="clear" w:color="auto" w:fill="auto"/>
          </w:tcPr>
          <w:p w:rsidR="00C4030C" w:rsidRPr="00B616BC" w:rsidRDefault="00C4030C" w:rsidP="00982541">
            <w:pPr>
              <w:pStyle w:val="Tabletext"/>
              <w:keepNext/>
              <w:jc w:val="center"/>
              <w:rPr>
                <w:b/>
              </w:rPr>
            </w:pPr>
            <w:r w:rsidRPr="00B616BC">
              <w:rPr>
                <w:b/>
              </w:rPr>
              <w:t>Year 2</w:t>
            </w:r>
          </w:p>
          <w:p w:rsidR="00C4030C" w:rsidRPr="00B616BC" w:rsidRDefault="00C4030C" w:rsidP="00982541">
            <w:pPr>
              <w:pStyle w:val="Tabletext"/>
              <w:keepNext/>
              <w:jc w:val="center"/>
              <w:rPr>
                <w:b/>
              </w:rPr>
            </w:pPr>
            <w:r w:rsidRPr="00B616BC">
              <w:rPr>
                <w:b/>
              </w:rPr>
              <w:t>(2020)</w:t>
            </w:r>
          </w:p>
        </w:tc>
        <w:tc>
          <w:tcPr>
            <w:tcW w:w="662" w:type="pct"/>
            <w:shd w:val="clear" w:color="auto" w:fill="auto"/>
          </w:tcPr>
          <w:p w:rsidR="00C4030C" w:rsidRPr="00B616BC" w:rsidRDefault="00C4030C" w:rsidP="00982541">
            <w:pPr>
              <w:pStyle w:val="Tabletext"/>
              <w:keepNext/>
              <w:jc w:val="center"/>
              <w:rPr>
                <w:b/>
              </w:rPr>
            </w:pPr>
            <w:r w:rsidRPr="00B616BC">
              <w:rPr>
                <w:b/>
              </w:rPr>
              <w:t>Year 3</w:t>
            </w:r>
          </w:p>
          <w:p w:rsidR="00C4030C" w:rsidRPr="00B616BC" w:rsidRDefault="00C4030C" w:rsidP="00982541">
            <w:pPr>
              <w:pStyle w:val="Tabletext"/>
              <w:keepNext/>
              <w:jc w:val="center"/>
              <w:rPr>
                <w:b/>
              </w:rPr>
            </w:pPr>
            <w:r w:rsidRPr="00B616BC">
              <w:rPr>
                <w:b/>
              </w:rPr>
              <w:t>(2021)</w:t>
            </w:r>
          </w:p>
        </w:tc>
        <w:tc>
          <w:tcPr>
            <w:tcW w:w="662" w:type="pct"/>
            <w:shd w:val="clear" w:color="auto" w:fill="auto"/>
          </w:tcPr>
          <w:p w:rsidR="00C4030C" w:rsidRPr="00B616BC" w:rsidRDefault="00C4030C" w:rsidP="00982541">
            <w:pPr>
              <w:pStyle w:val="Tabletext"/>
              <w:keepNext/>
              <w:jc w:val="center"/>
              <w:rPr>
                <w:b/>
              </w:rPr>
            </w:pPr>
            <w:r w:rsidRPr="00B616BC">
              <w:rPr>
                <w:b/>
              </w:rPr>
              <w:t>Year 4</w:t>
            </w:r>
          </w:p>
          <w:p w:rsidR="00C4030C" w:rsidRPr="00B616BC" w:rsidRDefault="00C4030C" w:rsidP="00982541">
            <w:pPr>
              <w:pStyle w:val="Tabletext"/>
              <w:keepNext/>
              <w:jc w:val="center"/>
              <w:rPr>
                <w:b/>
              </w:rPr>
            </w:pPr>
            <w:r w:rsidRPr="00B616BC">
              <w:rPr>
                <w:b/>
              </w:rPr>
              <w:t>(2022)</w:t>
            </w:r>
          </w:p>
        </w:tc>
        <w:tc>
          <w:tcPr>
            <w:tcW w:w="662" w:type="pct"/>
            <w:shd w:val="clear" w:color="auto" w:fill="auto"/>
          </w:tcPr>
          <w:p w:rsidR="00C4030C" w:rsidRPr="00B616BC" w:rsidRDefault="00C4030C" w:rsidP="00982541">
            <w:pPr>
              <w:pStyle w:val="Tabletext"/>
              <w:keepNext/>
              <w:jc w:val="center"/>
              <w:rPr>
                <w:b/>
              </w:rPr>
            </w:pPr>
            <w:r w:rsidRPr="00B616BC">
              <w:rPr>
                <w:b/>
              </w:rPr>
              <w:t>Year 5</w:t>
            </w:r>
          </w:p>
          <w:p w:rsidR="00C4030C" w:rsidRPr="00B616BC" w:rsidRDefault="00C4030C" w:rsidP="00982541">
            <w:pPr>
              <w:pStyle w:val="Tabletext"/>
              <w:keepNext/>
              <w:jc w:val="center"/>
              <w:rPr>
                <w:b/>
              </w:rPr>
            </w:pPr>
            <w:r w:rsidRPr="00B616BC">
              <w:rPr>
                <w:b/>
              </w:rPr>
              <w:t>(2023)</w:t>
            </w:r>
          </w:p>
        </w:tc>
        <w:tc>
          <w:tcPr>
            <w:tcW w:w="662" w:type="pct"/>
          </w:tcPr>
          <w:p w:rsidR="00C4030C" w:rsidRPr="00B616BC" w:rsidRDefault="00C4030C" w:rsidP="00982541">
            <w:pPr>
              <w:pStyle w:val="Tabletext"/>
              <w:keepNext/>
              <w:jc w:val="center"/>
              <w:rPr>
                <w:b/>
              </w:rPr>
            </w:pPr>
            <w:r w:rsidRPr="00B616BC">
              <w:rPr>
                <w:b/>
              </w:rPr>
              <w:t>Year 6</w:t>
            </w:r>
          </w:p>
          <w:p w:rsidR="00C4030C" w:rsidRPr="00B616BC" w:rsidRDefault="00C4030C" w:rsidP="00982541">
            <w:pPr>
              <w:pStyle w:val="Tabletext"/>
              <w:keepNext/>
              <w:jc w:val="center"/>
              <w:rPr>
                <w:b/>
              </w:rPr>
            </w:pPr>
            <w:r w:rsidRPr="00B616BC">
              <w:rPr>
                <w:b/>
              </w:rPr>
              <w:t>(2024)</w:t>
            </w:r>
          </w:p>
        </w:tc>
      </w:tr>
      <w:tr w:rsidR="00C4030C" w:rsidRPr="00B616BC" w:rsidTr="008D243C">
        <w:tc>
          <w:tcPr>
            <w:tcW w:w="5000" w:type="pct"/>
            <w:gridSpan w:val="7"/>
            <w:shd w:val="clear" w:color="auto" w:fill="auto"/>
          </w:tcPr>
          <w:p w:rsidR="00C4030C" w:rsidRPr="00B616BC" w:rsidRDefault="00C4030C" w:rsidP="00982541">
            <w:pPr>
              <w:pStyle w:val="Tabletext"/>
              <w:keepNext/>
              <w:rPr>
                <w:b/>
                <w:bCs/>
                <w:color w:val="000000"/>
              </w:rPr>
            </w:pPr>
            <w:r w:rsidRPr="00B616BC">
              <w:rPr>
                <w:b/>
                <w:bCs/>
                <w:color w:val="000000"/>
              </w:rPr>
              <w:t>Estimated extent of use</w:t>
            </w:r>
          </w:p>
        </w:tc>
      </w:tr>
      <w:tr w:rsidR="0007123B" w:rsidRPr="00B616BC" w:rsidTr="008D243C">
        <w:tc>
          <w:tcPr>
            <w:tcW w:w="1028" w:type="pct"/>
            <w:shd w:val="clear" w:color="auto" w:fill="auto"/>
          </w:tcPr>
          <w:p w:rsidR="0007123B" w:rsidRPr="00B616BC" w:rsidRDefault="0007123B" w:rsidP="00982541">
            <w:pPr>
              <w:pStyle w:val="Tabletext"/>
              <w:keepNext/>
              <w:rPr>
                <w:rFonts w:ascii="Times" w:hAnsi="Times"/>
              </w:rPr>
            </w:pPr>
            <w:r w:rsidRPr="00B616BC">
              <w:t>Utilisation of FD</w:t>
            </w:r>
          </w:p>
        </w:tc>
        <w:tc>
          <w:tcPr>
            <w:tcW w:w="662" w:type="pct"/>
            <w:shd w:val="clear" w:color="auto" w:fill="auto"/>
          </w:tcPr>
          <w:p w:rsidR="0007123B" w:rsidRPr="008961FB" w:rsidRDefault="008961FB" w:rsidP="00982541">
            <w:pPr>
              <w:pStyle w:val="Tabletext"/>
              <w:keepNext/>
              <w:jc w:val="center"/>
              <w:rPr>
                <w:bCs/>
                <w:color w:val="000000"/>
                <w:highlight w:val="black"/>
              </w:rPr>
            </w:pPr>
            <w:r>
              <w:rPr>
                <w:rFonts w:cs="Arial"/>
                <w:noProof/>
                <w:color w:val="000000"/>
                <w:szCs w:val="20"/>
                <w:highlight w:val="black"/>
              </w:rPr>
              <w:t>'''''''''''''</w:t>
            </w:r>
            <w:r w:rsidR="0007123B" w:rsidRPr="008961FB">
              <w:rPr>
                <w:rFonts w:cs="Arial"/>
                <w:color w:val="000000"/>
                <w:szCs w:val="20"/>
                <w:highlight w:val="black"/>
              </w:rPr>
              <w:t xml:space="preserve"> </w:t>
            </w:r>
          </w:p>
        </w:tc>
        <w:tc>
          <w:tcPr>
            <w:tcW w:w="662" w:type="pct"/>
            <w:shd w:val="clear" w:color="auto" w:fill="auto"/>
          </w:tcPr>
          <w:p w:rsidR="0007123B" w:rsidRPr="008961FB" w:rsidRDefault="008961FB" w:rsidP="00982541">
            <w:pPr>
              <w:pStyle w:val="Tabletext"/>
              <w:keepNext/>
              <w:jc w:val="center"/>
              <w:rPr>
                <w:bCs/>
                <w:color w:val="000000"/>
                <w:highlight w:val="black"/>
              </w:rPr>
            </w:pPr>
            <w:r>
              <w:rPr>
                <w:rFonts w:cs="Arial"/>
                <w:noProof/>
                <w:color w:val="000000"/>
                <w:szCs w:val="20"/>
                <w:highlight w:val="black"/>
              </w:rPr>
              <w:t>'''''''''''''''</w:t>
            </w:r>
            <w:r w:rsidR="0007123B" w:rsidRPr="008961FB">
              <w:rPr>
                <w:rFonts w:cs="Arial"/>
                <w:color w:val="000000"/>
                <w:szCs w:val="20"/>
                <w:highlight w:val="black"/>
              </w:rPr>
              <w:t xml:space="preserve"> </w:t>
            </w:r>
          </w:p>
        </w:tc>
        <w:tc>
          <w:tcPr>
            <w:tcW w:w="662" w:type="pct"/>
            <w:shd w:val="clear" w:color="auto" w:fill="auto"/>
          </w:tcPr>
          <w:p w:rsidR="0007123B" w:rsidRPr="008961FB" w:rsidRDefault="008961FB" w:rsidP="00982541">
            <w:pPr>
              <w:pStyle w:val="Tabletext"/>
              <w:keepNext/>
              <w:jc w:val="center"/>
              <w:rPr>
                <w:bCs/>
                <w:color w:val="000000"/>
                <w:highlight w:val="black"/>
              </w:rPr>
            </w:pPr>
            <w:r>
              <w:rPr>
                <w:rFonts w:cs="Arial"/>
                <w:noProof/>
                <w:color w:val="000000"/>
                <w:szCs w:val="20"/>
                <w:highlight w:val="black"/>
              </w:rPr>
              <w:t xml:space="preserve">'''''''''''''''' </w:t>
            </w:r>
          </w:p>
        </w:tc>
        <w:tc>
          <w:tcPr>
            <w:tcW w:w="662" w:type="pct"/>
            <w:shd w:val="clear" w:color="auto" w:fill="auto"/>
          </w:tcPr>
          <w:p w:rsidR="0007123B" w:rsidRPr="008961FB" w:rsidRDefault="008961FB" w:rsidP="00982541">
            <w:pPr>
              <w:pStyle w:val="Tabletext"/>
              <w:keepNext/>
              <w:jc w:val="center"/>
              <w:rPr>
                <w:bCs/>
                <w:color w:val="000000"/>
                <w:highlight w:val="black"/>
              </w:rPr>
            </w:pPr>
            <w:r>
              <w:rPr>
                <w:rFonts w:cs="Arial"/>
                <w:noProof/>
                <w:color w:val="000000"/>
                <w:szCs w:val="20"/>
                <w:highlight w:val="black"/>
              </w:rPr>
              <w:t>''''''''''''''''</w:t>
            </w:r>
            <w:r w:rsidR="0007123B" w:rsidRPr="008961FB">
              <w:rPr>
                <w:rFonts w:cs="Arial"/>
                <w:color w:val="000000"/>
                <w:szCs w:val="20"/>
                <w:highlight w:val="black"/>
              </w:rPr>
              <w:t xml:space="preserve"> </w:t>
            </w:r>
          </w:p>
        </w:tc>
        <w:tc>
          <w:tcPr>
            <w:tcW w:w="662" w:type="pct"/>
            <w:shd w:val="clear" w:color="auto" w:fill="auto"/>
          </w:tcPr>
          <w:p w:rsidR="0007123B" w:rsidRPr="008961FB" w:rsidRDefault="008961FB" w:rsidP="00982541">
            <w:pPr>
              <w:pStyle w:val="Tabletext"/>
              <w:keepNext/>
              <w:jc w:val="center"/>
              <w:rPr>
                <w:bCs/>
                <w:color w:val="000000"/>
                <w:highlight w:val="black"/>
              </w:rPr>
            </w:pPr>
            <w:r>
              <w:rPr>
                <w:rFonts w:cs="Arial"/>
                <w:noProof/>
                <w:color w:val="000000"/>
                <w:szCs w:val="20"/>
                <w:highlight w:val="black"/>
              </w:rPr>
              <w:t>'''''''''''''''''''</w:t>
            </w:r>
            <w:r w:rsidR="0007123B" w:rsidRPr="008961FB">
              <w:rPr>
                <w:rFonts w:cs="Arial"/>
                <w:color w:val="000000"/>
                <w:szCs w:val="20"/>
                <w:highlight w:val="black"/>
              </w:rPr>
              <w:t xml:space="preserve"> </w:t>
            </w:r>
          </w:p>
        </w:tc>
        <w:tc>
          <w:tcPr>
            <w:tcW w:w="662" w:type="pct"/>
          </w:tcPr>
          <w:p w:rsidR="0007123B" w:rsidRPr="008961FB" w:rsidRDefault="008961FB" w:rsidP="00982541">
            <w:pPr>
              <w:pStyle w:val="Tabletext"/>
              <w:keepNext/>
              <w:jc w:val="center"/>
              <w:rPr>
                <w:bCs/>
                <w:color w:val="000000"/>
                <w:highlight w:val="black"/>
              </w:rPr>
            </w:pPr>
            <w:r>
              <w:rPr>
                <w:rFonts w:cs="Arial"/>
                <w:noProof/>
                <w:color w:val="000000"/>
                <w:szCs w:val="20"/>
                <w:highlight w:val="black"/>
              </w:rPr>
              <w:t>''''''''''''''''''''''</w:t>
            </w:r>
            <w:r w:rsidR="0007123B" w:rsidRPr="008961FB">
              <w:rPr>
                <w:rFonts w:cs="Arial"/>
                <w:color w:val="000000"/>
                <w:szCs w:val="20"/>
                <w:highlight w:val="black"/>
              </w:rPr>
              <w:t xml:space="preserve"> </w:t>
            </w:r>
          </w:p>
        </w:tc>
      </w:tr>
      <w:tr w:rsidR="00C4030C" w:rsidRPr="00B616BC" w:rsidTr="008D243C">
        <w:tc>
          <w:tcPr>
            <w:tcW w:w="5000" w:type="pct"/>
            <w:gridSpan w:val="7"/>
            <w:shd w:val="clear" w:color="auto" w:fill="auto"/>
          </w:tcPr>
          <w:p w:rsidR="00C4030C" w:rsidRPr="00B616BC" w:rsidRDefault="00C4030C" w:rsidP="00982541">
            <w:pPr>
              <w:pStyle w:val="Tabletext"/>
              <w:keepNext/>
              <w:rPr>
                <w:b/>
                <w:bCs/>
                <w:color w:val="000000"/>
              </w:rPr>
            </w:pPr>
            <w:r w:rsidRPr="00B616BC">
              <w:rPr>
                <w:b/>
                <w:bCs/>
                <w:color w:val="000000"/>
              </w:rPr>
              <w:t xml:space="preserve">Estimated financial implications of </w:t>
            </w:r>
            <w:r w:rsidR="000407AE" w:rsidRPr="00B616BC">
              <w:rPr>
                <w:b/>
                <w:bCs/>
                <w:color w:val="000000"/>
              </w:rPr>
              <w:t>ferric derisomaltose</w:t>
            </w:r>
          </w:p>
        </w:tc>
      </w:tr>
      <w:tr w:rsidR="00C4030C" w:rsidRPr="00B616BC" w:rsidTr="008D243C">
        <w:tc>
          <w:tcPr>
            <w:tcW w:w="1028" w:type="pct"/>
            <w:shd w:val="clear" w:color="auto" w:fill="auto"/>
          </w:tcPr>
          <w:p w:rsidR="00C4030C" w:rsidRPr="00B616BC" w:rsidRDefault="00C4030C" w:rsidP="00982541">
            <w:pPr>
              <w:pStyle w:val="Tabletext"/>
              <w:keepNext/>
              <w:rPr>
                <w:rFonts w:ascii="Times" w:hAnsi="Times"/>
              </w:rPr>
            </w:pPr>
            <w:r w:rsidRPr="00B616BC">
              <w:rPr>
                <w:sz w:val="19"/>
                <w:szCs w:val="19"/>
              </w:rPr>
              <w:t>Cost to PBS/RPBS</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r>
      <w:tr w:rsidR="00C4030C" w:rsidRPr="00B616BC" w:rsidTr="008D243C">
        <w:tc>
          <w:tcPr>
            <w:tcW w:w="1028" w:type="pct"/>
            <w:shd w:val="clear" w:color="auto" w:fill="auto"/>
          </w:tcPr>
          <w:p w:rsidR="00C4030C" w:rsidRPr="00B616BC" w:rsidRDefault="00C4030C" w:rsidP="00982541">
            <w:pPr>
              <w:pStyle w:val="Tabletext"/>
              <w:keepNext/>
              <w:rPr>
                <w:sz w:val="19"/>
                <w:szCs w:val="19"/>
              </w:rPr>
            </w:pPr>
            <w:r w:rsidRPr="00B616BC">
              <w:rPr>
                <w:sz w:val="19"/>
                <w:szCs w:val="19"/>
              </w:rPr>
              <w:t>Co-payments</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r>
      <w:tr w:rsidR="00C4030C" w:rsidRPr="00B616BC" w:rsidTr="008D243C">
        <w:tc>
          <w:tcPr>
            <w:tcW w:w="1028" w:type="pct"/>
            <w:shd w:val="clear" w:color="auto" w:fill="auto"/>
          </w:tcPr>
          <w:p w:rsidR="00C4030C" w:rsidRPr="00B616BC" w:rsidRDefault="00C4030C" w:rsidP="00982541">
            <w:pPr>
              <w:pStyle w:val="Tabletext"/>
              <w:keepNext/>
              <w:rPr>
                <w:sz w:val="19"/>
                <w:szCs w:val="19"/>
              </w:rPr>
            </w:pPr>
            <w:r w:rsidRPr="00B616BC">
              <w:rPr>
                <w:sz w:val="19"/>
                <w:szCs w:val="19"/>
              </w:rPr>
              <w:t>Cost to PBS/RPBS less co-payments</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r>
      <w:tr w:rsidR="00C4030C" w:rsidRPr="00B616BC" w:rsidTr="008D243C">
        <w:tc>
          <w:tcPr>
            <w:tcW w:w="5000" w:type="pct"/>
            <w:gridSpan w:val="7"/>
            <w:shd w:val="clear" w:color="auto" w:fill="auto"/>
          </w:tcPr>
          <w:p w:rsidR="00C4030C" w:rsidRPr="00B616BC" w:rsidRDefault="00C4030C" w:rsidP="00982541">
            <w:pPr>
              <w:pStyle w:val="Tabletext"/>
              <w:keepNext/>
              <w:rPr>
                <w:bCs/>
                <w:color w:val="000000"/>
              </w:rPr>
            </w:pPr>
            <w:r w:rsidRPr="00B616BC">
              <w:rPr>
                <w:b/>
                <w:bCs/>
                <w:color w:val="000000"/>
              </w:rPr>
              <w:t>Estimated financial implications for ferric carboxymaltose</w:t>
            </w:r>
          </w:p>
        </w:tc>
      </w:tr>
      <w:tr w:rsidR="00C4030C" w:rsidRPr="00B616BC" w:rsidTr="008D243C">
        <w:tc>
          <w:tcPr>
            <w:tcW w:w="1028" w:type="pct"/>
            <w:shd w:val="clear" w:color="auto" w:fill="auto"/>
          </w:tcPr>
          <w:p w:rsidR="00C4030C" w:rsidRPr="00B616BC" w:rsidRDefault="00C4030C" w:rsidP="00982541">
            <w:pPr>
              <w:pStyle w:val="Tabletext"/>
              <w:keepNext/>
              <w:rPr>
                <w:sz w:val="19"/>
                <w:szCs w:val="19"/>
              </w:rPr>
            </w:pPr>
            <w:r w:rsidRPr="00B616BC">
              <w:rPr>
                <w:sz w:val="19"/>
                <w:szCs w:val="19"/>
              </w:rPr>
              <w:t>Cost to PBS/RPBS</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r>
      <w:tr w:rsidR="00C4030C" w:rsidRPr="00B616BC" w:rsidTr="008D243C">
        <w:tc>
          <w:tcPr>
            <w:tcW w:w="1028" w:type="pct"/>
            <w:shd w:val="clear" w:color="auto" w:fill="auto"/>
          </w:tcPr>
          <w:p w:rsidR="00C4030C" w:rsidRPr="00B616BC" w:rsidRDefault="00C4030C" w:rsidP="00982541">
            <w:pPr>
              <w:pStyle w:val="Tabletext"/>
              <w:keepNext/>
              <w:rPr>
                <w:sz w:val="19"/>
                <w:szCs w:val="19"/>
              </w:rPr>
            </w:pPr>
            <w:r w:rsidRPr="00B616BC">
              <w:rPr>
                <w:sz w:val="19"/>
                <w:szCs w:val="19"/>
              </w:rPr>
              <w:t>Co-payments</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c>
          <w:tcPr>
            <w:tcW w:w="662" w:type="pct"/>
          </w:tcPr>
          <w:p w:rsidR="00C4030C" w:rsidRPr="00B616BC" w:rsidRDefault="00C4030C" w:rsidP="00982541">
            <w:pPr>
              <w:pStyle w:val="Tabletext"/>
              <w:keepNext/>
              <w:jc w:val="center"/>
              <w:rPr>
                <w:bCs/>
                <w:color w:val="000000"/>
              </w:rPr>
            </w:pPr>
            <w:r w:rsidRPr="00B616BC">
              <w:t>-$</w:t>
            </w:r>
            <w:r w:rsidR="008961FB">
              <w:rPr>
                <w:noProof/>
                <w:color w:val="000000"/>
                <w:highlight w:val="black"/>
              </w:rPr>
              <w:t>''''''''''''''''''''''''</w:t>
            </w:r>
          </w:p>
        </w:tc>
      </w:tr>
      <w:tr w:rsidR="00C4030C" w:rsidRPr="00B616BC" w:rsidTr="008D243C">
        <w:tc>
          <w:tcPr>
            <w:tcW w:w="1028" w:type="pct"/>
            <w:shd w:val="clear" w:color="auto" w:fill="auto"/>
          </w:tcPr>
          <w:p w:rsidR="00C4030C" w:rsidRPr="00B616BC" w:rsidRDefault="00C4030C" w:rsidP="00982541">
            <w:pPr>
              <w:pStyle w:val="Tabletext"/>
              <w:keepNext/>
              <w:rPr>
                <w:sz w:val="19"/>
                <w:szCs w:val="19"/>
              </w:rPr>
            </w:pPr>
            <w:r w:rsidRPr="00B616BC">
              <w:rPr>
                <w:sz w:val="19"/>
                <w:szCs w:val="19"/>
              </w:rPr>
              <w:t>Cost to PBS/RPBS less co-payments</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shd w:val="clear" w:color="auto" w:fill="auto"/>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c>
          <w:tcPr>
            <w:tcW w:w="662" w:type="pct"/>
          </w:tcPr>
          <w:p w:rsidR="00C4030C" w:rsidRPr="00B616BC" w:rsidRDefault="00C4030C" w:rsidP="00982541">
            <w:pPr>
              <w:pStyle w:val="Tabletext"/>
              <w:keepNext/>
              <w:jc w:val="center"/>
              <w:rPr>
                <w:bCs/>
                <w:color w:val="000000"/>
              </w:rPr>
            </w:pPr>
            <w:r w:rsidRPr="00B616BC">
              <w:rPr>
                <w:rFonts w:cs="Arial"/>
                <w:color w:val="000000"/>
                <w:szCs w:val="20"/>
              </w:rPr>
              <w:t>$</w:t>
            </w:r>
            <w:r w:rsidR="008961FB">
              <w:rPr>
                <w:rFonts w:cs="Arial"/>
                <w:noProof/>
                <w:color w:val="000000"/>
                <w:szCs w:val="20"/>
                <w:highlight w:val="black"/>
              </w:rPr>
              <w:t>''''''''''''''''''''''''''''</w:t>
            </w:r>
          </w:p>
        </w:tc>
      </w:tr>
      <w:tr w:rsidR="00C4030C" w:rsidRPr="00B616BC" w:rsidTr="008D243C">
        <w:trPr>
          <w:trHeight w:val="135"/>
        </w:trPr>
        <w:tc>
          <w:tcPr>
            <w:tcW w:w="5000" w:type="pct"/>
            <w:gridSpan w:val="7"/>
            <w:shd w:val="clear" w:color="auto" w:fill="auto"/>
          </w:tcPr>
          <w:p w:rsidR="00C4030C" w:rsidRPr="00B616BC" w:rsidRDefault="008415C9" w:rsidP="00982541">
            <w:pPr>
              <w:pStyle w:val="Tabletext"/>
              <w:keepNext/>
              <w:rPr>
                <w:b/>
                <w:bCs/>
                <w:color w:val="000000"/>
              </w:rPr>
            </w:pPr>
            <w:r w:rsidRPr="00B616BC">
              <w:rPr>
                <w:b/>
                <w:bCs/>
                <w:color w:val="000000"/>
              </w:rPr>
              <w:t xml:space="preserve"> </w:t>
            </w:r>
            <w:r w:rsidR="00C4030C" w:rsidRPr="00B616BC">
              <w:rPr>
                <w:b/>
                <w:bCs/>
                <w:color w:val="000000"/>
              </w:rPr>
              <w:t>Net financial implications</w:t>
            </w:r>
          </w:p>
        </w:tc>
      </w:tr>
      <w:tr w:rsidR="00C4030C" w:rsidRPr="00B616BC" w:rsidTr="008D243C">
        <w:tc>
          <w:tcPr>
            <w:tcW w:w="1028" w:type="pct"/>
            <w:shd w:val="clear" w:color="auto" w:fill="auto"/>
          </w:tcPr>
          <w:p w:rsidR="00C4030C" w:rsidRPr="00B616BC" w:rsidRDefault="00C4030C" w:rsidP="00982541">
            <w:pPr>
              <w:pStyle w:val="Tabletext"/>
              <w:keepNext/>
              <w:rPr>
                <w:sz w:val="19"/>
                <w:szCs w:val="19"/>
              </w:rPr>
            </w:pPr>
            <w:r w:rsidRPr="00B616BC">
              <w:rPr>
                <w:sz w:val="19"/>
                <w:szCs w:val="19"/>
              </w:rPr>
              <w:t>Net cost to PBS/RPBS</w:t>
            </w:r>
          </w:p>
        </w:tc>
        <w:tc>
          <w:tcPr>
            <w:tcW w:w="662" w:type="pct"/>
            <w:shd w:val="clear" w:color="auto" w:fill="auto"/>
          </w:tcPr>
          <w:p w:rsidR="00C4030C" w:rsidRPr="00B616BC" w:rsidRDefault="00C4030C" w:rsidP="00982541">
            <w:pPr>
              <w:pStyle w:val="Tabletext"/>
              <w:keepNext/>
              <w:jc w:val="center"/>
              <w:rPr>
                <w:bCs/>
                <w:color w:val="000000"/>
              </w:rPr>
            </w:pPr>
            <w:r w:rsidRPr="00B616BC">
              <w:t>$0</w:t>
            </w:r>
          </w:p>
        </w:tc>
        <w:tc>
          <w:tcPr>
            <w:tcW w:w="662" w:type="pct"/>
            <w:shd w:val="clear" w:color="auto" w:fill="auto"/>
          </w:tcPr>
          <w:p w:rsidR="00C4030C" w:rsidRPr="00B616BC" w:rsidRDefault="00C4030C" w:rsidP="00982541">
            <w:pPr>
              <w:pStyle w:val="Tabletext"/>
              <w:keepNext/>
              <w:jc w:val="center"/>
              <w:rPr>
                <w:bCs/>
                <w:color w:val="000000"/>
              </w:rPr>
            </w:pPr>
            <w:r w:rsidRPr="00B616BC">
              <w:t>$0</w:t>
            </w:r>
          </w:p>
        </w:tc>
        <w:tc>
          <w:tcPr>
            <w:tcW w:w="662" w:type="pct"/>
            <w:shd w:val="clear" w:color="auto" w:fill="auto"/>
          </w:tcPr>
          <w:p w:rsidR="00C4030C" w:rsidRPr="00B616BC" w:rsidRDefault="00C4030C" w:rsidP="00982541">
            <w:pPr>
              <w:pStyle w:val="Tabletext"/>
              <w:keepNext/>
              <w:jc w:val="center"/>
              <w:rPr>
                <w:bCs/>
                <w:color w:val="000000"/>
              </w:rPr>
            </w:pPr>
            <w:r w:rsidRPr="00B616BC">
              <w:t>$0</w:t>
            </w:r>
          </w:p>
        </w:tc>
        <w:tc>
          <w:tcPr>
            <w:tcW w:w="662" w:type="pct"/>
            <w:shd w:val="clear" w:color="auto" w:fill="auto"/>
          </w:tcPr>
          <w:p w:rsidR="00C4030C" w:rsidRPr="00B616BC" w:rsidRDefault="00C4030C" w:rsidP="00982541">
            <w:pPr>
              <w:pStyle w:val="Tabletext"/>
              <w:keepNext/>
              <w:jc w:val="center"/>
              <w:rPr>
                <w:bCs/>
                <w:color w:val="000000"/>
              </w:rPr>
            </w:pPr>
            <w:r w:rsidRPr="00B616BC">
              <w:t>$0</w:t>
            </w:r>
          </w:p>
        </w:tc>
        <w:tc>
          <w:tcPr>
            <w:tcW w:w="662" w:type="pct"/>
            <w:shd w:val="clear" w:color="auto" w:fill="auto"/>
          </w:tcPr>
          <w:p w:rsidR="00C4030C" w:rsidRPr="00B616BC" w:rsidRDefault="00C4030C" w:rsidP="00982541">
            <w:pPr>
              <w:pStyle w:val="Tabletext"/>
              <w:keepNext/>
              <w:jc w:val="center"/>
              <w:rPr>
                <w:bCs/>
                <w:color w:val="000000"/>
              </w:rPr>
            </w:pPr>
            <w:r w:rsidRPr="00B616BC">
              <w:t>$0</w:t>
            </w:r>
          </w:p>
        </w:tc>
        <w:tc>
          <w:tcPr>
            <w:tcW w:w="662" w:type="pct"/>
          </w:tcPr>
          <w:p w:rsidR="00C4030C" w:rsidRPr="00B616BC" w:rsidRDefault="00C4030C" w:rsidP="00982541">
            <w:pPr>
              <w:pStyle w:val="Tabletext"/>
              <w:keepNext/>
              <w:jc w:val="center"/>
              <w:rPr>
                <w:bCs/>
                <w:color w:val="000000"/>
              </w:rPr>
            </w:pPr>
            <w:r w:rsidRPr="00B616BC">
              <w:t>$0</w:t>
            </w:r>
          </w:p>
        </w:tc>
      </w:tr>
    </w:tbl>
    <w:p w:rsidR="00C4030C" w:rsidRPr="00B616BC" w:rsidRDefault="00C4030C" w:rsidP="00C4030C">
      <w:pPr>
        <w:pStyle w:val="TableFooter"/>
        <w:keepNext/>
        <w:keepLines/>
        <w:rPr>
          <w:rFonts w:eastAsia="MS Gothic"/>
          <w:lang w:eastAsia="ja-JP"/>
        </w:rPr>
      </w:pPr>
      <w:r w:rsidRPr="00B616BC">
        <w:rPr>
          <w:rFonts w:eastAsia="MS Gothic"/>
          <w:lang w:eastAsia="ja-JP"/>
        </w:rPr>
        <w:t xml:space="preserve">Source: </w:t>
      </w:r>
      <w:r w:rsidR="00C574F7" w:rsidRPr="00B616BC">
        <w:rPr>
          <w:rFonts w:eastAsia="MS Gothic"/>
          <w:lang w:eastAsia="ja-JP"/>
        </w:rPr>
        <w:t xml:space="preserve">Table 4-10, Table 4.11 p81, Table 4-14, Table 4-15 p84, </w:t>
      </w:r>
      <w:r w:rsidRPr="00B616BC">
        <w:rPr>
          <w:rFonts w:eastAsia="MS Gothic"/>
          <w:lang w:eastAsia="ja-JP"/>
        </w:rPr>
        <w:t xml:space="preserve">Table 4-16, p83 of the submission </w:t>
      </w:r>
    </w:p>
    <w:p w:rsidR="00C4030C" w:rsidRPr="00B616BC" w:rsidRDefault="00C4030C" w:rsidP="00C4030C">
      <w:pPr>
        <w:pStyle w:val="TableFooter"/>
        <w:keepNext/>
        <w:keepLines/>
      </w:pPr>
      <w:r w:rsidRPr="00B616BC">
        <w:t xml:space="preserve">FD = ferric derisomaltose; PBS = Pharmaceutical Benefits Scheme; RPBS = Repatriation Pharmaceutical Benefits </w:t>
      </w:r>
    </w:p>
    <w:p w:rsidR="00C4030C" w:rsidRPr="00B616BC" w:rsidRDefault="00C4030C" w:rsidP="00C4030C">
      <w:pPr>
        <w:widowControl/>
      </w:pPr>
    </w:p>
    <w:p w:rsidR="003E2DCE" w:rsidRPr="00B616BC" w:rsidRDefault="00C4030C" w:rsidP="001B5CF6">
      <w:pPr>
        <w:pStyle w:val="ListParagraph"/>
        <w:widowControl/>
        <w:numPr>
          <w:ilvl w:val="1"/>
          <w:numId w:val="1"/>
        </w:numPr>
        <w:spacing w:after="120"/>
      </w:pPr>
      <w:r w:rsidRPr="00B616BC">
        <w:t xml:space="preserve">The submission estimated the overall cost of listing ferric derisomaltose to the PBS/RPBS was likely to be negligible as the market was not expected to </w:t>
      </w:r>
      <w:r w:rsidR="00570CD6" w:rsidRPr="00B616BC">
        <w:t xml:space="preserve">change </w:t>
      </w:r>
      <w:r w:rsidRPr="00B616BC">
        <w:t xml:space="preserve">and a cost-minimisation approach was employed. </w:t>
      </w:r>
      <w:r w:rsidR="00B616BC" w:rsidRPr="00B616BC">
        <w:t>However,</w:t>
      </w:r>
      <w:r w:rsidR="002A5D31" w:rsidRPr="00B616BC">
        <w:t xml:space="preserve"> there was uncertainty in the estimates as</w:t>
      </w:r>
      <w:r w:rsidR="009451B4" w:rsidRPr="00B616BC">
        <w:t xml:space="preserve"> </w:t>
      </w:r>
      <w:r w:rsidR="0030543C" w:rsidRPr="00B616BC">
        <w:t xml:space="preserve">the submission did not </w:t>
      </w:r>
      <w:r w:rsidR="002A5D31" w:rsidRPr="00B616BC">
        <w:t>include changes in the use of iron sucrose and iron polymaltose</w:t>
      </w:r>
      <w:r w:rsidR="007652BA" w:rsidRPr="00B616BC">
        <w:t xml:space="preserve">, which account for approximately 13% </w:t>
      </w:r>
      <w:r w:rsidR="00AC3DF6" w:rsidRPr="00B616BC">
        <w:t>of</w:t>
      </w:r>
      <w:r w:rsidR="007652BA" w:rsidRPr="00B616BC">
        <w:t xml:space="preserve"> </w:t>
      </w:r>
      <w:r w:rsidR="009E1B74" w:rsidRPr="00B616BC">
        <w:t xml:space="preserve">IV </w:t>
      </w:r>
      <w:r w:rsidR="007652BA" w:rsidRPr="00B616BC">
        <w:t>iron</w:t>
      </w:r>
      <w:r w:rsidR="00AC3DF6" w:rsidRPr="00B616BC">
        <w:t xml:space="preserve"> dispensing</w:t>
      </w:r>
      <w:r w:rsidR="007652BA" w:rsidRPr="00B616BC">
        <w:t xml:space="preserve"> </w:t>
      </w:r>
      <w:r w:rsidR="009451B4" w:rsidRPr="00B616BC">
        <w:t>(underestimate).</w:t>
      </w:r>
    </w:p>
    <w:p w:rsidR="00982541" w:rsidRPr="00B616BC" w:rsidRDefault="003E523F" w:rsidP="001B5CF6">
      <w:pPr>
        <w:pStyle w:val="ListParagraph"/>
        <w:widowControl/>
        <w:numPr>
          <w:ilvl w:val="1"/>
          <w:numId w:val="1"/>
        </w:numPr>
        <w:spacing w:after="120"/>
      </w:pPr>
      <w:bookmarkStart w:id="14" w:name="_Toc511461248"/>
      <w:r w:rsidRPr="00B616BC">
        <w:t xml:space="preserve">The PSCR reiterated that ferric </w:t>
      </w:r>
      <w:proofErr w:type="spellStart"/>
      <w:r w:rsidRPr="00B616BC">
        <w:t>derisomaltose</w:t>
      </w:r>
      <w:proofErr w:type="spellEnd"/>
      <w:r w:rsidRPr="00B616BC">
        <w:t xml:space="preserve"> is expected to substitute directly for ferric carboxymaltose</w:t>
      </w:r>
      <w:r w:rsidR="00B616BC">
        <w:t>. A</w:t>
      </w:r>
      <w:r w:rsidR="00B616BC" w:rsidRPr="00B616BC">
        <w:t xml:space="preserve">s </w:t>
      </w:r>
      <w:r w:rsidRPr="00B616BC">
        <w:t>the 2017 DUSC utilisation review confirmed, the low and stable use of iron polymaltose following several years of availability of ferric carboxymaltose and the negligible use of iron sucrose, the listing of ferric derisomaltose is not expected to impact on the use of iron polymaltose or iron sucrose. The ESC agreed with the sponsor that listing ferric derisomaltose on the PBS was unlikely to result in changes to the IV iron market. The ESC considered that the ability to administer ferric derisomaltose at a faster rate and at a higher dose via the IV infusion than ferric carboxymaltose was not likely to expand the IV iron market. The ESC considered</w:t>
      </w:r>
      <w:r w:rsidR="00982541" w:rsidRPr="00B616BC">
        <w:t xml:space="preserve"> that ferric carboxymaltose is usually administered in the general practice setting via an IV injection, rather than an IV infusion, as most general practices lack the resources and equipment required to administer high doses of IV iron via an IV infusion. The ESC considered a similar approach would be expected for ferric derisomaltose.</w:t>
      </w:r>
    </w:p>
    <w:p w:rsidR="0050294A" w:rsidRPr="00B616BC" w:rsidRDefault="0050294A" w:rsidP="001B5CF6">
      <w:pPr>
        <w:pStyle w:val="ListParagraph"/>
        <w:widowControl/>
        <w:numPr>
          <w:ilvl w:val="1"/>
          <w:numId w:val="1"/>
        </w:numPr>
        <w:spacing w:after="120"/>
      </w:pPr>
      <w:r w:rsidRPr="00B616BC">
        <w:t xml:space="preserve">The PBAC agreed with the sponsor and the ESC that the listing of </w:t>
      </w:r>
      <w:r w:rsidR="001134D3" w:rsidRPr="00B616BC">
        <w:t>ferric derisomaltose was not likely</w:t>
      </w:r>
      <w:r w:rsidRPr="00B616BC">
        <w:t xml:space="preserve"> to expand the IV iron market</w:t>
      </w:r>
      <w:r w:rsidR="00E16A8C" w:rsidRPr="00B616BC">
        <w:t xml:space="preserve"> in terms of patient numbers</w:t>
      </w:r>
      <w:r w:rsidR="006B0E8A">
        <w:t xml:space="preserve"> beyond that estimated in the submission</w:t>
      </w:r>
      <w:r w:rsidRPr="00B616BC">
        <w:t>. However, the PBAC noted that the maximum dose per IV infusion for ferric derisomaltose (1500 mg) is higher than that of ferric carboxymaltose (1000 mg) and considered that listing may result in a rise in the most common</w:t>
      </w:r>
      <w:r w:rsidR="00E16A8C" w:rsidRPr="00B616BC">
        <w:t xml:space="preserve">ly prescribed dose from the 1000 mg reported in the 2017 </w:t>
      </w:r>
      <w:r w:rsidR="00E16A8C" w:rsidRPr="00B616BC">
        <w:lastRenderedPageBreak/>
        <w:t xml:space="preserve">DUSC utilisation review. The PBAC considered that this may lead to higher than expected use of ferric derisomaltose </w:t>
      </w:r>
      <w:r w:rsidR="00E7409C" w:rsidRPr="00B616BC">
        <w:t>and recommended that DUSC undertake a</w:t>
      </w:r>
      <w:r w:rsidR="00011D12" w:rsidRPr="00B616BC">
        <w:t xml:space="preserve"> </w:t>
      </w:r>
      <w:r w:rsidR="00E7409C" w:rsidRPr="00B616BC">
        <w:t xml:space="preserve">review </w:t>
      </w:r>
      <w:r w:rsidR="00011D12" w:rsidRPr="00B616BC">
        <w:t>of utilisation after</w:t>
      </w:r>
      <w:r w:rsidR="00A24853">
        <w:t xml:space="preserve"> an appropriate </w:t>
      </w:r>
      <w:r w:rsidR="00E7409C" w:rsidRPr="00B616BC">
        <w:t>period post listing.</w:t>
      </w:r>
      <w:r w:rsidRPr="00B616BC">
        <w:t xml:space="preserve"> </w:t>
      </w:r>
    </w:p>
    <w:p w:rsidR="00982541" w:rsidRPr="00BE41F8" w:rsidRDefault="00982541" w:rsidP="00BE41F8">
      <w:pPr>
        <w:pStyle w:val="Heading2"/>
        <w:spacing w:before="240" w:after="120"/>
        <w:rPr>
          <w:i w:val="0"/>
        </w:rPr>
      </w:pPr>
      <w:r w:rsidRPr="00B616BC">
        <w:rPr>
          <w:i w:val="0"/>
        </w:rPr>
        <w:t>Quality Use of Medicines</w:t>
      </w:r>
    </w:p>
    <w:p w:rsidR="00982541" w:rsidRPr="00B616BC" w:rsidRDefault="00982541" w:rsidP="001B5CF6">
      <w:pPr>
        <w:pStyle w:val="ListParagraph"/>
        <w:widowControl/>
        <w:numPr>
          <w:ilvl w:val="1"/>
          <w:numId w:val="1"/>
        </w:numPr>
        <w:spacing w:after="120"/>
      </w:pPr>
      <w:r w:rsidRPr="00B616BC">
        <w:t xml:space="preserve">The submission did not present any proposals for Quality of Use of Medicine information. </w:t>
      </w:r>
    </w:p>
    <w:p w:rsidR="004C1743" w:rsidRPr="00BE41F8" w:rsidRDefault="004C1743" w:rsidP="00BE41F8">
      <w:pPr>
        <w:pStyle w:val="Heading2"/>
        <w:spacing w:before="240" w:after="120"/>
        <w:rPr>
          <w:i w:val="0"/>
        </w:rPr>
      </w:pPr>
      <w:bookmarkStart w:id="15" w:name="_Toc511461249"/>
      <w:r w:rsidRPr="00B616BC">
        <w:rPr>
          <w:i w:val="0"/>
        </w:rPr>
        <w:t>Financial Management – Risk Sharing Arrangements</w:t>
      </w:r>
      <w:bookmarkEnd w:id="15"/>
    </w:p>
    <w:p w:rsidR="004C1743" w:rsidRPr="00B616BC" w:rsidRDefault="004C1743" w:rsidP="001B5CF6">
      <w:pPr>
        <w:pStyle w:val="ListParagraph"/>
        <w:widowControl/>
        <w:numPr>
          <w:ilvl w:val="1"/>
          <w:numId w:val="1"/>
        </w:numPr>
        <w:spacing w:after="120"/>
      </w:pPr>
      <w:r w:rsidRPr="00B616BC">
        <w:t>The submission acknowledged that the main comparator, ferric carboxymaltose, is subject to a</w:t>
      </w:r>
      <w:r w:rsidR="00386B19">
        <w:t>n</w:t>
      </w:r>
      <w:r w:rsidRPr="00B616BC">
        <w:t xml:space="preserve"> SPA and was willing to adopt an equivalent SPA to ensure the cost-minimisation framework was maintained. </w:t>
      </w:r>
    </w:p>
    <w:p w:rsidR="00AA6B81" w:rsidRPr="00B616BC" w:rsidRDefault="00AA6B81" w:rsidP="001B5CF6">
      <w:pPr>
        <w:pStyle w:val="ListParagraph"/>
        <w:widowControl/>
        <w:numPr>
          <w:ilvl w:val="1"/>
          <w:numId w:val="1"/>
        </w:numPr>
        <w:spacing w:after="120"/>
      </w:pPr>
      <w:r w:rsidRPr="00B616BC">
        <w:t xml:space="preserve">The submission and the PSCR also acknowledged that a risk sharing arrangement (RSA) in the form of subsidisation caps is in place for ferric carboxymaltose. The </w:t>
      </w:r>
      <w:r w:rsidR="00011D12" w:rsidRPr="00B616BC">
        <w:t>PBAC</w:t>
      </w:r>
      <w:r w:rsidRPr="00B616BC">
        <w:t xml:space="preserve"> considered it appropriate for ferric derisomaltose to be included in the same RSA.</w:t>
      </w:r>
    </w:p>
    <w:p w:rsidR="002C5099" w:rsidRPr="001B5CF6" w:rsidRDefault="00F22E9C" w:rsidP="001B5CF6">
      <w:pPr>
        <w:widowControl/>
      </w:pPr>
      <w:r w:rsidRPr="00B616BC">
        <w:rPr>
          <w:i/>
        </w:rPr>
        <w:t>For more detail on PBAC’s view, see section 7 PBAC outcome.</w:t>
      </w:r>
      <w:bookmarkEnd w:id="14"/>
    </w:p>
    <w:p w:rsidR="00CC17DB" w:rsidRPr="00C72427" w:rsidRDefault="00CC17DB" w:rsidP="001B5CF6">
      <w:pPr>
        <w:pStyle w:val="Heading1"/>
        <w:spacing w:before="240" w:after="120"/>
      </w:pPr>
      <w:r w:rsidRPr="00C72427">
        <w:t>PBAC Outcome</w:t>
      </w:r>
    </w:p>
    <w:p w:rsidR="00024B6C" w:rsidRPr="00B616BC" w:rsidRDefault="000B5DF3" w:rsidP="001B5CF6">
      <w:pPr>
        <w:numPr>
          <w:ilvl w:val="1"/>
          <w:numId w:val="1"/>
        </w:numPr>
        <w:spacing w:after="120"/>
        <w:rPr>
          <w:rFonts w:asciiTheme="minorHAnsi" w:hAnsiTheme="minorHAnsi"/>
          <w:bCs/>
        </w:rPr>
      </w:pPr>
      <w:r w:rsidRPr="00B616BC">
        <w:rPr>
          <w:rFonts w:asciiTheme="minorHAnsi" w:hAnsiTheme="minorHAnsi"/>
          <w:bCs/>
        </w:rPr>
        <w:t>The PBAC recommended that ferric derisomaltose be listed on the PBS as a Section 85 General Schedule, Unrestricted listing for the treatment of iron deficiency anaemia when treatment with oral iron is ineffective or not tolerated.</w:t>
      </w:r>
      <w:r w:rsidR="000F4886" w:rsidRPr="00B616BC">
        <w:rPr>
          <w:rFonts w:asciiTheme="minorHAnsi" w:hAnsiTheme="minorHAnsi"/>
          <w:bCs/>
        </w:rPr>
        <w:t xml:space="preserve"> </w:t>
      </w:r>
      <w:r w:rsidR="00FE1EA4" w:rsidRPr="00B616BC">
        <w:rPr>
          <w:rFonts w:asciiTheme="minorHAnsi" w:hAnsiTheme="minorHAnsi"/>
          <w:bCs/>
        </w:rPr>
        <w:t>The PBAC recommended th</w:t>
      </w:r>
      <w:r w:rsidR="000F4886" w:rsidRPr="00B616BC">
        <w:rPr>
          <w:rFonts w:asciiTheme="minorHAnsi" w:hAnsiTheme="minorHAnsi"/>
          <w:bCs/>
        </w:rPr>
        <w:t xml:space="preserve">e listing on a </w:t>
      </w:r>
      <w:r w:rsidR="00FE1EA4" w:rsidRPr="00B616BC">
        <w:rPr>
          <w:rFonts w:asciiTheme="minorHAnsi" w:hAnsiTheme="minorHAnsi"/>
          <w:bCs/>
        </w:rPr>
        <w:t xml:space="preserve">cost-minimisation </w:t>
      </w:r>
      <w:r w:rsidR="000F4886" w:rsidRPr="00B616BC">
        <w:rPr>
          <w:rFonts w:asciiTheme="minorHAnsi" w:hAnsiTheme="minorHAnsi"/>
          <w:bCs/>
        </w:rPr>
        <w:t xml:space="preserve">basis with </w:t>
      </w:r>
      <w:r w:rsidR="00FE1EA4" w:rsidRPr="00B616BC">
        <w:rPr>
          <w:rFonts w:asciiTheme="minorHAnsi" w:hAnsiTheme="minorHAnsi"/>
          <w:bCs/>
        </w:rPr>
        <w:t>ferric carboxymaltose.</w:t>
      </w:r>
      <w:r w:rsidR="00024B6C" w:rsidRPr="00B616BC">
        <w:rPr>
          <w:rFonts w:asciiTheme="minorHAnsi" w:hAnsiTheme="minorHAnsi"/>
          <w:bCs/>
        </w:rPr>
        <w:t xml:space="preserve"> </w:t>
      </w:r>
    </w:p>
    <w:p w:rsidR="000E6B79" w:rsidRPr="00B616BC" w:rsidRDefault="00D36CCF" w:rsidP="001B5CF6">
      <w:pPr>
        <w:numPr>
          <w:ilvl w:val="1"/>
          <w:numId w:val="1"/>
        </w:numPr>
        <w:spacing w:after="120"/>
        <w:rPr>
          <w:rFonts w:asciiTheme="minorHAnsi" w:hAnsiTheme="minorHAnsi"/>
          <w:bCs/>
        </w:rPr>
      </w:pPr>
      <w:r w:rsidRPr="00B616BC">
        <w:rPr>
          <w:rFonts w:asciiTheme="minorHAnsi" w:hAnsiTheme="minorHAnsi"/>
          <w:bCs/>
        </w:rPr>
        <w:t>The PBAC considered that the submission</w:t>
      </w:r>
      <w:r w:rsidR="000E6B79" w:rsidRPr="00B616BC">
        <w:rPr>
          <w:rFonts w:asciiTheme="minorHAnsi" w:hAnsiTheme="minorHAnsi"/>
          <w:bCs/>
        </w:rPr>
        <w:t>’s</w:t>
      </w:r>
      <w:r w:rsidRPr="00B616BC">
        <w:rPr>
          <w:rFonts w:asciiTheme="minorHAnsi" w:hAnsiTheme="minorHAnsi"/>
          <w:bCs/>
        </w:rPr>
        <w:t xml:space="preserve"> proposed clinical place for ferric derisomaltose</w:t>
      </w:r>
      <w:r w:rsidR="000E6B79" w:rsidRPr="00B616BC">
        <w:rPr>
          <w:rFonts w:asciiTheme="minorHAnsi" w:hAnsiTheme="minorHAnsi"/>
          <w:bCs/>
        </w:rPr>
        <w:t>,</w:t>
      </w:r>
      <w:r w:rsidRPr="00B616BC">
        <w:rPr>
          <w:rFonts w:asciiTheme="minorHAnsi" w:hAnsiTheme="minorHAnsi"/>
          <w:bCs/>
        </w:rPr>
        <w:t xml:space="preserve"> as an alternative IV iron formulation </w:t>
      </w:r>
      <w:r w:rsidR="000E6B79" w:rsidRPr="00B616BC">
        <w:rPr>
          <w:rFonts w:asciiTheme="minorHAnsi" w:hAnsiTheme="minorHAnsi"/>
          <w:bCs/>
        </w:rPr>
        <w:t>for the treatment of iron deficiency anaemia when treatment with oral iron is ineffective or not tolerated,</w:t>
      </w:r>
      <w:r w:rsidR="0075231C">
        <w:rPr>
          <w:rFonts w:asciiTheme="minorHAnsi" w:hAnsiTheme="minorHAnsi"/>
          <w:bCs/>
        </w:rPr>
        <w:t xml:space="preserve"> </w:t>
      </w:r>
      <w:r w:rsidR="000E6B79" w:rsidRPr="00B616BC">
        <w:rPr>
          <w:rFonts w:asciiTheme="minorHAnsi" w:hAnsiTheme="minorHAnsi"/>
          <w:bCs/>
        </w:rPr>
        <w:t xml:space="preserve">was appropriate. </w:t>
      </w:r>
    </w:p>
    <w:p w:rsidR="000F4886" w:rsidRPr="00B616BC" w:rsidRDefault="000E6B79" w:rsidP="001B5CF6">
      <w:pPr>
        <w:numPr>
          <w:ilvl w:val="1"/>
          <w:numId w:val="1"/>
        </w:numPr>
        <w:spacing w:after="120"/>
        <w:rPr>
          <w:rFonts w:asciiTheme="minorHAnsi" w:hAnsiTheme="minorHAnsi"/>
          <w:bCs/>
        </w:rPr>
      </w:pPr>
      <w:r w:rsidRPr="00B616BC">
        <w:rPr>
          <w:rFonts w:asciiTheme="minorHAnsi" w:hAnsiTheme="minorHAnsi"/>
          <w:bCs/>
        </w:rPr>
        <w:t>The PBAC noted that three IV iron formulations are currently list</w:t>
      </w:r>
      <w:r w:rsidR="00A706D6" w:rsidRPr="00B616BC">
        <w:rPr>
          <w:rFonts w:asciiTheme="minorHAnsi" w:hAnsiTheme="minorHAnsi"/>
          <w:bCs/>
        </w:rPr>
        <w:t>ed on the PBS</w:t>
      </w:r>
      <w:r w:rsidR="007B66BB" w:rsidRPr="00B616BC">
        <w:rPr>
          <w:rFonts w:asciiTheme="minorHAnsi" w:hAnsiTheme="minorHAnsi"/>
          <w:bCs/>
        </w:rPr>
        <w:t>:</w:t>
      </w:r>
      <w:r w:rsidR="00A706D6" w:rsidRPr="00B616BC">
        <w:rPr>
          <w:rFonts w:asciiTheme="minorHAnsi" w:hAnsiTheme="minorHAnsi"/>
          <w:bCs/>
        </w:rPr>
        <w:t xml:space="preserve"> iron polymaltose,</w:t>
      </w:r>
      <w:r w:rsidRPr="00B616BC">
        <w:rPr>
          <w:rFonts w:asciiTheme="minorHAnsi" w:hAnsiTheme="minorHAnsi"/>
          <w:bCs/>
        </w:rPr>
        <w:t xml:space="preserve"> iron sucrose</w:t>
      </w:r>
      <w:r w:rsidR="00A706D6" w:rsidRPr="00B616BC">
        <w:rPr>
          <w:rFonts w:asciiTheme="minorHAnsi" w:hAnsiTheme="minorHAnsi"/>
          <w:bCs/>
        </w:rPr>
        <w:t xml:space="preserve"> </w:t>
      </w:r>
      <w:r w:rsidRPr="00B616BC">
        <w:rPr>
          <w:rFonts w:asciiTheme="minorHAnsi" w:hAnsiTheme="minorHAnsi"/>
          <w:bCs/>
        </w:rPr>
        <w:t xml:space="preserve">and ferric carboxymaltose. The PBAC considered that iron polymaltose </w:t>
      </w:r>
      <w:r w:rsidR="00396BF7" w:rsidRPr="00B616BC">
        <w:rPr>
          <w:rFonts w:asciiTheme="minorHAnsi" w:hAnsiTheme="minorHAnsi"/>
          <w:bCs/>
        </w:rPr>
        <w:t xml:space="preserve">was not an appropriate comparator due to differences in administration requirements </w:t>
      </w:r>
      <w:r w:rsidR="009C406A" w:rsidRPr="00B616BC">
        <w:rPr>
          <w:rFonts w:asciiTheme="minorHAnsi" w:hAnsiTheme="minorHAnsi"/>
          <w:bCs/>
        </w:rPr>
        <w:t>and that</w:t>
      </w:r>
      <w:r w:rsidR="00396BF7" w:rsidRPr="00B616BC">
        <w:rPr>
          <w:rFonts w:asciiTheme="minorHAnsi" w:hAnsiTheme="minorHAnsi"/>
          <w:bCs/>
        </w:rPr>
        <w:t xml:space="preserve"> </w:t>
      </w:r>
      <w:r w:rsidRPr="00B616BC">
        <w:rPr>
          <w:rFonts w:asciiTheme="minorHAnsi" w:hAnsiTheme="minorHAnsi"/>
          <w:bCs/>
        </w:rPr>
        <w:t>iron s</w:t>
      </w:r>
      <w:r w:rsidR="00396BF7" w:rsidRPr="00B616BC">
        <w:rPr>
          <w:rFonts w:asciiTheme="minorHAnsi" w:hAnsiTheme="minorHAnsi"/>
          <w:bCs/>
        </w:rPr>
        <w:t xml:space="preserve">ucrose </w:t>
      </w:r>
      <w:r w:rsidR="009C406A" w:rsidRPr="00B616BC">
        <w:rPr>
          <w:rFonts w:asciiTheme="minorHAnsi" w:hAnsiTheme="minorHAnsi"/>
          <w:bCs/>
        </w:rPr>
        <w:t xml:space="preserve">was </w:t>
      </w:r>
      <w:r w:rsidR="00396BF7" w:rsidRPr="00B616BC">
        <w:rPr>
          <w:rFonts w:asciiTheme="minorHAnsi" w:hAnsiTheme="minorHAnsi"/>
          <w:bCs/>
        </w:rPr>
        <w:t>also</w:t>
      </w:r>
      <w:r w:rsidRPr="00B616BC">
        <w:rPr>
          <w:rFonts w:asciiTheme="minorHAnsi" w:hAnsiTheme="minorHAnsi"/>
          <w:bCs/>
        </w:rPr>
        <w:t xml:space="preserve"> not </w:t>
      </w:r>
      <w:r w:rsidR="00396BF7" w:rsidRPr="00B616BC">
        <w:rPr>
          <w:rFonts w:asciiTheme="minorHAnsi" w:hAnsiTheme="minorHAnsi"/>
          <w:bCs/>
        </w:rPr>
        <w:t>appropriate</w:t>
      </w:r>
      <w:r w:rsidRPr="00B616BC">
        <w:rPr>
          <w:rFonts w:asciiTheme="minorHAnsi" w:hAnsiTheme="minorHAnsi"/>
          <w:bCs/>
        </w:rPr>
        <w:t xml:space="preserve"> due to </w:t>
      </w:r>
      <w:r w:rsidR="00D36CCF" w:rsidRPr="00B616BC">
        <w:t>differences in adminis</w:t>
      </w:r>
      <w:r w:rsidRPr="00B616BC">
        <w:t xml:space="preserve">tration requirements, dosing </w:t>
      </w:r>
      <w:r w:rsidR="00396BF7" w:rsidRPr="00B616BC">
        <w:t>and</w:t>
      </w:r>
      <w:r w:rsidR="00D36CCF" w:rsidRPr="00B616BC">
        <w:t xml:space="preserve"> TGA indication. </w:t>
      </w:r>
      <w:r w:rsidR="00F2441A" w:rsidRPr="00B616BC">
        <w:t>The PBAC accepted</w:t>
      </w:r>
      <w:r w:rsidR="00A706D6" w:rsidRPr="00B616BC">
        <w:t xml:space="preserve"> ferric </w:t>
      </w:r>
      <w:r w:rsidR="00B616BC" w:rsidRPr="00B616BC">
        <w:t>carboxymaltose</w:t>
      </w:r>
      <w:r w:rsidR="00F2441A" w:rsidRPr="00B616BC">
        <w:t xml:space="preserve"> as </w:t>
      </w:r>
      <w:r w:rsidR="00A706D6" w:rsidRPr="00B616BC">
        <w:t>an appropriate comparator as</w:t>
      </w:r>
      <w:r w:rsidR="00D36CCF" w:rsidRPr="00B616BC">
        <w:t xml:space="preserve"> similarities in administration, dosing and TGA indications</w:t>
      </w:r>
      <w:r w:rsidR="00A706D6" w:rsidRPr="00B616BC">
        <w:t xml:space="preserve"> meant that it was the IV iron formulation most likely to be replaced by ferric derisomaltose in practice</w:t>
      </w:r>
      <w:r w:rsidR="00D36CCF" w:rsidRPr="00B616BC">
        <w:t>.</w:t>
      </w:r>
    </w:p>
    <w:p w:rsidR="000075B4" w:rsidRPr="00B616BC" w:rsidRDefault="001A55DE" w:rsidP="001B5CF6">
      <w:pPr>
        <w:pStyle w:val="ListParagraph"/>
        <w:widowControl/>
        <w:numPr>
          <w:ilvl w:val="1"/>
          <w:numId w:val="1"/>
        </w:numPr>
        <w:spacing w:after="120"/>
      </w:pPr>
      <w:r w:rsidRPr="00B616BC">
        <w:rPr>
          <w:rFonts w:asciiTheme="minorHAnsi" w:hAnsiTheme="minorHAnsi"/>
          <w:bCs/>
        </w:rPr>
        <w:t xml:space="preserve">The PBAC </w:t>
      </w:r>
      <w:r w:rsidR="00552C81" w:rsidRPr="00B616BC">
        <w:rPr>
          <w:rFonts w:asciiTheme="minorHAnsi" w:hAnsiTheme="minorHAnsi"/>
          <w:bCs/>
        </w:rPr>
        <w:t xml:space="preserve">considered that, </w:t>
      </w:r>
      <w:r w:rsidRPr="00B616BC">
        <w:rPr>
          <w:rFonts w:asciiTheme="minorHAnsi" w:hAnsiTheme="minorHAnsi"/>
          <w:bCs/>
        </w:rPr>
        <w:t>although the indirect comparisons presented in the submission meet the non-inferiority margins previously accepted by the PBAC</w:t>
      </w:r>
      <w:r w:rsidR="001F0C07" w:rsidRPr="00B616BC">
        <w:rPr>
          <w:rFonts w:asciiTheme="minorHAnsi" w:hAnsiTheme="minorHAnsi"/>
          <w:bCs/>
        </w:rPr>
        <w:t xml:space="preserve"> in its consideration of ferric carboxymaltose</w:t>
      </w:r>
      <w:r w:rsidRPr="00B616BC">
        <w:rPr>
          <w:rFonts w:asciiTheme="minorHAnsi" w:hAnsiTheme="minorHAnsi"/>
          <w:bCs/>
        </w:rPr>
        <w:t>,</w:t>
      </w:r>
      <w:r w:rsidR="00B5234C" w:rsidRPr="00B616BC">
        <w:rPr>
          <w:rFonts w:asciiTheme="minorHAnsi" w:hAnsiTheme="minorHAnsi"/>
          <w:bCs/>
        </w:rPr>
        <w:t xml:space="preserve"> the</w:t>
      </w:r>
      <w:r w:rsidR="001F0C07" w:rsidRPr="00B616BC">
        <w:rPr>
          <w:rFonts w:asciiTheme="minorHAnsi" w:hAnsiTheme="minorHAnsi"/>
          <w:bCs/>
        </w:rPr>
        <w:t>re were significant</w:t>
      </w:r>
      <w:r w:rsidR="00B5234C" w:rsidRPr="00B616BC">
        <w:rPr>
          <w:rFonts w:asciiTheme="minorHAnsi" w:hAnsiTheme="minorHAnsi"/>
          <w:bCs/>
        </w:rPr>
        <w:t xml:space="preserve"> </w:t>
      </w:r>
      <w:r w:rsidR="001F0C07" w:rsidRPr="00B616BC">
        <w:rPr>
          <w:rFonts w:asciiTheme="minorHAnsi" w:hAnsiTheme="minorHAnsi"/>
          <w:bCs/>
        </w:rPr>
        <w:t xml:space="preserve">heterogeneity and transitivity issues associated with the trials </w:t>
      </w:r>
      <w:r w:rsidR="00552C81" w:rsidRPr="00B616BC">
        <w:rPr>
          <w:rFonts w:asciiTheme="minorHAnsi" w:hAnsiTheme="minorHAnsi"/>
          <w:bCs/>
        </w:rPr>
        <w:t>that made it difficult to draw accurate conclusions regarding the claim of non-inferior efficacy and safety</w:t>
      </w:r>
      <w:r w:rsidR="001F0C07" w:rsidRPr="00B616BC">
        <w:rPr>
          <w:rFonts w:asciiTheme="minorHAnsi" w:hAnsiTheme="minorHAnsi"/>
          <w:bCs/>
        </w:rPr>
        <w:t>.</w:t>
      </w:r>
      <w:r w:rsidR="00552C81" w:rsidRPr="00B616BC">
        <w:rPr>
          <w:rFonts w:asciiTheme="minorHAnsi" w:hAnsiTheme="minorHAnsi"/>
          <w:bCs/>
        </w:rPr>
        <w:t xml:space="preserve"> </w:t>
      </w:r>
      <w:r w:rsidR="00552C81" w:rsidRPr="00B616BC">
        <w:t xml:space="preserve">However, the </w:t>
      </w:r>
      <w:r w:rsidR="00552C81" w:rsidRPr="00B616BC">
        <w:lastRenderedPageBreak/>
        <w:t>PBAC considered that the results of the direct comparison between ferric derisomaltose v</w:t>
      </w:r>
      <w:r w:rsidR="007B66BB" w:rsidRPr="00B616BC">
        <w:t>er</w:t>
      </w:r>
      <w:r w:rsidR="00552C81" w:rsidRPr="00B616BC">
        <w:t>s</w:t>
      </w:r>
      <w:r w:rsidR="007B66BB" w:rsidRPr="00B616BC">
        <w:t>us</w:t>
      </w:r>
      <w:r w:rsidR="00552C81" w:rsidRPr="00B616BC">
        <w:t xml:space="preserve"> iron sucrose further supported the premise that in equivalent doses, IV iron compounds are likely to lead to comparable efficacy. The PBAC considered that on balance, the claim of non-inferior comparative effectiveness and safety was reasonable.</w:t>
      </w:r>
      <w:r w:rsidR="0075231C">
        <w:t xml:space="preserve"> </w:t>
      </w:r>
    </w:p>
    <w:p w:rsidR="006A7C94" w:rsidRPr="00B616BC" w:rsidRDefault="001A55DE" w:rsidP="001B5CF6">
      <w:pPr>
        <w:numPr>
          <w:ilvl w:val="1"/>
          <w:numId w:val="1"/>
        </w:numPr>
        <w:spacing w:after="120"/>
        <w:rPr>
          <w:rFonts w:asciiTheme="minorHAnsi" w:hAnsiTheme="minorHAnsi"/>
          <w:bCs/>
        </w:rPr>
      </w:pPr>
      <w:r w:rsidRPr="00B616BC">
        <w:rPr>
          <w:rFonts w:asciiTheme="minorHAnsi" w:hAnsiTheme="minorHAnsi"/>
          <w:bCs/>
        </w:rPr>
        <w:t xml:space="preserve">The PBAC </w:t>
      </w:r>
      <w:r w:rsidR="00552C81" w:rsidRPr="00B616BC">
        <w:rPr>
          <w:rFonts w:asciiTheme="minorHAnsi" w:hAnsiTheme="minorHAnsi"/>
          <w:bCs/>
        </w:rPr>
        <w:t xml:space="preserve">accepted </w:t>
      </w:r>
      <w:r w:rsidR="006A7C94" w:rsidRPr="00B616BC">
        <w:rPr>
          <w:rFonts w:asciiTheme="minorHAnsi" w:hAnsiTheme="minorHAnsi"/>
          <w:bCs/>
        </w:rPr>
        <w:t xml:space="preserve">the </w:t>
      </w:r>
      <w:r w:rsidR="000A2294" w:rsidRPr="00B616BC">
        <w:rPr>
          <w:rFonts w:asciiTheme="minorHAnsi" w:hAnsiTheme="minorHAnsi"/>
          <w:bCs/>
        </w:rPr>
        <w:t>cost-minimisation</w:t>
      </w:r>
      <w:r w:rsidR="006A7C94" w:rsidRPr="00B616BC">
        <w:rPr>
          <w:rFonts w:asciiTheme="minorHAnsi" w:hAnsiTheme="minorHAnsi"/>
          <w:bCs/>
        </w:rPr>
        <w:t xml:space="preserve"> analysis presented </w:t>
      </w:r>
      <w:r w:rsidR="00552C81" w:rsidRPr="00B616BC">
        <w:rPr>
          <w:rFonts w:asciiTheme="minorHAnsi" w:hAnsiTheme="minorHAnsi"/>
          <w:bCs/>
        </w:rPr>
        <w:t>in</w:t>
      </w:r>
      <w:r w:rsidR="000A2294" w:rsidRPr="00B616BC">
        <w:rPr>
          <w:rFonts w:asciiTheme="minorHAnsi" w:hAnsiTheme="minorHAnsi"/>
          <w:bCs/>
        </w:rPr>
        <w:t xml:space="preserve"> the submission and </w:t>
      </w:r>
      <w:r w:rsidR="00552C81" w:rsidRPr="00B616BC">
        <w:rPr>
          <w:rFonts w:asciiTheme="minorHAnsi" w:hAnsiTheme="minorHAnsi"/>
          <w:bCs/>
        </w:rPr>
        <w:t xml:space="preserve">noted </w:t>
      </w:r>
      <w:r w:rsidR="000A2294" w:rsidRPr="00B616BC">
        <w:rPr>
          <w:rFonts w:asciiTheme="minorHAnsi" w:hAnsiTheme="minorHAnsi"/>
          <w:bCs/>
        </w:rPr>
        <w:t>that the equi-effective doses were 1 mg ferric derisomaltose: 1 mg ferric carboxymaltose.</w:t>
      </w:r>
    </w:p>
    <w:p w:rsidR="006F70F5" w:rsidRPr="00B616BC" w:rsidRDefault="001E580B" w:rsidP="001B5CF6">
      <w:pPr>
        <w:numPr>
          <w:ilvl w:val="1"/>
          <w:numId w:val="1"/>
        </w:numPr>
        <w:spacing w:after="120"/>
        <w:rPr>
          <w:rFonts w:asciiTheme="minorHAnsi" w:hAnsiTheme="minorHAnsi"/>
          <w:bCs/>
        </w:rPr>
      </w:pPr>
      <w:r w:rsidRPr="00B616BC">
        <w:t xml:space="preserve">The PBAC agreed with the sponsor and the ESC that the listing of </w:t>
      </w:r>
      <w:r w:rsidR="007B66BB" w:rsidRPr="00B616BC">
        <w:t>ferric derisomaltose was not likely</w:t>
      </w:r>
      <w:r w:rsidRPr="00B616BC">
        <w:t xml:space="preserve"> to expand the IV iron market in terms of patient numbers</w:t>
      </w:r>
      <w:r w:rsidR="006B0E8A">
        <w:t xml:space="preserve"> beyond that estimated in the submission</w:t>
      </w:r>
      <w:r w:rsidRPr="00B616BC">
        <w:t>. However, the PBAC noted that the maximum dose per IV infusion for ferric derisomaltose (1500 mg) is higher than that of ferric carboxymaltose (1000 mg)</w:t>
      </w:r>
      <w:r w:rsidR="007B66BB" w:rsidRPr="00B616BC">
        <w:t xml:space="preserve">. The PBAC </w:t>
      </w:r>
      <w:r w:rsidRPr="00B616BC">
        <w:t xml:space="preserve">considered that listing </w:t>
      </w:r>
      <w:r w:rsidR="00B616BC" w:rsidRPr="00B616BC">
        <w:t>might</w:t>
      </w:r>
      <w:r w:rsidRPr="00B616BC">
        <w:t xml:space="preserve"> result in a rise in the most commonly prescribed dose from the 1000 mg reported in the 2017 DUSC utilisation review, as clinicians are likely to use the simplified dosing regimen. The PBAC considered that this </w:t>
      </w:r>
      <w:r w:rsidR="00B616BC" w:rsidRPr="00B616BC">
        <w:t>might</w:t>
      </w:r>
      <w:r w:rsidRPr="00B616BC">
        <w:t xml:space="preserve"> lead to higher than expected use of ferric derisomaltose and recommended that DUSC undertake a review of utilisation after an appropriate </w:t>
      </w:r>
      <w:r w:rsidR="00B616BC" w:rsidRPr="00B616BC">
        <w:t>period</w:t>
      </w:r>
      <w:r w:rsidRPr="00B616BC">
        <w:t xml:space="preserve"> post listing. </w:t>
      </w:r>
    </w:p>
    <w:p w:rsidR="002D1C3C" w:rsidRPr="00B616BC" w:rsidRDefault="006F70F5" w:rsidP="001B5CF6">
      <w:pPr>
        <w:numPr>
          <w:ilvl w:val="1"/>
          <w:numId w:val="1"/>
        </w:numPr>
        <w:spacing w:after="120"/>
        <w:rPr>
          <w:rFonts w:asciiTheme="minorHAnsi" w:hAnsiTheme="minorHAnsi"/>
          <w:bCs/>
        </w:rPr>
      </w:pPr>
      <w:r w:rsidRPr="00B616BC">
        <w:t>The PBAC noted that a RSA in the form of subsidisation caps is in place for ferric carboxymaltose and recommended that ferric derisomaltose be included in the same RSA.</w:t>
      </w:r>
    </w:p>
    <w:p w:rsidR="00C02840" w:rsidRPr="00B616BC" w:rsidRDefault="00C02840" w:rsidP="001B5CF6">
      <w:pPr>
        <w:numPr>
          <w:ilvl w:val="1"/>
          <w:numId w:val="1"/>
        </w:numPr>
        <w:spacing w:after="120"/>
        <w:rPr>
          <w:rFonts w:asciiTheme="minorHAnsi" w:hAnsiTheme="minorHAnsi"/>
          <w:bCs/>
        </w:rPr>
      </w:pPr>
      <w:r w:rsidRPr="00B616BC">
        <w:rPr>
          <w:rFonts w:asciiTheme="minorHAnsi" w:hAnsiTheme="minorHAnsi"/>
          <w:bCs/>
        </w:rPr>
        <w:t>The PBAC noted that the sponsor was willing to adopt an SPA equivalent to that of the main comparator, ferric carboxymaltose, to ensure the cost-minimisation framework was maintained.</w:t>
      </w:r>
    </w:p>
    <w:p w:rsidR="00C02840" w:rsidRPr="00B616BC" w:rsidRDefault="00CD7801" w:rsidP="001B5CF6">
      <w:pPr>
        <w:numPr>
          <w:ilvl w:val="1"/>
          <w:numId w:val="1"/>
        </w:numPr>
        <w:spacing w:after="120"/>
        <w:rPr>
          <w:rFonts w:asciiTheme="minorHAnsi" w:hAnsiTheme="minorHAnsi"/>
          <w:bCs/>
        </w:rPr>
      </w:pPr>
      <w:r w:rsidRPr="00B616BC">
        <w:rPr>
          <w:rFonts w:asciiTheme="minorHAnsi" w:hAnsiTheme="minorHAnsi"/>
          <w:bCs/>
        </w:rPr>
        <w:t>The PBAC noted that SPAs are given effect through a deed made under Section 85E of the National Health Act 1953</w:t>
      </w:r>
      <w:r w:rsidR="00933977" w:rsidRPr="00B616BC">
        <w:rPr>
          <w:rFonts w:asciiTheme="minorHAnsi" w:hAnsiTheme="minorHAnsi"/>
          <w:bCs/>
        </w:rPr>
        <w:t xml:space="preserve"> between the Minister (</w:t>
      </w:r>
      <w:proofErr w:type="gramStart"/>
      <w:r w:rsidR="00933977" w:rsidRPr="00B616BC">
        <w:rPr>
          <w:rFonts w:asciiTheme="minorHAnsi" w:hAnsiTheme="minorHAnsi"/>
          <w:bCs/>
        </w:rPr>
        <w:t>or</w:t>
      </w:r>
      <w:proofErr w:type="gramEnd"/>
      <w:r w:rsidR="00933977" w:rsidRPr="00B616BC">
        <w:rPr>
          <w:rFonts w:asciiTheme="minorHAnsi" w:hAnsiTheme="minorHAnsi"/>
          <w:bCs/>
        </w:rPr>
        <w:t xml:space="preserve"> his delegate) and the responsible person.</w:t>
      </w:r>
      <w:r w:rsidR="0075231C">
        <w:rPr>
          <w:rFonts w:asciiTheme="minorHAnsi" w:hAnsiTheme="minorHAnsi"/>
          <w:bCs/>
        </w:rPr>
        <w:t xml:space="preserve"> </w:t>
      </w:r>
      <w:r w:rsidR="00933977" w:rsidRPr="00B616BC">
        <w:rPr>
          <w:rFonts w:asciiTheme="minorHAnsi" w:hAnsiTheme="minorHAnsi"/>
          <w:bCs/>
        </w:rPr>
        <w:t xml:space="preserve">The PBAC further noted that the Minister (or his delegate) has requested advice under section 101(3) of the Act as to whether ferric derisomaltose meets criteria 1 and 2 of the SPA criteria when used for the treatment of iron deficiency anaemia when treatment with oral iron is ineffective or not tolerated. </w:t>
      </w:r>
    </w:p>
    <w:p w:rsidR="00024B6C" w:rsidRPr="00B616BC" w:rsidRDefault="00024B6C" w:rsidP="001B5CF6">
      <w:pPr>
        <w:numPr>
          <w:ilvl w:val="1"/>
          <w:numId w:val="1"/>
        </w:numPr>
        <w:spacing w:after="120"/>
        <w:rPr>
          <w:rFonts w:asciiTheme="minorHAnsi" w:hAnsiTheme="minorHAnsi"/>
          <w:bCs/>
        </w:rPr>
      </w:pPr>
      <w:r w:rsidRPr="00B616BC">
        <w:rPr>
          <w:rFonts w:asciiTheme="minorHAnsi" w:hAnsiTheme="minorHAnsi"/>
          <w:bCs/>
        </w:rPr>
        <w:t>The PBAC advised the Minister that</w:t>
      </w:r>
      <w:r w:rsidR="00C02840" w:rsidRPr="00B616BC">
        <w:rPr>
          <w:rFonts w:asciiTheme="minorHAnsi" w:hAnsiTheme="minorHAnsi"/>
          <w:bCs/>
        </w:rPr>
        <w:t>,</w:t>
      </w:r>
      <w:r w:rsidRPr="00B616BC">
        <w:rPr>
          <w:rFonts w:asciiTheme="minorHAnsi" w:hAnsiTheme="minorHAnsi"/>
          <w:bCs/>
        </w:rPr>
        <w:t xml:space="preserve"> in its view</w:t>
      </w:r>
      <w:r w:rsidR="00C02840" w:rsidRPr="00B616BC">
        <w:rPr>
          <w:rFonts w:asciiTheme="minorHAnsi" w:hAnsiTheme="minorHAnsi"/>
          <w:bCs/>
        </w:rPr>
        <w:t>,</w:t>
      </w:r>
      <w:r w:rsidRPr="00B616BC">
        <w:rPr>
          <w:rFonts w:asciiTheme="minorHAnsi" w:hAnsiTheme="minorHAnsi"/>
          <w:bCs/>
        </w:rPr>
        <w:t xml:space="preserve"> ferric derisomaltose meets criterion 1 </w:t>
      </w:r>
      <w:r w:rsidR="009B4513" w:rsidRPr="00B616BC">
        <w:rPr>
          <w:rFonts w:asciiTheme="minorHAnsi" w:hAnsiTheme="minorHAnsi"/>
          <w:bCs/>
        </w:rPr>
        <w:t xml:space="preserve">but not </w:t>
      </w:r>
      <w:r w:rsidR="00682115" w:rsidRPr="00B616BC">
        <w:rPr>
          <w:rFonts w:asciiTheme="minorHAnsi" w:hAnsiTheme="minorHAnsi"/>
          <w:bCs/>
        </w:rPr>
        <w:t xml:space="preserve">the first component of </w:t>
      </w:r>
      <w:r w:rsidR="00F0225D">
        <w:rPr>
          <w:rFonts w:asciiTheme="minorHAnsi" w:hAnsiTheme="minorHAnsi"/>
          <w:bCs/>
        </w:rPr>
        <w:t>criterion 2</w:t>
      </w:r>
      <w:r w:rsidR="009B4513" w:rsidRPr="00B616BC">
        <w:rPr>
          <w:rFonts w:asciiTheme="minorHAnsi" w:hAnsiTheme="minorHAnsi"/>
          <w:bCs/>
        </w:rPr>
        <w:t xml:space="preserve"> </w:t>
      </w:r>
      <w:r w:rsidRPr="00B616BC">
        <w:rPr>
          <w:rFonts w:asciiTheme="minorHAnsi" w:hAnsiTheme="minorHAnsi"/>
          <w:bCs/>
        </w:rPr>
        <w:t>for a</w:t>
      </w:r>
      <w:r w:rsidR="00C02840" w:rsidRPr="00B616BC">
        <w:rPr>
          <w:rFonts w:asciiTheme="minorHAnsi" w:hAnsiTheme="minorHAnsi"/>
          <w:bCs/>
        </w:rPr>
        <w:t>n</w:t>
      </w:r>
      <w:r w:rsidRPr="00B616BC">
        <w:rPr>
          <w:rFonts w:asciiTheme="minorHAnsi" w:hAnsiTheme="minorHAnsi"/>
          <w:bCs/>
        </w:rPr>
        <w:t xml:space="preserve"> SPA.</w:t>
      </w:r>
    </w:p>
    <w:p w:rsidR="009B4513" w:rsidRPr="00B616BC" w:rsidRDefault="00024B6C" w:rsidP="001B5CF6">
      <w:pPr>
        <w:pStyle w:val="ListParagraph"/>
        <w:widowControl/>
        <w:numPr>
          <w:ilvl w:val="0"/>
          <w:numId w:val="19"/>
        </w:numPr>
        <w:spacing w:after="120"/>
        <w:rPr>
          <w:rFonts w:asciiTheme="minorHAnsi" w:hAnsiTheme="minorHAnsi"/>
          <w:bCs/>
        </w:rPr>
      </w:pPr>
      <w:r w:rsidRPr="00B616BC">
        <w:rPr>
          <w:rFonts w:asciiTheme="minorHAnsi" w:hAnsiTheme="minorHAnsi"/>
          <w:bCs/>
        </w:rPr>
        <w:t>Criterion 1: The medicine treats a significant medical condition, and the Pharmaceutical Benefits Advisory Committee (PBAC) advises that it generates substantial incremental benefit for the</w:t>
      </w:r>
      <w:r w:rsidR="00933977" w:rsidRPr="00B616BC">
        <w:rPr>
          <w:rFonts w:asciiTheme="minorHAnsi" w:hAnsiTheme="minorHAnsi"/>
          <w:bCs/>
        </w:rPr>
        <w:t xml:space="preserve"> intended patient population.</w:t>
      </w:r>
    </w:p>
    <w:p w:rsidR="00024B6C" w:rsidRPr="00B616BC" w:rsidRDefault="00024B6C" w:rsidP="001B5CF6">
      <w:pPr>
        <w:widowControl/>
        <w:spacing w:after="120"/>
        <w:ind w:left="1440"/>
        <w:rPr>
          <w:rFonts w:asciiTheme="minorHAnsi" w:hAnsiTheme="minorHAnsi"/>
          <w:bCs/>
        </w:rPr>
      </w:pPr>
      <w:r w:rsidRPr="00B616BC">
        <w:rPr>
          <w:rFonts w:asciiTheme="minorHAnsi" w:hAnsiTheme="minorHAnsi"/>
          <w:bCs/>
        </w:rPr>
        <w:t xml:space="preserve">The PBAC considered that </w:t>
      </w:r>
      <w:r w:rsidR="001A55DE" w:rsidRPr="00B616BC">
        <w:rPr>
          <w:rFonts w:asciiTheme="minorHAnsi" w:hAnsiTheme="minorHAnsi"/>
          <w:bCs/>
        </w:rPr>
        <w:t>Criterion 1</w:t>
      </w:r>
      <w:r w:rsidRPr="00B616BC">
        <w:rPr>
          <w:rFonts w:asciiTheme="minorHAnsi" w:hAnsiTheme="minorHAnsi"/>
          <w:bCs/>
        </w:rPr>
        <w:t xml:space="preserve"> appears to be met when considering ferric derisomaltose in comparison to placebo.</w:t>
      </w:r>
      <w:r w:rsidR="0075231C">
        <w:rPr>
          <w:rFonts w:asciiTheme="minorHAnsi" w:hAnsiTheme="minorHAnsi"/>
          <w:bCs/>
        </w:rPr>
        <w:t xml:space="preserve"> </w:t>
      </w:r>
      <w:r w:rsidRPr="00B616BC">
        <w:rPr>
          <w:rFonts w:asciiTheme="minorHAnsi" w:hAnsiTheme="minorHAnsi"/>
          <w:bCs/>
        </w:rPr>
        <w:t xml:space="preserve">Ferric </w:t>
      </w:r>
      <w:proofErr w:type="spellStart"/>
      <w:r w:rsidRPr="00B616BC">
        <w:rPr>
          <w:rFonts w:asciiTheme="minorHAnsi" w:hAnsiTheme="minorHAnsi"/>
          <w:bCs/>
        </w:rPr>
        <w:t>derisomaltose</w:t>
      </w:r>
      <w:proofErr w:type="spellEnd"/>
      <w:r w:rsidRPr="00B616BC">
        <w:rPr>
          <w:rFonts w:asciiTheme="minorHAnsi" w:hAnsiTheme="minorHAnsi"/>
          <w:bCs/>
        </w:rPr>
        <w:t xml:space="preserve"> is used to treat iron deficiency </w:t>
      </w:r>
      <w:r w:rsidR="00C02840" w:rsidRPr="00B616BC">
        <w:rPr>
          <w:rFonts w:asciiTheme="minorHAnsi" w:hAnsiTheme="minorHAnsi"/>
          <w:bCs/>
        </w:rPr>
        <w:t xml:space="preserve">anaemia when treatment with oral iron is ineffective or not tolerated </w:t>
      </w:r>
      <w:r w:rsidRPr="00B616BC">
        <w:rPr>
          <w:rFonts w:asciiTheme="minorHAnsi" w:hAnsiTheme="minorHAnsi"/>
          <w:bCs/>
        </w:rPr>
        <w:t xml:space="preserve">and generates a benefit for people with </w:t>
      </w:r>
      <w:r w:rsidR="00C02840" w:rsidRPr="00B616BC">
        <w:rPr>
          <w:rFonts w:asciiTheme="minorHAnsi" w:hAnsiTheme="minorHAnsi"/>
          <w:bCs/>
        </w:rPr>
        <w:t>this condition</w:t>
      </w:r>
      <w:r w:rsidRPr="00B616BC">
        <w:rPr>
          <w:rFonts w:asciiTheme="minorHAnsi" w:hAnsiTheme="minorHAnsi"/>
          <w:bCs/>
        </w:rPr>
        <w:t>.</w:t>
      </w:r>
    </w:p>
    <w:p w:rsidR="009B4513" w:rsidRPr="00B616BC" w:rsidRDefault="00024B6C" w:rsidP="001B5CF6">
      <w:pPr>
        <w:pStyle w:val="ListParagraph"/>
        <w:widowControl/>
        <w:numPr>
          <w:ilvl w:val="0"/>
          <w:numId w:val="19"/>
        </w:numPr>
        <w:spacing w:after="120"/>
        <w:rPr>
          <w:rFonts w:asciiTheme="minorHAnsi" w:hAnsiTheme="minorHAnsi"/>
          <w:bCs/>
        </w:rPr>
      </w:pPr>
      <w:r w:rsidRPr="00B616BC">
        <w:rPr>
          <w:rFonts w:asciiTheme="minorHAnsi" w:hAnsiTheme="minorHAnsi"/>
          <w:bCs/>
        </w:rPr>
        <w:lastRenderedPageBreak/>
        <w:t xml:space="preserve">Criterion 2: The PBAC advises that the medicine has unique characteristics compared to any available alternative therapies or the medicine is recommended for listing in comparison with a </w:t>
      </w:r>
      <w:r w:rsidR="00DF1A1E" w:rsidRPr="00B616BC">
        <w:rPr>
          <w:rFonts w:asciiTheme="minorHAnsi" w:hAnsiTheme="minorHAnsi"/>
          <w:bCs/>
        </w:rPr>
        <w:t>medicine that</w:t>
      </w:r>
      <w:r w:rsidRPr="00B616BC">
        <w:rPr>
          <w:rFonts w:asciiTheme="minorHAnsi" w:hAnsiTheme="minorHAnsi"/>
          <w:bCs/>
        </w:rPr>
        <w:t xml:space="preserve"> has a similar arrangement.</w:t>
      </w:r>
    </w:p>
    <w:p w:rsidR="00024B6C" w:rsidRPr="00B616BC" w:rsidRDefault="00024B6C" w:rsidP="001B5CF6">
      <w:pPr>
        <w:widowControl/>
        <w:spacing w:after="120"/>
        <w:ind w:left="1440"/>
        <w:rPr>
          <w:rFonts w:asciiTheme="minorHAnsi" w:hAnsiTheme="minorHAnsi"/>
          <w:bCs/>
        </w:rPr>
      </w:pPr>
      <w:r w:rsidRPr="00B616BC">
        <w:rPr>
          <w:rFonts w:asciiTheme="minorHAnsi" w:hAnsiTheme="minorHAnsi"/>
          <w:bCs/>
        </w:rPr>
        <w:t xml:space="preserve">The PBAC considered that </w:t>
      </w:r>
      <w:r w:rsidR="00682115" w:rsidRPr="00B616BC">
        <w:rPr>
          <w:rFonts w:asciiTheme="minorHAnsi" w:hAnsiTheme="minorHAnsi"/>
          <w:bCs/>
        </w:rPr>
        <w:t xml:space="preserve">the first part of </w:t>
      </w:r>
      <w:r w:rsidR="001A55DE" w:rsidRPr="00B616BC">
        <w:rPr>
          <w:rFonts w:asciiTheme="minorHAnsi" w:hAnsiTheme="minorHAnsi"/>
          <w:bCs/>
        </w:rPr>
        <w:t>criterion 2</w:t>
      </w:r>
      <w:r w:rsidRPr="00B616BC">
        <w:rPr>
          <w:rFonts w:asciiTheme="minorHAnsi" w:hAnsiTheme="minorHAnsi"/>
          <w:bCs/>
        </w:rPr>
        <w:t xml:space="preserve"> was not met.</w:t>
      </w:r>
      <w:r w:rsidR="0075231C">
        <w:rPr>
          <w:rFonts w:asciiTheme="minorHAnsi" w:hAnsiTheme="minorHAnsi"/>
          <w:bCs/>
        </w:rPr>
        <w:t xml:space="preserve"> </w:t>
      </w:r>
      <w:r w:rsidRPr="00B616BC">
        <w:rPr>
          <w:rFonts w:asciiTheme="minorHAnsi" w:hAnsiTheme="minorHAnsi"/>
          <w:bCs/>
        </w:rPr>
        <w:t> Based on the evidence presented, the PBAC considered that ferric derisomaltose has not been shown to have unique characteristics compared to ferric carboxymaltose.</w:t>
      </w:r>
      <w:r w:rsidR="00682115" w:rsidRPr="00B616BC">
        <w:rPr>
          <w:rFonts w:asciiTheme="minorHAnsi" w:hAnsiTheme="minorHAnsi"/>
          <w:bCs/>
        </w:rPr>
        <w:t xml:space="preserve"> However, the PBAC did recommend listing in comparison to ferric </w:t>
      </w:r>
      <w:r w:rsidR="00DF1A1E" w:rsidRPr="00B616BC">
        <w:rPr>
          <w:rFonts w:asciiTheme="minorHAnsi" w:hAnsiTheme="minorHAnsi"/>
          <w:bCs/>
        </w:rPr>
        <w:t>carboxymaltose that</w:t>
      </w:r>
      <w:r w:rsidR="00682115" w:rsidRPr="00B616BC">
        <w:rPr>
          <w:rFonts w:asciiTheme="minorHAnsi" w:hAnsiTheme="minorHAnsi"/>
          <w:bCs/>
        </w:rPr>
        <w:t xml:space="preserve"> has a current Special Pricing Arrangement.</w:t>
      </w:r>
    </w:p>
    <w:p w:rsidR="005D76A4" w:rsidRPr="00B616BC" w:rsidRDefault="005D76A4" w:rsidP="001B5CF6">
      <w:pPr>
        <w:numPr>
          <w:ilvl w:val="1"/>
          <w:numId w:val="1"/>
        </w:numPr>
        <w:spacing w:after="120"/>
        <w:rPr>
          <w:rFonts w:asciiTheme="minorHAnsi" w:hAnsiTheme="minorHAnsi"/>
          <w:bCs/>
        </w:rPr>
      </w:pPr>
      <w:r w:rsidRPr="00B616BC">
        <w:rPr>
          <w:rFonts w:asciiTheme="minorHAnsi" w:hAnsiTheme="minorHAnsi"/>
          <w:bCs/>
        </w:rPr>
        <w:t>The PBAC recommended that ferric derisomaltose should not be treated as interchangeable</w:t>
      </w:r>
      <w:r w:rsidR="00B64868" w:rsidRPr="00B616BC">
        <w:rPr>
          <w:rFonts w:asciiTheme="minorHAnsi" w:hAnsiTheme="minorHAnsi"/>
          <w:bCs/>
        </w:rPr>
        <w:t xml:space="preserve"> </w:t>
      </w:r>
      <w:r w:rsidRPr="00B616BC">
        <w:rPr>
          <w:rFonts w:asciiTheme="minorHAnsi" w:hAnsiTheme="minorHAnsi"/>
          <w:bCs/>
        </w:rPr>
        <w:t>with any other drugs.</w:t>
      </w:r>
    </w:p>
    <w:p w:rsidR="005D76A4" w:rsidRPr="00B616BC" w:rsidRDefault="005D76A4" w:rsidP="001B5CF6">
      <w:pPr>
        <w:numPr>
          <w:ilvl w:val="1"/>
          <w:numId w:val="1"/>
        </w:numPr>
        <w:spacing w:after="120"/>
        <w:rPr>
          <w:rFonts w:asciiTheme="minorHAnsi" w:hAnsiTheme="minorHAnsi"/>
          <w:bCs/>
        </w:rPr>
      </w:pPr>
      <w:r w:rsidRPr="00B616BC">
        <w:rPr>
          <w:rFonts w:asciiTheme="minorHAnsi" w:hAnsiTheme="minorHAnsi"/>
          <w:bCs/>
        </w:rPr>
        <w:t>The PBAC advised that ferric derisomaltose is suitable for presc</w:t>
      </w:r>
      <w:r w:rsidR="006C0D2C">
        <w:rPr>
          <w:rFonts w:asciiTheme="minorHAnsi" w:hAnsiTheme="minorHAnsi"/>
          <w:bCs/>
        </w:rPr>
        <w:t>ribing by nurse practitioners.</w:t>
      </w:r>
    </w:p>
    <w:p w:rsidR="005D76A4" w:rsidRPr="00B616BC" w:rsidRDefault="005D76A4" w:rsidP="001B5CF6">
      <w:pPr>
        <w:numPr>
          <w:ilvl w:val="1"/>
          <w:numId w:val="1"/>
        </w:numPr>
        <w:spacing w:after="120"/>
        <w:rPr>
          <w:rFonts w:asciiTheme="minorHAnsi" w:hAnsiTheme="minorHAnsi"/>
          <w:bCs/>
        </w:rPr>
      </w:pPr>
      <w:r w:rsidRPr="00B616BC">
        <w:rPr>
          <w:rFonts w:asciiTheme="minorHAnsi" w:hAnsiTheme="minorHAnsi"/>
          <w:bCs/>
        </w:rPr>
        <w:t>The PBAC recommended that the Earl</w:t>
      </w:r>
      <w:r w:rsidR="006C0D2C">
        <w:rPr>
          <w:rFonts w:asciiTheme="minorHAnsi" w:hAnsiTheme="minorHAnsi"/>
          <w:bCs/>
        </w:rPr>
        <w:t>y Supply Rule should not apply.</w:t>
      </w:r>
    </w:p>
    <w:p w:rsidR="001A55DE" w:rsidRPr="00B616BC" w:rsidRDefault="001A55DE" w:rsidP="001B5CF6">
      <w:pPr>
        <w:numPr>
          <w:ilvl w:val="1"/>
          <w:numId w:val="1"/>
        </w:numPr>
        <w:spacing w:after="120"/>
        <w:rPr>
          <w:rFonts w:asciiTheme="minorHAnsi" w:hAnsiTheme="minorHAnsi"/>
          <w:bCs/>
        </w:rPr>
      </w:pPr>
      <w:r w:rsidRPr="00B616BC">
        <w:rPr>
          <w:rFonts w:asciiTheme="minorHAnsi" w:hAnsiTheme="minorHAnsi"/>
          <w:bCs/>
        </w:rPr>
        <w:t>The PBAC noted that</w:t>
      </w:r>
      <w:r w:rsidR="008D4521" w:rsidRPr="00B616BC">
        <w:rPr>
          <w:rFonts w:asciiTheme="minorHAnsi" w:hAnsiTheme="minorHAnsi"/>
          <w:bCs/>
        </w:rPr>
        <w:t xml:space="preserve"> this submission was not eligible for Independent Review as it received a positive recommendation.</w:t>
      </w:r>
    </w:p>
    <w:p w:rsidR="00CC17DB" w:rsidRPr="00B616BC" w:rsidRDefault="00CC17DB" w:rsidP="00CC17DB">
      <w:pPr>
        <w:spacing w:before="240"/>
        <w:rPr>
          <w:rFonts w:asciiTheme="minorHAnsi" w:hAnsiTheme="minorHAnsi"/>
          <w:b/>
          <w:bCs/>
        </w:rPr>
      </w:pPr>
      <w:r w:rsidRPr="00B616BC">
        <w:rPr>
          <w:rFonts w:asciiTheme="minorHAnsi" w:hAnsiTheme="minorHAnsi"/>
          <w:b/>
          <w:bCs/>
        </w:rPr>
        <w:t>Outcome:</w:t>
      </w:r>
    </w:p>
    <w:p w:rsidR="001B5CF6" w:rsidRPr="001B5CF6" w:rsidRDefault="001B5CF6" w:rsidP="00CC17DB">
      <w:pPr>
        <w:rPr>
          <w:rFonts w:asciiTheme="minorHAnsi" w:hAnsiTheme="minorHAnsi"/>
          <w:bCs/>
        </w:rPr>
      </w:pPr>
      <w:r>
        <w:rPr>
          <w:rFonts w:asciiTheme="minorHAnsi" w:hAnsiTheme="minorHAnsi"/>
          <w:bCs/>
        </w:rPr>
        <w:t xml:space="preserve">Recommended </w:t>
      </w:r>
    </w:p>
    <w:p w:rsidR="00CC17DB" w:rsidRPr="00C72427" w:rsidRDefault="00CC17DB" w:rsidP="001B5CF6">
      <w:pPr>
        <w:pStyle w:val="Heading1"/>
        <w:spacing w:before="240" w:after="120"/>
      </w:pPr>
      <w:r w:rsidRPr="00C72427">
        <w:t>Recommended listing</w:t>
      </w:r>
    </w:p>
    <w:p w:rsidR="00CC17DB" w:rsidRPr="00B616BC" w:rsidRDefault="00CC17DB" w:rsidP="009C5CDA">
      <w:pPr>
        <w:keepNext/>
        <w:rPr>
          <w:rFonts w:asciiTheme="minorHAnsi" w:hAnsiTheme="minorHAnsi"/>
          <w:bCs/>
        </w:rPr>
      </w:pPr>
      <w:r w:rsidRPr="00B616BC">
        <w:rPr>
          <w:rFonts w:asciiTheme="minorHAnsi" w:hAnsiTheme="minorHAnsi"/>
          <w:bCs/>
        </w:rPr>
        <w:t>Add new item:</w:t>
      </w:r>
    </w:p>
    <w:p w:rsidR="008D4521" w:rsidRPr="00B616BC" w:rsidRDefault="008D4521" w:rsidP="009C5CDA">
      <w:pPr>
        <w:keepNext/>
        <w:rPr>
          <w:rFonts w:asciiTheme="minorHAnsi" w:hAnsiTheme="minorHAnsi"/>
          <w:bCs/>
        </w:rPr>
      </w:pPr>
    </w:p>
    <w:tbl>
      <w:tblPr>
        <w:tblW w:w="5000" w:type="pct"/>
        <w:tblCellMar>
          <w:left w:w="28" w:type="dxa"/>
          <w:right w:w="28" w:type="dxa"/>
        </w:tblCellMar>
        <w:tblLook w:val="0000" w:firstRow="0" w:lastRow="0" w:firstColumn="0" w:lastColumn="0" w:noHBand="0" w:noVBand="0"/>
      </w:tblPr>
      <w:tblGrid>
        <w:gridCol w:w="3291"/>
        <w:gridCol w:w="1700"/>
        <w:gridCol w:w="992"/>
        <w:gridCol w:w="1342"/>
        <w:gridCol w:w="1758"/>
      </w:tblGrid>
      <w:tr w:rsidR="008D4521" w:rsidRPr="00B616BC" w:rsidTr="0032069D">
        <w:trPr>
          <w:cantSplit/>
          <w:trHeight w:val="463"/>
        </w:trPr>
        <w:tc>
          <w:tcPr>
            <w:tcW w:w="1811" w:type="pct"/>
            <w:tcBorders>
              <w:top w:val="single" w:sz="4" w:space="0" w:color="auto"/>
              <w:bottom w:val="single" w:sz="4" w:space="0" w:color="auto"/>
            </w:tcBorders>
          </w:tcPr>
          <w:p w:rsidR="008D4521" w:rsidRPr="00B616BC" w:rsidRDefault="008D4521" w:rsidP="009C5CDA">
            <w:pPr>
              <w:pStyle w:val="Tabletext"/>
              <w:keepNext/>
              <w:keepLines/>
              <w:rPr>
                <w:b/>
              </w:rPr>
            </w:pPr>
            <w:r w:rsidRPr="00B616BC">
              <w:rPr>
                <w:b/>
              </w:rPr>
              <w:t>Name, Restriction,</w:t>
            </w:r>
          </w:p>
          <w:p w:rsidR="008D4521" w:rsidRPr="00B616BC" w:rsidRDefault="008D4521" w:rsidP="009C5CDA">
            <w:pPr>
              <w:pStyle w:val="Tabletext"/>
              <w:keepNext/>
              <w:keepLines/>
              <w:rPr>
                <w:b/>
              </w:rPr>
            </w:pPr>
            <w:r w:rsidRPr="00B616BC">
              <w:rPr>
                <w:b/>
              </w:rPr>
              <w:t>Manner of administration and form</w:t>
            </w:r>
          </w:p>
        </w:tc>
        <w:tc>
          <w:tcPr>
            <w:tcW w:w="936" w:type="pct"/>
            <w:tcBorders>
              <w:top w:val="single" w:sz="4" w:space="0" w:color="auto"/>
              <w:bottom w:val="single" w:sz="4" w:space="0" w:color="auto"/>
            </w:tcBorders>
          </w:tcPr>
          <w:p w:rsidR="008D4521" w:rsidRPr="00B616BC" w:rsidRDefault="008D4521" w:rsidP="009C5CDA">
            <w:pPr>
              <w:pStyle w:val="Tabletext"/>
              <w:keepNext/>
              <w:keepLines/>
              <w:rPr>
                <w:b/>
              </w:rPr>
            </w:pPr>
            <w:r w:rsidRPr="00B616BC">
              <w:rPr>
                <w:b/>
              </w:rPr>
              <w:t>Max.</w:t>
            </w:r>
          </w:p>
          <w:p w:rsidR="008D4521" w:rsidRPr="00B616BC" w:rsidRDefault="008D4521" w:rsidP="009C5CDA">
            <w:pPr>
              <w:pStyle w:val="Tabletext"/>
              <w:keepNext/>
              <w:keepLines/>
              <w:rPr>
                <w:b/>
              </w:rPr>
            </w:pPr>
            <w:r w:rsidRPr="00B616BC">
              <w:rPr>
                <w:b/>
              </w:rPr>
              <w:t xml:space="preserve">Qty </w:t>
            </w:r>
          </w:p>
        </w:tc>
        <w:tc>
          <w:tcPr>
            <w:tcW w:w="546" w:type="pct"/>
            <w:tcBorders>
              <w:top w:val="single" w:sz="4" w:space="0" w:color="auto"/>
              <w:bottom w:val="single" w:sz="4" w:space="0" w:color="auto"/>
            </w:tcBorders>
          </w:tcPr>
          <w:p w:rsidR="008D4521" w:rsidRPr="00B616BC" w:rsidRDefault="008D4521" w:rsidP="009C5CDA">
            <w:pPr>
              <w:pStyle w:val="Tabletext"/>
              <w:keepNext/>
              <w:keepLines/>
              <w:rPr>
                <w:b/>
              </w:rPr>
            </w:pPr>
            <w:r w:rsidRPr="00B616BC">
              <w:rPr>
                <w:b/>
              </w:rPr>
              <w:t>№.of</w:t>
            </w:r>
          </w:p>
          <w:p w:rsidR="008D4521" w:rsidRPr="00B616BC" w:rsidRDefault="008D4521" w:rsidP="009C5CDA">
            <w:pPr>
              <w:pStyle w:val="Tabletext"/>
              <w:keepNext/>
              <w:keepLines/>
              <w:rPr>
                <w:b/>
              </w:rPr>
            </w:pPr>
            <w:r w:rsidRPr="00B616BC">
              <w:rPr>
                <w:b/>
              </w:rPr>
              <w:t>Rpts</w:t>
            </w:r>
          </w:p>
        </w:tc>
        <w:tc>
          <w:tcPr>
            <w:tcW w:w="1707" w:type="pct"/>
            <w:gridSpan w:val="2"/>
            <w:tcBorders>
              <w:top w:val="single" w:sz="4" w:space="0" w:color="auto"/>
              <w:bottom w:val="single" w:sz="4" w:space="0" w:color="auto"/>
            </w:tcBorders>
            <w:vAlign w:val="center"/>
          </w:tcPr>
          <w:p w:rsidR="008D4521" w:rsidRPr="00B616BC" w:rsidRDefault="008D4521" w:rsidP="009C5CDA">
            <w:pPr>
              <w:pStyle w:val="Tabletext"/>
              <w:keepNext/>
              <w:keepLines/>
              <w:rPr>
                <w:b/>
              </w:rPr>
            </w:pPr>
            <w:r w:rsidRPr="00B616BC">
              <w:rPr>
                <w:b/>
              </w:rPr>
              <w:t>Proprietary Name and Manufacturer</w:t>
            </w:r>
          </w:p>
        </w:tc>
      </w:tr>
      <w:tr w:rsidR="008D4521" w:rsidRPr="00B616BC" w:rsidTr="0038135C">
        <w:trPr>
          <w:cantSplit/>
          <w:trHeight w:val="397"/>
        </w:trPr>
        <w:tc>
          <w:tcPr>
            <w:tcW w:w="1811" w:type="pct"/>
            <w:tcBorders>
              <w:top w:val="single" w:sz="4" w:space="0" w:color="auto"/>
              <w:bottom w:val="single" w:sz="4" w:space="0" w:color="auto"/>
            </w:tcBorders>
          </w:tcPr>
          <w:p w:rsidR="008D4521" w:rsidRPr="00B616BC" w:rsidRDefault="008D4521" w:rsidP="008D4521">
            <w:pPr>
              <w:keepNext/>
              <w:jc w:val="left"/>
              <w:rPr>
                <w:rStyle w:val="CommentReference"/>
                <w:b w:val="0"/>
              </w:rPr>
            </w:pPr>
            <w:r w:rsidRPr="00B616BC">
              <w:rPr>
                <w:rStyle w:val="CommentReference"/>
                <w:b w:val="0"/>
              </w:rPr>
              <w:t>IRON</w:t>
            </w:r>
          </w:p>
          <w:p w:rsidR="008D4521" w:rsidRPr="00B616BC" w:rsidRDefault="008D4521" w:rsidP="008D4521">
            <w:pPr>
              <w:keepNext/>
              <w:keepLines/>
              <w:jc w:val="left"/>
              <w:rPr>
                <w:rFonts w:ascii="Arial Narrow" w:hAnsi="Arial Narrow"/>
                <w:b/>
                <w:sz w:val="20"/>
              </w:rPr>
            </w:pPr>
            <w:r w:rsidRPr="00B616BC">
              <w:rPr>
                <w:rStyle w:val="CommentReference"/>
                <w:b w:val="0"/>
              </w:rPr>
              <w:t>Iron (as ferric derisomaltose) 500 mg/5 mL injection, 1 x 5 mL vial</w:t>
            </w:r>
          </w:p>
        </w:tc>
        <w:tc>
          <w:tcPr>
            <w:tcW w:w="936" w:type="pct"/>
            <w:tcBorders>
              <w:top w:val="single" w:sz="4" w:space="0" w:color="auto"/>
              <w:bottom w:val="single" w:sz="4" w:space="0" w:color="auto"/>
            </w:tcBorders>
          </w:tcPr>
          <w:p w:rsidR="008D4521" w:rsidRPr="00B616BC" w:rsidRDefault="008D4521" w:rsidP="008D4521">
            <w:pPr>
              <w:keepNext/>
              <w:keepLines/>
              <w:jc w:val="center"/>
              <w:rPr>
                <w:rFonts w:ascii="Arial Narrow" w:hAnsi="Arial Narrow"/>
                <w:sz w:val="20"/>
              </w:rPr>
            </w:pPr>
            <w:r w:rsidRPr="00B616BC">
              <w:rPr>
                <w:rFonts w:ascii="Arial Narrow" w:hAnsi="Arial Narrow"/>
                <w:sz w:val="20"/>
              </w:rPr>
              <w:t>2</w:t>
            </w:r>
          </w:p>
        </w:tc>
        <w:tc>
          <w:tcPr>
            <w:tcW w:w="546" w:type="pct"/>
            <w:tcBorders>
              <w:top w:val="single" w:sz="4" w:space="0" w:color="auto"/>
              <w:bottom w:val="single" w:sz="4" w:space="0" w:color="auto"/>
            </w:tcBorders>
          </w:tcPr>
          <w:p w:rsidR="008D4521" w:rsidRPr="00B616BC" w:rsidRDefault="008D4521" w:rsidP="008D4521">
            <w:pPr>
              <w:keepNext/>
              <w:keepLines/>
              <w:jc w:val="center"/>
              <w:rPr>
                <w:rFonts w:ascii="Arial Narrow" w:hAnsi="Arial Narrow"/>
                <w:sz w:val="20"/>
              </w:rPr>
            </w:pPr>
            <w:r w:rsidRPr="00B616BC">
              <w:rPr>
                <w:rFonts w:ascii="Arial Narrow" w:hAnsi="Arial Narrow"/>
                <w:sz w:val="20"/>
              </w:rPr>
              <w:t>1</w:t>
            </w:r>
          </w:p>
        </w:tc>
        <w:tc>
          <w:tcPr>
            <w:tcW w:w="739" w:type="pct"/>
            <w:tcBorders>
              <w:top w:val="single" w:sz="4" w:space="0" w:color="auto"/>
              <w:bottom w:val="single" w:sz="4" w:space="0" w:color="auto"/>
            </w:tcBorders>
          </w:tcPr>
          <w:p w:rsidR="008D4521" w:rsidRPr="00B616BC" w:rsidRDefault="008D4521" w:rsidP="008D4521">
            <w:pPr>
              <w:keepNext/>
              <w:keepLines/>
              <w:jc w:val="center"/>
              <w:rPr>
                <w:rFonts w:ascii="Arial Narrow" w:hAnsi="Arial Narrow"/>
                <w:sz w:val="20"/>
              </w:rPr>
            </w:pPr>
            <w:r w:rsidRPr="00B616BC">
              <w:rPr>
                <w:rFonts w:ascii="Arial Narrow" w:hAnsi="Arial Narrow"/>
                <w:sz w:val="20"/>
              </w:rPr>
              <w:t xml:space="preserve">Monofer </w:t>
            </w:r>
            <w:r w:rsidRPr="00B616BC">
              <w:rPr>
                <w:rFonts w:ascii="Arial Narrow" w:hAnsi="Arial Narrow"/>
                <w:sz w:val="20"/>
                <w:vertAlign w:val="superscript"/>
              </w:rPr>
              <w:t>®</w:t>
            </w:r>
          </w:p>
        </w:tc>
        <w:tc>
          <w:tcPr>
            <w:tcW w:w="968" w:type="pct"/>
            <w:tcBorders>
              <w:top w:val="single" w:sz="4" w:space="0" w:color="auto"/>
              <w:bottom w:val="single" w:sz="4" w:space="0" w:color="auto"/>
            </w:tcBorders>
          </w:tcPr>
          <w:p w:rsidR="008D4521" w:rsidRPr="00B616BC" w:rsidRDefault="008D4521" w:rsidP="008D4521">
            <w:pPr>
              <w:keepNext/>
              <w:keepLines/>
              <w:jc w:val="center"/>
              <w:rPr>
                <w:rFonts w:ascii="Arial Narrow" w:hAnsi="Arial Narrow"/>
                <w:sz w:val="20"/>
              </w:rPr>
            </w:pPr>
            <w:r w:rsidRPr="00B616BC">
              <w:rPr>
                <w:rFonts w:ascii="Arial Narrow" w:hAnsi="Arial Narrow"/>
                <w:sz w:val="20"/>
              </w:rPr>
              <w:t>Pfizer Australia</w:t>
            </w:r>
          </w:p>
        </w:tc>
      </w:tr>
    </w:tbl>
    <w:p w:rsidR="00CC17DB" w:rsidRPr="009F4E12" w:rsidRDefault="00CC17DB" w:rsidP="009F4E12">
      <w:pPr>
        <w:rPr>
          <w:rFonts w:cs="Calibri"/>
        </w:rPr>
      </w:pPr>
    </w:p>
    <w:p w:rsidR="008A225D" w:rsidRDefault="008A225D" w:rsidP="001B5CF6">
      <w:pPr>
        <w:pStyle w:val="Heading1"/>
        <w:spacing w:before="240" w:after="120"/>
      </w:pPr>
      <w:r>
        <w:t>Context for Decision</w:t>
      </w:r>
    </w:p>
    <w:p w:rsidR="008A225D" w:rsidRPr="008A225D" w:rsidRDefault="008A225D" w:rsidP="008A225D">
      <w:pPr>
        <w:pStyle w:val="NormalBulletList"/>
        <w:numPr>
          <w:ilvl w:val="0"/>
          <w:numId w:val="0"/>
        </w:numPr>
        <w:rPr>
          <w:rFonts w:ascii="Calibri" w:hAnsi="Calibri" w:cs="Calibri"/>
          <w:sz w:val="24"/>
        </w:rPr>
      </w:pPr>
      <w:r w:rsidRPr="008A225D">
        <w:rPr>
          <w:rFonts w:ascii="Calibri" w:hAnsi="Calibri" w:cs="Calibri"/>
          <w:sz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A225D" w:rsidRDefault="008A225D" w:rsidP="001B5CF6">
      <w:pPr>
        <w:pStyle w:val="PBACHeading1"/>
        <w:spacing w:before="240" w:after="120"/>
      </w:pPr>
      <w:r>
        <w:t xml:space="preserve">Sponsor’s Comment </w:t>
      </w:r>
    </w:p>
    <w:p w:rsidR="00CC17DB" w:rsidRPr="00B616BC" w:rsidRDefault="001B5CF6" w:rsidP="00B35C0E">
      <w:pPr>
        <w:spacing w:after="120"/>
        <w:rPr>
          <w:rFonts w:asciiTheme="minorHAnsi" w:hAnsiTheme="minorHAnsi"/>
          <w:bCs/>
        </w:rPr>
      </w:pPr>
      <w:r w:rsidRPr="00C07617">
        <w:rPr>
          <w:rFonts w:asciiTheme="minorHAnsi" w:hAnsiTheme="minorHAnsi"/>
          <w:bCs/>
        </w:rPr>
        <w:t>The sponsor had no comment.</w:t>
      </w:r>
    </w:p>
    <w:sectPr w:rsidR="00CC17DB" w:rsidRPr="00B616BC" w:rsidSect="00100C8F">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87C1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FB" w:rsidRDefault="008961FB" w:rsidP="00124A51">
      <w:r>
        <w:separator/>
      </w:r>
    </w:p>
    <w:p w:rsidR="008961FB" w:rsidRDefault="008961FB"/>
  </w:endnote>
  <w:endnote w:type="continuationSeparator" w:id="0">
    <w:p w:rsidR="008961FB" w:rsidRDefault="008961FB" w:rsidP="00124A51">
      <w:r>
        <w:continuationSeparator/>
      </w:r>
    </w:p>
    <w:p w:rsidR="008961FB" w:rsidRDefault="00896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98" w:rsidRDefault="00324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277551"/>
      <w:docPartObj>
        <w:docPartGallery w:val="Page Numbers (Bottom of Page)"/>
        <w:docPartUnique/>
      </w:docPartObj>
    </w:sdtPr>
    <w:sdtEndPr>
      <w:rPr>
        <w:noProof/>
      </w:rPr>
    </w:sdtEndPr>
    <w:sdtContent>
      <w:p w:rsidR="00B35C0E" w:rsidRDefault="00B35C0E" w:rsidP="00B35C0E">
        <w:pPr>
          <w:pStyle w:val="Footer"/>
          <w:jc w:val="center"/>
        </w:pPr>
      </w:p>
      <w:p w:rsidR="008A225D" w:rsidRDefault="008A225D" w:rsidP="00B35C0E">
        <w:pPr>
          <w:pStyle w:val="Footer"/>
          <w:jc w:val="center"/>
        </w:pPr>
        <w:r>
          <w:fldChar w:fldCharType="begin"/>
        </w:r>
        <w:r>
          <w:instrText xml:space="preserve"> PAGE   \* MERGEFORMAT </w:instrText>
        </w:r>
        <w:r>
          <w:fldChar w:fldCharType="separate"/>
        </w:r>
        <w:r w:rsidR="00E8536E">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98" w:rsidRDefault="00324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FB" w:rsidRDefault="008961FB" w:rsidP="00124A51">
      <w:r>
        <w:separator/>
      </w:r>
    </w:p>
    <w:p w:rsidR="008961FB" w:rsidRDefault="008961FB"/>
  </w:footnote>
  <w:footnote w:type="continuationSeparator" w:id="0">
    <w:p w:rsidR="008961FB" w:rsidRDefault="008961FB" w:rsidP="00124A51">
      <w:r>
        <w:continuationSeparator/>
      </w:r>
    </w:p>
    <w:p w:rsidR="008961FB" w:rsidRDefault="00896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98" w:rsidRDefault="00324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5D" w:rsidRPr="00055BF9" w:rsidRDefault="008A225D" w:rsidP="005B5DB7">
    <w:pPr>
      <w:widowControl/>
      <w:tabs>
        <w:tab w:val="center" w:pos="4513"/>
        <w:tab w:val="right" w:pos="9026"/>
      </w:tabs>
      <w:jc w:val="center"/>
      <w:rPr>
        <w:rFonts w:eastAsiaTheme="minorHAnsi" w:cs="Calibri"/>
        <w:i/>
        <w:snapToGrid/>
        <w:color w:val="808080"/>
        <w:sz w:val="22"/>
      </w:rPr>
    </w:pPr>
    <w:r w:rsidRPr="00055BF9">
      <w:rPr>
        <w:rFonts w:eastAsiaTheme="minorHAnsi" w:cs="Calibri"/>
        <w:i/>
        <w:snapToGrid/>
        <w:color w:val="808080"/>
        <w:sz w:val="22"/>
      </w:rPr>
      <w:t>Public Summary Document – July 2018 PBAC Meeting</w:t>
    </w:r>
  </w:p>
  <w:p w:rsidR="008A225D" w:rsidRPr="0073056E" w:rsidRDefault="008A225D" w:rsidP="0073056E">
    <w:pPr>
      <w:tabs>
        <w:tab w:val="left" w:pos="142"/>
        <w:tab w:val="right" w:pos="9026"/>
      </w:tabs>
      <w:jc w:val="center"/>
      <w:rPr>
        <w:i/>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98" w:rsidRDefault="00324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98053C"/>
    <w:multiLevelType w:val="hybridMultilevel"/>
    <w:tmpl w:val="EF84457E"/>
    <w:lvl w:ilvl="0" w:tplc="57ACCD5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051FCF"/>
    <w:multiLevelType w:val="hybridMultilevel"/>
    <w:tmpl w:val="EE223F78"/>
    <w:lvl w:ilvl="0" w:tplc="08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0C59FD"/>
    <w:multiLevelType w:val="hybridMultilevel"/>
    <w:tmpl w:val="ADB82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340053"/>
    <w:multiLevelType w:val="hybridMultilevel"/>
    <w:tmpl w:val="5E4619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nsid w:val="2E91267A"/>
    <w:multiLevelType w:val="hybridMultilevel"/>
    <w:tmpl w:val="916ECE08"/>
    <w:lvl w:ilvl="0" w:tplc="C0EC9918">
      <w:start w:val="1"/>
      <w:numFmt w:val="bullet"/>
      <w:lvlText w:val="•"/>
      <w:lvlJc w:val="left"/>
      <w:pPr>
        <w:tabs>
          <w:tab w:val="num" w:pos="720"/>
        </w:tabs>
        <w:ind w:left="720" w:hanging="360"/>
      </w:pPr>
      <w:rPr>
        <w:rFonts w:ascii="Arial" w:hAnsi="Arial" w:hint="default"/>
      </w:rPr>
    </w:lvl>
    <w:lvl w:ilvl="1" w:tplc="CBAAD4C2" w:tentative="1">
      <w:start w:val="1"/>
      <w:numFmt w:val="bullet"/>
      <w:lvlText w:val="•"/>
      <w:lvlJc w:val="left"/>
      <w:pPr>
        <w:tabs>
          <w:tab w:val="num" w:pos="1440"/>
        </w:tabs>
        <w:ind w:left="1440" w:hanging="360"/>
      </w:pPr>
      <w:rPr>
        <w:rFonts w:ascii="Arial" w:hAnsi="Arial" w:hint="default"/>
      </w:rPr>
    </w:lvl>
    <w:lvl w:ilvl="2" w:tplc="9A80C610" w:tentative="1">
      <w:start w:val="1"/>
      <w:numFmt w:val="bullet"/>
      <w:lvlText w:val="•"/>
      <w:lvlJc w:val="left"/>
      <w:pPr>
        <w:tabs>
          <w:tab w:val="num" w:pos="2160"/>
        </w:tabs>
        <w:ind w:left="2160" w:hanging="360"/>
      </w:pPr>
      <w:rPr>
        <w:rFonts w:ascii="Arial" w:hAnsi="Arial" w:hint="default"/>
      </w:rPr>
    </w:lvl>
    <w:lvl w:ilvl="3" w:tplc="F58CC4F8" w:tentative="1">
      <w:start w:val="1"/>
      <w:numFmt w:val="bullet"/>
      <w:lvlText w:val="•"/>
      <w:lvlJc w:val="left"/>
      <w:pPr>
        <w:tabs>
          <w:tab w:val="num" w:pos="2880"/>
        </w:tabs>
        <w:ind w:left="2880" w:hanging="360"/>
      </w:pPr>
      <w:rPr>
        <w:rFonts w:ascii="Arial" w:hAnsi="Arial" w:hint="default"/>
      </w:rPr>
    </w:lvl>
    <w:lvl w:ilvl="4" w:tplc="FF144424" w:tentative="1">
      <w:start w:val="1"/>
      <w:numFmt w:val="bullet"/>
      <w:lvlText w:val="•"/>
      <w:lvlJc w:val="left"/>
      <w:pPr>
        <w:tabs>
          <w:tab w:val="num" w:pos="3600"/>
        </w:tabs>
        <w:ind w:left="3600" w:hanging="360"/>
      </w:pPr>
      <w:rPr>
        <w:rFonts w:ascii="Arial" w:hAnsi="Arial" w:hint="default"/>
      </w:rPr>
    </w:lvl>
    <w:lvl w:ilvl="5" w:tplc="7CF07ABC" w:tentative="1">
      <w:start w:val="1"/>
      <w:numFmt w:val="bullet"/>
      <w:lvlText w:val="•"/>
      <w:lvlJc w:val="left"/>
      <w:pPr>
        <w:tabs>
          <w:tab w:val="num" w:pos="4320"/>
        </w:tabs>
        <w:ind w:left="4320" w:hanging="360"/>
      </w:pPr>
      <w:rPr>
        <w:rFonts w:ascii="Arial" w:hAnsi="Arial" w:hint="default"/>
      </w:rPr>
    </w:lvl>
    <w:lvl w:ilvl="6" w:tplc="D9AE7D28" w:tentative="1">
      <w:start w:val="1"/>
      <w:numFmt w:val="bullet"/>
      <w:lvlText w:val="•"/>
      <w:lvlJc w:val="left"/>
      <w:pPr>
        <w:tabs>
          <w:tab w:val="num" w:pos="5040"/>
        </w:tabs>
        <w:ind w:left="5040" w:hanging="360"/>
      </w:pPr>
      <w:rPr>
        <w:rFonts w:ascii="Arial" w:hAnsi="Arial" w:hint="default"/>
      </w:rPr>
    </w:lvl>
    <w:lvl w:ilvl="7" w:tplc="FFCAA0A2" w:tentative="1">
      <w:start w:val="1"/>
      <w:numFmt w:val="bullet"/>
      <w:lvlText w:val="•"/>
      <w:lvlJc w:val="left"/>
      <w:pPr>
        <w:tabs>
          <w:tab w:val="num" w:pos="5760"/>
        </w:tabs>
        <w:ind w:left="5760" w:hanging="360"/>
      </w:pPr>
      <w:rPr>
        <w:rFonts w:ascii="Arial" w:hAnsi="Arial" w:hint="default"/>
      </w:rPr>
    </w:lvl>
    <w:lvl w:ilvl="8" w:tplc="FF2271D0" w:tentative="1">
      <w:start w:val="1"/>
      <w:numFmt w:val="bullet"/>
      <w:lvlText w:val="•"/>
      <w:lvlJc w:val="left"/>
      <w:pPr>
        <w:tabs>
          <w:tab w:val="num" w:pos="6480"/>
        </w:tabs>
        <w:ind w:left="6480" w:hanging="360"/>
      </w:pPr>
      <w:rPr>
        <w:rFonts w:ascii="Arial" w:hAnsi="Arial" w:hint="default"/>
      </w:rPr>
    </w:lvl>
  </w:abstractNum>
  <w:abstractNum w:abstractNumId="8">
    <w:nsid w:val="307D600B"/>
    <w:multiLevelType w:val="hybridMultilevel"/>
    <w:tmpl w:val="FBE4E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0D51E9"/>
    <w:multiLevelType w:val="hybridMultilevel"/>
    <w:tmpl w:val="16C4A5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E2140C2"/>
    <w:multiLevelType w:val="hybridMultilevel"/>
    <w:tmpl w:val="23E2F5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2">
    <w:nsid w:val="42C96D68"/>
    <w:multiLevelType w:val="hybridMultilevel"/>
    <w:tmpl w:val="E5BAC1FC"/>
    <w:lvl w:ilvl="0" w:tplc="C324F4F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95283"/>
    <w:multiLevelType w:val="hybridMultilevel"/>
    <w:tmpl w:val="80F477B8"/>
    <w:lvl w:ilvl="0" w:tplc="BCFC90A6">
      <w:numFmt w:val="bullet"/>
      <w:lvlText w:val=""/>
      <w:lvlJc w:val="left"/>
      <w:pPr>
        <w:ind w:left="1440" w:hanging="72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nsid w:val="4ED63020"/>
    <w:multiLevelType w:val="hybridMultilevel"/>
    <w:tmpl w:val="E06655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3D6A28"/>
    <w:multiLevelType w:val="hybridMultilevel"/>
    <w:tmpl w:val="B3C2B2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nsid w:val="779E27D2"/>
    <w:multiLevelType w:val="hybridMultilevel"/>
    <w:tmpl w:val="2236E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46CC87B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3"/>
  </w:num>
  <w:num w:numId="3">
    <w:abstractNumId w:val="17"/>
  </w:num>
  <w:num w:numId="4">
    <w:abstractNumId w:val="18"/>
  </w:num>
  <w:num w:numId="5">
    <w:abstractNumId w:val="15"/>
  </w:num>
  <w:num w:numId="6">
    <w:abstractNumId w:val="11"/>
  </w:num>
  <w:num w:numId="7">
    <w:abstractNumId w:val="6"/>
  </w:num>
  <w:num w:numId="8">
    <w:abstractNumId w:val="4"/>
  </w:num>
  <w:num w:numId="9">
    <w:abstractNumId w:val="12"/>
  </w:num>
  <w:num w:numId="10">
    <w:abstractNumId w:val="1"/>
  </w:num>
  <w:num w:numId="11">
    <w:abstractNumId w:val="9"/>
  </w:num>
  <w:num w:numId="12">
    <w:abstractNumId w:val="10"/>
  </w:num>
  <w:num w:numId="13">
    <w:abstractNumId w:val="3"/>
  </w:num>
  <w:num w:numId="14">
    <w:abstractNumId w:val="8"/>
  </w:num>
  <w:num w:numId="15">
    <w:abstractNumId w:val="16"/>
  </w:num>
  <w:num w:numId="16">
    <w:abstractNumId w:val="2"/>
  </w:num>
  <w:num w:numId="17">
    <w:abstractNumId w:val="0"/>
  </w:num>
  <w:num w:numId="18">
    <w:abstractNumId w:val="5"/>
  </w:num>
  <w:num w:numId="19">
    <w:abstractNumId w:val="14"/>
  </w:num>
  <w:num w:numId="20">
    <w:abstractNumId w:val="7"/>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O1MDAyt7Q0NjY2MjdT0lEKTi0uzszPAykwMq8FAMbaW3EtAAAA"/>
  </w:docVars>
  <w:rsids>
    <w:rsidRoot w:val="00BB2289"/>
    <w:rsid w:val="00000790"/>
    <w:rsid w:val="0000110B"/>
    <w:rsid w:val="000013A4"/>
    <w:rsid w:val="00003499"/>
    <w:rsid w:val="000039B7"/>
    <w:rsid w:val="0000609F"/>
    <w:rsid w:val="000075B4"/>
    <w:rsid w:val="00010623"/>
    <w:rsid w:val="00011D12"/>
    <w:rsid w:val="00012EA8"/>
    <w:rsid w:val="00013247"/>
    <w:rsid w:val="000150A4"/>
    <w:rsid w:val="00015886"/>
    <w:rsid w:val="000162EF"/>
    <w:rsid w:val="00016344"/>
    <w:rsid w:val="00017346"/>
    <w:rsid w:val="00017A7D"/>
    <w:rsid w:val="0002225F"/>
    <w:rsid w:val="00023763"/>
    <w:rsid w:val="00024B6C"/>
    <w:rsid w:val="00026056"/>
    <w:rsid w:val="00032BE0"/>
    <w:rsid w:val="00033863"/>
    <w:rsid w:val="00035DC0"/>
    <w:rsid w:val="00036829"/>
    <w:rsid w:val="00036B24"/>
    <w:rsid w:val="00036CCC"/>
    <w:rsid w:val="00040244"/>
    <w:rsid w:val="000407AE"/>
    <w:rsid w:val="00040895"/>
    <w:rsid w:val="00043AFE"/>
    <w:rsid w:val="00043C37"/>
    <w:rsid w:val="00044CC5"/>
    <w:rsid w:val="00045017"/>
    <w:rsid w:val="00045A2B"/>
    <w:rsid w:val="0004698F"/>
    <w:rsid w:val="000539D0"/>
    <w:rsid w:val="00054621"/>
    <w:rsid w:val="000546D7"/>
    <w:rsid w:val="00055BF9"/>
    <w:rsid w:val="0006577A"/>
    <w:rsid w:val="00066360"/>
    <w:rsid w:val="0007123B"/>
    <w:rsid w:val="00071248"/>
    <w:rsid w:val="000720B9"/>
    <w:rsid w:val="000737F7"/>
    <w:rsid w:val="00076516"/>
    <w:rsid w:val="0007672F"/>
    <w:rsid w:val="000774F0"/>
    <w:rsid w:val="000804F4"/>
    <w:rsid w:val="00080909"/>
    <w:rsid w:val="000812CA"/>
    <w:rsid w:val="00082584"/>
    <w:rsid w:val="0008258D"/>
    <w:rsid w:val="0008328A"/>
    <w:rsid w:val="00083E99"/>
    <w:rsid w:val="000856C5"/>
    <w:rsid w:val="00085B7D"/>
    <w:rsid w:val="00085D26"/>
    <w:rsid w:val="00086575"/>
    <w:rsid w:val="00090C7E"/>
    <w:rsid w:val="00091C7D"/>
    <w:rsid w:val="00092600"/>
    <w:rsid w:val="0009262B"/>
    <w:rsid w:val="00092CAF"/>
    <w:rsid w:val="00093310"/>
    <w:rsid w:val="00094431"/>
    <w:rsid w:val="0009445C"/>
    <w:rsid w:val="00095FE5"/>
    <w:rsid w:val="00096284"/>
    <w:rsid w:val="0009700C"/>
    <w:rsid w:val="000A0787"/>
    <w:rsid w:val="000A2294"/>
    <w:rsid w:val="000A2F66"/>
    <w:rsid w:val="000A5117"/>
    <w:rsid w:val="000A6781"/>
    <w:rsid w:val="000A764B"/>
    <w:rsid w:val="000A7D08"/>
    <w:rsid w:val="000B0670"/>
    <w:rsid w:val="000B0E75"/>
    <w:rsid w:val="000B5DF3"/>
    <w:rsid w:val="000B6CAC"/>
    <w:rsid w:val="000B7612"/>
    <w:rsid w:val="000C354E"/>
    <w:rsid w:val="000C3DF9"/>
    <w:rsid w:val="000C4197"/>
    <w:rsid w:val="000C6713"/>
    <w:rsid w:val="000C781E"/>
    <w:rsid w:val="000D0200"/>
    <w:rsid w:val="000D1BFC"/>
    <w:rsid w:val="000D281A"/>
    <w:rsid w:val="000D326A"/>
    <w:rsid w:val="000D51FB"/>
    <w:rsid w:val="000D57B2"/>
    <w:rsid w:val="000E067A"/>
    <w:rsid w:val="000E135D"/>
    <w:rsid w:val="000E6B79"/>
    <w:rsid w:val="000E6EA7"/>
    <w:rsid w:val="000E7239"/>
    <w:rsid w:val="000F00BA"/>
    <w:rsid w:val="000F316A"/>
    <w:rsid w:val="000F39FA"/>
    <w:rsid w:val="000F3C74"/>
    <w:rsid w:val="000F4886"/>
    <w:rsid w:val="000F4A80"/>
    <w:rsid w:val="000F4BB8"/>
    <w:rsid w:val="000F7127"/>
    <w:rsid w:val="00100C8F"/>
    <w:rsid w:val="00100F8A"/>
    <w:rsid w:val="0010551F"/>
    <w:rsid w:val="00105AE2"/>
    <w:rsid w:val="00106421"/>
    <w:rsid w:val="00106B80"/>
    <w:rsid w:val="00107C1D"/>
    <w:rsid w:val="0011032E"/>
    <w:rsid w:val="001109D5"/>
    <w:rsid w:val="001116F5"/>
    <w:rsid w:val="0011348B"/>
    <w:rsid w:val="001134D3"/>
    <w:rsid w:val="0011368B"/>
    <w:rsid w:val="00115982"/>
    <w:rsid w:val="00116C53"/>
    <w:rsid w:val="00120B23"/>
    <w:rsid w:val="00121799"/>
    <w:rsid w:val="00121FF4"/>
    <w:rsid w:val="001222FC"/>
    <w:rsid w:val="00124A51"/>
    <w:rsid w:val="00126621"/>
    <w:rsid w:val="00126AC2"/>
    <w:rsid w:val="001270E9"/>
    <w:rsid w:val="001301E9"/>
    <w:rsid w:val="00131CB9"/>
    <w:rsid w:val="00131D82"/>
    <w:rsid w:val="00133D36"/>
    <w:rsid w:val="00135A22"/>
    <w:rsid w:val="00137645"/>
    <w:rsid w:val="0014015A"/>
    <w:rsid w:val="00140CDE"/>
    <w:rsid w:val="00140E99"/>
    <w:rsid w:val="00145540"/>
    <w:rsid w:val="001456B0"/>
    <w:rsid w:val="00156BF4"/>
    <w:rsid w:val="00157130"/>
    <w:rsid w:val="001576B1"/>
    <w:rsid w:val="00160A4C"/>
    <w:rsid w:val="00161E65"/>
    <w:rsid w:val="00162913"/>
    <w:rsid w:val="00163EFF"/>
    <w:rsid w:val="00164B9F"/>
    <w:rsid w:val="001661FB"/>
    <w:rsid w:val="00167E37"/>
    <w:rsid w:val="00173565"/>
    <w:rsid w:val="00173B07"/>
    <w:rsid w:val="00173E7F"/>
    <w:rsid w:val="00181D9C"/>
    <w:rsid w:val="00187204"/>
    <w:rsid w:val="0018752F"/>
    <w:rsid w:val="00190209"/>
    <w:rsid w:val="001904BC"/>
    <w:rsid w:val="00190AEA"/>
    <w:rsid w:val="00192D86"/>
    <w:rsid w:val="00193B87"/>
    <w:rsid w:val="00195222"/>
    <w:rsid w:val="0019565C"/>
    <w:rsid w:val="001975D8"/>
    <w:rsid w:val="001A210F"/>
    <w:rsid w:val="001A37DF"/>
    <w:rsid w:val="001A43FA"/>
    <w:rsid w:val="001A55DE"/>
    <w:rsid w:val="001A59FB"/>
    <w:rsid w:val="001A6354"/>
    <w:rsid w:val="001A7AE8"/>
    <w:rsid w:val="001B204E"/>
    <w:rsid w:val="001B2E60"/>
    <w:rsid w:val="001B3443"/>
    <w:rsid w:val="001B4D20"/>
    <w:rsid w:val="001B5CF6"/>
    <w:rsid w:val="001B7024"/>
    <w:rsid w:val="001B7279"/>
    <w:rsid w:val="001B768E"/>
    <w:rsid w:val="001B7F71"/>
    <w:rsid w:val="001C2621"/>
    <w:rsid w:val="001C2A9B"/>
    <w:rsid w:val="001C4299"/>
    <w:rsid w:val="001C585C"/>
    <w:rsid w:val="001C5F94"/>
    <w:rsid w:val="001C6E66"/>
    <w:rsid w:val="001D0762"/>
    <w:rsid w:val="001D32CC"/>
    <w:rsid w:val="001D6612"/>
    <w:rsid w:val="001E238E"/>
    <w:rsid w:val="001E2483"/>
    <w:rsid w:val="001E2B1E"/>
    <w:rsid w:val="001E30D4"/>
    <w:rsid w:val="001E52EB"/>
    <w:rsid w:val="001E580B"/>
    <w:rsid w:val="001E61D2"/>
    <w:rsid w:val="001E69D8"/>
    <w:rsid w:val="001E740C"/>
    <w:rsid w:val="001F0C07"/>
    <w:rsid w:val="001F0DB8"/>
    <w:rsid w:val="001F1235"/>
    <w:rsid w:val="001F1775"/>
    <w:rsid w:val="001F1CB3"/>
    <w:rsid w:val="001F38B5"/>
    <w:rsid w:val="001F6724"/>
    <w:rsid w:val="001F7361"/>
    <w:rsid w:val="00200FA5"/>
    <w:rsid w:val="002011B0"/>
    <w:rsid w:val="00201483"/>
    <w:rsid w:val="0020254A"/>
    <w:rsid w:val="00202B6E"/>
    <w:rsid w:val="00203181"/>
    <w:rsid w:val="00203783"/>
    <w:rsid w:val="0020385F"/>
    <w:rsid w:val="00204DFE"/>
    <w:rsid w:val="0020517B"/>
    <w:rsid w:val="0020583E"/>
    <w:rsid w:val="00207021"/>
    <w:rsid w:val="0020732F"/>
    <w:rsid w:val="00207D00"/>
    <w:rsid w:val="002105C1"/>
    <w:rsid w:val="00210790"/>
    <w:rsid w:val="002112B4"/>
    <w:rsid w:val="002130CB"/>
    <w:rsid w:val="00216F89"/>
    <w:rsid w:val="0022073A"/>
    <w:rsid w:val="00220C14"/>
    <w:rsid w:val="00222919"/>
    <w:rsid w:val="00223B49"/>
    <w:rsid w:val="00224DD4"/>
    <w:rsid w:val="00226939"/>
    <w:rsid w:val="002309CC"/>
    <w:rsid w:val="0023209F"/>
    <w:rsid w:val="00235D44"/>
    <w:rsid w:val="00235E5A"/>
    <w:rsid w:val="0023629D"/>
    <w:rsid w:val="00237255"/>
    <w:rsid w:val="002374E7"/>
    <w:rsid w:val="0024042D"/>
    <w:rsid w:val="002424AF"/>
    <w:rsid w:val="002439DC"/>
    <w:rsid w:val="00244DC8"/>
    <w:rsid w:val="002458BA"/>
    <w:rsid w:val="0024636C"/>
    <w:rsid w:val="00247925"/>
    <w:rsid w:val="00250BA5"/>
    <w:rsid w:val="0025339C"/>
    <w:rsid w:val="00254DCF"/>
    <w:rsid w:val="0025534B"/>
    <w:rsid w:val="00255BB7"/>
    <w:rsid w:val="00257541"/>
    <w:rsid w:val="00257F05"/>
    <w:rsid w:val="002600D3"/>
    <w:rsid w:val="002609C7"/>
    <w:rsid w:val="00262A1A"/>
    <w:rsid w:val="00262A87"/>
    <w:rsid w:val="00263071"/>
    <w:rsid w:val="00264D26"/>
    <w:rsid w:val="00264E6D"/>
    <w:rsid w:val="00267642"/>
    <w:rsid w:val="00267AEA"/>
    <w:rsid w:val="00267C48"/>
    <w:rsid w:val="002700E6"/>
    <w:rsid w:val="00271376"/>
    <w:rsid w:val="00271951"/>
    <w:rsid w:val="0027294B"/>
    <w:rsid w:val="00275C5A"/>
    <w:rsid w:val="0027731D"/>
    <w:rsid w:val="002778EF"/>
    <w:rsid w:val="00281014"/>
    <w:rsid w:val="002818E8"/>
    <w:rsid w:val="0028281D"/>
    <w:rsid w:val="00285192"/>
    <w:rsid w:val="00290D6A"/>
    <w:rsid w:val="00290E74"/>
    <w:rsid w:val="00293220"/>
    <w:rsid w:val="002942D5"/>
    <w:rsid w:val="00294D26"/>
    <w:rsid w:val="002965D2"/>
    <w:rsid w:val="00297155"/>
    <w:rsid w:val="002971AA"/>
    <w:rsid w:val="002A05EB"/>
    <w:rsid w:val="002A0EEB"/>
    <w:rsid w:val="002A14AB"/>
    <w:rsid w:val="002A1E7B"/>
    <w:rsid w:val="002A2F50"/>
    <w:rsid w:val="002A36EE"/>
    <w:rsid w:val="002A5D31"/>
    <w:rsid w:val="002A7B64"/>
    <w:rsid w:val="002B09A4"/>
    <w:rsid w:val="002B0F23"/>
    <w:rsid w:val="002B1C1F"/>
    <w:rsid w:val="002B348C"/>
    <w:rsid w:val="002B34C0"/>
    <w:rsid w:val="002B384E"/>
    <w:rsid w:val="002B432F"/>
    <w:rsid w:val="002B4EC5"/>
    <w:rsid w:val="002B5AAD"/>
    <w:rsid w:val="002B62B3"/>
    <w:rsid w:val="002B6754"/>
    <w:rsid w:val="002B6CCE"/>
    <w:rsid w:val="002C11B4"/>
    <w:rsid w:val="002C2510"/>
    <w:rsid w:val="002C2775"/>
    <w:rsid w:val="002C27C1"/>
    <w:rsid w:val="002C4417"/>
    <w:rsid w:val="002C5099"/>
    <w:rsid w:val="002C5889"/>
    <w:rsid w:val="002C590B"/>
    <w:rsid w:val="002C5A3E"/>
    <w:rsid w:val="002C71CE"/>
    <w:rsid w:val="002D1C3C"/>
    <w:rsid w:val="002D577C"/>
    <w:rsid w:val="002D649F"/>
    <w:rsid w:val="002E0877"/>
    <w:rsid w:val="002E15B9"/>
    <w:rsid w:val="002E2158"/>
    <w:rsid w:val="002E2259"/>
    <w:rsid w:val="002E765C"/>
    <w:rsid w:val="002E7722"/>
    <w:rsid w:val="002F07BA"/>
    <w:rsid w:val="002F0DA9"/>
    <w:rsid w:val="002F4852"/>
    <w:rsid w:val="002F54F8"/>
    <w:rsid w:val="002F5AE7"/>
    <w:rsid w:val="002F643C"/>
    <w:rsid w:val="002F6ACE"/>
    <w:rsid w:val="002F71C0"/>
    <w:rsid w:val="00301017"/>
    <w:rsid w:val="00301468"/>
    <w:rsid w:val="0030155F"/>
    <w:rsid w:val="0030543C"/>
    <w:rsid w:val="0030587B"/>
    <w:rsid w:val="00306D98"/>
    <w:rsid w:val="0030786C"/>
    <w:rsid w:val="0031031A"/>
    <w:rsid w:val="00310981"/>
    <w:rsid w:val="0031099D"/>
    <w:rsid w:val="003114CC"/>
    <w:rsid w:val="00311D02"/>
    <w:rsid w:val="00315258"/>
    <w:rsid w:val="00315498"/>
    <w:rsid w:val="00316BDD"/>
    <w:rsid w:val="00317E47"/>
    <w:rsid w:val="0032069D"/>
    <w:rsid w:val="00320AA3"/>
    <w:rsid w:val="00320D34"/>
    <w:rsid w:val="00321C35"/>
    <w:rsid w:val="00322107"/>
    <w:rsid w:val="00322846"/>
    <w:rsid w:val="00323593"/>
    <w:rsid w:val="00324A98"/>
    <w:rsid w:val="00325BB6"/>
    <w:rsid w:val="00326344"/>
    <w:rsid w:val="003269B6"/>
    <w:rsid w:val="00326DA7"/>
    <w:rsid w:val="003270E4"/>
    <w:rsid w:val="00327259"/>
    <w:rsid w:val="00327C0A"/>
    <w:rsid w:val="00330F5C"/>
    <w:rsid w:val="00332776"/>
    <w:rsid w:val="00335E20"/>
    <w:rsid w:val="003366C9"/>
    <w:rsid w:val="003371B0"/>
    <w:rsid w:val="00340DF1"/>
    <w:rsid w:val="00341A68"/>
    <w:rsid w:val="00342344"/>
    <w:rsid w:val="00342C96"/>
    <w:rsid w:val="003435E6"/>
    <w:rsid w:val="003438C2"/>
    <w:rsid w:val="003442FF"/>
    <w:rsid w:val="00345289"/>
    <w:rsid w:val="00346988"/>
    <w:rsid w:val="0034716E"/>
    <w:rsid w:val="003517F9"/>
    <w:rsid w:val="00352C26"/>
    <w:rsid w:val="00353349"/>
    <w:rsid w:val="00355848"/>
    <w:rsid w:val="0035620E"/>
    <w:rsid w:val="00361095"/>
    <w:rsid w:val="003624C4"/>
    <w:rsid w:val="00364621"/>
    <w:rsid w:val="0036530F"/>
    <w:rsid w:val="003654AC"/>
    <w:rsid w:val="00370C5B"/>
    <w:rsid w:val="003710CF"/>
    <w:rsid w:val="0037358A"/>
    <w:rsid w:val="00374384"/>
    <w:rsid w:val="003750F6"/>
    <w:rsid w:val="00375572"/>
    <w:rsid w:val="003760FC"/>
    <w:rsid w:val="00376114"/>
    <w:rsid w:val="00377A83"/>
    <w:rsid w:val="0038061E"/>
    <w:rsid w:val="0038135C"/>
    <w:rsid w:val="0038365C"/>
    <w:rsid w:val="0038369B"/>
    <w:rsid w:val="00383B78"/>
    <w:rsid w:val="00383F02"/>
    <w:rsid w:val="00384EAE"/>
    <w:rsid w:val="003852BF"/>
    <w:rsid w:val="00385A9D"/>
    <w:rsid w:val="00386B19"/>
    <w:rsid w:val="00387E91"/>
    <w:rsid w:val="003902B1"/>
    <w:rsid w:val="00390E23"/>
    <w:rsid w:val="003936FE"/>
    <w:rsid w:val="00393E09"/>
    <w:rsid w:val="00395558"/>
    <w:rsid w:val="00396896"/>
    <w:rsid w:val="00396BF7"/>
    <w:rsid w:val="00396FD0"/>
    <w:rsid w:val="003A1A7A"/>
    <w:rsid w:val="003A2392"/>
    <w:rsid w:val="003A2831"/>
    <w:rsid w:val="003A3ED1"/>
    <w:rsid w:val="003A5B1E"/>
    <w:rsid w:val="003B1801"/>
    <w:rsid w:val="003B5B61"/>
    <w:rsid w:val="003B742F"/>
    <w:rsid w:val="003C1654"/>
    <w:rsid w:val="003C4042"/>
    <w:rsid w:val="003C71C7"/>
    <w:rsid w:val="003C7D19"/>
    <w:rsid w:val="003D1828"/>
    <w:rsid w:val="003D1DE4"/>
    <w:rsid w:val="003D2422"/>
    <w:rsid w:val="003D30F8"/>
    <w:rsid w:val="003D39A1"/>
    <w:rsid w:val="003D3FBF"/>
    <w:rsid w:val="003D4A30"/>
    <w:rsid w:val="003D5C4D"/>
    <w:rsid w:val="003D79BB"/>
    <w:rsid w:val="003D7C98"/>
    <w:rsid w:val="003E0543"/>
    <w:rsid w:val="003E05EC"/>
    <w:rsid w:val="003E273C"/>
    <w:rsid w:val="003E2DCE"/>
    <w:rsid w:val="003E393A"/>
    <w:rsid w:val="003E523F"/>
    <w:rsid w:val="003E5FD4"/>
    <w:rsid w:val="003F0CF4"/>
    <w:rsid w:val="003F14C2"/>
    <w:rsid w:val="003F1FED"/>
    <w:rsid w:val="003F4156"/>
    <w:rsid w:val="00400354"/>
    <w:rsid w:val="004003F1"/>
    <w:rsid w:val="00400B29"/>
    <w:rsid w:val="00402E57"/>
    <w:rsid w:val="0040359F"/>
    <w:rsid w:val="0040504B"/>
    <w:rsid w:val="004061FC"/>
    <w:rsid w:val="00406861"/>
    <w:rsid w:val="004075B6"/>
    <w:rsid w:val="00410708"/>
    <w:rsid w:val="00410EC7"/>
    <w:rsid w:val="00411B39"/>
    <w:rsid w:val="00411FB7"/>
    <w:rsid w:val="0041332C"/>
    <w:rsid w:val="00413A1E"/>
    <w:rsid w:val="00413EC1"/>
    <w:rsid w:val="00414476"/>
    <w:rsid w:val="00414C2E"/>
    <w:rsid w:val="004151CF"/>
    <w:rsid w:val="00415EE9"/>
    <w:rsid w:val="00416364"/>
    <w:rsid w:val="00417E3C"/>
    <w:rsid w:val="00420AA6"/>
    <w:rsid w:val="00420B9F"/>
    <w:rsid w:val="00421977"/>
    <w:rsid w:val="00422260"/>
    <w:rsid w:val="00423C7E"/>
    <w:rsid w:val="0042413F"/>
    <w:rsid w:val="00426AC9"/>
    <w:rsid w:val="004319F8"/>
    <w:rsid w:val="00431E55"/>
    <w:rsid w:val="004321F6"/>
    <w:rsid w:val="00433044"/>
    <w:rsid w:val="00435239"/>
    <w:rsid w:val="00436914"/>
    <w:rsid w:val="004375B9"/>
    <w:rsid w:val="00437CA1"/>
    <w:rsid w:val="00437D4D"/>
    <w:rsid w:val="0044134F"/>
    <w:rsid w:val="004428D0"/>
    <w:rsid w:val="004443A7"/>
    <w:rsid w:val="0044442C"/>
    <w:rsid w:val="00445941"/>
    <w:rsid w:val="004464EB"/>
    <w:rsid w:val="00447561"/>
    <w:rsid w:val="00447D26"/>
    <w:rsid w:val="00450C34"/>
    <w:rsid w:val="0045582A"/>
    <w:rsid w:val="00455D45"/>
    <w:rsid w:val="00464595"/>
    <w:rsid w:val="00472A79"/>
    <w:rsid w:val="00473F19"/>
    <w:rsid w:val="00475E22"/>
    <w:rsid w:val="004768AD"/>
    <w:rsid w:val="00477ADD"/>
    <w:rsid w:val="0048088E"/>
    <w:rsid w:val="00482720"/>
    <w:rsid w:val="004835E7"/>
    <w:rsid w:val="004837A6"/>
    <w:rsid w:val="004867E2"/>
    <w:rsid w:val="00491B3A"/>
    <w:rsid w:val="00492CFD"/>
    <w:rsid w:val="0049316B"/>
    <w:rsid w:val="00494DD5"/>
    <w:rsid w:val="004962D2"/>
    <w:rsid w:val="004964A4"/>
    <w:rsid w:val="0049767C"/>
    <w:rsid w:val="004A07B9"/>
    <w:rsid w:val="004A0DA1"/>
    <w:rsid w:val="004A1EA6"/>
    <w:rsid w:val="004A4A8F"/>
    <w:rsid w:val="004A52E9"/>
    <w:rsid w:val="004A6597"/>
    <w:rsid w:val="004A7848"/>
    <w:rsid w:val="004B1CB4"/>
    <w:rsid w:val="004B2F18"/>
    <w:rsid w:val="004B3DDB"/>
    <w:rsid w:val="004B44FD"/>
    <w:rsid w:val="004B4EA3"/>
    <w:rsid w:val="004B525E"/>
    <w:rsid w:val="004B57D1"/>
    <w:rsid w:val="004B5CFC"/>
    <w:rsid w:val="004B5E5A"/>
    <w:rsid w:val="004B774D"/>
    <w:rsid w:val="004B7768"/>
    <w:rsid w:val="004B7DD1"/>
    <w:rsid w:val="004C1743"/>
    <w:rsid w:val="004C2F73"/>
    <w:rsid w:val="004C34F0"/>
    <w:rsid w:val="004C4AED"/>
    <w:rsid w:val="004D0F1C"/>
    <w:rsid w:val="004D1872"/>
    <w:rsid w:val="004D2C2D"/>
    <w:rsid w:val="004D330D"/>
    <w:rsid w:val="004D5B10"/>
    <w:rsid w:val="004D7227"/>
    <w:rsid w:val="004D7A99"/>
    <w:rsid w:val="004E0E7F"/>
    <w:rsid w:val="004E0EB8"/>
    <w:rsid w:val="004E2ADC"/>
    <w:rsid w:val="004E317B"/>
    <w:rsid w:val="004E4390"/>
    <w:rsid w:val="004E43B2"/>
    <w:rsid w:val="004E7845"/>
    <w:rsid w:val="004F1D02"/>
    <w:rsid w:val="004F2679"/>
    <w:rsid w:val="004F2F21"/>
    <w:rsid w:val="004F4D8A"/>
    <w:rsid w:val="004F5E73"/>
    <w:rsid w:val="004F6913"/>
    <w:rsid w:val="004F7865"/>
    <w:rsid w:val="0050219B"/>
    <w:rsid w:val="0050294A"/>
    <w:rsid w:val="00503F17"/>
    <w:rsid w:val="00504244"/>
    <w:rsid w:val="005043CB"/>
    <w:rsid w:val="00506928"/>
    <w:rsid w:val="005078FE"/>
    <w:rsid w:val="0051030E"/>
    <w:rsid w:val="00510BB4"/>
    <w:rsid w:val="00510CF6"/>
    <w:rsid w:val="0051107F"/>
    <w:rsid w:val="005152B5"/>
    <w:rsid w:val="00517F0D"/>
    <w:rsid w:val="00521319"/>
    <w:rsid w:val="00521360"/>
    <w:rsid w:val="00521560"/>
    <w:rsid w:val="005221B0"/>
    <w:rsid w:val="00522BC8"/>
    <w:rsid w:val="00523BD4"/>
    <w:rsid w:val="00523C28"/>
    <w:rsid w:val="00525B23"/>
    <w:rsid w:val="0052671A"/>
    <w:rsid w:val="005271E9"/>
    <w:rsid w:val="00527975"/>
    <w:rsid w:val="00531211"/>
    <w:rsid w:val="00532F2D"/>
    <w:rsid w:val="00532FA8"/>
    <w:rsid w:val="00534D57"/>
    <w:rsid w:val="00535C92"/>
    <w:rsid w:val="00536F42"/>
    <w:rsid w:val="00537182"/>
    <w:rsid w:val="00540874"/>
    <w:rsid w:val="00541F42"/>
    <w:rsid w:val="00542706"/>
    <w:rsid w:val="00542743"/>
    <w:rsid w:val="00542C2D"/>
    <w:rsid w:val="00550E38"/>
    <w:rsid w:val="00551189"/>
    <w:rsid w:val="00551985"/>
    <w:rsid w:val="0055284F"/>
    <w:rsid w:val="00552BD3"/>
    <w:rsid w:val="00552C81"/>
    <w:rsid w:val="005544A0"/>
    <w:rsid w:val="00555109"/>
    <w:rsid w:val="00555115"/>
    <w:rsid w:val="00556268"/>
    <w:rsid w:val="00560988"/>
    <w:rsid w:val="00565425"/>
    <w:rsid w:val="0056641D"/>
    <w:rsid w:val="0056696F"/>
    <w:rsid w:val="005670AD"/>
    <w:rsid w:val="00567853"/>
    <w:rsid w:val="00570CD6"/>
    <w:rsid w:val="00572269"/>
    <w:rsid w:val="0057244A"/>
    <w:rsid w:val="0057346C"/>
    <w:rsid w:val="00573C10"/>
    <w:rsid w:val="00575A3A"/>
    <w:rsid w:val="00575D8D"/>
    <w:rsid w:val="00576972"/>
    <w:rsid w:val="00576A3E"/>
    <w:rsid w:val="0057751D"/>
    <w:rsid w:val="00583699"/>
    <w:rsid w:val="005845C7"/>
    <w:rsid w:val="00585CDD"/>
    <w:rsid w:val="005866AF"/>
    <w:rsid w:val="00587058"/>
    <w:rsid w:val="00587DD5"/>
    <w:rsid w:val="00591957"/>
    <w:rsid w:val="00593CDB"/>
    <w:rsid w:val="00594E53"/>
    <w:rsid w:val="005957D1"/>
    <w:rsid w:val="00597BF9"/>
    <w:rsid w:val="005A09CF"/>
    <w:rsid w:val="005A249E"/>
    <w:rsid w:val="005A373D"/>
    <w:rsid w:val="005A39CD"/>
    <w:rsid w:val="005B241B"/>
    <w:rsid w:val="005B569D"/>
    <w:rsid w:val="005B5857"/>
    <w:rsid w:val="005B5DB7"/>
    <w:rsid w:val="005B660D"/>
    <w:rsid w:val="005C0BEA"/>
    <w:rsid w:val="005C1B83"/>
    <w:rsid w:val="005C2D55"/>
    <w:rsid w:val="005C346B"/>
    <w:rsid w:val="005C5BF6"/>
    <w:rsid w:val="005C6448"/>
    <w:rsid w:val="005C75A0"/>
    <w:rsid w:val="005D044D"/>
    <w:rsid w:val="005D0ABD"/>
    <w:rsid w:val="005D18AD"/>
    <w:rsid w:val="005D1E26"/>
    <w:rsid w:val="005D26B4"/>
    <w:rsid w:val="005D3E90"/>
    <w:rsid w:val="005D562D"/>
    <w:rsid w:val="005D76A4"/>
    <w:rsid w:val="005E12DE"/>
    <w:rsid w:val="005E1F32"/>
    <w:rsid w:val="005E5742"/>
    <w:rsid w:val="005E6CBC"/>
    <w:rsid w:val="005E73C0"/>
    <w:rsid w:val="005F039D"/>
    <w:rsid w:val="005F0855"/>
    <w:rsid w:val="005F2706"/>
    <w:rsid w:val="005F5D1C"/>
    <w:rsid w:val="005F6A8F"/>
    <w:rsid w:val="00603DB9"/>
    <w:rsid w:val="006051C0"/>
    <w:rsid w:val="0060655F"/>
    <w:rsid w:val="00607669"/>
    <w:rsid w:val="00607AFD"/>
    <w:rsid w:val="0061129E"/>
    <w:rsid w:val="00612F97"/>
    <w:rsid w:val="0061345D"/>
    <w:rsid w:val="00616802"/>
    <w:rsid w:val="00617E12"/>
    <w:rsid w:val="00621477"/>
    <w:rsid w:val="00622194"/>
    <w:rsid w:val="006239BD"/>
    <w:rsid w:val="00625BC3"/>
    <w:rsid w:val="0063158F"/>
    <w:rsid w:val="00631BBD"/>
    <w:rsid w:val="00631D6B"/>
    <w:rsid w:val="006330A1"/>
    <w:rsid w:val="00633335"/>
    <w:rsid w:val="006344E3"/>
    <w:rsid w:val="0063479F"/>
    <w:rsid w:val="006353F0"/>
    <w:rsid w:val="00635A69"/>
    <w:rsid w:val="006364A1"/>
    <w:rsid w:val="00637BFD"/>
    <w:rsid w:val="00641330"/>
    <w:rsid w:val="00641C4E"/>
    <w:rsid w:val="006471CC"/>
    <w:rsid w:val="0065079F"/>
    <w:rsid w:val="006521E4"/>
    <w:rsid w:val="006526E8"/>
    <w:rsid w:val="006527D3"/>
    <w:rsid w:val="0065379F"/>
    <w:rsid w:val="00653AF1"/>
    <w:rsid w:val="00654EDE"/>
    <w:rsid w:val="006550EA"/>
    <w:rsid w:val="00655CBF"/>
    <w:rsid w:val="006563FC"/>
    <w:rsid w:val="00661C6B"/>
    <w:rsid w:val="006644B6"/>
    <w:rsid w:val="006659C3"/>
    <w:rsid w:val="00673880"/>
    <w:rsid w:val="0067446F"/>
    <w:rsid w:val="00674E42"/>
    <w:rsid w:val="00676EFF"/>
    <w:rsid w:val="00682112"/>
    <w:rsid w:val="00682115"/>
    <w:rsid w:val="006833FE"/>
    <w:rsid w:val="006845EF"/>
    <w:rsid w:val="00686957"/>
    <w:rsid w:val="006872BA"/>
    <w:rsid w:val="00690FF2"/>
    <w:rsid w:val="00691648"/>
    <w:rsid w:val="006917D7"/>
    <w:rsid w:val="006928E5"/>
    <w:rsid w:val="00694F44"/>
    <w:rsid w:val="00696668"/>
    <w:rsid w:val="006A2B97"/>
    <w:rsid w:val="006A2E08"/>
    <w:rsid w:val="006A3A7A"/>
    <w:rsid w:val="006A4C2F"/>
    <w:rsid w:val="006A7C94"/>
    <w:rsid w:val="006A7E5F"/>
    <w:rsid w:val="006B0E8A"/>
    <w:rsid w:val="006B172A"/>
    <w:rsid w:val="006B261B"/>
    <w:rsid w:val="006B2C90"/>
    <w:rsid w:val="006B2E1E"/>
    <w:rsid w:val="006B6DD0"/>
    <w:rsid w:val="006C0D2C"/>
    <w:rsid w:val="006C1831"/>
    <w:rsid w:val="006C2A8E"/>
    <w:rsid w:val="006C7AD8"/>
    <w:rsid w:val="006D12B0"/>
    <w:rsid w:val="006D3C7D"/>
    <w:rsid w:val="006D4974"/>
    <w:rsid w:val="006D4B1E"/>
    <w:rsid w:val="006D5D5F"/>
    <w:rsid w:val="006D7F14"/>
    <w:rsid w:val="006E0F61"/>
    <w:rsid w:val="006E5922"/>
    <w:rsid w:val="006E79CA"/>
    <w:rsid w:val="006F12BB"/>
    <w:rsid w:val="006F1594"/>
    <w:rsid w:val="006F22C8"/>
    <w:rsid w:val="006F2476"/>
    <w:rsid w:val="006F306C"/>
    <w:rsid w:val="006F421D"/>
    <w:rsid w:val="006F43D7"/>
    <w:rsid w:val="006F4FCD"/>
    <w:rsid w:val="006F63A5"/>
    <w:rsid w:val="006F70F5"/>
    <w:rsid w:val="007004E5"/>
    <w:rsid w:val="0070142B"/>
    <w:rsid w:val="00701994"/>
    <w:rsid w:val="0070276E"/>
    <w:rsid w:val="00702F8F"/>
    <w:rsid w:val="00704052"/>
    <w:rsid w:val="00707AD1"/>
    <w:rsid w:val="00707E8C"/>
    <w:rsid w:val="00711A36"/>
    <w:rsid w:val="007140AB"/>
    <w:rsid w:val="007141DE"/>
    <w:rsid w:val="00714270"/>
    <w:rsid w:val="00714549"/>
    <w:rsid w:val="00714A78"/>
    <w:rsid w:val="00714F9D"/>
    <w:rsid w:val="0071529C"/>
    <w:rsid w:val="007172AD"/>
    <w:rsid w:val="0072137E"/>
    <w:rsid w:val="00722236"/>
    <w:rsid w:val="00722B1B"/>
    <w:rsid w:val="0072416F"/>
    <w:rsid w:val="00724865"/>
    <w:rsid w:val="007253B8"/>
    <w:rsid w:val="00726D90"/>
    <w:rsid w:val="00727108"/>
    <w:rsid w:val="00727C94"/>
    <w:rsid w:val="00727CC4"/>
    <w:rsid w:val="0073056E"/>
    <w:rsid w:val="0073100B"/>
    <w:rsid w:val="00731EAE"/>
    <w:rsid w:val="00735033"/>
    <w:rsid w:val="00735328"/>
    <w:rsid w:val="00735E3F"/>
    <w:rsid w:val="0073685B"/>
    <w:rsid w:val="00745193"/>
    <w:rsid w:val="00746D07"/>
    <w:rsid w:val="00751067"/>
    <w:rsid w:val="00752142"/>
    <w:rsid w:val="0075231C"/>
    <w:rsid w:val="007523F9"/>
    <w:rsid w:val="00752D33"/>
    <w:rsid w:val="007573E8"/>
    <w:rsid w:val="0075786D"/>
    <w:rsid w:val="00760AE8"/>
    <w:rsid w:val="00760C4E"/>
    <w:rsid w:val="00761F7F"/>
    <w:rsid w:val="00764A6B"/>
    <w:rsid w:val="007652BA"/>
    <w:rsid w:val="00765B1A"/>
    <w:rsid w:val="00767D93"/>
    <w:rsid w:val="00772475"/>
    <w:rsid w:val="007739FB"/>
    <w:rsid w:val="00780127"/>
    <w:rsid w:val="00780BD2"/>
    <w:rsid w:val="00781928"/>
    <w:rsid w:val="00782E70"/>
    <w:rsid w:val="007843F2"/>
    <w:rsid w:val="00784F9D"/>
    <w:rsid w:val="00790032"/>
    <w:rsid w:val="00796D14"/>
    <w:rsid w:val="007A0A12"/>
    <w:rsid w:val="007A132D"/>
    <w:rsid w:val="007A15FC"/>
    <w:rsid w:val="007A375F"/>
    <w:rsid w:val="007A3F2F"/>
    <w:rsid w:val="007A7835"/>
    <w:rsid w:val="007B0D68"/>
    <w:rsid w:val="007B251D"/>
    <w:rsid w:val="007B4258"/>
    <w:rsid w:val="007B4F58"/>
    <w:rsid w:val="007B528D"/>
    <w:rsid w:val="007B5418"/>
    <w:rsid w:val="007B5E3E"/>
    <w:rsid w:val="007B66BB"/>
    <w:rsid w:val="007B735B"/>
    <w:rsid w:val="007B77D1"/>
    <w:rsid w:val="007C1CD9"/>
    <w:rsid w:val="007C361D"/>
    <w:rsid w:val="007C3A55"/>
    <w:rsid w:val="007C4B84"/>
    <w:rsid w:val="007C4E01"/>
    <w:rsid w:val="007C533B"/>
    <w:rsid w:val="007D004F"/>
    <w:rsid w:val="007D0B38"/>
    <w:rsid w:val="007D0CF0"/>
    <w:rsid w:val="007D53B5"/>
    <w:rsid w:val="007D5440"/>
    <w:rsid w:val="007D7018"/>
    <w:rsid w:val="007D71BF"/>
    <w:rsid w:val="007E387C"/>
    <w:rsid w:val="007E431C"/>
    <w:rsid w:val="007E5BFE"/>
    <w:rsid w:val="007E6ED0"/>
    <w:rsid w:val="007E7EDB"/>
    <w:rsid w:val="007F1017"/>
    <w:rsid w:val="007F2A75"/>
    <w:rsid w:val="007F3682"/>
    <w:rsid w:val="007F3EEF"/>
    <w:rsid w:val="007F4A3F"/>
    <w:rsid w:val="007F4A61"/>
    <w:rsid w:val="007F61C2"/>
    <w:rsid w:val="007F7CC3"/>
    <w:rsid w:val="008012AB"/>
    <w:rsid w:val="00805142"/>
    <w:rsid w:val="00805A7B"/>
    <w:rsid w:val="00806074"/>
    <w:rsid w:val="00807A8B"/>
    <w:rsid w:val="008109E2"/>
    <w:rsid w:val="00811383"/>
    <w:rsid w:val="00812149"/>
    <w:rsid w:val="00812CAC"/>
    <w:rsid w:val="00812F98"/>
    <w:rsid w:val="008166EF"/>
    <w:rsid w:val="008204ED"/>
    <w:rsid w:val="00825751"/>
    <w:rsid w:val="008264EB"/>
    <w:rsid w:val="00830EC9"/>
    <w:rsid w:val="008335FB"/>
    <w:rsid w:val="00833B05"/>
    <w:rsid w:val="00834797"/>
    <w:rsid w:val="00835252"/>
    <w:rsid w:val="008362B4"/>
    <w:rsid w:val="00836865"/>
    <w:rsid w:val="00840CA2"/>
    <w:rsid w:val="008415C9"/>
    <w:rsid w:val="00843174"/>
    <w:rsid w:val="0084374F"/>
    <w:rsid w:val="00847D38"/>
    <w:rsid w:val="00847DF5"/>
    <w:rsid w:val="0085309D"/>
    <w:rsid w:val="00856654"/>
    <w:rsid w:val="00856897"/>
    <w:rsid w:val="00856E9A"/>
    <w:rsid w:val="0086075D"/>
    <w:rsid w:val="00862502"/>
    <w:rsid w:val="00863380"/>
    <w:rsid w:val="008660D4"/>
    <w:rsid w:val="00867B68"/>
    <w:rsid w:val="00870C6C"/>
    <w:rsid w:val="00871FA9"/>
    <w:rsid w:val="008728E9"/>
    <w:rsid w:val="00880BC5"/>
    <w:rsid w:val="00882874"/>
    <w:rsid w:val="00883787"/>
    <w:rsid w:val="00886CD2"/>
    <w:rsid w:val="00892A36"/>
    <w:rsid w:val="00893239"/>
    <w:rsid w:val="00894489"/>
    <w:rsid w:val="008961FB"/>
    <w:rsid w:val="008963A5"/>
    <w:rsid w:val="0089795C"/>
    <w:rsid w:val="008A15F9"/>
    <w:rsid w:val="008A225D"/>
    <w:rsid w:val="008A31B4"/>
    <w:rsid w:val="008A3363"/>
    <w:rsid w:val="008A3371"/>
    <w:rsid w:val="008A3C3E"/>
    <w:rsid w:val="008A4EF1"/>
    <w:rsid w:val="008A64CA"/>
    <w:rsid w:val="008A73AB"/>
    <w:rsid w:val="008A79DE"/>
    <w:rsid w:val="008A7A1D"/>
    <w:rsid w:val="008B0F19"/>
    <w:rsid w:val="008B16DF"/>
    <w:rsid w:val="008B1757"/>
    <w:rsid w:val="008B2A80"/>
    <w:rsid w:val="008B2F56"/>
    <w:rsid w:val="008B3D01"/>
    <w:rsid w:val="008B534B"/>
    <w:rsid w:val="008B55C1"/>
    <w:rsid w:val="008B7D7E"/>
    <w:rsid w:val="008C1935"/>
    <w:rsid w:val="008C2EFD"/>
    <w:rsid w:val="008C36D6"/>
    <w:rsid w:val="008C7ECB"/>
    <w:rsid w:val="008D186A"/>
    <w:rsid w:val="008D243C"/>
    <w:rsid w:val="008D2F72"/>
    <w:rsid w:val="008D4521"/>
    <w:rsid w:val="008D4755"/>
    <w:rsid w:val="008D4C3D"/>
    <w:rsid w:val="008E0D3C"/>
    <w:rsid w:val="008E1B9E"/>
    <w:rsid w:val="008E2DE3"/>
    <w:rsid w:val="008E50D0"/>
    <w:rsid w:val="008E55AB"/>
    <w:rsid w:val="008E5ECC"/>
    <w:rsid w:val="008E6A67"/>
    <w:rsid w:val="008E7BEE"/>
    <w:rsid w:val="008F120A"/>
    <w:rsid w:val="008F27E0"/>
    <w:rsid w:val="008F48EB"/>
    <w:rsid w:val="008F4F0B"/>
    <w:rsid w:val="00902095"/>
    <w:rsid w:val="00902B36"/>
    <w:rsid w:val="009046C4"/>
    <w:rsid w:val="009062A5"/>
    <w:rsid w:val="00911272"/>
    <w:rsid w:val="00913336"/>
    <w:rsid w:val="009135D6"/>
    <w:rsid w:val="00914C77"/>
    <w:rsid w:val="009171BD"/>
    <w:rsid w:val="009179E2"/>
    <w:rsid w:val="00920237"/>
    <w:rsid w:val="009204E8"/>
    <w:rsid w:val="0092369B"/>
    <w:rsid w:val="00930F14"/>
    <w:rsid w:val="00933977"/>
    <w:rsid w:val="00935BC2"/>
    <w:rsid w:val="00936BD2"/>
    <w:rsid w:val="00941D37"/>
    <w:rsid w:val="00943FF7"/>
    <w:rsid w:val="00944400"/>
    <w:rsid w:val="009451B4"/>
    <w:rsid w:val="00946D41"/>
    <w:rsid w:val="009475E3"/>
    <w:rsid w:val="00950258"/>
    <w:rsid w:val="009510A2"/>
    <w:rsid w:val="00953257"/>
    <w:rsid w:val="00962CB9"/>
    <w:rsid w:val="00964312"/>
    <w:rsid w:val="00965B8A"/>
    <w:rsid w:val="009667C0"/>
    <w:rsid w:val="009672D4"/>
    <w:rsid w:val="009717AC"/>
    <w:rsid w:val="00973AF3"/>
    <w:rsid w:val="0097450D"/>
    <w:rsid w:val="0097502C"/>
    <w:rsid w:val="00975B49"/>
    <w:rsid w:val="00982541"/>
    <w:rsid w:val="00983E57"/>
    <w:rsid w:val="0098470A"/>
    <w:rsid w:val="0098553D"/>
    <w:rsid w:val="0098675D"/>
    <w:rsid w:val="00987D40"/>
    <w:rsid w:val="00991C41"/>
    <w:rsid w:val="009922A3"/>
    <w:rsid w:val="00993099"/>
    <w:rsid w:val="00993FDC"/>
    <w:rsid w:val="00995F12"/>
    <w:rsid w:val="00996B1A"/>
    <w:rsid w:val="009972DD"/>
    <w:rsid w:val="0099779E"/>
    <w:rsid w:val="00997D50"/>
    <w:rsid w:val="009A05CA"/>
    <w:rsid w:val="009A3120"/>
    <w:rsid w:val="009A7F10"/>
    <w:rsid w:val="009B2AAE"/>
    <w:rsid w:val="009B3E26"/>
    <w:rsid w:val="009B4513"/>
    <w:rsid w:val="009B5360"/>
    <w:rsid w:val="009B5CA5"/>
    <w:rsid w:val="009C3A80"/>
    <w:rsid w:val="009C3B12"/>
    <w:rsid w:val="009C406A"/>
    <w:rsid w:val="009C5CDA"/>
    <w:rsid w:val="009C69A3"/>
    <w:rsid w:val="009C6CEA"/>
    <w:rsid w:val="009C6E80"/>
    <w:rsid w:val="009C7B85"/>
    <w:rsid w:val="009D1814"/>
    <w:rsid w:val="009D206F"/>
    <w:rsid w:val="009D4100"/>
    <w:rsid w:val="009D4A8F"/>
    <w:rsid w:val="009D5B91"/>
    <w:rsid w:val="009D70B8"/>
    <w:rsid w:val="009D792E"/>
    <w:rsid w:val="009E0DFE"/>
    <w:rsid w:val="009E1B74"/>
    <w:rsid w:val="009E2C4C"/>
    <w:rsid w:val="009E306F"/>
    <w:rsid w:val="009E4C07"/>
    <w:rsid w:val="009E524F"/>
    <w:rsid w:val="009E5FCA"/>
    <w:rsid w:val="009E7BF2"/>
    <w:rsid w:val="009F30B8"/>
    <w:rsid w:val="009F4E12"/>
    <w:rsid w:val="009F5F12"/>
    <w:rsid w:val="009F67AA"/>
    <w:rsid w:val="00A00DCC"/>
    <w:rsid w:val="00A01184"/>
    <w:rsid w:val="00A01B07"/>
    <w:rsid w:val="00A03D43"/>
    <w:rsid w:val="00A04380"/>
    <w:rsid w:val="00A055FA"/>
    <w:rsid w:val="00A06E8A"/>
    <w:rsid w:val="00A103A5"/>
    <w:rsid w:val="00A112CF"/>
    <w:rsid w:val="00A1177E"/>
    <w:rsid w:val="00A11CD0"/>
    <w:rsid w:val="00A13948"/>
    <w:rsid w:val="00A1521B"/>
    <w:rsid w:val="00A1552A"/>
    <w:rsid w:val="00A1555B"/>
    <w:rsid w:val="00A155C5"/>
    <w:rsid w:val="00A16AD8"/>
    <w:rsid w:val="00A2009C"/>
    <w:rsid w:val="00A20D11"/>
    <w:rsid w:val="00A21CF3"/>
    <w:rsid w:val="00A2357B"/>
    <w:rsid w:val="00A24853"/>
    <w:rsid w:val="00A27AEC"/>
    <w:rsid w:val="00A30345"/>
    <w:rsid w:val="00A320DB"/>
    <w:rsid w:val="00A33D25"/>
    <w:rsid w:val="00A35257"/>
    <w:rsid w:val="00A35845"/>
    <w:rsid w:val="00A35D16"/>
    <w:rsid w:val="00A37B7E"/>
    <w:rsid w:val="00A37BCD"/>
    <w:rsid w:val="00A43AEB"/>
    <w:rsid w:val="00A43C59"/>
    <w:rsid w:val="00A43F61"/>
    <w:rsid w:val="00A45C2B"/>
    <w:rsid w:val="00A504E1"/>
    <w:rsid w:val="00A50ECD"/>
    <w:rsid w:val="00A518F3"/>
    <w:rsid w:val="00A51DD1"/>
    <w:rsid w:val="00A52729"/>
    <w:rsid w:val="00A53675"/>
    <w:rsid w:val="00A5443E"/>
    <w:rsid w:val="00A54A7A"/>
    <w:rsid w:val="00A564D7"/>
    <w:rsid w:val="00A56B6A"/>
    <w:rsid w:val="00A578DC"/>
    <w:rsid w:val="00A6016D"/>
    <w:rsid w:val="00A60736"/>
    <w:rsid w:val="00A61FC9"/>
    <w:rsid w:val="00A63159"/>
    <w:rsid w:val="00A64ABC"/>
    <w:rsid w:val="00A662FC"/>
    <w:rsid w:val="00A6681D"/>
    <w:rsid w:val="00A6725B"/>
    <w:rsid w:val="00A70605"/>
    <w:rsid w:val="00A706D6"/>
    <w:rsid w:val="00A73134"/>
    <w:rsid w:val="00A76579"/>
    <w:rsid w:val="00A777B2"/>
    <w:rsid w:val="00A83E82"/>
    <w:rsid w:val="00A854B7"/>
    <w:rsid w:val="00A86DED"/>
    <w:rsid w:val="00A86E8B"/>
    <w:rsid w:val="00A87164"/>
    <w:rsid w:val="00A87449"/>
    <w:rsid w:val="00A92027"/>
    <w:rsid w:val="00A93072"/>
    <w:rsid w:val="00A93953"/>
    <w:rsid w:val="00A94CEA"/>
    <w:rsid w:val="00A959D8"/>
    <w:rsid w:val="00AA06D9"/>
    <w:rsid w:val="00AA0C9C"/>
    <w:rsid w:val="00AA113D"/>
    <w:rsid w:val="00AA6B81"/>
    <w:rsid w:val="00AA6C7D"/>
    <w:rsid w:val="00AA7FD6"/>
    <w:rsid w:val="00AB042A"/>
    <w:rsid w:val="00AB10A8"/>
    <w:rsid w:val="00AB26C5"/>
    <w:rsid w:val="00AB2D34"/>
    <w:rsid w:val="00AB3430"/>
    <w:rsid w:val="00AB4AD1"/>
    <w:rsid w:val="00AB5A8E"/>
    <w:rsid w:val="00AB7587"/>
    <w:rsid w:val="00AB7CFA"/>
    <w:rsid w:val="00AC27F5"/>
    <w:rsid w:val="00AC2D96"/>
    <w:rsid w:val="00AC3DF6"/>
    <w:rsid w:val="00AC5B48"/>
    <w:rsid w:val="00AC6EED"/>
    <w:rsid w:val="00AC7FA9"/>
    <w:rsid w:val="00AD0D7B"/>
    <w:rsid w:val="00AD0EC2"/>
    <w:rsid w:val="00AD360E"/>
    <w:rsid w:val="00AD6502"/>
    <w:rsid w:val="00AD6F59"/>
    <w:rsid w:val="00AE483D"/>
    <w:rsid w:val="00AF1315"/>
    <w:rsid w:val="00AF19BF"/>
    <w:rsid w:val="00AF2DC3"/>
    <w:rsid w:val="00AF33D4"/>
    <w:rsid w:val="00AF365B"/>
    <w:rsid w:val="00AF3CBE"/>
    <w:rsid w:val="00AF68A5"/>
    <w:rsid w:val="00AF6F1D"/>
    <w:rsid w:val="00B00BDE"/>
    <w:rsid w:val="00B012AE"/>
    <w:rsid w:val="00B033E5"/>
    <w:rsid w:val="00B03948"/>
    <w:rsid w:val="00B03A63"/>
    <w:rsid w:val="00B07E4D"/>
    <w:rsid w:val="00B14D05"/>
    <w:rsid w:val="00B15806"/>
    <w:rsid w:val="00B201A4"/>
    <w:rsid w:val="00B213A6"/>
    <w:rsid w:val="00B2415F"/>
    <w:rsid w:val="00B24DF6"/>
    <w:rsid w:val="00B326F3"/>
    <w:rsid w:val="00B34FE2"/>
    <w:rsid w:val="00B357D8"/>
    <w:rsid w:val="00B35C0E"/>
    <w:rsid w:val="00B374E8"/>
    <w:rsid w:val="00B37BFC"/>
    <w:rsid w:val="00B40358"/>
    <w:rsid w:val="00B406EB"/>
    <w:rsid w:val="00B41614"/>
    <w:rsid w:val="00B42851"/>
    <w:rsid w:val="00B42F80"/>
    <w:rsid w:val="00B435CB"/>
    <w:rsid w:val="00B439CC"/>
    <w:rsid w:val="00B474EB"/>
    <w:rsid w:val="00B4789F"/>
    <w:rsid w:val="00B50DB8"/>
    <w:rsid w:val="00B5234C"/>
    <w:rsid w:val="00B52422"/>
    <w:rsid w:val="00B52F6E"/>
    <w:rsid w:val="00B53654"/>
    <w:rsid w:val="00B536B9"/>
    <w:rsid w:val="00B53905"/>
    <w:rsid w:val="00B54B5B"/>
    <w:rsid w:val="00B5562E"/>
    <w:rsid w:val="00B56C1C"/>
    <w:rsid w:val="00B57000"/>
    <w:rsid w:val="00B60939"/>
    <w:rsid w:val="00B60AFD"/>
    <w:rsid w:val="00B616BC"/>
    <w:rsid w:val="00B62715"/>
    <w:rsid w:val="00B633CD"/>
    <w:rsid w:val="00B64868"/>
    <w:rsid w:val="00B705A9"/>
    <w:rsid w:val="00B72080"/>
    <w:rsid w:val="00B80C8F"/>
    <w:rsid w:val="00B81493"/>
    <w:rsid w:val="00B818A4"/>
    <w:rsid w:val="00B83080"/>
    <w:rsid w:val="00B83746"/>
    <w:rsid w:val="00B84117"/>
    <w:rsid w:val="00B8584B"/>
    <w:rsid w:val="00B858AE"/>
    <w:rsid w:val="00B85AA2"/>
    <w:rsid w:val="00B8649C"/>
    <w:rsid w:val="00B86F15"/>
    <w:rsid w:val="00B87F0A"/>
    <w:rsid w:val="00B9158A"/>
    <w:rsid w:val="00B92D0B"/>
    <w:rsid w:val="00B94945"/>
    <w:rsid w:val="00B9506B"/>
    <w:rsid w:val="00BA0C2F"/>
    <w:rsid w:val="00BA1C93"/>
    <w:rsid w:val="00BA275B"/>
    <w:rsid w:val="00BA322D"/>
    <w:rsid w:val="00BA3D22"/>
    <w:rsid w:val="00BB0BDD"/>
    <w:rsid w:val="00BB2289"/>
    <w:rsid w:val="00BB2A73"/>
    <w:rsid w:val="00BB4ACC"/>
    <w:rsid w:val="00BB703E"/>
    <w:rsid w:val="00BB7405"/>
    <w:rsid w:val="00BC247F"/>
    <w:rsid w:val="00BC3631"/>
    <w:rsid w:val="00BC5593"/>
    <w:rsid w:val="00BD0AB9"/>
    <w:rsid w:val="00BD40FA"/>
    <w:rsid w:val="00BD68A3"/>
    <w:rsid w:val="00BD6938"/>
    <w:rsid w:val="00BD6CF3"/>
    <w:rsid w:val="00BE0258"/>
    <w:rsid w:val="00BE0819"/>
    <w:rsid w:val="00BE157A"/>
    <w:rsid w:val="00BE2180"/>
    <w:rsid w:val="00BE21F2"/>
    <w:rsid w:val="00BE25A5"/>
    <w:rsid w:val="00BE41F8"/>
    <w:rsid w:val="00BE4275"/>
    <w:rsid w:val="00BE6569"/>
    <w:rsid w:val="00BE7497"/>
    <w:rsid w:val="00BE7AA8"/>
    <w:rsid w:val="00BE7ACE"/>
    <w:rsid w:val="00BF0F95"/>
    <w:rsid w:val="00BF2433"/>
    <w:rsid w:val="00BF2CD3"/>
    <w:rsid w:val="00BF4E60"/>
    <w:rsid w:val="00BF61C9"/>
    <w:rsid w:val="00BF6C94"/>
    <w:rsid w:val="00C00424"/>
    <w:rsid w:val="00C02840"/>
    <w:rsid w:val="00C040DE"/>
    <w:rsid w:val="00C04F78"/>
    <w:rsid w:val="00C05D00"/>
    <w:rsid w:val="00C11489"/>
    <w:rsid w:val="00C12C14"/>
    <w:rsid w:val="00C12D62"/>
    <w:rsid w:val="00C139DE"/>
    <w:rsid w:val="00C16A0C"/>
    <w:rsid w:val="00C200AA"/>
    <w:rsid w:val="00C20DAE"/>
    <w:rsid w:val="00C20FAD"/>
    <w:rsid w:val="00C237ED"/>
    <w:rsid w:val="00C24632"/>
    <w:rsid w:val="00C25418"/>
    <w:rsid w:val="00C25D9C"/>
    <w:rsid w:val="00C2778B"/>
    <w:rsid w:val="00C31021"/>
    <w:rsid w:val="00C31649"/>
    <w:rsid w:val="00C4030C"/>
    <w:rsid w:val="00C40385"/>
    <w:rsid w:val="00C4207F"/>
    <w:rsid w:val="00C43B86"/>
    <w:rsid w:val="00C463FF"/>
    <w:rsid w:val="00C475AA"/>
    <w:rsid w:val="00C54486"/>
    <w:rsid w:val="00C574F7"/>
    <w:rsid w:val="00C618FD"/>
    <w:rsid w:val="00C621EC"/>
    <w:rsid w:val="00C62897"/>
    <w:rsid w:val="00C6438B"/>
    <w:rsid w:val="00C6515A"/>
    <w:rsid w:val="00C65576"/>
    <w:rsid w:val="00C65EB8"/>
    <w:rsid w:val="00C66165"/>
    <w:rsid w:val="00C7151A"/>
    <w:rsid w:val="00C71F60"/>
    <w:rsid w:val="00C72241"/>
    <w:rsid w:val="00C72427"/>
    <w:rsid w:val="00C750C8"/>
    <w:rsid w:val="00C7560F"/>
    <w:rsid w:val="00C80A0E"/>
    <w:rsid w:val="00C8213F"/>
    <w:rsid w:val="00C8281F"/>
    <w:rsid w:val="00C86EB8"/>
    <w:rsid w:val="00C8797A"/>
    <w:rsid w:val="00C900B8"/>
    <w:rsid w:val="00C90C71"/>
    <w:rsid w:val="00C91A08"/>
    <w:rsid w:val="00C92799"/>
    <w:rsid w:val="00C93007"/>
    <w:rsid w:val="00C931CF"/>
    <w:rsid w:val="00C938CF"/>
    <w:rsid w:val="00C94160"/>
    <w:rsid w:val="00C9624D"/>
    <w:rsid w:val="00C969DA"/>
    <w:rsid w:val="00CA2C77"/>
    <w:rsid w:val="00CA444F"/>
    <w:rsid w:val="00CA5245"/>
    <w:rsid w:val="00CA688C"/>
    <w:rsid w:val="00CA71F4"/>
    <w:rsid w:val="00CA7B09"/>
    <w:rsid w:val="00CB17B5"/>
    <w:rsid w:val="00CB1CF6"/>
    <w:rsid w:val="00CB20D0"/>
    <w:rsid w:val="00CB2F2A"/>
    <w:rsid w:val="00CB3B50"/>
    <w:rsid w:val="00CB4048"/>
    <w:rsid w:val="00CB5B1A"/>
    <w:rsid w:val="00CB6B22"/>
    <w:rsid w:val="00CB71EB"/>
    <w:rsid w:val="00CB7302"/>
    <w:rsid w:val="00CB7ECB"/>
    <w:rsid w:val="00CB7F5F"/>
    <w:rsid w:val="00CC17DB"/>
    <w:rsid w:val="00CC1B39"/>
    <w:rsid w:val="00CC3135"/>
    <w:rsid w:val="00CD37B7"/>
    <w:rsid w:val="00CD40F7"/>
    <w:rsid w:val="00CD5C6C"/>
    <w:rsid w:val="00CD6ADC"/>
    <w:rsid w:val="00CD7801"/>
    <w:rsid w:val="00CE184B"/>
    <w:rsid w:val="00CE1EE7"/>
    <w:rsid w:val="00CE2408"/>
    <w:rsid w:val="00CE2F19"/>
    <w:rsid w:val="00CE6274"/>
    <w:rsid w:val="00CF0B54"/>
    <w:rsid w:val="00CF0D59"/>
    <w:rsid w:val="00CF2B8D"/>
    <w:rsid w:val="00CF456B"/>
    <w:rsid w:val="00CF5203"/>
    <w:rsid w:val="00CF5A22"/>
    <w:rsid w:val="00CF6114"/>
    <w:rsid w:val="00D0262E"/>
    <w:rsid w:val="00D02B2A"/>
    <w:rsid w:val="00D07F83"/>
    <w:rsid w:val="00D110BD"/>
    <w:rsid w:val="00D13675"/>
    <w:rsid w:val="00D141E1"/>
    <w:rsid w:val="00D160BB"/>
    <w:rsid w:val="00D16D3D"/>
    <w:rsid w:val="00D17D6C"/>
    <w:rsid w:val="00D2236A"/>
    <w:rsid w:val="00D2754D"/>
    <w:rsid w:val="00D27B27"/>
    <w:rsid w:val="00D33BE9"/>
    <w:rsid w:val="00D357FF"/>
    <w:rsid w:val="00D35F22"/>
    <w:rsid w:val="00D36CCF"/>
    <w:rsid w:val="00D36EE3"/>
    <w:rsid w:val="00D40806"/>
    <w:rsid w:val="00D40ED5"/>
    <w:rsid w:val="00D424C7"/>
    <w:rsid w:val="00D426B6"/>
    <w:rsid w:val="00D43B2A"/>
    <w:rsid w:val="00D46A42"/>
    <w:rsid w:val="00D47575"/>
    <w:rsid w:val="00D531A0"/>
    <w:rsid w:val="00D53BD5"/>
    <w:rsid w:val="00D63251"/>
    <w:rsid w:val="00D66BEC"/>
    <w:rsid w:val="00D70F16"/>
    <w:rsid w:val="00D74E37"/>
    <w:rsid w:val="00D76A44"/>
    <w:rsid w:val="00D815EF"/>
    <w:rsid w:val="00D83B21"/>
    <w:rsid w:val="00D83B51"/>
    <w:rsid w:val="00D84049"/>
    <w:rsid w:val="00D8418F"/>
    <w:rsid w:val="00D841DB"/>
    <w:rsid w:val="00D869EC"/>
    <w:rsid w:val="00D91923"/>
    <w:rsid w:val="00D92012"/>
    <w:rsid w:val="00D93186"/>
    <w:rsid w:val="00D93333"/>
    <w:rsid w:val="00D93753"/>
    <w:rsid w:val="00D9429D"/>
    <w:rsid w:val="00DA3167"/>
    <w:rsid w:val="00DA4DC3"/>
    <w:rsid w:val="00DA76A3"/>
    <w:rsid w:val="00DA77A5"/>
    <w:rsid w:val="00DB4101"/>
    <w:rsid w:val="00DB484F"/>
    <w:rsid w:val="00DB5290"/>
    <w:rsid w:val="00DB645D"/>
    <w:rsid w:val="00DB6E41"/>
    <w:rsid w:val="00DC04F6"/>
    <w:rsid w:val="00DC16A1"/>
    <w:rsid w:val="00DC2249"/>
    <w:rsid w:val="00DC35EA"/>
    <w:rsid w:val="00DC3C57"/>
    <w:rsid w:val="00DC3F9E"/>
    <w:rsid w:val="00DC4667"/>
    <w:rsid w:val="00DC5501"/>
    <w:rsid w:val="00DC5BD9"/>
    <w:rsid w:val="00DC628A"/>
    <w:rsid w:val="00DD1495"/>
    <w:rsid w:val="00DD273C"/>
    <w:rsid w:val="00DD3F28"/>
    <w:rsid w:val="00DD42C4"/>
    <w:rsid w:val="00DD449B"/>
    <w:rsid w:val="00DD4537"/>
    <w:rsid w:val="00DD4E15"/>
    <w:rsid w:val="00DD52A0"/>
    <w:rsid w:val="00DD65B0"/>
    <w:rsid w:val="00DE0FB5"/>
    <w:rsid w:val="00DE3138"/>
    <w:rsid w:val="00DE37F8"/>
    <w:rsid w:val="00DE4FCB"/>
    <w:rsid w:val="00DE7832"/>
    <w:rsid w:val="00DF0B45"/>
    <w:rsid w:val="00DF0DD5"/>
    <w:rsid w:val="00DF18FC"/>
    <w:rsid w:val="00DF1A1E"/>
    <w:rsid w:val="00DF2259"/>
    <w:rsid w:val="00DF3B04"/>
    <w:rsid w:val="00DF3EC9"/>
    <w:rsid w:val="00DF4381"/>
    <w:rsid w:val="00DF5D2B"/>
    <w:rsid w:val="00DF698F"/>
    <w:rsid w:val="00E00E8E"/>
    <w:rsid w:val="00E00ED7"/>
    <w:rsid w:val="00E00EDD"/>
    <w:rsid w:val="00E0152E"/>
    <w:rsid w:val="00E022C8"/>
    <w:rsid w:val="00E03C23"/>
    <w:rsid w:val="00E05005"/>
    <w:rsid w:val="00E05630"/>
    <w:rsid w:val="00E06DBB"/>
    <w:rsid w:val="00E10149"/>
    <w:rsid w:val="00E103AE"/>
    <w:rsid w:val="00E12338"/>
    <w:rsid w:val="00E16372"/>
    <w:rsid w:val="00E16A8C"/>
    <w:rsid w:val="00E20A0B"/>
    <w:rsid w:val="00E20E4D"/>
    <w:rsid w:val="00E20ED6"/>
    <w:rsid w:val="00E21358"/>
    <w:rsid w:val="00E2249B"/>
    <w:rsid w:val="00E22A0D"/>
    <w:rsid w:val="00E2485E"/>
    <w:rsid w:val="00E2771E"/>
    <w:rsid w:val="00E3100E"/>
    <w:rsid w:val="00E31BA1"/>
    <w:rsid w:val="00E34208"/>
    <w:rsid w:val="00E34948"/>
    <w:rsid w:val="00E3650B"/>
    <w:rsid w:val="00E37222"/>
    <w:rsid w:val="00E37569"/>
    <w:rsid w:val="00E41172"/>
    <w:rsid w:val="00E41990"/>
    <w:rsid w:val="00E41E30"/>
    <w:rsid w:val="00E42891"/>
    <w:rsid w:val="00E42D7D"/>
    <w:rsid w:val="00E43D70"/>
    <w:rsid w:val="00E4421A"/>
    <w:rsid w:val="00E466F3"/>
    <w:rsid w:val="00E47B2C"/>
    <w:rsid w:val="00E51560"/>
    <w:rsid w:val="00E5254A"/>
    <w:rsid w:val="00E52EE4"/>
    <w:rsid w:val="00E54347"/>
    <w:rsid w:val="00E55424"/>
    <w:rsid w:val="00E55BB5"/>
    <w:rsid w:val="00E621A3"/>
    <w:rsid w:val="00E65E79"/>
    <w:rsid w:val="00E66857"/>
    <w:rsid w:val="00E66BA2"/>
    <w:rsid w:val="00E67416"/>
    <w:rsid w:val="00E71551"/>
    <w:rsid w:val="00E718B6"/>
    <w:rsid w:val="00E723BA"/>
    <w:rsid w:val="00E73581"/>
    <w:rsid w:val="00E7409C"/>
    <w:rsid w:val="00E77219"/>
    <w:rsid w:val="00E77583"/>
    <w:rsid w:val="00E81C2B"/>
    <w:rsid w:val="00E81F8F"/>
    <w:rsid w:val="00E833F7"/>
    <w:rsid w:val="00E838A6"/>
    <w:rsid w:val="00E83BDF"/>
    <w:rsid w:val="00E83F62"/>
    <w:rsid w:val="00E841B3"/>
    <w:rsid w:val="00E8536E"/>
    <w:rsid w:val="00E86CB2"/>
    <w:rsid w:val="00E87A1D"/>
    <w:rsid w:val="00E926A5"/>
    <w:rsid w:val="00E93878"/>
    <w:rsid w:val="00E9673D"/>
    <w:rsid w:val="00EA0FEC"/>
    <w:rsid w:val="00EA17C3"/>
    <w:rsid w:val="00EA2CAA"/>
    <w:rsid w:val="00EA3864"/>
    <w:rsid w:val="00EA3BE2"/>
    <w:rsid w:val="00EB15B6"/>
    <w:rsid w:val="00EB4916"/>
    <w:rsid w:val="00EB5F94"/>
    <w:rsid w:val="00EC00C9"/>
    <w:rsid w:val="00EC2649"/>
    <w:rsid w:val="00EC54EC"/>
    <w:rsid w:val="00ED3408"/>
    <w:rsid w:val="00ED57EA"/>
    <w:rsid w:val="00ED74CF"/>
    <w:rsid w:val="00EE07D3"/>
    <w:rsid w:val="00EE22AF"/>
    <w:rsid w:val="00EE4DEA"/>
    <w:rsid w:val="00EF0171"/>
    <w:rsid w:val="00EF0327"/>
    <w:rsid w:val="00EF1B25"/>
    <w:rsid w:val="00EF3985"/>
    <w:rsid w:val="00EF4747"/>
    <w:rsid w:val="00EF4BF8"/>
    <w:rsid w:val="00EF508B"/>
    <w:rsid w:val="00F00104"/>
    <w:rsid w:val="00F01450"/>
    <w:rsid w:val="00F02253"/>
    <w:rsid w:val="00F0225D"/>
    <w:rsid w:val="00F03C2E"/>
    <w:rsid w:val="00F04A66"/>
    <w:rsid w:val="00F0516C"/>
    <w:rsid w:val="00F067A2"/>
    <w:rsid w:val="00F1263A"/>
    <w:rsid w:val="00F143DB"/>
    <w:rsid w:val="00F1729C"/>
    <w:rsid w:val="00F21EA0"/>
    <w:rsid w:val="00F22672"/>
    <w:rsid w:val="00F22E9C"/>
    <w:rsid w:val="00F232E8"/>
    <w:rsid w:val="00F2441A"/>
    <w:rsid w:val="00F24837"/>
    <w:rsid w:val="00F2575F"/>
    <w:rsid w:val="00F27565"/>
    <w:rsid w:val="00F310D4"/>
    <w:rsid w:val="00F31C44"/>
    <w:rsid w:val="00F31D5A"/>
    <w:rsid w:val="00F327A5"/>
    <w:rsid w:val="00F33DE9"/>
    <w:rsid w:val="00F345C5"/>
    <w:rsid w:val="00F35DDE"/>
    <w:rsid w:val="00F3619A"/>
    <w:rsid w:val="00F40AAA"/>
    <w:rsid w:val="00F40BA7"/>
    <w:rsid w:val="00F40C99"/>
    <w:rsid w:val="00F430D1"/>
    <w:rsid w:val="00F44C39"/>
    <w:rsid w:val="00F46CB6"/>
    <w:rsid w:val="00F47DE8"/>
    <w:rsid w:val="00F47F4E"/>
    <w:rsid w:val="00F503F4"/>
    <w:rsid w:val="00F5162F"/>
    <w:rsid w:val="00F5398A"/>
    <w:rsid w:val="00F542C1"/>
    <w:rsid w:val="00F54B86"/>
    <w:rsid w:val="00F55E73"/>
    <w:rsid w:val="00F55EDA"/>
    <w:rsid w:val="00F60092"/>
    <w:rsid w:val="00F62747"/>
    <w:rsid w:val="00F65F4B"/>
    <w:rsid w:val="00F70C9D"/>
    <w:rsid w:val="00F7199C"/>
    <w:rsid w:val="00F72E73"/>
    <w:rsid w:val="00F731E5"/>
    <w:rsid w:val="00F74CD9"/>
    <w:rsid w:val="00F7641A"/>
    <w:rsid w:val="00F80A7B"/>
    <w:rsid w:val="00F80E5D"/>
    <w:rsid w:val="00F80F93"/>
    <w:rsid w:val="00F851CE"/>
    <w:rsid w:val="00F91219"/>
    <w:rsid w:val="00F91582"/>
    <w:rsid w:val="00F92955"/>
    <w:rsid w:val="00F9310B"/>
    <w:rsid w:val="00F9393E"/>
    <w:rsid w:val="00F97A78"/>
    <w:rsid w:val="00FA006C"/>
    <w:rsid w:val="00FA0B20"/>
    <w:rsid w:val="00FA24E7"/>
    <w:rsid w:val="00FA57F3"/>
    <w:rsid w:val="00FB192B"/>
    <w:rsid w:val="00FB2FCB"/>
    <w:rsid w:val="00FB4326"/>
    <w:rsid w:val="00FB6731"/>
    <w:rsid w:val="00FC0963"/>
    <w:rsid w:val="00FC1074"/>
    <w:rsid w:val="00FC12F2"/>
    <w:rsid w:val="00FC1884"/>
    <w:rsid w:val="00FC2B37"/>
    <w:rsid w:val="00FC2F5D"/>
    <w:rsid w:val="00FC371D"/>
    <w:rsid w:val="00FC5F0B"/>
    <w:rsid w:val="00FD2100"/>
    <w:rsid w:val="00FD3D1F"/>
    <w:rsid w:val="00FD436C"/>
    <w:rsid w:val="00FD446D"/>
    <w:rsid w:val="00FD6394"/>
    <w:rsid w:val="00FE0C7F"/>
    <w:rsid w:val="00FE0E6C"/>
    <w:rsid w:val="00FE1EA4"/>
    <w:rsid w:val="00FE1FCB"/>
    <w:rsid w:val="00FE2D69"/>
    <w:rsid w:val="00FE69C5"/>
    <w:rsid w:val="00FE70C3"/>
    <w:rsid w:val="00FE7F89"/>
    <w:rsid w:val="00FF3DCF"/>
    <w:rsid w:val="00FF492C"/>
    <w:rsid w:val="00FF4A21"/>
    <w:rsid w:val="00FF4DC4"/>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C72427"/>
    <w:pPr>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V5.0 Exec bullet List 1 Char,Styl moj Char,Akapit z listą11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
    <w:name w:val="Table"/>
    <w:basedOn w:val="Normal"/>
    <w:link w:val="TableChar"/>
    <w:qFormat/>
    <w:rsid w:val="005E5742"/>
    <w:pPr>
      <w:widowControl/>
    </w:pPr>
    <w:rPr>
      <w:rFonts w:ascii="Arial" w:eastAsiaTheme="minorEastAsia" w:hAnsi="Arial" w:cstheme="minorBidi"/>
      <w:snapToGrid/>
      <w:sz w:val="18"/>
      <w:lang w:eastAsia="zh-CN"/>
    </w:rPr>
  </w:style>
  <w:style w:type="character" w:customStyle="1" w:styleId="TableChar">
    <w:name w:val="Table Char"/>
    <w:basedOn w:val="DefaultParagraphFont"/>
    <w:link w:val="Table"/>
    <w:locked/>
    <w:rsid w:val="005E5742"/>
    <w:rPr>
      <w:rFonts w:ascii="Arial" w:eastAsiaTheme="minorEastAsia" w:hAnsi="Arial" w:cstheme="minorBidi"/>
      <w:sz w:val="18"/>
      <w:szCs w:val="22"/>
      <w:lang w:eastAsia="zh-CN"/>
    </w:rPr>
  </w:style>
  <w:style w:type="character" w:customStyle="1" w:styleId="SmallBold">
    <w:name w:val="Small Bold"/>
    <w:basedOn w:val="DefaultParagraphFont"/>
    <w:uiPriority w:val="4"/>
    <w:qFormat/>
    <w:rsid w:val="00535C92"/>
    <w:rPr>
      <w:rFonts w:ascii="Arial" w:hAnsi="Arial"/>
      <w:b/>
      <w:sz w:val="18"/>
      <w:lang w:val="en-AU"/>
    </w:rPr>
  </w:style>
  <w:style w:type="paragraph" w:customStyle="1" w:styleId="TableCentre">
    <w:name w:val="Table Centre"/>
    <w:basedOn w:val="Table"/>
    <w:qFormat/>
    <w:rsid w:val="00F327A5"/>
    <w:pPr>
      <w:jc w:val="center"/>
    </w:pPr>
  </w:style>
  <w:style w:type="paragraph" w:customStyle="1" w:styleId="Default">
    <w:name w:val="Default"/>
    <w:rsid w:val="001B7279"/>
    <w:pPr>
      <w:autoSpaceDE w:val="0"/>
      <w:autoSpaceDN w:val="0"/>
      <w:adjustRightInd w:val="0"/>
    </w:pPr>
    <w:rPr>
      <w:color w:val="000000"/>
      <w:sz w:val="24"/>
      <w:szCs w:val="24"/>
      <w:lang w:val="en-GB"/>
    </w:rPr>
  </w:style>
  <w:style w:type="character" w:customStyle="1" w:styleId="Small">
    <w:name w:val="Small"/>
    <w:basedOn w:val="DefaultParagraphFont"/>
    <w:uiPriority w:val="4"/>
    <w:qFormat/>
    <w:rsid w:val="00696668"/>
    <w:rPr>
      <w:rFonts w:ascii="Arial" w:hAnsi="Arial"/>
      <w:sz w:val="20"/>
    </w:rPr>
  </w:style>
  <w:style w:type="character" w:customStyle="1" w:styleId="st">
    <w:name w:val="st"/>
    <w:basedOn w:val="DefaultParagraphFont"/>
    <w:rsid w:val="00696668"/>
  </w:style>
  <w:style w:type="character" w:customStyle="1" w:styleId="y0nh2b">
    <w:name w:val="y0nh2b"/>
    <w:basedOn w:val="DefaultParagraphFont"/>
    <w:rsid w:val="00696668"/>
  </w:style>
  <w:style w:type="character" w:customStyle="1" w:styleId="SmallItalics">
    <w:name w:val="Small Italics"/>
    <w:basedOn w:val="Small"/>
    <w:uiPriority w:val="4"/>
    <w:qFormat/>
    <w:rsid w:val="00696668"/>
    <w:rPr>
      <w:rFonts w:ascii="Arial" w:hAnsi="Arial"/>
      <w:i/>
      <w:sz w:val="18"/>
    </w:rPr>
  </w:style>
  <w:style w:type="character" w:customStyle="1" w:styleId="SmallSuperscript">
    <w:name w:val="Small Superscript"/>
    <w:basedOn w:val="Small"/>
    <w:uiPriority w:val="1"/>
    <w:qFormat/>
    <w:rsid w:val="00696668"/>
    <w:rPr>
      <w:rFonts w:ascii="Candara" w:hAnsi="Candara"/>
      <w:sz w:val="20"/>
      <w:vertAlign w:val="superscript"/>
    </w:rPr>
  </w:style>
  <w:style w:type="paragraph" w:customStyle="1" w:styleId="TableNotes">
    <w:name w:val="Table Notes"/>
    <w:basedOn w:val="Table"/>
    <w:qFormat/>
    <w:rsid w:val="00696668"/>
    <w:rPr>
      <w:sz w:val="16"/>
    </w:rPr>
  </w:style>
  <w:style w:type="character" w:customStyle="1" w:styleId="FontItalics">
    <w:name w:val="Font Italics"/>
    <w:basedOn w:val="DefaultParagraphFont"/>
    <w:uiPriority w:val="1"/>
    <w:qFormat/>
    <w:rsid w:val="0019565C"/>
    <w:rPr>
      <w:rFonts w:ascii="Candara" w:hAnsi="Candara"/>
      <w:i/>
      <w:sz w:val="24"/>
    </w:rPr>
  </w:style>
  <w:style w:type="paragraph" w:customStyle="1" w:styleId="NormalBulletList">
    <w:name w:val="Normal Bullet List"/>
    <w:basedOn w:val="Normal"/>
    <w:uiPriority w:val="3"/>
    <w:qFormat/>
    <w:rsid w:val="0025339C"/>
    <w:pPr>
      <w:widowControl/>
      <w:numPr>
        <w:numId w:val="6"/>
      </w:numPr>
      <w:spacing w:after="240" w:line="288" w:lineRule="auto"/>
      <w:ind w:left="357" w:hanging="357"/>
      <w:contextualSpacing/>
    </w:pPr>
    <w:rPr>
      <w:rFonts w:ascii="Arial" w:eastAsiaTheme="minorEastAsia" w:hAnsi="Arial" w:cstheme="minorBidi"/>
      <w:snapToGrid/>
      <w:sz w:val="22"/>
      <w:lang w:eastAsia="zh-CN"/>
    </w:rPr>
  </w:style>
  <w:style w:type="paragraph" w:customStyle="1" w:styleId="NormalBulletList2">
    <w:name w:val="Normal Bullet List 2"/>
    <w:basedOn w:val="NormalBulletList"/>
    <w:rsid w:val="0025339C"/>
    <w:pPr>
      <w:numPr>
        <w:ilvl w:val="1"/>
      </w:numPr>
      <w:spacing w:after="0"/>
      <w:ind w:left="709" w:hanging="357"/>
    </w:pPr>
  </w:style>
  <w:style w:type="character" w:styleId="Emphasis">
    <w:name w:val="Emphasis"/>
    <w:basedOn w:val="DefaultParagraphFont"/>
    <w:uiPriority w:val="20"/>
    <w:qFormat/>
    <w:rsid w:val="00173E7F"/>
    <w:rPr>
      <w:i/>
      <w:iCs/>
    </w:rPr>
  </w:style>
  <w:style w:type="character" w:customStyle="1" w:styleId="item-code">
    <w:name w:val="item-code"/>
    <w:basedOn w:val="DefaultParagraphFont"/>
    <w:rsid w:val="0057346C"/>
  </w:style>
  <w:style w:type="paragraph" w:customStyle="1" w:styleId="TableHeading0">
    <w:name w:val="Table Heading"/>
    <w:basedOn w:val="Normal"/>
    <w:qFormat/>
    <w:rsid w:val="00290D6A"/>
    <w:pPr>
      <w:keepNext/>
      <w:widowControl/>
      <w:spacing w:after="60"/>
      <w:jc w:val="left"/>
    </w:pPr>
    <w:rPr>
      <w:rFonts w:ascii="Arial Narrow" w:eastAsiaTheme="minorHAnsi" w:hAnsi="Arial Narrow" w:cstheme="minorBidi"/>
      <w:b/>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C72427"/>
    <w:pPr>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V5.0 Exec bullet List 1 Char,Styl moj Char,Akapit z listą11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
    <w:name w:val="Table"/>
    <w:basedOn w:val="Normal"/>
    <w:link w:val="TableChar"/>
    <w:qFormat/>
    <w:rsid w:val="005E5742"/>
    <w:pPr>
      <w:widowControl/>
    </w:pPr>
    <w:rPr>
      <w:rFonts w:ascii="Arial" w:eastAsiaTheme="minorEastAsia" w:hAnsi="Arial" w:cstheme="minorBidi"/>
      <w:snapToGrid/>
      <w:sz w:val="18"/>
      <w:lang w:eastAsia="zh-CN"/>
    </w:rPr>
  </w:style>
  <w:style w:type="character" w:customStyle="1" w:styleId="TableChar">
    <w:name w:val="Table Char"/>
    <w:basedOn w:val="DefaultParagraphFont"/>
    <w:link w:val="Table"/>
    <w:locked/>
    <w:rsid w:val="005E5742"/>
    <w:rPr>
      <w:rFonts w:ascii="Arial" w:eastAsiaTheme="minorEastAsia" w:hAnsi="Arial" w:cstheme="minorBidi"/>
      <w:sz w:val="18"/>
      <w:szCs w:val="22"/>
      <w:lang w:eastAsia="zh-CN"/>
    </w:rPr>
  </w:style>
  <w:style w:type="character" w:customStyle="1" w:styleId="SmallBold">
    <w:name w:val="Small Bold"/>
    <w:basedOn w:val="DefaultParagraphFont"/>
    <w:uiPriority w:val="4"/>
    <w:qFormat/>
    <w:rsid w:val="00535C92"/>
    <w:rPr>
      <w:rFonts w:ascii="Arial" w:hAnsi="Arial"/>
      <w:b/>
      <w:sz w:val="18"/>
      <w:lang w:val="en-AU"/>
    </w:rPr>
  </w:style>
  <w:style w:type="paragraph" w:customStyle="1" w:styleId="TableCentre">
    <w:name w:val="Table Centre"/>
    <w:basedOn w:val="Table"/>
    <w:qFormat/>
    <w:rsid w:val="00F327A5"/>
    <w:pPr>
      <w:jc w:val="center"/>
    </w:pPr>
  </w:style>
  <w:style w:type="paragraph" w:customStyle="1" w:styleId="Default">
    <w:name w:val="Default"/>
    <w:rsid w:val="001B7279"/>
    <w:pPr>
      <w:autoSpaceDE w:val="0"/>
      <w:autoSpaceDN w:val="0"/>
      <w:adjustRightInd w:val="0"/>
    </w:pPr>
    <w:rPr>
      <w:color w:val="000000"/>
      <w:sz w:val="24"/>
      <w:szCs w:val="24"/>
      <w:lang w:val="en-GB"/>
    </w:rPr>
  </w:style>
  <w:style w:type="character" w:customStyle="1" w:styleId="Small">
    <w:name w:val="Small"/>
    <w:basedOn w:val="DefaultParagraphFont"/>
    <w:uiPriority w:val="4"/>
    <w:qFormat/>
    <w:rsid w:val="00696668"/>
    <w:rPr>
      <w:rFonts w:ascii="Arial" w:hAnsi="Arial"/>
      <w:sz w:val="20"/>
    </w:rPr>
  </w:style>
  <w:style w:type="character" w:customStyle="1" w:styleId="st">
    <w:name w:val="st"/>
    <w:basedOn w:val="DefaultParagraphFont"/>
    <w:rsid w:val="00696668"/>
  </w:style>
  <w:style w:type="character" w:customStyle="1" w:styleId="y0nh2b">
    <w:name w:val="y0nh2b"/>
    <w:basedOn w:val="DefaultParagraphFont"/>
    <w:rsid w:val="00696668"/>
  </w:style>
  <w:style w:type="character" w:customStyle="1" w:styleId="SmallItalics">
    <w:name w:val="Small Italics"/>
    <w:basedOn w:val="Small"/>
    <w:uiPriority w:val="4"/>
    <w:qFormat/>
    <w:rsid w:val="00696668"/>
    <w:rPr>
      <w:rFonts w:ascii="Arial" w:hAnsi="Arial"/>
      <w:i/>
      <w:sz w:val="18"/>
    </w:rPr>
  </w:style>
  <w:style w:type="character" w:customStyle="1" w:styleId="SmallSuperscript">
    <w:name w:val="Small Superscript"/>
    <w:basedOn w:val="Small"/>
    <w:uiPriority w:val="1"/>
    <w:qFormat/>
    <w:rsid w:val="00696668"/>
    <w:rPr>
      <w:rFonts w:ascii="Candara" w:hAnsi="Candara"/>
      <w:sz w:val="20"/>
      <w:vertAlign w:val="superscript"/>
    </w:rPr>
  </w:style>
  <w:style w:type="paragraph" w:customStyle="1" w:styleId="TableNotes">
    <w:name w:val="Table Notes"/>
    <w:basedOn w:val="Table"/>
    <w:qFormat/>
    <w:rsid w:val="00696668"/>
    <w:rPr>
      <w:sz w:val="16"/>
    </w:rPr>
  </w:style>
  <w:style w:type="character" w:customStyle="1" w:styleId="FontItalics">
    <w:name w:val="Font Italics"/>
    <w:basedOn w:val="DefaultParagraphFont"/>
    <w:uiPriority w:val="1"/>
    <w:qFormat/>
    <w:rsid w:val="0019565C"/>
    <w:rPr>
      <w:rFonts w:ascii="Candara" w:hAnsi="Candara"/>
      <w:i/>
      <w:sz w:val="24"/>
    </w:rPr>
  </w:style>
  <w:style w:type="paragraph" w:customStyle="1" w:styleId="NormalBulletList">
    <w:name w:val="Normal Bullet List"/>
    <w:basedOn w:val="Normal"/>
    <w:uiPriority w:val="3"/>
    <w:qFormat/>
    <w:rsid w:val="0025339C"/>
    <w:pPr>
      <w:widowControl/>
      <w:numPr>
        <w:numId w:val="6"/>
      </w:numPr>
      <w:spacing w:after="240" w:line="288" w:lineRule="auto"/>
      <w:ind w:left="357" w:hanging="357"/>
      <w:contextualSpacing/>
    </w:pPr>
    <w:rPr>
      <w:rFonts w:ascii="Arial" w:eastAsiaTheme="minorEastAsia" w:hAnsi="Arial" w:cstheme="minorBidi"/>
      <w:snapToGrid/>
      <w:sz w:val="22"/>
      <w:lang w:eastAsia="zh-CN"/>
    </w:rPr>
  </w:style>
  <w:style w:type="paragraph" w:customStyle="1" w:styleId="NormalBulletList2">
    <w:name w:val="Normal Bullet List 2"/>
    <w:basedOn w:val="NormalBulletList"/>
    <w:rsid w:val="0025339C"/>
    <w:pPr>
      <w:numPr>
        <w:ilvl w:val="1"/>
      </w:numPr>
      <w:spacing w:after="0"/>
      <w:ind w:left="709" w:hanging="357"/>
    </w:pPr>
  </w:style>
  <w:style w:type="character" w:styleId="Emphasis">
    <w:name w:val="Emphasis"/>
    <w:basedOn w:val="DefaultParagraphFont"/>
    <w:uiPriority w:val="20"/>
    <w:qFormat/>
    <w:rsid w:val="00173E7F"/>
    <w:rPr>
      <w:i/>
      <w:iCs/>
    </w:rPr>
  </w:style>
  <w:style w:type="character" w:customStyle="1" w:styleId="item-code">
    <w:name w:val="item-code"/>
    <w:basedOn w:val="DefaultParagraphFont"/>
    <w:rsid w:val="0057346C"/>
  </w:style>
  <w:style w:type="paragraph" w:customStyle="1" w:styleId="TableHeading0">
    <w:name w:val="Table Heading"/>
    <w:basedOn w:val="Normal"/>
    <w:qFormat/>
    <w:rsid w:val="00290D6A"/>
    <w:pPr>
      <w:keepNext/>
      <w:widowControl/>
      <w:spacing w:after="60"/>
      <w:jc w:val="left"/>
    </w:pPr>
    <w:rPr>
      <w:rFonts w:ascii="Arial Narrow" w:eastAsiaTheme="minorHAnsi" w:hAnsi="Arial Narrow" w:cstheme="minorBidi"/>
      <w:b/>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7047">
      <w:bodyDiv w:val="1"/>
      <w:marLeft w:val="0"/>
      <w:marRight w:val="0"/>
      <w:marTop w:val="0"/>
      <w:marBottom w:val="0"/>
      <w:divBdr>
        <w:top w:val="none" w:sz="0" w:space="0" w:color="auto"/>
        <w:left w:val="none" w:sz="0" w:space="0" w:color="auto"/>
        <w:bottom w:val="none" w:sz="0" w:space="0" w:color="auto"/>
        <w:right w:val="none" w:sz="0" w:space="0" w:color="auto"/>
      </w:divBdr>
    </w:div>
    <w:div w:id="740756683">
      <w:bodyDiv w:val="1"/>
      <w:marLeft w:val="0"/>
      <w:marRight w:val="0"/>
      <w:marTop w:val="0"/>
      <w:marBottom w:val="0"/>
      <w:divBdr>
        <w:top w:val="none" w:sz="0" w:space="0" w:color="auto"/>
        <w:left w:val="none" w:sz="0" w:space="0" w:color="auto"/>
        <w:bottom w:val="none" w:sz="0" w:space="0" w:color="auto"/>
        <w:right w:val="none" w:sz="0" w:space="0" w:color="auto"/>
      </w:divBdr>
    </w:div>
    <w:div w:id="1265335511">
      <w:bodyDiv w:val="1"/>
      <w:marLeft w:val="0"/>
      <w:marRight w:val="0"/>
      <w:marTop w:val="0"/>
      <w:marBottom w:val="0"/>
      <w:divBdr>
        <w:top w:val="none" w:sz="0" w:space="0" w:color="auto"/>
        <w:left w:val="none" w:sz="0" w:space="0" w:color="auto"/>
        <w:bottom w:val="none" w:sz="0" w:space="0" w:color="auto"/>
        <w:right w:val="none" w:sz="0" w:space="0" w:color="auto"/>
      </w:divBdr>
      <w:divsChild>
        <w:div w:id="1053966606">
          <w:marLeft w:val="547"/>
          <w:marRight w:val="0"/>
          <w:marTop w:val="130"/>
          <w:marBottom w:val="0"/>
          <w:divBdr>
            <w:top w:val="none" w:sz="0" w:space="0" w:color="auto"/>
            <w:left w:val="none" w:sz="0" w:space="0" w:color="auto"/>
            <w:bottom w:val="none" w:sz="0" w:space="0" w:color="auto"/>
            <w:right w:val="none" w:sz="0" w:space="0" w:color="auto"/>
          </w:divBdr>
        </w:div>
      </w:divsChild>
    </w:div>
    <w:div w:id="1370061837">
      <w:bodyDiv w:val="1"/>
      <w:marLeft w:val="0"/>
      <w:marRight w:val="0"/>
      <w:marTop w:val="0"/>
      <w:marBottom w:val="0"/>
      <w:divBdr>
        <w:top w:val="none" w:sz="0" w:space="0" w:color="auto"/>
        <w:left w:val="none" w:sz="0" w:space="0" w:color="auto"/>
        <w:bottom w:val="none" w:sz="0" w:space="0" w:color="auto"/>
        <w:right w:val="none" w:sz="0" w:space="0" w:color="auto"/>
      </w:divBdr>
    </w:div>
    <w:div w:id="1765149639">
      <w:bodyDiv w:val="1"/>
      <w:marLeft w:val="0"/>
      <w:marRight w:val="0"/>
      <w:marTop w:val="0"/>
      <w:marBottom w:val="0"/>
      <w:divBdr>
        <w:top w:val="none" w:sz="0" w:space="0" w:color="auto"/>
        <w:left w:val="none" w:sz="0" w:space="0" w:color="auto"/>
        <w:bottom w:val="none" w:sz="0" w:space="0" w:color="auto"/>
        <w:right w:val="none" w:sz="0" w:space="0" w:color="auto"/>
      </w:divBdr>
    </w:div>
    <w:div w:id="1819150963">
      <w:bodyDiv w:val="1"/>
      <w:marLeft w:val="0"/>
      <w:marRight w:val="0"/>
      <w:marTop w:val="0"/>
      <w:marBottom w:val="0"/>
      <w:divBdr>
        <w:top w:val="none" w:sz="0" w:space="0" w:color="auto"/>
        <w:left w:val="none" w:sz="0" w:space="0" w:color="auto"/>
        <w:bottom w:val="none" w:sz="0" w:space="0" w:color="auto"/>
        <w:right w:val="none" w:sz="0" w:space="0" w:color="auto"/>
      </w:divBdr>
    </w:div>
    <w:div w:id="18269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7F74-B41E-45C5-AEC8-CE21C459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6509</Words>
  <Characters>35844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2018-10-09T00:20:00Z</dcterms:created>
  <dcterms:modified xsi:type="dcterms:W3CDTF">2018-10-18T02:28:00Z</dcterms:modified>
</cp:coreProperties>
</file>