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4673D0" w:rsidRDefault="00FE27E6" w:rsidP="00132A8C">
      <w:pPr>
        <w:pStyle w:val="Title"/>
        <w:spacing w:before="120" w:after="160"/>
        <w:ind w:left="720" w:hanging="720"/>
        <w:rPr>
          <w:rFonts w:asciiTheme="minorHAnsi" w:hAnsiTheme="minorHAnsi"/>
          <w:sz w:val="36"/>
          <w:szCs w:val="36"/>
        </w:rPr>
      </w:pPr>
      <w:r w:rsidRPr="004673D0">
        <w:rPr>
          <w:rFonts w:asciiTheme="minorHAnsi" w:hAnsiTheme="minorHAnsi"/>
          <w:sz w:val="36"/>
          <w:szCs w:val="36"/>
        </w:rPr>
        <w:t>7.15</w:t>
      </w:r>
      <w:r w:rsidR="006D6493" w:rsidRPr="004673D0">
        <w:rPr>
          <w:rFonts w:asciiTheme="minorHAnsi" w:hAnsiTheme="minorHAnsi"/>
          <w:sz w:val="36"/>
          <w:szCs w:val="36"/>
        </w:rPr>
        <w:tab/>
      </w:r>
      <w:r w:rsidRPr="004673D0">
        <w:rPr>
          <w:rFonts w:asciiTheme="minorHAnsi" w:hAnsiTheme="minorHAnsi"/>
          <w:sz w:val="36"/>
          <w:szCs w:val="36"/>
        </w:rPr>
        <w:t>GUANFACINE</w:t>
      </w:r>
      <w:r w:rsidR="006D6493" w:rsidRPr="004673D0">
        <w:rPr>
          <w:rFonts w:asciiTheme="minorHAnsi" w:hAnsiTheme="minorHAnsi"/>
          <w:sz w:val="36"/>
          <w:szCs w:val="36"/>
        </w:rPr>
        <w:t xml:space="preserve"> </w:t>
      </w:r>
      <w:r w:rsidR="006D6493" w:rsidRPr="004673D0">
        <w:rPr>
          <w:rFonts w:asciiTheme="minorHAnsi" w:hAnsiTheme="minorHAnsi"/>
          <w:sz w:val="36"/>
          <w:szCs w:val="36"/>
        </w:rPr>
        <w:br/>
      </w:r>
      <w:r w:rsidR="00DB424F" w:rsidRPr="004673D0">
        <w:rPr>
          <w:rFonts w:asciiTheme="minorHAnsi" w:hAnsiTheme="minorHAnsi"/>
          <w:sz w:val="36"/>
          <w:szCs w:val="36"/>
        </w:rPr>
        <w:t>Modified release t</w:t>
      </w:r>
      <w:r w:rsidRPr="004673D0">
        <w:rPr>
          <w:rFonts w:asciiTheme="minorHAnsi" w:hAnsiTheme="minorHAnsi"/>
          <w:sz w:val="36"/>
          <w:szCs w:val="36"/>
        </w:rPr>
        <w:t xml:space="preserve">ablet containing guanfacine hydrochloride 1 mg, 2 mg, 3 mg, 4 mg, </w:t>
      </w:r>
      <w:r w:rsidR="00132A8C" w:rsidRPr="004673D0">
        <w:rPr>
          <w:rFonts w:asciiTheme="minorHAnsi" w:hAnsiTheme="minorHAnsi"/>
          <w:sz w:val="36"/>
          <w:szCs w:val="36"/>
        </w:rPr>
        <w:br/>
      </w:r>
      <w:r w:rsidRPr="004673D0">
        <w:rPr>
          <w:rFonts w:asciiTheme="minorHAnsi" w:hAnsiTheme="minorHAnsi"/>
          <w:sz w:val="36"/>
          <w:szCs w:val="36"/>
        </w:rPr>
        <w:t>Intuniv</w:t>
      </w:r>
      <w:r w:rsidR="006D6493" w:rsidRPr="004673D0">
        <w:rPr>
          <w:rFonts w:asciiTheme="minorHAnsi" w:hAnsiTheme="minorHAnsi"/>
          <w:sz w:val="36"/>
          <w:szCs w:val="36"/>
          <w:vertAlign w:val="superscript"/>
        </w:rPr>
        <w:t>®</w:t>
      </w:r>
      <w:r w:rsidR="006D6493" w:rsidRPr="004673D0">
        <w:rPr>
          <w:rFonts w:asciiTheme="minorHAnsi" w:hAnsiTheme="minorHAnsi"/>
          <w:sz w:val="36"/>
          <w:szCs w:val="36"/>
        </w:rPr>
        <w:t xml:space="preserve">, </w:t>
      </w:r>
      <w:r w:rsidR="00132A8C" w:rsidRPr="004673D0">
        <w:rPr>
          <w:rFonts w:asciiTheme="minorHAnsi" w:hAnsiTheme="minorHAnsi"/>
          <w:sz w:val="36"/>
          <w:szCs w:val="36"/>
        </w:rPr>
        <w:br/>
      </w:r>
      <w:r w:rsidRPr="004673D0">
        <w:rPr>
          <w:rFonts w:asciiTheme="minorHAnsi" w:hAnsiTheme="minorHAnsi"/>
          <w:sz w:val="36"/>
          <w:szCs w:val="36"/>
        </w:rPr>
        <w:t>Shire Australia Pty Limited</w:t>
      </w:r>
    </w:p>
    <w:p w:rsidR="008A50F1" w:rsidRPr="004673D0" w:rsidRDefault="00CE10C4" w:rsidP="00EB0B63">
      <w:pPr>
        <w:pStyle w:val="PBACHeading1"/>
        <w:spacing w:before="240" w:after="120"/>
        <w:ind w:left="709" w:hanging="709"/>
        <w:rPr>
          <w:rFonts w:asciiTheme="minorHAnsi" w:hAnsiTheme="minorHAnsi"/>
          <w:sz w:val="32"/>
          <w:szCs w:val="32"/>
        </w:rPr>
      </w:pPr>
      <w:r w:rsidRPr="004673D0">
        <w:rPr>
          <w:rFonts w:asciiTheme="minorHAnsi" w:hAnsiTheme="minorHAnsi"/>
          <w:sz w:val="32"/>
          <w:szCs w:val="32"/>
        </w:rPr>
        <w:t xml:space="preserve">Purpose of </w:t>
      </w:r>
      <w:r w:rsidR="0004240E" w:rsidRPr="004673D0">
        <w:rPr>
          <w:rFonts w:asciiTheme="minorHAnsi" w:hAnsiTheme="minorHAnsi"/>
          <w:sz w:val="32"/>
          <w:szCs w:val="32"/>
        </w:rPr>
        <w:t>Application</w:t>
      </w:r>
    </w:p>
    <w:p w:rsidR="006A12A5" w:rsidRPr="004673D0"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The mi</w:t>
      </w:r>
      <w:r w:rsidR="00FF2801" w:rsidRPr="004673D0">
        <w:rPr>
          <w:rFonts w:asciiTheme="minorHAnsi" w:eastAsiaTheme="minorHAnsi" w:hAnsiTheme="minorHAnsi" w:cstheme="minorBidi"/>
          <w:snapToGrid/>
          <w:sz w:val="24"/>
          <w:szCs w:val="22"/>
        </w:rPr>
        <w:t xml:space="preserve">nor </w:t>
      </w:r>
      <w:r w:rsidR="00CD2D23" w:rsidRPr="004673D0">
        <w:rPr>
          <w:rFonts w:asciiTheme="minorHAnsi" w:eastAsiaTheme="minorHAnsi" w:hAnsiTheme="minorHAnsi" w:cstheme="minorBidi"/>
          <w:snapToGrid/>
          <w:sz w:val="24"/>
          <w:szCs w:val="22"/>
        </w:rPr>
        <w:t>resubmission sought a listing of guanfacine for the treatment of attention deficit hyperactivity disorder (ADHD) as add-on therapy in certain patients who have failed to achieve an adequate response to optimised stimulant therapy.</w:t>
      </w:r>
    </w:p>
    <w:p w:rsidR="00CD2D23" w:rsidRPr="004673D0" w:rsidRDefault="00CD2D23"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The PBAC previously recommended guanfacine for the treatment of ADHD as monotherapy in patients who are contraindicated or intolerant to stimulants at its July 2017 meeting.</w:t>
      </w:r>
    </w:p>
    <w:p w:rsidR="006A12A5" w:rsidRPr="004673D0" w:rsidRDefault="006A12A5" w:rsidP="00EB0B63">
      <w:pPr>
        <w:pStyle w:val="PBACHeading1"/>
        <w:spacing w:before="240" w:after="120"/>
        <w:ind w:left="709" w:hanging="709"/>
        <w:rPr>
          <w:rFonts w:asciiTheme="minorHAnsi" w:hAnsiTheme="minorHAnsi"/>
          <w:sz w:val="32"/>
          <w:szCs w:val="32"/>
        </w:rPr>
      </w:pPr>
      <w:r w:rsidRPr="004673D0">
        <w:rPr>
          <w:rFonts w:asciiTheme="minorHAnsi" w:hAnsiTheme="minorHAnsi"/>
          <w:sz w:val="32"/>
          <w:szCs w:val="32"/>
        </w:rPr>
        <w:t>Requested listing</w:t>
      </w:r>
    </w:p>
    <w:p w:rsidR="00826F6D" w:rsidRPr="004673D0"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The </w:t>
      </w:r>
      <w:r w:rsidR="007C668B" w:rsidRPr="004673D0">
        <w:rPr>
          <w:rFonts w:asciiTheme="minorHAnsi" w:eastAsiaTheme="minorHAnsi" w:hAnsiTheme="minorHAnsi" w:cstheme="minorBidi"/>
          <w:snapToGrid/>
          <w:sz w:val="24"/>
          <w:szCs w:val="22"/>
        </w:rPr>
        <w:t>re</w:t>
      </w:r>
      <w:r w:rsidRPr="004673D0">
        <w:rPr>
          <w:rFonts w:asciiTheme="minorHAnsi" w:eastAsiaTheme="minorHAnsi" w:hAnsiTheme="minorHAnsi" w:cstheme="minorBidi"/>
          <w:snapToGrid/>
          <w:sz w:val="24"/>
          <w:szCs w:val="22"/>
        </w:rPr>
        <w:t xml:space="preserve">submission </w:t>
      </w:r>
      <w:r w:rsidR="00FF2801" w:rsidRPr="004673D0">
        <w:rPr>
          <w:rFonts w:asciiTheme="minorHAnsi" w:eastAsiaTheme="minorHAnsi" w:hAnsiTheme="minorHAnsi" w:cstheme="minorBidi"/>
          <w:snapToGrid/>
          <w:sz w:val="24"/>
          <w:szCs w:val="22"/>
        </w:rPr>
        <w:t>requested</w:t>
      </w:r>
      <w:r w:rsidRPr="004673D0">
        <w:rPr>
          <w:rFonts w:asciiTheme="minorHAnsi" w:eastAsiaTheme="minorHAnsi" w:hAnsiTheme="minorHAnsi" w:cstheme="minorBidi"/>
          <w:snapToGrid/>
          <w:sz w:val="24"/>
          <w:szCs w:val="22"/>
        </w:rPr>
        <w:t xml:space="preserve"> the following </w:t>
      </w:r>
      <w:r w:rsidR="008F60AE" w:rsidRPr="004673D0">
        <w:rPr>
          <w:rFonts w:asciiTheme="minorHAnsi" w:eastAsiaTheme="minorHAnsi" w:hAnsiTheme="minorHAnsi" w:cstheme="minorBidi"/>
          <w:snapToGrid/>
          <w:sz w:val="24"/>
          <w:szCs w:val="22"/>
        </w:rPr>
        <w:t>additional</w:t>
      </w:r>
      <w:r w:rsidR="007C668B" w:rsidRPr="004673D0">
        <w:rPr>
          <w:rFonts w:asciiTheme="minorHAnsi" w:eastAsiaTheme="minorHAnsi" w:hAnsiTheme="minorHAnsi" w:cstheme="minorBidi"/>
          <w:snapToGrid/>
          <w:sz w:val="24"/>
          <w:szCs w:val="22"/>
        </w:rPr>
        <w:t xml:space="preserve"> listing to include treatment as add-on therapy in combination with stimulants for ADHD.</w:t>
      </w:r>
    </w:p>
    <w:p w:rsidR="0067747D" w:rsidRPr="004673D0" w:rsidRDefault="000D459C"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Limited s</w:t>
      </w:r>
      <w:r w:rsidR="0067747D" w:rsidRPr="004673D0">
        <w:rPr>
          <w:rFonts w:asciiTheme="minorHAnsi" w:eastAsiaTheme="minorHAnsi" w:hAnsiTheme="minorHAnsi" w:cstheme="minorBidi"/>
          <w:snapToGrid/>
          <w:sz w:val="24"/>
          <w:szCs w:val="22"/>
        </w:rPr>
        <w:t>uggestions and additions proposed by the Secretariat to the requested listing are added in italics and suggested deletions are crossed out with strikethrough.</w:t>
      </w:r>
    </w:p>
    <w:tbl>
      <w:tblPr>
        <w:tblW w:w="4915" w:type="pct"/>
        <w:tblLook w:val="0000" w:firstRow="0" w:lastRow="0" w:firstColumn="0" w:lastColumn="0" w:noHBand="0" w:noVBand="0"/>
      </w:tblPr>
      <w:tblGrid>
        <w:gridCol w:w="1977"/>
        <w:gridCol w:w="1094"/>
        <w:gridCol w:w="581"/>
        <w:gridCol w:w="710"/>
        <w:gridCol w:w="2689"/>
        <w:gridCol w:w="985"/>
        <w:gridCol w:w="156"/>
        <w:gridCol w:w="887"/>
        <w:gridCol w:w="6"/>
      </w:tblGrid>
      <w:tr w:rsidR="00BB6AE6" w:rsidRPr="004673D0" w:rsidTr="00BB6AE6">
        <w:trPr>
          <w:cantSplit/>
          <w:trHeight w:val="465"/>
        </w:trPr>
        <w:tc>
          <w:tcPr>
            <w:tcW w:w="1690" w:type="pct"/>
            <w:gridSpan w:val="2"/>
            <w:tcBorders>
              <w:bottom w:val="single" w:sz="4" w:space="0" w:color="auto"/>
            </w:tcBorders>
          </w:tcPr>
          <w:p w:rsidR="00826F6D" w:rsidRPr="004673D0" w:rsidRDefault="00826F6D" w:rsidP="00BB6AE6">
            <w:pPr>
              <w:keepNext/>
              <w:spacing w:before="40" w:after="40"/>
              <w:rPr>
                <w:rFonts w:ascii="Arial Narrow" w:hAnsi="Arial Narrow" w:cs="Arial"/>
                <w:b/>
                <w:sz w:val="20"/>
                <w:szCs w:val="20"/>
              </w:rPr>
            </w:pPr>
            <w:r w:rsidRPr="004673D0">
              <w:rPr>
                <w:rFonts w:ascii="Arial Narrow" w:hAnsi="Arial Narrow" w:cs="Arial"/>
                <w:b/>
                <w:sz w:val="20"/>
                <w:szCs w:val="20"/>
              </w:rPr>
              <w:t>Name, Restriction,</w:t>
            </w:r>
          </w:p>
          <w:p w:rsidR="00826F6D" w:rsidRPr="004673D0" w:rsidRDefault="00826F6D" w:rsidP="00EB0B63">
            <w:pPr>
              <w:keepNext/>
              <w:spacing w:before="40" w:after="40"/>
              <w:jc w:val="both"/>
              <w:rPr>
                <w:rFonts w:ascii="Arial Narrow" w:hAnsi="Arial Narrow" w:cs="Arial"/>
                <w:b/>
                <w:sz w:val="20"/>
                <w:szCs w:val="20"/>
              </w:rPr>
            </w:pPr>
            <w:r w:rsidRPr="004673D0">
              <w:rPr>
                <w:rFonts w:ascii="Arial Narrow" w:hAnsi="Arial Narrow" w:cs="Arial"/>
                <w:b/>
                <w:sz w:val="20"/>
                <w:szCs w:val="20"/>
              </w:rPr>
              <w:t>Manner of administration and form</w:t>
            </w:r>
          </w:p>
        </w:tc>
        <w:tc>
          <w:tcPr>
            <w:tcW w:w="320" w:type="pct"/>
            <w:tcBorders>
              <w:bottom w:val="single" w:sz="4" w:space="0" w:color="auto"/>
            </w:tcBorders>
          </w:tcPr>
          <w:p w:rsidR="00826F6D" w:rsidRPr="004673D0" w:rsidRDefault="00826F6D" w:rsidP="00EB0B63">
            <w:pPr>
              <w:keepNext/>
              <w:spacing w:before="40" w:after="40"/>
              <w:jc w:val="both"/>
              <w:rPr>
                <w:rFonts w:ascii="Arial Narrow" w:hAnsi="Arial Narrow" w:cs="Arial"/>
                <w:b/>
                <w:sz w:val="20"/>
                <w:szCs w:val="20"/>
              </w:rPr>
            </w:pPr>
            <w:r w:rsidRPr="004673D0">
              <w:rPr>
                <w:rFonts w:ascii="Arial Narrow" w:hAnsi="Arial Narrow" w:cs="Arial"/>
                <w:b/>
                <w:sz w:val="20"/>
                <w:szCs w:val="20"/>
              </w:rPr>
              <w:t>Max.</w:t>
            </w:r>
          </w:p>
          <w:p w:rsidR="00826F6D" w:rsidRPr="004673D0" w:rsidRDefault="00826F6D" w:rsidP="00EB0B63">
            <w:pPr>
              <w:keepNext/>
              <w:spacing w:before="40" w:after="40"/>
              <w:jc w:val="both"/>
              <w:rPr>
                <w:rFonts w:ascii="Arial Narrow" w:hAnsi="Arial Narrow" w:cs="Arial"/>
                <w:b/>
                <w:sz w:val="20"/>
                <w:szCs w:val="20"/>
              </w:rPr>
            </w:pPr>
            <w:r w:rsidRPr="004673D0">
              <w:rPr>
                <w:rFonts w:ascii="Arial Narrow" w:hAnsi="Arial Narrow" w:cs="Arial"/>
                <w:b/>
                <w:sz w:val="20"/>
                <w:szCs w:val="20"/>
              </w:rPr>
              <w:t>Qty</w:t>
            </w:r>
          </w:p>
        </w:tc>
        <w:tc>
          <w:tcPr>
            <w:tcW w:w="391" w:type="pct"/>
            <w:tcBorders>
              <w:bottom w:val="single" w:sz="4" w:space="0" w:color="auto"/>
            </w:tcBorders>
          </w:tcPr>
          <w:p w:rsidR="00826F6D" w:rsidRPr="004673D0" w:rsidRDefault="00826F6D" w:rsidP="00EB0B63">
            <w:pPr>
              <w:keepNext/>
              <w:spacing w:before="40" w:after="40"/>
              <w:jc w:val="both"/>
              <w:rPr>
                <w:rFonts w:ascii="Arial Narrow" w:hAnsi="Arial Narrow" w:cs="Arial"/>
                <w:b/>
                <w:sz w:val="20"/>
                <w:szCs w:val="20"/>
              </w:rPr>
            </w:pPr>
            <w:r w:rsidRPr="004673D0">
              <w:rPr>
                <w:rFonts w:ascii="Arial Narrow" w:hAnsi="Arial Narrow" w:cs="Arial"/>
                <w:b/>
                <w:sz w:val="20"/>
                <w:szCs w:val="20"/>
              </w:rPr>
              <w:t>№.of</w:t>
            </w:r>
          </w:p>
          <w:p w:rsidR="00826F6D" w:rsidRPr="004673D0" w:rsidRDefault="00826F6D" w:rsidP="00EB0B63">
            <w:pPr>
              <w:keepNext/>
              <w:spacing w:before="40" w:after="40"/>
              <w:jc w:val="both"/>
              <w:rPr>
                <w:rFonts w:ascii="Arial Narrow" w:hAnsi="Arial Narrow" w:cs="Arial"/>
                <w:b/>
                <w:sz w:val="20"/>
                <w:szCs w:val="20"/>
              </w:rPr>
            </w:pPr>
            <w:r w:rsidRPr="004673D0">
              <w:rPr>
                <w:rFonts w:ascii="Arial Narrow" w:hAnsi="Arial Narrow" w:cs="Arial"/>
                <w:b/>
                <w:sz w:val="20"/>
                <w:szCs w:val="20"/>
              </w:rPr>
              <w:t>Rpts</w:t>
            </w:r>
          </w:p>
        </w:tc>
        <w:tc>
          <w:tcPr>
            <w:tcW w:w="1480" w:type="pct"/>
            <w:tcBorders>
              <w:bottom w:val="single" w:sz="4" w:space="0" w:color="auto"/>
            </w:tcBorders>
          </w:tcPr>
          <w:p w:rsidR="00826F6D" w:rsidRPr="004673D0" w:rsidRDefault="00826F6D" w:rsidP="00BB6AE6">
            <w:pPr>
              <w:keepNext/>
              <w:spacing w:before="40" w:after="40"/>
              <w:rPr>
                <w:rFonts w:ascii="Arial Narrow" w:hAnsi="Arial Narrow" w:cs="Arial"/>
                <w:b/>
                <w:sz w:val="20"/>
                <w:szCs w:val="20"/>
              </w:rPr>
            </w:pPr>
            <w:r w:rsidRPr="004673D0">
              <w:rPr>
                <w:rFonts w:ascii="Arial Narrow" w:hAnsi="Arial Narrow" w:cs="Arial"/>
                <w:b/>
                <w:sz w:val="20"/>
                <w:szCs w:val="20"/>
              </w:rPr>
              <w:t>Dispensed Price for Max. Qty</w:t>
            </w:r>
          </w:p>
        </w:tc>
        <w:tc>
          <w:tcPr>
            <w:tcW w:w="1119" w:type="pct"/>
            <w:gridSpan w:val="4"/>
            <w:tcBorders>
              <w:bottom w:val="single" w:sz="4" w:space="0" w:color="auto"/>
            </w:tcBorders>
          </w:tcPr>
          <w:p w:rsidR="00826F6D" w:rsidRPr="004673D0" w:rsidRDefault="00826F6D" w:rsidP="00BB6AE6">
            <w:pPr>
              <w:keepNext/>
              <w:spacing w:before="40" w:after="40"/>
              <w:rPr>
                <w:rFonts w:ascii="Arial Narrow" w:hAnsi="Arial Narrow" w:cs="Arial"/>
                <w:b/>
                <w:sz w:val="20"/>
                <w:szCs w:val="20"/>
              </w:rPr>
            </w:pPr>
            <w:r w:rsidRPr="004673D0">
              <w:rPr>
                <w:rFonts w:ascii="Arial Narrow" w:hAnsi="Arial Narrow" w:cs="Arial"/>
                <w:b/>
                <w:sz w:val="20"/>
                <w:szCs w:val="20"/>
              </w:rPr>
              <w:t>Proprietary Name and Manufacturer</w:t>
            </w:r>
          </w:p>
        </w:tc>
      </w:tr>
      <w:tr w:rsidR="00BB6AE6" w:rsidRPr="004673D0" w:rsidTr="00BB6AE6">
        <w:trPr>
          <w:cantSplit/>
          <w:trHeight w:val="567"/>
        </w:trPr>
        <w:tc>
          <w:tcPr>
            <w:tcW w:w="1690" w:type="pct"/>
            <w:gridSpan w:val="2"/>
          </w:tcPr>
          <w:p w:rsidR="00826F6D" w:rsidRPr="004673D0" w:rsidRDefault="000313A1" w:rsidP="00EB0B63">
            <w:pPr>
              <w:keepNext/>
              <w:spacing w:before="40" w:after="40"/>
              <w:jc w:val="both"/>
              <w:rPr>
                <w:rFonts w:ascii="Arial Narrow" w:hAnsi="Arial Narrow" w:cs="Arial"/>
                <w:sz w:val="20"/>
                <w:szCs w:val="20"/>
              </w:rPr>
            </w:pPr>
            <w:r w:rsidRPr="004673D0">
              <w:rPr>
                <w:rFonts w:ascii="Arial Narrow" w:hAnsi="Arial Narrow" w:cs="Arial"/>
                <w:smallCaps/>
                <w:sz w:val="20"/>
                <w:szCs w:val="20"/>
              </w:rPr>
              <w:t>G</w:t>
            </w:r>
            <w:r w:rsidR="00BB6AE6" w:rsidRPr="004673D0">
              <w:rPr>
                <w:rFonts w:ascii="Arial Narrow" w:hAnsi="Arial Narrow" w:cs="Arial"/>
                <w:smallCaps/>
                <w:sz w:val="20"/>
                <w:szCs w:val="20"/>
              </w:rPr>
              <w:t>uanfacine Hydrochloride</w:t>
            </w:r>
          </w:p>
          <w:p w:rsidR="000313A1" w:rsidRPr="004673D0" w:rsidRDefault="00BB6AE6" w:rsidP="00BB6AE6">
            <w:pPr>
              <w:keepNext/>
              <w:spacing w:before="40" w:after="40"/>
              <w:rPr>
                <w:rFonts w:ascii="Arial Narrow" w:hAnsi="Arial Narrow" w:cs="Arial"/>
                <w:sz w:val="20"/>
                <w:szCs w:val="20"/>
              </w:rPr>
            </w:pPr>
            <w:r w:rsidRPr="004673D0">
              <w:rPr>
                <w:rFonts w:ascii="Arial Narrow" w:hAnsi="Arial Narrow" w:cs="Arial"/>
                <w:sz w:val="20"/>
                <w:szCs w:val="20"/>
              </w:rPr>
              <w:t xml:space="preserve">Modified release tablet, </w:t>
            </w:r>
            <w:r w:rsidR="000313A1" w:rsidRPr="004673D0">
              <w:rPr>
                <w:rFonts w:ascii="Arial Narrow" w:hAnsi="Arial Narrow" w:cs="Arial"/>
                <w:sz w:val="20"/>
                <w:szCs w:val="20"/>
              </w:rPr>
              <w:t>1 mg, 28</w:t>
            </w:r>
          </w:p>
          <w:p w:rsidR="000313A1" w:rsidRPr="004673D0" w:rsidRDefault="00BB6AE6" w:rsidP="00BB6AE6">
            <w:pPr>
              <w:keepNext/>
              <w:spacing w:before="40" w:after="40"/>
              <w:rPr>
                <w:rFonts w:ascii="Arial Narrow" w:hAnsi="Arial Narrow" w:cs="Arial"/>
                <w:sz w:val="20"/>
                <w:szCs w:val="20"/>
              </w:rPr>
            </w:pPr>
            <w:r w:rsidRPr="004673D0">
              <w:rPr>
                <w:rFonts w:ascii="Arial Narrow" w:hAnsi="Arial Narrow" w:cs="Arial"/>
                <w:sz w:val="20"/>
                <w:szCs w:val="20"/>
              </w:rPr>
              <w:t xml:space="preserve">Modified release tablet, </w:t>
            </w:r>
            <w:r w:rsidR="000313A1" w:rsidRPr="004673D0">
              <w:rPr>
                <w:rFonts w:ascii="Arial Narrow" w:hAnsi="Arial Narrow" w:cs="Arial"/>
                <w:sz w:val="20"/>
                <w:szCs w:val="20"/>
              </w:rPr>
              <w:t>2 mg, 28</w:t>
            </w:r>
          </w:p>
          <w:p w:rsidR="000313A1" w:rsidRPr="004673D0" w:rsidRDefault="00BB6AE6" w:rsidP="00BB6AE6">
            <w:pPr>
              <w:keepNext/>
              <w:spacing w:before="40" w:after="40"/>
              <w:rPr>
                <w:rFonts w:ascii="Arial Narrow" w:hAnsi="Arial Narrow" w:cs="Arial"/>
                <w:sz w:val="20"/>
                <w:szCs w:val="20"/>
              </w:rPr>
            </w:pPr>
            <w:r w:rsidRPr="004673D0">
              <w:rPr>
                <w:rFonts w:ascii="Arial Narrow" w:hAnsi="Arial Narrow" w:cs="Arial"/>
                <w:sz w:val="20"/>
                <w:szCs w:val="20"/>
              </w:rPr>
              <w:t>Modified release tabl</w:t>
            </w:r>
            <w:r w:rsidR="000313A1" w:rsidRPr="004673D0">
              <w:rPr>
                <w:rFonts w:ascii="Arial Narrow" w:hAnsi="Arial Narrow" w:cs="Arial"/>
                <w:sz w:val="20"/>
                <w:szCs w:val="20"/>
              </w:rPr>
              <w:t>et</w:t>
            </w:r>
            <w:r w:rsidRPr="004673D0">
              <w:rPr>
                <w:rFonts w:ascii="Arial Narrow" w:hAnsi="Arial Narrow" w:cs="Arial"/>
                <w:sz w:val="20"/>
                <w:szCs w:val="20"/>
              </w:rPr>
              <w:t xml:space="preserve">, </w:t>
            </w:r>
            <w:r w:rsidR="000313A1" w:rsidRPr="004673D0">
              <w:rPr>
                <w:rFonts w:ascii="Arial Narrow" w:hAnsi="Arial Narrow" w:cs="Arial"/>
                <w:sz w:val="20"/>
                <w:szCs w:val="20"/>
              </w:rPr>
              <w:t>3 mg, 28</w:t>
            </w:r>
          </w:p>
          <w:p w:rsidR="00826F6D" w:rsidRPr="004673D0" w:rsidRDefault="00BB6AE6" w:rsidP="00BB6AE6">
            <w:pPr>
              <w:keepNext/>
              <w:spacing w:before="40" w:after="40"/>
              <w:rPr>
                <w:rFonts w:ascii="Arial Narrow" w:hAnsi="Arial Narrow" w:cs="Arial"/>
                <w:sz w:val="20"/>
                <w:szCs w:val="20"/>
              </w:rPr>
            </w:pPr>
            <w:r w:rsidRPr="004673D0">
              <w:rPr>
                <w:rFonts w:ascii="Arial Narrow" w:hAnsi="Arial Narrow" w:cs="Arial"/>
                <w:sz w:val="20"/>
                <w:szCs w:val="20"/>
              </w:rPr>
              <w:t>Modified release tablet, 4</w:t>
            </w:r>
            <w:r w:rsidR="000313A1" w:rsidRPr="004673D0">
              <w:rPr>
                <w:rFonts w:ascii="Arial Narrow" w:hAnsi="Arial Narrow" w:cs="Arial"/>
                <w:sz w:val="20"/>
                <w:szCs w:val="20"/>
              </w:rPr>
              <w:t xml:space="preserve"> mg, 28</w:t>
            </w:r>
          </w:p>
        </w:tc>
        <w:tc>
          <w:tcPr>
            <w:tcW w:w="320" w:type="pct"/>
          </w:tcPr>
          <w:p w:rsidR="00826F6D" w:rsidRPr="004673D0" w:rsidRDefault="00826F6D" w:rsidP="00EB0B63">
            <w:pPr>
              <w:keepNext/>
              <w:spacing w:before="40" w:after="40"/>
              <w:jc w:val="both"/>
              <w:rPr>
                <w:rFonts w:ascii="Arial Narrow" w:hAnsi="Arial Narrow" w:cs="Arial"/>
                <w:sz w:val="20"/>
                <w:szCs w:val="20"/>
              </w:rPr>
            </w:pPr>
          </w:p>
          <w:p w:rsidR="00826F6D" w:rsidRPr="004673D0" w:rsidRDefault="000313A1" w:rsidP="00EB0B63">
            <w:pPr>
              <w:keepNext/>
              <w:spacing w:before="40" w:after="40"/>
              <w:jc w:val="both"/>
              <w:rPr>
                <w:rFonts w:ascii="Arial Narrow" w:hAnsi="Arial Narrow" w:cs="Arial"/>
                <w:sz w:val="20"/>
                <w:szCs w:val="20"/>
              </w:rPr>
            </w:pPr>
            <w:r w:rsidRPr="004673D0">
              <w:rPr>
                <w:rFonts w:ascii="Arial Narrow" w:hAnsi="Arial Narrow" w:cs="Arial"/>
                <w:sz w:val="20"/>
                <w:szCs w:val="20"/>
              </w:rPr>
              <w:t>1</w:t>
            </w:r>
          </w:p>
          <w:p w:rsidR="000313A1" w:rsidRPr="004673D0" w:rsidRDefault="000313A1" w:rsidP="00EB0B63">
            <w:pPr>
              <w:keepNext/>
              <w:spacing w:before="40" w:after="40"/>
              <w:jc w:val="both"/>
              <w:rPr>
                <w:rFonts w:ascii="Arial Narrow" w:hAnsi="Arial Narrow" w:cs="Arial"/>
                <w:sz w:val="20"/>
                <w:szCs w:val="20"/>
              </w:rPr>
            </w:pPr>
            <w:r w:rsidRPr="004673D0">
              <w:rPr>
                <w:rFonts w:ascii="Arial Narrow" w:hAnsi="Arial Narrow" w:cs="Arial"/>
                <w:sz w:val="20"/>
                <w:szCs w:val="20"/>
              </w:rPr>
              <w:t>1</w:t>
            </w:r>
          </w:p>
          <w:p w:rsidR="000313A1" w:rsidRPr="004673D0" w:rsidRDefault="000313A1" w:rsidP="00EB0B63">
            <w:pPr>
              <w:keepNext/>
              <w:spacing w:before="40" w:after="40"/>
              <w:jc w:val="both"/>
              <w:rPr>
                <w:rFonts w:ascii="Arial Narrow" w:hAnsi="Arial Narrow" w:cs="Arial"/>
                <w:sz w:val="20"/>
                <w:szCs w:val="20"/>
              </w:rPr>
            </w:pPr>
            <w:r w:rsidRPr="004673D0">
              <w:rPr>
                <w:rFonts w:ascii="Arial Narrow" w:hAnsi="Arial Narrow" w:cs="Arial"/>
                <w:sz w:val="20"/>
                <w:szCs w:val="20"/>
              </w:rPr>
              <w:t>1</w:t>
            </w:r>
          </w:p>
          <w:p w:rsidR="000313A1" w:rsidRPr="004673D0" w:rsidRDefault="000313A1" w:rsidP="00EB0B63">
            <w:pPr>
              <w:keepNext/>
              <w:spacing w:before="40" w:after="40"/>
              <w:jc w:val="both"/>
              <w:rPr>
                <w:rFonts w:ascii="Arial Narrow" w:hAnsi="Arial Narrow" w:cs="Arial"/>
                <w:sz w:val="20"/>
                <w:szCs w:val="20"/>
              </w:rPr>
            </w:pPr>
            <w:r w:rsidRPr="004673D0">
              <w:rPr>
                <w:rFonts w:ascii="Arial Narrow" w:hAnsi="Arial Narrow" w:cs="Arial"/>
                <w:sz w:val="20"/>
                <w:szCs w:val="20"/>
              </w:rPr>
              <w:t>1</w:t>
            </w:r>
          </w:p>
        </w:tc>
        <w:tc>
          <w:tcPr>
            <w:tcW w:w="391" w:type="pct"/>
          </w:tcPr>
          <w:p w:rsidR="00826F6D" w:rsidRPr="004673D0" w:rsidRDefault="00826F6D" w:rsidP="00EB0B63">
            <w:pPr>
              <w:keepNext/>
              <w:spacing w:before="40" w:after="40"/>
              <w:jc w:val="both"/>
              <w:rPr>
                <w:rFonts w:ascii="Arial Narrow" w:hAnsi="Arial Narrow" w:cs="Arial"/>
                <w:sz w:val="20"/>
                <w:szCs w:val="20"/>
              </w:rPr>
            </w:pPr>
          </w:p>
          <w:p w:rsidR="00826F6D" w:rsidRPr="004673D0" w:rsidRDefault="000313A1" w:rsidP="00EB0B63">
            <w:pPr>
              <w:keepNext/>
              <w:spacing w:before="40" w:after="40"/>
              <w:jc w:val="both"/>
              <w:rPr>
                <w:rFonts w:ascii="Arial Narrow" w:hAnsi="Arial Narrow" w:cs="Arial"/>
                <w:sz w:val="20"/>
                <w:szCs w:val="20"/>
              </w:rPr>
            </w:pPr>
            <w:r w:rsidRPr="004673D0">
              <w:rPr>
                <w:rFonts w:ascii="Arial Narrow" w:hAnsi="Arial Narrow" w:cs="Arial"/>
                <w:sz w:val="20"/>
                <w:szCs w:val="20"/>
              </w:rPr>
              <w:t>5</w:t>
            </w:r>
          </w:p>
          <w:p w:rsidR="000313A1" w:rsidRPr="004673D0" w:rsidRDefault="000313A1" w:rsidP="00EB0B63">
            <w:pPr>
              <w:keepNext/>
              <w:spacing w:before="40" w:after="40"/>
              <w:jc w:val="both"/>
              <w:rPr>
                <w:rFonts w:ascii="Arial Narrow" w:hAnsi="Arial Narrow" w:cs="Arial"/>
                <w:sz w:val="20"/>
                <w:szCs w:val="20"/>
              </w:rPr>
            </w:pPr>
            <w:r w:rsidRPr="004673D0">
              <w:rPr>
                <w:rFonts w:ascii="Arial Narrow" w:hAnsi="Arial Narrow" w:cs="Arial"/>
                <w:sz w:val="20"/>
                <w:szCs w:val="20"/>
              </w:rPr>
              <w:t>5</w:t>
            </w:r>
          </w:p>
          <w:p w:rsidR="000313A1" w:rsidRPr="004673D0" w:rsidRDefault="000313A1" w:rsidP="00EB0B63">
            <w:pPr>
              <w:keepNext/>
              <w:spacing w:before="40" w:after="40"/>
              <w:jc w:val="both"/>
              <w:rPr>
                <w:rFonts w:ascii="Arial Narrow" w:hAnsi="Arial Narrow" w:cs="Arial"/>
                <w:sz w:val="20"/>
                <w:szCs w:val="20"/>
              </w:rPr>
            </w:pPr>
            <w:r w:rsidRPr="004673D0">
              <w:rPr>
                <w:rFonts w:ascii="Arial Narrow" w:hAnsi="Arial Narrow" w:cs="Arial"/>
                <w:sz w:val="20"/>
                <w:szCs w:val="20"/>
              </w:rPr>
              <w:t>5</w:t>
            </w:r>
          </w:p>
          <w:p w:rsidR="000313A1" w:rsidRPr="004673D0" w:rsidRDefault="000313A1" w:rsidP="00EB0B63">
            <w:pPr>
              <w:keepNext/>
              <w:spacing w:before="40" w:after="40"/>
              <w:jc w:val="both"/>
              <w:rPr>
                <w:rFonts w:ascii="Arial Narrow" w:hAnsi="Arial Narrow" w:cs="Arial"/>
                <w:sz w:val="20"/>
                <w:szCs w:val="20"/>
              </w:rPr>
            </w:pPr>
            <w:r w:rsidRPr="004673D0">
              <w:rPr>
                <w:rFonts w:ascii="Arial Narrow" w:hAnsi="Arial Narrow" w:cs="Arial"/>
                <w:sz w:val="20"/>
                <w:szCs w:val="20"/>
              </w:rPr>
              <w:t>5</w:t>
            </w:r>
          </w:p>
        </w:tc>
        <w:tc>
          <w:tcPr>
            <w:tcW w:w="1480" w:type="pct"/>
          </w:tcPr>
          <w:p w:rsidR="00826F6D" w:rsidRPr="004673D0" w:rsidRDefault="00826F6D" w:rsidP="00EB0B63">
            <w:pPr>
              <w:keepNext/>
              <w:spacing w:before="40" w:after="40"/>
              <w:jc w:val="both"/>
              <w:rPr>
                <w:rFonts w:ascii="Arial Narrow" w:hAnsi="Arial Narrow" w:cs="Arial"/>
                <w:sz w:val="20"/>
                <w:szCs w:val="20"/>
              </w:rPr>
            </w:pPr>
          </w:p>
          <w:p w:rsidR="00826F6D" w:rsidRPr="004673D0" w:rsidRDefault="00826F6D" w:rsidP="00EB0B63">
            <w:pPr>
              <w:keepNext/>
              <w:spacing w:before="40" w:after="40"/>
              <w:jc w:val="both"/>
              <w:rPr>
                <w:rFonts w:ascii="Arial Narrow" w:hAnsi="Arial Narrow" w:cs="Arial"/>
                <w:sz w:val="20"/>
                <w:szCs w:val="20"/>
              </w:rPr>
            </w:pPr>
            <w:r w:rsidRPr="004673D0">
              <w:rPr>
                <w:rFonts w:ascii="Arial Narrow" w:hAnsi="Arial Narrow" w:cs="Arial"/>
                <w:sz w:val="20"/>
                <w:szCs w:val="20"/>
              </w:rPr>
              <w:t>$</w:t>
            </w:r>
            <w:r w:rsidR="00F83616">
              <w:rPr>
                <w:rFonts w:ascii="Arial Narrow" w:hAnsi="Arial Narrow" w:cs="Arial"/>
                <w:noProof/>
                <w:color w:val="000000"/>
                <w:sz w:val="20"/>
                <w:szCs w:val="20"/>
                <w:highlight w:val="black"/>
              </w:rPr>
              <w:t>''''''''''''''</w:t>
            </w:r>
            <w:r w:rsidR="000313A1" w:rsidRPr="004673D0">
              <w:rPr>
                <w:rFonts w:ascii="Arial Narrow" w:hAnsi="Arial Narrow" w:cs="Arial"/>
                <w:sz w:val="20"/>
                <w:szCs w:val="20"/>
              </w:rPr>
              <w:t xml:space="preserve"> (</w:t>
            </w:r>
            <w:r w:rsidR="005B7D79" w:rsidRPr="004673D0">
              <w:rPr>
                <w:rFonts w:ascii="Arial Narrow" w:hAnsi="Arial Narrow" w:cs="Arial"/>
                <w:sz w:val="20"/>
                <w:szCs w:val="20"/>
              </w:rPr>
              <w:t>E</w:t>
            </w:r>
            <w:r w:rsidR="000313A1" w:rsidRPr="004673D0">
              <w:rPr>
                <w:rFonts w:ascii="Arial Narrow" w:hAnsi="Arial Narrow" w:cs="Arial"/>
                <w:sz w:val="20"/>
                <w:szCs w:val="20"/>
              </w:rPr>
              <w:t>ffective)</w:t>
            </w:r>
          </w:p>
          <w:p w:rsidR="000313A1" w:rsidRPr="004673D0" w:rsidRDefault="005B7D79" w:rsidP="00EB0B63">
            <w:pPr>
              <w:keepNext/>
              <w:spacing w:before="40" w:after="40"/>
              <w:jc w:val="both"/>
              <w:rPr>
                <w:rFonts w:ascii="Arial Narrow" w:hAnsi="Arial Narrow" w:cs="Arial"/>
                <w:sz w:val="20"/>
                <w:szCs w:val="20"/>
              </w:rPr>
            </w:pPr>
            <w:r w:rsidRPr="004673D0">
              <w:rPr>
                <w:rFonts w:ascii="Arial Narrow" w:hAnsi="Arial Narrow" w:cs="Arial"/>
                <w:sz w:val="20"/>
                <w:szCs w:val="20"/>
              </w:rPr>
              <w:t>$</w:t>
            </w:r>
            <w:r w:rsidR="00F83616">
              <w:rPr>
                <w:rFonts w:ascii="Arial Narrow" w:hAnsi="Arial Narrow" w:cs="Arial"/>
                <w:noProof/>
                <w:color w:val="000000"/>
                <w:sz w:val="20"/>
                <w:szCs w:val="20"/>
                <w:highlight w:val="black"/>
              </w:rPr>
              <w:t>''''''''''''</w:t>
            </w:r>
            <w:r w:rsidRPr="004673D0">
              <w:rPr>
                <w:rFonts w:ascii="Arial Narrow" w:hAnsi="Arial Narrow" w:cs="Arial"/>
                <w:sz w:val="20"/>
                <w:szCs w:val="20"/>
              </w:rPr>
              <w:t xml:space="preserve"> (W</w:t>
            </w:r>
            <w:r w:rsidR="000313A1" w:rsidRPr="004673D0">
              <w:rPr>
                <w:rFonts w:ascii="Arial Narrow" w:hAnsi="Arial Narrow" w:cs="Arial"/>
                <w:sz w:val="20"/>
                <w:szCs w:val="20"/>
              </w:rPr>
              <w:t>eighted effective)</w:t>
            </w:r>
          </w:p>
          <w:p w:rsidR="000313A1" w:rsidRPr="004673D0" w:rsidRDefault="005B7D79" w:rsidP="00EB0B63">
            <w:pPr>
              <w:keepNext/>
              <w:spacing w:before="40" w:after="40"/>
              <w:jc w:val="both"/>
              <w:rPr>
                <w:rFonts w:ascii="Arial Narrow" w:hAnsi="Arial Narrow" w:cs="Arial"/>
                <w:sz w:val="20"/>
                <w:szCs w:val="20"/>
              </w:rPr>
            </w:pPr>
            <w:r w:rsidRPr="004673D0">
              <w:rPr>
                <w:rFonts w:ascii="Arial Narrow" w:hAnsi="Arial Narrow" w:cs="Arial"/>
                <w:sz w:val="20"/>
                <w:szCs w:val="20"/>
              </w:rPr>
              <w:t>$123.72 (P</w:t>
            </w:r>
            <w:r w:rsidR="000313A1" w:rsidRPr="004673D0">
              <w:rPr>
                <w:rFonts w:ascii="Arial Narrow" w:hAnsi="Arial Narrow" w:cs="Arial"/>
                <w:sz w:val="20"/>
                <w:szCs w:val="20"/>
              </w:rPr>
              <w:t>ublished)</w:t>
            </w:r>
          </w:p>
        </w:tc>
        <w:tc>
          <w:tcPr>
            <w:tcW w:w="542" w:type="pct"/>
          </w:tcPr>
          <w:p w:rsidR="00C27B58" w:rsidRPr="004673D0" w:rsidRDefault="00C27B58" w:rsidP="00EB0B63">
            <w:pPr>
              <w:keepNext/>
              <w:spacing w:before="40" w:after="40"/>
              <w:jc w:val="both"/>
              <w:rPr>
                <w:rFonts w:ascii="Arial Narrow" w:hAnsi="Arial Narrow" w:cs="Arial"/>
                <w:sz w:val="20"/>
                <w:szCs w:val="20"/>
              </w:rPr>
            </w:pPr>
          </w:p>
          <w:p w:rsidR="00826F6D" w:rsidRPr="004673D0" w:rsidRDefault="000313A1" w:rsidP="00EB0B63">
            <w:pPr>
              <w:keepNext/>
              <w:spacing w:before="40" w:after="40"/>
              <w:jc w:val="both"/>
              <w:rPr>
                <w:rFonts w:ascii="Arial Narrow" w:hAnsi="Arial Narrow" w:cs="Arial"/>
                <w:sz w:val="20"/>
                <w:szCs w:val="20"/>
                <w:vertAlign w:val="superscript"/>
              </w:rPr>
            </w:pPr>
            <w:r w:rsidRPr="004673D0">
              <w:rPr>
                <w:rFonts w:ascii="Arial Narrow" w:hAnsi="Arial Narrow" w:cs="Arial"/>
                <w:sz w:val="20"/>
                <w:szCs w:val="20"/>
              </w:rPr>
              <w:t>Intuniv</w:t>
            </w:r>
            <w:r w:rsidRPr="004673D0">
              <w:rPr>
                <w:rFonts w:ascii="Arial Narrow" w:hAnsi="Arial Narrow" w:cs="Arial"/>
                <w:sz w:val="20"/>
                <w:szCs w:val="20"/>
                <w:vertAlign w:val="superscript"/>
              </w:rPr>
              <w:t>®</w:t>
            </w:r>
          </w:p>
        </w:tc>
        <w:tc>
          <w:tcPr>
            <w:tcW w:w="577" w:type="pct"/>
            <w:gridSpan w:val="3"/>
          </w:tcPr>
          <w:p w:rsidR="00C27B58" w:rsidRPr="004673D0" w:rsidRDefault="00C27B58" w:rsidP="00EB0B63">
            <w:pPr>
              <w:keepNext/>
              <w:spacing w:before="40" w:after="40"/>
              <w:jc w:val="both"/>
              <w:rPr>
                <w:rFonts w:ascii="Arial Narrow" w:hAnsi="Arial Narrow" w:cs="Arial"/>
                <w:sz w:val="20"/>
                <w:szCs w:val="20"/>
              </w:rPr>
            </w:pPr>
          </w:p>
          <w:p w:rsidR="00826F6D" w:rsidRPr="004673D0" w:rsidRDefault="000313A1" w:rsidP="00EB0B63">
            <w:pPr>
              <w:keepNext/>
              <w:spacing w:before="40" w:after="40"/>
              <w:jc w:val="both"/>
              <w:rPr>
                <w:rFonts w:ascii="Arial Narrow" w:hAnsi="Arial Narrow" w:cs="Arial"/>
                <w:sz w:val="20"/>
                <w:szCs w:val="20"/>
              </w:rPr>
            </w:pPr>
            <w:r w:rsidRPr="004673D0">
              <w:rPr>
                <w:rFonts w:ascii="Arial Narrow" w:hAnsi="Arial Narrow" w:cs="Arial"/>
                <w:sz w:val="20"/>
                <w:szCs w:val="20"/>
              </w:rPr>
              <w:t>Shire Australia Pty Ltd</w:t>
            </w:r>
          </w:p>
        </w:tc>
      </w:tr>
      <w:tr w:rsidR="00826F6D" w:rsidRPr="004673D0" w:rsidTr="00A72C92">
        <w:trPr>
          <w:gridAfter w:val="2"/>
          <w:wAfter w:w="491" w:type="pct"/>
          <w:cantSplit/>
          <w:trHeight w:val="360"/>
        </w:trPr>
        <w:tc>
          <w:tcPr>
            <w:tcW w:w="4509" w:type="pct"/>
            <w:gridSpan w:val="7"/>
            <w:tcBorders>
              <w:bottom w:val="single" w:sz="4" w:space="0" w:color="auto"/>
            </w:tcBorders>
          </w:tcPr>
          <w:p w:rsidR="00826F6D" w:rsidRPr="004673D0" w:rsidRDefault="00826F6D" w:rsidP="00EB0B63">
            <w:pPr>
              <w:spacing w:before="40" w:after="40"/>
              <w:jc w:val="both"/>
              <w:rPr>
                <w:rFonts w:ascii="Arial Narrow" w:hAnsi="Arial Narrow" w:cs="Arial"/>
                <w:sz w:val="20"/>
                <w:szCs w:val="20"/>
              </w:rPr>
            </w:pPr>
          </w:p>
        </w:tc>
      </w:tr>
      <w:tr w:rsidR="00826F6D" w:rsidRPr="004673D0" w:rsidTr="00A72C92">
        <w:trPr>
          <w:gridAfter w:val="1"/>
          <w:wAfter w:w="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4673D0" w:rsidRDefault="00826F6D" w:rsidP="00BB6AE6">
            <w:pPr>
              <w:spacing w:before="40" w:after="40"/>
              <w:rPr>
                <w:rFonts w:ascii="Arial Narrow" w:hAnsi="Arial Narrow" w:cs="Arial"/>
                <w:b/>
                <w:sz w:val="20"/>
                <w:szCs w:val="20"/>
              </w:rPr>
            </w:pPr>
            <w:r w:rsidRPr="004673D0">
              <w:rPr>
                <w:rFonts w:ascii="Arial Narrow" w:hAnsi="Arial Narrow" w:cs="Arial"/>
                <w:b/>
                <w:sz w:val="20"/>
                <w:szCs w:val="20"/>
              </w:rPr>
              <w:t>Category / Program</w:t>
            </w:r>
            <w:r w:rsidR="00BB6AE6" w:rsidRPr="004673D0">
              <w:rPr>
                <w:rFonts w:ascii="Arial Narrow" w:hAnsi="Arial Narrow" w:cs="Arial"/>
                <w:b/>
                <w:sz w:val="20"/>
                <w:szCs w:val="20"/>
              </w:rPr>
              <w:t>:</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4673D0" w:rsidRDefault="00826F6D" w:rsidP="00EB0B63">
            <w:pPr>
              <w:spacing w:before="40" w:after="40"/>
              <w:rPr>
                <w:rFonts w:ascii="Arial Narrow" w:hAnsi="Arial Narrow" w:cs="Arial"/>
                <w:sz w:val="20"/>
                <w:szCs w:val="20"/>
              </w:rPr>
            </w:pPr>
            <w:r w:rsidRPr="004673D0">
              <w:rPr>
                <w:rFonts w:ascii="Arial Narrow" w:hAnsi="Arial Narrow" w:cs="Arial"/>
                <w:sz w:val="20"/>
                <w:szCs w:val="20"/>
              </w:rPr>
              <w:t>GENERAL – General Schedule (Code GE)</w:t>
            </w:r>
          </w:p>
        </w:tc>
      </w:tr>
      <w:tr w:rsidR="00826F6D" w:rsidRPr="004673D0" w:rsidTr="00A72C92">
        <w:trPr>
          <w:gridAfter w:val="1"/>
          <w:wAfter w:w="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4673D0" w:rsidRDefault="00826F6D" w:rsidP="00BB6AE6">
            <w:pPr>
              <w:spacing w:before="40" w:after="40"/>
              <w:rPr>
                <w:rFonts w:ascii="Arial Narrow" w:hAnsi="Arial Narrow" w:cs="Arial"/>
                <w:b/>
                <w:sz w:val="20"/>
                <w:szCs w:val="20"/>
              </w:rPr>
            </w:pPr>
            <w:r w:rsidRPr="004673D0">
              <w:rPr>
                <w:rFonts w:ascii="Arial Narrow" w:hAnsi="Arial Narrow" w:cs="Arial"/>
                <w:b/>
                <w:sz w:val="20"/>
                <w:szCs w:val="20"/>
              </w:rPr>
              <w:t>Prescriber type:</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4673D0" w:rsidRDefault="00826F6D" w:rsidP="00BB6AE6">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1"/>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 xml:space="preserve">Dental  </w:t>
            </w:r>
            <w:r w:rsidR="005C4092" w:rsidRPr="004673D0">
              <w:rPr>
                <w:rFonts w:ascii="Arial Narrow" w:hAnsi="Arial Narrow" w:cs="Arial"/>
                <w:sz w:val="20"/>
                <w:szCs w:val="20"/>
              </w:rPr>
              <w:fldChar w:fldCharType="begin">
                <w:ffData>
                  <w:name w:val=""/>
                  <w:enabled/>
                  <w:calcOnExit w:val="0"/>
                  <w:checkBox>
                    <w:sizeAuto/>
                    <w:default w:val="1"/>
                  </w:checkBox>
                </w:ffData>
              </w:fldChar>
            </w:r>
            <w:r w:rsidR="005C4092"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005C4092" w:rsidRPr="004673D0">
              <w:rPr>
                <w:rFonts w:ascii="Arial Narrow" w:hAnsi="Arial Narrow" w:cs="Arial"/>
                <w:sz w:val="20"/>
                <w:szCs w:val="20"/>
              </w:rPr>
              <w:fldChar w:fldCharType="end"/>
            </w:r>
            <w:r w:rsidRPr="004673D0">
              <w:rPr>
                <w:rFonts w:ascii="Arial Narrow" w:hAnsi="Arial Narrow" w:cs="Arial"/>
                <w:sz w:val="20"/>
                <w:szCs w:val="20"/>
              </w:rPr>
              <w:t xml:space="preserve">Medical Practitioners  </w:t>
            </w:r>
            <w:r w:rsidRPr="004673D0">
              <w:rPr>
                <w:rFonts w:ascii="Arial Narrow" w:hAnsi="Arial Narrow" w:cs="Arial"/>
                <w:sz w:val="20"/>
                <w:szCs w:val="20"/>
              </w:rPr>
              <w:fldChar w:fldCharType="begin">
                <w:ffData>
                  <w:name w:val="Check3"/>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 xml:space="preserve">Nurse practitioners  </w:t>
            </w:r>
            <w:r w:rsidRPr="004673D0">
              <w:rPr>
                <w:rFonts w:ascii="Arial Narrow" w:hAnsi="Arial Narrow" w:cs="Arial"/>
                <w:sz w:val="20"/>
                <w:szCs w:val="20"/>
              </w:rPr>
              <w:fldChar w:fldCharType="begin">
                <w:ffData>
                  <w:name w:val=""/>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Optometrists</w:t>
            </w:r>
            <w:r w:rsidR="00BB6AE6" w:rsidRPr="004673D0">
              <w:rPr>
                <w:rFonts w:ascii="Arial Narrow" w:hAnsi="Arial Narrow" w:cs="Arial"/>
                <w:sz w:val="20"/>
                <w:szCs w:val="20"/>
              </w:rPr>
              <w:t xml:space="preserve"> </w:t>
            </w:r>
            <w:r w:rsidRPr="004673D0">
              <w:rPr>
                <w:rFonts w:ascii="Arial Narrow" w:hAnsi="Arial Narrow" w:cs="Arial"/>
                <w:sz w:val="20"/>
                <w:szCs w:val="20"/>
              </w:rPr>
              <w:fldChar w:fldCharType="begin">
                <w:ffData>
                  <w:name w:val="Check5"/>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Midwives</w:t>
            </w:r>
          </w:p>
        </w:tc>
      </w:tr>
      <w:tr w:rsidR="00826F6D" w:rsidRPr="004673D0" w:rsidTr="00A72C92">
        <w:trPr>
          <w:gridAfter w:val="1"/>
          <w:wAfter w:w="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4673D0" w:rsidRDefault="00826F6D" w:rsidP="00BB6AE6">
            <w:pPr>
              <w:spacing w:before="40" w:after="40"/>
              <w:rPr>
                <w:rFonts w:ascii="Arial Narrow" w:hAnsi="Arial Narrow" w:cs="Arial"/>
                <w:b/>
                <w:sz w:val="20"/>
                <w:szCs w:val="20"/>
              </w:rPr>
            </w:pPr>
            <w:r w:rsidRPr="004673D0">
              <w:rPr>
                <w:rFonts w:ascii="Arial Narrow" w:hAnsi="Arial Narrow" w:cs="Arial"/>
                <w:b/>
                <w:sz w:val="20"/>
                <w:szCs w:val="20"/>
              </w:rPr>
              <w:t>Condition:</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4673D0" w:rsidRDefault="005C4092" w:rsidP="00EB0B63">
            <w:pPr>
              <w:spacing w:before="40" w:after="40"/>
              <w:rPr>
                <w:rFonts w:ascii="Arial Narrow" w:hAnsi="Arial Narrow" w:cs="Arial"/>
                <w:sz w:val="20"/>
                <w:szCs w:val="20"/>
              </w:rPr>
            </w:pPr>
            <w:r w:rsidRPr="004673D0">
              <w:rPr>
                <w:rFonts w:ascii="Arial Narrow" w:hAnsi="Arial Narrow" w:cs="Arial"/>
                <w:sz w:val="20"/>
                <w:szCs w:val="20"/>
              </w:rPr>
              <w:t>Attention deficit hyperactivity disorder</w:t>
            </w:r>
          </w:p>
        </w:tc>
      </w:tr>
      <w:tr w:rsidR="00826F6D" w:rsidRPr="004673D0" w:rsidTr="00A72C92">
        <w:trPr>
          <w:gridAfter w:val="1"/>
          <w:wAfter w:w="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4673D0" w:rsidRDefault="00826F6D" w:rsidP="00BB6AE6">
            <w:pPr>
              <w:spacing w:before="40" w:after="40"/>
              <w:rPr>
                <w:rFonts w:ascii="Arial Narrow" w:hAnsi="Arial Narrow" w:cs="Arial"/>
                <w:b/>
                <w:sz w:val="20"/>
                <w:szCs w:val="20"/>
              </w:rPr>
            </w:pPr>
            <w:r w:rsidRPr="004673D0">
              <w:rPr>
                <w:rFonts w:ascii="Arial Narrow" w:hAnsi="Arial Narrow" w:cs="Arial"/>
                <w:b/>
                <w:sz w:val="20"/>
                <w:szCs w:val="20"/>
              </w:rPr>
              <w:t>PBS Indication:</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4673D0" w:rsidRDefault="005C4092" w:rsidP="00EB0B63">
            <w:pPr>
              <w:spacing w:before="40" w:after="40"/>
              <w:rPr>
                <w:rFonts w:ascii="Arial Narrow" w:hAnsi="Arial Narrow" w:cs="Arial"/>
                <w:sz w:val="20"/>
                <w:szCs w:val="20"/>
              </w:rPr>
            </w:pPr>
            <w:r w:rsidRPr="004673D0">
              <w:rPr>
                <w:rFonts w:ascii="Arial Narrow" w:hAnsi="Arial Narrow" w:cs="Arial"/>
                <w:sz w:val="20"/>
                <w:szCs w:val="20"/>
              </w:rPr>
              <w:t>Attention deficit hyperactivity disorder</w:t>
            </w:r>
          </w:p>
        </w:tc>
      </w:tr>
      <w:tr w:rsidR="00826F6D" w:rsidRPr="004673D0" w:rsidTr="00A72C92">
        <w:trPr>
          <w:gridAfter w:val="1"/>
          <w:wAfter w:w="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4673D0" w:rsidRDefault="00826F6D" w:rsidP="00BB6AE6">
            <w:pPr>
              <w:spacing w:before="40" w:after="40"/>
              <w:rPr>
                <w:rFonts w:ascii="Arial Narrow" w:hAnsi="Arial Narrow" w:cs="Arial"/>
                <w:b/>
                <w:sz w:val="20"/>
                <w:szCs w:val="20"/>
              </w:rPr>
            </w:pPr>
            <w:r w:rsidRPr="004673D0">
              <w:rPr>
                <w:rFonts w:ascii="Arial Narrow" w:hAnsi="Arial Narrow" w:cs="Arial"/>
                <w:b/>
                <w:sz w:val="20"/>
                <w:szCs w:val="20"/>
              </w:rPr>
              <w:t>Treatment phase:</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4673D0" w:rsidRDefault="005C4092" w:rsidP="00EB0B63">
            <w:pPr>
              <w:spacing w:before="40" w:after="40"/>
              <w:rPr>
                <w:rFonts w:ascii="Arial Narrow" w:hAnsi="Arial Narrow" w:cs="Arial"/>
                <w:sz w:val="20"/>
                <w:szCs w:val="20"/>
              </w:rPr>
            </w:pPr>
            <w:r w:rsidRPr="004673D0">
              <w:rPr>
                <w:rFonts w:ascii="Arial Narrow" w:hAnsi="Arial Narrow" w:cs="Arial"/>
                <w:sz w:val="20"/>
                <w:szCs w:val="20"/>
              </w:rPr>
              <w:t>Initial treatment</w:t>
            </w:r>
          </w:p>
        </w:tc>
      </w:tr>
      <w:tr w:rsidR="00826F6D" w:rsidRPr="004673D0" w:rsidTr="00A72C92">
        <w:trPr>
          <w:gridAfter w:val="1"/>
          <w:wAfter w:w="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4673D0" w:rsidRDefault="00826F6D" w:rsidP="00BB6AE6">
            <w:pPr>
              <w:spacing w:before="40" w:after="40"/>
              <w:rPr>
                <w:rFonts w:ascii="Arial Narrow" w:hAnsi="Arial Narrow" w:cs="Arial"/>
                <w:b/>
                <w:sz w:val="20"/>
                <w:szCs w:val="20"/>
              </w:rPr>
            </w:pPr>
            <w:r w:rsidRPr="004673D0">
              <w:rPr>
                <w:rFonts w:ascii="Arial Narrow" w:hAnsi="Arial Narrow" w:cs="Arial"/>
                <w:b/>
                <w:sz w:val="20"/>
                <w:szCs w:val="20"/>
              </w:rPr>
              <w:lastRenderedPageBreak/>
              <w:t>Restriction Level / Method:</w:t>
            </w:r>
          </w:p>
          <w:p w:rsidR="00826F6D" w:rsidRPr="004673D0" w:rsidRDefault="00826F6D" w:rsidP="00BB6AE6">
            <w:pPr>
              <w:spacing w:before="40" w:after="40"/>
              <w:rPr>
                <w:rFonts w:ascii="Arial Narrow" w:hAnsi="Arial Narrow" w:cs="Arial"/>
                <w:sz w:val="20"/>
                <w:szCs w:val="20"/>
              </w:rPr>
            </w:pPr>
          </w:p>
        </w:tc>
        <w:tc>
          <w:tcPr>
            <w:tcW w:w="3909" w:type="pct"/>
            <w:gridSpan w:val="7"/>
            <w:tcBorders>
              <w:top w:val="single" w:sz="4" w:space="0" w:color="auto"/>
              <w:left w:val="single" w:sz="4" w:space="0" w:color="auto"/>
              <w:bottom w:val="single" w:sz="4" w:space="0" w:color="auto"/>
              <w:right w:val="single" w:sz="4" w:space="0" w:color="auto"/>
            </w:tcBorders>
          </w:tcPr>
          <w:p w:rsidR="00826F6D" w:rsidRPr="004673D0" w:rsidRDefault="00826F6D" w:rsidP="00EB0B63">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1"/>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Restricted benefit</w:t>
            </w:r>
          </w:p>
          <w:p w:rsidR="00826F6D" w:rsidRPr="004673D0" w:rsidRDefault="00826F6D" w:rsidP="00EB0B63">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In Writing</w:t>
            </w:r>
          </w:p>
          <w:p w:rsidR="00826F6D" w:rsidRPr="004673D0" w:rsidRDefault="00826F6D" w:rsidP="00EB0B63">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3"/>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Telephone</w:t>
            </w:r>
          </w:p>
          <w:p w:rsidR="00826F6D" w:rsidRPr="004673D0" w:rsidRDefault="00826F6D" w:rsidP="00EB0B63">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Emergency</w:t>
            </w:r>
          </w:p>
          <w:p w:rsidR="00826F6D" w:rsidRPr="004673D0" w:rsidRDefault="00826F6D" w:rsidP="00EB0B63">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5"/>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Electronic</w:t>
            </w:r>
          </w:p>
          <w:p w:rsidR="00826F6D" w:rsidRPr="004673D0" w:rsidRDefault="005C4092" w:rsidP="00EB0B63">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5"/>
                  <w:enabled/>
                  <w:calcOnExit w:val="0"/>
                  <w:checkBox>
                    <w:sizeAuto/>
                    <w:default w:val="1"/>
                  </w:checkBox>
                </w:ffData>
              </w:fldChar>
            </w:r>
            <w:bookmarkStart w:id="0" w:name="Check5"/>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bookmarkEnd w:id="0"/>
            <w:r w:rsidR="00826F6D" w:rsidRPr="004673D0">
              <w:rPr>
                <w:rFonts w:ascii="Arial Narrow" w:hAnsi="Arial Narrow" w:cs="Arial"/>
                <w:sz w:val="20"/>
                <w:szCs w:val="20"/>
              </w:rPr>
              <w:t>Streamlined</w:t>
            </w:r>
          </w:p>
        </w:tc>
      </w:tr>
      <w:tr w:rsidR="00826F6D" w:rsidRPr="004673D0" w:rsidTr="00A72C92">
        <w:trPr>
          <w:gridAfter w:val="1"/>
          <w:wAfter w:w="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4673D0" w:rsidRDefault="00826F6D" w:rsidP="00BB6AE6">
            <w:pPr>
              <w:spacing w:before="40" w:after="40"/>
              <w:rPr>
                <w:rFonts w:ascii="Arial Narrow" w:hAnsi="Arial Narrow" w:cs="Arial"/>
                <w:b/>
                <w:sz w:val="20"/>
                <w:szCs w:val="20"/>
              </w:rPr>
            </w:pPr>
            <w:r w:rsidRPr="004673D0">
              <w:rPr>
                <w:rFonts w:ascii="Arial Narrow" w:hAnsi="Arial Narrow" w:cs="Arial"/>
                <w:b/>
                <w:sz w:val="20"/>
                <w:szCs w:val="20"/>
              </w:rPr>
              <w:t>Clinical criteria:</w:t>
            </w:r>
          </w:p>
          <w:p w:rsidR="00826F6D" w:rsidRPr="004673D0" w:rsidRDefault="00826F6D" w:rsidP="00BB6AE6">
            <w:pPr>
              <w:spacing w:before="40" w:after="40"/>
              <w:rPr>
                <w:rFonts w:ascii="Arial Narrow" w:hAnsi="Arial Narrow" w:cs="Arial"/>
                <w:sz w:val="20"/>
                <w:szCs w:val="20"/>
              </w:rPr>
            </w:pPr>
          </w:p>
        </w:tc>
        <w:tc>
          <w:tcPr>
            <w:tcW w:w="3909" w:type="pct"/>
            <w:gridSpan w:val="7"/>
            <w:tcBorders>
              <w:top w:val="single" w:sz="4" w:space="0" w:color="auto"/>
              <w:left w:val="single" w:sz="4" w:space="0" w:color="auto"/>
              <w:bottom w:val="single" w:sz="4" w:space="0" w:color="auto"/>
              <w:right w:val="single" w:sz="4" w:space="0" w:color="auto"/>
            </w:tcBorders>
          </w:tcPr>
          <w:p w:rsidR="005C4092" w:rsidRPr="004673D0" w:rsidRDefault="005C4092" w:rsidP="005C4092">
            <w:pPr>
              <w:widowControl w:val="0"/>
              <w:spacing w:before="60" w:after="40"/>
              <w:jc w:val="both"/>
              <w:rPr>
                <w:rFonts w:ascii="Arial Narrow" w:hAnsi="Arial Narrow"/>
                <w:sz w:val="20"/>
                <w:szCs w:val="20"/>
                <w:shd w:val="clear" w:color="auto" w:fill="FFFFFF" w:themeFill="background1"/>
                <w:lang w:eastAsia="en-GB"/>
              </w:rPr>
            </w:pPr>
            <w:r w:rsidRPr="004673D0">
              <w:rPr>
                <w:rFonts w:ascii="Arial Narrow" w:hAnsi="Arial Narrow"/>
                <w:sz w:val="20"/>
                <w:szCs w:val="20"/>
                <w:shd w:val="clear" w:color="auto" w:fill="FFFFFF" w:themeFill="background1"/>
                <w:lang w:eastAsia="en-GB"/>
              </w:rPr>
              <w:t xml:space="preserve">The condition must be or have been diagnosed by a paediatrician or psychiatrist </w:t>
            </w:r>
            <w:r w:rsidR="00A72C92" w:rsidRPr="004673D0">
              <w:rPr>
                <w:rFonts w:ascii="Arial Narrow" w:hAnsi="Arial Narrow"/>
                <w:sz w:val="20"/>
                <w:szCs w:val="20"/>
                <w:shd w:val="clear" w:color="auto" w:fill="FFFFFF" w:themeFill="background1"/>
                <w:lang w:eastAsia="en-GB"/>
              </w:rPr>
              <w:t>according to the DSM-5 criteria;</w:t>
            </w:r>
          </w:p>
          <w:p w:rsidR="005C4092" w:rsidRPr="004673D0" w:rsidRDefault="005C4092" w:rsidP="005C4092">
            <w:pPr>
              <w:widowControl w:val="0"/>
              <w:spacing w:before="60" w:after="40"/>
              <w:jc w:val="both"/>
              <w:rPr>
                <w:rFonts w:ascii="Arial Narrow" w:hAnsi="Arial Narrow"/>
                <w:sz w:val="20"/>
                <w:szCs w:val="20"/>
                <w:shd w:val="clear" w:color="auto" w:fill="FFFFFF" w:themeFill="background1"/>
                <w:lang w:eastAsia="en-GB"/>
              </w:rPr>
            </w:pPr>
            <w:r w:rsidRPr="004673D0">
              <w:rPr>
                <w:rFonts w:ascii="Arial Narrow" w:hAnsi="Arial Narrow"/>
                <w:sz w:val="20"/>
                <w:szCs w:val="20"/>
                <w:shd w:val="clear" w:color="auto" w:fill="FFFFFF" w:themeFill="background1"/>
                <w:lang w:eastAsia="en-GB"/>
              </w:rPr>
              <w:t>AND</w:t>
            </w:r>
          </w:p>
          <w:p w:rsidR="005C4092" w:rsidRPr="004673D0" w:rsidRDefault="005C4092" w:rsidP="005C4092">
            <w:pPr>
              <w:widowControl w:val="0"/>
              <w:spacing w:before="60" w:after="40"/>
              <w:jc w:val="both"/>
              <w:rPr>
                <w:rFonts w:ascii="Arial Narrow" w:hAnsi="Arial Narrow"/>
                <w:sz w:val="20"/>
                <w:szCs w:val="20"/>
                <w:shd w:val="clear" w:color="auto" w:fill="FFFFFF" w:themeFill="background1"/>
                <w:lang w:eastAsia="en-GB"/>
              </w:rPr>
            </w:pPr>
            <w:r w:rsidRPr="004673D0">
              <w:rPr>
                <w:rFonts w:ascii="Arial Narrow" w:hAnsi="Arial Narrow"/>
                <w:sz w:val="20"/>
                <w:szCs w:val="20"/>
                <w:shd w:val="clear" w:color="auto" w:fill="FFFFFF" w:themeFill="background1"/>
                <w:lang w:eastAsia="en-GB"/>
              </w:rPr>
              <w:t>Patient must be receiving a maximum tolerated dose (MTD) of stimulant (dexamphetamine, methylphenidate or lisdexamfetamine) which has been</w:t>
            </w:r>
            <w:r w:rsidR="00A72C92" w:rsidRPr="004673D0">
              <w:rPr>
                <w:rFonts w:ascii="Arial Narrow" w:hAnsi="Arial Narrow"/>
                <w:sz w:val="20"/>
                <w:szCs w:val="20"/>
                <w:shd w:val="clear" w:color="auto" w:fill="FFFFFF" w:themeFill="background1"/>
                <w:lang w:eastAsia="en-GB"/>
              </w:rPr>
              <w:t xml:space="preserve"> stable for at least four weeks;</w:t>
            </w:r>
          </w:p>
          <w:p w:rsidR="00A72C92" w:rsidRPr="004673D0" w:rsidRDefault="005C4092" w:rsidP="005C4092">
            <w:pPr>
              <w:widowControl w:val="0"/>
              <w:shd w:val="clear" w:color="auto" w:fill="FFFFFF" w:themeFill="background1"/>
              <w:spacing w:before="60" w:after="40"/>
              <w:jc w:val="both"/>
              <w:rPr>
                <w:rFonts w:ascii="Arial Narrow" w:hAnsi="Arial Narrow"/>
                <w:sz w:val="20"/>
                <w:szCs w:val="20"/>
                <w:shd w:val="clear" w:color="auto" w:fill="FFFFFF" w:themeFill="background1"/>
                <w:lang w:eastAsia="en-GB"/>
              </w:rPr>
            </w:pPr>
            <w:r w:rsidRPr="004673D0">
              <w:rPr>
                <w:rFonts w:ascii="Arial Narrow" w:hAnsi="Arial Narrow"/>
                <w:sz w:val="20"/>
                <w:szCs w:val="20"/>
                <w:shd w:val="clear" w:color="auto" w:fill="FFFFFF" w:themeFill="background1"/>
                <w:lang w:eastAsia="en-GB"/>
              </w:rPr>
              <w:t>AND</w:t>
            </w:r>
          </w:p>
          <w:p w:rsidR="005C4092" w:rsidRPr="004673D0" w:rsidRDefault="005C4092" w:rsidP="005C4092">
            <w:pPr>
              <w:widowControl w:val="0"/>
              <w:shd w:val="clear" w:color="auto" w:fill="FFFFFF" w:themeFill="background1"/>
              <w:spacing w:before="60" w:after="40"/>
              <w:jc w:val="both"/>
              <w:rPr>
                <w:rFonts w:ascii="Arial Narrow" w:hAnsi="Arial Narrow"/>
                <w:sz w:val="20"/>
                <w:szCs w:val="20"/>
                <w:shd w:val="clear" w:color="auto" w:fill="FFFFFF" w:themeFill="background1"/>
                <w:lang w:eastAsia="en-GB"/>
              </w:rPr>
            </w:pPr>
            <w:r w:rsidRPr="004673D0">
              <w:rPr>
                <w:rFonts w:ascii="Arial Narrow" w:hAnsi="Arial Narrow"/>
                <w:sz w:val="20"/>
                <w:szCs w:val="20"/>
                <w:shd w:val="clear" w:color="auto" w:fill="FFFFFF" w:themeFill="background1"/>
                <w:lang w:eastAsia="en-GB"/>
              </w:rPr>
              <w:t>Patient must be</w:t>
            </w:r>
            <w:r w:rsidRPr="004673D0">
              <w:rPr>
                <w:rFonts w:ascii="Arial Narrow" w:hAnsi="Arial Narrow"/>
                <w:sz w:val="20"/>
                <w:szCs w:val="20"/>
                <w:lang w:eastAsia="en-GB"/>
              </w:rPr>
              <w:t xml:space="preserve"> experiencing residual</w:t>
            </w:r>
            <w:r w:rsidRPr="004673D0">
              <w:rPr>
                <w:rFonts w:ascii="Arial Narrow" w:hAnsi="Arial Narrow"/>
                <w:sz w:val="20"/>
                <w:szCs w:val="20"/>
                <w:shd w:val="clear" w:color="auto" w:fill="FFFFFF" w:themeFill="background1"/>
                <w:lang w:eastAsia="en-GB"/>
              </w:rPr>
              <w:t xml:space="preserve"> moderate to severe ADHD symptoms</w:t>
            </w:r>
            <w:r w:rsidRPr="004673D0">
              <w:rPr>
                <w:rFonts w:ascii="Arial Narrow" w:hAnsi="Arial Narrow"/>
                <w:sz w:val="20"/>
                <w:szCs w:val="20"/>
              </w:rPr>
              <w:t xml:space="preserve"> </w:t>
            </w:r>
            <w:r w:rsidRPr="004673D0">
              <w:rPr>
                <w:rFonts w:ascii="Arial Narrow" w:hAnsi="Arial Narrow"/>
                <w:sz w:val="20"/>
                <w:szCs w:val="20"/>
                <w:shd w:val="clear" w:color="auto" w:fill="FFFFFF" w:themeFill="background1"/>
                <w:lang w:eastAsia="en-GB"/>
              </w:rPr>
              <w:t>resulting in impaired functioning, present in at least one setting</w:t>
            </w:r>
            <w:r w:rsidR="00A72C92" w:rsidRPr="004673D0">
              <w:rPr>
                <w:rFonts w:ascii="Arial Narrow" w:hAnsi="Arial Narrow"/>
                <w:sz w:val="20"/>
                <w:szCs w:val="20"/>
                <w:shd w:val="clear" w:color="auto" w:fill="FFFFFF" w:themeFill="background1"/>
                <w:lang w:eastAsia="en-GB"/>
              </w:rPr>
              <w:t>;</w:t>
            </w:r>
          </w:p>
          <w:p w:rsidR="005C4092" w:rsidRPr="004673D0" w:rsidRDefault="005C4092" w:rsidP="005C4092">
            <w:pPr>
              <w:widowControl w:val="0"/>
              <w:shd w:val="clear" w:color="auto" w:fill="FFFFFF" w:themeFill="background1"/>
              <w:spacing w:before="60" w:after="40"/>
              <w:jc w:val="both"/>
              <w:rPr>
                <w:rFonts w:ascii="Arial Narrow" w:hAnsi="Arial Narrow"/>
                <w:sz w:val="20"/>
                <w:szCs w:val="20"/>
                <w:shd w:val="clear" w:color="auto" w:fill="FFFFFF" w:themeFill="background1"/>
                <w:lang w:eastAsia="en-GB"/>
              </w:rPr>
            </w:pPr>
            <w:r w:rsidRPr="004673D0">
              <w:rPr>
                <w:rFonts w:ascii="Arial Narrow" w:hAnsi="Arial Narrow"/>
                <w:sz w:val="20"/>
                <w:szCs w:val="20"/>
                <w:shd w:val="clear" w:color="auto" w:fill="FFFFFF" w:themeFill="background1"/>
                <w:lang w:eastAsia="en-GB"/>
              </w:rPr>
              <w:t>AND</w:t>
            </w:r>
          </w:p>
          <w:p w:rsidR="00826F6D" w:rsidRPr="004673D0" w:rsidRDefault="005C4092" w:rsidP="00A72C92">
            <w:pPr>
              <w:spacing w:before="40" w:after="40"/>
              <w:rPr>
                <w:rFonts w:ascii="Arial Narrow" w:hAnsi="Arial Narrow" w:cs="Arial"/>
                <w:sz w:val="20"/>
                <w:szCs w:val="20"/>
              </w:rPr>
            </w:pPr>
            <w:r w:rsidRPr="004673D0">
              <w:rPr>
                <w:rFonts w:ascii="Arial Narrow" w:hAnsi="Arial Narrow"/>
                <w:sz w:val="20"/>
                <w:szCs w:val="20"/>
                <w:shd w:val="clear" w:color="auto" w:fill="FFFFFF" w:themeFill="background1"/>
                <w:lang w:eastAsia="en-GB"/>
              </w:rPr>
              <w:t>The treatment must be adjunctive to ongoing MTD of stimulant</w:t>
            </w:r>
          </w:p>
        </w:tc>
      </w:tr>
      <w:tr w:rsidR="00826F6D" w:rsidRPr="004673D0" w:rsidTr="00A72C92">
        <w:trPr>
          <w:gridAfter w:val="1"/>
          <w:wAfter w:w="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4673D0" w:rsidRDefault="00826F6D" w:rsidP="00BB6AE6">
            <w:pPr>
              <w:spacing w:before="40" w:after="40"/>
              <w:rPr>
                <w:rFonts w:ascii="Arial Narrow" w:hAnsi="Arial Narrow" w:cs="Arial"/>
                <w:b/>
                <w:sz w:val="20"/>
                <w:szCs w:val="20"/>
              </w:rPr>
            </w:pPr>
            <w:r w:rsidRPr="004673D0">
              <w:rPr>
                <w:rFonts w:ascii="Arial Narrow" w:hAnsi="Arial Narrow" w:cs="Arial"/>
                <w:b/>
                <w:sz w:val="20"/>
                <w:szCs w:val="20"/>
              </w:rPr>
              <w:t>Population criteria:</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4673D0" w:rsidRDefault="00A72C92" w:rsidP="00A72C92">
            <w:pPr>
              <w:spacing w:before="40" w:after="40"/>
              <w:rPr>
                <w:rFonts w:ascii="Arial Narrow" w:hAnsi="Arial Narrow" w:cs="Arial"/>
                <w:sz w:val="20"/>
                <w:szCs w:val="20"/>
              </w:rPr>
            </w:pPr>
            <w:r w:rsidRPr="004673D0">
              <w:rPr>
                <w:rFonts w:ascii="Arial Narrow" w:hAnsi="Arial Narrow" w:cs="Arial"/>
                <w:sz w:val="20"/>
                <w:szCs w:val="20"/>
              </w:rPr>
              <w:t>Patient must be or have been diagnosed between the ages of 6 and 18 years inclusive.</w:t>
            </w:r>
          </w:p>
        </w:tc>
      </w:tr>
      <w:tr w:rsidR="00826F6D" w:rsidRPr="004673D0" w:rsidTr="00A72C92">
        <w:trPr>
          <w:gridAfter w:val="1"/>
          <w:wAfter w:w="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826F6D" w:rsidRPr="004673D0" w:rsidRDefault="00826F6D" w:rsidP="00BB6AE6">
            <w:pPr>
              <w:spacing w:before="40" w:after="40"/>
              <w:rPr>
                <w:rFonts w:ascii="Arial Narrow" w:hAnsi="Arial Narrow" w:cs="Arial"/>
                <w:b/>
                <w:sz w:val="20"/>
                <w:szCs w:val="20"/>
              </w:rPr>
            </w:pPr>
            <w:r w:rsidRPr="004673D0">
              <w:rPr>
                <w:rFonts w:ascii="Arial Narrow" w:hAnsi="Arial Narrow" w:cs="Arial"/>
                <w:b/>
                <w:sz w:val="20"/>
                <w:szCs w:val="20"/>
              </w:rPr>
              <w:t>Definitions</w:t>
            </w:r>
            <w:r w:rsidR="00BB6AE6" w:rsidRPr="004673D0">
              <w:rPr>
                <w:rFonts w:ascii="Arial Narrow" w:hAnsi="Arial Narrow" w:cs="Arial"/>
                <w:b/>
                <w:sz w:val="20"/>
                <w:szCs w:val="20"/>
              </w:rPr>
              <w:t>:</w:t>
            </w:r>
          </w:p>
        </w:tc>
        <w:tc>
          <w:tcPr>
            <w:tcW w:w="3909" w:type="pct"/>
            <w:gridSpan w:val="7"/>
            <w:tcBorders>
              <w:top w:val="single" w:sz="4" w:space="0" w:color="auto"/>
              <w:left w:val="single" w:sz="4" w:space="0" w:color="auto"/>
              <w:bottom w:val="single" w:sz="4" w:space="0" w:color="auto"/>
              <w:right w:val="single" w:sz="4" w:space="0" w:color="auto"/>
            </w:tcBorders>
          </w:tcPr>
          <w:p w:rsidR="00826F6D" w:rsidRPr="004673D0" w:rsidRDefault="00A72C92" w:rsidP="00EB0B63">
            <w:pPr>
              <w:spacing w:before="40" w:after="40"/>
              <w:rPr>
                <w:rFonts w:ascii="Arial Narrow" w:hAnsi="Arial Narrow" w:cs="Arial"/>
                <w:sz w:val="20"/>
                <w:szCs w:val="20"/>
              </w:rPr>
            </w:pPr>
            <w:r w:rsidRPr="004673D0">
              <w:rPr>
                <w:rFonts w:ascii="Arial Narrow" w:hAnsi="Arial Narrow" w:cs="Arial"/>
                <w:sz w:val="20"/>
                <w:szCs w:val="20"/>
              </w:rPr>
              <w:t>Setting refers to the physical location, for example, home, nursery/school/college/work, friends or family homes or other environment; Functional impairment may be social, academic or occupational.</w:t>
            </w:r>
          </w:p>
        </w:tc>
      </w:tr>
    </w:tbl>
    <w:p w:rsidR="005C4092" w:rsidRPr="004673D0" w:rsidRDefault="005C4092" w:rsidP="002D4543">
      <w:pPr>
        <w:rPr>
          <w:szCs w:val="22"/>
        </w:rPr>
      </w:pPr>
    </w:p>
    <w:tbl>
      <w:tblPr>
        <w:tblW w:w="4915" w:type="pct"/>
        <w:tblLook w:val="0000" w:firstRow="0" w:lastRow="0" w:firstColumn="0" w:lastColumn="0" w:noHBand="0" w:noVBand="0"/>
      </w:tblPr>
      <w:tblGrid>
        <w:gridCol w:w="1990"/>
        <w:gridCol w:w="7095"/>
      </w:tblGrid>
      <w:tr w:rsidR="005C4092" w:rsidRPr="004673D0" w:rsidTr="008D13B6">
        <w:trPr>
          <w:cantSplit/>
          <w:trHeight w:val="360"/>
        </w:trPr>
        <w:tc>
          <w:tcPr>
            <w:tcW w:w="1095" w:type="pct"/>
            <w:tcBorders>
              <w:top w:val="single" w:sz="4" w:space="0" w:color="auto"/>
              <w:left w:val="single" w:sz="4" w:space="0" w:color="auto"/>
              <w:bottom w:val="single" w:sz="4" w:space="0" w:color="auto"/>
              <w:right w:val="single" w:sz="4" w:space="0" w:color="auto"/>
            </w:tcBorders>
          </w:tcPr>
          <w:p w:rsidR="005C4092" w:rsidRPr="004673D0" w:rsidRDefault="005C4092" w:rsidP="005B7D79">
            <w:pPr>
              <w:spacing w:before="40" w:after="40"/>
              <w:rPr>
                <w:rFonts w:ascii="Arial Narrow" w:hAnsi="Arial Narrow" w:cs="Arial"/>
                <w:b/>
                <w:sz w:val="20"/>
                <w:szCs w:val="20"/>
              </w:rPr>
            </w:pPr>
            <w:r w:rsidRPr="004673D0">
              <w:rPr>
                <w:rFonts w:ascii="Arial Narrow" w:hAnsi="Arial Narrow" w:cs="Arial"/>
                <w:b/>
                <w:sz w:val="20"/>
                <w:szCs w:val="20"/>
              </w:rPr>
              <w:t>Category / Program</w:t>
            </w:r>
            <w:r w:rsidR="00BB6AE6" w:rsidRPr="004673D0">
              <w:rPr>
                <w:rFonts w:ascii="Arial Narrow" w:hAnsi="Arial Narrow" w:cs="Arial"/>
                <w:b/>
                <w:sz w:val="20"/>
                <w:szCs w:val="20"/>
              </w:rPr>
              <w:t>:</w:t>
            </w:r>
          </w:p>
        </w:tc>
        <w:tc>
          <w:tcPr>
            <w:tcW w:w="3905" w:type="pct"/>
            <w:tcBorders>
              <w:top w:val="single" w:sz="4" w:space="0" w:color="auto"/>
              <w:left w:val="single" w:sz="4" w:space="0" w:color="auto"/>
              <w:bottom w:val="single" w:sz="4" w:space="0" w:color="auto"/>
              <w:right w:val="single" w:sz="4" w:space="0" w:color="auto"/>
            </w:tcBorders>
          </w:tcPr>
          <w:p w:rsidR="005C4092" w:rsidRPr="004673D0" w:rsidRDefault="005C4092" w:rsidP="005C4092">
            <w:pPr>
              <w:spacing w:before="40" w:after="40"/>
              <w:rPr>
                <w:rFonts w:ascii="Arial Narrow" w:hAnsi="Arial Narrow" w:cs="Arial"/>
                <w:sz w:val="20"/>
                <w:szCs w:val="20"/>
              </w:rPr>
            </w:pPr>
            <w:r w:rsidRPr="004673D0">
              <w:rPr>
                <w:rFonts w:ascii="Arial Narrow" w:hAnsi="Arial Narrow" w:cs="Arial"/>
                <w:sz w:val="20"/>
                <w:szCs w:val="20"/>
              </w:rPr>
              <w:t>GENERAL – General Schedule (Code GE)</w:t>
            </w:r>
          </w:p>
        </w:tc>
      </w:tr>
      <w:tr w:rsidR="005C4092" w:rsidRPr="004673D0" w:rsidTr="008D13B6">
        <w:trPr>
          <w:cantSplit/>
          <w:trHeight w:val="360"/>
        </w:trPr>
        <w:tc>
          <w:tcPr>
            <w:tcW w:w="1095" w:type="pct"/>
            <w:tcBorders>
              <w:top w:val="single" w:sz="4" w:space="0" w:color="auto"/>
              <w:left w:val="single" w:sz="4" w:space="0" w:color="auto"/>
              <w:bottom w:val="single" w:sz="4" w:space="0" w:color="auto"/>
              <w:right w:val="single" w:sz="4" w:space="0" w:color="auto"/>
            </w:tcBorders>
          </w:tcPr>
          <w:p w:rsidR="005C4092" w:rsidRPr="004673D0" w:rsidRDefault="005C4092" w:rsidP="005B7D79">
            <w:pPr>
              <w:spacing w:before="40" w:after="40"/>
              <w:rPr>
                <w:rFonts w:ascii="Arial Narrow" w:hAnsi="Arial Narrow" w:cs="Arial"/>
                <w:b/>
                <w:sz w:val="20"/>
                <w:szCs w:val="20"/>
              </w:rPr>
            </w:pPr>
            <w:r w:rsidRPr="004673D0">
              <w:rPr>
                <w:rFonts w:ascii="Arial Narrow" w:hAnsi="Arial Narrow" w:cs="Arial"/>
                <w:b/>
                <w:sz w:val="20"/>
                <w:szCs w:val="20"/>
              </w:rPr>
              <w:t>Prescriber type:</w:t>
            </w:r>
          </w:p>
        </w:tc>
        <w:tc>
          <w:tcPr>
            <w:tcW w:w="3905" w:type="pct"/>
            <w:tcBorders>
              <w:top w:val="single" w:sz="4" w:space="0" w:color="auto"/>
              <w:left w:val="single" w:sz="4" w:space="0" w:color="auto"/>
              <w:bottom w:val="single" w:sz="4" w:space="0" w:color="auto"/>
              <w:right w:val="single" w:sz="4" w:space="0" w:color="auto"/>
            </w:tcBorders>
          </w:tcPr>
          <w:p w:rsidR="005C4092" w:rsidRPr="004673D0" w:rsidRDefault="005C4092" w:rsidP="00BB6AE6">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1"/>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 xml:space="preserve">Dental  </w:t>
            </w:r>
            <w:r w:rsidRPr="004673D0">
              <w:rPr>
                <w:rFonts w:ascii="Arial Narrow" w:hAnsi="Arial Narrow" w:cs="Arial"/>
                <w:sz w:val="20"/>
                <w:szCs w:val="20"/>
              </w:rPr>
              <w:fldChar w:fldCharType="begin">
                <w:ffData>
                  <w:name w:val=""/>
                  <w:enabled/>
                  <w:calcOnExit w:val="0"/>
                  <w:checkBox>
                    <w:sizeAuto/>
                    <w:default w:val="1"/>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 xml:space="preserve">Medical Practitioners  </w:t>
            </w:r>
            <w:r w:rsidRPr="004673D0">
              <w:rPr>
                <w:rFonts w:ascii="Arial Narrow" w:hAnsi="Arial Narrow" w:cs="Arial"/>
                <w:sz w:val="20"/>
                <w:szCs w:val="20"/>
              </w:rPr>
              <w:fldChar w:fldCharType="begin">
                <w:ffData>
                  <w:name w:val="Check3"/>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 xml:space="preserve">Nurse practitioners  </w:t>
            </w:r>
            <w:r w:rsidRPr="004673D0">
              <w:rPr>
                <w:rFonts w:ascii="Arial Narrow" w:hAnsi="Arial Narrow" w:cs="Arial"/>
                <w:sz w:val="20"/>
                <w:szCs w:val="20"/>
              </w:rPr>
              <w:fldChar w:fldCharType="begin">
                <w:ffData>
                  <w:name w:val=""/>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Optometrists</w:t>
            </w:r>
            <w:r w:rsidR="00BB6AE6" w:rsidRPr="004673D0">
              <w:rPr>
                <w:rFonts w:ascii="Arial Narrow" w:hAnsi="Arial Narrow" w:cs="Arial"/>
                <w:sz w:val="20"/>
                <w:szCs w:val="20"/>
              </w:rPr>
              <w:t xml:space="preserve"> </w:t>
            </w:r>
            <w:r w:rsidRPr="004673D0">
              <w:rPr>
                <w:rFonts w:ascii="Arial Narrow" w:hAnsi="Arial Narrow" w:cs="Arial"/>
                <w:sz w:val="20"/>
                <w:szCs w:val="20"/>
              </w:rPr>
              <w:fldChar w:fldCharType="begin">
                <w:ffData>
                  <w:name w:val="Check5"/>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Midwives</w:t>
            </w:r>
          </w:p>
        </w:tc>
      </w:tr>
      <w:tr w:rsidR="005C4092" w:rsidRPr="004673D0" w:rsidTr="008D13B6">
        <w:trPr>
          <w:cantSplit/>
          <w:trHeight w:val="360"/>
        </w:trPr>
        <w:tc>
          <w:tcPr>
            <w:tcW w:w="1095" w:type="pct"/>
            <w:tcBorders>
              <w:top w:val="single" w:sz="4" w:space="0" w:color="auto"/>
              <w:left w:val="single" w:sz="4" w:space="0" w:color="auto"/>
              <w:bottom w:val="single" w:sz="4" w:space="0" w:color="auto"/>
              <w:right w:val="single" w:sz="4" w:space="0" w:color="auto"/>
            </w:tcBorders>
          </w:tcPr>
          <w:p w:rsidR="005C4092" w:rsidRPr="004673D0" w:rsidRDefault="005C4092" w:rsidP="005B7D79">
            <w:pPr>
              <w:spacing w:before="40" w:after="40"/>
              <w:rPr>
                <w:rFonts w:ascii="Arial Narrow" w:hAnsi="Arial Narrow" w:cs="Arial"/>
                <w:b/>
                <w:sz w:val="20"/>
                <w:szCs w:val="20"/>
              </w:rPr>
            </w:pPr>
            <w:r w:rsidRPr="004673D0">
              <w:rPr>
                <w:rFonts w:ascii="Arial Narrow" w:hAnsi="Arial Narrow" w:cs="Arial"/>
                <w:b/>
                <w:sz w:val="20"/>
                <w:szCs w:val="20"/>
              </w:rPr>
              <w:t>Condition:</w:t>
            </w:r>
          </w:p>
        </w:tc>
        <w:tc>
          <w:tcPr>
            <w:tcW w:w="3905" w:type="pct"/>
            <w:tcBorders>
              <w:top w:val="single" w:sz="4" w:space="0" w:color="auto"/>
              <w:left w:val="single" w:sz="4" w:space="0" w:color="auto"/>
              <w:bottom w:val="single" w:sz="4" w:space="0" w:color="auto"/>
              <w:right w:val="single" w:sz="4" w:space="0" w:color="auto"/>
            </w:tcBorders>
          </w:tcPr>
          <w:p w:rsidR="005C4092" w:rsidRPr="004673D0" w:rsidRDefault="005C4092" w:rsidP="005C4092">
            <w:pPr>
              <w:spacing w:before="40" w:after="40"/>
              <w:rPr>
                <w:rFonts w:ascii="Arial Narrow" w:hAnsi="Arial Narrow" w:cs="Arial"/>
                <w:sz w:val="20"/>
                <w:szCs w:val="20"/>
              </w:rPr>
            </w:pPr>
            <w:r w:rsidRPr="004673D0">
              <w:rPr>
                <w:rFonts w:ascii="Arial Narrow" w:hAnsi="Arial Narrow" w:cs="Arial"/>
                <w:sz w:val="20"/>
                <w:szCs w:val="20"/>
              </w:rPr>
              <w:t>Attention deficit hyperactivity disorder</w:t>
            </w:r>
          </w:p>
        </w:tc>
      </w:tr>
      <w:tr w:rsidR="005C4092" w:rsidRPr="004673D0" w:rsidTr="008D13B6">
        <w:trPr>
          <w:cantSplit/>
          <w:trHeight w:val="360"/>
        </w:trPr>
        <w:tc>
          <w:tcPr>
            <w:tcW w:w="1095" w:type="pct"/>
            <w:tcBorders>
              <w:top w:val="single" w:sz="4" w:space="0" w:color="auto"/>
              <w:left w:val="single" w:sz="4" w:space="0" w:color="auto"/>
              <w:bottom w:val="single" w:sz="4" w:space="0" w:color="auto"/>
              <w:right w:val="single" w:sz="4" w:space="0" w:color="auto"/>
            </w:tcBorders>
          </w:tcPr>
          <w:p w:rsidR="005C4092" w:rsidRPr="004673D0" w:rsidRDefault="005C4092" w:rsidP="005B7D79">
            <w:pPr>
              <w:spacing w:before="40" w:after="40"/>
              <w:rPr>
                <w:rFonts w:ascii="Arial Narrow" w:hAnsi="Arial Narrow" w:cs="Arial"/>
                <w:b/>
                <w:sz w:val="20"/>
                <w:szCs w:val="20"/>
              </w:rPr>
            </w:pPr>
            <w:r w:rsidRPr="004673D0">
              <w:rPr>
                <w:rFonts w:ascii="Arial Narrow" w:hAnsi="Arial Narrow" w:cs="Arial"/>
                <w:b/>
                <w:sz w:val="20"/>
                <w:szCs w:val="20"/>
              </w:rPr>
              <w:t>PBS Indication:</w:t>
            </w:r>
          </w:p>
        </w:tc>
        <w:tc>
          <w:tcPr>
            <w:tcW w:w="3905" w:type="pct"/>
            <w:tcBorders>
              <w:top w:val="single" w:sz="4" w:space="0" w:color="auto"/>
              <w:left w:val="single" w:sz="4" w:space="0" w:color="auto"/>
              <w:bottom w:val="single" w:sz="4" w:space="0" w:color="auto"/>
              <w:right w:val="single" w:sz="4" w:space="0" w:color="auto"/>
            </w:tcBorders>
          </w:tcPr>
          <w:p w:rsidR="005C4092" w:rsidRPr="004673D0" w:rsidRDefault="005C4092" w:rsidP="005C4092">
            <w:pPr>
              <w:spacing w:before="40" w:after="40"/>
              <w:rPr>
                <w:rFonts w:ascii="Arial Narrow" w:hAnsi="Arial Narrow" w:cs="Arial"/>
                <w:sz w:val="20"/>
                <w:szCs w:val="20"/>
              </w:rPr>
            </w:pPr>
            <w:r w:rsidRPr="004673D0">
              <w:rPr>
                <w:rFonts w:ascii="Arial Narrow" w:hAnsi="Arial Narrow" w:cs="Arial"/>
                <w:sz w:val="20"/>
                <w:szCs w:val="20"/>
              </w:rPr>
              <w:t>Attention deficit hyperactivity disorder</w:t>
            </w:r>
          </w:p>
        </w:tc>
      </w:tr>
      <w:tr w:rsidR="005C4092" w:rsidRPr="004673D0" w:rsidTr="008D13B6">
        <w:trPr>
          <w:cantSplit/>
          <w:trHeight w:val="360"/>
        </w:trPr>
        <w:tc>
          <w:tcPr>
            <w:tcW w:w="1095" w:type="pct"/>
            <w:tcBorders>
              <w:top w:val="single" w:sz="4" w:space="0" w:color="auto"/>
              <w:left w:val="single" w:sz="4" w:space="0" w:color="auto"/>
              <w:bottom w:val="single" w:sz="4" w:space="0" w:color="auto"/>
              <w:right w:val="single" w:sz="4" w:space="0" w:color="auto"/>
            </w:tcBorders>
          </w:tcPr>
          <w:p w:rsidR="005C4092" w:rsidRPr="004673D0" w:rsidRDefault="005C4092" w:rsidP="005B7D79">
            <w:pPr>
              <w:spacing w:before="40" w:after="40"/>
              <w:rPr>
                <w:rFonts w:ascii="Arial Narrow" w:hAnsi="Arial Narrow" w:cs="Arial"/>
                <w:b/>
                <w:sz w:val="20"/>
                <w:szCs w:val="20"/>
              </w:rPr>
            </w:pPr>
            <w:r w:rsidRPr="004673D0">
              <w:rPr>
                <w:rFonts w:ascii="Arial Narrow" w:hAnsi="Arial Narrow" w:cs="Arial"/>
                <w:b/>
                <w:sz w:val="20"/>
                <w:szCs w:val="20"/>
              </w:rPr>
              <w:t>Treatment phase:</w:t>
            </w:r>
          </w:p>
        </w:tc>
        <w:tc>
          <w:tcPr>
            <w:tcW w:w="3905" w:type="pct"/>
            <w:tcBorders>
              <w:top w:val="single" w:sz="4" w:space="0" w:color="auto"/>
              <w:left w:val="single" w:sz="4" w:space="0" w:color="auto"/>
              <w:bottom w:val="single" w:sz="4" w:space="0" w:color="auto"/>
              <w:right w:val="single" w:sz="4" w:space="0" w:color="auto"/>
            </w:tcBorders>
          </w:tcPr>
          <w:p w:rsidR="005C4092" w:rsidRPr="004673D0" w:rsidRDefault="005B7C77" w:rsidP="005C4092">
            <w:pPr>
              <w:spacing w:before="40" w:after="40"/>
              <w:rPr>
                <w:rFonts w:ascii="Arial Narrow" w:hAnsi="Arial Narrow" w:cs="Arial"/>
                <w:sz w:val="20"/>
                <w:szCs w:val="20"/>
              </w:rPr>
            </w:pPr>
            <w:r w:rsidRPr="004673D0">
              <w:rPr>
                <w:rFonts w:ascii="Arial Narrow" w:hAnsi="Arial Narrow" w:cs="Arial"/>
                <w:sz w:val="20"/>
                <w:szCs w:val="20"/>
              </w:rPr>
              <w:t>Continuing treatment</w:t>
            </w:r>
          </w:p>
        </w:tc>
      </w:tr>
      <w:tr w:rsidR="005C4092" w:rsidRPr="004673D0" w:rsidTr="008D13B6">
        <w:trPr>
          <w:cantSplit/>
          <w:trHeight w:val="360"/>
        </w:trPr>
        <w:tc>
          <w:tcPr>
            <w:tcW w:w="1095" w:type="pct"/>
            <w:tcBorders>
              <w:top w:val="single" w:sz="4" w:space="0" w:color="auto"/>
              <w:left w:val="single" w:sz="4" w:space="0" w:color="auto"/>
              <w:bottom w:val="single" w:sz="4" w:space="0" w:color="auto"/>
              <w:right w:val="single" w:sz="4" w:space="0" w:color="auto"/>
            </w:tcBorders>
          </w:tcPr>
          <w:p w:rsidR="005C4092" w:rsidRPr="004673D0" w:rsidRDefault="005C4092" w:rsidP="005B7D79">
            <w:pPr>
              <w:spacing w:before="40" w:after="40"/>
              <w:rPr>
                <w:rFonts w:ascii="Arial Narrow" w:hAnsi="Arial Narrow" w:cs="Arial"/>
                <w:b/>
                <w:sz w:val="20"/>
                <w:szCs w:val="20"/>
              </w:rPr>
            </w:pPr>
            <w:r w:rsidRPr="004673D0">
              <w:rPr>
                <w:rFonts w:ascii="Arial Narrow" w:hAnsi="Arial Narrow" w:cs="Arial"/>
                <w:b/>
                <w:sz w:val="20"/>
                <w:szCs w:val="20"/>
              </w:rPr>
              <w:t>Restriction Level</w:t>
            </w:r>
            <w:r w:rsidR="005B7D79" w:rsidRPr="004673D0">
              <w:rPr>
                <w:rFonts w:ascii="Arial Narrow" w:hAnsi="Arial Narrow" w:cs="Arial"/>
                <w:b/>
                <w:sz w:val="20"/>
                <w:szCs w:val="20"/>
              </w:rPr>
              <w:t xml:space="preserve"> </w:t>
            </w:r>
            <w:r w:rsidRPr="004673D0">
              <w:rPr>
                <w:rFonts w:ascii="Arial Narrow" w:hAnsi="Arial Narrow" w:cs="Arial"/>
                <w:b/>
                <w:sz w:val="20"/>
                <w:szCs w:val="20"/>
              </w:rPr>
              <w:t>/ Method:</w:t>
            </w:r>
          </w:p>
          <w:p w:rsidR="005C4092" w:rsidRPr="004673D0" w:rsidRDefault="005C4092" w:rsidP="005B7D79">
            <w:pPr>
              <w:spacing w:before="40" w:after="40"/>
              <w:rPr>
                <w:rFonts w:ascii="Arial Narrow" w:hAnsi="Arial Narrow" w:cs="Arial"/>
                <w:sz w:val="20"/>
                <w:szCs w:val="20"/>
              </w:rPr>
            </w:pPr>
          </w:p>
        </w:tc>
        <w:tc>
          <w:tcPr>
            <w:tcW w:w="3905" w:type="pct"/>
            <w:tcBorders>
              <w:top w:val="single" w:sz="4" w:space="0" w:color="auto"/>
              <w:left w:val="single" w:sz="4" w:space="0" w:color="auto"/>
              <w:bottom w:val="single" w:sz="4" w:space="0" w:color="auto"/>
              <w:right w:val="single" w:sz="4" w:space="0" w:color="auto"/>
            </w:tcBorders>
          </w:tcPr>
          <w:p w:rsidR="005C4092" w:rsidRPr="004673D0" w:rsidRDefault="005C4092" w:rsidP="005C4092">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1"/>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Restricted benefit</w:t>
            </w:r>
          </w:p>
          <w:p w:rsidR="005C4092" w:rsidRPr="004673D0" w:rsidRDefault="005C4092" w:rsidP="005C4092">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In Writing</w:t>
            </w:r>
          </w:p>
          <w:p w:rsidR="005C4092" w:rsidRPr="004673D0" w:rsidRDefault="005C4092" w:rsidP="005C4092">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3"/>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Telephone</w:t>
            </w:r>
          </w:p>
          <w:p w:rsidR="005C4092" w:rsidRPr="004673D0" w:rsidRDefault="005C4092" w:rsidP="005C4092">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Emergency</w:t>
            </w:r>
          </w:p>
          <w:p w:rsidR="005C4092" w:rsidRPr="004673D0" w:rsidRDefault="005C4092" w:rsidP="005C4092">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5"/>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Electronic</w:t>
            </w:r>
          </w:p>
          <w:p w:rsidR="005C4092" w:rsidRPr="004673D0" w:rsidRDefault="005B7C77" w:rsidP="005C4092">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
                  <w:enabled/>
                  <w:calcOnExit w:val="0"/>
                  <w:checkBox>
                    <w:sizeAuto/>
                    <w:default w:val="1"/>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005C4092" w:rsidRPr="004673D0">
              <w:rPr>
                <w:rFonts w:ascii="Arial Narrow" w:hAnsi="Arial Narrow" w:cs="Arial"/>
                <w:sz w:val="20"/>
                <w:szCs w:val="20"/>
              </w:rPr>
              <w:t>Streamlined</w:t>
            </w:r>
          </w:p>
        </w:tc>
      </w:tr>
      <w:tr w:rsidR="005C4092" w:rsidRPr="004673D0" w:rsidTr="008D13B6">
        <w:trPr>
          <w:cantSplit/>
          <w:trHeight w:val="360"/>
        </w:trPr>
        <w:tc>
          <w:tcPr>
            <w:tcW w:w="1095" w:type="pct"/>
            <w:tcBorders>
              <w:top w:val="single" w:sz="4" w:space="0" w:color="auto"/>
              <w:left w:val="single" w:sz="4" w:space="0" w:color="auto"/>
              <w:bottom w:val="single" w:sz="4" w:space="0" w:color="auto"/>
              <w:right w:val="single" w:sz="4" w:space="0" w:color="auto"/>
            </w:tcBorders>
          </w:tcPr>
          <w:p w:rsidR="005C4092" w:rsidRPr="004673D0" w:rsidRDefault="005C4092" w:rsidP="005B7D79">
            <w:pPr>
              <w:spacing w:before="40" w:after="40"/>
              <w:rPr>
                <w:rFonts w:ascii="Arial Narrow" w:hAnsi="Arial Narrow" w:cs="Arial"/>
                <w:b/>
                <w:sz w:val="20"/>
                <w:szCs w:val="20"/>
              </w:rPr>
            </w:pPr>
            <w:r w:rsidRPr="004673D0">
              <w:rPr>
                <w:rFonts w:ascii="Arial Narrow" w:hAnsi="Arial Narrow" w:cs="Arial"/>
                <w:b/>
                <w:sz w:val="20"/>
                <w:szCs w:val="20"/>
              </w:rPr>
              <w:t>Clinical criteria:</w:t>
            </w:r>
          </w:p>
        </w:tc>
        <w:tc>
          <w:tcPr>
            <w:tcW w:w="3905" w:type="pct"/>
            <w:tcBorders>
              <w:top w:val="single" w:sz="4" w:space="0" w:color="auto"/>
              <w:left w:val="single" w:sz="4" w:space="0" w:color="auto"/>
              <w:bottom w:val="single" w:sz="4" w:space="0" w:color="auto"/>
              <w:right w:val="single" w:sz="4" w:space="0" w:color="auto"/>
            </w:tcBorders>
          </w:tcPr>
          <w:p w:rsidR="005C4092" w:rsidRPr="004673D0" w:rsidRDefault="005B7C77" w:rsidP="005C4092">
            <w:pPr>
              <w:spacing w:before="40" w:after="40"/>
              <w:rPr>
                <w:rFonts w:ascii="Arial Narrow" w:hAnsi="Arial Narrow" w:cs="Arial"/>
                <w:strike/>
                <w:sz w:val="20"/>
                <w:szCs w:val="20"/>
              </w:rPr>
            </w:pPr>
            <w:r w:rsidRPr="004673D0">
              <w:rPr>
                <w:rFonts w:ascii="Arial Narrow" w:hAnsi="Arial Narrow" w:cs="Arial"/>
                <w:strike/>
                <w:sz w:val="20"/>
                <w:szCs w:val="20"/>
              </w:rPr>
              <w:t>Patient must have previously been issued with an authority prescription for this drug</w:t>
            </w:r>
          </w:p>
          <w:p w:rsidR="00374C58" w:rsidRPr="004673D0" w:rsidRDefault="00374C58" w:rsidP="005C4092">
            <w:pPr>
              <w:spacing w:before="40" w:after="40"/>
              <w:jc w:val="both"/>
              <w:rPr>
                <w:rFonts w:ascii="Arial Narrow" w:hAnsi="Arial Narrow" w:cs="Arial"/>
                <w:i/>
                <w:sz w:val="20"/>
                <w:szCs w:val="20"/>
              </w:rPr>
            </w:pPr>
            <w:r w:rsidRPr="004673D0">
              <w:rPr>
                <w:rFonts w:ascii="Arial Narrow" w:hAnsi="Arial Narrow" w:cs="Arial"/>
                <w:i/>
                <w:sz w:val="20"/>
                <w:szCs w:val="20"/>
              </w:rPr>
              <w:t>Patient must have previously received PBS-subsidised treatment with this drug for this condition</w:t>
            </w:r>
            <w:r w:rsidR="005C0F06" w:rsidRPr="004673D0">
              <w:rPr>
                <w:rFonts w:ascii="Arial Narrow" w:hAnsi="Arial Narrow" w:cs="Arial"/>
                <w:i/>
                <w:sz w:val="20"/>
                <w:szCs w:val="20"/>
              </w:rPr>
              <w:t xml:space="preserve"> in this setting</w:t>
            </w:r>
            <w:r w:rsidRPr="004673D0">
              <w:rPr>
                <w:rFonts w:ascii="Arial Narrow" w:hAnsi="Arial Narrow" w:cs="Arial"/>
                <w:i/>
                <w:sz w:val="20"/>
                <w:szCs w:val="20"/>
              </w:rPr>
              <w:t>.</w:t>
            </w:r>
          </w:p>
          <w:p w:rsidR="008F60AE" w:rsidRPr="004673D0" w:rsidRDefault="008F60AE" w:rsidP="008F60AE">
            <w:pPr>
              <w:widowControl w:val="0"/>
              <w:shd w:val="clear" w:color="auto" w:fill="FFFFFF" w:themeFill="background1"/>
              <w:spacing w:before="60" w:after="40"/>
              <w:jc w:val="both"/>
              <w:rPr>
                <w:rFonts w:ascii="Arial Narrow" w:hAnsi="Arial Narrow"/>
                <w:i/>
                <w:sz w:val="20"/>
                <w:szCs w:val="20"/>
                <w:shd w:val="clear" w:color="auto" w:fill="FFFFFF" w:themeFill="background1"/>
                <w:lang w:eastAsia="en-GB"/>
              </w:rPr>
            </w:pPr>
            <w:r w:rsidRPr="004673D0">
              <w:rPr>
                <w:rFonts w:ascii="Arial Narrow" w:hAnsi="Arial Narrow"/>
                <w:i/>
                <w:sz w:val="20"/>
                <w:szCs w:val="20"/>
                <w:shd w:val="clear" w:color="auto" w:fill="FFFFFF" w:themeFill="background1"/>
                <w:lang w:eastAsia="en-GB"/>
              </w:rPr>
              <w:t>AND</w:t>
            </w:r>
          </w:p>
          <w:p w:rsidR="008F60AE" w:rsidRPr="004673D0" w:rsidRDefault="008F60AE" w:rsidP="008F60AE">
            <w:pPr>
              <w:spacing w:before="40" w:after="40"/>
              <w:jc w:val="both"/>
              <w:rPr>
                <w:rFonts w:ascii="Arial Narrow" w:hAnsi="Arial Narrow" w:cs="Arial"/>
                <w:i/>
                <w:sz w:val="20"/>
                <w:szCs w:val="20"/>
              </w:rPr>
            </w:pPr>
            <w:r w:rsidRPr="004673D0">
              <w:rPr>
                <w:rFonts w:ascii="Arial Narrow" w:hAnsi="Arial Narrow"/>
                <w:i/>
                <w:sz w:val="20"/>
                <w:szCs w:val="20"/>
                <w:shd w:val="clear" w:color="auto" w:fill="FFFFFF" w:themeFill="background1"/>
                <w:lang w:eastAsia="en-GB"/>
              </w:rPr>
              <w:t xml:space="preserve">The treatment must be adjunctive to ongoing </w:t>
            </w:r>
            <w:r w:rsidR="007E0CB8" w:rsidRPr="004673D0">
              <w:rPr>
                <w:rFonts w:ascii="Arial Narrow" w:hAnsi="Arial Narrow"/>
                <w:i/>
                <w:sz w:val="20"/>
                <w:szCs w:val="20"/>
                <w:shd w:val="clear" w:color="auto" w:fill="FFFFFF" w:themeFill="background1"/>
                <w:lang w:eastAsia="en-GB"/>
              </w:rPr>
              <w:t xml:space="preserve">maximum tolerated dose </w:t>
            </w:r>
            <w:r w:rsidRPr="004673D0">
              <w:rPr>
                <w:rFonts w:ascii="Arial Narrow" w:hAnsi="Arial Narrow"/>
                <w:i/>
                <w:sz w:val="20"/>
                <w:szCs w:val="20"/>
                <w:shd w:val="clear" w:color="auto" w:fill="FFFFFF" w:themeFill="background1"/>
                <w:lang w:eastAsia="en-GB"/>
              </w:rPr>
              <w:t>of stimulant</w:t>
            </w:r>
            <w:r w:rsidR="007E0CB8" w:rsidRPr="004673D0">
              <w:rPr>
                <w:rFonts w:ascii="Arial Narrow" w:hAnsi="Arial Narrow"/>
                <w:i/>
                <w:sz w:val="20"/>
                <w:szCs w:val="20"/>
                <w:shd w:val="clear" w:color="auto" w:fill="FFFFFF" w:themeFill="background1"/>
                <w:lang w:eastAsia="en-GB"/>
              </w:rPr>
              <w:t xml:space="preserve"> (dexamphetamine, methylphenidate or lisdexamfetamine)</w:t>
            </w:r>
          </w:p>
        </w:tc>
      </w:tr>
    </w:tbl>
    <w:p w:rsidR="00D51441" w:rsidRPr="004673D0" w:rsidRDefault="00D51441" w:rsidP="00D51441">
      <w:pPr>
        <w:pStyle w:val="ListParagraph"/>
        <w:widowControl/>
        <w:numPr>
          <w:ilvl w:val="1"/>
          <w:numId w:val="14"/>
        </w:numPr>
        <w:spacing w:before="200"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The pre-PBAC response noted two alternative restrictions that were more prescriptive in measuring residual ADHD symptoms with regards to determining patient eligibility. The PBAC considered a restriction which permitted some flexibility in allowing clinicians to select appropriate therapies was reasonable.</w:t>
      </w:r>
    </w:p>
    <w:p w:rsidR="00DD08F4" w:rsidRPr="005D03B9" w:rsidRDefault="00DD08F4" w:rsidP="005D03B9">
      <w:pPr>
        <w:rPr>
          <w:rFonts w:asciiTheme="minorHAnsi" w:eastAsiaTheme="minorHAnsi" w:hAnsiTheme="minorHAnsi" w:cstheme="minorHAnsi"/>
          <w:i/>
        </w:rPr>
      </w:pPr>
      <w:r w:rsidRPr="005D03B9">
        <w:rPr>
          <w:rFonts w:asciiTheme="minorHAnsi" w:hAnsiTheme="minorHAnsi" w:cstheme="minorHAnsi"/>
          <w:i/>
        </w:rPr>
        <w:t>For more detail on PBAC’s view, see section 6 PBAC outcome.</w:t>
      </w:r>
    </w:p>
    <w:p w:rsidR="00C603D4" w:rsidRPr="004673D0" w:rsidRDefault="00CE10C4" w:rsidP="00696129">
      <w:pPr>
        <w:pStyle w:val="PBACHeading1"/>
        <w:spacing w:before="240" w:after="120"/>
        <w:ind w:left="709" w:hanging="709"/>
        <w:rPr>
          <w:rFonts w:asciiTheme="minorHAnsi" w:hAnsiTheme="minorHAnsi"/>
          <w:sz w:val="32"/>
          <w:szCs w:val="32"/>
        </w:rPr>
      </w:pPr>
      <w:r w:rsidRPr="004673D0">
        <w:rPr>
          <w:rFonts w:asciiTheme="minorHAnsi" w:hAnsiTheme="minorHAnsi"/>
          <w:sz w:val="32"/>
          <w:szCs w:val="32"/>
        </w:rPr>
        <w:lastRenderedPageBreak/>
        <w:t>Background</w:t>
      </w:r>
    </w:p>
    <w:p w:rsidR="006B0D94" w:rsidRPr="004673D0" w:rsidRDefault="00E8297E" w:rsidP="00280420">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Guanfacine was TGA registered </w:t>
      </w:r>
      <w:r w:rsidR="005B7D79" w:rsidRPr="004673D0">
        <w:rPr>
          <w:rFonts w:asciiTheme="minorHAnsi" w:eastAsiaTheme="minorHAnsi" w:hAnsiTheme="minorHAnsi" w:cstheme="minorBidi"/>
          <w:snapToGrid/>
          <w:sz w:val="24"/>
          <w:szCs w:val="22"/>
        </w:rPr>
        <w:t>in August 2017</w:t>
      </w:r>
      <w:r w:rsidRPr="004673D0">
        <w:rPr>
          <w:rFonts w:asciiTheme="minorHAnsi" w:eastAsiaTheme="minorHAnsi" w:hAnsiTheme="minorHAnsi" w:cstheme="minorBidi"/>
          <w:snapToGrid/>
          <w:sz w:val="24"/>
          <w:szCs w:val="22"/>
        </w:rPr>
        <w:t xml:space="preserve"> and is indicated for </w:t>
      </w:r>
      <w:r w:rsidR="00630690" w:rsidRPr="004673D0">
        <w:rPr>
          <w:rFonts w:asciiTheme="minorHAnsi" w:eastAsiaTheme="minorHAnsi" w:hAnsiTheme="minorHAnsi" w:cstheme="minorBidi"/>
          <w:snapToGrid/>
          <w:sz w:val="24"/>
          <w:szCs w:val="22"/>
        </w:rPr>
        <w:t>“</w:t>
      </w:r>
      <w:r w:rsidRPr="004673D0">
        <w:rPr>
          <w:rFonts w:asciiTheme="minorHAnsi" w:eastAsiaTheme="minorHAnsi" w:hAnsiTheme="minorHAnsi" w:cstheme="minorBidi"/>
          <w:snapToGrid/>
          <w:sz w:val="24"/>
          <w:szCs w:val="22"/>
        </w:rPr>
        <w:t>the treatment of attention deficit hyperactivity disorder (ADHD) in children and adolescents 6-17 years old, as monotherapy (when stimulants or atomoxetine are not suitable, not tolerated or have been shown to be ineffective) or as adjunctive therapy to psychostimulants (where there has been a sub-optimal response to psychostimulants).</w:t>
      </w:r>
      <w:r w:rsidR="00630690" w:rsidRPr="004673D0">
        <w:t xml:space="preserve"> </w:t>
      </w:r>
      <w:r w:rsidR="00630690" w:rsidRPr="004673D0">
        <w:rPr>
          <w:rFonts w:asciiTheme="minorHAnsi" w:eastAsiaTheme="minorHAnsi" w:hAnsiTheme="minorHAnsi" w:cstheme="minorBidi"/>
          <w:snapToGrid/>
          <w:sz w:val="24"/>
          <w:szCs w:val="22"/>
        </w:rPr>
        <w:t>Guanfacine must be used as part of a comprehensive ADHD management programme, typically including psychological, educational and social measures.”</w:t>
      </w:r>
    </w:p>
    <w:p w:rsidR="006A12A5" w:rsidRPr="004673D0" w:rsidRDefault="00EA7FC9" w:rsidP="005F4BF4">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In July 2017, </w:t>
      </w:r>
      <w:r w:rsidR="005B7D79" w:rsidRPr="004673D0">
        <w:rPr>
          <w:rFonts w:asciiTheme="minorHAnsi" w:eastAsiaTheme="minorHAnsi" w:hAnsiTheme="minorHAnsi" w:cstheme="minorBidi"/>
          <w:snapToGrid/>
          <w:sz w:val="24"/>
          <w:szCs w:val="22"/>
        </w:rPr>
        <w:t xml:space="preserve">the PBAC recommended </w:t>
      </w:r>
      <w:r w:rsidRPr="004673D0">
        <w:rPr>
          <w:rFonts w:asciiTheme="minorHAnsi" w:eastAsiaTheme="minorHAnsi" w:hAnsiTheme="minorHAnsi" w:cstheme="minorBidi"/>
          <w:snapToGrid/>
          <w:sz w:val="24"/>
          <w:szCs w:val="22"/>
        </w:rPr>
        <w:t>g</w:t>
      </w:r>
      <w:r w:rsidR="00332A20" w:rsidRPr="004673D0">
        <w:rPr>
          <w:rFonts w:asciiTheme="minorHAnsi" w:eastAsiaTheme="minorHAnsi" w:hAnsiTheme="minorHAnsi" w:cstheme="minorBidi"/>
          <w:snapToGrid/>
          <w:sz w:val="24"/>
          <w:szCs w:val="22"/>
        </w:rPr>
        <w:t>uanfacine for monotherapy in patients who are contraindicated or intolerant to stimulants</w:t>
      </w:r>
      <w:r w:rsidR="00630690" w:rsidRPr="004673D0">
        <w:rPr>
          <w:rFonts w:asciiTheme="minorHAnsi" w:eastAsiaTheme="minorHAnsi" w:hAnsiTheme="minorHAnsi" w:cstheme="minorBidi"/>
          <w:snapToGrid/>
          <w:sz w:val="24"/>
          <w:szCs w:val="22"/>
        </w:rPr>
        <w:t>. The recommendation was made</w:t>
      </w:r>
      <w:r w:rsidR="00332A20" w:rsidRPr="004673D0">
        <w:rPr>
          <w:rFonts w:asciiTheme="minorHAnsi" w:eastAsiaTheme="minorHAnsi" w:hAnsiTheme="minorHAnsi" w:cstheme="minorBidi"/>
          <w:snapToGrid/>
          <w:sz w:val="24"/>
          <w:szCs w:val="22"/>
        </w:rPr>
        <w:t xml:space="preserve"> on a cost-minimisation basis with atomoxetine</w:t>
      </w:r>
      <w:r w:rsidR="000F00F8" w:rsidRPr="004673D0">
        <w:rPr>
          <w:rFonts w:asciiTheme="minorHAnsi" w:eastAsiaTheme="minorHAnsi" w:hAnsiTheme="minorHAnsi" w:cstheme="minorBidi"/>
          <w:snapToGrid/>
          <w:sz w:val="24"/>
          <w:szCs w:val="22"/>
        </w:rPr>
        <w:t xml:space="preserve"> (paragraph 7.1, July 2017 PSD)</w:t>
      </w:r>
      <w:r w:rsidR="00332A20" w:rsidRPr="004673D0">
        <w:rPr>
          <w:rFonts w:asciiTheme="minorHAnsi" w:eastAsiaTheme="minorHAnsi" w:hAnsiTheme="minorHAnsi" w:cstheme="minorBidi"/>
          <w:snapToGrid/>
          <w:sz w:val="24"/>
          <w:szCs w:val="22"/>
        </w:rPr>
        <w:t>.</w:t>
      </w:r>
      <w:r w:rsidR="00FF197A" w:rsidRPr="004673D0">
        <w:rPr>
          <w:rFonts w:asciiTheme="minorHAnsi" w:eastAsiaTheme="minorHAnsi" w:hAnsiTheme="minorHAnsi" w:cstheme="minorBidi"/>
          <w:snapToGrid/>
          <w:sz w:val="24"/>
          <w:szCs w:val="22"/>
        </w:rPr>
        <w:t xml:space="preserve"> Guanfacine is not yet PBS-listed in this setting.</w:t>
      </w:r>
    </w:p>
    <w:p w:rsidR="00FF197A" w:rsidRPr="004673D0" w:rsidRDefault="00EA7FC9" w:rsidP="005F4BF4">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In July 2017, t</w:t>
      </w:r>
      <w:r w:rsidR="00332A20" w:rsidRPr="004673D0">
        <w:rPr>
          <w:rFonts w:asciiTheme="minorHAnsi" w:eastAsiaTheme="minorHAnsi" w:hAnsiTheme="minorHAnsi" w:cstheme="minorBidi"/>
          <w:snapToGrid/>
          <w:sz w:val="24"/>
          <w:szCs w:val="22"/>
        </w:rPr>
        <w:t xml:space="preserve">he PBAC rejected </w:t>
      </w:r>
      <w:r w:rsidR="005B7D79" w:rsidRPr="004673D0">
        <w:rPr>
          <w:rFonts w:asciiTheme="minorHAnsi" w:eastAsiaTheme="minorHAnsi" w:hAnsiTheme="minorHAnsi" w:cstheme="minorBidi"/>
          <w:snapToGrid/>
          <w:sz w:val="24"/>
          <w:szCs w:val="22"/>
        </w:rPr>
        <w:t>g</w:t>
      </w:r>
      <w:r w:rsidR="003A10CD" w:rsidRPr="004673D0">
        <w:rPr>
          <w:rFonts w:asciiTheme="minorHAnsi" w:eastAsiaTheme="minorHAnsi" w:hAnsiTheme="minorHAnsi" w:cstheme="minorBidi"/>
          <w:snapToGrid/>
          <w:sz w:val="24"/>
          <w:szCs w:val="22"/>
        </w:rPr>
        <w:t>ua</w:t>
      </w:r>
      <w:r w:rsidR="005B7D79" w:rsidRPr="004673D0">
        <w:rPr>
          <w:rFonts w:asciiTheme="minorHAnsi" w:eastAsiaTheme="minorHAnsi" w:hAnsiTheme="minorHAnsi" w:cstheme="minorBidi"/>
          <w:snapToGrid/>
          <w:sz w:val="24"/>
          <w:szCs w:val="22"/>
        </w:rPr>
        <w:t>nfacine</w:t>
      </w:r>
      <w:r w:rsidR="00332A20" w:rsidRPr="004673D0">
        <w:rPr>
          <w:rFonts w:asciiTheme="minorHAnsi" w:eastAsiaTheme="minorHAnsi" w:hAnsiTheme="minorHAnsi" w:cstheme="minorBidi"/>
          <w:snapToGrid/>
          <w:sz w:val="24"/>
          <w:szCs w:val="22"/>
        </w:rPr>
        <w:t xml:space="preserve"> for add-on</w:t>
      </w:r>
      <w:r w:rsidR="000F00F8" w:rsidRPr="004673D0">
        <w:rPr>
          <w:rFonts w:asciiTheme="minorHAnsi" w:eastAsiaTheme="minorHAnsi" w:hAnsiTheme="minorHAnsi" w:cstheme="minorBidi"/>
          <w:snapToGrid/>
          <w:sz w:val="24"/>
          <w:szCs w:val="22"/>
        </w:rPr>
        <w:t xml:space="preserve">/adjunctive </w:t>
      </w:r>
      <w:r w:rsidR="00332A20" w:rsidRPr="004673D0">
        <w:rPr>
          <w:rFonts w:asciiTheme="minorHAnsi" w:eastAsiaTheme="minorHAnsi" w:hAnsiTheme="minorHAnsi" w:cstheme="minorBidi"/>
          <w:snapToGrid/>
          <w:sz w:val="24"/>
          <w:szCs w:val="22"/>
        </w:rPr>
        <w:t xml:space="preserve">therapy </w:t>
      </w:r>
      <w:r w:rsidR="000F00F8" w:rsidRPr="004673D0">
        <w:rPr>
          <w:rFonts w:asciiTheme="minorHAnsi" w:eastAsiaTheme="minorHAnsi" w:hAnsiTheme="minorHAnsi" w:cstheme="minorBidi"/>
          <w:snapToGrid/>
          <w:sz w:val="24"/>
          <w:szCs w:val="22"/>
        </w:rPr>
        <w:t xml:space="preserve">in patients who have failed to achieve an adequate response to stimulants </w:t>
      </w:r>
      <w:r w:rsidR="00332A20" w:rsidRPr="004673D0">
        <w:rPr>
          <w:rFonts w:asciiTheme="minorHAnsi" w:eastAsiaTheme="minorHAnsi" w:hAnsiTheme="minorHAnsi" w:cstheme="minorBidi"/>
          <w:snapToGrid/>
          <w:sz w:val="24"/>
          <w:szCs w:val="22"/>
        </w:rPr>
        <w:t>on the basis of uncertain clinical significance of the trial outcomes and uncertain cost effectiveness (paragraph 7.1</w:t>
      </w:r>
      <w:r w:rsidR="000F00F8" w:rsidRPr="004673D0">
        <w:rPr>
          <w:rFonts w:asciiTheme="minorHAnsi" w:eastAsiaTheme="minorHAnsi" w:hAnsiTheme="minorHAnsi" w:cstheme="minorBidi"/>
          <w:snapToGrid/>
          <w:sz w:val="24"/>
          <w:szCs w:val="22"/>
        </w:rPr>
        <w:t>, July 2017 PSD</w:t>
      </w:r>
      <w:r w:rsidR="00332A20" w:rsidRPr="004673D0">
        <w:rPr>
          <w:rFonts w:asciiTheme="minorHAnsi" w:eastAsiaTheme="minorHAnsi" w:hAnsiTheme="minorHAnsi" w:cstheme="minorBidi"/>
          <w:snapToGrid/>
          <w:sz w:val="24"/>
          <w:szCs w:val="22"/>
        </w:rPr>
        <w:t xml:space="preserve">). </w:t>
      </w:r>
      <w:r w:rsidR="00FF197A" w:rsidRPr="004673D0">
        <w:rPr>
          <w:rFonts w:asciiTheme="minorHAnsi" w:eastAsiaTheme="minorHAnsi" w:hAnsiTheme="minorHAnsi" w:cstheme="minorBidi"/>
          <w:snapToGrid/>
          <w:sz w:val="24"/>
          <w:szCs w:val="22"/>
        </w:rPr>
        <w:t>The minor resubmission request</w:t>
      </w:r>
      <w:r w:rsidR="00D51441" w:rsidRPr="004673D0">
        <w:rPr>
          <w:rFonts w:asciiTheme="minorHAnsi" w:eastAsiaTheme="minorHAnsi" w:hAnsiTheme="minorHAnsi" w:cstheme="minorBidi"/>
          <w:snapToGrid/>
          <w:sz w:val="24"/>
          <w:szCs w:val="22"/>
        </w:rPr>
        <w:t>ed</w:t>
      </w:r>
      <w:r w:rsidR="00FF197A" w:rsidRPr="004673D0">
        <w:rPr>
          <w:rFonts w:asciiTheme="minorHAnsi" w:eastAsiaTheme="minorHAnsi" w:hAnsiTheme="minorHAnsi" w:cstheme="minorBidi"/>
          <w:snapToGrid/>
          <w:sz w:val="24"/>
          <w:szCs w:val="22"/>
        </w:rPr>
        <w:t xml:space="preserve"> listing in this setting.</w:t>
      </w:r>
    </w:p>
    <w:p w:rsidR="000F00F8" w:rsidRPr="004673D0" w:rsidRDefault="000F00F8" w:rsidP="005F4BF4">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In July 2017, the PBAC </w:t>
      </w:r>
      <w:r w:rsidR="00630690" w:rsidRPr="004673D0">
        <w:rPr>
          <w:rFonts w:asciiTheme="minorHAnsi" w:eastAsiaTheme="minorHAnsi" w:hAnsiTheme="minorHAnsi" w:cstheme="minorBidi"/>
          <w:snapToGrid/>
          <w:sz w:val="24"/>
          <w:szCs w:val="22"/>
        </w:rPr>
        <w:t xml:space="preserve">also </w:t>
      </w:r>
      <w:r w:rsidRPr="004673D0">
        <w:rPr>
          <w:rFonts w:asciiTheme="minorHAnsi" w:eastAsiaTheme="minorHAnsi" w:hAnsiTheme="minorHAnsi" w:cstheme="minorBidi"/>
          <w:snapToGrid/>
          <w:sz w:val="24"/>
          <w:szCs w:val="22"/>
        </w:rPr>
        <w:t>rejected gu</w:t>
      </w:r>
      <w:r w:rsidR="003A10CD" w:rsidRPr="004673D0">
        <w:rPr>
          <w:rFonts w:asciiTheme="minorHAnsi" w:eastAsiaTheme="minorHAnsi" w:hAnsiTheme="minorHAnsi" w:cstheme="minorBidi"/>
          <w:snapToGrid/>
          <w:sz w:val="24"/>
          <w:szCs w:val="22"/>
        </w:rPr>
        <w:t>a</w:t>
      </w:r>
      <w:r w:rsidRPr="004673D0">
        <w:rPr>
          <w:rFonts w:asciiTheme="minorHAnsi" w:eastAsiaTheme="minorHAnsi" w:hAnsiTheme="minorHAnsi" w:cstheme="minorBidi"/>
          <w:snapToGrid/>
          <w:sz w:val="24"/>
          <w:szCs w:val="22"/>
        </w:rPr>
        <w:t>nfacine for monotherapy in patients who have failed to achieve an adequate response to stimulants as the evidence presented did not support a listing in that population (paragraph 7.1, July 2017 PSD).</w:t>
      </w:r>
      <w:r w:rsidR="00630690" w:rsidRPr="004673D0">
        <w:rPr>
          <w:rFonts w:asciiTheme="minorHAnsi" w:eastAsiaTheme="minorHAnsi" w:hAnsiTheme="minorHAnsi" w:cstheme="minorBidi"/>
          <w:snapToGrid/>
          <w:sz w:val="24"/>
          <w:szCs w:val="22"/>
        </w:rPr>
        <w:t xml:space="preserve"> This indication was </w:t>
      </w:r>
      <w:r w:rsidR="00630690" w:rsidRPr="004673D0">
        <w:rPr>
          <w:rFonts w:asciiTheme="minorHAnsi" w:eastAsiaTheme="minorHAnsi" w:hAnsiTheme="minorHAnsi" w:cstheme="minorBidi"/>
          <w:snapToGrid/>
          <w:sz w:val="24"/>
          <w:szCs w:val="22"/>
          <w:u w:val="single"/>
        </w:rPr>
        <w:t>not</w:t>
      </w:r>
      <w:r w:rsidR="00630690" w:rsidRPr="004673D0">
        <w:rPr>
          <w:rFonts w:asciiTheme="minorHAnsi" w:eastAsiaTheme="minorHAnsi" w:hAnsiTheme="minorHAnsi" w:cstheme="minorBidi"/>
          <w:snapToGrid/>
          <w:sz w:val="24"/>
          <w:szCs w:val="22"/>
        </w:rPr>
        <w:t xml:space="preserve"> requested in this </w:t>
      </w:r>
      <w:r w:rsidR="00FF197A" w:rsidRPr="004673D0">
        <w:rPr>
          <w:rFonts w:asciiTheme="minorHAnsi" w:eastAsiaTheme="minorHAnsi" w:hAnsiTheme="minorHAnsi" w:cstheme="minorBidi"/>
          <w:snapToGrid/>
          <w:sz w:val="24"/>
          <w:szCs w:val="22"/>
        </w:rPr>
        <w:t>minor re</w:t>
      </w:r>
      <w:r w:rsidR="00630690" w:rsidRPr="004673D0">
        <w:rPr>
          <w:rFonts w:asciiTheme="minorHAnsi" w:eastAsiaTheme="minorHAnsi" w:hAnsiTheme="minorHAnsi" w:cstheme="minorBidi"/>
          <w:snapToGrid/>
          <w:sz w:val="24"/>
          <w:szCs w:val="22"/>
        </w:rPr>
        <w:t>submission.</w:t>
      </w:r>
    </w:p>
    <w:p w:rsidR="00AB0706" w:rsidRPr="004673D0" w:rsidRDefault="00AB0706" w:rsidP="0095574D">
      <w:pPr>
        <w:pStyle w:val="PBACHeading1"/>
        <w:numPr>
          <w:ilvl w:val="0"/>
          <w:numId w:val="0"/>
        </w:numPr>
        <w:outlineLvl w:val="1"/>
      </w:pPr>
      <w:r w:rsidRPr="004673D0">
        <w:t>Previous PBAC consideration in add-on setting</w:t>
      </w:r>
    </w:p>
    <w:p w:rsidR="00AB0706" w:rsidRPr="004673D0" w:rsidRDefault="00AB0706" w:rsidP="00AB0706">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In its previous consideration the PBAC stated that, “a minor submission with a lower price with no other amendments to the economic model for the adjunctive therapy indication for patients who have an inadequate response to stimulant therapy would be required to address the issue of uncertain cost-effectiveness in this population…..and that as this would likely result in a weighted price scenario for the listings of guanfacine, that new financial estimates would be required as part of any resubmission” (paragraph 7.13, July 2017 PSD).</w:t>
      </w:r>
    </w:p>
    <w:p w:rsidR="00246EC5" w:rsidRPr="004673D0" w:rsidRDefault="00246EC5" w:rsidP="00280420">
      <w:pPr>
        <w:pStyle w:val="ListParagraph"/>
        <w:numPr>
          <w:ilvl w:val="1"/>
          <w:numId w:val="14"/>
        </w:numPr>
        <w:spacing w:after="16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Key changes compared with the previous submission were:</w:t>
      </w:r>
    </w:p>
    <w:p w:rsidR="00246EC5" w:rsidRPr="004673D0" w:rsidRDefault="00246EC5" w:rsidP="00280420">
      <w:pPr>
        <w:pStyle w:val="ListParagraph"/>
        <w:widowControl/>
        <w:numPr>
          <w:ilvl w:val="1"/>
          <w:numId w:val="20"/>
        </w:numPr>
        <w:spacing w:after="160"/>
        <w:ind w:left="1077" w:hanging="357"/>
        <w:rPr>
          <w:rFonts w:asciiTheme="minorHAnsi" w:eastAsiaTheme="minorHAnsi" w:hAnsiTheme="minorHAnsi" w:cstheme="minorBidi"/>
          <w:snapToGrid/>
          <w:sz w:val="24"/>
          <w:szCs w:val="22"/>
        </w:rPr>
      </w:pPr>
      <w:r w:rsidRPr="00AA10A4">
        <w:rPr>
          <w:rFonts w:asciiTheme="minorHAnsi" w:eastAsiaTheme="minorHAnsi" w:hAnsiTheme="minorHAnsi" w:cstheme="minorBidi"/>
          <w:snapToGrid/>
          <w:sz w:val="24"/>
          <w:szCs w:val="22"/>
        </w:rPr>
        <w:t xml:space="preserve">A </w:t>
      </w:r>
      <w:r w:rsidR="00F83616">
        <w:rPr>
          <w:rFonts w:asciiTheme="minorHAnsi" w:eastAsiaTheme="minorHAnsi" w:hAnsiTheme="minorHAnsi" w:cstheme="minorBidi"/>
          <w:noProof/>
          <w:snapToGrid/>
          <w:color w:val="000000"/>
          <w:sz w:val="24"/>
          <w:szCs w:val="22"/>
          <w:highlight w:val="black"/>
        </w:rPr>
        <w:t>'''''</w:t>
      </w:r>
      <w:r w:rsidRPr="004673D0">
        <w:rPr>
          <w:rFonts w:asciiTheme="minorHAnsi" w:eastAsiaTheme="minorHAnsi" w:hAnsiTheme="minorHAnsi" w:cstheme="minorBidi"/>
          <w:snapToGrid/>
          <w:sz w:val="24"/>
          <w:szCs w:val="22"/>
        </w:rPr>
        <w:t>% lower effective DPMQ was proposed in the add-on setting ($</w:t>
      </w:r>
      <w:r w:rsidR="00F83616">
        <w:rPr>
          <w:rFonts w:asciiTheme="minorHAnsi" w:eastAsiaTheme="minorHAnsi" w:hAnsiTheme="minorHAnsi" w:cstheme="minorBidi"/>
          <w:noProof/>
          <w:snapToGrid/>
          <w:color w:val="000000"/>
          <w:sz w:val="24"/>
          <w:szCs w:val="22"/>
          <w:highlight w:val="black"/>
        </w:rPr>
        <w:t>'''''''''''</w:t>
      </w:r>
      <w:r w:rsidRPr="004673D0">
        <w:rPr>
          <w:rFonts w:asciiTheme="minorHAnsi" w:eastAsiaTheme="minorHAnsi" w:hAnsiTheme="minorHAnsi" w:cstheme="minorBidi"/>
          <w:snapToGrid/>
          <w:sz w:val="24"/>
          <w:szCs w:val="22"/>
        </w:rPr>
        <w:t xml:space="preserve"> versus $</w:t>
      </w:r>
      <w:r w:rsidR="00F83616">
        <w:rPr>
          <w:rFonts w:asciiTheme="minorHAnsi" w:eastAsiaTheme="minorHAnsi" w:hAnsiTheme="minorHAnsi" w:cstheme="minorBidi"/>
          <w:noProof/>
          <w:snapToGrid/>
          <w:color w:val="000000"/>
          <w:sz w:val="24"/>
          <w:szCs w:val="22"/>
          <w:highlight w:val="black"/>
        </w:rPr>
        <w:t>'''''''''''</w:t>
      </w:r>
      <w:r w:rsidRPr="004673D0">
        <w:rPr>
          <w:rFonts w:asciiTheme="minorHAnsi" w:eastAsiaTheme="minorHAnsi" w:hAnsiTheme="minorHAnsi" w:cstheme="minorBidi"/>
          <w:snapToGrid/>
          <w:sz w:val="24"/>
          <w:szCs w:val="22"/>
        </w:rPr>
        <w:t xml:space="preserve"> in the previous submission</w:t>
      </w:r>
      <w:r w:rsidRPr="00AA10A4">
        <w:rPr>
          <w:rFonts w:asciiTheme="minorHAnsi" w:eastAsiaTheme="minorHAnsi" w:hAnsiTheme="minorHAnsi" w:cstheme="minorBidi"/>
          <w:snapToGrid/>
          <w:sz w:val="24"/>
          <w:szCs w:val="22"/>
        </w:rPr>
        <w:t xml:space="preserve">). </w:t>
      </w:r>
      <w:r w:rsidR="00EB5E58" w:rsidRPr="00AA10A4">
        <w:rPr>
          <w:rFonts w:asciiTheme="minorHAnsi" w:eastAsiaTheme="minorHAnsi" w:hAnsiTheme="minorHAnsi" w:cstheme="minorBidi"/>
          <w:snapToGrid/>
          <w:sz w:val="24"/>
          <w:szCs w:val="22"/>
        </w:rPr>
        <w:t>This</w:t>
      </w:r>
      <w:r w:rsidRPr="004673D0">
        <w:rPr>
          <w:rFonts w:asciiTheme="minorHAnsi" w:eastAsiaTheme="minorHAnsi" w:hAnsiTheme="minorHAnsi" w:cstheme="minorBidi"/>
          <w:snapToGrid/>
          <w:sz w:val="24"/>
          <w:szCs w:val="22"/>
        </w:rPr>
        <w:t xml:space="preserve"> was </w:t>
      </w:r>
      <w:r w:rsidR="006A7781" w:rsidRPr="004673D0">
        <w:rPr>
          <w:rFonts w:asciiTheme="minorHAnsi" w:eastAsiaTheme="minorHAnsi" w:hAnsiTheme="minorHAnsi" w:cstheme="minorBidi"/>
          <w:snapToGrid/>
          <w:sz w:val="24"/>
          <w:szCs w:val="22"/>
        </w:rPr>
        <w:t xml:space="preserve">also </w:t>
      </w:r>
      <w:r w:rsidR="00F83616">
        <w:rPr>
          <w:rFonts w:asciiTheme="minorHAnsi" w:eastAsiaTheme="minorHAnsi" w:hAnsiTheme="minorHAnsi" w:cstheme="minorBidi"/>
          <w:noProof/>
          <w:snapToGrid/>
          <w:color w:val="000000"/>
          <w:sz w:val="24"/>
          <w:szCs w:val="22"/>
          <w:highlight w:val="black"/>
        </w:rPr>
        <w:t>''''''''''' ''''''''' '''''' ''''''''' ''''''''' '''''' '''''''''''''''''''''''' ''''''''''' '''''''' '''''''' '''''''''' ''''' '''''''''''''' '''''''''''''''''''' ''''''''' ''''''' '''''''''''''' '''''''''''''' ''''' ''''''' ''''''''''' ''' ''''''''''''''''''''''''''' ''''''''''''' '''''''''''' '''' ''''' '''''''''''''''</w:t>
      </w:r>
      <w:r w:rsidR="003A0AFC" w:rsidRPr="004673D0">
        <w:rPr>
          <w:rFonts w:asciiTheme="minorHAnsi" w:eastAsiaTheme="minorHAnsi" w:hAnsiTheme="minorHAnsi" w:cstheme="minorBidi"/>
          <w:snapToGrid/>
          <w:sz w:val="24"/>
          <w:szCs w:val="22"/>
        </w:rPr>
        <w:t xml:space="preserve"> </w:t>
      </w:r>
      <w:r w:rsidRPr="004673D0">
        <w:rPr>
          <w:rFonts w:asciiTheme="minorHAnsi" w:eastAsiaTheme="minorHAnsi" w:hAnsiTheme="minorHAnsi" w:cstheme="minorBidi"/>
          <w:snapToGrid/>
          <w:sz w:val="24"/>
          <w:szCs w:val="22"/>
        </w:rPr>
        <w:t>The definition of sub-optimal response was revised in the requested restriction;</w:t>
      </w:r>
    </w:p>
    <w:p w:rsidR="00246EC5" w:rsidRPr="004673D0" w:rsidRDefault="00246EC5" w:rsidP="00280420">
      <w:pPr>
        <w:pStyle w:val="ListParagraph"/>
        <w:widowControl/>
        <w:numPr>
          <w:ilvl w:val="1"/>
          <w:numId w:val="20"/>
        </w:numPr>
        <w:spacing w:after="160"/>
        <w:ind w:left="1077" w:hanging="357"/>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Updated financial estimates were provided;</w:t>
      </w:r>
    </w:p>
    <w:p w:rsidR="00246EC5" w:rsidRPr="004673D0" w:rsidRDefault="00246EC5" w:rsidP="00280420">
      <w:pPr>
        <w:pStyle w:val="ListParagraph"/>
        <w:widowControl/>
        <w:numPr>
          <w:ilvl w:val="1"/>
          <w:numId w:val="20"/>
        </w:numPr>
        <w:spacing w:after="160"/>
        <w:ind w:left="1077" w:hanging="357"/>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A weighted price was proposed based on predicted utilisation in the add-on versus monotherapy settings (based on a weighting </w:t>
      </w:r>
      <w:r w:rsidRPr="00AA10A4">
        <w:rPr>
          <w:rFonts w:asciiTheme="minorHAnsi" w:eastAsiaTheme="minorHAnsi" w:hAnsiTheme="minorHAnsi" w:cstheme="minorBidi"/>
          <w:snapToGrid/>
          <w:sz w:val="24"/>
          <w:szCs w:val="22"/>
        </w:rPr>
        <w:t xml:space="preserve">of </w:t>
      </w:r>
      <w:r w:rsidR="00F83616">
        <w:rPr>
          <w:rFonts w:asciiTheme="minorHAnsi" w:eastAsiaTheme="minorHAnsi" w:hAnsiTheme="minorHAnsi" w:cstheme="minorBidi"/>
          <w:noProof/>
          <w:snapToGrid/>
          <w:color w:val="000000"/>
          <w:sz w:val="24"/>
          <w:szCs w:val="22"/>
          <w:highlight w:val="black"/>
        </w:rPr>
        <w:t>'''''</w:t>
      </w:r>
      <w:r w:rsidRPr="00AA10A4">
        <w:rPr>
          <w:rFonts w:asciiTheme="minorHAnsi" w:eastAsiaTheme="minorHAnsi" w:hAnsiTheme="minorHAnsi" w:cstheme="minorBidi"/>
          <w:snapToGrid/>
          <w:sz w:val="24"/>
          <w:szCs w:val="22"/>
        </w:rPr>
        <w:t>% versus</w:t>
      </w:r>
      <w:r w:rsidRPr="004673D0">
        <w:rPr>
          <w:rFonts w:asciiTheme="minorHAnsi" w:eastAsiaTheme="minorHAnsi" w:hAnsiTheme="minorHAnsi" w:cstheme="minorBidi"/>
          <w:snapToGrid/>
          <w:sz w:val="24"/>
          <w:szCs w:val="22"/>
        </w:rPr>
        <w:t xml:space="preserve"> </w:t>
      </w:r>
      <w:r w:rsidR="00F83616">
        <w:rPr>
          <w:rFonts w:asciiTheme="minorHAnsi" w:eastAsiaTheme="minorHAnsi" w:hAnsiTheme="minorHAnsi" w:cstheme="minorBidi"/>
          <w:noProof/>
          <w:snapToGrid/>
          <w:color w:val="000000"/>
          <w:sz w:val="24"/>
          <w:szCs w:val="22"/>
          <w:highlight w:val="black"/>
        </w:rPr>
        <w:t>'''''</w:t>
      </w:r>
      <w:r w:rsidRPr="004673D0">
        <w:rPr>
          <w:rFonts w:asciiTheme="minorHAnsi" w:eastAsiaTheme="minorHAnsi" w:hAnsiTheme="minorHAnsi" w:cstheme="minorBidi"/>
          <w:snapToGrid/>
          <w:sz w:val="24"/>
          <w:szCs w:val="22"/>
        </w:rPr>
        <w:t>%, respectively to derive a weighted effective DPMQ of $</w:t>
      </w:r>
      <w:r w:rsidR="00F83616">
        <w:rPr>
          <w:rFonts w:asciiTheme="minorHAnsi" w:eastAsiaTheme="minorHAnsi" w:hAnsiTheme="minorHAnsi" w:cstheme="minorBidi"/>
          <w:noProof/>
          <w:snapToGrid/>
          <w:color w:val="000000"/>
          <w:sz w:val="24"/>
          <w:szCs w:val="22"/>
          <w:highlight w:val="black"/>
        </w:rPr>
        <w:t>'''''''''''</w:t>
      </w:r>
      <w:r w:rsidRPr="004673D0">
        <w:rPr>
          <w:rFonts w:asciiTheme="minorHAnsi" w:eastAsiaTheme="minorHAnsi" w:hAnsiTheme="minorHAnsi" w:cstheme="minorBidi"/>
          <w:snapToGrid/>
          <w:sz w:val="24"/>
          <w:szCs w:val="22"/>
        </w:rPr>
        <w:t>).</w:t>
      </w:r>
    </w:p>
    <w:p w:rsidR="00DD08F4" w:rsidRPr="00DD08F4" w:rsidRDefault="00DD08F4" w:rsidP="00DD08F4">
      <w:pPr>
        <w:spacing w:before="120" w:after="160"/>
        <w:rPr>
          <w:rFonts w:asciiTheme="minorHAnsi" w:eastAsiaTheme="minorHAnsi" w:hAnsiTheme="minorHAnsi" w:cstheme="minorBidi"/>
          <w:szCs w:val="22"/>
        </w:rPr>
      </w:pPr>
      <w:r w:rsidRPr="00DD08F4">
        <w:rPr>
          <w:rFonts w:asciiTheme="minorHAnsi" w:hAnsiTheme="minorHAnsi"/>
          <w:i/>
        </w:rPr>
        <w:lastRenderedPageBreak/>
        <w:t>For more detail on PBAC’s view, see section 6 PBAC outcome.</w:t>
      </w:r>
    </w:p>
    <w:p w:rsidR="005A3173" w:rsidRPr="004673D0" w:rsidRDefault="005A3173" w:rsidP="00D31150">
      <w:pPr>
        <w:pStyle w:val="PBACHeading1"/>
        <w:spacing w:before="240" w:after="120"/>
        <w:ind w:left="709" w:hanging="709"/>
        <w:rPr>
          <w:rFonts w:asciiTheme="minorHAnsi" w:hAnsiTheme="minorHAnsi"/>
          <w:sz w:val="32"/>
          <w:szCs w:val="32"/>
        </w:rPr>
      </w:pPr>
      <w:r w:rsidRPr="004673D0">
        <w:rPr>
          <w:rFonts w:asciiTheme="minorHAnsi" w:hAnsiTheme="minorHAnsi"/>
          <w:sz w:val="32"/>
          <w:szCs w:val="32"/>
        </w:rPr>
        <w:t>Comparator</w:t>
      </w:r>
    </w:p>
    <w:p w:rsidR="00FF197A" w:rsidRPr="004673D0" w:rsidRDefault="00FF2801" w:rsidP="0028042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The minor </w:t>
      </w:r>
      <w:r w:rsidR="00283A23" w:rsidRPr="004673D0">
        <w:rPr>
          <w:rFonts w:asciiTheme="minorHAnsi" w:eastAsiaTheme="minorHAnsi" w:hAnsiTheme="minorHAnsi" w:cstheme="minorBidi"/>
          <w:snapToGrid/>
          <w:sz w:val="24"/>
          <w:szCs w:val="22"/>
        </w:rPr>
        <w:t>re</w:t>
      </w:r>
      <w:r w:rsidRPr="004673D0">
        <w:rPr>
          <w:rFonts w:asciiTheme="minorHAnsi" w:eastAsiaTheme="minorHAnsi" w:hAnsiTheme="minorHAnsi" w:cstheme="minorBidi"/>
          <w:snapToGrid/>
          <w:sz w:val="24"/>
          <w:szCs w:val="22"/>
        </w:rPr>
        <w:t>submission nominated</w:t>
      </w:r>
      <w:r w:rsidR="000A4724" w:rsidRPr="004673D0">
        <w:rPr>
          <w:rFonts w:asciiTheme="minorHAnsi" w:eastAsiaTheme="minorHAnsi" w:hAnsiTheme="minorHAnsi" w:cstheme="minorBidi"/>
          <w:snapToGrid/>
          <w:sz w:val="24"/>
          <w:szCs w:val="22"/>
        </w:rPr>
        <w:t xml:space="preserve"> placebo as the primary comparator. </w:t>
      </w:r>
      <w:r w:rsidR="00532B2E" w:rsidRPr="004673D0">
        <w:rPr>
          <w:rFonts w:asciiTheme="minorHAnsi" w:eastAsiaTheme="minorHAnsi" w:hAnsiTheme="minorHAnsi" w:cstheme="minorBidi"/>
          <w:snapToGrid/>
          <w:sz w:val="24"/>
          <w:szCs w:val="22"/>
        </w:rPr>
        <w:t xml:space="preserve">This was previously accepted by the PBAC. </w:t>
      </w:r>
      <w:r w:rsidR="00FF197A" w:rsidRPr="004673D0">
        <w:rPr>
          <w:rFonts w:asciiTheme="minorHAnsi" w:eastAsiaTheme="minorHAnsi" w:hAnsiTheme="minorHAnsi" w:cstheme="minorBidi"/>
          <w:snapToGrid/>
          <w:sz w:val="24"/>
          <w:szCs w:val="22"/>
        </w:rPr>
        <w:t>T</w:t>
      </w:r>
      <w:r w:rsidR="000A4724" w:rsidRPr="004673D0">
        <w:rPr>
          <w:rFonts w:asciiTheme="minorHAnsi" w:eastAsiaTheme="minorHAnsi" w:hAnsiTheme="minorHAnsi" w:cstheme="minorBidi"/>
          <w:snapToGrid/>
          <w:sz w:val="24"/>
          <w:szCs w:val="22"/>
        </w:rPr>
        <w:t>he previous submission nominated clonidine as a secondary comparator</w:t>
      </w:r>
      <w:r w:rsidR="00532B2E" w:rsidRPr="004673D0">
        <w:rPr>
          <w:rFonts w:asciiTheme="minorHAnsi" w:eastAsiaTheme="minorHAnsi" w:hAnsiTheme="minorHAnsi" w:cstheme="minorBidi"/>
          <w:snapToGrid/>
          <w:sz w:val="24"/>
          <w:szCs w:val="22"/>
        </w:rPr>
        <w:t>. This</w:t>
      </w:r>
      <w:r w:rsidR="000A4724" w:rsidRPr="004673D0">
        <w:rPr>
          <w:rFonts w:asciiTheme="minorHAnsi" w:eastAsiaTheme="minorHAnsi" w:hAnsiTheme="minorHAnsi" w:cstheme="minorBidi"/>
          <w:snapToGrid/>
          <w:sz w:val="24"/>
          <w:szCs w:val="22"/>
        </w:rPr>
        <w:t xml:space="preserve"> was not accepted by </w:t>
      </w:r>
      <w:r w:rsidR="00532B2E" w:rsidRPr="004673D0">
        <w:rPr>
          <w:rFonts w:asciiTheme="minorHAnsi" w:eastAsiaTheme="minorHAnsi" w:hAnsiTheme="minorHAnsi" w:cstheme="minorBidi"/>
          <w:snapToGrid/>
          <w:sz w:val="24"/>
          <w:szCs w:val="22"/>
        </w:rPr>
        <w:t xml:space="preserve">the </w:t>
      </w:r>
      <w:r w:rsidR="000A4724" w:rsidRPr="004673D0">
        <w:rPr>
          <w:rFonts w:asciiTheme="minorHAnsi" w:eastAsiaTheme="minorHAnsi" w:hAnsiTheme="minorHAnsi" w:cstheme="minorBidi"/>
          <w:snapToGrid/>
          <w:sz w:val="24"/>
          <w:szCs w:val="22"/>
        </w:rPr>
        <w:t xml:space="preserve">PBAC as clonidine is </w:t>
      </w:r>
      <w:r w:rsidR="00FF197A" w:rsidRPr="004673D0">
        <w:rPr>
          <w:rFonts w:asciiTheme="minorHAnsi" w:eastAsiaTheme="minorHAnsi" w:hAnsiTheme="minorHAnsi" w:cstheme="minorBidi"/>
          <w:snapToGrid/>
          <w:sz w:val="24"/>
          <w:szCs w:val="22"/>
        </w:rPr>
        <w:t>neither TGA registered nor PBS listed in Australia for the treatment of ADHD, and thus its safety, efficacy and cost-effectiveness are unknown (paragraph 7.5, July 2017 PSD)</w:t>
      </w:r>
      <w:r w:rsidR="000A4724" w:rsidRPr="004673D0">
        <w:rPr>
          <w:rFonts w:asciiTheme="minorHAnsi" w:eastAsiaTheme="minorHAnsi" w:hAnsiTheme="minorHAnsi" w:cstheme="minorBidi"/>
          <w:snapToGrid/>
          <w:sz w:val="24"/>
          <w:szCs w:val="22"/>
        </w:rPr>
        <w:t>.</w:t>
      </w:r>
      <w:r w:rsidR="000A4724" w:rsidRPr="004673D0">
        <w:rPr>
          <w:rFonts w:asciiTheme="minorHAnsi" w:eastAsiaTheme="minorHAnsi" w:hAnsiTheme="minorHAnsi" w:cstheme="minorBidi"/>
          <w:i/>
          <w:snapToGrid/>
          <w:sz w:val="24"/>
          <w:szCs w:val="22"/>
        </w:rPr>
        <w:t xml:space="preserve"> </w:t>
      </w:r>
    </w:p>
    <w:p w:rsidR="00C35996" w:rsidRPr="004673D0" w:rsidRDefault="000A4724" w:rsidP="00FF197A">
      <w:pPr>
        <w:pStyle w:val="ListParagraph"/>
        <w:widowControl/>
        <w:numPr>
          <w:ilvl w:val="1"/>
          <w:numId w:val="14"/>
        </w:numPr>
        <w:spacing w:before="120" w:after="16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The Secretariat note</w:t>
      </w:r>
      <w:r w:rsidR="00802BB1" w:rsidRPr="004673D0">
        <w:rPr>
          <w:rFonts w:asciiTheme="minorHAnsi" w:eastAsiaTheme="minorHAnsi" w:hAnsiTheme="minorHAnsi" w:cstheme="minorBidi"/>
          <w:snapToGrid/>
          <w:sz w:val="24"/>
          <w:szCs w:val="22"/>
        </w:rPr>
        <w:t>d</w:t>
      </w:r>
      <w:r w:rsidR="00532B2E" w:rsidRPr="004673D0">
        <w:rPr>
          <w:rFonts w:asciiTheme="minorHAnsi" w:eastAsiaTheme="minorHAnsi" w:hAnsiTheme="minorHAnsi" w:cstheme="minorBidi"/>
          <w:snapToGrid/>
          <w:sz w:val="24"/>
          <w:szCs w:val="22"/>
        </w:rPr>
        <w:t xml:space="preserve"> that whilst clonidine wa</w:t>
      </w:r>
      <w:r w:rsidRPr="004673D0">
        <w:rPr>
          <w:rFonts w:asciiTheme="minorHAnsi" w:eastAsiaTheme="minorHAnsi" w:hAnsiTheme="minorHAnsi" w:cstheme="minorBidi"/>
          <w:snapToGrid/>
          <w:sz w:val="24"/>
          <w:szCs w:val="22"/>
        </w:rPr>
        <w:t>s no</w:t>
      </w:r>
      <w:r w:rsidR="000F00F8" w:rsidRPr="004673D0">
        <w:rPr>
          <w:rFonts w:asciiTheme="minorHAnsi" w:eastAsiaTheme="minorHAnsi" w:hAnsiTheme="minorHAnsi" w:cstheme="minorBidi"/>
          <w:snapToGrid/>
          <w:sz w:val="24"/>
          <w:szCs w:val="22"/>
        </w:rPr>
        <w:t>t a secondary comparator in the resubmission</w:t>
      </w:r>
      <w:r w:rsidRPr="004673D0">
        <w:rPr>
          <w:rFonts w:asciiTheme="minorHAnsi" w:eastAsiaTheme="minorHAnsi" w:hAnsiTheme="minorHAnsi" w:cstheme="minorBidi"/>
          <w:snapToGrid/>
          <w:sz w:val="24"/>
          <w:szCs w:val="22"/>
        </w:rPr>
        <w:t xml:space="preserve">, </w:t>
      </w:r>
      <w:r w:rsidR="00532B2E" w:rsidRPr="004673D0">
        <w:rPr>
          <w:rFonts w:asciiTheme="minorHAnsi" w:eastAsiaTheme="minorHAnsi" w:hAnsiTheme="minorHAnsi" w:cstheme="minorBidi"/>
          <w:snapToGrid/>
          <w:sz w:val="24"/>
          <w:szCs w:val="22"/>
        </w:rPr>
        <w:t>it</w:t>
      </w:r>
      <w:r w:rsidRPr="004673D0">
        <w:rPr>
          <w:rFonts w:asciiTheme="minorHAnsi" w:eastAsiaTheme="minorHAnsi" w:hAnsiTheme="minorHAnsi" w:cstheme="minorBidi"/>
          <w:snapToGrid/>
          <w:sz w:val="24"/>
          <w:szCs w:val="22"/>
        </w:rPr>
        <w:t xml:space="preserve"> form</w:t>
      </w:r>
      <w:r w:rsidR="00532B2E" w:rsidRPr="004673D0">
        <w:rPr>
          <w:rFonts w:asciiTheme="minorHAnsi" w:eastAsiaTheme="minorHAnsi" w:hAnsiTheme="minorHAnsi" w:cstheme="minorBidi"/>
          <w:snapToGrid/>
          <w:sz w:val="24"/>
          <w:szCs w:val="22"/>
        </w:rPr>
        <w:t>ed</w:t>
      </w:r>
      <w:r w:rsidRPr="004673D0">
        <w:rPr>
          <w:rFonts w:asciiTheme="minorHAnsi" w:eastAsiaTheme="minorHAnsi" w:hAnsiTheme="minorHAnsi" w:cstheme="minorBidi"/>
          <w:snapToGrid/>
          <w:sz w:val="24"/>
          <w:szCs w:val="22"/>
        </w:rPr>
        <w:t xml:space="preserve"> part of the utilisation estimates</w:t>
      </w:r>
      <w:r w:rsidR="000F00F8" w:rsidRPr="004673D0">
        <w:rPr>
          <w:rFonts w:asciiTheme="minorHAnsi" w:eastAsiaTheme="minorHAnsi" w:hAnsiTheme="minorHAnsi" w:cstheme="minorBidi"/>
          <w:snapToGrid/>
          <w:sz w:val="24"/>
          <w:szCs w:val="22"/>
        </w:rPr>
        <w:t xml:space="preserve"> for gu</w:t>
      </w:r>
      <w:r w:rsidR="003A10CD" w:rsidRPr="004673D0">
        <w:rPr>
          <w:rFonts w:asciiTheme="minorHAnsi" w:eastAsiaTheme="minorHAnsi" w:hAnsiTheme="minorHAnsi" w:cstheme="minorBidi"/>
          <w:snapToGrid/>
          <w:sz w:val="24"/>
          <w:szCs w:val="22"/>
        </w:rPr>
        <w:t>a</w:t>
      </w:r>
      <w:r w:rsidR="000F00F8" w:rsidRPr="004673D0">
        <w:rPr>
          <w:rFonts w:asciiTheme="minorHAnsi" w:eastAsiaTheme="minorHAnsi" w:hAnsiTheme="minorHAnsi" w:cstheme="minorBidi"/>
          <w:snapToGrid/>
          <w:sz w:val="24"/>
          <w:szCs w:val="22"/>
        </w:rPr>
        <w:t xml:space="preserve">nfacine monotherapy and </w:t>
      </w:r>
      <w:r w:rsidR="00F100EB" w:rsidRPr="004673D0">
        <w:rPr>
          <w:rFonts w:asciiTheme="minorHAnsi" w:eastAsiaTheme="minorHAnsi" w:hAnsiTheme="minorHAnsi" w:cstheme="minorBidi"/>
          <w:snapToGrid/>
          <w:sz w:val="24"/>
          <w:szCs w:val="22"/>
        </w:rPr>
        <w:t xml:space="preserve">its inclusion increased </w:t>
      </w:r>
      <w:r w:rsidR="000F00F8" w:rsidRPr="004673D0">
        <w:rPr>
          <w:rFonts w:asciiTheme="minorHAnsi" w:eastAsiaTheme="minorHAnsi" w:hAnsiTheme="minorHAnsi" w:cstheme="minorBidi"/>
          <w:snapToGrid/>
          <w:sz w:val="24"/>
          <w:szCs w:val="22"/>
        </w:rPr>
        <w:t>the weight</w:t>
      </w:r>
      <w:r w:rsidR="00943F27" w:rsidRPr="004673D0">
        <w:rPr>
          <w:rFonts w:asciiTheme="minorHAnsi" w:eastAsiaTheme="minorHAnsi" w:hAnsiTheme="minorHAnsi" w:cstheme="minorBidi"/>
          <w:snapToGrid/>
          <w:sz w:val="24"/>
          <w:szCs w:val="22"/>
        </w:rPr>
        <w:t>ed</w:t>
      </w:r>
      <w:r w:rsidR="000F00F8" w:rsidRPr="004673D0">
        <w:rPr>
          <w:rFonts w:asciiTheme="minorHAnsi" w:eastAsiaTheme="minorHAnsi" w:hAnsiTheme="minorHAnsi" w:cstheme="minorBidi"/>
          <w:snapToGrid/>
          <w:sz w:val="24"/>
          <w:szCs w:val="22"/>
        </w:rPr>
        <w:t xml:space="preserve"> </w:t>
      </w:r>
      <w:r w:rsidR="00F100EB" w:rsidRPr="004673D0">
        <w:rPr>
          <w:rFonts w:asciiTheme="minorHAnsi" w:eastAsiaTheme="minorHAnsi" w:hAnsiTheme="minorHAnsi" w:cstheme="minorBidi"/>
          <w:snapToGrid/>
          <w:sz w:val="24"/>
          <w:szCs w:val="22"/>
        </w:rPr>
        <w:t xml:space="preserve">price that was </w:t>
      </w:r>
      <w:r w:rsidR="000F00F8" w:rsidRPr="004673D0">
        <w:rPr>
          <w:rFonts w:asciiTheme="minorHAnsi" w:eastAsiaTheme="minorHAnsi" w:hAnsiTheme="minorHAnsi" w:cstheme="minorBidi"/>
          <w:snapToGrid/>
          <w:sz w:val="24"/>
          <w:szCs w:val="22"/>
        </w:rPr>
        <w:t>calculat</w:t>
      </w:r>
      <w:r w:rsidR="00F100EB" w:rsidRPr="004673D0">
        <w:rPr>
          <w:rFonts w:asciiTheme="minorHAnsi" w:eastAsiaTheme="minorHAnsi" w:hAnsiTheme="minorHAnsi" w:cstheme="minorBidi"/>
          <w:snapToGrid/>
          <w:sz w:val="24"/>
          <w:szCs w:val="22"/>
        </w:rPr>
        <w:t>ed</w:t>
      </w:r>
      <w:r w:rsidRPr="004673D0">
        <w:rPr>
          <w:rFonts w:asciiTheme="minorHAnsi" w:eastAsiaTheme="minorHAnsi" w:hAnsiTheme="minorHAnsi" w:cstheme="minorBidi"/>
          <w:snapToGrid/>
          <w:sz w:val="24"/>
          <w:szCs w:val="22"/>
        </w:rPr>
        <w:t xml:space="preserve"> (</w:t>
      </w:r>
      <w:r w:rsidR="000F00F8" w:rsidRPr="004673D0">
        <w:rPr>
          <w:rFonts w:asciiTheme="minorHAnsi" w:eastAsiaTheme="minorHAnsi" w:hAnsiTheme="minorHAnsi" w:cstheme="minorBidi"/>
          <w:snapToGrid/>
          <w:sz w:val="24"/>
          <w:szCs w:val="22"/>
        </w:rPr>
        <w:t xml:space="preserve">see </w:t>
      </w:r>
      <w:r w:rsidR="00864F48" w:rsidRPr="004673D0">
        <w:rPr>
          <w:rFonts w:asciiTheme="minorHAnsi" w:eastAsiaTheme="minorHAnsi" w:hAnsiTheme="minorHAnsi" w:cstheme="minorBidi"/>
          <w:snapToGrid/>
          <w:sz w:val="24"/>
          <w:szCs w:val="22"/>
        </w:rPr>
        <w:t xml:space="preserve">the </w:t>
      </w:r>
      <w:r w:rsidR="000F00F8" w:rsidRPr="004673D0">
        <w:rPr>
          <w:rFonts w:asciiTheme="minorHAnsi" w:eastAsiaTheme="minorHAnsi" w:hAnsiTheme="minorHAnsi" w:cstheme="minorBidi"/>
          <w:snapToGrid/>
          <w:sz w:val="24"/>
          <w:szCs w:val="22"/>
        </w:rPr>
        <w:t xml:space="preserve">Estimates of utilisation and financial implications and </w:t>
      </w:r>
      <w:r w:rsidR="003B7129" w:rsidRPr="004673D0">
        <w:rPr>
          <w:rFonts w:asciiTheme="minorHAnsi" w:eastAsiaTheme="minorHAnsi" w:hAnsiTheme="minorHAnsi" w:cstheme="minorBidi"/>
          <w:snapToGrid/>
          <w:sz w:val="24"/>
          <w:szCs w:val="22"/>
        </w:rPr>
        <w:t>w</w:t>
      </w:r>
      <w:r w:rsidR="00864F48" w:rsidRPr="004673D0">
        <w:rPr>
          <w:rFonts w:asciiTheme="minorHAnsi" w:eastAsiaTheme="minorHAnsi" w:hAnsiTheme="minorHAnsi" w:cstheme="minorBidi"/>
          <w:snapToGrid/>
          <w:sz w:val="24"/>
          <w:szCs w:val="22"/>
        </w:rPr>
        <w:t>eighted price estimate</w:t>
      </w:r>
      <w:r w:rsidR="000F00F8" w:rsidRPr="004673D0">
        <w:rPr>
          <w:rFonts w:asciiTheme="minorHAnsi" w:eastAsiaTheme="minorHAnsi" w:hAnsiTheme="minorHAnsi" w:cstheme="minorBidi"/>
          <w:snapToGrid/>
          <w:sz w:val="24"/>
          <w:szCs w:val="22"/>
        </w:rPr>
        <w:t xml:space="preserve"> sections below</w:t>
      </w:r>
      <w:r w:rsidRPr="004673D0">
        <w:rPr>
          <w:rFonts w:asciiTheme="minorHAnsi" w:eastAsiaTheme="minorHAnsi" w:hAnsiTheme="minorHAnsi" w:cstheme="minorBidi"/>
          <w:snapToGrid/>
          <w:sz w:val="24"/>
          <w:szCs w:val="22"/>
        </w:rPr>
        <w:t>).</w:t>
      </w:r>
    </w:p>
    <w:p w:rsidR="00DD08F4" w:rsidRPr="005D03B9" w:rsidRDefault="00DD08F4" w:rsidP="005D03B9">
      <w:pPr>
        <w:spacing w:before="120" w:after="160"/>
        <w:rPr>
          <w:rFonts w:asciiTheme="minorHAnsi" w:hAnsiTheme="minorHAnsi"/>
          <w:i/>
        </w:rPr>
      </w:pPr>
      <w:r w:rsidRPr="005D03B9">
        <w:rPr>
          <w:rFonts w:asciiTheme="minorHAnsi" w:hAnsiTheme="minorHAnsi"/>
          <w:i/>
        </w:rPr>
        <w:t>For more detail on PBAC’s view, see section 6 PBAC outcome.</w:t>
      </w:r>
    </w:p>
    <w:p w:rsidR="000B558D" w:rsidRPr="004673D0"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4673D0">
        <w:rPr>
          <w:rFonts w:asciiTheme="minorHAnsi" w:hAnsiTheme="minorHAnsi"/>
          <w:sz w:val="32"/>
          <w:szCs w:val="32"/>
        </w:rPr>
        <w:t>C</w:t>
      </w:r>
      <w:r w:rsidR="00D84934" w:rsidRPr="004673D0">
        <w:rPr>
          <w:rFonts w:asciiTheme="minorHAnsi" w:hAnsiTheme="minorHAnsi"/>
          <w:sz w:val="32"/>
          <w:szCs w:val="32"/>
        </w:rPr>
        <w:t>onsideration of the evidence</w:t>
      </w:r>
    </w:p>
    <w:p w:rsidR="00454E7E" w:rsidRPr="004673D0" w:rsidRDefault="00454E7E" w:rsidP="00454E7E">
      <w:pPr>
        <w:spacing w:before="240" w:line="276" w:lineRule="auto"/>
        <w:outlineLvl w:val="1"/>
        <w:rPr>
          <w:rFonts w:asciiTheme="minorHAnsi" w:hAnsiTheme="minorHAnsi"/>
          <w:b/>
          <w:bCs/>
          <w:i/>
          <w:sz w:val="28"/>
          <w:szCs w:val="28"/>
        </w:rPr>
      </w:pPr>
      <w:r w:rsidRPr="004673D0">
        <w:rPr>
          <w:rFonts w:asciiTheme="minorHAnsi" w:hAnsiTheme="minorHAnsi"/>
          <w:b/>
          <w:bCs/>
          <w:i/>
          <w:sz w:val="28"/>
          <w:szCs w:val="28"/>
        </w:rPr>
        <w:t>Sponsor hearing</w:t>
      </w:r>
    </w:p>
    <w:p w:rsidR="00454E7E" w:rsidRPr="004673D0" w:rsidRDefault="00454E7E" w:rsidP="00454E7E">
      <w:pPr>
        <w:widowControl w:val="0"/>
        <w:numPr>
          <w:ilvl w:val="1"/>
          <w:numId w:val="5"/>
        </w:numPr>
        <w:spacing w:after="120"/>
        <w:jc w:val="both"/>
        <w:rPr>
          <w:rFonts w:asciiTheme="minorHAnsi" w:hAnsiTheme="minorHAnsi"/>
          <w:bCs/>
        </w:rPr>
      </w:pPr>
      <w:r w:rsidRPr="004673D0">
        <w:rPr>
          <w:rFonts w:asciiTheme="minorHAnsi" w:hAnsiTheme="minorHAnsi"/>
          <w:bCs/>
        </w:rPr>
        <w:t>There was no hearing for this item as it was a minor submission.</w:t>
      </w:r>
    </w:p>
    <w:p w:rsidR="00454E7E" w:rsidRPr="004673D0" w:rsidRDefault="00454E7E" w:rsidP="00454E7E">
      <w:pPr>
        <w:spacing w:before="240" w:line="276" w:lineRule="auto"/>
        <w:outlineLvl w:val="1"/>
        <w:rPr>
          <w:rFonts w:asciiTheme="minorHAnsi" w:hAnsiTheme="minorHAnsi"/>
          <w:b/>
          <w:bCs/>
          <w:i/>
          <w:sz w:val="28"/>
          <w:szCs w:val="28"/>
        </w:rPr>
      </w:pPr>
      <w:r w:rsidRPr="004673D0">
        <w:rPr>
          <w:rFonts w:asciiTheme="minorHAnsi" w:hAnsiTheme="minorHAnsi"/>
          <w:b/>
          <w:bCs/>
          <w:i/>
          <w:sz w:val="28"/>
          <w:szCs w:val="28"/>
        </w:rPr>
        <w:t>Consumer comments</w:t>
      </w:r>
    </w:p>
    <w:p w:rsidR="00454E7E" w:rsidRPr="004673D0" w:rsidRDefault="00454E7E" w:rsidP="00454E7E">
      <w:pPr>
        <w:widowControl w:val="0"/>
        <w:numPr>
          <w:ilvl w:val="1"/>
          <w:numId w:val="5"/>
        </w:numPr>
        <w:spacing w:after="120"/>
        <w:jc w:val="both"/>
        <w:rPr>
          <w:rFonts w:asciiTheme="minorHAnsi" w:hAnsiTheme="minorHAnsi"/>
          <w:bCs/>
        </w:rPr>
      </w:pPr>
      <w:r w:rsidRPr="004673D0">
        <w:rPr>
          <w:rFonts w:asciiTheme="minorHAnsi" w:hAnsiTheme="minorHAnsi"/>
          <w:bCs/>
        </w:rPr>
        <w:t>The PBAC noted that no consumer comments were received for this item.</w:t>
      </w:r>
    </w:p>
    <w:p w:rsidR="00D84934" w:rsidRPr="004673D0" w:rsidRDefault="00D84934" w:rsidP="00937958">
      <w:pPr>
        <w:pStyle w:val="Heading2"/>
        <w:keepLines/>
        <w:spacing w:before="240" w:after="120"/>
        <w:rPr>
          <w:rFonts w:asciiTheme="minorHAnsi" w:eastAsiaTheme="majorEastAsia" w:hAnsiTheme="minorHAnsi" w:cstheme="majorBidi"/>
          <w:sz w:val="28"/>
          <w:szCs w:val="28"/>
          <w:lang w:eastAsia="en-US"/>
        </w:rPr>
      </w:pPr>
      <w:r w:rsidRPr="004673D0">
        <w:rPr>
          <w:rFonts w:asciiTheme="minorHAnsi" w:eastAsiaTheme="majorEastAsia" w:hAnsiTheme="minorHAnsi" w:cstheme="majorBidi"/>
          <w:sz w:val="28"/>
          <w:szCs w:val="28"/>
          <w:lang w:eastAsia="en-US"/>
        </w:rPr>
        <w:t>Clinical trials</w:t>
      </w:r>
    </w:p>
    <w:p w:rsidR="0076420C" w:rsidRPr="004673D0" w:rsidRDefault="00283A23" w:rsidP="00283A2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N</w:t>
      </w:r>
      <w:r w:rsidR="000A4724" w:rsidRPr="004673D0">
        <w:rPr>
          <w:rFonts w:asciiTheme="minorHAnsi" w:eastAsiaTheme="minorHAnsi" w:hAnsiTheme="minorHAnsi" w:cstheme="minorBidi"/>
          <w:snapToGrid/>
          <w:sz w:val="24"/>
          <w:szCs w:val="22"/>
        </w:rPr>
        <w:t>o new</w:t>
      </w:r>
      <w:r w:rsidR="0076420C" w:rsidRPr="004673D0">
        <w:rPr>
          <w:rFonts w:asciiTheme="minorHAnsi" w:eastAsiaTheme="minorHAnsi" w:hAnsiTheme="minorHAnsi" w:cstheme="minorBidi"/>
          <w:snapToGrid/>
          <w:sz w:val="24"/>
          <w:szCs w:val="22"/>
        </w:rPr>
        <w:t xml:space="preserve"> clinical trials </w:t>
      </w:r>
      <w:r w:rsidRPr="004673D0">
        <w:rPr>
          <w:rFonts w:asciiTheme="minorHAnsi" w:eastAsiaTheme="minorHAnsi" w:hAnsiTheme="minorHAnsi" w:cstheme="minorBidi"/>
          <w:snapToGrid/>
          <w:sz w:val="24"/>
          <w:szCs w:val="22"/>
        </w:rPr>
        <w:t xml:space="preserve">or clinical evidence </w:t>
      </w:r>
      <w:r w:rsidR="00335500" w:rsidRPr="004673D0">
        <w:rPr>
          <w:rFonts w:asciiTheme="minorHAnsi" w:eastAsiaTheme="minorHAnsi" w:hAnsiTheme="minorHAnsi" w:cstheme="minorBidi"/>
          <w:snapToGrid/>
          <w:sz w:val="24"/>
          <w:szCs w:val="22"/>
        </w:rPr>
        <w:t xml:space="preserve">were </w:t>
      </w:r>
      <w:r w:rsidRPr="004673D0">
        <w:rPr>
          <w:rFonts w:asciiTheme="minorHAnsi" w:eastAsiaTheme="minorHAnsi" w:hAnsiTheme="minorHAnsi" w:cstheme="minorBidi"/>
          <w:snapToGrid/>
          <w:sz w:val="24"/>
          <w:szCs w:val="22"/>
        </w:rPr>
        <w:t xml:space="preserve">presented </w:t>
      </w:r>
      <w:r w:rsidR="000A4724" w:rsidRPr="004673D0">
        <w:rPr>
          <w:rFonts w:asciiTheme="minorHAnsi" w:eastAsiaTheme="minorHAnsi" w:hAnsiTheme="minorHAnsi" w:cstheme="minorBidi"/>
          <w:snapToGrid/>
          <w:sz w:val="24"/>
          <w:szCs w:val="22"/>
        </w:rPr>
        <w:t xml:space="preserve">in the </w:t>
      </w:r>
      <w:r w:rsidRPr="004673D0">
        <w:rPr>
          <w:rFonts w:asciiTheme="minorHAnsi" w:eastAsiaTheme="minorHAnsi" w:hAnsiTheme="minorHAnsi" w:cstheme="minorBidi"/>
          <w:snapToGrid/>
          <w:sz w:val="24"/>
          <w:szCs w:val="22"/>
        </w:rPr>
        <w:t xml:space="preserve">minor </w:t>
      </w:r>
      <w:r w:rsidR="000A4724" w:rsidRPr="004673D0">
        <w:rPr>
          <w:rFonts w:asciiTheme="minorHAnsi" w:eastAsiaTheme="minorHAnsi" w:hAnsiTheme="minorHAnsi" w:cstheme="minorBidi"/>
          <w:snapToGrid/>
          <w:sz w:val="24"/>
          <w:szCs w:val="22"/>
        </w:rPr>
        <w:t>re</w:t>
      </w:r>
      <w:r w:rsidR="0076420C" w:rsidRPr="004673D0">
        <w:rPr>
          <w:rFonts w:asciiTheme="minorHAnsi" w:eastAsiaTheme="minorHAnsi" w:hAnsiTheme="minorHAnsi" w:cstheme="minorBidi"/>
          <w:snapToGrid/>
          <w:sz w:val="24"/>
          <w:szCs w:val="22"/>
        </w:rPr>
        <w:t>submission.</w:t>
      </w:r>
      <w:r w:rsidR="000A4724" w:rsidRPr="004673D0">
        <w:rPr>
          <w:rFonts w:asciiTheme="minorHAnsi" w:eastAsiaTheme="minorHAnsi" w:hAnsiTheme="minorHAnsi" w:cstheme="minorBidi"/>
          <w:snapToGrid/>
          <w:sz w:val="24"/>
          <w:szCs w:val="22"/>
        </w:rPr>
        <w:t xml:space="preserve"> The submission re-presented the outcomes of Trial 313, the pivotal trial used in the original submission to support the add-on therapy indication. Trial details and associated publications are re-presented from the July 2017 Public Summary Document below.</w:t>
      </w:r>
    </w:p>
    <w:p w:rsidR="00547B02" w:rsidRPr="004673D0" w:rsidRDefault="00547B02" w:rsidP="00280420">
      <w:pPr>
        <w:pStyle w:val="Caption"/>
        <w:keepLines/>
      </w:pPr>
      <w:r w:rsidRPr="004673D0">
        <w:lastRenderedPageBreak/>
        <w:t xml:space="preserve">Table </w:t>
      </w:r>
      <w:r w:rsidR="000F772B" w:rsidRPr="004673D0">
        <w:t>1</w:t>
      </w:r>
      <w:r w:rsidRPr="004673D0">
        <w:t>: Trials and associated reports presented in the re-submission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Trials and associated reports presented in the re-submission"/>
      </w:tblPr>
      <w:tblGrid>
        <w:gridCol w:w="1445"/>
        <w:gridCol w:w="5498"/>
        <w:gridCol w:w="2138"/>
      </w:tblGrid>
      <w:tr w:rsidR="0076420C" w:rsidRPr="004673D0" w:rsidTr="00532B2E">
        <w:trPr>
          <w:cantSplit/>
          <w:trHeight w:val="84"/>
          <w:tblHeader/>
        </w:trPr>
        <w:tc>
          <w:tcPr>
            <w:tcW w:w="796" w:type="pct"/>
          </w:tcPr>
          <w:p w:rsidR="0076420C" w:rsidRPr="004673D0" w:rsidRDefault="0076420C" w:rsidP="00280420">
            <w:pPr>
              <w:pStyle w:val="NoSpacing"/>
              <w:keepNext/>
              <w:keepLines/>
              <w:spacing w:before="40" w:after="40"/>
              <w:jc w:val="left"/>
              <w:rPr>
                <w:rFonts w:ascii="Arial Narrow" w:hAnsi="Arial Narrow"/>
                <w:b/>
                <w:sz w:val="20"/>
              </w:rPr>
            </w:pPr>
            <w:r w:rsidRPr="004673D0">
              <w:rPr>
                <w:rFonts w:ascii="Arial Narrow" w:hAnsi="Arial Narrow"/>
                <w:b/>
                <w:sz w:val="20"/>
              </w:rPr>
              <w:t>Trial ID</w:t>
            </w:r>
          </w:p>
        </w:tc>
        <w:tc>
          <w:tcPr>
            <w:tcW w:w="3027" w:type="pct"/>
          </w:tcPr>
          <w:p w:rsidR="0076420C" w:rsidRPr="004673D0" w:rsidRDefault="00532B2E" w:rsidP="00280420">
            <w:pPr>
              <w:keepNext/>
              <w:keepLines/>
              <w:spacing w:before="40" w:after="40"/>
              <w:rPr>
                <w:rFonts w:ascii="Arial Narrow" w:hAnsi="Arial Narrow"/>
                <w:b/>
                <w:sz w:val="20"/>
              </w:rPr>
            </w:pPr>
            <w:r w:rsidRPr="004673D0">
              <w:rPr>
                <w:rFonts w:ascii="Arial Narrow" w:hAnsi="Arial Narrow"/>
                <w:b/>
                <w:sz w:val="20"/>
              </w:rPr>
              <w:t>Protocol title/Publication title</w:t>
            </w:r>
          </w:p>
        </w:tc>
        <w:tc>
          <w:tcPr>
            <w:tcW w:w="1177" w:type="pct"/>
          </w:tcPr>
          <w:p w:rsidR="0076420C" w:rsidRPr="004673D0" w:rsidRDefault="0076420C" w:rsidP="00280420">
            <w:pPr>
              <w:keepNext/>
              <w:keepLines/>
              <w:spacing w:before="40" w:after="40"/>
              <w:rPr>
                <w:rFonts w:ascii="Arial Narrow" w:hAnsi="Arial Narrow"/>
                <w:b/>
                <w:sz w:val="20"/>
              </w:rPr>
            </w:pPr>
            <w:r w:rsidRPr="004673D0">
              <w:rPr>
                <w:rFonts w:ascii="Arial Narrow" w:hAnsi="Arial Narrow"/>
                <w:b/>
                <w:sz w:val="20"/>
              </w:rPr>
              <w:t>Publication citation</w:t>
            </w:r>
          </w:p>
        </w:tc>
      </w:tr>
      <w:tr w:rsidR="0076420C" w:rsidRPr="004673D0" w:rsidTr="00D31150">
        <w:trPr>
          <w:cantSplit/>
          <w:trHeight w:val="317"/>
        </w:trPr>
        <w:tc>
          <w:tcPr>
            <w:tcW w:w="5000" w:type="pct"/>
            <w:gridSpan w:val="3"/>
          </w:tcPr>
          <w:p w:rsidR="0076420C" w:rsidRPr="004673D0" w:rsidRDefault="0076420C" w:rsidP="00280420">
            <w:pPr>
              <w:pStyle w:val="NoSpacing"/>
              <w:keepNext/>
              <w:keepLines/>
              <w:spacing w:before="40" w:after="40"/>
              <w:rPr>
                <w:rFonts w:ascii="Arial Narrow" w:hAnsi="Arial Narrow"/>
                <w:b/>
                <w:sz w:val="20"/>
              </w:rPr>
            </w:pPr>
            <w:r w:rsidRPr="004673D0">
              <w:rPr>
                <w:rFonts w:ascii="Arial Narrow" w:hAnsi="Arial Narrow"/>
                <w:b/>
                <w:sz w:val="20"/>
              </w:rPr>
              <w:t>Direct randomised trial</w:t>
            </w:r>
          </w:p>
        </w:tc>
      </w:tr>
      <w:tr w:rsidR="000A4724" w:rsidRPr="004673D0" w:rsidTr="000A4724">
        <w:trPr>
          <w:cantSplit/>
          <w:trHeight w:val="317"/>
        </w:trPr>
        <w:tc>
          <w:tcPr>
            <w:tcW w:w="5000" w:type="pct"/>
            <w:gridSpan w:val="3"/>
          </w:tcPr>
          <w:p w:rsidR="000A4724" w:rsidRPr="004673D0" w:rsidRDefault="000A4724" w:rsidP="00280420">
            <w:pPr>
              <w:pStyle w:val="NoSpacing"/>
              <w:keepNext/>
              <w:keepLines/>
              <w:spacing w:before="40" w:after="40"/>
              <w:rPr>
                <w:rFonts w:ascii="Arial Narrow" w:hAnsi="Arial Narrow"/>
                <w:b/>
                <w:sz w:val="20"/>
              </w:rPr>
            </w:pPr>
            <w:r w:rsidRPr="004673D0">
              <w:rPr>
                <w:rFonts w:ascii="Arial Narrow" w:hAnsi="Arial Narrow"/>
                <w:b/>
                <w:sz w:val="20"/>
              </w:rPr>
              <w:t>Guanfacine + stimulant versus placebo + stimulant</w:t>
            </w:r>
          </w:p>
        </w:tc>
      </w:tr>
      <w:tr w:rsidR="0076420C" w:rsidRPr="004673D0" w:rsidTr="00532B2E">
        <w:trPr>
          <w:cantSplit/>
          <w:trHeight w:val="317"/>
        </w:trPr>
        <w:tc>
          <w:tcPr>
            <w:tcW w:w="796" w:type="pct"/>
            <w:tcBorders>
              <w:bottom w:val="nil"/>
            </w:tcBorders>
          </w:tcPr>
          <w:p w:rsidR="0076420C" w:rsidRPr="004673D0" w:rsidRDefault="000A4724" w:rsidP="00280420">
            <w:pPr>
              <w:pStyle w:val="NoSpacing"/>
              <w:keepNext/>
              <w:keepLines/>
              <w:rPr>
                <w:rFonts w:ascii="Arial Narrow" w:hAnsi="Arial Narrow"/>
                <w:b/>
                <w:sz w:val="20"/>
              </w:rPr>
            </w:pPr>
            <w:r w:rsidRPr="004673D0">
              <w:rPr>
                <w:rFonts w:ascii="Arial Narrow" w:hAnsi="Arial Narrow"/>
                <w:b/>
                <w:sz w:val="20"/>
              </w:rPr>
              <w:t>Trial 313</w:t>
            </w:r>
          </w:p>
        </w:tc>
        <w:tc>
          <w:tcPr>
            <w:tcW w:w="3027" w:type="pct"/>
          </w:tcPr>
          <w:p w:rsidR="0076420C" w:rsidRPr="004673D0" w:rsidRDefault="000A4724" w:rsidP="00280420">
            <w:pPr>
              <w:keepNext/>
              <w:keepLines/>
              <w:rPr>
                <w:rFonts w:ascii="Arial Narrow" w:hAnsi="Arial Narrow"/>
                <w:sz w:val="20"/>
              </w:rPr>
            </w:pPr>
            <w:r w:rsidRPr="004673D0">
              <w:rPr>
                <w:rFonts w:ascii="Arial Narrow" w:hAnsi="Arial Narrow"/>
                <w:sz w:val="20"/>
              </w:rPr>
              <w:t xml:space="preserve">A Phase 3, Double-blind, Randomized, Placebo-controlled, Multicenter, </w:t>
            </w:r>
            <w:r w:rsidR="00BB13B9" w:rsidRPr="004673D0">
              <w:rPr>
                <w:rFonts w:ascii="Arial Narrow" w:hAnsi="Arial Narrow"/>
                <w:sz w:val="20"/>
              </w:rPr>
              <w:t>Dose optimization</w:t>
            </w:r>
            <w:r w:rsidRPr="004673D0">
              <w:rPr>
                <w:rFonts w:ascii="Arial Narrow" w:hAnsi="Arial Narrow"/>
                <w:sz w:val="20"/>
              </w:rPr>
              <w:t xml:space="preserve"> Study Evaluating the Efficacy and Safety of SPD503 in Combination With Psychostimulants in Children and Adolescents Aged 6-17 Years With a Diagnosis of Attention-deficit Hyperactivity Disorder (ADHD)</w:t>
            </w:r>
          </w:p>
        </w:tc>
        <w:tc>
          <w:tcPr>
            <w:tcW w:w="1177" w:type="pct"/>
          </w:tcPr>
          <w:p w:rsidR="0076420C" w:rsidRPr="004673D0" w:rsidRDefault="000A4724" w:rsidP="00280420">
            <w:pPr>
              <w:keepNext/>
              <w:keepLines/>
              <w:rPr>
                <w:rFonts w:ascii="Arial Narrow" w:hAnsi="Arial Narrow"/>
                <w:sz w:val="20"/>
              </w:rPr>
            </w:pPr>
            <w:r w:rsidRPr="004673D0">
              <w:rPr>
                <w:rFonts w:ascii="Arial Narrow" w:hAnsi="Arial Narrow"/>
                <w:sz w:val="20"/>
              </w:rPr>
              <w:t>30 March 2010</w:t>
            </w:r>
          </w:p>
        </w:tc>
      </w:tr>
      <w:tr w:rsidR="000A4724" w:rsidRPr="004673D0" w:rsidTr="00532B2E">
        <w:trPr>
          <w:cantSplit/>
          <w:trHeight w:val="317"/>
        </w:trPr>
        <w:tc>
          <w:tcPr>
            <w:tcW w:w="796" w:type="pct"/>
            <w:tcBorders>
              <w:top w:val="nil"/>
              <w:bottom w:val="nil"/>
            </w:tcBorders>
          </w:tcPr>
          <w:p w:rsidR="000A4724" w:rsidRPr="004673D0" w:rsidRDefault="000A4724" w:rsidP="00280420">
            <w:pPr>
              <w:pStyle w:val="NoSpacing"/>
              <w:keepNext/>
              <w:keepLines/>
              <w:rPr>
                <w:rFonts w:ascii="Arial Narrow" w:hAnsi="Arial Narrow"/>
                <w:b/>
                <w:sz w:val="20"/>
              </w:rPr>
            </w:pPr>
          </w:p>
        </w:tc>
        <w:tc>
          <w:tcPr>
            <w:tcW w:w="3027" w:type="pct"/>
          </w:tcPr>
          <w:p w:rsidR="000A4724" w:rsidRPr="004673D0" w:rsidRDefault="000A4724" w:rsidP="00280420">
            <w:pPr>
              <w:keepNext/>
              <w:keepLines/>
              <w:rPr>
                <w:rFonts w:ascii="Arial Narrow" w:hAnsi="Arial Narrow"/>
                <w:sz w:val="20"/>
              </w:rPr>
            </w:pPr>
            <w:r w:rsidRPr="004673D0">
              <w:rPr>
                <w:rFonts w:ascii="Arial Narrow" w:hAnsi="Arial Narrow"/>
                <w:sz w:val="20"/>
              </w:rPr>
              <w:t>Wilens TE, Bukstein O, Brams M, et al. A controlled trial of extended-release guanfacine and psychostimulants for attention-deficit/hyperactivity disorder</w:t>
            </w:r>
          </w:p>
        </w:tc>
        <w:tc>
          <w:tcPr>
            <w:tcW w:w="1177" w:type="pct"/>
          </w:tcPr>
          <w:p w:rsidR="000A4724" w:rsidRPr="004673D0" w:rsidRDefault="000A4724" w:rsidP="00280420">
            <w:pPr>
              <w:keepNext/>
              <w:keepLines/>
              <w:rPr>
                <w:rFonts w:ascii="Arial Narrow" w:hAnsi="Arial Narrow"/>
                <w:sz w:val="20"/>
              </w:rPr>
            </w:pPr>
            <w:r w:rsidRPr="004673D0">
              <w:rPr>
                <w:rFonts w:ascii="Arial Narrow" w:hAnsi="Arial Narrow"/>
                <w:sz w:val="20"/>
              </w:rPr>
              <w:t>J. Am. Acad. Child</w:t>
            </w:r>
          </w:p>
          <w:p w:rsidR="000A4724" w:rsidRPr="004673D0" w:rsidRDefault="000A4724" w:rsidP="00280420">
            <w:pPr>
              <w:keepNext/>
              <w:keepLines/>
              <w:rPr>
                <w:rFonts w:ascii="Arial Narrow" w:hAnsi="Arial Narrow"/>
                <w:sz w:val="20"/>
              </w:rPr>
            </w:pPr>
            <w:r w:rsidRPr="004673D0">
              <w:rPr>
                <w:rFonts w:ascii="Arial Narrow" w:hAnsi="Arial Narrow"/>
                <w:sz w:val="20"/>
              </w:rPr>
              <w:t>Adolesc. Psychiatry 2012;</w:t>
            </w:r>
          </w:p>
          <w:p w:rsidR="000A4724" w:rsidRPr="004673D0" w:rsidRDefault="000A4724" w:rsidP="00280420">
            <w:pPr>
              <w:keepNext/>
              <w:keepLines/>
              <w:rPr>
                <w:rFonts w:ascii="Arial Narrow" w:hAnsi="Arial Narrow"/>
                <w:sz w:val="20"/>
              </w:rPr>
            </w:pPr>
            <w:r w:rsidRPr="004673D0">
              <w:rPr>
                <w:rFonts w:ascii="Arial Narrow" w:hAnsi="Arial Narrow"/>
                <w:sz w:val="20"/>
              </w:rPr>
              <w:t>51(1): 74-85</w:t>
            </w:r>
          </w:p>
        </w:tc>
      </w:tr>
      <w:tr w:rsidR="000A4724" w:rsidRPr="004673D0" w:rsidTr="00532B2E">
        <w:trPr>
          <w:cantSplit/>
          <w:trHeight w:val="317"/>
        </w:trPr>
        <w:tc>
          <w:tcPr>
            <w:tcW w:w="796" w:type="pct"/>
            <w:tcBorders>
              <w:top w:val="nil"/>
              <w:bottom w:val="nil"/>
            </w:tcBorders>
          </w:tcPr>
          <w:p w:rsidR="000A4724" w:rsidRPr="004673D0" w:rsidRDefault="000A4724" w:rsidP="00280420">
            <w:pPr>
              <w:pStyle w:val="NoSpacing"/>
              <w:keepNext/>
              <w:keepLines/>
              <w:rPr>
                <w:rFonts w:ascii="Arial Narrow" w:hAnsi="Arial Narrow"/>
                <w:b/>
                <w:sz w:val="20"/>
              </w:rPr>
            </w:pPr>
          </w:p>
        </w:tc>
        <w:tc>
          <w:tcPr>
            <w:tcW w:w="3027" w:type="pct"/>
          </w:tcPr>
          <w:p w:rsidR="000A4724" w:rsidRPr="004673D0" w:rsidRDefault="000A4724" w:rsidP="00280420">
            <w:pPr>
              <w:keepNext/>
              <w:keepLines/>
              <w:rPr>
                <w:rFonts w:ascii="Arial Narrow" w:hAnsi="Arial Narrow"/>
                <w:sz w:val="20"/>
              </w:rPr>
            </w:pPr>
            <w:r w:rsidRPr="004673D0">
              <w:rPr>
                <w:rFonts w:ascii="Arial Narrow" w:hAnsi="Arial Narrow"/>
                <w:sz w:val="20"/>
              </w:rPr>
              <w:t>Findling RL, McBurnett K, White C &amp; Youcha S. Guanfacine extended release adjunctive to a psychostimulant in the treatment of comorbid oppositional symptoms in children and adolescents with attention-deficit/hyperactivity disorder.</w:t>
            </w:r>
          </w:p>
        </w:tc>
        <w:tc>
          <w:tcPr>
            <w:tcW w:w="1177" w:type="pct"/>
          </w:tcPr>
          <w:p w:rsidR="000A4724" w:rsidRPr="004673D0" w:rsidRDefault="000A4724" w:rsidP="00280420">
            <w:pPr>
              <w:keepNext/>
              <w:keepLines/>
              <w:rPr>
                <w:rFonts w:ascii="Arial Narrow" w:hAnsi="Arial Narrow"/>
                <w:sz w:val="20"/>
              </w:rPr>
            </w:pPr>
            <w:r w:rsidRPr="004673D0">
              <w:rPr>
                <w:rFonts w:ascii="Arial Narrow" w:hAnsi="Arial Narrow"/>
                <w:sz w:val="20"/>
              </w:rPr>
              <w:t>J. Child Adolesc.</w:t>
            </w:r>
          </w:p>
          <w:p w:rsidR="000A4724" w:rsidRPr="004673D0" w:rsidRDefault="000A4724" w:rsidP="00280420">
            <w:pPr>
              <w:keepNext/>
              <w:keepLines/>
              <w:rPr>
                <w:rFonts w:ascii="Arial Narrow" w:hAnsi="Arial Narrow"/>
                <w:sz w:val="20"/>
              </w:rPr>
            </w:pPr>
            <w:r w:rsidRPr="004673D0">
              <w:rPr>
                <w:rFonts w:ascii="Arial Narrow" w:hAnsi="Arial Narrow"/>
                <w:sz w:val="20"/>
              </w:rPr>
              <w:t>Psychopharmacol. 2014;</w:t>
            </w:r>
          </w:p>
          <w:p w:rsidR="000A4724" w:rsidRPr="004673D0" w:rsidRDefault="000A4724" w:rsidP="00280420">
            <w:pPr>
              <w:keepNext/>
              <w:keepLines/>
              <w:rPr>
                <w:rFonts w:ascii="Arial Narrow" w:hAnsi="Arial Narrow"/>
                <w:sz w:val="20"/>
              </w:rPr>
            </w:pPr>
            <w:r w:rsidRPr="004673D0">
              <w:rPr>
                <w:rFonts w:ascii="Arial Narrow" w:hAnsi="Arial Narrow"/>
                <w:sz w:val="20"/>
              </w:rPr>
              <w:t>24(5): 245-252</w:t>
            </w:r>
          </w:p>
        </w:tc>
      </w:tr>
      <w:tr w:rsidR="000A4724" w:rsidRPr="004673D0" w:rsidTr="00532B2E">
        <w:trPr>
          <w:cantSplit/>
          <w:trHeight w:val="317"/>
        </w:trPr>
        <w:tc>
          <w:tcPr>
            <w:tcW w:w="796" w:type="pct"/>
            <w:tcBorders>
              <w:top w:val="nil"/>
            </w:tcBorders>
          </w:tcPr>
          <w:p w:rsidR="000A4724" w:rsidRPr="004673D0" w:rsidRDefault="000A4724" w:rsidP="00280420">
            <w:pPr>
              <w:pStyle w:val="NoSpacing"/>
              <w:keepNext/>
              <w:keepLines/>
              <w:rPr>
                <w:rFonts w:ascii="Arial Narrow" w:hAnsi="Arial Narrow"/>
                <w:b/>
                <w:sz w:val="20"/>
              </w:rPr>
            </w:pPr>
          </w:p>
        </w:tc>
        <w:tc>
          <w:tcPr>
            <w:tcW w:w="3027" w:type="pct"/>
          </w:tcPr>
          <w:p w:rsidR="000A4724" w:rsidRPr="004673D0" w:rsidRDefault="000A4724" w:rsidP="00280420">
            <w:pPr>
              <w:keepNext/>
              <w:keepLines/>
              <w:rPr>
                <w:rFonts w:ascii="Arial Narrow" w:hAnsi="Arial Narrow"/>
                <w:sz w:val="20"/>
              </w:rPr>
            </w:pPr>
            <w:r w:rsidRPr="004673D0">
              <w:rPr>
                <w:rFonts w:ascii="Arial Narrow" w:hAnsi="Arial Narrow"/>
                <w:sz w:val="20"/>
              </w:rPr>
              <w:t>Cutler AJ, Brams M, Bukstein O, et al. Response/remission with guanfacine extended-release and psychostimulants in children and adolescents with attention-deficit/hyperactivity disorder.</w:t>
            </w:r>
          </w:p>
        </w:tc>
        <w:tc>
          <w:tcPr>
            <w:tcW w:w="1177" w:type="pct"/>
          </w:tcPr>
          <w:p w:rsidR="000A4724" w:rsidRPr="004673D0" w:rsidRDefault="000A4724" w:rsidP="00280420">
            <w:pPr>
              <w:keepNext/>
              <w:keepLines/>
              <w:rPr>
                <w:rFonts w:ascii="Arial Narrow" w:hAnsi="Arial Narrow"/>
                <w:sz w:val="20"/>
              </w:rPr>
            </w:pPr>
            <w:r w:rsidRPr="004673D0">
              <w:rPr>
                <w:rFonts w:ascii="Arial Narrow" w:hAnsi="Arial Narrow"/>
                <w:sz w:val="20"/>
              </w:rPr>
              <w:t>J. Am. Acad. Child</w:t>
            </w:r>
          </w:p>
          <w:p w:rsidR="000A4724" w:rsidRPr="004673D0" w:rsidRDefault="000A4724" w:rsidP="00280420">
            <w:pPr>
              <w:keepNext/>
              <w:keepLines/>
              <w:rPr>
                <w:rFonts w:ascii="Arial Narrow" w:hAnsi="Arial Narrow"/>
                <w:sz w:val="20"/>
              </w:rPr>
            </w:pPr>
            <w:r w:rsidRPr="004673D0">
              <w:rPr>
                <w:rFonts w:ascii="Arial Narrow" w:hAnsi="Arial Narrow"/>
                <w:sz w:val="20"/>
              </w:rPr>
              <w:t>Adolesc. Psychiatry 2014;</w:t>
            </w:r>
          </w:p>
          <w:p w:rsidR="000A4724" w:rsidRPr="004673D0" w:rsidRDefault="000A4724" w:rsidP="00280420">
            <w:pPr>
              <w:keepNext/>
              <w:keepLines/>
              <w:rPr>
                <w:rFonts w:ascii="Arial Narrow" w:hAnsi="Arial Narrow"/>
                <w:sz w:val="20"/>
              </w:rPr>
            </w:pPr>
            <w:r w:rsidRPr="004673D0">
              <w:rPr>
                <w:rFonts w:ascii="Arial Narrow" w:hAnsi="Arial Narrow"/>
                <w:sz w:val="20"/>
              </w:rPr>
              <w:t>53(10): 1092-1101</w:t>
            </w:r>
          </w:p>
        </w:tc>
      </w:tr>
    </w:tbl>
    <w:p w:rsidR="0076420C" w:rsidRPr="004673D0" w:rsidRDefault="0076420C" w:rsidP="00280420">
      <w:pPr>
        <w:pStyle w:val="tablenotes"/>
        <w:keepNext/>
        <w:keepLines/>
        <w:spacing w:after="120"/>
        <w:rPr>
          <w:rFonts w:ascii="Arial Narrow" w:hAnsi="Arial Narrow"/>
          <w:sz w:val="18"/>
          <w:szCs w:val="18"/>
        </w:rPr>
      </w:pPr>
      <w:r w:rsidRPr="004673D0">
        <w:rPr>
          <w:rFonts w:ascii="Arial Narrow" w:hAnsi="Arial Narrow"/>
          <w:sz w:val="18"/>
          <w:szCs w:val="18"/>
        </w:rPr>
        <w:t xml:space="preserve">Source: </w:t>
      </w:r>
      <w:r w:rsidR="000A4724" w:rsidRPr="004673D0">
        <w:rPr>
          <w:rFonts w:ascii="Arial Narrow" w:hAnsi="Arial Narrow"/>
          <w:sz w:val="18"/>
          <w:szCs w:val="18"/>
        </w:rPr>
        <w:t>Guanfacine July 2017 Public Summary Document</w:t>
      </w:r>
    </w:p>
    <w:p w:rsidR="005A3173" w:rsidRPr="004673D0" w:rsidRDefault="005A3173" w:rsidP="00283A23">
      <w:pPr>
        <w:pStyle w:val="Heading2"/>
        <w:keepLines/>
        <w:spacing w:before="240" w:after="120"/>
        <w:rPr>
          <w:rFonts w:asciiTheme="minorHAnsi" w:eastAsiaTheme="majorEastAsia" w:hAnsiTheme="minorHAnsi" w:cstheme="majorBidi"/>
          <w:sz w:val="28"/>
          <w:szCs w:val="28"/>
          <w:lang w:eastAsia="en-US"/>
        </w:rPr>
      </w:pPr>
      <w:r w:rsidRPr="004673D0">
        <w:rPr>
          <w:rFonts w:asciiTheme="minorHAnsi" w:eastAsiaTheme="majorEastAsia" w:hAnsiTheme="minorHAnsi" w:cstheme="majorBidi"/>
          <w:sz w:val="28"/>
          <w:szCs w:val="28"/>
          <w:lang w:eastAsia="en-US"/>
        </w:rPr>
        <w:t>Comparative effectiveness</w:t>
      </w:r>
    </w:p>
    <w:p w:rsidR="009B0F67" w:rsidRPr="004673D0" w:rsidRDefault="00175BCD" w:rsidP="00283A23">
      <w:pPr>
        <w:pStyle w:val="ListParagraph"/>
        <w:widowControl/>
        <w:numPr>
          <w:ilvl w:val="1"/>
          <w:numId w:val="14"/>
        </w:numPr>
        <w:spacing w:after="120"/>
        <w:contextualSpacing w:val="0"/>
        <w:rPr>
          <w:rFonts w:asciiTheme="minorHAnsi" w:hAnsiTheme="minorHAnsi"/>
          <w:sz w:val="24"/>
          <w:szCs w:val="24"/>
        </w:rPr>
      </w:pPr>
      <w:r w:rsidRPr="004673D0">
        <w:rPr>
          <w:rFonts w:asciiTheme="minorHAnsi" w:hAnsiTheme="minorHAnsi"/>
          <w:sz w:val="24"/>
          <w:szCs w:val="24"/>
        </w:rPr>
        <w:t>T</w:t>
      </w:r>
      <w:r w:rsidR="00F87295" w:rsidRPr="004673D0">
        <w:rPr>
          <w:rFonts w:asciiTheme="minorHAnsi" w:hAnsiTheme="minorHAnsi"/>
          <w:sz w:val="24"/>
          <w:szCs w:val="24"/>
        </w:rPr>
        <w:t xml:space="preserve">he submission </w:t>
      </w:r>
      <w:r w:rsidR="00E46A79" w:rsidRPr="004673D0">
        <w:rPr>
          <w:rFonts w:asciiTheme="minorHAnsi" w:hAnsiTheme="minorHAnsi"/>
          <w:sz w:val="24"/>
          <w:szCs w:val="24"/>
        </w:rPr>
        <w:t>re-</w:t>
      </w:r>
      <w:r w:rsidR="00F87295" w:rsidRPr="004673D0">
        <w:rPr>
          <w:rFonts w:asciiTheme="minorHAnsi" w:hAnsiTheme="minorHAnsi"/>
          <w:sz w:val="24"/>
          <w:szCs w:val="24"/>
        </w:rPr>
        <w:t xml:space="preserve">presented a </w:t>
      </w:r>
      <w:r w:rsidRPr="004673D0">
        <w:rPr>
          <w:rFonts w:asciiTheme="minorHAnsi" w:hAnsiTheme="minorHAnsi"/>
          <w:sz w:val="24"/>
          <w:szCs w:val="24"/>
        </w:rPr>
        <w:t>summary of</w:t>
      </w:r>
      <w:r w:rsidR="00F87295" w:rsidRPr="004673D0">
        <w:rPr>
          <w:rFonts w:asciiTheme="minorHAnsi" w:hAnsiTheme="minorHAnsi"/>
          <w:sz w:val="24"/>
          <w:szCs w:val="24"/>
        </w:rPr>
        <w:t xml:space="preserve"> proportions of patients achieving symptomatic </w:t>
      </w:r>
      <w:r w:rsidR="00F87295" w:rsidRPr="004673D0">
        <w:rPr>
          <w:rFonts w:asciiTheme="minorHAnsi" w:hAnsiTheme="minorHAnsi"/>
          <w:i/>
          <w:sz w:val="24"/>
          <w:szCs w:val="24"/>
        </w:rPr>
        <w:t>response</w:t>
      </w:r>
      <w:r w:rsidR="00F87295" w:rsidRPr="004673D0">
        <w:rPr>
          <w:rFonts w:asciiTheme="minorHAnsi" w:hAnsiTheme="minorHAnsi"/>
          <w:sz w:val="24"/>
          <w:szCs w:val="24"/>
        </w:rPr>
        <w:t xml:space="preserve"> and symptomatic </w:t>
      </w:r>
      <w:r w:rsidR="00F87295" w:rsidRPr="004673D0">
        <w:rPr>
          <w:rFonts w:asciiTheme="minorHAnsi" w:hAnsiTheme="minorHAnsi"/>
          <w:i/>
          <w:sz w:val="24"/>
          <w:szCs w:val="24"/>
        </w:rPr>
        <w:t>remission</w:t>
      </w:r>
      <w:r w:rsidR="00F87295" w:rsidRPr="004673D0">
        <w:rPr>
          <w:rFonts w:asciiTheme="minorHAnsi" w:hAnsiTheme="minorHAnsi"/>
          <w:sz w:val="24"/>
          <w:szCs w:val="24"/>
        </w:rPr>
        <w:t>, as shown in the table below.</w:t>
      </w:r>
    </w:p>
    <w:p w:rsidR="00175BCD" w:rsidRPr="004673D0" w:rsidRDefault="00175BCD" w:rsidP="006E7A78">
      <w:pPr>
        <w:pStyle w:val="Caption"/>
        <w:keepLines/>
      </w:pPr>
      <w:r w:rsidRPr="004673D0">
        <w:lastRenderedPageBreak/>
        <w:t xml:space="preserve">Table </w:t>
      </w:r>
      <w:r w:rsidR="000F772B" w:rsidRPr="004673D0">
        <w:t>2</w:t>
      </w:r>
      <w:r w:rsidRPr="004673D0">
        <w:t>: Summary of efficacy measures from Trial 313</w:t>
      </w:r>
      <w:r w:rsidR="000E497C" w:rsidRPr="004673D0">
        <w:t xml:space="preserve"> (trial of use in combination with stimulants)</w:t>
      </w:r>
    </w:p>
    <w:tbl>
      <w:tblPr>
        <w:tblStyle w:val="TableGridbeth51"/>
        <w:tblW w:w="5000" w:type="pct"/>
        <w:tblInd w:w="0" w:type="dxa"/>
        <w:tblLook w:val="04A0" w:firstRow="1" w:lastRow="0" w:firstColumn="1" w:lastColumn="0" w:noHBand="0" w:noVBand="1"/>
        <w:tblCaption w:val="Table 2: Summary of efficacy measures from Trial 313 (trial of use in combination with stimulants)"/>
      </w:tblPr>
      <w:tblGrid>
        <w:gridCol w:w="4140"/>
        <w:gridCol w:w="1842"/>
        <w:gridCol w:w="1558"/>
        <w:gridCol w:w="1542"/>
      </w:tblGrid>
      <w:tr w:rsidR="00175BCD" w:rsidRPr="004673D0" w:rsidTr="00DB424F">
        <w:trPr>
          <w:trHeight w:val="195"/>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175BCD" w:rsidRPr="004673D0" w:rsidRDefault="00DB424F" w:rsidP="006E7A78">
            <w:pPr>
              <w:pStyle w:val="Tabletext"/>
              <w:keepNext/>
              <w:keepLines/>
              <w:spacing w:before="0" w:after="0"/>
              <w:rPr>
                <w:rFonts w:ascii="Arial Narrow" w:eastAsia="SimSun" w:hAnsi="Arial Narrow"/>
              </w:rPr>
            </w:pPr>
            <w:r w:rsidRPr="004673D0">
              <w:rPr>
                <w:rFonts w:ascii="Arial Narrow" w:hAnsi="Arial Narrow"/>
                <w:b/>
                <w:lang w:eastAsia="en-GB"/>
              </w:rPr>
              <w:t>Guanfacine + stimulant vs placebo</w:t>
            </w:r>
            <w:r w:rsidR="00175BCD" w:rsidRPr="004673D0">
              <w:rPr>
                <w:rFonts w:ascii="Arial Narrow" w:hAnsi="Arial Narrow"/>
                <w:b/>
                <w:lang w:eastAsia="en-GB"/>
              </w:rPr>
              <w:t xml:space="preserve"> + stimulant </w:t>
            </w:r>
          </w:p>
        </w:tc>
      </w:tr>
      <w:tr w:rsidR="00175BCD" w:rsidRPr="004673D0" w:rsidTr="00DB424F">
        <w:trPr>
          <w:trHeight w:val="402"/>
        </w:trPr>
        <w:tc>
          <w:tcPr>
            <w:tcW w:w="227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rPr>
                <w:rFonts w:ascii="Arial Narrow" w:hAnsi="Arial Narrow"/>
                <w:b/>
                <w:lang w:eastAsia="en-GB"/>
              </w:rPr>
            </w:pPr>
            <w:r w:rsidRPr="004673D0">
              <w:rPr>
                <w:rFonts w:ascii="Arial Narrow" w:hAnsi="Arial Narrow"/>
                <w:b/>
                <w:lang w:eastAsia="en-GB"/>
              </w:rPr>
              <w:t>Continuous outcomes</w:t>
            </w:r>
          </w:p>
        </w:tc>
        <w:tc>
          <w:tcPr>
            <w:tcW w:w="2721" w:type="pct"/>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hAnsi="Arial Narrow"/>
                <w:b/>
                <w:lang w:eastAsia="en-GB"/>
              </w:rPr>
            </w:pPr>
            <w:r w:rsidRPr="004673D0">
              <w:rPr>
                <w:rFonts w:ascii="Arial Narrow" w:hAnsi="Arial Narrow"/>
                <w:b/>
                <w:lang w:eastAsia="en-GB"/>
              </w:rPr>
              <w:t>MD [95%CI]; p-value</w:t>
            </w:r>
          </w:p>
          <w:p w:rsidR="00175BCD" w:rsidRPr="004673D0" w:rsidRDefault="00DB424F" w:rsidP="006E7A78">
            <w:pPr>
              <w:pStyle w:val="Tabletext"/>
              <w:keepNext/>
              <w:keepLines/>
              <w:spacing w:before="0" w:after="0"/>
              <w:jc w:val="center"/>
              <w:rPr>
                <w:rFonts w:ascii="Arial Narrow" w:hAnsi="Arial Narrow"/>
                <w:b/>
                <w:i/>
                <w:lang w:eastAsia="en-GB"/>
              </w:rPr>
            </w:pPr>
            <w:r w:rsidRPr="004673D0">
              <w:rPr>
                <w:rFonts w:ascii="Arial Narrow" w:hAnsi="Arial Narrow"/>
                <w:b/>
                <w:i/>
                <w:lang w:eastAsia="en-GB"/>
              </w:rPr>
              <w:t>(A negative result favours gu</w:t>
            </w:r>
            <w:r w:rsidR="000E497C" w:rsidRPr="004673D0">
              <w:rPr>
                <w:rFonts w:ascii="Arial Narrow" w:hAnsi="Arial Narrow"/>
                <w:b/>
                <w:i/>
                <w:lang w:eastAsia="en-GB"/>
              </w:rPr>
              <w:t>a</w:t>
            </w:r>
            <w:r w:rsidRPr="004673D0">
              <w:rPr>
                <w:rFonts w:ascii="Arial Narrow" w:hAnsi="Arial Narrow"/>
                <w:b/>
                <w:i/>
                <w:lang w:eastAsia="en-GB"/>
              </w:rPr>
              <w:t>nfacine + s</w:t>
            </w:r>
            <w:r w:rsidR="00175BCD" w:rsidRPr="004673D0">
              <w:rPr>
                <w:rFonts w:ascii="Arial Narrow" w:hAnsi="Arial Narrow"/>
                <w:b/>
                <w:i/>
                <w:lang w:eastAsia="en-GB"/>
              </w:rPr>
              <w:t>timulant</w:t>
            </w:r>
            <w:r w:rsidRPr="004673D0">
              <w:rPr>
                <w:rFonts w:ascii="Arial Narrow" w:hAnsi="Arial Narrow"/>
                <w:b/>
                <w:i/>
                <w:lang w:eastAsia="en-GB"/>
              </w:rPr>
              <w:t>)</w:t>
            </w:r>
          </w:p>
        </w:tc>
      </w:tr>
      <w:tr w:rsidR="00175BCD" w:rsidRPr="004673D0" w:rsidTr="00DB424F">
        <w:trPr>
          <w:trHeight w:val="195"/>
        </w:trPr>
        <w:tc>
          <w:tcPr>
            <w:tcW w:w="227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rPr>
                <w:rFonts w:ascii="Arial Narrow" w:hAnsi="Arial Narrow"/>
                <w:lang w:eastAsia="en-GB"/>
              </w:rPr>
            </w:pPr>
            <w:r w:rsidRPr="004673D0">
              <w:rPr>
                <w:rFonts w:ascii="Arial Narrow" w:hAnsi="Arial Narrow"/>
                <w:lang w:eastAsia="en-GB"/>
              </w:rPr>
              <w:t>Mean change f</w:t>
            </w:r>
            <w:r w:rsidR="00DB424F" w:rsidRPr="004673D0">
              <w:rPr>
                <w:rFonts w:ascii="Arial Narrow" w:hAnsi="Arial Narrow"/>
                <w:lang w:eastAsia="en-GB"/>
              </w:rPr>
              <w:t>rom baseline in ADHD-RS-IV t</w:t>
            </w:r>
            <w:r w:rsidRPr="004673D0">
              <w:rPr>
                <w:rFonts w:ascii="Arial Narrow" w:hAnsi="Arial Narrow"/>
                <w:lang w:eastAsia="en-GB"/>
              </w:rPr>
              <w:t>otal score at endpoint</w:t>
            </w:r>
          </w:p>
        </w:tc>
        <w:tc>
          <w:tcPr>
            <w:tcW w:w="2721" w:type="pct"/>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hAnsi="Arial Narrow"/>
                <w:lang w:eastAsia="en-GB"/>
              </w:rPr>
            </w:pPr>
            <w:r w:rsidRPr="004673D0">
              <w:rPr>
                <w:rFonts w:ascii="Arial Narrow" w:hAnsi="Arial Narrow"/>
                <w:lang w:eastAsia="en-GB"/>
              </w:rPr>
              <w:t xml:space="preserve">-4.70 [-7.05, -2.35]; </w:t>
            </w:r>
            <w:r w:rsidR="00DB424F" w:rsidRPr="004673D0">
              <w:rPr>
                <w:rFonts w:ascii="Arial Narrow" w:hAnsi="Arial Narrow"/>
                <w:lang w:eastAsia="en-GB"/>
              </w:rPr>
              <w:br/>
            </w:r>
            <w:r w:rsidRPr="004673D0">
              <w:rPr>
                <w:rFonts w:ascii="Arial Narrow" w:hAnsi="Arial Narrow"/>
                <w:lang w:eastAsia="en-GB"/>
              </w:rPr>
              <w:t>&lt;</w:t>
            </w:r>
            <w:r w:rsidR="00DB424F" w:rsidRPr="004673D0">
              <w:rPr>
                <w:rFonts w:ascii="Arial Narrow" w:hAnsi="Arial Narrow"/>
                <w:lang w:eastAsia="en-GB"/>
              </w:rPr>
              <w:t xml:space="preserve"> </w:t>
            </w:r>
            <w:r w:rsidRPr="004673D0">
              <w:rPr>
                <w:rFonts w:ascii="Arial Narrow" w:hAnsi="Arial Narrow"/>
                <w:lang w:eastAsia="en-GB"/>
              </w:rPr>
              <w:t>0.0001</w:t>
            </w:r>
          </w:p>
        </w:tc>
      </w:tr>
      <w:tr w:rsidR="00175BCD" w:rsidRPr="004673D0" w:rsidTr="00DB424F">
        <w:trPr>
          <w:trHeight w:val="195"/>
        </w:trPr>
        <w:tc>
          <w:tcPr>
            <w:tcW w:w="227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rPr>
                <w:rFonts w:ascii="Arial Narrow" w:hAnsi="Arial Narrow"/>
                <w:lang w:eastAsia="en-GB"/>
              </w:rPr>
            </w:pPr>
            <w:r w:rsidRPr="004673D0">
              <w:rPr>
                <w:rFonts w:ascii="Arial Narrow" w:hAnsi="Arial Narrow"/>
                <w:lang w:eastAsia="en-GB"/>
              </w:rPr>
              <w:t>Mean change from baseline in Oppositional Subscale score of the CPRS-R:L at endpoint</w:t>
            </w:r>
          </w:p>
        </w:tc>
        <w:tc>
          <w:tcPr>
            <w:tcW w:w="2721" w:type="pct"/>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hAnsi="Arial Narrow"/>
                <w:lang w:eastAsia="en-GB"/>
              </w:rPr>
            </w:pPr>
            <w:r w:rsidRPr="004673D0">
              <w:rPr>
                <w:rFonts w:ascii="Arial Narrow" w:hAnsi="Arial Narrow"/>
                <w:lang w:eastAsia="en-GB"/>
              </w:rPr>
              <w:t xml:space="preserve">-2.20 [-3.60, -0.80]; </w:t>
            </w:r>
            <w:r w:rsidR="00DB424F" w:rsidRPr="004673D0">
              <w:rPr>
                <w:rFonts w:ascii="Arial Narrow" w:hAnsi="Arial Narrow"/>
                <w:lang w:eastAsia="en-GB"/>
              </w:rPr>
              <w:br/>
            </w:r>
            <w:r w:rsidRPr="004673D0">
              <w:rPr>
                <w:rFonts w:ascii="Arial Narrow" w:hAnsi="Arial Narrow"/>
                <w:lang w:eastAsia="en-GB"/>
              </w:rPr>
              <w:t>0.002</w:t>
            </w:r>
          </w:p>
        </w:tc>
      </w:tr>
      <w:tr w:rsidR="00175BCD" w:rsidRPr="004673D0" w:rsidTr="00DB424F">
        <w:trPr>
          <w:trHeight w:val="195"/>
        </w:trPr>
        <w:tc>
          <w:tcPr>
            <w:tcW w:w="2279" w:type="pct"/>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rPr>
                <w:rFonts w:ascii="Arial Narrow" w:hAnsi="Arial Narrow"/>
                <w:b/>
                <w:lang w:eastAsia="en-GB"/>
              </w:rPr>
            </w:pPr>
            <w:r w:rsidRPr="004673D0">
              <w:rPr>
                <w:rFonts w:ascii="Arial Narrow" w:hAnsi="Arial Narrow"/>
                <w:b/>
                <w:lang w:eastAsia="en-GB"/>
              </w:rPr>
              <w:t>Dichotomous outcomes</w:t>
            </w:r>
          </w:p>
        </w:tc>
        <w:tc>
          <w:tcPr>
            <w:tcW w:w="101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hAnsi="Arial Narrow" w:cs="Arial"/>
                <w:b/>
                <w:bCs/>
              </w:rPr>
            </w:pPr>
            <w:r w:rsidRPr="004673D0">
              <w:rPr>
                <w:rFonts w:ascii="Arial Narrow" w:hAnsi="Arial Narrow" w:cs="Arial"/>
                <w:b/>
                <w:bCs/>
              </w:rPr>
              <w:t>RD [95% CI];</w:t>
            </w:r>
          </w:p>
          <w:p w:rsidR="00175BCD" w:rsidRPr="004673D0" w:rsidRDefault="00175BCD" w:rsidP="006E7A78">
            <w:pPr>
              <w:pStyle w:val="Tabletext"/>
              <w:keepNext/>
              <w:keepLines/>
              <w:spacing w:before="0" w:after="0"/>
              <w:jc w:val="center"/>
              <w:rPr>
                <w:rFonts w:ascii="Arial Narrow" w:hAnsi="Arial Narrow"/>
                <w:b/>
                <w:lang w:eastAsia="en-GB"/>
              </w:rPr>
            </w:pPr>
            <w:r w:rsidRPr="004673D0">
              <w:rPr>
                <w:rFonts w:ascii="Arial Narrow" w:hAnsi="Arial Narrow" w:cs="Arial"/>
                <w:b/>
                <w:bCs/>
              </w:rPr>
              <w:t>p-value</w:t>
            </w:r>
          </w:p>
        </w:tc>
        <w:tc>
          <w:tcPr>
            <w:tcW w:w="858"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hAnsi="Arial Narrow" w:cs="Arial"/>
                <w:b/>
                <w:bCs/>
              </w:rPr>
            </w:pPr>
            <w:r w:rsidRPr="004673D0">
              <w:rPr>
                <w:rFonts w:ascii="Arial Narrow" w:hAnsi="Arial Narrow" w:cs="Arial"/>
                <w:b/>
                <w:bCs/>
              </w:rPr>
              <w:t>RR [95% CI];</w:t>
            </w:r>
          </w:p>
          <w:p w:rsidR="00175BCD" w:rsidRPr="004673D0" w:rsidRDefault="00175BCD" w:rsidP="006E7A78">
            <w:pPr>
              <w:pStyle w:val="Tabletext"/>
              <w:keepNext/>
              <w:keepLines/>
              <w:spacing w:before="0" w:after="0"/>
              <w:jc w:val="center"/>
              <w:rPr>
                <w:rFonts w:ascii="Arial Narrow" w:hAnsi="Arial Narrow"/>
                <w:b/>
                <w:i/>
                <w:lang w:eastAsia="en-GB"/>
              </w:rPr>
            </w:pPr>
            <w:r w:rsidRPr="004673D0">
              <w:rPr>
                <w:rFonts w:ascii="Arial Narrow" w:hAnsi="Arial Narrow" w:cs="Arial"/>
                <w:b/>
                <w:bCs/>
              </w:rPr>
              <w:t>p-value</w:t>
            </w:r>
          </w:p>
        </w:tc>
        <w:tc>
          <w:tcPr>
            <w:tcW w:w="8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hAnsi="Arial Narrow" w:cs="Arial"/>
                <w:b/>
                <w:bCs/>
              </w:rPr>
            </w:pPr>
            <w:r w:rsidRPr="004673D0">
              <w:rPr>
                <w:rFonts w:ascii="Arial Narrow" w:hAnsi="Arial Narrow" w:cs="Arial"/>
                <w:b/>
                <w:bCs/>
              </w:rPr>
              <w:t>OR [95% CI];</w:t>
            </w:r>
          </w:p>
          <w:p w:rsidR="00175BCD" w:rsidRPr="004673D0" w:rsidRDefault="00175BCD" w:rsidP="006E7A78">
            <w:pPr>
              <w:pStyle w:val="Tabletext"/>
              <w:keepNext/>
              <w:keepLines/>
              <w:spacing w:before="0" w:after="0"/>
              <w:jc w:val="center"/>
              <w:rPr>
                <w:rFonts w:ascii="Arial Narrow" w:hAnsi="Arial Narrow"/>
                <w:b/>
                <w:i/>
                <w:lang w:eastAsia="en-GB"/>
              </w:rPr>
            </w:pPr>
            <w:r w:rsidRPr="004673D0">
              <w:rPr>
                <w:rFonts w:ascii="Arial Narrow" w:hAnsi="Arial Narrow" w:cs="Arial"/>
                <w:b/>
                <w:bCs/>
              </w:rPr>
              <w:t>p-value</w:t>
            </w:r>
          </w:p>
        </w:tc>
      </w:tr>
      <w:tr w:rsidR="00175BCD" w:rsidRPr="004673D0" w:rsidTr="00DB424F">
        <w:trPr>
          <w:trHeight w:val="195"/>
        </w:trPr>
        <w:tc>
          <w:tcPr>
            <w:tcW w:w="2279"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rPr>
                <w:rFonts w:ascii="Arial Narrow" w:hAnsi="Arial Narrow"/>
                <w:b/>
                <w:lang w:eastAsia="en-GB"/>
              </w:rPr>
            </w:pPr>
          </w:p>
        </w:tc>
        <w:tc>
          <w:tcPr>
            <w:tcW w:w="101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hAnsi="Arial Narrow"/>
                <w:b/>
                <w:i/>
                <w:lang w:eastAsia="en-GB"/>
              </w:rPr>
            </w:pPr>
            <w:r w:rsidRPr="004673D0">
              <w:rPr>
                <w:rFonts w:ascii="Arial Narrow" w:hAnsi="Arial Narrow"/>
                <w:b/>
                <w:i/>
                <w:lang w:eastAsia="en-GB"/>
              </w:rPr>
              <w:t xml:space="preserve">RD &gt; 0 favours </w:t>
            </w:r>
            <w:r w:rsidR="00DB424F" w:rsidRPr="004673D0">
              <w:rPr>
                <w:rFonts w:ascii="Arial Narrow" w:hAnsi="Arial Narrow"/>
                <w:b/>
                <w:i/>
                <w:lang w:eastAsia="en-GB"/>
              </w:rPr>
              <w:br/>
              <w:t>guanfacine + s</w:t>
            </w:r>
            <w:r w:rsidRPr="004673D0">
              <w:rPr>
                <w:rFonts w:ascii="Arial Narrow" w:hAnsi="Arial Narrow"/>
                <w:b/>
                <w:i/>
                <w:lang w:eastAsia="en-GB"/>
              </w:rPr>
              <w:t>timulant</w:t>
            </w:r>
          </w:p>
        </w:tc>
        <w:tc>
          <w:tcPr>
            <w:tcW w:w="1707" w:type="pct"/>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DB424F" w:rsidP="006E7A78">
            <w:pPr>
              <w:pStyle w:val="Tabletext"/>
              <w:keepNext/>
              <w:keepLines/>
              <w:spacing w:before="0" w:after="0"/>
              <w:jc w:val="center"/>
              <w:rPr>
                <w:rFonts w:ascii="Arial Narrow" w:hAnsi="Arial Narrow"/>
                <w:b/>
                <w:lang w:eastAsia="en-GB"/>
              </w:rPr>
            </w:pPr>
            <w:r w:rsidRPr="004673D0">
              <w:rPr>
                <w:rFonts w:ascii="Arial Narrow" w:hAnsi="Arial Narrow"/>
                <w:b/>
                <w:i/>
                <w:lang w:eastAsia="en-GB"/>
              </w:rPr>
              <w:t xml:space="preserve">RR/OR &gt; 1 favours </w:t>
            </w:r>
            <w:r w:rsidRPr="004673D0">
              <w:rPr>
                <w:rFonts w:ascii="Arial Narrow" w:hAnsi="Arial Narrow"/>
                <w:b/>
                <w:i/>
                <w:lang w:eastAsia="en-GB"/>
              </w:rPr>
              <w:br/>
              <w:t>guanfacine + s</w:t>
            </w:r>
            <w:r w:rsidR="00175BCD" w:rsidRPr="004673D0">
              <w:rPr>
                <w:rFonts w:ascii="Arial Narrow" w:hAnsi="Arial Narrow"/>
                <w:b/>
                <w:i/>
                <w:lang w:eastAsia="en-GB"/>
              </w:rPr>
              <w:t>timulant</w:t>
            </w:r>
          </w:p>
        </w:tc>
      </w:tr>
      <w:tr w:rsidR="00175BCD" w:rsidRPr="004673D0" w:rsidTr="00DB424F">
        <w:trPr>
          <w:trHeight w:val="195"/>
        </w:trPr>
        <w:tc>
          <w:tcPr>
            <w:tcW w:w="227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rPr>
                <w:rFonts w:ascii="Arial Narrow" w:hAnsi="Arial Narrow"/>
                <w:lang w:eastAsia="en-GB"/>
              </w:rPr>
            </w:pPr>
            <w:r w:rsidRPr="004673D0">
              <w:rPr>
                <w:rFonts w:ascii="Arial Narrow" w:hAnsi="Arial Narrow"/>
                <w:lang w:eastAsia="en-GB"/>
              </w:rPr>
              <w:t>Proportion of subjects classified as a responder (at least a 25% reduction in ADHD-RS-IV total score at endpoint)</w:t>
            </w:r>
          </w:p>
        </w:tc>
        <w:tc>
          <w:tcPr>
            <w:tcW w:w="1014" w:type="pct"/>
            <w:tcBorders>
              <w:top w:val="nil"/>
              <w:left w:val="single" w:sz="4" w:space="0" w:color="auto"/>
              <w:bottom w:val="nil"/>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hAnsi="Arial Narrow"/>
                <w:lang w:eastAsia="en-GB"/>
              </w:rPr>
            </w:pPr>
            <w:r w:rsidRPr="004673D0">
              <w:rPr>
                <w:rFonts w:ascii="Arial Narrow" w:eastAsia="SimSun" w:hAnsi="Arial Narrow" w:cs="Arial"/>
              </w:rPr>
              <w:t xml:space="preserve">0.11 [0.03, 0.20]; </w:t>
            </w:r>
            <w:r w:rsidR="00DB424F" w:rsidRPr="004673D0">
              <w:rPr>
                <w:rFonts w:ascii="Arial Narrow" w:eastAsia="SimSun" w:hAnsi="Arial Narrow" w:cs="Arial"/>
              </w:rPr>
              <w:br/>
            </w:r>
            <w:r w:rsidRPr="004673D0">
              <w:rPr>
                <w:rFonts w:ascii="Arial Narrow" w:eastAsia="SimSun" w:hAnsi="Arial Narrow" w:cs="Arial"/>
              </w:rPr>
              <w:t>0.009</w:t>
            </w:r>
          </w:p>
        </w:tc>
        <w:tc>
          <w:tcPr>
            <w:tcW w:w="858" w:type="pct"/>
            <w:tcBorders>
              <w:top w:val="nil"/>
              <w:left w:val="single" w:sz="4" w:space="0" w:color="auto"/>
              <w:bottom w:val="nil"/>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hAnsi="Arial Narrow"/>
                <w:lang w:eastAsia="en-GB"/>
              </w:rPr>
            </w:pPr>
            <w:r w:rsidRPr="004673D0">
              <w:rPr>
                <w:rFonts w:ascii="Arial Narrow" w:eastAsia="SimSun" w:hAnsi="Arial Narrow" w:cs="Arial"/>
              </w:rPr>
              <w:t>1.16 [1.03, 1.31]; 0.01</w:t>
            </w:r>
          </w:p>
        </w:tc>
        <w:tc>
          <w:tcPr>
            <w:tcW w:w="849" w:type="pct"/>
            <w:tcBorders>
              <w:top w:val="nil"/>
              <w:left w:val="single" w:sz="4" w:space="0" w:color="auto"/>
              <w:bottom w:val="nil"/>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hAnsi="Arial Narrow"/>
                <w:lang w:eastAsia="en-GB"/>
              </w:rPr>
            </w:pPr>
            <w:r w:rsidRPr="004673D0">
              <w:rPr>
                <w:rFonts w:ascii="Arial Narrow" w:eastAsia="SimSun" w:hAnsi="Arial Narrow" w:cs="Arial"/>
              </w:rPr>
              <w:t>1.87 [1.19, 2.93]; 0.007</w:t>
            </w:r>
          </w:p>
        </w:tc>
      </w:tr>
      <w:tr w:rsidR="00175BCD" w:rsidRPr="004673D0" w:rsidTr="00DB424F">
        <w:trPr>
          <w:trHeight w:val="195"/>
        </w:trPr>
        <w:tc>
          <w:tcPr>
            <w:tcW w:w="227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rPr>
                <w:rFonts w:ascii="Arial Narrow" w:hAnsi="Arial Narrow"/>
                <w:lang w:eastAsia="en-GB"/>
              </w:rPr>
            </w:pPr>
            <w:r w:rsidRPr="004673D0">
              <w:rPr>
                <w:rFonts w:ascii="Arial Narrow" w:hAnsi="Arial Narrow"/>
                <w:lang w:eastAsia="en-GB"/>
              </w:rPr>
              <w:t>Proportion of subjects achieving symptomatic remission (ADHD-RS-IV total score of ≤18 at endpoint)</w:t>
            </w:r>
          </w:p>
        </w:tc>
        <w:tc>
          <w:tcPr>
            <w:tcW w:w="101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hAnsi="Arial Narrow"/>
                <w:lang w:eastAsia="en-GB"/>
              </w:rPr>
            </w:pPr>
            <w:r w:rsidRPr="004673D0">
              <w:rPr>
                <w:rFonts w:ascii="Arial Narrow" w:eastAsia="SimSun" w:hAnsi="Arial Narrow" w:cs="Arial"/>
              </w:rPr>
              <w:t xml:space="preserve">0.16 [0.06, 0.25]; </w:t>
            </w:r>
            <w:r w:rsidR="00DB424F" w:rsidRPr="004673D0">
              <w:rPr>
                <w:rFonts w:ascii="Arial Narrow" w:eastAsia="SimSun" w:hAnsi="Arial Narrow" w:cs="Arial"/>
              </w:rPr>
              <w:br/>
            </w:r>
            <w:r w:rsidRPr="004673D0">
              <w:rPr>
                <w:rFonts w:ascii="Arial Narrow" w:eastAsia="SimSun" w:hAnsi="Arial Narrow" w:cs="Arial"/>
              </w:rPr>
              <w:t>0.002</w:t>
            </w:r>
          </w:p>
        </w:tc>
        <w:tc>
          <w:tcPr>
            <w:tcW w:w="858"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hAnsi="Arial Narrow"/>
                <w:lang w:eastAsia="en-GB"/>
              </w:rPr>
            </w:pPr>
            <w:r w:rsidRPr="004673D0">
              <w:rPr>
                <w:rFonts w:ascii="Arial Narrow" w:eastAsia="SimSun" w:hAnsi="Arial Narrow" w:cs="Arial"/>
              </w:rPr>
              <w:t>1.34 [1.10, 1.62]; 0.003</w:t>
            </w:r>
          </w:p>
        </w:tc>
        <w:tc>
          <w:tcPr>
            <w:tcW w:w="8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hAnsi="Arial Narrow"/>
                <w:lang w:eastAsia="en-GB"/>
              </w:rPr>
            </w:pPr>
            <w:r w:rsidRPr="004673D0">
              <w:rPr>
                <w:rFonts w:ascii="Arial Narrow" w:eastAsia="SimSun" w:hAnsi="Arial Narrow" w:cs="Arial"/>
              </w:rPr>
              <w:t>1.88 [1.27, 2.79]; 0.002</w:t>
            </w:r>
          </w:p>
        </w:tc>
      </w:tr>
      <w:tr w:rsidR="00175BCD" w:rsidRPr="004673D0" w:rsidTr="00DB424F">
        <w:trPr>
          <w:trHeight w:val="195"/>
        </w:trPr>
        <w:tc>
          <w:tcPr>
            <w:tcW w:w="227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rPr>
                <w:rFonts w:ascii="Arial Narrow" w:hAnsi="Arial Narrow"/>
                <w:lang w:eastAsia="en-GB"/>
              </w:rPr>
            </w:pPr>
            <w:r w:rsidRPr="004673D0">
              <w:rPr>
                <w:rFonts w:ascii="Arial Narrow" w:hAnsi="Arial Narrow"/>
                <w:lang w:eastAsia="en-GB"/>
              </w:rPr>
              <w:t>Proportion of subjects achieving syndromal remission (ADHD-RS-IV total score of ≤18 and CGI-S ≤2 at endpoint)</w:t>
            </w:r>
          </w:p>
        </w:tc>
        <w:tc>
          <w:tcPr>
            <w:tcW w:w="101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eastAsia="SimSun" w:hAnsi="Arial Narrow" w:cs="Arial"/>
              </w:rPr>
            </w:pPr>
            <w:r w:rsidRPr="004673D0">
              <w:rPr>
                <w:rFonts w:ascii="Arial Narrow" w:eastAsia="SimSun" w:hAnsi="Arial Narrow" w:cs="Arial"/>
              </w:rPr>
              <w:t xml:space="preserve">0.14 [0.05, 0.23]; </w:t>
            </w:r>
            <w:r w:rsidR="00DB424F" w:rsidRPr="004673D0">
              <w:rPr>
                <w:rFonts w:ascii="Arial Narrow" w:eastAsia="SimSun" w:hAnsi="Arial Narrow" w:cs="Arial"/>
              </w:rPr>
              <w:br/>
            </w:r>
            <w:r w:rsidRPr="004673D0">
              <w:rPr>
                <w:rFonts w:ascii="Arial Narrow" w:eastAsia="SimSun" w:hAnsi="Arial Narrow" w:cs="Arial"/>
              </w:rPr>
              <w:t>0.003</w:t>
            </w:r>
          </w:p>
        </w:tc>
        <w:tc>
          <w:tcPr>
            <w:tcW w:w="858"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eastAsia="SimSun" w:hAnsi="Arial Narrow" w:cs="Arial"/>
              </w:rPr>
            </w:pPr>
            <w:r w:rsidRPr="004673D0">
              <w:rPr>
                <w:rFonts w:ascii="Arial Narrow" w:eastAsia="SimSun" w:hAnsi="Arial Narrow" w:cs="Arial"/>
              </w:rPr>
              <w:t>1.47 [1.11, 1.94]; 0.007</w:t>
            </w:r>
          </w:p>
        </w:tc>
        <w:tc>
          <w:tcPr>
            <w:tcW w:w="8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6E7A78">
            <w:pPr>
              <w:pStyle w:val="Tabletext"/>
              <w:keepNext/>
              <w:keepLines/>
              <w:spacing w:before="0" w:after="0"/>
              <w:jc w:val="center"/>
              <w:rPr>
                <w:rFonts w:ascii="Arial Narrow" w:eastAsia="SimSun" w:hAnsi="Arial Narrow" w:cs="Arial"/>
              </w:rPr>
            </w:pPr>
            <w:r w:rsidRPr="004673D0">
              <w:rPr>
                <w:rFonts w:ascii="Arial Narrow" w:eastAsia="SimSun" w:hAnsi="Arial Narrow" w:cs="Arial"/>
              </w:rPr>
              <w:t>1.83 [1.20, 2.77]; 0.005</w:t>
            </w:r>
          </w:p>
        </w:tc>
      </w:tr>
      <w:tr w:rsidR="00175BCD" w:rsidRPr="004673D0" w:rsidTr="0072646B">
        <w:trPr>
          <w:trHeight w:val="195"/>
        </w:trPr>
        <w:tc>
          <w:tcPr>
            <w:tcW w:w="22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175BCD" w:rsidRPr="004673D0" w:rsidRDefault="00175BCD" w:rsidP="006E7A78">
            <w:pPr>
              <w:pStyle w:val="Tabletext"/>
              <w:keepNext/>
              <w:keepLines/>
              <w:spacing w:before="0" w:after="0"/>
              <w:rPr>
                <w:rFonts w:ascii="Arial Narrow" w:hAnsi="Arial Narrow"/>
                <w:lang w:eastAsia="en-GB"/>
              </w:rPr>
            </w:pPr>
            <w:r w:rsidRPr="004673D0">
              <w:rPr>
                <w:rFonts w:ascii="Arial Narrow" w:hAnsi="Arial Narrow"/>
                <w:lang w:eastAsia="en-GB"/>
              </w:rPr>
              <w:t>Proportion of subjects with CGI-S score ≤ 2 (normal/borderline mentally ill) at endpoint</w:t>
            </w:r>
          </w:p>
        </w:tc>
        <w:tc>
          <w:tcPr>
            <w:tcW w:w="101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F3C9C" w:rsidRPr="004673D0" w:rsidRDefault="00175BCD" w:rsidP="00437015">
            <w:pPr>
              <w:pStyle w:val="Tabletext"/>
              <w:keepNext/>
              <w:keepLines/>
              <w:spacing w:before="0" w:after="0"/>
              <w:jc w:val="center"/>
              <w:rPr>
                <w:rFonts w:ascii="Arial Narrow" w:hAnsi="Arial Narrow"/>
                <w:highlight w:val="yellow"/>
                <w:lang w:eastAsia="en-GB"/>
              </w:rPr>
            </w:pPr>
            <w:r w:rsidRPr="004673D0">
              <w:rPr>
                <w:rFonts w:ascii="Arial Narrow" w:eastAsia="SimSun" w:hAnsi="Arial Narrow" w:cs="Arial"/>
              </w:rPr>
              <w:t xml:space="preserve">0.14 [0.05, 0.23]; </w:t>
            </w:r>
            <w:r w:rsidR="00DB424F" w:rsidRPr="004673D0">
              <w:rPr>
                <w:rFonts w:ascii="Arial Narrow" w:eastAsia="SimSun" w:hAnsi="Arial Narrow" w:cs="Arial"/>
              </w:rPr>
              <w:br/>
            </w:r>
            <w:r w:rsidRPr="004673D0">
              <w:rPr>
                <w:rFonts w:ascii="Arial Narrow" w:eastAsia="SimSun" w:hAnsi="Arial Narrow" w:cs="Arial"/>
              </w:rPr>
              <w:t>0.004</w:t>
            </w:r>
          </w:p>
        </w:tc>
        <w:tc>
          <w:tcPr>
            <w:tcW w:w="858"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F3C9C" w:rsidRPr="004673D0" w:rsidRDefault="00175BCD" w:rsidP="00437015">
            <w:pPr>
              <w:pStyle w:val="Tabletext"/>
              <w:keepNext/>
              <w:keepLines/>
              <w:spacing w:before="0" w:after="0"/>
              <w:jc w:val="center"/>
              <w:rPr>
                <w:rFonts w:ascii="Arial Narrow" w:hAnsi="Arial Narrow"/>
                <w:highlight w:val="yellow"/>
                <w:lang w:eastAsia="en-GB"/>
              </w:rPr>
            </w:pPr>
            <w:r w:rsidRPr="004673D0">
              <w:rPr>
                <w:rFonts w:ascii="Arial Narrow" w:eastAsia="SimSun" w:hAnsi="Arial Narrow" w:cs="Arial"/>
              </w:rPr>
              <w:t>1.42 [1.10,</w:t>
            </w:r>
            <w:r w:rsidR="002C2317" w:rsidRPr="004673D0">
              <w:rPr>
                <w:rFonts w:ascii="Arial Narrow" w:eastAsia="SimSun" w:hAnsi="Arial Narrow" w:cs="Arial"/>
              </w:rPr>
              <w:t xml:space="preserve"> 1.8</w:t>
            </w:r>
            <w:r w:rsidRPr="004673D0">
              <w:rPr>
                <w:rFonts w:ascii="Arial Narrow" w:eastAsia="SimSun" w:hAnsi="Arial Narrow" w:cs="Arial"/>
              </w:rPr>
              <w:t>4]; 0.007</w:t>
            </w:r>
          </w:p>
        </w:tc>
        <w:tc>
          <w:tcPr>
            <w:tcW w:w="8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F3C9C" w:rsidRPr="004673D0" w:rsidRDefault="00175BCD" w:rsidP="00437015">
            <w:pPr>
              <w:pStyle w:val="Tabletext"/>
              <w:keepNext/>
              <w:keepLines/>
              <w:spacing w:before="0" w:after="0"/>
              <w:jc w:val="center"/>
              <w:rPr>
                <w:rFonts w:ascii="Arial Narrow" w:hAnsi="Arial Narrow"/>
                <w:highlight w:val="yellow"/>
                <w:lang w:eastAsia="en-GB"/>
              </w:rPr>
            </w:pPr>
            <w:r w:rsidRPr="004673D0">
              <w:rPr>
                <w:rFonts w:ascii="Arial Narrow" w:eastAsia="SimSun" w:hAnsi="Arial Narrow" w:cs="Arial"/>
              </w:rPr>
              <w:t>1.79 [1.19, 2.70]; 0.005</w:t>
            </w:r>
          </w:p>
        </w:tc>
      </w:tr>
      <w:tr w:rsidR="00175BCD" w:rsidRPr="004673D0" w:rsidTr="0072646B">
        <w:trPr>
          <w:trHeight w:val="195"/>
        </w:trPr>
        <w:tc>
          <w:tcPr>
            <w:tcW w:w="22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175BCD" w:rsidRPr="004673D0" w:rsidRDefault="00175BCD" w:rsidP="006E7A78">
            <w:pPr>
              <w:pStyle w:val="Tabletext"/>
              <w:keepNext/>
              <w:keepLines/>
              <w:spacing w:before="0" w:after="0"/>
              <w:rPr>
                <w:rFonts w:ascii="Arial Narrow" w:hAnsi="Arial Narrow"/>
                <w:lang w:eastAsia="en-GB"/>
              </w:rPr>
            </w:pPr>
            <w:r w:rsidRPr="004673D0">
              <w:rPr>
                <w:rFonts w:ascii="Arial Narrow" w:hAnsi="Arial Narrow"/>
                <w:lang w:eastAsia="en-GB"/>
              </w:rPr>
              <w:t xml:space="preserve">Proportion of subjects with CGI-I score </w:t>
            </w:r>
            <w:r w:rsidRPr="004673D0">
              <w:rPr>
                <w:rFonts w:ascii="Arial Narrow" w:hAnsi="Arial Narrow" w:cs="Arial"/>
                <w:lang w:eastAsia="en-GB"/>
              </w:rPr>
              <w:t xml:space="preserve">≤ 2 </w:t>
            </w:r>
            <w:r w:rsidRPr="004673D0">
              <w:rPr>
                <w:rFonts w:ascii="Arial Narrow" w:hAnsi="Arial Narrow"/>
                <w:lang w:eastAsia="en-GB"/>
              </w:rPr>
              <w:t>(very much improved/much improved) at endpoint</w:t>
            </w:r>
          </w:p>
        </w:tc>
        <w:tc>
          <w:tcPr>
            <w:tcW w:w="101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F3C9C" w:rsidRPr="004673D0" w:rsidRDefault="00FF3C9C" w:rsidP="00437015">
            <w:pPr>
              <w:pStyle w:val="Tabletext"/>
              <w:keepNext/>
              <w:keepLines/>
              <w:spacing w:before="0" w:after="0"/>
              <w:jc w:val="center"/>
              <w:rPr>
                <w:rFonts w:ascii="Arial Narrow" w:eastAsia="SimSun" w:hAnsi="Arial Narrow" w:cs="Arial"/>
              </w:rPr>
            </w:pPr>
            <w:r w:rsidRPr="004673D0">
              <w:rPr>
                <w:rFonts w:ascii="Arial Narrow" w:eastAsia="SimSun" w:hAnsi="Arial Narrow" w:cs="Arial"/>
              </w:rPr>
              <w:t xml:space="preserve">0.14 [0.05, </w:t>
            </w:r>
            <w:r w:rsidR="00175BCD" w:rsidRPr="004673D0">
              <w:rPr>
                <w:rFonts w:ascii="Arial Narrow" w:eastAsia="SimSun" w:hAnsi="Arial Narrow" w:cs="Arial"/>
              </w:rPr>
              <w:t xml:space="preserve">0.24]; </w:t>
            </w:r>
            <w:r w:rsidR="00DB424F" w:rsidRPr="004673D0">
              <w:rPr>
                <w:rFonts w:ascii="Arial Narrow" w:eastAsia="SimSun" w:hAnsi="Arial Narrow" w:cs="Arial"/>
              </w:rPr>
              <w:br/>
            </w:r>
            <w:r w:rsidR="00175BCD" w:rsidRPr="004673D0">
              <w:rPr>
                <w:rFonts w:ascii="Arial Narrow" w:eastAsia="SimSun" w:hAnsi="Arial Narrow" w:cs="Arial"/>
              </w:rPr>
              <w:t>0.002</w:t>
            </w:r>
          </w:p>
        </w:tc>
        <w:tc>
          <w:tcPr>
            <w:tcW w:w="858"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FF3C9C" w:rsidRPr="004673D0" w:rsidRDefault="00175BCD" w:rsidP="00437015">
            <w:pPr>
              <w:pStyle w:val="Tabletext"/>
              <w:keepNext/>
              <w:keepLines/>
              <w:spacing w:before="0" w:after="0"/>
              <w:jc w:val="center"/>
              <w:rPr>
                <w:rFonts w:ascii="Arial Narrow" w:eastAsia="SimSun" w:hAnsi="Arial Narrow" w:cs="Arial"/>
              </w:rPr>
            </w:pPr>
            <w:r w:rsidRPr="004673D0">
              <w:rPr>
                <w:rFonts w:ascii="Arial Narrow" w:eastAsia="SimSun" w:hAnsi="Arial Narrow" w:cs="Arial"/>
              </w:rPr>
              <w:t>1.25 [1.07, 1.46]; 0.004</w:t>
            </w:r>
          </w:p>
        </w:tc>
        <w:tc>
          <w:tcPr>
            <w:tcW w:w="8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175BCD" w:rsidRPr="004673D0" w:rsidRDefault="00175BCD" w:rsidP="00437015">
            <w:pPr>
              <w:pStyle w:val="Tabletext"/>
              <w:keepNext/>
              <w:keepLines/>
              <w:spacing w:before="0" w:after="0"/>
              <w:jc w:val="center"/>
              <w:rPr>
                <w:rFonts w:ascii="Arial Narrow" w:eastAsia="SimSun" w:hAnsi="Arial Narrow" w:cs="Arial"/>
              </w:rPr>
            </w:pPr>
            <w:r w:rsidRPr="004673D0">
              <w:rPr>
                <w:rFonts w:ascii="Arial Narrow" w:eastAsia="SimSun" w:hAnsi="Arial Narrow" w:cs="Arial"/>
              </w:rPr>
              <w:t>1.91 [1.27, 2.87]; 0.00</w:t>
            </w:r>
            <w:r w:rsidR="00FF3C9C" w:rsidRPr="004673D0">
              <w:rPr>
                <w:rFonts w:ascii="Arial Narrow" w:eastAsia="SimSun" w:hAnsi="Arial Narrow" w:cs="Arial"/>
              </w:rPr>
              <w:t>2</w:t>
            </w:r>
          </w:p>
        </w:tc>
      </w:tr>
    </w:tbl>
    <w:p w:rsidR="00207C6B" w:rsidRPr="004673D0" w:rsidRDefault="00183A0F" w:rsidP="006E7A78">
      <w:pPr>
        <w:keepNext/>
        <w:keepLines/>
        <w:rPr>
          <w:rFonts w:ascii="Arial Narrow" w:hAnsi="Arial Narrow"/>
          <w:sz w:val="20"/>
          <w:szCs w:val="20"/>
        </w:rPr>
      </w:pPr>
      <w:r w:rsidRPr="004673D0">
        <w:rPr>
          <w:rFonts w:ascii="Arial Narrow" w:hAnsi="Arial Narrow"/>
          <w:sz w:val="20"/>
          <w:szCs w:val="20"/>
        </w:rPr>
        <w:t>Source: Guanfacine minor submission (</w:t>
      </w:r>
      <w:r w:rsidR="00532B2E" w:rsidRPr="004673D0">
        <w:rPr>
          <w:rFonts w:ascii="Arial Narrow" w:hAnsi="Arial Narrow"/>
          <w:sz w:val="20"/>
          <w:szCs w:val="20"/>
        </w:rPr>
        <w:t xml:space="preserve">Table 6, </w:t>
      </w:r>
      <w:r w:rsidRPr="004673D0">
        <w:rPr>
          <w:rFonts w:ascii="Arial Narrow" w:hAnsi="Arial Narrow"/>
          <w:sz w:val="20"/>
          <w:szCs w:val="20"/>
        </w:rPr>
        <w:t>p15)</w:t>
      </w:r>
    </w:p>
    <w:p w:rsidR="00207C6B" w:rsidRPr="004673D0" w:rsidRDefault="00132A8C" w:rsidP="006E7A78">
      <w:pPr>
        <w:keepNext/>
        <w:keepLines/>
        <w:rPr>
          <w:rFonts w:ascii="Arial Narrow" w:hAnsi="Arial Narrow"/>
          <w:sz w:val="20"/>
          <w:szCs w:val="20"/>
        </w:rPr>
      </w:pPr>
      <w:r w:rsidRPr="004673D0">
        <w:rPr>
          <w:rFonts w:ascii="Arial Narrow" w:hAnsi="Arial Narrow"/>
          <w:sz w:val="20"/>
          <w:szCs w:val="20"/>
        </w:rPr>
        <w:t>ADHD-RS-IV</w:t>
      </w:r>
      <w:r w:rsidR="00532B2E" w:rsidRPr="004673D0">
        <w:rPr>
          <w:rFonts w:ascii="Arial Narrow" w:hAnsi="Arial Narrow"/>
          <w:sz w:val="20"/>
          <w:szCs w:val="20"/>
        </w:rPr>
        <w:t>:</w:t>
      </w:r>
      <w:r w:rsidRPr="004673D0">
        <w:rPr>
          <w:rFonts w:ascii="Arial Narrow" w:hAnsi="Arial Narrow"/>
          <w:sz w:val="20"/>
          <w:szCs w:val="20"/>
        </w:rPr>
        <w:t xml:space="preserve"> Attention Deficit Hyperactivity Disorder-Rating Scale IV; CGI-I</w:t>
      </w:r>
      <w:r w:rsidR="00532B2E" w:rsidRPr="004673D0">
        <w:rPr>
          <w:rFonts w:ascii="Arial Narrow" w:hAnsi="Arial Narrow"/>
          <w:sz w:val="20"/>
          <w:szCs w:val="20"/>
        </w:rPr>
        <w:t>:</w:t>
      </w:r>
      <w:r w:rsidRPr="004673D0">
        <w:rPr>
          <w:rFonts w:ascii="Arial Narrow" w:hAnsi="Arial Narrow"/>
          <w:sz w:val="20"/>
          <w:szCs w:val="20"/>
        </w:rPr>
        <w:t xml:space="preserve"> Clinical Global Impression-Improvement; CGI-S</w:t>
      </w:r>
      <w:r w:rsidR="00532B2E" w:rsidRPr="004673D0">
        <w:rPr>
          <w:rFonts w:ascii="Arial Narrow" w:hAnsi="Arial Narrow"/>
          <w:sz w:val="20"/>
          <w:szCs w:val="20"/>
        </w:rPr>
        <w:t>:</w:t>
      </w:r>
      <w:r w:rsidRPr="004673D0">
        <w:rPr>
          <w:rFonts w:ascii="Arial Narrow" w:hAnsi="Arial Narrow"/>
          <w:sz w:val="20"/>
          <w:szCs w:val="20"/>
        </w:rPr>
        <w:t xml:space="preserve"> Clinical Global Impression-Severity; CI</w:t>
      </w:r>
      <w:r w:rsidR="00532B2E" w:rsidRPr="004673D0">
        <w:rPr>
          <w:rFonts w:ascii="Arial Narrow" w:hAnsi="Arial Narrow"/>
          <w:sz w:val="20"/>
          <w:szCs w:val="20"/>
        </w:rPr>
        <w:t>:</w:t>
      </w:r>
      <w:r w:rsidRPr="004673D0">
        <w:rPr>
          <w:rFonts w:ascii="Arial Narrow" w:hAnsi="Arial Narrow"/>
          <w:sz w:val="20"/>
          <w:szCs w:val="20"/>
        </w:rPr>
        <w:t xml:space="preserve"> confidence interval; CPRS-R:L</w:t>
      </w:r>
      <w:r w:rsidR="00532B2E" w:rsidRPr="004673D0">
        <w:rPr>
          <w:rFonts w:ascii="Arial Narrow" w:hAnsi="Arial Narrow"/>
          <w:sz w:val="20"/>
          <w:szCs w:val="20"/>
        </w:rPr>
        <w:t>:</w:t>
      </w:r>
      <w:r w:rsidRPr="004673D0">
        <w:rPr>
          <w:rFonts w:ascii="Arial Narrow" w:hAnsi="Arial Narrow"/>
          <w:sz w:val="20"/>
          <w:szCs w:val="20"/>
        </w:rPr>
        <w:t xml:space="preserve"> Conners’ Parent Rating Scale-Revised Long Form; GXR</w:t>
      </w:r>
      <w:r w:rsidR="00532B2E" w:rsidRPr="004673D0">
        <w:rPr>
          <w:rFonts w:ascii="Arial Narrow" w:hAnsi="Arial Narrow"/>
          <w:sz w:val="20"/>
          <w:szCs w:val="20"/>
        </w:rPr>
        <w:t>:</w:t>
      </w:r>
      <w:r w:rsidRPr="004673D0">
        <w:rPr>
          <w:rFonts w:ascii="Arial Narrow" w:hAnsi="Arial Narrow"/>
          <w:sz w:val="20"/>
          <w:szCs w:val="20"/>
        </w:rPr>
        <w:t xml:space="preserve"> guanfacine extended release; MD</w:t>
      </w:r>
      <w:r w:rsidR="00532B2E" w:rsidRPr="004673D0">
        <w:rPr>
          <w:rFonts w:ascii="Arial Narrow" w:hAnsi="Arial Narrow"/>
          <w:sz w:val="20"/>
          <w:szCs w:val="20"/>
        </w:rPr>
        <w:t>:</w:t>
      </w:r>
      <w:r w:rsidRPr="004673D0">
        <w:rPr>
          <w:rFonts w:ascii="Arial Narrow" w:hAnsi="Arial Narrow"/>
          <w:sz w:val="20"/>
          <w:szCs w:val="20"/>
        </w:rPr>
        <w:t xml:space="preserve"> mean difference; PBO</w:t>
      </w:r>
      <w:r w:rsidR="00532B2E" w:rsidRPr="004673D0">
        <w:rPr>
          <w:rFonts w:ascii="Arial Narrow" w:hAnsi="Arial Narrow"/>
          <w:sz w:val="20"/>
          <w:szCs w:val="20"/>
        </w:rPr>
        <w:t>:</w:t>
      </w:r>
      <w:r w:rsidRPr="004673D0">
        <w:rPr>
          <w:rFonts w:ascii="Arial Narrow" w:hAnsi="Arial Narrow"/>
          <w:sz w:val="20"/>
          <w:szCs w:val="20"/>
        </w:rPr>
        <w:t xml:space="preserve"> placebo; OR</w:t>
      </w:r>
      <w:r w:rsidR="00532B2E" w:rsidRPr="004673D0">
        <w:rPr>
          <w:rFonts w:ascii="Arial Narrow" w:hAnsi="Arial Narrow"/>
          <w:sz w:val="20"/>
          <w:szCs w:val="20"/>
        </w:rPr>
        <w:t>:</w:t>
      </w:r>
      <w:r w:rsidRPr="004673D0">
        <w:rPr>
          <w:rFonts w:ascii="Arial Narrow" w:hAnsi="Arial Narrow"/>
          <w:sz w:val="20"/>
          <w:szCs w:val="20"/>
        </w:rPr>
        <w:t xml:space="preserve"> odds ratio; RD</w:t>
      </w:r>
      <w:r w:rsidR="00532B2E" w:rsidRPr="004673D0">
        <w:rPr>
          <w:rFonts w:ascii="Arial Narrow" w:hAnsi="Arial Narrow"/>
          <w:sz w:val="20"/>
          <w:szCs w:val="20"/>
        </w:rPr>
        <w:t>:</w:t>
      </w:r>
      <w:r w:rsidRPr="004673D0">
        <w:rPr>
          <w:rFonts w:ascii="Arial Narrow" w:hAnsi="Arial Narrow"/>
          <w:sz w:val="20"/>
          <w:szCs w:val="20"/>
        </w:rPr>
        <w:t xml:space="preserve"> risk difference; RR</w:t>
      </w:r>
      <w:r w:rsidR="00532B2E" w:rsidRPr="004673D0">
        <w:rPr>
          <w:rFonts w:ascii="Arial Narrow" w:hAnsi="Arial Narrow"/>
          <w:sz w:val="20"/>
          <w:szCs w:val="20"/>
        </w:rPr>
        <w:t>:</w:t>
      </w:r>
      <w:r w:rsidRPr="004673D0">
        <w:rPr>
          <w:rFonts w:ascii="Arial Narrow" w:hAnsi="Arial Narrow"/>
          <w:sz w:val="20"/>
          <w:szCs w:val="20"/>
        </w:rPr>
        <w:t xml:space="preserve"> relative risk; S</w:t>
      </w:r>
      <w:r w:rsidR="00532B2E" w:rsidRPr="004673D0">
        <w:rPr>
          <w:rFonts w:ascii="Arial Narrow" w:hAnsi="Arial Narrow"/>
          <w:sz w:val="20"/>
          <w:szCs w:val="20"/>
        </w:rPr>
        <w:t>:</w:t>
      </w:r>
      <w:r w:rsidRPr="004673D0">
        <w:rPr>
          <w:rFonts w:ascii="Arial Narrow" w:hAnsi="Arial Narrow"/>
          <w:sz w:val="20"/>
          <w:szCs w:val="20"/>
        </w:rPr>
        <w:t xml:space="preserve"> stimulant</w:t>
      </w:r>
    </w:p>
    <w:p w:rsidR="005A3173" w:rsidRPr="004673D0" w:rsidRDefault="005A3173" w:rsidP="00283A23">
      <w:pPr>
        <w:pStyle w:val="Heading2"/>
        <w:keepLines/>
        <w:spacing w:before="240" w:after="120"/>
        <w:rPr>
          <w:rFonts w:asciiTheme="minorHAnsi" w:eastAsiaTheme="majorEastAsia" w:hAnsiTheme="minorHAnsi" w:cstheme="majorBidi"/>
          <w:sz w:val="28"/>
          <w:szCs w:val="28"/>
          <w:lang w:eastAsia="en-US"/>
        </w:rPr>
      </w:pPr>
      <w:r w:rsidRPr="004673D0">
        <w:rPr>
          <w:rFonts w:asciiTheme="minorHAnsi" w:eastAsiaTheme="majorEastAsia" w:hAnsiTheme="minorHAnsi" w:cstheme="majorBidi"/>
          <w:sz w:val="28"/>
          <w:szCs w:val="28"/>
          <w:lang w:eastAsia="en-US"/>
        </w:rPr>
        <w:t>Comparative harms</w:t>
      </w:r>
    </w:p>
    <w:p w:rsidR="000B558D" w:rsidRPr="004673D0" w:rsidRDefault="00183A0F" w:rsidP="00283A23">
      <w:pPr>
        <w:pStyle w:val="ListParagraph"/>
        <w:widowControl/>
        <w:numPr>
          <w:ilvl w:val="1"/>
          <w:numId w:val="14"/>
        </w:numPr>
        <w:spacing w:after="120"/>
        <w:contextualSpacing w:val="0"/>
        <w:rPr>
          <w:rFonts w:asciiTheme="minorHAnsi" w:hAnsiTheme="minorHAnsi"/>
          <w:sz w:val="24"/>
          <w:szCs w:val="24"/>
        </w:rPr>
      </w:pPr>
      <w:r w:rsidRPr="004673D0">
        <w:rPr>
          <w:rFonts w:asciiTheme="minorHAnsi" w:hAnsiTheme="minorHAnsi"/>
          <w:sz w:val="24"/>
          <w:szCs w:val="24"/>
        </w:rPr>
        <w:t>The PBAC</w:t>
      </w:r>
      <w:r w:rsidR="00132A8C" w:rsidRPr="004673D0">
        <w:rPr>
          <w:rFonts w:asciiTheme="minorHAnsi" w:hAnsiTheme="minorHAnsi"/>
          <w:sz w:val="24"/>
          <w:szCs w:val="24"/>
        </w:rPr>
        <w:t xml:space="preserve"> previously considered that compared with placebo + long-acting stimulants, those treated with guanfacine + stimulants were statistically significantly more likely to experience any treatment-emergent adverse event, somnolence, headache, sedative event, abdominal pain (upper) and fatigue</w:t>
      </w:r>
      <w:r w:rsidR="00E07F5E" w:rsidRPr="004673D0">
        <w:rPr>
          <w:rFonts w:asciiTheme="minorHAnsi" w:hAnsiTheme="minorHAnsi"/>
          <w:sz w:val="24"/>
          <w:szCs w:val="24"/>
        </w:rPr>
        <w:t xml:space="preserve"> (paragraph 6.18, July 2017 PSD).</w:t>
      </w:r>
    </w:p>
    <w:p w:rsidR="003C2FB5" w:rsidRPr="004673D0" w:rsidRDefault="006436CD" w:rsidP="00283A23">
      <w:pPr>
        <w:pStyle w:val="Heading2"/>
        <w:keepLines/>
        <w:spacing w:before="240" w:after="120"/>
        <w:rPr>
          <w:rFonts w:asciiTheme="minorHAnsi" w:eastAsiaTheme="majorEastAsia" w:hAnsiTheme="minorHAnsi" w:cstheme="majorBidi"/>
          <w:sz w:val="28"/>
          <w:szCs w:val="28"/>
          <w:lang w:eastAsia="en-US"/>
        </w:rPr>
      </w:pPr>
      <w:r w:rsidRPr="004673D0">
        <w:rPr>
          <w:rFonts w:asciiTheme="minorHAnsi" w:eastAsiaTheme="majorEastAsia" w:hAnsiTheme="minorHAnsi" w:cstheme="majorBidi"/>
          <w:sz w:val="28"/>
          <w:szCs w:val="28"/>
          <w:lang w:eastAsia="en-US"/>
        </w:rPr>
        <w:t>Benefits and harms</w:t>
      </w:r>
    </w:p>
    <w:p w:rsidR="006436CD" w:rsidRPr="004673D0" w:rsidRDefault="00E46A79" w:rsidP="00283A23">
      <w:pPr>
        <w:pStyle w:val="ListParagraph"/>
        <w:widowControl/>
        <w:numPr>
          <w:ilvl w:val="1"/>
          <w:numId w:val="14"/>
        </w:numPr>
        <w:spacing w:after="120"/>
        <w:contextualSpacing w:val="0"/>
        <w:rPr>
          <w:rFonts w:asciiTheme="minorHAnsi" w:hAnsiTheme="minorHAnsi"/>
          <w:sz w:val="24"/>
          <w:szCs w:val="24"/>
        </w:rPr>
      </w:pPr>
      <w:r w:rsidRPr="004673D0">
        <w:rPr>
          <w:rFonts w:asciiTheme="minorHAnsi" w:hAnsiTheme="minorHAnsi"/>
          <w:sz w:val="24"/>
          <w:szCs w:val="24"/>
        </w:rPr>
        <w:t>The submission did not present new clinical evidence. The benefits and harms summary for the add-on therapy indication (guanfacine + stimulants vs. placebo + stimulants) has been reproduced from the July 2017 Public Summary Document below.</w:t>
      </w:r>
    </w:p>
    <w:p w:rsidR="00547B02" w:rsidRPr="004673D0" w:rsidRDefault="00547B02" w:rsidP="00283A23">
      <w:pPr>
        <w:pStyle w:val="Caption"/>
      </w:pPr>
      <w:r w:rsidRPr="004673D0">
        <w:lastRenderedPageBreak/>
        <w:t xml:space="preserve">Table </w:t>
      </w:r>
      <w:r w:rsidR="000F772B" w:rsidRPr="004673D0">
        <w:t>3</w:t>
      </w:r>
      <w:r w:rsidRPr="004673D0">
        <w:t>: Summary of comparative benefits and harms for guanfacine and placebo* (July 2017 PSD)</w:t>
      </w:r>
      <w:r w:rsidR="000E497C" w:rsidRPr="004673D0">
        <w:t>: based on use in combination with stimulants only</w:t>
      </w:r>
    </w:p>
    <w:tbl>
      <w:tblPr>
        <w:tblStyle w:val="TableGrid"/>
        <w:tblW w:w="4995" w:type="pct"/>
        <w:tblInd w:w="28" w:type="dxa"/>
        <w:tblLayout w:type="fixed"/>
        <w:tblCellMar>
          <w:left w:w="28" w:type="dxa"/>
          <w:right w:w="28" w:type="dxa"/>
        </w:tblCellMar>
        <w:tblLook w:val="04A0" w:firstRow="1" w:lastRow="0" w:firstColumn="1" w:lastColumn="0" w:noHBand="0" w:noVBand="1"/>
        <w:tblCaption w:val="Summary of comparative benefits and harms"/>
      </w:tblPr>
      <w:tblGrid>
        <w:gridCol w:w="2832"/>
        <w:gridCol w:w="709"/>
        <w:gridCol w:w="283"/>
        <w:gridCol w:w="568"/>
        <w:gridCol w:w="131"/>
        <w:gridCol w:w="577"/>
        <w:gridCol w:w="710"/>
        <w:gridCol w:w="143"/>
        <w:gridCol w:w="710"/>
        <w:gridCol w:w="281"/>
        <w:gridCol w:w="428"/>
        <w:gridCol w:w="316"/>
        <w:gridCol w:w="1385"/>
      </w:tblGrid>
      <w:tr w:rsidR="00E46A79" w:rsidRPr="004673D0" w:rsidTr="00E46A79">
        <w:trPr>
          <w:trHeight w:val="150"/>
          <w:tblHeader/>
        </w:trPr>
        <w:tc>
          <w:tcPr>
            <w:tcW w:w="5000" w:type="pct"/>
            <w:gridSpan w:val="13"/>
            <w:shd w:val="clear" w:color="auto" w:fill="auto"/>
            <w:vAlign w:val="center"/>
          </w:tcPr>
          <w:p w:rsidR="00E46A79" w:rsidRPr="004673D0" w:rsidRDefault="00E46A79" w:rsidP="00283A23">
            <w:pPr>
              <w:pStyle w:val="TableText0"/>
              <w:spacing w:before="0" w:after="0"/>
              <w:rPr>
                <w:b/>
                <w:u w:val="single"/>
              </w:rPr>
            </w:pPr>
            <w:r w:rsidRPr="004673D0">
              <w:rPr>
                <w:b/>
                <w:u w:val="single"/>
              </w:rPr>
              <w:t>Benefits</w:t>
            </w:r>
          </w:p>
        </w:tc>
      </w:tr>
      <w:tr w:rsidR="00E46A79" w:rsidRPr="004673D0" w:rsidTr="00E46A79">
        <w:trPr>
          <w:trHeight w:val="150"/>
        </w:trPr>
        <w:tc>
          <w:tcPr>
            <w:tcW w:w="5000" w:type="pct"/>
            <w:gridSpan w:val="13"/>
            <w:shd w:val="clear" w:color="auto" w:fill="auto"/>
            <w:vAlign w:val="center"/>
          </w:tcPr>
          <w:p w:rsidR="00E46A79" w:rsidRPr="004673D0" w:rsidRDefault="00E46A79" w:rsidP="00283A23">
            <w:pPr>
              <w:pStyle w:val="TableText0"/>
              <w:spacing w:before="0" w:after="0"/>
            </w:pPr>
            <w:r w:rsidRPr="004673D0">
              <w:rPr>
                <w:b/>
              </w:rPr>
              <w:t>Symptomatic remission (ADHD-RS-IV total score ≤</w:t>
            </w:r>
            <w:r w:rsidR="00E07F5E" w:rsidRPr="004673D0">
              <w:rPr>
                <w:b/>
              </w:rPr>
              <w:t xml:space="preserve"> </w:t>
            </w:r>
            <w:r w:rsidRPr="004673D0">
              <w:rPr>
                <w:b/>
              </w:rPr>
              <w:t>18)</w:t>
            </w:r>
          </w:p>
        </w:tc>
      </w:tr>
      <w:tr w:rsidR="00A102E2" w:rsidRPr="004673D0" w:rsidTr="00A102E2">
        <w:trPr>
          <w:trHeight w:val="150"/>
        </w:trPr>
        <w:tc>
          <w:tcPr>
            <w:tcW w:w="1561" w:type="pct"/>
            <w:vMerge w:val="restart"/>
            <w:shd w:val="clear" w:color="auto" w:fill="auto"/>
            <w:vAlign w:val="center"/>
          </w:tcPr>
          <w:p w:rsidR="00E46A79" w:rsidRPr="004673D0" w:rsidRDefault="00E46A79" w:rsidP="00283A23">
            <w:pPr>
              <w:pStyle w:val="TableText0"/>
              <w:spacing w:before="0" w:after="0"/>
              <w:rPr>
                <w:b/>
              </w:rPr>
            </w:pPr>
            <w:r w:rsidRPr="004673D0">
              <w:rPr>
                <w:b/>
              </w:rPr>
              <w:t>Trial</w:t>
            </w:r>
          </w:p>
        </w:tc>
        <w:tc>
          <w:tcPr>
            <w:tcW w:w="547" w:type="pct"/>
            <w:gridSpan w:val="2"/>
            <w:vMerge w:val="restart"/>
            <w:shd w:val="clear" w:color="auto" w:fill="auto"/>
            <w:vAlign w:val="center"/>
          </w:tcPr>
          <w:p w:rsidR="00E46A79" w:rsidRPr="004673D0" w:rsidRDefault="00E46A79" w:rsidP="00283A23">
            <w:pPr>
              <w:pStyle w:val="TableText0"/>
              <w:spacing w:before="0" w:after="0"/>
              <w:jc w:val="center"/>
              <w:rPr>
                <w:b/>
              </w:rPr>
            </w:pPr>
            <w:r w:rsidRPr="004673D0">
              <w:rPr>
                <w:b/>
              </w:rPr>
              <w:t>Guanfacine</w:t>
            </w:r>
          </w:p>
        </w:tc>
        <w:tc>
          <w:tcPr>
            <w:tcW w:w="385" w:type="pct"/>
            <w:gridSpan w:val="2"/>
            <w:vMerge w:val="restart"/>
            <w:shd w:val="clear" w:color="auto" w:fill="auto"/>
            <w:vAlign w:val="center"/>
          </w:tcPr>
          <w:p w:rsidR="00E46A79" w:rsidRPr="004673D0" w:rsidRDefault="00E46A79" w:rsidP="00283A23">
            <w:pPr>
              <w:pStyle w:val="TableText0"/>
              <w:spacing w:before="0" w:after="0"/>
              <w:jc w:val="center"/>
              <w:rPr>
                <w:b/>
              </w:rPr>
            </w:pPr>
            <w:r w:rsidRPr="004673D0">
              <w:rPr>
                <w:b/>
              </w:rPr>
              <w:t>Placebo</w:t>
            </w:r>
          </w:p>
        </w:tc>
        <w:tc>
          <w:tcPr>
            <w:tcW w:w="788" w:type="pct"/>
            <w:gridSpan w:val="3"/>
            <w:vMerge w:val="restart"/>
            <w:shd w:val="clear" w:color="auto" w:fill="auto"/>
            <w:vAlign w:val="center"/>
          </w:tcPr>
          <w:p w:rsidR="00E46A79" w:rsidRPr="004673D0" w:rsidRDefault="00E46A79" w:rsidP="00283A23">
            <w:pPr>
              <w:pStyle w:val="TableText0"/>
              <w:spacing w:before="0" w:after="0"/>
              <w:jc w:val="center"/>
              <w:rPr>
                <w:b/>
              </w:rPr>
            </w:pPr>
            <w:r w:rsidRPr="004673D0">
              <w:rPr>
                <w:b/>
              </w:rPr>
              <w:t>RR (95% CI)</w:t>
            </w:r>
          </w:p>
        </w:tc>
        <w:tc>
          <w:tcPr>
            <w:tcW w:w="956" w:type="pct"/>
            <w:gridSpan w:val="4"/>
            <w:shd w:val="clear" w:color="auto" w:fill="auto"/>
            <w:vAlign w:val="center"/>
          </w:tcPr>
          <w:p w:rsidR="00E46A79" w:rsidRPr="004673D0" w:rsidRDefault="00E46A79" w:rsidP="00283A23">
            <w:pPr>
              <w:pStyle w:val="TableText0"/>
              <w:spacing w:before="0" w:after="0"/>
              <w:jc w:val="center"/>
              <w:rPr>
                <w:b/>
              </w:rPr>
            </w:pPr>
            <w:r w:rsidRPr="004673D0">
              <w:rPr>
                <w:b/>
              </w:rPr>
              <w:t>Events/100 patients*</w:t>
            </w:r>
          </w:p>
        </w:tc>
        <w:tc>
          <w:tcPr>
            <w:tcW w:w="763" w:type="pct"/>
            <w:vMerge w:val="restart"/>
            <w:shd w:val="clear" w:color="auto" w:fill="auto"/>
            <w:vAlign w:val="center"/>
          </w:tcPr>
          <w:p w:rsidR="00E46A79" w:rsidRPr="004673D0" w:rsidRDefault="00E46A79" w:rsidP="00283A23">
            <w:pPr>
              <w:pStyle w:val="TableText0"/>
              <w:spacing w:before="0" w:after="0"/>
              <w:jc w:val="center"/>
              <w:rPr>
                <w:b/>
              </w:rPr>
            </w:pPr>
            <w:r w:rsidRPr="004673D0">
              <w:rPr>
                <w:b/>
              </w:rPr>
              <w:t>RD (95% CI)</w:t>
            </w:r>
          </w:p>
        </w:tc>
      </w:tr>
      <w:tr w:rsidR="00A102E2" w:rsidRPr="004673D0" w:rsidTr="00A102E2">
        <w:trPr>
          <w:trHeight w:val="63"/>
        </w:trPr>
        <w:tc>
          <w:tcPr>
            <w:tcW w:w="1561" w:type="pct"/>
            <w:vMerge/>
            <w:shd w:val="clear" w:color="auto" w:fill="auto"/>
            <w:vAlign w:val="center"/>
          </w:tcPr>
          <w:p w:rsidR="00E46A79" w:rsidRPr="004673D0" w:rsidRDefault="00E46A79" w:rsidP="000E497C">
            <w:pPr>
              <w:pStyle w:val="TableText0"/>
              <w:spacing w:before="0" w:after="0"/>
            </w:pPr>
          </w:p>
        </w:tc>
        <w:tc>
          <w:tcPr>
            <w:tcW w:w="547" w:type="pct"/>
            <w:gridSpan w:val="2"/>
            <w:vMerge/>
            <w:shd w:val="clear" w:color="auto" w:fill="auto"/>
            <w:vAlign w:val="center"/>
          </w:tcPr>
          <w:p w:rsidR="00E46A79" w:rsidRPr="004673D0" w:rsidRDefault="00E46A79" w:rsidP="000E497C">
            <w:pPr>
              <w:pStyle w:val="TableText0"/>
              <w:spacing w:before="0" w:after="0"/>
              <w:jc w:val="center"/>
            </w:pPr>
          </w:p>
        </w:tc>
        <w:tc>
          <w:tcPr>
            <w:tcW w:w="385" w:type="pct"/>
            <w:gridSpan w:val="2"/>
            <w:vMerge/>
            <w:shd w:val="clear" w:color="auto" w:fill="auto"/>
            <w:vAlign w:val="center"/>
          </w:tcPr>
          <w:p w:rsidR="00E46A79" w:rsidRPr="004673D0" w:rsidRDefault="00E46A79" w:rsidP="000E497C">
            <w:pPr>
              <w:pStyle w:val="TableText0"/>
              <w:spacing w:before="0" w:after="0"/>
              <w:jc w:val="center"/>
            </w:pPr>
          </w:p>
        </w:tc>
        <w:tc>
          <w:tcPr>
            <w:tcW w:w="788" w:type="pct"/>
            <w:gridSpan w:val="3"/>
            <w:vMerge/>
            <w:shd w:val="clear" w:color="auto" w:fill="auto"/>
            <w:vAlign w:val="center"/>
          </w:tcPr>
          <w:p w:rsidR="00E46A79" w:rsidRPr="004673D0" w:rsidRDefault="00E46A79" w:rsidP="000E497C">
            <w:pPr>
              <w:pStyle w:val="TableText0"/>
              <w:spacing w:before="0" w:after="0"/>
            </w:pPr>
          </w:p>
        </w:tc>
        <w:tc>
          <w:tcPr>
            <w:tcW w:w="546" w:type="pct"/>
            <w:gridSpan w:val="2"/>
            <w:shd w:val="clear" w:color="auto" w:fill="auto"/>
            <w:vAlign w:val="center"/>
          </w:tcPr>
          <w:p w:rsidR="00E46A79" w:rsidRPr="004673D0" w:rsidRDefault="00E46A79" w:rsidP="00283A23">
            <w:pPr>
              <w:pStyle w:val="TableText0"/>
              <w:spacing w:before="0" w:after="0"/>
              <w:jc w:val="center"/>
              <w:rPr>
                <w:b/>
              </w:rPr>
            </w:pPr>
            <w:r w:rsidRPr="004673D0">
              <w:rPr>
                <w:b/>
              </w:rPr>
              <w:t>Guanfacine</w:t>
            </w:r>
          </w:p>
        </w:tc>
        <w:tc>
          <w:tcPr>
            <w:tcW w:w="410" w:type="pct"/>
            <w:gridSpan w:val="2"/>
            <w:shd w:val="clear" w:color="auto" w:fill="auto"/>
            <w:vAlign w:val="center"/>
          </w:tcPr>
          <w:p w:rsidR="00E46A79" w:rsidRPr="004673D0" w:rsidRDefault="00E46A79" w:rsidP="00283A23">
            <w:pPr>
              <w:pStyle w:val="TableText0"/>
              <w:spacing w:before="0" w:after="0"/>
              <w:jc w:val="center"/>
              <w:rPr>
                <w:b/>
              </w:rPr>
            </w:pPr>
            <w:r w:rsidRPr="004673D0">
              <w:rPr>
                <w:b/>
              </w:rPr>
              <w:t xml:space="preserve">Placebo </w:t>
            </w:r>
          </w:p>
        </w:tc>
        <w:tc>
          <w:tcPr>
            <w:tcW w:w="763" w:type="pct"/>
            <w:vMerge/>
            <w:shd w:val="clear" w:color="auto" w:fill="auto"/>
            <w:vAlign w:val="center"/>
          </w:tcPr>
          <w:p w:rsidR="00E46A79" w:rsidRPr="004673D0" w:rsidRDefault="00E46A79" w:rsidP="000E497C">
            <w:pPr>
              <w:pStyle w:val="TableText0"/>
              <w:spacing w:before="0" w:after="0"/>
            </w:pPr>
          </w:p>
        </w:tc>
      </w:tr>
      <w:tr w:rsidR="00A102E2" w:rsidRPr="004673D0" w:rsidTr="00A102E2">
        <w:tc>
          <w:tcPr>
            <w:tcW w:w="1561" w:type="pct"/>
            <w:tcBorders>
              <w:bottom w:val="double" w:sz="4" w:space="0" w:color="auto"/>
            </w:tcBorders>
            <w:shd w:val="clear" w:color="auto" w:fill="auto"/>
            <w:vAlign w:val="center"/>
          </w:tcPr>
          <w:p w:rsidR="00E46A79" w:rsidRPr="004673D0" w:rsidRDefault="00E46A79" w:rsidP="005C0F06">
            <w:pPr>
              <w:pStyle w:val="TableText0"/>
              <w:spacing w:before="0" w:after="0"/>
            </w:pPr>
            <w:r w:rsidRPr="004673D0">
              <w:t>Trial 313</w:t>
            </w:r>
          </w:p>
        </w:tc>
        <w:tc>
          <w:tcPr>
            <w:tcW w:w="547"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183/297</w:t>
            </w:r>
          </w:p>
        </w:tc>
        <w:tc>
          <w:tcPr>
            <w:tcW w:w="385"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70/152</w:t>
            </w:r>
          </w:p>
        </w:tc>
        <w:tc>
          <w:tcPr>
            <w:tcW w:w="788" w:type="pct"/>
            <w:gridSpan w:val="3"/>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rPr>
                <w:b/>
              </w:rPr>
              <w:t>1.34 (1.10, 1.62)</w:t>
            </w:r>
          </w:p>
        </w:tc>
        <w:tc>
          <w:tcPr>
            <w:tcW w:w="546"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61.6</w:t>
            </w:r>
          </w:p>
        </w:tc>
        <w:tc>
          <w:tcPr>
            <w:tcW w:w="410"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46.1</w:t>
            </w:r>
          </w:p>
        </w:tc>
        <w:tc>
          <w:tcPr>
            <w:tcW w:w="763" w:type="pct"/>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rPr>
                <w:b/>
              </w:rPr>
              <w:t>0.16 (0.06, 0.25)</w:t>
            </w:r>
          </w:p>
        </w:tc>
      </w:tr>
      <w:tr w:rsidR="00E46A79" w:rsidRPr="004673D0" w:rsidTr="00E46A79">
        <w:tc>
          <w:tcPr>
            <w:tcW w:w="5000" w:type="pct"/>
            <w:gridSpan w:val="13"/>
            <w:shd w:val="clear" w:color="auto" w:fill="auto"/>
          </w:tcPr>
          <w:p w:rsidR="00E46A79" w:rsidRPr="004673D0" w:rsidRDefault="00E46A79" w:rsidP="00283A23">
            <w:pPr>
              <w:pStyle w:val="TableText0"/>
              <w:spacing w:before="0" w:after="0"/>
              <w:rPr>
                <w:b/>
              </w:rPr>
            </w:pPr>
            <w:r w:rsidRPr="004673D0">
              <w:rPr>
                <w:b/>
              </w:rPr>
              <w:t>Responder (reduction in ADHD-RS-IV of ≥</w:t>
            </w:r>
            <w:r w:rsidR="00E07F5E" w:rsidRPr="004673D0">
              <w:rPr>
                <w:b/>
              </w:rPr>
              <w:t xml:space="preserve"> </w:t>
            </w:r>
            <w:r w:rsidRPr="004673D0">
              <w:rPr>
                <w:b/>
              </w:rPr>
              <w:t>25% [Trials 313, 304] or ≥</w:t>
            </w:r>
            <w:r w:rsidR="00E07F5E" w:rsidRPr="004673D0">
              <w:rPr>
                <w:b/>
              </w:rPr>
              <w:t xml:space="preserve"> </w:t>
            </w:r>
            <w:r w:rsidRPr="004673D0">
              <w:rPr>
                <w:b/>
              </w:rPr>
              <w:t>30% and CGI-I ≤</w:t>
            </w:r>
            <w:r w:rsidR="00E07F5E" w:rsidRPr="004673D0">
              <w:rPr>
                <w:b/>
              </w:rPr>
              <w:t xml:space="preserve"> </w:t>
            </w:r>
            <w:r w:rsidRPr="004673D0">
              <w:rPr>
                <w:b/>
              </w:rPr>
              <w:t>2 [Trials 316, 307, 312, 314])</w:t>
            </w:r>
          </w:p>
        </w:tc>
      </w:tr>
      <w:tr w:rsidR="00A102E2" w:rsidRPr="004673D0" w:rsidTr="00A102E2">
        <w:tc>
          <w:tcPr>
            <w:tcW w:w="1561" w:type="pct"/>
            <w:tcBorders>
              <w:bottom w:val="double" w:sz="4" w:space="0" w:color="auto"/>
            </w:tcBorders>
            <w:shd w:val="clear" w:color="auto" w:fill="auto"/>
            <w:vAlign w:val="center"/>
          </w:tcPr>
          <w:p w:rsidR="00E46A79" w:rsidRPr="004673D0" w:rsidRDefault="00E46A79" w:rsidP="005C0F06">
            <w:pPr>
              <w:pStyle w:val="TableText0"/>
              <w:spacing w:before="0" w:after="0"/>
            </w:pPr>
            <w:r w:rsidRPr="004673D0">
              <w:t>Trial 313</w:t>
            </w:r>
          </w:p>
        </w:tc>
        <w:tc>
          <w:tcPr>
            <w:tcW w:w="547"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241/297</w:t>
            </w:r>
          </w:p>
        </w:tc>
        <w:tc>
          <w:tcPr>
            <w:tcW w:w="385"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106/152</w:t>
            </w:r>
          </w:p>
        </w:tc>
        <w:tc>
          <w:tcPr>
            <w:tcW w:w="788" w:type="pct"/>
            <w:gridSpan w:val="3"/>
            <w:tcBorders>
              <w:bottom w:val="double" w:sz="4" w:space="0" w:color="auto"/>
            </w:tcBorders>
            <w:shd w:val="clear" w:color="auto" w:fill="auto"/>
            <w:vAlign w:val="center"/>
          </w:tcPr>
          <w:p w:rsidR="00E46A79" w:rsidRPr="004673D0" w:rsidRDefault="00E46A79" w:rsidP="00283A23">
            <w:pPr>
              <w:jc w:val="center"/>
              <w:rPr>
                <w:rFonts w:ascii="Arial Narrow" w:hAnsi="Arial Narrow"/>
                <w:b/>
                <w:sz w:val="20"/>
              </w:rPr>
            </w:pPr>
            <w:r w:rsidRPr="004673D0">
              <w:rPr>
                <w:rFonts w:ascii="Arial Narrow" w:hAnsi="Arial Narrow"/>
                <w:b/>
                <w:sz w:val="20"/>
              </w:rPr>
              <w:t>1.16 (1.03, 1.31)</w:t>
            </w:r>
          </w:p>
        </w:tc>
        <w:tc>
          <w:tcPr>
            <w:tcW w:w="546"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81.1</w:t>
            </w:r>
          </w:p>
        </w:tc>
        <w:tc>
          <w:tcPr>
            <w:tcW w:w="410"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69.7</w:t>
            </w:r>
          </w:p>
        </w:tc>
        <w:tc>
          <w:tcPr>
            <w:tcW w:w="763" w:type="pct"/>
            <w:tcBorders>
              <w:bottom w:val="double" w:sz="4" w:space="0" w:color="auto"/>
            </w:tcBorders>
            <w:shd w:val="clear" w:color="auto" w:fill="auto"/>
            <w:vAlign w:val="center"/>
          </w:tcPr>
          <w:p w:rsidR="00E46A79" w:rsidRPr="004673D0" w:rsidRDefault="00E46A79" w:rsidP="00283A23">
            <w:pPr>
              <w:pStyle w:val="TableText0"/>
              <w:spacing w:before="0" w:after="0"/>
              <w:jc w:val="center"/>
              <w:rPr>
                <w:b/>
              </w:rPr>
            </w:pPr>
            <w:r w:rsidRPr="004673D0">
              <w:rPr>
                <w:b/>
              </w:rPr>
              <w:t>0.11 (0.03, 0.20)</w:t>
            </w:r>
          </w:p>
        </w:tc>
      </w:tr>
      <w:tr w:rsidR="00E46A79" w:rsidRPr="004673D0" w:rsidTr="00E46A79">
        <w:tc>
          <w:tcPr>
            <w:tcW w:w="5000" w:type="pct"/>
            <w:gridSpan w:val="13"/>
            <w:shd w:val="clear" w:color="auto" w:fill="auto"/>
            <w:vAlign w:val="center"/>
          </w:tcPr>
          <w:p w:rsidR="00E46A79" w:rsidRPr="004673D0" w:rsidRDefault="00E46A79" w:rsidP="00283A23">
            <w:pPr>
              <w:pStyle w:val="TableText0"/>
              <w:spacing w:before="0" w:after="0"/>
              <w:rPr>
                <w:b/>
              </w:rPr>
            </w:pPr>
            <w:r w:rsidRPr="004673D0">
              <w:rPr>
                <w:b/>
              </w:rPr>
              <w:t>Mean change in ADHD-RS-IV scores</w:t>
            </w:r>
          </w:p>
        </w:tc>
      </w:tr>
      <w:tr w:rsidR="00A102E2" w:rsidRPr="004673D0" w:rsidTr="00A102E2">
        <w:trPr>
          <w:trHeight w:val="225"/>
        </w:trPr>
        <w:tc>
          <w:tcPr>
            <w:tcW w:w="1561" w:type="pct"/>
            <w:vMerge w:val="restart"/>
            <w:shd w:val="clear" w:color="auto" w:fill="auto"/>
            <w:vAlign w:val="center"/>
          </w:tcPr>
          <w:p w:rsidR="00E46A79" w:rsidRPr="004673D0" w:rsidRDefault="00E46A79" w:rsidP="00283A23">
            <w:pPr>
              <w:pStyle w:val="TableText0"/>
              <w:spacing w:before="0" w:after="0"/>
              <w:rPr>
                <w:b/>
              </w:rPr>
            </w:pPr>
            <w:r w:rsidRPr="004673D0">
              <w:rPr>
                <w:b/>
              </w:rPr>
              <w:t>Trial</w:t>
            </w:r>
          </w:p>
        </w:tc>
        <w:tc>
          <w:tcPr>
            <w:tcW w:w="1250" w:type="pct"/>
            <w:gridSpan w:val="5"/>
            <w:shd w:val="clear" w:color="auto" w:fill="auto"/>
            <w:vAlign w:val="center"/>
          </w:tcPr>
          <w:p w:rsidR="00E46A79" w:rsidRPr="004673D0" w:rsidRDefault="00E46A79" w:rsidP="00283A23">
            <w:pPr>
              <w:pStyle w:val="TableText0"/>
              <w:spacing w:before="0" w:after="0"/>
              <w:jc w:val="center"/>
              <w:rPr>
                <w:b/>
              </w:rPr>
            </w:pPr>
            <w:r w:rsidRPr="004673D0">
              <w:rPr>
                <w:b/>
              </w:rPr>
              <w:t xml:space="preserve">Guanfacine </w:t>
            </w:r>
          </w:p>
        </w:tc>
        <w:tc>
          <w:tcPr>
            <w:tcW w:w="1252" w:type="pct"/>
            <w:gridSpan w:val="5"/>
            <w:shd w:val="clear" w:color="auto" w:fill="auto"/>
            <w:vAlign w:val="center"/>
          </w:tcPr>
          <w:p w:rsidR="00E46A79" w:rsidRPr="004673D0" w:rsidRDefault="00E46A79" w:rsidP="00283A23">
            <w:pPr>
              <w:pStyle w:val="TableText0"/>
              <w:spacing w:before="0" w:after="0"/>
              <w:jc w:val="center"/>
              <w:rPr>
                <w:b/>
              </w:rPr>
            </w:pPr>
            <w:r w:rsidRPr="004673D0">
              <w:rPr>
                <w:b/>
              </w:rPr>
              <w:t xml:space="preserve">Placebo </w:t>
            </w:r>
          </w:p>
        </w:tc>
        <w:tc>
          <w:tcPr>
            <w:tcW w:w="938" w:type="pct"/>
            <w:gridSpan w:val="2"/>
            <w:vMerge w:val="restart"/>
            <w:shd w:val="clear" w:color="auto" w:fill="auto"/>
            <w:vAlign w:val="center"/>
          </w:tcPr>
          <w:p w:rsidR="00E46A79" w:rsidRPr="004673D0" w:rsidRDefault="00E46A79" w:rsidP="00283A23">
            <w:pPr>
              <w:pStyle w:val="TableText0"/>
              <w:spacing w:before="0" w:after="0"/>
              <w:jc w:val="center"/>
            </w:pPr>
            <w:r w:rsidRPr="004673D0">
              <w:rPr>
                <w:b/>
              </w:rPr>
              <w:t xml:space="preserve">Mean difference* </w:t>
            </w:r>
            <w:r w:rsidRPr="004673D0">
              <w:rPr>
                <w:b/>
              </w:rPr>
              <w:br/>
              <w:t>(95% CI)</w:t>
            </w:r>
          </w:p>
        </w:tc>
      </w:tr>
      <w:tr w:rsidR="00A102E2" w:rsidRPr="004673D0" w:rsidTr="00A102E2">
        <w:trPr>
          <w:trHeight w:val="225"/>
        </w:trPr>
        <w:tc>
          <w:tcPr>
            <w:tcW w:w="1561" w:type="pct"/>
            <w:vMerge/>
            <w:shd w:val="clear" w:color="auto" w:fill="auto"/>
            <w:vAlign w:val="center"/>
          </w:tcPr>
          <w:p w:rsidR="00E46A79" w:rsidRPr="004673D0" w:rsidRDefault="00E46A79" w:rsidP="000E497C">
            <w:pPr>
              <w:pStyle w:val="TableText0"/>
              <w:spacing w:before="0" w:after="0"/>
            </w:pPr>
          </w:p>
        </w:tc>
        <w:tc>
          <w:tcPr>
            <w:tcW w:w="391" w:type="pct"/>
            <w:shd w:val="clear" w:color="auto" w:fill="auto"/>
            <w:vAlign w:val="center"/>
          </w:tcPr>
          <w:p w:rsidR="00E46A79" w:rsidRPr="004673D0" w:rsidRDefault="00E46A79" w:rsidP="00283A23">
            <w:pPr>
              <w:pStyle w:val="TableText0"/>
              <w:spacing w:before="0" w:after="0"/>
              <w:jc w:val="center"/>
              <w:rPr>
                <w:b/>
              </w:rPr>
            </w:pPr>
            <w:r w:rsidRPr="004673D0">
              <w:rPr>
                <w:b/>
              </w:rPr>
              <w:t>n</w:t>
            </w:r>
          </w:p>
        </w:tc>
        <w:tc>
          <w:tcPr>
            <w:tcW w:w="469" w:type="pct"/>
            <w:gridSpan w:val="2"/>
            <w:shd w:val="clear" w:color="auto" w:fill="auto"/>
            <w:vAlign w:val="center"/>
          </w:tcPr>
          <w:p w:rsidR="00E46A79" w:rsidRPr="004673D0" w:rsidRDefault="00E46A79" w:rsidP="00283A23">
            <w:pPr>
              <w:pStyle w:val="TableText0"/>
              <w:spacing w:before="0" w:after="0"/>
              <w:jc w:val="center"/>
              <w:rPr>
                <w:b/>
              </w:rPr>
            </w:pPr>
            <w:r w:rsidRPr="004673D0">
              <w:rPr>
                <w:b/>
              </w:rPr>
              <w:t xml:space="preserve">Mean ∆ </w:t>
            </w:r>
          </w:p>
        </w:tc>
        <w:tc>
          <w:tcPr>
            <w:tcW w:w="390" w:type="pct"/>
            <w:gridSpan w:val="2"/>
            <w:shd w:val="clear" w:color="auto" w:fill="auto"/>
            <w:vAlign w:val="center"/>
          </w:tcPr>
          <w:p w:rsidR="00E46A79" w:rsidRPr="004673D0" w:rsidRDefault="00E46A79" w:rsidP="00283A23">
            <w:pPr>
              <w:pStyle w:val="TableText0"/>
              <w:spacing w:before="0" w:after="0"/>
              <w:jc w:val="center"/>
              <w:rPr>
                <w:b/>
              </w:rPr>
            </w:pPr>
            <w:r w:rsidRPr="004673D0">
              <w:rPr>
                <w:b/>
              </w:rPr>
              <w:t>SD</w:t>
            </w:r>
          </w:p>
        </w:tc>
        <w:tc>
          <w:tcPr>
            <w:tcW w:w="391" w:type="pct"/>
            <w:shd w:val="clear" w:color="auto" w:fill="auto"/>
            <w:vAlign w:val="center"/>
          </w:tcPr>
          <w:p w:rsidR="00E46A79" w:rsidRPr="004673D0" w:rsidRDefault="00E46A79" w:rsidP="00283A23">
            <w:pPr>
              <w:pStyle w:val="TableText0"/>
              <w:spacing w:before="0" w:after="0"/>
              <w:jc w:val="center"/>
              <w:rPr>
                <w:b/>
              </w:rPr>
            </w:pPr>
            <w:r w:rsidRPr="004673D0">
              <w:rPr>
                <w:b/>
              </w:rPr>
              <w:t>n</w:t>
            </w:r>
          </w:p>
        </w:tc>
        <w:tc>
          <w:tcPr>
            <w:tcW w:w="470" w:type="pct"/>
            <w:gridSpan w:val="2"/>
            <w:shd w:val="clear" w:color="auto" w:fill="auto"/>
            <w:vAlign w:val="center"/>
          </w:tcPr>
          <w:p w:rsidR="00E46A79" w:rsidRPr="004673D0" w:rsidRDefault="00E46A79" w:rsidP="00283A23">
            <w:pPr>
              <w:pStyle w:val="TableText0"/>
              <w:spacing w:before="0" w:after="0"/>
              <w:jc w:val="center"/>
              <w:rPr>
                <w:b/>
              </w:rPr>
            </w:pPr>
            <w:r w:rsidRPr="004673D0">
              <w:rPr>
                <w:b/>
              </w:rPr>
              <w:t xml:space="preserve">Mean ∆ </w:t>
            </w:r>
          </w:p>
        </w:tc>
        <w:tc>
          <w:tcPr>
            <w:tcW w:w="390" w:type="pct"/>
            <w:gridSpan w:val="2"/>
            <w:shd w:val="clear" w:color="auto" w:fill="auto"/>
            <w:vAlign w:val="center"/>
          </w:tcPr>
          <w:p w:rsidR="00E46A79" w:rsidRPr="004673D0" w:rsidRDefault="00E46A79" w:rsidP="00283A23">
            <w:pPr>
              <w:pStyle w:val="TableText0"/>
              <w:spacing w:before="0" w:after="0"/>
              <w:jc w:val="center"/>
              <w:rPr>
                <w:b/>
              </w:rPr>
            </w:pPr>
            <w:r w:rsidRPr="004673D0">
              <w:rPr>
                <w:b/>
              </w:rPr>
              <w:t>SD</w:t>
            </w:r>
          </w:p>
        </w:tc>
        <w:tc>
          <w:tcPr>
            <w:tcW w:w="938" w:type="pct"/>
            <w:gridSpan w:val="2"/>
            <w:vMerge/>
            <w:shd w:val="clear" w:color="auto" w:fill="auto"/>
            <w:vAlign w:val="center"/>
          </w:tcPr>
          <w:p w:rsidR="00E46A79" w:rsidRPr="004673D0" w:rsidRDefault="00E46A79" w:rsidP="000E497C">
            <w:pPr>
              <w:pStyle w:val="TableText0"/>
              <w:spacing w:before="0" w:after="0"/>
            </w:pPr>
          </w:p>
        </w:tc>
      </w:tr>
      <w:tr w:rsidR="00A102E2" w:rsidRPr="004673D0" w:rsidTr="00A102E2">
        <w:tc>
          <w:tcPr>
            <w:tcW w:w="1561" w:type="pct"/>
            <w:tcBorders>
              <w:bottom w:val="double" w:sz="4" w:space="0" w:color="auto"/>
            </w:tcBorders>
            <w:shd w:val="clear" w:color="auto" w:fill="auto"/>
            <w:vAlign w:val="center"/>
          </w:tcPr>
          <w:p w:rsidR="00E46A79" w:rsidRPr="004673D0" w:rsidRDefault="00E46A79" w:rsidP="005C0F06">
            <w:pPr>
              <w:pStyle w:val="TableText0"/>
              <w:spacing w:before="0" w:after="0"/>
            </w:pPr>
            <w:r w:rsidRPr="004673D0">
              <w:t>Trial 313</w:t>
            </w:r>
          </w:p>
        </w:tc>
        <w:tc>
          <w:tcPr>
            <w:tcW w:w="391" w:type="pct"/>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297</w:t>
            </w:r>
          </w:p>
        </w:tc>
        <w:tc>
          <w:tcPr>
            <w:tcW w:w="469"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-20.7</w:t>
            </w:r>
          </w:p>
        </w:tc>
        <w:tc>
          <w:tcPr>
            <w:tcW w:w="390"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12.56</w:t>
            </w:r>
          </w:p>
        </w:tc>
        <w:tc>
          <w:tcPr>
            <w:tcW w:w="391" w:type="pct"/>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152</w:t>
            </w:r>
          </w:p>
        </w:tc>
        <w:tc>
          <w:tcPr>
            <w:tcW w:w="470"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-16.0</w:t>
            </w:r>
          </w:p>
        </w:tc>
        <w:tc>
          <w:tcPr>
            <w:tcW w:w="390"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11.77</w:t>
            </w:r>
          </w:p>
        </w:tc>
        <w:tc>
          <w:tcPr>
            <w:tcW w:w="938"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rPr>
                <w:b/>
              </w:rPr>
              <w:t>-4.70 (-7.05, -2.35)</w:t>
            </w:r>
          </w:p>
        </w:tc>
      </w:tr>
      <w:tr w:rsidR="00E46A79" w:rsidRPr="004673D0" w:rsidTr="00E46A79">
        <w:tc>
          <w:tcPr>
            <w:tcW w:w="5000" w:type="pct"/>
            <w:gridSpan w:val="13"/>
            <w:tcBorders>
              <w:top w:val="double" w:sz="4" w:space="0" w:color="auto"/>
            </w:tcBorders>
            <w:shd w:val="clear" w:color="auto" w:fill="auto"/>
            <w:vAlign w:val="center"/>
          </w:tcPr>
          <w:p w:rsidR="00E46A79" w:rsidRPr="004673D0" w:rsidRDefault="00E46A79" w:rsidP="00283A23">
            <w:pPr>
              <w:pStyle w:val="TableText0"/>
              <w:spacing w:before="0" w:after="0"/>
              <w:rPr>
                <w:b/>
                <w:u w:val="single"/>
              </w:rPr>
            </w:pPr>
            <w:r w:rsidRPr="004673D0">
              <w:rPr>
                <w:b/>
                <w:u w:val="single"/>
              </w:rPr>
              <w:t>Harms</w:t>
            </w:r>
          </w:p>
        </w:tc>
      </w:tr>
      <w:tr w:rsidR="00A102E2" w:rsidRPr="004673D0" w:rsidTr="00A102E2">
        <w:trPr>
          <w:trHeight w:val="70"/>
        </w:trPr>
        <w:tc>
          <w:tcPr>
            <w:tcW w:w="1561" w:type="pct"/>
            <w:vMerge w:val="restart"/>
            <w:shd w:val="clear" w:color="auto" w:fill="auto"/>
            <w:vAlign w:val="center"/>
          </w:tcPr>
          <w:p w:rsidR="00E46A79" w:rsidRPr="004673D0" w:rsidRDefault="00E46A79" w:rsidP="00283A23">
            <w:pPr>
              <w:pStyle w:val="TableText0"/>
              <w:spacing w:before="0" w:after="0"/>
            </w:pPr>
          </w:p>
        </w:tc>
        <w:tc>
          <w:tcPr>
            <w:tcW w:w="547" w:type="pct"/>
            <w:gridSpan w:val="2"/>
            <w:vMerge w:val="restart"/>
            <w:shd w:val="clear" w:color="auto" w:fill="auto"/>
            <w:vAlign w:val="center"/>
          </w:tcPr>
          <w:p w:rsidR="00E46A79" w:rsidRPr="004673D0" w:rsidRDefault="00E46A79" w:rsidP="00283A23">
            <w:pPr>
              <w:pStyle w:val="TableText0"/>
              <w:spacing w:before="0" w:after="0"/>
              <w:jc w:val="center"/>
              <w:rPr>
                <w:b/>
              </w:rPr>
            </w:pPr>
            <w:r w:rsidRPr="004673D0">
              <w:rPr>
                <w:b/>
              </w:rPr>
              <w:t xml:space="preserve">Guanfacine </w:t>
            </w:r>
          </w:p>
        </w:tc>
        <w:tc>
          <w:tcPr>
            <w:tcW w:w="385" w:type="pct"/>
            <w:gridSpan w:val="2"/>
            <w:vMerge w:val="restart"/>
            <w:shd w:val="clear" w:color="auto" w:fill="auto"/>
            <w:vAlign w:val="center"/>
          </w:tcPr>
          <w:p w:rsidR="00E46A79" w:rsidRPr="004673D0" w:rsidRDefault="00E46A79" w:rsidP="00283A23">
            <w:pPr>
              <w:pStyle w:val="TableText0"/>
              <w:spacing w:before="0" w:after="0"/>
              <w:jc w:val="center"/>
              <w:rPr>
                <w:b/>
              </w:rPr>
            </w:pPr>
            <w:r w:rsidRPr="004673D0">
              <w:rPr>
                <w:b/>
              </w:rPr>
              <w:t xml:space="preserve">Placebo </w:t>
            </w:r>
          </w:p>
        </w:tc>
        <w:tc>
          <w:tcPr>
            <w:tcW w:w="788" w:type="pct"/>
            <w:gridSpan w:val="3"/>
            <w:vMerge w:val="restart"/>
            <w:shd w:val="clear" w:color="auto" w:fill="auto"/>
            <w:vAlign w:val="center"/>
          </w:tcPr>
          <w:p w:rsidR="00E46A79" w:rsidRPr="004673D0" w:rsidRDefault="00E46A79" w:rsidP="00283A23">
            <w:pPr>
              <w:pStyle w:val="TableText0"/>
              <w:spacing w:before="0" w:after="0"/>
              <w:jc w:val="center"/>
              <w:rPr>
                <w:b/>
              </w:rPr>
            </w:pPr>
            <w:r w:rsidRPr="004673D0">
              <w:rPr>
                <w:b/>
              </w:rPr>
              <w:t>RR (95% CI)</w:t>
            </w:r>
          </w:p>
        </w:tc>
        <w:tc>
          <w:tcPr>
            <w:tcW w:w="956" w:type="pct"/>
            <w:gridSpan w:val="4"/>
            <w:shd w:val="clear" w:color="auto" w:fill="auto"/>
            <w:vAlign w:val="center"/>
          </w:tcPr>
          <w:p w:rsidR="00E46A79" w:rsidRPr="004673D0" w:rsidRDefault="00E46A79" w:rsidP="00283A23">
            <w:pPr>
              <w:pStyle w:val="TableText0"/>
              <w:spacing w:before="0" w:after="0"/>
              <w:jc w:val="center"/>
              <w:rPr>
                <w:b/>
              </w:rPr>
            </w:pPr>
            <w:r w:rsidRPr="004673D0">
              <w:rPr>
                <w:b/>
              </w:rPr>
              <w:t>Events/100 patients*</w:t>
            </w:r>
          </w:p>
        </w:tc>
        <w:tc>
          <w:tcPr>
            <w:tcW w:w="763" w:type="pct"/>
            <w:vMerge w:val="restart"/>
            <w:shd w:val="clear" w:color="auto" w:fill="auto"/>
            <w:vAlign w:val="center"/>
          </w:tcPr>
          <w:p w:rsidR="00E46A79" w:rsidRPr="004673D0" w:rsidRDefault="00E46A79" w:rsidP="00283A23">
            <w:pPr>
              <w:pStyle w:val="TableText0"/>
              <w:spacing w:before="0" w:after="0"/>
              <w:jc w:val="center"/>
              <w:rPr>
                <w:b/>
              </w:rPr>
            </w:pPr>
            <w:r w:rsidRPr="004673D0">
              <w:rPr>
                <w:b/>
              </w:rPr>
              <w:t>RD (95% CI)</w:t>
            </w:r>
          </w:p>
        </w:tc>
      </w:tr>
      <w:tr w:rsidR="00A102E2" w:rsidRPr="004673D0" w:rsidTr="00A102E2">
        <w:trPr>
          <w:trHeight w:val="227"/>
        </w:trPr>
        <w:tc>
          <w:tcPr>
            <w:tcW w:w="1561" w:type="pct"/>
            <w:vMerge/>
            <w:shd w:val="clear" w:color="auto" w:fill="auto"/>
            <w:vAlign w:val="center"/>
          </w:tcPr>
          <w:p w:rsidR="00E46A79" w:rsidRPr="004673D0" w:rsidRDefault="00E46A79" w:rsidP="000E497C">
            <w:pPr>
              <w:pStyle w:val="TableText0"/>
              <w:spacing w:before="0" w:after="0"/>
            </w:pPr>
          </w:p>
        </w:tc>
        <w:tc>
          <w:tcPr>
            <w:tcW w:w="547" w:type="pct"/>
            <w:gridSpan w:val="2"/>
            <w:vMerge/>
            <w:shd w:val="clear" w:color="auto" w:fill="auto"/>
            <w:vAlign w:val="center"/>
          </w:tcPr>
          <w:p w:rsidR="00E46A79" w:rsidRPr="004673D0" w:rsidRDefault="00E46A79" w:rsidP="000E497C">
            <w:pPr>
              <w:pStyle w:val="TableText0"/>
              <w:spacing w:before="0" w:after="0"/>
            </w:pPr>
          </w:p>
        </w:tc>
        <w:tc>
          <w:tcPr>
            <w:tcW w:w="385" w:type="pct"/>
            <w:gridSpan w:val="2"/>
            <w:vMerge/>
            <w:shd w:val="clear" w:color="auto" w:fill="auto"/>
            <w:vAlign w:val="center"/>
          </w:tcPr>
          <w:p w:rsidR="00E46A79" w:rsidRPr="004673D0" w:rsidRDefault="00E46A79" w:rsidP="000E497C">
            <w:pPr>
              <w:pStyle w:val="TableText0"/>
              <w:spacing w:before="0" w:after="0"/>
            </w:pPr>
          </w:p>
        </w:tc>
        <w:tc>
          <w:tcPr>
            <w:tcW w:w="788" w:type="pct"/>
            <w:gridSpan w:val="3"/>
            <w:vMerge/>
            <w:shd w:val="clear" w:color="auto" w:fill="auto"/>
            <w:vAlign w:val="center"/>
          </w:tcPr>
          <w:p w:rsidR="00E46A79" w:rsidRPr="004673D0" w:rsidRDefault="00E46A79" w:rsidP="000E497C">
            <w:pPr>
              <w:pStyle w:val="TableText0"/>
              <w:spacing w:before="0" w:after="0"/>
            </w:pPr>
          </w:p>
        </w:tc>
        <w:tc>
          <w:tcPr>
            <w:tcW w:w="546" w:type="pct"/>
            <w:gridSpan w:val="2"/>
            <w:shd w:val="clear" w:color="auto" w:fill="auto"/>
            <w:vAlign w:val="center"/>
          </w:tcPr>
          <w:p w:rsidR="00E46A79" w:rsidRPr="004673D0" w:rsidRDefault="00E46A79" w:rsidP="00283A23">
            <w:pPr>
              <w:pStyle w:val="TableText0"/>
              <w:spacing w:before="0" w:after="0"/>
              <w:jc w:val="center"/>
              <w:rPr>
                <w:b/>
              </w:rPr>
            </w:pPr>
            <w:r w:rsidRPr="004673D0">
              <w:rPr>
                <w:b/>
              </w:rPr>
              <w:t xml:space="preserve">Guanfacine </w:t>
            </w:r>
          </w:p>
        </w:tc>
        <w:tc>
          <w:tcPr>
            <w:tcW w:w="410" w:type="pct"/>
            <w:gridSpan w:val="2"/>
            <w:shd w:val="clear" w:color="auto" w:fill="auto"/>
            <w:vAlign w:val="center"/>
          </w:tcPr>
          <w:p w:rsidR="00E46A79" w:rsidRPr="004673D0" w:rsidRDefault="00E46A79" w:rsidP="00283A23">
            <w:pPr>
              <w:pStyle w:val="TableText0"/>
              <w:spacing w:before="0" w:after="0"/>
              <w:jc w:val="center"/>
              <w:rPr>
                <w:b/>
              </w:rPr>
            </w:pPr>
            <w:r w:rsidRPr="004673D0">
              <w:rPr>
                <w:b/>
              </w:rPr>
              <w:t xml:space="preserve">Placebo </w:t>
            </w:r>
          </w:p>
        </w:tc>
        <w:tc>
          <w:tcPr>
            <w:tcW w:w="763" w:type="pct"/>
            <w:vMerge/>
            <w:shd w:val="clear" w:color="auto" w:fill="auto"/>
            <w:vAlign w:val="center"/>
          </w:tcPr>
          <w:p w:rsidR="00E46A79" w:rsidRPr="004673D0" w:rsidRDefault="00E46A79" w:rsidP="000E497C">
            <w:pPr>
              <w:pStyle w:val="TableText0"/>
              <w:spacing w:before="0" w:after="0"/>
            </w:pPr>
          </w:p>
        </w:tc>
      </w:tr>
      <w:tr w:rsidR="00E46A79" w:rsidRPr="004673D0" w:rsidTr="00E46A79">
        <w:tc>
          <w:tcPr>
            <w:tcW w:w="5000" w:type="pct"/>
            <w:gridSpan w:val="13"/>
            <w:shd w:val="clear" w:color="auto" w:fill="auto"/>
            <w:vAlign w:val="center"/>
          </w:tcPr>
          <w:p w:rsidR="00E46A79" w:rsidRPr="004673D0" w:rsidRDefault="00E46A79" w:rsidP="00283A23">
            <w:pPr>
              <w:pStyle w:val="TableText0"/>
              <w:spacing w:before="0" w:after="0"/>
              <w:rPr>
                <w:b/>
              </w:rPr>
            </w:pPr>
            <w:r w:rsidRPr="004673D0">
              <w:rPr>
                <w:b/>
              </w:rPr>
              <w:t>Abdominal pain (upper)</w:t>
            </w:r>
          </w:p>
        </w:tc>
      </w:tr>
      <w:tr w:rsidR="00A102E2" w:rsidRPr="004673D0" w:rsidTr="00A102E2">
        <w:tc>
          <w:tcPr>
            <w:tcW w:w="1561" w:type="pct"/>
            <w:tcBorders>
              <w:bottom w:val="double" w:sz="4" w:space="0" w:color="auto"/>
            </w:tcBorders>
            <w:shd w:val="clear" w:color="auto" w:fill="auto"/>
            <w:vAlign w:val="center"/>
          </w:tcPr>
          <w:p w:rsidR="00E46A79" w:rsidRPr="004673D0" w:rsidRDefault="00E46A79" w:rsidP="005C0F06">
            <w:pPr>
              <w:pStyle w:val="TableText0"/>
              <w:spacing w:before="0" w:after="0"/>
            </w:pPr>
            <w:r w:rsidRPr="004673D0">
              <w:t>Trial 313</w:t>
            </w:r>
          </w:p>
        </w:tc>
        <w:tc>
          <w:tcPr>
            <w:tcW w:w="547"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25/302</w:t>
            </w:r>
          </w:p>
        </w:tc>
        <w:tc>
          <w:tcPr>
            <w:tcW w:w="385"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3/153</w:t>
            </w:r>
          </w:p>
        </w:tc>
        <w:tc>
          <w:tcPr>
            <w:tcW w:w="788" w:type="pct"/>
            <w:gridSpan w:val="3"/>
            <w:tcBorders>
              <w:bottom w:val="double" w:sz="4" w:space="0" w:color="auto"/>
            </w:tcBorders>
            <w:shd w:val="clear" w:color="auto" w:fill="auto"/>
            <w:tcMar>
              <w:left w:w="0" w:type="dxa"/>
              <w:right w:w="0" w:type="dxa"/>
            </w:tcMar>
            <w:vAlign w:val="center"/>
          </w:tcPr>
          <w:p w:rsidR="00E46A79" w:rsidRPr="004673D0" w:rsidRDefault="00E46A79" w:rsidP="00283A23">
            <w:pPr>
              <w:pStyle w:val="TableText0"/>
              <w:spacing w:before="0" w:after="0"/>
              <w:jc w:val="center"/>
            </w:pPr>
            <w:r w:rsidRPr="004673D0">
              <w:rPr>
                <w:b/>
              </w:rPr>
              <w:t>4.22 (1.39, 13.04)</w:t>
            </w:r>
          </w:p>
        </w:tc>
        <w:tc>
          <w:tcPr>
            <w:tcW w:w="546"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8.3</w:t>
            </w:r>
          </w:p>
        </w:tc>
        <w:tc>
          <w:tcPr>
            <w:tcW w:w="410"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2.0</w:t>
            </w:r>
          </w:p>
        </w:tc>
        <w:tc>
          <w:tcPr>
            <w:tcW w:w="763" w:type="pct"/>
            <w:tcBorders>
              <w:bottom w:val="double" w:sz="4" w:space="0" w:color="auto"/>
            </w:tcBorders>
            <w:shd w:val="clear" w:color="auto" w:fill="auto"/>
            <w:vAlign w:val="center"/>
          </w:tcPr>
          <w:p w:rsidR="00E46A79" w:rsidRPr="004673D0" w:rsidRDefault="00E46A79" w:rsidP="00283A23">
            <w:pPr>
              <w:pStyle w:val="TableText0"/>
              <w:spacing w:before="0" w:after="0"/>
              <w:jc w:val="center"/>
              <w:rPr>
                <w:b/>
              </w:rPr>
            </w:pPr>
            <w:r w:rsidRPr="004673D0">
              <w:rPr>
                <w:b/>
              </w:rPr>
              <w:t>0.06 (0.02, 0.10)</w:t>
            </w:r>
          </w:p>
        </w:tc>
      </w:tr>
      <w:tr w:rsidR="00E46A79" w:rsidRPr="004673D0" w:rsidTr="00E46A79">
        <w:tc>
          <w:tcPr>
            <w:tcW w:w="5000" w:type="pct"/>
            <w:gridSpan w:val="13"/>
            <w:shd w:val="clear" w:color="auto" w:fill="auto"/>
            <w:vAlign w:val="center"/>
          </w:tcPr>
          <w:p w:rsidR="00E46A79" w:rsidRPr="004673D0" w:rsidRDefault="00E46A79" w:rsidP="00283A23">
            <w:pPr>
              <w:pStyle w:val="TableText0"/>
              <w:spacing w:before="0" w:after="0"/>
              <w:rPr>
                <w:b/>
              </w:rPr>
            </w:pPr>
            <w:r w:rsidRPr="004673D0">
              <w:rPr>
                <w:b/>
              </w:rPr>
              <w:t xml:space="preserve">Somnolence </w:t>
            </w:r>
          </w:p>
        </w:tc>
      </w:tr>
      <w:tr w:rsidR="00A102E2" w:rsidRPr="004673D0" w:rsidTr="00A102E2">
        <w:tc>
          <w:tcPr>
            <w:tcW w:w="1561" w:type="pct"/>
            <w:tcBorders>
              <w:bottom w:val="double" w:sz="4" w:space="0" w:color="auto"/>
            </w:tcBorders>
            <w:shd w:val="clear" w:color="auto" w:fill="auto"/>
            <w:vAlign w:val="center"/>
          </w:tcPr>
          <w:p w:rsidR="00E46A79" w:rsidRPr="004673D0" w:rsidRDefault="00E46A79" w:rsidP="005C0F06">
            <w:pPr>
              <w:pStyle w:val="TableText0"/>
              <w:spacing w:before="0" w:after="0"/>
            </w:pPr>
            <w:r w:rsidRPr="004673D0">
              <w:t>Trial 313</w:t>
            </w:r>
          </w:p>
        </w:tc>
        <w:tc>
          <w:tcPr>
            <w:tcW w:w="547"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41/302</w:t>
            </w:r>
          </w:p>
        </w:tc>
        <w:tc>
          <w:tcPr>
            <w:tcW w:w="385"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7/153</w:t>
            </w:r>
          </w:p>
        </w:tc>
        <w:tc>
          <w:tcPr>
            <w:tcW w:w="788" w:type="pct"/>
            <w:gridSpan w:val="3"/>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rPr>
                <w:b/>
              </w:rPr>
              <w:t>2.97 (1.40, 6.38)</w:t>
            </w:r>
          </w:p>
        </w:tc>
        <w:tc>
          <w:tcPr>
            <w:tcW w:w="546"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13.6</w:t>
            </w:r>
          </w:p>
        </w:tc>
        <w:tc>
          <w:tcPr>
            <w:tcW w:w="410" w:type="pct"/>
            <w:gridSpan w:val="2"/>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t>4.6</w:t>
            </w:r>
          </w:p>
        </w:tc>
        <w:tc>
          <w:tcPr>
            <w:tcW w:w="763" w:type="pct"/>
            <w:tcBorders>
              <w:bottom w:val="double" w:sz="4" w:space="0" w:color="auto"/>
            </w:tcBorders>
            <w:shd w:val="clear" w:color="auto" w:fill="auto"/>
            <w:vAlign w:val="center"/>
          </w:tcPr>
          <w:p w:rsidR="00E46A79" w:rsidRPr="004673D0" w:rsidRDefault="00E46A79" w:rsidP="00283A23">
            <w:pPr>
              <w:pStyle w:val="TableText0"/>
              <w:spacing w:before="0" w:after="0"/>
              <w:jc w:val="center"/>
            </w:pPr>
            <w:r w:rsidRPr="004673D0">
              <w:rPr>
                <w:b/>
              </w:rPr>
              <w:t>0.09 (0.03, 0.14)</w:t>
            </w:r>
          </w:p>
        </w:tc>
      </w:tr>
    </w:tbl>
    <w:p w:rsidR="00E46A79" w:rsidRPr="004673D0" w:rsidRDefault="00E46A79" w:rsidP="00283A23">
      <w:pPr>
        <w:pStyle w:val="TableFooter"/>
        <w:widowControl/>
      </w:pPr>
      <w:r w:rsidRPr="004673D0">
        <w:t>Abbreviations: PBO = placebo; RD = risk difference; RR = risk ratio</w:t>
      </w:r>
    </w:p>
    <w:p w:rsidR="00E46A79" w:rsidRPr="004673D0" w:rsidRDefault="00E46A79" w:rsidP="00283A23">
      <w:pPr>
        <w:pStyle w:val="TableFooter"/>
        <w:widowControl/>
      </w:pPr>
      <w:r w:rsidRPr="004673D0">
        <w:t>*Trial 313 duration of exposure 8 weeks</w:t>
      </w:r>
    </w:p>
    <w:p w:rsidR="00E46A79" w:rsidRPr="004673D0" w:rsidRDefault="00E46A79" w:rsidP="00283A23">
      <w:pPr>
        <w:pStyle w:val="TableFooter"/>
        <w:widowControl/>
        <w:spacing w:after="120"/>
      </w:pPr>
      <w:r w:rsidRPr="004673D0">
        <w:t xml:space="preserve">Source: </w:t>
      </w:r>
      <w:r w:rsidR="00547B02" w:rsidRPr="004673D0">
        <w:t>Guanfacine July 2017 Public Summary Document</w:t>
      </w:r>
    </w:p>
    <w:p w:rsidR="00E46A79" w:rsidRPr="004673D0" w:rsidRDefault="00E46A79" w:rsidP="00283A23">
      <w:pPr>
        <w:pStyle w:val="ListParagraph"/>
        <w:widowControl/>
        <w:numPr>
          <w:ilvl w:val="1"/>
          <w:numId w:val="14"/>
        </w:numPr>
        <w:spacing w:after="120"/>
        <w:contextualSpacing w:val="0"/>
        <w:rPr>
          <w:rFonts w:asciiTheme="minorHAnsi" w:hAnsiTheme="minorHAnsi"/>
          <w:sz w:val="24"/>
          <w:szCs w:val="24"/>
        </w:rPr>
      </w:pPr>
      <w:r w:rsidRPr="004673D0">
        <w:rPr>
          <w:rFonts w:asciiTheme="minorHAnsi" w:hAnsiTheme="minorHAnsi"/>
          <w:sz w:val="24"/>
          <w:szCs w:val="24"/>
        </w:rPr>
        <w:t>On the basis of direct comparison evidence presented by the submission, for every 100 patients treated with guanfacine + long-acting stimulant in comparison to placebo + long-acting stimulant, over a duration of exposure of 8 weeks:</w:t>
      </w:r>
    </w:p>
    <w:p w:rsidR="00E46A79" w:rsidRPr="004673D0" w:rsidRDefault="00E46A79" w:rsidP="00283A23">
      <w:pPr>
        <w:pStyle w:val="ListParagraph"/>
        <w:numPr>
          <w:ilvl w:val="0"/>
          <w:numId w:val="1"/>
        </w:numPr>
        <w:spacing w:after="120"/>
        <w:ind w:left="1077" w:hanging="357"/>
        <w:contextualSpacing w:val="0"/>
        <w:rPr>
          <w:rFonts w:asciiTheme="minorHAnsi" w:hAnsiTheme="minorHAnsi"/>
          <w:sz w:val="24"/>
          <w:szCs w:val="24"/>
        </w:rPr>
      </w:pPr>
      <w:r w:rsidRPr="004673D0">
        <w:rPr>
          <w:rFonts w:asciiTheme="minorHAnsi" w:hAnsiTheme="minorHAnsi"/>
          <w:sz w:val="24"/>
          <w:szCs w:val="24"/>
        </w:rPr>
        <w:t>Approximately 16 additional patients would achieve symptomatic remission</w:t>
      </w:r>
      <w:r w:rsidR="006338B7" w:rsidRPr="004673D0">
        <w:rPr>
          <w:rFonts w:asciiTheme="minorHAnsi" w:hAnsiTheme="minorHAnsi"/>
          <w:sz w:val="24"/>
          <w:szCs w:val="24"/>
        </w:rPr>
        <w:t>;</w:t>
      </w:r>
      <w:r w:rsidRPr="004673D0">
        <w:rPr>
          <w:rFonts w:asciiTheme="minorHAnsi" w:hAnsiTheme="minorHAnsi"/>
          <w:sz w:val="24"/>
          <w:szCs w:val="24"/>
        </w:rPr>
        <w:t xml:space="preserve"> </w:t>
      </w:r>
    </w:p>
    <w:p w:rsidR="00E46A79" w:rsidRPr="004673D0" w:rsidRDefault="00E46A79" w:rsidP="00283A23">
      <w:pPr>
        <w:pStyle w:val="ListParagraph"/>
        <w:numPr>
          <w:ilvl w:val="0"/>
          <w:numId w:val="1"/>
        </w:numPr>
        <w:spacing w:after="120"/>
        <w:ind w:left="1077" w:hanging="357"/>
        <w:contextualSpacing w:val="0"/>
        <w:rPr>
          <w:rFonts w:asciiTheme="minorHAnsi" w:hAnsiTheme="minorHAnsi"/>
          <w:sz w:val="24"/>
          <w:szCs w:val="24"/>
        </w:rPr>
      </w:pPr>
      <w:r w:rsidRPr="004673D0">
        <w:rPr>
          <w:rFonts w:asciiTheme="minorHAnsi" w:hAnsiTheme="minorHAnsi"/>
          <w:sz w:val="24"/>
          <w:szCs w:val="24"/>
        </w:rPr>
        <w:t>Approximately 11 would be classified as a responder (defined as an ADHD-RS-IV reduction of ≥</w:t>
      </w:r>
      <w:r w:rsidR="00871E4A" w:rsidRPr="004673D0">
        <w:rPr>
          <w:rFonts w:asciiTheme="minorHAnsi" w:hAnsiTheme="minorHAnsi"/>
          <w:sz w:val="24"/>
          <w:szCs w:val="24"/>
        </w:rPr>
        <w:t xml:space="preserve"> </w:t>
      </w:r>
      <w:r w:rsidRPr="004673D0">
        <w:rPr>
          <w:rFonts w:asciiTheme="minorHAnsi" w:hAnsiTheme="minorHAnsi"/>
          <w:sz w:val="24"/>
          <w:szCs w:val="24"/>
        </w:rPr>
        <w:t>25%)</w:t>
      </w:r>
      <w:r w:rsidR="006338B7" w:rsidRPr="004673D0">
        <w:rPr>
          <w:rFonts w:asciiTheme="minorHAnsi" w:hAnsiTheme="minorHAnsi"/>
          <w:sz w:val="24"/>
          <w:szCs w:val="24"/>
        </w:rPr>
        <w:t>;</w:t>
      </w:r>
    </w:p>
    <w:p w:rsidR="00E46A79" w:rsidRPr="004673D0" w:rsidRDefault="00E46A79" w:rsidP="00283A23">
      <w:pPr>
        <w:pStyle w:val="ListParagraph"/>
        <w:numPr>
          <w:ilvl w:val="0"/>
          <w:numId w:val="1"/>
        </w:numPr>
        <w:spacing w:after="120"/>
        <w:ind w:left="1077" w:hanging="357"/>
        <w:contextualSpacing w:val="0"/>
        <w:rPr>
          <w:rFonts w:asciiTheme="minorHAnsi" w:hAnsiTheme="minorHAnsi"/>
          <w:sz w:val="24"/>
          <w:szCs w:val="24"/>
        </w:rPr>
      </w:pPr>
      <w:r w:rsidRPr="004673D0">
        <w:rPr>
          <w:rFonts w:asciiTheme="minorHAnsi" w:hAnsiTheme="minorHAnsi"/>
          <w:sz w:val="24"/>
          <w:szCs w:val="24"/>
        </w:rPr>
        <w:t>Approximately a 4.70 point greater reduction in the ADHD-RS-IV total score was achieved. Note, this may not represent a clinically significant change in ADHD</w:t>
      </w:r>
      <w:r w:rsidRPr="004673D0">
        <w:rPr>
          <w:rFonts w:asciiTheme="minorHAnsi" w:hAnsiTheme="minorHAnsi"/>
          <w:sz w:val="24"/>
          <w:szCs w:val="24"/>
        </w:rPr>
        <w:noBreakHyphen/>
        <w:t>RS</w:t>
      </w:r>
      <w:r w:rsidRPr="004673D0">
        <w:rPr>
          <w:rFonts w:asciiTheme="minorHAnsi" w:hAnsiTheme="minorHAnsi"/>
          <w:sz w:val="24"/>
          <w:szCs w:val="24"/>
        </w:rPr>
        <w:noBreakHyphen/>
        <w:t>IV total score</w:t>
      </w:r>
      <w:r w:rsidR="006338B7" w:rsidRPr="004673D0">
        <w:rPr>
          <w:rFonts w:asciiTheme="minorHAnsi" w:hAnsiTheme="minorHAnsi"/>
          <w:sz w:val="24"/>
          <w:szCs w:val="24"/>
        </w:rPr>
        <w:t>; and</w:t>
      </w:r>
    </w:p>
    <w:p w:rsidR="00E46A79" w:rsidRPr="004673D0" w:rsidRDefault="00E46A79" w:rsidP="00283A23">
      <w:pPr>
        <w:pStyle w:val="ListParagraph"/>
        <w:numPr>
          <w:ilvl w:val="0"/>
          <w:numId w:val="1"/>
        </w:numPr>
        <w:spacing w:after="120"/>
        <w:ind w:left="1077" w:hanging="357"/>
        <w:contextualSpacing w:val="0"/>
        <w:rPr>
          <w:rFonts w:asciiTheme="minorHAnsi" w:hAnsiTheme="minorHAnsi"/>
          <w:sz w:val="24"/>
          <w:szCs w:val="24"/>
        </w:rPr>
      </w:pPr>
      <w:r w:rsidRPr="004673D0">
        <w:rPr>
          <w:rFonts w:asciiTheme="minorHAnsi" w:hAnsiTheme="minorHAnsi"/>
          <w:sz w:val="24"/>
          <w:szCs w:val="24"/>
        </w:rPr>
        <w:t>Approximately 6 additional patients would have abdominal pain (upper) and 9 additional patients would have somnolence.</w:t>
      </w:r>
    </w:p>
    <w:p w:rsidR="003C2FB5" w:rsidRPr="004673D0" w:rsidRDefault="005A3173" w:rsidP="00283A23">
      <w:pPr>
        <w:pStyle w:val="Heading2"/>
        <w:keepLines/>
        <w:spacing w:before="240" w:after="120"/>
        <w:rPr>
          <w:rFonts w:asciiTheme="minorHAnsi" w:eastAsiaTheme="majorEastAsia" w:hAnsiTheme="minorHAnsi" w:cstheme="majorBidi"/>
          <w:sz w:val="28"/>
          <w:szCs w:val="28"/>
          <w:lang w:eastAsia="en-US"/>
        </w:rPr>
      </w:pPr>
      <w:r w:rsidRPr="004673D0">
        <w:rPr>
          <w:rFonts w:asciiTheme="minorHAnsi" w:eastAsiaTheme="majorEastAsia" w:hAnsiTheme="minorHAnsi" w:cstheme="majorBidi"/>
          <w:sz w:val="28"/>
          <w:szCs w:val="28"/>
          <w:lang w:eastAsia="en-US"/>
        </w:rPr>
        <w:t>Clinical claim</w:t>
      </w:r>
    </w:p>
    <w:p w:rsidR="009B0F67" w:rsidRPr="004673D0" w:rsidRDefault="00E46A79" w:rsidP="00283A23">
      <w:pPr>
        <w:pStyle w:val="ListParagraph"/>
        <w:widowControl/>
        <w:numPr>
          <w:ilvl w:val="1"/>
          <w:numId w:val="14"/>
        </w:numPr>
        <w:spacing w:after="120"/>
        <w:contextualSpacing w:val="0"/>
        <w:rPr>
          <w:rFonts w:asciiTheme="minorHAnsi" w:hAnsiTheme="minorHAnsi"/>
          <w:sz w:val="24"/>
          <w:szCs w:val="24"/>
        </w:rPr>
      </w:pPr>
      <w:r w:rsidRPr="004673D0">
        <w:rPr>
          <w:rFonts w:asciiTheme="minorHAnsi" w:hAnsiTheme="minorHAnsi"/>
          <w:sz w:val="24"/>
          <w:szCs w:val="24"/>
        </w:rPr>
        <w:t xml:space="preserve">The </w:t>
      </w:r>
      <w:r w:rsidR="00283A23" w:rsidRPr="004673D0">
        <w:rPr>
          <w:rFonts w:asciiTheme="minorHAnsi" w:hAnsiTheme="minorHAnsi"/>
          <w:sz w:val="24"/>
          <w:szCs w:val="24"/>
        </w:rPr>
        <w:t>re</w:t>
      </w:r>
      <w:r w:rsidRPr="004673D0">
        <w:rPr>
          <w:rFonts w:asciiTheme="minorHAnsi" w:hAnsiTheme="minorHAnsi"/>
          <w:sz w:val="24"/>
          <w:szCs w:val="24"/>
        </w:rPr>
        <w:t xml:space="preserve">submission repeated its clinical claim from the July 2017 submission and described guanfacine, in combination with stimulant therapy, as superior in terms of comparative effectiveness and inferior in terms of comparative safety over placebo </w:t>
      </w:r>
      <w:r w:rsidR="00D90110" w:rsidRPr="004673D0">
        <w:rPr>
          <w:rFonts w:asciiTheme="minorHAnsi" w:hAnsiTheme="minorHAnsi"/>
          <w:sz w:val="24"/>
          <w:szCs w:val="24"/>
        </w:rPr>
        <w:t xml:space="preserve">when used </w:t>
      </w:r>
      <w:r w:rsidRPr="004673D0">
        <w:rPr>
          <w:rFonts w:asciiTheme="minorHAnsi" w:hAnsiTheme="minorHAnsi"/>
          <w:sz w:val="24"/>
          <w:szCs w:val="24"/>
        </w:rPr>
        <w:t>in combination with stimulant therapy in patients who have an unsatisfactory response on optim</w:t>
      </w:r>
      <w:r w:rsidR="00943F27" w:rsidRPr="004673D0">
        <w:rPr>
          <w:rFonts w:asciiTheme="minorHAnsi" w:hAnsiTheme="minorHAnsi"/>
          <w:sz w:val="24"/>
          <w:szCs w:val="24"/>
        </w:rPr>
        <w:t>ised</w:t>
      </w:r>
      <w:r w:rsidRPr="004673D0">
        <w:rPr>
          <w:rFonts w:asciiTheme="minorHAnsi" w:hAnsiTheme="minorHAnsi"/>
          <w:sz w:val="24"/>
          <w:szCs w:val="24"/>
        </w:rPr>
        <w:t xml:space="preserve"> stimulant therapy.</w:t>
      </w:r>
    </w:p>
    <w:p w:rsidR="00A102E2" w:rsidRPr="004673D0" w:rsidRDefault="007B5A46" w:rsidP="00283A23">
      <w:pPr>
        <w:pStyle w:val="ListParagraph"/>
        <w:widowControl/>
        <w:numPr>
          <w:ilvl w:val="1"/>
          <w:numId w:val="14"/>
        </w:numPr>
        <w:spacing w:after="120"/>
        <w:contextualSpacing w:val="0"/>
        <w:rPr>
          <w:rFonts w:asciiTheme="minorHAnsi" w:hAnsiTheme="minorHAnsi"/>
          <w:sz w:val="24"/>
          <w:szCs w:val="24"/>
        </w:rPr>
      </w:pPr>
      <w:r w:rsidRPr="004673D0">
        <w:rPr>
          <w:rFonts w:asciiTheme="minorHAnsi" w:hAnsiTheme="minorHAnsi"/>
          <w:sz w:val="24"/>
          <w:szCs w:val="24"/>
        </w:rPr>
        <w:t>In its previous consideration, t</w:t>
      </w:r>
      <w:r w:rsidR="00A102E2" w:rsidRPr="004673D0">
        <w:rPr>
          <w:rFonts w:asciiTheme="minorHAnsi" w:hAnsiTheme="minorHAnsi"/>
          <w:sz w:val="24"/>
          <w:szCs w:val="24"/>
        </w:rPr>
        <w:t>he PBAC noted that for ad</w:t>
      </w:r>
      <w:r w:rsidR="007435DB" w:rsidRPr="004673D0">
        <w:rPr>
          <w:rFonts w:asciiTheme="minorHAnsi" w:hAnsiTheme="minorHAnsi"/>
          <w:sz w:val="24"/>
          <w:szCs w:val="24"/>
        </w:rPr>
        <w:t>d-on</w:t>
      </w:r>
      <w:r w:rsidR="00A102E2" w:rsidRPr="004673D0">
        <w:rPr>
          <w:rFonts w:asciiTheme="minorHAnsi" w:hAnsiTheme="minorHAnsi"/>
          <w:sz w:val="24"/>
          <w:szCs w:val="24"/>
        </w:rPr>
        <w:t xml:space="preserve"> therapy, Trial 313 showed statistically significant improvements f</w:t>
      </w:r>
      <w:r w:rsidRPr="004673D0">
        <w:rPr>
          <w:rFonts w:asciiTheme="minorHAnsi" w:hAnsiTheme="minorHAnsi"/>
          <w:sz w:val="24"/>
          <w:szCs w:val="24"/>
        </w:rPr>
        <w:t>or</w:t>
      </w:r>
      <w:r w:rsidR="00A102E2" w:rsidRPr="004673D0">
        <w:rPr>
          <w:rFonts w:asciiTheme="minorHAnsi" w:hAnsiTheme="minorHAnsi"/>
          <w:sz w:val="24"/>
          <w:szCs w:val="24"/>
        </w:rPr>
        <w:t xml:space="preserve"> guanfacine over placebo for all outcomes, although the clinical significance of the change in ADHD score was uncertain (paragraph 7.8, July 2017</w:t>
      </w:r>
      <w:r w:rsidR="00283A23" w:rsidRPr="004673D0">
        <w:rPr>
          <w:rFonts w:asciiTheme="minorHAnsi" w:hAnsiTheme="minorHAnsi"/>
          <w:sz w:val="24"/>
          <w:szCs w:val="24"/>
        </w:rPr>
        <w:t xml:space="preserve"> PSD</w:t>
      </w:r>
      <w:r w:rsidR="00A102E2" w:rsidRPr="004673D0">
        <w:rPr>
          <w:rFonts w:asciiTheme="minorHAnsi" w:hAnsiTheme="minorHAnsi"/>
          <w:sz w:val="24"/>
          <w:szCs w:val="24"/>
        </w:rPr>
        <w:t>).</w:t>
      </w:r>
    </w:p>
    <w:p w:rsidR="00A102E2" w:rsidRPr="004673D0" w:rsidRDefault="00A102E2" w:rsidP="00283A23">
      <w:pPr>
        <w:pStyle w:val="ListParagraph"/>
        <w:widowControl/>
        <w:numPr>
          <w:ilvl w:val="1"/>
          <w:numId w:val="14"/>
        </w:numPr>
        <w:spacing w:after="120"/>
        <w:contextualSpacing w:val="0"/>
        <w:rPr>
          <w:rFonts w:asciiTheme="minorHAnsi" w:hAnsiTheme="minorHAnsi"/>
          <w:sz w:val="24"/>
          <w:szCs w:val="24"/>
        </w:rPr>
      </w:pPr>
      <w:r w:rsidRPr="004673D0">
        <w:rPr>
          <w:rFonts w:asciiTheme="minorHAnsi" w:hAnsiTheme="minorHAnsi"/>
          <w:sz w:val="24"/>
          <w:szCs w:val="24"/>
        </w:rPr>
        <w:lastRenderedPageBreak/>
        <w:t>The PBAC accepted the claim of inferior comparative safety over placebo in combination with stimulant therapy (paragraph 7.9, July 2017</w:t>
      </w:r>
      <w:r w:rsidR="00283A23" w:rsidRPr="004673D0">
        <w:rPr>
          <w:rFonts w:asciiTheme="minorHAnsi" w:hAnsiTheme="minorHAnsi"/>
          <w:sz w:val="24"/>
          <w:szCs w:val="24"/>
        </w:rPr>
        <w:t xml:space="preserve"> PSD</w:t>
      </w:r>
      <w:r w:rsidRPr="004673D0">
        <w:rPr>
          <w:rFonts w:asciiTheme="minorHAnsi" w:hAnsiTheme="minorHAnsi"/>
          <w:sz w:val="24"/>
          <w:szCs w:val="24"/>
        </w:rPr>
        <w:t>).</w:t>
      </w:r>
    </w:p>
    <w:p w:rsidR="005A3173" w:rsidRPr="004673D0" w:rsidRDefault="005A3173" w:rsidP="00966D0D">
      <w:pPr>
        <w:pStyle w:val="Heading2"/>
        <w:keepLines/>
        <w:spacing w:before="240" w:after="120"/>
        <w:rPr>
          <w:rFonts w:asciiTheme="minorHAnsi" w:eastAsiaTheme="majorEastAsia" w:hAnsiTheme="minorHAnsi" w:cstheme="majorBidi"/>
          <w:sz w:val="28"/>
          <w:szCs w:val="28"/>
          <w:lang w:eastAsia="en-US"/>
        </w:rPr>
      </w:pPr>
      <w:r w:rsidRPr="004673D0">
        <w:rPr>
          <w:rFonts w:asciiTheme="minorHAnsi" w:eastAsiaTheme="majorEastAsia" w:hAnsiTheme="minorHAnsi" w:cstheme="majorBidi"/>
          <w:sz w:val="28"/>
          <w:szCs w:val="28"/>
          <w:lang w:eastAsia="en-US"/>
        </w:rPr>
        <w:t>Economic analysis</w:t>
      </w:r>
    </w:p>
    <w:p w:rsidR="009B0F67" w:rsidRPr="004673D0" w:rsidRDefault="00E46A79" w:rsidP="00E46A79">
      <w:pPr>
        <w:pStyle w:val="ListParagraph"/>
        <w:widowControl/>
        <w:numPr>
          <w:ilvl w:val="1"/>
          <w:numId w:val="14"/>
        </w:numPr>
        <w:spacing w:after="120"/>
        <w:contextualSpacing w:val="0"/>
        <w:rPr>
          <w:rFonts w:asciiTheme="minorHAnsi" w:hAnsiTheme="minorHAnsi"/>
          <w:sz w:val="24"/>
          <w:szCs w:val="24"/>
        </w:rPr>
      </w:pPr>
      <w:r w:rsidRPr="004673D0">
        <w:rPr>
          <w:rFonts w:asciiTheme="minorHAnsi" w:hAnsiTheme="minorHAnsi"/>
          <w:sz w:val="24"/>
          <w:szCs w:val="24"/>
        </w:rPr>
        <w:t xml:space="preserve">The </w:t>
      </w:r>
      <w:r w:rsidR="00283A23" w:rsidRPr="004673D0">
        <w:rPr>
          <w:rFonts w:asciiTheme="minorHAnsi" w:hAnsiTheme="minorHAnsi"/>
          <w:sz w:val="24"/>
          <w:szCs w:val="24"/>
        </w:rPr>
        <w:t>minor re</w:t>
      </w:r>
      <w:r w:rsidRPr="004673D0">
        <w:rPr>
          <w:rFonts w:asciiTheme="minorHAnsi" w:hAnsiTheme="minorHAnsi"/>
          <w:sz w:val="24"/>
          <w:szCs w:val="24"/>
        </w:rPr>
        <w:t xml:space="preserve">submission </w:t>
      </w:r>
      <w:r w:rsidR="000E497C" w:rsidRPr="004673D0">
        <w:rPr>
          <w:rFonts w:asciiTheme="minorHAnsi" w:hAnsiTheme="minorHAnsi"/>
          <w:sz w:val="24"/>
          <w:szCs w:val="24"/>
        </w:rPr>
        <w:t>updated its</w:t>
      </w:r>
      <w:r w:rsidRPr="004673D0">
        <w:rPr>
          <w:rFonts w:asciiTheme="minorHAnsi" w:hAnsiTheme="minorHAnsi"/>
          <w:sz w:val="24"/>
          <w:szCs w:val="24"/>
        </w:rPr>
        <w:t xml:space="preserve"> economic analysis </w:t>
      </w:r>
      <w:r w:rsidR="000E497C" w:rsidRPr="004673D0">
        <w:rPr>
          <w:rFonts w:asciiTheme="minorHAnsi" w:hAnsiTheme="minorHAnsi"/>
          <w:sz w:val="24"/>
          <w:szCs w:val="24"/>
        </w:rPr>
        <w:t>using</w:t>
      </w:r>
      <w:r w:rsidRPr="004673D0">
        <w:rPr>
          <w:rFonts w:asciiTheme="minorHAnsi" w:hAnsiTheme="minorHAnsi"/>
          <w:sz w:val="24"/>
          <w:szCs w:val="24"/>
        </w:rPr>
        <w:t xml:space="preserve"> a lower price </w:t>
      </w:r>
      <w:r w:rsidR="003A0AFC" w:rsidRPr="004673D0">
        <w:rPr>
          <w:rFonts w:asciiTheme="minorHAnsi" w:hAnsiTheme="minorHAnsi"/>
          <w:sz w:val="24"/>
          <w:szCs w:val="24"/>
        </w:rPr>
        <w:t>for</w:t>
      </w:r>
      <w:r w:rsidRPr="004673D0">
        <w:rPr>
          <w:rFonts w:asciiTheme="minorHAnsi" w:hAnsiTheme="minorHAnsi"/>
          <w:sz w:val="24"/>
          <w:szCs w:val="24"/>
        </w:rPr>
        <w:t xml:space="preserve"> guanfacine in the add-on therapy setting</w:t>
      </w:r>
      <w:r w:rsidR="000E565B" w:rsidRPr="004673D0">
        <w:rPr>
          <w:rFonts w:asciiTheme="minorHAnsi" w:hAnsiTheme="minorHAnsi"/>
          <w:sz w:val="24"/>
          <w:szCs w:val="24"/>
        </w:rPr>
        <w:t xml:space="preserve"> (DPMQ of $</w:t>
      </w:r>
      <w:r w:rsidR="00F83616">
        <w:rPr>
          <w:rFonts w:asciiTheme="minorHAnsi" w:hAnsiTheme="minorHAnsi"/>
          <w:noProof/>
          <w:color w:val="000000"/>
          <w:sz w:val="24"/>
          <w:szCs w:val="24"/>
          <w:highlight w:val="black"/>
        </w:rPr>
        <w:t>''''''''''</w:t>
      </w:r>
      <w:r w:rsidR="000E565B" w:rsidRPr="004673D0">
        <w:rPr>
          <w:rFonts w:asciiTheme="minorHAnsi" w:hAnsiTheme="minorHAnsi"/>
          <w:sz w:val="24"/>
          <w:szCs w:val="24"/>
        </w:rPr>
        <w:t xml:space="preserve"> versus $</w:t>
      </w:r>
      <w:r w:rsidR="00F83616">
        <w:rPr>
          <w:rFonts w:asciiTheme="minorHAnsi" w:hAnsiTheme="minorHAnsi"/>
          <w:noProof/>
          <w:color w:val="000000"/>
          <w:sz w:val="24"/>
          <w:szCs w:val="24"/>
          <w:highlight w:val="black"/>
        </w:rPr>
        <w:t>''''''''''</w:t>
      </w:r>
      <w:r w:rsidR="000E565B" w:rsidRPr="004673D0">
        <w:rPr>
          <w:rFonts w:asciiTheme="minorHAnsi" w:hAnsiTheme="minorHAnsi"/>
          <w:sz w:val="24"/>
          <w:szCs w:val="24"/>
        </w:rPr>
        <w:t xml:space="preserve"> in the previous submission)</w:t>
      </w:r>
      <w:r w:rsidRPr="004673D0">
        <w:rPr>
          <w:rFonts w:asciiTheme="minorHAnsi" w:hAnsiTheme="minorHAnsi"/>
          <w:sz w:val="24"/>
          <w:szCs w:val="24"/>
        </w:rPr>
        <w:t>.</w:t>
      </w:r>
    </w:p>
    <w:p w:rsidR="00E46A79" w:rsidRPr="004673D0" w:rsidRDefault="00E46A79" w:rsidP="00E46A79">
      <w:pPr>
        <w:pStyle w:val="ListParagraph"/>
        <w:widowControl/>
        <w:numPr>
          <w:ilvl w:val="1"/>
          <w:numId w:val="14"/>
        </w:numPr>
        <w:spacing w:after="120"/>
        <w:contextualSpacing w:val="0"/>
        <w:rPr>
          <w:rFonts w:asciiTheme="minorHAnsi" w:hAnsiTheme="minorHAnsi"/>
          <w:i/>
          <w:sz w:val="24"/>
          <w:szCs w:val="24"/>
        </w:rPr>
      </w:pPr>
      <w:r w:rsidRPr="004673D0">
        <w:rPr>
          <w:rFonts w:asciiTheme="minorHAnsi" w:hAnsiTheme="minorHAnsi"/>
          <w:sz w:val="24"/>
          <w:szCs w:val="24"/>
        </w:rPr>
        <w:t>The</w:t>
      </w:r>
      <w:r w:rsidR="002E3F28" w:rsidRPr="004673D0">
        <w:rPr>
          <w:rFonts w:asciiTheme="minorHAnsi" w:hAnsiTheme="minorHAnsi"/>
          <w:sz w:val="24"/>
          <w:szCs w:val="24"/>
        </w:rPr>
        <w:t xml:space="preserve"> PBAC, in its </w:t>
      </w:r>
      <w:r w:rsidR="00283A23" w:rsidRPr="004673D0">
        <w:rPr>
          <w:rFonts w:asciiTheme="minorHAnsi" w:hAnsiTheme="minorHAnsi"/>
          <w:sz w:val="24"/>
          <w:szCs w:val="24"/>
        </w:rPr>
        <w:t>July 2017 consideration</w:t>
      </w:r>
      <w:r w:rsidR="002E3F28" w:rsidRPr="004673D0">
        <w:rPr>
          <w:rFonts w:asciiTheme="minorHAnsi" w:hAnsiTheme="minorHAnsi"/>
          <w:sz w:val="24"/>
          <w:szCs w:val="24"/>
        </w:rPr>
        <w:t>, explicitly requested that any resubmission for the add-on indication should include a lower price and no other amendments to the economic model.</w:t>
      </w:r>
      <w:r w:rsidR="00E860D4" w:rsidRPr="004673D0">
        <w:rPr>
          <w:rFonts w:asciiTheme="minorHAnsi" w:hAnsiTheme="minorHAnsi"/>
          <w:sz w:val="24"/>
          <w:szCs w:val="24"/>
        </w:rPr>
        <w:t xml:space="preserve"> A comparison of the economic incremental cost-effectiveness ratios (ICERs) between the two submissions is presented in the table below.</w:t>
      </w:r>
      <w:r w:rsidR="0021489C" w:rsidRPr="004673D0">
        <w:rPr>
          <w:rFonts w:asciiTheme="minorHAnsi" w:hAnsiTheme="minorHAnsi"/>
          <w:sz w:val="24"/>
          <w:szCs w:val="24"/>
        </w:rPr>
        <w:t xml:space="preserve"> </w:t>
      </w:r>
      <w:r w:rsidR="00A37050" w:rsidRPr="004673D0">
        <w:rPr>
          <w:rFonts w:asciiTheme="minorHAnsi" w:hAnsiTheme="minorHAnsi"/>
          <w:sz w:val="24"/>
          <w:szCs w:val="24"/>
        </w:rPr>
        <w:t>T</w:t>
      </w:r>
      <w:r w:rsidR="0021489C" w:rsidRPr="004673D0">
        <w:rPr>
          <w:rFonts w:asciiTheme="minorHAnsi" w:hAnsiTheme="minorHAnsi"/>
          <w:sz w:val="24"/>
          <w:szCs w:val="24"/>
        </w:rPr>
        <w:t xml:space="preserve">he change in DPMQ </w:t>
      </w:r>
      <w:r w:rsidR="000E497C" w:rsidRPr="004673D0">
        <w:rPr>
          <w:rFonts w:asciiTheme="minorHAnsi" w:hAnsiTheme="minorHAnsi"/>
          <w:sz w:val="24"/>
          <w:szCs w:val="24"/>
        </w:rPr>
        <w:t>was</w:t>
      </w:r>
      <w:r w:rsidR="0021489C" w:rsidRPr="004673D0">
        <w:rPr>
          <w:rFonts w:asciiTheme="minorHAnsi" w:hAnsiTheme="minorHAnsi"/>
          <w:sz w:val="24"/>
          <w:szCs w:val="24"/>
        </w:rPr>
        <w:t xml:space="preserve"> the only </w:t>
      </w:r>
      <w:r w:rsidR="006B21B0" w:rsidRPr="004673D0">
        <w:rPr>
          <w:rFonts w:asciiTheme="minorHAnsi" w:hAnsiTheme="minorHAnsi"/>
          <w:sz w:val="24"/>
          <w:szCs w:val="24"/>
        </w:rPr>
        <w:t xml:space="preserve">amendment made to </w:t>
      </w:r>
      <w:r w:rsidR="0021489C" w:rsidRPr="004673D0">
        <w:rPr>
          <w:rFonts w:asciiTheme="minorHAnsi" w:hAnsiTheme="minorHAnsi"/>
          <w:sz w:val="24"/>
          <w:szCs w:val="24"/>
        </w:rPr>
        <w:t>the model.</w:t>
      </w:r>
    </w:p>
    <w:p w:rsidR="00547B02" w:rsidRPr="004673D0" w:rsidRDefault="00547B02" w:rsidP="00BB13B9">
      <w:pPr>
        <w:pStyle w:val="Caption"/>
      </w:pPr>
      <w:r w:rsidRPr="004673D0">
        <w:t xml:space="preserve">Table </w:t>
      </w:r>
      <w:r w:rsidR="000177C1" w:rsidRPr="004673D0">
        <w:t>4</w:t>
      </w:r>
      <w:r w:rsidRPr="004673D0">
        <w:t>: Summary of ICERs from original submission, revised base case and current resubmission</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026"/>
        <w:gridCol w:w="2026"/>
        <w:gridCol w:w="1714"/>
      </w:tblGrid>
      <w:tr w:rsidR="000E497C" w:rsidRPr="004673D0" w:rsidTr="00280420">
        <w:trPr>
          <w:trHeight w:val="419"/>
        </w:trPr>
        <w:tc>
          <w:tcPr>
            <w:tcW w:w="1844" w:type="pct"/>
            <w:tcBorders>
              <w:top w:val="single" w:sz="4" w:space="0" w:color="auto"/>
              <w:left w:val="single" w:sz="4" w:space="0" w:color="auto"/>
              <w:bottom w:val="single" w:sz="4" w:space="0" w:color="auto"/>
              <w:right w:val="single" w:sz="4" w:space="0" w:color="auto"/>
            </w:tcBorders>
            <w:noWrap/>
            <w:vAlign w:val="center"/>
            <w:hideMark/>
          </w:tcPr>
          <w:p w:rsidR="000E497C" w:rsidRPr="004673D0" w:rsidRDefault="000E497C" w:rsidP="006C3C02">
            <w:pPr>
              <w:keepNext/>
              <w:spacing w:before="40" w:after="40"/>
              <w:rPr>
                <w:rFonts w:ascii="Arial Narrow" w:hAnsi="Arial Narrow"/>
                <w:sz w:val="20"/>
                <w:szCs w:val="20"/>
              </w:rPr>
            </w:pP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0E497C" w:rsidRPr="004673D0" w:rsidRDefault="000E497C" w:rsidP="006C3C02">
            <w:pPr>
              <w:pStyle w:val="Tabletext"/>
              <w:keepNext/>
              <w:spacing w:before="40" w:after="40"/>
              <w:rPr>
                <w:rFonts w:ascii="Arial Narrow" w:hAnsi="Arial Narrow"/>
                <w:b/>
                <w:lang w:eastAsia="en-AU"/>
              </w:rPr>
            </w:pPr>
            <w:r w:rsidRPr="004673D0">
              <w:rPr>
                <w:rFonts w:ascii="Arial Narrow" w:hAnsi="Arial Narrow"/>
                <w:lang w:eastAsia="en-AU"/>
              </w:rPr>
              <w:t>Guanfacine + stimulant</w:t>
            </w: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0E497C" w:rsidRPr="004673D0" w:rsidRDefault="000E497C" w:rsidP="006C3C02">
            <w:pPr>
              <w:pStyle w:val="Tabletext"/>
              <w:keepNext/>
              <w:spacing w:before="40" w:after="40"/>
              <w:rPr>
                <w:rFonts w:ascii="Arial Narrow" w:hAnsi="Arial Narrow"/>
                <w:b/>
                <w:lang w:eastAsia="en-AU"/>
              </w:rPr>
            </w:pPr>
            <w:r w:rsidRPr="004673D0">
              <w:rPr>
                <w:rFonts w:ascii="Arial Narrow" w:hAnsi="Arial Narrow"/>
                <w:lang w:eastAsia="en-AU"/>
              </w:rPr>
              <w:t>Stimulant</w:t>
            </w:r>
          </w:p>
        </w:tc>
        <w:tc>
          <w:tcPr>
            <w:tcW w:w="938" w:type="pct"/>
            <w:tcBorders>
              <w:top w:val="single" w:sz="4" w:space="0" w:color="auto"/>
              <w:left w:val="single" w:sz="4" w:space="0" w:color="auto"/>
              <w:bottom w:val="single" w:sz="4" w:space="0" w:color="auto"/>
              <w:right w:val="single" w:sz="4" w:space="0" w:color="auto"/>
            </w:tcBorders>
            <w:noWrap/>
            <w:vAlign w:val="center"/>
            <w:hideMark/>
          </w:tcPr>
          <w:p w:rsidR="000E497C" w:rsidRPr="004673D0" w:rsidRDefault="005C0F06" w:rsidP="006C3C02">
            <w:pPr>
              <w:pStyle w:val="Tabletext"/>
              <w:keepNext/>
              <w:spacing w:before="40" w:after="40"/>
              <w:rPr>
                <w:rFonts w:ascii="Arial Narrow" w:hAnsi="Arial Narrow"/>
                <w:b/>
                <w:lang w:eastAsia="en-AU"/>
              </w:rPr>
            </w:pPr>
            <w:r w:rsidRPr="004673D0">
              <w:rPr>
                <w:rFonts w:ascii="Arial Narrow" w:hAnsi="Arial Narrow"/>
                <w:b/>
                <w:lang w:eastAsia="en-AU"/>
              </w:rPr>
              <w:t>Increment</w:t>
            </w:r>
          </w:p>
        </w:tc>
      </w:tr>
      <w:tr w:rsidR="000E497C" w:rsidRPr="004673D0" w:rsidTr="006C3C02">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rsidR="000E497C" w:rsidRPr="004673D0" w:rsidRDefault="000E497C" w:rsidP="006C3C02">
            <w:pPr>
              <w:pStyle w:val="Tabletext"/>
              <w:keepNext/>
              <w:spacing w:before="40" w:after="40"/>
              <w:rPr>
                <w:rFonts w:ascii="Arial Narrow" w:hAnsi="Arial Narrow"/>
                <w:lang w:eastAsia="en-AU"/>
              </w:rPr>
            </w:pPr>
            <w:r w:rsidRPr="004673D0">
              <w:rPr>
                <w:rFonts w:ascii="Arial Narrow" w:hAnsi="Arial Narrow"/>
                <w:b/>
                <w:u w:val="single"/>
                <w:lang w:eastAsia="en-AU"/>
              </w:rPr>
              <w:t>July 2017 base case (DPMQ = $</w:t>
            </w:r>
            <w:r w:rsidR="00F83616">
              <w:rPr>
                <w:rFonts w:ascii="Arial Narrow" w:hAnsi="Arial Narrow"/>
                <w:b/>
                <w:noProof/>
                <w:color w:val="000000"/>
                <w:highlight w:val="black"/>
                <w:u w:val="single"/>
                <w:lang w:eastAsia="en-AU"/>
              </w:rPr>
              <w:t>'''''''''''</w:t>
            </w:r>
            <w:r w:rsidRPr="004673D0">
              <w:rPr>
                <w:rFonts w:ascii="Arial Narrow" w:hAnsi="Arial Narrow"/>
                <w:b/>
                <w:u w:val="single"/>
                <w:lang w:eastAsia="en-AU"/>
              </w:rPr>
              <w:t>)</w:t>
            </w:r>
          </w:p>
        </w:tc>
      </w:tr>
      <w:tr w:rsidR="005C0F06" w:rsidRPr="004673D0" w:rsidTr="00F53E5E">
        <w:tc>
          <w:tcPr>
            <w:tcW w:w="1844" w:type="pct"/>
            <w:tcBorders>
              <w:top w:val="single" w:sz="4" w:space="0" w:color="auto"/>
              <w:left w:val="single" w:sz="4" w:space="0" w:color="auto"/>
              <w:bottom w:val="single" w:sz="4" w:space="0" w:color="auto"/>
              <w:right w:val="single" w:sz="4" w:space="0" w:color="auto"/>
            </w:tcBorders>
            <w:noWrap/>
            <w:vAlign w:val="center"/>
            <w:hideMark/>
          </w:tcPr>
          <w:p w:rsidR="005C0F06" w:rsidRPr="004673D0" w:rsidRDefault="005C0F06" w:rsidP="006C3C02">
            <w:pPr>
              <w:pStyle w:val="Tabletext"/>
              <w:keepNext/>
              <w:spacing w:before="40" w:after="40"/>
              <w:rPr>
                <w:rFonts w:ascii="Arial Narrow" w:hAnsi="Arial Narrow"/>
                <w:u w:val="single"/>
                <w:lang w:eastAsia="en-AU"/>
              </w:rPr>
            </w:pPr>
            <w:r w:rsidRPr="004673D0">
              <w:rPr>
                <w:rFonts w:ascii="Arial Narrow" w:hAnsi="Arial Narrow"/>
                <w:lang w:eastAsia="en-AU"/>
              </w:rPr>
              <w:t>Costs</w:t>
            </w: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5C0F06" w:rsidRPr="004673D0" w:rsidRDefault="005C0F06" w:rsidP="006C3C02">
            <w:pPr>
              <w:pStyle w:val="Tabletext"/>
              <w:keepNext/>
              <w:spacing w:before="40" w:after="40"/>
              <w:rPr>
                <w:rFonts w:ascii="Arial Narrow" w:hAnsi="Arial Narrow"/>
                <w:lang w:eastAsia="en-AU"/>
              </w:rPr>
            </w:pPr>
            <w:r w:rsidRPr="004673D0">
              <w:rPr>
                <w:rFonts w:ascii="Arial Narrow" w:hAnsi="Arial Narrow"/>
                <w:lang w:eastAsia="en-AU"/>
              </w:rPr>
              <w:t>$</w:t>
            </w:r>
            <w:r w:rsidR="00F83616">
              <w:rPr>
                <w:rFonts w:ascii="Arial Narrow" w:hAnsi="Arial Narrow"/>
                <w:noProof/>
                <w:color w:val="000000"/>
                <w:highlight w:val="black"/>
                <w:lang w:eastAsia="en-AU"/>
              </w:rPr>
              <w:t>''''''''''''''</w:t>
            </w: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5C0F06" w:rsidRPr="004673D0" w:rsidRDefault="005C0F06" w:rsidP="006C3C02">
            <w:pPr>
              <w:pStyle w:val="Tabletext"/>
              <w:keepNext/>
              <w:spacing w:before="40" w:after="40"/>
              <w:rPr>
                <w:rFonts w:ascii="Arial Narrow" w:hAnsi="Arial Narrow"/>
                <w:lang w:eastAsia="en-AU"/>
              </w:rPr>
            </w:pPr>
            <w:r w:rsidRPr="004673D0">
              <w:rPr>
                <w:rFonts w:ascii="Arial Narrow" w:hAnsi="Arial Narrow"/>
                <w:lang w:eastAsia="en-AU"/>
              </w:rPr>
              <w:t>$</w:t>
            </w:r>
            <w:r w:rsidR="00F83616">
              <w:rPr>
                <w:rFonts w:ascii="Arial Narrow" w:hAnsi="Arial Narrow"/>
                <w:noProof/>
                <w:color w:val="000000"/>
                <w:highlight w:val="black"/>
                <w:lang w:eastAsia="en-AU"/>
              </w:rPr>
              <w:t>''''''''''''''</w:t>
            </w:r>
          </w:p>
        </w:tc>
        <w:tc>
          <w:tcPr>
            <w:tcW w:w="938" w:type="pct"/>
            <w:tcBorders>
              <w:top w:val="single" w:sz="4" w:space="0" w:color="auto"/>
              <w:left w:val="single" w:sz="4" w:space="0" w:color="auto"/>
              <w:bottom w:val="single" w:sz="4" w:space="0" w:color="auto"/>
              <w:right w:val="single" w:sz="4" w:space="0" w:color="auto"/>
            </w:tcBorders>
            <w:noWrap/>
            <w:vAlign w:val="center"/>
          </w:tcPr>
          <w:p w:rsidR="005C0F06" w:rsidRPr="004673D0" w:rsidRDefault="005C0F06" w:rsidP="006C3C02">
            <w:pPr>
              <w:pStyle w:val="Tabletext"/>
              <w:keepNext/>
              <w:spacing w:before="40" w:after="40"/>
              <w:rPr>
                <w:rFonts w:ascii="Arial Narrow" w:hAnsi="Arial Narrow"/>
                <w:lang w:eastAsia="en-AU"/>
              </w:rPr>
            </w:pPr>
            <w:r w:rsidRPr="004673D0">
              <w:rPr>
                <w:rFonts w:ascii="Arial Narrow" w:hAnsi="Arial Narrow"/>
                <w:lang w:eastAsia="en-AU"/>
              </w:rPr>
              <w:t>$</w:t>
            </w:r>
            <w:r w:rsidR="00F83616">
              <w:rPr>
                <w:rFonts w:ascii="Arial Narrow" w:hAnsi="Arial Narrow"/>
                <w:noProof/>
                <w:color w:val="000000"/>
                <w:highlight w:val="black"/>
                <w:lang w:eastAsia="en-AU"/>
              </w:rPr>
              <w:t>''''''''''</w:t>
            </w:r>
          </w:p>
        </w:tc>
      </w:tr>
      <w:tr w:rsidR="005C0F06" w:rsidRPr="004673D0" w:rsidTr="00F53E5E">
        <w:tc>
          <w:tcPr>
            <w:tcW w:w="1844" w:type="pct"/>
            <w:tcBorders>
              <w:top w:val="single" w:sz="4" w:space="0" w:color="auto"/>
              <w:left w:val="single" w:sz="4" w:space="0" w:color="auto"/>
              <w:bottom w:val="single" w:sz="4" w:space="0" w:color="auto"/>
              <w:right w:val="single" w:sz="4" w:space="0" w:color="auto"/>
            </w:tcBorders>
            <w:noWrap/>
            <w:vAlign w:val="center"/>
            <w:hideMark/>
          </w:tcPr>
          <w:p w:rsidR="005C0F06" w:rsidRPr="004673D0" w:rsidRDefault="005C0F06" w:rsidP="006C3C02">
            <w:pPr>
              <w:pStyle w:val="Tabletext"/>
              <w:keepNext/>
              <w:spacing w:before="40" w:after="40"/>
              <w:rPr>
                <w:rFonts w:ascii="Arial Narrow" w:hAnsi="Arial Narrow"/>
                <w:u w:val="single"/>
                <w:lang w:eastAsia="en-AU"/>
              </w:rPr>
            </w:pPr>
            <w:r w:rsidRPr="004673D0">
              <w:rPr>
                <w:rFonts w:ascii="Arial Narrow" w:hAnsi="Arial Narrow"/>
                <w:lang w:eastAsia="en-AU"/>
              </w:rPr>
              <w:t xml:space="preserve">QALYs </w:t>
            </w: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5C0F06" w:rsidRPr="004673D0" w:rsidRDefault="005C0F06" w:rsidP="006C3C02">
            <w:pPr>
              <w:pStyle w:val="Tabletext"/>
              <w:keepNext/>
              <w:spacing w:before="40" w:after="40"/>
              <w:rPr>
                <w:rFonts w:ascii="Arial Narrow" w:hAnsi="Arial Narrow"/>
                <w:lang w:eastAsia="en-AU"/>
              </w:rPr>
            </w:pPr>
            <w:r w:rsidRPr="004673D0">
              <w:rPr>
                <w:rFonts w:ascii="Arial Narrow" w:hAnsi="Arial Narrow"/>
                <w:lang w:eastAsia="en-AU"/>
              </w:rPr>
              <w:t>0.8841</w:t>
            </w: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5C0F06" w:rsidRPr="004673D0" w:rsidRDefault="005C0F06" w:rsidP="006C3C02">
            <w:pPr>
              <w:pStyle w:val="Tabletext"/>
              <w:keepNext/>
              <w:spacing w:before="40" w:after="40"/>
              <w:rPr>
                <w:rFonts w:ascii="Arial Narrow" w:hAnsi="Arial Narrow"/>
                <w:lang w:eastAsia="en-AU"/>
              </w:rPr>
            </w:pPr>
            <w:r w:rsidRPr="004673D0">
              <w:rPr>
                <w:rFonts w:ascii="Arial Narrow" w:hAnsi="Arial Narrow"/>
                <w:lang w:eastAsia="en-AU"/>
              </w:rPr>
              <w:t>0.8706</w:t>
            </w:r>
          </w:p>
        </w:tc>
        <w:tc>
          <w:tcPr>
            <w:tcW w:w="938" w:type="pct"/>
            <w:tcBorders>
              <w:top w:val="single" w:sz="4" w:space="0" w:color="auto"/>
              <w:left w:val="single" w:sz="4" w:space="0" w:color="auto"/>
              <w:bottom w:val="single" w:sz="4" w:space="0" w:color="auto"/>
              <w:right w:val="single" w:sz="4" w:space="0" w:color="auto"/>
            </w:tcBorders>
            <w:noWrap/>
            <w:vAlign w:val="center"/>
          </w:tcPr>
          <w:p w:rsidR="005C0F06" w:rsidRPr="004673D0" w:rsidRDefault="005C0F06" w:rsidP="006C3C02">
            <w:pPr>
              <w:pStyle w:val="Tabletext"/>
              <w:keepNext/>
              <w:spacing w:before="40" w:after="40"/>
              <w:rPr>
                <w:rFonts w:ascii="Arial Narrow" w:hAnsi="Arial Narrow"/>
                <w:lang w:eastAsia="en-AU"/>
              </w:rPr>
            </w:pPr>
            <w:r w:rsidRPr="004673D0">
              <w:rPr>
                <w:rFonts w:ascii="Arial Narrow" w:hAnsi="Arial Narrow"/>
                <w:lang w:eastAsia="en-AU"/>
              </w:rPr>
              <w:t>0.0135</w:t>
            </w:r>
          </w:p>
        </w:tc>
      </w:tr>
      <w:tr w:rsidR="00F53E5E" w:rsidRPr="004673D0" w:rsidTr="00F53E5E">
        <w:tc>
          <w:tcPr>
            <w:tcW w:w="4062" w:type="pct"/>
            <w:gridSpan w:val="3"/>
            <w:tcBorders>
              <w:top w:val="single" w:sz="4" w:space="0" w:color="auto"/>
              <w:left w:val="single" w:sz="4" w:space="0" w:color="auto"/>
              <w:bottom w:val="single" w:sz="4" w:space="0" w:color="auto"/>
              <w:right w:val="single" w:sz="4" w:space="0" w:color="auto"/>
            </w:tcBorders>
            <w:noWrap/>
            <w:vAlign w:val="center"/>
            <w:hideMark/>
          </w:tcPr>
          <w:p w:rsidR="00F53E5E" w:rsidRPr="004673D0" w:rsidRDefault="00F53E5E" w:rsidP="006C3C02">
            <w:pPr>
              <w:pStyle w:val="Tabletext"/>
              <w:keepNext/>
              <w:spacing w:before="40" w:after="40"/>
              <w:rPr>
                <w:rFonts w:ascii="Arial Narrow" w:hAnsi="Arial Narrow"/>
                <w:lang w:eastAsia="en-AU"/>
              </w:rPr>
            </w:pPr>
            <w:r w:rsidRPr="004673D0">
              <w:rPr>
                <w:rFonts w:ascii="Arial Narrow" w:hAnsi="Arial Narrow"/>
                <w:lang w:eastAsia="en-AU"/>
              </w:rPr>
              <w:t>ICER</w:t>
            </w:r>
          </w:p>
        </w:tc>
        <w:tc>
          <w:tcPr>
            <w:tcW w:w="938" w:type="pct"/>
            <w:tcBorders>
              <w:top w:val="single" w:sz="4" w:space="0" w:color="auto"/>
              <w:left w:val="single" w:sz="4" w:space="0" w:color="auto"/>
              <w:bottom w:val="single" w:sz="4" w:space="0" w:color="auto"/>
              <w:right w:val="single" w:sz="4" w:space="0" w:color="auto"/>
            </w:tcBorders>
            <w:noWrap/>
            <w:vAlign w:val="center"/>
            <w:hideMark/>
          </w:tcPr>
          <w:p w:rsidR="00F53E5E" w:rsidRPr="004673D0" w:rsidRDefault="00F53E5E" w:rsidP="006C3C02">
            <w:pPr>
              <w:pStyle w:val="Tabletext"/>
              <w:keepNext/>
              <w:spacing w:before="40" w:after="40"/>
              <w:rPr>
                <w:rFonts w:ascii="Arial Narrow" w:hAnsi="Arial Narrow"/>
                <w:lang w:eastAsia="en-AU"/>
              </w:rPr>
            </w:pPr>
            <w:r w:rsidRPr="004673D0">
              <w:rPr>
                <w:rFonts w:ascii="Arial Narrow" w:hAnsi="Arial Narrow"/>
                <w:lang w:eastAsia="en-AU"/>
              </w:rPr>
              <w:t>$</w:t>
            </w:r>
            <w:r w:rsidR="00F83616">
              <w:rPr>
                <w:rFonts w:ascii="Arial Narrow" w:hAnsi="Arial Narrow"/>
                <w:noProof/>
                <w:color w:val="000000"/>
                <w:highlight w:val="black"/>
                <w:lang w:eastAsia="en-AU"/>
              </w:rPr>
              <w:t>'''''''''''''''</w:t>
            </w:r>
            <w:r w:rsidRPr="004673D0">
              <w:rPr>
                <w:rFonts w:ascii="Arial Narrow" w:hAnsi="Arial Narrow"/>
                <w:lang w:eastAsia="en-AU"/>
              </w:rPr>
              <w:t>/QALY</w:t>
            </w:r>
          </w:p>
        </w:tc>
      </w:tr>
      <w:tr w:rsidR="000E497C" w:rsidRPr="004673D0" w:rsidTr="006C3C02">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rsidR="000E497C" w:rsidRPr="004673D0" w:rsidRDefault="000E497C" w:rsidP="006C3C02">
            <w:pPr>
              <w:pStyle w:val="Tabletext"/>
              <w:keepNext/>
              <w:spacing w:before="40" w:after="40"/>
              <w:rPr>
                <w:rFonts w:ascii="Arial Narrow" w:hAnsi="Arial Narrow"/>
                <w:b/>
                <w:lang w:eastAsia="en-AU"/>
              </w:rPr>
            </w:pPr>
            <w:r w:rsidRPr="004673D0">
              <w:rPr>
                <w:rFonts w:ascii="Arial Narrow" w:hAnsi="Arial Narrow"/>
                <w:b/>
                <w:u w:val="single"/>
                <w:lang w:eastAsia="en-AU"/>
              </w:rPr>
              <w:t>July 2017 respecified base case after Commentary/ESC suggestions (DPMQ = $</w:t>
            </w:r>
            <w:r w:rsidR="00F83616">
              <w:rPr>
                <w:rFonts w:ascii="Arial Narrow" w:hAnsi="Arial Narrow"/>
                <w:b/>
                <w:noProof/>
                <w:color w:val="000000"/>
                <w:highlight w:val="black"/>
                <w:u w:val="single"/>
                <w:lang w:eastAsia="en-AU"/>
              </w:rPr>
              <w:t>''''''''''''</w:t>
            </w:r>
            <w:r w:rsidRPr="004673D0">
              <w:rPr>
                <w:rFonts w:ascii="Arial Narrow" w:hAnsi="Arial Narrow"/>
                <w:b/>
                <w:u w:val="single"/>
                <w:lang w:eastAsia="en-AU"/>
              </w:rPr>
              <w:t>)</w:t>
            </w:r>
          </w:p>
        </w:tc>
      </w:tr>
      <w:tr w:rsidR="000E497C" w:rsidRPr="004673D0" w:rsidTr="00F53E5E">
        <w:tc>
          <w:tcPr>
            <w:tcW w:w="1844" w:type="pct"/>
            <w:tcBorders>
              <w:top w:val="single" w:sz="4" w:space="0" w:color="auto"/>
              <w:left w:val="single" w:sz="4" w:space="0" w:color="auto"/>
              <w:bottom w:val="single" w:sz="4" w:space="0" w:color="auto"/>
              <w:right w:val="single" w:sz="4" w:space="0" w:color="auto"/>
            </w:tcBorders>
            <w:noWrap/>
            <w:vAlign w:val="center"/>
            <w:hideMark/>
          </w:tcPr>
          <w:p w:rsidR="000E497C" w:rsidRPr="004673D0" w:rsidRDefault="000E497C" w:rsidP="006C3C02">
            <w:pPr>
              <w:pStyle w:val="Tabletext"/>
              <w:keepNext/>
              <w:spacing w:before="40" w:after="40"/>
              <w:rPr>
                <w:rFonts w:ascii="Arial Narrow" w:hAnsi="Arial Narrow"/>
                <w:lang w:eastAsia="en-AU"/>
              </w:rPr>
            </w:pPr>
            <w:r w:rsidRPr="004673D0">
              <w:rPr>
                <w:rFonts w:ascii="Arial Narrow" w:hAnsi="Arial Narrow"/>
                <w:lang w:eastAsia="en-AU"/>
              </w:rPr>
              <w:t>Costs</w:t>
            </w: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0E497C" w:rsidRPr="004673D0" w:rsidRDefault="000E497C" w:rsidP="006C3C02">
            <w:pPr>
              <w:pStyle w:val="Tabletext"/>
              <w:keepNext/>
              <w:spacing w:before="40" w:after="40"/>
              <w:rPr>
                <w:rFonts w:ascii="Arial Narrow" w:hAnsi="Arial Narrow"/>
                <w:lang w:eastAsia="en-AU"/>
              </w:rPr>
            </w:pPr>
            <w:r w:rsidRPr="004673D0">
              <w:rPr>
                <w:rFonts w:ascii="Arial Narrow" w:hAnsi="Arial Narrow"/>
                <w:lang w:eastAsia="en-AU"/>
              </w:rPr>
              <w:t>$</w:t>
            </w:r>
            <w:r w:rsidR="00F83616">
              <w:rPr>
                <w:rFonts w:ascii="Arial Narrow" w:hAnsi="Arial Narrow"/>
                <w:noProof/>
                <w:color w:val="000000"/>
                <w:highlight w:val="black"/>
                <w:lang w:eastAsia="en-AU"/>
              </w:rPr>
              <w:t>'''''''''''''</w:t>
            </w: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0E497C" w:rsidRPr="004673D0" w:rsidRDefault="00F53E5E" w:rsidP="006C3C02">
            <w:pPr>
              <w:pStyle w:val="Tabletext"/>
              <w:keepNext/>
              <w:spacing w:before="40" w:after="40"/>
              <w:rPr>
                <w:rFonts w:ascii="Arial Narrow" w:hAnsi="Arial Narrow"/>
                <w:lang w:eastAsia="en-AU"/>
              </w:rPr>
            </w:pPr>
            <w:r w:rsidRPr="004673D0">
              <w:rPr>
                <w:rFonts w:ascii="Arial Narrow" w:hAnsi="Arial Narrow"/>
                <w:lang w:eastAsia="en-AU"/>
              </w:rPr>
              <w:t>$</w:t>
            </w:r>
            <w:r w:rsidR="00F83616">
              <w:rPr>
                <w:rFonts w:ascii="Arial Narrow" w:hAnsi="Arial Narrow"/>
                <w:noProof/>
                <w:color w:val="000000"/>
                <w:highlight w:val="black"/>
                <w:lang w:eastAsia="en-AU"/>
              </w:rPr>
              <w:t>''''''''''''''</w:t>
            </w:r>
          </w:p>
        </w:tc>
        <w:tc>
          <w:tcPr>
            <w:tcW w:w="938" w:type="pct"/>
            <w:tcBorders>
              <w:top w:val="single" w:sz="4" w:space="0" w:color="auto"/>
              <w:left w:val="single" w:sz="4" w:space="0" w:color="auto"/>
              <w:bottom w:val="single" w:sz="4" w:space="0" w:color="auto"/>
              <w:right w:val="single" w:sz="4" w:space="0" w:color="auto"/>
            </w:tcBorders>
            <w:noWrap/>
            <w:vAlign w:val="center"/>
          </w:tcPr>
          <w:p w:rsidR="000E497C" w:rsidRPr="004673D0" w:rsidRDefault="00F53E5E" w:rsidP="006C3C02">
            <w:pPr>
              <w:pStyle w:val="Tabletext"/>
              <w:keepNext/>
              <w:spacing w:before="40" w:after="40"/>
              <w:rPr>
                <w:rFonts w:ascii="Arial Narrow" w:hAnsi="Arial Narrow"/>
                <w:lang w:eastAsia="en-AU"/>
              </w:rPr>
            </w:pPr>
            <w:r w:rsidRPr="004673D0">
              <w:rPr>
                <w:rFonts w:ascii="Arial Narrow" w:hAnsi="Arial Narrow"/>
                <w:lang w:eastAsia="en-AU"/>
              </w:rPr>
              <w:t>$</w:t>
            </w:r>
            <w:r w:rsidR="00F83616">
              <w:rPr>
                <w:rFonts w:ascii="Arial Narrow" w:hAnsi="Arial Narrow"/>
                <w:noProof/>
                <w:color w:val="000000"/>
                <w:highlight w:val="black"/>
                <w:lang w:eastAsia="en-AU"/>
              </w:rPr>
              <w:t>'''''''''</w:t>
            </w:r>
          </w:p>
        </w:tc>
      </w:tr>
      <w:tr w:rsidR="000E497C" w:rsidRPr="004673D0" w:rsidTr="00F53E5E">
        <w:tc>
          <w:tcPr>
            <w:tcW w:w="1844" w:type="pct"/>
            <w:tcBorders>
              <w:top w:val="single" w:sz="4" w:space="0" w:color="auto"/>
              <w:left w:val="single" w:sz="4" w:space="0" w:color="auto"/>
              <w:bottom w:val="single" w:sz="4" w:space="0" w:color="auto"/>
              <w:right w:val="single" w:sz="4" w:space="0" w:color="auto"/>
            </w:tcBorders>
            <w:noWrap/>
            <w:vAlign w:val="center"/>
            <w:hideMark/>
          </w:tcPr>
          <w:p w:rsidR="000E497C" w:rsidRPr="004673D0" w:rsidRDefault="000E497C" w:rsidP="000E497C">
            <w:pPr>
              <w:pStyle w:val="Tabletext"/>
              <w:keepNext/>
              <w:spacing w:before="40" w:after="40"/>
              <w:rPr>
                <w:rFonts w:ascii="Arial Narrow" w:hAnsi="Arial Narrow"/>
                <w:lang w:eastAsia="en-AU"/>
              </w:rPr>
            </w:pPr>
            <w:r w:rsidRPr="004673D0">
              <w:rPr>
                <w:rFonts w:ascii="Arial Narrow" w:hAnsi="Arial Narrow"/>
                <w:lang w:eastAsia="en-AU"/>
              </w:rPr>
              <w:t xml:space="preserve">QALYs </w:t>
            </w: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0E497C" w:rsidRPr="004673D0" w:rsidRDefault="00F53E5E" w:rsidP="006C3C02">
            <w:pPr>
              <w:pStyle w:val="Tabletext"/>
              <w:keepNext/>
              <w:spacing w:before="40" w:after="40"/>
              <w:rPr>
                <w:rFonts w:ascii="Arial Narrow" w:hAnsi="Arial Narrow"/>
                <w:lang w:eastAsia="en-AU"/>
              </w:rPr>
            </w:pPr>
            <w:r w:rsidRPr="004673D0">
              <w:rPr>
                <w:rFonts w:ascii="Arial Narrow" w:hAnsi="Arial Narrow"/>
                <w:lang w:eastAsia="en-AU"/>
              </w:rPr>
              <w:t>0.8841</w:t>
            </w: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0E497C" w:rsidRPr="004673D0" w:rsidRDefault="000E497C" w:rsidP="006C3C02">
            <w:pPr>
              <w:pStyle w:val="Tabletext"/>
              <w:keepNext/>
              <w:spacing w:before="40" w:after="40"/>
              <w:rPr>
                <w:rFonts w:ascii="Arial Narrow" w:hAnsi="Arial Narrow"/>
                <w:lang w:eastAsia="en-AU"/>
              </w:rPr>
            </w:pPr>
            <w:r w:rsidRPr="004673D0">
              <w:rPr>
                <w:rFonts w:ascii="Arial Narrow" w:hAnsi="Arial Narrow"/>
                <w:lang w:eastAsia="en-AU"/>
              </w:rPr>
              <w:t>0.8706</w:t>
            </w:r>
          </w:p>
        </w:tc>
        <w:tc>
          <w:tcPr>
            <w:tcW w:w="938" w:type="pct"/>
            <w:tcBorders>
              <w:top w:val="single" w:sz="4" w:space="0" w:color="auto"/>
              <w:left w:val="single" w:sz="4" w:space="0" w:color="auto"/>
              <w:bottom w:val="single" w:sz="4" w:space="0" w:color="auto"/>
              <w:right w:val="single" w:sz="4" w:space="0" w:color="auto"/>
            </w:tcBorders>
            <w:noWrap/>
            <w:vAlign w:val="center"/>
          </w:tcPr>
          <w:p w:rsidR="000E497C" w:rsidRPr="004673D0" w:rsidRDefault="00F53E5E" w:rsidP="006C3C02">
            <w:pPr>
              <w:pStyle w:val="Tabletext"/>
              <w:keepNext/>
              <w:spacing w:before="40" w:after="40"/>
              <w:rPr>
                <w:rFonts w:ascii="Arial Narrow" w:hAnsi="Arial Narrow"/>
                <w:lang w:eastAsia="en-AU"/>
              </w:rPr>
            </w:pPr>
            <w:r w:rsidRPr="004673D0">
              <w:rPr>
                <w:rFonts w:ascii="Arial Narrow" w:hAnsi="Arial Narrow"/>
                <w:lang w:eastAsia="en-AU"/>
              </w:rPr>
              <w:t>0.0135</w:t>
            </w:r>
          </w:p>
        </w:tc>
      </w:tr>
      <w:tr w:rsidR="00F53E5E" w:rsidRPr="004673D0" w:rsidTr="00F53E5E">
        <w:tc>
          <w:tcPr>
            <w:tcW w:w="4062" w:type="pct"/>
            <w:gridSpan w:val="3"/>
            <w:tcBorders>
              <w:top w:val="single" w:sz="4" w:space="0" w:color="auto"/>
              <w:left w:val="single" w:sz="4" w:space="0" w:color="auto"/>
              <w:bottom w:val="single" w:sz="4" w:space="0" w:color="auto"/>
              <w:right w:val="single" w:sz="4" w:space="0" w:color="auto"/>
            </w:tcBorders>
            <w:noWrap/>
            <w:vAlign w:val="center"/>
            <w:hideMark/>
          </w:tcPr>
          <w:p w:rsidR="00F53E5E" w:rsidRPr="004673D0" w:rsidRDefault="00F53E5E" w:rsidP="006C3C02">
            <w:pPr>
              <w:pStyle w:val="Tabletext"/>
              <w:keepNext/>
              <w:spacing w:before="40" w:after="40"/>
              <w:rPr>
                <w:rFonts w:ascii="Arial Narrow" w:hAnsi="Arial Narrow"/>
                <w:lang w:eastAsia="en-AU"/>
              </w:rPr>
            </w:pPr>
            <w:r w:rsidRPr="004673D0">
              <w:rPr>
                <w:rFonts w:ascii="Arial Narrow" w:hAnsi="Arial Narrow"/>
                <w:lang w:eastAsia="en-AU"/>
              </w:rPr>
              <w:t>ICER</w:t>
            </w:r>
          </w:p>
        </w:tc>
        <w:tc>
          <w:tcPr>
            <w:tcW w:w="938" w:type="pct"/>
            <w:tcBorders>
              <w:top w:val="single" w:sz="4" w:space="0" w:color="auto"/>
              <w:left w:val="single" w:sz="4" w:space="0" w:color="auto"/>
              <w:bottom w:val="single" w:sz="4" w:space="0" w:color="auto"/>
              <w:right w:val="single" w:sz="4" w:space="0" w:color="auto"/>
            </w:tcBorders>
            <w:noWrap/>
            <w:vAlign w:val="center"/>
            <w:hideMark/>
          </w:tcPr>
          <w:p w:rsidR="00F53E5E" w:rsidRPr="004673D0" w:rsidRDefault="00F53E5E" w:rsidP="006C3C02">
            <w:pPr>
              <w:pStyle w:val="Tabletext"/>
              <w:keepNext/>
              <w:spacing w:before="40" w:after="40"/>
              <w:rPr>
                <w:rFonts w:ascii="Arial Narrow" w:hAnsi="Arial Narrow"/>
                <w:lang w:eastAsia="en-AU"/>
              </w:rPr>
            </w:pPr>
            <w:r w:rsidRPr="004673D0">
              <w:rPr>
                <w:rFonts w:ascii="Arial Narrow" w:hAnsi="Arial Narrow"/>
                <w:lang w:eastAsia="en-AU"/>
              </w:rPr>
              <w:t>$</w:t>
            </w:r>
            <w:r w:rsidR="00F83616">
              <w:rPr>
                <w:rFonts w:ascii="Arial Narrow" w:hAnsi="Arial Narrow"/>
                <w:noProof/>
                <w:color w:val="000000"/>
                <w:highlight w:val="black"/>
                <w:lang w:eastAsia="en-AU"/>
              </w:rPr>
              <w:t>''''''''''''''''</w:t>
            </w:r>
            <w:r w:rsidRPr="004673D0">
              <w:rPr>
                <w:rFonts w:ascii="Arial Narrow" w:hAnsi="Arial Narrow"/>
                <w:lang w:eastAsia="en-AU"/>
              </w:rPr>
              <w:t>/QALY</w:t>
            </w:r>
          </w:p>
        </w:tc>
      </w:tr>
      <w:tr w:rsidR="000E497C" w:rsidRPr="004673D0" w:rsidTr="006C3C02">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rsidR="000E497C" w:rsidRPr="004673D0" w:rsidRDefault="000E497C" w:rsidP="006C3C02">
            <w:pPr>
              <w:pStyle w:val="Tabletext"/>
              <w:keepNext/>
              <w:spacing w:before="40" w:after="40"/>
              <w:rPr>
                <w:rFonts w:ascii="Arial Narrow" w:hAnsi="Arial Narrow"/>
                <w:b/>
                <w:lang w:eastAsia="en-AU"/>
              </w:rPr>
            </w:pPr>
            <w:r w:rsidRPr="004673D0">
              <w:rPr>
                <w:rFonts w:ascii="Arial Narrow" w:hAnsi="Arial Narrow"/>
                <w:b/>
                <w:u w:val="single"/>
                <w:lang w:eastAsia="en-AU"/>
              </w:rPr>
              <w:t>July 2018 base case (DPMQ = $</w:t>
            </w:r>
            <w:r w:rsidR="00F83616">
              <w:rPr>
                <w:rFonts w:ascii="Arial Narrow" w:hAnsi="Arial Narrow"/>
                <w:b/>
                <w:noProof/>
                <w:color w:val="000000"/>
                <w:highlight w:val="black"/>
                <w:u w:val="single"/>
                <w:lang w:eastAsia="en-AU"/>
              </w:rPr>
              <w:t>'''''''''''</w:t>
            </w:r>
            <w:r w:rsidRPr="00AA10A4">
              <w:rPr>
                <w:rFonts w:ascii="Arial Narrow" w:hAnsi="Arial Narrow"/>
                <w:b/>
                <w:u w:val="single"/>
                <w:lang w:eastAsia="en-AU"/>
              </w:rPr>
              <w:t>)</w:t>
            </w:r>
          </w:p>
        </w:tc>
      </w:tr>
      <w:tr w:rsidR="005C0F06" w:rsidRPr="004673D0" w:rsidTr="00F53E5E">
        <w:tc>
          <w:tcPr>
            <w:tcW w:w="1844" w:type="pct"/>
            <w:tcBorders>
              <w:top w:val="single" w:sz="4" w:space="0" w:color="auto"/>
              <w:left w:val="single" w:sz="4" w:space="0" w:color="auto"/>
              <w:bottom w:val="single" w:sz="4" w:space="0" w:color="auto"/>
              <w:right w:val="single" w:sz="4" w:space="0" w:color="auto"/>
            </w:tcBorders>
            <w:noWrap/>
            <w:vAlign w:val="center"/>
            <w:hideMark/>
          </w:tcPr>
          <w:p w:rsidR="005C0F06" w:rsidRPr="004673D0" w:rsidRDefault="005C0F06" w:rsidP="006C3C02">
            <w:pPr>
              <w:pStyle w:val="Tabletext"/>
              <w:keepNext/>
              <w:spacing w:before="40" w:after="40"/>
              <w:rPr>
                <w:rFonts w:ascii="Arial Narrow" w:hAnsi="Arial Narrow"/>
                <w:lang w:eastAsia="en-AU"/>
              </w:rPr>
            </w:pPr>
            <w:r w:rsidRPr="004673D0">
              <w:rPr>
                <w:rFonts w:ascii="Arial Narrow" w:hAnsi="Arial Narrow"/>
                <w:lang w:eastAsia="en-AU"/>
              </w:rPr>
              <w:t>Costs</w:t>
            </w: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5C0F06" w:rsidRPr="004673D0" w:rsidRDefault="005C0F06" w:rsidP="006C3C02">
            <w:pPr>
              <w:pStyle w:val="Tabletext"/>
              <w:keepNext/>
              <w:spacing w:before="40" w:after="40"/>
              <w:rPr>
                <w:rFonts w:ascii="Arial Narrow" w:hAnsi="Arial Narrow"/>
                <w:lang w:eastAsia="en-AU"/>
              </w:rPr>
            </w:pPr>
            <w:r w:rsidRPr="004673D0">
              <w:rPr>
                <w:rFonts w:ascii="Arial Narrow" w:hAnsi="Arial Narrow"/>
                <w:lang w:eastAsia="en-AU"/>
              </w:rPr>
              <w:t>$</w:t>
            </w:r>
            <w:r w:rsidR="00F83616">
              <w:rPr>
                <w:rFonts w:ascii="Arial Narrow" w:hAnsi="Arial Narrow"/>
                <w:noProof/>
                <w:color w:val="000000"/>
                <w:highlight w:val="black"/>
                <w:lang w:eastAsia="en-AU"/>
              </w:rPr>
              <w:t>'''''''''''''''</w:t>
            </w: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5C0F06" w:rsidRPr="004673D0" w:rsidRDefault="00F53E5E" w:rsidP="006C3C02">
            <w:pPr>
              <w:pStyle w:val="Tabletext"/>
              <w:keepNext/>
              <w:spacing w:before="40" w:after="40"/>
              <w:rPr>
                <w:rFonts w:ascii="Arial Narrow" w:hAnsi="Arial Narrow"/>
                <w:lang w:eastAsia="en-AU"/>
              </w:rPr>
            </w:pPr>
            <w:r w:rsidRPr="004673D0">
              <w:rPr>
                <w:rFonts w:ascii="Arial Narrow" w:hAnsi="Arial Narrow"/>
                <w:lang w:eastAsia="en-AU"/>
              </w:rPr>
              <w:t>$</w:t>
            </w:r>
            <w:r w:rsidR="00F83616">
              <w:rPr>
                <w:rFonts w:ascii="Arial Narrow" w:hAnsi="Arial Narrow"/>
                <w:noProof/>
                <w:color w:val="000000"/>
                <w:highlight w:val="black"/>
                <w:lang w:eastAsia="en-AU"/>
              </w:rPr>
              <w:t>''''''''''''</w:t>
            </w:r>
          </w:p>
        </w:tc>
        <w:tc>
          <w:tcPr>
            <w:tcW w:w="938" w:type="pct"/>
            <w:tcBorders>
              <w:top w:val="single" w:sz="4" w:space="0" w:color="auto"/>
              <w:left w:val="single" w:sz="4" w:space="0" w:color="auto"/>
              <w:bottom w:val="single" w:sz="4" w:space="0" w:color="auto"/>
              <w:right w:val="single" w:sz="4" w:space="0" w:color="auto"/>
            </w:tcBorders>
            <w:noWrap/>
            <w:vAlign w:val="center"/>
          </w:tcPr>
          <w:p w:rsidR="005C0F06" w:rsidRPr="004673D0" w:rsidRDefault="00F53E5E" w:rsidP="006C3C02">
            <w:pPr>
              <w:pStyle w:val="Tabletext"/>
              <w:keepNext/>
              <w:spacing w:before="40" w:after="40"/>
              <w:rPr>
                <w:rFonts w:ascii="Arial Narrow" w:hAnsi="Arial Narrow"/>
                <w:lang w:eastAsia="en-AU"/>
              </w:rPr>
            </w:pPr>
            <w:r w:rsidRPr="004673D0">
              <w:rPr>
                <w:rFonts w:ascii="Arial Narrow" w:hAnsi="Arial Narrow"/>
                <w:lang w:eastAsia="en-AU"/>
              </w:rPr>
              <w:t>$</w:t>
            </w:r>
            <w:r w:rsidR="00F83616">
              <w:rPr>
                <w:rFonts w:ascii="Arial Narrow" w:hAnsi="Arial Narrow"/>
                <w:noProof/>
                <w:color w:val="000000"/>
                <w:highlight w:val="black"/>
                <w:lang w:eastAsia="en-AU"/>
              </w:rPr>
              <w:t>''''''''</w:t>
            </w:r>
          </w:p>
        </w:tc>
      </w:tr>
      <w:tr w:rsidR="005C0F06" w:rsidRPr="004673D0" w:rsidTr="00F53E5E">
        <w:tc>
          <w:tcPr>
            <w:tcW w:w="1844" w:type="pct"/>
            <w:tcBorders>
              <w:top w:val="single" w:sz="4" w:space="0" w:color="auto"/>
              <w:left w:val="single" w:sz="4" w:space="0" w:color="auto"/>
              <w:bottom w:val="single" w:sz="4" w:space="0" w:color="auto"/>
              <w:right w:val="single" w:sz="4" w:space="0" w:color="auto"/>
            </w:tcBorders>
            <w:noWrap/>
            <w:vAlign w:val="center"/>
            <w:hideMark/>
          </w:tcPr>
          <w:p w:rsidR="005C0F06" w:rsidRPr="004673D0" w:rsidRDefault="005C0F06" w:rsidP="006C3C02">
            <w:pPr>
              <w:pStyle w:val="Tabletext"/>
              <w:keepNext/>
              <w:spacing w:before="40" w:after="40"/>
              <w:rPr>
                <w:rFonts w:ascii="Arial Narrow" w:hAnsi="Arial Narrow"/>
                <w:lang w:eastAsia="en-AU"/>
              </w:rPr>
            </w:pPr>
            <w:r w:rsidRPr="004673D0">
              <w:rPr>
                <w:rFonts w:ascii="Arial Narrow" w:hAnsi="Arial Narrow"/>
                <w:lang w:eastAsia="en-AU"/>
              </w:rPr>
              <w:t xml:space="preserve">QALYs </w:t>
            </w: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5C0F06" w:rsidRPr="004673D0" w:rsidRDefault="00F53E5E" w:rsidP="006C3C02">
            <w:pPr>
              <w:pStyle w:val="Tabletext"/>
              <w:keepNext/>
              <w:spacing w:before="40" w:after="40"/>
              <w:rPr>
                <w:rFonts w:ascii="Arial Narrow" w:hAnsi="Arial Narrow"/>
                <w:lang w:eastAsia="en-AU"/>
              </w:rPr>
            </w:pPr>
            <w:r w:rsidRPr="004673D0">
              <w:rPr>
                <w:rFonts w:ascii="Arial Narrow" w:hAnsi="Arial Narrow"/>
                <w:lang w:eastAsia="en-AU"/>
              </w:rPr>
              <w:t>0.8841</w:t>
            </w:r>
          </w:p>
        </w:tc>
        <w:tc>
          <w:tcPr>
            <w:tcW w:w="1109" w:type="pct"/>
            <w:tcBorders>
              <w:top w:val="single" w:sz="4" w:space="0" w:color="auto"/>
              <w:left w:val="single" w:sz="4" w:space="0" w:color="auto"/>
              <w:bottom w:val="single" w:sz="4" w:space="0" w:color="auto"/>
              <w:right w:val="single" w:sz="4" w:space="0" w:color="auto"/>
            </w:tcBorders>
            <w:noWrap/>
            <w:vAlign w:val="center"/>
            <w:hideMark/>
          </w:tcPr>
          <w:p w:rsidR="005C0F06" w:rsidRPr="004673D0" w:rsidRDefault="005C0F06" w:rsidP="006C3C02">
            <w:pPr>
              <w:pStyle w:val="Tabletext"/>
              <w:keepNext/>
              <w:spacing w:before="40" w:after="40"/>
              <w:rPr>
                <w:rFonts w:ascii="Arial Narrow" w:hAnsi="Arial Narrow"/>
                <w:lang w:eastAsia="en-AU"/>
              </w:rPr>
            </w:pPr>
            <w:r w:rsidRPr="004673D0">
              <w:rPr>
                <w:rFonts w:ascii="Arial Narrow" w:hAnsi="Arial Narrow"/>
                <w:lang w:eastAsia="en-AU"/>
              </w:rPr>
              <w:t>0.8706</w:t>
            </w:r>
          </w:p>
        </w:tc>
        <w:tc>
          <w:tcPr>
            <w:tcW w:w="938" w:type="pct"/>
            <w:tcBorders>
              <w:top w:val="nil"/>
              <w:left w:val="single" w:sz="4" w:space="0" w:color="auto"/>
              <w:bottom w:val="single" w:sz="4" w:space="0" w:color="auto"/>
              <w:right w:val="single" w:sz="4" w:space="0" w:color="auto"/>
            </w:tcBorders>
            <w:noWrap/>
            <w:vAlign w:val="center"/>
          </w:tcPr>
          <w:p w:rsidR="005C0F06" w:rsidRPr="004673D0" w:rsidRDefault="00F53E5E" w:rsidP="006C3C02">
            <w:pPr>
              <w:pStyle w:val="Tabletext"/>
              <w:keepNext/>
              <w:spacing w:before="40" w:after="40"/>
              <w:rPr>
                <w:rFonts w:ascii="Arial Narrow" w:hAnsi="Arial Narrow"/>
                <w:lang w:eastAsia="en-AU"/>
              </w:rPr>
            </w:pPr>
            <w:r w:rsidRPr="004673D0">
              <w:rPr>
                <w:rFonts w:ascii="Arial Narrow" w:hAnsi="Arial Narrow"/>
                <w:lang w:eastAsia="en-AU"/>
              </w:rPr>
              <w:t>0.0135</w:t>
            </w:r>
          </w:p>
        </w:tc>
      </w:tr>
      <w:tr w:rsidR="00F53E5E" w:rsidRPr="004673D0" w:rsidTr="00F53E5E">
        <w:tc>
          <w:tcPr>
            <w:tcW w:w="4062" w:type="pct"/>
            <w:gridSpan w:val="3"/>
            <w:tcBorders>
              <w:top w:val="single" w:sz="4" w:space="0" w:color="auto"/>
              <w:left w:val="single" w:sz="4" w:space="0" w:color="auto"/>
              <w:bottom w:val="single" w:sz="4" w:space="0" w:color="auto"/>
              <w:right w:val="single" w:sz="4" w:space="0" w:color="auto"/>
            </w:tcBorders>
            <w:noWrap/>
            <w:vAlign w:val="center"/>
            <w:hideMark/>
          </w:tcPr>
          <w:p w:rsidR="00F53E5E" w:rsidRPr="004673D0" w:rsidRDefault="00F53E5E" w:rsidP="006C3C02">
            <w:pPr>
              <w:pStyle w:val="Tabletext"/>
              <w:keepNext/>
              <w:spacing w:before="40" w:after="40"/>
              <w:rPr>
                <w:rFonts w:ascii="Arial Narrow" w:hAnsi="Arial Narrow"/>
                <w:b/>
                <w:lang w:eastAsia="en-AU"/>
              </w:rPr>
            </w:pPr>
            <w:r w:rsidRPr="004673D0">
              <w:rPr>
                <w:rFonts w:ascii="Arial Narrow" w:hAnsi="Arial Narrow"/>
                <w:b/>
                <w:lang w:eastAsia="en-AU"/>
              </w:rPr>
              <w:t>ICER</w:t>
            </w:r>
          </w:p>
        </w:tc>
        <w:tc>
          <w:tcPr>
            <w:tcW w:w="938" w:type="pct"/>
            <w:tcBorders>
              <w:top w:val="nil"/>
              <w:left w:val="single" w:sz="4" w:space="0" w:color="auto"/>
              <w:bottom w:val="single" w:sz="4" w:space="0" w:color="auto"/>
              <w:right w:val="single" w:sz="4" w:space="0" w:color="auto"/>
            </w:tcBorders>
            <w:noWrap/>
            <w:vAlign w:val="center"/>
            <w:hideMark/>
          </w:tcPr>
          <w:p w:rsidR="00F53E5E" w:rsidRPr="004673D0" w:rsidRDefault="00F53E5E" w:rsidP="006C3C02">
            <w:pPr>
              <w:pStyle w:val="Tabletext"/>
              <w:keepNext/>
              <w:spacing w:before="40" w:after="40"/>
              <w:rPr>
                <w:rFonts w:ascii="Arial Narrow" w:hAnsi="Arial Narrow"/>
                <w:b/>
                <w:lang w:eastAsia="en-AU"/>
              </w:rPr>
            </w:pPr>
            <w:r w:rsidRPr="004673D0">
              <w:rPr>
                <w:rFonts w:ascii="Arial Narrow" w:hAnsi="Arial Narrow"/>
                <w:b/>
                <w:lang w:eastAsia="en-AU"/>
              </w:rPr>
              <w:t>$</w:t>
            </w:r>
            <w:r w:rsidR="00F83616">
              <w:rPr>
                <w:rFonts w:ascii="Arial Narrow" w:hAnsi="Arial Narrow"/>
                <w:b/>
                <w:noProof/>
                <w:color w:val="000000"/>
                <w:highlight w:val="black"/>
                <w:lang w:eastAsia="en-AU"/>
              </w:rPr>
              <w:t>'''''''''''''</w:t>
            </w:r>
            <w:r w:rsidRPr="004673D0">
              <w:rPr>
                <w:rFonts w:ascii="Arial Narrow" w:hAnsi="Arial Narrow"/>
                <w:b/>
                <w:lang w:eastAsia="en-AU"/>
              </w:rPr>
              <w:t>/QALY</w:t>
            </w:r>
          </w:p>
        </w:tc>
      </w:tr>
    </w:tbl>
    <w:p w:rsidR="00E860D4" w:rsidRPr="004673D0" w:rsidRDefault="00E860D4" w:rsidP="00E860D4">
      <w:pPr>
        <w:rPr>
          <w:rFonts w:ascii="Arial Narrow" w:hAnsi="Arial Narrow"/>
          <w:sz w:val="20"/>
          <w:szCs w:val="20"/>
        </w:rPr>
      </w:pPr>
      <w:r w:rsidRPr="004673D0">
        <w:rPr>
          <w:rFonts w:ascii="Arial Narrow" w:hAnsi="Arial Narrow"/>
          <w:sz w:val="20"/>
          <w:szCs w:val="20"/>
        </w:rPr>
        <w:t xml:space="preserve">Source: </w:t>
      </w:r>
      <w:r w:rsidR="000E497C" w:rsidRPr="004673D0">
        <w:rPr>
          <w:rFonts w:ascii="Arial Narrow" w:hAnsi="Arial Narrow"/>
          <w:sz w:val="20"/>
          <w:szCs w:val="20"/>
        </w:rPr>
        <w:t xml:space="preserve">Table 9, p19 of the minor resubmission </w:t>
      </w:r>
    </w:p>
    <w:p w:rsidR="00E013CF" w:rsidRPr="004673D0" w:rsidRDefault="00E013CF" w:rsidP="00E860D4">
      <w:pPr>
        <w:rPr>
          <w:rFonts w:ascii="Arial Narrow" w:hAnsi="Arial Narrow"/>
          <w:sz w:val="20"/>
          <w:szCs w:val="20"/>
        </w:rPr>
      </w:pPr>
      <w:r w:rsidRPr="004673D0">
        <w:rPr>
          <w:rFonts w:ascii="Arial Narrow" w:hAnsi="Arial Narrow"/>
          <w:sz w:val="20"/>
          <w:szCs w:val="20"/>
        </w:rPr>
        <w:t xml:space="preserve">DPMQ = dispensed price for maximum quantity; ESC = Economic Sub-Committee; ICER = incremental cost-effectiveness ratio; </w:t>
      </w:r>
      <w:r w:rsidR="0093544E" w:rsidRPr="004673D0">
        <w:rPr>
          <w:rFonts w:ascii="Arial Narrow" w:hAnsi="Arial Narrow"/>
          <w:sz w:val="20"/>
          <w:szCs w:val="20"/>
        </w:rPr>
        <w:t xml:space="preserve">PBAC = Pharmaceutical Benefits Advisory Committee; </w:t>
      </w:r>
      <w:r w:rsidRPr="004673D0">
        <w:rPr>
          <w:rFonts w:ascii="Arial Narrow" w:hAnsi="Arial Narrow"/>
          <w:sz w:val="20"/>
          <w:szCs w:val="20"/>
        </w:rPr>
        <w:t>QALY = quality-adjusted life year</w:t>
      </w:r>
    </w:p>
    <w:p w:rsidR="00E860D4" w:rsidRPr="004673D0" w:rsidRDefault="00E860D4" w:rsidP="00E860D4">
      <w:pPr>
        <w:spacing w:after="120"/>
        <w:rPr>
          <w:rFonts w:ascii="Arial Narrow" w:hAnsi="Arial Narrow"/>
          <w:sz w:val="20"/>
          <w:szCs w:val="20"/>
        </w:rPr>
      </w:pPr>
      <w:r w:rsidRPr="004673D0">
        <w:rPr>
          <w:rFonts w:ascii="Arial Narrow" w:hAnsi="Arial Narrow"/>
          <w:sz w:val="20"/>
          <w:szCs w:val="20"/>
        </w:rPr>
        <w:t xml:space="preserve">Note: the base case result presented in the ‘July 2017 </w:t>
      </w:r>
      <w:r w:rsidR="0093544E" w:rsidRPr="004673D0">
        <w:rPr>
          <w:rFonts w:ascii="Arial Narrow" w:hAnsi="Arial Narrow"/>
          <w:sz w:val="20"/>
          <w:szCs w:val="20"/>
        </w:rPr>
        <w:t>base case</w:t>
      </w:r>
      <w:r w:rsidRPr="004673D0">
        <w:rPr>
          <w:rFonts w:ascii="Arial Narrow" w:hAnsi="Arial Narrow"/>
          <w:sz w:val="20"/>
          <w:szCs w:val="20"/>
        </w:rPr>
        <w:t xml:space="preserve">’ row of this table is based on the model presented in the original submission (original submission, Table D-13). </w:t>
      </w:r>
      <w:r w:rsidR="0093544E" w:rsidRPr="004673D0">
        <w:rPr>
          <w:rFonts w:ascii="Arial Narrow" w:hAnsi="Arial Narrow"/>
          <w:sz w:val="20"/>
          <w:szCs w:val="20"/>
        </w:rPr>
        <w:t>Results in the ‘July 2017 respecified base case’</w:t>
      </w:r>
      <w:r w:rsidRPr="004673D0">
        <w:rPr>
          <w:rFonts w:ascii="Arial Narrow" w:hAnsi="Arial Narrow"/>
          <w:sz w:val="20"/>
          <w:szCs w:val="20"/>
        </w:rPr>
        <w:t xml:space="preserve"> </w:t>
      </w:r>
      <w:r w:rsidR="0093544E" w:rsidRPr="004673D0">
        <w:rPr>
          <w:rFonts w:ascii="Arial Narrow" w:hAnsi="Arial Narrow"/>
          <w:sz w:val="20"/>
          <w:szCs w:val="20"/>
        </w:rPr>
        <w:t>row we</w:t>
      </w:r>
      <w:r w:rsidRPr="004673D0">
        <w:rPr>
          <w:rFonts w:ascii="Arial Narrow" w:hAnsi="Arial Narrow"/>
          <w:sz w:val="20"/>
          <w:szCs w:val="20"/>
        </w:rPr>
        <w:t xml:space="preserve">re based on </w:t>
      </w:r>
      <w:r w:rsidR="0093544E" w:rsidRPr="004673D0">
        <w:rPr>
          <w:rFonts w:ascii="Arial Narrow" w:hAnsi="Arial Narrow"/>
          <w:sz w:val="20"/>
          <w:szCs w:val="20"/>
        </w:rPr>
        <w:t xml:space="preserve">modifications suggested </w:t>
      </w:r>
      <w:r w:rsidRPr="004673D0">
        <w:rPr>
          <w:rFonts w:ascii="Arial Narrow" w:hAnsi="Arial Narrow"/>
          <w:sz w:val="20"/>
          <w:szCs w:val="20"/>
        </w:rPr>
        <w:t>in the Commentary and the ESC advice. These changes</w:t>
      </w:r>
      <w:r w:rsidR="0093544E" w:rsidRPr="004673D0">
        <w:rPr>
          <w:rFonts w:ascii="Arial Narrow" w:hAnsi="Arial Narrow"/>
          <w:sz w:val="20"/>
          <w:szCs w:val="20"/>
        </w:rPr>
        <w:t xml:space="preserve"> we</w:t>
      </w:r>
      <w:r w:rsidRPr="004673D0">
        <w:rPr>
          <w:rFonts w:ascii="Arial Narrow" w:hAnsi="Arial Narrow"/>
          <w:sz w:val="20"/>
          <w:szCs w:val="20"/>
        </w:rPr>
        <w:t xml:space="preserve">re documented in the </w:t>
      </w:r>
      <w:r w:rsidR="0093544E" w:rsidRPr="004673D0">
        <w:rPr>
          <w:rFonts w:ascii="Arial Narrow" w:hAnsi="Arial Narrow"/>
          <w:sz w:val="20"/>
          <w:szCs w:val="20"/>
        </w:rPr>
        <w:t xml:space="preserve">July 2017 </w:t>
      </w:r>
      <w:r w:rsidRPr="004673D0">
        <w:rPr>
          <w:rFonts w:ascii="Arial Narrow" w:hAnsi="Arial Narrow"/>
          <w:sz w:val="20"/>
          <w:szCs w:val="20"/>
        </w:rPr>
        <w:t>pre</w:t>
      </w:r>
      <w:r w:rsidR="0093544E" w:rsidRPr="004673D0">
        <w:rPr>
          <w:rFonts w:ascii="Arial Narrow" w:hAnsi="Arial Narrow"/>
          <w:sz w:val="20"/>
          <w:szCs w:val="20"/>
        </w:rPr>
        <w:t>-</w:t>
      </w:r>
      <w:r w:rsidRPr="004673D0">
        <w:rPr>
          <w:rFonts w:ascii="Arial Narrow" w:hAnsi="Arial Narrow"/>
          <w:sz w:val="20"/>
          <w:szCs w:val="20"/>
        </w:rPr>
        <w:t xml:space="preserve">PBAC response to </w:t>
      </w:r>
      <w:r w:rsidR="0093544E" w:rsidRPr="004673D0">
        <w:rPr>
          <w:rFonts w:ascii="Arial Narrow" w:hAnsi="Arial Narrow"/>
          <w:sz w:val="20"/>
          <w:szCs w:val="20"/>
        </w:rPr>
        <w:t xml:space="preserve">the </w:t>
      </w:r>
      <w:r w:rsidRPr="004673D0">
        <w:rPr>
          <w:rFonts w:ascii="Arial Narrow" w:hAnsi="Arial Narrow"/>
          <w:sz w:val="20"/>
          <w:szCs w:val="20"/>
        </w:rPr>
        <w:t xml:space="preserve">ESC advice: the price of </w:t>
      </w:r>
      <w:r w:rsidR="0093544E" w:rsidRPr="004673D0">
        <w:rPr>
          <w:rFonts w:ascii="Arial Narrow" w:hAnsi="Arial Narrow"/>
          <w:sz w:val="20"/>
          <w:szCs w:val="20"/>
        </w:rPr>
        <w:t>methylphenidate</w:t>
      </w:r>
      <w:r w:rsidRPr="004673D0">
        <w:rPr>
          <w:rFonts w:ascii="Arial Narrow" w:hAnsi="Arial Narrow"/>
          <w:sz w:val="20"/>
          <w:szCs w:val="20"/>
        </w:rPr>
        <w:t xml:space="preserve"> increased from $2 to $2.29; titration resource use costs in guanfacine patients</w:t>
      </w:r>
      <w:r w:rsidR="0093544E" w:rsidRPr="004673D0">
        <w:rPr>
          <w:rFonts w:ascii="Arial Narrow" w:hAnsi="Arial Narrow"/>
          <w:sz w:val="20"/>
          <w:szCs w:val="20"/>
        </w:rPr>
        <w:t xml:space="preserve"> were included</w:t>
      </w:r>
      <w:r w:rsidRPr="004673D0">
        <w:rPr>
          <w:rFonts w:ascii="Arial Narrow" w:hAnsi="Arial Narrow"/>
          <w:sz w:val="20"/>
          <w:szCs w:val="20"/>
        </w:rPr>
        <w:t>;</w:t>
      </w:r>
      <w:r w:rsidR="0093544E" w:rsidRPr="004673D0">
        <w:rPr>
          <w:rFonts w:ascii="Arial Narrow" w:hAnsi="Arial Narrow"/>
          <w:sz w:val="20"/>
          <w:szCs w:val="20"/>
        </w:rPr>
        <w:t xml:space="preserve"> and there was</w:t>
      </w:r>
      <w:r w:rsidRPr="004673D0">
        <w:rPr>
          <w:rFonts w:ascii="Arial Narrow" w:hAnsi="Arial Narrow"/>
          <w:sz w:val="20"/>
          <w:szCs w:val="20"/>
        </w:rPr>
        <w:t xml:space="preserve"> revised implementation of half cycle correction (Shire pre-PBAC response, Table 1).</w:t>
      </w:r>
    </w:p>
    <w:p w:rsidR="002E3F28" w:rsidRPr="00D94474" w:rsidRDefault="0072646B" w:rsidP="00F53E5E">
      <w:pPr>
        <w:pStyle w:val="ListParagraph"/>
        <w:widowControl/>
        <w:numPr>
          <w:ilvl w:val="1"/>
          <w:numId w:val="14"/>
        </w:numPr>
        <w:spacing w:after="120"/>
        <w:contextualSpacing w:val="0"/>
        <w:rPr>
          <w:rFonts w:asciiTheme="minorHAnsi" w:hAnsiTheme="minorHAnsi"/>
          <w:sz w:val="24"/>
          <w:szCs w:val="24"/>
        </w:rPr>
      </w:pPr>
      <w:r w:rsidRPr="004673D0">
        <w:rPr>
          <w:rFonts w:asciiTheme="minorHAnsi" w:hAnsiTheme="minorHAnsi"/>
          <w:sz w:val="24"/>
          <w:szCs w:val="24"/>
        </w:rPr>
        <w:t>Using t</w:t>
      </w:r>
      <w:r w:rsidR="00E860D4" w:rsidRPr="004673D0">
        <w:rPr>
          <w:rFonts w:asciiTheme="minorHAnsi" w:hAnsiTheme="minorHAnsi"/>
          <w:sz w:val="24"/>
          <w:szCs w:val="24"/>
        </w:rPr>
        <w:t xml:space="preserve">he </w:t>
      </w:r>
      <w:r w:rsidR="0021489C" w:rsidRPr="004673D0">
        <w:rPr>
          <w:rFonts w:asciiTheme="minorHAnsi" w:hAnsiTheme="minorHAnsi"/>
          <w:sz w:val="24"/>
          <w:szCs w:val="24"/>
        </w:rPr>
        <w:t>updated</w:t>
      </w:r>
      <w:r w:rsidRPr="004673D0">
        <w:rPr>
          <w:rFonts w:asciiTheme="minorHAnsi" w:hAnsiTheme="minorHAnsi"/>
          <w:sz w:val="24"/>
          <w:szCs w:val="24"/>
        </w:rPr>
        <w:t xml:space="preserve"> </w:t>
      </w:r>
      <w:r w:rsidR="00E860D4" w:rsidRPr="004673D0">
        <w:rPr>
          <w:rFonts w:asciiTheme="minorHAnsi" w:hAnsiTheme="minorHAnsi"/>
          <w:sz w:val="24"/>
          <w:szCs w:val="24"/>
        </w:rPr>
        <w:t>requested effective DPMQ</w:t>
      </w:r>
      <w:r w:rsidRPr="004673D0">
        <w:rPr>
          <w:rFonts w:asciiTheme="minorHAnsi" w:hAnsiTheme="minorHAnsi"/>
          <w:sz w:val="24"/>
          <w:szCs w:val="24"/>
        </w:rPr>
        <w:t xml:space="preserve"> ($</w:t>
      </w:r>
      <w:r w:rsidR="00F83616">
        <w:rPr>
          <w:rFonts w:asciiTheme="minorHAnsi" w:hAnsiTheme="minorHAnsi"/>
          <w:noProof/>
          <w:color w:val="000000"/>
          <w:sz w:val="24"/>
          <w:szCs w:val="24"/>
          <w:highlight w:val="black"/>
        </w:rPr>
        <w:t>''''''''''</w:t>
      </w:r>
      <w:r w:rsidRPr="004673D0">
        <w:rPr>
          <w:rFonts w:asciiTheme="minorHAnsi" w:hAnsiTheme="minorHAnsi"/>
          <w:sz w:val="24"/>
          <w:szCs w:val="24"/>
        </w:rPr>
        <w:t>)</w:t>
      </w:r>
      <w:r w:rsidR="00E860D4" w:rsidRPr="004673D0">
        <w:rPr>
          <w:rFonts w:asciiTheme="minorHAnsi" w:hAnsiTheme="minorHAnsi"/>
          <w:sz w:val="24"/>
          <w:szCs w:val="24"/>
        </w:rPr>
        <w:t xml:space="preserve">, </w:t>
      </w:r>
      <w:r w:rsidRPr="004673D0">
        <w:rPr>
          <w:rFonts w:asciiTheme="minorHAnsi" w:hAnsiTheme="minorHAnsi"/>
          <w:sz w:val="24"/>
          <w:szCs w:val="24"/>
        </w:rPr>
        <w:t xml:space="preserve">resulted in an </w:t>
      </w:r>
      <w:r w:rsidR="00E860D4" w:rsidRPr="004673D0">
        <w:rPr>
          <w:rFonts w:asciiTheme="minorHAnsi" w:hAnsiTheme="minorHAnsi"/>
          <w:sz w:val="24"/>
          <w:szCs w:val="24"/>
        </w:rPr>
        <w:t xml:space="preserve">ICER </w:t>
      </w:r>
      <w:r w:rsidRPr="004673D0">
        <w:rPr>
          <w:rFonts w:asciiTheme="minorHAnsi" w:hAnsiTheme="minorHAnsi"/>
          <w:sz w:val="24"/>
          <w:szCs w:val="24"/>
        </w:rPr>
        <w:t>of $</w:t>
      </w:r>
      <w:r w:rsidR="008857F5">
        <w:rPr>
          <w:rFonts w:asciiTheme="minorHAnsi" w:hAnsiTheme="minorHAnsi"/>
          <w:sz w:val="24"/>
          <w:szCs w:val="24"/>
        </w:rPr>
        <w:t>15,000/QALY – $45,000</w:t>
      </w:r>
      <w:r w:rsidRPr="004673D0">
        <w:rPr>
          <w:rFonts w:asciiTheme="minorHAnsi" w:hAnsiTheme="minorHAnsi"/>
          <w:sz w:val="24"/>
          <w:szCs w:val="24"/>
        </w:rPr>
        <w:t>/QALY.</w:t>
      </w:r>
      <w:r w:rsidR="0021489C" w:rsidRPr="004673D0">
        <w:rPr>
          <w:rFonts w:asciiTheme="minorHAnsi" w:hAnsiTheme="minorHAnsi"/>
          <w:sz w:val="24"/>
          <w:szCs w:val="24"/>
        </w:rPr>
        <w:t xml:space="preserve"> This compared to a re</w:t>
      </w:r>
      <w:r w:rsidR="0093544E" w:rsidRPr="004673D0">
        <w:rPr>
          <w:rFonts w:asciiTheme="minorHAnsi" w:hAnsiTheme="minorHAnsi"/>
          <w:sz w:val="24"/>
          <w:szCs w:val="24"/>
        </w:rPr>
        <w:t xml:space="preserve">specified </w:t>
      </w:r>
      <w:r w:rsidR="0021489C" w:rsidRPr="004673D0">
        <w:rPr>
          <w:rFonts w:asciiTheme="minorHAnsi" w:hAnsiTheme="minorHAnsi"/>
          <w:sz w:val="24"/>
          <w:szCs w:val="24"/>
        </w:rPr>
        <w:t>base case of $</w:t>
      </w:r>
      <w:r w:rsidR="008857F5">
        <w:rPr>
          <w:rFonts w:asciiTheme="minorHAnsi" w:hAnsiTheme="minorHAnsi"/>
          <w:sz w:val="24"/>
          <w:szCs w:val="24"/>
        </w:rPr>
        <w:t>45,000</w:t>
      </w:r>
      <w:r w:rsidR="0021489C" w:rsidRPr="004673D0">
        <w:rPr>
          <w:rFonts w:asciiTheme="minorHAnsi" w:hAnsiTheme="minorHAnsi"/>
          <w:sz w:val="24"/>
          <w:szCs w:val="24"/>
        </w:rPr>
        <w:t>/QALY</w:t>
      </w:r>
      <w:r w:rsidR="008857F5">
        <w:rPr>
          <w:rFonts w:asciiTheme="minorHAnsi" w:hAnsiTheme="minorHAnsi"/>
          <w:sz w:val="24"/>
          <w:szCs w:val="24"/>
        </w:rPr>
        <w:t xml:space="preserve"> - $75,000/QALY</w:t>
      </w:r>
      <w:r w:rsidR="0021489C" w:rsidRPr="004673D0">
        <w:rPr>
          <w:rFonts w:asciiTheme="minorHAnsi" w:hAnsiTheme="minorHAnsi"/>
          <w:sz w:val="24"/>
          <w:szCs w:val="24"/>
        </w:rPr>
        <w:t xml:space="preserve"> in the </w:t>
      </w:r>
      <w:r w:rsidR="00864F48" w:rsidRPr="004673D0">
        <w:rPr>
          <w:rFonts w:asciiTheme="minorHAnsi" w:hAnsiTheme="minorHAnsi"/>
          <w:sz w:val="24"/>
          <w:szCs w:val="24"/>
        </w:rPr>
        <w:t>July 2017</w:t>
      </w:r>
      <w:r w:rsidR="0021489C" w:rsidRPr="004673D0">
        <w:rPr>
          <w:rFonts w:asciiTheme="minorHAnsi" w:hAnsiTheme="minorHAnsi"/>
          <w:sz w:val="24"/>
          <w:szCs w:val="24"/>
        </w:rPr>
        <w:t xml:space="preserve"> submission.</w:t>
      </w:r>
    </w:p>
    <w:p w:rsidR="003C2FB5" w:rsidRPr="004673D0" w:rsidRDefault="00A55FEE" w:rsidP="008306F3">
      <w:pPr>
        <w:pStyle w:val="Heading2"/>
        <w:keepLines/>
        <w:spacing w:before="240" w:after="120"/>
        <w:rPr>
          <w:rFonts w:asciiTheme="minorHAnsi" w:eastAsiaTheme="majorEastAsia" w:hAnsiTheme="minorHAnsi" w:cstheme="majorBidi"/>
          <w:sz w:val="28"/>
          <w:szCs w:val="28"/>
          <w:lang w:eastAsia="en-US"/>
        </w:rPr>
      </w:pPr>
      <w:r w:rsidRPr="004673D0">
        <w:rPr>
          <w:rFonts w:asciiTheme="minorHAnsi" w:eastAsiaTheme="majorEastAsia" w:hAnsiTheme="minorHAnsi" w:cstheme="majorBidi"/>
          <w:sz w:val="28"/>
          <w:szCs w:val="28"/>
          <w:lang w:eastAsia="en-US"/>
        </w:rPr>
        <w:t>Drug c</w:t>
      </w:r>
      <w:r w:rsidR="002E3F28" w:rsidRPr="004673D0">
        <w:rPr>
          <w:rFonts w:asciiTheme="minorHAnsi" w:eastAsiaTheme="majorEastAsia" w:hAnsiTheme="minorHAnsi" w:cstheme="majorBidi"/>
          <w:sz w:val="28"/>
          <w:szCs w:val="28"/>
          <w:lang w:eastAsia="en-US"/>
        </w:rPr>
        <w:t>ost/patient/</w:t>
      </w:r>
      <w:r w:rsidR="00E860D4" w:rsidRPr="004673D0">
        <w:rPr>
          <w:rFonts w:asciiTheme="minorHAnsi" w:eastAsiaTheme="majorEastAsia" w:hAnsiTheme="minorHAnsi" w:cstheme="majorBidi"/>
          <w:sz w:val="28"/>
          <w:szCs w:val="28"/>
          <w:lang w:eastAsia="en-US"/>
        </w:rPr>
        <w:t>year</w:t>
      </w:r>
      <w:r w:rsidR="002E3F28" w:rsidRPr="004673D0">
        <w:rPr>
          <w:rFonts w:asciiTheme="minorHAnsi" w:eastAsiaTheme="majorEastAsia" w:hAnsiTheme="minorHAnsi" w:cstheme="majorBidi"/>
          <w:sz w:val="28"/>
          <w:szCs w:val="28"/>
          <w:lang w:eastAsia="en-US"/>
        </w:rPr>
        <w:t>: $</w:t>
      </w:r>
      <w:r w:rsidR="00F83616">
        <w:rPr>
          <w:rFonts w:asciiTheme="minorHAnsi" w:eastAsiaTheme="majorEastAsia" w:hAnsiTheme="minorHAnsi" w:cstheme="majorBidi"/>
          <w:noProof/>
          <w:color w:val="000000"/>
          <w:sz w:val="28"/>
          <w:szCs w:val="28"/>
          <w:highlight w:val="black"/>
          <w:lang w:eastAsia="en-US"/>
        </w:rPr>
        <w:t>'''''''''''</w:t>
      </w:r>
      <w:r w:rsidR="00547B02" w:rsidRPr="004673D0">
        <w:rPr>
          <w:rFonts w:asciiTheme="minorHAnsi" w:eastAsiaTheme="majorEastAsia" w:hAnsiTheme="minorHAnsi" w:cstheme="majorBidi"/>
          <w:sz w:val="28"/>
          <w:szCs w:val="28"/>
          <w:lang w:eastAsia="en-US"/>
        </w:rPr>
        <w:t xml:space="preserve"> (</w:t>
      </w:r>
      <w:r w:rsidR="002E3F28" w:rsidRPr="004673D0">
        <w:rPr>
          <w:rFonts w:asciiTheme="minorHAnsi" w:eastAsiaTheme="majorEastAsia" w:hAnsiTheme="minorHAnsi" w:cstheme="majorBidi"/>
          <w:sz w:val="28"/>
          <w:szCs w:val="28"/>
          <w:lang w:eastAsia="en-US"/>
        </w:rPr>
        <w:t>weighted effective DPMQ)</w:t>
      </w:r>
    </w:p>
    <w:p w:rsidR="00871E4A" w:rsidRPr="004673D0" w:rsidRDefault="00871E4A"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The drug cost per patient per year was calculated assuming 100% single tablet use</w:t>
      </w:r>
      <w:r w:rsidR="00864F48" w:rsidRPr="004673D0">
        <w:rPr>
          <w:rFonts w:asciiTheme="minorHAnsi" w:eastAsiaTheme="minorHAnsi" w:hAnsiTheme="minorHAnsi" w:cstheme="minorBidi"/>
          <w:snapToGrid/>
          <w:sz w:val="24"/>
          <w:szCs w:val="22"/>
        </w:rPr>
        <w:t xml:space="preserve"> (as used in the financial estimates below),</w:t>
      </w:r>
      <w:r w:rsidR="00A43C45" w:rsidRPr="004673D0">
        <w:rPr>
          <w:rFonts w:asciiTheme="minorHAnsi" w:eastAsiaTheme="minorHAnsi" w:hAnsiTheme="minorHAnsi" w:cstheme="minorBidi"/>
          <w:snapToGrid/>
          <w:sz w:val="24"/>
          <w:szCs w:val="22"/>
        </w:rPr>
        <w:t xml:space="preserve"> a 28 </w:t>
      </w:r>
      <w:r w:rsidR="00335500" w:rsidRPr="004673D0">
        <w:rPr>
          <w:rFonts w:asciiTheme="minorHAnsi" w:eastAsiaTheme="minorHAnsi" w:hAnsiTheme="minorHAnsi" w:cstheme="minorBidi"/>
          <w:snapToGrid/>
          <w:sz w:val="24"/>
          <w:szCs w:val="22"/>
        </w:rPr>
        <w:t xml:space="preserve">tablet </w:t>
      </w:r>
      <w:r w:rsidR="00A43C45" w:rsidRPr="004673D0">
        <w:rPr>
          <w:rFonts w:asciiTheme="minorHAnsi" w:eastAsiaTheme="minorHAnsi" w:hAnsiTheme="minorHAnsi" w:cstheme="minorBidi"/>
          <w:snapToGrid/>
          <w:sz w:val="24"/>
          <w:szCs w:val="22"/>
        </w:rPr>
        <w:t>pack size and the weighte</w:t>
      </w:r>
      <w:r w:rsidR="00864F48" w:rsidRPr="004673D0">
        <w:rPr>
          <w:rFonts w:asciiTheme="minorHAnsi" w:eastAsiaTheme="minorHAnsi" w:hAnsiTheme="minorHAnsi" w:cstheme="minorBidi"/>
          <w:snapToGrid/>
          <w:sz w:val="24"/>
          <w:szCs w:val="22"/>
        </w:rPr>
        <w:t xml:space="preserve">d </w:t>
      </w:r>
      <w:r w:rsidR="00864F48" w:rsidRPr="004673D0">
        <w:rPr>
          <w:rFonts w:asciiTheme="minorHAnsi" w:eastAsiaTheme="minorHAnsi" w:hAnsiTheme="minorHAnsi" w:cstheme="minorBidi"/>
          <w:snapToGrid/>
          <w:sz w:val="24"/>
          <w:szCs w:val="22"/>
        </w:rPr>
        <w:lastRenderedPageBreak/>
        <w:t>effective DPMQ (see Weighted price estimate section</w:t>
      </w:r>
      <w:r w:rsidR="00A43C45" w:rsidRPr="004673D0">
        <w:rPr>
          <w:rFonts w:asciiTheme="minorHAnsi" w:eastAsiaTheme="minorHAnsi" w:hAnsiTheme="minorHAnsi" w:cstheme="minorBidi"/>
          <w:snapToGrid/>
          <w:sz w:val="24"/>
          <w:szCs w:val="22"/>
        </w:rPr>
        <w:t xml:space="preserve"> below), which resulted in the following calculation: $</w:t>
      </w:r>
      <w:r w:rsidR="00F83616">
        <w:rPr>
          <w:rFonts w:asciiTheme="minorHAnsi" w:eastAsiaTheme="minorHAnsi" w:hAnsiTheme="minorHAnsi" w:cstheme="minorBidi"/>
          <w:noProof/>
          <w:snapToGrid/>
          <w:color w:val="000000"/>
          <w:sz w:val="24"/>
          <w:szCs w:val="22"/>
          <w:highlight w:val="black"/>
        </w:rPr>
        <w:t>''''''''''''''''</w:t>
      </w:r>
      <w:r w:rsidR="00A43C45" w:rsidRPr="004673D0">
        <w:rPr>
          <w:rFonts w:asciiTheme="minorHAnsi" w:eastAsiaTheme="minorHAnsi" w:hAnsiTheme="minorHAnsi" w:cstheme="minorBidi"/>
          <w:snapToGrid/>
          <w:sz w:val="24"/>
          <w:szCs w:val="22"/>
        </w:rPr>
        <w:t xml:space="preserve"> * 365.</w:t>
      </w:r>
    </w:p>
    <w:p w:rsidR="00A43C45" w:rsidRPr="004673D0" w:rsidRDefault="00A43C45"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Using the effective DPMQ proposed </w:t>
      </w:r>
      <w:r w:rsidR="00F53E5E" w:rsidRPr="004673D0">
        <w:rPr>
          <w:rFonts w:asciiTheme="minorHAnsi" w:eastAsiaTheme="minorHAnsi" w:hAnsiTheme="minorHAnsi" w:cstheme="minorBidi"/>
          <w:snapToGrid/>
          <w:sz w:val="24"/>
          <w:szCs w:val="22"/>
        </w:rPr>
        <w:t xml:space="preserve">for the </w:t>
      </w:r>
      <w:r w:rsidR="00F100EB" w:rsidRPr="004673D0">
        <w:rPr>
          <w:rFonts w:asciiTheme="minorHAnsi" w:eastAsiaTheme="minorHAnsi" w:hAnsiTheme="minorHAnsi" w:cstheme="minorBidi"/>
          <w:snapToGrid/>
          <w:sz w:val="24"/>
          <w:szCs w:val="22"/>
        </w:rPr>
        <w:t>add-on</w:t>
      </w:r>
      <w:r w:rsidR="00F53E5E" w:rsidRPr="004673D0">
        <w:rPr>
          <w:rFonts w:asciiTheme="minorHAnsi" w:eastAsiaTheme="minorHAnsi" w:hAnsiTheme="minorHAnsi" w:cstheme="minorBidi"/>
          <w:snapToGrid/>
          <w:sz w:val="24"/>
          <w:szCs w:val="22"/>
        </w:rPr>
        <w:t xml:space="preserve"> therapy setting, </w:t>
      </w:r>
      <w:r w:rsidRPr="004673D0">
        <w:rPr>
          <w:rFonts w:asciiTheme="minorHAnsi" w:eastAsiaTheme="minorHAnsi" w:hAnsiTheme="minorHAnsi" w:cstheme="minorBidi"/>
          <w:snapToGrid/>
          <w:sz w:val="24"/>
          <w:szCs w:val="22"/>
        </w:rPr>
        <w:t>of $</w:t>
      </w:r>
      <w:r w:rsidR="00F83616">
        <w:rPr>
          <w:rFonts w:asciiTheme="minorHAnsi" w:eastAsiaTheme="minorHAnsi" w:hAnsiTheme="minorHAnsi" w:cstheme="minorBidi"/>
          <w:noProof/>
          <w:snapToGrid/>
          <w:color w:val="000000"/>
          <w:sz w:val="24"/>
          <w:szCs w:val="22"/>
          <w:highlight w:val="black"/>
        </w:rPr>
        <w:t>''''''''''''</w:t>
      </w:r>
      <w:r w:rsidRPr="004673D0">
        <w:rPr>
          <w:rFonts w:asciiTheme="minorHAnsi" w:eastAsiaTheme="minorHAnsi" w:hAnsiTheme="minorHAnsi" w:cstheme="minorBidi"/>
          <w:snapToGrid/>
          <w:sz w:val="24"/>
          <w:szCs w:val="22"/>
        </w:rPr>
        <w:t>, the drug cost per patient per year was calculated to be $</w:t>
      </w:r>
      <w:r w:rsidR="00F83616">
        <w:rPr>
          <w:rFonts w:asciiTheme="minorHAnsi" w:eastAsiaTheme="minorHAnsi" w:hAnsiTheme="minorHAnsi" w:cstheme="minorBidi"/>
          <w:noProof/>
          <w:snapToGrid/>
          <w:color w:val="000000"/>
          <w:sz w:val="24"/>
          <w:szCs w:val="22"/>
          <w:highlight w:val="black"/>
        </w:rPr>
        <w:t>''''''''''''</w:t>
      </w:r>
      <w:r w:rsidRPr="004673D0">
        <w:rPr>
          <w:rFonts w:asciiTheme="minorHAnsi" w:eastAsiaTheme="minorHAnsi" w:hAnsiTheme="minorHAnsi" w:cstheme="minorBidi"/>
          <w:snapToGrid/>
          <w:sz w:val="24"/>
          <w:szCs w:val="22"/>
        </w:rPr>
        <w:t>.</w:t>
      </w:r>
      <w:r w:rsidR="00F53E5E" w:rsidRPr="004673D0">
        <w:rPr>
          <w:rFonts w:asciiTheme="minorHAnsi" w:eastAsiaTheme="minorHAnsi" w:hAnsiTheme="minorHAnsi" w:cstheme="minorBidi"/>
          <w:snapToGrid/>
          <w:sz w:val="24"/>
          <w:szCs w:val="22"/>
        </w:rPr>
        <w:t xml:space="preserve"> These calculations assume</w:t>
      </w:r>
      <w:r w:rsidR="00943F27" w:rsidRPr="004673D0">
        <w:rPr>
          <w:rFonts w:asciiTheme="minorHAnsi" w:eastAsiaTheme="minorHAnsi" w:hAnsiTheme="minorHAnsi" w:cstheme="minorBidi"/>
          <w:snapToGrid/>
          <w:sz w:val="24"/>
          <w:szCs w:val="22"/>
        </w:rPr>
        <w:t>d</w:t>
      </w:r>
      <w:r w:rsidR="00F53E5E" w:rsidRPr="004673D0">
        <w:rPr>
          <w:rFonts w:asciiTheme="minorHAnsi" w:eastAsiaTheme="minorHAnsi" w:hAnsiTheme="minorHAnsi" w:cstheme="minorBidi"/>
          <w:snapToGrid/>
          <w:sz w:val="24"/>
          <w:szCs w:val="22"/>
        </w:rPr>
        <w:t xml:space="preserve"> single table</w:t>
      </w:r>
      <w:r w:rsidR="00246EC5" w:rsidRPr="004673D0">
        <w:rPr>
          <w:rFonts w:asciiTheme="minorHAnsi" w:eastAsiaTheme="minorHAnsi" w:hAnsiTheme="minorHAnsi" w:cstheme="minorBidi"/>
          <w:snapToGrid/>
          <w:sz w:val="24"/>
          <w:szCs w:val="22"/>
        </w:rPr>
        <w:t>t</w:t>
      </w:r>
      <w:r w:rsidR="00F53E5E" w:rsidRPr="004673D0">
        <w:rPr>
          <w:rFonts w:asciiTheme="minorHAnsi" w:eastAsiaTheme="minorHAnsi" w:hAnsiTheme="minorHAnsi" w:cstheme="minorBidi"/>
          <w:snapToGrid/>
          <w:sz w:val="24"/>
          <w:szCs w:val="22"/>
        </w:rPr>
        <w:t xml:space="preserve"> use only (while the previous submission</w:t>
      </w:r>
      <w:r w:rsidR="00227D99" w:rsidRPr="004673D0">
        <w:rPr>
          <w:rFonts w:asciiTheme="minorHAnsi" w:eastAsiaTheme="minorHAnsi" w:hAnsiTheme="minorHAnsi" w:cstheme="minorBidi"/>
          <w:snapToGrid/>
          <w:sz w:val="24"/>
          <w:szCs w:val="22"/>
        </w:rPr>
        <w:t>, and the estimates in monotherapy,</w:t>
      </w:r>
      <w:r w:rsidR="00F53E5E" w:rsidRPr="004673D0">
        <w:rPr>
          <w:rFonts w:asciiTheme="minorHAnsi" w:eastAsiaTheme="minorHAnsi" w:hAnsiTheme="minorHAnsi" w:cstheme="minorBidi"/>
          <w:snapToGrid/>
          <w:sz w:val="24"/>
          <w:szCs w:val="22"/>
        </w:rPr>
        <w:t xml:space="preserve"> assumed that </w:t>
      </w:r>
      <w:r w:rsidR="00F83616">
        <w:rPr>
          <w:rFonts w:asciiTheme="minorHAnsi" w:eastAsiaTheme="minorHAnsi" w:hAnsiTheme="minorHAnsi" w:cstheme="minorBidi"/>
          <w:noProof/>
          <w:snapToGrid/>
          <w:color w:val="000000"/>
          <w:sz w:val="24"/>
          <w:szCs w:val="22"/>
          <w:highlight w:val="black"/>
        </w:rPr>
        <w:t>'''''</w:t>
      </w:r>
      <w:r w:rsidR="00F53E5E" w:rsidRPr="00AA10A4">
        <w:rPr>
          <w:rFonts w:asciiTheme="minorHAnsi" w:eastAsiaTheme="minorHAnsi" w:hAnsiTheme="minorHAnsi" w:cstheme="minorBidi"/>
          <w:snapToGrid/>
          <w:sz w:val="24"/>
          <w:szCs w:val="22"/>
        </w:rPr>
        <w:t>% of</w:t>
      </w:r>
      <w:r w:rsidR="00F53E5E" w:rsidRPr="004673D0">
        <w:rPr>
          <w:rFonts w:asciiTheme="minorHAnsi" w:eastAsiaTheme="minorHAnsi" w:hAnsiTheme="minorHAnsi" w:cstheme="minorBidi"/>
          <w:snapToGrid/>
          <w:sz w:val="24"/>
          <w:szCs w:val="22"/>
        </w:rPr>
        <w:t xml:space="preserve"> patients were on </w:t>
      </w:r>
      <w:r w:rsidR="00EC68D5" w:rsidRPr="004673D0">
        <w:rPr>
          <w:rFonts w:asciiTheme="minorHAnsi" w:eastAsiaTheme="minorHAnsi" w:hAnsiTheme="minorHAnsi" w:cstheme="minorBidi"/>
          <w:snapToGrid/>
          <w:sz w:val="24"/>
          <w:szCs w:val="22"/>
        </w:rPr>
        <w:t>one tablet a day and</w:t>
      </w:r>
      <w:r w:rsidR="00F53E5E" w:rsidRPr="004673D0">
        <w:rPr>
          <w:rFonts w:asciiTheme="minorHAnsi" w:eastAsiaTheme="minorHAnsi" w:hAnsiTheme="minorHAnsi" w:cstheme="minorBidi"/>
          <w:snapToGrid/>
          <w:sz w:val="24"/>
          <w:szCs w:val="22"/>
        </w:rPr>
        <w:t xml:space="preserve"> </w:t>
      </w:r>
      <w:r w:rsidR="00F83616">
        <w:rPr>
          <w:rFonts w:asciiTheme="minorHAnsi" w:eastAsiaTheme="minorHAnsi" w:hAnsiTheme="minorHAnsi" w:cstheme="minorBidi"/>
          <w:noProof/>
          <w:snapToGrid/>
          <w:color w:val="000000"/>
          <w:sz w:val="24"/>
          <w:szCs w:val="22"/>
          <w:highlight w:val="black"/>
        </w:rPr>
        <w:t>''''''</w:t>
      </w:r>
      <w:r w:rsidR="00F53E5E" w:rsidRPr="004673D0">
        <w:rPr>
          <w:rFonts w:asciiTheme="minorHAnsi" w:eastAsiaTheme="minorHAnsi" w:hAnsiTheme="minorHAnsi" w:cstheme="minorBidi"/>
          <w:snapToGrid/>
          <w:sz w:val="24"/>
          <w:szCs w:val="22"/>
        </w:rPr>
        <w:t xml:space="preserve">% </w:t>
      </w:r>
      <w:r w:rsidR="00EC68D5" w:rsidRPr="004673D0">
        <w:rPr>
          <w:rFonts w:asciiTheme="minorHAnsi" w:eastAsiaTheme="minorHAnsi" w:hAnsiTheme="minorHAnsi" w:cstheme="minorBidi"/>
          <w:snapToGrid/>
          <w:sz w:val="24"/>
          <w:szCs w:val="22"/>
        </w:rPr>
        <w:t>were on two tablets per day).</w:t>
      </w:r>
    </w:p>
    <w:p w:rsidR="005A3173" w:rsidRPr="004673D0" w:rsidRDefault="005A3173" w:rsidP="008306F3">
      <w:pPr>
        <w:pStyle w:val="Heading2"/>
        <w:keepLines/>
        <w:spacing w:before="240" w:after="120"/>
        <w:rPr>
          <w:rFonts w:asciiTheme="minorHAnsi" w:eastAsiaTheme="majorEastAsia" w:hAnsiTheme="minorHAnsi" w:cstheme="majorBidi"/>
          <w:sz w:val="28"/>
          <w:szCs w:val="28"/>
          <w:lang w:eastAsia="en-US"/>
        </w:rPr>
      </w:pPr>
      <w:r w:rsidRPr="004673D0">
        <w:rPr>
          <w:rFonts w:asciiTheme="minorHAnsi" w:eastAsiaTheme="majorEastAsia" w:hAnsiTheme="minorHAnsi" w:cstheme="majorBidi"/>
          <w:sz w:val="28"/>
          <w:szCs w:val="28"/>
          <w:lang w:eastAsia="en-US"/>
        </w:rPr>
        <w:t>Estimated PBS usage &amp; financial implications</w:t>
      </w:r>
    </w:p>
    <w:p w:rsidR="00037FDE" w:rsidRPr="004673D0" w:rsidRDefault="00037FDE"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In </w:t>
      </w:r>
      <w:r w:rsidR="00A302FE" w:rsidRPr="004673D0">
        <w:rPr>
          <w:rFonts w:asciiTheme="minorHAnsi" w:eastAsiaTheme="minorHAnsi" w:hAnsiTheme="minorHAnsi" w:cstheme="minorBidi"/>
          <w:snapToGrid/>
          <w:sz w:val="24"/>
          <w:szCs w:val="22"/>
        </w:rPr>
        <w:t xml:space="preserve">its </w:t>
      </w:r>
      <w:r w:rsidRPr="004673D0">
        <w:rPr>
          <w:rFonts w:asciiTheme="minorHAnsi" w:eastAsiaTheme="minorHAnsi" w:hAnsiTheme="minorHAnsi" w:cstheme="minorBidi"/>
          <w:snapToGrid/>
          <w:sz w:val="24"/>
          <w:szCs w:val="22"/>
        </w:rPr>
        <w:t>consideration of the utilisation and financial esti</w:t>
      </w:r>
      <w:r w:rsidR="00CD3101" w:rsidRPr="004673D0">
        <w:rPr>
          <w:rFonts w:asciiTheme="minorHAnsi" w:eastAsiaTheme="minorHAnsi" w:hAnsiTheme="minorHAnsi" w:cstheme="minorBidi"/>
          <w:snapToGrid/>
          <w:sz w:val="24"/>
          <w:szCs w:val="22"/>
        </w:rPr>
        <w:t>m</w:t>
      </w:r>
      <w:r w:rsidRPr="004673D0">
        <w:rPr>
          <w:rFonts w:asciiTheme="minorHAnsi" w:eastAsiaTheme="minorHAnsi" w:hAnsiTheme="minorHAnsi" w:cstheme="minorBidi"/>
          <w:snapToGrid/>
          <w:sz w:val="24"/>
          <w:szCs w:val="22"/>
        </w:rPr>
        <w:t>ates of g</w:t>
      </w:r>
      <w:r w:rsidR="003A10CD" w:rsidRPr="004673D0">
        <w:rPr>
          <w:rFonts w:asciiTheme="minorHAnsi" w:eastAsiaTheme="minorHAnsi" w:hAnsiTheme="minorHAnsi" w:cstheme="minorBidi"/>
          <w:snapToGrid/>
          <w:sz w:val="24"/>
          <w:szCs w:val="22"/>
        </w:rPr>
        <w:t>u</w:t>
      </w:r>
      <w:r w:rsidRPr="004673D0">
        <w:rPr>
          <w:rFonts w:asciiTheme="minorHAnsi" w:eastAsiaTheme="minorHAnsi" w:hAnsiTheme="minorHAnsi" w:cstheme="minorBidi"/>
          <w:snapToGrid/>
          <w:sz w:val="24"/>
          <w:szCs w:val="22"/>
        </w:rPr>
        <w:t xml:space="preserve">anfacine </w:t>
      </w:r>
      <w:r w:rsidR="009B3A00" w:rsidRPr="004673D0">
        <w:rPr>
          <w:rFonts w:asciiTheme="minorHAnsi" w:eastAsiaTheme="minorHAnsi" w:hAnsiTheme="minorHAnsi" w:cstheme="minorBidi"/>
          <w:snapToGrid/>
          <w:sz w:val="24"/>
          <w:szCs w:val="22"/>
        </w:rPr>
        <w:t xml:space="preserve">as an add-on therapy </w:t>
      </w:r>
      <w:r w:rsidR="005030F6" w:rsidRPr="004673D0">
        <w:rPr>
          <w:rFonts w:asciiTheme="minorHAnsi" w:eastAsiaTheme="minorHAnsi" w:hAnsiTheme="minorHAnsi" w:cstheme="minorBidi"/>
          <w:snapToGrid/>
          <w:sz w:val="24"/>
          <w:szCs w:val="22"/>
        </w:rPr>
        <w:t>in July 2017</w:t>
      </w:r>
      <w:r w:rsidR="0034735C" w:rsidRPr="004673D0">
        <w:rPr>
          <w:rFonts w:asciiTheme="minorHAnsi" w:eastAsiaTheme="minorHAnsi" w:hAnsiTheme="minorHAnsi" w:cstheme="minorBidi"/>
          <w:snapToGrid/>
          <w:sz w:val="24"/>
          <w:szCs w:val="22"/>
        </w:rPr>
        <w:t xml:space="preserve"> (paragraphs 6.2, 7.12 and 7.13, July 2017 </w:t>
      </w:r>
      <w:r w:rsidR="008F2A3D">
        <w:rPr>
          <w:rFonts w:asciiTheme="minorHAnsi" w:eastAsiaTheme="minorHAnsi" w:hAnsiTheme="minorHAnsi" w:cstheme="minorBidi"/>
          <w:snapToGrid/>
          <w:sz w:val="24"/>
          <w:szCs w:val="22"/>
        </w:rPr>
        <w:t>Public Summary Document (PSD)</w:t>
      </w:r>
      <w:r w:rsidR="0034735C" w:rsidRPr="004673D0">
        <w:rPr>
          <w:rFonts w:asciiTheme="minorHAnsi" w:eastAsiaTheme="minorHAnsi" w:hAnsiTheme="minorHAnsi" w:cstheme="minorBidi"/>
          <w:snapToGrid/>
          <w:sz w:val="24"/>
          <w:szCs w:val="22"/>
        </w:rPr>
        <w:t>)</w:t>
      </w:r>
      <w:r w:rsidRPr="004673D0">
        <w:rPr>
          <w:rFonts w:asciiTheme="minorHAnsi" w:eastAsiaTheme="minorHAnsi" w:hAnsiTheme="minorHAnsi" w:cstheme="minorBidi"/>
          <w:snapToGrid/>
          <w:sz w:val="24"/>
          <w:szCs w:val="22"/>
        </w:rPr>
        <w:t>, the PBAC:</w:t>
      </w:r>
    </w:p>
    <w:p w:rsidR="00CD3101" w:rsidRPr="004673D0" w:rsidRDefault="00037FDE" w:rsidP="00CD3101">
      <w:pPr>
        <w:pStyle w:val="ListParagraph"/>
        <w:widowControl/>
        <w:numPr>
          <w:ilvl w:val="1"/>
          <w:numId w:val="20"/>
        </w:numPr>
        <w:spacing w:after="120"/>
        <w:ind w:left="1077" w:hanging="357"/>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Noted that the dose titration period was not accounted for</w:t>
      </w:r>
      <w:r w:rsidR="00EC68D5" w:rsidRPr="004673D0">
        <w:rPr>
          <w:rFonts w:asciiTheme="minorHAnsi" w:eastAsiaTheme="minorHAnsi" w:hAnsiTheme="minorHAnsi" w:cstheme="minorBidi"/>
          <w:snapToGrid/>
          <w:sz w:val="24"/>
          <w:szCs w:val="22"/>
        </w:rPr>
        <w:t>. This was not addressed in the resubmission</w:t>
      </w:r>
      <w:r w:rsidR="00CD3101" w:rsidRPr="004673D0">
        <w:rPr>
          <w:rFonts w:asciiTheme="minorHAnsi" w:eastAsiaTheme="minorHAnsi" w:hAnsiTheme="minorHAnsi" w:cstheme="minorBidi"/>
          <w:snapToGrid/>
          <w:sz w:val="24"/>
          <w:szCs w:val="22"/>
        </w:rPr>
        <w:t>;</w:t>
      </w:r>
    </w:p>
    <w:p w:rsidR="00CD3101" w:rsidRPr="004673D0" w:rsidRDefault="00CD3101" w:rsidP="00CD3101">
      <w:pPr>
        <w:pStyle w:val="ListParagraph"/>
        <w:widowControl/>
        <w:numPr>
          <w:ilvl w:val="1"/>
          <w:numId w:val="20"/>
        </w:numPr>
        <w:spacing w:after="120"/>
        <w:ind w:left="1077" w:hanging="357"/>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Considered the assumption </w:t>
      </w:r>
      <w:r w:rsidR="00EC68D5" w:rsidRPr="004673D0">
        <w:rPr>
          <w:rFonts w:asciiTheme="minorHAnsi" w:eastAsiaTheme="minorHAnsi" w:hAnsiTheme="minorHAnsi" w:cstheme="minorBidi"/>
          <w:snapToGrid/>
          <w:sz w:val="24"/>
          <w:szCs w:val="22"/>
        </w:rPr>
        <w:t>that</w:t>
      </w:r>
      <w:r w:rsidRPr="004673D0">
        <w:rPr>
          <w:rFonts w:asciiTheme="minorHAnsi" w:eastAsiaTheme="minorHAnsi" w:hAnsiTheme="minorHAnsi" w:cstheme="minorBidi"/>
          <w:snapToGrid/>
          <w:sz w:val="24"/>
          <w:szCs w:val="22"/>
        </w:rPr>
        <w:t xml:space="preserve"> 10% of patients currently taking stimulants achiev</w:t>
      </w:r>
      <w:r w:rsidR="00EC68D5" w:rsidRPr="004673D0">
        <w:rPr>
          <w:rFonts w:asciiTheme="minorHAnsi" w:eastAsiaTheme="minorHAnsi" w:hAnsiTheme="minorHAnsi" w:cstheme="minorBidi"/>
          <w:snapToGrid/>
          <w:sz w:val="24"/>
          <w:szCs w:val="22"/>
        </w:rPr>
        <w:t>e</w:t>
      </w:r>
      <w:r w:rsidRPr="004673D0">
        <w:rPr>
          <w:rFonts w:asciiTheme="minorHAnsi" w:eastAsiaTheme="minorHAnsi" w:hAnsiTheme="minorHAnsi" w:cstheme="minorBidi"/>
          <w:snapToGrid/>
          <w:sz w:val="24"/>
          <w:szCs w:val="22"/>
        </w:rPr>
        <w:t xml:space="preserve"> a suboptimal response may be reasonable, but would likely underestimate uptake given the clinician discretion in assessing when the response </w:t>
      </w:r>
      <w:r w:rsidR="005B73F4" w:rsidRPr="004673D0">
        <w:rPr>
          <w:rFonts w:asciiTheme="minorHAnsi" w:eastAsiaTheme="minorHAnsi" w:hAnsiTheme="minorHAnsi" w:cstheme="minorBidi"/>
          <w:snapToGrid/>
          <w:sz w:val="24"/>
          <w:szCs w:val="22"/>
        </w:rPr>
        <w:t>is</w:t>
      </w:r>
      <w:r w:rsidRPr="004673D0">
        <w:rPr>
          <w:rFonts w:asciiTheme="minorHAnsi" w:eastAsiaTheme="minorHAnsi" w:hAnsiTheme="minorHAnsi" w:cstheme="minorBidi"/>
          <w:snapToGrid/>
          <w:sz w:val="24"/>
          <w:szCs w:val="22"/>
        </w:rPr>
        <w:t xml:space="preserve"> inadequate and stimulant use is optimal</w:t>
      </w:r>
      <w:r w:rsidR="007507CB" w:rsidRPr="004673D0">
        <w:rPr>
          <w:rFonts w:asciiTheme="minorHAnsi" w:eastAsiaTheme="minorHAnsi" w:hAnsiTheme="minorHAnsi" w:cstheme="minorBidi"/>
          <w:snapToGrid/>
          <w:sz w:val="24"/>
          <w:szCs w:val="22"/>
        </w:rPr>
        <w:t xml:space="preserve">. The PBAC also noted that the clinician presenting at the sponsor hearing stated that </w:t>
      </w:r>
      <w:r w:rsidR="00F83616">
        <w:rPr>
          <w:rFonts w:asciiTheme="minorHAnsi" w:eastAsiaTheme="minorHAnsi" w:hAnsiTheme="minorHAnsi" w:cstheme="minorBidi"/>
          <w:noProof/>
          <w:snapToGrid/>
          <w:color w:val="000000"/>
          <w:sz w:val="24"/>
          <w:szCs w:val="22"/>
          <w:highlight w:val="black"/>
        </w:rPr>
        <w:t>''''''</w:t>
      </w:r>
      <w:r w:rsidR="007507CB" w:rsidRPr="004673D0">
        <w:rPr>
          <w:rFonts w:asciiTheme="minorHAnsi" w:eastAsiaTheme="minorHAnsi" w:hAnsiTheme="minorHAnsi" w:cstheme="minorBidi"/>
          <w:snapToGrid/>
          <w:sz w:val="24"/>
          <w:szCs w:val="22"/>
        </w:rPr>
        <w:t>-</w:t>
      </w:r>
      <w:r w:rsidR="00F83616">
        <w:rPr>
          <w:rFonts w:asciiTheme="minorHAnsi" w:eastAsiaTheme="minorHAnsi" w:hAnsiTheme="minorHAnsi" w:cstheme="minorBidi"/>
          <w:noProof/>
          <w:snapToGrid/>
          <w:color w:val="000000"/>
          <w:sz w:val="24"/>
          <w:szCs w:val="22"/>
          <w:highlight w:val="black"/>
        </w:rPr>
        <w:t>'''''</w:t>
      </w:r>
      <w:r w:rsidR="007507CB" w:rsidRPr="00AA10A4">
        <w:rPr>
          <w:rFonts w:asciiTheme="minorHAnsi" w:eastAsiaTheme="minorHAnsi" w:hAnsiTheme="minorHAnsi" w:cstheme="minorBidi"/>
          <w:snapToGrid/>
          <w:sz w:val="24"/>
          <w:szCs w:val="22"/>
        </w:rPr>
        <w:t>% of</w:t>
      </w:r>
      <w:r w:rsidR="007507CB" w:rsidRPr="004673D0">
        <w:rPr>
          <w:rFonts w:asciiTheme="minorHAnsi" w:eastAsiaTheme="minorHAnsi" w:hAnsiTheme="minorHAnsi" w:cstheme="minorBidi"/>
          <w:snapToGrid/>
          <w:sz w:val="24"/>
          <w:szCs w:val="22"/>
        </w:rPr>
        <w:t xml:space="preserve"> patients do not achieve an optimal response to stimulants. An assumption of 20% was used in the </w:t>
      </w:r>
      <w:r w:rsidR="000177C1" w:rsidRPr="004673D0">
        <w:rPr>
          <w:rFonts w:asciiTheme="minorHAnsi" w:eastAsiaTheme="minorHAnsi" w:hAnsiTheme="minorHAnsi" w:cstheme="minorBidi"/>
          <w:snapToGrid/>
          <w:sz w:val="24"/>
          <w:szCs w:val="22"/>
        </w:rPr>
        <w:t>re</w:t>
      </w:r>
      <w:r w:rsidR="007507CB" w:rsidRPr="004673D0">
        <w:rPr>
          <w:rFonts w:asciiTheme="minorHAnsi" w:eastAsiaTheme="minorHAnsi" w:hAnsiTheme="minorHAnsi" w:cstheme="minorBidi"/>
          <w:snapToGrid/>
          <w:sz w:val="24"/>
          <w:szCs w:val="22"/>
        </w:rPr>
        <w:t>submission</w:t>
      </w:r>
      <w:r w:rsidRPr="004673D0">
        <w:rPr>
          <w:rFonts w:asciiTheme="minorHAnsi" w:eastAsiaTheme="minorHAnsi" w:hAnsiTheme="minorHAnsi" w:cstheme="minorBidi"/>
          <w:snapToGrid/>
          <w:sz w:val="24"/>
          <w:szCs w:val="22"/>
        </w:rPr>
        <w:t>; and</w:t>
      </w:r>
    </w:p>
    <w:p w:rsidR="00EC68D5" w:rsidRPr="004673D0" w:rsidRDefault="00CD3101" w:rsidP="00CD3101">
      <w:pPr>
        <w:pStyle w:val="ListParagraph"/>
        <w:widowControl/>
        <w:numPr>
          <w:ilvl w:val="1"/>
          <w:numId w:val="20"/>
        </w:numPr>
        <w:spacing w:after="120"/>
        <w:ind w:left="1077" w:hanging="357"/>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Recommended that new financial estimates would be required in order to calculate a weighted price </w:t>
      </w:r>
      <w:r w:rsidR="00864F48" w:rsidRPr="004673D0">
        <w:rPr>
          <w:rFonts w:asciiTheme="minorHAnsi" w:eastAsiaTheme="minorHAnsi" w:hAnsiTheme="minorHAnsi" w:cstheme="minorBidi"/>
          <w:snapToGrid/>
          <w:sz w:val="24"/>
          <w:szCs w:val="22"/>
        </w:rPr>
        <w:t>(see Weighted price estimate section below</w:t>
      </w:r>
      <w:r w:rsidRPr="004673D0">
        <w:rPr>
          <w:rFonts w:asciiTheme="minorHAnsi" w:eastAsiaTheme="minorHAnsi" w:hAnsiTheme="minorHAnsi" w:cstheme="minorBidi"/>
          <w:snapToGrid/>
          <w:sz w:val="24"/>
          <w:szCs w:val="22"/>
        </w:rPr>
        <w:t>).</w:t>
      </w:r>
      <w:r w:rsidR="0034735C" w:rsidRPr="004673D0">
        <w:rPr>
          <w:rFonts w:asciiTheme="minorHAnsi" w:eastAsiaTheme="minorHAnsi" w:hAnsiTheme="minorHAnsi" w:cstheme="minorBidi"/>
          <w:snapToGrid/>
          <w:sz w:val="24"/>
          <w:szCs w:val="22"/>
        </w:rPr>
        <w:t xml:space="preserve"> </w:t>
      </w:r>
    </w:p>
    <w:p w:rsidR="006E7A78" w:rsidRPr="004673D0" w:rsidRDefault="006E7A78" w:rsidP="006E7A78">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The resubmission presented revised financial estimates in </w:t>
      </w:r>
      <w:r w:rsidR="00D90110" w:rsidRPr="004673D0">
        <w:rPr>
          <w:rFonts w:asciiTheme="minorHAnsi" w:eastAsiaTheme="minorHAnsi" w:hAnsiTheme="minorHAnsi" w:cstheme="minorBidi"/>
          <w:snapToGrid/>
          <w:sz w:val="24"/>
          <w:szCs w:val="22"/>
        </w:rPr>
        <w:t xml:space="preserve">both </w:t>
      </w:r>
      <w:r w:rsidRPr="004673D0">
        <w:rPr>
          <w:rFonts w:asciiTheme="minorHAnsi" w:eastAsiaTheme="minorHAnsi" w:hAnsiTheme="minorHAnsi" w:cstheme="minorBidi"/>
          <w:snapToGrid/>
          <w:sz w:val="24"/>
          <w:szCs w:val="22"/>
        </w:rPr>
        <w:t xml:space="preserve">the add-on </w:t>
      </w:r>
      <w:r w:rsidR="00D90110" w:rsidRPr="004673D0">
        <w:rPr>
          <w:rFonts w:asciiTheme="minorHAnsi" w:eastAsiaTheme="minorHAnsi" w:hAnsiTheme="minorHAnsi" w:cstheme="minorBidi"/>
          <w:snapToGrid/>
          <w:sz w:val="24"/>
          <w:szCs w:val="22"/>
        </w:rPr>
        <w:t>and monotherapy setting</w:t>
      </w:r>
      <w:r w:rsidR="002479D8" w:rsidRPr="004673D0">
        <w:rPr>
          <w:rFonts w:asciiTheme="minorHAnsi" w:eastAsiaTheme="minorHAnsi" w:hAnsiTheme="minorHAnsi" w:cstheme="minorBidi"/>
          <w:snapToGrid/>
          <w:sz w:val="24"/>
          <w:szCs w:val="22"/>
        </w:rPr>
        <w:t>s</w:t>
      </w:r>
      <w:r w:rsidRPr="004673D0">
        <w:rPr>
          <w:rFonts w:asciiTheme="minorHAnsi" w:eastAsiaTheme="minorHAnsi" w:hAnsiTheme="minorHAnsi" w:cstheme="minorBidi"/>
          <w:snapToGrid/>
          <w:sz w:val="24"/>
          <w:szCs w:val="22"/>
        </w:rPr>
        <w:t xml:space="preserve">. The </w:t>
      </w:r>
      <w:r w:rsidR="00D90110" w:rsidRPr="004673D0">
        <w:rPr>
          <w:rFonts w:asciiTheme="minorHAnsi" w:eastAsiaTheme="minorHAnsi" w:hAnsiTheme="minorHAnsi" w:cstheme="minorBidi"/>
          <w:snapToGrid/>
          <w:sz w:val="24"/>
          <w:szCs w:val="22"/>
        </w:rPr>
        <w:t xml:space="preserve">table below outlines the </w:t>
      </w:r>
      <w:r w:rsidRPr="004673D0">
        <w:rPr>
          <w:rFonts w:asciiTheme="minorHAnsi" w:eastAsiaTheme="minorHAnsi" w:hAnsiTheme="minorHAnsi" w:cstheme="minorBidi"/>
          <w:snapToGrid/>
          <w:sz w:val="24"/>
          <w:szCs w:val="22"/>
        </w:rPr>
        <w:t xml:space="preserve">changes compared with the previous </w:t>
      </w:r>
      <w:r w:rsidR="00D90110" w:rsidRPr="004673D0">
        <w:rPr>
          <w:rFonts w:asciiTheme="minorHAnsi" w:eastAsiaTheme="minorHAnsi" w:hAnsiTheme="minorHAnsi" w:cstheme="minorBidi"/>
          <w:snapToGrid/>
          <w:sz w:val="24"/>
          <w:szCs w:val="22"/>
        </w:rPr>
        <w:t xml:space="preserve">submission in each of these </w:t>
      </w:r>
      <w:r w:rsidRPr="004673D0">
        <w:rPr>
          <w:rFonts w:asciiTheme="minorHAnsi" w:eastAsiaTheme="minorHAnsi" w:hAnsiTheme="minorHAnsi" w:cstheme="minorBidi"/>
          <w:snapToGrid/>
          <w:sz w:val="24"/>
          <w:szCs w:val="22"/>
        </w:rPr>
        <w:t>setting</w:t>
      </w:r>
      <w:r w:rsidR="00D90110" w:rsidRPr="004673D0">
        <w:rPr>
          <w:rFonts w:asciiTheme="minorHAnsi" w:eastAsiaTheme="minorHAnsi" w:hAnsiTheme="minorHAnsi" w:cstheme="minorBidi"/>
          <w:snapToGrid/>
          <w:sz w:val="24"/>
          <w:szCs w:val="22"/>
        </w:rPr>
        <w:t>s.</w:t>
      </w:r>
      <w:r w:rsidRPr="004673D0">
        <w:rPr>
          <w:rFonts w:asciiTheme="minorHAnsi" w:eastAsiaTheme="minorHAnsi" w:hAnsiTheme="minorHAnsi" w:cstheme="minorBidi"/>
          <w:snapToGrid/>
          <w:sz w:val="24"/>
          <w:szCs w:val="22"/>
        </w:rPr>
        <w:t xml:space="preserve"> In summary, the previous estimates included </w:t>
      </w:r>
      <w:r w:rsidR="007B5A46" w:rsidRPr="004673D0">
        <w:rPr>
          <w:rFonts w:asciiTheme="minorHAnsi" w:eastAsiaTheme="minorHAnsi" w:hAnsiTheme="minorHAnsi" w:cstheme="minorBidi"/>
          <w:snapToGrid/>
          <w:sz w:val="24"/>
          <w:szCs w:val="22"/>
        </w:rPr>
        <w:t xml:space="preserve">some </w:t>
      </w:r>
      <w:r w:rsidRPr="004673D0">
        <w:rPr>
          <w:rFonts w:asciiTheme="minorHAnsi" w:eastAsiaTheme="minorHAnsi" w:hAnsiTheme="minorHAnsi" w:cstheme="minorBidi"/>
          <w:snapToGrid/>
          <w:sz w:val="24"/>
          <w:szCs w:val="22"/>
        </w:rPr>
        <w:t xml:space="preserve">parameters that were general to both the monotherapy and add-on settings, while in the resubmission </w:t>
      </w:r>
      <w:r w:rsidR="00A302FE" w:rsidRPr="004673D0">
        <w:rPr>
          <w:rFonts w:asciiTheme="minorHAnsi" w:eastAsiaTheme="minorHAnsi" w:hAnsiTheme="minorHAnsi" w:cstheme="minorBidi"/>
          <w:snapToGrid/>
          <w:sz w:val="24"/>
          <w:szCs w:val="22"/>
        </w:rPr>
        <w:t xml:space="preserve">some </w:t>
      </w:r>
      <w:r w:rsidRPr="004673D0">
        <w:rPr>
          <w:rFonts w:asciiTheme="minorHAnsi" w:eastAsiaTheme="minorHAnsi" w:hAnsiTheme="minorHAnsi" w:cstheme="minorBidi"/>
          <w:snapToGrid/>
          <w:sz w:val="24"/>
          <w:szCs w:val="22"/>
        </w:rPr>
        <w:t xml:space="preserve">revised assumptions were applied </w:t>
      </w:r>
      <w:r w:rsidR="00A302FE" w:rsidRPr="004673D0">
        <w:rPr>
          <w:rFonts w:asciiTheme="minorHAnsi" w:eastAsiaTheme="minorHAnsi" w:hAnsiTheme="minorHAnsi" w:cstheme="minorBidi"/>
          <w:snapToGrid/>
          <w:sz w:val="24"/>
          <w:szCs w:val="22"/>
        </w:rPr>
        <w:t>that</w:t>
      </w:r>
      <w:r w:rsidRPr="004673D0">
        <w:rPr>
          <w:rFonts w:asciiTheme="minorHAnsi" w:eastAsiaTheme="minorHAnsi" w:hAnsiTheme="minorHAnsi" w:cstheme="minorBidi"/>
          <w:snapToGrid/>
          <w:sz w:val="24"/>
          <w:szCs w:val="22"/>
        </w:rPr>
        <w:t xml:space="preserve"> were specific to </w:t>
      </w:r>
      <w:r w:rsidR="00D90110" w:rsidRPr="004673D0">
        <w:rPr>
          <w:rFonts w:asciiTheme="minorHAnsi" w:eastAsiaTheme="minorHAnsi" w:hAnsiTheme="minorHAnsi" w:cstheme="minorBidi"/>
          <w:snapToGrid/>
          <w:sz w:val="24"/>
          <w:szCs w:val="22"/>
        </w:rPr>
        <w:t>each of the</w:t>
      </w:r>
      <w:r w:rsidRPr="004673D0">
        <w:rPr>
          <w:rFonts w:asciiTheme="minorHAnsi" w:eastAsiaTheme="minorHAnsi" w:hAnsiTheme="minorHAnsi" w:cstheme="minorBidi"/>
          <w:snapToGrid/>
          <w:sz w:val="24"/>
          <w:szCs w:val="22"/>
        </w:rPr>
        <w:t xml:space="preserve"> setting</w:t>
      </w:r>
      <w:r w:rsidR="00D90110" w:rsidRPr="004673D0">
        <w:rPr>
          <w:rFonts w:asciiTheme="minorHAnsi" w:eastAsiaTheme="minorHAnsi" w:hAnsiTheme="minorHAnsi" w:cstheme="minorBidi"/>
          <w:snapToGrid/>
          <w:sz w:val="24"/>
          <w:szCs w:val="22"/>
        </w:rPr>
        <w:t>s</w:t>
      </w:r>
      <w:r w:rsidRPr="004673D0">
        <w:rPr>
          <w:rFonts w:asciiTheme="minorHAnsi" w:eastAsiaTheme="minorHAnsi" w:hAnsiTheme="minorHAnsi" w:cstheme="minorBidi"/>
          <w:snapToGrid/>
          <w:sz w:val="24"/>
          <w:szCs w:val="22"/>
        </w:rPr>
        <w:t xml:space="preserve">. The resubmission then compared the estimated utilisation in the add-on setting </w:t>
      </w:r>
      <w:r w:rsidR="00D90110" w:rsidRPr="004673D0">
        <w:rPr>
          <w:rFonts w:asciiTheme="minorHAnsi" w:eastAsiaTheme="minorHAnsi" w:hAnsiTheme="minorHAnsi" w:cstheme="minorBidi"/>
          <w:snapToGrid/>
          <w:sz w:val="24"/>
          <w:szCs w:val="22"/>
        </w:rPr>
        <w:t>versus</w:t>
      </w:r>
      <w:r w:rsidRPr="004673D0">
        <w:rPr>
          <w:rFonts w:asciiTheme="minorHAnsi" w:eastAsiaTheme="minorHAnsi" w:hAnsiTheme="minorHAnsi" w:cstheme="minorBidi"/>
          <w:snapToGrid/>
          <w:sz w:val="24"/>
          <w:szCs w:val="22"/>
        </w:rPr>
        <w:t xml:space="preserve"> the monotherapy setting to derive a weighted price. </w:t>
      </w:r>
    </w:p>
    <w:p w:rsidR="00EC68D5" w:rsidRPr="004673D0" w:rsidRDefault="00EC68D5" w:rsidP="00EC68D5">
      <w:pPr>
        <w:pStyle w:val="Caption"/>
        <w:keepLines/>
      </w:pPr>
      <w:r w:rsidRPr="004673D0">
        <w:lastRenderedPageBreak/>
        <w:t xml:space="preserve">Table </w:t>
      </w:r>
      <w:r w:rsidR="000177C1" w:rsidRPr="004673D0">
        <w:t>5</w:t>
      </w:r>
      <w:r w:rsidRPr="004673D0">
        <w:t xml:space="preserve">: Comparison of financial assumptions </w:t>
      </w:r>
      <w:r w:rsidR="00D90110" w:rsidRPr="004673D0">
        <w:t>in the</w:t>
      </w:r>
      <w:r w:rsidRPr="004673D0">
        <w:t xml:space="preserve"> </w:t>
      </w:r>
      <w:r w:rsidR="00D90110" w:rsidRPr="004673D0">
        <w:t>previous submission (</w:t>
      </w:r>
      <w:r w:rsidRPr="004673D0">
        <w:t>July 2017</w:t>
      </w:r>
      <w:r w:rsidR="00D90110" w:rsidRPr="004673D0">
        <w:t>)</w:t>
      </w:r>
      <w:r w:rsidRPr="004673D0">
        <w:t xml:space="preserve"> versus </w:t>
      </w:r>
      <w:r w:rsidR="00D90110" w:rsidRPr="004673D0">
        <w:t xml:space="preserve">the current resubmission </w:t>
      </w:r>
      <w:r w:rsidR="00A302FE" w:rsidRPr="004673D0">
        <w:t xml:space="preserve">(monotherapy </w:t>
      </w:r>
      <w:r w:rsidR="00D90110" w:rsidRPr="004673D0">
        <w:t>and add-on presented separately</w:t>
      </w:r>
      <w:r w:rsidR="00A302FE" w:rsidRPr="004673D0">
        <w:t>)</w:t>
      </w:r>
    </w:p>
    <w:tbl>
      <w:tblPr>
        <w:tblStyle w:val="TableGrid1"/>
        <w:tblW w:w="4854" w:type="pct"/>
        <w:tblLayout w:type="fixed"/>
        <w:tblCellMar>
          <w:left w:w="28" w:type="dxa"/>
          <w:right w:w="28" w:type="dxa"/>
        </w:tblCellMar>
        <w:tblLook w:val="04A0" w:firstRow="1" w:lastRow="0" w:firstColumn="1" w:lastColumn="0" w:noHBand="0" w:noVBand="1"/>
        <w:tblCaption w:val="Table 5: Comparison of financial assumptions in the previous submission (July 2017) versus the current resubmission (monotherapy and add-on presented separately)"/>
      </w:tblPr>
      <w:tblGrid>
        <w:gridCol w:w="2337"/>
        <w:gridCol w:w="3218"/>
        <w:gridCol w:w="3262"/>
      </w:tblGrid>
      <w:tr w:rsidR="00A976C5" w:rsidRPr="004673D0" w:rsidTr="00A976C5">
        <w:trPr>
          <w:cantSplit/>
          <w:tblHeader/>
        </w:trPr>
        <w:tc>
          <w:tcPr>
            <w:tcW w:w="1325" w:type="pct"/>
          </w:tcPr>
          <w:p w:rsidR="00A976C5" w:rsidRPr="004673D0" w:rsidRDefault="00A976C5" w:rsidP="00D90110">
            <w:pPr>
              <w:keepNext/>
              <w:keepLines/>
              <w:rPr>
                <w:rFonts w:ascii="Arial Narrow" w:eastAsia="Calibri" w:hAnsi="Arial Narrow"/>
                <w:b/>
                <w:sz w:val="20"/>
                <w:szCs w:val="20"/>
              </w:rPr>
            </w:pPr>
            <w:r w:rsidRPr="004673D0">
              <w:rPr>
                <w:rFonts w:ascii="Arial Narrow" w:eastAsia="Calibri" w:hAnsi="Arial Narrow"/>
                <w:b/>
                <w:sz w:val="20"/>
                <w:szCs w:val="20"/>
              </w:rPr>
              <w:t xml:space="preserve">Previous submission </w:t>
            </w:r>
          </w:p>
        </w:tc>
        <w:tc>
          <w:tcPr>
            <w:tcW w:w="1825" w:type="pct"/>
          </w:tcPr>
          <w:p w:rsidR="00A976C5" w:rsidRPr="004673D0" w:rsidRDefault="00D90110" w:rsidP="00D90110">
            <w:pPr>
              <w:keepNext/>
              <w:keepLines/>
              <w:rPr>
                <w:rFonts w:ascii="Arial Narrow" w:eastAsia="Calibri" w:hAnsi="Arial Narrow"/>
                <w:b/>
                <w:sz w:val="20"/>
                <w:szCs w:val="20"/>
              </w:rPr>
            </w:pPr>
            <w:r w:rsidRPr="004673D0">
              <w:rPr>
                <w:rFonts w:ascii="Arial Narrow" w:eastAsia="Calibri" w:hAnsi="Arial Narrow" w:cs="Times New Roman"/>
                <w:b/>
                <w:sz w:val="20"/>
                <w:szCs w:val="20"/>
              </w:rPr>
              <w:t>Resubmission - m</w:t>
            </w:r>
            <w:r w:rsidR="00A976C5" w:rsidRPr="004673D0">
              <w:rPr>
                <w:rFonts w:ascii="Arial Narrow" w:eastAsia="Calibri" w:hAnsi="Arial Narrow" w:cs="Times New Roman"/>
                <w:b/>
                <w:sz w:val="20"/>
                <w:szCs w:val="20"/>
              </w:rPr>
              <w:t xml:space="preserve">onotherapy setting </w:t>
            </w:r>
          </w:p>
        </w:tc>
        <w:tc>
          <w:tcPr>
            <w:tcW w:w="1849" w:type="pct"/>
          </w:tcPr>
          <w:p w:rsidR="00A976C5" w:rsidRPr="004673D0" w:rsidRDefault="00A976C5" w:rsidP="00D90110">
            <w:pPr>
              <w:keepNext/>
              <w:keepLines/>
              <w:rPr>
                <w:rFonts w:ascii="Arial Narrow" w:eastAsia="Calibri" w:hAnsi="Arial Narrow" w:cs="Times New Roman"/>
                <w:b/>
                <w:sz w:val="20"/>
                <w:szCs w:val="20"/>
              </w:rPr>
            </w:pPr>
            <w:r w:rsidRPr="004673D0">
              <w:rPr>
                <w:rFonts w:ascii="Arial Narrow" w:eastAsia="Calibri" w:hAnsi="Arial Narrow" w:cs="Times New Roman"/>
                <w:b/>
                <w:sz w:val="20"/>
                <w:szCs w:val="20"/>
              </w:rPr>
              <w:t>Resubmission –</w:t>
            </w:r>
            <w:r w:rsidR="003061F8" w:rsidRPr="004673D0">
              <w:rPr>
                <w:rFonts w:ascii="Arial Narrow" w:eastAsia="Calibri" w:hAnsi="Arial Narrow" w:cs="Times New Roman"/>
                <w:b/>
                <w:sz w:val="20"/>
                <w:szCs w:val="20"/>
              </w:rPr>
              <w:t xml:space="preserve"> </w:t>
            </w:r>
            <w:r w:rsidRPr="004673D0">
              <w:rPr>
                <w:rFonts w:ascii="Arial Narrow" w:eastAsia="Calibri" w:hAnsi="Arial Narrow" w:cs="Times New Roman"/>
                <w:b/>
                <w:sz w:val="20"/>
                <w:szCs w:val="20"/>
              </w:rPr>
              <w:t>add-on setting</w:t>
            </w:r>
          </w:p>
        </w:tc>
      </w:tr>
      <w:tr w:rsidR="00A976C5" w:rsidRPr="004673D0" w:rsidTr="00A976C5">
        <w:trPr>
          <w:cantSplit/>
        </w:trPr>
        <w:tc>
          <w:tcPr>
            <w:tcW w:w="5000" w:type="pct"/>
            <w:gridSpan w:val="3"/>
          </w:tcPr>
          <w:p w:rsidR="00A976C5" w:rsidRPr="004673D0" w:rsidRDefault="00A976C5" w:rsidP="006C3C02">
            <w:pPr>
              <w:keepNext/>
              <w:keepLines/>
              <w:rPr>
                <w:rFonts w:ascii="Arial Narrow" w:eastAsia="Calibri" w:hAnsi="Arial Narrow"/>
                <w:b/>
                <w:sz w:val="20"/>
                <w:szCs w:val="20"/>
              </w:rPr>
            </w:pPr>
            <w:r w:rsidRPr="004673D0">
              <w:rPr>
                <w:rFonts w:ascii="Arial Narrow" w:eastAsia="Calibri" w:hAnsi="Arial Narrow" w:cs="Times New Roman"/>
                <w:b/>
                <w:sz w:val="20"/>
                <w:szCs w:val="20"/>
              </w:rPr>
              <w:t>Patient age</w:t>
            </w:r>
          </w:p>
        </w:tc>
      </w:tr>
      <w:tr w:rsidR="00A976C5" w:rsidRPr="004673D0" w:rsidTr="00A976C5">
        <w:trPr>
          <w:cantSplit/>
        </w:trPr>
        <w:tc>
          <w:tcPr>
            <w:tcW w:w="1325" w:type="pct"/>
          </w:tcPr>
          <w:p w:rsidR="00A976C5" w:rsidRPr="004673D0" w:rsidRDefault="00A976C5" w:rsidP="00A976C5">
            <w:pPr>
              <w:keepNext/>
              <w:keepLines/>
              <w:rPr>
                <w:rFonts w:ascii="Arial Narrow" w:eastAsia="Calibri" w:hAnsi="Arial Narrow"/>
                <w:sz w:val="20"/>
                <w:szCs w:val="20"/>
              </w:rPr>
            </w:pPr>
            <w:r w:rsidRPr="004673D0">
              <w:rPr>
                <w:rFonts w:ascii="Arial Narrow" w:eastAsia="Calibri" w:hAnsi="Arial Narrow"/>
                <w:sz w:val="20"/>
                <w:szCs w:val="20"/>
              </w:rPr>
              <w:t xml:space="preserve">Only included patients </w:t>
            </w:r>
            <w:r w:rsidR="00D55EA8" w:rsidRPr="004673D0">
              <w:rPr>
                <w:rFonts w:ascii="Arial Narrow" w:eastAsia="Calibri" w:hAnsi="Arial Narrow"/>
                <w:b/>
                <w:sz w:val="20"/>
                <w:szCs w:val="20"/>
              </w:rPr>
              <w:t>aged 6</w:t>
            </w:r>
            <w:r w:rsidR="00D55EA8" w:rsidRPr="004673D0">
              <w:rPr>
                <w:rFonts w:ascii="Arial Narrow" w:eastAsia="Calibri" w:hAnsi="Arial Narrow"/>
                <w:b/>
                <w:sz w:val="20"/>
                <w:szCs w:val="20"/>
              </w:rPr>
              <w:noBreakHyphen/>
            </w:r>
            <w:r w:rsidRPr="004673D0">
              <w:rPr>
                <w:rFonts w:ascii="Arial Narrow" w:eastAsia="Calibri" w:hAnsi="Arial Narrow"/>
                <w:b/>
                <w:sz w:val="20"/>
                <w:szCs w:val="20"/>
              </w:rPr>
              <w:t>17 years</w:t>
            </w:r>
            <w:r w:rsidRPr="004673D0">
              <w:rPr>
                <w:rFonts w:ascii="Arial Narrow" w:eastAsia="Calibri" w:hAnsi="Arial Narrow"/>
                <w:sz w:val="20"/>
                <w:szCs w:val="20"/>
              </w:rPr>
              <w:t xml:space="preserve"> (inclusive)</w:t>
            </w:r>
          </w:p>
          <w:p w:rsidR="007B5A46" w:rsidRPr="004673D0" w:rsidRDefault="007B5A46" w:rsidP="00A976C5">
            <w:pPr>
              <w:keepNext/>
              <w:keepLines/>
              <w:rPr>
                <w:rFonts w:ascii="Arial Narrow" w:eastAsia="Calibri" w:hAnsi="Arial Narrow"/>
                <w:sz w:val="20"/>
                <w:szCs w:val="20"/>
              </w:rPr>
            </w:pPr>
          </w:p>
          <w:p w:rsidR="007B5A46" w:rsidRPr="004673D0" w:rsidDel="004A00AC" w:rsidRDefault="007B5A46" w:rsidP="007B5A46">
            <w:pPr>
              <w:keepNext/>
              <w:keepLines/>
              <w:rPr>
                <w:rFonts w:ascii="Arial Narrow" w:eastAsia="Calibri" w:hAnsi="Arial Narrow"/>
                <w:i/>
                <w:sz w:val="20"/>
                <w:szCs w:val="20"/>
              </w:rPr>
            </w:pPr>
          </w:p>
        </w:tc>
        <w:tc>
          <w:tcPr>
            <w:tcW w:w="1825" w:type="pct"/>
          </w:tcPr>
          <w:p w:rsidR="00A976C5" w:rsidRPr="004673D0" w:rsidRDefault="00A976C5" w:rsidP="006C3C02">
            <w:pPr>
              <w:keepNext/>
              <w:keepLines/>
              <w:rPr>
                <w:rFonts w:ascii="Arial Narrow" w:eastAsia="Calibri" w:hAnsi="Arial Narrow" w:cs="Times New Roman"/>
                <w:b/>
                <w:sz w:val="20"/>
                <w:szCs w:val="20"/>
              </w:rPr>
            </w:pPr>
            <w:r w:rsidRPr="004673D0">
              <w:rPr>
                <w:rFonts w:ascii="Arial Narrow" w:eastAsia="Calibri" w:hAnsi="Arial Narrow" w:cs="Times New Roman"/>
                <w:b/>
                <w:sz w:val="20"/>
                <w:szCs w:val="20"/>
              </w:rPr>
              <w:t>Includes all ages</w:t>
            </w:r>
            <w:r w:rsidR="005C5E12" w:rsidRPr="004673D0">
              <w:rPr>
                <w:rFonts w:ascii="Arial Narrow" w:eastAsia="Calibri" w:hAnsi="Arial Narrow"/>
                <w:i/>
                <w:sz w:val="20"/>
                <w:szCs w:val="20"/>
              </w:rPr>
              <w:t xml:space="preserve"> (recommendation allow</w:t>
            </w:r>
            <w:r w:rsidR="008330AF" w:rsidRPr="004673D0">
              <w:rPr>
                <w:rFonts w:ascii="Arial Narrow" w:eastAsia="Calibri" w:hAnsi="Arial Narrow"/>
                <w:i/>
                <w:sz w:val="20"/>
                <w:szCs w:val="20"/>
              </w:rPr>
              <w:t>s</w:t>
            </w:r>
            <w:r w:rsidR="005C5E12" w:rsidRPr="004673D0">
              <w:rPr>
                <w:rFonts w:ascii="Arial Narrow" w:eastAsia="Calibri" w:hAnsi="Arial Narrow"/>
                <w:i/>
                <w:sz w:val="20"/>
                <w:szCs w:val="20"/>
              </w:rPr>
              <w:t xml:space="preserve"> continuation &gt;17 years of age).</w:t>
            </w:r>
          </w:p>
          <w:p w:rsidR="00A976C5" w:rsidRPr="004673D0" w:rsidRDefault="00A976C5" w:rsidP="0013061D">
            <w:pPr>
              <w:keepNext/>
              <w:keepLines/>
              <w:rPr>
                <w:rFonts w:ascii="Arial Narrow" w:eastAsia="Calibri" w:hAnsi="Arial Narrow" w:cs="Times New Roman"/>
                <w:sz w:val="20"/>
                <w:szCs w:val="20"/>
              </w:rPr>
            </w:pPr>
            <w:r w:rsidRPr="004673D0">
              <w:rPr>
                <w:rFonts w:ascii="Arial Narrow" w:eastAsia="Calibri" w:hAnsi="Arial Narrow" w:cs="Times New Roman"/>
                <w:sz w:val="20"/>
                <w:szCs w:val="20"/>
              </w:rPr>
              <w:t>Uptake rates differed by age (see below):</w:t>
            </w:r>
          </w:p>
          <w:p w:rsidR="00A976C5" w:rsidRPr="004673D0" w:rsidRDefault="00A976C5" w:rsidP="00E05E38">
            <w:pPr>
              <w:keepNext/>
              <w:keepLines/>
              <w:rPr>
                <w:rFonts w:ascii="Arial Narrow" w:eastAsia="Calibri" w:hAnsi="Arial Narrow"/>
                <w:sz w:val="20"/>
                <w:szCs w:val="20"/>
              </w:rPr>
            </w:pPr>
            <w:r w:rsidRPr="004673D0">
              <w:rPr>
                <w:rFonts w:ascii="Arial Narrow" w:eastAsia="Calibri" w:hAnsi="Arial Narrow" w:cs="Times New Roman"/>
                <w:sz w:val="20"/>
                <w:szCs w:val="20"/>
              </w:rPr>
              <w:t xml:space="preserve">- For atomoxetine and clonidine </w:t>
            </w:r>
            <w:r w:rsidRPr="004673D0">
              <w:rPr>
                <w:rFonts w:ascii="Arial Narrow" w:eastAsia="Calibri" w:hAnsi="Arial Narrow" w:cs="Times New Roman"/>
                <w:sz w:val="20"/>
                <w:szCs w:val="20"/>
                <w:u w:val="single"/>
              </w:rPr>
              <w:t>75%</w:t>
            </w:r>
            <w:r w:rsidRPr="004673D0">
              <w:rPr>
                <w:rFonts w:ascii="Arial Narrow" w:eastAsia="Calibri" w:hAnsi="Arial Narrow" w:cs="Times New Roman"/>
                <w:sz w:val="20"/>
                <w:szCs w:val="20"/>
              </w:rPr>
              <w:t xml:space="preserve"> of patients were </w:t>
            </w:r>
            <w:r w:rsidR="002479D8" w:rsidRPr="004673D0">
              <w:rPr>
                <w:rFonts w:ascii="Arial Narrow" w:eastAsia="Calibri" w:hAnsi="Arial Narrow" w:cs="Times New Roman"/>
                <w:sz w:val="20"/>
                <w:szCs w:val="20"/>
              </w:rPr>
              <w:t xml:space="preserve">assumed to be </w:t>
            </w:r>
            <w:r w:rsidRPr="004673D0">
              <w:rPr>
                <w:rFonts w:ascii="Arial Narrow" w:eastAsia="Calibri" w:hAnsi="Arial Narrow" w:cs="Times New Roman"/>
                <w:sz w:val="20"/>
                <w:szCs w:val="20"/>
              </w:rPr>
              <w:t>aged 6-17 years.</w:t>
            </w:r>
          </w:p>
        </w:tc>
        <w:tc>
          <w:tcPr>
            <w:tcW w:w="1849" w:type="pct"/>
          </w:tcPr>
          <w:p w:rsidR="00A976C5" w:rsidRPr="004673D0" w:rsidRDefault="00A976C5" w:rsidP="00A976C5">
            <w:pPr>
              <w:keepNext/>
              <w:keepLines/>
              <w:rPr>
                <w:rFonts w:ascii="Arial Narrow" w:eastAsia="Calibri" w:hAnsi="Arial Narrow" w:cs="Times New Roman"/>
                <w:b/>
                <w:sz w:val="20"/>
                <w:szCs w:val="20"/>
              </w:rPr>
            </w:pPr>
            <w:r w:rsidRPr="004673D0">
              <w:rPr>
                <w:rFonts w:ascii="Arial Narrow" w:eastAsia="Calibri" w:hAnsi="Arial Narrow" w:cs="Times New Roman"/>
                <w:b/>
                <w:sz w:val="20"/>
                <w:szCs w:val="20"/>
              </w:rPr>
              <w:t>Includes all ages</w:t>
            </w:r>
          </w:p>
          <w:p w:rsidR="00A976C5" w:rsidRPr="004673D0" w:rsidRDefault="00A976C5" w:rsidP="006C3C02">
            <w:pPr>
              <w:keepNext/>
              <w:keepLines/>
              <w:rPr>
                <w:rFonts w:ascii="Arial Narrow" w:eastAsia="Calibri" w:hAnsi="Arial Narrow" w:cs="Times New Roman"/>
                <w:sz w:val="20"/>
                <w:szCs w:val="20"/>
              </w:rPr>
            </w:pPr>
            <w:r w:rsidRPr="004673D0">
              <w:rPr>
                <w:rFonts w:ascii="Arial Narrow" w:eastAsia="Calibri" w:hAnsi="Arial Narrow" w:cs="Times New Roman"/>
                <w:sz w:val="20"/>
                <w:szCs w:val="20"/>
              </w:rPr>
              <w:t>Uptake rates differed by age (see below):</w:t>
            </w:r>
          </w:p>
          <w:p w:rsidR="002479D8" w:rsidRPr="004673D0" w:rsidRDefault="00A976C5" w:rsidP="00E05E38">
            <w:pPr>
              <w:keepNext/>
              <w:keepLines/>
              <w:rPr>
                <w:rFonts w:ascii="Arial Narrow" w:eastAsia="Calibri" w:hAnsi="Arial Narrow" w:cs="Times New Roman"/>
                <w:sz w:val="20"/>
                <w:szCs w:val="20"/>
              </w:rPr>
            </w:pPr>
            <w:r w:rsidRPr="004673D0">
              <w:rPr>
                <w:rFonts w:ascii="Arial Narrow" w:eastAsia="Calibri" w:hAnsi="Arial Narrow" w:cs="Times New Roman"/>
                <w:sz w:val="20"/>
                <w:szCs w:val="20"/>
              </w:rPr>
              <w:t xml:space="preserve">- For stimulants </w:t>
            </w:r>
            <w:r w:rsidRPr="004673D0">
              <w:rPr>
                <w:rFonts w:ascii="Arial Narrow" w:eastAsia="Calibri" w:hAnsi="Arial Narrow" w:cs="Times New Roman"/>
                <w:sz w:val="20"/>
                <w:szCs w:val="20"/>
                <w:u w:val="single"/>
              </w:rPr>
              <w:t>80%</w:t>
            </w:r>
            <w:r w:rsidRPr="004673D0">
              <w:rPr>
                <w:rFonts w:ascii="Arial Narrow" w:eastAsia="Calibri" w:hAnsi="Arial Narrow" w:cs="Times New Roman"/>
                <w:sz w:val="20"/>
                <w:szCs w:val="20"/>
              </w:rPr>
              <w:t xml:space="preserve"> of patients were </w:t>
            </w:r>
            <w:r w:rsidR="002479D8" w:rsidRPr="004673D0">
              <w:rPr>
                <w:rFonts w:ascii="Arial Narrow" w:eastAsia="Calibri" w:hAnsi="Arial Narrow" w:cs="Times New Roman"/>
                <w:sz w:val="20"/>
                <w:szCs w:val="20"/>
              </w:rPr>
              <w:t xml:space="preserve">assumed to be </w:t>
            </w:r>
            <w:r w:rsidRPr="004673D0">
              <w:rPr>
                <w:rFonts w:ascii="Arial Narrow" w:eastAsia="Calibri" w:hAnsi="Arial Narrow" w:cs="Times New Roman"/>
                <w:sz w:val="20"/>
                <w:szCs w:val="20"/>
              </w:rPr>
              <w:t xml:space="preserve">aged 6-17 years. </w:t>
            </w:r>
          </w:p>
          <w:p w:rsidR="00A976C5" w:rsidRPr="004673D0" w:rsidRDefault="00DB68E3" w:rsidP="00015985">
            <w:pPr>
              <w:keepNext/>
              <w:keepLines/>
              <w:rPr>
                <w:rFonts w:ascii="Arial Narrow" w:eastAsia="Calibri" w:hAnsi="Arial Narrow" w:cs="Times New Roman"/>
                <w:i/>
                <w:sz w:val="20"/>
                <w:szCs w:val="20"/>
              </w:rPr>
            </w:pPr>
            <w:r w:rsidRPr="004673D0">
              <w:rPr>
                <w:rFonts w:ascii="Arial Narrow" w:eastAsia="Calibri" w:hAnsi="Arial Narrow" w:cs="Times New Roman"/>
                <w:i/>
                <w:sz w:val="20"/>
                <w:szCs w:val="20"/>
              </w:rPr>
              <w:t xml:space="preserve">The difference vs monotherapy </w:t>
            </w:r>
            <w:r w:rsidR="002479D8" w:rsidRPr="004673D0">
              <w:rPr>
                <w:rFonts w:ascii="Arial Narrow" w:eastAsia="Calibri" w:hAnsi="Arial Narrow" w:cs="Times New Roman"/>
                <w:i/>
                <w:sz w:val="20"/>
                <w:szCs w:val="20"/>
              </w:rPr>
              <w:t>was</w:t>
            </w:r>
            <w:r w:rsidRPr="004673D0">
              <w:rPr>
                <w:rFonts w:ascii="Arial Narrow" w:eastAsia="Calibri" w:hAnsi="Arial Narrow" w:cs="Times New Roman"/>
                <w:i/>
                <w:sz w:val="20"/>
                <w:szCs w:val="20"/>
              </w:rPr>
              <w:t xml:space="preserve"> based on age distributions </w:t>
            </w:r>
            <w:r w:rsidR="002479D8" w:rsidRPr="004673D0">
              <w:rPr>
                <w:rFonts w:ascii="Arial Narrow" w:eastAsia="Calibri" w:hAnsi="Arial Narrow" w:cs="Times New Roman"/>
                <w:i/>
                <w:sz w:val="20"/>
                <w:szCs w:val="20"/>
              </w:rPr>
              <w:t>from</w:t>
            </w:r>
            <w:r w:rsidRPr="004673D0">
              <w:rPr>
                <w:rFonts w:ascii="Arial Narrow" w:eastAsia="Calibri" w:hAnsi="Arial Narrow" w:cs="Times New Roman"/>
                <w:i/>
                <w:sz w:val="20"/>
                <w:szCs w:val="20"/>
              </w:rPr>
              <w:t xml:space="preserve"> PBS utilisation data</w:t>
            </w:r>
            <w:r w:rsidR="00015985" w:rsidRPr="004673D0">
              <w:rPr>
                <w:rFonts w:ascii="Arial Narrow" w:eastAsia="Calibri" w:hAnsi="Arial Narrow" w:cs="Times New Roman"/>
                <w:i/>
                <w:sz w:val="20"/>
                <w:szCs w:val="20"/>
              </w:rPr>
              <w:t xml:space="preserve"> for stimulants vs atomoxetine/clonidine</w:t>
            </w:r>
          </w:p>
        </w:tc>
      </w:tr>
      <w:tr w:rsidR="00A976C5" w:rsidRPr="004673D0" w:rsidTr="00A976C5">
        <w:trPr>
          <w:cantSplit/>
        </w:trPr>
        <w:tc>
          <w:tcPr>
            <w:tcW w:w="5000" w:type="pct"/>
            <w:gridSpan w:val="3"/>
          </w:tcPr>
          <w:p w:rsidR="00A976C5" w:rsidRPr="004673D0" w:rsidRDefault="00A976C5" w:rsidP="00A976C5">
            <w:pPr>
              <w:keepNext/>
              <w:keepLines/>
              <w:rPr>
                <w:rFonts w:ascii="Arial Narrow" w:eastAsia="Calibri" w:hAnsi="Arial Narrow"/>
                <w:b/>
                <w:sz w:val="20"/>
                <w:szCs w:val="20"/>
              </w:rPr>
            </w:pPr>
            <w:r w:rsidRPr="004673D0">
              <w:rPr>
                <w:rFonts w:ascii="Arial Narrow" w:eastAsia="Calibri" w:hAnsi="Arial Narrow" w:cs="Times New Roman"/>
                <w:b/>
                <w:sz w:val="20"/>
                <w:szCs w:val="20"/>
              </w:rPr>
              <w:t>Forecast ADHD market growth</w:t>
            </w:r>
          </w:p>
        </w:tc>
      </w:tr>
      <w:tr w:rsidR="00A976C5" w:rsidRPr="004673D0" w:rsidTr="00A976C5">
        <w:trPr>
          <w:cantSplit/>
        </w:trPr>
        <w:tc>
          <w:tcPr>
            <w:tcW w:w="1325" w:type="pct"/>
          </w:tcPr>
          <w:p w:rsidR="00D55EA8" w:rsidRPr="004673D0" w:rsidRDefault="00B64EFD" w:rsidP="00B64EFD">
            <w:pPr>
              <w:keepNext/>
              <w:keepLines/>
              <w:rPr>
                <w:rFonts w:ascii="Arial Narrow" w:eastAsia="Calibri" w:hAnsi="Arial Narrow" w:cs="Times New Roman"/>
                <w:sz w:val="20"/>
                <w:szCs w:val="20"/>
              </w:rPr>
            </w:pPr>
            <w:r w:rsidRPr="004673D0">
              <w:rPr>
                <w:rFonts w:ascii="Arial Narrow" w:eastAsia="Calibri" w:hAnsi="Arial Narrow"/>
                <w:sz w:val="20"/>
                <w:szCs w:val="20"/>
              </w:rPr>
              <w:t xml:space="preserve">Based on linear growth of </w:t>
            </w:r>
            <w:r w:rsidR="002479D8" w:rsidRPr="004673D0">
              <w:rPr>
                <w:rFonts w:ascii="Arial Narrow" w:eastAsia="Calibri" w:hAnsi="Arial Narrow"/>
                <w:sz w:val="20"/>
                <w:szCs w:val="20"/>
              </w:rPr>
              <w:t xml:space="preserve">atomoxetine, clonidine and methylphenidate </w:t>
            </w:r>
            <w:r w:rsidRPr="004673D0">
              <w:rPr>
                <w:rFonts w:ascii="Arial Narrow" w:eastAsia="Calibri" w:hAnsi="Arial Narrow"/>
                <w:sz w:val="20"/>
                <w:szCs w:val="20"/>
              </w:rPr>
              <w:t xml:space="preserve">from </w:t>
            </w:r>
            <w:r w:rsidR="00D55EA8" w:rsidRPr="004673D0">
              <w:rPr>
                <w:rFonts w:ascii="Arial Narrow" w:eastAsia="Calibri" w:hAnsi="Arial Narrow"/>
                <w:sz w:val="20"/>
                <w:szCs w:val="20"/>
              </w:rPr>
              <w:t>2010/11 to 2015/16</w:t>
            </w:r>
            <w:r w:rsidR="002479D8" w:rsidRPr="004673D0">
              <w:rPr>
                <w:rFonts w:ascii="Arial Narrow" w:eastAsia="Calibri" w:hAnsi="Arial Narrow"/>
                <w:sz w:val="20"/>
                <w:szCs w:val="20"/>
              </w:rPr>
              <w:t xml:space="preserve"> (applied to each drug separately)</w:t>
            </w:r>
            <w:r w:rsidR="00403CBD" w:rsidRPr="004673D0">
              <w:rPr>
                <w:rFonts w:ascii="Arial Narrow" w:eastAsia="Calibri" w:hAnsi="Arial Narrow"/>
                <w:sz w:val="20"/>
                <w:szCs w:val="20"/>
              </w:rPr>
              <w:t>.</w:t>
            </w:r>
            <w:r w:rsidR="00403CBD" w:rsidRPr="004673D0">
              <w:rPr>
                <w:rFonts w:ascii="Arial Narrow" w:eastAsia="Calibri" w:hAnsi="Arial Narrow"/>
                <w:i/>
                <w:sz w:val="20"/>
                <w:szCs w:val="20"/>
              </w:rPr>
              <w:t xml:space="preserve"> </w:t>
            </w:r>
            <w:r w:rsidR="002479D8" w:rsidRPr="004673D0">
              <w:rPr>
                <w:rFonts w:ascii="Arial Narrow" w:eastAsia="Calibri" w:hAnsi="Arial Narrow" w:cs="Times New Roman"/>
                <w:sz w:val="20"/>
                <w:szCs w:val="20"/>
              </w:rPr>
              <w:t>Li</w:t>
            </w:r>
            <w:r w:rsidRPr="004673D0">
              <w:rPr>
                <w:rFonts w:ascii="Arial Narrow" w:eastAsia="Calibri" w:hAnsi="Arial Narrow" w:cs="Times New Roman"/>
                <w:sz w:val="20"/>
                <w:szCs w:val="20"/>
              </w:rPr>
              <w:t xml:space="preserve">sdexamfetamine </w:t>
            </w:r>
            <w:r w:rsidR="002479D8" w:rsidRPr="004673D0">
              <w:rPr>
                <w:rFonts w:ascii="Arial Narrow" w:eastAsia="Calibri" w:hAnsi="Arial Narrow" w:cs="Times New Roman"/>
                <w:sz w:val="20"/>
                <w:szCs w:val="20"/>
              </w:rPr>
              <w:t xml:space="preserve">growth </w:t>
            </w:r>
            <w:r w:rsidRPr="004673D0">
              <w:rPr>
                <w:rFonts w:ascii="Arial Narrow" w:eastAsia="Calibri" w:hAnsi="Arial Narrow" w:cs="Times New Roman"/>
                <w:sz w:val="20"/>
                <w:szCs w:val="20"/>
              </w:rPr>
              <w:t>was based on methylphenidate SR. Avg</w:t>
            </w:r>
            <w:r w:rsidR="002479D8" w:rsidRPr="004673D0">
              <w:rPr>
                <w:rFonts w:ascii="Arial Narrow" w:eastAsia="Calibri" w:hAnsi="Arial Narrow" w:cs="Times New Roman"/>
                <w:sz w:val="20"/>
                <w:szCs w:val="20"/>
              </w:rPr>
              <w:t>.</w:t>
            </w:r>
            <w:r w:rsidRPr="004673D0">
              <w:rPr>
                <w:rFonts w:ascii="Arial Narrow" w:eastAsia="Calibri" w:hAnsi="Arial Narrow" w:cs="Times New Roman"/>
                <w:sz w:val="20"/>
                <w:szCs w:val="20"/>
              </w:rPr>
              <w:t xml:space="preserve"> growth </w:t>
            </w:r>
            <w:r w:rsidR="002479D8" w:rsidRPr="004673D0">
              <w:rPr>
                <w:rFonts w:ascii="Arial Narrow" w:eastAsia="Calibri" w:hAnsi="Arial Narrow" w:cs="Times New Roman"/>
                <w:sz w:val="20"/>
                <w:szCs w:val="20"/>
              </w:rPr>
              <w:t xml:space="preserve">over 5 years </w:t>
            </w:r>
            <w:r w:rsidRPr="004673D0">
              <w:rPr>
                <w:rFonts w:ascii="Arial Narrow" w:eastAsia="Calibri" w:hAnsi="Arial Narrow" w:cs="Times New Roman"/>
                <w:sz w:val="20"/>
                <w:szCs w:val="20"/>
              </w:rPr>
              <w:t>was: Monotherapy market: 5%</w:t>
            </w:r>
          </w:p>
          <w:p w:rsidR="00B64EFD" w:rsidRPr="004673D0" w:rsidRDefault="00B64EFD" w:rsidP="00B64EFD">
            <w:pPr>
              <w:keepNext/>
              <w:keepLines/>
              <w:rPr>
                <w:rFonts w:ascii="Arial Narrow" w:eastAsia="Calibri" w:hAnsi="Arial Narrow"/>
                <w:sz w:val="20"/>
                <w:szCs w:val="20"/>
              </w:rPr>
            </w:pPr>
            <w:r w:rsidRPr="004673D0">
              <w:rPr>
                <w:rFonts w:ascii="Arial Narrow" w:eastAsia="Calibri" w:hAnsi="Arial Narrow"/>
                <w:sz w:val="20"/>
                <w:szCs w:val="20"/>
              </w:rPr>
              <w:t>Stimulant market: 7.5%</w:t>
            </w:r>
          </w:p>
        </w:tc>
        <w:tc>
          <w:tcPr>
            <w:tcW w:w="1825" w:type="pct"/>
          </w:tcPr>
          <w:p w:rsidR="00A976C5" w:rsidRPr="004673D0" w:rsidRDefault="00A976C5" w:rsidP="0013061D">
            <w:pPr>
              <w:keepNext/>
              <w:keepLines/>
              <w:rPr>
                <w:rFonts w:ascii="Arial Narrow" w:eastAsia="Calibri" w:hAnsi="Arial Narrow" w:cs="Times New Roman"/>
                <w:sz w:val="20"/>
                <w:szCs w:val="20"/>
              </w:rPr>
            </w:pPr>
            <w:r w:rsidRPr="004673D0">
              <w:rPr>
                <w:rFonts w:ascii="Arial Narrow" w:eastAsia="Calibri" w:hAnsi="Arial Narrow" w:cs="Times New Roman"/>
                <w:sz w:val="20"/>
                <w:szCs w:val="20"/>
              </w:rPr>
              <w:t xml:space="preserve">Monotherapy market: </w:t>
            </w:r>
            <w:r w:rsidRPr="004673D0">
              <w:rPr>
                <w:rFonts w:ascii="Arial Narrow" w:eastAsia="Calibri" w:hAnsi="Arial Narrow" w:cs="Times New Roman"/>
                <w:b/>
                <w:sz w:val="20"/>
                <w:szCs w:val="20"/>
              </w:rPr>
              <w:t>7%</w:t>
            </w:r>
            <w:r w:rsidRPr="004673D0">
              <w:rPr>
                <w:rFonts w:ascii="Arial Narrow" w:eastAsia="Calibri" w:hAnsi="Arial Narrow" w:cs="Times New Roman"/>
                <w:sz w:val="20"/>
                <w:szCs w:val="20"/>
              </w:rPr>
              <w:t xml:space="preserve"> in Years 1 to 6</w:t>
            </w:r>
          </w:p>
          <w:p w:rsidR="00D55EA8" w:rsidRPr="004673D0" w:rsidRDefault="00D55EA8" w:rsidP="0013061D">
            <w:pPr>
              <w:keepNext/>
              <w:keepLines/>
              <w:rPr>
                <w:rFonts w:ascii="Arial Narrow" w:eastAsia="Calibri" w:hAnsi="Arial Narrow" w:cs="Times New Roman"/>
                <w:sz w:val="20"/>
                <w:szCs w:val="20"/>
              </w:rPr>
            </w:pPr>
          </w:p>
          <w:p w:rsidR="00A976C5" w:rsidRPr="004673D0" w:rsidRDefault="00403CBD" w:rsidP="00403CBD">
            <w:pPr>
              <w:keepNext/>
              <w:keepLines/>
              <w:rPr>
                <w:rFonts w:ascii="Arial Narrow" w:eastAsia="Calibri" w:hAnsi="Arial Narrow"/>
                <w:sz w:val="20"/>
                <w:szCs w:val="20"/>
              </w:rPr>
            </w:pPr>
            <w:r w:rsidRPr="004673D0">
              <w:rPr>
                <w:rFonts w:ascii="Arial Narrow" w:eastAsia="Calibri" w:hAnsi="Arial Narrow" w:cs="Times New Roman"/>
                <w:sz w:val="20"/>
                <w:szCs w:val="20"/>
              </w:rPr>
              <w:t>B</w:t>
            </w:r>
            <w:r w:rsidR="00D55EA8" w:rsidRPr="004673D0">
              <w:rPr>
                <w:rFonts w:ascii="Arial Narrow" w:eastAsia="Calibri" w:hAnsi="Arial Narrow" w:cs="Times New Roman"/>
                <w:sz w:val="20"/>
                <w:szCs w:val="20"/>
              </w:rPr>
              <w:t>ased on</w:t>
            </w:r>
            <w:r w:rsidR="00D55EA8" w:rsidRPr="004673D0">
              <w:rPr>
                <w:rFonts w:ascii="Arial Narrow" w:eastAsia="Calibri" w:hAnsi="Arial Narrow"/>
                <w:sz w:val="20"/>
                <w:szCs w:val="20"/>
              </w:rPr>
              <w:t xml:space="preserve"> </w:t>
            </w:r>
            <w:r w:rsidRPr="004673D0">
              <w:rPr>
                <w:rFonts w:ascii="Arial Narrow" w:eastAsia="Calibri" w:hAnsi="Arial Narrow" w:cs="Times New Roman"/>
                <w:sz w:val="20"/>
                <w:szCs w:val="20"/>
              </w:rPr>
              <w:t>atomoxetine and clonidine</w:t>
            </w:r>
            <w:r w:rsidRPr="004673D0">
              <w:rPr>
                <w:rFonts w:ascii="Arial Narrow" w:eastAsia="Calibri" w:hAnsi="Arial Narrow"/>
                <w:sz w:val="20"/>
                <w:szCs w:val="20"/>
              </w:rPr>
              <w:t xml:space="preserve"> from </w:t>
            </w:r>
            <w:r w:rsidR="00D55EA8" w:rsidRPr="004673D0">
              <w:rPr>
                <w:rFonts w:ascii="Arial Narrow" w:eastAsia="Calibri" w:hAnsi="Arial Narrow"/>
                <w:sz w:val="20"/>
                <w:szCs w:val="20"/>
              </w:rPr>
              <w:t>2011/12 to 2016/17</w:t>
            </w:r>
            <w:r w:rsidRPr="004673D0">
              <w:rPr>
                <w:rFonts w:ascii="Arial Narrow" w:eastAsia="Calibri" w:hAnsi="Arial Narrow"/>
                <w:sz w:val="20"/>
                <w:szCs w:val="20"/>
              </w:rPr>
              <w:t>.</w:t>
            </w:r>
          </w:p>
        </w:tc>
        <w:tc>
          <w:tcPr>
            <w:tcW w:w="1849" w:type="pct"/>
          </w:tcPr>
          <w:p w:rsidR="00A976C5" w:rsidRPr="004673D0" w:rsidRDefault="00A976C5" w:rsidP="00A976C5">
            <w:pPr>
              <w:keepNext/>
              <w:keepLines/>
              <w:rPr>
                <w:rFonts w:ascii="Arial Narrow" w:eastAsia="Calibri" w:hAnsi="Arial Narrow" w:cs="Times New Roman"/>
                <w:sz w:val="20"/>
                <w:szCs w:val="20"/>
              </w:rPr>
            </w:pPr>
            <w:r w:rsidRPr="004673D0">
              <w:rPr>
                <w:rFonts w:ascii="Arial Narrow" w:eastAsia="Calibri" w:hAnsi="Arial Narrow" w:cs="Times New Roman"/>
                <w:sz w:val="20"/>
                <w:szCs w:val="20"/>
              </w:rPr>
              <w:t xml:space="preserve">Stimulant market: </w:t>
            </w:r>
            <w:r w:rsidRPr="004673D0">
              <w:rPr>
                <w:rFonts w:ascii="Arial Narrow" w:eastAsia="Calibri" w:hAnsi="Arial Narrow" w:cs="Times New Roman"/>
                <w:b/>
                <w:sz w:val="20"/>
                <w:szCs w:val="20"/>
              </w:rPr>
              <w:t>12.5%</w:t>
            </w:r>
            <w:r w:rsidRPr="004673D0">
              <w:rPr>
                <w:rFonts w:ascii="Arial Narrow" w:eastAsia="Calibri" w:hAnsi="Arial Narrow" w:cs="Times New Roman"/>
                <w:sz w:val="20"/>
                <w:szCs w:val="20"/>
              </w:rPr>
              <w:t xml:space="preserve"> in Years 1 to 6</w:t>
            </w:r>
          </w:p>
          <w:p w:rsidR="00D55EA8" w:rsidRPr="004673D0" w:rsidRDefault="00D55EA8" w:rsidP="00A976C5">
            <w:pPr>
              <w:keepNext/>
              <w:keepLines/>
              <w:rPr>
                <w:rFonts w:ascii="Arial Narrow" w:eastAsia="Calibri" w:hAnsi="Arial Narrow" w:cs="Times New Roman"/>
                <w:sz w:val="20"/>
                <w:szCs w:val="20"/>
              </w:rPr>
            </w:pPr>
          </w:p>
          <w:p w:rsidR="00D55EA8" w:rsidRPr="004673D0" w:rsidRDefault="00403CBD" w:rsidP="00403CBD">
            <w:pPr>
              <w:keepNext/>
              <w:keepLines/>
              <w:rPr>
                <w:rFonts w:ascii="Arial Narrow" w:eastAsia="Calibri" w:hAnsi="Arial Narrow" w:cs="Times New Roman"/>
                <w:i/>
                <w:sz w:val="20"/>
                <w:szCs w:val="20"/>
              </w:rPr>
            </w:pPr>
            <w:r w:rsidRPr="004673D0">
              <w:rPr>
                <w:rFonts w:ascii="Arial Narrow" w:eastAsia="Calibri" w:hAnsi="Arial Narrow" w:cs="Times New Roman"/>
                <w:sz w:val="20"/>
                <w:szCs w:val="20"/>
              </w:rPr>
              <w:t>B</w:t>
            </w:r>
            <w:r w:rsidR="00D55EA8" w:rsidRPr="004673D0">
              <w:rPr>
                <w:rFonts w:ascii="Arial Narrow" w:eastAsia="Calibri" w:hAnsi="Arial Narrow" w:cs="Times New Roman"/>
                <w:sz w:val="20"/>
                <w:szCs w:val="20"/>
              </w:rPr>
              <w:t xml:space="preserve">ased on </w:t>
            </w:r>
            <w:r w:rsidRPr="004673D0">
              <w:rPr>
                <w:rFonts w:ascii="Arial Narrow" w:eastAsia="Calibri" w:hAnsi="Arial Narrow" w:cs="Times New Roman"/>
                <w:sz w:val="20"/>
                <w:szCs w:val="20"/>
              </w:rPr>
              <w:t xml:space="preserve">methylphenidate and lisdexamfetamine from </w:t>
            </w:r>
            <w:r w:rsidR="00D55EA8" w:rsidRPr="004673D0">
              <w:rPr>
                <w:rFonts w:ascii="Arial Narrow" w:eastAsia="Calibri" w:hAnsi="Arial Narrow" w:cs="Times New Roman"/>
                <w:sz w:val="20"/>
                <w:szCs w:val="20"/>
              </w:rPr>
              <w:t>2011/12 to 2015/16</w:t>
            </w:r>
            <w:r w:rsidRPr="004673D0">
              <w:rPr>
                <w:rFonts w:ascii="Arial Narrow" w:eastAsia="Calibri" w:hAnsi="Arial Narrow" w:cs="Times New Roman"/>
                <w:sz w:val="20"/>
                <w:szCs w:val="20"/>
              </w:rPr>
              <w:t>.</w:t>
            </w:r>
            <w:r w:rsidRPr="004673D0">
              <w:rPr>
                <w:rFonts w:ascii="Arial Narrow" w:eastAsia="Calibri" w:hAnsi="Arial Narrow" w:cs="Times New Roman"/>
                <w:i/>
                <w:sz w:val="20"/>
                <w:szCs w:val="20"/>
              </w:rPr>
              <w:t xml:space="preserve"> Note this</w:t>
            </w:r>
            <w:r w:rsidR="00D55EA8" w:rsidRPr="004673D0">
              <w:rPr>
                <w:rFonts w:ascii="Arial Narrow" w:eastAsia="Calibri" w:hAnsi="Arial Narrow" w:cs="Times New Roman"/>
                <w:i/>
                <w:sz w:val="20"/>
                <w:szCs w:val="20"/>
              </w:rPr>
              <w:t xml:space="preserve"> included li</w:t>
            </w:r>
            <w:r w:rsidRPr="004673D0">
              <w:rPr>
                <w:rFonts w:ascii="Arial Narrow" w:eastAsia="Calibri" w:hAnsi="Arial Narrow" w:cs="Times New Roman"/>
                <w:i/>
                <w:sz w:val="20"/>
                <w:szCs w:val="20"/>
              </w:rPr>
              <w:t>sdexamfetamine which was listed in 2015/16.</w:t>
            </w:r>
          </w:p>
        </w:tc>
      </w:tr>
      <w:tr w:rsidR="00A976C5" w:rsidRPr="004673D0" w:rsidTr="00A976C5">
        <w:trPr>
          <w:cantSplit/>
        </w:trPr>
        <w:tc>
          <w:tcPr>
            <w:tcW w:w="5000" w:type="pct"/>
            <w:gridSpan w:val="3"/>
          </w:tcPr>
          <w:p w:rsidR="00A976C5" w:rsidRPr="004673D0" w:rsidRDefault="00A976C5" w:rsidP="007566CF">
            <w:pPr>
              <w:rPr>
                <w:rFonts w:ascii="Arial Narrow" w:eastAsia="Calibri" w:hAnsi="Arial Narrow"/>
                <w:b/>
                <w:sz w:val="20"/>
                <w:szCs w:val="20"/>
              </w:rPr>
            </w:pPr>
            <w:r w:rsidRPr="004673D0">
              <w:rPr>
                <w:rFonts w:ascii="Arial Narrow" w:hAnsi="Arial Narrow"/>
                <w:b/>
                <w:sz w:val="20"/>
              </w:rPr>
              <w:t xml:space="preserve">Conversion to patient years: </w:t>
            </w:r>
            <w:r w:rsidR="009F0683" w:rsidRPr="004673D0">
              <w:rPr>
                <w:rFonts w:ascii="Arial Narrow" w:hAnsi="Arial Narrow"/>
                <w:b/>
                <w:sz w:val="20"/>
              </w:rPr>
              <w:t xml:space="preserve">Number of packs </w:t>
            </w:r>
            <w:r w:rsidRPr="004673D0">
              <w:rPr>
                <w:rFonts w:ascii="Arial Narrow" w:hAnsi="Arial Narrow"/>
                <w:b/>
                <w:sz w:val="20"/>
              </w:rPr>
              <w:t>required for 12 months treatment</w:t>
            </w:r>
          </w:p>
        </w:tc>
      </w:tr>
      <w:tr w:rsidR="00A976C5" w:rsidRPr="004673D0" w:rsidTr="00A976C5">
        <w:trPr>
          <w:cantSplit/>
        </w:trPr>
        <w:tc>
          <w:tcPr>
            <w:tcW w:w="1325" w:type="pct"/>
          </w:tcPr>
          <w:tbl>
            <w:tblPr>
              <w:tblStyle w:val="TableGrid"/>
              <w:tblW w:w="2263" w:type="dxa"/>
              <w:tblLayout w:type="fixed"/>
              <w:tblCellMar>
                <w:left w:w="28" w:type="dxa"/>
                <w:right w:w="28" w:type="dxa"/>
              </w:tblCellMar>
              <w:tblLook w:val="04A0" w:firstRow="1" w:lastRow="0" w:firstColumn="1" w:lastColumn="0" w:noHBand="0" w:noVBand="1"/>
            </w:tblPr>
            <w:tblGrid>
              <w:gridCol w:w="1413"/>
              <w:gridCol w:w="850"/>
            </w:tblGrid>
            <w:tr w:rsidR="00A976C5" w:rsidRPr="004673D0" w:rsidTr="00041181">
              <w:tc>
                <w:tcPr>
                  <w:tcW w:w="1413" w:type="dxa"/>
                  <w:vAlign w:val="center"/>
                </w:tcPr>
                <w:p w:rsidR="00A976C5" w:rsidRPr="004673D0" w:rsidRDefault="00A976C5" w:rsidP="00A976C5">
                  <w:pPr>
                    <w:rPr>
                      <w:rFonts w:ascii="Arial Narrow" w:eastAsiaTheme="minorHAnsi" w:hAnsi="Arial Narrow" w:cstheme="minorBidi"/>
                      <w:b/>
                      <w:sz w:val="20"/>
                      <w:szCs w:val="22"/>
                      <w:lang w:eastAsia="en-US"/>
                    </w:rPr>
                  </w:pPr>
                  <w:r w:rsidRPr="004673D0">
                    <w:rPr>
                      <w:rFonts w:ascii="Arial Narrow" w:eastAsiaTheme="minorHAnsi" w:hAnsi="Arial Narrow" w:cstheme="minorBidi"/>
                      <w:b/>
                      <w:sz w:val="20"/>
                      <w:szCs w:val="22"/>
                      <w:lang w:eastAsia="en-US"/>
                    </w:rPr>
                    <w:t>Drug</w:t>
                  </w:r>
                </w:p>
              </w:tc>
              <w:tc>
                <w:tcPr>
                  <w:tcW w:w="850" w:type="dxa"/>
                  <w:vAlign w:val="center"/>
                </w:tcPr>
                <w:p w:rsidR="00A976C5" w:rsidRPr="004673D0" w:rsidRDefault="00A976C5" w:rsidP="00041181">
                  <w:pPr>
                    <w:jc w:val="center"/>
                    <w:rPr>
                      <w:rFonts w:ascii="Arial Narrow" w:eastAsiaTheme="minorHAnsi" w:hAnsi="Arial Narrow" w:cstheme="minorBidi"/>
                      <w:b/>
                      <w:sz w:val="20"/>
                      <w:szCs w:val="22"/>
                      <w:lang w:eastAsia="en-US"/>
                    </w:rPr>
                  </w:pPr>
                  <w:r w:rsidRPr="004673D0">
                    <w:rPr>
                      <w:rFonts w:ascii="Arial Narrow" w:eastAsiaTheme="minorHAnsi" w:hAnsi="Arial Narrow" w:cstheme="minorBidi"/>
                      <w:b/>
                      <w:sz w:val="20"/>
                      <w:szCs w:val="22"/>
                      <w:lang w:eastAsia="en-US"/>
                    </w:rPr>
                    <w:t>Packs/12 months</w:t>
                  </w:r>
                </w:p>
              </w:tc>
            </w:tr>
            <w:tr w:rsidR="00A976C5" w:rsidRPr="004673D0" w:rsidTr="00041181">
              <w:tc>
                <w:tcPr>
                  <w:tcW w:w="1413" w:type="dxa"/>
                </w:tcPr>
                <w:p w:rsidR="00A976C5" w:rsidRPr="004673D0" w:rsidRDefault="00A976C5" w:rsidP="008330AF">
                  <w:pPr>
                    <w:rPr>
                      <w:rFonts w:ascii="Arial Narrow" w:eastAsiaTheme="minorHAnsi" w:hAnsi="Arial Narrow" w:cstheme="minorBidi"/>
                      <w:sz w:val="20"/>
                      <w:szCs w:val="22"/>
                      <w:vertAlign w:val="superscript"/>
                      <w:lang w:eastAsia="en-US"/>
                    </w:rPr>
                  </w:pPr>
                  <w:r w:rsidRPr="004673D0">
                    <w:rPr>
                      <w:rFonts w:ascii="Arial Narrow" w:eastAsiaTheme="minorHAnsi" w:hAnsi="Arial Narrow" w:cstheme="minorBidi"/>
                      <w:sz w:val="20"/>
                      <w:szCs w:val="22"/>
                      <w:lang w:eastAsia="en-US"/>
                    </w:rPr>
                    <w:t xml:space="preserve">Guanfacine </w:t>
                  </w:r>
                </w:p>
              </w:tc>
              <w:tc>
                <w:tcPr>
                  <w:tcW w:w="850" w:type="dxa"/>
                  <w:vAlign w:val="center"/>
                </w:tcPr>
                <w:p w:rsidR="00A976C5" w:rsidRPr="004673D0" w:rsidRDefault="00F83616" w:rsidP="00227D99">
                  <w:pPr>
                    <w:jc w:val="center"/>
                    <w:rPr>
                      <w:rFonts w:ascii="Arial Narrow" w:eastAsiaTheme="minorHAnsi" w:hAnsi="Arial Narrow" w:cstheme="minorBidi"/>
                      <w:sz w:val="20"/>
                      <w:szCs w:val="22"/>
                      <w:lang w:eastAsia="en-US"/>
                    </w:rPr>
                  </w:pPr>
                  <w:r>
                    <w:rPr>
                      <w:rFonts w:ascii="Arial Narrow" w:eastAsiaTheme="minorHAnsi" w:hAnsi="Arial Narrow" w:cstheme="minorBidi"/>
                      <w:noProof/>
                      <w:color w:val="000000"/>
                      <w:sz w:val="20"/>
                      <w:szCs w:val="22"/>
                      <w:highlight w:val="black"/>
                      <w:lang w:eastAsia="en-US"/>
                    </w:rPr>
                    <w:t>'''''''''''''</w:t>
                  </w:r>
                  <w:r w:rsidR="008330AF" w:rsidRPr="004673D0">
                    <w:rPr>
                      <w:rFonts w:ascii="Arial Narrow" w:eastAsiaTheme="minorHAnsi" w:hAnsi="Arial Narrow" w:cstheme="minorBidi"/>
                      <w:sz w:val="20"/>
                      <w:szCs w:val="22"/>
                      <w:vertAlign w:val="superscript"/>
                      <w:lang w:eastAsia="en-US"/>
                    </w:rPr>
                    <w:t xml:space="preserve"> </w:t>
                  </w:r>
                  <w:r w:rsidR="00227D99" w:rsidRPr="004673D0">
                    <w:rPr>
                      <w:rFonts w:ascii="Arial Narrow" w:eastAsiaTheme="minorHAnsi" w:hAnsi="Arial Narrow" w:cstheme="minorBidi"/>
                      <w:sz w:val="20"/>
                      <w:szCs w:val="22"/>
                      <w:vertAlign w:val="superscript"/>
                      <w:lang w:eastAsia="en-US"/>
                    </w:rPr>
                    <w:t>*</w:t>
                  </w:r>
                </w:p>
              </w:tc>
            </w:tr>
            <w:tr w:rsidR="00D90110" w:rsidRPr="004673D0" w:rsidTr="00041181">
              <w:tc>
                <w:tcPr>
                  <w:tcW w:w="1413" w:type="dxa"/>
                </w:tcPr>
                <w:p w:rsidR="00D90110" w:rsidRPr="004673D0" w:rsidRDefault="00D90110" w:rsidP="008330AF">
                  <w:pPr>
                    <w:rPr>
                      <w:rFonts w:ascii="Arial Narrow" w:hAnsi="Arial Narrow"/>
                      <w:sz w:val="20"/>
                      <w:vertAlign w:val="superscript"/>
                    </w:rPr>
                  </w:pPr>
                  <w:r w:rsidRPr="004673D0">
                    <w:rPr>
                      <w:rFonts w:ascii="Arial Narrow" w:hAnsi="Arial Narrow"/>
                      <w:sz w:val="20"/>
                    </w:rPr>
                    <w:t xml:space="preserve">Atomoxetine </w:t>
                  </w:r>
                </w:p>
              </w:tc>
              <w:tc>
                <w:tcPr>
                  <w:tcW w:w="850" w:type="dxa"/>
                  <w:vAlign w:val="center"/>
                </w:tcPr>
                <w:p w:rsidR="00D90110" w:rsidRPr="004673D0" w:rsidRDefault="00F83616" w:rsidP="00A976C5">
                  <w:pPr>
                    <w:jc w:val="center"/>
                    <w:rPr>
                      <w:rFonts w:ascii="Arial Narrow" w:eastAsiaTheme="minorHAnsi" w:hAnsi="Arial Narrow" w:cstheme="minorBidi"/>
                      <w:sz w:val="20"/>
                      <w:szCs w:val="22"/>
                      <w:lang w:eastAsia="en-US"/>
                    </w:rPr>
                  </w:pPr>
                  <w:r>
                    <w:rPr>
                      <w:rFonts w:ascii="Arial Narrow" w:eastAsiaTheme="minorHAnsi" w:hAnsi="Arial Narrow" w:cstheme="minorBidi"/>
                      <w:noProof/>
                      <w:color w:val="000000"/>
                      <w:sz w:val="20"/>
                      <w:szCs w:val="22"/>
                      <w:highlight w:val="black"/>
                      <w:lang w:eastAsia="en-US"/>
                    </w:rPr>
                    <w:t>''''''''''</w:t>
                  </w:r>
                  <w:r w:rsidR="008330AF" w:rsidRPr="004673D0">
                    <w:rPr>
                      <w:rFonts w:ascii="Arial Narrow" w:hAnsi="Arial Narrow"/>
                      <w:sz w:val="20"/>
                      <w:vertAlign w:val="superscript"/>
                    </w:rPr>
                    <w:t xml:space="preserve"> </w:t>
                  </w:r>
                  <w:r w:rsidR="00227D99" w:rsidRPr="004673D0">
                    <w:rPr>
                      <w:rFonts w:ascii="Arial Narrow" w:hAnsi="Arial Narrow"/>
                      <w:sz w:val="20"/>
                      <w:vertAlign w:val="superscript"/>
                    </w:rPr>
                    <w:t>**</w:t>
                  </w:r>
                </w:p>
              </w:tc>
            </w:tr>
            <w:tr w:rsidR="00D90110" w:rsidRPr="004673D0" w:rsidTr="00041181">
              <w:tc>
                <w:tcPr>
                  <w:tcW w:w="1413" w:type="dxa"/>
                </w:tcPr>
                <w:p w:rsidR="00D90110" w:rsidRPr="004673D0" w:rsidRDefault="00D90110" w:rsidP="00D90110">
                  <w:pPr>
                    <w:rPr>
                      <w:rFonts w:ascii="Arial Narrow" w:hAnsi="Arial Narrow"/>
                      <w:sz w:val="20"/>
                    </w:rPr>
                  </w:pPr>
                  <w:r w:rsidRPr="004673D0">
                    <w:rPr>
                      <w:rFonts w:ascii="Arial Narrow" w:hAnsi="Arial Narrow"/>
                      <w:sz w:val="20"/>
                    </w:rPr>
                    <w:t xml:space="preserve">Clonidine </w:t>
                  </w:r>
                </w:p>
              </w:tc>
              <w:tc>
                <w:tcPr>
                  <w:tcW w:w="850" w:type="dxa"/>
                  <w:vAlign w:val="center"/>
                </w:tcPr>
                <w:p w:rsidR="00D90110" w:rsidRPr="00F83616" w:rsidRDefault="00F83616" w:rsidP="00A976C5">
                  <w:pPr>
                    <w:jc w:val="center"/>
                    <w:rPr>
                      <w:rFonts w:ascii="Arial Narrow" w:eastAsiaTheme="minorHAnsi" w:hAnsi="Arial Narrow" w:cstheme="minorBidi"/>
                      <w:sz w:val="20"/>
                      <w:szCs w:val="22"/>
                      <w:highlight w:val="black"/>
                      <w:lang w:eastAsia="en-US"/>
                    </w:rPr>
                  </w:pPr>
                  <w:r>
                    <w:rPr>
                      <w:rFonts w:ascii="Arial Narrow" w:eastAsiaTheme="minorHAnsi" w:hAnsi="Arial Narrow" w:cstheme="minorBidi"/>
                      <w:noProof/>
                      <w:color w:val="000000"/>
                      <w:sz w:val="20"/>
                      <w:szCs w:val="22"/>
                      <w:highlight w:val="black"/>
                      <w:lang w:eastAsia="en-US"/>
                    </w:rPr>
                    <w:t>''''''''''''</w:t>
                  </w:r>
                </w:p>
              </w:tc>
            </w:tr>
            <w:tr w:rsidR="00A976C5" w:rsidRPr="004673D0" w:rsidTr="00041181">
              <w:tc>
                <w:tcPr>
                  <w:tcW w:w="1413" w:type="dxa"/>
                </w:tcPr>
                <w:p w:rsidR="00A976C5" w:rsidRPr="004673D0" w:rsidRDefault="00A976C5" w:rsidP="00A976C5">
                  <w:pPr>
                    <w:rPr>
                      <w:rFonts w:ascii="Arial Narrow" w:eastAsiaTheme="minorHAnsi" w:hAnsi="Arial Narrow" w:cstheme="minorBidi"/>
                      <w:sz w:val="20"/>
                      <w:szCs w:val="22"/>
                      <w:lang w:eastAsia="en-US"/>
                    </w:rPr>
                  </w:pPr>
                  <w:r w:rsidRPr="004673D0">
                    <w:rPr>
                      <w:rFonts w:ascii="Arial Narrow" w:eastAsiaTheme="minorHAnsi" w:hAnsi="Arial Narrow" w:cstheme="minorBidi"/>
                      <w:sz w:val="20"/>
                      <w:szCs w:val="22"/>
                      <w:lang w:eastAsia="en-US"/>
                    </w:rPr>
                    <w:t xml:space="preserve">Methylphenidate </w:t>
                  </w:r>
                </w:p>
              </w:tc>
              <w:tc>
                <w:tcPr>
                  <w:tcW w:w="850" w:type="dxa"/>
                  <w:vAlign w:val="center"/>
                </w:tcPr>
                <w:p w:rsidR="00A976C5" w:rsidRPr="00F83616" w:rsidRDefault="00F83616" w:rsidP="00A976C5">
                  <w:pPr>
                    <w:jc w:val="center"/>
                    <w:rPr>
                      <w:rFonts w:ascii="Arial Narrow" w:eastAsiaTheme="minorHAnsi" w:hAnsi="Arial Narrow" w:cstheme="minorBidi"/>
                      <w:sz w:val="20"/>
                      <w:szCs w:val="22"/>
                      <w:highlight w:val="black"/>
                      <w:lang w:eastAsia="en-US"/>
                    </w:rPr>
                  </w:pPr>
                  <w:r>
                    <w:rPr>
                      <w:rFonts w:ascii="Arial Narrow" w:eastAsiaTheme="minorHAnsi" w:hAnsi="Arial Narrow" w:cstheme="minorBidi"/>
                      <w:noProof/>
                      <w:color w:val="000000"/>
                      <w:sz w:val="20"/>
                      <w:szCs w:val="22"/>
                      <w:highlight w:val="black"/>
                      <w:lang w:eastAsia="en-US"/>
                    </w:rPr>
                    <w:t>'''''''''''''''</w:t>
                  </w:r>
                </w:p>
              </w:tc>
            </w:tr>
            <w:tr w:rsidR="00A976C5" w:rsidRPr="004673D0" w:rsidTr="00041181">
              <w:tc>
                <w:tcPr>
                  <w:tcW w:w="1413" w:type="dxa"/>
                </w:tcPr>
                <w:p w:rsidR="00A976C5" w:rsidRPr="004673D0" w:rsidRDefault="00A976C5" w:rsidP="00A976C5">
                  <w:pPr>
                    <w:rPr>
                      <w:rFonts w:ascii="Arial Narrow" w:eastAsiaTheme="minorHAnsi" w:hAnsi="Arial Narrow" w:cstheme="minorBidi"/>
                      <w:sz w:val="20"/>
                      <w:szCs w:val="22"/>
                      <w:lang w:eastAsia="en-US"/>
                    </w:rPr>
                  </w:pPr>
                  <w:r w:rsidRPr="004673D0">
                    <w:rPr>
                      <w:rFonts w:ascii="Arial Narrow" w:eastAsiaTheme="minorHAnsi" w:hAnsi="Arial Narrow" w:cstheme="minorBidi"/>
                      <w:sz w:val="20"/>
                      <w:szCs w:val="22"/>
                      <w:lang w:eastAsia="en-US"/>
                    </w:rPr>
                    <w:t xml:space="preserve">Lisdexamfetamine </w:t>
                  </w:r>
                </w:p>
              </w:tc>
              <w:tc>
                <w:tcPr>
                  <w:tcW w:w="850" w:type="dxa"/>
                  <w:vAlign w:val="center"/>
                </w:tcPr>
                <w:p w:rsidR="00A976C5" w:rsidRPr="00F83616" w:rsidRDefault="00F83616" w:rsidP="00A976C5">
                  <w:pPr>
                    <w:jc w:val="center"/>
                    <w:rPr>
                      <w:rFonts w:ascii="Arial Narrow" w:eastAsiaTheme="minorHAnsi" w:hAnsi="Arial Narrow" w:cstheme="minorBidi"/>
                      <w:sz w:val="20"/>
                      <w:szCs w:val="22"/>
                      <w:highlight w:val="black"/>
                      <w:lang w:eastAsia="en-US"/>
                    </w:rPr>
                  </w:pPr>
                  <w:r>
                    <w:rPr>
                      <w:rFonts w:ascii="Arial Narrow" w:eastAsiaTheme="minorHAnsi" w:hAnsi="Arial Narrow" w:cstheme="minorBidi"/>
                      <w:noProof/>
                      <w:color w:val="000000"/>
                      <w:sz w:val="20"/>
                      <w:szCs w:val="22"/>
                      <w:highlight w:val="black"/>
                      <w:lang w:eastAsia="en-US"/>
                    </w:rPr>
                    <w:t>'''''''''''''</w:t>
                  </w:r>
                </w:p>
              </w:tc>
            </w:tr>
          </w:tbl>
          <w:p w:rsidR="005C5E12" w:rsidRPr="004673D0" w:rsidRDefault="00227D99" w:rsidP="005C5E12">
            <w:pPr>
              <w:tabs>
                <w:tab w:val="left" w:pos="178"/>
              </w:tabs>
              <w:ind w:left="114" w:hanging="114"/>
              <w:rPr>
                <w:rFonts w:ascii="Arial Narrow" w:hAnsi="Arial Narrow"/>
                <w:sz w:val="18"/>
                <w:szCs w:val="22"/>
              </w:rPr>
            </w:pPr>
            <w:r w:rsidRPr="004673D0">
              <w:rPr>
                <w:rFonts w:ascii="Arial Narrow" w:hAnsi="Arial Narrow"/>
                <w:sz w:val="18"/>
                <w:szCs w:val="22"/>
                <w:vertAlign w:val="superscript"/>
              </w:rPr>
              <w:t>*</w:t>
            </w:r>
            <w:r w:rsidR="005C5E12" w:rsidRPr="004673D0">
              <w:rPr>
                <w:rFonts w:ascii="Arial Narrow" w:hAnsi="Arial Narrow"/>
                <w:sz w:val="18"/>
                <w:szCs w:val="22"/>
              </w:rPr>
              <w:t xml:space="preserve"> Based on Trial 316</w:t>
            </w:r>
          </w:p>
          <w:p w:rsidR="00A976C5" w:rsidRPr="004673D0" w:rsidRDefault="00227D99" w:rsidP="00227D99">
            <w:pPr>
              <w:rPr>
                <w:rFonts w:ascii="Arial Narrow" w:hAnsi="Arial Narrow"/>
                <w:sz w:val="20"/>
              </w:rPr>
            </w:pPr>
            <w:r w:rsidRPr="004673D0">
              <w:rPr>
                <w:rFonts w:ascii="Arial Narrow" w:hAnsi="Arial Narrow"/>
                <w:sz w:val="18"/>
                <w:szCs w:val="22"/>
                <w:vertAlign w:val="superscript"/>
              </w:rPr>
              <w:t>**</w:t>
            </w:r>
            <w:r w:rsidR="005C5E12" w:rsidRPr="004673D0">
              <w:rPr>
                <w:rFonts w:ascii="Arial Narrow" w:hAnsi="Arial Narrow"/>
                <w:sz w:val="18"/>
                <w:szCs w:val="22"/>
              </w:rPr>
              <w:t xml:space="preserve"> Weighted average usage of 56 and 28 packs, 2015/16</w:t>
            </w:r>
          </w:p>
        </w:tc>
        <w:tc>
          <w:tcPr>
            <w:tcW w:w="1825" w:type="pct"/>
          </w:tcPr>
          <w:tbl>
            <w:tblPr>
              <w:tblStyle w:val="TableGrid"/>
              <w:tblW w:w="3045" w:type="dxa"/>
              <w:tblLayout w:type="fixed"/>
              <w:tblCellMar>
                <w:left w:w="28" w:type="dxa"/>
                <w:right w:w="28" w:type="dxa"/>
              </w:tblCellMar>
              <w:tblLook w:val="04A0" w:firstRow="1" w:lastRow="0" w:firstColumn="1" w:lastColumn="0" w:noHBand="0" w:noVBand="1"/>
            </w:tblPr>
            <w:tblGrid>
              <w:gridCol w:w="1129"/>
              <w:gridCol w:w="1916"/>
            </w:tblGrid>
            <w:tr w:rsidR="00A976C5" w:rsidRPr="004673D0" w:rsidTr="00403CBD">
              <w:tc>
                <w:tcPr>
                  <w:tcW w:w="1129" w:type="dxa"/>
                  <w:vAlign w:val="center"/>
                </w:tcPr>
                <w:p w:rsidR="00A976C5" w:rsidRPr="004673D0" w:rsidRDefault="00A976C5" w:rsidP="006C3C02">
                  <w:pPr>
                    <w:rPr>
                      <w:rFonts w:ascii="Arial Narrow" w:hAnsi="Arial Narrow"/>
                      <w:b/>
                      <w:sz w:val="20"/>
                    </w:rPr>
                  </w:pPr>
                  <w:r w:rsidRPr="004673D0">
                    <w:rPr>
                      <w:rFonts w:ascii="Arial Narrow" w:hAnsi="Arial Narrow"/>
                      <w:b/>
                      <w:sz w:val="20"/>
                    </w:rPr>
                    <w:t>Drug</w:t>
                  </w:r>
                </w:p>
              </w:tc>
              <w:tc>
                <w:tcPr>
                  <w:tcW w:w="1916" w:type="dxa"/>
                  <w:vAlign w:val="center"/>
                </w:tcPr>
                <w:p w:rsidR="00A976C5" w:rsidRPr="004673D0" w:rsidRDefault="00A976C5" w:rsidP="0013061D">
                  <w:pPr>
                    <w:jc w:val="center"/>
                    <w:rPr>
                      <w:rFonts w:ascii="Arial Narrow" w:hAnsi="Arial Narrow"/>
                      <w:b/>
                      <w:sz w:val="20"/>
                    </w:rPr>
                  </w:pPr>
                  <w:r w:rsidRPr="004673D0">
                    <w:rPr>
                      <w:rFonts w:ascii="Arial Narrow" w:hAnsi="Arial Narrow"/>
                      <w:b/>
                      <w:sz w:val="20"/>
                    </w:rPr>
                    <w:t>Packs/12 months</w:t>
                  </w:r>
                </w:p>
              </w:tc>
            </w:tr>
            <w:tr w:rsidR="00A976C5" w:rsidRPr="004673D0" w:rsidTr="00403CBD">
              <w:tc>
                <w:tcPr>
                  <w:tcW w:w="1129" w:type="dxa"/>
                </w:tcPr>
                <w:p w:rsidR="00A976C5" w:rsidRPr="004673D0" w:rsidRDefault="00A976C5" w:rsidP="006C3C02">
                  <w:pPr>
                    <w:rPr>
                      <w:rFonts w:ascii="Arial Narrow" w:hAnsi="Arial Narrow"/>
                      <w:b/>
                      <w:sz w:val="20"/>
                    </w:rPr>
                  </w:pPr>
                  <w:r w:rsidRPr="004673D0">
                    <w:rPr>
                      <w:rFonts w:ascii="Arial Narrow" w:hAnsi="Arial Narrow"/>
                      <w:b/>
                      <w:sz w:val="20"/>
                    </w:rPr>
                    <w:t xml:space="preserve">Guanfacine </w:t>
                  </w:r>
                </w:p>
              </w:tc>
              <w:tc>
                <w:tcPr>
                  <w:tcW w:w="1916" w:type="dxa"/>
                  <w:vAlign w:val="center"/>
                </w:tcPr>
                <w:p w:rsidR="00A976C5" w:rsidRPr="004673D0" w:rsidRDefault="00F83616" w:rsidP="005C5E12">
                  <w:pPr>
                    <w:jc w:val="center"/>
                    <w:rPr>
                      <w:rFonts w:ascii="Arial Narrow" w:hAnsi="Arial Narrow"/>
                      <w:b/>
                      <w:sz w:val="20"/>
                    </w:rPr>
                  </w:pPr>
                  <w:r>
                    <w:rPr>
                      <w:rFonts w:ascii="Arial Narrow" w:hAnsi="Arial Narrow"/>
                      <w:b/>
                      <w:noProof/>
                      <w:color w:val="000000"/>
                      <w:sz w:val="20"/>
                      <w:highlight w:val="black"/>
                    </w:rPr>
                    <w:t>''''''''''''</w:t>
                  </w:r>
                  <w:r w:rsidR="00A976C5" w:rsidRPr="004673D0">
                    <w:rPr>
                      <w:rFonts w:ascii="Arial Narrow" w:hAnsi="Arial Narrow"/>
                      <w:b/>
                      <w:sz w:val="20"/>
                    </w:rPr>
                    <w:t xml:space="preserve"> (</w:t>
                  </w:r>
                  <w:r>
                    <w:rPr>
                      <w:rFonts w:ascii="Arial Narrow" w:hAnsi="Arial Narrow"/>
                      <w:b/>
                      <w:noProof/>
                      <w:color w:val="000000"/>
                      <w:sz w:val="20"/>
                      <w:highlight w:val="black"/>
                    </w:rPr>
                    <w:t>''''''''</w:t>
                  </w:r>
                  <w:r w:rsidR="00A976C5" w:rsidRPr="004673D0">
                    <w:rPr>
                      <w:rFonts w:ascii="Arial Narrow" w:hAnsi="Arial Narrow"/>
                      <w:b/>
                      <w:sz w:val="20"/>
                    </w:rPr>
                    <w:t xml:space="preserve"> tabs/day)</w:t>
                  </w:r>
                </w:p>
              </w:tc>
            </w:tr>
            <w:tr w:rsidR="00A976C5" w:rsidRPr="004673D0" w:rsidTr="00403CBD">
              <w:tc>
                <w:tcPr>
                  <w:tcW w:w="1129" w:type="dxa"/>
                </w:tcPr>
                <w:p w:rsidR="00A976C5" w:rsidRPr="004673D0" w:rsidRDefault="00A976C5" w:rsidP="008330AF">
                  <w:pPr>
                    <w:rPr>
                      <w:rFonts w:ascii="Arial Narrow" w:hAnsi="Arial Narrow"/>
                      <w:sz w:val="20"/>
                      <w:vertAlign w:val="superscript"/>
                    </w:rPr>
                  </w:pPr>
                  <w:r w:rsidRPr="004673D0">
                    <w:rPr>
                      <w:rFonts w:ascii="Arial Narrow" w:hAnsi="Arial Narrow"/>
                      <w:sz w:val="20"/>
                    </w:rPr>
                    <w:t xml:space="preserve">Atomoxetine </w:t>
                  </w:r>
                </w:p>
              </w:tc>
              <w:tc>
                <w:tcPr>
                  <w:tcW w:w="1916" w:type="dxa"/>
                  <w:vAlign w:val="center"/>
                </w:tcPr>
                <w:p w:rsidR="00A976C5" w:rsidRPr="004673D0" w:rsidRDefault="00F83616" w:rsidP="00227D99">
                  <w:pPr>
                    <w:jc w:val="center"/>
                    <w:rPr>
                      <w:rFonts w:ascii="Arial Narrow" w:hAnsi="Arial Narrow"/>
                      <w:sz w:val="20"/>
                    </w:rPr>
                  </w:pPr>
                  <w:r>
                    <w:rPr>
                      <w:rFonts w:ascii="Arial Narrow" w:hAnsi="Arial Narrow"/>
                      <w:noProof/>
                      <w:color w:val="000000"/>
                      <w:sz w:val="20"/>
                      <w:highlight w:val="black"/>
                    </w:rPr>
                    <w:t>'''''''''''</w:t>
                  </w:r>
                  <w:r w:rsidR="008330AF" w:rsidRPr="004673D0">
                    <w:rPr>
                      <w:rFonts w:ascii="Arial Narrow" w:hAnsi="Arial Narrow"/>
                      <w:sz w:val="20"/>
                      <w:vertAlign w:val="superscript"/>
                    </w:rPr>
                    <w:t xml:space="preserve"> </w:t>
                  </w:r>
                  <w:r w:rsidR="00227D99" w:rsidRPr="004673D0">
                    <w:rPr>
                      <w:rFonts w:ascii="Arial Narrow" w:hAnsi="Arial Narrow"/>
                      <w:sz w:val="20"/>
                      <w:vertAlign w:val="superscript"/>
                    </w:rPr>
                    <w:t>*</w:t>
                  </w:r>
                </w:p>
              </w:tc>
            </w:tr>
            <w:tr w:rsidR="00A976C5" w:rsidRPr="004673D0" w:rsidTr="00403CBD">
              <w:tc>
                <w:tcPr>
                  <w:tcW w:w="1129" w:type="dxa"/>
                </w:tcPr>
                <w:p w:rsidR="00A976C5" w:rsidRPr="004673D0" w:rsidRDefault="00A976C5" w:rsidP="006C3C02">
                  <w:pPr>
                    <w:rPr>
                      <w:rFonts w:ascii="Arial Narrow" w:hAnsi="Arial Narrow"/>
                      <w:sz w:val="20"/>
                    </w:rPr>
                  </w:pPr>
                  <w:r w:rsidRPr="004673D0">
                    <w:rPr>
                      <w:rFonts w:ascii="Arial Narrow" w:hAnsi="Arial Narrow"/>
                      <w:sz w:val="20"/>
                    </w:rPr>
                    <w:t xml:space="preserve">Clonidine </w:t>
                  </w:r>
                </w:p>
              </w:tc>
              <w:tc>
                <w:tcPr>
                  <w:tcW w:w="1916" w:type="dxa"/>
                  <w:vAlign w:val="center"/>
                </w:tcPr>
                <w:p w:rsidR="00A976C5" w:rsidRPr="00F83616" w:rsidRDefault="00F83616" w:rsidP="006C3C02">
                  <w:pPr>
                    <w:jc w:val="center"/>
                    <w:rPr>
                      <w:rFonts w:ascii="Arial Narrow" w:hAnsi="Arial Narrow"/>
                      <w:sz w:val="20"/>
                      <w:highlight w:val="black"/>
                    </w:rPr>
                  </w:pPr>
                  <w:r>
                    <w:rPr>
                      <w:rFonts w:ascii="Arial Narrow" w:hAnsi="Arial Narrow"/>
                      <w:noProof/>
                      <w:color w:val="000000"/>
                      <w:sz w:val="20"/>
                      <w:highlight w:val="black"/>
                    </w:rPr>
                    <w:t>'''''''''''</w:t>
                  </w:r>
                </w:p>
              </w:tc>
            </w:tr>
          </w:tbl>
          <w:p w:rsidR="00A976C5" w:rsidRPr="004673D0" w:rsidRDefault="00227D99" w:rsidP="00227D99">
            <w:pPr>
              <w:keepNext/>
              <w:keepLines/>
              <w:rPr>
                <w:rFonts w:ascii="Arial Narrow" w:eastAsia="Calibri" w:hAnsi="Arial Narrow"/>
                <w:i/>
                <w:sz w:val="20"/>
                <w:szCs w:val="20"/>
              </w:rPr>
            </w:pPr>
            <w:r w:rsidRPr="004673D0">
              <w:rPr>
                <w:rFonts w:ascii="Arial Narrow" w:hAnsi="Arial Narrow"/>
                <w:sz w:val="18"/>
                <w:vertAlign w:val="superscript"/>
              </w:rPr>
              <w:t>*</w:t>
            </w:r>
            <w:r w:rsidR="00A976C5" w:rsidRPr="004673D0">
              <w:rPr>
                <w:rFonts w:ascii="Arial Narrow" w:hAnsi="Arial Narrow"/>
                <w:sz w:val="18"/>
              </w:rPr>
              <w:t xml:space="preserve"> Weighted average usage of 56 and 28 packs, 2016</w:t>
            </w:r>
            <w:r w:rsidR="005C5E12" w:rsidRPr="004673D0">
              <w:rPr>
                <w:rFonts w:ascii="Arial Narrow" w:hAnsi="Arial Narrow"/>
                <w:sz w:val="18"/>
              </w:rPr>
              <w:t xml:space="preserve">/17 </w:t>
            </w:r>
            <w:r w:rsidR="005C5E12" w:rsidRPr="004673D0">
              <w:rPr>
                <w:rFonts w:ascii="Arial Narrow" w:hAnsi="Arial Narrow"/>
                <w:i/>
                <w:sz w:val="18"/>
              </w:rPr>
              <w:t>(i.e. the change in atomoxetine scripts was due to updated PBS data being used)</w:t>
            </w:r>
          </w:p>
        </w:tc>
        <w:tc>
          <w:tcPr>
            <w:tcW w:w="1849" w:type="pct"/>
          </w:tcPr>
          <w:tbl>
            <w:tblPr>
              <w:tblStyle w:val="TableGrid"/>
              <w:tblpPr w:leftFromText="180" w:rightFromText="180" w:horzAnchor="margin" w:tblpY="225"/>
              <w:tblOverlap w:val="never"/>
              <w:tblW w:w="3196" w:type="dxa"/>
              <w:tblLayout w:type="fixed"/>
              <w:tblCellMar>
                <w:left w:w="28" w:type="dxa"/>
                <w:right w:w="28" w:type="dxa"/>
              </w:tblCellMar>
              <w:tblLook w:val="04A0" w:firstRow="1" w:lastRow="0" w:firstColumn="1" w:lastColumn="0" w:noHBand="0" w:noVBand="1"/>
            </w:tblPr>
            <w:tblGrid>
              <w:gridCol w:w="1413"/>
              <w:gridCol w:w="567"/>
              <w:gridCol w:w="1216"/>
            </w:tblGrid>
            <w:tr w:rsidR="00A976C5" w:rsidRPr="004673D0" w:rsidTr="005C5E12">
              <w:tc>
                <w:tcPr>
                  <w:tcW w:w="1413" w:type="dxa"/>
                  <w:vAlign w:val="center"/>
                </w:tcPr>
                <w:p w:rsidR="00A976C5" w:rsidRPr="004673D0" w:rsidRDefault="00A976C5" w:rsidP="006C3C02">
                  <w:pPr>
                    <w:rPr>
                      <w:rFonts w:ascii="Arial Narrow" w:hAnsi="Arial Narrow"/>
                      <w:b/>
                      <w:sz w:val="20"/>
                    </w:rPr>
                  </w:pPr>
                  <w:r w:rsidRPr="004673D0">
                    <w:rPr>
                      <w:rFonts w:ascii="Arial Narrow" w:hAnsi="Arial Narrow"/>
                      <w:b/>
                      <w:sz w:val="20"/>
                    </w:rPr>
                    <w:t>Drug</w:t>
                  </w:r>
                </w:p>
              </w:tc>
              <w:tc>
                <w:tcPr>
                  <w:tcW w:w="567" w:type="dxa"/>
                </w:tcPr>
                <w:p w:rsidR="00A976C5" w:rsidRPr="004673D0" w:rsidRDefault="00A976C5" w:rsidP="0013061D">
                  <w:pPr>
                    <w:jc w:val="center"/>
                    <w:rPr>
                      <w:rFonts w:ascii="Arial Narrow" w:hAnsi="Arial Narrow"/>
                      <w:b/>
                      <w:sz w:val="20"/>
                    </w:rPr>
                  </w:pPr>
                  <w:r w:rsidRPr="004673D0">
                    <w:rPr>
                      <w:rFonts w:ascii="Arial Narrow" w:hAnsi="Arial Narrow"/>
                      <w:b/>
                      <w:sz w:val="20"/>
                    </w:rPr>
                    <w:t>Qty/</w:t>
                  </w:r>
                  <w:r w:rsidR="005C5E12" w:rsidRPr="004673D0">
                    <w:rPr>
                      <w:rFonts w:ascii="Arial Narrow" w:hAnsi="Arial Narrow"/>
                      <w:b/>
                      <w:sz w:val="20"/>
                    </w:rPr>
                    <w:t xml:space="preserve"> </w:t>
                  </w:r>
                  <w:r w:rsidRPr="004673D0">
                    <w:rPr>
                      <w:rFonts w:ascii="Arial Narrow" w:hAnsi="Arial Narrow"/>
                      <w:b/>
                      <w:sz w:val="20"/>
                    </w:rPr>
                    <w:t>pack</w:t>
                  </w:r>
                </w:p>
              </w:tc>
              <w:tc>
                <w:tcPr>
                  <w:tcW w:w="1216" w:type="dxa"/>
                  <w:vAlign w:val="center"/>
                </w:tcPr>
                <w:p w:rsidR="00A976C5" w:rsidRPr="004673D0" w:rsidRDefault="00A976C5" w:rsidP="00A976C5">
                  <w:pPr>
                    <w:jc w:val="center"/>
                    <w:rPr>
                      <w:rFonts w:ascii="Arial Narrow" w:hAnsi="Arial Narrow"/>
                      <w:b/>
                      <w:sz w:val="20"/>
                    </w:rPr>
                  </w:pPr>
                  <w:r w:rsidRPr="004673D0">
                    <w:rPr>
                      <w:rFonts w:ascii="Arial Narrow" w:hAnsi="Arial Narrow"/>
                      <w:b/>
                      <w:sz w:val="20"/>
                    </w:rPr>
                    <w:t>Packs/</w:t>
                  </w:r>
                </w:p>
                <w:p w:rsidR="00A976C5" w:rsidRPr="004673D0" w:rsidRDefault="00A976C5" w:rsidP="00A976C5">
                  <w:pPr>
                    <w:jc w:val="center"/>
                    <w:rPr>
                      <w:rFonts w:ascii="Arial Narrow" w:hAnsi="Arial Narrow"/>
                      <w:b/>
                      <w:sz w:val="20"/>
                    </w:rPr>
                  </w:pPr>
                  <w:r w:rsidRPr="004673D0">
                    <w:rPr>
                      <w:rFonts w:ascii="Arial Narrow" w:hAnsi="Arial Narrow"/>
                      <w:b/>
                      <w:sz w:val="20"/>
                    </w:rPr>
                    <w:t>12 months</w:t>
                  </w:r>
                </w:p>
              </w:tc>
            </w:tr>
            <w:tr w:rsidR="00A976C5" w:rsidRPr="004673D0" w:rsidTr="005C5E12">
              <w:tc>
                <w:tcPr>
                  <w:tcW w:w="1413" w:type="dxa"/>
                </w:tcPr>
                <w:p w:rsidR="00A976C5" w:rsidRPr="004673D0" w:rsidRDefault="00A976C5" w:rsidP="00A976C5">
                  <w:pPr>
                    <w:rPr>
                      <w:rFonts w:ascii="Arial Narrow" w:hAnsi="Arial Narrow"/>
                      <w:b/>
                      <w:sz w:val="20"/>
                    </w:rPr>
                  </w:pPr>
                  <w:r w:rsidRPr="004673D0">
                    <w:rPr>
                      <w:rFonts w:ascii="Arial Narrow" w:hAnsi="Arial Narrow"/>
                      <w:b/>
                      <w:sz w:val="20"/>
                    </w:rPr>
                    <w:t xml:space="preserve">Guanfacine </w:t>
                  </w:r>
                </w:p>
              </w:tc>
              <w:tc>
                <w:tcPr>
                  <w:tcW w:w="567" w:type="dxa"/>
                </w:tcPr>
                <w:p w:rsidR="00A976C5" w:rsidRPr="004673D0" w:rsidRDefault="00A976C5" w:rsidP="006C3C02">
                  <w:pPr>
                    <w:jc w:val="center"/>
                    <w:rPr>
                      <w:rFonts w:ascii="Arial Narrow" w:hAnsi="Arial Narrow"/>
                      <w:b/>
                      <w:sz w:val="20"/>
                    </w:rPr>
                  </w:pPr>
                  <w:r w:rsidRPr="004673D0">
                    <w:rPr>
                      <w:rFonts w:ascii="Arial Narrow" w:hAnsi="Arial Narrow"/>
                      <w:b/>
                      <w:sz w:val="20"/>
                    </w:rPr>
                    <w:t>28</w:t>
                  </w:r>
                </w:p>
              </w:tc>
              <w:tc>
                <w:tcPr>
                  <w:tcW w:w="1216" w:type="dxa"/>
                  <w:vAlign w:val="center"/>
                </w:tcPr>
                <w:p w:rsidR="00A976C5" w:rsidRPr="004673D0" w:rsidRDefault="00F83616" w:rsidP="006C3C02">
                  <w:pPr>
                    <w:jc w:val="center"/>
                    <w:rPr>
                      <w:rFonts w:ascii="Arial Narrow" w:hAnsi="Arial Narrow"/>
                      <w:b/>
                      <w:sz w:val="20"/>
                    </w:rPr>
                  </w:pPr>
                  <w:r>
                    <w:rPr>
                      <w:rFonts w:ascii="Arial Narrow" w:hAnsi="Arial Narrow"/>
                      <w:b/>
                      <w:noProof/>
                      <w:color w:val="000000"/>
                      <w:sz w:val="20"/>
                      <w:highlight w:val="black"/>
                    </w:rPr>
                    <w:t>'''''''''''</w:t>
                  </w:r>
                  <w:r w:rsidR="00227D99" w:rsidRPr="004673D0">
                    <w:rPr>
                      <w:rFonts w:ascii="Arial Narrow" w:hAnsi="Arial Narrow"/>
                      <w:b/>
                      <w:sz w:val="20"/>
                    </w:rPr>
                    <w:t xml:space="preserve"> </w:t>
                  </w:r>
                  <w:r w:rsidR="00227D99" w:rsidRPr="004673D0">
                    <w:rPr>
                      <w:rFonts w:ascii="Arial Narrow" w:hAnsi="Arial Narrow"/>
                      <w:b/>
                      <w:sz w:val="20"/>
                      <w:vertAlign w:val="superscript"/>
                    </w:rPr>
                    <w:t>*</w:t>
                  </w:r>
                </w:p>
              </w:tc>
            </w:tr>
            <w:tr w:rsidR="00A976C5" w:rsidRPr="004673D0" w:rsidTr="005C5E12">
              <w:tc>
                <w:tcPr>
                  <w:tcW w:w="1413" w:type="dxa"/>
                </w:tcPr>
                <w:p w:rsidR="00A976C5" w:rsidRPr="004673D0" w:rsidRDefault="00A976C5" w:rsidP="00A976C5">
                  <w:pPr>
                    <w:rPr>
                      <w:rFonts w:ascii="Arial Narrow" w:hAnsi="Arial Narrow"/>
                      <w:sz w:val="20"/>
                    </w:rPr>
                  </w:pPr>
                  <w:r w:rsidRPr="004673D0">
                    <w:rPr>
                      <w:rFonts w:ascii="Arial Narrow" w:hAnsi="Arial Narrow"/>
                      <w:sz w:val="20"/>
                    </w:rPr>
                    <w:t xml:space="preserve">Methylphenidate </w:t>
                  </w:r>
                </w:p>
              </w:tc>
              <w:tc>
                <w:tcPr>
                  <w:tcW w:w="567" w:type="dxa"/>
                </w:tcPr>
                <w:p w:rsidR="00A976C5" w:rsidRPr="004673D0" w:rsidRDefault="00A976C5" w:rsidP="006C3C02">
                  <w:pPr>
                    <w:jc w:val="center"/>
                    <w:rPr>
                      <w:rFonts w:ascii="Arial Narrow" w:hAnsi="Arial Narrow"/>
                      <w:sz w:val="20"/>
                    </w:rPr>
                  </w:pPr>
                  <w:r w:rsidRPr="004673D0">
                    <w:rPr>
                      <w:rFonts w:ascii="Arial Narrow" w:hAnsi="Arial Narrow"/>
                      <w:sz w:val="20"/>
                    </w:rPr>
                    <w:t>30</w:t>
                  </w:r>
                </w:p>
              </w:tc>
              <w:tc>
                <w:tcPr>
                  <w:tcW w:w="1216" w:type="dxa"/>
                  <w:vAlign w:val="center"/>
                </w:tcPr>
                <w:p w:rsidR="00A976C5" w:rsidRPr="00F83616" w:rsidRDefault="00F83616" w:rsidP="006C3C02">
                  <w:pPr>
                    <w:jc w:val="center"/>
                    <w:rPr>
                      <w:rFonts w:ascii="Arial Narrow" w:hAnsi="Arial Narrow"/>
                      <w:sz w:val="20"/>
                      <w:highlight w:val="black"/>
                    </w:rPr>
                  </w:pPr>
                  <w:r>
                    <w:rPr>
                      <w:rFonts w:ascii="Arial Narrow" w:hAnsi="Arial Narrow"/>
                      <w:noProof/>
                      <w:color w:val="000000"/>
                      <w:sz w:val="20"/>
                      <w:highlight w:val="black"/>
                    </w:rPr>
                    <w:t>'''''''''''''</w:t>
                  </w:r>
                </w:p>
              </w:tc>
            </w:tr>
            <w:tr w:rsidR="00A976C5" w:rsidRPr="004673D0" w:rsidTr="005C5E12">
              <w:tc>
                <w:tcPr>
                  <w:tcW w:w="1413" w:type="dxa"/>
                </w:tcPr>
                <w:p w:rsidR="00A976C5" w:rsidRPr="004673D0" w:rsidRDefault="00A976C5" w:rsidP="00A976C5">
                  <w:pPr>
                    <w:rPr>
                      <w:rFonts w:ascii="Arial Narrow" w:hAnsi="Arial Narrow"/>
                      <w:sz w:val="20"/>
                    </w:rPr>
                  </w:pPr>
                  <w:r w:rsidRPr="004673D0">
                    <w:rPr>
                      <w:rFonts w:ascii="Arial Narrow" w:hAnsi="Arial Narrow"/>
                      <w:sz w:val="20"/>
                    </w:rPr>
                    <w:t xml:space="preserve">Lisdexamfetamine </w:t>
                  </w:r>
                </w:p>
              </w:tc>
              <w:tc>
                <w:tcPr>
                  <w:tcW w:w="567" w:type="dxa"/>
                </w:tcPr>
                <w:p w:rsidR="00A976C5" w:rsidRPr="004673D0" w:rsidRDefault="00A976C5" w:rsidP="006C3C02">
                  <w:pPr>
                    <w:jc w:val="center"/>
                    <w:rPr>
                      <w:rFonts w:ascii="Arial Narrow" w:hAnsi="Arial Narrow"/>
                      <w:sz w:val="20"/>
                    </w:rPr>
                  </w:pPr>
                  <w:r w:rsidRPr="004673D0">
                    <w:rPr>
                      <w:rFonts w:ascii="Arial Narrow" w:hAnsi="Arial Narrow"/>
                      <w:sz w:val="20"/>
                    </w:rPr>
                    <w:t>30</w:t>
                  </w:r>
                </w:p>
              </w:tc>
              <w:tc>
                <w:tcPr>
                  <w:tcW w:w="1216" w:type="dxa"/>
                  <w:vAlign w:val="center"/>
                </w:tcPr>
                <w:p w:rsidR="00A976C5" w:rsidRPr="00F83616" w:rsidRDefault="00F83616" w:rsidP="006C3C02">
                  <w:pPr>
                    <w:jc w:val="center"/>
                    <w:rPr>
                      <w:rFonts w:ascii="Arial Narrow" w:hAnsi="Arial Narrow"/>
                      <w:sz w:val="20"/>
                      <w:highlight w:val="black"/>
                    </w:rPr>
                  </w:pPr>
                  <w:r>
                    <w:rPr>
                      <w:rFonts w:ascii="Arial Narrow" w:hAnsi="Arial Narrow"/>
                      <w:noProof/>
                      <w:color w:val="000000"/>
                      <w:sz w:val="20"/>
                      <w:highlight w:val="black"/>
                    </w:rPr>
                    <w:t>''''''''''''</w:t>
                  </w:r>
                </w:p>
              </w:tc>
            </w:tr>
          </w:tbl>
          <w:p w:rsidR="00A976C5" w:rsidRPr="004673D0" w:rsidRDefault="00227D99" w:rsidP="00AB0706">
            <w:pPr>
              <w:keepNext/>
              <w:keepLines/>
              <w:rPr>
                <w:rFonts w:ascii="Arial Narrow" w:eastAsia="Calibri" w:hAnsi="Arial Narrow" w:cs="Times New Roman"/>
                <w:sz w:val="20"/>
                <w:szCs w:val="20"/>
              </w:rPr>
            </w:pPr>
            <w:r w:rsidRPr="004673D0">
              <w:rPr>
                <w:rFonts w:ascii="Arial Narrow" w:eastAsia="Calibri" w:hAnsi="Arial Narrow" w:cs="Times New Roman"/>
                <w:sz w:val="20"/>
                <w:szCs w:val="20"/>
                <w:vertAlign w:val="superscript"/>
              </w:rPr>
              <w:t>*</w:t>
            </w:r>
            <w:r w:rsidR="00A976C5" w:rsidRPr="004673D0">
              <w:rPr>
                <w:rFonts w:ascii="Arial Narrow" w:eastAsia="Calibri" w:hAnsi="Arial Narrow" w:cs="Times New Roman"/>
                <w:sz w:val="20"/>
                <w:szCs w:val="20"/>
              </w:rPr>
              <w:t xml:space="preserve"> 1 tablet/day in add-on therapy</w:t>
            </w:r>
          </w:p>
          <w:p w:rsidR="00A976C5" w:rsidRPr="004673D0" w:rsidRDefault="00C83ED7" w:rsidP="003A3C71">
            <w:pPr>
              <w:keepNext/>
              <w:keepLines/>
              <w:rPr>
                <w:rFonts w:ascii="Arial Narrow" w:eastAsia="Calibri" w:hAnsi="Arial Narrow" w:cs="Times New Roman"/>
                <w:i/>
                <w:sz w:val="20"/>
                <w:szCs w:val="20"/>
              </w:rPr>
            </w:pPr>
            <w:r w:rsidRPr="004673D0">
              <w:rPr>
                <w:rFonts w:ascii="Arial Narrow" w:eastAsia="Calibri" w:hAnsi="Arial Narrow" w:cs="Times New Roman"/>
                <w:i/>
                <w:sz w:val="20"/>
                <w:szCs w:val="20"/>
              </w:rPr>
              <w:t>M</w:t>
            </w:r>
            <w:r w:rsidR="00A976C5" w:rsidRPr="004673D0">
              <w:rPr>
                <w:rFonts w:ascii="Arial Narrow" w:eastAsia="Calibri" w:hAnsi="Arial Narrow" w:cs="Times New Roman"/>
                <w:i/>
                <w:sz w:val="20"/>
                <w:szCs w:val="20"/>
              </w:rPr>
              <w:t>ax. dose is lower in add-on</w:t>
            </w:r>
            <w:r w:rsidRPr="004673D0">
              <w:rPr>
                <w:rFonts w:ascii="Arial Narrow" w:eastAsia="Calibri" w:hAnsi="Arial Narrow" w:cs="Times New Roman"/>
                <w:i/>
                <w:sz w:val="20"/>
                <w:szCs w:val="20"/>
              </w:rPr>
              <w:t xml:space="preserve"> (4 mg/day) </w:t>
            </w:r>
            <w:r w:rsidR="003A3C71" w:rsidRPr="004673D0">
              <w:rPr>
                <w:rFonts w:ascii="Arial Narrow" w:eastAsia="Calibri" w:hAnsi="Arial Narrow" w:cs="Times New Roman"/>
                <w:i/>
                <w:sz w:val="20"/>
                <w:szCs w:val="20"/>
              </w:rPr>
              <w:t xml:space="preserve">vs. </w:t>
            </w:r>
            <w:r w:rsidRPr="004673D0">
              <w:rPr>
                <w:rFonts w:ascii="Arial Narrow" w:eastAsia="Calibri" w:hAnsi="Arial Narrow" w:cs="Times New Roman"/>
                <w:i/>
                <w:sz w:val="20"/>
                <w:szCs w:val="20"/>
              </w:rPr>
              <w:t>monotherapy (</w:t>
            </w:r>
            <w:r w:rsidR="005C5E12" w:rsidRPr="004673D0">
              <w:rPr>
                <w:rFonts w:ascii="Arial Narrow" w:eastAsia="Calibri" w:hAnsi="Arial Narrow" w:cs="Times New Roman"/>
                <w:i/>
                <w:sz w:val="20"/>
                <w:szCs w:val="20"/>
              </w:rPr>
              <w:t>7 mg/day in adolescents), so lower dose may be appropriate in this setting.</w:t>
            </w:r>
            <w:r w:rsidR="00A976C5" w:rsidRPr="004673D0">
              <w:rPr>
                <w:rFonts w:ascii="Arial Narrow" w:eastAsia="Calibri" w:hAnsi="Arial Narrow" w:cs="Times New Roman"/>
                <w:i/>
                <w:sz w:val="20"/>
                <w:szCs w:val="20"/>
              </w:rPr>
              <w:t xml:space="preserve"> </w:t>
            </w:r>
          </w:p>
        </w:tc>
      </w:tr>
      <w:tr w:rsidR="00A976C5" w:rsidRPr="004673D0" w:rsidTr="00A976C5">
        <w:trPr>
          <w:cantSplit/>
        </w:trPr>
        <w:tc>
          <w:tcPr>
            <w:tcW w:w="5000" w:type="pct"/>
            <w:gridSpan w:val="3"/>
          </w:tcPr>
          <w:p w:rsidR="00A976C5" w:rsidRPr="004673D0" w:rsidRDefault="00A976C5" w:rsidP="00A976C5">
            <w:pPr>
              <w:rPr>
                <w:rFonts w:ascii="Arial Narrow" w:eastAsia="Calibri" w:hAnsi="Arial Narrow"/>
                <w:b/>
                <w:sz w:val="20"/>
                <w:szCs w:val="20"/>
              </w:rPr>
            </w:pPr>
            <w:r w:rsidRPr="004673D0">
              <w:rPr>
                <w:rFonts w:ascii="Arial Narrow" w:eastAsia="Calibri" w:hAnsi="Arial Narrow" w:cs="Times New Roman"/>
                <w:b/>
                <w:sz w:val="20"/>
                <w:szCs w:val="20"/>
              </w:rPr>
              <w:t xml:space="preserve">Proportion of population </w:t>
            </w:r>
            <w:r w:rsidR="009F0683" w:rsidRPr="004673D0">
              <w:rPr>
                <w:rFonts w:ascii="Arial Narrow" w:eastAsia="Calibri" w:hAnsi="Arial Narrow" w:cs="Times New Roman"/>
                <w:b/>
                <w:sz w:val="20"/>
                <w:szCs w:val="20"/>
              </w:rPr>
              <w:t>eligible</w:t>
            </w:r>
            <w:r w:rsidRPr="004673D0">
              <w:rPr>
                <w:rFonts w:ascii="Arial Narrow" w:eastAsia="Calibri" w:hAnsi="Arial Narrow" w:cs="Times New Roman"/>
                <w:b/>
                <w:sz w:val="20"/>
                <w:szCs w:val="20"/>
              </w:rPr>
              <w:t xml:space="preserve"> for guanfacine </w:t>
            </w:r>
          </w:p>
        </w:tc>
      </w:tr>
      <w:tr w:rsidR="00A976C5" w:rsidRPr="004673D0" w:rsidTr="00A976C5">
        <w:trPr>
          <w:cantSplit/>
        </w:trPr>
        <w:tc>
          <w:tcPr>
            <w:tcW w:w="1325" w:type="pct"/>
          </w:tcPr>
          <w:p w:rsidR="005C5E12" w:rsidRPr="004673D0" w:rsidRDefault="005C5E12" w:rsidP="005C5E12">
            <w:pPr>
              <w:rPr>
                <w:rFonts w:ascii="Arial Narrow" w:eastAsia="Calibri" w:hAnsi="Arial Narrow" w:cs="Times New Roman"/>
                <w:sz w:val="20"/>
                <w:szCs w:val="20"/>
              </w:rPr>
            </w:pPr>
            <w:r w:rsidRPr="004673D0">
              <w:rPr>
                <w:rFonts w:ascii="Arial Narrow" w:eastAsia="Calibri" w:hAnsi="Arial Narrow" w:cs="Times New Roman"/>
                <w:sz w:val="20"/>
                <w:szCs w:val="20"/>
              </w:rPr>
              <w:t>In monotherapy, would replace:</w:t>
            </w:r>
          </w:p>
          <w:p w:rsidR="005C5E12" w:rsidRPr="004673D0" w:rsidRDefault="00F83616" w:rsidP="005C5E12">
            <w:pPr>
              <w:pStyle w:val="ListParagraph"/>
              <w:numPr>
                <w:ilvl w:val="0"/>
                <w:numId w:val="25"/>
              </w:numPr>
              <w:ind w:left="215" w:hanging="142"/>
              <w:rPr>
                <w:rFonts w:ascii="Arial Narrow" w:eastAsia="Calibri" w:hAnsi="Arial Narrow"/>
                <w:sz w:val="20"/>
              </w:rPr>
            </w:pPr>
            <w:r>
              <w:rPr>
                <w:rFonts w:ascii="Arial Narrow" w:eastAsia="Calibri" w:hAnsi="Arial Narrow"/>
                <w:noProof/>
                <w:color w:val="000000"/>
                <w:sz w:val="20"/>
                <w:highlight w:val="black"/>
              </w:rPr>
              <w:t>''''''''''</w:t>
            </w:r>
            <w:r w:rsidR="005C5E12" w:rsidRPr="004673D0">
              <w:rPr>
                <w:rFonts w:ascii="Arial Narrow" w:eastAsia="Calibri" w:hAnsi="Arial Narrow"/>
                <w:sz w:val="20"/>
              </w:rPr>
              <w:t>% of atomoxetine use;</w:t>
            </w:r>
          </w:p>
          <w:p w:rsidR="005C5E12" w:rsidRPr="004673D0" w:rsidRDefault="00F83616" w:rsidP="005C5E12">
            <w:pPr>
              <w:pStyle w:val="ListParagraph"/>
              <w:numPr>
                <w:ilvl w:val="0"/>
                <w:numId w:val="25"/>
              </w:numPr>
              <w:ind w:left="215" w:hanging="142"/>
              <w:rPr>
                <w:rFonts w:ascii="Arial Narrow" w:eastAsia="Calibri" w:hAnsi="Arial Narrow" w:cstheme="minorBidi"/>
                <w:sz w:val="20"/>
              </w:rPr>
            </w:pPr>
            <w:r>
              <w:rPr>
                <w:rFonts w:ascii="Arial Narrow" w:eastAsia="Calibri" w:hAnsi="Arial Narrow" w:cstheme="minorBidi"/>
                <w:b/>
                <w:noProof/>
                <w:color w:val="000000"/>
                <w:sz w:val="20"/>
                <w:highlight w:val="black"/>
              </w:rPr>
              <w:t>'''''</w:t>
            </w:r>
            <w:r w:rsidR="005C5E12" w:rsidRPr="004673D0">
              <w:rPr>
                <w:rFonts w:ascii="Arial Narrow" w:eastAsia="Calibri" w:hAnsi="Arial Narrow" w:cstheme="minorBidi"/>
                <w:b/>
                <w:sz w:val="20"/>
              </w:rPr>
              <w:t>%</w:t>
            </w:r>
            <w:r w:rsidR="005C5E12" w:rsidRPr="004673D0">
              <w:rPr>
                <w:rFonts w:ascii="Arial Narrow" w:eastAsia="Calibri" w:hAnsi="Arial Narrow" w:cstheme="minorBidi"/>
                <w:sz w:val="20"/>
              </w:rPr>
              <w:t xml:space="preserve"> of clonidine use</w:t>
            </w:r>
          </w:p>
          <w:p w:rsidR="00041181" w:rsidRPr="004673D0" w:rsidRDefault="00021520" w:rsidP="00E05E38">
            <w:pPr>
              <w:rPr>
                <w:rFonts w:ascii="Arial Narrow" w:eastAsia="Calibri" w:hAnsi="Arial Narrow"/>
                <w:sz w:val="20"/>
                <w:szCs w:val="20"/>
              </w:rPr>
            </w:pPr>
            <w:r w:rsidRPr="004673D0">
              <w:rPr>
                <w:rFonts w:ascii="Arial Narrow" w:eastAsia="Calibri" w:hAnsi="Arial Narrow"/>
                <w:sz w:val="20"/>
                <w:szCs w:val="20"/>
              </w:rPr>
              <w:t>Used as a</w:t>
            </w:r>
            <w:r w:rsidR="00041181" w:rsidRPr="004673D0">
              <w:rPr>
                <w:rFonts w:ascii="Arial Narrow" w:eastAsia="Calibri" w:hAnsi="Arial Narrow"/>
                <w:sz w:val="20"/>
                <w:szCs w:val="20"/>
              </w:rPr>
              <w:t>dd</w:t>
            </w:r>
            <w:r w:rsidRPr="004673D0">
              <w:rPr>
                <w:rFonts w:ascii="Arial Narrow" w:eastAsia="Calibri" w:hAnsi="Arial Narrow"/>
                <w:sz w:val="20"/>
                <w:szCs w:val="20"/>
              </w:rPr>
              <w:t>-</w:t>
            </w:r>
            <w:r w:rsidR="00041181" w:rsidRPr="004673D0">
              <w:rPr>
                <w:rFonts w:ascii="Arial Narrow" w:eastAsia="Calibri" w:hAnsi="Arial Narrow"/>
                <w:sz w:val="20"/>
                <w:szCs w:val="20"/>
              </w:rPr>
              <w:t xml:space="preserve">on in </w:t>
            </w:r>
            <w:r w:rsidR="00041181" w:rsidRPr="004673D0">
              <w:rPr>
                <w:rFonts w:ascii="Arial Narrow" w:eastAsia="Calibri" w:hAnsi="Arial Narrow"/>
                <w:b/>
                <w:sz w:val="20"/>
                <w:szCs w:val="20"/>
              </w:rPr>
              <w:t>10%</w:t>
            </w:r>
            <w:r w:rsidR="00041181" w:rsidRPr="004673D0">
              <w:rPr>
                <w:rFonts w:ascii="Arial Narrow" w:eastAsia="Calibri" w:hAnsi="Arial Narrow"/>
                <w:sz w:val="20"/>
                <w:szCs w:val="20"/>
              </w:rPr>
              <w:t xml:space="preserve"> of patients</w:t>
            </w:r>
            <w:r w:rsidRPr="004673D0">
              <w:rPr>
                <w:rFonts w:ascii="Arial Narrow" w:eastAsia="Calibri" w:hAnsi="Arial Narrow"/>
                <w:sz w:val="20"/>
                <w:szCs w:val="20"/>
              </w:rPr>
              <w:t xml:space="preserve"> on</w:t>
            </w:r>
            <w:r w:rsidR="00041181" w:rsidRPr="004673D0">
              <w:rPr>
                <w:rFonts w:ascii="Arial Narrow" w:eastAsia="Calibri" w:hAnsi="Arial Narrow"/>
                <w:sz w:val="20"/>
                <w:szCs w:val="20"/>
              </w:rPr>
              <w:t xml:space="preserve"> m</w:t>
            </w:r>
            <w:r w:rsidR="00041181" w:rsidRPr="004673D0">
              <w:rPr>
                <w:rFonts w:ascii="Arial Narrow" w:hAnsi="Arial Narrow" w:cs="Arial"/>
                <w:sz w:val="20"/>
                <w:szCs w:val="20"/>
              </w:rPr>
              <w:t>ethylphenidate or lisdexamfetamine</w:t>
            </w:r>
          </w:p>
        </w:tc>
        <w:tc>
          <w:tcPr>
            <w:tcW w:w="1825" w:type="pct"/>
          </w:tcPr>
          <w:p w:rsidR="00A976C5" w:rsidRPr="004673D0" w:rsidRDefault="00041181" w:rsidP="006C3C02">
            <w:pPr>
              <w:rPr>
                <w:rFonts w:ascii="Arial Narrow" w:eastAsia="Calibri" w:hAnsi="Arial Narrow" w:cs="Times New Roman"/>
                <w:sz w:val="20"/>
                <w:szCs w:val="20"/>
              </w:rPr>
            </w:pPr>
            <w:r w:rsidRPr="004673D0">
              <w:rPr>
                <w:rFonts w:ascii="Arial Narrow" w:eastAsia="Calibri" w:hAnsi="Arial Narrow" w:cs="Times New Roman"/>
                <w:sz w:val="20"/>
                <w:szCs w:val="20"/>
              </w:rPr>
              <w:t>In monotherapy, would replace:</w:t>
            </w:r>
          </w:p>
          <w:p w:rsidR="00041181" w:rsidRPr="004673D0" w:rsidRDefault="00F83616" w:rsidP="00041181">
            <w:pPr>
              <w:pStyle w:val="ListParagraph"/>
              <w:numPr>
                <w:ilvl w:val="0"/>
                <w:numId w:val="25"/>
              </w:numPr>
              <w:ind w:left="215" w:hanging="142"/>
              <w:rPr>
                <w:rFonts w:ascii="Arial Narrow" w:eastAsia="Calibri" w:hAnsi="Arial Narrow"/>
                <w:sz w:val="20"/>
              </w:rPr>
            </w:pPr>
            <w:r>
              <w:rPr>
                <w:rFonts w:ascii="Arial Narrow" w:eastAsia="Calibri" w:hAnsi="Arial Narrow"/>
                <w:noProof/>
                <w:color w:val="000000"/>
                <w:sz w:val="20"/>
                <w:highlight w:val="black"/>
              </w:rPr>
              <w:t>'''''''''</w:t>
            </w:r>
            <w:r w:rsidR="005C5E12" w:rsidRPr="004673D0">
              <w:rPr>
                <w:rFonts w:ascii="Arial Narrow" w:eastAsia="Calibri" w:hAnsi="Arial Narrow"/>
                <w:sz w:val="20"/>
              </w:rPr>
              <w:t xml:space="preserve">% of atomoxetine use </w:t>
            </w:r>
            <w:r w:rsidR="005C5E12" w:rsidRPr="004673D0">
              <w:rPr>
                <w:rFonts w:ascii="Arial Narrow" w:eastAsia="Calibri" w:hAnsi="Arial Narrow"/>
                <w:i/>
                <w:sz w:val="20"/>
              </w:rPr>
              <w:t>(unchanged)</w:t>
            </w:r>
          </w:p>
          <w:p w:rsidR="00A976C5" w:rsidRPr="004673D0" w:rsidRDefault="00F83616" w:rsidP="00E05E38">
            <w:pPr>
              <w:pStyle w:val="ListParagraph"/>
              <w:numPr>
                <w:ilvl w:val="0"/>
                <w:numId w:val="25"/>
              </w:numPr>
              <w:ind w:left="215" w:hanging="142"/>
              <w:rPr>
                <w:rFonts w:ascii="Arial Narrow" w:eastAsia="Calibri" w:hAnsi="Arial Narrow"/>
                <w:sz w:val="20"/>
              </w:rPr>
            </w:pPr>
            <w:r>
              <w:rPr>
                <w:rFonts w:ascii="Arial Narrow" w:eastAsia="Calibri" w:hAnsi="Arial Narrow"/>
                <w:b/>
                <w:noProof/>
                <w:color w:val="000000"/>
                <w:sz w:val="20"/>
                <w:highlight w:val="black"/>
              </w:rPr>
              <w:t>''''</w:t>
            </w:r>
            <w:r w:rsidR="00041181" w:rsidRPr="004673D0">
              <w:rPr>
                <w:rFonts w:ascii="Arial Narrow" w:eastAsia="Calibri" w:hAnsi="Arial Narrow"/>
                <w:b/>
                <w:sz w:val="20"/>
              </w:rPr>
              <w:t>%</w:t>
            </w:r>
            <w:r w:rsidR="00041181" w:rsidRPr="004673D0">
              <w:rPr>
                <w:rFonts w:ascii="Arial Narrow" w:eastAsia="Calibri" w:hAnsi="Arial Narrow"/>
                <w:sz w:val="20"/>
              </w:rPr>
              <w:t xml:space="preserve"> of clonidine use</w:t>
            </w:r>
            <w:r w:rsidR="005C5E12" w:rsidRPr="004673D0">
              <w:rPr>
                <w:rFonts w:ascii="Arial Narrow" w:eastAsia="Calibri" w:hAnsi="Arial Narrow"/>
                <w:sz w:val="20"/>
              </w:rPr>
              <w:t xml:space="preserve"> </w:t>
            </w:r>
            <w:r w:rsidR="005C5E12" w:rsidRPr="004673D0">
              <w:rPr>
                <w:rFonts w:ascii="Arial Narrow" w:eastAsia="Calibri" w:hAnsi="Arial Narrow"/>
                <w:i/>
                <w:sz w:val="20"/>
              </w:rPr>
              <w:t>(</w:t>
            </w:r>
            <w:r w:rsidR="001443E8" w:rsidRPr="004673D0">
              <w:rPr>
                <w:rFonts w:ascii="Arial Narrow" w:eastAsia="Calibri" w:hAnsi="Arial Narrow"/>
                <w:i/>
                <w:sz w:val="20"/>
              </w:rPr>
              <w:t>appeared to be updated to address previous concerns that this was underestimated</w:t>
            </w:r>
            <w:r w:rsidR="008F00B1" w:rsidRPr="004673D0">
              <w:rPr>
                <w:rFonts w:ascii="Arial Narrow" w:eastAsia="Calibri" w:hAnsi="Arial Narrow"/>
                <w:i/>
                <w:sz w:val="20"/>
              </w:rPr>
              <w:t xml:space="preserve"> </w:t>
            </w:r>
            <w:r w:rsidR="008F00B1" w:rsidRPr="004673D0">
              <w:rPr>
                <w:rFonts w:ascii="Arial Narrow" w:eastAsia="Calibri" w:hAnsi="Arial Narrow"/>
                <w:i/>
                <w:sz w:val="20"/>
                <w:vertAlign w:val="superscript"/>
              </w:rPr>
              <w:t>b</w:t>
            </w:r>
            <w:r w:rsidR="005C5E12" w:rsidRPr="004673D0">
              <w:rPr>
                <w:rFonts w:ascii="Arial Narrow" w:eastAsia="Calibri" w:hAnsi="Arial Narrow"/>
                <w:i/>
                <w:sz w:val="20"/>
              </w:rPr>
              <w:t>)</w:t>
            </w:r>
          </w:p>
        </w:tc>
        <w:tc>
          <w:tcPr>
            <w:tcW w:w="1849" w:type="pct"/>
          </w:tcPr>
          <w:p w:rsidR="00A976C5" w:rsidRPr="004673D0" w:rsidRDefault="00021520" w:rsidP="00015985">
            <w:pPr>
              <w:rPr>
                <w:rFonts w:ascii="Arial Narrow" w:eastAsia="Calibri" w:hAnsi="Arial Narrow" w:cs="Times New Roman"/>
                <w:i/>
                <w:sz w:val="20"/>
                <w:szCs w:val="20"/>
              </w:rPr>
            </w:pPr>
            <w:r w:rsidRPr="004673D0">
              <w:rPr>
                <w:rFonts w:ascii="Arial Narrow" w:eastAsia="Calibri" w:hAnsi="Arial Narrow"/>
                <w:sz w:val="20"/>
                <w:szCs w:val="20"/>
              </w:rPr>
              <w:t>Used as add-on</w:t>
            </w:r>
            <w:r w:rsidR="00041181" w:rsidRPr="004673D0">
              <w:rPr>
                <w:rFonts w:ascii="Arial Narrow" w:eastAsia="Calibri" w:hAnsi="Arial Narrow"/>
                <w:sz w:val="20"/>
                <w:szCs w:val="20"/>
              </w:rPr>
              <w:t xml:space="preserve"> in </w:t>
            </w:r>
            <w:r w:rsidR="00041181" w:rsidRPr="004673D0">
              <w:rPr>
                <w:rFonts w:ascii="Arial Narrow" w:eastAsia="Calibri" w:hAnsi="Arial Narrow"/>
                <w:b/>
                <w:sz w:val="20"/>
                <w:szCs w:val="20"/>
              </w:rPr>
              <w:t>20%</w:t>
            </w:r>
            <w:r w:rsidR="00041181" w:rsidRPr="004673D0">
              <w:rPr>
                <w:rFonts w:ascii="Arial Narrow" w:eastAsia="Calibri" w:hAnsi="Arial Narrow"/>
                <w:sz w:val="20"/>
                <w:szCs w:val="20"/>
              </w:rPr>
              <w:t xml:space="preserve"> of patients </w:t>
            </w:r>
            <w:r w:rsidRPr="004673D0">
              <w:rPr>
                <w:rFonts w:ascii="Arial Narrow" w:eastAsia="Calibri" w:hAnsi="Arial Narrow"/>
                <w:sz w:val="20"/>
                <w:szCs w:val="20"/>
              </w:rPr>
              <w:t xml:space="preserve">on </w:t>
            </w:r>
            <w:r w:rsidR="00041181" w:rsidRPr="004673D0">
              <w:rPr>
                <w:rFonts w:ascii="Arial Narrow" w:eastAsia="Calibri" w:hAnsi="Arial Narrow"/>
                <w:sz w:val="20"/>
                <w:szCs w:val="20"/>
              </w:rPr>
              <w:t>m</w:t>
            </w:r>
            <w:r w:rsidR="00041181" w:rsidRPr="004673D0">
              <w:rPr>
                <w:rFonts w:ascii="Arial Narrow" w:hAnsi="Arial Narrow" w:cs="Arial"/>
                <w:sz w:val="20"/>
                <w:szCs w:val="20"/>
              </w:rPr>
              <w:t>ethylphenidate or lisdexamfetamine</w:t>
            </w:r>
          </w:p>
        </w:tc>
      </w:tr>
      <w:tr w:rsidR="00A976C5" w:rsidRPr="004673D0" w:rsidTr="00A976C5">
        <w:trPr>
          <w:cantSplit/>
        </w:trPr>
        <w:tc>
          <w:tcPr>
            <w:tcW w:w="5000" w:type="pct"/>
            <w:gridSpan w:val="3"/>
          </w:tcPr>
          <w:p w:rsidR="00A976C5" w:rsidRPr="004673D0" w:rsidRDefault="009F0683" w:rsidP="006C3C02">
            <w:pPr>
              <w:rPr>
                <w:rFonts w:ascii="Arial Narrow" w:eastAsia="Calibri" w:hAnsi="Arial Narrow"/>
                <w:b/>
                <w:sz w:val="20"/>
                <w:szCs w:val="20"/>
              </w:rPr>
            </w:pPr>
            <w:r w:rsidRPr="004673D0">
              <w:rPr>
                <w:rFonts w:ascii="Arial Narrow" w:hAnsi="Arial Narrow"/>
                <w:b/>
                <w:sz w:val="20"/>
              </w:rPr>
              <w:t xml:space="preserve">Uptake rates </w:t>
            </w:r>
            <w:r w:rsidR="00A976C5" w:rsidRPr="004673D0">
              <w:rPr>
                <w:rFonts w:ascii="Arial Narrow" w:hAnsi="Arial Narrow"/>
                <w:b/>
                <w:sz w:val="20"/>
              </w:rPr>
              <w:t xml:space="preserve">for guanfacine </w:t>
            </w:r>
          </w:p>
        </w:tc>
      </w:tr>
      <w:tr w:rsidR="00A976C5" w:rsidRPr="004673D0" w:rsidTr="00A976C5">
        <w:trPr>
          <w:cantSplit/>
        </w:trPr>
        <w:tc>
          <w:tcPr>
            <w:tcW w:w="1325" w:type="pct"/>
          </w:tcPr>
          <w:p w:rsidR="00041181" w:rsidRPr="004673D0" w:rsidRDefault="00446FA3" w:rsidP="00041181">
            <w:pPr>
              <w:rPr>
                <w:rFonts w:ascii="Arial Narrow" w:hAnsi="Arial Narrow"/>
                <w:sz w:val="20"/>
                <w:szCs w:val="22"/>
              </w:rPr>
            </w:pPr>
            <w:r w:rsidRPr="004673D0">
              <w:rPr>
                <w:rFonts w:ascii="Arial Narrow" w:hAnsi="Arial Narrow"/>
                <w:sz w:val="20"/>
                <w:szCs w:val="22"/>
              </w:rPr>
              <w:t>Both add-on and monotherapy:</w:t>
            </w:r>
          </w:p>
          <w:tbl>
            <w:tblPr>
              <w:tblStyle w:val="TableGrid"/>
              <w:tblW w:w="2263" w:type="dxa"/>
              <w:tblLayout w:type="fixed"/>
              <w:tblCellMar>
                <w:left w:w="28" w:type="dxa"/>
                <w:right w:w="28" w:type="dxa"/>
              </w:tblCellMar>
              <w:tblLook w:val="04A0" w:firstRow="1" w:lastRow="0" w:firstColumn="1" w:lastColumn="0" w:noHBand="0" w:noVBand="1"/>
            </w:tblPr>
            <w:tblGrid>
              <w:gridCol w:w="421"/>
              <w:gridCol w:w="567"/>
              <w:gridCol w:w="425"/>
              <w:gridCol w:w="425"/>
              <w:gridCol w:w="425"/>
            </w:tblGrid>
            <w:tr w:rsidR="00041181" w:rsidRPr="004673D0" w:rsidTr="00041181">
              <w:tc>
                <w:tcPr>
                  <w:tcW w:w="421" w:type="dxa"/>
                  <w:vAlign w:val="center"/>
                </w:tcPr>
                <w:p w:rsidR="00041181" w:rsidRPr="004673D0" w:rsidRDefault="00041181" w:rsidP="00041181">
                  <w:pPr>
                    <w:jc w:val="center"/>
                    <w:rPr>
                      <w:rFonts w:ascii="Arial Narrow" w:eastAsiaTheme="minorHAnsi" w:hAnsi="Arial Narrow" w:cstheme="minorBidi"/>
                      <w:b/>
                      <w:sz w:val="20"/>
                      <w:szCs w:val="22"/>
                      <w:lang w:eastAsia="en-US"/>
                    </w:rPr>
                  </w:pPr>
                  <w:r w:rsidRPr="004673D0">
                    <w:rPr>
                      <w:rFonts w:ascii="Arial Narrow" w:eastAsiaTheme="minorHAnsi" w:hAnsi="Arial Narrow" w:cstheme="minorBidi"/>
                      <w:b/>
                      <w:sz w:val="20"/>
                      <w:szCs w:val="22"/>
                      <w:lang w:eastAsia="en-US"/>
                    </w:rPr>
                    <w:t>Yr 1</w:t>
                  </w:r>
                </w:p>
              </w:tc>
              <w:tc>
                <w:tcPr>
                  <w:tcW w:w="567" w:type="dxa"/>
                  <w:vAlign w:val="center"/>
                </w:tcPr>
                <w:p w:rsidR="00041181" w:rsidRPr="004673D0" w:rsidRDefault="00041181" w:rsidP="00041181">
                  <w:pPr>
                    <w:jc w:val="center"/>
                    <w:rPr>
                      <w:rFonts w:ascii="Arial Narrow" w:eastAsiaTheme="minorHAnsi" w:hAnsi="Arial Narrow" w:cstheme="minorBidi"/>
                      <w:b/>
                      <w:sz w:val="20"/>
                      <w:szCs w:val="22"/>
                      <w:lang w:eastAsia="en-US"/>
                    </w:rPr>
                  </w:pPr>
                  <w:r w:rsidRPr="004673D0">
                    <w:rPr>
                      <w:rFonts w:ascii="Arial Narrow" w:eastAsiaTheme="minorHAnsi" w:hAnsi="Arial Narrow" w:cstheme="minorBidi"/>
                      <w:b/>
                      <w:sz w:val="20"/>
                      <w:szCs w:val="22"/>
                      <w:lang w:eastAsia="en-US"/>
                    </w:rPr>
                    <w:t>Yr 2</w:t>
                  </w:r>
                </w:p>
              </w:tc>
              <w:tc>
                <w:tcPr>
                  <w:tcW w:w="425" w:type="dxa"/>
                  <w:vAlign w:val="center"/>
                </w:tcPr>
                <w:p w:rsidR="00041181" w:rsidRPr="004673D0" w:rsidRDefault="00041181" w:rsidP="00041181">
                  <w:pPr>
                    <w:jc w:val="center"/>
                    <w:rPr>
                      <w:rFonts w:ascii="Arial Narrow" w:eastAsiaTheme="minorHAnsi" w:hAnsi="Arial Narrow" w:cstheme="minorBidi"/>
                      <w:b/>
                      <w:sz w:val="20"/>
                      <w:szCs w:val="22"/>
                      <w:lang w:eastAsia="en-US"/>
                    </w:rPr>
                  </w:pPr>
                  <w:r w:rsidRPr="004673D0">
                    <w:rPr>
                      <w:rFonts w:ascii="Arial Narrow" w:eastAsiaTheme="minorHAnsi" w:hAnsi="Arial Narrow" w:cstheme="minorBidi"/>
                      <w:b/>
                      <w:sz w:val="20"/>
                      <w:szCs w:val="22"/>
                      <w:lang w:eastAsia="en-US"/>
                    </w:rPr>
                    <w:t>Yr 3</w:t>
                  </w:r>
                </w:p>
              </w:tc>
              <w:tc>
                <w:tcPr>
                  <w:tcW w:w="425" w:type="dxa"/>
                  <w:vAlign w:val="center"/>
                </w:tcPr>
                <w:p w:rsidR="00041181" w:rsidRPr="004673D0" w:rsidRDefault="00041181" w:rsidP="00041181">
                  <w:pPr>
                    <w:jc w:val="center"/>
                    <w:rPr>
                      <w:rFonts w:ascii="Arial Narrow" w:eastAsiaTheme="minorHAnsi" w:hAnsi="Arial Narrow" w:cstheme="minorBidi"/>
                      <w:b/>
                      <w:sz w:val="20"/>
                      <w:szCs w:val="22"/>
                      <w:lang w:eastAsia="en-US"/>
                    </w:rPr>
                  </w:pPr>
                  <w:r w:rsidRPr="004673D0">
                    <w:rPr>
                      <w:rFonts w:ascii="Arial Narrow" w:eastAsiaTheme="minorHAnsi" w:hAnsi="Arial Narrow" w:cstheme="minorBidi"/>
                      <w:b/>
                      <w:sz w:val="20"/>
                      <w:szCs w:val="22"/>
                      <w:lang w:eastAsia="en-US"/>
                    </w:rPr>
                    <w:t>Yr 4</w:t>
                  </w:r>
                </w:p>
              </w:tc>
              <w:tc>
                <w:tcPr>
                  <w:tcW w:w="425" w:type="dxa"/>
                  <w:vAlign w:val="center"/>
                </w:tcPr>
                <w:p w:rsidR="00041181" w:rsidRPr="004673D0" w:rsidRDefault="00041181" w:rsidP="00041181">
                  <w:pPr>
                    <w:jc w:val="center"/>
                    <w:rPr>
                      <w:rFonts w:ascii="Arial Narrow" w:eastAsiaTheme="minorHAnsi" w:hAnsi="Arial Narrow" w:cstheme="minorBidi"/>
                      <w:b/>
                      <w:sz w:val="20"/>
                      <w:szCs w:val="22"/>
                      <w:lang w:eastAsia="en-US"/>
                    </w:rPr>
                  </w:pPr>
                  <w:r w:rsidRPr="004673D0">
                    <w:rPr>
                      <w:rFonts w:ascii="Arial Narrow" w:eastAsiaTheme="minorHAnsi" w:hAnsi="Arial Narrow" w:cstheme="minorBidi"/>
                      <w:b/>
                      <w:sz w:val="20"/>
                      <w:szCs w:val="22"/>
                      <w:lang w:eastAsia="en-US"/>
                    </w:rPr>
                    <w:t>Yr 5</w:t>
                  </w:r>
                </w:p>
              </w:tc>
            </w:tr>
            <w:tr w:rsidR="00041181" w:rsidRPr="004673D0" w:rsidTr="00041181">
              <w:tc>
                <w:tcPr>
                  <w:tcW w:w="421" w:type="dxa"/>
                  <w:vAlign w:val="center"/>
                </w:tcPr>
                <w:p w:rsidR="00041181" w:rsidRPr="004673D0" w:rsidRDefault="00F83616" w:rsidP="00041181">
                  <w:pPr>
                    <w:jc w:val="center"/>
                    <w:rPr>
                      <w:rFonts w:ascii="Arial Narrow" w:eastAsiaTheme="minorHAnsi" w:hAnsi="Arial Narrow" w:cstheme="minorBidi"/>
                      <w:sz w:val="20"/>
                      <w:szCs w:val="22"/>
                      <w:lang w:eastAsia="en-US"/>
                    </w:rPr>
                  </w:pPr>
                  <w:r>
                    <w:rPr>
                      <w:rFonts w:ascii="Arial Narrow" w:eastAsiaTheme="minorHAnsi" w:hAnsi="Arial Narrow" w:cstheme="minorBidi"/>
                      <w:noProof/>
                      <w:color w:val="000000"/>
                      <w:sz w:val="20"/>
                      <w:szCs w:val="22"/>
                      <w:highlight w:val="black"/>
                      <w:lang w:eastAsia="en-US"/>
                    </w:rPr>
                    <w:t>'''''</w:t>
                  </w:r>
                  <w:r w:rsidR="00041181" w:rsidRPr="004673D0">
                    <w:rPr>
                      <w:rFonts w:ascii="Arial Narrow" w:eastAsiaTheme="minorHAnsi" w:hAnsi="Arial Narrow" w:cstheme="minorBidi"/>
                      <w:sz w:val="20"/>
                      <w:szCs w:val="22"/>
                      <w:lang w:eastAsia="en-US"/>
                    </w:rPr>
                    <w:t>%</w:t>
                  </w:r>
                </w:p>
              </w:tc>
              <w:tc>
                <w:tcPr>
                  <w:tcW w:w="567" w:type="dxa"/>
                  <w:vAlign w:val="center"/>
                </w:tcPr>
                <w:p w:rsidR="00041181" w:rsidRPr="004673D0" w:rsidRDefault="00F83616" w:rsidP="00041181">
                  <w:pPr>
                    <w:jc w:val="center"/>
                    <w:rPr>
                      <w:rFonts w:ascii="Arial Narrow" w:eastAsiaTheme="minorHAnsi" w:hAnsi="Arial Narrow" w:cstheme="minorBidi"/>
                      <w:sz w:val="20"/>
                      <w:szCs w:val="22"/>
                      <w:lang w:eastAsia="en-US"/>
                    </w:rPr>
                  </w:pPr>
                  <w:r>
                    <w:rPr>
                      <w:rFonts w:ascii="Arial Narrow" w:eastAsiaTheme="minorHAnsi" w:hAnsi="Arial Narrow" w:cstheme="minorBidi"/>
                      <w:noProof/>
                      <w:color w:val="000000"/>
                      <w:sz w:val="20"/>
                      <w:szCs w:val="22"/>
                      <w:highlight w:val="black"/>
                      <w:lang w:eastAsia="en-US"/>
                    </w:rPr>
                    <w:t>''''''</w:t>
                  </w:r>
                  <w:r w:rsidR="00041181" w:rsidRPr="004673D0">
                    <w:rPr>
                      <w:rFonts w:ascii="Arial Narrow" w:eastAsiaTheme="minorHAnsi" w:hAnsi="Arial Narrow" w:cstheme="minorBidi"/>
                      <w:sz w:val="20"/>
                      <w:szCs w:val="22"/>
                      <w:lang w:eastAsia="en-US"/>
                    </w:rPr>
                    <w:t>%</w:t>
                  </w:r>
                </w:p>
              </w:tc>
              <w:tc>
                <w:tcPr>
                  <w:tcW w:w="425" w:type="dxa"/>
                  <w:vAlign w:val="center"/>
                </w:tcPr>
                <w:p w:rsidR="00041181" w:rsidRPr="004673D0" w:rsidRDefault="00F83616" w:rsidP="00041181">
                  <w:pPr>
                    <w:jc w:val="center"/>
                    <w:rPr>
                      <w:rFonts w:ascii="Arial Narrow" w:eastAsiaTheme="minorHAnsi" w:hAnsi="Arial Narrow" w:cstheme="minorBidi"/>
                      <w:sz w:val="20"/>
                      <w:szCs w:val="22"/>
                      <w:lang w:eastAsia="en-US"/>
                    </w:rPr>
                  </w:pPr>
                  <w:r>
                    <w:rPr>
                      <w:rFonts w:ascii="Arial Narrow" w:eastAsiaTheme="minorHAnsi" w:hAnsi="Arial Narrow" w:cstheme="minorBidi"/>
                      <w:noProof/>
                      <w:color w:val="000000"/>
                      <w:sz w:val="20"/>
                      <w:szCs w:val="22"/>
                      <w:highlight w:val="black"/>
                      <w:lang w:eastAsia="en-US"/>
                    </w:rPr>
                    <w:t>''''''</w:t>
                  </w:r>
                  <w:r w:rsidR="00041181" w:rsidRPr="004673D0">
                    <w:rPr>
                      <w:rFonts w:ascii="Arial Narrow" w:eastAsiaTheme="minorHAnsi" w:hAnsi="Arial Narrow" w:cstheme="minorBidi"/>
                      <w:sz w:val="20"/>
                      <w:szCs w:val="22"/>
                      <w:lang w:eastAsia="en-US"/>
                    </w:rPr>
                    <w:t>%</w:t>
                  </w:r>
                </w:p>
              </w:tc>
              <w:tc>
                <w:tcPr>
                  <w:tcW w:w="425" w:type="dxa"/>
                  <w:vAlign w:val="center"/>
                </w:tcPr>
                <w:p w:rsidR="00041181" w:rsidRPr="004673D0" w:rsidRDefault="00F83616" w:rsidP="00041181">
                  <w:pPr>
                    <w:jc w:val="center"/>
                    <w:rPr>
                      <w:rFonts w:ascii="Arial Narrow" w:eastAsiaTheme="minorHAnsi" w:hAnsi="Arial Narrow" w:cstheme="minorBidi"/>
                      <w:sz w:val="20"/>
                      <w:szCs w:val="22"/>
                      <w:lang w:eastAsia="en-US"/>
                    </w:rPr>
                  </w:pPr>
                  <w:r>
                    <w:rPr>
                      <w:rFonts w:ascii="Arial Narrow" w:eastAsiaTheme="minorHAnsi" w:hAnsi="Arial Narrow" w:cstheme="minorBidi"/>
                      <w:noProof/>
                      <w:color w:val="000000"/>
                      <w:sz w:val="20"/>
                      <w:szCs w:val="22"/>
                      <w:highlight w:val="black"/>
                      <w:lang w:eastAsia="en-US"/>
                    </w:rPr>
                    <w:t>'''''</w:t>
                  </w:r>
                  <w:r w:rsidR="00041181" w:rsidRPr="004673D0">
                    <w:rPr>
                      <w:rFonts w:ascii="Arial Narrow" w:eastAsiaTheme="minorHAnsi" w:hAnsi="Arial Narrow" w:cstheme="minorBidi"/>
                      <w:sz w:val="20"/>
                      <w:szCs w:val="22"/>
                      <w:lang w:eastAsia="en-US"/>
                    </w:rPr>
                    <w:t>%</w:t>
                  </w:r>
                </w:p>
              </w:tc>
              <w:tc>
                <w:tcPr>
                  <w:tcW w:w="425" w:type="dxa"/>
                  <w:vAlign w:val="center"/>
                </w:tcPr>
                <w:p w:rsidR="00041181" w:rsidRPr="004673D0" w:rsidRDefault="00F83616" w:rsidP="00041181">
                  <w:pPr>
                    <w:jc w:val="center"/>
                    <w:rPr>
                      <w:rFonts w:ascii="Arial Narrow" w:eastAsiaTheme="minorHAnsi" w:hAnsi="Arial Narrow" w:cstheme="minorBidi"/>
                      <w:sz w:val="20"/>
                      <w:szCs w:val="22"/>
                      <w:lang w:eastAsia="en-US"/>
                    </w:rPr>
                  </w:pPr>
                  <w:r>
                    <w:rPr>
                      <w:rFonts w:ascii="Arial Narrow" w:eastAsiaTheme="minorHAnsi" w:hAnsi="Arial Narrow" w:cstheme="minorBidi"/>
                      <w:noProof/>
                      <w:color w:val="000000"/>
                      <w:sz w:val="20"/>
                      <w:szCs w:val="22"/>
                      <w:highlight w:val="black"/>
                      <w:lang w:eastAsia="en-US"/>
                    </w:rPr>
                    <w:t>''''''</w:t>
                  </w:r>
                  <w:r w:rsidR="00041181" w:rsidRPr="004673D0">
                    <w:rPr>
                      <w:rFonts w:ascii="Arial Narrow" w:eastAsiaTheme="minorHAnsi" w:hAnsi="Arial Narrow" w:cstheme="minorBidi"/>
                      <w:sz w:val="20"/>
                      <w:szCs w:val="22"/>
                      <w:lang w:eastAsia="en-US"/>
                    </w:rPr>
                    <w:t>%</w:t>
                  </w:r>
                </w:p>
              </w:tc>
            </w:tr>
          </w:tbl>
          <w:p w:rsidR="00041181" w:rsidRPr="004673D0" w:rsidRDefault="00041181" w:rsidP="00041181">
            <w:pPr>
              <w:rPr>
                <w:rFonts w:ascii="Arial Narrow" w:hAnsi="Arial Narrow"/>
                <w:sz w:val="20"/>
                <w:szCs w:val="22"/>
              </w:rPr>
            </w:pPr>
          </w:p>
          <w:p w:rsidR="00041181" w:rsidRPr="004673D0" w:rsidDel="0013061D" w:rsidRDefault="00041181" w:rsidP="005C5E12">
            <w:pPr>
              <w:rPr>
                <w:rFonts w:ascii="Arial Narrow" w:hAnsi="Arial Narrow"/>
                <w:i/>
                <w:sz w:val="20"/>
              </w:rPr>
            </w:pPr>
          </w:p>
        </w:tc>
        <w:tc>
          <w:tcPr>
            <w:tcW w:w="1825" w:type="pct"/>
          </w:tcPr>
          <w:p w:rsidR="00A976C5" w:rsidRPr="004673D0" w:rsidRDefault="00A976C5" w:rsidP="006C3C02">
            <w:pPr>
              <w:rPr>
                <w:rFonts w:ascii="Arial Narrow" w:hAnsi="Arial Narrow"/>
                <w:sz w:val="20"/>
              </w:rPr>
            </w:pPr>
          </w:p>
          <w:tbl>
            <w:tblPr>
              <w:tblStyle w:val="TableGrid"/>
              <w:tblW w:w="3045" w:type="dxa"/>
              <w:tblLayout w:type="fixed"/>
              <w:tblCellMar>
                <w:left w:w="28" w:type="dxa"/>
                <w:right w:w="28" w:type="dxa"/>
              </w:tblCellMar>
              <w:tblLook w:val="04A0" w:firstRow="1" w:lastRow="0" w:firstColumn="1" w:lastColumn="0" w:noHBand="0" w:noVBand="1"/>
            </w:tblPr>
            <w:tblGrid>
              <w:gridCol w:w="609"/>
              <w:gridCol w:w="609"/>
              <w:gridCol w:w="609"/>
              <w:gridCol w:w="609"/>
              <w:gridCol w:w="609"/>
            </w:tblGrid>
            <w:tr w:rsidR="00A976C5" w:rsidRPr="004673D0" w:rsidTr="00041181">
              <w:tc>
                <w:tcPr>
                  <w:tcW w:w="609" w:type="dxa"/>
                  <w:vAlign w:val="center"/>
                </w:tcPr>
                <w:p w:rsidR="00A976C5" w:rsidRPr="004673D0" w:rsidRDefault="00A976C5" w:rsidP="006C3C02">
                  <w:pPr>
                    <w:jc w:val="center"/>
                    <w:rPr>
                      <w:rFonts w:ascii="Arial Narrow" w:hAnsi="Arial Narrow"/>
                      <w:b/>
                      <w:sz w:val="20"/>
                    </w:rPr>
                  </w:pPr>
                  <w:r w:rsidRPr="004673D0">
                    <w:rPr>
                      <w:rFonts w:ascii="Arial Narrow" w:hAnsi="Arial Narrow"/>
                      <w:b/>
                      <w:sz w:val="20"/>
                    </w:rPr>
                    <w:t>Year 1</w:t>
                  </w:r>
                </w:p>
              </w:tc>
              <w:tc>
                <w:tcPr>
                  <w:tcW w:w="609" w:type="dxa"/>
                  <w:vAlign w:val="center"/>
                </w:tcPr>
                <w:p w:rsidR="00A976C5" w:rsidRPr="004673D0" w:rsidRDefault="00A976C5" w:rsidP="006C3C02">
                  <w:pPr>
                    <w:jc w:val="center"/>
                    <w:rPr>
                      <w:rFonts w:ascii="Arial Narrow" w:hAnsi="Arial Narrow"/>
                      <w:b/>
                      <w:sz w:val="20"/>
                    </w:rPr>
                  </w:pPr>
                  <w:r w:rsidRPr="004673D0">
                    <w:rPr>
                      <w:rFonts w:ascii="Arial Narrow" w:hAnsi="Arial Narrow"/>
                      <w:b/>
                      <w:sz w:val="20"/>
                    </w:rPr>
                    <w:t>Year 2</w:t>
                  </w:r>
                </w:p>
              </w:tc>
              <w:tc>
                <w:tcPr>
                  <w:tcW w:w="609" w:type="dxa"/>
                  <w:vAlign w:val="center"/>
                </w:tcPr>
                <w:p w:rsidR="00A976C5" w:rsidRPr="004673D0" w:rsidRDefault="00A976C5" w:rsidP="006C3C02">
                  <w:pPr>
                    <w:jc w:val="center"/>
                    <w:rPr>
                      <w:rFonts w:ascii="Arial Narrow" w:hAnsi="Arial Narrow"/>
                      <w:b/>
                      <w:sz w:val="20"/>
                    </w:rPr>
                  </w:pPr>
                  <w:r w:rsidRPr="004673D0">
                    <w:rPr>
                      <w:rFonts w:ascii="Arial Narrow" w:hAnsi="Arial Narrow"/>
                      <w:b/>
                      <w:sz w:val="20"/>
                    </w:rPr>
                    <w:t>Year 3</w:t>
                  </w:r>
                </w:p>
              </w:tc>
              <w:tc>
                <w:tcPr>
                  <w:tcW w:w="609" w:type="dxa"/>
                  <w:vAlign w:val="center"/>
                </w:tcPr>
                <w:p w:rsidR="00A976C5" w:rsidRPr="004673D0" w:rsidRDefault="00A976C5" w:rsidP="006C3C02">
                  <w:pPr>
                    <w:jc w:val="center"/>
                    <w:rPr>
                      <w:rFonts w:ascii="Arial Narrow" w:hAnsi="Arial Narrow"/>
                      <w:b/>
                      <w:sz w:val="20"/>
                    </w:rPr>
                  </w:pPr>
                  <w:r w:rsidRPr="004673D0">
                    <w:rPr>
                      <w:rFonts w:ascii="Arial Narrow" w:hAnsi="Arial Narrow"/>
                      <w:b/>
                      <w:sz w:val="20"/>
                    </w:rPr>
                    <w:t>Year 4</w:t>
                  </w:r>
                </w:p>
              </w:tc>
              <w:tc>
                <w:tcPr>
                  <w:tcW w:w="609" w:type="dxa"/>
                  <w:vAlign w:val="center"/>
                </w:tcPr>
                <w:p w:rsidR="00A976C5" w:rsidRPr="004673D0" w:rsidRDefault="00A976C5" w:rsidP="006C3C02">
                  <w:pPr>
                    <w:jc w:val="center"/>
                    <w:rPr>
                      <w:rFonts w:ascii="Arial Narrow" w:hAnsi="Arial Narrow"/>
                      <w:b/>
                      <w:sz w:val="20"/>
                    </w:rPr>
                  </w:pPr>
                  <w:r w:rsidRPr="004673D0">
                    <w:rPr>
                      <w:rFonts w:ascii="Arial Narrow" w:hAnsi="Arial Narrow"/>
                      <w:b/>
                      <w:sz w:val="20"/>
                    </w:rPr>
                    <w:t>Year 5</w:t>
                  </w:r>
                </w:p>
              </w:tc>
            </w:tr>
            <w:tr w:rsidR="00A976C5" w:rsidRPr="004673D0" w:rsidTr="00041181">
              <w:tc>
                <w:tcPr>
                  <w:tcW w:w="609" w:type="dxa"/>
                  <w:vAlign w:val="center"/>
                </w:tcPr>
                <w:p w:rsidR="00A976C5" w:rsidRPr="004673D0" w:rsidRDefault="00F83616" w:rsidP="006C3C02">
                  <w:pPr>
                    <w:jc w:val="center"/>
                    <w:rPr>
                      <w:rFonts w:ascii="Arial Narrow" w:hAnsi="Arial Narrow"/>
                      <w:sz w:val="20"/>
                    </w:rPr>
                  </w:pPr>
                  <w:r>
                    <w:rPr>
                      <w:rFonts w:ascii="Arial Narrow" w:hAnsi="Arial Narrow"/>
                      <w:noProof/>
                      <w:color w:val="000000"/>
                      <w:sz w:val="20"/>
                      <w:highlight w:val="black"/>
                    </w:rPr>
                    <w:t>'''''''''</w:t>
                  </w:r>
                  <w:r w:rsidR="00A976C5" w:rsidRPr="004673D0">
                    <w:rPr>
                      <w:rFonts w:ascii="Arial Narrow" w:hAnsi="Arial Narrow"/>
                      <w:sz w:val="20"/>
                    </w:rPr>
                    <w:t>%</w:t>
                  </w:r>
                </w:p>
              </w:tc>
              <w:tc>
                <w:tcPr>
                  <w:tcW w:w="609" w:type="dxa"/>
                  <w:vAlign w:val="center"/>
                </w:tcPr>
                <w:p w:rsidR="00A976C5" w:rsidRPr="004673D0" w:rsidRDefault="00F83616" w:rsidP="006C3C02">
                  <w:pPr>
                    <w:jc w:val="center"/>
                    <w:rPr>
                      <w:rFonts w:ascii="Arial Narrow" w:hAnsi="Arial Narrow"/>
                      <w:sz w:val="20"/>
                    </w:rPr>
                  </w:pPr>
                  <w:r>
                    <w:rPr>
                      <w:rFonts w:ascii="Arial Narrow" w:hAnsi="Arial Narrow"/>
                      <w:noProof/>
                      <w:color w:val="000000"/>
                      <w:sz w:val="20"/>
                      <w:highlight w:val="black"/>
                    </w:rPr>
                    <w:t>''''''''''</w:t>
                  </w:r>
                  <w:r w:rsidR="00A976C5" w:rsidRPr="004673D0">
                    <w:rPr>
                      <w:rFonts w:ascii="Arial Narrow" w:hAnsi="Arial Narrow"/>
                      <w:sz w:val="20"/>
                    </w:rPr>
                    <w:t>%</w:t>
                  </w:r>
                </w:p>
              </w:tc>
              <w:tc>
                <w:tcPr>
                  <w:tcW w:w="609" w:type="dxa"/>
                  <w:vAlign w:val="center"/>
                </w:tcPr>
                <w:p w:rsidR="00A976C5" w:rsidRPr="004673D0" w:rsidRDefault="00F83616" w:rsidP="006C3C02">
                  <w:pPr>
                    <w:jc w:val="center"/>
                    <w:rPr>
                      <w:rFonts w:ascii="Arial Narrow" w:hAnsi="Arial Narrow"/>
                      <w:sz w:val="20"/>
                    </w:rPr>
                  </w:pPr>
                  <w:r>
                    <w:rPr>
                      <w:rFonts w:ascii="Arial Narrow" w:hAnsi="Arial Narrow"/>
                      <w:noProof/>
                      <w:color w:val="000000"/>
                      <w:sz w:val="20"/>
                      <w:highlight w:val="black"/>
                    </w:rPr>
                    <w:t>''''''''''</w:t>
                  </w:r>
                  <w:r w:rsidR="00A976C5" w:rsidRPr="004673D0">
                    <w:rPr>
                      <w:rFonts w:ascii="Arial Narrow" w:hAnsi="Arial Narrow"/>
                      <w:sz w:val="20"/>
                    </w:rPr>
                    <w:t>%</w:t>
                  </w:r>
                </w:p>
              </w:tc>
              <w:tc>
                <w:tcPr>
                  <w:tcW w:w="609" w:type="dxa"/>
                  <w:vAlign w:val="center"/>
                </w:tcPr>
                <w:p w:rsidR="00A976C5" w:rsidRPr="004673D0" w:rsidRDefault="00F83616" w:rsidP="006C3C02">
                  <w:pPr>
                    <w:jc w:val="center"/>
                    <w:rPr>
                      <w:rFonts w:ascii="Arial Narrow" w:hAnsi="Arial Narrow"/>
                      <w:sz w:val="20"/>
                    </w:rPr>
                  </w:pPr>
                  <w:r>
                    <w:rPr>
                      <w:rFonts w:ascii="Arial Narrow" w:hAnsi="Arial Narrow"/>
                      <w:noProof/>
                      <w:color w:val="000000"/>
                      <w:sz w:val="20"/>
                      <w:highlight w:val="black"/>
                    </w:rPr>
                    <w:t>'''''''''''</w:t>
                  </w:r>
                  <w:r w:rsidR="00A976C5" w:rsidRPr="004673D0">
                    <w:rPr>
                      <w:rFonts w:ascii="Arial Narrow" w:hAnsi="Arial Narrow"/>
                      <w:sz w:val="20"/>
                    </w:rPr>
                    <w:t>%</w:t>
                  </w:r>
                </w:p>
              </w:tc>
              <w:tc>
                <w:tcPr>
                  <w:tcW w:w="609" w:type="dxa"/>
                  <w:vAlign w:val="center"/>
                </w:tcPr>
                <w:p w:rsidR="00A976C5" w:rsidRPr="004673D0" w:rsidRDefault="00F83616" w:rsidP="006C3C02">
                  <w:pPr>
                    <w:jc w:val="center"/>
                    <w:rPr>
                      <w:rFonts w:ascii="Arial Narrow" w:hAnsi="Arial Narrow"/>
                      <w:sz w:val="20"/>
                    </w:rPr>
                  </w:pPr>
                  <w:r>
                    <w:rPr>
                      <w:rFonts w:ascii="Arial Narrow" w:hAnsi="Arial Narrow"/>
                      <w:noProof/>
                      <w:color w:val="000000"/>
                      <w:sz w:val="20"/>
                      <w:highlight w:val="black"/>
                    </w:rPr>
                    <w:t>''''''''''</w:t>
                  </w:r>
                  <w:r w:rsidR="00A976C5" w:rsidRPr="004673D0">
                    <w:rPr>
                      <w:rFonts w:ascii="Arial Narrow" w:hAnsi="Arial Narrow"/>
                      <w:sz w:val="20"/>
                    </w:rPr>
                    <w:t>%</w:t>
                  </w:r>
                </w:p>
              </w:tc>
            </w:tr>
          </w:tbl>
          <w:p w:rsidR="00A976C5" w:rsidRPr="004673D0" w:rsidRDefault="005C5E12" w:rsidP="006C3C02">
            <w:pPr>
              <w:rPr>
                <w:rFonts w:ascii="Arial Narrow" w:hAnsi="Arial Narrow"/>
                <w:i/>
                <w:sz w:val="20"/>
              </w:rPr>
            </w:pPr>
            <w:r w:rsidRPr="004673D0">
              <w:rPr>
                <w:rFonts w:ascii="Arial Narrow" w:hAnsi="Arial Narrow"/>
                <w:i/>
                <w:sz w:val="20"/>
              </w:rPr>
              <w:t xml:space="preserve">Differences </w:t>
            </w:r>
            <w:r w:rsidR="008330AF" w:rsidRPr="004673D0">
              <w:rPr>
                <w:rFonts w:ascii="Arial Narrow" w:hAnsi="Arial Narrow"/>
                <w:i/>
                <w:sz w:val="20"/>
              </w:rPr>
              <w:t>to</w:t>
            </w:r>
            <w:r w:rsidRPr="004673D0">
              <w:rPr>
                <w:rFonts w:ascii="Arial Narrow" w:hAnsi="Arial Narrow"/>
                <w:i/>
                <w:sz w:val="20"/>
              </w:rPr>
              <w:t xml:space="preserve"> previous submission due to:</w:t>
            </w:r>
          </w:p>
          <w:p w:rsidR="00A976C5" w:rsidRPr="004673D0" w:rsidRDefault="008330AF" w:rsidP="008330AF">
            <w:pPr>
              <w:pStyle w:val="ListParagraph"/>
              <w:numPr>
                <w:ilvl w:val="0"/>
                <w:numId w:val="25"/>
              </w:numPr>
              <w:ind w:left="215" w:hanging="142"/>
              <w:rPr>
                <w:rFonts w:ascii="Arial Narrow" w:eastAsia="Calibri" w:hAnsi="Arial Narrow" w:cstheme="minorBidi"/>
                <w:i/>
                <w:sz w:val="20"/>
              </w:rPr>
            </w:pPr>
            <w:r w:rsidRPr="004673D0">
              <w:rPr>
                <w:rFonts w:ascii="Arial Narrow" w:eastAsia="Calibri" w:hAnsi="Arial Narrow" w:cstheme="minorBidi"/>
                <w:i/>
                <w:sz w:val="20"/>
              </w:rPr>
              <w:t>h</w:t>
            </w:r>
            <w:r w:rsidR="005C5E12" w:rsidRPr="004673D0">
              <w:rPr>
                <w:rFonts w:ascii="Arial Narrow" w:eastAsia="Calibri" w:hAnsi="Arial Narrow" w:cstheme="minorBidi"/>
                <w:i/>
                <w:sz w:val="20"/>
              </w:rPr>
              <w:t>alf-year uptake was applied in Year 1.</w:t>
            </w:r>
          </w:p>
          <w:p w:rsidR="008330AF" w:rsidRPr="004673D0" w:rsidRDefault="008330AF" w:rsidP="003061F8">
            <w:pPr>
              <w:pStyle w:val="ListParagraph"/>
              <w:numPr>
                <w:ilvl w:val="0"/>
                <w:numId w:val="25"/>
              </w:numPr>
              <w:ind w:left="215" w:hanging="142"/>
              <w:rPr>
                <w:rFonts w:ascii="Arial Narrow" w:eastAsia="Calibri" w:hAnsi="Arial Narrow" w:cstheme="minorBidi"/>
                <w:i/>
                <w:sz w:val="20"/>
              </w:rPr>
            </w:pPr>
            <w:r w:rsidRPr="004673D0">
              <w:rPr>
                <w:rFonts w:ascii="Arial Narrow" w:eastAsia="Calibri" w:hAnsi="Arial Narrow" w:cstheme="minorBidi"/>
                <w:i/>
                <w:sz w:val="20"/>
              </w:rPr>
              <w:t xml:space="preserve">lower uptake assumed in </w:t>
            </w:r>
            <w:r w:rsidRPr="004673D0">
              <w:rPr>
                <w:rFonts w:ascii="Arial Narrow" w:hAnsi="Arial Narrow"/>
                <w:i/>
                <w:sz w:val="20"/>
              </w:rPr>
              <w:t xml:space="preserve">patients aged &gt;17 years </w:t>
            </w:r>
            <w:r w:rsidRPr="004673D0">
              <w:rPr>
                <w:rFonts w:ascii="Arial Narrow" w:hAnsi="Arial Narrow"/>
                <w:i/>
                <w:sz w:val="20"/>
                <w:vertAlign w:val="superscript"/>
              </w:rPr>
              <w:t>a</w:t>
            </w:r>
            <w:r w:rsidR="003061F8" w:rsidRPr="004673D0">
              <w:rPr>
                <w:rFonts w:ascii="Arial Narrow" w:hAnsi="Arial Narrow"/>
                <w:i/>
                <w:sz w:val="20"/>
              </w:rPr>
              <w:t xml:space="preserve"> (assumed &gt;17 year olds </w:t>
            </w:r>
            <w:r w:rsidRPr="004673D0">
              <w:rPr>
                <w:rFonts w:ascii="Arial Narrow" w:hAnsi="Arial Narrow"/>
                <w:i/>
                <w:sz w:val="20"/>
              </w:rPr>
              <w:t>would be continuing patients only)</w:t>
            </w:r>
          </w:p>
        </w:tc>
        <w:tc>
          <w:tcPr>
            <w:tcW w:w="1849" w:type="pct"/>
          </w:tcPr>
          <w:p w:rsidR="00A976C5" w:rsidRPr="004673D0" w:rsidRDefault="00A976C5" w:rsidP="006C3C02">
            <w:pPr>
              <w:rPr>
                <w:rFonts w:ascii="Arial Narrow" w:eastAsia="Calibri" w:hAnsi="Arial Narrow" w:cs="Times New Roman"/>
                <w:sz w:val="20"/>
                <w:szCs w:val="20"/>
              </w:rPr>
            </w:pPr>
          </w:p>
          <w:tbl>
            <w:tblPr>
              <w:tblStyle w:val="TableGrid"/>
              <w:tblW w:w="3087" w:type="dxa"/>
              <w:tblLayout w:type="fixed"/>
              <w:tblCellMar>
                <w:left w:w="28" w:type="dxa"/>
                <w:right w:w="28" w:type="dxa"/>
              </w:tblCellMar>
              <w:tblLook w:val="04A0" w:firstRow="1" w:lastRow="0" w:firstColumn="1" w:lastColumn="0" w:noHBand="0" w:noVBand="1"/>
            </w:tblPr>
            <w:tblGrid>
              <w:gridCol w:w="617"/>
              <w:gridCol w:w="617"/>
              <w:gridCol w:w="618"/>
              <w:gridCol w:w="617"/>
              <w:gridCol w:w="618"/>
            </w:tblGrid>
            <w:tr w:rsidR="00A976C5" w:rsidRPr="004673D0" w:rsidTr="00041181">
              <w:tc>
                <w:tcPr>
                  <w:tcW w:w="617" w:type="dxa"/>
                  <w:vAlign w:val="center"/>
                </w:tcPr>
                <w:p w:rsidR="00A976C5" w:rsidRPr="004673D0" w:rsidRDefault="00A976C5" w:rsidP="006C3C02">
                  <w:pPr>
                    <w:jc w:val="center"/>
                    <w:rPr>
                      <w:rFonts w:ascii="Arial Narrow" w:hAnsi="Arial Narrow"/>
                      <w:b/>
                      <w:sz w:val="20"/>
                    </w:rPr>
                  </w:pPr>
                  <w:r w:rsidRPr="004673D0">
                    <w:rPr>
                      <w:rFonts w:ascii="Arial Narrow" w:hAnsi="Arial Narrow"/>
                      <w:b/>
                      <w:sz w:val="20"/>
                    </w:rPr>
                    <w:t>Year 1</w:t>
                  </w:r>
                </w:p>
              </w:tc>
              <w:tc>
                <w:tcPr>
                  <w:tcW w:w="617" w:type="dxa"/>
                  <w:vAlign w:val="center"/>
                </w:tcPr>
                <w:p w:rsidR="00A976C5" w:rsidRPr="004673D0" w:rsidRDefault="00A976C5" w:rsidP="006C3C02">
                  <w:pPr>
                    <w:jc w:val="center"/>
                    <w:rPr>
                      <w:rFonts w:ascii="Arial Narrow" w:hAnsi="Arial Narrow"/>
                      <w:b/>
                      <w:sz w:val="20"/>
                    </w:rPr>
                  </w:pPr>
                  <w:r w:rsidRPr="004673D0">
                    <w:rPr>
                      <w:rFonts w:ascii="Arial Narrow" w:hAnsi="Arial Narrow"/>
                      <w:b/>
                      <w:sz w:val="20"/>
                    </w:rPr>
                    <w:t>Year 2</w:t>
                  </w:r>
                </w:p>
              </w:tc>
              <w:tc>
                <w:tcPr>
                  <w:tcW w:w="618" w:type="dxa"/>
                  <w:vAlign w:val="center"/>
                </w:tcPr>
                <w:p w:rsidR="00A976C5" w:rsidRPr="004673D0" w:rsidRDefault="00A976C5" w:rsidP="006C3C02">
                  <w:pPr>
                    <w:jc w:val="center"/>
                    <w:rPr>
                      <w:rFonts w:ascii="Arial Narrow" w:hAnsi="Arial Narrow"/>
                      <w:b/>
                      <w:sz w:val="20"/>
                    </w:rPr>
                  </w:pPr>
                  <w:r w:rsidRPr="004673D0">
                    <w:rPr>
                      <w:rFonts w:ascii="Arial Narrow" w:hAnsi="Arial Narrow"/>
                      <w:b/>
                      <w:sz w:val="20"/>
                    </w:rPr>
                    <w:t>Year 3</w:t>
                  </w:r>
                </w:p>
              </w:tc>
              <w:tc>
                <w:tcPr>
                  <w:tcW w:w="617" w:type="dxa"/>
                  <w:vAlign w:val="center"/>
                </w:tcPr>
                <w:p w:rsidR="00A976C5" w:rsidRPr="004673D0" w:rsidRDefault="00A976C5" w:rsidP="006C3C02">
                  <w:pPr>
                    <w:jc w:val="center"/>
                    <w:rPr>
                      <w:rFonts w:ascii="Arial Narrow" w:hAnsi="Arial Narrow"/>
                      <w:b/>
                      <w:sz w:val="20"/>
                    </w:rPr>
                  </w:pPr>
                  <w:r w:rsidRPr="004673D0">
                    <w:rPr>
                      <w:rFonts w:ascii="Arial Narrow" w:hAnsi="Arial Narrow"/>
                      <w:b/>
                      <w:sz w:val="20"/>
                    </w:rPr>
                    <w:t>Year 4</w:t>
                  </w:r>
                </w:p>
              </w:tc>
              <w:tc>
                <w:tcPr>
                  <w:tcW w:w="618" w:type="dxa"/>
                  <w:vAlign w:val="center"/>
                </w:tcPr>
                <w:p w:rsidR="00A976C5" w:rsidRPr="004673D0" w:rsidRDefault="00A976C5" w:rsidP="006C3C02">
                  <w:pPr>
                    <w:jc w:val="center"/>
                    <w:rPr>
                      <w:rFonts w:ascii="Arial Narrow" w:hAnsi="Arial Narrow"/>
                      <w:b/>
                      <w:sz w:val="20"/>
                    </w:rPr>
                  </w:pPr>
                  <w:r w:rsidRPr="004673D0">
                    <w:rPr>
                      <w:rFonts w:ascii="Arial Narrow" w:hAnsi="Arial Narrow"/>
                      <w:b/>
                      <w:sz w:val="20"/>
                    </w:rPr>
                    <w:t>Year 5</w:t>
                  </w:r>
                </w:p>
              </w:tc>
            </w:tr>
            <w:tr w:rsidR="00A976C5" w:rsidRPr="004673D0" w:rsidTr="00041181">
              <w:tc>
                <w:tcPr>
                  <w:tcW w:w="617" w:type="dxa"/>
                  <w:vAlign w:val="center"/>
                </w:tcPr>
                <w:p w:rsidR="00A976C5" w:rsidRPr="004673D0" w:rsidRDefault="00F83616" w:rsidP="006C3C02">
                  <w:pPr>
                    <w:jc w:val="center"/>
                    <w:rPr>
                      <w:rFonts w:ascii="Arial Narrow" w:hAnsi="Arial Narrow"/>
                      <w:sz w:val="20"/>
                    </w:rPr>
                  </w:pPr>
                  <w:r>
                    <w:rPr>
                      <w:rFonts w:ascii="Arial Narrow" w:hAnsi="Arial Narrow"/>
                      <w:noProof/>
                      <w:color w:val="000000"/>
                      <w:sz w:val="20"/>
                      <w:highlight w:val="black"/>
                    </w:rPr>
                    <w:t>''''''''</w:t>
                  </w:r>
                  <w:r w:rsidR="00A976C5" w:rsidRPr="004673D0">
                    <w:rPr>
                      <w:rFonts w:ascii="Arial Narrow" w:hAnsi="Arial Narrow"/>
                      <w:sz w:val="20"/>
                    </w:rPr>
                    <w:t>%</w:t>
                  </w:r>
                </w:p>
              </w:tc>
              <w:tc>
                <w:tcPr>
                  <w:tcW w:w="617" w:type="dxa"/>
                  <w:vAlign w:val="center"/>
                </w:tcPr>
                <w:p w:rsidR="00A976C5" w:rsidRPr="004673D0" w:rsidRDefault="00F83616" w:rsidP="006C3C02">
                  <w:pPr>
                    <w:jc w:val="center"/>
                    <w:rPr>
                      <w:rFonts w:ascii="Arial Narrow" w:hAnsi="Arial Narrow"/>
                      <w:sz w:val="20"/>
                    </w:rPr>
                  </w:pPr>
                  <w:r>
                    <w:rPr>
                      <w:rFonts w:ascii="Arial Narrow" w:hAnsi="Arial Narrow"/>
                      <w:noProof/>
                      <w:color w:val="000000"/>
                      <w:sz w:val="20"/>
                      <w:highlight w:val="black"/>
                    </w:rPr>
                    <w:t>''''''''''</w:t>
                  </w:r>
                  <w:r w:rsidR="00A976C5" w:rsidRPr="004673D0">
                    <w:rPr>
                      <w:rFonts w:ascii="Arial Narrow" w:hAnsi="Arial Narrow"/>
                      <w:sz w:val="20"/>
                    </w:rPr>
                    <w:t>%</w:t>
                  </w:r>
                </w:p>
              </w:tc>
              <w:tc>
                <w:tcPr>
                  <w:tcW w:w="618" w:type="dxa"/>
                  <w:vAlign w:val="center"/>
                </w:tcPr>
                <w:p w:rsidR="00A976C5" w:rsidRPr="004673D0" w:rsidRDefault="00F83616" w:rsidP="006C3C02">
                  <w:pPr>
                    <w:jc w:val="center"/>
                    <w:rPr>
                      <w:rFonts w:ascii="Arial Narrow" w:hAnsi="Arial Narrow"/>
                      <w:sz w:val="20"/>
                    </w:rPr>
                  </w:pPr>
                  <w:r>
                    <w:rPr>
                      <w:rFonts w:ascii="Arial Narrow" w:hAnsi="Arial Narrow"/>
                      <w:noProof/>
                      <w:color w:val="000000"/>
                      <w:sz w:val="20"/>
                      <w:highlight w:val="black"/>
                    </w:rPr>
                    <w:t>''''''''''</w:t>
                  </w:r>
                  <w:r w:rsidR="00A976C5" w:rsidRPr="004673D0">
                    <w:rPr>
                      <w:rFonts w:ascii="Arial Narrow" w:hAnsi="Arial Narrow"/>
                      <w:sz w:val="20"/>
                    </w:rPr>
                    <w:t>%</w:t>
                  </w:r>
                </w:p>
              </w:tc>
              <w:tc>
                <w:tcPr>
                  <w:tcW w:w="617" w:type="dxa"/>
                  <w:vAlign w:val="center"/>
                </w:tcPr>
                <w:p w:rsidR="00A976C5" w:rsidRPr="004673D0" w:rsidRDefault="00F83616" w:rsidP="006C3C02">
                  <w:pPr>
                    <w:jc w:val="center"/>
                    <w:rPr>
                      <w:rFonts w:ascii="Arial Narrow" w:hAnsi="Arial Narrow"/>
                      <w:sz w:val="20"/>
                    </w:rPr>
                  </w:pPr>
                  <w:r>
                    <w:rPr>
                      <w:rFonts w:ascii="Arial Narrow" w:hAnsi="Arial Narrow"/>
                      <w:noProof/>
                      <w:color w:val="000000"/>
                      <w:sz w:val="20"/>
                      <w:highlight w:val="black"/>
                    </w:rPr>
                    <w:t>''''''''''</w:t>
                  </w:r>
                  <w:r w:rsidR="00A976C5" w:rsidRPr="004673D0">
                    <w:rPr>
                      <w:rFonts w:ascii="Arial Narrow" w:hAnsi="Arial Narrow"/>
                      <w:sz w:val="20"/>
                    </w:rPr>
                    <w:t>%</w:t>
                  </w:r>
                </w:p>
              </w:tc>
              <w:tc>
                <w:tcPr>
                  <w:tcW w:w="618" w:type="dxa"/>
                  <w:vAlign w:val="center"/>
                </w:tcPr>
                <w:p w:rsidR="00A976C5" w:rsidRPr="004673D0" w:rsidRDefault="00F83616" w:rsidP="006C3C02">
                  <w:pPr>
                    <w:jc w:val="center"/>
                    <w:rPr>
                      <w:rFonts w:ascii="Arial Narrow" w:hAnsi="Arial Narrow"/>
                      <w:sz w:val="20"/>
                    </w:rPr>
                  </w:pPr>
                  <w:r>
                    <w:rPr>
                      <w:rFonts w:ascii="Arial Narrow" w:hAnsi="Arial Narrow"/>
                      <w:noProof/>
                      <w:color w:val="000000"/>
                      <w:sz w:val="20"/>
                      <w:highlight w:val="black"/>
                    </w:rPr>
                    <w:t>''''''''''</w:t>
                  </w:r>
                  <w:r w:rsidR="00A976C5" w:rsidRPr="004673D0">
                    <w:rPr>
                      <w:rFonts w:ascii="Arial Narrow" w:hAnsi="Arial Narrow"/>
                      <w:sz w:val="20"/>
                    </w:rPr>
                    <w:t>%</w:t>
                  </w:r>
                </w:p>
              </w:tc>
            </w:tr>
          </w:tbl>
          <w:p w:rsidR="00A976C5" w:rsidRPr="004673D0" w:rsidRDefault="003A3C71" w:rsidP="003061F8">
            <w:pPr>
              <w:tabs>
                <w:tab w:val="left" w:pos="2008"/>
              </w:tabs>
              <w:rPr>
                <w:rFonts w:ascii="Arial Narrow" w:eastAsia="Calibri" w:hAnsi="Arial Narrow" w:cs="Times New Roman"/>
                <w:i/>
                <w:sz w:val="20"/>
                <w:szCs w:val="20"/>
              </w:rPr>
            </w:pPr>
            <w:r w:rsidRPr="004673D0">
              <w:rPr>
                <w:rFonts w:ascii="Arial Narrow" w:hAnsi="Arial Narrow"/>
                <w:i/>
                <w:sz w:val="20"/>
              </w:rPr>
              <w:t>Higher</w:t>
            </w:r>
            <w:r w:rsidR="00A976C5" w:rsidRPr="004673D0">
              <w:rPr>
                <w:rFonts w:ascii="Arial Narrow" w:hAnsi="Arial Narrow"/>
                <w:i/>
                <w:sz w:val="20"/>
              </w:rPr>
              <w:t xml:space="preserve"> uptake </w:t>
            </w:r>
            <w:r w:rsidRPr="004673D0">
              <w:rPr>
                <w:rFonts w:ascii="Arial Narrow" w:hAnsi="Arial Narrow"/>
                <w:i/>
                <w:sz w:val="20"/>
              </w:rPr>
              <w:t>versus</w:t>
            </w:r>
            <w:r w:rsidR="00A976C5" w:rsidRPr="004673D0">
              <w:rPr>
                <w:rFonts w:ascii="Arial Narrow" w:hAnsi="Arial Narrow"/>
                <w:i/>
                <w:sz w:val="20"/>
              </w:rPr>
              <w:t xml:space="preserve"> monotherapy </w:t>
            </w:r>
            <w:r w:rsidRPr="004673D0">
              <w:rPr>
                <w:rFonts w:ascii="Arial Narrow" w:hAnsi="Arial Narrow"/>
                <w:i/>
                <w:sz w:val="20"/>
              </w:rPr>
              <w:t xml:space="preserve">is </w:t>
            </w:r>
            <w:r w:rsidR="008330AF" w:rsidRPr="004673D0">
              <w:rPr>
                <w:rFonts w:ascii="Arial Narrow" w:hAnsi="Arial Narrow"/>
                <w:i/>
                <w:sz w:val="20"/>
              </w:rPr>
              <w:t>because</w:t>
            </w:r>
            <w:r w:rsidR="00A976C5" w:rsidRPr="004673D0">
              <w:rPr>
                <w:rFonts w:ascii="Arial Narrow" w:hAnsi="Arial Narrow"/>
                <w:i/>
                <w:sz w:val="20"/>
              </w:rPr>
              <w:t xml:space="preserve"> fewer patients were assumed to be </w:t>
            </w:r>
            <w:r w:rsidR="008330AF" w:rsidRPr="004673D0">
              <w:rPr>
                <w:rFonts w:ascii="Arial Narrow" w:hAnsi="Arial Narrow"/>
                <w:i/>
                <w:sz w:val="20"/>
              </w:rPr>
              <w:t xml:space="preserve">&gt;17 years </w:t>
            </w:r>
            <w:r w:rsidR="00A976C5" w:rsidRPr="004673D0">
              <w:rPr>
                <w:rFonts w:ascii="Arial Narrow" w:hAnsi="Arial Narrow"/>
                <w:i/>
                <w:sz w:val="20"/>
              </w:rPr>
              <w:t>in the add-on settin</w:t>
            </w:r>
            <w:r w:rsidR="008330AF" w:rsidRPr="004673D0">
              <w:rPr>
                <w:rFonts w:ascii="Arial Narrow" w:hAnsi="Arial Narrow"/>
                <w:i/>
                <w:sz w:val="20"/>
              </w:rPr>
              <w:t>g (bas</w:t>
            </w:r>
            <w:r w:rsidR="003061F8" w:rsidRPr="004673D0">
              <w:rPr>
                <w:rFonts w:ascii="Arial Narrow" w:hAnsi="Arial Narrow"/>
                <w:i/>
                <w:sz w:val="20"/>
              </w:rPr>
              <w:t>ed on PBS utilisation data for long-acting stimulants</w:t>
            </w:r>
            <w:r w:rsidR="008330AF" w:rsidRPr="004673D0">
              <w:rPr>
                <w:rFonts w:ascii="Arial Narrow" w:hAnsi="Arial Narrow"/>
                <w:i/>
                <w:sz w:val="20"/>
              </w:rPr>
              <w:t>).</w:t>
            </w:r>
          </w:p>
        </w:tc>
      </w:tr>
      <w:tr w:rsidR="00A976C5" w:rsidRPr="004673D0" w:rsidTr="00A976C5">
        <w:trPr>
          <w:cantSplit/>
        </w:trPr>
        <w:tc>
          <w:tcPr>
            <w:tcW w:w="5000" w:type="pct"/>
            <w:gridSpan w:val="3"/>
          </w:tcPr>
          <w:p w:rsidR="00A976C5" w:rsidRPr="004673D0" w:rsidRDefault="00A976C5" w:rsidP="006C3C02">
            <w:pPr>
              <w:jc w:val="both"/>
              <w:rPr>
                <w:rFonts w:ascii="Arial Narrow" w:eastAsia="Calibri" w:hAnsi="Arial Narrow"/>
                <w:b/>
                <w:bCs/>
                <w:sz w:val="20"/>
                <w:szCs w:val="20"/>
              </w:rPr>
            </w:pPr>
            <w:r w:rsidRPr="004673D0">
              <w:rPr>
                <w:rFonts w:ascii="Arial Narrow" w:eastAsia="Calibri" w:hAnsi="Arial Narrow" w:cs="Times New Roman"/>
                <w:b/>
                <w:sz w:val="20"/>
                <w:szCs w:val="20"/>
              </w:rPr>
              <w:t>DPMQ</w:t>
            </w:r>
          </w:p>
        </w:tc>
      </w:tr>
      <w:tr w:rsidR="00A976C5" w:rsidRPr="004673D0" w:rsidTr="00A976C5">
        <w:trPr>
          <w:cantSplit/>
        </w:trPr>
        <w:tc>
          <w:tcPr>
            <w:tcW w:w="1325" w:type="pct"/>
          </w:tcPr>
          <w:p w:rsidR="00A976C5" w:rsidRPr="004673D0" w:rsidRDefault="00A976C5" w:rsidP="006C3C02">
            <w:pPr>
              <w:rPr>
                <w:rFonts w:ascii="Arial Narrow" w:eastAsia="Calibri" w:hAnsi="Arial Narrow"/>
                <w:bCs/>
                <w:sz w:val="20"/>
                <w:szCs w:val="20"/>
              </w:rPr>
            </w:pPr>
            <w:r w:rsidRPr="004673D0">
              <w:rPr>
                <w:rFonts w:ascii="Arial Narrow" w:eastAsia="Calibri" w:hAnsi="Arial Narrow" w:cs="Times New Roman"/>
                <w:bCs/>
                <w:sz w:val="20"/>
                <w:szCs w:val="20"/>
              </w:rPr>
              <w:t>Effective DPMQ: $</w:t>
            </w:r>
            <w:r w:rsidR="00F83616">
              <w:rPr>
                <w:rFonts w:ascii="Arial Narrow" w:eastAsia="Calibri" w:hAnsi="Arial Narrow" w:cs="Times New Roman"/>
                <w:bCs/>
                <w:noProof/>
                <w:color w:val="000000"/>
                <w:sz w:val="20"/>
                <w:szCs w:val="20"/>
                <w:highlight w:val="black"/>
              </w:rPr>
              <w:t>'''''''''''''''</w:t>
            </w:r>
          </w:p>
        </w:tc>
        <w:tc>
          <w:tcPr>
            <w:tcW w:w="1825" w:type="pct"/>
          </w:tcPr>
          <w:p w:rsidR="00A976C5" w:rsidRPr="004673D0" w:rsidRDefault="00A976C5" w:rsidP="008330AF">
            <w:pPr>
              <w:jc w:val="both"/>
              <w:rPr>
                <w:rFonts w:ascii="Arial Narrow" w:eastAsia="Calibri" w:hAnsi="Arial Narrow"/>
                <w:bCs/>
                <w:i/>
                <w:sz w:val="20"/>
                <w:szCs w:val="20"/>
              </w:rPr>
            </w:pPr>
            <w:r w:rsidRPr="004673D0">
              <w:rPr>
                <w:rFonts w:ascii="Arial Narrow" w:eastAsia="Calibri" w:hAnsi="Arial Narrow" w:cs="Times New Roman"/>
                <w:bCs/>
                <w:sz w:val="20"/>
                <w:szCs w:val="20"/>
              </w:rPr>
              <w:t>Effective DPMQ: $</w:t>
            </w:r>
            <w:r w:rsidR="00F83616">
              <w:rPr>
                <w:rFonts w:ascii="Arial Narrow" w:eastAsia="Calibri" w:hAnsi="Arial Narrow" w:cs="Times New Roman"/>
                <w:bCs/>
                <w:noProof/>
                <w:color w:val="000000"/>
                <w:sz w:val="20"/>
                <w:szCs w:val="20"/>
                <w:highlight w:val="black"/>
              </w:rPr>
              <w:t>''''''''''''''</w:t>
            </w:r>
            <w:r w:rsidR="003817D3" w:rsidRPr="004673D0">
              <w:rPr>
                <w:rFonts w:ascii="Arial Narrow" w:eastAsia="Calibri" w:hAnsi="Arial Narrow" w:cs="Times New Roman"/>
                <w:bCs/>
                <w:sz w:val="20"/>
                <w:szCs w:val="20"/>
              </w:rPr>
              <w:t xml:space="preserve">. </w:t>
            </w:r>
            <w:r w:rsidR="003817D3" w:rsidRPr="004673D0">
              <w:rPr>
                <w:rFonts w:ascii="Arial Narrow" w:eastAsia="Calibri" w:hAnsi="Arial Narrow" w:cs="Times New Roman"/>
                <w:bCs/>
                <w:i/>
                <w:sz w:val="20"/>
                <w:szCs w:val="20"/>
              </w:rPr>
              <w:t>The sponsor is requested to update this in its Pre-PBAC response.</w:t>
            </w:r>
          </w:p>
        </w:tc>
        <w:tc>
          <w:tcPr>
            <w:tcW w:w="1849" w:type="pct"/>
          </w:tcPr>
          <w:p w:rsidR="00A976C5" w:rsidRPr="004673D0" w:rsidRDefault="00A976C5" w:rsidP="006C3C02">
            <w:pPr>
              <w:jc w:val="both"/>
              <w:rPr>
                <w:rFonts w:ascii="Arial Narrow" w:eastAsia="Calibri" w:hAnsi="Arial Narrow" w:cs="Times New Roman"/>
                <w:bCs/>
                <w:sz w:val="20"/>
                <w:szCs w:val="20"/>
              </w:rPr>
            </w:pPr>
            <w:r w:rsidRPr="004673D0">
              <w:rPr>
                <w:rFonts w:ascii="Arial Narrow" w:eastAsia="Calibri" w:hAnsi="Arial Narrow" w:cs="Times New Roman"/>
                <w:bCs/>
                <w:sz w:val="20"/>
                <w:szCs w:val="20"/>
              </w:rPr>
              <w:t>Effective DPMQ: $</w:t>
            </w:r>
            <w:r w:rsidR="00F83616">
              <w:rPr>
                <w:rFonts w:ascii="Arial Narrow" w:eastAsia="Calibri" w:hAnsi="Arial Narrow" w:cs="Times New Roman"/>
                <w:bCs/>
                <w:noProof/>
                <w:color w:val="000000"/>
                <w:sz w:val="20"/>
                <w:szCs w:val="20"/>
                <w:highlight w:val="black"/>
              </w:rPr>
              <w:t>''''''''''''</w:t>
            </w:r>
          </w:p>
          <w:p w:rsidR="00A976C5" w:rsidRPr="004673D0" w:rsidRDefault="00A976C5" w:rsidP="006C3C02">
            <w:pPr>
              <w:jc w:val="both"/>
              <w:rPr>
                <w:rFonts w:ascii="Arial Narrow" w:eastAsia="Calibri" w:hAnsi="Arial Narrow" w:cs="Times New Roman"/>
                <w:bCs/>
                <w:sz w:val="20"/>
                <w:szCs w:val="20"/>
              </w:rPr>
            </w:pPr>
            <w:r w:rsidRPr="004673D0">
              <w:rPr>
                <w:rFonts w:ascii="Arial Narrow" w:eastAsia="Calibri" w:hAnsi="Arial Narrow" w:cs="Times New Roman"/>
                <w:bCs/>
                <w:sz w:val="20"/>
                <w:szCs w:val="20"/>
              </w:rPr>
              <w:t>Weighted effective DPMQ: $</w:t>
            </w:r>
            <w:r w:rsidR="00F83616">
              <w:rPr>
                <w:rFonts w:ascii="Arial Narrow" w:eastAsia="Calibri" w:hAnsi="Arial Narrow" w:cs="Times New Roman"/>
                <w:bCs/>
                <w:noProof/>
                <w:color w:val="000000"/>
                <w:sz w:val="20"/>
                <w:szCs w:val="20"/>
                <w:highlight w:val="black"/>
              </w:rPr>
              <w:t>''''''''''''</w:t>
            </w:r>
          </w:p>
        </w:tc>
      </w:tr>
    </w:tbl>
    <w:p w:rsidR="00EC68D5" w:rsidRPr="004673D0" w:rsidRDefault="00EC68D5" w:rsidP="00EC68D5">
      <w:pPr>
        <w:rPr>
          <w:rFonts w:ascii="Arial Narrow" w:hAnsi="Arial Narrow"/>
          <w:sz w:val="18"/>
          <w:szCs w:val="18"/>
        </w:rPr>
      </w:pPr>
      <w:r w:rsidRPr="004673D0">
        <w:rPr>
          <w:rFonts w:ascii="Arial Narrow" w:hAnsi="Arial Narrow"/>
          <w:sz w:val="18"/>
          <w:szCs w:val="18"/>
        </w:rPr>
        <w:lastRenderedPageBreak/>
        <w:t>ADHD = attention deficit hyperactivity disorder; ADJ = adjunctive therapy; DPMQ = dispensed price for maximum quantity; MONO = monotherapy; PBS = Pharmaceutical Benefits Scheme; RPBS = Repatriation Pharmaceutical Benefits Scheme; Qty = quantity</w:t>
      </w:r>
      <w:r w:rsidR="00B64EFD" w:rsidRPr="004673D0">
        <w:rPr>
          <w:rFonts w:ascii="Arial Narrow" w:hAnsi="Arial Narrow"/>
          <w:sz w:val="18"/>
          <w:szCs w:val="18"/>
        </w:rPr>
        <w:t xml:space="preserve">; SR = </w:t>
      </w:r>
      <w:r w:rsidR="00B64EFD" w:rsidRPr="004673D0">
        <w:rPr>
          <w:rFonts w:ascii="Arial Narrow" w:eastAsia="Calibri" w:hAnsi="Arial Narrow"/>
          <w:sz w:val="20"/>
          <w:szCs w:val="20"/>
        </w:rPr>
        <w:t>sustained-release</w:t>
      </w:r>
    </w:p>
    <w:p w:rsidR="003061F8" w:rsidRPr="004673D0" w:rsidRDefault="003061F8" w:rsidP="003061F8">
      <w:pPr>
        <w:rPr>
          <w:rFonts w:ascii="Arial Narrow" w:hAnsi="Arial Narrow"/>
          <w:i/>
          <w:sz w:val="18"/>
          <w:szCs w:val="18"/>
        </w:rPr>
      </w:pPr>
      <w:r w:rsidRPr="004673D0">
        <w:rPr>
          <w:rFonts w:ascii="Arial Narrow" w:hAnsi="Arial Narrow"/>
          <w:i/>
          <w:sz w:val="18"/>
          <w:szCs w:val="18"/>
        </w:rPr>
        <w:t xml:space="preserve">Note: Other minor changes included: co-payments were updated in the resubmission based on 2016/17 utilisation data (rather than 2015/16).  </w:t>
      </w:r>
    </w:p>
    <w:p w:rsidR="0062695F" w:rsidRPr="004673D0" w:rsidRDefault="0062695F" w:rsidP="00EC68D5">
      <w:pPr>
        <w:rPr>
          <w:rFonts w:ascii="Arial Narrow" w:hAnsi="Arial Narrow"/>
          <w:sz w:val="18"/>
          <w:szCs w:val="18"/>
        </w:rPr>
      </w:pPr>
      <w:r w:rsidRPr="004673D0">
        <w:rPr>
          <w:rFonts w:ascii="Arial Narrow" w:hAnsi="Arial Narrow"/>
          <w:sz w:val="18"/>
          <w:szCs w:val="18"/>
          <w:vertAlign w:val="superscript"/>
        </w:rPr>
        <w:t>a</w:t>
      </w:r>
      <w:r w:rsidRPr="004673D0">
        <w:rPr>
          <w:rFonts w:ascii="Arial Narrow" w:hAnsi="Arial Narrow"/>
          <w:sz w:val="18"/>
          <w:szCs w:val="18"/>
        </w:rPr>
        <w:t xml:space="preserve"> Uptake outside 6-17 year age group was estimated to be: Year 1: </w:t>
      </w:r>
      <w:r w:rsidR="00F83616">
        <w:rPr>
          <w:rFonts w:ascii="Arial Narrow" w:hAnsi="Arial Narrow"/>
          <w:noProof/>
          <w:color w:val="000000"/>
          <w:sz w:val="18"/>
          <w:szCs w:val="18"/>
          <w:highlight w:val="black"/>
        </w:rPr>
        <w:t>''''''''</w:t>
      </w:r>
      <w:r w:rsidRPr="004673D0">
        <w:rPr>
          <w:rFonts w:ascii="Arial Narrow" w:hAnsi="Arial Narrow"/>
          <w:sz w:val="18"/>
          <w:szCs w:val="18"/>
        </w:rPr>
        <w:t xml:space="preserve">%; Year 2: </w:t>
      </w:r>
      <w:r w:rsidR="00F83616">
        <w:rPr>
          <w:rFonts w:ascii="Arial Narrow" w:hAnsi="Arial Narrow"/>
          <w:noProof/>
          <w:color w:val="000000"/>
          <w:sz w:val="18"/>
          <w:szCs w:val="18"/>
          <w:highlight w:val="black"/>
        </w:rPr>
        <w:t>'''''''''</w:t>
      </w:r>
      <w:r w:rsidRPr="004673D0">
        <w:rPr>
          <w:rFonts w:ascii="Arial Narrow" w:hAnsi="Arial Narrow"/>
          <w:sz w:val="18"/>
          <w:szCs w:val="18"/>
        </w:rPr>
        <w:t xml:space="preserve">%; Year 3: </w:t>
      </w:r>
      <w:r w:rsidR="00F83616">
        <w:rPr>
          <w:rFonts w:ascii="Arial Narrow" w:hAnsi="Arial Narrow"/>
          <w:noProof/>
          <w:color w:val="000000"/>
          <w:sz w:val="18"/>
          <w:szCs w:val="18"/>
          <w:highlight w:val="black"/>
        </w:rPr>
        <w:t>''''''''</w:t>
      </w:r>
      <w:r w:rsidRPr="004673D0">
        <w:rPr>
          <w:rFonts w:ascii="Arial Narrow" w:hAnsi="Arial Narrow"/>
          <w:sz w:val="18"/>
          <w:szCs w:val="18"/>
        </w:rPr>
        <w:t xml:space="preserve">%; Year 4: </w:t>
      </w:r>
      <w:r w:rsidR="00F83616">
        <w:rPr>
          <w:rFonts w:ascii="Arial Narrow" w:hAnsi="Arial Narrow"/>
          <w:noProof/>
          <w:color w:val="000000"/>
          <w:sz w:val="18"/>
          <w:szCs w:val="18"/>
          <w:highlight w:val="black"/>
        </w:rPr>
        <w:t>'''''''</w:t>
      </w:r>
      <w:r w:rsidRPr="004673D0">
        <w:rPr>
          <w:rFonts w:ascii="Arial Narrow" w:hAnsi="Arial Narrow"/>
          <w:sz w:val="18"/>
          <w:szCs w:val="18"/>
        </w:rPr>
        <w:t xml:space="preserve">%; Year 5: </w:t>
      </w:r>
      <w:r w:rsidR="00F83616">
        <w:rPr>
          <w:rFonts w:ascii="Arial Narrow" w:hAnsi="Arial Narrow"/>
          <w:noProof/>
          <w:color w:val="000000"/>
          <w:sz w:val="18"/>
          <w:szCs w:val="18"/>
          <w:highlight w:val="black"/>
        </w:rPr>
        <w:t>''''''''' '''</w:t>
      </w:r>
      <w:r w:rsidRPr="004673D0">
        <w:rPr>
          <w:rFonts w:ascii="Arial Narrow" w:hAnsi="Arial Narrow"/>
          <w:sz w:val="18"/>
          <w:szCs w:val="18"/>
        </w:rPr>
        <w:t>%.</w:t>
      </w:r>
      <w:r w:rsidR="00446FA3" w:rsidRPr="004673D0">
        <w:rPr>
          <w:rFonts w:ascii="Arial Narrow" w:hAnsi="Arial Narrow"/>
          <w:sz w:val="18"/>
          <w:szCs w:val="18"/>
        </w:rPr>
        <w:t xml:space="preserve"> The resubmission </w:t>
      </w:r>
      <w:bookmarkStart w:id="1" w:name="_GoBack"/>
      <w:r w:rsidR="00446FA3" w:rsidRPr="004673D0">
        <w:rPr>
          <w:rFonts w:ascii="Arial Narrow" w:hAnsi="Arial Narrow"/>
          <w:sz w:val="18"/>
          <w:szCs w:val="18"/>
        </w:rPr>
        <w:t>(p</w:t>
      </w:r>
      <w:bookmarkEnd w:id="1"/>
      <w:r w:rsidR="00446FA3" w:rsidRPr="004673D0">
        <w:rPr>
          <w:rFonts w:ascii="Arial Narrow" w:hAnsi="Arial Narrow"/>
          <w:sz w:val="18"/>
          <w:szCs w:val="18"/>
        </w:rPr>
        <w:t>25) stated that lower uptake rates were used as these patients would be continuing rather than switching.</w:t>
      </w:r>
    </w:p>
    <w:p w:rsidR="008F00B1" w:rsidRPr="004673D0" w:rsidRDefault="008F00B1" w:rsidP="00EC68D5">
      <w:pPr>
        <w:rPr>
          <w:rFonts w:ascii="Arial Narrow" w:hAnsi="Arial Narrow"/>
          <w:i/>
          <w:sz w:val="18"/>
          <w:szCs w:val="18"/>
        </w:rPr>
      </w:pPr>
      <w:r w:rsidRPr="004673D0">
        <w:rPr>
          <w:rFonts w:ascii="Arial Narrow" w:hAnsi="Arial Narrow"/>
          <w:i/>
          <w:sz w:val="18"/>
          <w:szCs w:val="18"/>
          <w:vertAlign w:val="superscript"/>
        </w:rPr>
        <w:t>b</w:t>
      </w:r>
      <w:r w:rsidRPr="004673D0">
        <w:rPr>
          <w:rFonts w:ascii="Arial Narrow" w:hAnsi="Arial Narrow"/>
          <w:i/>
          <w:sz w:val="18"/>
          <w:szCs w:val="18"/>
        </w:rPr>
        <w:t xml:space="preserve"> </w:t>
      </w:r>
      <w:r w:rsidR="001443E8" w:rsidRPr="004673D0">
        <w:rPr>
          <w:rFonts w:ascii="Arial Narrow" w:hAnsi="Arial Narrow"/>
          <w:i/>
          <w:sz w:val="18"/>
          <w:szCs w:val="18"/>
        </w:rPr>
        <w:t xml:space="preserve">The previous Minutes stated that “There is potential that patients who initiate on clonidine and stimulants + clonidine (assuming they are using clonidine for the treatment of ADHD) may be contraindicated or intolerant to stimulants (relevant to the former group) or require clonidine as add-on due to a suboptimal response to stimulants (relevant to the latter group), making them eligible for treatment with guanfacine. Their exclusion from the estimates would therefore result in the number of guanfacine scripts being underestimated.” (paragraph 6.47, July 2017 PSD). </w:t>
      </w:r>
      <w:r w:rsidR="004D2665" w:rsidRPr="004673D0">
        <w:rPr>
          <w:rFonts w:ascii="Arial Narrow" w:hAnsi="Arial Narrow"/>
          <w:i/>
          <w:sz w:val="18"/>
          <w:szCs w:val="18"/>
        </w:rPr>
        <w:t>The financial estimates spreadsheet (‘Assumptions – Pops and Prices’ worksheet cells K87-88) stated the change was because the “analysis included all patients who use clonidine as a second line treatment (switch or mono) after the failure of prior treatments.”</w:t>
      </w:r>
    </w:p>
    <w:p w:rsidR="002479D8" w:rsidRPr="004673D0" w:rsidRDefault="002479D8" w:rsidP="00EC68D5">
      <w:pPr>
        <w:rPr>
          <w:rFonts w:ascii="Arial Narrow" w:hAnsi="Arial Narrow"/>
          <w:i/>
          <w:sz w:val="18"/>
          <w:szCs w:val="18"/>
        </w:rPr>
      </w:pPr>
    </w:p>
    <w:p w:rsidR="002479D8" w:rsidRPr="004673D0" w:rsidRDefault="002479D8" w:rsidP="00EC68D5">
      <w:pPr>
        <w:rPr>
          <w:rFonts w:ascii="Arial Narrow" w:hAnsi="Arial Narrow"/>
          <w:i/>
          <w:sz w:val="18"/>
          <w:szCs w:val="18"/>
        </w:rPr>
      </w:pPr>
    </w:p>
    <w:p w:rsidR="00EC68D5" w:rsidRPr="004673D0" w:rsidRDefault="001657CB" w:rsidP="00015985">
      <w:pPr>
        <w:rPr>
          <w:rFonts w:ascii="Arial" w:hAnsi="Arial" w:cs="Arial"/>
          <w:b/>
          <w:snapToGrid w:val="0"/>
          <w:sz w:val="22"/>
          <w:szCs w:val="22"/>
          <w:lang w:eastAsia="en-US"/>
        </w:rPr>
      </w:pPr>
      <w:r w:rsidRPr="004673D0">
        <w:rPr>
          <w:rFonts w:ascii="Arial" w:hAnsi="Arial" w:cs="Arial"/>
          <w:b/>
          <w:snapToGrid w:val="0"/>
          <w:sz w:val="22"/>
          <w:szCs w:val="22"/>
          <w:lang w:eastAsia="en-US"/>
        </w:rPr>
        <w:t>Add-on therapy setting</w:t>
      </w:r>
    </w:p>
    <w:p w:rsidR="001657CB" w:rsidRPr="004673D0" w:rsidRDefault="001657CB" w:rsidP="00015985">
      <w:pPr>
        <w:rPr>
          <w:rFonts w:ascii="Arial" w:hAnsi="Arial" w:cs="Arial"/>
          <w:b/>
          <w:snapToGrid w:val="0"/>
          <w:sz w:val="22"/>
          <w:szCs w:val="22"/>
          <w:lang w:eastAsia="en-US"/>
        </w:rPr>
      </w:pPr>
    </w:p>
    <w:p w:rsidR="008A5C40" w:rsidRPr="004673D0" w:rsidRDefault="008A5C40" w:rsidP="008A5C4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The </w:t>
      </w:r>
      <w:r w:rsidR="00E12520" w:rsidRPr="004673D0">
        <w:rPr>
          <w:rFonts w:asciiTheme="minorHAnsi" w:eastAsiaTheme="minorHAnsi" w:hAnsiTheme="minorHAnsi" w:cstheme="minorBidi"/>
          <w:snapToGrid/>
          <w:sz w:val="24"/>
          <w:szCs w:val="22"/>
        </w:rPr>
        <w:t>re</w:t>
      </w:r>
      <w:r w:rsidRPr="004673D0">
        <w:rPr>
          <w:rFonts w:asciiTheme="minorHAnsi" w:eastAsiaTheme="minorHAnsi" w:hAnsiTheme="minorHAnsi" w:cstheme="minorBidi"/>
          <w:snapToGrid/>
          <w:sz w:val="24"/>
          <w:szCs w:val="22"/>
        </w:rPr>
        <w:t>submission used a market share approach to inform the utilisation and financial estimates</w:t>
      </w:r>
      <w:r w:rsidR="009B3A00" w:rsidRPr="004673D0">
        <w:rPr>
          <w:rFonts w:asciiTheme="minorHAnsi" w:eastAsiaTheme="minorHAnsi" w:hAnsiTheme="minorHAnsi" w:cstheme="minorBidi"/>
          <w:snapToGrid/>
          <w:sz w:val="24"/>
          <w:szCs w:val="22"/>
        </w:rPr>
        <w:t xml:space="preserve"> of gu</w:t>
      </w:r>
      <w:r w:rsidR="003A10CD" w:rsidRPr="004673D0">
        <w:rPr>
          <w:rFonts w:asciiTheme="minorHAnsi" w:eastAsiaTheme="minorHAnsi" w:hAnsiTheme="minorHAnsi" w:cstheme="minorBidi"/>
          <w:snapToGrid/>
          <w:sz w:val="24"/>
          <w:szCs w:val="22"/>
        </w:rPr>
        <w:t>a</w:t>
      </w:r>
      <w:r w:rsidR="009B3A00" w:rsidRPr="004673D0">
        <w:rPr>
          <w:rFonts w:asciiTheme="minorHAnsi" w:eastAsiaTheme="minorHAnsi" w:hAnsiTheme="minorHAnsi" w:cstheme="minorBidi"/>
          <w:snapToGrid/>
          <w:sz w:val="24"/>
          <w:szCs w:val="22"/>
        </w:rPr>
        <w:t xml:space="preserve">nfacine for use as an add-on therapy </w:t>
      </w:r>
      <w:r w:rsidR="00ED3702" w:rsidRPr="004673D0">
        <w:rPr>
          <w:rFonts w:asciiTheme="minorHAnsi" w:eastAsiaTheme="minorHAnsi" w:hAnsiTheme="minorHAnsi" w:cstheme="minorBidi"/>
          <w:snapToGrid/>
          <w:sz w:val="24"/>
          <w:szCs w:val="22"/>
        </w:rPr>
        <w:t xml:space="preserve">in combination </w:t>
      </w:r>
      <w:r w:rsidR="009B3A00" w:rsidRPr="004673D0">
        <w:rPr>
          <w:rFonts w:asciiTheme="minorHAnsi" w:eastAsiaTheme="minorHAnsi" w:hAnsiTheme="minorHAnsi" w:cstheme="minorBidi"/>
          <w:snapToGrid/>
          <w:sz w:val="24"/>
          <w:szCs w:val="22"/>
        </w:rPr>
        <w:t xml:space="preserve">with stimulants (methylphenidate </w:t>
      </w:r>
      <w:r w:rsidR="006C3C02" w:rsidRPr="004673D0">
        <w:rPr>
          <w:rFonts w:asciiTheme="minorHAnsi" w:eastAsiaTheme="minorHAnsi" w:hAnsiTheme="minorHAnsi" w:cstheme="minorBidi"/>
          <w:snapToGrid/>
          <w:sz w:val="24"/>
          <w:szCs w:val="22"/>
        </w:rPr>
        <w:t xml:space="preserve">or </w:t>
      </w:r>
      <w:r w:rsidR="009B3A00" w:rsidRPr="004673D0">
        <w:rPr>
          <w:rFonts w:asciiTheme="minorHAnsi" w:eastAsiaTheme="minorHAnsi" w:hAnsiTheme="minorHAnsi" w:cstheme="minorBidi"/>
          <w:snapToGrid/>
          <w:sz w:val="24"/>
          <w:szCs w:val="22"/>
        </w:rPr>
        <w:t>lisdexamfetamine).</w:t>
      </w:r>
    </w:p>
    <w:p w:rsidR="009B3A00" w:rsidRPr="004673D0" w:rsidRDefault="00EC68D5" w:rsidP="00E860D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As shown in the table below, t</w:t>
      </w:r>
      <w:r w:rsidR="00D87175" w:rsidRPr="004673D0">
        <w:rPr>
          <w:rFonts w:asciiTheme="minorHAnsi" w:eastAsiaTheme="minorHAnsi" w:hAnsiTheme="minorHAnsi" w:cstheme="minorBidi"/>
          <w:snapToGrid/>
          <w:sz w:val="24"/>
          <w:szCs w:val="22"/>
        </w:rPr>
        <w:t xml:space="preserve">o estimate the </w:t>
      </w:r>
      <w:r w:rsidR="00E013CF" w:rsidRPr="004673D0">
        <w:rPr>
          <w:rFonts w:asciiTheme="minorHAnsi" w:eastAsiaTheme="minorHAnsi" w:hAnsiTheme="minorHAnsi" w:cstheme="minorBidi"/>
          <w:snapToGrid/>
          <w:sz w:val="24"/>
          <w:szCs w:val="22"/>
        </w:rPr>
        <w:t>extent of use</w:t>
      </w:r>
      <w:r w:rsidR="00D87175" w:rsidRPr="004673D0">
        <w:rPr>
          <w:rFonts w:asciiTheme="minorHAnsi" w:eastAsiaTheme="minorHAnsi" w:hAnsiTheme="minorHAnsi" w:cstheme="minorBidi"/>
          <w:snapToGrid/>
          <w:sz w:val="24"/>
          <w:szCs w:val="22"/>
        </w:rPr>
        <w:t xml:space="preserve">, the following </w:t>
      </w:r>
      <w:r w:rsidR="009B3A00" w:rsidRPr="004673D0">
        <w:rPr>
          <w:rFonts w:asciiTheme="minorHAnsi" w:eastAsiaTheme="minorHAnsi" w:hAnsiTheme="minorHAnsi" w:cstheme="minorBidi"/>
          <w:snapToGrid/>
          <w:sz w:val="24"/>
          <w:szCs w:val="22"/>
        </w:rPr>
        <w:t xml:space="preserve">broad approach </w:t>
      </w:r>
      <w:r w:rsidR="00D87175" w:rsidRPr="004673D0">
        <w:rPr>
          <w:rFonts w:asciiTheme="minorHAnsi" w:eastAsiaTheme="minorHAnsi" w:hAnsiTheme="minorHAnsi" w:cstheme="minorBidi"/>
          <w:snapToGrid/>
          <w:sz w:val="24"/>
          <w:szCs w:val="22"/>
        </w:rPr>
        <w:t>was taken</w:t>
      </w:r>
      <w:r w:rsidR="009B3A00" w:rsidRPr="004673D0">
        <w:rPr>
          <w:rFonts w:asciiTheme="minorHAnsi" w:eastAsiaTheme="minorHAnsi" w:hAnsiTheme="minorHAnsi" w:cstheme="minorBidi"/>
          <w:snapToGrid/>
          <w:sz w:val="24"/>
          <w:szCs w:val="22"/>
        </w:rPr>
        <w:t>:</w:t>
      </w:r>
    </w:p>
    <w:p w:rsidR="00943F27" w:rsidRPr="004673D0" w:rsidRDefault="009B3A00" w:rsidP="00943F27">
      <w:pPr>
        <w:pStyle w:val="ListParagraph"/>
        <w:widowControl/>
        <w:numPr>
          <w:ilvl w:val="1"/>
          <w:numId w:val="21"/>
        </w:numPr>
        <w:spacing w:after="120"/>
        <w:ind w:left="1077" w:hanging="357"/>
        <w:contextualSpacing w:val="0"/>
        <w:rPr>
          <w:rFonts w:ascii="Calibri" w:eastAsiaTheme="minorHAnsi" w:hAnsi="Calibri" w:cstheme="minorBidi"/>
          <w:i/>
          <w:snapToGrid/>
          <w:sz w:val="24"/>
          <w:szCs w:val="24"/>
        </w:rPr>
      </w:pPr>
      <w:r w:rsidRPr="004673D0">
        <w:rPr>
          <w:rFonts w:ascii="Calibri" w:eastAsiaTheme="minorHAnsi" w:hAnsi="Calibri" w:cstheme="minorBidi"/>
          <w:snapToGrid/>
          <w:sz w:val="24"/>
          <w:szCs w:val="24"/>
        </w:rPr>
        <w:t xml:space="preserve">Current utilisation of the stimulants was determined from PBS utilisation data and projected to </w:t>
      </w:r>
      <w:r w:rsidR="006C3C02" w:rsidRPr="004673D0">
        <w:rPr>
          <w:rFonts w:ascii="Calibri" w:eastAsiaTheme="minorHAnsi" w:hAnsi="Calibri" w:cstheme="minorBidi"/>
          <w:snapToGrid/>
          <w:sz w:val="24"/>
          <w:szCs w:val="24"/>
        </w:rPr>
        <w:t>Year 6</w:t>
      </w:r>
      <w:r w:rsidRPr="004673D0">
        <w:rPr>
          <w:rFonts w:ascii="Calibri" w:eastAsiaTheme="minorHAnsi" w:hAnsi="Calibri" w:cstheme="minorBidi"/>
          <w:snapToGrid/>
          <w:sz w:val="24"/>
          <w:szCs w:val="24"/>
        </w:rPr>
        <w:t xml:space="preserve"> using the observed </w:t>
      </w:r>
      <w:r w:rsidR="003234CE" w:rsidRPr="004673D0">
        <w:rPr>
          <w:rFonts w:ascii="Calibri" w:eastAsiaTheme="minorHAnsi" w:hAnsi="Calibri" w:cstheme="minorBidi"/>
          <w:snapToGrid/>
          <w:sz w:val="24"/>
          <w:szCs w:val="24"/>
        </w:rPr>
        <w:t xml:space="preserve">average </w:t>
      </w:r>
      <w:r w:rsidRPr="004673D0">
        <w:rPr>
          <w:rFonts w:ascii="Calibri" w:eastAsiaTheme="minorHAnsi" w:hAnsi="Calibri" w:cstheme="minorBidi"/>
          <w:snapToGrid/>
          <w:sz w:val="24"/>
          <w:szCs w:val="24"/>
        </w:rPr>
        <w:t>annual growth rate</w:t>
      </w:r>
      <w:r w:rsidR="003234CE" w:rsidRPr="004673D0">
        <w:rPr>
          <w:rFonts w:ascii="Calibri" w:eastAsiaTheme="minorHAnsi" w:hAnsi="Calibri" w:cstheme="minorBidi"/>
          <w:snapToGrid/>
          <w:sz w:val="24"/>
          <w:szCs w:val="24"/>
        </w:rPr>
        <w:t xml:space="preserve"> </w:t>
      </w:r>
      <w:r w:rsidR="006C3C02" w:rsidRPr="004673D0">
        <w:rPr>
          <w:rFonts w:ascii="Calibri" w:eastAsiaTheme="minorHAnsi" w:hAnsi="Calibri" w:cstheme="minorBidi"/>
          <w:snapToGrid/>
          <w:sz w:val="24"/>
          <w:szCs w:val="24"/>
        </w:rPr>
        <w:t>for stimulants (meth</w:t>
      </w:r>
      <w:r w:rsidR="00D612A8" w:rsidRPr="004673D0">
        <w:rPr>
          <w:rFonts w:ascii="Calibri" w:eastAsiaTheme="minorHAnsi" w:hAnsi="Calibri" w:cstheme="minorBidi"/>
          <w:snapToGrid/>
          <w:sz w:val="24"/>
          <w:szCs w:val="24"/>
        </w:rPr>
        <w:t>yl</w:t>
      </w:r>
      <w:r w:rsidR="006C3C02" w:rsidRPr="004673D0">
        <w:rPr>
          <w:rFonts w:ascii="Calibri" w:eastAsiaTheme="minorHAnsi" w:hAnsi="Calibri" w:cstheme="minorBidi"/>
          <w:snapToGrid/>
          <w:sz w:val="24"/>
          <w:szCs w:val="24"/>
        </w:rPr>
        <w:t>phe</w:t>
      </w:r>
      <w:r w:rsidR="00D612A8" w:rsidRPr="004673D0">
        <w:rPr>
          <w:rFonts w:ascii="Calibri" w:eastAsiaTheme="minorHAnsi" w:hAnsi="Calibri" w:cstheme="minorBidi"/>
          <w:snapToGrid/>
          <w:sz w:val="24"/>
          <w:szCs w:val="24"/>
        </w:rPr>
        <w:t>nidate</w:t>
      </w:r>
      <w:r w:rsidR="006C3C02" w:rsidRPr="004673D0">
        <w:rPr>
          <w:rFonts w:ascii="Calibri" w:eastAsiaTheme="minorHAnsi" w:hAnsi="Calibri" w:cstheme="minorBidi"/>
          <w:snapToGrid/>
          <w:sz w:val="24"/>
          <w:szCs w:val="24"/>
        </w:rPr>
        <w:t xml:space="preserve"> and lisdexamfetamine) </w:t>
      </w:r>
      <w:r w:rsidR="003234CE" w:rsidRPr="004673D0">
        <w:rPr>
          <w:rFonts w:ascii="Calibri" w:eastAsiaTheme="minorHAnsi" w:hAnsi="Calibri" w:cstheme="minorBidi"/>
          <w:snapToGrid/>
          <w:sz w:val="24"/>
          <w:szCs w:val="24"/>
        </w:rPr>
        <w:t xml:space="preserve">from </w:t>
      </w:r>
      <w:r w:rsidRPr="004673D0">
        <w:rPr>
          <w:rFonts w:ascii="Calibri" w:eastAsiaTheme="minorHAnsi" w:hAnsi="Calibri" w:cstheme="minorBidi"/>
          <w:snapToGrid/>
          <w:sz w:val="24"/>
          <w:szCs w:val="24"/>
        </w:rPr>
        <w:t xml:space="preserve">the </w:t>
      </w:r>
      <w:r w:rsidR="00864F48" w:rsidRPr="004673D0">
        <w:rPr>
          <w:rFonts w:ascii="Calibri" w:eastAsiaTheme="minorHAnsi" w:hAnsi="Calibri" w:cstheme="minorBidi"/>
          <w:snapToGrid/>
          <w:sz w:val="24"/>
          <w:szCs w:val="24"/>
        </w:rPr>
        <w:t>previous</w:t>
      </w:r>
      <w:r w:rsidRPr="004673D0">
        <w:rPr>
          <w:rFonts w:ascii="Calibri" w:eastAsiaTheme="minorHAnsi" w:hAnsi="Calibri" w:cstheme="minorBidi"/>
          <w:snapToGrid/>
          <w:sz w:val="24"/>
          <w:szCs w:val="24"/>
        </w:rPr>
        <w:t xml:space="preserve"> five years</w:t>
      </w:r>
      <w:r w:rsidR="00FF763C" w:rsidRPr="004673D0">
        <w:rPr>
          <w:rFonts w:ascii="Calibri" w:eastAsiaTheme="minorHAnsi" w:hAnsi="Calibri" w:cstheme="minorBidi"/>
          <w:snapToGrid/>
          <w:sz w:val="24"/>
          <w:szCs w:val="24"/>
        </w:rPr>
        <w:t xml:space="preserve"> to 2015/2016</w:t>
      </w:r>
      <w:r w:rsidR="006C3C02" w:rsidRPr="004673D0">
        <w:rPr>
          <w:rFonts w:ascii="Calibri" w:eastAsiaTheme="minorHAnsi" w:hAnsi="Calibri" w:cstheme="minorBidi"/>
          <w:snapToGrid/>
          <w:sz w:val="24"/>
          <w:szCs w:val="24"/>
        </w:rPr>
        <w:t>. This resulted in an annual growth rate of</w:t>
      </w:r>
      <w:r w:rsidRPr="004673D0">
        <w:rPr>
          <w:rFonts w:ascii="Calibri" w:eastAsiaTheme="minorHAnsi" w:hAnsi="Calibri" w:cstheme="minorBidi"/>
          <w:snapToGrid/>
          <w:sz w:val="24"/>
          <w:szCs w:val="24"/>
        </w:rPr>
        <w:t xml:space="preserve"> 12.5% per annum</w:t>
      </w:r>
      <w:r w:rsidR="006C3C02" w:rsidRPr="004673D0">
        <w:rPr>
          <w:rFonts w:ascii="Calibri" w:eastAsiaTheme="minorHAnsi" w:hAnsi="Calibri" w:cstheme="minorBidi"/>
          <w:snapToGrid/>
          <w:sz w:val="24"/>
          <w:szCs w:val="24"/>
        </w:rPr>
        <w:t xml:space="preserve">. This </w:t>
      </w:r>
      <w:r w:rsidR="001F1D50" w:rsidRPr="004673D0">
        <w:rPr>
          <w:rFonts w:ascii="Calibri" w:eastAsiaTheme="minorHAnsi" w:hAnsi="Calibri" w:cstheme="minorBidi"/>
          <w:snapToGrid/>
          <w:sz w:val="24"/>
          <w:szCs w:val="24"/>
        </w:rPr>
        <w:t>may have</w:t>
      </w:r>
      <w:r w:rsidR="006C3C02" w:rsidRPr="004673D0">
        <w:rPr>
          <w:rFonts w:ascii="Calibri" w:eastAsiaTheme="minorHAnsi" w:hAnsi="Calibri" w:cstheme="minorBidi"/>
          <w:snapToGrid/>
          <w:sz w:val="24"/>
          <w:szCs w:val="24"/>
        </w:rPr>
        <w:t xml:space="preserve"> overestimated utilisation of stimulants as this</w:t>
      </w:r>
      <w:r w:rsidR="0046488D" w:rsidRPr="004673D0">
        <w:rPr>
          <w:rFonts w:ascii="Calibri" w:eastAsiaTheme="minorHAnsi" w:hAnsi="Calibri" w:cstheme="minorBidi"/>
          <w:snapToGrid/>
          <w:sz w:val="24"/>
          <w:szCs w:val="24"/>
        </w:rPr>
        <w:t xml:space="preserve"> included </w:t>
      </w:r>
      <w:r w:rsidR="003A3C71" w:rsidRPr="004673D0">
        <w:rPr>
          <w:rFonts w:ascii="Calibri" w:eastAsiaTheme="minorHAnsi" w:hAnsi="Calibri" w:cstheme="minorBidi"/>
          <w:snapToGrid/>
          <w:sz w:val="24"/>
          <w:szCs w:val="24"/>
        </w:rPr>
        <w:t xml:space="preserve">2015/16 when </w:t>
      </w:r>
      <w:r w:rsidR="0046488D" w:rsidRPr="004673D0">
        <w:rPr>
          <w:rFonts w:ascii="Calibri" w:eastAsiaTheme="minorHAnsi" w:hAnsi="Calibri" w:cstheme="minorBidi"/>
          <w:snapToGrid/>
          <w:sz w:val="24"/>
          <w:szCs w:val="24"/>
        </w:rPr>
        <w:t>lisdexamfetamine was first PBS-listed</w:t>
      </w:r>
      <w:r w:rsidR="003A3C71" w:rsidRPr="004673D0">
        <w:rPr>
          <w:rFonts w:ascii="Calibri" w:eastAsiaTheme="minorHAnsi" w:hAnsi="Calibri" w:cstheme="minorBidi"/>
          <w:snapToGrid/>
          <w:sz w:val="24"/>
          <w:szCs w:val="24"/>
        </w:rPr>
        <w:t>, so growth during this period may be attributed to the availability of lisdexamfetamine</w:t>
      </w:r>
      <w:r w:rsidR="00FF763C" w:rsidRPr="004673D0">
        <w:rPr>
          <w:rFonts w:ascii="Calibri" w:eastAsiaTheme="minorHAnsi" w:hAnsi="Calibri" w:cstheme="minorBidi"/>
          <w:snapToGrid/>
          <w:sz w:val="24"/>
          <w:szCs w:val="24"/>
        </w:rPr>
        <w:t xml:space="preserve"> </w:t>
      </w:r>
      <w:r w:rsidR="003A3C71" w:rsidRPr="004673D0">
        <w:rPr>
          <w:rFonts w:ascii="Calibri" w:eastAsiaTheme="minorHAnsi" w:hAnsi="Calibri" w:cstheme="minorBidi"/>
          <w:snapToGrid/>
          <w:sz w:val="24"/>
          <w:szCs w:val="24"/>
        </w:rPr>
        <w:t>on the PBS</w:t>
      </w:r>
      <w:r w:rsidR="006C3C02" w:rsidRPr="004673D0">
        <w:rPr>
          <w:rFonts w:ascii="Calibri" w:eastAsiaTheme="minorHAnsi" w:hAnsi="Calibri" w:cstheme="minorBidi"/>
          <w:snapToGrid/>
          <w:sz w:val="24"/>
          <w:szCs w:val="24"/>
        </w:rPr>
        <w:t xml:space="preserve">. </w:t>
      </w:r>
      <w:r w:rsidR="00943F27" w:rsidRPr="004673D0">
        <w:rPr>
          <w:rFonts w:ascii="Calibri" w:eastAsiaTheme="minorHAnsi" w:hAnsi="Calibri" w:cstheme="minorBidi"/>
          <w:snapToGrid/>
          <w:sz w:val="24"/>
          <w:szCs w:val="24"/>
        </w:rPr>
        <w:t>A recent DUSC analysis (May 2018) showed that the total ADHD market grew by an average of 10% per annum over the five years from 2013 to 2017. However, the DUSC analysis did not include separate analyses of growth in monotherapy and add-on therapy. The DUSC analysis also noted that the increase in growth of overall ADHD medicines supplied may be attributed to the listing of lisdexamfetamine in September 2015 and a lack of offset from substitution of other ADHD medicines.</w:t>
      </w:r>
    </w:p>
    <w:p w:rsidR="006B6A8C" w:rsidRPr="004673D0" w:rsidRDefault="006B6A8C" w:rsidP="00D87175">
      <w:pPr>
        <w:pStyle w:val="ListParagraph"/>
        <w:widowControl/>
        <w:numPr>
          <w:ilvl w:val="1"/>
          <w:numId w:val="21"/>
        </w:numPr>
        <w:spacing w:after="120"/>
        <w:ind w:left="1077" w:hanging="357"/>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Utilisation </w:t>
      </w:r>
      <w:r w:rsidR="00D612A8" w:rsidRPr="004673D0">
        <w:rPr>
          <w:rFonts w:asciiTheme="minorHAnsi" w:eastAsiaTheme="minorHAnsi" w:hAnsiTheme="minorHAnsi" w:cstheme="minorBidi"/>
          <w:snapToGrid/>
          <w:sz w:val="24"/>
          <w:szCs w:val="22"/>
        </w:rPr>
        <w:t xml:space="preserve">of methylphenidate and lisdexamfetamine </w:t>
      </w:r>
      <w:r w:rsidRPr="004673D0">
        <w:rPr>
          <w:rFonts w:asciiTheme="minorHAnsi" w:eastAsiaTheme="minorHAnsi" w:hAnsiTheme="minorHAnsi" w:cstheme="minorBidi"/>
          <w:snapToGrid/>
          <w:sz w:val="24"/>
          <w:szCs w:val="22"/>
        </w:rPr>
        <w:t xml:space="preserve">was </w:t>
      </w:r>
      <w:r w:rsidRPr="00AA10A4">
        <w:rPr>
          <w:rFonts w:asciiTheme="minorHAnsi" w:eastAsiaTheme="minorHAnsi" w:hAnsiTheme="minorHAnsi" w:cstheme="minorBidi"/>
          <w:snapToGrid/>
          <w:sz w:val="24"/>
          <w:szCs w:val="22"/>
        </w:rPr>
        <w:t xml:space="preserve">converted to patient years of therapy by dividing the </w:t>
      </w:r>
      <w:r w:rsidR="003234CE" w:rsidRPr="00AA10A4">
        <w:rPr>
          <w:rFonts w:asciiTheme="minorHAnsi" w:eastAsiaTheme="minorHAnsi" w:hAnsiTheme="minorHAnsi" w:cstheme="minorBidi"/>
          <w:snapToGrid/>
          <w:sz w:val="24"/>
          <w:szCs w:val="22"/>
        </w:rPr>
        <w:t>projected</w:t>
      </w:r>
      <w:r w:rsidRPr="00AA10A4">
        <w:rPr>
          <w:rFonts w:asciiTheme="minorHAnsi" w:eastAsiaTheme="minorHAnsi" w:hAnsiTheme="minorHAnsi" w:cstheme="minorBidi"/>
          <w:snapToGrid/>
          <w:sz w:val="24"/>
          <w:szCs w:val="22"/>
        </w:rPr>
        <w:t xml:space="preserve"> utilisation by </w:t>
      </w:r>
      <w:r w:rsidR="00F83616">
        <w:rPr>
          <w:rFonts w:asciiTheme="minorHAnsi" w:eastAsiaTheme="minorHAnsi" w:hAnsiTheme="minorHAnsi" w:cstheme="minorBidi"/>
          <w:noProof/>
          <w:snapToGrid/>
          <w:color w:val="000000"/>
          <w:sz w:val="24"/>
          <w:szCs w:val="22"/>
          <w:highlight w:val="black"/>
        </w:rPr>
        <w:t>'''''''''''</w:t>
      </w:r>
      <w:r w:rsidR="00AE2BC4" w:rsidRPr="00AA10A4">
        <w:rPr>
          <w:rFonts w:asciiTheme="minorHAnsi" w:eastAsiaTheme="minorHAnsi" w:hAnsiTheme="minorHAnsi" w:cstheme="minorBidi"/>
          <w:snapToGrid/>
          <w:sz w:val="24"/>
          <w:szCs w:val="22"/>
        </w:rPr>
        <w:t xml:space="preserve"> </w:t>
      </w:r>
      <w:r w:rsidRPr="00AA10A4">
        <w:rPr>
          <w:rFonts w:asciiTheme="minorHAnsi" w:eastAsiaTheme="minorHAnsi" w:hAnsiTheme="minorHAnsi" w:cstheme="minorBidi"/>
          <w:snapToGrid/>
          <w:sz w:val="24"/>
          <w:szCs w:val="22"/>
        </w:rPr>
        <w:t>items</w:t>
      </w:r>
      <w:r w:rsidRPr="004673D0">
        <w:rPr>
          <w:rFonts w:asciiTheme="minorHAnsi" w:eastAsiaTheme="minorHAnsi" w:hAnsiTheme="minorHAnsi" w:cstheme="minorBidi"/>
          <w:snapToGrid/>
          <w:sz w:val="24"/>
          <w:szCs w:val="22"/>
        </w:rPr>
        <w:t xml:space="preserve"> per patient year</w:t>
      </w:r>
      <w:r w:rsidR="00D612A8" w:rsidRPr="004673D0">
        <w:rPr>
          <w:rFonts w:asciiTheme="minorHAnsi" w:eastAsiaTheme="minorHAnsi" w:hAnsiTheme="minorHAnsi" w:cstheme="minorBidi"/>
          <w:snapToGrid/>
          <w:sz w:val="24"/>
          <w:szCs w:val="22"/>
        </w:rPr>
        <w:t xml:space="preserve"> (pack size of 30</w:t>
      </w:r>
      <w:r w:rsidR="006F44C7" w:rsidRPr="004673D0">
        <w:rPr>
          <w:rFonts w:asciiTheme="minorHAnsi" w:eastAsiaTheme="minorHAnsi" w:hAnsiTheme="minorHAnsi" w:cstheme="minorBidi"/>
          <w:snapToGrid/>
          <w:sz w:val="24"/>
          <w:szCs w:val="22"/>
        </w:rPr>
        <w:t>, full compliance</w:t>
      </w:r>
      <w:r w:rsidR="00D612A8" w:rsidRPr="004673D0">
        <w:rPr>
          <w:rFonts w:asciiTheme="minorHAnsi" w:eastAsiaTheme="minorHAnsi" w:hAnsiTheme="minorHAnsi" w:cstheme="minorBidi"/>
          <w:snapToGrid/>
          <w:sz w:val="24"/>
          <w:szCs w:val="22"/>
        </w:rPr>
        <w:t>)</w:t>
      </w:r>
      <w:r w:rsidR="001F560B" w:rsidRPr="004673D0">
        <w:rPr>
          <w:rFonts w:asciiTheme="minorHAnsi" w:eastAsiaTheme="minorHAnsi" w:hAnsiTheme="minorHAnsi" w:cstheme="minorBidi"/>
          <w:snapToGrid/>
          <w:sz w:val="24"/>
          <w:szCs w:val="22"/>
        </w:rPr>
        <w:t>.</w:t>
      </w:r>
    </w:p>
    <w:p w:rsidR="009B3A00" w:rsidRPr="004673D0" w:rsidRDefault="009B3A00" w:rsidP="00D87175">
      <w:pPr>
        <w:pStyle w:val="ListParagraph"/>
        <w:widowControl/>
        <w:numPr>
          <w:ilvl w:val="1"/>
          <w:numId w:val="21"/>
        </w:numPr>
        <w:spacing w:after="120"/>
        <w:ind w:left="1077" w:hanging="357"/>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20% of patients on stimulant therapies were assumed to be eligible for gu</w:t>
      </w:r>
      <w:r w:rsidR="003A10CD" w:rsidRPr="004673D0">
        <w:rPr>
          <w:rFonts w:asciiTheme="minorHAnsi" w:eastAsiaTheme="minorHAnsi" w:hAnsiTheme="minorHAnsi" w:cstheme="minorBidi"/>
          <w:snapToGrid/>
          <w:sz w:val="24"/>
          <w:szCs w:val="22"/>
        </w:rPr>
        <w:t>a</w:t>
      </w:r>
      <w:r w:rsidRPr="004673D0">
        <w:rPr>
          <w:rFonts w:asciiTheme="minorHAnsi" w:eastAsiaTheme="minorHAnsi" w:hAnsiTheme="minorHAnsi" w:cstheme="minorBidi"/>
          <w:snapToGrid/>
          <w:sz w:val="24"/>
          <w:szCs w:val="22"/>
        </w:rPr>
        <w:t>nfacine ad</w:t>
      </w:r>
      <w:r w:rsidR="00AB0706" w:rsidRPr="004673D0">
        <w:rPr>
          <w:rFonts w:asciiTheme="minorHAnsi" w:eastAsiaTheme="minorHAnsi" w:hAnsiTheme="minorHAnsi" w:cstheme="minorBidi"/>
          <w:snapToGrid/>
          <w:sz w:val="24"/>
          <w:szCs w:val="22"/>
        </w:rPr>
        <w:t>d-on</w:t>
      </w:r>
      <w:r w:rsidRPr="004673D0">
        <w:rPr>
          <w:rFonts w:asciiTheme="minorHAnsi" w:eastAsiaTheme="minorHAnsi" w:hAnsiTheme="minorHAnsi" w:cstheme="minorBidi"/>
          <w:snapToGrid/>
          <w:sz w:val="24"/>
          <w:szCs w:val="22"/>
        </w:rPr>
        <w:t xml:space="preserve"> therapy. This</w:t>
      </w:r>
      <w:r w:rsidR="003A3C71" w:rsidRPr="004673D0">
        <w:rPr>
          <w:rFonts w:asciiTheme="minorHAnsi" w:eastAsiaTheme="minorHAnsi" w:hAnsiTheme="minorHAnsi" w:cstheme="minorBidi"/>
          <w:snapToGrid/>
          <w:sz w:val="24"/>
          <w:szCs w:val="22"/>
        </w:rPr>
        <w:t xml:space="preserve"> was</w:t>
      </w:r>
      <w:r w:rsidRPr="004673D0">
        <w:rPr>
          <w:rFonts w:asciiTheme="minorHAnsi" w:eastAsiaTheme="minorHAnsi" w:hAnsiTheme="minorHAnsi" w:cstheme="minorBidi"/>
          <w:snapToGrid/>
          <w:sz w:val="24"/>
          <w:szCs w:val="22"/>
        </w:rPr>
        <w:t xml:space="preserve"> </w:t>
      </w:r>
      <w:r w:rsidR="00EC68D5" w:rsidRPr="004673D0">
        <w:rPr>
          <w:rFonts w:asciiTheme="minorHAnsi" w:eastAsiaTheme="minorHAnsi" w:hAnsiTheme="minorHAnsi" w:cstheme="minorBidi"/>
          <w:snapToGrid/>
          <w:sz w:val="24"/>
          <w:szCs w:val="22"/>
        </w:rPr>
        <w:t xml:space="preserve">increased from 10% in the previous submission and </w:t>
      </w:r>
      <w:r w:rsidRPr="004673D0">
        <w:rPr>
          <w:rFonts w:asciiTheme="minorHAnsi" w:eastAsiaTheme="minorHAnsi" w:hAnsiTheme="minorHAnsi" w:cstheme="minorBidi"/>
          <w:snapToGrid/>
          <w:sz w:val="24"/>
          <w:szCs w:val="22"/>
        </w:rPr>
        <w:t>was the upper limit (10%-20%) of patients noted by the PBAC who would require adjunct therapy to ach</w:t>
      </w:r>
      <w:r w:rsidR="00D87175" w:rsidRPr="004673D0">
        <w:rPr>
          <w:rFonts w:asciiTheme="minorHAnsi" w:eastAsiaTheme="minorHAnsi" w:hAnsiTheme="minorHAnsi" w:cstheme="minorBidi"/>
          <w:snapToGrid/>
          <w:sz w:val="24"/>
          <w:szCs w:val="22"/>
        </w:rPr>
        <w:t>ie</w:t>
      </w:r>
      <w:r w:rsidRPr="004673D0">
        <w:rPr>
          <w:rFonts w:asciiTheme="minorHAnsi" w:eastAsiaTheme="minorHAnsi" w:hAnsiTheme="minorHAnsi" w:cstheme="minorBidi"/>
          <w:snapToGrid/>
          <w:sz w:val="24"/>
          <w:szCs w:val="22"/>
        </w:rPr>
        <w:t xml:space="preserve">ve remission (paragraph 7.2, July 2017 </w:t>
      </w:r>
      <w:r w:rsidR="008F2A3D">
        <w:rPr>
          <w:rFonts w:asciiTheme="minorHAnsi" w:eastAsiaTheme="minorHAnsi" w:hAnsiTheme="minorHAnsi" w:cstheme="minorBidi"/>
          <w:snapToGrid/>
          <w:sz w:val="24"/>
          <w:szCs w:val="22"/>
        </w:rPr>
        <w:t>PSD</w:t>
      </w:r>
      <w:r w:rsidRPr="004673D0">
        <w:rPr>
          <w:rFonts w:asciiTheme="minorHAnsi" w:eastAsiaTheme="minorHAnsi" w:hAnsiTheme="minorHAnsi" w:cstheme="minorBidi"/>
          <w:snapToGrid/>
          <w:sz w:val="24"/>
          <w:szCs w:val="22"/>
        </w:rPr>
        <w:t>)</w:t>
      </w:r>
      <w:r w:rsidR="001F560B" w:rsidRPr="004673D0">
        <w:rPr>
          <w:rFonts w:asciiTheme="minorHAnsi" w:eastAsiaTheme="minorHAnsi" w:hAnsiTheme="minorHAnsi" w:cstheme="minorBidi"/>
          <w:snapToGrid/>
          <w:sz w:val="24"/>
          <w:szCs w:val="22"/>
        </w:rPr>
        <w:t>.</w:t>
      </w:r>
      <w:r w:rsidR="00067ACD" w:rsidRPr="004673D0">
        <w:rPr>
          <w:rFonts w:asciiTheme="minorHAnsi" w:eastAsiaTheme="minorHAnsi" w:hAnsiTheme="minorHAnsi" w:cstheme="minorBidi"/>
          <w:snapToGrid/>
          <w:sz w:val="24"/>
          <w:szCs w:val="22"/>
        </w:rPr>
        <w:t xml:space="preserve"> The Secretariat noted that this assumption (using the higher estimate) was conservative (and likely appropriate) in the context of estimating a weighted price.</w:t>
      </w:r>
    </w:p>
    <w:p w:rsidR="00E013CF" w:rsidRPr="004673D0" w:rsidRDefault="00D87175" w:rsidP="001F560B">
      <w:pPr>
        <w:pStyle w:val="ListParagraph"/>
        <w:widowControl/>
        <w:numPr>
          <w:ilvl w:val="1"/>
          <w:numId w:val="21"/>
        </w:numPr>
        <w:spacing w:after="120"/>
        <w:ind w:left="1077" w:hanging="357"/>
        <w:contextualSpacing w:val="0"/>
        <w:rPr>
          <w:rFonts w:asciiTheme="minorHAnsi" w:eastAsiaTheme="minorHAnsi" w:hAnsiTheme="minorHAnsi" w:cstheme="minorBidi"/>
          <w:i/>
          <w:snapToGrid/>
          <w:sz w:val="24"/>
          <w:szCs w:val="22"/>
        </w:rPr>
      </w:pPr>
      <w:r w:rsidRPr="004673D0">
        <w:rPr>
          <w:rFonts w:asciiTheme="minorHAnsi" w:eastAsiaTheme="minorHAnsi" w:hAnsiTheme="minorHAnsi" w:cstheme="minorBidi"/>
          <w:snapToGrid/>
          <w:sz w:val="24"/>
          <w:szCs w:val="22"/>
        </w:rPr>
        <w:lastRenderedPageBreak/>
        <w:t>Uptake rates were then applied to estimate the total number of patient</w:t>
      </w:r>
      <w:r w:rsidR="006B6A8C" w:rsidRPr="004673D0">
        <w:rPr>
          <w:rFonts w:asciiTheme="minorHAnsi" w:eastAsiaTheme="minorHAnsi" w:hAnsiTheme="minorHAnsi" w:cstheme="minorBidi"/>
          <w:snapToGrid/>
          <w:sz w:val="24"/>
          <w:szCs w:val="22"/>
        </w:rPr>
        <w:t xml:space="preserve"> years</w:t>
      </w:r>
      <w:r w:rsidR="0046488D" w:rsidRPr="004673D0">
        <w:rPr>
          <w:rFonts w:asciiTheme="minorHAnsi" w:eastAsiaTheme="minorHAnsi" w:hAnsiTheme="minorHAnsi" w:cstheme="minorBidi"/>
          <w:snapToGrid/>
          <w:sz w:val="24"/>
          <w:szCs w:val="22"/>
        </w:rPr>
        <w:t>. Lower uptake rates were assumed than in the previous submission</w:t>
      </w:r>
      <w:r w:rsidR="003A3C71" w:rsidRPr="004673D0">
        <w:rPr>
          <w:rFonts w:asciiTheme="minorHAnsi" w:eastAsiaTheme="minorHAnsi" w:hAnsiTheme="minorHAnsi" w:cstheme="minorBidi"/>
          <w:snapToGrid/>
          <w:sz w:val="24"/>
          <w:szCs w:val="22"/>
        </w:rPr>
        <w:t xml:space="preserve"> as</w:t>
      </w:r>
      <w:r w:rsidR="001F560B" w:rsidRPr="004673D0">
        <w:rPr>
          <w:rFonts w:asciiTheme="minorHAnsi" w:eastAsiaTheme="minorHAnsi" w:hAnsiTheme="minorHAnsi" w:cstheme="minorBidi"/>
          <w:snapToGrid/>
          <w:sz w:val="24"/>
          <w:szCs w:val="22"/>
        </w:rPr>
        <w:t xml:space="preserve"> the resubmission included patients outside the TGA-approved age group of 6-17 years in whom lower uptake was assumed.</w:t>
      </w:r>
      <w:r w:rsidR="001F560B" w:rsidRPr="004673D0">
        <w:rPr>
          <w:rFonts w:asciiTheme="minorHAnsi" w:eastAsiaTheme="minorHAnsi" w:hAnsiTheme="minorHAnsi" w:cstheme="minorBidi"/>
          <w:i/>
          <w:snapToGrid/>
          <w:sz w:val="24"/>
          <w:szCs w:val="22"/>
        </w:rPr>
        <w:t xml:space="preserve"> </w:t>
      </w:r>
    </w:p>
    <w:p w:rsidR="000963FC" w:rsidRPr="004673D0" w:rsidRDefault="00E013CF" w:rsidP="000963FC">
      <w:pPr>
        <w:pStyle w:val="ListParagraph"/>
        <w:widowControl/>
        <w:numPr>
          <w:ilvl w:val="1"/>
          <w:numId w:val="21"/>
        </w:numPr>
        <w:spacing w:after="120"/>
        <w:ind w:left="1077" w:hanging="357"/>
        <w:contextualSpacing w:val="0"/>
        <w:rPr>
          <w:rFonts w:asciiTheme="minorHAnsi" w:eastAsiaTheme="minorHAnsi" w:hAnsiTheme="minorHAnsi" w:cstheme="minorBidi"/>
          <w:i/>
          <w:snapToGrid/>
          <w:sz w:val="24"/>
          <w:szCs w:val="24"/>
        </w:rPr>
      </w:pPr>
      <w:r w:rsidRPr="004673D0">
        <w:rPr>
          <w:rFonts w:asciiTheme="minorHAnsi" w:eastAsiaTheme="minorHAnsi" w:hAnsiTheme="minorHAnsi" w:cstheme="minorBidi"/>
          <w:snapToGrid/>
          <w:sz w:val="24"/>
          <w:szCs w:val="24"/>
        </w:rPr>
        <w:t>P</w:t>
      </w:r>
      <w:r w:rsidR="00047B40" w:rsidRPr="004673D0">
        <w:rPr>
          <w:rFonts w:asciiTheme="minorHAnsi" w:eastAsiaTheme="minorHAnsi" w:hAnsiTheme="minorHAnsi" w:cstheme="minorBidi"/>
          <w:snapToGrid/>
          <w:sz w:val="24"/>
          <w:szCs w:val="24"/>
        </w:rPr>
        <w:t>atients receiving gu</w:t>
      </w:r>
      <w:r w:rsidR="003A10CD" w:rsidRPr="004673D0">
        <w:rPr>
          <w:rFonts w:asciiTheme="minorHAnsi" w:eastAsiaTheme="minorHAnsi" w:hAnsiTheme="minorHAnsi" w:cstheme="minorBidi"/>
          <w:snapToGrid/>
          <w:sz w:val="24"/>
          <w:szCs w:val="24"/>
        </w:rPr>
        <w:t>a</w:t>
      </w:r>
      <w:r w:rsidR="00047B40" w:rsidRPr="004673D0">
        <w:rPr>
          <w:rFonts w:asciiTheme="minorHAnsi" w:eastAsiaTheme="minorHAnsi" w:hAnsiTheme="minorHAnsi" w:cstheme="minorBidi"/>
          <w:snapToGrid/>
          <w:sz w:val="24"/>
          <w:szCs w:val="24"/>
        </w:rPr>
        <w:t xml:space="preserve">nfacine as add-on therapy </w:t>
      </w:r>
      <w:r w:rsidRPr="004673D0">
        <w:rPr>
          <w:rFonts w:asciiTheme="minorHAnsi" w:eastAsiaTheme="minorHAnsi" w:hAnsiTheme="minorHAnsi" w:cstheme="minorBidi"/>
          <w:snapToGrid/>
          <w:sz w:val="24"/>
          <w:szCs w:val="24"/>
        </w:rPr>
        <w:t xml:space="preserve">were assumed to </w:t>
      </w:r>
      <w:r w:rsidR="00047B40" w:rsidRPr="004673D0">
        <w:rPr>
          <w:rFonts w:asciiTheme="minorHAnsi" w:eastAsiaTheme="minorHAnsi" w:hAnsiTheme="minorHAnsi" w:cstheme="minorBidi"/>
          <w:snapToGrid/>
          <w:sz w:val="24"/>
          <w:szCs w:val="24"/>
        </w:rPr>
        <w:t xml:space="preserve">receive one tablet per day, </w:t>
      </w:r>
      <w:r w:rsidR="00047B40" w:rsidRPr="00AA10A4">
        <w:rPr>
          <w:rFonts w:asciiTheme="minorHAnsi" w:eastAsiaTheme="minorHAnsi" w:hAnsiTheme="minorHAnsi" w:cstheme="minorBidi"/>
          <w:snapToGrid/>
          <w:sz w:val="24"/>
          <w:szCs w:val="24"/>
        </w:rPr>
        <w:t xml:space="preserve">or </w:t>
      </w:r>
      <w:r w:rsidR="00F83616">
        <w:rPr>
          <w:rFonts w:asciiTheme="minorHAnsi" w:eastAsiaTheme="minorHAnsi" w:hAnsiTheme="minorHAnsi" w:cstheme="minorBidi"/>
          <w:noProof/>
          <w:snapToGrid/>
          <w:color w:val="000000"/>
          <w:sz w:val="24"/>
          <w:szCs w:val="24"/>
          <w:highlight w:val="black"/>
        </w:rPr>
        <w:t>''''''''''</w:t>
      </w:r>
      <w:r w:rsidR="00AE2BC4" w:rsidRPr="00AA10A4">
        <w:rPr>
          <w:rFonts w:asciiTheme="minorHAnsi" w:eastAsiaTheme="minorHAnsi" w:hAnsiTheme="minorHAnsi" w:cstheme="minorBidi"/>
          <w:snapToGrid/>
          <w:sz w:val="24"/>
          <w:szCs w:val="24"/>
        </w:rPr>
        <w:t xml:space="preserve"> </w:t>
      </w:r>
      <w:r w:rsidR="00047B40" w:rsidRPr="00AA10A4">
        <w:rPr>
          <w:rFonts w:asciiTheme="minorHAnsi" w:eastAsiaTheme="minorHAnsi" w:hAnsiTheme="minorHAnsi" w:cstheme="minorBidi"/>
          <w:snapToGrid/>
          <w:sz w:val="24"/>
          <w:szCs w:val="24"/>
        </w:rPr>
        <w:t>prescriptions per year</w:t>
      </w:r>
      <w:r w:rsidR="006F44C7" w:rsidRPr="00AA10A4">
        <w:rPr>
          <w:rFonts w:asciiTheme="minorHAnsi" w:eastAsiaTheme="minorHAnsi" w:hAnsiTheme="minorHAnsi" w:cstheme="minorBidi"/>
          <w:snapToGrid/>
          <w:sz w:val="24"/>
          <w:szCs w:val="24"/>
        </w:rPr>
        <w:t xml:space="preserve"> (pack size of 28, full compliance)</w:t>
      </w:r>
      <w:r w:rsidR="00047B40" w:rsidRPr="00AA10A4">
        <w:rPr>
          <w:rFonts w:asciiTheme="minorHAnsi" w:eastAsiaTheme="minorHAnsi" w:hAnsiTheme="minorHAnsi" w:cstheme="minorBidi"/>
          <w:snapToGrid/>
          <w:sz w:val="24"/>
          <w:szCs w:val="24"/>
        </w:rPr>
        <w:t>.</w:t>
      </w:r>
      <w:r w:rsidR="0046488D" w:rsidRPr="00AA10A4">
        <w:rPr>
          <w:rFonts w:asciiTheme="minorHAnsi" w:eastAsiaTheme="minorHAnsi" w:hAnsiTheme="minorHAnsi" w:cstheme="minorBidi"/>
          <w:snapToGrid/>
          <w:sz w:val="24"/>
          <w:szCs w:val="24"/>
        </w:rPr>
        <w:t xml:space="preserve"> This was lower than in the monotherapy</w:t>
      </w:r>
      <w:r w:rsidR="0046488D" w:rsidRPr="004673D0">
        <w:rPr>
          <w:rFonts w:asciiTheme="minorHAnsi" w:eastAsiaTheme="minorHAnsi" w:hAnsiTheme="minorHAnsi" w:cstheme="minorBidi"/>
          <w:snapToGrid/>
          <w:sz w:val="24"/>
          <w:szCs w:val="24"/>
        </w:rPr>
        <w:t xml:space="preserve"> setting (where 1.19 tablets per day were assumed). </w:t>
      </w:r>
      <w:r w:rsidR="001E6582" w:rsidRPr="004673D0">
        <w:rPr>
          <w:rFonts w:asciiTheme="minorHAnsi" w:eastAsiaTheme="minorHAnsi" w:hAnsiTheme="minorHAnsi" w:cstheme="minorBidi"/>
          <w:snapToGrid/>
          <w:sz w:val="24"/>
          <w:szCs w:val="24"/>
        </w:rPr>
        <w:t>This difference may have been appropriate as the maximum recommended dose is lower in add-on therapy and lower doses may be expected when used in combination. However, the guanfacine dose titration period was not accounted for which may have underestimated use as wastage or multiple tablets per day maybe required during this time.</w:t>
      </w:r>
    </w:p>
    <w:p w:rsidR="00214836" w:rsidRPr="004673D0" w:rsidRDefault="00214836" w:rsidP="0021483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The table below shows the estimated use and financial implications of listing guanfacine on the PBS/RPBS.</w:t>
      </w:r>
    </w:p>
    <w:p w:rsidR="000F772B" w:rsidRPr="004673D0" w:rsidRDefault="000F772B" w:rsidP="0093544E">
      <w:pPr>
        <w:pStyle w:val="Caption"/>
      </w:pPr>
      <w:r w:rsidRPr="004673D0">
        <w:t xml:space="preserve">Table </w:t>
      </w:r>
      <w:r w:rsidR="000A2F04" w:rsidRPr="004673D0">
        <w:t>6</w:t>
      </w:r>
      <w:r w:rsidRPr="004673D0">
        <w:t>: Estimated use and financial implications</w:t>
      </w:r>
      <w:r w:rsidR="003917C1" w:rsidRPr="004673D0">
        <w:t xml:space="preserve"> of listing gu</w:t>
      </w:r>
      <w:r w:rsidR="003A10CD" w:rsidRPr="004673D0">
        <w:t>a</w:t>
      </w:r>
      <w:r w:rsidR="003917C1" w:rsidRPr="004673D0">
        <w:t xml:space="preserve">nfacine as </w:t>
      </w:r>
      <w:r w:rsidR="001F560B" w:rsidRPr="004673D0">
        <w:t xml:space="preserve">an </w:t>
      </w:r>
      <w:r w:rsidR="003917C1" w:rsidRPr="004673D0">
        <w:t>ad</w:t>
      </w:r>
      <w:r w:rsidR="00AB0706" w:rsidRPr="004673D0">
        <w:t>d-on</w:t>
      </w:r>
      <w:r w:rsidR="003917C1" w:rsidRPr="004673D0">
        <w:t xml:space="preserve"> to stimulant </w:t>
      </w:r>
      <w:r w:rsidR="001F560B" w:rsidRPr="004673D0">
        <w:t>therapy</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
        <w:gridCol w:w="1844"/>
        <w:gridCol w:w="992"/>
        <w:gridCol w:w="992"/>
        <w:gridCol w:w="992"/>
        <w:gridCol w:w="992"/>
        <w:gridCol w:w="990"/>
        <w:gridCol w:w="996"/>
        <w:gridCol w:w="992"/>
      </w:tblGrid>
      <w:tr w:rsidR="00047B40" w:rsidRPr="004673D0" w:rsidTr="006B27B8">
        <w:trPr>
          <w:tblHeader/>
        </w:trPr>
        <w:tc>
          <w:tcPr>
            <w:tcW w:w="1184" w:type="pct"/>
            <w:gridSpan w:val="2"/>
          </w:tcPr>
          <w:p w:rsidR="00A72693" w:rsidRPr="004673D0" w:rsidRDefault="00A72693" w:rsidP="0093544E">
            <w:pPr>
              <w:pStyle w:val="TableText0"/>
            </w:pPr>
          </w:p>
        </w:tc>
        <w:tc>
          <w:tcPr>
            <w:tcW w:w="545" w:type="pct"/>
            <w:vAlign w:val="center"/>
          </w:tcPr>
          <w:p w:rsidR="00A72693" w:rsidRPr="004673D0" w:rsidRDefault="00A72693" w:rsidP="0093544E">
            <w:pPr>
              <w:pStyle w:val="TableText0"/>
              <w:jc w:val="center"/>
              <w:rPr>
                <w:b/>
              </w:rPr>
            </w:pPr>
            <w:r w:rsidRPr="004673D0">
              <w:rPr>
                <w:b/>
              </w:rPr>
              <w:t>Method</w:t>
            </w:r>
          </w:p>
        </w:tc>
        <w:tc>
          <w:tcPr>
            <w:tcW w:w="545" w:type="pct"/>
            <w:shd w:val="clear" w:color="auto" w:fill="auto"/>
            <w:vAlign w:val="center"/>
          </w:tcPr>
          <w:p w:rsidR="00A72693" w:rsidRPr="004673D0" w:rsidRDefault="00A72693" w:rsidP="006C3C02">
            <w:pPr>
              <w:pStyle w:val="TableText0"/>
              <w:jc w:val="center"/>
              <w:rPr>
                <w:b/>
              </w:rPr>
            </w:pPr>
            <w:r w:rsidRPr="004673D0">
              <w:rPr>
                <w:b/>
              </w:rPr>
              <w:t>Year 1</w:t>
            </w:r>
          </w:p>
        </w:tc>
        <w:tc>
          <w:tcPr>
            <w:tcW w:w="545" w:type="pct"/>
            <w:shd w:val="clear" w:color="auto" w:fill="auto"/>
            <w:vAlign w:val="center"/>
          </w:tcPr>
          <w:p w:rsidR="00A72693" w:rsidRPr="004673D0" w:rsidRDefault="00A72693" w:rsidP="006C3C02">
            <w:pPr>
              <w:pStyle w:val="TableText0"/>
              <w:jc w:val="center"/>
              <w:rPr>
                <w:b/>
              </w:rPr>
            </w:pPr>
            <w:r w:rsidRPr="004673D0">
              <w:rPr>
                <w:b/>
              </w:rPr>
              <w:t>Year 2</w:t>
            </w:r>
          </w:p>
        </w:tc>
        <w:tc>
          <w:tcPr>
            <w:tcW w:w="545" w:type="pct"/>
            <w:shd w:val="clear" w:color="auto" w:fill="auto"/>
            <w:vAlign w:val="center"/>
          </w:tcPr>
          <w:p w:rsidR="00A72693" w:rsidRPr="004673D0" w:rsidRDefault="00A72693" w:rsidP="006C3C02">
            <w:pPr>
              <w:pStyle w:val="TableText0"/>
              <w:jc w:val="center"/>
              <w:rPr>
                <w:b/>
              </w:rPr>
            </w:pPr>
            <w:r w:rsidRPr="004673D0">
              <w:rPr>
                <w:b/>
              </w:rPr>
              <w:t>Year 3</w:t>
            </w:r>
          </w:p>
        </w:tc>
        <w:tc>
          <w:tcPr>
            <w:tcW w:w="544" w:type="pct"/>
            <w:shd w:val="clear" w:color="auto" w:fill="auto"/>
            <w:vAlign w:val="center"/>
          </w:tcPr>
          <w:p w:rsidR="00A72693" w:rsidRPr="004673D0" w:rsidRDefault="00A72693" w:rsidP="006C3C02">
            <w:pPr>
              <w:pStyle w:val="TableText0"/>
              <w:jc w:val="center"/>
              <w:rPr>
                <w:b/>
              </w:rPr>
            </w:pPr>
            <w:r w:rsidRPr="004673D0">
              <w:rPr>
                <w:b/>
              </w:rPr>
              <w:t>Year 4</w:t>
            </w:r>
          </w:p>
        </w:tc>
        <w:tc>
          <w:tcPr>
            <w:tcW w:w="547" w:type="pct"/>
            <w:tcBorders>
              <w:right w:val="single" w:sz="4" w:space="0" w:color="auto"/>
            </w:tcBorders>
            <w:shd w:val="clear" w:color="auto" w:fill="auto"/>
            <w:vAlign w:val="center"/>
          </w:tcPr>
          <w:p w:rsidR="00A72693" w:rsidRPr="004673D0" w:rsidRDefault="00A72693" w:rsidP="006C3C02">
            <w:pPr>
              <w:pStyle w:val="TableText0"/>
              <w:jc w:val="center"/>
              <w:rPr>
                <w:b/>
              </w:rPr>
            </w:pPr>
            <w:r w:rsidRPr="004673D0">
              <w:rPr>
                <w:b/>
              </w:rPr>
              <w:t>Year 5</w:t>
            </w:r>
          </w:p>
        </w:tc>
        <w:tc>
          <w:tcPr>
            <w:tcW w:w="545" w:type="pct"/>
            <w:tcBorders>
              <w:right w:val="single" w:sz="4" w:space="0" w:color="auto"/>
            </w:tcBorders>
            <w:tcMar>
              <w:left w:w="0" w:type="dxa"/>
              <w:right w:w="0" w:type="dxa"/>
            </w:tcMar>
          </w:tcPr>
          <w:p w:rsidR="00A72693" w:rsidRPr="004673D0" w:rsidRDefault="00A72693" w:rsidP="006C3C02">
            <w:pPr>
              <w:pStyle w:val="TableText0"/>
              <w:jc w:val="center"/>
              <w:rPr>
                <w:b/>
              </w:rPr>
            </w:pPr>
            <w:r w:rsidRPr="004673D0">
              <w:rPr>
                <w:b/>
              </w:rPr>
              <w:t>Year 6</w:t>
            </w:r>
          </w:p>
        </w:tc>
      </w:tr>
      <w:tr w:rsidR="00780B32" w:rsidRPr="004673D0" w:rsidTr="006B27B8">
        <w:tc>
          <w:tcPr>
            <w:tcW w:w="5000" w:type="pct"/>
            <w:gridSpan w:val="9"/>
            <w:tcBorders>
              <w:right w:val="single" w:sz="4" w:space="0" w:color="auto"/>
            </w:tcBorders>
          </w:tcPr>
          <w:p w:rsidR="00780B32" w:rsidRPr="004673D0" w:rsidRDefault="00780B32" w:rsidP="0093544E">
            <w:pPr>
              <w:pStyle w:val="TableText0"/>
              <w:rPr>
                <w:b/>
              </w:rPr>
            </w:pPr>
            <w:r w:rsidRPr="004673D0">
              <w:rPr>
                <w:b/>
              </w:rPr>
              <w:t>Estimated extent of use</w:t>
            </w:r>
          </w:p>
        </w:tc>
      </w:tr>
      <w:tr w:rsidR="006B27B8" w:rsidRPr="004673D0" w:rsidTr="006B27B8">
        <w:tc>
          <w:tcPr>
            <w:tcW w:w="171" w:type="pct"/>
            <w:vAlign w:val="center"/>
          </w:tcPr>
          <w:p w:rsidR="00A72693" w:rsidRPr="004673D0" w:rsidRDefault="00A72693" w:rsidP="0093544E">
            <w:pPr>
              <w:pStyle w:val="TableText0"/>
              <w:jc w:val="center"/>
            </w:pPr>
            <w:r w:rsidRPr="004673D0">
              <w:t>A</w:t>
            </w:r>
          </w:p>
        </w:tc>
        <w:tc>
          <w:tcPr>
            <w:tcW w:w="1013" w:type="pct"/>
            <w:shd w:val="clear" w:color="auto" w:fill="auto"/>
            <w:vAlign w:val="center"/>
          </w:tcPr>
          <w:p w:rsidR="00A72693" w:rsidRPr="004673D0" w:rsidRDefault="00A72693" w:rsidP="0093544E">
            <w:pPr>
              <w:pStyle w:val="TableText0"/>
            </w:pPr>
            <w:r w:rsidRPr="004673D0">
              <w:t>Projected utilisation of stimulants</w:t>
            </w:r>
          </w:p>
        </w:tc>
        <w:tc>
          <w:tcPr>
            <w:tcW w:w="545" w:type="pct"/>
            <w:shd w:val="clear" w:color="auto" w:fill="auto"/>
            <w:vAlign w:val="center"/>
          </w:tcPr>
          <w:p w:rsidR="00A72693" w:rsidRPr="004673D0" w:rsidRDefault="00A72693" w:rsidP="0093544E">
            <w:pPr>
              <w:pStyle w:val="TableText0"/>
            </w:pPr>
            <w:r w:rsidRPr="004673D0">
              <w:t>12.5% x PBS data</w:t>
            </w:r>
          </w:p>
        </w:tc>
        <w:tc>
          <w:tcPr>
            <w:tcW w:w="545" w:type="pct"/>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4" w:type="pct"/>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7" w:type="pct"/>
            <w:tcBorders>
              <w:right w:val="single" w:sz="4" w:space="0" w:color="auto"/>
            </w:tcBorders>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5" w:type="pct"/>
            <w:tcBorders>
              <w:right w:val="single" w:sz="4" w:space="0" w:color="auto"/>
            </w:tcBorders>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6B27B8" w:rsidRPr="004673D0" w:rsidTr="006B27B8">
        <w:tc>
          <w:tcPr>
            <w:tcW w:w="171" w:type="pct"/>
            <w:vAlign w:val="center"/>
          </w:tcPr>
          <w:p w:rsidR="00A72693" w:rsidRPr="004673D0" w:rsidRDefault="00A72693" w:rsidP="0093544E">
            <w:pPr>
              <w:pStyle w:val="TableText0"/>
              <w:jc w:val="center"/>
            </w:pPr>
            <w:r w:rsidRPr="004673D0">
              <w:t>B</w:t>
            </w:r>
          </w:p>
        </w:tc>
        <w:tc>
          <w:tcPr>
            <w:tcW w:w="1013" w:type="pct"/>
            <w:shd w:val="clear" w:color="auto" w:fill="auto"/>
            <w:vAlign w:val="center"/>
          </w:tcPr>
          <w:p w:rsidR="00A72693" w:rsidRPr="004673D0" w:rsidRDefault="00A72693" w:rsidP="0093544E">
            <w:pPr>
              <w:pStyle w:val="TableText0"/>
            </w:pPr>
            <w:r w:rsidRPr="004673D0">
              <w:t>Patient years of therapy</w:t>
            </w:r>
          </w:p>
        </w:tc>
        <w:tc>
          <w:tcPr>
            <w:tcW w:w="545" w:type="pct"/>
            <w:shd w:val="clear" w:color="auto" w:fill="auto"/>
            <w:vAlign w:val="center"/>
          </w:tcPr>
          <w:p w:rsidR="00A72693" w:rsidRPr="004673D0" w:rsidRDefault="00A72693" w:rsidP="0093544E">
            <w:pPr>
              <w:pStyle w:val="TableText0"/>
            </w:pPr>
            <w:r w:rsidRPr="004673D0">
              <w:t>A</w:t>
            </w:r>
            <w:r w:rsidR="006B27B8" w:rsidRPr="004673D0">
              <w:t xml:space="preserve"> </w:t>
            </w:r>
            <w:r w:rsidRPr="004673D0">
              <w:t>/</w:t>
            </w:r>
            <w:r w:rsidR="006B27B8" w:rsidRPr="004673D0">
              <w:t xml:space="preserve"> </w:t>
            </w:r>
            <w:r w:rsidR="00F83616">
              <w:rPr>
                <w:noProof/>
                <w:color w:val="000000"/>
                <w:highlight w:val="black"/>
              </w:rPr>
              <w:t>'''''''''''''</w:t>
            </w:r>
          </w:p>
        </w:tc>
        <w:tc>
          <w:tcPr>
            <w:tcW w:w="545" w:type="pct"/>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4" w:type="pct"/>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7" w:type="pct"/>
            <w:tcBorders>
              <w:right w:val="single" w:sz="4" w:space="0" w:color="auto"/>
            </w:tcBorders>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5" w:type="pct"/>
            <w:tcBorders>
              <w:right w:val="single" w:sz="4" w:space="0" w:color="auto"/>
            </w:tcBorders>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6B27B8" w:rsidRPr="004673D0" w:rsidTr="006B27B8">
        <w:tc>
          <w:tcPr>
            <w:tcW w:w="171" w:type="pct"/>
            <w:vAlign w:val="center"/>
          </w:tcPr>
          <w:p w:rsidR="00A72693" w:rsidRPr="004673D0" w:rsidRDefault="00A72693" w:rsidP="0093544E">
            <w:pPr>
              <w:pStyle w:val="TableText0"/>
              <w:jc w:val="center"/>
            </w:pPr>
            <w:r w:rsidRPr="004673D0">
              <w:t>C</w:t>
            </w:r>
          </w:p>
        </w:tc>
        <w:tc>
          <w:tcPr>
            <w:tcW w:w="1013" w:type="pct"/>
            <w:shd w:val="clear" w:color="auto" w:fill="auto"/>
            <w:vAlign w:val="center"/>
          </w:tcPr>
          <w:p w:rsidR="00A72693" w:rsidRPr="004673D0" w:rsidRDefault="00A72693" w:rsidP="0093544E">
            <w:pPr>
              <w:pStyle w:val="TableText0"/>
            </w:pPr>
            <w:r w:rsidRPr="004673D0">
              <w:t>Eligible population (patient years)</w:t>
            </w:r>
          </w:p>
        </w:tc>
        <w:tc>
          <w:tcPr>
            <w:tcW w:w="545" w:type="pct"/>
            <w:shd w:val="clear" w:color="auto" w:fill="auto"/>
            <w:vAlign w:val="center"/>
          </w:tcPr>
          <w:p w:rsidR="00A72693" w:rsidRPr="004673D0" w:rsidRDefault="00A72693" w:rsidP="0093544E">
            <w:pPr>
              <w:pStyle w:val="TableText0"/>
            </w:pPr>
            <w:r w:rsidRPr="004673D0">
              <w:t>B x 20%</w:t>
            </w:r>
          </w:p>
        </w:tc>
        <w:tc>
          <w:tcPr>
            <w:tcW w:w="545" w:type="pct"/>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4" w:type="pct"/>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7" w:type="pct"/>
            <w:tcBorders>
              <w:right w:val="single" w:sz="4" w:space="0" w:color="auto"/>
            </w:tcBorders>
            <w:shd w:val="clear" w:color="auto" w:fill="auto"/>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45" w:type="pct"/>
            <w:tcBorders>
              <w:right w:val="single" w:sz="4" w:space="0" w:color="auto"/>
            </w:tcBorders>
            <w:vAlign w:val="center"/>
          </w:tcPr>
          <w:p w:rsidR="00A72693" w:rsidRPr="00F83616" w:rsidRDefault="00F83616" w:rsidP="0093544E">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6B27B8" w:rsidRPr="004673D0" w:rsidTr="006B27B8">
        <w:tc>
          <w:tcPr>
            <w:tcW w:w="171" w:type="pct"/>
            <w:vAlign w:val="center"/>
          </w:tcPr>
          <w:p w:rsidR="00A72693" w:rsidRPr="004673D0" w:rsidRDefault="00A72693" w:rsidP="0093544E">
            <w:pPr>
              <w:pStyle w:val="TableText0"/>
              <w:jc w:val="center"/>
            </w:pPr>
            <w:r w:rsidRPr="004673D0">
              <w:t>D</w:t>
            </w:r>
          </w:p>
        </w:tc>
        <w:tc>
          <w:tcPr>
            <w:tcW w:w="1013" w:type="pct"/>
            <w:shd w:val="clear" w:color="auto" w:fill="auto"/>
            <w:vAlign w:val="center"/>
          </w:tcPr>
          <w:p w:rsidR="00A72693" w:rsidRPr="004673D0" w:rsidRDefault="00AE2BC4" w:rsidP="0093544E">
            <w:pPr>
              <w:pStyle w:val="TableText0"/>
            </w:pPr>
            <w:r w:rsidRPr="004673D0">
              <w:t>Uptake rates</w:t>
            </w:r>
          </w:p>
        </w:tc>
        <w:tc>
          <w:tcPr>
            <w:tcW w:w="545" w:type="pct"/>
            <w:shd w:val="clear" w:color="auto" w:fill="auto"/>
            <w:vAlign w:val="center"/>
          </w:tcPr>
          <w:p w:rsidR="00A72693" w:rsidRPr="004673D0" w:rsidRDefault="00A72693" w:rsidP="0093544E">
            <w:pPr>
              <w:pStyle w:val="TableText0"/>
            </w:pPr>
            <w:r w:rsidRPr="004673D0">
              <w:t>Assumption</w:t>
            </w:r>
          </w:p>
        </w:tc>
        <w:tc>
          <w:tcPr>
            <w:tcW w:w="545" w:type="pct"/>
            <w:shd w:val="clear" w:color="auto" w:fill="auto"/>
            <w:vAlign w:val="center"/>
          </w:tcPr>
          <w:p w:rsidR="00A72693" w:rsidRPr="004673D0" w:rsidRDefault="00F83616" w:rsidP="0093544E">
            <w:pPr>
              <w:keepNext/>
              <w:rPr>
                <w:rFonts w:ascii="Arial Narrow" w:hAnsi="Arial Narrow" w:cs="Arial"/>
                <w:color w:val="000000"/>
                <w:sz w:val="20"/>
                <w:szCs w:val="20"/>
              </w:rPr>
            </w:pPr>
            <w:r>
              <w:rPr>
                <w:rFonts w:ascii="Arial Narrow" w:hAnsi="Arial Narrow" w:cs="Arial"/>
                <w:noProof/>
                <w:color w:val="000000"/>
                <w:sz w:val="20"/>
                <w:szCs w:val="20"/>
                <w:highlight w:val="black"/>
              </w:rPr>
              <w:t>'''''''''</w:t>
            </w:r>
            <w:r w:rsidR="00A72693" w:rsidRPr="004673D0">
              <w:rPr>
                <w:rFonts w:ascii="Arial Narrow" w:hAnsi="Arial Narrow" w:cs="Arial"/>
                <w:color w:val="000000"/>
                <w:sz w:val="20"/>
                <w:szCs w:val="20"/>
              </w:rPr>
              <w:t>%</w:t>
            </w:r>
          </w:p>
        </w:tc>
        <w:tc>
          <w:tcPr>
            <w:tcW w:w="545" w:type="pct"/>
            <w:shd w:val="clear" w:color="auto" w:fill="auto"/>
            <w:vAlign w:val="center"/>
          </w:tcPr>
          <w:p w:rsidR="00A72693" w:rsidRPr="004673D0" w:rsidRDefault="00F83616" w:rsidP="0093544E">
            <w:pPr>
              <w:keepNext/>
              <w:rPr>
                <w:rFonts w:ascii="Arial Narrow" w:hAnsi="Arial Narrow" w:cs="Arial"/>
                <w:color w:val="000000"/>
                <w:sz w:val="20"/>
                <w:szCs w:val="20"/>
              </w:rPr>
            </w:pPr>
            <w:r>
              <w:rPr>
                <w:rFonts w:ascii="Arial Narrow" w:hAnsi="Arial Narrow" w:cs="Arial"/>
                <w:noProof/>
                <w:color w:val="000000"/>
                <w:sz w:val="20"/>
                <w:szCs w:val="20"/>
                <w:highlight w:val="black"/>
              </w:rPr>
              <w:t>''''''''''</w:t>
            </w:r>
            <w:r w:rsidR="00A72693" w:rsidRPr="004673D0">
              <w:rPr>
                <w:rFonts w:ascii="Arial Narrow" w:hAnsi="Arial Narrow" w:cs="Arial"/>
                <w:color w:val="000000"/>
                <w:sz w:val="20"/>
                <w:szCs w:val="20"/>
              </w:rPr>
              <w:t>%</w:t>
            </w:r>
          </w:p>
        </w:tc>
        <w:tc>
          <w:tcPr>
            <w:tcW w:w="545" w:type="pct"/>
            <w:shd w:val="clear" w:color="auto" w:fill="auto"/>
            <w:vAlign w:val="center"/>
          </w:tcPr>
          <w:p w:rsidR="00A72693" w:rsidRPr="004673D0" w:rsidRDefault="00F83616" w:rsidP="0093544E">
            <w:pPr>
              <w:keepNext/>
              <w:rPr>
                <w:rFonts w:ascii="Arial Narrow" w:hAnsi="Arial Narrow" w:cs="Arial"/>
                <w:color w:val="000000"/>
                <w:sz w:val="20"/>
                <w:szCs w:val="20"/>
              </w:rPr>
            </w:pPr>
            <w:r>
              <w:rPr>
                <w:rFonts w:ascii="Arial Narrow" w:hAnsi="Arial Narrow" w:cs="Arial"/>
                <w:noProof/>
                <w:color w:val="000000"/>
                <w:sz w:val="20"/>
                <w:szCs w:val="20"/>
                <w:highlight w:val="black"/>
              </w:rPr>
              <w:t>''''''''''</w:t>
            </w:r>
            <w:r w:rsidR="00A72693" w:rsidRPr="004673D0">
              <w:rPr>
                <w:rFonts w:ascii="Arial Narrow" w:hAnsi="Arial Narrow" w:cs="Arial"/>
                <w:color w:val="000000"/>
                <w:sz w:val="20"/>
                <w:szCs w:val="20"/>
              </w:rPr>
              <w:t>%</w:t>
            </w:r>
          </w:p>
        </w:tc>
        <w:tc>
          <w:tcPr>
            <w:tcW w:w="544" w:type="pct"/>
            <w:shd w:val="clear" w:color="auto" w:fill="auto"/>
            <w:vAlign w:val="center"/>
          </w:tcPr>
          <w:p w:rsidR="00A72693" w:rsidRPr="004673D0" w:rsidRDefault="00F83616" w:rsidP="0093544E">
            <w:pPr>
              <w:keepNext/>
              <w:rPr>
                <w:rFonts w:ascii="Arial Narrow" w:hAnsi="Arial Narrow" w:cs="Arial"/>
                <w:color w:val="000000"/>
                <w:sz w:val="20"/>
                <w:szCs w:val="20"/>
              </w:rPr>
            </w:pPr>
            <w:r>
              <w:rPr>
                <w:rFonts w:ascii="Arial Narrow" w:hAnsi="Arial Narrow" w:cs="Arial"/>
                <w:noProof/>
                <w:color w:val="000000"/>
                <w:sz w:val="20"/>
                <w:szCs w:val="20"/>
                <w:highlight w:val="black"/>
              </w:rPr>
              <w:t>''''''''''</w:t>
            </w:r>
            <w:r w:rsidR="00A72693" w:rsidRPr="004673D0">
              <w:rPr>
                <w:rFonts w:ascii="Arial Narrow" w:hAnsi="Arial Narrow" w:cs="Arial"/>
                <w:color w:val="000000"/>
                <w:sz w:val="20"/>
                <w:szCs w:val="20"/>
              </w:rPr>
              <w:t>%</w:t>
            </w:r>
          </w:p>
        </w:tc>
        <w:tc>
          <w:tcPr>
            <w:tcW w:w="547" w:type="pct"/>
            <w:tcBorders>
              <w:right w:val="single" w:sz="4" w:space="0" w:color="auto"/>
            </w:tcBorders>
            <w:shd w:val="clear" w:color="auto" w:fill="auto"/>
            <w:vAlign w:val="center"/>
          </w:tcPr>
          <w:p w:rsidR="00A72693" w:rsidRPr="004673D0" w:rsidRDefault="00F83616" w:rsidP="0093544E">
            <w:pPr>
              <w:keepNext/>
              <w:rPr>
                <w:rFonts w:ascii="Arial Narrow" w:hAnsi="Arial Narrow" w:cs="Arial"/>
                <w:color w:val="000000"/>
                <w:sz w:val="20"/>
                <w:szCs w:val="20"/>
              </w:rPr>
            </w:pPr>
            <w:r>
              <w:rPr>
                <w:rFonts w:ascii="Arial Narrow" w:hAnsi="Arial Narrow" w:cs="Arial"/>
                <w:noProof/>
                <w:color w:val="000000"/>
                <w:sz w:val="20"/>
                <w:szCs w:val="20"/>
                <w:highlight w:val="black"/>
              </w:rPr>
              <w:t>''''''''''</w:t>
            </w:r>
            <w:r w:rsidR="00A72693" w:rsidRPr="004673D0">
              <w:rPr>
                <w:rFonts w:ascii="Arial Narrow" w:hAnsi="Arial Narrow" w:cs="Arial"/>
                <w:color w:val="000000"/>
                <w:sz w:val="20"/>
                <w:szCs w:val="20"/>
              </w:rPr>
              <w:t>%</w:t>
            </w:r>
          </w:p>
        </w:tc>
        <w:tc>
          <w:tcPr>
            <w:tcW w:w="545" w:type="pct"/>
            <w:tcBorders>
              <w:right w:val="single" w:sz="4" w:space="0" w:color="auto"/>
            </w:tcBorders>
            <w:vAlign w:val="center"/>
          </w:tcPr>
          <w:p w:rsidR="00A72693" w:rsidRPr="004673D0" w:rsidRDefault="00F83616" w:rsidP="0093544E">
            <w:pPr>
              <w:keepNext/>
              <w:rPr>
                <w:rFonts w:ascii="Arial Narrow" w:hAnsi="Arial Narrow" w:cs="Arial"/>
                <w:color w:val="000000"/>
                <w:sz w:val="20"/>
                <w:szCs w:val="20"/>
              </w:rPr>
            </w:pPr>
            <w:r>
              <w:rPr>
                <w:rFonts w:ascii="Arial Narrow" w:hAnsi="Arial Narrow" w:cs="Arial"/>
                <w:noProof/>
                <w:color w:val="000000"/>
                <w:sz w:val="20"/>
                <w:szCs w:val="20"/>
                <w:highlight w:val="black"/>
              </w:rPr>
              <w:t>'''''''''''</w:t>
            </w:r>
            <w:r w:rsidR="00A72693" w:rsidRPr="004673D0">
              <w:rPr>
                <w:rFonts w:ascii="Arial Narrow" w:hAnsi="Arial Narrow" w:cs="Arial"/>
                <w:color w:val="000000"/>
                <w:sz w:val="20"/>
                <w:szCs w:val="20"/>
              </w:rPr>
              <w:t>%</w:t>
            </w:r>
          </w:p>
        </w:tc>
      </w:tr>
      <w:tr w:rsidR="006B27B8" w:rsidRPr="004673D0" w:rsidTr="006B27B8">
        <w:trPr>
          <w:trHeight w:val="474"/>
        </w:trPr>
        <w:tc>
          <w:tcPr>
            <w:tcW w:w="171" w:type="pct"/>
            <w:vAlign w:val="center"/>
          </w:tcPr>
          <w:p w:rsidR="00A72693" w:rsidRPr="004673D0" w:rsidRDefault="00A72693" w:rsidP="0093544E">
            <w:pPr>
              <w:pStyle w:val="TableText0"/>
              <w:jc w:val="center"/>
            </w:pPr>
            <w:r w:rsidRPr="004673D0">
              <w:t>E</w:t>
            </w:r>
          </w:p>
        </w:tc>
        <w:tc>
          <w:tcPr>
            <w:tcW w:w="1013" w:type="pct"/>
            <w:shd w:val="clear" w:color="auto" w:fill="auto"/>
            <w:vAlign w:val="center"/>
          </w:tcPr>
          <w:p w:rsidR="00A72693" w:rsidRPr="004673D0" w:rsidRDefault="00621EEA" w:rsidP="003A10CD">
            <w:pPr>
              <w:pStyle w:val="TableText0"/>
            </w:pPr>
            <w:r w:rsidRPr="004673D0">
              <w:t>ADJ</w:t>
            </w:r>
            <w:r w:rsidR="006B27B8" w:rsidRPr="004673D0">
              <w:t xml:space="preserve"> </w:t>
            </w:r>
            <w:r w:rsidR="00A72693" w:rsidRPr="004673D0">
              <w:t>gu</w:t>
            </w:r>
            <w:r w:rsidR="003A10CD" w:rsidRPr="004673D0">
              <w:t>a</w:t>
            </w:r>
            <w:r w:rsidR="00A72693" w:rsidRPr="004673D0">
              <w:t>nfacine (patient years)</w:t>
            </w:r>
          </w:p>
        </w:tc>
        <w:tc>
          <w:tcPr>
            <w:tcW w:w="545" w:type="pct"/>
            <w:shd w:val="clear" w:color="auto" w:fill="auto"/>
            <w:vAlign w:val="center"/>
          </w:tcPr>
          <w:p w:rsidR="00A72693" w:rsidRPr="004673D0" w:rsidRDefault="00A72693" w:rsidP="0093544E">
            <w:pPr>
              <w:pStyle w:val="TableText0"/>
            </w:pPr>
            <w:r w:rsidRPr="004673D0">
              <w:t>C x D</w:t>
            </w:r>
          </w:p>
        </w:tc>
        <w:tc>
          <w:tcPr>
            <w:tcW w:w="545" w:type="pct"/>
            <w:shd w:val="clear" w:color="auto" w:fill="auto"/>
            <w:vAlign w:val="center"/>
          </w:tcPr>
          <w:p w:rsidR="00A72693" w:rsidRPr="00F83616" w:rsidRDefault="00F83616" w:rsidP="0093544E">
            <w:pPr>
              <w:pStyle w:val="Tabletext"/>
              <w:keepNext/>
              <w:spacing w:after="0"/>
              <w:rPr>
                <w:rFonts w:ascii="Arial Narrow" w:hAnsi="Arial Narrow"/>
                <w:highlight w:val="black"/>
              </w:rPr>
            </w:pPr>
            <w:r>
              <w:rPr>
                <w:rFonts w:ascii="Arial Narrow" w:hAnsi="Arial Narrow"/>
                <w:noProof/>
                <w:color w:val="000000"/>
                <w:highlight w:val="black"/>
              </w:rPr>
              <w:t>'''''''''</w:t>
            </w:r>
          </w:p>
        </w:tc>
        <w:tc>
          <w:tcPr>
            <w:tcW w:w="545" w:type="pct"/>
            <w:shd w:val="clear" w:color="auto" w:fill="auto"/>
            <w:vAlign w:val="center"/>
          </w:tcPr>
          <w:p w:rsidR="00A72693" w:rsidRPr="00F83616" w:rsidRDefault="00F83616" w:rsidP="0093544E">
            <w:pPr>
              <w:pStyle w:val="Tabletext"/>
              <w:keepNext/>
              <w:spacing w:after="0"/>
              <w:rPr>
                <w:rFonts w:ascii="Arial Narrow" w:hAnsi="Arial Narrow"/>
                <w:highlight w:val="black"/>
              </w:rPr>
            </w:pPr>
            <w:r>
              <w:rPr>
                <w:rFonts w:ascii="Arial Narrow" w:hAnsi="Arial Narrow"/>
                <w:noProof/>
                <w:color w:val="000000"/>
                <w:highlight w:val="black"/>
              </w:rPr>
              <w:t>''''''''''''</w:t>
            </w:r>
          </w:p>
        </w:tc>
        <w:tc>
          <w:tcPr>
            <w:tcW w:w="545" w:type="pct"/>
            <w:shd w:val="clear" w:color="auto" w:fill="auto"/>
            <w:vAlign w:val="center"/>
          </w:tcPr>
          <w:p w:rsidR="00A72693" w:rsidRPr="00F83616" w:rsidRDefault="00F83616" w:rsidP="0093544E">
            <w:pPr>
              <w:pStyle w:val="Tabletext"/>
              <w:keepNext/>
              <w:spacing w:after="0"/>
              <w:rPr>
                <w:rFonts w:ascii="Arial Narrow" w:hAnsi="Arial Narrow"/>
                <w:highlight w:val="black"/>
              </w:rPr>
            </w:pPr>
            <w:r>
              <w:rPr>
                <w:rFonts w:ascii="Arial Narrow" w:hAnsi="Arial Narrow"/>
                <w:noProof/>
                <w:color w:val="000000"/>
                <w:highlight w:val="black"/>
              </w:rPr>
              <w:t>''''''''''''</w:t>
            </w:r>
          </w:p>
        </w:tc>
        <w:tc>
          <w:tcPr>
            <w:tcW w:w="544" w:type="pct"/>
            <w:shd w:val="clear" w:color="auto" w:fill="auto"/>
            <w:vAlign w:val="center"/>
          </w:tcPr>
          <w:p w:rsidR="00A72693" w:rsidRPr="00F83616" w:rsidRDefault="00F83616" w:rsidP="0093544E">
            <w:pPr>
              <w:pStyle w:val="Tabletext"/>
              <w:keepNext/>
              <w:spacing w:after="0"/>
              <w:rPr>
                <w:rFonts w:ascii="Arial Narrow" w:hAnsi="Arial Narrow"/>
                <w:highlight w:val="black"/>
              </w:rPr>
            </w:pPr>
            <w:r>
              <w:rPr>
                <w:rFonts w:ascii="Arial Narrow" w:hAnsi="Arial Narrow"/>
                <w:noProof/>
                <w:color w:val="000000"/>
                <w:highlight w:val="black"/>
              </w:rPr>
              <w:t>''''''''''''''</w:t>
            </w:r>
          </w:p>
        </w:tc>
        <w:tc>
          <w:tcPr>
            <w:tcW w:w="547" w:type="pct"/>
            <w:tcBorders>
              <w:right w:val="single" w:sz="4" w:space="0" w:color="auto"/>
            </w:tcBorders>
            <w:shd w:val="clear" w:color="auto" w:fill="auto"/>
            <w:vAlign w:val="center"/>
          </w:tcPr>
          <w:p w:rsidR="00A72693" w:rsidRPr="00F83616" w:rsidRDefault="00F83616" w:rsidP="0093544E">
            <w:pPr>
              <w:pStyle w:val="Tabletext"/>
              <w:keepNext/>
              <w:spacing w:after="0"/>
              <w:rPr>
                <w:rFonts w:ascii="Arial Narrow" w:hAnsi="Arial Narrow"/>
                <w:highlight w:val="black"/>
              </w:rPr>
            </w:pPr>
            <w:r>
              <w:rPr>
                <w:rFonts w:ascii="Arial Narrow" w:hAnsi="Arial Narrow"/>
                <w:noProof/>
                <w:color w:val="000000"/>
                <w:highlight w:val="black"/>
              </w:rPr>
              <w:t>''''''''''''''</w:t>
            </w:r>
          </w:p>
        </w:tc>
        <w:tc>
          <w:tcPr>
            <w:tcW w:w="545" w:type="pct"/>
            <w:tcBorders>
              <w:right w:val="single" w:sz="4" w:space="0" w:color="auto"/>
            </w:tcBorders>
            <w:vAlign w:val="center"/>
          </w:tcPr>
          <w:p w:rsidR="00A72693" w:rsidRPr="00F83616" w:rsidRDefault="00F83616" w:rsidP="0093544E">
            <w:pPr>
              <w:pStyle w:val="Tabletext"/>
              <w:keepNext/>
              <w:spacing w:after="0"/>
              <w:rPr>
                <w:rFonts w:ascii="Arial Narrow" w:hAnsi="Arial Narrow"/>
                <w:highlight w:val="black"/>
              </w:rPr>
            </w:pPr>
            <w:r>
              <w:rPr>
                <w:rFonts w:ascii="Arial Narrow" w:hAnsi="Arial Narrow"/>
                <w:noProof/>
                <w:color w:val="000000"/>
                <w:highlight w:val="black"/>
              </w:rPr>
              <w:t>''''''''''''''</w:t>
            </w:r>
          </w:p>
        </w:tc>
      </w:tr>
      <w:tr w:rsidR="006B27B8" w:rsidRPr="004673D0" w:rsidTr="006B27B8">
        <w:trPr>
          <w:trHeight w:val="183"/>
        </w:trPr>
        <w:tc>
          <w:tcPr>
            <w:tcW w:w="171" w:type="pct"/>
            <w:vAlign w:val="center"/>
          </w:tcPr>
          <w:p w:rsidR="00047B40" w:rsidRPr="004673D0" w:rsidRDefault="00047B40" w:rsidP="0093544E">
            <w:pPr>
              <w:pStyle w:val="TableText0"/>
              <w:jc w:val="center"/>
              <w:rPr>
                <w:b/>
              </w:rPr>
            </w:pPr>
            <w:r w:rsidRPr="004673D0">
              <w:rPr>
                <w:b/>
              </w:rPr>
              <w:t>F</w:t>
            </w:r>
          </w:p>
        </w:tc>
        <w:tc>
          <w:tcPr>
            <w:tcW w:w="1013" w:type="pct"/>
            <w:shd w:val="clear" w:color="auto" w:fill="auto"/>
            <w:vAlign w:val="center"/>
          </w:tcPr>
          <w:p w:rsidR="00047B40" w:rsidRPr="004673D0" w:rsidRDefault="00BA5339" w:rsidP="003A10CD">
            <w:pPr>
              <w:pStyle w:val="TableText0"/>
              <w:rPr>
                <w:b/>
              </w:rPr>
            </w:pPr>
            <w:r w:rsidRPr="004673D0">
              <w:rPr>
                <w:b/>
              </w:rPr>
              <w:t xml:space="preserve">Total </w:t>
            </w:r>
            <w:r w:rsidR="00621EEA" w:rsidRPr="004673D0">
              <w:rPr>
                <w:b/>
              </w:rPr>
              <w:t>ADJ g</w:t>
            </w:r>
            <w:r w:rsidR="006B27B8" w:rsidRPr="004673D0">
              <w:rPr>
                <w:b/>
              </w:rPr>
              <w:t>u</w:t>
            </w:r>
            <w:r w:rsidR="003A10CD" w:rsidRPr="004673D0">
              <w:rPr>
                <w:b/>
              </w:rPr>
              <w:t>a</w:t>
            </w:r>
            <w:r w:rsidR="006B27B8" w:rsidRPr="004673D0">
              <w:rPr>
                <w:b/>
              </w:rPr>
              <w:t>nfacine s</w:t>
            </w:r>
            <w:r w:rsidR="00047B40" w:rsidRPr="004673D0">
              <w:rPr>
                <w:b/>
              </w:rPr>
              <w:t>cripts</w:t>
            </w:r>
          </w:p>
        </w:tc>
        <w:tc>
          <w:tcPr>
            <w:tcW w:w="545" w:type="pct"/>
            <w:shd w:val="clear" w:color="auto" w:fill="auto"/>
            <w:vAlign w:val="center"/>
          </w:tcPr>
          <w:p w:rsidR="00047B40" w:rsidRPr="004673D0" w:rsidRDefault="00047B40" w:rsidP="0093544E">
            <w:pPr>
              <w:pStyle w:val="TableText0"/>
              <w:rPr>
                <w:b/>
              </w:rPr>
            </w:pPr>
            <w:r w:rsidRPr="004673D0">
              <w:rPr>
                <w:b/>
              </w:rPr>
              <w:t xml:space="preserve">E x </w:t>
            </w:r>
            <w:r w:rsidR="00F83616">
              <w:rPr>
                <w:b/>
                <w:noProof/>
                <w:color w:val="000000"/>
                <w:highlight w:val="black"/>
              </w:rPr>
              <w:t>'''''''''''</w:t>
            </w:r>
          </w:p>
        </w:tc>
        <w:tc>
          <w:tcPr>
            <w:tcW w:w="545" w:type="pct"/>
            <w:shd w:val="clear" w:color="auto" w:fill="auto"/>
            <w:vAlign w:val="center"/>
          </w:tcPr>
          <w:p w:rsidR="00047B40" w:rsidRPr="00F83616" w:rsidRDefault="00F83616" w:rsidP="0093544E">
            <w:pPr>
              <w:pStyle w:val="Tabletext"/>
              <w:keepNext/>
              <w:spacing w:after="0"/>
              <w:rPr>
                <w:rFonts w:ascii="Arial Narrow" w:hAnsi="Arial Narrow"/>
                <w:b/>
                <w:highlight w:val="black"/>
              </w:rPr>
            </w:pPr>
            <w:r>
              <w:rPr>
                <w:rFonts w:ascii="Arial Narrow" w:hAnsi="Arial Narrow"/>
                <w:b/>
                <w:noProof/>
                <w:color w:val="000000"/>
                <w:highlight w:val="black"/>
              </w:rPr>
              <w:t>'''''''''''''</w:t>
            </w:r>
          </w:p>
        </w:tc>
        <w:tc>
          <w:tcPr>
            <w:tcW w:w="545" w:type="pct"/>
            <w:shd w:val="clear" w:color="auto" w:fill="auto"/>
            <w:vAlign w:val="center"/>
          </w:tcPr>
          <w:p w:rsidR="00047B40" w:rsidRPr="00F83616" w:rsidRDefault="00F83616" w:rsidP="0093544E">
            <w:pPr>
              <w:pStyle w:val="Tabletext"/>
              <w:keepNext/>
              <w:spacing w:after="0"/>
              <w:rPr>
                <w:rFonts w:ascii="Arial Narrow" w:hAnsi="Arial Narrow"/>
                <w:b/>
                <w:highlight w:val="black"/>
              </w:rPr>
            </w:pPr>
            <w:r>
              <w:rPr>
                <w:rFonts w:ascii="Arial Narrow" w:hAnsi="Arial Narrow"/>
                <w:b/>
                <w:noProof/>
                <w:color w:val="000000"/>
                <w:highlight w:val="black"/>
              </w:rPr>
              <w:t>'''''''''''''</w:t>
            </w:r>
          </w:p>
        </w:tc>
        <w:tc>
          <w:tcPr>
            <w:tcW w:w="545" w:type="pct"/>
            <w:shd w:val="clear" w:color="auto" w:fill="auto"/>
            <w:vAlign w:val="center"/>
          </w:tcPr>
          <w:p w:rsidR="00047B40" w:rsidRPr="00F83616" w:rsidRDefault="00F83616" w:rsidP="0093544E">
            <w:pPr>
              <w:pStyle w:val="Tabletext"/>
              <w:keepNext/>
              <w:spacing w:after="0"/>
              <w:rPr>
                <w:rFonts w:ascii="Arial Narrow" w:hAnsi="Arial Narrow"/>
                <w:b/>
                <w:highlight w:val="black"/>
              </w:rPr>
            </w:pPr>
            <w:r>
              <w:rPr>
                <w:rFonts w:ascii="Arial Narrow" w:hAnsi="Arial Narrow"/>
                <w:b/>
                <w:noProof/>
                <w:color w:val="000000"/>
                <w:highlight w:val="black"/>
              </w:rPr>
              <w:t>''''''''''''</w:t>
            </w:r>
          </w:p>
        </w:tc>
        <w:tc>
          <w:tcPr>
            <w:tcW w:w="544" w:type="pct"/>
            <w:shd w:val="clear" w:color="auto" w:fill="auto"/>
            <w:vAlign w:val="center"/>
          </w:tcPr>
          <w:p w:rsidR="00047B40" w:rsidRPr="00F83616" w:rsidRDefault="00F83616" w:rsidP="0093544E">
            <w:pPr>
              <w:pStyle w:val="Tabletext"/>
              <w:keepNext/>
              <w:spacing w:after="0"/>
              <w:rPr>
                <w:rFonts w:ascii="Arial Narrow" w:hAnsi="Arial Narrow"/>
                <w:b/>
                <w:highlight w:val="black"/>
              </w:rPr>
            </w:pPr>
            <w:r>
              <w:rPr>
                <w:rFonts w:ascii="Arial Narrow" w:hAnsi="Arial Narrow"/>
                <w:b/>
                <w:noProof/>
                <w:color w:val="000000"/>
                <w:highlight w:val="black"/>
              </w:rPr>
              <w:t>'''''''''''''</w:t>
            </w:r>
          </w:p>
        </w:tc>
        <w:tc>
          <w:tcPr>
            <w:tcW w:w="547" w:type="pct"/>
            <w:tcBorders>
              <w:right w:val="single" w:sz="4" w:space="0" w:color="auto"/>
            </w:tcBorders>
            <w:shd w:val="clear" w:color="auto" w:fill="auto"/>
            <w:vAlign w:val="center"/>
          </w:tcPr>
          <w:p w:rsidR="00047B40" w:rsidRPr="00F83616" w:rsidRDefault="00F83616" w:rsidP="0093544E">
            <w:pPr>
              <w:pStyle w:val="Tabletext"/>
              <w:keepNext/>
              <w:spacing w:after="0"/>
              <w:rPr>
                <w:rFonts w:ascii="Arial Narrow" w:hAnsi="Arial Narrow"/>
                <w:b/>
                <w:highlight w:val="black"/>
              </w:rPr>
            </w:pPr>
            <w:r>
              <w:rPr>
                <w:rFonts w:ascii="Arial Narrow" w:hAnsi="Arial Narrow"/>
                <w:b/>
                <w:noProof/>
                <w:color w:val="000000"/>
                <w:highlight w:val="black"/>
              </w:rPr>
              <w:t>''''''''''''''</w:t>
            </w:r>
          </w:p>
        </w:tc>
        <w:tc>
          <w:tcPr>
            <w:tcW w:w="545" w:type="pct"/>
            <w:tcBorders>
              <w:right w:val="single" w:sz="4" w:space="0" w:color="auto"/>
            </w:tcBorders>
            <w:vAlign w:val="center"/>
          </w:tcPr>
          <w:p w:rsidR="00047B40" w:rsidRPr="00F83616" w:rsidRDefault="00F83616" w:rsidP="0093544E">
            <w:pPr>
              <w:pStyle w:val="Tabletext"/>
              <w:keepNext/>
              <w:spacing w:after="0"/>
              <w:rPr>
                <w:rFonts w:ascii="Arial Narrow" w:hAnsi="Arial Narrow"/>
                <w:b/>
                <w:highlight w:val="black"/>
              </w:rPr>
            </w:pPr>
            <w:r>
              <w:rPr>
                <w:rFonts w:ascii="Arial Narrow" w:hAnsi="Arial Narrow"/>
                <w:b/>
                <w:noProof/>
                <w:color w:val="000000"/>
                <w:highlight w:val="black"/>
              </w:rPr>
              <w:t>'''''''''''''''</w:t>
            </w:r>
          </w:p>
        </w:tc>
      </w:tr>
      <w:tr w:rsidR="006C3C02" w:rsidRPr="004673D0" w:rsidTr="00280420">
        <w:trPr>
          <w:trHeight w:val="183"/>
        </w:trPr>
        <w:tc>
          <w:tcPr>
            <w:tcW w:w="5000" w:type="pct"/>
            <w:gridSpan w:val="9"/>
            <w:tcBorders>
              <w:right w:val="single" w:sz="4" w:space="0" w:color="auto"/>
            </w:tcBorders>
            <w:shd w:val="clear" w:color="auto" w:fill="D9D9D9" w:themeFill="background1" w:themeFillShade="D9"/>
            <w:vAlign w:val="center"/>
          </w:tcPr>
          <w:p w:rsidR="006C3C02" w:rsidRPr="004673D0" w:rsidRDefault="006C3C02" w:rsidP="0093544E">
            <w:pPr>
              <w:pStyle w:val="Tabletext"/>
              <w:keepNext/>
              <w:spacing w:after="0"/>
              <w:rPr>
                <w:rFonts w:ascii="Arial Narrow" w:hAnsi="Arial Narrow"/>
                <w:b/>
              </w:rPr>
            </w:pPr>
            <w:r w:rsidRPr="004673D0">
              <w:rPr>
                <w:rFonts w:ascii="Arial Narrow" w:hAnsi="Arial Narrow"/>
                <w:b/>
              </w:rPr>
              <w:t>Previous submission – July 2017</w:t>
            </w:r>
          </w:p>
        </w:tc>
      </w:tr>
      <w:tr w:rsidR="00332E32" w:rsidRPr="004673D0" w:rsidTr="00280420">
        <w:trPr>
          <w:trHeight w:val="183"/>
        </w:trPr>
        <w:tc>
          <w:tcPr>
            <w:tcW w:w="171" w:type="pct"/>
            <w:shd w:val="clear" w:color="auto" w:fill="D9D9D9" w:themeFill="background1" w:themeFillShade="D9"/>
            <w:vAlign w:val="center"/>
          </w:tcPr>
          <w:p w:rsidR="00332E32" w:rsidRPr="004673D0" w:rsidRDefault="00332E32" w:rsidP="0093544E">
            <w:pPr>
              <w:pStyle w:val="TableText0"/>
              <w:jc w:val="center"/>
              <w:rPr>
                <w:b/>
              </w:rPr>
            </w:pPr>
          </w:p>
        </w:tc>
        <w:tc>
          <w:tcPr>
            <w:tcW w:w="1013" w:type="pct"/>
            <w:shd w:val="clear" w:color="auto" w:fill="D9D9D9" w:themeFill="background1" w:themeFillShade="D9"/>
            <w:vAlign w:val="center"/>
          </w:tcPr>
          <w:p w:rsidR="00332E32" w:rsidRPr="004673D0" w:rsidRDefault="00332E32" w:rsidP="003A10CD">
            <w:pPr>
              <w:pStyle w:val="TableText0"/>
              <w:rPr>
                <w:b/>
                <w:vertAlign w:val="superscript"/>
              </w:rPr>
            </w:pPr>
            <w:r w:rsidRPr="004673D0">
              <w:rPr>
                <w:b/>
              </w:rPr>
              <w:t>Total ADJ guanfacine scripts</w:t>
            </w:r>
            <w:r w:rsidR="00230941" w:rsidRPr="004673D0">
              <w:rPr>
                <w:b/>
              </w:rPr>
              <w:t xml:space="preserve"> </w:t>
            </w:r>
            <w:r w:rsidR="00230941" w:rsidRPr="004673D0">
              <w:rPr>
                <w:b/>
                <w:vertAlign w:val="superscript"/>
              </w:rPr>
              <w:t>a</w:t>
            </w:r>
          </w:p>
        </w:tc>
        <w:tc>
          <w:tcPr>
            <w:tcW w:w="545" w:type="pct"/>
            <w:shd w:val="clear" w:color="auto" w:fill="D9D9D9" w:themeFill="background1" w:themeFillShade="D9"/>
            <w:vAlign w:val="center"/>
          </w:tcPr>
          <w:p w:rsidR="00332E32" w:rsidRPr="004673D0" w:rsidRDefault="005F135C" w:rsidP="0093544E">
            <w:pPr>
              <w:pStyle w:val="TableText0"/>
              <w:rPr>
                <w:b/>
              </w:rPr>
            </w:pPr>
            <w:r w:rsidRPr="004673D0">
              <w:rPr>
                <w:b/>
              </w:rPr>
              <w:t>-</w:t>
            </w:r>
          </w:p>
        </w:tc>
        <w:tc>
          <w:tcPr>
            <w:tcW w:w="545" w:type="pct"/>
            <w:shd w:val="clear" w:color="auto" w:fill="D9D9D9" w:themeFill="background1" w:themeFillShade="D9"/>
            <w:vAlign w:val="center"/>
          </w:tcPr>
          <w:p w:rsidR="00332E32" w:rsidRPr="004673D0" w:rsidRDefault="00F83616" w:rsidP="00BB29FE">
            <w:pPr>
              <w:pStyle w:val="Tabletext"/>
              <w:keepNext/>
              <w:spacing w:after="0"/>
              <w:rPr>
                <w:rFonts w:ascii="Arial Narrow" w:hAnsi="Arial Narrow"/>
                <w:vertAlign w:val="superscript"/>
              </w:rPr>
            </w:pPr>
            <w:r>
              <w:rPr>
                <w:rFonts w:ascii="Arial Narrow" w:hAnsi="Arial Narrow"/>
                <w:noProof/>
                <w:color w:val="000000"/>
                <w:highlight w:val="black"/>
              </w:rPr>
              <w:t>''''''''''''''''</w:t>
            </w:r>
            <w:r w:rsidR="00BB29FE" w:rsidRPr="004673D0">
              <w:rPr>
                <w:rFonts w:ascii="Arial Narrow" w:hAnsi="Arial Narrow"/>
              </w:rPr>
              <w:t xml:space="preserve"> </w:t>
            </w:r>
            <w:r w:rsidR="00BB29FE" w:rsidRPr="004673D0">
              <w:rPr>
                <w:rFonts w:ascii="Arial Narrow" w:hAnsi="Arial Narrow"/>
                <w:vertAlign w:val="superscript"/>
              </w:rPr>
              <w:t>b</w:t>
            </w:r>
          </w:p>
        </w:tc>
        <w:tc>
          <w:tcPr>
            <w:tcW w:w="545" w:type="pct"/>
            <w:shd w:val="clear" w:color="auto" w:fill="D9D9D9" w:themeFill="background1" w:themeFillShade="D9"/>
            <w:vAlign w:val="center"/>
          </w:tcPr>
          <w:p w:rsidR="00332E32" w:rsidRPr="00F83616" w:rsidRDefault="00F83616" w:rsidP="00332E32">
            <w:pPr>
              <w:pStyle w:val="Tabletext"/>
              <w:keepNext/>
              <w:spacing w:after="0"/>
              <w:rPr>
                <w:rFonts w:ascii="Arial Narrow" w:hAnsi="Arial Narrow"/>
                <w:highlight w:val="black"/>
              </w:rPr>
            </w:pPr>
            <w:r>
              <w:rPr>
                <w:rFonts w:ascii="Arial Narrow" w:hAnsi="Arial Narrow"/>
                <w:noProof/>
                <w:color w:val="000000"/>
                <w:highlight w:val="black"/>
              </w:rPr>
              <w:t>''''''''''''''''</w:t>
            </w:r>
          </w:p>
        </w:tc>
        <w:tc>
          <w:tcPr>
            <w:tcW w:w="545" w:type="pct"/>
            <w:shd w:val="clear" w:color="auto" w:fill="D9D9D9" w:themeFill="background1" w:themeFillShade="D9"/>
            <w:vAlign w:val="center"/>
          </w:tcPr>
          <w:p w:rsidR="00332E32" w:rsidRPr="00F83616" w:rsidRDefault="00F83616" w:rsidP="00332E32">
            <w:pPr>
              <w:pStyle w:val="Tabletext"/>
              <w:keepNext/>
              <w:spacing w:after="0"/>
              <w:rPr>
                <w:rFonts w:ascii="Arial Narrow" w:hAnsi="Arial Narrow"/>
                <w:highlight w:val="black"/>
              </w:rPr>
            </w:pPr>
            <w:r>
              <w:rPr>
                <w:rFonts w:ascii="Arial Narrow" w:hAnsi="Arial Narrow"/>
                <w:noProof/>
                <w:color w:val="000000"/>
                <w:highlight w:val="black"/>
              </w:rPr>
              <w:t>'''''''''''''''</w:t>
            </w:r>
          </w:p>
        </w:tc>
        <w:tc>
          <w:tcPr>
            <w:tcW w:w="544" w:type="pct"/>
            <w:shd w:val="clear" w:color="auto" w:fill="D9D9D9" w:themeFill="background1" w:themeFillShade="D9"/>
            <w:vAlign w:val="center"/>
          </w:tcPr>
          <w:p w:rsidR="00332E32" w:rsidRPr="00F83616" w:rsidRDefault="00F83616" w:rsidP="00332E32">
            <w:pPr>
              <w:pStyle w:val="Tabletext"/>
              <w:keepNext/>
              <w:spacing w:after="0"/>
              <w:rPr>
                <w:rFonts w:ascii="Arial Narrow" w:hAnsi="Arial Narrow"/>
                <w:highlight w:val="black"/>
              </w:rPr>
            </w:pPr>
            <w:r>
              <w:rPr>
                <w:rFonts w:ascii="Arial Narrow" w:hAnsi="Arial Narrow"/>
                <w:noProof/>
                <w:color w:val="000000"/>
                <w:highlight w:val="black"/>
              </w:rPr>
              <w:t>'''''''''''''''</w:t>
            </w:r>
          </w:p>
        </w:tc>
        <w:tc>
          <w:tcPr>
            <w:tcW w:w="547" w:type="pct"/>
            <w:tcBorders>
              <w:right w:val="single" w:sz="4" w:space="0" w:color="auto"/>
            </w:tcBorders>
            <w:shd w:val="clear" w:color="auto" w:fill="D9D9D9" w:themeFill="background1" w:themeFillShade="D9"/>
            <w:vAlign w:val="center"/>
          </w:tcPr>
          <w:p w:rsidR="00332E32" w:rsidRPr="00F83616" w:rsidRDefault="00F83616" w:rsidP="00332E32">
            <w:pPr>
              <w:pStyle w:val="Tabletext"/>
              <w:keepNext/>
              <w:spacing w:after="0"/>
              <w:rPr>
                <w:rFonts w:ascii="Arial Narrow" w:hAnsi="Arial Narrow"/>
                <w:highlight w:val="black"/>
              </w:rPr>
            </w:pPr>
            <w:r>
              <w:rPr>
                <w:rFonts w:ascii="Arial Narrow" w:hAnsi="Arial Narrow"/>
                <w:noProof/>
                <w:color w:val="000000"/>
                <w:highlight w:val="black"/>
              </w:rPr>
              <w:t>'''''''''''''''</w:t>
            </w:r>
          </w:p>
        </w:tc>
        <w:tc>
          <w:tcPr>
            <w:tcW w:w="545" w:type="pct"/>
            <w:tcBorders>
              <w:right w:val="single" w:sz="4" w:space="0" w:color="auto"/>
            </w:tcBorders>
            <w:shd w:val="clear" w:color="auto" w:fill="D9D9D9" w:themeFill="background1" w:themeFillShade="D9"/>
            <w:vAlign w:val="center"/>
          </w:tcPr>
          <w:p w:rsidR="00332E32" w:rsidRPr="004673D0" w:rsidRDefault="005F135C" w:rsidP="00332E32">
            <w:pPr>
              <w:pStyle w:val="Tabletext"/>
              <w:keepNext/>
              <w:spacing w:after="0"/>
              <w:rPr>
                <w:rFonts w:ascii="Arial Narrow" w:hAnsi="Arial Narrow"/>
              </w:rPr>
            </w:pPr>
            <w:r w:rsidRPr="004673D0">
              <w:rPr>
                <w:rFonts w:ascii="Arial Narrow" w:hAnsi="Arial Narrow"/>
              </w:rPr>
              <w:t>-</w:t>
            </w:r>
          </w:p>
        </w:tc>
      </w:tr>
      <w:tr w:rsidR="00621EEA" w:rsidRPr="004673D0" w:rsidTr="00621EEA">
        <w:tc>
          <w:tcPr>
            <w:tcW w:w="5000" w:type="pct"/>
            <w:gridSpan w:val="9"/>
            <w:tcBorders>
              <w:right w:val="single" w:sz="4" w:space="0" w:color="auto"/>
            </w:tcBorders>
          </w:tcPr>
          <w:p w:rsidR="00621EEA" w:rsidRPr="004673D0" w:rsidRDefault="00621EEA" w:rsidP="0093544E">
            <w:pPr>
              <w:pStyle w:val="TableText0"/>
              <w:rPr>
                <w:b/>
              </w:rPr>
            </w:pPr>
            <w:r w:rsidRPr="004673D0">
              <w:rPr>
                <w:b/>
              </w:rPr>
              <w:t>Estimated</w:t>
            </w:r>
            <w:r w:rsidR="00695580" w:rsidRPr="004673D0">
              <w:rPr>
                <w:b/>
              </w:rPr>
              <w:t xml:space="preserve"> net</w:t>
            </w:r>
            <w:r w:rsidRPr="004673D0">
              <w:rPr>
                <w:b/>
              </w:rPr>
              <w:t xml:space="preserve"> financial implications of ADJ guanfacine to the PBS/RPBS (adjusted for co-payment of $16.64)</w:t>
            </w:r>
          </w:p>
        </w:tc>
      </w:tr>
      <w:tr w:rsidR="00A70923" w:rsidRPr="004673D0" w:rsidTr="00ED3702">
        <w:tc>
          <w:tcPr>
            <w:tcW w:w="1729" w:type="pct"/>
            <w:gridSpan w:val="3"/>
            <w:vAlign w:val="center"/>
          </w:tcPr>
          <w:p w:rsidR="00A70923" w:rsidRPr="004673D0" w:rsidRDefault="00A70923" w:rsidP="0093544E">
            <w:pPr>
              <w:pStyle w:val="TableText0"/>
              <w:rPr>
                <w:i/>
              </w:rPr>
            </w:pPr>
            <w:r w:rsidRPr="004673D0">
              <w:rPr>
                <w:i/>
              </w:rPr>
              <w:t xml:space="preserve">Using effective </w:t>
            </w:r>
            <w:r w:rsidR="00BC0075" w:rsidRPr="004673D0">
              <w:rPr>
                <w:i/>
              </w:rPr>
              <w:t>DPMQ</w:t>
            </w:r>
            <w:r w:rsidRPr="004673D0">
              <w:rPr>
                <w:i/>
              </w:rPr>
              <w:t xml:space="preserve"> ($</w:t>
            </w:r>
            <w:r w:rsidR="00F83616">
              <w:rPr>
                <w:i/>
                <w:noProof/>
                <w:color w:val="000000"/>
                <w:highlight w:val="black"/>
              </w:rPr>
              <w:t>''''''''''''''</w:t>
            </w:r>
            <w:r w:rsidRPr="004673D0">
              <w:rPr>
                <w:i/>
              </w:rPr>
              <w:t>)</w:t>
            </w:r>
          </w:p>
        </w:tc>
        <w:tc>
          <w:tcPr>
            <w:tcW w:w="545" w:type="pct"/>
            <w:shd w:val="clear" w:color="auto" w:fill="auto"/>
            <w:vAlign w:val="center"/>
          </w:tcPr>
          <w:p w:rsidR="00A70923" w:rsidRPr="004673D0" w:rsidRDefault="00A70923"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r w:rsidRPr="004673D0">
              <w:rPr>
                <w:rFonts w:ascii="Arial Narrow" w:hAnsi="Arial Narrow" w:cs="Arial"/>
                <w:i/>
                <w:color w:val="000000"/>
                <w:sz w:val="20"/>
                <w:szCs w:val="20"/>
              </w:rPr>
              <w:t xml:space="preserve"> </w:t>
            </w:r>
          </w:p>
        </w:tc>
        <w:tc>
          <w:tcPr>
            <w:tcW w:w="545" w:type="pct"/>
            <w:shd w:val="clear" w:color="auto" w:fill="auto"/>
            <w:vAlign w:val="center"/>
          </w:tcPr>
          <w:p w:rsidR="00A70923" w:rsidRPr="004673D0" w:rsidRDefault="00A70923"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 xml:space="preserve">''''''''''''''''''''''''' </w:t>
            </w:r>
          </w:p>
        </w:tc>
        <w:tc>
          <w:tcPr>
            <w:tcW w:w="545" w:type="pct"/>
            <w:shd w:val="clear" w:color="auto" w:fill="auto"/>
            <w:vAlign w:val="center"/>
          </w:tcPr>
          <w:p w:rsidR="00A70923" w:rsidRPr="004673D0" w:rsidRDefault="00A70923"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r w:rsidRPr="004673D0">
              <w:rPr>
                <w:rFonts w:ascii="Arial Narrow" w:hAnsi="Arial Narrow" w:cs="Arial"/>
                <w:i/>
                <w:color w:val="000000"/>
                <w:sz w:val="20"/>
                <w:szCs w:val="20"/>
              </w:rPr>
              <w:t xml:space="preserve"> </w:t>
            </w:r>
          </w:p>
        </w:tc>
        <w:tc>
          <w:tcPr>
            <w:tcW w:w="544" w:type="pct"/>
            <w:shd w:val="clear" w:color="auto" w:fill="auto"/>
            <w:vAlign w:val="center"/>
          </w:tcPr>
          <w:p w:rsidR="00A70923" w:rsidRPr="004673D0" w:rsidRDefault="00A70923"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r w:rsidRPr="004673D0">
              <w:rPr>
                <w:rFonts w:ascii="Arial Narrow" w:hAnsi="Arial Narrow" w:cs="Arial"/>
                <w:i/>
                <w:color w:val="000000"/>
                <w:sz w:val="20"/>
                <w:szCs w:val="20"/>
              </w:rPr>
              <w:t xml:space="preserve"> </w:t>
            </w:r>
          </w:p>
        </w:tc>
        <w:tc>
          <w:tcPr>
            <w:tcW w:w="547" w:type="pct"/>
            <w:tcBorders>
              <w:right w:val="single" w:sz="4" w:space="0" w:color="auto"/>
            </w:tcBorders>
            <w:shd w:val="clear" w:color="auto" w:fill="auto"/>
            <w:vAlign w:val="center"/>
          </w:tcPr>
          <w:p w:rsidR="00A70923" w:rsidRPr="004673D0" w:rsidRDefault="00A70923"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r w:rsidRPr="004673D0">
              <w:rPr>
                <w:rFonts w:ascii="Arial Narrow" w:hAnsi="Arial Narrow" w:cs="Arial"/>
                <w:i/>
                <w:color w:val="000000"/>
                <w:sz w:val="20"/>
                <w:szCs w:val="20"/>
              </w:rPr>
              <w:t xml:space="preserve"> </w:t>
            </w:r>
          </w:p>
        </w:tc>
        <w:tc>
          <w:tcPr>
            <w:tcW w:w="545" w:type="pct"/>
            <w:tcBorders>
              <w:right w:val="single" w:sz="4" w:space="0" w:color="auto"/>
            </w:tcBorders>
            <w:vAlign w:val="center"/>
          </w:tcPr>
          <w:p w:rsidR="00A70923" w:rsidRPr="004673D0" w:rsidRDefault="00A70923"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r w:rsidRPr="004673D0">
              <w:rPr>
                <w:rFonts w:ascii="Arial Narrow" w:hAnsi="Arial Narrow" w:cs="Arial"/>
                <w:i/>
                <w:color w:val="000000"/>
                <w:sz w:val="20"/>
                <w:szCs w:val="20"/>
              </w:rPr>
              <w:t xml:space="preserve"> </w:t>
            </w:r>
          </w:p>
        </w:tc>
      </w:tr>
      <w:tr w:rsidR="00A70923" w:rsidRPr="004673D0" w:rsidTr="00ED3702">
        <w:tc>
          <w:tcPr>
            <w:tcW w:w="1729" w:type="pct"/>
            <w:gridSpan w:val="3"/>
            <w:vAlign w:val="center"/>
          </w:tcPr>
          <w:p w:rsidR="00A70923" w:rsidRPr="004673D0" w:rsidRDefault="00A70923" w:rsidP="0093544E">
            <w:pPr>
              <w:pStyle w:val="TableText0"/>
              <w:rPr>
                <w:i/>
                <w:vertAlign w:val="superscript"/>
              </w:rPr>
            </w:pPr>
            <w:r w:rsidRPr="004673D0">
              <w:rPr>
                <w:i/>
              </w:rPr>
              <w:t xml:space="preserve">Using weighted effective </w:t>
            </w:r>
            <w:r w:rsidR="00BC0075" w:rsidRPr="004673D0">
              <w:rPr>
                <w:i/>
              </w:rPr>
              <w:t>DPMQ</w:t>
            </w:r>
            <w:r w:rsidRPr="004673D0">
              <w:rPr>
                <w:i/>
              </w:rPr>
              <w:t xml:space="preserve"> ($</w:t>
            </w:r>
            <w:r w:rsidR="00F83616">
              <w:rPr>
                <w:i/>
                <w:noProof/>
                <w:color w:val="000000"/>
                <w:highlight w:val="black"/>
              </w:rPr>
              <w:t>'''''''''''''</w:t>
            </w:r>
            <w:r w:rsidR="000A2F04" w:rsidRPr="004673D0">
              <w:rPr>
                <w:i/>
              </w:rPr>
              <w:t>)</w:t>
            </w:r>
          </w:p>
        </w:tc>
        <w:tc>
          <w:tcPr>
            <w:tcW w:w="545" w:type="pct"/>
            <w:shd w:val="clear" w:color="auto" w:fill="auto"/>
            <w:vAlign w:val="center"/>
          </w:tcPr>
          <w:p w:rsidR="00A70923" w:rsidRPr="004673D0" w:rsidRDefault="00A70923"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r w:rsidRPr="004673D0">
              <w:rPr>
                <w:rFonts w:ascii="Arial Narrow" w:hAnsi="Arial Narrow" w:cs="Arial"/>
                <w:i/>
                <w:color w:val="000000"/>
                <w:sz w:val="20"/>
                <w:szCs w:val="20"/>
              </w:rPr>
              <w:t xml:space="preserve"> </w:t>
            </w:r>
          </w:p>
        </w:tc>
        <w:tc>
          <w:tcPr>
            <w:tcW w:w="545" w:type="pct"/>
            <w:shd w:val="clear" w:color="auto" w:fill="auto"/>
            <w:vAlign w:val="center"/>
          </w:tcPr>
          <w:p w:rsidR="00A70923" w:rsidRPr="004673D0" w:rsidRDefault="00A70923"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r w:rsidRPr="004673D0">
              <w:rPr>
                <w:rFonts w:ascii="Arial Narrow" w:hAnsi="Arial Narrow" w:cs="Arial"/>
                <w:i/>
                <w:color w:val="000000"/>
                <w:sz w:val="20"/>
                <w:szCs w:val="20"/>
              </w:rPr>
              <w:t xml:space="preserve"> </w:t>
            </w:r>
          </w:p>
        </w:tc>
        <w:tc>
          <w:tcPr>
            <w:tcW w:w="545" w:type="pct"/>
            <w:shd w:val="clear" w:color="auto" w:fill="auto"/>
            <w:vAlign w:val="center"/>
          </w:tcPr>
          <w:p w:rsidR="00A70923" w:rsidRPr="004673D0" w:rsidRDefault="00A70923"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r w:rsidRPr="004673D0">
              <w:rPr>
                <w:rFonts w:ascii="Arial Narrow" w:hAnsi="Arial Narrow" w:cs="Arial"/>
                <w:i/>
                <w:color w:val="000000"/>
                <w:sz w:val="20"/>
                <w:szCs w:val="20"/>
              </w:rPr>
              <w:t xml:space="preserve"> </w:t>
            </w:r>
          </w:p>
        </w:tc>
        <w:tc>
          <w:tcPr>
            <w:tcW w:w="544" w:type="pct"/>
            <w:shd w:val="clear" w:color="auto" w:fill="auto"/>
            <w:vAlign w:val="center"/>
          </w:tcPr>
          <w:p w:rsidR="00A70923" w:rsidRPr="004673D0" w:rsidRDefault="00A70923"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r w:rsidRPr="004673D0">
              <w:rPr>
                <w:rFonts w:ascii="Arial Narrow" w:hAnsi="Arial Narrow" w:cs="Arial"/>
                <w:i/>
                <w:color w:val="000000"/>
                <w:sz w:val="20"/>
                <w:szCs w:val="20"/>
              </w:rPr>
              <w:t xml:space="preserve"> </w:t>
            </w:r>
          </w:p>
        </w:tc>
        <w:tc>
          <w:tcPr>
            <w:tcW w:w="547" w:type="pct"/>
            <w:tcBorders>
              <w:right w:val="single" w:sz="4" w:space="0" w:color="auto"/>
            </w:tcBorders>
            <w:shd w:val="clear" w:color="auto" w:fill="auto"/>
            <w:vAlign w:val="center"/>
          </w:tcPr>
          <w:p w:rsidR="00A70923" w:rsidRPr="004673D0" w:rsidRDefault="00A70923"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 xml:space="preserve">''''''''''''''''''''''' </w:t>
            </w:r>
          </w:p>
        </w:tc>
        <w:tc>
          <w:tcPr>
            <w:tcW w:w="545" w:type="pct"/>
            <w:tcBorders>
              <w:right w:val="single" w:sz="4" w:space="0" w:color="auto"/>
            </w:tcBorders>
            <w:vAlign w:val="center"/>
          </w:tcPr>
          <w:p w:rsidR="00A70923" w:rsidRPr="004673D0" w:rsidRDefault="00A70923"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r w:rsidRPr="004673D0">
              <w:rPr>
                <w:rFonts w:ascii="Arial Narrow" w:hAnsi="Arial Narrow" w:cs="Arial"/>
                <w:i/>
                <w:color w:val="000000"/>
                <w:sz w:val="20"/>
                <w:szCs w:val="20"/>
              </w:rPr>
              <w:t xml:space="preserve"> </w:t>
            </w:r>
          </w:p>
        </w:tc>
      </w:tr>
      <w:tr w:rsidR="003917C1" w:rsidRPr="004673D0" w:rsidTr="00ED3702">
        <w:tc>
          <w:tcPr>
            <w:tcW w:w="1729" w:type="pct"/>
            <w:gridSpan w:val="3"/>
            <w:tcBorders>
              <w:top w:val="single" w:sz="4" w:space="0" w:color="auto"/>
              <w:left w:val="single" w:sz="4" w:space="0" w:color="auto"/>
              <w:bottom w:val="single" w:sz="4" w:space="0" w:color="auto"/>
              <w:right w:val="single" w:sz="4" w:space="0" w:color="auto"/>
            </w:tcBorders>
            <w:vAlign w:val="center"/>
          </w:tcPr>
          <w:p w:rsidR="003917C1" w:rsidRPr="004673D0" w:rsidRDefault="003917C1" w:rsidP="0093544E">
            <w:pPr>
              <w:pStyle w:val="TableText0"/>
              <w:rPr>
                <w:i/>
              </w:rPr>
            </w:pPr>
            <w:r w:rsidRPr="004673D0">
              <w:rPr>
                <w:i/>
              </w:rPr>
              <w:t xml:space="preserve">Using published </w:t>
            </w:r>
            <w:r w:rsidR="00BC0075" w:rsidRPr="004673D0">
              <w:rPr>
                <w:i/>
              </w:rPr>
              <w:t>DPMQ</w:t>
            </w:r>
            <w:r w:rsidRPr="004673D0">
              <w:rPr>
                <w:i/>
              </w:rPr>
              <w:t xml:space="preserve"> ($</w:t>
            </w:r>
            <w:r w:rsidR="00F83616">
              <w:rPr>
                <w:i/>
                <w:noProof/>
                <w:color w:val="000000"/>
                <w:highlight w:val="black"/>
              </w:rPr>
              <w:t>'''''''''''''''''</w:t>
            </w:r>
            <w:r w:rsidRPr="004673D0">
              <w:rPr>
                <w:i/>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917C1" w:rsidRPr="004673D0" w:rsidRDefault="003917C1"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917C1" w:rsidRPr="004673D0" w:rsidRDefault="003917C1"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917C1" w:rsidRPr="004673D0" w:rsidRDefault="003917C1"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3917C1" w:rsidRPr="004673D0" w:rsidRDefault="003917C1"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3917C1" w:rsidRPr="004673D0" w:rsidRDefault="003917C1"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p>
        </w:tc>
        <w:tc>
          <w:tcPr>
            <w:tcW w:w="545" w:type="pct"/>
            <w:tcBorders>
              <w:top w:val="single" w:sz="4" w:space="0" w:color="auto"/>
              <w:left w:val="single" w:sz="4" w:space="0" w:color="auto"/>
              <w:bottom w:val="single" w:sz="4" w:space="0" w:color="auto"/>
              <w:right w:val="single" w:sz="4" w:space="0" w:color="auto"/>
            </w:tcBorders>
            <w:vAlign w:val="center"/>
          </w:tcPr>
          <w:p w:rsidR="003917C1" w:rsidRPr="004673D0" w:rsidRDefault="003917C1" w:rsidP="0093544E">
            <w:pPr>
              <w:keepNext/>
              <w:rPr>
                <w:rFonts w:ascii="Arial Narrow" w:hAnsi="Arial Narrow" w:cs="Arial"/>
                <w:i/>
                <w:color w:val="000000"/>
                <w:sz w:val="20"/>
                <w:szCs w:val="20"/>
              </w:rPr>
            </w:pPr>
            <w:r w:rsidRPr="004673D0">
              <w:rPr>
                <w:rFonts w:ascii="Arial Narrow" w:hAnsi="Arial Narrow" w:cs="Arial"/>
                <w:i/>
                <w:color w:val="000000"/>
                <w:sz w:val="20"/>
                <w:szCs w:val="20"/>
              </w:rPr>
              <w:t>$</w:t>
            </w:r>
            <w:r w:rsidR="00F83616">
              <w:rPr>
                <w:rFonts w:ascii="Arial Narrow" w:hAnsi="Arial Narrow" w:cs="Arial"/>
                <w:i/>
                <w:noProof/>
                <w:color w:val="000000"/>
                <w:sz w:val="20"/>
                <w:szCs w:val="20"/>
                <w:highlight w:val="black"/>
              </w:rPr>
              <w:t>''''''''''''''''''''''''</w:t>
            </w:r>
          </w:p>
        </w:tc>
      </w:tr>
      <w:tr w:rsidR="006C3C02" w:rsidRPr="004673D0" w:rsidTr="00280420">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3C02" w:rsidRPr="004673D0" w:rsidRDefault="006C3C02" w:rsidP="0093544E">
            <w:pPr>
              <w:keepNext/>
              <w:rPr>
                <w:rFonts w:ascii="Arial Narrow" w:hAnsi="Arial Narrow" w:cs="Arial"/>
                <w:i/>
                <w:color w:val="000000"/>
                <w:sz w:val="20"/>
                <w:szCs w:val="20"/>
              </w:rPr>
            </w:pPr>
            <w:r w:rsidRPr="004673D0">
              <w:rPr>
                <w:rFonts w:ascii="Arial Narrow" w:hAnsi="Arial Narrow"/>
                <w:b/>
                <w:sz w:val="20"/>
                <w:szCs w:val="20"/>
                <w:lang w:eastAsia="en-US"/>
              </w:rPr>
              <w:t>Previous submission – July 2017</w:t>
            </w:r>
          </w:p>
        </w:tc>
      </w:tr>
      <w:tr w:rsidR="00230941" w:rsidRPr="004673D0" w:rsidTr="00280420">
        <w:tc>
          <w:tcPr>
            <w:tcW w:w="172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0941" w:rsidRPr="004673D0" w:rsidRDefault="00230941" w:rsidP="00230941">
            <w:pPr>
              <w:pStyle w:val="TableText0"/>
              <w:rPr>
                <w:i/>
              </w:rPr>
            </w:pPr>
            <w:r w:rsidRPr="004673D0">
              <w:rPr>
                <w:i/>
              </w:rPr>
              <w:t>ADJ setting</w:t>
            </w:r>
            <w:r w:rsidR="008062F7" w:rsidRPr="004673D0">
              <w:rPr>
                <w:i/>
              </w:rPr>
              <w:t>:</w:t>
            </w:r>
            <w:r w:rsidRPr="004673D0">
              <w:rPr>
                <w:i/>
              </w:rPr>
              <w:t xml:space="preserve"> Using effective DPMQ ($</w:t>
            </w:r>
            <w:r w:rsidR="00F83616">
              <w:rPr>
                <w:i/>
                <w:noProof/>
                <w:color w:val="000000"/>
                <w:highlight w:val="black"/>
              </w:rPr>
              <w:t>''''''''''''''</w:t>
            </w:r>
            <w:r w:rsidR="00AE2BC4" w:rsidRPr="004673D0">
              <w:rPr>
                <w:i/>
              </w:rPr>
              <w:t xml:space="preserve"> </w:t>
            </w:r>
            <w:r w:rsidRPr="004673D0">
              <w:rPr>
                <w:i/>
              </w:rPr>
              <w:t>minus copay of $14.74)</w:t>
            </w:r>
          </w:p>
        </w:tc>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0941" w:rsidRPr="004673D0" w:rsidRDefault="00230941" w:rsidP="00230941">
            <w:pPr>
              <w:keepNext/>
              <w:rPr>
                <w:rFonts w:ascii="Arial Narrow" w:hAnsi="Arial Narrow" w:cs="Arial"/>
                <w:i/>
                <w:color w:val="000000"/>
                <w:sz w:val="20"/>
                <w:szCs w:val="20"/>
              </w:rPr>
            </w:pPr>
            <w:r w:rsidRPr="004673D0">
              <w:rPr>
                <w:rFonts w:ascii="Arial Narrow" w:hAnsi="Arial Narrow"/>
                <w:i/>
                <w:color w:val="000000"/>
                <w:sz w:val="20"/>
                <w:szCs w:val="20"/>
              </w:rPr>
              <w:t>$</w:t>
            </w:r>
            <w:r w:rsidR="00F83616">
              <w:rPr>
                <w:rFonts w:ascii="Arial Narrow" w:hAnsi="Arial Narrow"/>
                <w:i/>
                <w:noProof/>
                <w:color w:val="000000"/>
                <w:sz w:val="20"/>
                <w:szCs w:val="20"/>
                <w:highlight w:val="black"/>
              </w:rPr>
              <w:t>''''''''''''''''''''</w:t>
            </w:r>
          </w:p>
        </w:tc>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0941" w:rsidRPr="004673D0" w:rsidRDefault="00230941" w:rsidP="00230941">
            <w:pPr>
              <w:keepNext/>
              <w:rPr>
                <w:rFonts w:ascii="Arial Narrow" w:hAnsi="Arial Narrow" w:cs="Arial"/>
                <w:i/>
                <w:color w:val="000000"/>
                <w:sz w:val="20"/>
                <w:szCs w:val="20"/>
              </w:rPr>
            </w:pPr>
            <w:r w:rsidRPr="004673D0">
              <w:rPr>
                <w:rFonts w:ascii="Arial Narrow" w:hAnsi="Arial Narrow"/>
                <w:i/>
                <w:color w:val="000000"/>
                <w:sz w:val="20"/>
                <w:szCs w:val="20"/>
              </w:rPr>
              <w:t>$</w:t>
            </w:r>
            <w:r w:rsidR="00F83616">
              <w:rPr>
                <w:rFonts w:ascii="Arial Narrow" w:hAnsi="Arial Narrow"/>
                <w:i/>
                <w:noProof/>
                <w:color w:val="000000"/>
                <w:sz w:val="20"/>
                <w:szCs w:val="20"/>
                <w:highlight w:val="black"/>
              </w:rPr>
              <w:t>'''''''''''''''''''''''''</w:t>
            </w:r>
          </w:p>
        </w:tc>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0941" w:rsidRPr="004673D0" w:rsidRDefault="00230941" w:rsidP="00230941">
            <w:pPr>
              <w:keepNext/>
              <w:rPr>
                <w:rFonts w:ascii="Arial Narrow" w:hAnsi="Arial Narrow" w:cs="Arial"/>
                <w:i/>
                <w:color w:val="000000"/>
                <w:sz w:val="20"/>
                <w:szCs w:val="20"/>
              </w:rPr>
            </w:pPr>
            <w:r w:rsidRPr="004673D0">
              <w:rPr>
                <w:rFonts w:ascii="Arial Narrow" w:hAnsi="Arial Narrow"/>
                <w:i/>
                <w:color w:val="000000"/>
                <w:sz w:val="20"/>
                <w:szCs w:val="20"/>
              </w:rPr>
              <w:t>$</w:t>
            </w:r>
            <w:r w:rsidR="00F83616">
              <w:rPr>
                <w:rFonts w:ascii="Arial Narrow" w:hAnsi="Arial Narrow"/>
                <w:i/>
                <w:noProof/>
                <w:color w:val="000000"/>
                <w:sz w:val="20"/>
                <w:szCs w:val="20"/>
                <w:highlight w:val="black"/>
              </w:rPr>
              <w:t>'''''''''''''''''''''''</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0941" w:rsidRPr="004673D0" w:rsidRDefault="00230941" w:rsidP="00230941">
            <w:pPr>
              <w:keepNext/>
              <w:rPr>
                <w:rFonts w:ascii="Arial Narrow" w:hAnsi="Arial Narrow" w:cs="Arial"/>
                <w:i/>
                <w:color w:val="000000"/>
                <w:sz w:val="20"/>
                <w:szCs w:val="20"/>
              </w:rPr>
            </w:pPr>
            <w:r w:rsidRPr="004673D0">
              <w:rPr>
                <w:rFonts w:ascii="Arial Narrow" w:hAnsi="Arial Narrow"/>
                <w:i/>
                <w:color w:val="000000"/>
                <w:sz w:val="20"/>
                <w:szCs w:val="20"/>
              </w:rPr>
              <w:t>$</w:t>
            </w:r>
            <w:r w:rsidR="00F83616">
              <w:rPr>
                <w:rFonts w:ascii="Arial Narrow" w:hAnsi="Arial Narrow"/>
                <w:i/>
                <w:noProof/>
                <w:color w:val="000000"/>
                <w:sz w:val="20"/>
                <w:szCs w:val="20"/>
                <w:highlight w:val="black"/>
              </w:rPr>
              <w:t>'''''''''''''''''''''''</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0941" w:rsidRPr="004673D0" w:rsidRDefault="00230941" w:rsidP="00230941">
            <w:pPr>
              <w:keepNext/>
              <w:rPr>
                <w:rFonts w:ascii="Arial Narrow" w:hAnsi="Arial Narrow" w:cs="Arial"/>
                <w:i/>
                <w:color w:val="000000"/>
                <w:sz w:val="20"/>
                <w:szCs w:val="20"/>
              </w:rPr>
            </w:pPr>
            <w:r w:rsidRPr="004673D0">
              <w:rPr>
                <w:rFonts w:ascii="Arial Narrow" w:hAnsi="Arial Narrow"/>
                <w:i/>
                <w:color w:val="000000"/>
                <w:sz w:val="20"/>
                <w:szCs w:val="20"/>
              </w:rPr>
              <w:t>$</w:t>
            </w:r>
            <w:r w:rsidR="00F83616">
              <w:rPr>
                <w:rFonts w:ascii="Arial Narrow" w:hAnsi="Arial Narrow"/>
                <w:i/>
                <w:noProof/>
                <w:color w:val="000000"/>
                <w:sz w:val="20"/>
                <w:szCs w:val="20"/>
                <w:highlight w:val="black"/>
              </w:rPr>
              <w:t>'''''''''''''''''''''''</w:t>
            </w:r>
          </w:p>
        </w:tc>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0941" w:rsidRPr="004673D0" w:rsidRDefault="00A42D11" w:rsidP="00230941">
            <w:pPr>
              <w:keepNext/>
              <w:rPr>
                <w:rFonts w:ascii="Arial Narrow" w:hAnsi="Arial Narrow" w:cs="Arial"/>
                <w:i/>
                <w:color w:val="000000"/>
                <w:sz w:val="20"/>
                <w:szCs w:val="20"/>
              </w:rPr>
            </w:pPr>
            <w:r w:rsidRPr="004673D0">
              <w:rPr>
                <w:rFonts w:ascii="Arial Narrow" w:hAnsi="Arial Narrow" w:cs="Arial"/>
                <w:i/>
                <w:color w:val="000000"/>
                <w:sz w:val="20"/>
                <w:szCs w:val="20"/>
              </w:rPr>
              <w:t>-</w:t>
            </w:r>
          </w:p>
        </w:tc>
      </w:tr>
    </w:tbl>
    <w:p w:rsidR="00BB7EC3" w:rsidRPr="004673D0" w:rsidRDefault="00FA1A82" w:rsidP="00C00DA7">
      <w:pPr>
        <w:jc w:val="both"/>
        <w:rPr>
          <w:rFonts w:ascii="Arial Narrow" w:hAnsi="Arial Narrow"/>
          <w:sz w:val="20"/>
          <w:szCs w:val="20"/>
        </w:rPr>
      </w:pPr>
      <w:r w:rsidRPr="004673D0">
        <w:rPr>
          <w:rFonts w:ascii="Arial Narrow" w:hAnsi="Arial Narrow"/>
          <w:sz w:val="20"/>
          <w:szCs w:val="20"/>
        </w:rPr>
        <w:t xml:space="preserve">Source: </w:t>
      </w:r>
      <w:r w:rsidR="00332E32" w:rsidRPr="004673D0">
        <w:rPr>
          <w:rFonts w:ascii="Arial Narrow" w:hAnsi="Arial Narrow"/>
          <w:sz w:val="20"/>
          <w:szCs w:val="20"/>
        </w:rPr>
        <w:t xml:space="preserve">Table 12, p24 of the resubmission, </w:t>
      </w:r>
      <w:r w:rsidRPr="004673D0">
        <w:rPr>
          <w:rFonts w:ascii="Arial Narrow" w:hAnsi="Arial Narrow"/>
          <w:sz w:val="20"/>
          <w:szCs w:val="20"/>
        </w:rPr>
        <w:t xml:space="preserve">Utilisation and financial estimates of the </w:t>
      </w:r>
      <w:r w:rsidR="008F00B1" w:rsidRPr="004673D0">
        <w:rPr>
          <w:rFonts w:ascii="Arial Narrow" w:hAnsi="Arial Narrow"/>
          <w:sz w:val="20"/>
          <w:szCs w:val="20"/>
        </w:rPr>
        <w:t>re</w:t>
      </w:r>
      <w:r w:rsidRPr="004673D0">
        <w:rPr>
          <w:rFonts w:ascii="Arial Narrow" w:hAnsi="Arial Narrow"/>
          <w:sz w:val="20"/>
          <w:szCs w:val="20"/>
        </w:rPr>
        <w:t>submission</w:t>
      </w:r>
      <w:r w:rsidR="0082691F" w:rsidRPr="004673D0">
        <w:rPr>
          <w:rFonts w:ascii="Arial Narrow" w:hAnsi="Arial Narrow"/>
          <w:sz w:val="20"/>
          <w:szCs w:val="20"/>
        </w:rPr>
        <w:t xml:space="preserve"> and </w:t>
      </w:r>
      <w:r w:rsidR="0082691F" w:rsidRPr="004673D0">
        <w:rPr>
          <w:rFonts w:ascii="Arial Narrow" w:hAnsi="Arial Narrow"/>
          <w:i/>
          <w:sz w:val="20"/>
          <w:szCs w:val="20"/>
        </w:rPr>
        <w:t>calculated during evaluation</w:t>
      </w:r>
    </w:p>
    <w:p w:rsidR="003917C1" w:rsidRPr="004673D0" w:rsidRDefault="00621EEA" w:rsidP="00C00DA7">
      <w:pPr>
        <w:jc w:val="both"/>
        <w:rPr>
          <w:rFonts w:ascii="Arial Narrow" w:hAnsi="Arial Narrow"/>
          <w:sz w:val="20"/>
          <w:szCs w:val="20"/>
        </w:rPr>
      </w:pPr>
      <w:r w:rsidRPr="004673D0">
        <w:rPr>
          <w:rFonts w:ascii="Arial Narrow" w:hAnsi="Arial Narrow"/>
          <w:sz w:val="20"/>
          <w:szCs w:val="20"/>
        </w:rPr>
        <w:t xml:space="preserve">ADJ = adjunctive therapy; </w:t>
      </w:r>
      <w:r w:rsidR="0093544E" w:rsidRPr="004673D0">
        <w:rPr>
          <w:rFonts w:ascii="Arial Narrow" w:hAnsi="Arial Narrow"/>
          <w:sz w:val="20"/>
          <w:szCs w:val="20"/>
        </w:rPr>
        <w:t xml:space="preserve">DPMQ = dispensed price for maximum quantity; </w:t>
      </w:r>
      <w:r w:rsidR="003917C1" w:rsidRPr="004673D0">
        <w:rPr>
          <w:rFonts w:ascii="Arial Narrow" w:hAnsi="Arial Narrow"/>
          <w:sz w:val="20"/>
          <w:szCs w:val="20"/>
        </w:rPr>
        <w:t>PBS = Pharmaceutical Benefits Scheme; RPBS = Repatriation Pharmaceutical Benefits Scheme</w:t>
      </w:r>
    </w:p>
    <w:p w:rsidR="00230941" w:rsidRPr="004673D0" w:rsidRDefault="00230941" w:rsidP="00C00DA7">
      <w:pPr>
        <w:jc w:val="both"/>
        <w:rPr>
          <w:rFonts w:ascii="Arial Narrow" w:hAnsi="Arial Narrow"/>
          <w:i/>
          <w:sz w:val="20"/>
          <w:szCs w:val="20"/>
        </w:rPr>
      </w:pPr>
      <w:r w:rsidRPr="004673D0">
        <w:rPr>
          <w:rFonts w:ascii="Arial Narrow" w:hAnsi="Arial Narrow"/>
          <w:sz w:val="20"/>
          <w:szCs w:val="20"/>
          <w:vertAlign w:val="superscript"/>
        </w:rPr>
        <w:t>a</w:t>
      </w:r>
      <w:r w:rsidRPr="004673D0">
        <w:rPr>
          <w:rFonts w:ascii="Arial Narrow" w:hAnsi="Arial Narrow"/>
          <w:sz w:val="20"/>
          <w:szCs w:val="20"/>
        </w:rPr>
        <w:t xml:space="preserve"> </w:t>
      </w:r>
      <w:r w:rsidR="004A00AC" w:rsidRPr="004673D0">
        <w:rPr>
          <w:rFonts w:ascii="Arial Narrow" w:hAnsi="Arial Narrow"/>
          <w:i/>
          <w:sz w:val="20"/>
          <w:szCs w:val="20"/>
        </w:rPr>
        <w:t>Based on ‘Market share analysis’ worksheet, Rows 52+53 of</w:t>
      </w:r>
      <w:r w:rsidR="004A00AC" w:rsidRPr="004673D0">
        <w:t xml:space="preserve"> </w:t>
      </w:r>
      <w:r w:rsidR="004A00AC" w:rsidRPr="004673D0">
        <w:rPr>
          <w:rFonts w:ascii="Arial Narrow" w:hAnsi="Arial Narrow"/>
          <w:i/>
          <w:sz w:val="20"/>
          <w:szCs w:val="20"/>
        </w:rPr>
        <w:t>GXR_BudgetImpact_MAR2017.XLSX from the previous submission.</w:t>
      </w:r>
    </w:p>
    <w:p w:rsidR="00BB29FE" w:rsidRPr="004673D0" w:rsidRDefault="00BB29FE" w:rsidP="00C00DA7">
      <w:pPr>
        <w:jc w:val="both"/>
        <w:rPr>
          <w:rFonts w:ascii="Arial Narrow" w:hAnsi="Arial Narrow"/>
          <w:i/>
          <w:sz w:val="20"/>
          <w:szCs w:val="20"/>
        </w:rPr>
      </w:pPr>
      <w:r w:rsidRPr="004673D0">
        <w:rPr>
          <w:rFonts w:ascii="Arial Narrow" w:hAnsi="Arial Narrow"/>
          <w:i/>
          <w:sz w:val="20"/>
          <w:szCs w:val="20"/>
          <w:vertAlign w:val="superscript"/>
        </w:rPr>
        <w:t>b</w:t>
      </w:r>
      <w:r w:rsidRPr="004673D0">
        <w:rPr>
          <w:rFonts w:ascii="Arial Narrow" w:hAnsi="Arial Narrow"/>
          <w:i/>
          <w:sz w:val="20"/>
          <w:szCs w:val="20"/>
        </w:rPr>
        <w:t xml:space="preserve"> Note that Year 1 in the previous submission was 2017/18, while it was 2018/19 in the resubmission (thus baseline script numbers were higher in the resubmission due to an extra year of growth).</w:t>
      </w:r>
    </w:p>
    <w:p w:rsidR="004A00AC" w:rsidRPr="004673D0" w:rsidRDefault="004A00AC" w:rsidP="004A00A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lastRenderedPageBreak/>
        <w:t xml:space="preserve">Using the effective price, the minor resubmission estimated listing guanfacine on the PBS as add-on therapy would result in a net cost to the PBS/RPBS of </w:t>
      </w:r>
      <w:r w:rsidR="008857F5">
        <w:rPr>
          <w:rFonts w:asciiTheme="minorHAnsi" w:eastAsiaTheme="minorHAnsi" w:hAnsiTheme="minorHAnsi" w:cstheme="minorBidi"/>
          <w:snapToGrid/>
          <w:sz w:val="24"/>
          <w:szCs w:val="22"/>
        </w:rPr>
        <w:t xml:space="preserve">less than </w:t>
      </w:r>
      <w:r w:rsidRPr="004673D0">
        <w:rPr>
          <w:rFonts w:asciiTheme="minorHAnsi" w:eastAsiaTheme="minorHAnsi" w:hAnsiTheme="minorHAnsi" w:cstheme="minorBidi"/>
          <w:snapToGrid/>
          <w:sz w:val="24"/>
          <w:szCs w:val="22"/>
        </w:rPr>
        <w:t>$</w:t>
      </w:r>
      <w:r w:rsidR="008857F5">
        <w:rPr>
          <w:rFonts w:asciiTheme="minorHAnsi" w:eastAsiaTheme="minorHAnsi" w:hAnsiTheme="minorHAnsi" w:cstheme="minorBidi"/>
          <w:snapToGrid/>
          <w:sz w:val="24"/>
          <w:szCs w:val="22"/>
        </w:rPr>
        <w:t>10 million</w:t>
      </w:r>
      <w:r w:rsidRPr="004673D0">
        <w:rPr>
          <w:rFonts w:asciiTheme="minorHAnsi" w:eastAsiaTheme="minorHAnsi" w:hAnsiTheme="minorHAnsi" w:cstheme="minorBidi"/>
          <w:snapToGrid/>
          <w:sz w:val="24"/>
          <w:szCs w:val="22"/>
        </w:rPr>
        <w:t xml:space="preserve"> in Year 1, rising to </w:t>
      </w:r>
      <w:r w:rsidR="008857F5">
        <w:rPr>
          <w:rFonts w:asciiTheme="minorHAnsi" w:eastAsiaTheme="minorHAnsi" w:hAnsiTheme="minorHAnsi" w:cstheme="minorBidi"/>
          <w:snapToGrid/>
          <w:sz w:val="24"/>
          <w:szCs w:val="22"/>
        </w:rPr>
        <w:t xml:space="preserve">less than </w:t>
      </w:r>
      <w:r w:rsidRPr="004673D0">
        <w:rPr>
          <w:rFonts w:asciiTheme="minorHAnsi" w:eastAsiaTheme="minorHAnsi" w:hAnsiTheme="minorHAnsi" w:cstheme="minorBidi"/>
          <w:snapToGrid/>
          <w:sz w:val="24"/>
          <w:szCs w:val="22"/>
        </w:rPr>
        <w:t>$</w:t>
      </w:r>
      <w:r w:rsidR="008857F5">
        <w:rPr>
          <w:rFonts w:asciiTheme="minorHAnsi" w:eastAsiaTheme="minorHAnsi" w:hAnsiTheme="minorHAnsi" w:cstheme="minorBidi"/>
          <w:snapToGrid/>
          <w:sz w:val="24"/>
          <w:szCs w:val="22"/>
        </w:rPr>
        <w:t>10</w:t>
      </w:r>
      <w:r w:rsidRPr="004673D0">
        <w:rPr>
          <w:rFonts w:asciiTheme="minorHAnsi" w:eastAsiaTheme="minorHAnsi" w:hAnsiTheme="minorHAnsi" w:cstheme="minorBidi"/>
          <w:snapToGrid/>
          <w:sz w:val="24"/>
          <w:szCs w:val="22"/>
        </w:rPr>
        <w:t xml:space="preserve"> million in Year 6, with a total net cost of $</w:t>
      </w:r>
      <w:r w:rsidR="008857F5">
        <w:rPr>
          <w:rFonts w:asciiTheme="minorHAnsi" w:eastAsiaTheme="minorHAnsi" w:hAnsiTheme="minorHAnsi" w:cstheme="minorBidi"/>
          <w:snapToGrid/>
          <w:sz w:val="24"/>
          <w:szCs w:val="22"/>
        </w:rPr>
        <w:t>10 - $20</w:t>
      </w:r>
      <w:r w:rsidRPr="004673D0">
        <w:rPr>
          <w:rFonts w:asciiTheme="minorHAnsi" w:eastAsiaTheme="minorHAnsi" w:hAnsiTheme="minorHAnsi" w:cstheme="minorBidi"/>
          <w:snapToGrid/>
          <w:sz w:val="24"/>
          <w:szCs w:val="22"/>
        </w:rPr>
        <w:t xml:space="preserve"> million over the first 6 years. </w:t>
      </w:r>
    </w:p>
    <w:p w:rsidR="004A00AC" w:rsidRPr="004673D0" w:rsidRDefault="004A00AC" w:rsidP="004A00A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Using the weighted effective price </w:t>
      </w:r>
      <w:r w:rsidR="003817D3" w:rsidRPr="004673D0">
        <w:rPr>
          <w:rFonts w:asciiTheme="minorHAnsi" w:eastAsiaTheme="minorHAnsi" w:hAnsiTheme="minorHAnsi" w:cstheme="minorBidi"/>
          <w:snapToGrid/>
          <w:sz w:val="24"/>
          <w:szCs w:val="22"/>
        </w:rPr>
        <w:t xml:space="preserve">proposed in the resubmission </w:t>
      </w:r>
      <w:r w:rsidRPr="004673D0">
        <w:rPr>
          <w:rFonts w:asciiTheme="minorHAnsi" w:eastAsiaTheme="minorHAnsi" w:hAnsiTheme="minorHAnsi" w:cstheme="minorBidi"/>
          <w:snapToGrid/>
          <w:sz w:val="24"/>
          <w:szCs w:val="22"/>
        </w:rPr>
        <w:t>(see below for calculations) the listing of guanfacine to the PBS as add-on therapy would result in a net cost to the PBS/RPBS of</w:t>
      </w:r>
      <w:r w:rsidR="008857F5">
        <w:rPr>
          <w:rFonts w:asciiTheme="minorHAnsi" w:eastAsiaTheme="minorHAnsi" w:hAnsiTheme="minorHAnsi" w:cstheme="minorBidi"/>
          <w:snapToGrid/>
          <w:sz w:val="24"/>
          <w:szCs w:val="22"/>
        </w:rPr>
        <w:t xml:space="preserve"> less than</w:t>
      </w:r>
      <w:r w:rsidRPr="004673D0">
        <w:rPr>
          <w:rFonts w:asciiTheme="minorHAnsi" w:eastAsiaTheme="minorHAnsi" w:hAnsiTheme="minorHAnsi" w:cstheme="minorBidi"/>
          <w:snapToGrid/>
          <w:sz w:val="24"/>
          <w:szCs w:val="22"/>
        </w:rPr>
        <w:t xml:space="preserve"> $</w:t>
      </w:r>
      <w:r w:rsidR="008857F5">
        <w:rPr>
          <w:rFonts w:asciiTheme="minorHAnsi" w:eastAsiaTheme="minorHAnsi" w:hAnsiTheme="minorHAnsi" w:cstheme="minorBidi"/>
          <w:snapToGrid/>
          <w:sz w:val="24"/>
          <w:szCs w:val="22"/>
        </w:rPr>
        <w:t>10 million</w:t>
      </w:r>
      <w:r w:rsidRPr="004673D0">
        <w:rPr>
          <w:rFonts w:asciiTheme="minorHAnsi" w:eastAsiaTheme="minorHAnsi" w:hAnsiTheme="minorHAnsi" w:cstheme="minorBidi"/>
          <w:snapToGrid/>
          <w:sz w:val="24"/>
          <w:szCs w:val="22"/>
        </w:rPr>
        <w:t xml:space="preserve"> in Year 1, rising to</w:t>
      </w:r>
      <w:r w:rsidR="00376F66">
        <w:rPr>
          <w:rFonts w:asciiTheme="minorHAnsi" w:eastAsiaTheme="minorHAnsi" w:hAnsiTheme="minorHAnsi" w:cstheme="minorBidi"/>
          <w:snapToGrid/>
          <w:sz w:val="24"/>
          <w:szCs w:val="22"/>
        </w:rPr>
        <w:t xml:space="preserve"> less than</w:t>
      </w:r>
      <w:r w:rsidRPr="004673D0">
        <w:rPr>
          <w:rFonts w:asciiTheme="minorHAnsi" w:eastAsiaTheme="minorHAnsi" w:hAnsiTheme="minorHAnsi" w:cstheme="minorBidi"/>
          <w:snapToGrid/>
          <w:sz w:val="24"/>
          <w:szCs w:val="22"/>
        </w:rPr>
        <w:t xml:space="preserve"> $</w:t>
      </w:r>
      <w:r w:rsidR="00376F66">
        <w:rPr>
          <w:rFonts w:asciiTheme="minorHAnsi" w:eastAsiaTheme="minorHAnsi" w:hAnsiTheme="minorHAnsi" w:cstheme="minorBidi"/>
          <w:snapToGrid/>
          <w:sz w:val="24"/>
          <w:szCs w:val="22"/>
        </w:rPr>
        <w:t xml:space="preserve">10 </w:t>
      </w:r>
      <w:r w:rsidRPr="004673D0">
        <w:rPr>
          <w:rFonts w:asciiTheme="minorHAnsi" w:eastAsiaTheme="minorHAnsi" w:hAnsiTheme="minorHAnsi" w:cstheme="minorBidi"/>
          <w:snapToGrid/>
          <w:sz w:val="24"/>
          <w:szCs w:val="22"/>
        </w:rPr>
        <w:t xml:space="preserve"> million in Year 6, with a total net cost of $</w:t>
      </w:r>
      <w:r w:rsidR="008F2A3D">
        <w:rPr>
          <w:rFonts w:asciiTheme="minorHAnsi" w:eastAsiaTheme="minorHAnsi" w:hAnsiTheme="minorHAnsi" w:cstheme="minorBidi"/>
          <w:snapToGrid/>
          <w:sz w:val="24"/>
          <w:szCs w:val="22"/>
        </w:rPr>
        <w:t>20 - $30</w:t>
      </w:r>
      <w:r w:rsidRPr="004673D0">
        <w:rPr>
          <w:rFonts w:asciiTheme="minorHAnsi" w:eastAsiaTheme="minorHAnsi" w:hAnsiTheme="minorHAnsi" w:cstheme="minorBidi"/>
          <w:snapToGrid/>
          <w:sz w:val="24"/>
          <w:szCs w:val="22"/>
        </w:rPr>
        <w:t xml:space="preserve"> million over the first 6 years. </w:t>
      </w:r>
    </w:p>
    <w:p w:rsidR="001E6582" w:rsidRPr="004673D0" w:rsidRDefault="001E6582" w:rsidP="0001598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Higher utilisation was estimated in the resubmission (</w:t>
      </w:r>
      <w:r w:rsidR="00376F66">
        <w:rPr>
          <w:rFonts w:asciiTheme="minorHAnsi" w:eastAsiaTheme="minorHAnsi" w:hAnsiTheme="minorHAnsi" w:cstheme="minorBidi"/>
          <w:snapToGrid/>
          <w:sz w:val="24"/>
          <w:szCs w:val="22"/>
        </w:rPr>
        <w:t>50,000 – 100,000</w:t>
      </w:r>
      <w:r w:rsidRPr="004673D0">
        <w:rPr>
          <w:rFonts w:asciiTheme="minorHAnsi" w:eastAsiaTheme="minorHAnsi" w:hAnsiTheme="minorHAnsi" w:cstheme="minorBidi"/>
          <w:snapToGrid/>
          <w:sz w:val="24"/>
          <w:szCs w:val="22"/>
        </w:rPr>
        <w:t xml:space="preserve"> scripts in Year 5 in the resubmission versus </w:t>
      </w:r>
      <w:r w:rsidR="00376F66">
        <w:rPr>
          <w:rFonts w:asciiTheme="minorHAnsi" w:eastAsiaTheme="minorHAnsi" w:hAnsiTheme="minorHAnsi" w:cstheme="minorBidi"/>
          <w:snapToGrid/>
          <w:sz w:val="24"/>
          <w:szCs w:val="22"/>
        </w:rPr>
        <w:t>10,000 – 50,000</w:t>
      </w:r>
      <w:r w:rsidRPr="004673D0">
        <w:rPr>
          <w:rFonts w:asciiTheme="minorHAnsi" w:eastAsiaTheme="minorHAnsi" w:hAnsiTheme="minorHAnsi" w:cstheme="minorBidi"/>
          <w:snapToGrid/>
          <w:sz w:val="24"/>
          <w:szCs w:val="22"/>
        </w:rPr>
        <w:t xml:space="preserve"> in the previous submission) due to the application of higher market growth, </w:t>
      </w:r>
      <w:r w:rsidR="00015985" w:rsidRPr="004673D0">
        <w:rPr>
          <w:rFonts w:asciiTheme="minorHAnsi" w:eastAsiaTheme="minorHAnsi" w:hAnsiTheme="minorHAnsi" w:cstheme="minorBidi"/>
          <w:snapToGrid/>
          <w:sz w:val="24"/>
          <w:szCs w:val="22"/>
        </w:rPr>
        <w:t xml:space="preserve">inclusion of patients outside the 6-17 year age range </w:t>
      </w:r>
      <w:r w:rsidRPr="004673D0">
        <w:rPr>
          <w:rFonts w:asciiTheme="minorHAnsi" w:eastAsiaTheme="minorHAnsi" w:hAnsiTheme="minorHAnsi" w:cstheme="minorBidi"/>
          <w:snapToGrid/>
          <w:sz w:val="24"/>
          <w:szCs w:val="22"/>
        </w:rPr>
        <w:t xml:space="preserve">and the higher estimated eligible population (20% of patients on stimulants were assumed to be eligible versus 10% in the previous submission).  </w:t>
      </w:r>
    </w:p>
    <w:p w:rsidR="00A4288B" w:rsidRPr="004673D0" w:rsidRDefault="00BA7B4A" w:rsidP="003917C1">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The Secretariat note</w:t>
      </w:r>
      <w:r w:rsidR="00C16895" w:rsidRPr="004673D0">
        <w:rPr>
          <w:rFonts w:asciiTheme="minorHAnsi" w:eastAsiaTheme="minorHAnsi" w:hAnsiTheme="minorHAnsi" w:cstheme="minorBidi"/>
          <w:snapToGrid/>
          <w:sz w:val="24"/>
          <w:szCs w:val="22"/>
        </w:rPr>
        <w:t>s</w:t>
      </w:r>
      <w:r w:rsidRPr="004673D0">
        <w:rPr>
          <w:rFonts w:asciiTheme="minorHAnsi" w:eastAsiaTheme="minorHAnsi" w:hAnsiTheme="minorHAnsi" w:cstheme="minorBidi"/>
          <w:snapToGrid/>
          <w:sz w:val="24"/>
          <w:szCs w:val="22"/>
        </w:rPr>
        <w:t xml:space="preserve"> that </w:t>
      </w:r>
      <w:r w:rsidR="00A4288B" w:rsidRPr="004673D0">
        <w:rPr>
          <w:rFonts w:asciiTheme="minorHAnsi" w:eastAsiaTheme="minorHAnsi" w:hAnsiTheme="minorHAnsi" w:cstheme="minorBidi"/>
          <w:snapToGrid/>
          <w:sz w:val="24"/>
          <w:szCs w:val="22"/>
        </w:rPr>
        <w:t xml:space="preserve">utilisation </w:t>
      </w:r>
      <w:r w:rsidR="00F419D7" w:rsidRPr="004673D0">
        <w:rPr>
          <w:rFonts w:asciiTheme="minorHAnsi" w:eastAsiaTheme="minorHAnsi" w:hAnsiTheme="minorHAnsi" w:cstheme="minorBidi"/>
          <w:snapToGrid/>
          <w:sz w:val="24"/>
          <w:szCs w:val="22"/>
        </w:rPr>
        <w:t xml:space="preserve">in the add-on setting </w:t>
      </w:r>
      <w:r w:rsidR="00A4288B" w:rsidRPr="004673D0">
        <w:rPr>
          <w:rFonts w:asciiTheme="minorHAnsi" w:eastAsiaTheme="minorHAnsi" w:hAnsiTheme="minorHAnsi" w:cstheme="minorBidi"/>
          <w:snapToGrid/>
          <w:sz w:val="24"/>
          <w:szCs w:val="22"/>
        </w:rPr>
        <w:t xml:space="preserve">may </w:t>
      </w:r>
      <w:r w:rsidR="00F419D7" w:rsidRPr="004673D0">
        <w:rPr>
          <w:rFonts w:asciiTheme="minorHAnsi" w:eastAsiaTheme="minorHAnsi" w:hAnsiTheme="minorHAnsi" w:cstheme="minorBidi"/>
          <w:snapToGrid/>
          <w:sz w:val="24"/>
          <w:szCs w:val="22"/>
        </w:rPr>
        <w:t xml:space="preserve">differ to that </w:t>
      </w:r>
      <w:r w:rsidR="00A4288B" w:rsidRPr="004673D0">
        <w:rPr>
          <w:rFonts w:asciiTheme="minorHAnsi" w:eastAsiaTheme="minorHAnsi" w:hAnsiTheme="minorHAnsi" w:cstheme="minorBidi"/>
          <w:snapToGrid/>
          <w:sz w:val="24"/>
          <w:szCs w:val="22"/>
        </w:rPr>
        <w:t>estimated as:</w:t>
      </w:r>
    </w:p>
    <w:p w:rsidR="00BA7B4A" w:rsidRPr="004673D0" w:rsidRDefault="001E6582" w:rsidP="00280420">
      <w:pPr>
        <w:pStyle w:val="ListParagraph"/>
        <w:widowControl/>
        <w:numPr>
          <w:ilvl w:val="1"/>
          <w:numId w:val="21"/>
        </w:numPr>
        <w:spacing w:after="120"/>
        <w:ind w:left="1077" w:hanging="357"/>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Guanfacine </w:t>
      </w:r>
      <w:r w:rsidR="00BA7B4A" w:rsidRPr="004673D0">
        <w:rPr>
          <w:rFonts w:asciiTheme="minorHAnsi" w:eastAsiaTheme="minorHAnsi" w:hAnsiTheme="minorHAnsi" w:cstheme="minorBidi"/>
          <w:snapToGrid/>
          <w:sz w:val="24"/>
          <w:szCs w:val="22"/>
        </w:rPr>
        <w:t xml:space="preserve">dose titration was not accounted </w:t>
      </w:r>
      <w:r w:rsidR="009161F8" w:rsidRPr="004673D0">
        <w:rPr>
          <w:rFonts w:asciiTheme="minorHAnsi" w:eastAsiaTheme="minorHAnsi" w:hAnsiTheme="minorHAnsi" w:cstheme="minorBidi"/>
          <w:snapToGrid/>
          <w:sz w:val="24"/>
          <w:szCs w:val="22"/>
        </w:rPr>
        <w:t xml:space="preserve">for </w:t>
      </w:r>
      <w:r w:rsidR="000963FC" w:rsidRPr="004673D0">
        <w:rPr>
          <w:rFonts w:asciiTheme="minorHAnsi" w:eastAsiaTheme="minorHAnsi" w:hAnsiTheme="minorHAnsi" w:cstheme="minorBidi"/>
          <w:snapToGrid/>
          <w:sz w:val="24"/>
          <w:szCs w:val="22"/>
        </w:rPr>
        <w:t>(</w:t>
      </w:r>
      <w:r w:rsidR="00F419D7" w:rsidRPr="004673D0">
        <w:rPr>
          <w:rFonts w:asciiTheme="minorHAnsi" w:eastAsiaTheme="minorHAnsi" w:hAnsiTheme="minorHAnsi" w:cstheme="minorBidi"/>
          <w:snapToGrid/>
          <w:sz w:val="24"/>
          <w:szCs w:val="22"/>
        </w:rPr>
        <w:t>under</w:t>
      </w:r>
      <w:r w:rsidR="000E565B" w:rsidRPr="004673D0">
        <w:rPr>
          <w:rFonts w:asciiTheme="minorHAnsi" w:eastAsiaTheme="minorHAnsi" w:hAnsiTheme="minorHAnsi" w:cstheme="minorBidi"/>
          <w:snapToGrid/>
          <w:sz w:val="24"/>
          <w:szCs w:val="22"/>
        </w:rPr>
        <w:t>estimated use</w:t>
      </w:r>
      <w:r w:rsidR="000963FC" w:rsidRPr="004673D0">
        <w:rPr>
          <w:rFonts w:asciiTheme="minorHAnsi" w:eastAsiaTheme="minorHAnsi" w:hAnsiTheme="minorHAnsi" w:cstheme="minorBidi"/>
          <w:snapToGrid/>
          <w:sz w:val="24"/>
          <w:szCs w:val="22"/>
        </w:rPr>
        <w:t>)</w:t>
      </w:r>
      <w:r w:rsidRPr="004673D0">
        <w:rPr>
          <w:rFonts w:asciiTheme="minorHAnsi" w:eastAsiaTheme="minorHAnsi" w:hAnsiTheme="minorHAnsi" w:cstheme="minorBidi"/>
          <w:snapToGrid/>
          <w:sz w:val="24"/>
          <w:szCs w:val="22"/>
        </w:rPr>
        <w:t>.</w:t>
      </w:r>
    </w:p>
    <w:p w:rsidR="000E701C" w:rsidRPr="004673D0" w:rsidRDefault="000E701C" w:rsidP="00280420">
      <w:pPr>
        <w:pStyle w:val="ListParagraph"/>
        <w:widowControl/>
        <w:numPr>
          <w:ilvl w:val="1"/>
          <w:numId w:val="21"/>
        </w:numPr>
        <w:spacing w:after="120"/>
        <w:ind w:left="1077" w:hanging="357"/>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Underlying market growth </w:t>
      </w:r>
      <w:r w:rsidR="00420ED2" w:rsidRPr="004673D0">
        <w:rPr>
          <w:rFonts w:asciiTheme="minorHAnsi" w:eastAsiaTheme="minorHAnsi" w:hAnsiTheme="minorHAnsi" w:cstheme="minorBidi"/>
          <w:snapToGrid/>
          <w:sz w:val="24"/>
          <w:szCs w:val="22"/>
        </w:rPr>
        <w:t xml:space="preserve">may have been </w:t>
      </w:r>
      <w:r w:rsidRPr="004673D0">
        <w:rPr>
          <w:rFonts w:asciiTheme="minorHAnsi" w:eastAsiaTheme="minorHAnsi" w:hAnsiTheme="minorHAnsi" w:cstheme="minorBidi"/>
          <w:snapToGrid/>
          <w:sz w:val="24"/>
          <w:szCs w:val="22"/>
        </w:rPr>
        <w:t>overestimated (</w:t>
      </w:r>
      <w:r w:rsidR="00943F27" w:rsidRPr="004673D0">
        <w:rPr>
          <w:rFonts w:asciiTheme="minorHAnsi" w:eastAsiaTheme="minorHAnsi" w:hAnsiTheme="minorHAnsi" w:cstheme="minorBidi"/>
          <w:snapToGrid/>
          <w:sz w:val="24"/>
          <w:szCs w:val="22"/>
        </w:rPr>
        <w:t xml:space="preserve">potentially </w:t>
      </w:r>
      <w:r w:rsidRPr="004673D0">
        <w:rPr>
          <w:rFonts w:asciiTheme="minorHAnsi" w:eastAsiaTheme="minorHAnsi" w:hAnsiTheme="minorHAnsi" w:cstheme="minorBidi"/>
          <w:snapToGrid/>
          <w:sz w:val="24"/>
          <w:szCs w:val="22"/>
        </w:rPr>
        <w:t>overestimated use)</w:t>
      </w:r>
      <w:r w:rsidR="001E6582" w:rsidRPr="004673D0">
        <w:rPr>
          <w:rFonts w:asciiTheme="minorHAnsi" w:eastAsiaTheme="minorHAnsi" w:hAnsiTheme="minorHAnsi" w:cstheme="minorBidi"/>
          <w:snapToGrid/>
          <w:sz w:val="24"/>
          <w:szCs w:val="22"/>
        </w:rPr>
        <w:t>.</w:t>
      </w:r>
    </w:p>
    <w:p w:rsidR="00446FA3" w:rsidRPr="004673D0" w:rsidRDefault="000E701C" w:rsidP="00280420">
      <w:pPr>
        <w:pStyle w:val="ListParagraph"/>
        <w:widowControl/>
        <w:numPr>
          <w:ilvl w:val="1"/>
          <w:numId w:val="21"/>
        </w:numPr>
        <w:spacing w:after="120"/>
        <w:ind w:left="1077" w:hanging="357"/>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The </w:t>
      </w:r>
      <w:r w:rsidR="006F44C7" w:rsidRPr="004673D0">
        <w:rPr>
          <w:rFonts w:asciiTheme="minorHAnsi" w:eastAsiaTheme="minorHAnsi" w:hAnsiTheme="minorHAnsi" w:cstheme="minorBidi"/>
          <w:snapToGrid/>
          <w:sz w:val="24"/>
          <w:szCs w:val="22"/>
        </w:rPr>
        <w:t>estimates d</w:t>
      </w:r>
      <w:r w:rsidRPr="004673D0">
        <w:rPr>
          <w:rFonts w:asciiTheme="minorHAnsi" w:eastAsiaTheme="minorHAnsi" w:hAnsiTheme="minorHAnsi" w:cstheme="minorBidi"/>
          <w:snapToGrid/>
          <w:sz w:val="24"/>
          <w:szCs w:val="22"/>
        </w:rPr>
        <w:t>id</w:t>
      </w:r>
      <w:r w:rsidR="006F44C7" w:rsidRPr="004673D0">
        <w:rPr>
          <w:rFonts w:asciiTheme="minorHAnsi" w:eastAsiaTheme="minorHAnsi" w:hAnsiTheme="minorHAnsi" w:cstheme="minorBidi"/>
          <w:snapToGrid/>
          <w:sz w:val="24"/>
          <w:szCs w:val="22"/>
        </w:rPr>
        <w:t xml:space="preserve"> not account for the possibility that guanfacine may be used concomitantly with short-acting stimulants</w:t>
      </w:r>
      <w:r w:rsidR="00446FA3" w:rsidRPr="004673D0">
        <w:rPr>
          <w:rFonts w:asciiTheme="minorHAnsi" w:eastAsiaTheme="minorHAnsi" w:hAnsiTheme="minorHAnsi" w:cstheme="minorBidi"/>
          <w:snapToGrid/>
          <w:sz w:val="24"/>
          <w:szCs w:val="22"/>
        </w:rPr>
        <w:t xml:space="preserve"> (underestimated use). The resubmission stated that such use was unlikely, and it is noted</w:t>
      </w:r>
      <w:r w:rsidR="001E6582" w:rsidRPr="004673D0">
        <w:rPr>
          <w:rFonts w:asciiTheme="minorHAnsi" w:eastAsiaTheme="minorHAnsi" w:hAnsiTheme="minorHAnsi" w:cstheme="minorBidi"/>
          <w:snapToGrid/>
          <w:sz w:val="24"/>
          <w:szCs w:val="22"/>
        </w:rPr>
        <w:t xml:space="preserve"> that only long-acting stimulants were used concomitantly in the trial</w:t>
      </w:r>
      <w:r w:rsidR="00446FA3" w:rsidRPr="004673D0">
        <w:rPr>
          <w:rFonts w:asciiTheme="minorHAnsi" w:eastAsiaTheme="minorHAnsi" w:hAnsiTheme="minorHAnsi" w:cstheme="minorBidi"/>
          <w:snapToGrid/>
          <w:sz w:val="24"/>
          <w:szCs w:val="22"/>
        </w:rPr>
        <w:t xml:space="preserve">. </w:t>
      </w:r>
    </w:p>
    <w:p w:rsidR="006F44C7" w:rsidRPr="004673D0" w:rsidRDefault="000E701C" w:rsidP="00280420">
      <w:pPr>
        <w:pStyle w:val="ListParagraph"/>
        <w:widowControl/>
        <w:numPr>
          <w:ilvl w:val="1"/>
          <w:numId w:val="21"/>
        </w:numPr>
        <w:spacing w:after="120"/>
        <w:ind w:left="1077" w:hanging="357"/>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T</w:t>
      </w:r>
      <w:r w:rsidR="006F44C7" w:rsidRPr="004673D0">
        <w:rPr>
          <w:rFonts w:asciiTheme="minorHAnsi" w:eastAsiaTheme="minorHAnsi" w:hAnsiTheme="minorHAnsi" w:cstheme="minorBidi"/>
          <w:snapToGrid/>
          <w:sz w:val="24"/>
          <w:szCs w:val="22"/>
        </w:rPr>
        <w:t>here is no long-term data to indicate whether guanfacine may have an impact on growth. It is possible that doses of stimulants may be decreased to limit exposure due to their known impact on growth or other adverse events, with the potential to add-on guanfacine</w:t>
      </w:r>
      <w:r w:rsidR="00CF548E" w:rsidRPr="004673D0">
        <w:rPr>
          <w:rFonts w:asciiTheme="minorHAnsi" w:eastAsiaTheme="minorHAnsi" w:hAnsiTheme="minorHAnsi" w:cstheme="minorBidi"/>
          <w:snapToGrid/>
          <w:sz w:val="24"/>
          <w:szCs w:val="22"/>
        </w:rPr>
        <w:t xml:space="preserve"> (as noted in para</w:t>
      </w:r>
      <w:r w:rsidR="001443E8" w:rsidRPr="004673D0">
        <w:rPr>
          <w:rFonts w:asciiTheme="minorHAnsi" w:eastAsiaTheme="minorHAnsi" w:hAnsiTheme="minorHAnsi" w:cstheme="minorBidi"/>
          <w:snapToGrid/>
          <w:sz w:val="24"/>
          <w:szCs w:val="22"/>
        </w:rPr>
        <w:t>graph</w:t>
      </w:r>
      <w:r w:rsidR="00CF548E" w:rsidRPr="004673D0">
        <w:rPr>
          <w:rFonts w:asciiTheme="minorHAnsi" w:eastAsiaTheme="minorHAnsi" w:hAnsiTheme="minorHAnsi" w:cstheme="minorBidi"/>
          <w:snapToGrid/>
          <w:sz w:val="24"/>
          <w:szCs w:val="22"/>
        </w:rPr>
        <w:t xml:space="preserve"> 6.47, July 2017 PSD)</w:t>
      </w:r>
      <w:r w:rsidR="006F44C7" w:rsidRPr="004673D0">
        <w:rPr>
          <w:rFonts w:asciiTheme="minorHAnsi" w:eastAsiaTheme="minorHAnsi" w:hAnsiTheme="minorHAnsi" w:cstheme="minorBidi"/>
          <w:snapToGrid/>
          <w:sz w:val="24"/>
          <w:szCs w:val="22"/>
        </w:rPr>
        <w:t>. The estimates do not account for this, thus the estimates may be underestimated.</w:t>
      </w:r>
    </w:p>
    <w:p w:rsidR="003210A8" w:rsidRPr="004673D0" w:rsidRDefault="00C92D6B" w:rsidP="003817D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The Secretariat noted that u</w:t>
      </w:r>
      <w:r w:rsidR="003210A8" w:rsidRPr="004673D0">
        <w:rPr>
          <w:rFonts w:asciiTheme="minorHAnsi" w:eastAsiaTheme="minorHAnsi" w:hAnsiTheme="minorHAnsi" w:cstheme="minorBidi"/>
          <w:snapToGrid/>
          <w:sz w:val="24"/>
          <w:szCs w:val="22"/>
        </w:rPr>
        <w:t>nderestimation of utilisation in the add-on setting would result in the derivation of a higher than reasonable price in the weighted price calculations (as a lower DPMQ was proposed in the add-on setting).</w:t>
      </w:r>
    </w:p>
    <w:p w:rsidR="002804DB" w:rsidRPr="004673D0" w:rsidRDefault="002804DB" w:rsidP="00ED3702">
      <w:pPr>
        <w:rPr>
          <w:rFonts w:ascii="Arial" w:hAnsi="Arial" w:cs="Arial"/>
          <w:b/>
          <w:snapToGrid w:val="0"/>
          <w:sz w:val="22"/>
          <w:szCs w:val="22"/>
          <w:lang w:eastAsia="en-US"/>
        </w:rPr>
      </w:pPr>
    </w:p>
    <w:p w:rsidR="00ED3702" w:rsidRPr="004673D0" w:rsidRDefault="000E565B" w:rsidP="00ED3702">
      <w:pPr>
        <w:rPr>
          <w:rFonts w:ascii="Arial" w:hAnsi="Arial" w:cs="Arial"/>
          <w:b/>
          <w:snapToGrid w:val="0"/>
          <w:sz w:val="22"/>
          <w:szCs w:val="22"/>
          <w:lang w:eastAsia="en-US"/>
        </w:rPr>
      </w:pPr>
      <w:r w:rsidRPr="004673D0">
        <w:rPr>
          <w:rFonts w:ascii="Arial" w:hAnsi="Arial" w:cs="Arial"/>
          <w:b/>
          <w:snapToGrid w:val="0"/>
          <w:sz w:val="22"/>
          <w:szCs w:val="22"/>
          <w:lang w:eastAsia="en-US"/>
        </w:rPr>
        <w:t>Use in</w:t>
      </w:r>
      <w:r w:rsidR="0097211A" w:rsidRPr="004673D0">
        <w:rPr>
          <w:rFonts w:ascii="Arial" w:hAnsi="Arial" w:cs="Arial"/>
          <w:b/>
          <w:snapToGrid w:val="0"/>
          <w:sz w:val="22"/>
          <w:szCs w:val="22"/>
          <w:lang w:eastAsia="en-US"/>
        </w:rPr>
        <w:t xml:space="preserve"> the</w:t>
      </w:r>
      <w:r w:rsidRPr="004673D0">
        <w:rPr>
          <w:rFonts w:ascii="Arial" w:hAnsi="Arial" w:cs="Arial"/>
          <w:b/>
          <w:snapToGrid w:val="0"/>
          <w:sz w:val="22"/>
          <w:szCs w:val="22"/>
          <w:lang w:eastAsia="en-US"/>
        </w:rPr>
        <w:t xml:space="preserve"> monotherapy setting</w:t>
      </w:r>
      <w:r w:rsidR="00A302FE" w:rsidRPr="004673D0">
        <w:rPr>
          <w:rFonts w:ascii="Arial" w:hAnsi="Arial" w:cs="Arial"/>
          <w:b/>
          <w:snapToGrid w:val="0"/>
          <w:sz w:val="22"/>
          <w:szCs w:val="22"/>
          <w:lang w:eastAsia="en-US"/>
        </w:rPr>
        <w:t xml:space="preserve"> (used to derive weighting)</w:t>
      </w:r>
    </w:p>
    <w:p w:rsidR="000E565B" w:rsidRPr="004673D0" w:rsidRDefault="000E565B" w:rsidP="00ED3702">
      <w:pPr>
        <w:rPr>
          <w:rFonts w:eastAsiaTheme="minorHAnsi"/>
        </w:rPr>
      </w:pPr>
    </w:p>
    <w:p w:rsidR="00BC0075" w:rsidRPr="004673D0" w:rsidRDefault="00BC0075" w:rsidP="00BC007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In order to calculate a weighted price estimate, the utilisation of gu</w:t>
      </w:r>
      <w:r w:rsidR="003A10CD" w:rsidRPr="004673D0">
        <w:rPr>
          <w:rFonts w:asciiTheme="minorHAnsi" w:eastAsiaTheme="minorHAnsi" w:hAnsiTheme="minorHAnsi" w:cstheme="minorBidi"/>
          <w:snapToGrid/>
          <w:sz w:val="24"/>
          <w:szCs w:val="22"/>
        </w:rPr>
        <w:t>a</w:t>
      </w:r>
      <w:r w:rsidRPr="004673D0">
        <w:rPr>
          <w:rFonts w:asciiTheme="minorHAnsi" w:eastAsiaTheme="minorHAnsi" w:hAnsiTheme="minorHAnsi" w:cstheme="minorBidi"/>
          <w:snapToGrid/>
          <w:sz w:val="24"/>
          <w:szCs w:val="22"/>
        </w:rPr>
        <w:t>nfacine as monotherapy was re-estimated using a market share approach. This broadly consisted of:</w:t>
      </w:r>
    </w:p>
    <w:p w:rsidR="00BC0075" w:rsidRPr="004673D0" w:rsidRDefault="00BC0075" w:rsidP="00BC0075">
      <w:pPr>
        <w:pStyle w:val="ListParagraph"/>
        <w:widowControl/>
        <w:numPr>
          <w:ilvl w:val="1"/>
          <w:numId w:val="22"/>
        </w:numPr>
        <w:spacing w:after="120"/>
        <w:ind w:left="1077" w:hanging="357"/>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Determining the current utilisation of atomoxetine and clonidine (for ADHD only) from PBS utilisation data and projecting these to 2023/2024, by applying a growth rate of 7% per annum, which was the average observed growth rate </w:t>
      </w:r>
      <w:r w:rsidR="00420ED2" w:rsidRPr="004673D0">
        <w:rPr>
          <w:rFonts w:asciiTheme="minorHAnsi" w:eastAsiaTheme="minorHAnsi" w:hAnsiTheme="minorHAnsi" w:cstheme="minorBidi"/>
          <w:snapToGrid/>
          <w:sz w:val="24"/>
          <w:szCs w:val="22"/>
        </w:rPr>
        <w:t>for atomoxetine and clonidine o</w:t>
      </w:r>
      <w:r w:rsidRPr="004673D0">
        <w:rPr>
          <w:rFonts w:asciiTheme="minorHAnsi" w:eastAsiaTheme="minorHAnsi" w:hAnsiTheme="minorHAnsi" w:cstheme="minorBidi"/>
          <w:snapToGrid/>
          <w:sz w:val="24"/>
          <w:szCs w:val="22"/>
        </w:rPr>
        <w:t xml:space="preserve">ver </w:t>
      </w:r>
      <w:r w:rsidR="00E013CF" w:rsidRPr="004673D0">
        <w:rPr>
          <w:rFonts w:asciiTheme="minorHAnsi" w:eastAsiaTheme="minorHAnsi" w:hAnsiTheme="minorHAnsi" w:cstheme="minorBidi"/>
          <w:snapToGrid/>
          <w:sz w:val="24"/>
          <w:szCs w:val="22"/>
        </w:rPr>
        <w:t>the previous</w:t>
      </w:r>
      <w:r w:rsidRPr="004673D0">
        <w:rPr>
          <w:rFonts w:asciiTheme="minorHAnsi" w:eastAsiaTheme="minorHAnsi" w:hAnsiTheme="minorHAnsi" w:cstheme="minorBidi"/>
          <w:snapToGrid/>
          <w:sz w:val="24"/>
          <w:szCs w:val="22"/>
        </w:rPr>
        <w:t xml:space="preserve"> five years</w:t>
      </w:r>
      <w:r w:rsidR="009161F8" w:rsidRPr="004673D0">
        <w:rPr>
          <w:rFonts w:asciiTheme="minorHAnsi" w:eastAsiaTheme="minorHAnsi" w:hAnsiTheme="minorHAnsi" w:cstheme="minorBidi"/>
          <w:snapToGrid/>
          <w:sz w:val="24"/>
          <w:szCs w:val="22"/>
        </w:rPr>
        <w:t>.</w:t>
      </w:r>
    </w:p>
    <w:p w:rsidR="00BC0075" w:rsidRPr="00CE135A" w:rsidRDefault="00BC0075" w:rsidP="00BC0075">
      <w:pPr>
        <w:pStyle w:val="ListParagraph"/>
        <w:widowControl/>
        <w:numPr>
          <w:ilvl w:val="1"/>
          <w:numId w:val="22"/>
        </w:numPr>
        <w:spacing w:after="120"/>
        <w:ind w:left="1077" w:hanging="357"/>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lastRenderedPageBreak/>
        <w:t xml:space="preserve">Utilisation was converted to patient years of therapy. For atomoxetine the projected utilisation was divided </w:t>
      </w:r>
      <w:r w:rsidRPr="00CE135A">
        <w:rPr>
          <w:rFonts w:asciiTheme="minorHAnsi" w:eastAsiaTheme="minorHAnsi" w:hAnsiTheme="minorHAnsi" w:cstheme="minorBidi"/>
          <w:snapToGrid/>
          <w:sz w:val="24"/>
          <w:szCs w:val="22"/>
        </w:rPr>
        <w:t xml:space="preserve">by </w:t>
      </w:r>
      <w:r w:rsidR="00F83616">
        <w:rPr>
          <w:rFonts w:asciiTheme="minorHAnsi" w:eastAsiaTheme="minorHAnsi" w:hAnsiTheme="minorHAnsi" w:cstheme="minorBidi"/>
          <w:noProof/>
          <w:snapToGrid/>
          <w:color w:val="000000"/>
          <w:sz w:val="24"/>
          <w:szCs w:val="22"/>
          <w:highlight w:val="black"/>
        </w:rPr>
        <w:t>'''''''''</w:t>
      </w:r>
      <w:r w:rsidR="00AE2BC4" w:rsidRPr="00CE135A">
        <w:rPr>
          <w:rFonts w:asciiTheme="minorHAnsi" w:eastAsiaTheme="minorHAnsi" w:hAnsiTheme="minorHAnsi" w:cstheme="minorBidi"/>
          <w:snapToGrid/>
          <w:sz w:val="24"/>
          <w:szCs w:val="22"/>
        </w:rPr>
        <w:t xml:space="preserve"> </w:t>
      </w:r>
      <w:r w:rsidRPr="00CE135A">
        <w:rPr>
          <w:rFonts w:asciiTheme="minorHAnsi" w:eastAsiaTheme="minorHAnsi" w:hAnsiTheme="minorHAnsi" w:cstheme="minorBidi"/>
          <w:snapToGrid/>
          <w:sz w:val="24"/>
          <w:szCs w:val="22"/>
        </w:rPr>
        <w:t xml:space="preserve">items per patient year; for clonidine utilisation was divided by </w:t>
      </w:r>
      <w:r w:rsidR="00F83616">
        <w:rPr>
          <w:rFonts w:asciiTheme="minorHAnsi" w:eastAsiaTheme="minorHAnsi" w:hAnsiTheme="minorHAnsi" w:cstheme="minorBidi"/>
          <w:noProof/>
          <w:snapToGrid/>
          <w:color w:val="000000"/>
          <w:sz w:val="24"/>
          <w:szCs w:val="22"/>
          <w:highlight w:val="black"/>
        </w:rPr>
        <w:t>'''''''''</w:t>
      </w:r>
      <w:r w:rsidR="009161F8" w:rsidRPr="00CE135A">
        <w:rPr>
          <w:rFonts w:asciiTheme="minorHAnsi" w:eastAsiaTheme="minorHAnsi" w:hAnsiTheme="minorHAnsi" w:cstheme="minorBidi"/>
          <w:snapToGrid/>
          <w:sz w:val="24"/>
          <w:szCs w:val="22"/>
        </w:rPr>
        <w:t>.</w:t>
      </w:r>
    </w:p>
    <w:p w:rsidR="00BC0075" w:rsidRPr="00CE135A" w:rsidRDefault="00F83616" w:rsidP="00BF0BA2">
      <w:pPr>
        <w:pStyle w:val="ListParagraph"/>
        <w:widowControl/>
        <w:numPr>
          <w:ilvl w:val="1"/>
          <w:numId w:val="22"/>
        </w:numPr>
        <w:spacing w:after="120"/>
        <w:ind w:left="1077" w:hanging="357"/>
        <w:contextualSpacing w:val="0"/>
        <w:rPr>
          <w:rFonts w:asciiTheme="minorHAnsi" w:eastAsiaTheme="minorHAnsi" w:hAnsiTheme="minorHAnsi" w:cstheme="minorBidi"/>
          <w:snapToGrid/>
          <w:sz w:val="24"/>
          <w:szCs w:val="22"/>
        </w:rPr>
      </w:pPr>
      <w:r>
        <w:rPr>
          <w:rFonts w:asciiTheme="minorHAnsi" w:eastAsiaTheme="minorHAnsi" w:hAnsiTheme="minorHAnsi" w:cstheme="minorBidi"/>
          <w:noProof/>
          <w:snapToGrid/>
          <w:color w:val="000000"/>
          <w:sz w:val="24"/>
          <w:szCs w:val="22"/>
          <w:highlight w:val="black"/>
        </w:rPr>
        <w:t>'''''''</w:t>
      </w:r>
      <w:r w:rsidR="00BC0075" w:rsidRPr="00CE135A">
        <w:rPr>
          <w:rFonts w:asciiTheme="minorHAnsi" w:eastAsiaTheme="minorHAnsi" w:hAnsiTheme="minorHAnsi" w:cstheme="minorBidi"/>
          <w:snapToGrid/>
          <w:sz w:val="24"/>
          <w:szCs w:val="22"/>
        </w:rPr>
        <w:t>% of atomoxetine patients were assumed to be eligible for gu</w:t>
      </w:r>
      <w:r w:rsidR="003A10CD" w:rsidRPr="00CE135A">
        <w:rPr>
          <w:rFonts w:asciiTheme="minorHAnsi" w:eastAsiaTheme="minorHAnsi" w:hAnsiTheme="minorHAnsi" w:cstheme="minorBidi"/>
          <w:snapToGrid/>
          <w:sz w:val="24"/>
          <w:szCs w:val="22"/>
        </w:rPr>
        <w:t>a</w:t>
      </w:r>
      <w:r w:rsidR="00BC0075" w:rsidRPr="00CE135A">
        <w:rPr>
          <w:rFonts w:asciiTheme="minorHAnsi" w:eastAsiaTheme="minorHAnsi" w:hAnsiTheme="minorHAnsi" w:cstheme="minorBidi"/>
          <w:snapToGrid/>
          <w:sz w:val="24"/>
          <w:szCs w:val="22"/>
        </w:rPr>
        <w:t>nfacine m</w:t>
      </w:r>
      <w:r w:rsidR="00E013CF" w:rsidRPr="00CE135A">
        <w:rPr>
          <w:rFonts w:asciiTheme="minorHAnsi" w:eastAsiaTheme="minorHAnsi" w:hAnsiTheme="minorHAnsi" w:cstheme="minorBidi"/>
          <w:snapToGrid/>
          <w:sz w:val="24"/>
          <w:szCs w:val="22"/>
        </w:rPr>
        <w:t>onotherapy as the PBS listings we</w:t>
      </w:r>
      <w:r w:rsidR="00BC0075" w:rsidRPr="00CE135A">
        <w:rPr>
          <w:rFonts w:asciiTheme="minorHAnsi" w:eastAsiaTheme="minorHAnsi" w:hAnsiTheme="minorHAnsi" w:cstheme="minorBidi"/>
          <w:snapToGrid/>
          <w:sz w:val="24"/>
          <w:szCs w:val="22"/>
        </w:rPr>
        <w:t xml:space="preserve">re essentially identical. </w:t>
      </w:r>
      <w:r>
        <w:rPr>
          <w:rFonts w:asciiTheme="minorHAnsi" w:eastAsiaTheme="minorHAnsi" w:hAnsiTheme="minorHAnsi" w:cstheme="minorBidi"/>
          <w:noProof/>
          <w:snapToGrid/>
          <w:color w:val="000000"/>
          <w:sz w:val="24"/>
          <w:szCs w:val="22"/>
          <w:highlight w:val="black"/>
        </w:rPr>
        <w:t>'''''''''</w:t>
      </w:r>
      <w:r w:rsidR="00BC0075" w:rsidRPr="00CE135A">
        <w:rPr>
          <w:rFonts w:asciiTheme="minorHAnsi" w:eastAsiaTheme="minorHAnsi" w:hAnsiTheme="minorHAnsi" w:cstheme="minorBidi"/>
          <w:snapToGrid/>
          <w:sz w:val="24"/>
          <w:szCs w:val="22"/>
        </w:rPr>
        <w:t>% of clonidine patients were assumed to be eligible for monotherapy with gu</w:t>
      </w:r>
      <w:r w:rsidR="003A10CD" w:rsidRPr="00CE135A">
        <w:rPr>
          <w:rFonts w:asciiTheme="minorHAnsi" w:eastAsiaTheme="minorHAnsi" w:hAnsiTheme="minorHAnsi" w:cstheme="minorBidi"/>
          <w:snapToGrid/>
          <w:sz w:val="24"/>
          <w:szCs w:val="22"/>
        </w:rPr>
        <w:t>a</w:t>
      </w:r>
      <w:r w:rsidR="00BC0075" w:rsidRPr="00CE135A">
        <w:rPr>
          <w:rFonts w:asciiTheme="minorHAnsi" w:eastAsiaTheme="minorHAnsi" w:hAnsiTheme="minorHAnsi" w:cstheme="minorBidi"/>
          <w:snapToGrid/>
          <w:sz w:val="24"/>
          <w:szCs w:val="22"/>
        </w:rPr>
        <w:t xml:space="preserve">nfacine; this was based on a 10% PBS sample as presented in the </w:t>
      </w:r>
      <w:r w:rsidR="00E013CF" w:rsidRPr="00CE135A">
        <w:rPr>
          <w:rFonts w:asciiTheme="minorHAnsi" w:eastAsiaTheme="minorHAnsi" w:hAnsiTheme="minorHAnsi" w:cstheme="minorBidi"/>
          <w:snapToGrid/>
          <w:sz w:val="24"/>
          <w:szCs w:val="22"/>
        </w:rPr>
        <w:t>July 2017</w:t>
      </w:r>
      <w:r w:rsidR="00BC0075" w:rsidRPr="00CE135A">
        <w:rPr>
          <w:rFonts w:asciiTheme="minorHAnsi" w:eastAsiaTheme="minorHAnsi" w:hAnsiTheme="minorHAnsi" w:cstheme="minorBidi"/>
          <w:snapToGrid/>
          <w:sz w:val="24"/>
          <w:szCs w:val="22"/>
        </w:rPr>
        <w:t xml:space="preserve"> submission</w:t>
      </w:r>
      <w:r w:rsidR="009161F8" w:rsidRPr="00CE135A">
        <w:rPr>
          <w:rFonts w:asciiTheme="minorHAnsi" w:eastAsiaTheme="minorHAnsi" w:hAnsiTheme="minorHAnsi" w:cstheme="minorBidi"/>
          <w:snapToGrid/>
          <w:sz w:val="24"/>
          <w:szCs w:val="22"/>
        </w:rPr>
        <w:t xml:space="preserve">. The PBAC previously considered that </w:t>
      </w:r>
      <w:r w:rsidR="00BF0BA2" w:rsidRPr="00CE135A">
        <w:rPr>
          <w:rFonts w:asciiTheme="minorHAnsi" w:eastAsiaTheme="minorHAnsi" w:hAnsiTheme="minorHAnsi" w:cstheme="minorBidi"/>
          <w:snapToGrid/>
          <w:sz w:val="24"/>
          <w:szCs w:val="22"/>
        </w:rPr>
        <w:t>the different adverse event profiles of guanfacine and atomoxetine created uncertainty around substitution and use of these therapies in practice (para</w:t>
      </w:r>
      <w:r w:rsidR="001443E8" w:rsidRPr="00CE135A">
        <w:rPr>
          <w:rFonts w:asciiTheme="minorHAnsi" w:eastAsiaTheme="minorHAnsi" w:hAnsiTheme="minorHAnsi" w:cstheme="minorBidi"/>
          <w:snapToGrid/>
          <w:sz w:val="24"/>
          <w:szCs w:val="22"/>
        </w:rPr>
        <w:t>graph</w:t>
      </w:r>
      <w:r w:rsidR="00BF0BA2" w:rsidRPr="00CE135A">
        <w:rPr>
          <w:rFonts w:asciiTheme="minorHAnsi" w:eastAsiaTheme="minorHAnsi" w:hAnsiTheme="minorHAnsi" w:cstheme="minorBidi"/>
          <w:snapToGrid/>
          <w:sz w:val="24"/>
          <w:szCs w:val="22"/>
        </w:rPr>
        <w:t xml:space="preserve"> 7.12, July 2017 PSD). Further, the assumption of substitution from clonidine may not be appropriate (as discussed further below).</w:t>
      </w:r>
    </w:p>
    <w:p w:rsidR="00BC0075" w:rsidRPr="00CE135A" w:rsidRDefault="00BC0075" w:rsidP="00BC0075">
      <w:pPr>
        <w:pStyle w:val="ListParagraph"/>
        <w:widowControl/>
        <w:numPr>
          <w:ilvl w:val="1"/>
          <w:numId w:val="22"/>
        </w:numPr>
        <w:spacing w:after="120"/>
        <w:ind w:left="1077" w:hanging="357"/>
        <w:contextualSpacing w:val="0"/>
        <w:rPr>
          <w:rFonts w:asciiTheme="minorHAnsi" w:eastAsiaTheme="minorHAnsi" w:hAnsiTheme="minorHAnsi" w:cstheme="minorBidi"/>
          <w:snapToGrid/>
          <w:sz w:val="24"/>
          <w:szCs w:val="22"/>
        </w:rPr>
      </w:pPr>
      <w:r w:rsidRPr="00CE135A">
        <w:rPr>
          <w:rFonts w:asciiTheme="minorHAnsi" w:eastAsiaTheme="minorHAnsi" w:hAnsiTheme="minorHAnsi" w:cstheme="minorBidi"/>
          <w:snapToGrid/>
          <w:sz w:val="24"/>
          <w:szCs w:val="22"/>
        </w:rPr>
        <w:t>Uptake rates were then applied to estimate the total number of patient years</w:t>
      </w:r>
      <w:r w:rsidR="009161F8" w:rsidRPr="00CE135A">
        <w:rPr>
          <w:rFonts w:asciiTheme="minorHAnsi" w:eastAsiaTheme="minorHAnsi" w:hAnsiTheme="minorHAnsi" w:cstheme="minorBidi"/>
          <w:snapToGrid/>
          <w:sz w:val="24"/>
          <w:szCs w:val="22"/>
        </w:rPr>
        <w:t>.</w:t>
      </w:r>
    </w:p>
    <w:p w:rsidR="00BC0075" w:rsidRPr="004673D0" w:rsidRDefault="00BC0075" w:rsidP="00BC0075">
      <w:pPr>
        <w:pStyle w:val="ListParagraph"/>
        <w:widowControl/>
        <w:numPr>
          <w:ilvl w:val="1"/>
          <w:numId w:val="23"/>
        </w:numPr>
        <w:spacing w:after="120"/>
        <w:ind w:left="1077" w:hanging="357"/>
        <w:contextualSpacing w:val="0"/>
        <w:rPr>
          <w:rFonts w:asciiTheme="minorHAnsi" w:eastAsiaTheme="minorHAnsi" w:hAnsiTheme="minorHAnsi" w:cstheme="minorBidi"/>
          <w:snapToGrid/>
          <w:sz w:val="24"/>
          <w:szCs w:val="22"/>
        </w:rPr>
      </w:pPr>
      <w:r w:rsidRPr="00CE135A">
        <w:rPr>
          <w:rFonts w:asciiTheme="minorHAnsi" w:eastAsiaTheme="minorHAnsi" w:hAnsiTheme="minorHAnsi" w:cstheme="minorBidi"/>
          <w:snapToGrid/>
          <w:sz w:val="24"/>
          <w:szCs w:val="22"/>
        </w:rPr>
        <w:t>The submission assumed that patients receiving gu</w:t>
      </w:r>
      <w:r w:rsidR="003A10CD" w:rsidRPr="00CE135A">
        <w:rPr>
          <w:rFonts w:asciiTheme="minorHAnsi" w:eastAsiaTheme="minorHAnsi" w:hAnsiTheme="minorHAnsi" w:cstheme="minorBidi"/>
          <w:snapToGrid/>
          <w:sz w:val="24"/>
          <w:szCs w:val="22"/>
        </w:rPr>
        <w:t>a</w:t>
      </w:r>
      <w:r w:rsidRPr="00CE135A">
        <w:rPr>
          <w:rFonts w:asciiTheme="minorHAnsi" w:eastAsiaTheme="minorHAnsi" w:hAnsiTheme="minorHAnsi" w:cstheme="minorBidi"/>
          <w:snapToGrid/>
          <w:sz w:val="24"/>
          <w:szCs w:val="22"/>
        </w:rPr>
        <w:t xml:space="preserve">nfacine as monotherapy would receive 1.19 tablets per day, or </w:t>
      </w:r>
      <w:r w:rsidR="00F83616">
        <w:rPr>
          <w:rFonts w:asciiTheme="minorHAnsi" w:eastAsiaTheme="minorHAnsi" w:hAnsiTheme="minorHAnsi" w:cstheme="minorBidi"/>
          <w:noProof/>
          <w:snapToGrid/>
          <w:color w:val="000000"/>
          <w:sz w:val="24"/>
          <w:szCs w:val="22"/>
          <w:highlight w:val="black"/>
        </w:rPr>
        <w:t>''''''''''</w:t>
      </w:r>
      <w:r w:rsidR="00AE2BC4" w:rsidRPr="00CE135A">
        <w:rPr>
          <w:rFonts w:asciiTheme="minorHAnsi" w:eastAsiaTheme="minorHAnsi" w:hAnsiTheme="minorHAnsi" w:cstheme="minorBidi"/>
          <w:snapToGrid/>
          <w:sz w:val="24"/>
          <w:szCs w:val="22"/>
        </w:rPr>
        <w:t xml:space="preserve"> </w:t>
      </w:r>
      <w:r w:rsidRPr="00CE135A">
        <w:rPr>
          <w:rFonts w:asciiTheme="minorHAnsi" w:eastAsiaTheme="minorHAnsi" w:hAnsiTheme="minorHAnsi" w:cstheme="minorBidi"/>
          <w:snapToGrid/>
          <w:sz w:val="24"/>
          <w:szCs w:val="22"/>
        </w:rPr>
        <w:t>prescriptions</w:t>
      </w:r>
      <w:r w:rsidRPr="004673D0">
        <w:rPr>
          <w:rFonts w:asciiTheme="minorHAnsi" w:eastAsiaTheme="minorHAnsi" w:hAnsiTheme="minorHAnsi" w:cstheme="minorBidi"/>
          <w:snapToGrid/>
          <w:sz w:val="24"/>
          <w:szCs w:val="22"/>
        </w:rPr>
        <w:t xml:space="preserve"> per year.</w:t>
      </w:r>
      <w:r w:rsidR="009161F8" w:rsidRPr="004673D0">
        <w:rPr>
          <w:rFonts w:asciiTheme="minorHAnsi" w:eastAsiaTheme="minorHAnsi" w:hAnsiTheme="minorHAnsi" w:cstheme="minorBidi"/>
          <w:snapToGrid/>
          <w:sz w:val="24"/>
          <w:szCs w:val="24"/>
        </w:rPr>
        <w:t xml:space="preserve"> Per the estimates in add-on therapy, the guanfacine dose titration period was not accounted for.</w:t>
      </w:r>
    </w:p>
    <w:p w:rsidR="00BC0075" w:rsidRPr="004673D0" w:rsidRDefault="00BC0075" w:rsidP="003917C1">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The Secretariat note</w:t>
      </w:r>
      <w:r w:rsidR="00C16895" w:rsidRPr="004673D0">
        <w:rPr>
          <w:rFonts w:asciiTheme="minorHAnsi" w:eastAsiaTheme="minorHAnsi" w:hAnsiTheme="minorHAnsi" w:cstheme="minorBidi"/>
          <w:snapToGrid/>
          <w:sz w:val="24"/>
          <w:szCs w:val="22"/>
        </w:rPr>
        <w:t>s</w:t>
      </w:r>
      <w:r w:rsidRPr="004673D0">
        <w:rPr>
          <w:rFonts w:asciiTheme="minorHAnsi" w:eastAsiaTheme="minorHAnsi" w:hAnsiTheme="minorHAnsi" w:cstheme="minorBidi"/>
          <w:snapToGrid/>
          <w:sz w:val="24"/>
          <w:szCs w:val="22"/>
        </w:rPr>
        <w:t xml:space="preserve"> that </w:t>
      </w:r>
      <w:r w:rsidR="00CF756A" w:rsidRPr="004673D0">
        <w:rPr>
          <w:rFonts w:asciiTheme="minorHAnsi" w:eastAsiaTheme="minorHAnsi" w:hAnsiTheme="minorHAnsi" w:cstheme="minorBidi"/>
          <w:snapToGrid/>
          <w:sz w:val="24"/>
          <w:szCs w:val="22"/>
        </w:rPr>
        <w:t xml:space="preserve">in recommending guanfacine for </w:t>
      </w:r>
      <w:r w:rsidRPr="004673D0">
        <w:rPr>
          <w:rFonts w:asciiTheme="minorHAnsi" w:eastAsiaTheme="minorHAnsi" w:hAnsiTheme="minorHAnsi" w:cstheme="minorBidi"/>
          <w:snapToGrid/>
          <w:sz w:val="24"/>
          <w:szCs w:val="22"/>
        </w:rPr>
        <w:t>monotherapy in</w:t>
      </w:r>
      <w:r w:rsidR="00CF756A" w:rsidRPr="004673D0">
        <w:rPr>
          <w:rFonts w:asciiTheme="minorHAnsi" w:eastAsiaTheme="minorHAnsi" w:hAnsiTheme="minorHAnsi" w:cstheme="minorBidi"/>
          <w:snapToGrid/>
          <w:sz w:val="24"/>
          <w:szCs w:val="22"/>
        </w:rPr>
        <w:t xml:space="preserve"> patients who were contraindicated or intolerant to stimulant therapy in</w:t>
      </w:r>
      <w:r w:rsidRPr="004673D0">
        <w:rPr>
          <w:rFonts w:asciiTheme="minorHAnsi" w:eastAsiaTheme="minorHAnsi" w:hAnsiTheme="minorHAnsi" w:cstheme="minorBidi"/>
          <w:snapToGrid/>
          <w:sz w:val="24"/>
          <w:szCs w:val="22"/>
        </w:rPr>
        <w:t xml:space="preserve"> July 2017, the PBAC accepted atomoxetine as the appropriate comparator (paragraph 7.5, July 2017 PSD). Clonidine was </w:t>
      </w:r>
      <w:r w:rsidRPr="004673D0">
        <w:rPr>
          <w:rFonts w:asciiTheme="minorHAnsi" w:eastAsiaTheme="minorHAnsi" w:hAnsiTheme="minorHAnsi" w:cstheme="minorBidi"/>
          <w:b/>
          <w:snapToGrid/>
          <w:sz w:val="24"/>
          <w:szCs w:val="22"/>
        </w:rPr>
        <w:t>not</w:t>
      </w:r>
      <w:r w:rsidRPr="004673D0">
        <w:rPr>
          <w:rFonts w:asciiTheme="minorHAnsi" w:eastAsiaTheme="minorHAnsi" w:hAnsiTheme="minorHAnsi" w:cstheme="minorBidi"/>
          <w:snapToGrid/>
          <w:sz w:val="24"/>
          <w:szCs w:val="22"/>
        </w:rPr>
        <w:t xml:space="preserve"> nominated as a comparator </w:t>
      </w:r>
      <w:r w:rsidR="00CF756A" w:rsidRPr="004673D0">
        <w:rPr>
          <w:rFonts w:asciiTheme="minorHAnsi" w:eastAsiaTheme="minorHAnsi" w:hAnsiTheme="minorHAnsi" w:cstheme="minorBidi"/>
          <w:snapToGrid/>
          <w:sz w:val="24"/>
          <w:szCs w:val="22"/>
        </w:rPr>
        <w:t>in this population</w:t>
      </w:r>
      <w:r w:rsidRPr="004673D0">
        <w:rPr>
          <w:rFonts w:asciiTheme="minorHAnsi" w:eastAsiaTheme="minorHAnsi" w:hAnsiTheme="minorHAnsi" w:cstheme="minorBidi"/>
          <w:snapToGrid/>
          <w:sz w:val="24"/>
          <w:szCs w:val="22"/>
        </w:rPr>
        <w:t>.</w:t>
      </w:r>
      <w:r w:rsidR="00420ED2" w:rsidRPr="004673D0">
        <w:rPr>
          <w:rFonts w:asciiTheme="minorHAnsi" w:eastAsiaTheme="minorHAnsi" w:hAnsiTheme="minorHAnsi" w:cstheme="minorBidi"/>
          <w:snapToGrid/>
          <w:sz w:val="24"/>
          <w:szCs w:val="22"/>
        </w:rPr>
        <w:t xml:space="preserve"> For the add-on therapy indication, </w:t>
      </w:r>
      <w:r w:rsidR="00CF756A" w:rsidRPr="004673D0">
        <w:rPr>
          <w:rFonts w:asciiTheme="minorHAnsi" w:eastAsiaTheme="minorHAnsi" w:hAnsiTheme="minorHAnsi" w:cstheme="minorBidi"/>
          <w:snapToGrid/>
          <w:sz w:val="24"/>
          <w:szCs w:val="22"/>
        </w:rPr>
        <w:t xml:space="preserve">the </w:t>
      </w:r>
      <w:r w:rsidR="00420ED2" w:rsidRPr="004673D0">
        <w:rPr>
          <w:rFonts w:asciiTheme="minorHAnsi" w:eastAsiaTheme="minorHAnsi" w:hAnsiTheme="minorHAnsi" w:cstheme="minorBidi"/>
          <w:snapToGrid/>
          <w:sz w:val="24"/>
          <w:szCs w:val="22"/>
        </w:rPr>
        <w:t xml:space="preserve">July 2017 </w:t>
      </w:r>
      <w:r w:rsidR="00CF756A" w:rsidRPr="004673D0">
        <w:rPr>
          <w:rFonts w:asciiTheme="minorHAnsi" w:eastAsiaTheme="minorHAnsi" w:hAnsiTheme="minorHAnsi" w:cstheme="minorBidi"/>
          <w:snapToGrid/>
          <w:sz w:val="24"/>
          <w:szCs w:val="22"/>
        </w:rPr>
        <w:t xml:space="preserve">PBAC accepted placebo as the appropriate primary comparator. The </w:t>
      </w:r>
      <w:r w:rsidR="00CF548E" w:rsidRPr="004673D0">
        <w:rPr>
          <w:rFonts w:asciiTheme="minorHAnsi" w:eastAsiaTheme="minorHAnsi" w:hAnsiTheme="minorHAnsi" w:cstheme="minorBidi"/>
          <w:snapToGrid/>
          <w:sz w:val="24"/>
          <w:szCs w:val="22"/>
        </w:rPr>
        <w:t xml:space="preserve">July 2017 submission </w:t>
      </w:r>
      <w:r w:rsidR="00CF756A" w:rsidRPr="004673D0">
        <w:rPr>
          <w:rFonts w:asciiTheme="minorHAnsi" w:eastAsiaTheme="minorHAnsi" w:hAnsiTheme="minorHAnsi" w:cstheme="minorBidi"/>
          <w:snapToGrid/>
          <w:sz w:val="24"/>
          <w:szCs w:val="22"/>
        </w:rPr>
        <w:t>nominated clonidine as a secondary comparator; however, this was not accepted by the PBAC in this population as it is neither TGA registered nor PBS listed (paragraph 7.5, July 2017 PSD).</w:t>
      </w:r>
      <w:r w:rsidR="00420ED2" w:rsidRPr="004673D0">
        <w:rPr>
          <w:rFonts w:asciiTheme="minorHAnsi" w:eastAsiaTheme="minorHAnsi" w:hAnsiTheme="minorHAnsi" w:cstheme="minorBidi"/>
          <w:snapToGrid/>
          <w:sz w:val="24"/>
          <w:szCs w:val="22"/>
        </w:rPr>
        <w:t xml:space="preserve"> </w:t>
      </w:r>
      <w:r w:rsidR="004673D0" w:rsidRPr="004673D0">
        <w:rPr>
          <w:rFonts w:asciiTheme="minorHAnsi" w:eastAsiaTheme="minorHAnsi" w:hAnsiTheme="minorHAnsi" w:cstheme="minorBidi"/>
          <w:snapToGrid/>
          <w:sz w:val="24"/>
          <w:szCs w:val="22"/>
        </w:rPr>
        <w:t>Thus,</w:t>
      </w:r>
      <w:r w:rsidR="00420ED2" w:rsidRPr="004673D0">
        <w:rPr>
          <w:rFonts w:asciiTheme="minorHAnsi" w:eastAsiaTheme="minorHAnsi" w:hAnsiTheme="minorHAnsi" w:cstheme="minorBidi"/>
          <w:snapToGrid/>
          <w:sz w:val="24"/>
          <w:szCs w:val="22"/>
        </w:rPr>
        <w:t xml:space="preserve"> the assumed uptake from clonidine may not be appropriate.</w:t>
      </w:r>
    </w:p>
    <w:p w:rsidR="00C47DB0" w:rsidRPr="004673D0" w:rsidRDefault="00E013CF" w:rsidP="00BB13B9">
      <w:pPr>
        <w:pStyle w:val="Caption"/>
      </w:pPr>
      <w:r w:rsidRPr="004673D0">
        <w:lastRenderedPageBreak/>
        <w:t xml:space="preserve">Table </w:t>
      </w:r>
      <w:r w:rsidR="000A2F04" w:rsidRPr="004673D0">
        <w:t>7</w:t>
      </w:r>
      <w:r w:rsidR="00C47DB0" w:rsidRPr="004673D0">
        <w:t xml:space="preserve">: </w:t>
      </w:r>
      <w:r w:rsidR="00FB4231" w:rsidRPr="004673D0">
        <w:t>Estimated</w:t>
      </w:r>
      <w:r w:rsidR="00C47DB0" w:rsidRPr="004673D0">
        <w:t xml:space="preserve"> u</w:t>
      </w:r>
      <w:r w:rsidR="00BA5339" w:rsidRPr="004673D0">
        <w:t>tilisation of monotherapy</w:t>
      </w:r>
      <w:r w:rsidR="00C47DB0" w:rsidRPr="004673D0">
        <w:t xml:space="preserve"> gu</w:t>
      </w:r>
      <w:r w:rsidR="003A10CD" w:rsidRPr="004673D0">
        <w:t>a</w:t>
      </w:r>
      <w:r w:rsidR="00C47DB0" w:rsidRPr="004673D0">
        <w:t xml:space="preserve">nfacine </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
        <w:gridCol w:w="1844"/>
        <w:gridCol w:w="992"/>
        <w:gridCol w:w="992"/>
        <w:gridCol w:w="992"/>
        <w:gridCol w:w="992"/>
        <w:gridCol w:w="990"/>
        <w:gridCol w:w="996"/>
        <w:gridCol w:w="992"/>
      </w:tblGrid>
      <w:tr w:rsidR="00C47DB0" w:rsidRPr="004673D0" w:rsidTr="000F00F8">
        <w:trPr>
          <w:tblHeader/>
        </w:trPr>
        <w:tc>
          <w:tcPr>
            <w:tcW w:w="1184" w:type="pct"/>
            <w:gridSpan w:val="2"/>
          </w:tcPr>
          <w:p w:rsidR="00C47DB0" w:rsidRPr="004673D0" w:rsidRDefault="00C47DB0" w:rsidP="0093544E">
            <w:pPr>
              <w:pStyle w:val="TableText0"/>
            </w:pPr>
          </w:p>
        </w:tc>
        <w:tc>
          <w:tcPr>
            <w:tcW w:w="545" w:type="pct"/>
            <w:vAlign w:val="center"/>
          </w:tcPr>
          <w:p w:rsidR="00C47DB0" w:rsidRPr="004673D0" w:rsidRDefault="00C47DB0" w:rsidP="0093544E">
            <w:pPr>
              <w:pStyle w:val="TableText0"/>
              <w:jc w:val="center"/>
              <w:rPr>
                <w:b/>
              </w:rPr>
            </w:pPr>
            <w:r w:rsidRPr="004673D0">
              <w:rPr>
                <w:b/>
              </w:rPr>
              <w:t>Method</w:t>
            </w:r>
          </w:p>
        </w:tc>
        <w:tc>
          <w:tcPr>
            <w:tcW w:w="545" w:type="pct"/>
            <w:shd w:val="clear" w:color="auto" w:fill="auto"/>
            <w:vAlign w:val="center"/>
          </w:tcPr>
          <w:p w:rsidR="00C47DB0" w:rsidRPr="004673D0" w:rsidRDefault="00C47DB0" w:rsidP="00BB29FE">
            <w:pPr>
              <w:pStyle w:val="TableText0"/>
              <w:jc w:val="center"/>
              <w:rPr>
                <w:b/>
              </w:rPr>
            </w:pPr>
            <w:r w:rsidRPr="004673D0">
              <w:rPr>
                <w:b/>
              </w:rPr>
              <w:t>Year 1</w:t>
            </w:r>
          </w:p>
        </w:tc>
        <w:tc>
          <w:tcPr>
            <w:tcW w:w="545" w:type="pct"/>
            <w:shd w:val="clear" w:color="auto" w:fill="auto"/>
            <w:vAlign w:val="center"/>
          </w:tcPr>
          <w:p w:rsidR="00C47DB0" w:rsidRPr="004673D0" w:rsidRDefault="00C47DB0" w:rsidP="00BB29FE">
            <w:pPr>
              <w:pStyle w:val="TableText0"/>
              <w:jc w:val="center"/>
              <w:rPr>
                <w:b/>
              </w:rPr>
            </w:pPr>
            <w:r w:rsidRPr="004673D0">
              <w:rPr>
                <w:b/>
              </w:rPr>
              <w:t>Year 2</w:t>
            </w:r>
          </w:p>
        </w:tc>
        <w:tc>
          <w:tcPr>
            <w:tcW w:w="545" w:type="pct"/>
            <w:shd w:val="clear" w:color="auto" w:fill="auto"/>
            <w:vAlign w:val="center"/>
          </w:tcPr>
          <w:p w:rsidR="00C47DB0" w:rsidRPr="004673D0" w:rsidRDefault="00C47DB0" w:rsidP="00BB29FE">
            <w:pPr>
              <w:pStyle w:val="TableText0"/>
              <w:jc w:val="center"/>
              <w:rPr>
                <w:b/>
              </w:rPr>
            </w:pPr>
            <w:r w:rsidRPr="004673D0">
              <w:rPr>
                <w:b/>
              </w:rPr>
              <w:t>Year 3</w:t>
            </w:r>
          </w:p>
        </w:tc>
        <w:tc>
          <w:tcPr>
            <w:tcW w:w="544" w:type="pct"/>
            <w:shd w:val="clear" w:color="auto" w:fill="auto"/>
            <w:vAlign w:val="center"/>
          </w:tcPr>
          <w:p w:rsidR="00C47DB0" w:rsidRPr="004673D0" w:rsidRDefault="00C47DB0" w:rsidP="00BB29FE">
            <w:pPr>
              <w:pStyle w:val="TableText0"/>
              <w:jc w:val="center"/>
              <w:rPr>
                <w:b/>
              </w:rPr>
            </w:pPr>
            <w:r w:rsidRPr="004673D0">
              <w:rPr>
                <w:b/>
              </w:rPr>
              <w:t>Year 4</w:t>
            </w:r>
          </w:p>
        </w:tc>
        <w:tc>
          <w:tcPr>
            <w:tcW w:w="547" w:type="pct"/>
            <w:tcBorders>
              <w:right w:val="single" w:sz="4" w:space="0" w:color="auto"/>
            </w:tcBorders>
            <w:shd w:val="clear" w:color="auto" w:fill="auto"/>
            <w:vAlign w:val="center"/>
          </w:tcPr>
          <w:p w:rsidR="00C47DB0" w:rsidRPr="004673D0" w:rsidRDefault="00C47DB0" w:rsidP="00BB29FE">
            <w:pPr>
              <w:pStyle w:val="TableText0"/>
              <w:jc w:val="center"/>
              <w:rPr>
                <w:b/>
              </w:rPr>
            </w:pPr>
            <w:r w:rsidRPr="004673D0">
              <w:rPr>
                <w:b/>
              </w:rPr>
              <w:t>Year 5</w:t>
            </w:r>
          </w:p>
        </w:tc>
        <w:tc>
          <w:tcPr>
            <w:tcW w:w="545" w:type="pct"/>
            <w:tcBorders>
              <w:right w:val="single" w:sz="4" w:space="0" w:color="auto"/>
            </w:tcBorders>
            <w:tcMar>
              <w:left w:w="0" w:type="dxa"/>
              <w:right w:w="0" w:type="dxa"/>
            </w:tcMar>
          </w:tcPr>
          <w:p w:rsidR="00C47DB0" w:rsidRPr="004673D0" w:rsidRDefault="00C47DB0" w:rsidP="00BB29FE">
            <w:pPr>
              <w:pStyle w:val="TableText0"/>
              <w:jc w:val="center"/>
              <w:rPr>
                <w:b/>
              </w:rPr>
            </w:pPr>
            <w:r w:rsidRPr="004673D0">
              <w:rPr>
                <w:b/>
              </w:rPr>
              <w:t>Year 6</w:t>
            </w:r>
          </w:p>
        </w:tc>
      </w:tr>
      <w:tr w:rsidR="00C47DB0" w:rsidRPr="004673D0" w:rsidTr="000F00F8">
        <w:tc>
          <w:tcPr>
            <w:tcW w:w="5000" w:type="pct"/>
            <w:gridSpan w:val="9"/>
            <w:tcBorders>
              <w:right w:val="single" w:sz="4" w:space="0" w:color="auto"/>
            </w:tcBorders>
          </w:tcPr>
          <w:p w:rsidR="00C47DB0" w:rsidRPr="004673D0" w:rsidRDefault="00C47DB0" w:rsidP="003A10CD">
            <w:pPr>
              <w:pStyle w:val="TableText0"/>
              <w:rPr>
                <w:b/>
              </w:rPr>
            </w:pPr>
            <w:r w:rsidRPr="004673D0">
              <w:rPr>
                <w:b/>
              </w:rPr>
              <w:t xml:space="preserve">Estimated extent of </w:t>
            </w:r>
            <w:r w:rsidR="00245B9A" w:rsidRPr="004673D0">
              <w:rPr>
                <w:b/>
              </w:rPr>
              <w:t>gu</w:t>
            </w:r>
            <w:r w:rsidR="003A10CD" w:rsidRPr="004673D0">
              <w:rPr>
                <w:b/>
              </w:rPr>
              <w:t>a</w:t>
            </w:r>
            <w:r w:rsidR="00245B9A" w:rsidRPr="004673D0">
              <w:rPr>
                <w:b/>
              </w:rPr>
              <w:t xml:space="preserve">nfacine monotherapy </w:t>
            </w:r>
            <w:r w:rsidRPr="004673D0">
              <w:rPr>
                <w:b/>
              </w:rPr>
              <w:t>use</w:t>
            </w:r>
          </w:p>
        </w:tc>
      </w:tr>
      <w:tr w:rsidR="00C47DB0" w:rsidRPr="004673D0" w:rsidTr="00763626">
        <w:tc>
          <w:tcPr>
            <w:tcW w:w="171" w:type="pct"/>
            <w:vAlign w:val="center"/>
          </w:tcPr>
          <w:p w:rsidR="00C47DB0" w:rsidRPr="004673D0" w:rsidRDefault="00C47DB0" w:rsidP="0093544E">
            <w:pPr>
              <w:pStyle w:val="TableText0"/>
              <w:jc w:val="center"/>
            </w:pPr>
            <w:r w:rsidRPr="004673D0">
              <w:t>A</w:t>
            </w:r>
          </w:p>
        </w:tc>
        <w:tc>
          <w:tcPr>
            <w:tcW w:w="1013" w:type="pct"/>
            <w:shd w:val="clear" w:color="auto" w:fill="auto"/>
            <w:vAlign w:val="center"/>
          </w:tcPr>
          <w:p w:rsidR="00C47DB0" w:rsidRPr="004673D0" w:rsidRDefault="00C47DB0" w:rsidP="0093544E">
            <w:pPr>
              <w:pStyle w:val="TableText0"/>
            </w:pPr>
            <w:r w:rsidRPr="004673D0">
              <w:t xml:space="preserve">Projected utilisation of </w:t>
            </w:r>
            <w:r w:rsidR="00763626" w:rsidRPr="004673D0">
              <w:t>ATOM</w:t>
            </w:r>
          </w:p>
        </w:tc>
        <w:tc>
          <w:tcPr>
            <w:tcW w:w="545" w:type="pct"/>
            <w:shd w:val="clear" w:color="auto" w:fill="auto"/>
            <w:vAlign w:val="center"/>
          </w:tcPr>
          <w:p w:rsidR="00C47DB0" w:rsidRPr="004673D0" w:rsidRDefault="00C47DB0" w:rsidP="0093544E">
            <w:pPr>
              <w:pStyle w:val="TableText0"/>
            </w:pPr>
            <w:r w:rsidRPr="004673D0">
              <w:t>7% x PBS data</w:t>
            </w:r>
          </w:p>
        </w:tc>
        <w:tc>
          <w:tcPr>
            <w:tcW w:w="545"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4"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7" w:type="pct"/>
            <w:tcBorders>
              <w:right w:val="single" w:sz="4" w:space="0" w:color="auto"/>
            </w:tcBorders>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tcBorders>
              <w:right w:val="single" w:sz="4" w:space="0" w:color="auto"/>
            </w:tcBorders>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C47DB0" w:rsidRPr="004673D0" w:rsidTr="00763626">
        <w:tc>
          <w:tcPr>
            <w:tcW w:w="171" w:type="pct"/>
            <w:vAlign w:val="center"/>
          </w:tcPr>
          <w:p w:rsidR="00C47DB0" w:rsidRPr="004673D0" w:rsidRDefault="00C47DB0" w:rsidP="0093544E">
            <w:pPr>
              <w:pStyle w:val="TableText0"/>
              <w:jc w:val="center"/>
            </w:pPr>
            <w:r w:rsidRPr="004673D0">
              <w:t>B</w:t>
            </w:r>
          </w:p>
        </w:tc>
        <w:tc>
          <w:tcPr>
            <w:tcW w:w="1013" w:type="pct"/>
            <w:shd w:val="clear" w:color="auto" w:fill="auto"/>
            <w:vAlign w:val="center"/>
          </w:tcPr>
          <w:p w:rsidR="00C47DB0" w:rsidRPr="004673D0" w:rsidRDefault="00C47DB0" w:rsidP="0093544E">
            <w:pPr>
              <w:pStyle w:val="TableText0"/>
            </w:pPr>
            <w:r w:rsidRPr="004673D0">
              <w:t>Patient years of therapy</w:t>
            </w:r>
          </w:p>
        </w:tc>
        <w:tc>
          <w:tcPr>
            <w:tcW w:w="545" w:type="pct"/>
            <w:shd w:val="clear" w:color="auto" w:fill="auto"/>
            <w:vAlign w:val="center"/>
          </w:tcPr>
          <w:p w:rsidR="00C47DB0" w:rsidRPr="004673D0" w:rsidRDefault="00C47DB0" w:rsidP="0093544E">
            <w:pPr>
              <w:pStyle w:val="TableText0"/>
            </w:pPr>
            <w:r w:rsidRPr="004673D0">
              <w:t xml:space="preserve">A / </w:t>
            </w:r>
            <w:r w:rsidR="00F83616">
              <w:rPr>
                <w:noProof/>
                <w:color w:val="000000"/>
                <w:highlight w:val="black"/>
              </w:rPr>
              <w:t>''''''''''''</w:t>
            </w:r>
          </w:p>
        </w:tc>
        <w:tc>
          <w:tcPr>
            <w:tcW w:w="545"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4"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7" w:type="pct"/>
            <w:tcBorders>
              <w:right w:val="single" w:sz="4" w:space="0" w:color="auto"/>
            </w:tcBorders>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tcBorders>
              <w:right w:val="single" w:sz="4" w:space="0" w:color="auto"/>
            </w:tcBorders>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C47DB0" w:rsidRPr="004673D0" w:rsidTr="00763626">
        <w:tc>
          <w:tcPr>
            <w:tcW w:w="171" w:type="pct"/>
            <w:vAlign w:val="center"/>
          </w:tcPr>
          <w:p w:rsidR="00C47DB0" w:rsidRPr="004673D0" w:rsidRDefault="00C47DB0" w:rsidP="0093544E">
            <w:pPr>
              <w:pStyle w:val="TableText0"/>
              <w:jc w:val="center"/>
            </w:pPr>
            <w:r w:rsidRPr="004673D0">
              <w:t xml:space="preserve">C </w:t>
            </w:r>
          </w:p>
        </w:tc>
        <w:tc>
          <w:tcPr>
            <w:tcW w:w="1013" w:type="pct"/>
            <w:shd w:val="clear" w:color="auto" w:fill="auto"/>
            <w:vAlign w:val="center"/>
          </w:tcPr>
          <w:p w:rsidR="00C47DB0" w:rsidRPr="004673D0" w:rsidRDefault="00C47DB0" w:rsidP="0093544E">
            <w:pPr>
              <w:pStyle w:val="TableText0"/>
            </w:pPr>
            <w:r w:rsidRPr="004673D0">
              <w:t xml:space="preserve">Eligible population </w:t>
            </w:r>
            <w:r w:rsidR="00763626" w:rsidRPr="004673D0">
              <w:t xml:space="preserve">of ATOM </w:t>
            </w:r>
            <w:r w:rsidRPr="004673D0">
              <w:t>(patient years)</w:t>
            </w:r>
          </w:p>
        </w:tc>
        <w:tc>
          <w:tcPr>
            <w:tcW w:w="545" w:type="pct"/>
            <w:shd w:val="clear" w:color="auto" w:fill="auto"/>
            <w:vAlign w:val="center"/>
          </w:tcPr>
          <w:p w:rsidR="00C47DB0" w:rsidRPr="004673D0" w:rsidRDefault="00C47DB0" w:rsidP="0093544E">
            <w:pPr>
              <w:pStyle w:val="TableText0"/>
            </w:pPr>
            <w:r w:rsidRPr="004673D0">
              <w:t xml:space="preserve">B x </w:t>
            </w:r>
            <w:r w:rsidR="00F83616">
              <w:rPr>
                <w:noProof/>
                <w:color w:val="000000"/>
                <w:highlight w:val="black"/>
              </w:rPr>
              <w:t>''''''''''</w:t>
            </w:r>
            <w:r w:rsidRPr="004673D0">
              <w:t>%</w:t>
            </w:r>
          </w:p>
        </w:tc>
        <w:tc>
          <w:tcPr>
            <w:tcW w:w="545"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4"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7" w:type="pct"/>
            <w:tcBorders>
              <w:right w:val="single" w:sz="4" w:space="0" w:color="auto"/>
            </w:tcBorders>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tcBorders>
              <w:right w:val="single" w:sz="4" w:space="0" w:color="auto"/>
            </w:tcBorders>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C47DB0" w:rsidRPr="004673D0" w:rsidTr="00763626">
        <w:tc>
          <w:tcPr>
            <w:tcW w:w="171" w:type="pct"/>
            <w:vAlign w:val="center"/>
          </w:tcPr>
          <w:p w:rsidR="00C47DB0" w:rsidRPr="004673D0" w:rsidRDefault="00C47DB0" w:rsidP="001E6582">
            <w:pPr>
              <w:pStyle w:val="TableText0"/>
            </w:pPr>
            <w:r w:rsidRPr="004673D0">
              <w:t>D</w:t>
            </w:r>
          </w:p>
        </w:tc>
        <w:tc>
          <w:tcPr>
            <w:tcW w:w="1013" w:type="pct"/>
            <w:shd w:val="clear" w:color="auto" w:fill="auto"/>
            <w:vAlign w:val="center"/>
          </w:tcPr>
          <w:p w:rsidR="00C47DB0" w:rsidRPr="004673D0" w:rsidRDefault="00C47DB0" w:rsidP="0093544E">
            <w:pPr>
              <w:pStyle w:val="TableText0"/>
            </w:pPr>
            <w:r w:rsidRPr="004673D0">
              <w:t>Projected utilisation of</w:t>
            </w:r>
            <w:r w:rsidR="00763626" w:rsidRPr="004673D0">
              <w:t xml:space="preserve"> CLON</w:t>
            </w:r>
          </w:p>
        </w:tc>
        <w:tc>
          <w:tcPr>
            <w:tcW w:w="545" w:type="pct"/>
            <w:shd w:val="clear" w:color="auto" w:fill="auto"/>
            <w:vAlign w:val="center"/>
          </w:tcPr>
          <w:p w:rsidR="00C47DB0" w:rsidRPr="004673D0" w:rsidRDefault="00C47DB0" w:rsidP="0093544E">
            <w:pPr>
              <w:pStyle w:val="TableText0"/>
            </w:pPr>
            <w:r w:rsidRPr="004673D0">
              <w:t>7% x PBS data</w:t>
            </w:r>
          </w:p>
        </w:tc>
        <w:tc>
          <w:tcPr>
            <w:tcW w:w="545"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4" w:type="pct"/>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7" w:type="pct"/>
            <w:tcBorders>
              <w:right w:val="single" w:sz="4" w:space="0" w:color="auto"/>
            </w:tcBorders>
            <w:shd w:val="clear" w:color="auto" w:fill="auto"/>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tcBorders>
              <w:right w:val="single" w:sz="4" w:space="0" w:color="auto"/>
            </w:tcBorders>
            <w:vAlign w:val="center"/>
          </w:tcPr>
          <w:p w:rsidR="00C47DB0"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763626" w:rsidRPr="004673D0" w:rsidTr="00763626">
        <w:tc>
          <w:tcPr>
            <w:tcW w:w="171" w:type="pct"/>
            <w:vAlign w:val="center"/>
          </w:tcPr>
          <w:p w:rsidR="00763626" w:rsidRPr="004673D0" w:rsidRDefault="00763626" w:rsidP="0093544E">
            <w:pPr>
              <w:pStyle w:val="TableText0"/>
              <w:jc w:val="center"/>
            </w:pPr>
            <w:r w:rsidRPr="004673D0">
              <w:t>E</w:t>
            </w:r>
          </w:p>
        </w:tc>
        <w:tc>
          <w:tcPr>
            <w:tcW w:w="1013" w:type="pct"/>
            <w:shd w:val="clear" w:color="auto" w:fill="auto"/>
            <w:vAlign w:val="center"/>
          </w:tcPr>
          <w:p w:rsidR="00763626" w:rsidRPr="004673D0" w:rsidRDefault="00763626" w:rsidP="0093544E">
            <w:pPr>
              <w:pStyle w:val="TableText0"/>
            </w:pPr>
            <w:r w:rsidRPr="004673D0">
              <w:t>Patient years of therapy</w:t>
            </w:r>
          </w:p>
        </w:tc>
        <w:tc>
          <w:tcPr>
            <w:tcW w:w="545" w:type="pct"/>
            <w:shd w:val="clear" w:color="auto" w:fill="auto"/>
            <w:vAlign w:val="center"/>
          </w:tcPr>
          <w:p w:rsidR="00763626" w:rsidRPr="004673D0" w:rsidRDefault="00763626" w:rsidP="0093544E">
            <w:pPr>
              <w:pStyle w:val="TableText0"/>
            </w:pPr>
            <w:r w:rsidRPr="004673D0">
              <w:t xml:space="preserve">D / </w:t>
            </w:r>
            <w:r w:rsidR="00F83616">
              <w:rPr>
                <w:noProof/>
                <w:color w:val="000000"/>
                <w:highlight w:val="black"/>
              </w:rPr>
              <w:t>''''''''''</w:t>
            </w:r>
          </w:p>
        </w:tc>
        <w:tc>
          <w:tcPr>
            <w:tcW w:w="545"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4"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7" w:type="pct"/>
            <w:tcBorders>
              <w:right w:val="single" w:sz="4" w:space="0" w:color="auto"/>
            </w:tcBorders>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tcBorders>
              <w:right w:val="single" w:sz="4" w:space="0" w:color="auto"/>
            </w:tcBorders>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763626" w:rsidRPr="004673D0" w:rsidTr="00763626">
        <w:tc>
          <w:tcPr>
            <w:tcW w:w="171" w:type="pct"/>
            <w:vAlign w:val="center"/>
          </w:tcPr>
          <w:p w:rsidR="00763626" w:rsidRPr="004673D0" w:rsidRDefault="00763626" w:rsidP="0093544E">
            <w:pPr>
              <w:pStyle w:val="TableText0"/>
              <w:jc w:val="center"/>
            </w:pPr>
            <w:r w:rsidRPr="004673D0">
              <w:t>F</w:t>
            </w:r>
          </w:p>
        </w:tc>
        <w:tc>
          <w:tcPr>
            <w:tcW w:w="1013" w:type="pct"/>
            <w:shd w:val="clear" w:color="auto" w:fill="auto"/>
            <w:vAlign w:val="center"/>
          </w:tcPr>
          <w:p w:rsidR="00763626" w:rsidRPr="004673D0" w:rsidRDefault="00763626" w:rsidP="0093544E">
            <w:pPr>
              <w:pStyle w:val="TableText0"/>
            </w:pPr>
            <w:r w:rsidRPr="004673D0">
              <w:t>Eligible population of CLON (patient years)</w:t>
            </w:r>
          </w:p>
        </w:tc>
        <w:tc>
          <w:tcPr>
            <w:tcW w:w="545" w:type="pct"/>
            <w:shd w:val="clear" w:color="auto" w:fill="auto"/>
            <w:vAlign w:val="center"/>
          </w:tcPr>
          <w:p w:rsidR="00763626" w:rsidRPr="004673D0" w:rsidRDefault="00763626" w:rsidP="0093544E">
            <w:pPr>
              <w:pStyle w:val="TableText0"/>
            </w:pPr>
            <w:r w:rsidRPr="004673D0">
              <w:t xml:space="preserve">E x </w:t>
            </w:r>
            <w:r w:rsidR="00F83616">
              <w:rPr>
                <w:noProof/>
                <w:color w:val="000000"/>
                <w:highlight w:val="black"/>
              </w:rPr>
              <w:t>''''''''''</w:t>
            </w:r>
            <w:r w:rsidRPr="004673D0">
              <w:t>%</w:t>
            </w:r>
          </w:p>
        </w:tc>
        <w:tc>
          <w:tcPr>
            <w:tcW w:w="545"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4"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7" w:type="pct"/>
            <w:tcBorders>
              <w:right w:val="single" w:sz="4" w:space="0" w:color="auto"/>
            </w:tcBorders>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tcBorders>
              <w:right w:val="single" w:sz="4" w:space="0" w:color="auto"/>
            </w:tcBorders>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763626" w:rsidRPr="004673D0" w:rsidTr="00763626">
        <w:tc>
          <w:tcPr>
            <w:tcW w:w="171" w:type="pct"/>
            <w:vAlign w:val="center"/>
          </w:tcPr>
          <w:p w:rsidR="00763626" w:rsidRPr="004673D0" w:rsidRDefault="00763626" w:rsidP="0093544E">
            <w:pPr>
              <w:pStyle w:val="TableText0"/>
              <w:jc w:val="center"/>
            </w:pPr>
            <w:r w:rsidRPr="004673D0">
              <w:t>G</w:t>
            </w:r>
          </w:p>
        </w:tc>
        <w:tc>
          <w:tcPr>
            <w:tcW w:w="1013" w:type="pct"/>
            <w:shd w:val="clear" w:color="auto" w:fill="auto"/>
            <w:vAlign w:val="center"/>
          </w:tcPr>
          <w:p w:rsidR="00763626" w:rsidRPr="004673D0" w:rsidRDefault="00763626" w:rsidP="0093544E">
            <w:pPr>
              <w:pStyle w:val="TableText0"/>
            </w:pPr>
            <w:r w:rsidRPr="004673D0">
              <w:t>ATOM + CLON eligible population</w:t>
            </w:r>
          </w:p>
        </w:tc>
        <w:tc>
          <w:tcPr>
            <w:tcW w:w="545" w:type="pct"/>
            <w:shd w:val="clear" w:color="auto" w:fill="auto"/>
            <w:vAlign w:val="center"/>
          </w:tcPr>
          <w:p w:rsidR="00763626" w:rsidRPr="004673D0" w:rsidRDefault="00763626" w:rsidP="0093544E">
            <w:pPr>
              <w:pStyle w:val="TableText0"/>
            </w:pPr>
            <w:r w:rsidRPr="004673D0">
              <w:t>C + F</w:t>
            </w:r>
          </w:p>
        </w:tc>
        <w:tc>
          <w:tcPr>
            <w:tcW w:w="545"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4"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7" w:type="pct"/>
            <w:tcBorders>
              <w:right w:val="single" w:sz="4" w:space="0" w:color="auto"/>
            </w:tcBorders>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tcBorders>
              <w:right w:val="single" w:sz="4" w:space="0" w:color="auto"/>
            </w:tcBorders>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763626" w:rsidRPr="004673D0" w:rsidTr="00763626">
        <w:tc>
          <w:tcPr>
            <w:tcW w:w="171" w:type="pct"/>
            <w:vAlign w:val="center"/>
          </w:tcPr>
          <w:p w:rsidR="00763626" w:rsidRPr="004673D0" w:rsidRDefault="00763626" w:rsidP="0093544E">
            <w:pPr>
              <w:pStyle w:val="TableText0"/>
              <w:jc w:val="center"/>
            </w:pPr>
            <w:r w:rsidRPr="004673D0">
              <w:t>H</w:t>
            </w:r>
          </w:p>
        </w:tc>
        <w:tc>
          <w:tcPr>
            <w:tcW w:w="1013" w:type="pct"/>
            <w:shd w:val="clear" w:color="auto" w:fill="auto"/>
            <w:vAlign w:val="center"/>
          </w:tcPr>
          <w:p w:rsidR="00763626" w:rsidRPr="004673D0" w:rsidRDefault="00763626" w:rsidP="003A10CD">
            <w:pPr>
              <w:pStyle w:val="TableText0"/>
            </w:pPr>
            <w:r w:rsidRPr="004673D0">
              <w:t>Uptake rates of gu</w:t>
            </w:r>
            <w:r w:rsidR="003A10CD" w:rsidRPr="004673D0">
              <w:t>a</w:t>
            </w:r>
            <w:r w:rsidRPr="004673D0">
              <w:t>nfacine</w:t>
            </w:r>
          </w:p>
        </w:tc>
        <w:tc>
          <w:tcPr>
            <w:tcW w:w="545" w:type="pct"/>
            <w:shd w:val="clear" w:color="auto" w:fill="auto"/>
            <w:vAlign w:val="center"/>
          </w:tcPr>
          <w:p w:rsidR="00763626" w:rsidRPr="004673D0" w:rsidRDefault="00763626" w:rsidP="0093544E">
            <w:pPr>
              <w:pStyle w:val="TableText0"/>
            </w:pPr>
            <w:r w:rsidRPr="004673D0">
              <w:t>Assumption</w:t>
            </w:r>
          </w:p>
        </w:tc>
        <w:tc>
          <w:tcPr>
            <w:tcW w:w="545" w:type="pct"/>
            <w:shd w:val="clear" w:color="auto" w:fill="auto"/>
            <w:vAlign w:val="center"/>
          </w:tcPr>
          <w:p w:rsidR="00763626" w:rsidRPr="004673D0" w:rsidRDefault="00F83616" w:rsidP="0093544E">
            <w:pPr>
              <w:keepNext/>
              <w:rPr>
                <w:rFonts w:ascii="Arial Narrow" w:hAnsi="Arial Narrow" w:cs="Arial"/>
                <w:sz w:val="20"/>
                <w:szCs w:val="20"/>
              </w:rPr>
            </w:pPr>
            <w:r>
              <w:rPr>
                <w:rFonts w:ascii="Arial Narrow" w:hAnsi="Arial Narrow" w:cs="Arial"/>
                <w:noProof/>
                <w:color w:val="000000"/>
                <w:sz w:val="20"/>
                <w:szCs w:val="20"/>
                <w:highlight w:val="black"/>
              </w:rPr>
              <w:t>''''''''</w:t>
            </w:r>
            <w:r w:rsidR="00763626" w:rsidRPr="004673D0">
              <w:rPr>
                <w:rFonts w:ascii="Arial Narrow" w:hAnsi="Arial Narrow" w:cs="Arial"/>
                <w:sz w:val="20"/>
                <w:szCs w:val="20"/>
              </w:rPr>
              <w:t>%</w:t>
            </w:r>
          </w:p>
        </w:tc>
        <w:tc>
          <w:tcPr>
            <w:tcW w:w="545" w:type="pct"/>
            <w:shd w:val="clear" w:color="auto" w:fill="auto"/>
            <w:vAlign w:val="center"/>
          </w:tcPr>
          <w:p w:rsidR="00763626" w:rsidRPr="004673D0" w:rsidRDefault="00F83616" w:rsidP="0093544E">
            <w:pPr>
              <w:keepNext/>
              <w:rPr>
                <w:rFonts w:ascii="Arial Narrow" w:hAnsi="Arial Narrow" w:cs="Arial"/>
                <w:sz w:val="20"/>
                <w:szCs w:val="20"/>
              </w:rPr>
            </w:pPr>
            <w:r>
              <w:rPr>
                <w:rFonts w:ascii="Arial Narrow" w:hAnsi="Arial Narrow" w:cs="Arial"/>
                <w:noProof/>
                <w:color w:val="000000"/>
                <w:sz w:val="20"/>
                <w:szCs w:val="20"/>
                <w:highlight w:val="black"/>
              </w:rPr>
              <w:t>''''''''''</w:t>
            </w:r>
            <w:r w:rsidR="00763626" w:rsidRPr="004673D0">
              <w:rPr>
                <w:rFonts w:ascii="Arial Narrow" w:hAnsi="Arial Narrow" w:cs="Arial"/>
                <w:sz w:val="20"/>
                <w:szCs w:val="20"/>
              </w:rPr>
              <w:t>%</w:t>
            </w:r>
          </w:p>
        </w:tc>
        <w:tc>
          <w:tcPr>
            <w:tcW w:w="545" w:type="pct"/>
            <w:shd w:val="clear" w:color="auto" w:fill="auto"/>
            <w:vAlign w:val="center"/>
          </w:tcPr>
          <w:p w:rsidR="00763626" w:rsidRPr="004673D0" w:rsidRDefault="00F83616" w:rsidP="0093544E">
            <w:pPr>
              <w:keepNext/>
              <w:rPr>
                <w:rFonts w:ascii="Arial Narrow" w:hAnsi="Arial Narrow" w:cs="Arial"/>
                <w:sz w:val="20"/>
                <w:szCs w:val="20"/>
              </w:rPr>
            </w:pPr>
            <w:r>
              <w:rPr>
                <w:rFonts w:ascii="Arial Narrow" w:hAnsi="Arial Narrow" w:cs="Arial"/>
                <w:noProof/>
                <w:color w:val="000000"/>
                <w:sz w:val="20"/>
                <w:szCs w:val="20"/>
                <w:highlight w:val="black"/>
              </w:rPr>
              <w:t>''''''''''</w:t>
            </w:r>
            <w:r w:rsidR="00763626" w:rsidRPr="004673D0">
              <w:rPr>
                <w:rFonts w:ascii="Arial Narrow" w:hAnsi="Arial Narrow" w:cs="Arial"/>
                <w:sz w:val="20"/>
                <w:szCs w:val="20"/>
              </w:rPr>
              <w:t>%</w:t>
            </w:r>
          </w:p>
        </w:tc>
        <w:tc>
          <w:tcPr>
            <w:tcW w:w="544" w:type="pct"/>
            <w:shd w:val="clear" w:color="auto" w:fill="auto"/>
            <w:vAlign w:val="center"/>
          </w:tcPr>
          <w:p w:rsidR="00763626" w:rsidRPr="004673D0" w:rsidRDefault="00F83616" w:rsidP="0093544E">
            <w:pPr>
              <w:keepNext/>
              <w:rPr>
                <w:rFonts w:ascii="Arial Narrow" w:hAnsi="Arial Narrow" w:cs="Arial"/>
                <w:sz w:val="20"/>
                <w:szCs w:val="20"/>
              </w:rPr>
            </w:pPr>
            <w:r>
              <w:rPr>
                <w:rFonts w:ascii="Arial Narrow" w:hAnsi="Arial Narrow" w:cs="Arial"/>
                <w:noProof/>
                <w:color w:val="000000"/>
                <w:sz w:val="20"/>
                <w:szCs w:val="20"/>
                <w:highlight w:val="black"/>
              </w:rPr>
              <w:t>'''''''''''</w:t>
            </w:r>
            <w:r w:rsidR="00763626" w:rsidRPr="004673D0">
              <w:rPr>
                <w:rFonts w:ascii="Arial Narrow" w:hAnsi="Arial Narrow" w:cs="Arial"/>
                <w:sz w:val="20"/>
                <w:szCs w:val="20"/>
              </w:rPr>
              <w:t>%</w:t>
            </w:r>
          </w:p>
        </w:tc>
        <w:tc>
          <w:tcPr>
            <w:tcW w:w="547" w:type="pct"/>
            <w:tcBorders>
              <w:right w:val="single" w:sz="4" w:space="0" w:color="auto"/>
            </w:tcBorders>
            <w:shd w:val="clear" w:color="auto" w:fill="auto"/>
            <w:vAlign w:val="center"/>
          </w:tcPr>
          <w:p w:rsidR="00763626" w:rsidRPr="004673D0" w:rsidRDefault="00F83616" w:rsidP="0093544E">
            <w:pPr>
              <w:keepNext/>
              <w:rPr>
                <w:rFonts w:ascii="Arial Narrow" w:hAnsi="Arial Narrow" w:cs="Arial"/>
                <w:sz w:val="20"/>
                <w:szCs w:val="20"/>
              </w:rPr>
            </w:pPr>
            <w:r>
              <w:rPr>
                <w:rFonts w:ascii="Arial Narrow" w:hAnsi="Arial Narrow" w:cs="Arial"/>
                <w:noProof/>
                <w:color w:val="000000"/>
                <w:sz w:val="20"/>
                <w:szCs w:val="20"/>
                <w:highlight w:val="black"/>
              </w:rPr>
              <w:t>''''''''''</w:t>
            </w:r>
            <w:r w:rsidR="00763626" w:rsidRPr="004673D0">
              <w:rPr>
                <w:rFonts w:ascii="Arial Narrow" w:hAnsi="Arial Narrow" w:cs="Arial"/>
                <w:sz w:val="20"/>
                <w:szCs w:val="20"/>
              </w:rPr>
              <w:t>%</w:t>
            </w:r>
          </w:p>
        </w:tc>
        <w:tc>
          <w:tcPr>
            <w:tcW w:w="545" w:type="pct"/>
            <w:tcBorders>
              <w:right w:val="single" w:sz="4" w:space="0" w:color="auto"/>
            </w:tcBorders>
            <w:vAlign w:val="center"/>
          </w:tcPr>
          <w:p w:rsidR="00763626" w:rsidRPr="004673D0" w:rsidRDefault="00F83616" w:rsidP="0093544E">
            <w:pPr>
              <w:keepNext/>
              <w:rPr>
                <w:rFonts w:ascii="Arial Narrow" w:hAnsi="Arial Narrow" w:cs="Arial"/>
                <w:sz w:val="20"/>
                <w:szCs w:val="20"/>
              </w:rPr>
            </w:pPr>
            <w:r>
              <w:rPr>
                <w:rFonts w:ascii="Arial Narrow" w:hAnsi="Arial Narrow" w:cs="Arial"/>
                <w:noProof/>
                <w:color w:val="000000"/>
                <w:sz w:val="20"/>
                <w:szCs w:val="20"/>
                <w:highlight w:val="black"/>
              </w:rPr>
              <w:t>''''''''''</w:t>
            </w:r>
            <w:r w:rsidR="00763626" w:rsidRPr="004673D0">
              <w:rPr>
                <w:rFonts w:ascii="Arial Narrow" w:hAnsi="Arial Narrow" w:cs="Arial"/>
                <w:sz w:val="20"/>
                <w:szCs w:val="20"/>
              </w:rPr>
              <w:t>%</w:t>
            </w:r>
          </w:p>
        </w:tc>
      </w:tr>
      <w:tr w:rsidR="00763626" w:rsidRPr="004673D0" w:rsidTr="00763626">
        <w:tc>
          <w:tcPr>
            <w:tcW w:w="171" w:type="pct"/>
            <w:vAlign w:val="center"/>
          </w:tcPr>
          <w:p w:rsidR="00763626" w:rsidRPr="004673D0" w:rsidRDefault="00763626" w:rsidP="0093544E">
            <w:pPr>
              <w:pStyle w:val="TableText0"/>
              <w:jc w:val="center"/>
            </w:pPr>
            <w:r w:rsidRPr="004673D0">
              <w:t>I</w:t>
            </w:r>
          </w:p>
        </w:tc>
        <w:tc>
          <w:tcPr>
            <w:tcW w:w="1013" w:type="pct"/>
            <w:shd w:val="clear" w:color="auto" w:fill="auto"/>
            <w:vAlign w:val="center"/>
          </w:tcPr>
          <w:p w:rsidR="00763626" w:rsidRPr="004673D0" w:rsidRDefault="00621EEA" w:rsidP="0093544E">
            <w:pPr>
              <w:pStyle w:val="TableText0"/>
            </w:pPr>
            <w:r w:rsidRPr="004673D0">
              <w:t xml:space="preserve">MONO </w:t>
            </w:r>
            <w:r w:rsidR="00763626" w:rsidRPr="004673D0">
              <w:t>guanfacine (patient years)</w:t>
            </w:r>
          </w:p>
        </w:tc>
        <w:tc>
          <w:tcPr>
            <w:tcW w:w="545" w:type="pct"/>
            <w:shd w:val="clear" w:color="auto" w:fill="auto"/>
            <w:vAlign w:val="center"/>
          </w:tcPr>
          <w:p w:rsidR="00763626" w:rsidRPr="004673D0" w:rsidRDefault="00763626" w:rsidP="0093544E">
            <w:pPr>
              <w:pStyle w:val="TableText0"/>
            </w:pPr>
            <w:r w:rsidRPr="004673D0">
              <w:t>G x H</w:t>
            </w:r>
          </w:p>
        </w:tc>
        <w:tc>
          <w:tcPr>
            <w:tcW w:w="545"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4" w:type="pct"/>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7" w:type="pct"/>
            <w:tcBorders>
              <w:right w:val="single" w:sz="4" w:space="0" w:color="auto"/>
            </w:tcBorders>
            <w:shd w:val="clear" w:color="auto" w:fill="auto"/>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tcBorders>
              <w:right w:val="single" w:sz="4" w:space="0" w:color="auto"/>
            </w:tcBorders>
            <w:vAlign w:val="center"/>
          </w:tcPr>
          <w:p w:rsidR="00763626" w:rsidRPr="00F83616" w:rsidRDefault="00F83616" w:rsidP="0093544E">
            <w:pPr>
              <w:keepNex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763626" w:rsidRPr="004673D0" w:rsidTr="00763626">
        <w:tc>
          <w:tcPr>
            <w:tcW w:w="171" w:type="pct"/>
            <w:vAlign w:val="center"/>
          </w:tcPr>
          <w:p w:rsidR="00763626" w:rsidRPr="004673D0" w:rsidRDefault="00763626" w:rsidP="0093544E">
            <w:pPr>
              <w:pStyle w:val="TableText0"/>
              <w:jc w:val="center"/>
              <w:rPr>
                <w:b/>
              </w:rPr>
            </w:pPr>
            <w:r w:rsidRPr="004673D0">
              <w:rPr>
                <w:b/>
              </w:rPr>
              <w:t>J</w:t>
            </w:r>
          </w:p>
        </w:tc>
        <w:tc>
          <w:tcPr>
            <w:tcW w:w="1013" w:type="pct"/>
            <w:shd w:val="clear" w:color="auto" w:fill="auto"/>
            <w:vAlign w:val="center"/>
          </w:tcPr>
          <w:p w:rsidR="00763626" w:rsidRPr="004673D0" w:rsidRDefault="00BA5339" w:rsidP="003A10CD">
            <w:pPr>
              <w:pStyle w:val="TableText0"/>
              <w:rPr>
                <w:b/>
              </w:rPr>
            </w:pPr>
            <w:r w:rsidRPr="004673D0">
              <w:rPr>
                <w:b/>
              </w:rPr>
              <w:t xml:space="preserve">Total </w:t>
            </w:r>
            <w:r w:rsidR="00621EEA" w:rsidRPr="004673D0">
              <w:rPr>
                <w:b/>
              </w:rPr>
              <w:t>MONO g</w:t>
            </w:r>
            <w:r w:rsidR="00763626" w:rsidRPr="004673D0">
              <w:rPr>
                <w:b/>
              </w:rPr>
              <w:t>u</w:t>
            </w:r>
            <w:r w:rsidR="003A10CD" w:rsidRPr="004673D0">
              <w:rPr>
                <w:b/>
              </w:rPr>
              <w:t>a</w:t>
            </w:r>
            <w:r w:rsidR="00763626" w:rsidRPr="004673D0">
              <w:rPr>
                <w:b/>
              </w:rPr>
              <w:t xml:space="preserve">nfacine </w:t>
            </w:r>
            <w:r w:rsidRPr="004673D0">
              <w:rPr>
                <w:b/>
              </w:rPr>
              <w:t>scripts</w:t>
            </w:r>
          </w:p>
        </w:tc>
        <w:tc>
          <w:tcPr>
            <w:tcW w:w="545" w:type="pct"/>
            <w:shd w:val="clear" w:color="auto" w:fill="auto"/>
            <w:vAlign w:val="center"/>
          </w:tcPr>
          <w:p w:rsidR="00763626" w:rsidRPr="004673D0" w:rsidRDefault="00763626" w:rsidP="0093544E">
            <w:pPr>
              <w:pStyle w:val="TableText0"/>
              <w:rPr>
                <w:b/>
              </w:rPr>
            </w:pPr>
            <w:r w:rsidRPr="004673D0">
              <w:rPr>
                <w:b/>
              </w:rPr>
              <w:t xml:space="preserve">I x </w:t>
            </w:r>
            <w:r w:rsidR="00F83616">
              <w:rPr>
                <w:b/>
                <w:noProof/>
                <w:color w:val="000000"/>
                <w:highlight w:val="black"/>
              </w:rPr>
              <w:t>''''''''''''</w:t>
            </w:r>
          </w:p>
        </w:tc>
        <w:tc>
          <w:tcPr>
            <w:tcW w:w="545" w:type="pct"/>
            <w:shd w:val="clear" w:color="auto" w:fill="auto"/>
            <w:vAlign w:val="center"/>
          </w:tcPr>
          <w:p w:rsidR="00763626" w:rsidRPr="004673D0" w:rsidRDefault="00F83616" w:rsidP="0093544E">
            <w:pPr>
              <w:keepNext/>
              <w:rPr>
                <w:rFonts w:ascii="Arial Narrow" w:hAnsi="Arial Narrow" w:cs="Arial"/>
                <w:b/>
                <w:sz w:val="20"/>
                <w:szCs w:val="20"/>
                <w:vertAlign w:val="superscript"/>
              </w:rPr>
            </w:pPr>
            <w:r>
              <w:rPr>
                <w:rFonts w:ascii="Arial Narrow" w:hAnsi="Arial Narrow" w:cs="Arial"/>
                <w:b/>
                <w:noProof/>
                <w:color w:val="000000"/>
                <w:sz w:val="20"/>
                <w:szCs w:val="20"/>
                <w:highlight w:val="black"/>
              </w:rPr>
              <w:t>'''''''''''''</w:t>
            </w:r>
            <w:r w:rsidR="00CB7F93" w:rsidRPr="004673D0">
              <w:rPr>
                <w:rFonts w:ascii="Arial Narrow" w:hAnsi="Arial Narrow" w:cs="Arial"/>
                <w:b/>
                <w:sz w:val="20"/>
                <w:szCs w:val="20"/>
              </w:rPr>
              <w:t xml:space="preserve"> </w:t>
            </w:r>
            <w:r w:rsidR="00CB7F93" w:rsidRPr="004673D0">
              <w:rPr>
                <w:rFonts w:ascii="Arial Narrow" w:hAnsi="Arial Narrow" w:cs="Arial"/>
                <w:b/>
                <w:sz w:val="20"/>
                <w:szCs w:val="20"/>
                <w:vertAlign w:val="superscript"/>
              </w:rPr>
              <w:t>a</w:t>
            </w:r>
          </w:p>
        </w:tc>
        <w:tc>
          <w:tcPr>
            <w:tcW w:w="545" w:type="pct"/>
            <w:shd w:val="clear" w:color="auto" w:fill="auto"/>
            <w:vAlign w:val="center"/>
          </w:tcPr>
          <w:p w:rsidR="00763626" w:rsidRPr="00F83616" w:rsidRDefault="00F83616" w:rsidP="0093544E">
            <w:pPr>
              <w:keepNext/>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545" w:type="pct"/>
            <w:shd w:val="clear" w:color="auto" w:fill="auto"/>
            <w:vAlign w:val="center"/>
          </w:tcPr>
          <w:p w:rsidR="00763626" w:rsidRPr="00F83616" w:rsidRDefault="00F83616" w:rsidP="0093544E">
            <w:pPr>
              <w:keepNext/>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544" w:type="pct"/>
            <w:shd w:val="clear" w:color="auto" w:fill="auto"/>
            <w:vAlign w:val="center"/>
          </w:tcPr>
          <w:p w:rsidR="00763626" w:rsidRPr="00F83616" w:rsidRDefault="00F83616" w:rsidP="0093544E">
            <w:pPr>
              <w:keepNext/>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547" w:type="pct"/>
            <w:tcBorders>
              <w:right w:val="single" w:sz="4" w:space="0" w:color="auto"/>
            </w:tcBorders>
            <w:shd w:val="clear" w:color="auto" w:fill="auto"/>
            <w:vAlign w:val="center"/>
          </w:tcPr>
          <w:p w:rsidR="00763626" w:rsidRPr="00F83616" w:rsidRDefault="00F83616" w:rsidP="0093544E">
            <w:pPr>
              <w:keepNext/>
              <w:rPr>
                <w:rFonts w:ascii="Arial Narrow" w:hAnsi="Arial Narrow" w:cs="Arial"/>
                <w:b/>
                <w:sz w:val="20"/>
                <w:szCs w:val="20"/>
                <w:highlight w:val="black"/>
              </w:rPr>
            </w:pPr>
            <w:r>
              <w:rPr>
                <w:rFonts w:ascii="Arial Narrow" w:hAnsi="Arial Narrow" w:cs="Arial"/>
                <w:b/>
                <w:noProof/>
                <w:color w:val="000000"/>
                <w:sz w:val="20"/>
                <w:szCs w:val="20"/>
                <w:highlight w:val="black"/>
              </w:rPr>
              <w:t>'''''''''''''''</w:t>
            </w:r>
          </w:p>
        </w:tc>
        <w:tc>
          <w:tcPr>
            <w:tcW w:w="545" w:type="pct"/>
            <w:tcBorders>
              <w:right w:val="single" w:sz="4" w:space="0" w:color="auto"/>
            </w:tcBorders>
            <w:vAlign w:val="center"/>
          </w:tcPr>
          <w:p w:rsidR="00763626" w:rsidRPr="00F83616" w:rsidRDefault="00F83616" w:rsidP="0093544E">
            <w:pPr>
              <w:keepNext/>
              <w:rPr>
                <w:rFonts w:ascii="Arial Narrow" w:hAnsi="Arial Narrow" w:cs="Arial"/>
                <w:b/>
                <w:sz w:val="20"/>
                <w:szCs w:val="20"/>
                <w:highlight w:val="black"/>
              </w:rPr>
            </w:pPr>
            <w:r>
              <w:rPr>
                <w:rFonts w:ascii="Arial Narrow" w:hAnsi="Arial Narrow" w:cs="Arial"/>
                <w:b/>
                <w:noProof/>
                <w:color w:val="000000"/>
                <w:sz w:val="20"/>
                <w:szCs w:val="20"/>
                <w:highlight w:val="black"/>
              </w:rPr>
              <w:t>'''''''''''''''''</w:t>
            </w:r>
          </w:p>
        </w:tc>
      </w:tr>
      <w:tr w:rsidR="00BF0BA2" w:rsidRPr="004673D0" w:rsidTr="00BF0BA2">
        <w:tc>
          <w:tcPr>
            <w:tcW w:w="1729" w:type="pct"/>
            <w:gridSpan w:val="3"/>
            <w:shd w:val="clear" w:color="auto" w:fill="BFBFBF" w:themeFill="background1" w:themeFillShade="BF"/>
            <w:vAlign w:val="center"/>
          </w:tcPr>
          <w:p w:rsidR="00BF0BA2" w:rsidRPr="004673D0" w:rsidRDefault="00BF0BA2" w:rsidP="00E05E38">
            <w:pPr>
              <w:pStyle w:val="TableText0"/>
              <w:rPr>
                <w:b/>
                <w:vertAlign w:val="superscript"/>
              </w:rPr>
            </w:pPr>
            <w:r w:rsidRPr="004673D0">
              <w:rPr>
                <w:b/>
              </w:rPr>
              <w:t>Previous submission – total scripts</w:t>
            </w:r>
            <w:r w:rsidR="00022545" w:rsidRPr="004673D0">
              <w:rPr>
                <w:b/>
              </w:rPr>
              <w:t xml:space="preserve"> </w:t>
            </w:r>
            <w:r w:rsidR="00BB29FE" w:rsidRPr="004673D0">
              <w:rPr>
                <w:b/>
                <w:vertAlign w:val="superscript"/>
              </w:rPr>
              <w:t>b</w:t>
            </w:r>
          </w:p>
        </w:tc>
        <w:tc>
          <w:tcPr>
            <w:tcW w:w="545" w:type="pct"/>
            <w:shd w:val="clear" w:color="auto" w:fill="BFBFBF" w:themeFill="background1" w:themeFillShade="BF"/>
            <w:vAlign w:val="bottom"/>
          </w:tcPr>
          <w:p w:rsidR="00BF0BA2" w:rsidRPr="004673D0" w:rsidRDefault="00F83616" w:rsidP="00BF0BA2">
            <w:pPr>
              <w:rPr>
                <w:rFonts w:ascii="Arial Narrow" w:hAnsi="Arial Narrow" w:cs="Arial"/>
                <w:sz w:val="20"/>
                <w:szCs w:val="20"/>
                <w:vertAlign w:val="superscript"/>
              </w:rPr>
            </w:pPr>
            <w:r>
              <w:rPr>
                <w:rFonts w:ascii="Arial Narrow" w:hAnsi="Arial Narrow" w:cs="Arial"/>
                <w:noProof/>
                <w:color w:val="000000"/>
                <w:sz w:val="20"/>
                <w:szCs w:val="20"/>
                <w:highlight w:val="black"/>
              </w:rPr>
              <w:t xml:space="preserve">'''''''''''''''' </w:t>
            </w:r>
            <w:r w:rsidR="00CB7F93" w:rsidRPr="004673D0">
              <w:rPr>
                <w:rFonts w:ascii="Arial Narrow" w:hAnsi="Arial Narrow" w:cs="Arial"/>
                <w:sz w:val="20"/>
                <w:szCs w:val="20"/>
                <w:vertAlign w:val="superscript"/>
              </w:rPr>
              <w:t>a</w:t>
            </w:r>
          </w:p>
        </w:tc>
        <w:tc>
          <w:tcPr>
            <w:tcW w:w="545" w:type="pct"/>
            <w:shd w:val="clear" w:color="auto" w:fill="BFBFBF" w:themeFill="background1" w:themeFillShade="BF"/>
            <w:vAlign w:val="bottom"/>
          </w:tcPr>
          <w:p w:rsidR="00BF0BA2" w:rsidRPr="00F83616" w:rsidRDefault="00F83616" w:rsidP="00BF0BA2">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shd w:val="clear" w:color="auto" w:fill="BFBFBF" w:themeFill="background1" w:themeFillShade="BF"/>
            <w:vAlign w:val="bottom"/>
          </w:tcPr>
          <w:p w:rsidR="00BF0BA2" w:rsidRPr="00F83616" w:rsidRDefault="00F83616" w:rsidP="00BF0BA2">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4" w:type="pct"/>
            <w:shd w:val="clear" w:color="auto" w:fill="BFBFBF" w:themeFill="background1" w:themeFillShade="BF"/>
            <w:vAlign w:val="bottom"/>
          </w:tcPr>
          <w:p w:rsidR="00BF0BA2" w:rsidRPr="00F83616" w:rsidRDefault="00F83616" w:rsidP="00BF0BA2">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7" w:type="pct"/>
            <w:tcBorders>
              <w:right w:val="single" w:sz="4" w:space="0" w:color="auto"/>
            </w:tcBorders>
            <w:shd w:val="clear" w:color="auto" w:fill="BFBFBF" w:themeFill="background1" w:themeFillShade="BF"/>
            <w:vAlign w:val="bottom"/>
          </w:tcPr>
          <w:p w:rsidR="00BF0BA2" w:rsidRPr="00F83616" w:rsidRDefault="00F83616" w:rsidP="00BF0BA2">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45" w:type="pct"/>
            <w:tcBorders>
              <w:right w:val="single" w:sz="4" w:space="0" w:color="auto"/>
            </w:tcBorders>
            <w:shd w:val="clear" w:color="auto" w:fill="BFBFBF" w:themeFill="background1" w:themeFillShade="BF"/>
            <w:vAlign w:val="bottom"/>
          </w:tcPr>
          <w:p w:rsidR="00BF0BA2" w:rsidRPr="004673D0" w:rsidRDefault="00BF0BA2" w:rsidP="00BF0BA2">
            <w:pPr>
              <w:rPr>
                <w:rFonts w:ascii="Arial Narrow" w:hAnsi="Arial Narrow" w:cs="Arial"/>
                <w:sz w:val="20"/>
                <w:szCs w:val="20"/>
              </w:rPr>
            </w:pPr>
            <w:r w:rsidRPr="004673D0">
              <w:rPr>
                <w:rFonts w:ascii="Arial Narrow" w:hAnsi="Arial Narrow" w:cs="Arial"/>
                <w:sz w:val="20"/>
                <w:szCs w:val="20"/>
              </w:rPr>
              <w:t>-</w:t>
            </w:r>
          </w:p>
        </w:tc>
      </w:tr>
      <w:tr w:rsidR="00245B9A" w:rsidRPr="004673D0" w:rsidTr="00245B9A">
        <w:trPr>
          <w:trHeight w:val="213"/>
        </w:trPr>
        <w:tc>
          <w:tcPr>
            <w:tcW w:w="5000" w:type="pct"/>
            <w:gridSpan w:val="9"/>
            <w:tcBorders>
              <w:right w:val="single" w:sz="4" w:space="0" w:color="auto"/>
            </w:tcBorders>
            <w:vAlign w:val="center"/>
          </w:tcPr>
          <w:p w:rsidR="00245B9A" w:rsidRPr="004673D0" w:rsidRDefault="00245B9A" w:rsidP="003A10CD">
            <w:pPr>
              <w:keepNext/>
              <w:spacing w:before="40" w:after="40"/>
              <w:rPr>
                <w:rFonts w:ascii="Arial Narrow" w:hAnsi="Arial Narrow" w:cs="Arial"/>
                <w:b/>
                <w:i/>
                <w:sz w:val="20"/>
                <w:szCs w:val="20"/>
              </w:rPr>
            </w:pPr>
            <w:r w:rsidRPr="004673D0">
              <w:rPr>
                <w:rFonts w:ascii="Arial Narrow" w:hAnsi="Arial Narrow" w:cs="Arial"/>
                <w:b/>
                <w:i/>
                <w:sz w:val="20"/>
                <w:szCs w:val="20"/>
              </w:rPr>
              <w:t>Estimated extent of gu</w:t>
            </w:r>
            <w:r w:rsidR="003A10CD" w:rsidRPr="004673D0">
              <w:rPr>
                <w:rFonts w:ascii="Arial Narrow" w:hAnsi="Arial Narrow" w:cs="Arial"/>
                <w:b/>
                <w:i/>
                <w:sz w:val="20"/>
                <w:szCs w:val="20"/>
              </w:rPr>
              <w:t>a</w:t>
            </w:r>
            <w:r w:rsidRPr="004673D0">
              <w:rPr>
                <w:rFonts w:ascii="Arial Narrow" w:hAnsi="Arial Narrow" w:cs="Arial"/>
                <w:b/>
                <w:i/>
                <w:sz w:val="20"/>
                <w:szCs w:val="20"/>
              </w:rPr>
              <w:t>nfacine monotherapy use – no clonidine substitution</w:t>
            </w:r>
          </w:p>
        </w:tc>
      </w:tr>
      <w:tr w:rsidR="00245B9A" w:rsidRPr="004673D0" w:rsidTr="00245B9A">
        <w:tc>
          <w:tcPr>
            <w:tcW w:w="171" w:type="pct"/>
            <w:vAlign w:val="center"/>
          </w:tcPr>
          <w:p w:rsidR="00245B9A" w:rsidRPr="004673D0" w:rsidRDefault="00245B9A" w:rsidP="0093544E">
            <w:pPr>
              <w:pStyle w:val="TableText0"/>
              <w:jc w:val="center"/>
              <w:rPr>
                <w:i/>
              </w:rPr>
            </w:pPr>
            <w:r w:rsidRPr="004673D0">
              <w:rPr>
                <w:i/>
              </w:rPr>
              <w:t>K</w:t>
            </w:r>
          </w:p>
        </w:tc>
        <w:tc>
          <w:tcPr>
            <w:tcW w:w="1013" w:type="pct"/>
            <w:shd w:val="clear" w:color="auto" w:fill="auto"/>
            <w:vAlign w:val="center"/>
          </w:tcPr>
          <w:p w:rsidR="00245B9A" w:rsidRPr="004673D0" w:rsidRDefault="00245B9A" w:rsidP="003A10CD">
            <w:pPr>
              <w:pStyle w:val="TableText0"/>
              <w:rPr>
                <w:i/>
              </w:rPr>
            </w:pPr>
            <w:r w:rsidRPr="004673D0">
              <w:rPr>
                <w:i/>
              </w:rPr>
              <w:t>MONO gu</w:t>
            </w:r>
            <w:r w:rsidR="003A10CD" w:rsidRPr="004673D0">
              <w:rPr>
                <w:i/>
              </w:rPr>
              <w:t>a</w:t>
            </w:r>
            <w:r w:rsidRPr="004673D0">
              <w:rPr>
                <w:i/>
              </w:rPr>
              <w:t>nfacine scripts</w:t>
            </w:r>
          </w:p>
        </w:tc>
        <w:tc>
          <w:tcPr>
            <w:tcW w:w="545" w:type="pct"/>
            <w:shd w:val="clear" w:color="auto" w:fill="auto"/>
            <w:vAlign w:val="center"/>
          </w:tcPr>
          <w:p w:rsidR="00245B9A" w:rsidRPr="004673D0" w:rsidRDefault="00245B9A" w:rsidP="0093544E">
            <w:pPr>
              <w:pStyle w:val="TableText0"/>
              <w:rPr>
                <w:i/>
              </w:rPr>
            </w:pPr>
            <w:r w:rsidRPr="004673D0">
              <w:rPr>
                <w:i/>
              </w:rPr>
              <w:t xml:space="preserve">C x H x </w:t>
            </w:r>
            <w:r w:rsidR="00F83616">
              <w:rPr>
                <w:i/>
                <w:noProof/>
                <w:color w:val="000000"/>
                <w:highlight w:val="black"/>
              </w:rPr>
              <w:t>''''''''''''</w:t>
            </w:r>
          </w:p>
        </w:tc>
        <w:tc>
          <w:tcPr>
            <w:tcW w:w="545" w:type="pct"/>
            <w:shd w:val="clear" w:color="auto" w:fill="auto"/>
            <w:vAlign w:val="center"/>
          </w:tcPr>
          <w:p w:rsidR="00245B9A" w:rsidRPr="00F83616" w:rsidRDefault="00F83616" w:rsidP="0093544E">
            <w:pPr>
              <w:keepNext/>
              <w:rPr>
                <w:rFonts w:ascii="Arial Narrow" w:hAnsi="Arial Narrow" w:cs="Arial"/>
                <w:i/>
                <w:color w:val="000000"/>
                <w:sz w:val="20"/>
                <w:szCs w:val="20"/>
                <w:highlight w:val="black"/>
              </w:rPr>
            </w:pPr>
            <w:r>
              <w:rPr>
                <w:rFonts w:ascii="Arial Narrow" w:hAnsi="Arial Narrow" w:cs="Arial"/>
                <w:i/>
                <w:noProof/>
                <w:color w:val="000000"/>
                <w:sz w:val="20"/>
                <w:szCs w:val="20"/>
                <w:highlight w:val="black"/>
              </w:rPr>
              <w:t>''''''''''''</w:t>
            </w:r>
          </w:p>
        </w:tc>
        <w:tc>
          <w:tcPr>
            <w:tcW w:w="545" w:type="pct"/>
            <w:shd w:val="clear" w:color="auto" w:fill="auto"/>
            <w:vAlign w:val="center"/>
          </w:tcPr>
          <w:p w:rsidR="00245B9A" w:rsidRPr="00F83616" w:rsidRDefault="00F83616" w:rsidP="0093544E">
            <w:pPr>
              <w:keepNext/>
              <w:rPr>
                <w:rFonts w:ascii="Arial Narrow" w:hAnsi="Arial Narrow" w:cs="Arial"/>
                <w:i/>
                <w:color w:val="000000"/>
                <w:sz w:val="20"/>
                <w:szCs w:val="20"/>
                <w:highlight w:val="black"/>
              </w:rPr>
            </w:pPr>
            <w:r>
              <w:rPr>
                <w:rFonts w:ascii="Arial Narrow" w:hAnsi="Arial Narrow" w:cs="Arial"/>
                <w:i/>
                <w:noProof/>
                <w:color w:val="000000"/>
                <w:sz w:val="20"/>
                <w:szCs w:val="20"/>
                <w:highlight w:val="black"/>
              </w:rPr>
              <w:t>'''''''''''''''''</w:t>
            </w:r>
          </w:p>
        </w:tc>
        <w:tc>
          <w:tcPr>
            <w:tcW w:w="545" w:type="pct"/>
            <w:shd w:val="clear" w:color="auto" w:fill="auto"/>
            <w:vAlign w:val="center"/>
          </w:tcPr>
          <w:p w:rsidR="00245B9A" w:rsidRPr="00F83616" w:rsidRDefault="00F83616" w:rsidP="0093544E">
            <w:pPr>
              <w:keepNext/>
              <w:rPr>
                <w:rFonts w:ascii="Arial Narrow" w:hAnsi="Arial Narrow" w:cs="Arial"/>
                <w:i/>
                <w:color w:val="000000"/>
                <w:sz w:val="20"/>
                <w:szCs w:val="20"/>
                <w:highlight w:val="black"/>
              </w:rPr>
            </w:pPr>
            <w:r>
              <w:rPr>
                <w:rFonts w:ascii="Arial Narrow" w:hAnsi="Arial Narrow" w:cs="Arial"/>
                <w:i/>
                <w:noProof/>
                <w:color w:val="000000"/>
                <w:sz w:val="20"/>
                <w:szCs w:val="20"/>
                <w:highlight w:val="black"/>
              </w:rPr>
              <w:t>''''''''''''''''</w:t>
            </w:r>
          </w:p>
        </w:tc>
        <w:tc>
          <w:tcPr>
            <w:tcW w:w="544" w:type="pct"/>
            <w:shd w:val="clear" w:color="auto" w:fill="auto"/>
            <w:vAlign w:val="center"/>
          </w:tcPr>
          <w:p w:rsidR="00245B9A" w:rsidRPr="00F83616" w:rsidRDefault="00F83616" w:rsidP="0093544E">
            <w:pPr>
              <w:keepNext/>
              <w:rPr>
                <w:rFonts w:ascii="Arial Narrow" w:hAnsi="Arial Narrow" w:cs="Arial"/>
                <w:i/>
                <w:color w:val="000000"/>
                <w:sz w:val="20"/>
                <w:szCs w:val="20"/>
                <w:highlight w:val="black"/>
              </w:rPr>
            </w:pPr>
            <w:r>
              <w:rPr>
                <w:rFonts w:ascii="Arial Narrow" w:hAnsi="Arial Narrow" w:cs="Arial"/>
                <w:i/>
                <w:noProof/>
                <w:color w:val="000000"/>
                <w:sz w:val="20"/>
                <w:szCs w:val="20"/>
                <w:highlight w:val="black"/>
              </w:rPr>
              <w:t>'''''''''''''''</w:t>
            </w:r>
          </w:p>
        </w:tc>
        <w:tc>
          <w:tcPr>
            <w:tcW w:w="547" w:type="pct"/>
            <w:tcBorders>
              <w:right w:val="single" w:sz="4" w:space="0" w:color="auto"/>
            </w:tcBorders>
            <w:shd w:val="clear" w:color="auto" w:fill="auto"/>
            <w:vAlign w:val="center"/>
          </w:tcPr>
          <w:p w:rsidR="00245B9A" w:rsidRPr="00F83616" w:rsidRDefault="00F83616" w:rsidP="0093544E">
            <w:pPr>
              <w:keepNext/>
              <w:rPr>
                <w:rFonts w:ascii="Arial Narrow" w:hAnsi="Arial Narrow" w:cs="Arial"/>
                <w:i/>
                <w:color w:val="000000"/>
                <w:sz w:val="20"/>
                <w:szCs w:val="20"/>
                <w:highlight w:val="black"/>
              </w:rPr>
            </w:pPr>
            <w:r>
              <w:rPr>
                <w:rFonts w:ascii="Arial Narrow" w:hAnsi="Arial Narrow" w:cs="Arial"/>
                <w:i/>
                <w:noProof/>
                <w:color w:val="000000"/>
                <w:sz w:val="20"/>
                <w:szCs w:val="20"/>
                <w:highlight w:val="black"/>
              </w:rPr>
              <w:t>''''''''''''''''''</w:t>
            </w:r>
          </w:p>
        </w:tc>
        <w:tc>
          <w:tcPr>
            <w:tcW w:w="545" w:type="pct"/>
            <w:tcBorders>
              <w:right w:val="single" w:sz="4" w:space="0" w:color="auto"/>
            </w:tcBorders>
            <w:vAlign w:val="center"/>
          </w:tcPr>
          <w:p w:rsidR="00245B9A" w:rsidRPr="00F83616" w:rsidRDefault="00F83616" w:rsidP="0093544E">
            <w:pPr>
              <w:keepNext/>
              <w:rPr>
                <w:rFonts w:ascii="Arial Narrow" w:hAnsi="Arial Narrow" w:cs="Arial"/>
                <w:i/>
                <w:color w:val="000000"/>
                <w:sz w:val="20"/>
                <w:szCs w:val="20"/>
                <w:highlight w:val="black"/>
              </w:rPr>
            </w:pPr>
            <w:r>
              <w:rPr>
                <w:rFonts w:ascii="Arial Narrow" w:hAnsi="Arial Narrow" w:cs="Arial"/>
                <w:i/>
                <w:noProof/>
                <w:color w:val="000000"/>
                <w:sz w:val="20"/>
                <w:szCs w:val="20"/>
                <w:highlight w:val="black"/>
              </w:rPr>
              <w:t>''''''''''''''''</w:t>
            </w:r>
          </w:p>
        </w:tc>
      </w:tr>
    </w:tbl>
    <w:p w:rsidR="00C47DB0" w:rsidRPr="004673D0" w:rsidRDefault="00C47DB0" w:rsidP="00C47DB0">
      <w:pPr>
        <w:rPr>
          <w:rFonts w:ascii="Arial Narrow" w:hAnsi="Arial Narrow"/>
          <w:i/>
          <w:sz w:val="20"/>
        </w:rPr>
      </w:pPr>
      <w:r w:rsidRPr="004673D0">
        <w:rPr>
          <w:rFonts w:ascii="Arial Narrow" w:hAnsi="Arial Narrow"/>
          <w:sz w:val="20"/>
        </w:rPr>
        <w:t>Source: Utilisation and financial estimates of the submission</w:t>
      </w:r>
      <w:r w:rsidR="00056942" w:rsidRPr="004673D0">
        <w:rPr>
          <w:rFonts w:ascii="Arial Narrow" w:hAnsi="Arial Narrow"/>
          <w:sz w:val="20"/>
        </w:rPr>
        <w:t xml:space="preserve"> and </w:t>
      </w:r>
      <w:r w:rsidR="00056942" w:rsidRPr="004673D0">
        <w:rPr>
          <w:rFonts w:ascii="Arial Narrow" w:hAnsi="Arial Narrow"/>
          <w:i/>
          <w:sz w:val="20"/>
        </w:rPr>
        <w:t>calculated during evaluation</w:t>
      </w:r>
    </w:p>
    <w:p w:rsidR="00C47DB0" w:rsidRPr="004673D0" w:rsidRDefault="00621EEA" w:rsidP="00C47DB0">
      <w:pPr>
        <w:rPr>
          <w:rFonts w:ascii="Arial Narrow" w:hAnsi="Arial Narrow"/>
          <w:sz w:val="20"/>
        </w:rPr>
      </w:pPr>
      <w:r w:rsidRPr="004673D0">
        <w:rPr>
          <w:rFonts w:ascii="Arial Narrow" w:hAnsi="Arial Narrow"/>
          <w:sz w:val="20"/>
        </w:rPr>
        <w:t xml:space="preserve">ATOM = atomoxetine; CLON = clonidine; </w:t>
      </w:r>
      <w:r w:rsidR="00BA5339" w:rsidRPr="004673D0">
        <w:rPr>
          <w:rFonts w:ascii="Arial Narrow" w:hAnsi="Arial Narrow"/>
          <w:sz w:val="20"/>
        </w:rPr>
        <w:t>MONO = monotherapy</w:t>
      </w:r>
      <w:r w:rsidR="0093544E" w:rsidRPr="004673D0">
        <w:rPr>
          <w:rFonts w:ascii="Arial Narrow" w:hAnsi="Arial Narrow"/>
          <w:sz w:val="20"/>
        </w:rPr>
        <w:t>; PBS = Pharmaceutical Benefits Scheme</w:t>
      </w:r>
    </w:p>
    <w:p w:rsidR="00022545" w:rsidRPr="004673D0" w:rsidRDefault="00022545" w:rsidP="00C47DB0">
      <w:pPr>
        <w:rPr>
          <w:rFonts w:ascii="Arial Narrow" w:hAnsi="Arial Narrow"/>
          <w:i/>
          <w:sz w:val="20"/>
        </w:rPr>
      </w:pPr>
      <w:r w:rsidRPr="004673D0">
        <w:rPr>
          <w:rFonts w:ascii="Arial Narrow" w:hAnsi="Arial Narrow"/>
          <w:sz w:val="20"/>
          <w:vertAlign w:val="superscript"/>
        </w:rPr>
        <w:t>a</w:t>
      </w:r>
      <w:r w:rsidRPr="004673D0">
        <w:rPr>
          <w:rFonts w:ascii="Arial Narrow" w:hAnsi="Arial Narrow"/>
          <w:sz w:val="20"/>
        </w:rPr>
        <w:t xml:space="preserve"> </w:t>
      </w:r>
      <w:r w:rsidR="00015985" w:rsidRPr="004673D0">
        <w:rPr>
          <w:rFonts w:ascii="Arial Narrow" w:hAnsi="Arial Narrow"/>
          <w:i/>
          <w:sz w:val="20"/>
        </w:rPr>
        <w:t>Compared with the previous submission, t</w:t>
      </w:r>
      <w:r w:rsidRPr="004673D0">
        <w:rPr>
          <w:rFonts w:ascii="Arial Narrow" w:hAnsi="Arial Narrow"/>
          <w:i/>
          <w:sz w:val="20"/>
        </w:rPr>
        <w:t xml:space="preserve">he </w:t>
      </w:r>
      <w:r w:rsidR="00CB7F93" w:rsidRPr="004673D0">
        <w:rPr>
          <w:rFonts w:ascii="Arial Narrow" w:hAnsi="Arial Narrow"/>
          <w:i/>
          <w:sz w:val="20"/>
        </w:rPr>
        <w:t xml:space="preserve">resubmission estimated a lower number of </w:t>
      </w:r>
      <w:r w:rsidRPr="004673D0">
        <w:rPr>
          <w:rFonts w:ascii="Arial Narrow" w:hAnsi="Arial Narrow"/>
          <w:i/>
          <w:sz w:val="20"/>
        </w:rPr>
        <w:t>scripts in Year 1</w:t>
      </w:r>
      <w:r w:rsidR="00CB7F93" w:rsidRPr="004673D0">
        <w:rPr>
          <w:rFonts w:ascii="Arial Narrow" w:hAnsi="Arial Narrow"/>
          <w:i/>
          <w:sz w:val="20"/>
        </w:rPr>
        <w:t>, because a half-year</w:t>
      </w:r>
      <w:r w:rsidRPr="004673D0">
        <w:rPr>
          <w:rFonts w:ascii="Arial Narrow" w:hAnsi="Arial Narrow"/>
          <w:i/>
          <w:sz w:val="20"/>
        </w:rPr>
        <w:t xml:space="preserve"> uptake rate </w:t>
      </w:r>
      <w:r w:rsidR="00CB7F93" w:rsidRPr="004673D0">
        <w:rPr>
          <w:rFonts w:ascii="Arial Narrow" w:hAnsi="Arial Narrow"/>
          <w:i/>
          <w:sz w:val="20"/>
        </w:rPr>
        <w:t xml:space="preserve">was applied </w:t>
      </w:r>
      <w:r w:rsidRPr="004673D0">
        <w:rPr>
          <w:rFonts w:ascii="Arial Narrow" w:hAnsi="Arial Narrow"/>
          <w:i/>
          <w:sz w:val="20"/>
        </w:rPr>
        <w:t xml:space="preserve">in </w:t>
      </w:r>
      <w:r w:rsidR="00015985" w:rsidRPr="004673D0">
        <w:rPr>
          <w:rFonts w:ascii="Arial Narrow" w:hAnsi="Arial Narrow"/>
          <w:i/>
          <w:sz w:val="20"/>
        </w:rPr>
        <w:t>the first year</w:t>
      </w:r>
      <w:r w:rsidR="00CB7F93" w:rsidRPr="004673D0">
        <w:rPr>
          <w:rFonts w:ascii="Arial Narrow" w:hAnsi="Arial Narrow"/>
          <w:i/>
          <w:sz w:val="20"/>
        </w:rPr>
        <w:t xml:space="preserve"> (whereas </w:t>
      </w:r>
      <w:r w:rsidRPr="004673D0">
        <w:rPr>
          <w:rFonts w:ascii="Arial Narrow" w:hAnsi="Arial Narrow"/>
          <w:i/>
          <w:sz w:val="20"/>
        </w:rPr>
        <w:t>the previous submission</w:t>
      </w:r>
      <w:r w:rsidR="00CB7F93" w:rsidRPr="004673D0">
        <w:rPr>
          <w:rFonts w:ascii="Arial Narrow" w:hAnsi="Arial Narrow"/>
          <w:i/>
          <w:sz w:val="20"/>
        </w:rPr>
        <w:t xml:space="preserve"> applied a full year uptake rate in Year 1)</w:t>
      </w:r>
      <w:r w:rsidRPr="004673D0">
        <w:rPr>
          <w:rFonts w:ascii="Arial Narrow" w:hAnsi="Arial Narrow"/>
          <w:i/>
          <w:sz w:val="20"/>
        </w:rPr>
        <w:t>.</w:t>
      </w:r>
    </w:p>
    <w:p w:rsidR="00BB29FE" w:rsidRPr="004673D0" w:rsidRDefault="00BB29FE" w:rsidP="00BB29FE">
      <w:pPr>
        <w:jc w:val="both"/>
        <w:rPr>
          <w:rFonts w:ascii="Arial Narrow" w:hAnsi="Arial Narrow"/>
          <w:i/>
          <w:sz w:val="20"/>
          <w:szCs w:val="20"/>
        </w:rPr>
      </w:pPr>
      <w:r w:rsidRPr="004673D0">
        <w:rPr>
          <w:rFonts w:ascii="Arial Narrow" w:hAnsi="Arial Narrow"/>
          <w:i/>
          <w:sz w:val="20"/>
          <w:szCs w:val="20"/>
          <w:vertAlign w:val="superscript"/>
        </w:rPr>
        <w:t>b</w:t>
      </w:r>
      <w:r w:rsidRPr="004673D0">
        <w:rPr>
          <w:rFonts w:ascii="Arial Narrow" w:hAnsi="Arial Narrow"/>
          <w:i/>
          <w:sz w:val="20"/>
          <w:szCs w:val="20"/>
        </w:rPr>
        <w:t xml:space="preserve"> Year 1 in the previous submission was 2017/18, while it was 2018/19 in the resubmission (thus baseline script numbers were higher in the resubmission due to an extra year of growth).</w:t>
      </w:r>
    </w:p>
    <w:p w:rsidR="00BB29FE" w:rsidRPr="004673D0" w:rsidRDefault="00BB29FE" w:rsidP="00C47DB0">
      <w:pPr>
        <w:rPr>
          <w:rFonts w:ascii="Arial Narrow" w:hAnsi="Arial Narrow"/>
          <w:i/>
          <w:sz w:val="20"/>
        </w:rPr>
      </w:pPr>
    </w:p>
    <w:p w:rsidR="0072654D" w:rsidRPr="004673D0" w:rsidRDefault="0072654D" w:rsidP="0072654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Higher </w:t>
      </w:r>
      <w:r w:rsidR="003817D3" w:rsidRPr="004673D0">
        <w:rPr>
          <w:rFonts w:asciiTheme="minorHAnsi" w:eastAsiaTheme="minorHAnsi" w:hAnsiTheme="minorHAnsi" w:cstheme="minorBidi"/>
          <w:snapToGrid/>
          <w:sz w:val="24"/>
          <w:szCs w:val="22"/>
        </w:rPr>
        <w:t xml:space="preserve">total </w:t>
      </w:r>
      <w:r w:rsidRPr="004673D0">
        <w:rPr>
          <w:rFonts w:asciiTheme="minorHAnsi" w:eastAsiaTheme="minorHAnsi" w:hAnsiTheme="minorHAnsi" w:cstheme="minorBidi"/>
          <w:snapToGrid/>
          <w:sz w:val="24"/>
          <w:szCs w:val="22"/>
        </w:rPr>
        <w:t xml:space="preserve">utilisation was estimated </w:t>
      </w:r>
      <w:r w:rsidR="003817D3" w:rsidRPr="004673D0">
        <w:rPr>
          <w:rFonts w:asciiTheme="minorHAnsi" w:eastAsiaTheme="minorHAnsi" w:hAnsiTheme="minorHAnsi" w:cstheme="minorBidi"/>
          <w:snapToGrid/>
          <w:sz w:val="24"/>
          <w:szCs w:val="22"/>
        </w:rPr>
        <w:t xml:space="preserve">in </w:t>
      </w:r>
      <w:r w:rsidRPr="004673D0">
        <w:rPr>
          <w:rFonts w:asciiTheme="minorHAnsi" w:eastAsiaTheme="minorHAnsi" w:hAnsiTheme="minorHAnsi" w:cstheme="minorBidi"/>
          <w:snapToGrid/>
          <w:sz w:val="24"/>
          <w:szCs w:val="22"/>
        </w:rPr>
        <w:t xml:space="preserve">the resubmission </w:t>
      </w:r>
      <w:r w:rsidR="003817D3" w:rsidRPr="004673D0">
        <w:rPr>
          <w:rFonts w:asciiTheme="minorHAnsi" w:eastAsiaTheme="minorHAnsi" w:hAnsiTheme="minorHAnsi" w:cstheme="minorBidi"/>
          <w:snapToGrid/>
          <w:sz w:val="24"/>
          <w:szCs w:val="22"/>
        </w:rPr>
        <w:t xml:space="preserve">compared with the previous submission </w:t>
      </w:r>
      <w:r w:rsidRPr="004673D0">
        <w:rPr>
          <w:rFonts w:asciiTheme="minorHAnsi" w:eastAsiaTheme="minorHAnsi" w:hAnsiTheme="minorHAnsi" w:cstheme="minorBidi"/>
          <w:snapToGrid/>
          <w:sz w:val="24"/>
          <w:szCs w:val="22"/>
        </w:rPr>
        <w:t>(100,10</w:t>
      </w:r>
      <w:r w:rsidR="008F2A3D">
        <w:rPr>
          <w:rFonts w:asciiTheme="minorHAnsi" w:eastAsiaTheme="minorHAnsi" w:hAnsiTheme="minorHAnsi" w:cstheme="minorBidi"/>
          <w:snapToGrid/>
          <w:sz w:val="24"/>
          <w:szCs w:val="22"/>
        </w:rPr>
        <w:t>0 – 200,000</w:t>
      </w:r>
      <w:r w:rsidRPr="004673D0">
        <w:rPr>
          <w:rFonts w:asciiTheme="minorHAnsi" w:eastAsiaTheme="minorHAnsi" w:hAnsiTheme="minorHAnsi" w:cstheme="minorBidi"/>
          <w:snapToGrid/>
          <w:sz w:val="24"/>
          <w:szCs w:val="22"/>
        </w:rPr>
        <w:t xml:space="preserve"> scripts in Year 5 in the resubmission versus </w:t>
      </w:r>
      <w:r w:rsidR="008F2A3D">
        <w:rPr>
          <w:rFonts w:asciiTheme="minorHAnsi" w:eastAsiaTheme="minorHAnsi" w:hAnsiTheme="minorHAnsi" w:cstheme="minorBidi"/>
          <w:snapToGrid/>
          <w:sz w:val="24"/>
          <w:szCs w:val="22"/>
        </w:rPr>
        <w:t>50,000 – 100,000</w:t>
      </w:r>
      <w:r w:rsidRPr="004673D0">
        <w:rPr>
          <w:rFonts w:asciiTheme="minorHAnsi" w:eastAsiaTheme="minorHAnsi" w:hAnsiTheme="minorHAnsi" w:cstheme="minorBidi"/>
          <w:snapToGrid/>
          <w:sz w:val="24"/>
          <w:szCs w:val="22"/>
        </w:rPr>
        <w:t xml:space="preserve"> in the previous submission)</w:t>
      </w:r>
      <w:r w:rsidR="004673D0">
        <w:rPr>
          <w:rFonts w:asciiTheme="minorHAnsi" w:eastAsiaTheme="minorHAnsi" w:hAnsiTheme="minorHAnsi" w:cstheme="minorBidi"/>
          <w:snapToGrid/>
          <w:sz w:val="24"/>
          <w:szCs w:val="22"/>
        </w:rPr>
        <w:t>. This is</w:t>
      </w:r>
      <w:r w:rsidRPr="004673D0">
        <w:rPr>
          <w:rFonts w:asciiTheme="minorHAnsi" w:eastAsiaTheme="minorHAnsi" w:hAnsiTheme="minorHAnsi" w:cstheme="minorBidi"/>
          <w:snapToGrid/>
          <w:sz w:val="24"/>
          <w:szCs w:val="22"/>
        </w:rPr>
        <w:t xml:space="preserve"> due to the inclusion of patients outside the </w:t>
      </w:r>
      <w:r w:rsidR="00CB7F93" w:rsidRPr="004673D0">
        <w:rPr>
          <w:rFonts w:asciiTheme="minorHAnsi" w:eastAsiaTheme="minorHAnsi" w:hAnsiTheme="minorHAnsi" w:cstheme="minorBidi"/>
          <w:snapToGrid/>
          <w:sz w:val="24"/>
          <w:szCs w:val="22"/>
        </w:rPr>
        <w:t>6-17 year</w:t>
      </w:r>
      <w:r w:rsidRPr="004673D0">
        <w:rPr>
          <w:rFonts w:asciiTheme="minorHAnsi" w:eastAsiaTheme="minorHAnsi" w:hAnsiTheme="minorHAnsi" w:cstheme="minorBidi"/>
          <w:snapToGrid/>
          <w:sz w:val="24"/>
          <w:szCs w:val="22"/>
        </w:rPr>
        <w:t xml:space="preserve"> age range and the use of more recent PBS utilisation data to estimate the size and growth of the ADHD marke</w:t>
      </w:r>
      <w:r w:rsidR="00E05E38" w:rsidRPr="004673D0">
        <w:rPr>
          <w:rFonts w:asciiTheme="minorHAnsi" w:eastAsiaTheme="minorHAnsi" w:hAnsiTheme="minorHAnsi" w:cstheme="minorBidi"/>
          <w:snapToGrid/>
          <w:sz w:val="24"/>
          <w:szCs w:val="22"/>
        </w:rPr>
        <w:t>t</w:t>
      </w:r>
      <w:r w:rsidR="00CB7F93" w:rsidRPr="004673D0">
        <w:rPr>
          <w:rFonts w:asciiTheme="minorHAnsi" w:eastAsiaTheme="minorHAnsi" w:hAnsiTheme="minorHAnsi" w:cstheme="minorBidi"/>
          <w:snapToGrid/>
          <w:sz w:val="24"/>
          <w:szCs w:val="22"/>
        </w:rPr>
        <w:t xml:space="preserve"> (which included an additional year of growth)</w:t>
      </w:r>
      <w:r w:rsidRPr="004673D0">
        <w:rPr>
          <w:rFonts w:asciiTheme="minorHAnsi" w:eastAsiaTheme="minorHAnsi" w:hAnsiTheme="minorHAnsi" w:cstheme="minorBidi"/>
          <w:snapToGrid/>
          <w:sz w:val="24"/>
          <w:szCs w:val="22"/>
        </w:rPr>
        <w:t xml:space="preserve">.  </w:t>
      </w:r>
    </w:p>
    <w:p w:rsidR="0097211A" w:rsidRPr="004673D0" w:rsidRDefault="006C4E77" w:rsidP="0097211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 xml:space="preserve">The Secretariat noted that a significant amount </w:t>
      </w:r>
      <w:r w:rsidR="00245B9A" w:rsidRPr="004673D0">
        <w:rPr>
          <w:rFonts w:asciiTheme="minorHAnsi" w:eastAsiaTheme="minorHAnsi" w:hAnsiTheme="minorHAnsi" w:cstheme="minorBidi"/>
          <w:snapToGrid/>
          <w:sz w:val="24"/>
          <w:szCs w:val="22"/>
        </w:rPr>
        <w:t xml:space="preserve">(approximately </w:t>
      </w:r>
      <w:r w:rsidR="00F83616">
        <w:rPr>
          <w:rFonts w:asciiTheme="minorHAnsi" w:eastAsiaTheme="minorHAnsi" w:hAnsiTheme="minorHAnsi" w:cstheme="minorBidi"/>
          <w:noProof/>
          <w:snapToGrid/>
          <w:color w:val="000000"/>
          <w:sz w:val="24"/>
          <w:szCs w:val="22"/>
          <w:highlight w:val="black"/>
        </w:rPr>
        <w:t>'''''</w:t>
      </w:r>
      <w:r w:rsidR="00245B9A" w:rsidRPr="004673D0">
        <w:rPr>
          <w:rFonts w:asciiTheme="minorHAnsi" w:eastAsiaTheme="minorHAnsi" w:hAnsiTheme="minorHAnsi" w:cstheme="minorBidi"/>
          <w:snapToGrid/>
          <w:sz w:val="24"/>
          <w:szCs w:val="22"/>
        </w:rPr>
        <w:t xml:space="preserve">%) </w:t>
      </w:r>
      <w:r w:rsidRPr="004673D0">
        <w:rPr>
          <w:rFonts w:asciiTheme="minorHAnsi" w:eastAsiaTheme="minorHAnsi" w:hAnsiTheme="minorHAnsi" w:cstheme="minorBidi"/>
          <w:snapToGrid/>
          <w:sz w:val="24"/>
          <w:szCs w:val="22"/>
        </w:rPr>
        <w:t>of expected gu</w:t>
      </w:r>
      <w:r w:rsidR="003A10CD" w:rsidRPr="004673D0">
        <w:rPr>
          <w:rFonts w:asciiTheme="minorHAnsi" w:eastAsiaTheme="minorHAnsi" w:hAnsiTheme="minorHAnsi" w:cstheme="minorBidi"/>
          <w:snapToGrid/>
          <w:sz w:val="24"/>
          <w:szCs w:val="22"/>
        </w:rPr>
        <w:t>a</w:t>
      </w:r>
      <w:r w:rsidRPr="004673D0">
        <w:rPr>
          <w:rFonts w:asciiTheme="minorHAnsi" w:eastAsiaTheme="minorHAnsi" w:hAnsiTheme="minorHAnsi" w:cstheme="minorBidi"/>
          <w:snapToGrid/>
          <w:sz w:val="24"/>
          <w:szCs w:val="22"/>
        </w:rPr>
        <w:t xml:space="preserve">nfacine use in the monotherapy population was from patients who treatment switched from off-label use of clonidine. This </w:t>
      </w:r>
      <w:r w:rsidR="003817D3" w:rsidRPr="004673D0">
        <w:rPr>
          <w:rFonts w:asciiTheme="minorHAnsi" w:eastAsiaTheme="minorHAnsi" w:hAnsiTheme="minorHAnsi" w:cstheme="minorBidi"/>
          <w:snapToGrid/>
          <w:sz w:val="24"/>
          <w:szCs w:val="22"/>
        </w:rPr>
        <w:t>increas</w:t>
      </w:r>
      <w:r w:rsidR="00245B9A" w:rsidRPr="004673D0">
        <w:rPr>
          <w:rFonts w:asciiTheme="minorHAnsi" w:eastAsiaTheme="minorHAnsi" w:hAnsiTheme="minorHAnsi" w:cstheme="minorBidi"/>
          <w:snapToGrid/>
          <w:sz w:val="24"/>
          <w:szCs w:val="22"/>
        </w:rPr>
        <w:t>ed</w:t>
      </w:r>
      <w:r w:rsidRPr="004673D0">
        <w:rPr>
          <w:rFonts w:asciiTheme="minorHAnsi" w:eastAsiaTheme="minorHAnsi" w:hAnsiTheme="minorHAnsi" w:cstheme="minorBidi"/>
          <w:snapToGrid/>
          <w:sz w:val="24"/>
          <w:szCs w:val="22"/>
        </w:rPr>
        <w:t xml:space="preserve"> the utilisation estimates in the monotherapy population, </w:t>
      </w:r>
      <w:r w:rsidR="00E013CF" w:rsidRPr="004673D0">
        <w:rPr>
          <w:rFonts w:asciiTheme="minorHAnsi" w:eastAsiaTheme="minorHAnsi" w:hAnsiTheme="minorHAnsi" w:cstheme="minorBidi"/>
          <w:snapToGrid/>
          <w:sz w:val="24"/>
          <w:szCs w:val="22"/>
        </w:rPr>
        <w:t xml:space="preserve">and this </w:t>
      </w:r>
      <w:r w:rsidRPr="004673D0">
        <w:rPr>
          <w:rFonts w:asciiTheme="minorHAnsi" w:eastAsiaTheme="minorHAnsi" w:hAnsiTheme="minorHAnsi" w:cstheme="minorBidi"/>
          <w:snapToGrid/>
          <w:sz w:val="24"/>
          <w:szCs w:val="22"/>
        </w:rPr>
        <w:t>ha</w:t>
      </w:r>
      <w:r w:rsidR="00245B9A" w:rsidRPr="004673D0">
        <w:rPr>
          <w:rFonts w:asciiTheme="minorHAnsi" w:eastAsiaTheme="minorHAnsi" w:hAnsiTheme="minorHAnsi" w:cstheme="minorBidi"/>
          <w:snapToGrid/>
          <w:sz w:val="24"/>
          <w:szCs w:val="22"/>
        </w:rPr>
        <w:t>d</w:t>
      </w:r>
      <w:r w:rsidRPr="004673D0">
        <w:rPr>
          <w:rFonts w:asciiTheme="minorHAnsi" w:eastAsiaTheme="minorHAnsi" w:hAnsiTheme="minorHAnsi" w:cstheme="minorBidi"/>
          <w:snapToGrid/>
          <w:sz w:val="24"/>
          <w:szCs w:val="22"/>
        </w:rPr>
        <w:t xml:space="preserve"> a direct impact on the proportions used in the weighted price calculation</w:t>
      </w:r>
      <w:r w:rsidR="00245B9A" w:rsidRPr="004673D0">
        <w:rPr>
          <w:rFonts w:asciiTheme="minorHAnsi" w:eastAsiaTheme="minorHAnsi" w:hAnsiTheme="minorHAnsi" w:cstheme="minorBidi"/>
          <w:snapToGrid/>
          <w:sz w:val="24"/>
          <w:szCs w:val="22"/>
        </w:rPr>
        <w:t xml:space="preserve"> below</w:t>
      </w:r>
      <w:r w:rsidRPr="004673D0">
        <w:rPr>
          <w:rFonts w:asciiTheme="minorHAnsi" w:eastAsiaTheme="minorHAnsi" w:hAnsiTheme="minorHAnsi" w:cstheme="minorBidi"/>
          <w:snapToGrid/>
          <w:sz w:val="24"/>
          <w:szCs w:val="22"/>
        </w:rPr>
        <w:t>.</w:t>
      </w:r>
      <w:r w:rsidR="00420ED2" w:rsidRPr="004673D0">
        <w:rPr>
          <w:rFonts w:asciiTheme="minorHAnsi" w:eastAsiaTheme="minorHAnsi" w:hAnsiTheme="minorHAnsi" w:cstheme="minorBidi"/>
          <w:snapToGrid/>
          <w:sz w:val="24"/>
          <w:szCs w:val="22"/>
        </w:rPr>
        <w:t xml:space="preserve"> If substitution from clonidine were to be considered appropriate for estimating utilisation in the monotherapy setting, it</w:t>
      </w:r>
      <w:r w:rsidR="009161F8" w:rsidRPr="004673D0">
        <w:rPr>
          <w:rFonts w:asciiTheme="minorHAnsi" w:eastAsiaTheme="minorHAnsi" w:hAnsiTheme="minorHAnsi" w:cstheme="minorBidi"/>
          <w:snapToGrid/>
          <w:sz w:val="24"/>
          <w:szCs w:val="22"/>
        </w:rPr>
        <w:t>s inclusion in the weighted price calculations may remain inappropriate</w:t>
      </w:r>
      <w:r w:rsidR="004673D0">
        <w:rPr>
          <w:rFonts w:asciiTheme="minorHAnsi" w:eastAsiaTheme="minorHAnsi" w:hAnsiTheme="minorHAnsi" w:cstheme="minorBidi"/>
          <w:snapToGrid/>
          <w:sz w:val="24"/>
          <w:szCs w:val="22"/>
        </w:rPr>
        <w:t>.</w:t>
      </w:r>
      <w:r w:rsidR="009161F8" w:rsidRPr="004673D0">
        <w:rPr>
          <w:rFonts w:asciiTheme="minorHAnsi" w:eastAsiaTheme="minorHAnsi" w:hAnsiTheme="minorHAnsi" w:cstheme="minorBidi"/>
          <w:snapToGrid/>
          <w:sz w:val="24"/>
          <w:szCs w:val="22"/>
        </w:rPr>
        <w:t xml:space="preserve"> </w:t>
      </w:r>
      <w:r w:rsidR="004673D0">
        <w:rPr>
          <w:rFonts w:asciiTheme="minorHAnsi" w:eastAsiaTheme="minorHAnsi" w:hAnsiTheme="minorHAnsi" w:cstheme="minorBidi"/>
          <w:snapToGrid/>
          <w:sz w:val="24"/>
          <w:szCs w:val="22"/>
        </w:rPr>
        <w:t>I</w:t>
      </w:r>
      <w:r w:rsidR="004673D0" w:rsidRPr="004673D0">
        <w:rPr>
          <w:rFonts w:asciiTheme="minorHAnsi" w:eastAsiaTheme="minorHAnsi" w:hAnsiTheme="minorHAnsi" w:cstheme="minorBidi"/>
          <w:snapToGrid/>
          <w:sz w:val="24"/>
          <w:szCs w:val="22"/>
        </w:rPr>
        <w:t xml:space="preserve">t </w:t>
      </w:r>
      <w:r w:rsidR="00420ED2" w:rsidRPr="004673D0">
        <w:rPr>
          <w:rFonts w:asciiTheme="minorHAnsi" w:eastAsiaTheme="minorHAnsi" w:hAnsiTheme="minorHAnsi" w:cstheme="minorBidi"/>
          <w:snapToGrid/>
          <w:sz w:val="24"/>
          <w:szCs w:val="22"/>
        </w:rPr>
        <w:t xml:space="preserve">may reduce the comparability of the estimates between </w:t>
      </w:r>
      <w:r w:rsidR="009161F8" w:rsidRPr="004673D0">
        <w:rPr>
          <w:rFonts w:asciiTheme="minorHAnsi" w:eastAsiaTheme="minorHAnsi" w:hAnsiTheme="minorHAnsi" w:cstheme="minorBidi"/>
          <w:snapToGrid/>
          <w:sz w:val="24"/>
          <w:szCs w:val="22"/>
        </w:rPr>
        <w:t xml:space="preserve">the two settings </w:t>
      </w:r>
      <w:r w:rsidR="00420ED2" w:rsidRPr="004673D0">
        <w:rPr>
          <w:rFonts w:asciiTheme="minorHAnsi" w:eastAsiaTheme="minorHAnsi" w:hAnsiTheme="minorHAnsi" w:cstheme="minorBidi"/>
          <w:snapToGrid/>
          <w:sz w:val="24"/>
          <w:szCs w:val="22"/>
        </w:rPr>
        <w:t xml:space="preserve">as the eligible </w:t>
      </w:r>
      <w:r w:rsidR="00420ED2" w:rsidRPr="004673D0">
        <w:rPr>
          <w:rFonts w:asciiTheme="minorHAnsi" w:eastAsiaTheme="minorHAnsi" w:hAnsiTheme="minorHAnsi" w:cstheme="minorBidi"/>
          <w:snapToGrid/>
          <w:sz w:val="24"/>
          <w:szCs w:val="22"/>
        </w:rPr>
        <w:lastRenderedPageBreak/>
        <w:t>population in the add-on setting did not include patients on clonidine</w:t>
      </w:r>
      <w:r w:rsidR="000A2F04" w:rsidRPr="004673D0">
        <w:rPr>
          <w:rFonts w:asciiTheme="minorHAnsi" w:eastAsiaTheme="minorHAnsi" w:hAnsiTheme="minorHAnsi" w:cstheme="minorBidi"/>
          <w:snapToGrid/>
          <w:sz w:val="24"/>
          <w:szCs w:val="22"/>
        </w:rPr>
        <w:t xml:space="preserve"> (e.g. a higher uptake rate could have been used for patients currently on clonidine plus stimulants</w:t>
      </w:r>
      <w:r w:rsidR="003817D3" w:rsidRPr="004673D0">
        <w:rPr>
          <w:rFonts w:asciiTheme="minorHAnsi" w:eastAsiaTheme="minorHAnsi" w:hAnsiTheme="minorHAnsi" w:cstheme="minorBidi"/>
          <w:snapToGrid/>
          <w:sz w:val="24"/>
          <w:szCs w:val="22"/>
        </w:rPr>
        <w:t>)</w:t>
      </w:r>
      <w:r w:rsidR="000A2F04" w:rsidRPr="004673D0">
        <w:rPr>
          <w:rFonts w:asciiTheme="minorHAnsi" w:eastAsiaTheme="minorHAnsi" w:hAnsiTheme="minorHAnsi" w:cstheme="minorBidi"/>
          <w:snapToGrid/>
          <w:sz w:val="24"/>
          <w:szCs w:val="22"/>
        </w:rPr>
        <w:t>.</w:t>
      </w:r>
    </w:p>
    <w:p w:rsidR="0097211A" w:rsidRPr="004673D0" w:rsidRDefault="0097211A" w:rsidP="00280420">
      <w:pPr>
        <w:rPr>
          <w:rFonts w:ascii="Arial" w:hAnsi="Arial" w:cs="Arial"/>
          <w:b/>
          <w:snapToGrid w:val="0"/>
          <w:sz w:val="22"/>
          <w:szCs w:val="22"/>
          <w:lang w:eastAsia="en-US"/>
        </w:rPr>
      </w:pPr>
      <w:r w:rsidRPr="004673D0">
        <w:rPr>
          <w:rFonts w:ascii="Arial" w:hAnsi="Arial" w:cs="Arial"/>
          <w:b/>
          <w:snapToGrid w:val="0"/>
          <w:sz w:val="22"/>
          <w:szCs w:val="22"/>
          <w:lang w:eastAsia="en-US"/>
        </w:rPr>
        <w:t>Weighted price</w:t>
      </w:r>
    </w:p>
    <w:p w:rsidR="00A302FE" w:rsidRPr="004673D0" w:rsidRDefault="00A302FE" w:rsidP="00A302FE">
      <w:pPr>
        <w:rPr>
          <w:rFonts w:ascii="Arial" w:hAnsi="Arial" w:cs="Arial"/>
          <w:b/>
          <w:snapToGrid w:val="0"/>
          <w:sz w:val="22"/>
          <w:szCs w:val="22"/>
          <w:lang w:eastAsia="en-US"/>
        </w:rPr>
      </w:pPr>
    </w:p>
    <w:p w:rsidR="00BA5339" w:rsidRPr="004673D0" w:rsidRDefault="00BA5339" w:rsidP="00A2651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3D0">
        <w:rPr>
          <w:rFonts w:asciiTheme="minorHAnsi" w:eastAsiaTheme="minorHAnsi" w:hAnsiTheme="minorHAnsi" w:cstheme="minorBidi"/>
          <w:snapToGrid/>
          <w:sz w:val="24"/>
          <w:szCs w:val="22"/>
        </w:rPr>
        <w:t>The expected utilisation of guanfacine as monotherapy and add-on therapy over the first five years of listing was used to calculate a weighting and the effective weighted price, as outline</w:t>
      </w:r>
      <w:r w:rsidR="00E013CF" w:rsidRPr="004673D0">
        <w:rPr>
          <w:rFonts w:asciiTheme="minorHAnsi" w:eastAsiaTheme="minorHAnsi" w:hAnsiTheme="minorHAnsi" w:cstheme="minorBidi"/>
          <w:snapToGrid/>
          <w:sz w:val="24"/>
          <w:szCs w:val="22"/>
        </w:rPr>
        <w:t>d</w:t>
      </w:r>
      <w:r w:rsidRPr="004673D0">
        <w:rPr>
          <w:rFonts w:asciiTheme="minorHAnsi" w:eastAsiaTheme="minorHAnsi" w:hAnsiTheme="minorHAnsi" w:cstheme="minorBidi"/>
          <w:snapToGrid/>
          <w:sz w:val="24"/>
          <w:szCs w:val="22"/>
        </w:rPr>
        <w:t xml:space="preserve"> below.</w:t>
      </w:r>
      <w:r w:rsidR="00F419D7" w:rsidRPr="004673D0">
        <w:rPr>
          <w:rFonts w:asciiTheme="minorHAnsi" w:eastAsiaTheme="minorHAnsi" w:hAnsiTheme="minorHAnsi" w:cstheme="minorBidi"/>
          <w:snapToGrid/>
          <w:sz w:val="24"/>
          <w:szCs w:val="22"/>
        </w:rPr>
        <w:t xml:space="preserve"> </w:t>
      </w:r>
    </w:p>
    <w:p w:rsidR="003917C1" w:rsidRPr="004673D0" w:rsidRDefault="00272DB5" w:rsidP="00BB13B9">
      <w:pPr>
        <w:pStyle w:val="TableHeading"/>
        <w:spacing w:after="0"/>
        <w:rPr>
          <w:rFonts w:eastAsiaTheme="minorHAnsi"/>
          <w:sz w:val="24"/>
        </w:rPr>
      </w:pPr>
      <w:r w:rsidRPr="004673D0">
        <w:rPr>
          <w:rFonts w:eastAsiaTheme="minorHAnsi"/>
        </w:rPr>
        <w:t>Table</w:t>
      </w:r>
      <w:r w:rsidR="00E013CF" w:rsidRPr="004673D0">
        <w:rPr>
          <w:rFonts w:eastAsiaTheme="minorHAnsi"/>
        </w:rPr>
        <w:t xml:space="preserve"> </w:t>
      </w:r>
      <w:r w:rsidR="000A2F04" w:rsidRPr="004673D0">
        <w:rPr>
          <w:rFonts w:eastAsiaTheme="minorHAnsi"/>
        </w:rPr>
        <w:t>8</w:t>
      </w:r>
      <w:r w:rsidRPr="004673D0">
        <w:rPr>
          <w:rFonts w:eastAsiaTheme="minorHAnsi"/>
        </w:rPr>
        <w:t>: Weighted effective price calculations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38"/>
        <w:gridCol w:w="1985"/>
        <w:gridCol w:w="1277"/>
        <w:gridCol w:w="1560"/>
        <w:gridCol w:w="1822"/>
      </w:tblGrid>
      <w:tr w:rsidR="00272DB5" w:rsidRPr="004673D0" w:rsidTr="00272DB5">
        <w:tc>
          <w:tcPr>
            <w:tcW w:w="1342" w:type="pct"/>
            <w:shd w:val="clear" w:color="auto" w:fill="auto"/>
            <w:vAlign w:val="center"/>
          </w:tcPr>
          <w:p w:rsidR="00272DB5" w:rsidRPr="004673D0" w:rsidRDefault="00272DB5" w:rsidP="0093544E">
            <w:pPr>
              <w:pStyle w:val="TableText0"/>
            </w:pPr>
          </w:p>
        </w:tc>
        <w:tc>
          <w:tcPr>
            <w:tcW w:w="1093" w:type="pct"/>
            <w:shd w:val="clear" w:color="auto" w:fill="auto"/>
            <w:vAlign w:val="center"/>
          </w:tcPr>
          <w:p w:rsidR="00272DB5" w:rsidRPr="004673D0" w:rsidRDefault="00272DB5" w:rsidP="0093544E">
            <w:pPr>
              <w:pStyle w:val="TableText0"/>
              <w:rPr>
                <w:b/>
              </w:rPr>
            </w:pPr>
            <w:r w:rsidRPr="004673D0">
              <w:rPr>
                <w:b/>
              </w:rPr>
              <w:t>Total scripts, Years 1-5</w:t>
            </w:r>
          </w:p>
        </w:tc>
        <w:tc>
          <w:tcPr>
            <w:tcW w:w="703" w:type="pct"/>
            <w:shd w:val="clear" w:color="auto" w:fill="auto"/>
            <w:vAlign w:val="center"/>
          </w:tcPr>
          <w:p w:rsidR="00272DB5" w:rsidRPr="004673D0" w:rsidRDefault="00377D97" w:rsidP="0093544E">
            <w:pPr>
              <w:keepNext/>
              <w:rPr>
                <w:rFonts w:ascii="Arial Narrow" w:hAnsi="Arial Narrow" w:cs="Arial"/>
                <w:b/>
                <w:sz w:val="20"/>
                <w:szCs w:val="20"/>
              </w:rPr>
            </w:pPr>
            <w:r w:rsidRPr="004673D0">
              <w:rPr>
                <w:rFonts w:ascii="Arial Narrow" w:hAnsi="Arial Narrow" w:cs="Arial"/>
                <w:b/>
                <w:sz w:val="20"/>
                <w:szCs w:val="20"/>
              </w:rPr>
              <w:t>Weighting</w:t>
            </w:r>
          </w:p>
        </w:tc>
        <w:tc>
          <w:tcPr>
            <w:tcW w:w="859" w:type="pct"/>
            <w:shd w:val="clear" w:color="auto" w:fill="auto"/>
            <w:vAlign w:val="center"/>
          </w:tcPr>
          <w:p w:rsidR="00272DB5" w:rsidRPr="004673D0" w:rsidRDefault="00272DB5" w:rsidP="0093544E">
            <w:pPr>
              <w:keepNext/>
              <w:rPr>
                <w:rFonts w:ascii="Arial Narrow" w:hAnsi="Arial Narrow" w:cs="Arial"/>
                <w:b/>
                <w:sz w:val="20"/>
                <w:szCs w:val="20"/>
              </w:rPr>
            </w:pPr>
            <w:r w:rsidRPr="004673D0">
              <w:rPr>
                <w:rFonts w:ascii="Arial Narrow" w:hAnsi="Arial Narrow" w:cs="Arial"/>
                <w:b/>
                <w:sz w:val="20"/>
                <w:szCs w:val="20"/>
              </w:rPr>
              <w:t>Effective AEMP</w:t>
            </w:r>
          </w:p>
        </w:tc>
        <w:tc>
          <w:tcPr>
            <w:tcW w:w="1003" w:type="pct"/>
            <w:shd w:val="clear" w:color="auto" w:fill="auto"/>
            <w:vAlign w:val="center"/>
          </w:tcPr>
          <w:p w:rsidR="00272DB5" w:rsidRPr="004673D0" w:rsidRDefault="00272DB5" w:rsidP="0093544E">
            <w:pPr>
              <w:keepNext/>
              <w:rPr>
                <w:rFonts w:ascii="Arial Narrow" w:hAnsi="Arial Narrow" w:cs="Arial"/>
                <w:b/>
                <w:sz w:val="20"/>
                <w:szCs w:val="20"/>
              </w:rPr>
            </w:pPr>
            <w:r w:rsidRPr="004673D0">
              <w:rPr>
                <w:rFonts w:ascii="Arial Narrow" w:hAnsi="Arial Narrow" w:cs="Arial"/>
                <w:b/>
                <w:sz w:val="20"/>
                <w:szCs w:val="20"/>
              </w:rPr>
              <w:t>Effective DPMQ</w:t>
            </w:r>
          </w:p>
        </w:tc>
      </w:tr>
      <w:tr w:rsidR="00272DB5" w:rsidRPr="004673D0" w:rsidTr="00272DB5">
        <w:tc>
          <w:tcPr>
            <w:tcW w:w="1342" w:type="pct"/>
            <w:shd w:val="clear" w:color="auto" w:fill="auto"/>
            <w:vAlign w:val="center"/>
          </w:tcPr>
          <w:p w:rsidR="00272DB5" w:rsidRPr="004673D0" w:rsidRDefault="00272DB5" w:rsidP="003A10CD">
            <w:pPr>
              <w:pStyle w:val="TableText0"/>
            </w:pPr>
            <w:r w:rsidRPr="004673D0">
              <w:t>Monotherapy gu</w:t>
            </w:r>
            <w:r w:rsidR="003A10CD" w:rsidRPr="004673D0">
              <w:t>a</w:t>
            </w:r>
            <w:r w:rsidRPr="004673D0">
              <w:t xml:space="preserve">nfacine </w:t>
            </w:r>
          </w:p>
        </w:tc>
        <w:tc>
          <w:tcPr>
            <w:tcW w:w="1093" w:type="pct"/>
            <w:shd w:val="clear" w:color="auto" w:fill="auto"/>
            <w:vAlign w:val="center"/>
          </w:tcPr>
          <w:p w:rsidR="00272DB5" w:rsidRPr="00F83616" w:rsidRDefault="00F83616" w:rsidP="0093544E">
            <w:pPr>
              <w:pStyle w:val="TableText0"/>
              <w:rPr>
                <w:highlight w:val="black"/>
              </w:rPr>
            </w:pPr>
            <w:r>
              <w:rPr>
                <w:noProof/>
                <w:color w:val="000000"/>
                <w:highlight w:val="black"/>
              </w:rPr>
              <w:t>''''''''''''''''''</w:t>
            </w:r>
          </w:p>
        </w:tc>
        <w:tc>
          <w:tcPr>
            <w:tcW w:w="703" w:type="pct"/>
            <w:shd w:val="clear" w:color="auto" w:fill="auto"/>
            <w:vAlign w:val="center"/>
          </w:tcPr>
          <w:p w:rsidR="00272DB5" w:rsidRPr="004673D0" w:rsidRDefault="00F83616" w:rsidP="0093544E">
            <w:pPr>
              <w:keepNext/>
              <w:rPr>
                <w:rFonts w:ascii="Arial Narrow" w:hAnsi="Arial Narrow" w:cs="Arial"/>
                <w:sz w:val="20"/>
                <w:szCs w:val="20"/>
              </w:rPr>
            </w:pPr>
            <w:r>
              <w:rPr>
                <w:rFonts w:ascii="Arial Narrow" w:hAnsi="Arial Narrow" w:cs="Arial"/>
                <w:noProof/>
                <w:color w:val="000000"/>
                <w:sz w:val="20"/>
                <w:szCs w:val="20"/>
                <w:highlight w:val="black"/>
              </w:rPr>
              <w:t>''''''''''''</w:t>
            </w:r>
            <w:r w:rsidR="00272DB5" w:rsidRPr="004673D0">
              <w:rPr>
                <w:rFonts w:ascii="Arial Narrow" w:hAnsi="Arial Narrow" w:cs="Arial"/>
                <w:sz w:val="20"/>
                <w:szCs w:val="20"/>
              </w:rPr>
              <w:t>%</w:t>
            </w:r>
          </w:p>
        </w:tc>
        <w:tc>
          <w:tcPr>
            <w:tcW w:w="859" w:type="pct"/>
            <w:shd w:val="clear" w:color="auto" w:fill="auto"/>
            <w:vAlign w:val="center"/>
          </w:tcPr>
          <w:p w:rsidR="00272DB5" w:rsidRPr="004673D0" w:rsidRDefault="00272DB5" w:rsidP="0093544E">
            <w:pPr>
              <w:keepNext/>
              <w:rPr>
                <w:rFonts w:ascii="Arial Narrow" w:hAnsi="Arial Narrow" w:cs="Arial"/>
                <w:sz w:val="20"/>
                <w:szCs w:val="20"/>
              </w:rPr>
            </w:pPr>
            <w:r w:rsidRPr="004673D0">
              <w:rPr>
                <w:rFonts w:ascii="Arial Narrow" w:hAnsi="Arial Narrow" w:cs="Arial"/>
                <w:sz w:val="20"/>
                <w:szCs w:val="20"/>
              </w:rPr>
              <w:t>$</w:t>
            </w:r>
            <w:r w:rsidR="00F83616">
              <w:rPr>
                <w:rFonts w:ascii="Arial Narrow" w:hAnsi="Arial Narrow" w:cs="Arial"/>
                <w:noProof/>
                <w:color w:val="000000"/>
                <w:sz w:val="20"/>
                <w:szCs w:val="20"/>
                <w:highlight w:val="black"/>
              </w:rPr>
              <w:t>'''''''''''''</w:t>
            </w:r>
            <w:r w:rsidR="006A7781" w:rsidRPr="004673D0">
              <w:rPr>
                <w:rFonts w:ascii="Arial Narrow" w:hAnsi="Arial Narrow" w:cs="Arial"/>
                <w:sz w:val="20"/>
                <w:szCs w:val="20"/>
              </w:rPr>
              <w:t xml:space="preserve"> </w:t>
            </w:r>
          </w:p>
        </w:tc>
        <w:tc>
          <w:tcPr>
            <w:tcW w:w="1003" w:type="pct"/>
            <w:shd w:val="clear" w:color="auto" w:fill="auto"/>
            <w:vAlign w:val="center"/>
          </w:tcPr>
          <w:p w:rsidR="00272DB5" w:rsidRPr="004673D0" w:rsidRDefault="00272DB5" w:rsidP="0093544E">
            <w:pPr>
              <w:keepNext/>
              <w:rPr>
                <w:rFonts w:ascii="Arial Narrow" w:hAnsi="Arial Narrow" w:cs="Arial"/>
                <w:sz w:val="20"/>
                <w:szCs w:val="20"/>
              </w:rPr>
            </w:pPr>
            <w:r w:rsidRPr="004673D0">
              <w:rPr>
                <w:rFonts w:ascii="Arial Narrow" w:hAnsi="Arial Narrow" w:cs="Arial"/>
                <w:sz w:val="20"/>
                <w:szCs w:val="20"/>
              </w:rPr>
              <w:t>$</w:t>
            </w:r>
            <w:r w:rsidR="00F83616">
              <w:rPr>
                <w:rFonts w:ascii="Arial Narrow" w:hAnsi="Arial Narrow" w:cs="Arial"/>
                <w:noProof/>
                <w:color w:val="000000"/>
                <w:sz w:val="20"/>
                <w:szCs w:val="20"/>
                <w:highlight w:val="black"/>
              </w:rPr>
              <w:t>''''''''''''''</w:t>
            </w:r>
          </w:p>
        </w:tc>
      </w:tr>
      <w:tr w:rsidR="00272DB5" w:rsidRPr="004673D0" w:rsidTr="00272DB5">
        <w:tc>
          <w:tcPr>
            <w:tcW w:w="1342" w:type="pct"/>
            <w:shd w:val="clear" w:color="auto" w:fill="auto"/>
            <w:vAlign w:val="center"/>
          </w:tcPr>
          <w:p w:rsidR="00272DB5" w:rsidRPr="004673D0" w:rsidRDefault="00272DB5" w:rsidP="00AB0706">
            <w:pPr>
              <w:pStyle w:val="TableText0"/>
            </w:pPr>
            <w:r w:rsidRPr="004673D0">
              <w:t>Ad</w:t>
            </w:r>
            <w:r w:rsidR="00AB0706" w:rsidRPr="004673D0">
              <w:t>d-on</w:t>
            </w:r>
            <w:r w:rsidRPr="004673D0">
              <w:t xml:space="preserve"> therapy guanfacine </w:t>
            </w:r>
          </w:p>
        </w:tc>
        <w:tc>
          <w:tcPr>
            <w:tcW w:w="1093" w:type="pct"/>
            <w:shd w:val="clear" w:color="auto" w:fill="auto"/>
            <w:vAlign w:val="center"/>
          </w:tcPr>
          <w:p w:rsidR="00272DB5" w:rsidRPr="00F83616" w:rsidRDefault="00F83616" w:rsidP="0093544E">
            <w:pPr>
              <w:pStyle w:val="TableText0"/>
              <w:rPr>
                <w:highlight w:val="black"/>
              </w:rPr>
            </w:pPr>
            <w:r>
              <w:rPr>
                <w:noProof/>
                <w:color w:val="000000"/>
                <w:highlight w:val="black"/>
              </w:rPr>
              <w:t>''''''''''''''''''''</w:t>
            </w:r>
          </w:p>
        </w:tc>
        <w:tc>
          <w:tcPr>
            <w:tcW w:w="703" w:type="pct"/>
            <w:shd w:val="clear" w:color="auto" w:fill="auto"/>
            <w:vAlign w:val="center"/>
          </w:tcPr>
          <w:p w:rsidR="00272DB5" w:rsidRPr="004673D0" w:rsidRDefault="00F83616" w:rsidP="0093544E">
            <w:pPr>
              <w:pStyle w:val="Tabletext"/>
              <w:keepNext/>
              <w:spacing w:after="0"/>
              <w:rPr>
                <w:rFonts w:ascii="Arial Narrow" w:hAnsi="Arial Narrow"/>
              </w:rPr>
            </w:pPr>
            <w:r>
              <w:rPr>
                <w:rFonts w:ascii="Arial Narrow" w:hAnsi="Arial Narrow"/>
                <w:noProof/>
                <w:color w:val="000000"/>
                <w:highlight w:val="black"/>
              </w:rPr>
              <w:t>''''''''''''''</w:t>
            </w:r>
            <w:r w:rsidR="00272DB5" w:rsidRPr="004673D0">
              <w:rPr>
                <w:rFonts w:ascii="Arial Narrow" w:hAnsi="Arial Narrow"/>
              </w:rPr>
              <w:t>%</w:t>
            </w:r>
          </w:p>
        </w:tc>
        <w:tc>
          <w:tcPr>
            <w:tcW w:w="859" w:type="pct"/>
            <w:shd w:val="clear" w:color="auto" w:fill="auto"/>
            <w:vAlign w:val="center"/>
          </w:tcPr>
          <w:p w:rsidR="00272DB5" w:rsidRPr="004673D0" w:rsidRDefault="00272DB5" w:rsidP="0093544E">
            <w:pPr>
              <w:pStyle w:val="Tabletext"/>
              <w:keepNext/>
              <w:spacing w:after="0"/>
              <w:rPr>
                <w:rFonts w:ascii="Arial Narrow" w:hAnsi="Arial Narrow"/>
              </w:rPr>
            </w:pPr>
            <w:r w:rsidRPr="004673D0">
              <w:rPr>
                <w:rFonts w:ascii="Arial Narrow" w:hAnsi="Arial Narrow"/>
              </w:rPr>
              <w:t>$</w:t>
            </w:r>
            <w:r w:rsidR="00F83616">
              <w:rPr>
                <w:rFonts w:ascii="Arial Narrow" w:hAnsi="Arial Narrow"/>
                <w:noProof/>
                <w:color w:val="000000"/>
                <w:highlight w:val="black"/>
              </w:rPr>
              <w:t>''''''''''''''</w:t>
            </w:r>
          </w:p>
        </w:tc>
        <w:tc>
          <w:tcPr>
            <w:tcW w:w="1003" w:type="pct"/>
            <w:shd w:val="clear" w:color="auto" w:fill="auto"/>
            <w:vAlign w:val="center"/>
          </w:tcPr>
          <w:p w:rsidR="00272DB5" w:rsidRPr="004673D0" w:rsidRDefault="00272DB5" w:rsidP="0093544E">
            <w:pPr>
              <w:pStyle w:val="Tabletext"/>
              <w:keepNext/>
              <w:spacing w:after="0"/>
              <w:rPr>
                <w:rFonts w:ascii="Arial Narrow" w:hAnsi="Arial Narrow"/>
              </w:rPr>
            </w:pPr>
            <w:r w:rsidRPr="004673D0">
              <w:rPr>
                <w:rFonts w:ascii="Arial Narrow" w:hAnsi="Arial Narrow"/>
              </w:rPr>
              <w:t>$</w:t>
            </w:r>
            <w:r w:rsidR="00F83616">
              <w:rPr>
                <w:rFonts w:ascii="Arial Narrow" w:hAnsi="Arial Narrow"/>
                <w:noProof/>
                <w:color w:val="000000"/>
                <w:highlight w:val="black"/>
              </w:rPr>
              <w:t>''''''''''''''</w:t>
            </w:r>
          </w:p>
        </w:tc>
      </w:tr>
      <w:tr w:rsidR="00272DB5" w:rsidRPr="004673D0" w:rsidTr="00272DB5">
        <w:tc>
          <w:tcPr>
            <w:tcW w:w="1342" w:type="pct"/>
            <w:shd w:val="clear" w:color="auto" w:fill="auto"/>
            <w:vAlign w:val="center"/>
          </w:tcPr>
          <w:p w:rsidR="00272DB5" w:rsidRPr="004673D0" w:rsidRDefault="00272DB5" w:rsidP="0093544E">
            <w:pPr>
              <w:pStyle w:val="TableText0"/>
              <w:rPr>
                <w:b/>
              </w:rPr>
            </w:pPr>
            <w:r w:rsidRPr="004673D0">
              <w:rPr>
                <w:b/>
              </w:rPr>
              <w:t>Weighted price</w:t>
            </w:r>
          </w:p>
        </w:tc>
        <w:tc>
          <w:tcPr>
            <w:tcW w:w="1796" w:type="pct"/>
            <w:gridSpan w:val="2"/>
            <w:shd w:val="clear" w:color="auto" w:fill="auto"/>
            <w:vAlign w:val="center"/>
          </w:tcPr>
          <w:p w:rsidR="00272DB5" w:rsidRPr="004673D0" w:rsidRDefault="00272DB5" w:rsidP="0093544E">
            <w:pPr>
              <w:keepNext/>
              <w:rPr>
                <w:rFonts w:ascii="Arial Narrow" w:hAnsi="Arial Narrow" w:cs="Arial"/>
                <w:b/>
                <w:color w:val="000000"/>
                <w:sz w:val="20"/>
                <w:szCs w:val="20"/>
              </w:rPr>
            </w:pPr>
          </w:p>
        </w:tc>
        <w:tc>
          <w:tcPr>
            <w:tcW w:w="859" w:type="pct"/>
            <w:shd w:val="clear" w:color="auto" w:fill="auto"/>
            <w:vAlign w:val="center"/>
          </w:tcPr>
          <w:p w:rsidR="00272DB5" w:rsidRPr="004673D0" w:rsidRDefault="00272DB5" w:rsidP="0093544E">
            <w:pPr>
              <w:keepNext/>
              <w:rPr>
                <w:rFonts w:ascii="Arial Narrow" w:hAnsi="Arial Narrow" w:cs="Arial"/>
                <w:b/>
                <w:color w:val="000000"/>
                <w:sz w:val="20"/>
                <w:szCs w:val="20"/>
              </w:rPr>
            </w:pPr>
            <w:r w:rsidRPr="004673D0">
              <w:rPr>
                <w:rFonts w:ascii="Arial Narrow" w:hAnsi="Arial Narrow" w:cs="Arial"/>
                <w:b/>
                <w:color w:val="000000"/>
                <w:sz w:val="20"/>
                <w:szCs w:val="20"/>
              </w:rPr>
              <w:t>$</w:t>
            </w:r>
            <w:r w:rsidR="00F83616">
              <w:rPr>
                <w:rFonts w:ascii="Arial Narrow" w:hAnsi="Arial Narrow" w:cs="Arial"/>
                <w:b/>
                <w:noProof/>
                <w:color w:val="000000"/>
                <w:sz w:val="20"/>
                <w:szCs w:val="20"/>
                <w:highlight w:val="black"/>
              </w:rPr>
              <w:t>'''''''''''</w:t>
            </w:r>
          </w:p>
        </w:tc>
        <w:tc>
          <w:tcPr>
            <w:tcW w:w="1003" w:type="pct"/>
            <w:shd w:val="clear" w:color="auto" w:fill="auto"/>
            <w:vAlign w:val="center"/>
          </w:tcPr>
          <w:p w:rsidR="00272DB5" w:rsidRPr="004673D0" w:rsidRDefault="00272DB5" w:rsidP="0093544E">
            <w:pPr>
              <w:keepNext/>
              <w:rPr>
                <w:rFonts w:ascii="Arial Narrow" w:hAnsi="Arial Narrow" w:cs="Arial"/>
                <w:b/>
                <w:color w:val="000000"/>
                <w:sz w:val="20"/>
                <w:szCs w:val="20"/>
              </w:rPr>
            </w:pPr>
            <w:r w:rsidRPr="004673D0">
              <w:rPr>
                <w:rFonts w:ascii="Arial Narrow" w:hAnsi="Arial Narrow" w:cs="Arial"/>
                <w:b/>
                <w:color w:val="000000"/>
                <w:sz w:val="20"/>
                <w:szCs w:val="20"/>
              </w:rPr>
              <w:t>$</w:t>
            </w:r>
            <w:r w:rsidR="00F83616">
              <w:rPr>
                <w:rFonts w:ascii="Arial Narrow" w:hAnsi="Arial Narrow" w:cs="Arial"/>
                <w:b/>
                <w:noProof/>
                <w:color w:val="000000"/>
                <w:sz w:val="20"/>
                <w:szCs w:val="20"/>
                <w:highlight w:val="black"/>
              </w:rPr>
              <w:t>''''''''''''</w:t>
            </w:r>
          </w:p>
        </w:tc>
      </w:tr>
      <w:tr w:rsidR="00056942" w:rsidRPr="004673D0" w:rsidTr="00056942">
        <w:tc>
          <w:tcPr>
            <w:tcW w:w="5000" w:type="pct"/>
            <w:gridSpan w:val="5"/>
            <w:shd w:val="clear" w:color="auto" w:fill="auto"/>
            <w:vAlign w:val="center"/>
          </w:tcPr>
          <w:p w:rsidR="00056942" w:rsidRPr="004673D0" w:rsidRDefault="00056942" w:rsidP="0093544E">
            <w:pPr>
              <w:keepNext/>
              <w:spacing w:before="40" w:after="40"/>
              <w:rPr>
                <w:rFonts w:ascii="Arial Narrow" w:hAnsi="Arial Narrow" w:cs="Arial"/>
                <w:b/>
                <w:i/>
                <w:sz w:val="20"/>
                <w:szCs w:val="20"/>
              </w:rPr>
            </w:pPr>
            <w:r w:rsidRPr="004673D0">
              <w:rPr>
                <w:rFonts w:ascii="Arial Narrow" w:hAnsi="Arial Narrow" w:cs="Arial"/>
                <w:b/>
                <w:i/>
                <w:sz w:val="20"/>
                <w:szCs w:val="20"/>
              </w:rPr>
              <w:t xml:space="preserve">Weighted </w:t>
            </w:r>
            <w:r w:rsidR="0082691F" w:rsidRPr="004673D0">
              <w:rPr>
                <w:rFonts w:ascii="Arial Narrow" w:hAnsi="Arial Narrow" w:cs="Arial"/>
                <w:b/>
                <w:i/>
                <w:sz w:val="20"/>
                <w:szCs w:val="20"/>
              </w:rPr>
              <w:t xml:space="preserve">effective </w:t>
            </w:r>
            <w:r w:rsidRPr="004673D0">
              <w:rPr>
                <w:rFonts w:ascii="Arial Narrow" w:hAnsi="Arial Narrow" w:cs="Arial"/>
                <w:b/>
                <w:i/>
                <w:sz w:val="20"/>
                <w:szCs w:val="20"/>
              </w:rPr>
              <w:t>price – no clonidine substitution</w:t>
            </w:r>
          </w:p>
        </w:tc>
      </w:tr>
      <w:tr w:rsidR="00056942" w:rsidRPr="004673D0" w:rsidTr="000F00F8">
        <w:tc>
          <w:tcPr>
            <w:tcW w:w="1342" w:type="pct"/>
            <w:shd w:val="clear" w:color="auto" w:fill="auto"/>
            <w:vAlign w:val="center"/>
          </w:tcPr>
          <w:p w:rsidR="00056942" w:rsidRPr="004673D0" w:rsidRDefault="00056942" w:rsidP="003A10CD">
            <w:pPr>
              <w:pStyle w:val="TableText0"/>
              <w:rPr>
                <w:i/>
              </w:rPr>
            </w:pPr>
            <w:r w:rsidRPr="004673D0">
              <w:rPr>
                <w:i/>
              </w:rPr>
              <w:t>Monotherapy gu</w:t>
            </w:r>
            <w:r w:rsidR="003A10CD" w:rsidRPr="004673D0">
              <w:rPr>
                <w:i/>
              </w:rPr>
              <w:t>a</w:t>
            </w:r>
            <w:r w:rsidRPr="004673D0">
              <w:rPr>
                <w:i/>
              </w:rPr>
              <w:t xml:space="preserve">nfacine </w:t>
            </w:r>
          </w:p>
        </w:tc>
        <w:tc>
          <w:tcPr>
            <w:tcW w:w="1093" w:type="pct"/>
            <w:shd w:val="clear" w:color="auto" w:fill="auto"/>
            <w:vAlign w:val="center"/>
          </w:tcPr>
          <w:p w:rsidR="00056942" w:rsidRPr="00F83616" w:rsidRDefault="00F83616" w:rsidP="0093544E">
            <w:pPr>
              <w:pStyle w:val="TableText0"/>
              <w:rPr>
                <w:i/>
                <w:highlight w:val="black"/>
              </w:rPr>
            </w:pPr>
            <w:r>
              <w:rPr>
                <w:i/>
                <w:noProof/>
                <w:color w:val="000000"/>
                <w:highlight w:val="black"/>
              </w:rPr>
              <w:t>''''''''''''''''''</w:t>
            </w:r>
          </w:p>
        </w:tc>
        <w:tc>
          <w:tcPr>
            <w:tcW w:w="703" w:type="pct"/>
            <w:shd w:val="clear" w:color="auto" w:fill="auto"/>
            <w:vAlign w:val="center"/>
          </w:tcPr>
          <w:p w:rsidR="00056942" w:rsidRPr="004673D0" w:rsidRDefault="00F83616" w:rsidP="0093544E">
            <w:pPr>
              <w:keepNext/>
              <w:rPr>
                <w:rFonts w:ascii="Arial Narrow" w:hAnsi="Arial Narrow" w:cs="Arial"/>
                <w:i/>
                <w:sz w:val="20"/>
                <w:szCs w:val="20"/>
              </w:rPr>
            </w:pPr>
            <w:r>
              <w:rPr>
                <w:rFonts w:ascii="Arial Narrow" w:hAnsi="Arial Narrow" w:cs="Arial"/>
                <w:i/>
                <w:noProof/>
                <w:color w:val="000000"/>
                <w:sz w:val="20"/>
                <w:szCs w:val="20"/>
                <w:highlight w:val="black"/>
              </w:rPr>
              <w:t>''''''''''''</w:t>
            </w:r>
            <w:r w:rsidR="00056942" w:rsidRPr="004673D0">
              <w:rPr>
                <w:rFonts w:ascii="Arial Narrow" w:hAnsi="Arial Narrow" w:cs="Arial"/>
                <w:i/>
                <w:sz w:val="20"/>
                <w:szCs w:val="20"/>
              </w:rPr>
              <w:t>%</w:t>
            </w:r>
          </w:p>
        </w:tc>
        <w:tc>
          <w:tcPr>
            <w:tcW w:w="859" w:type="pct"/>
            <w:shd w:val="clear" w:color="auto" w:fill="auto"/>
            <w:vAlign w:val="center"/>
          </w:tcPr>
          <w:p w:rsidR="00056942" w:rsidRPr="004673D0" w:rsidRDefault="00056942" w:rsidP="0093544E">
            <w:pPr>
              <w:keepNext/>
              <w:rPr>
                <w:rFonts w:ascii="Arial Narrow" w:hAnsi="Arial Narrow" w:cs="Arial"/>
                <w:sz w:val="20"/>
                <w:szCs w:val="20"/>
              </w:rPr>
            </w:pPr>
            <w:r w:rsidRPr="004673D0">
              <w:rPr>
                <w:rFonts w:ascii="Arial Narrow" w:hAnsi="Arial Narrow" w:cs="Arial"/>
                <w:sz w:val="20"/>
                <w:szCs w:val="20"/>
              </w:rPr>
              <w:t>$</w:t>
            </w:r>
            <w:r w:rsidR="00F83616">
              <w:rPr>
                <w:rFonts w:ascii="Arial Narrow" w:hAnsi="Arial Narrow" w:cs="Arial"/>
                <w:noProof/>
                <w:color w:val="000000"/>
                <w:sz w:val="20"/>
                <w:szCs w:val="20"/>
                <w:highlight w:val="black"/>
              </w:rPr>
              <w:t>'''''''''''''</w:t>
            </w:r>
          </w:p>
        </w:tc>
        <w:tc>
          <w:tcPr>
            <w:tcW w:w="1003" w:type="pct"/>
            <w:shd w:val="clear" w:color="auto" w:fill="auto"/>
            <w:vAlign w:val="center"/>
          </w:tcPr>
          <w:p w:rsidR="00056942" w:rsidRPr="004673D0" w:rsidRDefault="00056942" w:rsidP="0093544E">
            <w:pPr>
              <w:keepNext/>
              <w:rPr>
                <w:rFonts w:ascii="Arial Narrow" w:hAnsi="Arial Narrow" w:cs="Arial"/>
                <w:sz w:val="20"/>
                <w:szCs w:val="20"/>
              </w:rPr>
            </w:pPr>
            <w:r w:rsidRPr="004673D0">
              <w:rPr>
                <w:rFonts w:ascii="Arial Narrow" w:hAnsi="Arial Narrow" w:cs="Arial"/>
                <w:sz w:val="20"/>
                <w:szCs w:val="20"/>
              </w:rPr>
              <w:t>$</w:t>
            </w:r>
            <w:r w:rsidR="00F83616">
              <w:rPr>
                <w:rFonts w:ascii="Arial Narrow" w:hAnsi="Arial Narrow" w:cs="Arial"/>
                <w:noProof/>
                <w:color w:val="000000"/>
                <w:sz w:val="20"/>
                <w:szCs w:val="20"/>
                <w:highlight w:val="black"/>
              </w:rPr>
              <w:t>'''''''''''''</w:t>
            </w:r>
          </w:p>
        </w:tc>
      </w:tr>
      <w:tr w:rsidR="00056942" w:rsidRPr="004673D0" w:rsidTr="000F00F8">
        <w:tc>
          <w:tcPr>
            <w:tcW w:w="1342" w:type="pct"/>
            <w:shd w:val="clear" w:color="auto" w:fill="auto"/>
            <w:vAlign w:val="center"/>
          </w:tcPr>
          <w:p w:rsidR="00056942" w:rsidRPr="004673D0" w:rsidRDefault="00056942" w:rsidP="00AB0706">
            <w:pPr>
              <w:pStyle w:val="TableText0"/>
              <w:rPr>
                <w:i/>
              </w:rPr>
            </w:pPr>
            <w:r w:rsidRPr="004673D0">
              <w:rPr>
                <w:i/>
              </w:rPr>
              <w:t>Ad</w:t>
            </w:r>
            <w:r w:rsidR="00AB0706" w:rsidRPr="004673D0">
              <w:rPr>
                <w:i/>
              </w:rPr>
              <w:t>d-on</w:t>
            </w:r>
            <w:r w:rsidRPr="004673D0">
              <w:rPr>
                <w:i/>
              </w:rPr>
              <w:t xml:space="preserve"> therapy guanfacine </w:t>
            </w:r>
          </w:p>
        </w:tc>
        <w:tc>
          <w:tcPr>
            <w:tcW w:w="1093" w:type="pct"/>
            <w:shd w:val="clear" w:color="auto" w:fill="auto"/>
            <w:vAlign w:val="center"/>
          </w:tcPr>
          <w:p w:rsidR="00056942" w:rsidRPr="00F83616" w:rsidRDefault="00F83616" w:rsidP="0093544E">
            <w:pPr>
              <w:pStyle w:val="TableText0"/>
              <w:rPr>
                <w:highlight w:val="black"/>
              </w:rPr>
            </w:pPr>
            <w:r>
              <w:rPr>
                <w:noProof/>
                <w:color w:val="000000"/>
                <w:highlight w:val="black"/>
              </w:rPr>
              <w:t>''''''''''''''''''''''</w:t>
            </w:r>
          </w:p>
        </w:tc>
        <w:tc>
          <w:tcPr>
            <w:tcW w:w="703" w:type="pct"/>
            <w:shd w:val="clear" w:color="auto" w:fill="auto"/>
            <w:vAlign w:val="center"/>
          </w:tcPr>
          <w:p w:rsidR="00056942" w:rsidRPr="004673D0" w:rsidRDefault="00F83616" w:rsidP="0093544E">
            <w:pPr>
              <w:pStyle w:val="Tabletext"/>
              <w:keepNext/>
              <w:spacing w:after="0"/>
              <w:rPr>
                <w:rFonts w:ascii="Arial Narrow" w:hAnsi="Arial Narrow"/>
                <w:i/>
              </w:rPr>
            </w:pPr>
            <w:r>
              <w:rPr>
                <w:rFonts w:ascii="Arial Narrow" w:hAnsi="Arial Narrow"/>
                <w:i/>
                <w:noProof/>
                <w:color w:val="000000"/>
                <w:highlight w:val="black"/>
              </w:rPr>
              <w:t>''''''''''''''</w:t>
            </w:r>
            <w:r w:rsidR="00056942" w:rsidRPr="004673D0">
              <w:rPr>
                <w:rFonts w:ascii="Arial Narrow" w:hAnsi="Arial Narrow"/>
                <w:i/>
              </w:rPr>
              <w:t>%</w:t>
            </w:r>
          </w:p>
        </w:tc>
        <w:tc>
          <w:tcPr>
            <w:tcW w:w="859" w:type="pct"/>
            <w:shd w:val="clear" w:color="auto" w:fill="auto"/>
            <w:vAlign w:val="center"/>
          </w:tcPr>
          <w:p w:rsidR="00056942" w:rsidRPr="004673D0" w:rsidRDefault="00056942" w:rsidP="0093544E">
            <w:pPr>
              <w:pStyle w:val="Tabletext"/>
              <w:keepNext/>
              <w:spacing w:after="0"/>
              <w:rPr>
                <w:rFonts w:ascii="Arial Narrow" w:hAnsi="Arial Narrow"/>
              </w:rPr>
            </w:pPr>
            <w:r w:rsidRPr="004673D0">
              <w:rPr>
                <w:rFonts w:ascii="Arial Narrow" w:hAnsi="Arial Narrow"/>
              </w:rPr>
              <w:t>$</w:t>
            </w:r>
            <w:r w:rsidR="00F83616">
              <w:rPr>
                <w:rFonts w:ascii="Arial Narrow" w:hAnsi="Arial Narrow"/>
                <w:noProof/>
                <w:color w:val="000000"/>
                <w:highlight w:val="black"/>
              </w:rPr>
              <w:t>'''''''''''''</w:t>
            </w:r>
          </w:p>
        </w:tc>
        <w:tc>
          <w:tcPr>
            <w:tcW w:w="1003" w:type="pct"/>
            <w:shd w:val="clear" w:color="auto" w:fill="auto"/>
            <w:vAlign w:val="center"/>
          </w:tcPr>
          <w:p w:rsidR="00056942" w:rsidRPr="004673D0" w:rsidRDefault="00056942" w:rsidP="0093544E">
            <w:pPr>
              <w:pStyle w:val="Tabletext"/>
              <w:keepNext/>
              <w:spacing w:after="0"/>
              <w:rPr>
                <w:rFonts w:ascii="Arial Narrow" w:hAnsi="Arial Narrow"/>
              </w:rPr>
            </w:pPr>
            <w:r w:rsidRPr="004673D0">
              <w:rPr>
                <w:rFonts w:ascii="Arial Narrow" w:hAnsi="Arial Narrow"/>
              </w:rPr>
              <w:t>$</w:t>
            </w:r>
            <w:r w:rsidR="00F83616">
              <w:rPr>
                <w:rFonts w:ascii="Arial Narrow" w:hAnsi="Arial Narrow"/>
                <w:noProof/>
                <w:color w:val="000000"/>
                <w:highlight w:val="black"/>
              </w:rPr>
              <w:t>''''''''''''''</w:t>
            </w:r>
          </w:p>
        </w:tc>
      </w:tr>
      <w:tr w:rsidR="00056942" w:rsidRPr="004673D0" w:rsidTr="000F00F8">
        <w:tc>
          <w:tcPr>
            <w:tcW w:w="1342" w:type="pct"/>
            <w:shd w:val="clear" w:color="auto" w:fill="auto"/>
            <w:vAlign w:val="center"/>
          </w:tcPr>
          <w:p w:rsidR="00056942" w:rsidRPr="004673D0" w:rsidRDefault="00056942" w:rsidP="0093544E">
            <w:pPr>
              <w:pStyle w:val="TableText0"/>
              <w:rPr>
                <w:b/>
                <w:i/>
              </w:rPr>
            </w:pPr>
            <w:r w:rsidRPr="004673D0">
              <w:rPr>
                <w:b/>
                <w:i/>
              </w:rPr>
              <w:t>Weighted price</w:t>
            </w:r>
          </w:p>
        </w:tc>
        <w:tc>
          <w:tcPr>
            <w:tcW w:w="1796" w:type="pct"/>
            <w:gridSpan w:val="2"/>
            <w:shd w:val="clear" w:color="auto" w:fill="auto"/>
            <w:vAlign w:val="center"/>
          </w:tcPr>
          <w:p w:rsidR="00056942" w:rsidRPr="004673D0" w:rsidRDefault="00056942" w:rsidP="0093544E">
            <w:pPr>
              <w:keepNext/>
              <w:rPr>
                <w:rFonts w:ascii="Arial Narrow" w:hAnsi="Arial Narrow" w:cs="Arial"/>
                <w:b/>
                <w:i/>
                <w:color w:val="000000"/>
                <w:sz w:val="20"/>
                <w:szCs w:val="20"/>
              </w:rPr>
            </w:pPr>
          </w:p>
        </w:tc>
        <w:tc>
          <w:tcPr>
            <w:tcW w:w="859" w:type="pct"/>
            <w:shd w:val="clear" w:color="auto" w:fill="auto"/>
            <w:vAlign w:val="center"/>
          </w:tcPr>
          <w:p w:rsidR="00056942" w:rsidRPr="004673D0" w:rsidRDefault="00056942" w:rsidP="0093544E">
            <w:pPr>
              <w:keepNext/>
              <w:rPr>
                <w:rFonts w:ascii="Arial Narrow" w:hAnsi="Arial Narrow" w:cs="Arial"/>
                <w:b/>
                <w:i/>
                <w:color w:val="000000"/>
                <w:sz w:val="20"/>
                <w:szCs w:val="20"/>
              </w:rPr>
            </w:pPr>
            <w:r w:rsidRPr="004673D0">
              <w:rPr>
                <w:rFonts w:ascii="Arial Narrow" w:hAnsi="Arial Narrow" w:cs="Arial"/>
                <w:b/>
                <w:i/>
                <w:color w:val="000000"/>
                <w:sz w:val="20"/>
                <w:szCs w:val="20"/>
              </w:rPr>
              <w:t>$</w:t>
            </w:r>
            <w:r w:rsidR="00F83616">
              <w:rPr>
                <w:rFonts w:ascii="Arial Narrow" w:hAnsi="Arial Narrow" w:cs="Arial"/>
                <w:b/>
                <w:i/>
                <w:noProof/>
                <w:color w:val="000000"/>
                <w:sz w:val="20"/>
                <w:szCs w:val="20"/>
                <w:highlight w:val="black"/>
              </w:rPr>
              <w:t>'''''''''''</w:t>
            </w:r>
          </w:p>
        </w:tc>
        <w:tc>
          <w:tcPr>
            <w:tcW w:w="1003" w:type="pct"/>
            <w:shd w:val="clear" w:color="auto" w:fill="auto"/>
            <w:vAlign w:val="center"/>
          </w:tcPr>
          <w:p w:rsidR="00056942" w:rsidRPr="004673D0" w:rsidRDefault="00056942" w:rsidP="0093544E">
            <w:pPr>
              <w:keepNext/>
              <w:rPr>
                <w:rFonts w:ascii="Arial Narrow" w:hAnsi="Arial Narrow" w:cs="Arial"/>
                <w:b/>
                <w:i/>
                <w:color w:val="000000"/>
                <w:sz w:val="20"/>
                <w:szCs w:val="20"/>
              </w:rPr>
            </w:pPr>
            <w:r w:rsidRPr="004673D0">
              <w:rPr>
                <w:rFonts w:ascii="Arial Narrow" w:hAnsi="Arial Narrow" w:cs="Arial"/>
                <w:b/>
                <w:i/>
                <w:color w:val="000000"/>
                <w:sz w:val="20"/>
                <w:szCs w:val="20"/>
              </w:rPr>
              <w:t>$</w:t>
            </w:r>
            <w:r w:rsidR="00F83616">
              <w:rPr>
                <w:rFonts w:ascii="Arial Narrow" w:hAnsi="Arial Narrow" w:cs="Arial"/>
                <w:b/>
                <w:i/>
                <w:noProof/>
                <w:color w:val="000000"/>
                <w:sz w:val="20"/>
                <w:szCs w:val="20"/>
                <w:highlight w:val="black"/>
              </w:rPr>
              <w:t>''''''''''''</w:t>
            </w:r>
          </w:p>
        </w:tc>
      </w:tr>
    </w:tbl>
    <w:p w:rsidR="00272DB5" w:rsidRPr="004673D0" w:rsidRDefault="00272DB5" w:rsidP="00272DB5">
      <w:pPr>
        <w:rPr>
          <w:rFonts w:ascii="Arial Narrow" w:hAnsi="Arial Narrow"/>
          <w:sz w:val="20"/>
        </w:rPr>
      </w:pPr>
      <w:r w:rsidRPr="004673D0">
        <w:rPr>
          <w:rFonts w:ascii="Arial Narrow" w:hAnsi="Arial Narrow"/>
          <w:sz w:val="20"/>
        </w:rPr>
        <w:t>Source: Utilisation and financial estimates of the submission</w:t>
      </w:r>
      <w:r w:rsidR="00056942" w:rsidRPr="004673D0">
        <w:rPr>
          <w:rFonts w:ascii="Arial Narrow" w:hAnsi="Arial Narrow"/>
          <w:sz w:val="20"/>
        </w:rPr>
        <w:t xml:space="preserve"> and </w:t>
      </w:r>
      <w:r w:rsidR="00056942" w:rsidRPr="004673D0">
        <w:rPr>
          <w:rFonts w:ascii="Arial Narrow" w:hAnsi="Arial Narrow"/>
          <w:i/>
          <w:sz w:val="20"/>
        </w:rPr>
        <w:t>calculated during evaluation</w:t>
      </w:r>
    </w:p>
    <w:p w:rsidR="00056942" w:rsidRPr="004673D0" w:rsidRDefault="00056942" w:rsidP="00272DB5">
      <w:pPr>
        <w:rPr>
          <w:rFonts w:ascii="Arial Narrow" w:hAnsi="Arial Narrow"/>
          <w:sz w:val="20"/>
        </w:rPr>
      </w:pPr>
      <w:r w:rsidRPr="004673D0">
        <w:rPr>
          <w:rFonts w:ascii="Arial Narrow" w:hAnsi="Arial Narrow"/>
          <w:sz w:val="20"/>
        </w:rPr>
        <w:t>AEMP = approved ex-manufacturer price; DPMQ = dispensed price for maximum quantity</w:t>
      </w:r>
    </w:p>
    <w:p w:rsidR="00E013CF" w:rsidRPr="004673D0" w:rsidRDefault="00E013CF" w:rsidP="00AE22D3">
      <w:pPr>
        <w:rPr>
          <w:rFonts w:asciiTheme="minorHAnsi" w:hAnsiTheme="minorHAnsi"/>
          <w:sz w:val="22"/>
          <w:szCs w:val="22"/>
        </w:rPr>
      </w:pPr>
    </w:p>
    <w:p w:rsidR="00E013CF" w:rsidRPr="00DD08F4" w:rsidRDefault="00F419D7" w:rsidP="00280420">
      <w:pPr>
        <w:pStyle w:val="ListParagraph"/>
        <w:widowControl/>
        <w:numPr>
          <w:ilvl w:val="1"/>
          <w:numId w:val="14"/>
        </w:numPr>
        <w:spacing w:after="120"/>
        <w:contextualSpacing w:val="0"/>
        <w:rPr>
          <w:rFonts w:asciiTheme="minorHAnsi" w:hAnsiTheme="minorHAnsi"/>
          <w:szCs w:val="22"/>
        </w:rPr>
      </w:pPr>
      <w:r w:rsidRPr="004673D0">
        <w:rPr>
          <w:rFonts w:asciiTheme="minorHAnsi" w:eastAsiaTheme="minorHAnsi" w:hAnsiTheme="minorHAnsi" w:cstheme="minorBidi"/>
          <w:snapToGrid/>
          <w:sz w:val="24"/>
          <w:szCs w:val="22"/>
        </w:rPr>
        <w:t xml:space="preserve">The resubmission assumed that </w:t>
      </w:r>
      <w:r w:rsidR="00F83616">
        <w:rPr>
          <w:rFonts w:asciiTheme="minorHAnsi" w:eastAsiaTheme="minorHAnsi" w:hAnsiTheme="minorHAnsi" w:cstheme="minorBidi"/>
          <w:noProof/>
          <w:snapToGrid/>
          <w:color w:val="000000"/>
          <w:sz w:val="24"/>
          <w:szCs w:val="22"/>
          <w:highlight w:val="black"/>
        </w:rPr>
        <w:t>'''''</w:t>
      </w:r>
      <w:r w:rsidRPr="004673D0">
        <w:rPr>
          <w:rFonts w:asciiTheme="minorHAnsi" w:eastAsiaTheme="minorHAnsi" w:hAnsiTheme="minorHAnsi" w:cstheme="minorBidi"/>
          <w:snapToGrid/>
          <w:sz w:val="24"/>
          <w:szCs w:val="22"/>
        </w:rPr>
        <w:t xml:space="preserve">% of guanfacine scripts would be in the monotherapy setting and </w:t>
      </w:r>
      <w:r w:rsidR="00F83616">
        <w:rPr>
          <w:rFonts w:asciiTheme="minorHAnsi" w:eastAsiaTheme="minorHAnsi" w:hAnsiTheme="minorHAnsi" w:cstheme="minorBidi"/>
          <w:noProof/>
          <w:snapToGrid/>
          <w:color w:val="000000"/>
          <w:sz w:val="24"/>
          <w:szCs w:val="22"/>
          <w:highlight w:val="black"/>
        </w:rPr>
        <w:t>'''''</w:t>
      </w:r>
      <w:r w:rsidRPr="004673D0">
        <w:rPr>
          <w:rFonts w:asciiTheme="minorHAnsi" w:eastAsiaTheme="minorHAnsi" w:hAnsiTheme="minorHAnsi" w:cstheme="minorBidi"/>
          <w:snapToGrid/>
          <w:sz w:val="24"/>
          <w:szCs w:val="22"/>
        </w:rPr>
        <w:t>% in the add-on setting. This resulted in a weighted effective price of $</w:t>
      </w:r>
      <w:r w:rsidR="00F83616">
        <w:rPr>
          <w:rFonts w:asciiTheme="minorHAnsi" w:eastAsiaTheme="minorHAnsi" w:hAnsiTheme="minorHAnsi" w:cstheme="minorBidi"/>
          <w:noProof/>
          <w:snapToGrid/>
          <w:color w:val="000000"/>
          <w:sz w:val="24"/>
          <w:szCs w:val="22"/>
          <w:highlight w:val="black"/>
        </w:rPr>
        <w:t>'''''''''''</w:t>
      </w:r>
      <w:r w:rsidRPr="004673D0">
        <w:rPr>
          <w:rFonts w:asciiTheme="minorHAnsi" w:eastAsiaTheme="minorHAnsi" w:hAnsiTheme="minorHAnsi" w:cstheme="minorBidi"/>
          <w:snapToGrid/>
          <w:sz w:val="24"/>
          <w:szCs w:val="22"/>
        </w:rPr>
        <w:t xml:space="preserve"> (DPMQ</w:t>
      </w:r>
      <w:r w:rsidRPr="00CE135A">
        <w:rPr>
          <w:rFonts w:asciiTheme="minorHAnsi" w:eastAsiaTheme="minorHAnsi" w:hAnsiTheme="minorHAnsi" w:cstheme="minorBidi"/>
          <w:snapToGrid/>
          <w:sz w:val="24"/>
          <w:szCs w:val="22"/>
        </w:rPr>
        <w:t xml:space="preserve">). </w:t>
      </w:r>
      <w:r w:rsidR="00377D97" w:rsidRPr="00CE135A">
        <w:rPr>
          <w:rFonts w:asciiTheme="minorHAnsi" w:eastAsiaTheme="minorHAnsi" w:hAnsiTheme="minorHAnsi" w:cstheme="minorBidi"/>
          <w:snapToGrid/>
          <w:sz w:val="24"/>
          <w:szCs w:val="22"/>
        </w:rPr>
        <w:t xml:space="preserve">The calculation </w:t>
      </w:r>
      <w:r w:rsidR="006A7781" w:rsidRPr="00CE135A">
        <w:rPr>
          <w:rFonts w:asciiTheme="minorHAnsi" w:eastAsiaTheme="minorHAnsi" w:hAnsiTheme="minorHAnsi" w:cstheme="minorBidi"/>
          <w:snapToGrid/>
          <w:sz w:val="24"/>
          <w:szCs w:val="22"/>
        </w:rPr>
        <w:t>used a</w:t>
      </w:r>
      <w:r w:rsidR="006A7781" w:rsidRPr="004673D0">
        <w:rPr>
          <w:rFonts w:asciiTheme="minorHAnsi" w:eastAsiaTheme="minorHAnsi" w:hAnsiTheme="minorHAnsi" w:cstheme="minorBidi"/>
          <w:snapToGrid/>
          <w:sz w:val="24"/>
          <w:szCs w:val="22"/>
        </w:rPr>
        <w:t xml:space="preserve"> </w:t>
      </w:r>
      <w:r w:rsidR="003817D3" w:rsidRPr="004673D0">
        <w:rPr>
          <w:rFonts w:asciiTheme="minorHAnsi" w:eastAsiaTheme="minorHAnsi" w:hAnsiTheme="minorHAnsi" w:cstheme="minorBidi"/>
          <w:snapToGrid/>
          <w:sz w:val="24"/>
          <w:szCs w:val="22"/>
        </w:rPr>
        <w:t xml:space="preserve">price </w:t>
      </w:r>
      <w:r w:rsidR="006A7781" w:rsidRPr="004673D0">
        <w:rPr>
          <w:rFonts w:asciiTheme="minorHAnsi" w:eastAsiaTheme="minorHAnsi" w:hAnsiTheme="minorHAnsi" w:cstheme="minorBidi"/>
          <w:snapToGrid/>
          <w:sz w:val="24"/>
          <w:szCs w:val="22"/>
        </w:rPr>
        <w:t>for</w:t>
      </w:r>
      <w:r w:rsidR="003817D3" w:rsidRPr="004673D0">
        <w:rPr>
          <w:rFonts w:asciiTheme="minorHAnsi" w:eastAsiaTheme="minorHAnsi" w:hAnsiTheme="minorHAnsi" w:cstheme="minorBidi"/>
          <w:snapToGrid/>
          <w:sz w:val="24"/>
          <w:szCs w:val="22"/>
        </w:rPr>
        <w:t xml:space="preserve"> guanfacine </w:t>
      </w:r>
      <w:r w:rsidR="006A7781" w:rsidRPr="004673D0">
        <w:rPr>
          <w:rFonts w:asciiTheme="minorHAnsi" w:eastAsiaTheme="minorHAnsi" w:hAnsiTheme="minorHAnsi" w:cstheme="minorBidi"/>
          <w:snapToGrid/>
          <w:sz w:val="24"/>
          <w:szCs w:val="22"/>
        </w:rPr>
        <w:t xml:space="preserve">in the monotherapy setting that was stated to be </w:t>
      </w:r>
      <w:r w:rsidR="00F83616">
        <w:rPr>
          <w:rFonts w:asciiTheme="minorHAnsi" w:eastAsiaTheme="minorHAnsi" w:hAnsiTheme="minorHAnsi" w:cstheme="minorBidi"/>
          <w:noProof/>
          <w:snapToGrid/>
          <w:color w:val="000000"/>
          <w:sz w:val="24"/>
          <w:szCs w:val="22"/>
          <w:highlight w:val="black"/>
        </w:rPr>
        <w:t xml:space="preserve">'''''''' ''''''''' '''' '''''''''''''''' '''''''''''''''''''' '''''''' ''''''' '''''''''''''' ''''''''''''''''' </w:t>
      </w:r>
      <w:r w:rsidR="006A7781" w:rsidRPr="004673D0">
        <w:rPr>
          <w:rFonts w:asciiTheme="minorHAnsi" w:eastAsiaTheme="minorHAnsi" w:hAnsiTheme="minorHAnsi" w:cstheme="minorBidi"/>
          <w:snapToGrid/>
          <w:sz w:val="24"/>
          <w:szCs w:val="22"/>
        </w:rPr>
        <w:t>at the time the minor submission was prepared. The Secretariat notes that the final weighted price would be calculated using the most current price of guanfacine in the monotherapy setting.</w:t>
      </w:r>
    </w:p>
    <w:p w:rsidR="00DD08F4" w:rsidRPr="005D03B9" w:rsidRDefault="00DD08F4" w:rsidP="005D03B9">
      <w:pPr>
        <w:spacing w:before="120" w:after="160"/>
        <w:rPr>
          <w:rFonts w:asciiTheme="minorHAnsi" w:hAnsiTheme="minorHAnsi"/>
          <w:i/>
        </w:rPr>
      </w:pPr>
      <w:r w:rsidRPr="005D03B9">
        <w:rPr>
          <w:rFonts w:asciiTheme="minorHAnsi" w:hAnsiTheme="minorHAnsi"/>
          <w:i/>
        </w:rPr>
        <w:t>For more detail on PBAC’s view, see section 6 PBAC outcome.</w:t>
      </w:r>
    </w:p>
    <w:p w:rsidR="007547D1" w:rsidRPr="004673D0" w:rsidRDefault="007547D1" w:rsidP="00D51441">
      <w:pPr>
        <w:widowControl w:val="0"/>
        <w:numPr>
          <w:ilvl w:val="0"/>
          <w:numId w:val="5"/>
        </w:numPr>
        <w:spacing w:before="240" w:after="120"/>
        <w:jc w:val="both"/>
        <w:outlineLvl w:val="0"/>
        <w:rPr>
          <w:rFonts w:asciiTheme="minorHAnsi" w:hAnsiTheme="minorHAnsi"/>
          <w:b/>
          <w:bCs/>
          <w:sz w:val="32"/>
        </w:rPr>
      </w:pPr>
      <w:r w:rsidRPr="004673D0">
        <w:rPr>
          <w:rFonts w:asciiTheme="minorHAnsi" w:hAnsiTheme="minorHAnsi"/>
          <w:b/>
          <w:bCs/>
          <w:sz w:val="32"/>
        </w:rPr>
        <w:t>PBAC Outcome</w:t>
      </w:r>
    </w:p>
    <w:p w:rsidR="007547D1" w:rsidRPr="004673D0" w:rsidRDefault="007547D1" w:rsidP="00CB3E57">
      <w:pPr>
        <w:widowControl w:val="0"/>
        <w:numPr>
          <w:ilvl w:val="1"/>
          <w:numId w:val="5"/>
        </w:numPr>
        <w:spacing w:after="120"/>
        <w:jc w:val="both"/>
        <w:rPr>
          <w:rFonts w:asciiTheme="minorHAnsi" w:hAnsiTheme="minorHAnsi"/>
          <w:bCs/>
        </w:rPr>
      </w:pPr>
      <w:r w:rsidRPr="004673D0">
        <w:rPr>
          <w:rFonts w:asciiTheme="minorHAnsi" w:hAnsiTheme="minorHAnsi"/>
          <w:bCs/>
        </w:rPr>
        <w:t xml:space="preserve">The PBAC recommended the listing of </w:t>
      </w:r>
      <w:r w:rsidR="00CB3E57" w:rsidRPr="004673D0">
        <w:rPr>
          <w:rFonts w:asciiTheme="minorHAnsi" w:hAnsiTheme="minorHAnsi"/>
          <w:bCs/>
        </w:rPr>
        <w:t xml:space="preserve">guanfacine, </w:t>
      </w:r>
      <w:r w:rsidR="006A7CDE">
        <w:rPr>
          <w:rFonts w:asciiTheme="minorHAnsi" w:hAnsiTheme="minorHAnsi"/>
          <w:bCs/>
        </w:rPr>
        <w:t>as a General Schedule Authority Required (Streamlined) benefit</w:t>
      </w:r>
      <w:r w:rsidR="00B66F38">
        <w:rPr>
          <w:rFonts w:asciiTheme="minorHAnsi" w:hAnsiTheme="minorHAnsi"/>
          <w:bCs/>
        </w:rPr>
        <w:t>,</w:t>
      </w:r>
      <w:r w:rsidR="006A7CDE">
        <w:rPr>
          <w:rFonts w:asciiTheme="minorHAnsi" w:hAnsiTheme="minorHAnsi"/>
          <w:bCs/>
        </w:rPr>
        <w:t xml:space="preserve"> </w:t>
      </w:r>
      <w:r w:rsidR="00CB3E57" w:rsidRPr="004673D0">
        <w:rPr>
          <w:rFonts w:asciiTheme="minorHAnsi" w:hAnsiTheme="minorHAnsi"/>
          <w:bCs/>
        </w:rPr>
        <w:t>as add-on therapy in conjunction with optimised stimulant therapy</w:t>
      </w:r>
      <w:r w:rsidR="004673D0">
        <w:rPr>
          <w:rFonts w:asciiTheme="minorHAnsi" w:hAnsiTheme="minorHAnsi"/>
          <w:bCs/>
        </w:rPr>
        <w:t>,</w:t>
      </w:r>
      <w:r w:rsidR="00CB3E57" w:rsidRPr="004673D0">
        <w:rPr>
          <w:rFonts w:asciiTheme="minorHAnsi" w:hAnsiTheme="minorHAnsi"/>
          <w:bCs/>
        </w:rPr>
        <w:t xml:space="preserve"> for attention deficit hyperactivity disorder (ADHD) in patients experiencing residual moderate to severe ADHD symptoms.</w:t>
      </w:r>
    </w:p>
    <w:p w:rsidR="007547D1" w:rsidRPr="004673D0" w:rsidRDefault="0095574D" w:rsidP="007547D1">
      <w:pPr>
        <w:widowControl w:val="0"/>
        <w:numPr>
          <w:ilvl w:val="1"/>
          <w:numId w:val="5"/>
        </w:numPr>
        <w:spacing w:after="120"/>
        <w:jc w:val="both"/>
        <w:rPr>
          <w:rFonts w:asciiTheme="minorHAnsi" w:hAnsiTheme="minorHAnsi"/>
          <w:bCs/>
        </w:rPr>
      </w:pPr>
      <w:r w:rsidRPr="004673D0">
        <w:rPr>
          <w:rFonts w:asciiTheme="minorHAnsi" w:hAnsiTheme="minorHAnsi"/>
          <w:bCs/>
        </w:rPr>
        <w:t>The PBAC was</w:t>
      </w:r>
      <w:r w:rsidR="007547D1" w:rsidRPr="004673D0">
        <w:rPr>
          <w:rFonts w:asciiTheme="minorHAnsi" w:hAnsiTheme="minorHAnsi"/>
          <w:bCs/>
        </w:rPr>
        <w:t xml:space="preserve"> satisfied that </w:t>
      </w:r>
      <w:r w:rsidR="00CB3E57" w:rsidRPr="004673D0">
        <w:rPr>
          <w:rFonts w:asciiTheme="minorHAnsi" w:hAnsiTheme="minorHAnsi"/>
          <w:bCs/>
        </w:rPr>
        <w:t xml:space="preserve">guanfacine (as add-on therapy) </w:t>
      </w:r>
      <w:r w:rsidR="007547D1" w:rsidRPr="004673D0">
        <w:rPr>
          <w:rFonts w:asciiTheme="minorHAnsi" w:hAnsiTheme="minorHAnsi"/>
          <w:bCs/>
        </w:rPr>
        <w:t xml:space="preserve">provides, for some patients, a significant improvement in efficacy </w:t>
      </w:r>
      <w:r w:rsidR="00CB3E57" w:rsidRPr="004673D0">
        <w:rPr>
          <w:rFonts w:asciiTheme="minorHAnsi" w:hAnsiTheme="minorHAnsi"/>
          <w:bCs/>
        </w:rPr>
        <w:t xml:space="preserve">over placebo in patients receiving optimised stimulant therapy </w:t>
      </w:r>
      <w:r w:rsidRPr="004673D0">
        <w:rPr>
          <w:rFonts w:asciiTheme="minorHAnsi" w:hAnsiTheme="minorHAnsi"/>
          <w:bCs/>
        </w:rPr>
        <w:t>and</w:t>
      </w:r>
      <w:r w:rsidR="00CB3E57" w:rsidRPr="004673D0">
        <w:rPr>
          <w:rFonts w:asciiTheme="minorHAnsi" w:hAnsiTheme="minorHAnsi"/>
          <w:bCs/>
        </w:rPr>
        <w:t xml:space="preserve"> who are experiencing residual symptoms.</w:t>
      </w:r>
    </w:p>
    <w:p w:rsidR="007547D1" w:rsidRPr="004673D0" w:rsidRDefault="00D51441" w:rsidP="007547D1">
      <w:pPr>
        <w:widowControl w:val="0"/>
        <w:numPr>
          <w:ilvl w:val="1"/>
          <w:numId w:val="5"/>
        </w:numPr>
        <w:spacing w:after="120"/>
        <w:jc w:val="both"/>
        <w:rPr>
          <w:rFonts w:asciiTheme="minorHAnsi" w:hAnsiTheme="minorHAnsi"/>
          <w:bCs/>
        </w:rPr>
      </w:pPr>
      <w:r w:rsidRPr="004673D0">
        <w:rPr>
          <w:rFonts w:asciiTheme="minorHAnsi" w:hAnsiTheme="minorHAnsi"/>
          <w:bCs/>
        </w:rPr>
        <w:t xml:space="preserve">The PBAC recalled it has previously considered the results of Trial 313 of guanfacine as add-on therapy in conjunction with optimised stimulant therapy, and </w:t>
      </w:r>
      <w:r w:rsidR="00C83A38" w:rsidRPr="004673D0">
        <w:rPr>
          <w:rFonts w:asciiTheme="minorHAnsi" w:hAnsiTheme="minorHAnsi"/>
          <w:bCs/>
        </w:rPr>
        <w:t>reaffirm</w:t>
      </w:r>
      <w:r w:rsidRPr="004673D0">
        <w:rPr>
          <w:rFonts w:asciiTheme="minorHAnsi" w:hAnsiTheme="minorHAnsi"/>
          <w:bCs/>
        </w:rPr>
        <w:t xml:space="preserve">ed its previous conclusions that guanfacine (as add-on therapy) was of superior comparative effectiveness and inferior comparative safety compared to placebo in </w:t>
      </w:r>
      <w:r w:rsidRPr="004673D0">
        <w:rPr>
          <w:rFonts w:asciiTheme="minorHAnsi" w:hAnsiTheme="minorHAnsi"/>
          <w:bCs/>
        </w:rPr>
        <w:lastRenderedPageBreak/>
        <w:t>the clinical place requested in the resubmission. The PBAC accepted there was a clinical place for guanfacine in an adjunctive setting for patients who continue to experience moderate or severe residual ADHD symptoms who are also on optimised stimulant therapy.</w:t>
      </w:r>
    </w:p>
    <w:p w:rsidR="007547D1" w:rsidRPr="004673D0" w:rsidRDefault="00D51441" w:rsidP="007547D1">
      <w:pPr>
        <w:widowControl w:val="0"/>
        <w:numPr>
          <w:ilvl w:val="1"/>
          <w:numId w:val="5"/>
        </w:numPr>
        <w:spacing w:after="120"/>
        <w:jc w:val="both"/>
        <w:rPr>
          <w:rFonts w:asciiTheme="minorHAnsi" w:hAnsiTheme="minorHAnsi"/>
          <w:bCs/>
        </w:rPr>
      </w:pPr>
      <w:r w:rsidRPr="004673D0">
        <w:rPr>
          <w:rFonts w:asciiTheme="minorHAnsi" w:hAnsiTheme="minorHAnsi"/>
          <w:bCs/>
        </w:rPr>
        <w:t>The PBAC noted the requested restriction and sponsor comments in its Pre-PB</w:t>
      </w:r>
      <w:r w:rsidR="001650E5" w:rsidRPr="004673D0">
        <w:rPr>
          <w:rFonts w:asciiTheme="minorHAnsi" w:hAnsiTheme="minorHAnsi"/>
          <w:bCs/>
        </w:rPr>
        <w:t xml:space="preserve">AC response, and considered it would be appropriate for the restriction to allow some flexibility for clinicians to individually evaluate patient responses to stimulant therapy and determine whether they may benefit from guanfacine add-on therapy. Therefore, the PBAC considered the </w:t>
      </w:r>
      <w:r w:rsidR="00C83A38" w:rsidRPr="004673D0">
        <w:rPr>
          <w:rFonts w:asciiTheme="minorHAnsi" w:hAnsiTheme="minorHAnsi"/>
          <w:bCs/>
        </w:rPr>
        <w:t xml:space="preserve">proposed criteria defining ADHD </w:t>
      </w:r>
      <w:r w:rsidR="002804DB" w:rsidRPr="004673D0">
        <w:rPr>
          <w:rFonts w:asciiTheme="minorHAnsi" w:hAnsiTheme="minorHAnsi"/>
          <w:bCs/>
        </w:rPr>
        <w:t>symptoms was</w:t>
      </w:r>
      <w:r w:rsidR="001650E5" w:rsidRPr="004673D0">
        <w:rPr>
          <w:rFonts w:asciiTheme="minorHAnsi" w:hAnsiTheme="minorHAnsi"/>
          <w:bCs/>
        </w:rPr>
        <w:t xml:space="preserve"> appropriate as requested.</w:t>
      </w:r>
    </w:p>
    <w:p w:rsidR="007547D1" w:rsidRPr="004673D0" w:rsidRDefault="001650E5" w:rsidP="007547D1">
      <w:pPr>
        <w:widowControl w:val="0"/>
        <w:numPr>
          <w:ilvl w:val="1"/>
          <w:numId w:val="5"/>
        </w:numPr>
        <w:spacing w:after="120"/>
        <w:jc w:val="both"/>
        <w:rPr>
          <w:rFonts w:asciiTheme="minorHAnsi" w:hAnsiTheme="minorHAnsi"/>
          <w:bCs/>
        </w:rPr>
      </w:pPr>
      <w:r w:rsidRPr="004673D0">
        <w:rPr>
          <w:rFonts w:asciiTheme="minorHAnsi" w:hAnsiTheme="minorHAnsi"/>
          <w:bCs/>
        </w:rPr>
        <w:t>T</w:t>
      </w:r>
      <w:r w:rsidR="0095574D" w:rsidRPr="004673D0">
        <w:rPr>
          <w:rFonts w:asciiTheme="minorHAnsi" w:hAnsiTheme="minorHAnsi"/>
          <w:bCs/>
        </w:rPr>
        <w:t>he PBAC recalled it had</w:t>
      </w:r>
      <w:r w:rsidRPr="004673D0">
        <w:rPr>
          <w:rFonts w:asciiTheme="minorHAnsi" w:hAnsiTheme="minorHAnsi"/>
          <w:bCs/>
        </w:rPr>
        <w:t xml:space="preserve"> previously accepted placebo as the appropriate comparator.</w:t>
      </w:r>
    </w:p>
    <w:p w:rsidR="007547D1" w:rsidRPr="00CE135A" w:rsidRDefault="001650E5" w:rsidP="007547D1">
      <w:pPr>
        <w:widowControl w:val="0"/>
        <w:numPr>
          <w:ilvl w:val="1"/>
          <w:numId w:val="5"/>
        </w:numPr>
        <w:spacing w:after="120"/>
        <w:jc w:val="both"/>
        <w:rPr>
          <w:rFonts w:asciiTheme="minorHAnsi" w:hAnsiTheme="minorHAnsi"/>
          <w:bCs/>
        </w:rPr>
      </w:pPr>
      <w:r w:rsidRPr="00CE135A">
        <w:rPr>
          <w:rFonts w:asciiTheme="minorHAnsi" w:hAnsiTheme="minorHAnsi"/>
          <w:bCs/>
        </w:rPr>
        <w:t xml:space="preserve">The PBAC noted the resubmission offered a </w:t>
      </w:r>
      <w:r w:rsidR="00F83616">
        <w:rPr>
          <w:rFonts w:asciiTheme="minorHAnsi" w:hAnsiTheme="minorHAnsi"/>
          <w:bCs/>
          <w:noProof/>
          <w:color w:val="000000"/>
          <w:highlight w:val="black"/>
        </w:rPr>
        <w:t>'''''</w:t>
      </w:r>
      <w:r w:rsidRPr="00CE135A">
        <w:rPr>
          <w:rFonts w:asciiTheme="minorHAnsi" w:hAnsiTheme="minorHAnsi"/>
          <w:bCs/>
        </w:rPr>
        <w:t>% lower price (AEMP $</w:t>
      </w:r>
      <w:r w:rsidR="00F83616">
        <w:rPr>
          <w:rFonts w:asciiTheme="minorHAnsi" w:hAnsiTheme="minorHAnsi"/>
          <w:bCs/>
          <w:noProof/>
          <w:color w:val="000000"/>
          <w:highlight w:val="black"/>
        </w:rPr>
        <w:t>'''''''''''</w:t>
      </w:r>
      <w:r w:rsidRPr="00CE135A">
        <w:rPr>
          <w:rFonts w:asciiTheme="minorHAnsi" w:hAnsiTheme="minorHAnsi"/>
          <w:bCs/>
        </w:rPr>
        <w:t xml:space="preserve"> for the add-on setting), which resulted in an ICER of $</w:t>
      </w:r>
      <w:r w:rsidR="00376F66" w:rsidRPr="00CE135A">
        <w:rPr>
          <w:rFonts w:asciiTheme="minorHAnsi" w:hAnsiTheme="minorHAnsi"/>
          <w:bCs/>
        </w:rPr>
        <w:t>15,000</w:t>
      </w:r>
      <w:r w:rsidRPr="00CE135A">
        <w:rPr>
          <w:rFonts w:asciiTheme="minorHAnsi" w:hAnsiTheme="minorHAnsi"/>
          <w:bCs/>
        </w:rPr>
        <w:t>/QALY</w:t>
      </w:r>
      <w:r w:rsidR="00376F66" w:rsidRPr="00CE135A">
        <w:rPr>
          <w:rFonts w:asciiTheme="minorHAnsi" w:hAnsiTheme="minorHAnsi"/>
          <w:bCs/>
        </w:rPr>
        <w:t xml:space="preserve"> - $45,000/QALY</w:t>
      </w:r>
      <w:r w:rsidRPr="00CE135A">
        <w:rPr>
          <w:rFonts w:asciiTheme="minorHAnsi" w:hAnsiTheme="minorHAnsi"/>
          <w:bCs/>
        </w:rPr>
        <w:t xml:space="preserve">, approximately </w:t>
      </w:r>
      <w:r w:rsidR="00F83616">
        <w:rPr>
          <w:rFonts w:asciiTheme="minorHAnsi" w:hAnsiTheme="minorHAnsi"/>
          <w:bCs/>
          <w:noProof/>
          <w:color w:val="000000"/>
          <w:highlight w:val="black"/>
        </w:rPr>
        <w:t>''''''</w:t>
      </w:r>
      <w:r w:rsidRPr="00CE135A">
        <w:rPr>
          <w:rFonts w:asciiTheme="minorHAnsi" w:hAnsiTheme="minorHAnsi"/>
          <w:bCs/>
        </w:rPr>
        <w:t xml:space="preserve">% lower than the previous submission. The PBAC considered the ICER was high for this </w:t>
      </w:r>
      <w:r w:rsidR="004673D0" w:rsidRPr="00CE135A">
        <w:rPr>
          <w:rFonts w:asciiTheme="minorHAnsi" w:hAnsiTheme="minorHAnsi"/>
          <w:bCs/>
        </w:rPr>
        <w:t>population;</w:t>
      </w:r>
      <w:r w:rsidRPr="00CE135A">
        <w:rPr>
          <w:rFonts w:asciiTheme="minorHAnsi" w:hAnsiTheme="minorHAnsi"/>
          <w:bCs/>
        </w:rPr>
        <w:t xml:space="preserve"> however was acceptable based on the clinical need for additional therapies in patients who experience residual symptoms whilst on optimised stimulant therapy.</w:t>
      </w:r>
    </w:p>
    <w:p w:rsidR="001650E5" w:rsidRPr="004673D0" w:rsidRDefault="001650E5" w:rsidP="007547D1">
      <w:pPr>
        <w:widowControl w:val="0"/>
        <w:numPr>
          <w:ilvl w:val="1"/>
          <w:numId w:val="5"/>
        </w:numPr>
        <w:spacing w:after="120"/>
        <w:jc w:val="both"/>
        <w:rPr>
          <w:rFonts w:asciiTheme="minorHAnsi" w:hAnsiTheme="minorHAnsi"/>
          <w:bCs/>
        </w:rPr>
      </w:pPr>
      <w:r w:rsidRPr="00CE135A">
        <w:rPr>
          <w:rFonts w:asciiTheme="minorHAnsi" w:hAnsiTheme="minorHAnsi"/>
          <w:bCs/>
        </w:rPr>
        <w:t>The PBAC noted the submission used a weighted price calculation between the monotherapy and add-on therapy populations to determine a final price of guanfacine. The PBAC considered there were some uncertainties as to how the weightings were calculated (</w:t>
      </w:r>
      <w:r w:rsidR="00F83616">
        <w:rPr>
          <w:rFonts w:asciiTheme="minorHAnsi" w:hAnsiTheme="minorHAnsi"/>
          <w:bCs/>
          <w:noProof/>
          <w:color w:val="000000"/>
          <w:highlight w:val="black"/>
        </w:rPr>
        <w:t>'''''</w:t>
      </w:r>
      <w:r w:rsidRPr="00CE135A">
        <w:rPr>
          <w:rFonts w:asciiTheme="minorHAnsi" w:hAnsiTheme="minorHAnsi"/>
          <w:bCs/>
        </w:rPr>
        <w:t>% from</w:t>
      </w:r>
      <w:r w:rsidRPr="004673D0">
        <w:rPr>
          <w:rFonts w:asciiTheme="minorHAnsi" w:hAnsiTheme="minorHAnsi"/>
          <w:bCs/>
        </w:rPr>
        <w:t xml:space="preserve"> monotherapy, </w:t>
      </w:r>
      <w:r w:rsidR="00F83616">
        <w:rPr>
          <w:rFonts w:asciiTheme="minorHAnsi" w:hAnsiTheme="minorHAnsi"/>
          <w:bCs/>
          <w:noProof/>
          <w:color w:val="000000"/>
          <w:highlight w:val="black"/>
        </w:rPr>
        <w:t>'''''</w:t>
      </w:r>
      <w:r w:rsidRPr="004673D0">
        <w:rPr>
          <w:rFonts w:asciiTheme="minorHAnsi" w:hAnsiTheme="minorHAnsi"/>
          <w:bCs/>
        </w:rPr>
        <w:t xml:space="preserve">% from add-on therapy), particularly as the submission included a substantial population assumed to be receiving off-label clonidine in the monotherapy setting, which favoured a higher weighted price. The PBAC noted that if clonidine in the monotherapy population was removed from the weighted price calculations, the </w:t>
      </w:r>
      <w:r w:rsidR="009C354C" w:rsidRPr="004673D0">
        <w:rPr>
          <w:rFonts w:asciiTheme="minorHAnsi" w:hAnsiTheme="minorHAnsi"/>
          <w:bCs/>
        </w:rPr>
        <w:t>dispensed price</w:t>
      </w:r>
      <w:r w:rsidRPr="004673D0">
        <w:rPr>
          <w:rFonts w:asciiTheme="minorHAnsi" w:hAnsiTheme="minorHAnsi"/>
          <w:bCs/>
        </w:rPr>
        <w:t xml:space="preserve"> of guanfacine would decrease from $</w:t>
      </w:r>
      <w:r w:rsidR="00F83616">
        <w:rPr>
          <w:rFonts w:asciiTheme="minorHAnsi" w:hAnsiTheme="minorHAnsi"/>
          <w:bCs/>
          <w:noProof/>
          <w:color w:val="000000"/>
          <w:highlight w:val="black"/>
        </w:rPr>
        <w:t>'''''''''''</w:t>
      </w:r>
      <w:r w:rsidRPr="004673D0">
        <w:rPr>
          <w:rFonts w:asciiTheme="minorHAnsi" w:hAnsiTheme="minorHAnsi"/>
          <w:bCs/>
        </w:rPr>
        <w:t xml:space="preserve"> to </w:t>
      </w:r>
      <w:r w:rsidR="009C354C" w:rsidRPr="004673D0">
        <w:rPr>
          <w:rFonts w:asciiTheme="minorHAnsi" w:hAnsiTheme="minorHAnsi"/>
          <w:bCs/>
        </w:rPr>
        <w:t>$</w:t>
      </w:r>
      <w:r w:rsidR="00F83616">
        <w:rPr>
          <w:rFonts w:asciiTheme="minorHAnsi" w:hAnsiTheme="minorHAnsi"/>
          <w:bCs/>
          <w:noProof/>
          <w:color w:val="000000"/>
          <w:highlight w:val="black"/>
        </w:rPr>
        <w:t>''''''''''''</w:t>
      </w:r>
      <w:r w:rsidR="00C83A38" w:rsidRPr="004673D0">
        <w:rPr>
          <w:rFonts w:asciiTheme="minorHAnsi" w:hAnsiTheme="minorHAnsi"/>
          <w:bCs/>
        </w:rPr>
        <w:t>.</w:t>
      </w:r>
      <w:r w:rsidR="009C354C" w:rsidRPr="004673D0">
        <w:rPr>
          <w:rFonts w:asciiTheme="minorHAnsi" w:hAnsiTheme="minorHAnsi"/>
          <w:bCs/>
        </w:rPr>
        <w:t xml:space="preserve"> </w:t>
      </w:r>
      <w:r w:rsidR="00C83A38" w:rsidRPr="004673D0">
        <w:rPr>
          <w:rFonts w:asciiTheme="minorHAnsi" w:hAnsiTheme="minorHAnsi"/>
          <w:bCs/>
        </w:rPr>
        <w:t>H</w:t>
      </w:r>
      <w:r w:rsidR="009C354C" w:rsidRPr="004673D0">
        <w:rPr>
          <w:rFonts w:asciiTheme="minorHAnsi" w:hAnsiTheme="minorHAnsi"/>
          <w:bCs/>
        </w:rPr>
        <w:t>owever</w:t>
      </w:r>
      <w:r w:rsidR="00C83A38" w:rsidRPr="004673D0">
        <w:rPr>
          <w:rFonts w:asciiTheme="minorHAnsi" w:hAnsiTheme="minorHAnsi"/>
          <w:bCs/>
        </w:rPr>
        <w:t>,</w:t>
      </w:r>
      <w:r w:rsidR="009C354C" w:rsidRPr="004673D0">
        <w:rPr>
          <w:rFonts w:asciiTheme="minorHAnsi" w:hAnsiTheme="minorHAnsi"/>
          <w:bCs/>
        </w:rPr>
        <w:t xml:space="preserve"> on balance</w:t>
      </w:r>
      <w:r w:rsidR="00C83A38" w:rsidRPr="004673D0">
        <w:rPr>
          <w:rFonts w:asciiTheme="minorHAnsi" w:hAnsiTheme="minorHAnsi"/>
          <w:bCs/>
        </w:rPr>
        <w:t>, it was considered</w:t>
      </w:r>
      <w:r w:rsidR="009C354C" w:rsidRPr="004673D0">
        <w:rPr>
          <w:rFonts w:asciiTheme="minorHAnsi" w:hAnsiTheme="minorHAnsi"/>
          <w:bCs/>
        </w:rPr>
        <w:t xml:space="preserve"> the weighting as requested by the sponsor was probably reasonable, as the submission had also taken more conservative estimates </w:t>
      </w:r>
      <w:r w:rsidR="00552601">
        <w:rPr>
          <w:rFonts w:asciiTheme="minorHAnsi" w:hAnsiTheme="minorHAnsi"/>
          <w:bCs/>
        </w:rPr>
        <w:t xml:space="preserve">of </w:t>
      </w:r>
      <w:r w:rsidR="009C354C" w:rsidRPr="004673D0">
        <w:rPr>
          <w:rFonts w:asciiTheme="minorHAnsi" w:hAnsiTheme="minorHAnsi"/>
          <w:bCs/>
        </w:rPr>
        <w:t>uptake in the add-on therapy setting (20%, up from 10% in the original submission) and larger increases in the stimulant therapy market than the monotherapy market.</w:t>
      </w:r>
      <w:r w:rsidR="00D85B0D">
        <w:rPr>
          <w:rFonts w:asciiTheme="minorHAnsi" w:hAnsiTheme="minorHAnsi"/>
          <w:bCs/>
        </w:rPr>
        <w:t xml:space="preserve"> The PBAC noted the price may alter further to reflect the final agreed price in the monotherapy population listing on the PBS for that indication.</w:t>
      </w:r>
    </w:p>
    <w:p w:rsidR="007547D1" w:rsidRPr="004673D0" w:rsidRDefault="009C354C" w:rsidP="007547D1">
      <w:pPr>
        <w:widowControl w:val="0"/>
        <w:numPr>
          <w:ilvl w:val="1"/>
          <w:numId w:val="5"/>
        </w:numPr>
        <w:spacing w:after="120"/>
        <w:jc w:val="both"/>
        <w:rPr>
          <w:rFonts w:asciiTheme="minorHAnsi" w:hAnsiTheme="minorHAnsi"/>
          <w:bCs/>
        </w:rPr>
      </w:pPr>
      <w:r w:rsidRPr="004673D0">
        <w:rPr>
          <w:rFonts w:asciiTheme="minorHAnsi" w:hAnsiTheme="minorHAnsi"/>
          <w:bCs/>
        </w:rPr>
        <w:t xml:space="preserve">The PBAC considered there was some uncertainty in the utilisation and financial estimates, in particular </w:t>
      </w:r>
      <w:r w:rsidR="00552601" w:rsidRPr="004673D0">
        <w:rPr>
          <w:rFonts w:asciiTheme="minorHAnsi" w:hAnsiTheme="minorHAnsi"/>
          <w:bCs/>
        </w:rPr>
        <w:t>concerning</w:t>
      </w:r>
      <w:r w:rsidRPr="004673D0">
        <w:rPr>
          <w:rFonts w:asciiTheme="minorHAnsi" w:hAnsiTheme="minorHAnsi"/>
          <w:bCs/>
        </w:rPr>
        <w:t xml:space="preserve"> the off-label use of clonidine in ADHD and </w:t>
      </w:r>
      <w:r w:rsidR="00282E75" w:rsidRPr="004673D0">
        <w:rPr>
          <w:rFonts w:asciiTheme="minorHAnsi" w:hAnsiTheme="minorHAnsi"/>
          <w:bCs/>
        </w:rPr>
        <w:t>of the extent of</w:t>
      </w:r>
      <w:r w:rsidRPr="004673D0">
        <w:rPr>
          <w:rFonts w:asciiTheme="minorHAnsi" w:hAnsiTheme="minorHAnsi"/>
          <w:bCs/>
        </w:rPr>
        <w:t xml:space="preserve"> potential substitution</w:t>
      </w:r>
      <w:r w:rsidR="00552601">
        <w:rPr>
          <w:rFonts w:asciiTheme="minorHAnsi" w:hAnsiTheme="minorHAnsi"/>
          <w:bCs/>
        </w:rPr>
        <w:t xml:space="preserve">. The PBAC </w:t>
      </w:r>
      <w:r w:rsidRPr="004673D0">
        <w:rPr>
          <w:rFonts w:asciiTheme="minorHAnsi" w:hAnsiTheme="minorHAnsi"/>
          <w:bCs/>
        </w:rPr>
        <w:t>agreed a risk share arrangement</w:t>
      </w:r>
      <w:r w:rsidR="00300D64" w:rsidRPr="004673D0">
        <w:rPr>
          <w:rFonts w:asciiTheme="minorHAnsi" w:hAnsiTheme="minorHAnsi"/>
          <w:bCs/>
        </w:rPr>
        <w:t xml:space="preserve"> (RSA)</w:t>
      </w:r>
      <w:r w:rsidRPr="004673D0">
        <w:rPr>
          <w:rFonts w:asciiTheme="minorHAnsi" w:hAnsiTheme="minorHAnsi"/>
          <w:bCs/>
        </w:rPr>
        <w:t xml:space="preserve"> with a hard cap on PBS expenditure based on the submission estimates would be a reasonable method to mitigate the risk of higher than expected use of guanfacine.</w:t>
      </w:r>
    </w:p>
    <w:p w:rsidR="007547D1" w:rsidRPr="004673D0" w:rsidRDefault="007547D1" w:rsidP="007547D1">
      <w:pPr>
        <w:widowControl w:val="0"/>
        <w:numPr>
          <w:ilvl w:val="1"/>
          <w:numId w:val="5"/>
        </w:numPr>
        <w:spacing w:after="120"/>
        <w:jc w:val="both"/>
        <w:rPr>
          <w:rFonts w:asciiTheme="minorHAnsi" w:hAnsiTheme="minorHAnsi"/>
          <w:bCs/>
        </w:rPr>
      </w:pPr>
      <w:r w:rsidRPr="004673D0">
        <w:rPr>
          <w:rFonts w:asciiTheme="minorHAnsi" w:hAnsiTheme="minorHAnsi"/>
          <w:bCs/>
        </w:rPr>
        <w:t xml:space="preserve">The PBAC advised that </w:t>
      </w:r>
      <w:r w:rsidR="009C354C" w:rsidRPr="004673D0">
        <w:rPr>
          <w:rFonts w:asciiTheme="minorHAnsi" w:hAnsiTheme="minorHAnsi"/>
          <w:bCs/>
        </w:rPr>
        <w:t>guanfacine</w:t>
      </w:r>
      <w:r w:rsidRPr="004673D0">
        <w:rPr>
          <w:rFonts w:asciiTheme="minorHAnsi" w:hAnsiTheme="minorHAnsi"/>
          <w:bCs/>
        </w:rPr>
        <w:t xml:space="preserve"> is not suitable for prescribing by nurse practitioners</w:t>
      </w:r>
      <w:r w:rsidR="009C354C" w:rsidRPr="004673D0">
        <w:rPr>
          <w:rFonts w:asciiTheme="minorHAnsi" w:hAnsiTheme="minorHAnsi"/>
          <w:bCs/>
        </w:rPr>
        <w:t>, similar to other drugs used in the treatment of ADHD</w:t>
      </w:r>
      <w:r w:rsidRPr="004673D0">
        <w:rPr>
          <w:rFonts w:asciiTheme="minorHAnsi" w:hAnsiTheme="minorHAnsi"/>
          <w:bCs/>
        </w:rPr>
        <w:t xml:space="preserve">.  </w:t>
      </w:r>
    </w:p>
    <w:p w:rsidR="005632F7" w:rsidRPr="004673D0" w:rsidRDefault="005632F7" w:rsidP="007547D1">
      <w:pPr>
        <w:widowControl w:val="0"/>
        <w:numPr>
          <w:ilvl w:val="1"/>
          <w:numId w:val="5"/>
        </w:numPr>
        <w:spacing w:after="120"/>
        <w:jc w:val="both"/>
        <w:rPr>
          <w:rFonts w:asciiTheme="minorHAnsi" w:hAnsiTheme="minorHAnsi"/>
          <w:bCs/>
        </w:rPr>
      </w:pPr>
      <w:r w:rsidRPr="004673D0">
        <w:rPr>
          <w:rFonts w:asciiTheme="minorHAnsi" w:hAnsiTheme="minorHAnsi"/>
          <w:bCs/>
        </w:rPr>
        <w:t xml:space="preserve">The PBAC recalled it had previously advised that guanfacine should not be treated as </w:t>
      </w:r>
      <w:r w:rsidRPr="004673D0">
        <w:rPr>
          <w:rFonts w:asciiTheme="minorHAnsi" w:hAnsiTheme="minorHAnsi"/>
          <w:bCs/>
        </w:rPr>
        <w:lastRenderedPageBreak/>
        <w:t xml:space="preserve">interchangeable with any other drugs and </w:t>
      </w:r>
      <w:r w:rsidR="00552601">
        <w:rPr>
          <w:rFonts w:asciiTheme="minorHAnsi" w:hAnsiTheme="minorHAnsi"/>
          <w:bCs/>
        </w:rPr>
        <w:t xml:space="preserve">reaffirmed </w:t>
      </w:r>
      <w:r w:rsidRPr="004673D0">
        <w:rPr>
          <w:rFonts w:asciiTheme="minorHAnsi" w:hAnsiTheme="minorHAnsi"/>
          <w:bCs/>
        </w:rPr>
        <w:t>its previous advice.</w:t>
      </w:r>
    </w:p>
    <w:p w:rsidR="007547D1" w:rsidRPr="004673D0" w:rsidRDefault="007547D1" w:rsidP="007547D1">
      <w:pPr>
        <w:widowControl w:val="0"/>
        <w:numPr>
          <w:ilvl w:val="1"/>
          <w:numId w:val="5"/>
        </w:numPr>
        <w:spacing w:after="120"/>
        <w:jc w:val="both"/>
        <w:rPr>
          <w:rFonts w:asciiTheme="minorHAnsi" w:hAnsiTheme="minorHAnsi"/>
          <w:bCs/>
        </w:rPr>
      </w:pPr>
      <w:r w:rsidRPr="004673D0">
        <w:rPr>
          <w:rFonts w:asciiTheme="minorHAnsi" w:hAnsiTheme="minorHAnsi"/>
          <w:bCs/>
        </w:rPr>
        <w:t xml:space="preserve">The PBAC recommended that the Early Supply Rule should apply. </w:t>
      </w:r>
    </w:p>
    <w:p w:rsidR="005632F7" w:rsidRPr="004673D0" w:rsidRDefault="005632F7" w:rsidP="007547D1">
      <w:pPr>
        <w:widowControl w:val="0"/>
        <w:numPr>
          <w:ilvl w:val="1"/>
          <w:numId w:val="5"/>
        </w:numPr>
        <w:spacing w:after="120"/>
        <w:jc w:val="both"/>
        <w:rPr>
          <w:rFonts w:asciiTheme="minorHAnsi" w:hAnsiTheme="minorHAnsi"/>
          <w:bCs/>
        </w:rPr>
      </w:pPr>
      <w:r w:rsidRPr="004673D0">
        <w:rPr>
          <w:rFonts w:asciiTheme="minorHAnsi" w:hAnsiTheme="minorHAnsi"/>
          <w:bCs/>
        </w:rPr>
        <w:t xml:space="preserve">The PBAC advised the Department of Health to correspond with </w:t>
      </w:r>
      <w:r w:rsidR="00C83A38" w:rsidRPr="004673D0">
        <w:rPr>
          <w:rFonts w:asciiTheme="minorHAnsi" w:hAnsiTheme="minorHAnsi"/>
          <w:bCs/>
        </w:rPr>
        <w:t>S</w:t>
      </w:r>
      <w:r w:rsidRPr="004673D0">
        <w:rPr>
          <w:rFonts w:asciiTheme="minorHAnsi" w:hAnsiTheme="minorHAnsi"/>
          <w:bCs/>
        </w:rPr>
        <w:t xml:space="preserve">tate and </w:t>
      </w:r>
      <w:r w:rsidR="00C83A38" w:rsidRPr="004673D0">
        <w:rPr>
          <w:rFonts w:asciiTheme="minorHAnsi" w:hAnsiTheme="minorHAnsi"/>
          <w:bCs/>
        </w:rPr>
        <w:t>T</w:t>
      </w:r>
      <w:r w:rsidRPr="004673D0">
        <w:rPr>
          <w:rFonts w:asciiTheme="minorHAnsi" w:hAnsiTheme="minorHAnsi"/>
          <w:bCs/>
        </w:rPr>
        <w:t>erritory health departments advising of the recommendation of guanfacine as add-on therapy, as individual states and territories have different controls and prescribing requirements regarding stimulants for ADHD.</w:t>
      </w:r>
    </w:p>
    <w:p w:rsidR="009C354C" w:rsidRPr="004673D0" w:rsidRDefault="007547D1" w:rsidP="009C354C">
      <w:pPr>
        <w:widowControl w:val="0"/>
        <w:numPr>
          <w:ilvl w:val="1"/>
          <w:numId w:val="5"/>
        </w:numPr>
        <w:spacing w:after="120"/>
        <w:jc w:val="both"/>
        <w:rPr>
          <w:rFonts w:asciiTheme="minorHAnsi" w:hAnsiTheme="minorHAnsi"/>
          <w:b/>
          <w:bCs/>
        </w:rPr>
      </w:pPr>
      <w:r w:rsidRPr="004673D0">
        <w:rPr>
          <w:rFonts w:asciiTheme="minorHAnsi" w:hAnsiTheme="minorHAnsi"/>
          <w:bCs/>
        </w:rPr>
        <w:t>The PBA</w:t>
      </w:r>
      <w:r w:rsidR="009C354C" w:rsidRPr="004673D0">
        <w:rPr>
          <w:rFonts w:asciiTheme="minorHAnsi" w:hAnsiTheme="minorHAnsi"/>
          <w:bCs/>
        </w:rPr>
        <w:t xml:space="preserve">C noted that this submission </w:t>
      </w:r>
      <w:r w:rsidRPr="004673D0">
        <w:rPr>
          <w:rFonts w:asciiTheme="minorHAnsi" w:hAnsiTheme="minorHAnsi"/>
          <w:bCs/>
        </w:rPr>
        <w:t>is not eligible for an Independent Review</w:t>
      </w:r>
      <w:r w:rsidR="009C354C" w:rsidRPr="004673D0">
        <w:rPr>
          <w:rFonts w:asciiTheme="minorHAnsi" w:hAnsiTheme="minorHAnsi"/>
          <w:bCs/>
        </w:rPr>
        <w:t xml:space="preserve"> as it received a positive recommendation</w:t>
      </w:r>
      <w:r w:rsidRPr="004673D0">
        <w:rPr>
          <w:rFonts w:asciiTheme="minorHAnsi" w:hAnsiTheme="minorHAnsi"/>
          <w:bCs/>
        </w:rPr>
        <w:t xml:space="preserve">. </w:t>
      </w:r>
    </w:p>
    <w:p w:rsidR="00BB13B9" w:rsidRDefault="00BB13B9" w:rsidP="00856AC0"/>
    <w:p w:rsidR="007547D1" w:rsidRPr="004673D0" w:rsidRDefault="007547D1" w:rsidP="009C354C">
      <w:pPr>
        <w:widowControl w:val="0"/>
        <w:spacing w:after="120"/>
        <w:jc w:val="both"/>
        <w:outlineLvl w:val="1"/>
        <w:rPr>
          <w:rFonts w:asciiTheme="minorHAnsi" w:hAnsiTheme="minorHAnsi"/>
          <w:b/>
          <w:bCs/>
        </w:rPr>
      </w:pPr>
      <w:r w:rsidRPr="004673D0">
        <w:rPr>
          <w:rFonts w:asciiTheme="minorHAnsi" w:hAnsiTheme="minorHAnsi"/>
          <w:b/>
          <w:bCs/>
        </w:rPr>
        <w:t>Outcome:</w:t>
      </w:r>
      <w:r w:rsidR="009C354C" w:rsidRPr="004673D0">
        <w:rPr>
          <w:rFonts w:asciiTheme="minorHAnsi" w:hAnsiTheme="minorHAnsi"/>
          <w:b/>
          <w:bCs/>
        </w:rPr>
        <w:br/>
      </w:r>
      <w:r w:rsidRPr="004673D0">
        <w:rPr>
          <w:rFonts w:asciiTheme="minorHAnsi" w:hAnsiTheme="minorHAnsi"/>
          <w:bCs/>
        </w:rPr>
        <w:t>Recommended</w:t>
      </w:r>
    </w:p>
    <w:p w:rsidR="007547D1" w:rsidRPr="00856AC0" w:rsidRDefault="007547D1" w:rsidP="00856AC0">
      <w:pPr>
        <w:widowControl w:val="0"/>
        <w:numPr>
          <w:ilvl w:val="0"/>
          <w:numId w:val="5"/>
        </w:numPr>
        <w:spacing w:before="240" w:after="120"/>
        <w:jc w:val="both"/>
        <w:outlineLvl w:val="0"/>
        <w:rPr>
          <w:rFonts w:asciiTheme="minorHAnsi" w:hAnsiTheme="minorHAnsi"/>
          <w:b/>
          <w:bCs/>
          <w:sz w:val="32"/>
        </w:rPr>
      </w:pPr>
      <w:r w:rsidRPr="004673D0">
        <w:rPr>
          <w:rFonts w:asciiTheme="minorHAnsi" w:hAnsiTheme="minorHAnsi"/>
          <w:b/>
          <w:bCs/>
          <w:sz w:val="32"/>
        </w:rPr>
        <w:t>Recommended listing</w:t>
      </w:r>
    </w:p>
    <w:p w:rsidR="007547D1" w:rsidRPr="004673D0" w:rsidRDefault="007547D1" w:rsidP="005632F7">
      <w:pPr>
        <w:widowControl w:val="0"/>
        <w:numPr>
          <w:ilvl w:val="1"/>
          <w:numId w:val="5"/>
        </w:numPr>
        <w:spacing w:after="120"/>
        <w:jc w:val="both"/>
        <w:rPr>
          <w:rFonts w:asciiTheme="minorHAnsi" w:hAnsiTheme="minorHAnsi"/>
          <w:b/>
          <w:bCs/>
        </w:rPr>
      </w:pPr>
      <w:r w:rsidRPr="004673D0">
        <w:rPr>
          <w:rFonts w:asciiTheme="minorHAnsi" w:hAnsiTheme="minorHAnsi"/>
          <w:bCs/>
        </w:rPr>
        <w:t>Add new item:</w:t>
      </w:r>
    </w:p>
    <w:tbl>
      <w:tblPr>
        <w:tblW w:w="4912" w:type="pct"/>
        <w:tblLook w:val="0000" w:firstRow="0" w:lastRow="0" w:firstColumn="0" w:lastColumn="0" w:noHBand="0" w:noVBand="0"/>
      </w:tblPr>
      <w:tblGrid>
        <w:gridCol w:w="1978"/>
        <w:gridCol w:w="1093"/>
        <w:gridCol w:w="581"/>
        <w:gridCol w:w="710"/>
        <w:gridCol w:w="984"/>
        <w:gridCol w:w="3733"/>
      </w:tblGrid>
      <w:tr w:rsidR="00232FB0" w:rsidRPr="004673D0" w:rsidTr="00BB13B9">
        <w:trPr>
          <w:cantSplit/>
          <w:trHeight w:val="465"/>
        </w:trPr>
        <w:tc>
          <w:tcPr>
            <w:tcW w:w="1691" w:type="pct"/>
            <w:gridSpan w:val="2"/>
            <w:tcBorders>
              <w:bottom w:val="single" w:sz="4" w:space="0" w:color="auto"/>
            </w:tcBorders>
          </w:tcPr>
          <w:p w:rsidR="00232FB0" w:rsidRPr="004673D0" w:rsidRDefault="00232FB0" w:rsidP="00232FB0">
            <w:pPr>
              <w:keepNext/>
              <w:spacing w:before="40" w:after="40"/>
              <w:rPr>
                <w:rFonts w:ascii="Arial Narrow" w:hAnsi="Arial Narrow" w:cs="Arial"/>
                <w:b/>
                <w:sz w:val="20"/>
                <w:szCs w:val="20"/>
              </w:rPr>
            </w:pPr>
            <w:r w:rsidRPr="004673D0">
              <w:rPr>
                <w:rFonts w:ascii="Arial Narrow" w:hAnsi="Arial Narrow" w:cs="Arial"/>
                <w:b/>
                <w:sz w:val="20"/>
                <w:szCs w:val="20"/>
              </w:rPr>
              <w:t>Name, Restriction,</w:t>
            </w:r>
          </w:p>
          <w:p w:rsidR="00232FB0" w:rsidRPr="004673D0" w:rsidRDefault="00232FB0" w:rsidP="00232FB0">
            <w:pPr>
              <w:keepNext/>
              <w:spacing w:before="40" w:after="40"/>
              <w:jc w:val="both"/>
              <w:rPr>
                <w:rFonts w:ascii="Arial Narrow" w:hAnsi="Arial Narrow" w:cs="Arial"/>
                <w:b/>
                <w:sz w:val="20"/>
                <w:szCs w:val="20"/>
              </w:rPr>
            </w:pPr>
            <w:r w:rsidRPr="004673D0">
              <w:rPr>
                <w:rFonts w:ascii="Arial Narrow" w:hAnsi="Arial Narrow" w:cs="Arial"/>
                <w:b/>
                <w:sz w:val="20"/>
                <w:szCs w:val="20"/>
              </w:rPr>
              <w:t>Manner of administration and form</w:t>
            </w:r>
          </w:p>
        </w:tc>
        <w:tc>
          <w:tcPr>
            <w:tcW w:w="320" w:type="pct"/>
            <w:tcBorders>
              <w:bottom w:val="single" w:sz="4" w:space="0" w:color="auto"/>
            </w:tcBorders>
          </w:tcPr>
          <w:p w:rsidR="00232FB0" w:rsidRPr="004673D0" w:rsidRDefault="00232FB0" w:rsidP="00232FB0">
            <w:pPr>
              <w:keepNext/>
              <w:spacing w:before="40" w:after="40"/>
              <w:jc w:val="both"/>
              <w:rPr>
                <w:rFonts w:ascii="Arial Narrow" w:hAnsi="Arial Narrow" w:cs="Arial"/>
                <w:b/>
                <w:sz w:val="20"/>
                <w:szCs w:val="20"/>
              </w:rPr>
            </w:pPr>
            <w:r w:rsidRPr="004673D0">
              <w:rPr>
                <w:rFonts w:ascii="Arial Narrow" w:hAnsi="Arial Narrow" w:cs="Arial"/>
                <w:b/>
                <w:sz w:val="20"/>
                <w:szCs w:val="20"/>
              </w:rPr>
              <w:t>Max.</w:t>
            </w:r>
          </w:p>
          <w:p w:rsidR="00232FB0" w:rsidRPr="004673D0" w:rsidRDefault="00232FB0" w:rsidP="00232FB0">
            <w:pPr>
              <w:keepNext/>
              <w:spacing w:before="40" w:after="40"/>
              <w:jc w:val="both"/>
              <w:rPr>
                <w:rFonts w:ascii="Arial Narrow" w:hAnsi="Arial Narrow" w:cs="Arial"/>
                <w:b/>
                <w:sz w:val="20"/>
                <w:szCs w:val="20"/>
              </w:rPr>
            </w:pPr>
            <w:r w:rsidRPr="004673D0">
              <w:rPr>
                <w:rFonts w:ascii="Arial Narrow" w:hAnsi="Arial Narrow" w:cs="Arial"/>
                <w:b/>
                <w:sz w:val="20"/>
                <w:szCs w:val="20"/>
              </w:rPr>
              <w:t>Qty</w:t>
            </w:r>
          </w:p>
        </w:tc>
        <w:tc>
          <w:tcPr>
            <w:tcW w:w="391" w:type="pct"/>
            <w:tcBorders>
              <w:bottom w:val="single" w:sz="4" w:space="0" w:color="auto"/>
            </w:tcBorders>
          </w:tcPr>
          <w:p w:rsidR="00232FB0" w:rsidRPr="004673D0" w:rsidRDefault="00232FB0" w:rsidP="00232FB0">
            <w:pPr>
              <w:keepNext/>
              <w:spacing w:before="40" w:after="40"/>
              <w:jc w:val="both"/>
              <w:rPr>
                <w:rFonts w:ascii="Arial Narrow" w:hAnsi="Arial Narrow" w:cs="Arial"/>
                <w:b/>
                <w:sz w:val="20"/>
                <w:szCs w:val="20"/>
              </w:rPr>
            </w:pPr>
            <w:r w:rsidRPr="004673D0">
              <w:rPr>
                <w:rFonts w:ascii="Arial Narrow" w:hAnsi="Arial Narrow" w:cs="Arial"/>
                <w:b/>
                <w:sz w:val="20"/>
                <w:szCs w:val="20"/>
              </w:rPr>
              <w:t>№.of</w:t>
            </w:r>
          </w:p>
          <w:p w:rsidR="00232FB0" w:rsidRPr="004673D0" w:rsidRDefault="00232FB0" w:rsidP="00232FB0">
            <w:pPr>
              <w:keepNext/>
              <w:spacing w:before="40" w:after="40"/>
              <w:jc w:val="both"/>
              <w:rPr>
                <w:rFonts w:ascii="Arial Narrow" w:hAnsi="Arial Narrow" w:cs="Arial"/>
                <w:b/>
                <w:sz w:val="20"/>
                <w:szCs w:val="20"/>
              </w:rPr>
            </w:pPr>
            <w:r w:rsidRPr="004673D0">
              <w:rPr>
                <w:rFonts w:ascii="Arial Narrow" w:hAnsi="Arial Narrow" w:cs="Arial"/>
                <w:b/>
                <w:sz w:val="20"/>
                <w:szCs w:val="20"/>
              </w:rPr>
              <w:t>Rpts</w:t>
            </w:r>
          </w:p>
        </w:tc>
        <w:tc>
          <w:tcPr>
            <w:tcW w:w="2598" w:type="pct"/>
            <w:gridSpan w:val="2"/>
            <w:tcBorders>
              <w:bottom w:val="single" w:sz="4" w:space="0" w:color="auto"/>
            </w:tcBorders>
          </w:tcPr>
          <w:p w:rsidR="00232FB0" w:rsidRPr="004673D0" w:rsidRDefault="00232FB0" w:rsidP="00232FB0">
            <w:pPr>
              <w:keepNext/>
              <w:spacing w:before="40" w:after="40"/>
              <w:rPr>
                <w:rFonts w:ascii="Arial Narrow" w:hAnsi="Arial Narrow" w:cs="Arial"/>
                <w:b/>
                <w:sz w:val="20"/>
                <w:szCs w:val="20"/>
              </w:rPr>
            </w:pPr>
            <w:r w:rsidRPr="004673D0">
              <w:rPr>
                <w:rFonts w:ascii="Arial Narrow" w:hAnsi="Arial Narrow" w:cs="Arial"/>
                <w:b/>
                <w:sz w:val="20"/>
                <w:szCs w:val="20"/>
              </w:rPr>
              <w:t>Proprietary Name and Manufacturer</w:t>
            </w:r>
          </w:p>
        </w:tc>
      </w:tr>
      <w:tr w:rsidR="00232FB0" w:rsidRPr="004673D0" w:rsidTr="00BB13B9">
        <w:trPr>
          <w:cantSplit/>
          <w:trHeight w:val="567"/>
        </w:trPr>
        <w:tc>
          <w:tcPr>
            <w:tcW w:w="1691" w:type="pct"/>
            <w:gridSpan w:val="2"/>
            <w:tcBorders>
              <w:top w:val="single" w:sz="4" w:space="0" w:color="auto"/>
            </w:tcBorders>
          </w:tcPr>
          <w:p w:rsidR="00232FB0" w:rsidRPr="004673D0" w:rsidRDefault="00232FB0" w:rsidP="00232FB0">
            <w:pPr>
              <w:keepNext/>
              <w:spacing w:before="40" w:after="40"/>
              <w:jc w:val="both"/>
              <w:rPr>
                <w:rFonts w:ascii="Arial Narrow" w:hAnsi="Arial Narrow" w:cs="Arial"/>
                <w:sz w:val="20"/>
                <w:szCs w:val="20"/>
              </w:rPr>
            </w:pPr>
            <w:r w:rsidRPr="004673D0">
              <w:rPr>
                <w:rFonts w:ascii="Arial Narrow" w:hAnsi="Arial Narrow" w:cs="Arial"/>
                <w:smallCaps/>
                <w:sz w:val="20"/>
                <w:szCs w:val="20"/>
              </w:rPr>
              <w:t>Guanfacine Hydrochloride</w:t>
            </w:r>
          </w:p>
          <w:p w:rsidR="00232FB0" w:rsidRPr="004673D0" w:rsidRDefault="00232FB0" w:rsidP="00232FB0">
            <w:pPr>
              <w:keepNext/>
              <w:spacing w:before="40" w:after="40"/>
              <w:rPr>
                <w:rFonts w:ascii="Arial Narrow" w:hAnsi="Arial Narrow" w:cs="Arial"/>
                <w:sz w:val="20"/>
                <w:szCs w:val="20"/>
              </w:rPr>
            </w:pPr>
            <w:r w:rsidRPr="004673D0">
              <w:rPr>
                <w:rFonts w:ascii="Arial Narrow" w:hAnsi="Arial Narrow" w:cs="Arial"/>
                <w:sz w:val="20"/>
                <w:szCs w:val="20"/>
              </w:rPr>
              <w:t>Modified release tablet, 1 mg, 28</w:t>
            </w:r>
          </w:p>
          <w:p w:rsidR="00232FB0" w:rsidRPr="004673D0" w:rsidRDefault="00232FB0" w:rsidP="00232FB0">
            <w:pPr>
              <w:keepNext/>
              <w:spacing w:before="40" w:after="40"/>
              <w:rPr>
                <w:rFonts w:ascii="Arial Narrow" w:hAnsi="Arial Narrow" w:cs="Arial"/>
                <w:sz w:val="20"/>
                <w:szCs w:val="20"/>
              </w:rPr>
            </w:pPr>
            <w:r w:rsidRPr="004673D0">
              <w:rPr>
                <w:rFonts w:ascii="Arial Narrow" w:hAnsi="Arial Narrow" w:cs="Arial"/>
                <w:sz w:val="20"/>
                <w:szCs w:val="20"/>
              </w:rPr>
              <w:t>Modified release tablet, 2 mg, 28</w:t>
            </w:r>
          </w:p>
          <w:p w:rsidR="00232FB0" w:rsidRPr="004673D0" w:rsidRDefault="00232FB0" w:rsidP="00232FB0">
            <w:pPr>
              <w:keepNext/>
              <w:spacing w:before="40" w:after="40"/>
              <w:rPr>
                <w:rFonts w:ascii="Arial Narrow" w:hAnsi="Arial Narrow" w:cs="Arial"/>
                <w:sz w:val="20"/>
                <w:szCs w:val="20"/>
              </w:rPr>
            </w:pPr>
            <w:r w:rsidRPr="004673D0">
              <w:rPr>
                <w:rFonts w:ascii="Arial Narrow" w:hAnsi="Arial Narrow" w:cs="Arial"/>
                <w:sz w:val="20"/>
                <w:szCs w:val="20"/>
              </w:rPr>
              <w:t>Modified release tablet, 3 mg, 28</w:t>
            </w:r>
          </w:p>
          <w:p w:rsidR="00232FB0" w:rsidRDefault="00232FB0" w:rsidP="00232FB0">
            <w:pPr>
              <w:keepNext/>
              <w:spacing w:before="40" w:after="40"/>
              <w:rPr>
                <w:rFonts w:ascii="Arial Narrow" w:hAnsi="Arial Narrow" w:cs="Arial"/>
                <w:sz w:val="20"/>
                <w:szCs w:val="20"/>
              </w:rPr>
            </w:pPr>
            <w:r w:rsidRPr="004673D0">
              <w:rPr>
                <w:rFonts w:ascii="Arial Narrow" w:hAnsi="Arial Narrow" w:cs="Arial"/>
                <w:sz w:val="20"/>
                <w:szCs w:val="20"/>
              </w:rPr>
              <w:t>Modified release tablet, 4 mg, 28</w:t>
            </w:r>
          </w:p>
          <w:p w:rsidR="00BB13B9" w:rsidRPr="004673D0" w:rsidRDefault="00BB13B9" w:rsidP="00232FB0">
            <w:pPr>
              <w:keepNext/>
              <w:spacing w:before="40" w:after="40"/>
              <w:rPr>
                <w:rFonts w:ascii="Arial Narrow" w:hAnsi="Arial Narrow" w:cs="Arial"/>
                <w:sz w:val="20"/>
                <w:szCs w:val="20"/>
              </w:rPr>
            </w:pPr>
          </w:p>
        </w:tc>
        <w:tc>
          <w:tcPr>
            <w:tcW w:w="320" w:type="pct"/>
            <w:tcBorders>
              <w:top w:val="single" w:sz="4" w:space="0" w:color="auto"/>
            </w:tcBorders>
          </w:tcPr>
          <w:p w:rsidR="00232FB0" w:rsidRPr="004673D0" w:rsidRDefault="00232FB0" w:rsidP="00232FB0">
            <w:pPr>
              <w:keepNext/>
              <w:spacing w:before="40" w:after="40"/>
              <w:jc w:val="both"/>
              <w:rPr>
                <w:rFonts w:ascii="Arial Narrow" w:hAnsi="Arial Narrow" w:cs="Arial"/>
                <w:sz w:val="20"/>
                <w:szCs w:val="20"/>
              </w:rPr>
            </w:pPr>
          </w:p>
          <w:p w:rsidR="00232FB0" w:rsidRPr="004673D0" w:rsidRDefault="00232FB0" w:rsidP="00232FB0">
            <w:pPr>
              <w:keepNext/>
              <w:spacing w:before="40" w:after="40"/>
              <w:jc w:val="both"/>
              <w:rPr>
                <w:rFonts w:ascii="Arial Narrow" w:hAnsi="Arial Narrow" w:cs="Arial"/>
                <w:sz w:val="20"/>
                <w:szCs w:val="20"/>
              </w:rPr>
            </w:pPr>
            <w:r w:rsidRPr="004673D0">
              <w:rPr>
                <w:rFonts w:ascii="Arial Narrow" w:hAnsi="Arial Narrow" w:cs="Arial"/>
                <w:sz w:val="20"/>
                <w:szCs w:val="20"/>
              </w:rPr>
              <w:t>1</w:t>
            </w:r>
          </w:p>
          <w:p w:rsidR="00232FB0" w:rsidRPr="004673D0" w:rsidRDefault="00232FB0" w:rsidP="00232FB0">
            <w:pPr>
              <w:keepNext/>
              <w:spacing w:before="40" w:after="40"/>
              <w:jc w:val="both"/>
              <w:rPr>
                <w:rFonts w:ascii="Arial Narrow" w:hAnsi="Arial Narrow" w:cs="Arial"/>
                <w:sz w:val="20"/>
                <w:szCs w:val="20"/>
              </w:rPr>
            </w:pPr>
            <w:r w:rsidRPr="004673D0">
              <w:rPr>
                <w:rFonts w:ascii="Arial Narrow" w:hAnsi="Arial Narrow" w:cs="Arial"/>
                <w:sz w:val="20"/>
                <w:szCs w:val="20"/>
              </w:rPr>
              <w:t>1</w:t>
            </w:r>
          </w:p>
          <w:p w:rsidR="00232FB0" w:rsidRPr="004673D0" w:rsidRDefault="00232FB0" w:rsidP="00232FB0">
            <w:pPr>
              <w:keepNext/>
              <w:spacing w:before="40" w:after="40"/>
              <w:jc w:val="both"/>
              <w:rPr>
                <w:rFonts w:ascii="Arial Narrow" w:hAnsi="Arial Narrow" w:cs="Arial"/>
                <w:sz w:val="20"/>
                <w:szCs w:val="20"/>
              </w:rPr>
            </w:pPr>
            <w:r w:rsidRPr="004673D0">
              <w:rPr>
                <w:rFonts w:ascii="Arial Narrow" w:hAnsi="Arial Narrow" w:cs="Arial"/>
                <w:sz w:val="20"/>
                <w:szCs w:val="20"/>
              </w:rPr>
              <w:t>1</w:t>
            </w:r>
          </w:p>
          <w:p w:rsidR="00232FB0" w:rsidRPr="004673D0" w:rsidRDefault="00232FB0" w:rsidP="00232FB0">
            <w:pPr>
              <w:keepNext/>
              <w:spacing w:before="40" w:after="40"/>
              <w:jc w:val="both"/>
              <w:rPr>
                <w:rFonts w:ascii="Arial Narrow" w:hAnsi="Arial Narrow" w:cs="Arial"/>
                <w:sz w:val="20"/>
                <w:szCs w:val="20"/>
              </w:rPr>
            </w:pPr>
            <w:r w:rsidRPr="004673D0">
              <w:rPr>
                <w:rFonts w:ascii="Arial Narrow" w:hAnsi="Arial Narrow" w:cs="Arial"/>
                <w:sz w:val="20"/>
                <w:szCs w:val="20"/>
              </w:rPr>
              <w:t>1</w:t>
            </w:r>
          </w:p>
        </w:tc>
        <w:tc>
          <w:tcPr>
            <w:tcW w:w="391" w:type="pct"/>
            <w:tcBorders>
              <w:top w:val="single" w:sz="4" w:space="0" w:color="auto"/>
            </w:tcBorders>
          </w:tcPr>
          <w:p w:rsidR="00232FB0" w:rsidRPr="004673D0" w:rsidRDefault="00232FB0" w:rsidP="00232FB0">
            <w:pPr>
              <w:keepNext/>
              <w:spacing w:before="40" w:after="40"/>
              <w:jc w:val="both"/>
              <w:rPr>
                <w:rFonts w:ascii="Arial Narrow" w:hAnsi="Arial Narrow" w:cs="Arial"/>
                <w:sz w:val="20"/>
                <w:szCs w:val="20"/>
              </w:rPr>
            </w:pPr>
          </w:p>
          <w:p w:rsidR="00232FB0" w:rsidRPr="004673D0" w:rsidRDefault="00232FB0" w:rsidP="00232FB0">
            <w:pPr>
              <w:keepNext/>
              <w:spacing w:before="40" w:after="40"/>
              <w:jc w:val="both"/>
              <w:rPr>
                <w:rFonts w:ascii="Arial Narrow" w:hAnsi="Arial Narrow" w:cs="Arial"/>
                <w:sz w:val="20"/>
                <w:szCs w:val="20"/>
              </w:rPr>
            </w:pPr>
            <w:r w:rsidRPr="004673D0">
              <w:rPr>
                <w:rFonts w:ascii="Arial Narrow" w:hAnsi="Arial Narrow" w:cs="Arial"/>
                <w:sz w:val="20"/>
                <w:szCs w:val="20"/>
              </w:rPr>
              <w:t>5</w:t>
            </w:r>
          </w:p>
          <w:p w:rsidR="00232FB0" w:rsidRPr="004673D0" w:rsidRDefault="00232FB0" w:rsidP="00232FB0">
            <w:pPr>
              <w:keepNext/>
              <w:spacing w:before="40" w:after="40"/>
              <w:jc w:val="both"/>
              <w:rPr>
                <w:rFonts w:ascii="Arial Narrow" w:hAnsi="Arial Narrow" w:cs="Arial"/>
                <w:sz w:val="20"/>
                <w:szCs w:val="20"/>
              </w:rPr>
            </w:pPr>
            <w:r w:rsidRPr="004673D0">
              <w:rPr>
                <w:rFonts w:ascii="Arial Narrow" w:hAnsi="Arial Narrow" w:cs="Arial"/>
                <w:sz w:val="20"/>
                <w:szCs w:val="20"/>
              </w:rPr>
              <w:t>5</w:t>
            </w:r>
          </w:p>
          <w:p w:rsidR="00232FB0" w:rsidRPr="004673D0" w:rsidRDefault="00232FB0" w:rsidP="00232FB0">
            <w:pPr>
              <w:keepNext/>
              <w:spacing w:before="40" w:after="40"/>
              <w:jc w:val="both"/>
              <w:rPr>
                <w:rFonts w:ascii="Arial Narrow" w:hAnsi="Arial Narrow" w:cs="Arial"/>
                <w:sz w:val="20"/>
                <w:szCs w:val="20"/>
              </w:rPr>
            </w:pPr>
            <w:r w:rsidRPr="004673D0">
              <w:rPr>
                <w:rFonts w:ascii="Arial Narrow" w:hAnsi="Arial Narrow" w:cs="Arial"/>
                <w:sz w:val="20"/>
                <w:szCs w:val="20"/>
              </w:rPr>
              <w:t>5</w:t>
            </w:r>
          </w:p>
          <w:p w:rsidR="00232FB0" w:rsidRPr="004673D0" w:rsidRDefault="00232FB0" w:rsidP="00232FB0">
            <w:pPr>
              <w:keepNext/>
              <w:spacing w:before="40" w:after="40"/>
              <w:jc w:val="both"/>
              <w:rPr>
                <w:rFonts w:ascii="Arial Narrow" w:hAnsi="Arial Narrow" w:cs="Arial"/>
                <w:sz w:val="20"/>
                <w:szCs w:val="20"/>
              </w:rPr>
            </w:pPr>
            <w:r w:rsidRPr="004673D0">
              <w:rPr>
                <w:rFonts w:ascii="Arial Narrow" w:hAnsi="Arial Narrow" w:cs="Arial"/>
                <w:sz w:val="20"/>
                <w:szCs w:val="20"/>
              </w:rPr>
              <w:t>5</w:t>
            </w:r>
          </w:p>
        </w:tc>
        <w:tc>
          <w:tcPr>
            <w:tcW w:w="542" w:type="pct"/>
            <w:tcBorders>
              <w:top w:val="single" w:sz="4" w:space="0" w:color="auto"/>
            </w:tcBorders>
          </w:tcPr>
          <w:p w:rsidR="00232FB0" w:rsidRPr="004673D0" w:rsidRDefault="00232FB0" w:rsidP="00232FB0">
            <w:pPr>
              <w:keepNext/>
              <w:spacing w:before="40" w:after="40"/>
              <w:jc w:val="both"/>
              <w:rPr>
                <w:rFonts w:ascii="Arial Narrow" w:hAnsi="Arial Narrow" w:cs="Arial"/>
                <w:sz w:val="20"/>
                <w:szCs w:val="20"/>
              </w:rPr>
            </w:pPr>
          </w:p>
          <w:p w:rsidR="00232FB0" w:rsidRPr="004673D0" w:rsidRDefault="00232FB0" w:rsidP="00232FB0">
            <w:pPr>
              <w:keepNext/>
              <w:spacing w:before="40" w:after="40"/>
              <w:jc w:val="both"/>
              <w:rPr>
                <w:rFonts w:ascii="Arial Narrow" w:hAnsi="Arial Narrow" w:cs="Arial"/>
                <w:sz w:val="20"/>
                <w:szCs w:val="20"/>
                <w:vertAlign w:val="superscript"/>
              </w:rPr>
            </w:pPr>
            <w:r w:rsidRPr="004673D0">
              <w:rPr>
                <w:rFonts w:ascii="Arial Narrow" w:hAnsi="Arial Narrow" w:cs="Arial"/>
                <w:sz w:val="20"/>
                <w:szCs w:val="20"/>
              </w:rPr>
              <w:t>Intuniv</w:t>
            </w:r>
            <w:r w:rsidRPr="004673D0">
              <w:rPr>
                <w:rFonts w:ascii="Arial Narrow" w:hAnsi="Arial Narrow" w:cs="Arial"/>
                <w:sz w:val="20"/>
                <w:szCs w:val="20"/>
                <w:vertAlign w:val="superscript"/>
              </w:rPr>
              <w:t>®</w:t>
            </w:r>
          </w:p>
        </w:tc>
        <w:tc>
          <w:tcPr>
            <w:tcW w:w="2056" w:type="pct"/>
            <w:tcBorders>
              <w:top w:val="single" w:sz="4" w:space="0" w:color="auto"/>
            </w:tcBorders>
          </w:tcPr>
          <w:p w:rsidR="00232FB0" w:rsidRPr="004673D0" w:rsidRDefault="00232FB0" w:rsidP="00232FB0">
            <w:pPr>
              <w:keepNext/>
              <w:spacing w:before="40" w:after="40"/>
              <w:jc w:val="both"/>
              <w:rPr>
                <w:rFonts w:ascii="Arial Narrow" w:hAnsi="Arial Narrow" w:cs="Arial"/>
                <w:sz w:val="20"/>
                <w:szCs w:val="20"/>
              </w:rPr>
            </w:pPr>
          </w:p>
          <w:p w:rsidR="00232FB0" w:rsidRPr="004673D0" w:rsidRDefault="00232FB0" w:rsidP="00232FB0">
            <w:pPr>
              <w:keepNext/>
              <w:spacing w:before="40" w:after="40"/>
              <w:jc w:val="both"/>
              <w:rPr>
                <w:rFonts w:ascii="Arial Narrow" w:hAnsi="Arial Narrow" w:cs="Arial"/>
                <w:sz w:val="20"/>
                <w:szCs w:val="20"/>
              </w:rPr>
            </w:pPr>
            <w:r w:rsidRPr="004673D0">
              <w:rPr>
                <w:rFonts w:ascii="Arial Narrow" w:hAnsi="Arial Narrow" w:cs="Arial"/>
                <w:sz w:val="20"/>
                <w:szCs w:val="20"/>
              </w:rPr>
              <w:t>Shire Australia Pty Ltd</w:t>
            </w:r>
          </w:p>
        </w:tc>
      </w:tr>
      <w:tr w:rsidR="0095574D" w:rsidRPr="004673D0" w:rsidTr="00232FB0">
        <w:trPr>
          <w:cantSplit/>
          <w:trHeight w:val="360"/>
        </w:trPr>
        <w:tc>
          <w:tcPr>
            <w:tcW w:w="1089"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Category / Program:</w:t>
            </w:r>
          </w:p>
        </w:tc>
        <w:tc>
          <w:tcPr>
            <w:tcW w:w="3911" w:type="pct"/>
            <w:gridSpan w:val="5"/>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t>GENERAL – General Schedule (Code GE)</w:t>
            </w:r>
          </w:p>
        </w:tc>
      </w:tr>
      <w:tr w:rsidR="0095574D" w:rsidRPr="004673D0" w:rsidTr="00232FB0">
        <w:trPr>
          <w:cantSplit/>
          <w:trHeight w:val="360"/>
        </w:trPr>
        <w:tc>
          <w:tcPr>
            <w:tcW w:w="1089"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Prescriber type:</w:t>
            </w:r>
          </w:p>
        </w:tc>
        <w:tc>
          <w:tcPr>
            <w:tcW w:w="3911" w:type="pct"/>
            <w:gridSpan w:val="5"/>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1"/>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 xml:space="preserve">Dental  </w:t>
            </w:r>
            <w:r w:rsidRPr="004673D0">
              <w:rPr>
                <w:rFonts w:ascii="Arial Narrow" w:hAnsi="Arial Narrow" w:cs="Arial"/>
                <w:sz w:val="20"/>
                <w:szCs w:val="20"/>
              </w:rPr>
              <w:fldChar w:fldCharType="begin">
                <w:ffData>
                  <w:name w:val=""/>
                  <w:enabled/>
                  <w:calcOnExit w:val="0"/>
                  <w:checkBox>
                    <w:sizeAuto/>
                    <w:default w:val="1"/>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 xml:space="preserve">Medical Practitioners  </w:t>
            </w:r>
            <w:r w:rsidRPr="004673D0">
              <w:rPr>
                <w:rFonts w:ascii="Arial Narrow" w:hAnsi="Arial Narrow" w:cs="Arial"/>
                <w:sz w:val="20"/>
                <w:szCs w:val="20"/>
              </w:rPr>
              <w:fldChar w:fldCharType="begin">
                <w:ffData>
                  <w:name w:val="Check3"/>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 xml:space="preserve">Nurse practitioners  </w:t>
            </w:r>
            <w:r w:rsidRPr="004673D0">
              <w:rPr>
                <w:rFonts w:ascii="Arial Narrow" w:hAnsi="Arial Narrow" w:cs="Arial"/>
                <w:sz w:val="20"/>
                <w:szCs w:val="20"/>
              </w:rPr>
              <w:fldChar w:fldCharType="begin">
                <w:ffData>
                  <w:name w:val=""/>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 xml:space="preserve">Optometrists </w:t>
            </w:r>
            <w:r w:rsidRPr="004673D0">
              <w:rPr>
                <w:rFonts w:ascii="Arial Narrow" w:hAnsi="Arial Narrow" w:cs="Arial"/>
                <w:sz w:val="20"/>
                <w:szCs w:val="20"/>
              </w:rPr>
              <w:fldChar w:fldCharType="begin">
                <w:ffData>
                  <w:name w:val="Check5"/>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Midwives</w:t>
            </w:r>
          </w:p>
        </w:tc>
      </w:tr>
      <w:tr w:rsidR="0095574D" w:rsidRPr="004673D0" w:rsidTr="00232FB0">
        <w:trPr>
          <w:cantSplit/>
          <w:trHeight w:val="360"/>
        </w:trPr>
        <w:tc>
          <w:tcPr>
            <w:tcW w:w="1089"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Condition:</w:t>
            </w:r>
          </w:p>
        </w:tc>
        <w:tc>
          <w:tcPr>
            <w:tcW w:w="3911" w:type="pct"/>
            <w:gridSpan w:val="5"/>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t>Attention deficit hyperactivity disorder</w:t>
            </w:r>
          </w:p>
        </w:tc>
      </w:tr>
      <w:tr w:rsidR="0095574D" w:rsidRPr="004673D0" w:rsidTr="00232FB0">
        <w:trPr>
          <w:cantSplit/>
          <w:trHeight w:val="360"/>
        </w:trPr>
        <w:tc>
          <w:tcPr>
            <w:tcW w:w="1089"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PBS Indication:</w:t>
            </w:r>
          </w:p>
        </w:tc>
        <w:tc>
          <w:tcPr>
            <w:tcW w:w="3911" w:type="pct"/>
            <w:gridSpan w:val="5"/>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t>Attention deficit hyperactivity disorder</w:t>
            </w:r>
          </w:p>
        </w:tc>
      </w:tr>
      <w:tr w:rsidR="0095574D" w:rsidRPr="004673D0" w:rsidTr="00232FB0">
        <w:trPr>
          <w:cantSplit/>
          <w:trHeight w:val="360"/>
        </w:trPr>
        <w:tc>
          <w:tcPr>
            <w:tcW w:w="1089"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Treatment phase:</w:t>
            </w:r>
          </w:p>
        </w:tc>
        <w:tc>
          <w:tcPr>
            <w:tcW w:w="3911" w:type="pct"/>
            <w:gridSpan w:val="5"/>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t>Initial treatment</w:t>
            </w:r>
          </w:p>
        </w:tc>
      </w:tr>
      <w:tr w:rsidR="0095574D" w:rsidRPr="004673D0" w:rsidTr="00232FB0">
        <w:trPr>
          <w:cantSplit/>
          <w:trHeight w:val="360"/>
        </w:trPr>
        <w:tc>
          <w:tcPr>
            <w:tcW w:w="1089"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Restriction Level / Method:</w:t>
            </w:r>
          </w:p>
          <w:p w:rsidR="0095574D" w:rsidRPr="004673D0" w:rsidRDefault="0095574D" w:rsidP="00232FB0">
            <w:pPr>
              <w:spacing w:before="40" w:after="40"/>
              <w:rPr>
                <w:rFonts w:ascii="Arial Narrow" w:hAnsi="Arial Narrow" w:cs="Arial"/>
                <w:sz w:val="20"/>
                <w:szCs w:val="20"/>
              </w:rPr>
            </w:pPr>
          </w:p>
        </w:tc>
        <w:tc>
          <w:tcPr>
            <w:tcW w:w="3911" w:type="pct"/>
            <w:gridSpan w:val="5"/>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1"/>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Restricted benefit</w:t>
            </w:r>
          </w:p>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In Writing</w:t>
            </w:r>
          </w:p>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3"/>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Telephone</w:t>
            </w:r>
          </w:p>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Emergency</w:t>
            </w:r>
          </w:p>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5"/>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Electronic</w:t>
            </w:r>
          </w:p>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5"/>
                  <w:enabled/>
                  <w:calcOnExit w:val="0"/>
                  <w:checkBox>
                    <w:sizeAuto/>
                    <w:default w:val="1"/>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Streamlined</w:t>
            </w:r>
          </w:p>
        </w:tc>
      </w:tr>
      <w:tr w:rsidR="0095574D" w:rsidRPr="004673D0" w:rsidTr="00232FB0">
        <w:trPr>
          <w:cantSplit/>
          <w:trHeight w:val="360"/>
        </w:trPr>
        <w:tc>
          <w:tcPr>
            <w:tcW w:w="1089"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lastRenderedPageBreak/>
              <w:t>Clinical criteria:</w:t>
            </w:r>
          </w:p>
          <w:p w:rsidR="0095574D" w:rsidRPr="004673D0" w:rsidRDefault="0095574D" w:rsidP="00232FB0">
            <w:pPr>
              <w:spacing w:before="40" w:after="40"/>
              <w:rPr>
                <w:rFonts w:ascii="Arial Narrow" w:hAnsi="Arial Narrow" w:cs="Arial"/>
                <w:sz w:val="20"/>
                <w:szCs w:val="20"/>
              </w:rPr>
            </w:pPr>
          </w:p>
        </w:tc>
        <w:tc>
          <w:tcPr>
            <w:tcW w:w="3911" w:type="pct"/>
            <w:gridSpan w:val="5"/>
            <w:tcBorders>
              <w:top w:val="single" w:sz="4" w:space="0" w:color="auto"/>
              <w:left w:val="single" w:sz="4" w:space="0" w:color="auto"/>
              <w:bottom w:val="single" w:sz="4" w:space="0" w:color="auto"/>
              <w:right w:val="single" w:sz="4" w:space="0" w:color="auto"/>
            </w:tcBorders>
          </w:tcPr>
          <w:p w:rsidR="0095574D" w:rsidRPr="004673D0" w:rsidRDefault="0095574D" w:rsidP="00232FB0">
            <w:pPr>
              <w:widowControl w:val="0"/>
              <w:spacing w:before="60" w:after="40"/>
              <w:jc w:val="both"/>
              <w:rPr>
                <w:rFonts w:ascii="Arial Narrow" w:hAnsi="Arial Narrow"/>
                <w:sz w:val="20"/>
                <w:szCs w:val="20"/>
                <w:shd w:val="clear" w:color="auto" w:fill="FFFFFF" w:themeFill="background1"/>
                <w:lang w:eastAsia="en-GB"/>
              </w:rPr>
            </w:pPr>
            <w:r w:rsidRPr="004673D0">
              <w:rPr>
                <w:rFonts w:ascii="Arial Narrow" w:hAnsi="Arial Narrow"/>
                <w:sz w:val="20"/>
                <w:szCs w:val="20"/>
                <w:shd w:val="clear" w:color="auto" w:fill="FFFFFF" w:themeFill="background1"/>
                <w:lang w:eastAsia="en-GB"/>
              </w:rPr>
              <w:t>The condition must be or have been diagnosed by a paediatrician or psychiatrist according to the DSM-5 criteria;</w:t>
            </w:r>
          </w:p>
          <w:p w:rsidR="0095574D" w:rsidRPr="004673D0" w:rsidRDefault="0095574D" w:rsidP="00232FB0">
            <w:pPr>
              <w:widowControl w:val="0"/>
              <w:spacing w:before="60" w:after="40"/>
              <w:jc w:val="both"/>
              <w:rPr>
                <w:rFonts w:ascii="Arial Narrow" w:hAnsi="Arial Narrow"/>
                <w:sz w:val="20"/>
                <w:szCs w:val="20"/>
                <w:shd w:val="clear" w:color="auto" w:fill="FFFFFF" w:themeFill="background1"/>
                <w:lang w:eastAsia="en-GB"/>
              </w:rPr>
            </w:pPr>
            <w:r w:rsidRPr="004673D0">
              <w:rPr>
                <w:rFonts w:ascii="Arial Narrow" w:hAnsi="Arial Narrow"/>
                <w:sz w:val="20"/>
                <w:szCs w:val="20"/>
                <w:shd w:val="clear" w:color="auto" w:fill="FFFFFF" w:themeFill="background1"/>
                <w:lang w:eastAsia="en-GB"/>
              </w:rPr>
              <w:t>AND</w:t>
            </w:r>
          </w:p>
          <w:p w:rsidR="0095574D" w:rsidRPr="004673D0" w:rsidRDefault="0095574D" w:rsidP="00232FB0">
            <w:pPr>
              <w:widowControl w:val="0"/>
              <w:spacing w:before="60" w:after="40"/>
              <w:jc w:val="both"/>
              <w:rPr>
                <w:rFonts w:ascii="Arial Narrow" w:hAnsi="Arial Narrow"/>
                <w:sz w:val="20"/>
                <w:szCs w:val="20"/>
                <w:shd w:val="clear" w:color="auto" w:fill="FFFFFF" w:themeFill="background1"/>
                <w:lang w:eastAsia="en-GB"/>
              </w:rPr>
            </w:pPr>
            <w:r w:rsidRPr="00860990">
              <w:rPr>
                <w:rFonts w:ascii="Arial Narrow" w:hAnsi="Arial Narrow"/>
                <w:sz w:val="20"/>
                <w:szCs w:val="20"/>
                <w:shd w:val="clear" w:color="auto" w:fill="FFFFFF" w:themeFill="background1"/>
                <w:lang w:eastAsia="en-GB"/>
              </w:rPr>
              <w:t>Patient must be receiving a maximum tolerated dose (MTD) of stimulant (dexamphetamine, methylphenidate or lisdexamfetamine) which has been stable</w:t>
            </w:r>
            <w:r w:rsidRPr="004673D0">
              <w:rPr>
                <w:rFonts w:ascii="Arial Narrow" w:hAnsi="Arial Narrow"/>
                <w:sz w:val="20"/>
                <w:szCs w:val="20"/>
                <w:shd w:val="clear" w:color="auto" w:fill="FFFFFF" w:themeFill="background1"/>
                <w:lang w:eastAsia="en-GB"/>
              </w:rPr>
              <w:t xml:space="preserve"> for at least four weeks;</w:t>
            </w:r>
          </w:p>
          <w:p w:rsidR="0095574D" w:rsidRPr="004673D0" w:rsidRDefault="0095574D" w:rsidP="00232FB0">
            <w:pPr>
              <w:widowControl w:val="0"/>
              <w:shd w:val="clear" w:color="auto" w:fill="FFFFFF" w:themeFill="background1"/>
              <w:spacing w:before="60" w:after="40"/>
              <w:jc w:val="both"/>
              <w:rPr>
                <w:rFonts w:ascii="Arial Narrow" w:hAnsi="Arial Narrow"/>
                <w:sz w:val="20"/>
                <w:szCs w:val="20"/>
                <w:shd w:val="clear" w:color="auto" w:fill="FFFFFF" w:themeFill="background1"/>
                <w:lang w:eastAsia="en-GB"/>
              </w:rPr>
            </w:pPr>
            <w:r w:rsidRPr="004673D0">
              <w:rPr>
                <w:rFonts w:ascii="Arial Narrow" w:hAnsi="Arial Narrow"/>
                <w:sz w:val="20"/>
                <w:szCs w:val="20"/>
                <w:shd w:val="clear" w:color="auto" w:fill="FFFFFF" w:themeFill="background1"/>
                <w:lang w:eastAsia="en-GB"/>
              </w:rPr>
              <w:t>AND</w:t>
            </w:r>
          </w:p>
          <w:p w:rsidR="0095574D" w:rsidRPr="004673D0" w:rsidRDefault="0095574D" w:rsidP="00232FB0">
            <w:pPr>
              <w:widowControl w:val="0"/>
              <w:shd w:val="clear" w:color="auto" w:fill="FFFFFF" w:themeFill="background1"/>
              <w:spacing w:before="60" w:after="40"/>
              <w:jc w:val="both"/>
              <w:rPr>
                <w:rFonts w:ascii="Arial Narrow" w:hAnsi="Arial Narrow"/>
                <w:sz w:val="20"/>
                <w:szCs w:val="20"/>
                <w:shd w:val="clear" w:color="auto" w:fill="FFFFFF" w:themeFill="background1"/>
                <w:lang w:eastAsia="en-GB"/>
              </w:rPr>
            </w:pPr>
            <w:r w:rsidRPr="004673D0">
              <w:rPr>
                <w:rFonts w:ascii="Arial Narrow" w:hAnsi="Arial Narrow"/>
                <w:sz w:val="20"/>
                <w:szCs w:val="20"/>
                <w:shd w:val="clear" w:color="auto" w:fill="FFFFFF" w:themeFill="background1"/>
                <w:lang w:eastAsia="en-GB"/>
              </w:rPr>
              <w:t>Patient must be</w:t>
            </w:r>
            <w:r w:rsidRPr="004673D0">
              <w:rPr>
                <w:rFonts w:ascii="Arial Narrow" w:hAnsi="Arial Narrow"/>
                <w:sz w:val="20"/>
                <w:szCs w:val="20"/>
                <w:lang w:eastAsia="en-GB"/>
              </w:rPr>
              <w:t xml:space="preserve"> experiencing residual</w:t>
            </w:r>
            <w:r w:rsidRPr="004673D0">
              <w:rPr>
                <w:rFonts w:ascii="Arial Narrow" w:hAnsi="Arial Narrow"/>
                <w:sz w:val="20"/>
                <w:szCs w:val="20"/>
                <w:shd w:val="clear" w:color="auto" w:fill="FFFFFF" w:themeFill="background1"/>
                <w:lang w:eastAsia="en-GB"/>
              </w:rPr>
              <w:t xml:space="preserve"> moderate to severe ADHD symptoms</w:t>
            </w:r>
            <w:r w:rsidRPr="004673D0">
              <w:rPr>
                <w:rFonts w:ascii="Arial Narrow" w:hAnsi="Arial Narrow"/>
                <w:sz w:val="20"/>
                <w:szCs w:val="20"/>
              </w:rPr>
              <w:t xml:space="preserve"> </w:t>
            </w:r>
            <w:r w:rsidRPr="004673D0">
              <w:rPr>
                <w:rFonts w:ascii="Arial Narrow" w:hAnsi="Arial Narrow"/>
                <w:sz w:val="20"/>
                <w:szCs w:val="20"/>
                <w:shd w:val="clear" w:color="auto" w:fill="FFFFFF" w:themeFill="background1"/>
                <w:lang w:eastAsia="en-GB"/>
              </w:rPr>
              <w:t>resulting in impaired functioning, present in at least one setting;</w:t>
            </w:r>
          </w:p>
          <w:p w:rsidR="0095574D" w:rsidRPr="004673D0" w:rsidRDefault="0095574D" w:rsidP="00232FB0">
            <w:pPr>
              <w:widowControl w:val="0"/>
              <w:shd w:val="clear" w:color="auto" w:fill="FFFFFF" w:themeFill="background1"/>
              <w:spacing w:before="60" w:after="40"/>
              <w:jc w:val="both"/>
              <w:rPr>
                <w:rFonts w:ascii="Arial Narrow" w:hAnsi="Arial Narrow"/>
                <w:sz w:val="20"/>
                <w:szCs w:val="20"/>
                <w:shd w:val="clear" w:color="auto" w:fill="FFFFFF" w:themeFill="background1"/>
                <w:lang w:eastAsia="en-GB"/>
              </w:rPr>
            </w:pPr>
            <w:r w:rsidRPr="004673D0">
              <w:rPr>
                <w:rFonts w:ascii="Arial Narrow" w:hAnsi="Arial Narrow"/>
                <w:sz w:val="20"/>
                <w:szCs w:val="20"/>
                <w:shd w:val="clear" w:color="auto" w:fill="FFFFFF" w:themeFill="background1"/>
                <w:lang w:eastAsia="en-GB"/>
              </w:rPr>
              <w:t>AND</w:t>
            </w:r>
          </w:p>
          <w:p w:rsidR="0095574D" w:rsidRPr="004673D0" w:rsidRDefault="0095574D" w:rsidP="00232FB0">
            <w:pPr>
              <w:spacing w:before="40" w:after="40"/>
              <w:rPr>
                <w:rFonts w:ascii="Arial Narrow" w:hAnsi="Arial Narrow" w:cs="Arial"/>
                <w:sz w:val="20"/>
                <w:szCs w:val="20"/>
              </w:rPr>
            </w:pPr>
            <w:r w:rsidRPr="004673D0">
              <w:rPr>
                <w:rFonts w:ascii="Arial Narrow" w:hAnsi="Arial Narrow"/>
                <w:sz w:val="20"/>
                <w:szCs w:val="20"/>
                <w:shd w:val="clear" w:color="auto" w:fill="FFFFFF" w:themeFill="background1"/>
                <w:lang w:eastAsia="en-GB"/>
              </w:rPr>
              <w:t>The treatment must be adjunctive to ongoing MTD of stimulant</w:t>
            </w:r>
          </w:p>
        </w:tc>
      </w:tr>
      <w:tr w:rsidR="0095574D" w:rsidRPr="004673D0" w:rsidTr="00232FB0">
        <w:trPr>
          <w:cantSplit/>
          <w:trHeight w:val="360"/>
        </w:trPr>
        <w:tc>
          <w:tcPr>
            <w:tcW w:w="1089"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Population criteria:</w:t>
            </w:r>
          </w:p>
        </w:tc>
        <w:tc>
          <w:tcPr>
            <w:tcW w:w="3911" w:type="pct"/>
            <w:gridSpan w:val="5"/>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t>Patient must be or have been diagnosed between the ages of 6 and 18 years inclusive.</w:t>
            </w:r>
          </w:p>
        </w:tc>
      </w:tr>
      <w:tr w:rsidR="0095574D" w:rsidRPr="004673D0" w:rsidTr="00232FB0">
        <w:trPr>
          <w:cantSplit/>
          <w:trHeight w:val="360"/>
        </w:trPr>
        <w:tc>
          <w:tcPr>
            <w:tcW w:w="1089"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Definitions:</w:t>
            </w:r>
          </w:p>
        </w:tc>
        <w:tc>
          <w:tcPr>
            <w:tcW w:w="3911" w:type="pct"/>
            <w:gridSpan w:val="5"/>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t>Setting refers to the physical location, for example, home, nursery/school/college/work, friends or family homes or other environment; Functional impairment may be social, academic or occupational.</w:t>
            </w:r>
          </w:p>
        </w:tc>
      </w:tr>
    </w:tbl>
    <w:p w:rsidR="0095574D" w:rsidRPr="004673D0" w:rsidRDefault="0095574D" w:rsidP="0095574D">
      <w:pPr>
        <w:rPr>
          <w:szCs w:val="22"/>
        </w:rPr>
      </w:pPr>
    </w:p>
    <w:tbl>
      <w:tblPr>
        <w:tblW w:w="4915" w:type="pct"/>
        <w:tblLook w:val="0000" w:firstRow="0" w:lastRow="0" w:firstColumn="0" w:lastColumn="0" w:noHBand="0" w:noVBand="0"/>
      </w:tblPr>
      <w:tblGrid>
        <w:gridCol w:w="1990"/>
        <w:gridCol w:w="7095"/>
      </w:tblGrid>
      <w:tr w:rsidR="0095574D" w:rsidRPr="004673D0" w:rsidTr="00232FB0">
        <w:trPr>
          <w:cantSplit/>
          <w:trHeight w:val="360"/>
        </w:trPr>
        <w:tc>
          <w:tcPr>
            <w:tcW w:w="109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Category / Program:</w:t>
            </w:r>
          </w:p>
        </w:tc>
        <w:tc>
          <w:tcPr>
            <w:tcW w:w="390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t>GENERAL – General Schedule (Code GE)</w:t>
            </w:r>
          </w:p>
        </w:tc>
      </w:tr>
      <w:tr w:rsidR="0095574D" w:rsidRPr="004673D0" w:rsidTr="00232FB0">
        <w:trPr>
          <w:cantSplit/>
          <w:trHeight w:val="360"/>
        </w:trPr>
        <w:tc>
          <w:tcPr>
            <w:tcW w:w="109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Prescriber type:</w:t>
            </w:r>
          </w:p>
        </w:tc>
        <w:tc>
          <w:tcPr>
            <w:tcW w:w="390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1"/>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 xml:space="preserve">Dental  </w:t>
            </w:r>
            <w:r w:rsidRPr="004673D0">
              <w:rPr>
                <w:rFonts w:ascii="Arial Narrow" w:hAnsi="Arial Narrow" w:cs="Arial"/>
                <w:sz w:val="20"/>
                <w:szCs w:val="20"/>
              </w:rPr>
              <w:fldChar w:fldCharType="begin">
                <w:ffData>
                  <w:name w:val=""/>
                  <w:enabled/>
                  <w:calcOnExit w:val="0"/>
                  <w:checkBox>
                    <w:sizeAuto/>
                    <w:default w:val="1"/>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 xml:space="preserve">Medical Practitioners  </w:t>
            </w:r>
            <w:r w:rsidRPr="004673D0">
              <w:rPr>
                <w:rFonts w:ascii="Arial Narrow" w:hAnsi="Arial Narrow" w:cs="Arial"/>
                <w:sz w:val="20"/>
                <w:szCs w:val="20"/>
              </w:rPr>
              <w:fldChar w:fldCharType="begin">
                <w:ffData>
                  <w:name w:val="Check3"/>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 xml:space="preserve">Nurse practitioners  </w:t>
            </w:r>
            <w:r w:rsidRPr="004673D0">
              <w:rPr>
                <w:rFonts w:ascii="Arial Narrow" w:hAnsi="Arial Narrow" w:cs="Arial"/>
                <w:sz w:val="20"/>
                <w:szCs w:val="20"/>
              </w:rPr>
              <w:fldChar w:fldCharType="begin">
                <w:ffData>
                  <w:name w:val=""/>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 xml:space="preserve">Optometrists </w:t>
            </w:r>
            <w:r w:rsidRPr="004673D0">
              <w:rPr>
                <w:rFonts w:ascii="Arial Narrow" w:hAnsi="Arial Narrow" w:cs="Arial"/>
                <w:sz w:val="20"/>
                <w:szCs w:val="20"/>
              </w:rPr>
              <w:fldChar w:fldCharType="begin">
                <w:ffData>
                  <w:name w:val="Check5"/>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Midwives</w:t>
            </w:r>
          </w:p>
        </w:tc>
      </w:tr>
      <w:tr w:rsidR="0095574D" w:rsidRPr="004673D0" w:rsidTr="00232FB0">
        <w:trPr>
          <w:cantSplit/>
          <w:trHeight w:val="360"/>
        </w:trPr>
        <w:tc>
          <w:tcPr>
            <w:tcW w:w="109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Condition:</w:t>
            </w:r>
          </w:p>
        </w:tc>
        <w:tc>
          <w:tcPr>
            <w:tcW w:w="390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t>Attention deficit hyperactivity disorder</w:t>
            </w:r>
          </w:p>
        </w:tc>
      </w:tr>
      <w:tr w:rsidR="0095574D" w:rsidRPr="004673D0" w:rsidTr="00232FB0">
        <w:trPr>
          <w:cantSplit/>
          <w:trHeight w:val="360"/>
        </w:trPr>
        <w:tc>
          <w:tcPr>
            <w:tcW w:w="109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PBS Indication:</w:t>
            </w:r>
          </w:p>
        </w:tc>
        <w:tc>
          <w:tcPr>
            <w:tcW w:w="390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t>Attention deficit hyperactivity disorder</w:t>
            </w:r>
          </w:p>
        </w:tc>
      </w:tr>
      <w:tr w:rsidR="0095574D" w:rsidRPr="004673D0" w:rsidTr="00232FB0">
        <w:trPr>
          <w:cantSplit/>
          <w:trHeight w:val="360"/>
        </w:trPr>
        <w:tc>
          <w:tcPr>
            <w:tcW w:w="109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Treatment phase:</w:t>
            </w:r>
          </w:p>
        </w:tc>
        <w:tc>
          <w:tcPr>
            <w:tcW w:w="390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t>Continuing treatment</w:t>
            </w:r>
          </w:p>
        </w:tc>
      </w:tr>
      <w:tr w:rsidR="0095574D" w:rsidRPr="004673D0" w:rsidTr="00232FB0">
        <w:trPr>
          <w:cantSplit/>
          <w:trHeight w:val="360"/>
        </w:trPr>
        <w:tc>
          <w:tcPr>
            <w:tcW w:w="109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Restriction Level / Method:</w:t>
            </w:r>
          </w:p>
          <w:p w:rsidR="0095574D" w:rsidRPr="004673D0" w:rsidRDefault="0095574D" w:rsidP="00232FB0">
            <w:pPr>
              <w:spacing w:before="40" w:after="40"/>
              <w:rPr>
                <w:rFonts w:ascii="Arial Narrow" w:hAnsi="Arial Narrow" w:cs="Arial"/>
                <w:sz w:val="20"/>
                <w:szCs w:val="20"/>
              </w:rPr>
            </w:pPr>
          </w:p>
        </w:tc>
        <w:tc>
          <w:tcPr>
            <w:tcW w:w="390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1"/>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Restricted benefit</w:t>
            </w:r>
          </w:p>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In Writing</w:t>
            </w:r>
          </w:p>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3"/>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Telephone</w:t>
            </w:r>
          </w:p>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Emergency</w:t>
            </w:r>
          </w:p>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Check5"/>
                  <w:enabled/>
                  <w:calcOnExit w:val="0"/>
                  <w:checkBox>
                    <w:sizeAuto/>
                    <w:default w:val="0"/>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Authority Required - Electronic</w:t>
            </w:r>
          </w:p>
          <w:p w:rsidR="0095574D" w:rsidRPr="004673D0" w:rsidRDefault="0095574D" w:rsidP="00232FB0">
            <w:pPr>
              <w:spacing w:before="40" w:after="40"/>
              <w:rPr>
                <w:rFonts w:ascii="Arial Narrow" w:hAnsi="Arial Narrow" w:cs="Arial"/>
                <w:sz w:val="20"/>
                <w:szCs w:val="20"/>
              </w:rPr>
            </w:pPr>
            <w:r w:rsidRPr="004673D0">
              <w:rPr>
                <w:rFonts w:ascii="Arial Narrow" w:hAnsi="Arial Narrow" w:cs="Arial"/>
                <w:sz w:val="20"/>
                <w:szCs w:val="20"/>
              </w:rPr>
              <w:fldChar w:fldCharType="begin">
                <w:ffData>
                  <w:name w:val=""/>
                  <w:enabled/>
                  <w:calcOnExit w:val="0"/>
                  <w:checkBox>
                    <w:sizeAuto/>
                    <w:default w:val="1"/>
                  </w:checkBox>
                </w:ffData>
              </w:fldChar>
            </w:r>
            <w:r w:rsidRPr="004673D0">
              <w:rPr>
                <w:rFonts w:ascii="Arial Narrow" w:hAnsi="Arial Narrow" w:cs="Arial"/>
                <w:sz w:val="20"/>
                <w:szCs w:val="20"/>
              </w:rPr>
              <w:instrText xml:space="preserve"> FORMCHECKBOX </w:instrText>
            </w:r>
            <w:r w:rsidR="00B43332">
              <w:rPr>
                <w:rFonts w:ascii="Arial Narrow" w:hAnsi="Arial Narrow" w:cs="Arial"/>
                <w:sz w:val="20"/>
                <w:szCs w:val="20"/>
              </w:rPr>
            </w:r>
            <w:r w:rsidR="00B43332">
              <w:rPr>
                <w:rFonts w:ascii="Arial Narrow" w:hAnsi="Arial Narrow" w:cs="Arial"/>
                <w:sz w:val="20"/>
                <w:szCs w:val="20"/>
              </w:rPr>
              <w:fldChar w:fldCharType="separate"/>
            </w:r>
            <w:r w:rsidRPr="004673D0">
              <w:rPr>
                <w:rFonts w:ascii="Arial Narrow" w:hAnsi="Arial Narrow" w:cs="Arial"/>
                <w:sz w:val="20"/>
                <w:szCs w:val="20"/>
              </w:rPr>
              <w:fldChar w:fldCharType="end"/>
            </w:r>
            <w:r w:rsidRPr="004673D0">
              <w:rPr>
                <w:rFonts w:ascii="Arial Narrow" w:hAnsi="Arial Narrow" w:cs="Arial"/>
                <w:sz w:val="20"/>
                <w:szCs w:val="20"/>
              </w:rPr>
              <w:t>Streamlined</w:t>
            </w:r>
          </w:p>
        </w:tc>
      </w:tr>
      <w:tr w:rsidR="0095574D" w:rsidRPr="004673D0" w:rsidTr="00232FB0">
        <w:trPr>
          <w:cantSplit/>
          <w:trHeight w:val="360"/>
        </w:trPr>
        <w:tc>
          <w:tcPr>
            <w:tcW w:w="109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rPr>
                <w:rFonts w:ascii="Arial Narrow" w:hAnsi="Arial Narrow" w:cs="Arial"/>
                <w:b/>
                <w:sz w:val="20"/>
                <w:szCs w:val="20"/>
              </w:rPr>
            </w:pPr>
            <w:r w:rsidRPr="004673D0">
              <w:rPr>
                <w:rFonts w:ascii="Arial Narrow" w:hAnsi="Arial Narrow" w:cs="Arial"/>
                <w:b/>
                <w:sz w:val="20"/>
                <w:szCs w:val="20"/>
              </w:rPr>
              <w:t>Clinical criteria:</w:t>
            </w:r>
          </w:p>
        </w:tc>
        <w:tc>
          <w:tcPr>
            <w:tcW w:w="3905" w:type="pct"/>
            <w:tcBorders>
              <w:top w:val="single" w:sz="4" w:space="0" w:color="auto"/>
              <w:left w:val="single" w:sz="4" w:space="0" w:color="auto"/>
              <w:bottom w:val="single" w:sz="4" w:space="0" w:color="auto"/>
              <w:right w:val="single" w:sz="4" w:space="0" w:color="auto"/>
            </w:tcBorders>
          </w:tcPr>
          <w:p w:rsidR="0095574D" w:rsidRPr="004673D0" w:rsidRDefault="0095574D" w:rsidP="00232FB0">
            <w:pPr>
              <w:spacing w:before="40" w:after="40"/>
              <w:jc w:val="both"/>
              <w:rPr>
                <w:rFonts w:ascii="Arial Narrow" w:hAnsi="Arial Narrow" w:cs="Arial"/>
                <w:i/>
                <w:sz w:val="20"/>
                <w:szCs w:val="20"/>
              </w:rPr>
            </w:pPr>
            <w:r w:rsidRPr="004673D0">
              <w:rPr>
                <w:rFonts w:ascii="Arial Narrow" w:hAnsi="Arial Narrow" w:cs="Arial"/>
                <w:i/>
                <w:sz w:val="20"/>
                <w:szCs w:val="20"/>
              </w:rPr>
              <w:t>Patient must have previously received PBS-subsidised treatment with this drug for this condition in this setting.</w:t>
            </w:r>
          </w:p>
          <w:p w:rsidR="0095574D" w:rsidRPr="004673D0" w:rsidRDefault="0095574D" w:rsidP="00232FB0">
            <w:pPr>
              <w:widowControl w:val="0"/>
              <w:shd w:val="clear" w:color="auto" w:fill="FFFFFF" w:themeFill="background1"/>
              <w:spacing w:before="60" w:after="40"/>
              <w:jc w:val="both"/>
              <w:rPr>
                <w:rFonts w:ascii="Arial Narrow" w:hAnsi="Arial Narrow"/>
                <w:i/>
                <w:sz w:val="20"/>
                <w:szCs w:val="20"/>
                <w:shd w:val="clear" w:color="auto" w:fill="FFFFFF" w:themeFill="background1"/>
                <w:lang w:eastAsia="en-GB"/>
              </w:rPr>
            </w:pPr>
            <w:r w:rsidRPr="004673D0">
              <w:rPr>
                <w:rFonts w:ascii="Arial Narrow" w:hAnsi="Arial Narrow"/>
                <w:i/>
                <w:sz w:val="20"/>
                <w:szCs w:val="20"/>
                <w:shd w:val="clear" w:color="auto" w:fill="FFFFFF" w:themeFill="background1"/>
                <w:lang w:eastAsia="en-GB"/>
              </w:rPr>
              <w:t>AND</w:t>
            </w:r>
          </w:p>
          <w:p w:rsidR="0095574D" w:rsidRPr="004673D0" w:rsidRDefault="0095574D" w:rsidP="00232FB0">
            <w:pPr>
              <w:spacing w:before="40" w:after="40"/>
              <w:jc w:val="both"/>
              <w:rPr>
                <w:rFonts w:ascii="Arial Narrow" w:hAnsi="Arial Narrow" w:cs="Arial"/>
                <w:i/>
                <w:sz w:val="20"/>
                <w:szCs w:val="20"/>
              </w:rPr>
            </w:pPr>
            <w:r w:rsidRPr="004673D0">
              <w:rPr>
                <w:rFonts w:ascii="Arial Narrow" w:hAnsi="Arial Narrow"/>
                <w:i/>
                <w:sz w:val="20"/>
                <w:szCs w:val="20"/>
                <w:shd w:val="clear" w:color="auto" w:fill="FFFFFF" w:themeFill="background1"/>
                <w:lang w:eastAsia="en-GB"/>
              </w:rPr>
              <w:t>The treatment must be adjunctive to ongoing maximum tolerated dose of stimulant (dexamphetamine, methylphenidate or lisdexamfetamine)</w:t>
            </w:r>
          </w:p>
        </w:tc>
      </w:tr>
    </w:tbl>
    <w:p w:rsidR="00856AC0" w:rsidRDefault="00856AC0" w:rsidP="00856AC0">
      <w:pPr>
        <w:widowControl w:val="0"/>
        <w:numPr>
          <w:ilvl w:val="0"/>
          <w:numId w:val="5"/>
        </w:numPr>
        <w:spacing w:before="240" w:after="120"/>
        <w:jc w:val="both"/>
        <w:outlineLvl w:val="0"/>
        <w:rPr>
          <w:rFonts w:asciiTheme="minorHAnsi" w:hAnsiTheme="minorHAnsi"/>
          <w:b/>
          <w:bCs/>
          <w:sz w:val="32"/>
        </w:rPr>
      </w:pPr>
      <w:r w:rsidRPr="00856AC0">
        <w:rPr>
          <w:rFonts w:asciiTheme="minorHAnsi" w:hAnsiTheme="minorHAnsi"/>
          <w:b/>
          <w:bCs/>
          <w:sz w:val="32"/>
        </w:rPr>
        <w:t>Context for Decision</w:t>
      </w:r>
    </w:p>
    <w:p w:rsidR="00856AC0" w:rsidRDefault="00856AC0" w:rsidP="00856AC0">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56AC0" w:rsidRDefault="00856AC0" w:rsidP="00856AC0">
      <w:pPr>
        <w:widowControl w:val="0"/>
        <w:numPr>
          <w:ilvl w:val="0"/>
          <w:numId w:val="5"/>
        </w:numPr>
        <w:spacing w:before="240" w:after="120"/>
        <w:jc w:val="both"/>
        <w:outlineLvl w:val="0"/>
        <w:rPr>
          <w:rFonts w:asciiTheme="minorHAnsi" w:hAnsiTheme="minorHAnsi"/>
          <w:b/>
          <w:bCs/>
          <w:sz w:val="32"/>
        </w:rPr>
      </w:pPr>
      <w:r w:rsidRPr="00856AC0">
        <w:rPr>
          <w:rFonts w:asciiTheme="minorHAnsi" w:hAnsiTheme="minorHAnsi"/>
          <w:b/>
          <w:bCs/>
          <w:sz w:val="32"/>
        </w:rPr>
        <w:t xml:space="preserve">Sponsor’s Comment </w:t>
      </w:r>
    </w:p>
    <w:p w:rsidR="00F64CC1" w:rsidRPr="003F40F1" w:rsidRDefault="00E57858" w:rsidP="003F40F1">
      <w:r>
        <w:rPr>
          <w:rFonts w:asciiTheme="minorHAnsi" w:hAnsiTheme="minorHAnsi"/>
          <w:bCs/>
        </w:rPr>
        <w:t xml:space="preserve">Shire will continue to work with the Department of Health so that </w:t>
      </w:r>
      <w:r w:rsidRPr="0076142A">
        <w:rPr>
          <w:rFonts w:asciiTheme="minorHAnsi" w:hAnsiTheme="minorHAnsi"/>
          <w:bCs/>
        </w:rPr>
        <w:t xml:space="preserve">patients with ADHD </w:t>
      </w:r>
      <w:r>
        <w:rPr>
          <w:rFonts w:asciiTheme="minorHAnsi" w:hAnsiTheme="minorHAnsi"/>
          <w:bCs/>
        </w:rPr>
        <w:t xml:space="preserve">may access guanfacine as an adjunctive treatment to stimulants on the PBS. </w:t>
      </w:r>
    </w:p>
    <w:sectPr w:rsidR="00F64CC1" w:rsidRPr="003F40F1"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616" w:rsidRDefault="00F83616">
      <w:r>
        <w:separator/>
      </w:r>
    </w:p>
    <w:p w:rsidR="00F83616" w:rsidRDefault="00F83616"/>
  </w:endnote>
  <w:endnote w:type="continuationSeparator" w:id="0">
    <w:p w:rsidR="00F83616" w:rsidRDefault="00F83616">
      <w:r>
        <w:continuationSeparator/>
      </w:r>
    </w:p>
    <w:p w:rsidR="00F83616" w:rsidRDefault="00F83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B5E58" w:rsidTr="005A3173">
      <w:trPr>
        <w:trHeight w:val="151"/>
      </w:trPr>
      <w:tc>
        <w:tcPr>
          <w:tcW w:w="2250" w:type="pct"/>
          <w:tcBorders>
            <w:top w:val="nil"/>
            <w:left w:val="nil"/>
            <w:bottom w:val="single" w:sz="4" w:space="0" w:color="4F81BD"/>
            <w:right w:val="nil"/>
          </w:tcBorders>
        </w:tcPr>
        <w:p w:rsidR="00EB5E58" w:rsidRPr="005A3173" w:rsidRDefault="00EB5E5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B5E58" w:rsidRPr="005A3173" w:rsidRDefault="00EB5E5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B5E58" w:rsidRPr="005A3173" w:rsidRDefault="00EB5E58" w:rsidP="005A3173">
          <w:pPr>
            <w:pStyle w:val="Header"/>
            <w:spacing w:line="276" w:lineRule="auto"/>
            <w:rPr>
              <w:rFonts w:ascii="Calibri" w:eastAsia="MS Gothic" w:hAnsi="Calibri"/>
              <w:b/>
              <w:bCs/>
              <w:color w:val="4F81BD"/>
            </w:rPr>
          </w:pPr>
        </w:p>
      </w:tc>
    </w:tr>
    <w:tr w:rsidR="00EB5E58" w:rsidTr="005A3173">
      <w:trPr>
        <w:trHeight w:val="150"/>
      </w:trPr>
      <w:tc>
        <w:tcPr>
          <w:tcW w:w="2250" w:type="pct"/>
          <w:tcBorders>
            <w:top w:val="single" w:sz="4" w:space="0" w:color="4F81BD"/>
            <w:left w:val="nil"/>
            <w:bottom w:val="nil"/>
            <w:right w:val="nil"/>
          </w:tcBorders>
        </w:tcPr>
        <w:p w:rsidR="00EB5E58" w:rsidRPr="005A3173" w:rsidRDefault="00EB5E58" w:rsidP="005A3173">
          <w:pPr>
            <w:pStyle w:val="Header"/>
            <w:spacing w:line="276" w:lineRule="auto"/>
            <w:rPr>
              <w:rFonts w:ascii="Calibri" w:eastAsia="MS Gothic" w:hAnsi="Calibri"/>
              <w:b/>
              <w:bCs/>
              <w:color w:val="4F81BD"/>
            </w:rPr>
          </w:pPr>
        </w:p>
      </w:tc>
      <w:tc>
        <w:tcPr>
          <w:tcW w:w="0" w:type="auto"/>
          <w:vMerge/>
          <w:vAlign w:val="center"/>
          <w:hideMark/>
        </w:tcPr>
        <w:p w:rsidR="00EB5E58" w:rsidRPr="005A3173" w:rsidRDefault="00EB5E58" w:rsidP="005A3173">
          <w:pPr>
            <w:rPr>
              <w:rFonts w:ascii="Calibri" w:hAnsi="Calibri"/>
              <w:color w:val="365F91"/>
              <w:sz w:val="22"/>
              <w:szCs w:val="22"/>
            </w:rPr>
          </w:pPr>
        </w:p>
      </w:tc>
      <w:tc>
        <w:tcPr>
          <w:tcW w:w="2250" w:type="pct"/>
          <w:tcBorders>
            <w:top w:val="single" w:sz="4" w:space="0" w:color="4F81BD"/>
            <w:left w:val="nil"/>
            <w:bottom w:val="nil"/>
            <w:right w:val="nil"/>
          </w:tcBorders>
        </w:tcPr>
        <w:p w:rsidR="00EB5E58" w:rsidRPr="005A3173" w:rsidRDefault="00EB5E58" w:rsidP="005A3173">
          <w:pPr>
            <w:pStyle w:val="Header"/>
            <w:spacing w:line="276" w:lineRule="auto"/>
            <w:rPr>
              <w:rFonts w:ascii="Calibri" w:eastAsia="MS Gothic" w:hAnsi="Calibri"/>
              <w:b/>
              <w:bCs/>
              <w:color w:val="4F81BD"/>
            </w:rPr>
          </w:pPr>
        </w:p>
      </w:tc>
    </w:tr>
  </w:tbl>
  <w:p w:rsidR="00EB5E58" w:rsidRDefault="00EB5E5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5E58" w:rsidRDefault="00EB5E58">
    <w:pPr>
      <w:pStyle w:val="Footer"/>
    </w:pPr>
  </w:p>
  <w:p w:rsidR="00EB5E58" w:rsidRDefault="00EB5E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58" w:rsidRDefault="00EB5E58" w:rsidP="00EF44A0">
    <w:pPr>
      <w:pStyle w:val="Footer"/>
      <w:jc w:val="center"/>
      <w:rPr>
        <w:rFonts w:ascii="Arial" w:hAnsi="Arial" w:cs="Arial"/>
        <w:b/>
        <w:sz w:val="20"/>
        <w:szCs w:val="20"/>
      </w:rPr>
    </w:pPr>
  </w:p>
  <w:p w:rsidR="00EB5E58" w:rsidRPr="00BB13B9" w:rsidRDefault="00EB5E58" w:rsidP="00454E7E">
    <w:pPr>
      <w:pStyle w:val="Footer"/>
      <w:ind w:left="360"/>
      <w:jc w:val="center"/>
      <w:rPr>
        <w:rFonts w:asciiTheme="minorHAnsi" w:hAnsiTheme="minorHAnsi" w:cstheme="minorHAnsi"/>
        <w:sz w:val="22"/>
        <w:szCs w:val="22"/>
      </w:rPr>
    </w:pPr>
    <w:r w:rsidRPr="00BB13B9">
      <w:rPr>
        <w:rFonts w:asciiTheme="minorHAnsi" w:hAnsiTheme="minorHAnsi" w:cstheme="minorHAnsi"/>
        <w:sz w:val="22"/>
        <w:szCs w:val="22"/>
      </w:rPr>
      <w:fldChar w:fldCharType="begin"/>
    </w:r>
    <w:r w:rsidRPr="00BB13B9">
      <w:rPr>
        <w:rFonts w:asciiTheme="minorHAnsi" w:hAnsiTheme="minorHAnsi" w:cstheme="minorHAnsi"/>
        <w:sz w:val="22"/>
        <w:szCs w:val="22"/>
      </w:rPr>
      <w:instrText xml:space="preserve"> PAGE   \* MERGEFORMAT </w:instrText>
    </w:r>
    <w:r w:rsidRPr="00BB13B9">
      <w:rPr>
        <w:rFonts w:asciiTheme="minorHAnsi" w:hAnsiTheme="minorHAnsi" w:cstheme="minorHAnsi"/>
        <w:sz w:val="22"/>
        <w:szCs w:val="22"/>
      </w:rPr>
      <w:fldChar w:fldCharType="separate"/>
    </w:r>
    <w:r w:rsidR="00B43332">
      <w:rPr>
        <w:rFonts w:asciiTheme="minorHAnsi" w:hAnsiTheme="minorHAnsi" w:cstheme="minorHAnsi"/>
        <w:noProof/>
        <w:sz w:val="22"/>
        <w:szCs w:val="22"/>
      </w:rPr>
      <w:t>12</w:t>
    </w:r>
    <w:r w:rsidRPr="00BB13B9">
      <w:rPr>
        <w:rFonts w:asciiTheme="minorHAnsi" w:hAnsiTheme="minorHAnsi" w:cstheme="minorHAnsi"/>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B5E58" w:rsidTr="005A3173">
      <w:trPr>
        <w:trHeight w:val="151"/>
      </w:trPr>
      <w:tc>
        <w:tcPr>
          <w:tcW w:w="2250" w:type="pct"/>
          <w:tcBorders>
            <w:top w:val="nil"/>
            <w:left w:val="nil"/>
            <w:bottom w:val="single" w:sz="4" w:space="0" w:color="4F81BD"/>
            <w:right w:val="nil"/>
          </w:tcBorders>
        </w:tcPr>
        <w:p w:rsidR="00EB5E58" w:rsidRPr="005A3173" w:rsidRDefault="00EB5E5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B5E58" w:rsidRPr="005A3173" w:rsidRDefault="00EB5E5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B5E58" w:rsidRPr="005A3173" w:rsidRDefault="00EB5E58" w:rsidP="005A3173">
          <w:pPr>
            <w:pStyle w:val="Header"/>
            <w:spacing w:line="276" w:lineRule="auto"/>
            <w:rPr>
              <w:rFonts w:ascii="Calibri" w:eastAsia="MS Gothic" w:hAnsi="Calibri"/>
              <w:b/>
              <w:bCs/>
              <w:color w:val="4F81BD"/>
            </w:rPr>
          </w:pPr>
        </w:p>
      </w:tc>
    </w:tr>
    <w:tr w:rsidR="00EB5E58" w:rsidTr="005A3173">
      <w:trPr>
        <w:trHeight w:val="150"/>
      </w:trPr>
      <w:tc>
        <w:tcPr>
          <w:tcW w:w="2250" w:type="pct"/>
          <w:tcBorders>
            <w:top w:val="single" w:sz="4" w:space="0" w:color="4F81BD"/>
            <w:left w:val="nil"/>
            <w:bottom w:val="nil"/>
            <w:right w:val="nil"/>
          </w:tcBorders>
        </w:tcPr>
        <w:p w:rsidR="00EB5E58" w:rsidRPr="005A3173" w:rsidRDefault="00EB5E58" w:rsidP="005A3173">
          <w:pPr>
            <w:pStyle w:val="Header"/>
            <w:spacing w:line="276" w:lineRule="auto"/>
            <w:rPr>
              <w:rFonts w:ascii="Calibri" w:eastAsia="MS Gothic" w:hAnsi="Calibri"/>
              <w:b/>
              <w:bCs/>
              <w:color w:val="4F81BD"/>
            </w:rPr>
          </w:pPr>
        </w:p>
      </w:tc>
      <w:tc>
        <w:tcPr>
          <w:tcW w:w="0" w:type="auto"/>
          <w:vMerge/>
          <w:vAlign w:val="center"/>
          <w:hideMark/>
        </w:tcPr>
        <w:p w:rsidR="00EB5E58" w:rsidRPr="005A3173" w:rsidRDefault="00EB5E58" w:rsidP="005A3173">
          <w:pPr>
            <w:rPr>
              <w:rFonts w:ascii="Calibri" w:hAnsi="Calibri"/>
              <w:color w:val="365F91"/>
              <w:sz w:val="22"/>
              <w:szCs w:val="22"/>
            </w:rPr>
          </w:pPr>
        </w:p>
      </w:tc>
      <w:tc>
        <w:tcPr>
          <w:tcW w:w="2250" w:type="pct"/>
          <w:tcBorders>
            <w:top w:val="single" w:sz="4" w:space="0" w:color="4F81BD"/>
            <w:left w:val="nil"/>
            <w:bottom w:val="nil"/>
            <w:right w:val="nil"/>
          </w:tcBorders>
        </w:tcPr>
        <w:p w:rsidR="00EB5E58" w:rsidRPr="005A3173" w:rsidRDefault="00EB5E5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B5E58" w:rsidTr="005A3173">
      <w:trPr>
        <w:trHeight w:val="151"/>
      </w:trPr>
      <w:tc>
        <w:tcPr>
          <w:tcW w:w="2250" w:type="pct"/>
          <w:tcBorders>
            <w:top w:val="nil"/>
            <w:left w:val="nil"/>
            <w:bottom w:val="single" w:sz="4" w:space="0" w:color="4F81BD"/>
            <w:right w:val="nil"/>
          </w:tcBorders>
        </w:tcPr>
        <w:p w:rsidR="00EB5E58" w:rsidRPr="005A3173" w:rsidRDefault="00EB5E5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B5E58" w:rsidRPr="005A3173" w:rsidRDefault="00EB5E5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B5E58" w:rsidRPr="005A3173" w:rsidRDefault="00EB5E58" w:rsidP="005A3173">
          <w:pPr>
            <w:pStyle w:val="Header"/>
            <w:spacing w:line="276" w:lineRule="auto"/>
            <w:rPr>
              <w:rFonts w:ascii="Calibri" w:eastAsia="MS Gothic" w:hAnsi="Calibri"/>
              <w:b/>
              <w:bCs/>
              <w:color w:val="4F81BD"/>
            </w:rPr>
          </w:pPr>
        </w:p>
      </w:tc>
    </w:tr>
    <w:tr w:rsidR="00EB5E58" w:rsidTr="005A3173">
      <w:trPr>
        <w:trHeight w:val="150"/>
      </w:trPr>
      <w:tc>
        <w:tcPr>
          <w:tcW w:w="2250" w:type="pct"/>
          <w:tcBorders>
            <w:top w:val="single" w:sz="4" w:space="0" w:color="4F81BD"/>
            <w:left w:val="nil"/>
            <w:bottom w:val="nil"/>
            <w:right w:val="nil"/>
          </w:tcBorders>
        </w:tcPr>
        <w:p w:rsidR="00EB5E58" w:rsidRPr="005A3173" w:rsidRDefault="00EB5E58" w:rsidP="005A3173">
          <w:pPr>
            <w:pStyle w:val="Header"/>
            <w:spacing w:line="276" w:lineRule="auto"/>
            <w:rPr>
              <w:rFonts w:ascii="Calibri" w:eastAsia="MS Gothic" w:hAnsi="Calibri"/>
              <w:b/>
              <w:bCs/>
              <w:color w:val="4F81BD"/>
            </w:rPr>
          </w:pPr>
        </w:p>
      </w:tc>
      <w:tc>
        <w:tcPr>
          <w:tcW w:w="0" w:type="auto"/>
          <w:vMerge/>
          <w:vAlign w:val="center"/>
          <w:hideMark/>
        </w:tcPr>
        <w:p w:rsidR="00EB5E58" w:rsidRPr="005A3173" w:rsidRDefault="00EB5E58" w:rsidP="005A3173">
          <w:pPr>
            <w:rPr>
              <w:rFonts w:ascii="Calibri" w:hAnsi="Calibri"/>
              <w:color w:val="365F91"/>
              <w:sz w:val="22"/>
              <w:szCs w:val="22"/>
            </w:rPr>
          </w:pPr>
        </w:p>
      </w:tc>
      <w:tc>
        <w:tcPr>
          <w:tcW w:w="2250" w:type="pct"/>
          <w:tcBorders>
            <w:top w:val="single" w:sz="4" w:space="0" w:color="4F81BD"/>
            <w:left w:val="nil"/>
            <w:bottom w:val="nil"/>
            <w:right w:val="nil"/>
          </w:tcBorders>
        </w:tcPr>
        <w:p w:rsidR="00EB5E58" w:rsidRPr="005A3173" w:rsidRDefault="00EB5E58" w:rsidP="005A3173">
          <w:pPr>
            <w:pStyle w:val="Header"/>
            <w:spacing w:line="276" w:lineRule="auto"/>
            <w:rPr>
              <w:rFonts w:ascii="Calibri" w:eastAsia="MS Gothic" w:hAnsi="Calibri"/>
              <w:b/>
              <w:bCs/>
              <w:color w:val="4F81BD"/>
            </w:rPr>
          </w:pPr>
        </w:p>
      </w:tc>
    </w:tr>
  </w:tbl>
  <w:p w:rsidR="00EB5E58" w:rsidRPr="007C0F57" w:rsidRDefault="00EB5E5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B5E58" w:rsidRPr="007C0F57" w:rsidRDefault="00EB5E58" w:rsidP="007C0F57">
    <w:pPr>
      <w:pStyle w:val="Footer"/>
      <w:jc w:val="center"/>
      <w:rPr>
        <w:b/>
        <w:i/>
        <w:sz w:val="20"/>
        <w:szCs w:val="20"/>
      </w:rPr>
    </w:pPr>
    <w:r w:rsidRPr="007C0F57">
      <w:rPr>
        <w:b/>
        <w:i/>
        <w:sz w:val="20"/>
        <w:szCs w:val="20"/>
      </w:rPr>
      <w:t>Commercial-in-Confidence</w:t>
    </w:r>
  </w:p>
  <w:p w:rsidR="00EB5E58" w:rsidRDefault="00EB5E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616" w:rsidRDefault="00F83616">
      <w:r>
        <w:separator/>
      </w:r>
    </w:p>
    <w:p w:rsidR="00F83616" w:rsidRDefault="00F83616"/>
  </w:footnote>
  <w:footnote w:type="continuationSeparator" w:id="0">
    <w:p w:rsidR="00F83616" w:rsidRDefault="00F83616">
      <w:r>
        <w:continuationSeparator/>
      </w:r>
    </w:p>
    <w:p w:rsidR="00F83616" w:rsidRDefault="00F836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B5E58" w:rsidRPr="008E0D90" w:rsidTr="00A06225">
      <w:trPr>
        <w:trHeight w:val="151"/>
      </w:trPr>
      <w:tc>
        <w:tcPr>
          <w:tcW w:w="2389" w:type="pct"/>
          <w:tcBorders>
            <w:top w:val="nil"/>
            <w:left w:val="nil"/>
            <w:bottom w:val="single" w:sz="4" w:space="0" w:color="4F81BD"/>
            <w:right w:val="nil"/>
          </w:tcBorders>
        </w:tcPr>
        <w:p w:rsidR="00EB5E58" w:rsidRPr="00A06225" w:rsidRDefault="00EB5E58">
          <w:pPr>
            <w:pStyle w:val="Header"/>
            <w:spacing w:line="276" w:lineRule="auto"/>
            <w:rPr>
              <w:rFonts w:ascii="Cambria" w:eastAsia="MS Gothic" w:hAnsi="Cambria"/>
              <w:b/>
              <w:bCs/>
              <w:color w:val="4F81BD"/>
            </w:rPr>
          </w:pPr>
        </w:p>
      </w:tc>
      <w:tc>
        <w:tcPr>
          <w:tcW w:w="333" w:type="pct"/>
          <w:vMerge w:val="restart"/>
          <w:noWrap/>
          <w:vAlign w:val="center"/>
          <w:hideMark/>
        </w:tcPr>
        <w:p w:rsidR="00EB5E58" w:rsidRPr="00A06225" w:rsidRDefault="00EB5E5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B5E58" w:rsidRPr="00A06225" w:rsidRDefault="00EB5E58">
          <w:pPr>
            <w:pStyle w:val="Header"/>
            <w:spacing w:line="276" w:lineRule="auto"/>
            <w:rPr>
              <w:rFonts w:ascii="Cambria" w:eastAsia="MS Gothic" w:hAnsi="Cambria"/>
              <w:b/>
              <w:bCs/>
              <w:color w:val="4F81BD"/>
            </w:rPr>
          </w:pPr>
        </w:p>
      </w:tc>
    </w:tr>
    <w:tr w:rsidR="00EB5E58" w:rsidRPr="008E0D90" w:rsidTr="00A06225">
      <w:trPr>
        <w:trHeight w:val="150"/>
      </w:trPr>
      <w:tc>
        <w:tcPr>
          <w:tcW w:w="2389" w:type="pct"/>
          <w:tcBorders>
            <w:top w:val="single" w:sz="4" w:space="0" w:color="4F81BD"/>
            <w:left w:val="nil"/>
            <w:bottom w:val="nil"/>
            <w:right w:val="nil"/>
          </w:tcBorders>
        </w:tcPr>
        <w:p w:rsidR="00EB5E58" w:rsidRPr="00A06225" w:rsidRDefault="00EB5E58">
          <w:pPr>
            <w:pStyle w:val="Header"/>
            <w:spacing w:line="276" w:lineRule="auto"/>
            <w:rPr>
              <w:rFonts w:ascii="Cambria" w:eastAsia="MS Gothic" w:hAnsi="Cambria"/>
              <w:b/>
              <w:bCs/>
              <w:color w:val="4F81BD"/>
            </w:rPr>
          </w:pPr>
        </w:p>
      </w:tc>
      <w:tc>
        <w:tcPr>
          <w:tcW w:w="0" w:type="auto"/>
          <w:vMerge/>
          <w:vAlign w:val="center"/>
          <w:hideMark/>
        </w:tcPr>
        <w:p w:rsidR="00EB5E58" w:rsidRPr="00A06225" w:rsidRDefault="00EB5E58">
          <w:pPr>
            <w:rPr>
              <w:rFonts w:ascii="Cambria" w:hAnsi="Cambria"/>
              <w:color w:val="4F81BD"/>
              <w:sz w:val="22"/>
              <w:szCs w:val="22"/>
            </w:rPr>
          </w:pPr>
        </w:p>
      </w:tc>
      <w:tc>
        <w:tcPr>
          <w:tcW w:w="2278" w:type="pct"/>
          <w:tcBorders>
            <w:top w:val="single" w:sz="4" w:space="0" w:color="4F81BD"/>
            <w:left w:val="nil"/>
            <w:bottom w:val="nil"/>
            <w:right w:val="nil"/>
          </w:tcBorders>
        </w:tcPr>
        <w:p w:rsidR="00EB5E58" w:rsidRPr="00A06225" w:rsidRDefault="00EB5E58">
          <w:pPr>
            <w:pStyle w:val="Header"/>
            <w:spacing w:line="276" w:lineRule="auto"/>
            <w:rPr>
              <w:rFonts w:ascii="Cambria" w:eastAsia="MS Gothic" w:hAnsi="Cambria"/>
              <w:b/>
              <w:bCs/>
              <w:color w:val="4F81BD"/>
            </w:rPr>
          </w:pPr>
        </w:p>
      </w:tc>
    </w:tr>
  </w:tbl>
  <w:p w:rsidR="00EB5E58" w:rsidRDefault="00EB5E58">
    <w:pPr>
      <w:pStyle w:val="Header"/>
    </w:pPr>
  </w:p>
  <w:p w:rsidR="00EB5E58" w:rsidRDefault="00EB5E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58" w:rsidRPr="00856AC0" w:rsidRDefault="00EB5E58" w:rsidP="00856AC0">
    <w:pPr>
      <w:tabs>
        <w:tab w:val="center" w:pos="4513"/>
        <w:tab w:val="right" w:pos="9026"/>
      </w:tabs>
      <w:jc w:val="center"/>
      <w:rPr>
        <w:rFonts w:asciiTheme="minorHAnsi" w:eastAsiaTheme="minorHAnsi" w:hAnsiTheme="minorHAnsi" w:cstheme="minorHAnsi"/>
        <w:i/>
        <w:color w:val="808080"/>
        <w:sz w:val="22"/>
        <w:szCs w:val="22"/>
        <w:lang w:eastAsia="en-US"/>
      </w:rPr>
    </w:pPr>
    <w:r w:rsidRPr="00856AC0">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856AC0">
      <w:rPr>
        <w:rFonts w:asciiTheme="minorHAnsi" w:eastAsiaTheme="minorHAnsi" w:hAnsiTheme="minorHAnsi" w:cstheme="minorHAnsi"/>
        <w:i/>
        <w:color w:val="808080"/>
        <w:sz w:val="22"/>
        <w:szCs w:val="22"/>
        <w:lang w:eastAsia="en-US"/>
      </w:rPr>
      <w:t xml:space="preserve"> PBAC Meeting</w:t>
    </w:r>
  </w:p>
  <w:p w:rsidR="00EB5E58" w:rsidRDefault="00EB5E58"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616" w:rsidRDefault="00F83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7BD72E5"/>
    <w:multiLevelType w:val="hybridMultilevel"/>
    <w:tmpl w:val="6D40AABE"/>
    <w:lvl w:ilvl="0" w:tplc="62027A7C">
      <w:start w:val="1"/>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20B862E1"/>
    <w:multiLevelType w:val="hybridMultilevel"/>
    <w:tmpl w:val="73666DB8"/>
    <w:lvl w:ilvl="0" w:tplc="97AADBD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6F44C2"/>
    <w:multiLevelType w:val="multilevel"/>
    <w:tmpl w:val="A4FE1C5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4E6825"/>
    <w:multiLevelType w:val="multilevel"/>
    <w:tmpl w:val="434623BC"/>
    <w:lvl w:ilvl="0">
      <w:start w:val="1"/>
      <w:numFmt w:val="decimal"/>
      <w:lvlText w:val="%1"/>
      <w:lvlJc w:val="left"/>
      <w:pPr>
        <w:ind w:left="432" w:hanging="432"/>
      </w:pPr>
      <w:rPr>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0129DD"/>
    <w:multiLevelType w:val="hybridMultilevel"/>
    <w:tmpl w:val="A19EC0FA"/>
    <w:lvl w:ilvl="0" w:tplc="ACB67618">
      <w:start w:val="2"/>
      <w:numFmt w:val="decimal"/>
      <w:lvlText w:val="%1."/>
      <w:lvlJc w:val="right"/>
      <w:pPr>
        <w:tabs>
          <w:tab w:val="num" w:pos="720"/>
        </w:tabs>
        <w:ind w:left="720" w:hanging="360"/>
      </w:pPr>
      <w:rPr>
        <w:rFonts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20">
    <w:nsid w:val="3A29705F"/>
    <w:multiLevelType w:val="hybridMultilevel"/>
    <w:tmpl w:val="8E32B1E6"/>
    <w:lvl w:ilvl="0" w:tplc="F306F84A">
      <w:start w:val="1"/>
      <w:numFmt w:val="decimal"/>
      <w:lvlText w:val="%1."/>
      <w:lvlJc w:val="left"/>
      <w:pPr>
        <w:tabs>
          <w:tab w:val="num" w:pos="360"/>
        </w:tabs>
        <w:ind w:left="360" w:hanging="360"/>
      </w:pPr>
      <w:rPr>
        <w:rFonts w:hint="default"/>
      </w:rPr>
    </w:lvl>
    <w:lvl w:ilvl="1" w:tplc="869C860E" w:tentative="1">
      <w:start w:val="1"/>
      <w:numFmt w:val="bullet"/>
      <w:lvlText w:val="o"/>
      <w:lvlJc w:val="left"/>
      <w:pPr>
        <w:tabs>
          <w:tab w:val="num" w:pos="1080"/>
        </w:tabs>
        <w:ind w:left="1080" w:hanging="360"/>
      </w:pPr>
      <w:rPr>
        <w:rFonts w:ascii="Courier New" w:hAnsi="Courier New" w:cs="Courier New" w:hint="default"/>
      </w:rPr>
    </w:lvl>
    <w:lvl w:ilvl="2" w:tplc="41EE92A0" w:tentative="1">
      <w:start w:val="1"/>
      <w:numFmt w:val="bullet"/>
      <w:lvlText w:val=""/>
      <w:lvlJc w:val="left"/>
      <w:pPr>
        <w:tabs>
          <w:tab w:val="num" w:pos="1800"/>
        </w:tabs>
        <w:ind w:left="1800" w:hanging="360"/>
      </w:pPr>
      <w:rPr>
        <w:rFonts w:ascii="Wingdings" w:hAnsi="Wingdings" w:hint="default"/>
      </w:rPr>
    </w:lvl>
    <w:lvl w:ilvl="3" w:tplc="7BE80782" w:tentative="1">
      <w:start w:val="1"/>
      <w:numFmt w:val="bullet"/>
      <w:lvlText w:val=""/>
      <w:lvlJc w:val="left"/>
      <w:pPr>
        <w:tabs>
          <w:tab w:val="num" w:pos="2520"/>
        </w:tabs>
        <w:ind w:left="2520" w:hanging="360"/>
      </w:pPr>
      <w:rPr>
        <w:rFonts w:ascii="Symbol" w:hAnsi="Symbol" w:hint="default"/>
      </w:rPr>
    </w:lvl>
    <w:lvl w:ilvl="4" w:tplc="66BCBC84" w:tentative="1">
      <w:start w:val="1"/>
      <w:numFmt w:val="bullet"/>
      <w:lvlText w:val="o"/>
      <w:lvlJc w:val="left"/>
      <w:pPr>
        <w:tabs>
          <w:tab w:val="num" w:pos="3240"/>
        </w:tabs>
        <w:ind w:left="3240" w:hanging="360"/>
      </w:pPr>
      <w:rPr>
        <w:rFonts w:ascii="Courier New" w:hAnsi="Courier New" w:cs="Courier New" w:hint="default"/>
      </w:rPr>
    </w:lvl>
    <w:lvl w:ilvl="5" w:tplc="B920B2C2" w:tentative="1">
      <w:start w:val="1"/>
      <w:numFmt w:val="bullet"/>
      <w:lvlText w:val=""/>
      <w:lvlJc w:val="left"/>
      <w:pPr>
        <w:tabs>
          <w:tab w:val="num" w:pos="3960"/>
        </w:tabs>
        <w:ind w:left="3960" w:hanging="360"/>
      </w:pPr>
      <w:rPr>
        <w:rFonts w:ascii="Wingdings" w:hAnsi="Wingdings" w:hint="default"/>
      </w:rPr>
    </w:lvl>
    <w:lvl w:ilvl="6" w:tplc="59EE8322" w:tentative="1">
      <w:start w:val="1"/>
      <w:numFmt w:val="bullet"/>
      <w:lvlText w:val=""/>
      <w:lvlJc w:val="left"/>
      <w:pPr>
        <w:tabs>
          <w:tab w:val="num" w:pos="4680"/>
        </w:tabs>
        <w:ind w:left="4680" w:hanging="360"/>
      </w:pPr>
      <w:rPr>
        <w:rFonts w:ascii="Symbol" w:hAnsi="Symbol" w:hint="default"/>
      </w:rPr>
    </w:lvl>
    <w:lvl w:ilvl="7" w:tplc="52D41B08" w:tentative="1">
      <w:start w:val="1"/>
      <w:numFmt w:val="bullet"/>
      <w:lvlText w:val="o"/>
      <w:lvlJc w:val="left"/>
      <w:pPr>
        <w:tabs>
          <w:tab w:val="num" w:pos="5400"/>
        </w:tabs>
        <w:ind w:left="5400" w:hanging="360"/>
      </w:pPr>
      <w:rPr>
        <w:rFonts w:ascii="Courier New" w:hAnsi="Courier New" w:cs="Courier New" w:hint="default"/>
      </w:rPr>
    </w:lvl>
    <w:lvl w:ilvl="8" w:tplc="4ADC39B2" w:tentative="1">
      <w:start w:val="1"/>
      <w:numFmt w:val="bullet"/>
      <w:lvlText w:val=""/>
      <w:lvlJc w:val="left"/>
      <w:pPr>
        <w:tabs>
          <w:tab w:val="num" w:pos="6120"/>
        </w:tabs>
        <w:ind w:left="6120" w:hanging="360"/>
      </w:pPr>
      <w:rPr>
        <w:rFonts w:ascii="Wingdings" w:hAnsi="Wingdings" w:hint="default"/>
      </w:rPr>
    </w:lvl>
  </w:abstractNum>
  <w:abstractNum w:abstractNumId="21">
    <w:nsid w:val="40071978"/>
    <w:multiLevelType w:val="multilevel"/>
    <w:tmpl w:val="4A004AF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8646E0"/>
    <w:multiLevelType w:val="multilevel"/>
    <w:tmpl w:val="A4FE1C5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EC416AD"/>
    <w:multiLevelType w:val="hybridMultilevel"/>
    <w:tmpl w:val="1B029568"/>
    <w:lvl w:ilvl="0" w:tplc="0C09000F">
      <w:start w:val="1"/>
      <w:numFmt w:val="decimal"/>
      <w:lvlText w:val="%1."/>
      <w:lvlJc w:val="left"/>
      <w:pPr>
        <w:tabs>
          <w:tab w:val="num" w:pos="720"/>
        </w:tabs>
        <w:ind w:left="720" w:hanging="360"/>
      </w:pPr>
      <w:rPr>
        <w:rFonts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26">
    <w:nsid w:val="784D033C"/>
    <w:multiLevelType w:val="multilevel"/>
    <w:tmpl w:val="8752FF0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E1D03D1"/>
    <w:multiLevelType w:val="multilevel"/>
    <w:tmpl w:val="4A004AF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22"/>
  </w:num>
  <w:num w:numId="5">
    <w:abstractNumId w:val="26"/>
  </w:num>
  <w:num w:numId="6">
    <w:abstractNumId w:val="9"/>
  </w:num>
  <w:num w:numId="7">
    <w:abstractNumId w:val="18"/>
  </w:num>
  <w:num w:numId="8">
    <w:abstractNumId w:val="5"/>
  </w:num>
  <w:num w:numId="9">
    <w:abstractNumId w:val="17"/>
  </w:num>
  <w:num w:numId="10">
    <w:abstractNumId w:val="16"/>
  </w:num>
  <w:num w:numId="11">
    <w:abstractNumId w:val="15"/>
  </w:num>
  <w:num w:numId="12">
    <w:abstractNumId w:val="1"/>
  </w:num>
  <w:num w:numId="13">
    <w:abstractNumId w:val="0"/>
  </w:num>
  <w:num w:numId="14">
    <w:abstractNumId w:val="26"/>
  </w:num>
  <w:num w:numId="15">
    <w:abstractNumId w:val="4"/>
  </w:num>
  <w:num w:numId="16">
    <w:abstractNumId w:val="14"/>
  </w:num>
  <w:num w:numId="17">
    <w:abstractNumId w:val="20"/>
  </w:num>
  <w:num w:numId="18">
    <w:abstractNumId w:val="19"/>
  </w:num>
  <w:num w:numId="19">
    <w:abstractNumId w:val="25"/>
  </w:num>
  <w:num w:numId="20">
    <w:abstractNumId w:val="24"/>
  </w:num>
  <w:num w:numId="21">
    <w:abstractNumId w:val="12"/>
  </w:num>
  <w:num w:numId="22">
    <w:abstractNumId w:val="27"/>
  </w:num>
  <w:num w:numId="23">
    <w:abstractNumId w:val="21"/>
  </w:num>
  <w:num w:numId="24">
    <w:abstractNumId w:val="11"/>
  </w:num>
  <w:num w:numId="25">
    <w:abstractNumId w:val="8"/>
  </w:num>
  <w:num w:numId="26">
    <w:abstractNumId w:val="23"/>
  </w:num>
  <w:num w:numId="27">
    <w:abstractNumId w:val="6"/>
  </w:num>
  <w:num w:numId="28">
    <w:abstractNumId w:val="2"/>
  </w:num>
  <w:num w:numId="2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5985"/>
    <w:rsid w:val="000177C1"/>
    <w:rsid w:val="00021520"/>
    <w:rsid w:val="00022545"/>
    <w:rsid w:val="0002464A"/>
    <w:rsid w:val="0003106B"/>
    <w:rsid w:val="000313A1"/>
    <w:rsid w:val="00034531"/>
    <w:rsid w:val="00037FDE"/>
    <w:rsid w:val="00041181"/>
    <w:rsid w:val="000421A1"/>
    <w:rsid w:val="0004240E"/>
    <w:rsid w:val="00045E26"/>
    <w:rsid w:val="00047B40"/>
    <w:rsid w:val="000514B5"/>
    <w:rsid w:val="00056942"/>
    <w:rsid w:val="00057BE9"/>
    <w:rsid w:val="00060E64"/>
    <w:rsid w:val="00066755"/>
    <w:rsid w:val="00067ACD"/>
    <w:rsid w:val="00075ED2"/>
    <w:rsid w:val="00077143"/>
    <w:rsid w:val="00082169"/>
    <w:rsid w:val="000963FC"/>
    <w:rsid w:val="000969AD"/>
    <w:rsid w:val="000A2F04"/>
    <w:rsid w:val="000A3BE6"/>
    <w:rsid w:val="000A4724"/>
    <w:rsid w:val="000B558D"/>
    <w:rsid w:val="000C6996"/>
    <w:rsid w:val="000D23BA"/>
    <w:rsid w:val="000D459C"/>
    <w:rsid w:val="000E320B"/>
    <w:rsid w:val="000E497C"/>
    <w:rsid w:val="000E565B"/>
    <w:rsid w:val="000E681E"/>
    <w:rsid w:val="000E701C"/>
    <w:rsid w:val="000F0003"/>
    <w:rsid w:val="000F00F8"/>
    <w:rsid w:val="000F3B64"/>
    <w:rsid w:val="000F4E6A"/>
    <w:rsid w:val="000F772B"/>
    <w:rsid w:val="00104227"/>
    <w:rsid w:val="001107BF"/>
    <w:rsid w:val="0012417C"/>
    <w:rsid w:val="0013061D"/>
    <w:rsid w:val="00132A8C"/>
    <w:rsid w:val="00142395"/>
    <w:rsid w:val="00142714"/>
    <w:rsid w:val="001443E8"/>
    <w:rsid w:val="001452ED"/>
    <w:rsid w:val="00155048"/>
    <w:rsid w:val="00163329"/>
    <w:rsid w:val="00164623"/>
    <w:rsid w:val="001650E5"/>
    <w:rsid w:val="001657CB"/>
    <w:rsid w:val="00165B64"/>
    <w:rsid w:val="00175BCD"/>
    <w:rsid w:val="0017767E"/>
    <w:rsid w:val="00180713"/>
    <w:rsid w:val="001830CE"/>
    <w:rsid w:val="00183A0F"/>
    <w:rsid w:val="0018643B"/>
    <w:rsid w:val="00196307"/>
    <w:rsid w:val="0019694E"/>
    <w:rsid w:val="001A33EA"/>
    <w:rsid w:val="001B017F"/>
    <w:rsid w:val="001B2BBC"/>
    <w:rsid w:val="001B5129"/>
    <w:rsid w:val="001C1195"/>
    <w:rsid w:val="001E6582"/>
    <w:rsid w:val="001F1850"/>
    <w:rsid w:val="001F1D50"/>
    <w:rsid w:val="001F560B"/>
    <w:rsid w:val="00203FAC"/>
    <w:rsid w:val="002072AA"/>
    <w:rsid w:val="00207C6B"/>
    <w:rsid w:val="00213CFB"/>
    <w:rsid w:val="00214836"/>
    <w:rsid w:val="0021489C"/>
    <w:rsid w:val="00217BE1"/>
    <w:rsid w:val="00225299"/>
    <w:rsid w:val="00227D99"/>
    <w:rsid w:val="00230941"/>
    <w:rsid w:val="00232FB0"/>
    <w:rsid w:val="00245B9A"/>
    <w:rsid w:val="00246EC5"/>
    <w:rsid w:val="002479D8"/>
    <w:rsid w:val="00271BA1"/>
    <w:rsid w:val="00272DB5"/>
    <w:rsid w:val="002762FA"/>
    <w:rsid w:val="00277505"/>
    <w:rsid w:val="00280420"/>
    <w:rsid w:val="002804DB"/>
    <w:rsid w:val="00282E75"/>
    <w:rsid w:val="00283A23"/>
    <w:rsid w:val="00287366"/>
    <w:rsid w:val="0029458F"/>
    <w:rsid w:val="002A104C"/>
    <w:rsid w:val="002A23D0"/>
    <w:rsid w:val="002A4960"/>
    <w:rsid w:val="002B1AE6"/>
    <w:rsid w:val="002B2DE8"/>
    <w:rsid w:val="002B30F8"/>
    <w:rsid w:val="002B5596"/>
    <w:rsid w:val="002C1390"/>
    <w:rsid w:val="002C212F"/>
    <w:rsid w:val="002C2317"/>
    <w:rsid w:val="002D4543"/>
    <w:rsid w:val="002E3153"/>
    <w:rsid w:val="002E3F28"/>
    <w:rsid w:val="002E72CA"/>
    <w:rsid w:val="002F600D"/>
    <w:rsid w:val="00300AD6"/>
    <w:rsid w:val="00300D64"/>
    <w:rsid w:val="003061F8"/>
    <w:rsid w:val="00317C6C"/>
    <w:rsid w:val="003210A8"/>
    <w:rsid w:val="003234CE"/>
    <w:rsid w:val="00326E79"/>
    <w:rsid w:val="00332A20"/>
    <w:rsid w:val="00332E32"/>
    <w:rsid w:val="00333BD3"/>
    <w:rsid w:val="0033518A"/>
    <w:rsid w:val="00335500"/>
    <w:rsid w:val="003367EF"/>
    <w:rsid w:val="00341AE4"/>
    <w:rsid w:val="0034735C"/>
    <w:rsid w:val="00352715"/>
    <w:rsid w:val="00374C58"/>
    <w:rsid w:val="00376F66"/>
    <w:rsid w:val="00377D97"/>
    <w:rsid w:val="003817D3"/>
    <w:rsid w:val="003872CF"/>
    <w:rsid w:val="003917C1"/>
    <w:rsid w:val="0039782C"/>
    <w:rsid w:val="003A0AFC"/>
    <w:rsid w:val="003A10CD"/>
    <w:rsid w:val="003A3A97"/>
    <w:rsid w:val="003A3C71"/>
    <w:rsid w:val="003A5B4A"/>
    <w:rsid w:val="003B23C5"/>
    <w:rsid w:val="003B2A75"/>
    <w:rsid w:val="003B468A"/>
    <w:rsid w:val="003B4FD5"/>
    <w:rsid w:val="003B6124"/>
    <w:rsid w:val="003B7129"/>
    <w:rsid w:val="003C2FB5"/>
    <w:rsid w:val="003D0FBF"/>
    <w:rsid w:val="003D4AC4"/>
    <w:rsid w:val="003D63B7"/>
    <w:rsid w:val="003E16E4"/>
    <w:rsid w:val="003E468B"/>
    <w:rsid w:val="003E4C94"/>
    <w:rsid w:val="003F0949"/>
    <w:rsid w:val="003F3228"/>
    <w:rsid w:val="003F40F1"/>
    <w:rsid w:val="003F5C8C"/>
    <w:rsid w:val="00403CBD"/>
    <w:rsid w:val="00420ED2"/>
    <w:rsid w:val="004226A9"/>
    <w:rsid w:val="004252EC"/>
    <w:rsid w:val="00437015"/>
    <w:rsid w:val="004465BD"/>
    <w:rsid w:val="00446FA3"/>
    <w:rsid w:val="00454E7E"/>
    <w:rsid w:val="00455146"/>
    <w:rsid w:val="00460BA1"/>
    <w:rsid w:val="0046488D"/>
    <w:rsid w:val="00466ADA"/>
    <w:rsid w:val="004673D0"/>
    <w:rsid w:val="00476245"/>
    <w:rsid w:val="00483035"/>
    <w:rsid w:val="00485940"/>
    <w:rsid w:val="004908AC"/>
    <w:rsid w:val="004A00AC"/>
    <w:rsid w:val="004A2484"/>
    <w:rsid w:val="004A5A85"/>
    <w:rsid w:val="004A71D1"/>
    <w:rsid w:val="004B5640"/>
    <w:rsid w:val="004C1BD7"/>
    <w:rsid w:val="004C31FE"/>
    <w:rsid w:val="004C691D"/>
    <w:rsid w:val="004C6C07"/>
    <w:rsid w:val="004D2665"/>
    <w:rsid w:val="004D7AEC"/>
    <w:rsid w:val="004E692D"/>
    <w:rsid w:val="00501554"/>
    <w:rsid w:val="00501803"/>
    <w:rsid w:val="005030F6"/>
    <w:rsid w:val="00514CD7"/>
    <w:rsid w:val="0051548A"/>
    <w:rsid w:val="00527D2F"/>
    <w:rsid w:val="005319B2"/>
    <w:rsid w:val="00532402"/>
    <w:rsid w:val="00532B2E"/>
    <w:rsid w:val="00532C74"/>
    <w:rsid w:val="00534E2E"/>
    <w:rsid w:val="00544552"/>
    <w:rsid w:val="00547B02"/>
    <w:rsid w:val="00552601"/>
    <w:rsid w:val="005632F7"/>
    <w:rsid w:val="00577C4D"/>
    <w:rsid w:val="00581932"/>
    <w:rsid w:val="005963BB"/>
    <w:rsid w:val="005A3173"/>
    <w:rsid w:val="005A3223"/>
    <w:rsid w:val="005A3DA3"/>
    <w:rsid w:val="005A52C4"/>
    <w:rsid w:val="005B5650"/>
    <w:rsid w:val="005B73F4"/>
    <w:rsid w:val="005B7C77"/>
    <w:rsid w:val="005B7D79"/>
    <w:rsid w:val="005C034C"/>
    <w:rsid w:val="005C0F06"/>
    <w:rsid w:val="005C4092"/>
    <w:rsid w:val="005C48D8"/>
    <w:rsid w:val="005C5E12"/>
    <w:rsid w:val="005D03AB"/>
    <w:rsid w:val="005D03B9"/>
    <w:rsid w:val="005D5017"/>
    <w:rsid w:val="005E1333"/>
    <w:rsid w:val="005F135C"/>
    <w:rsid w:val="005F4BF4"/>
    <w:rsid w:val="00601A91"/>
    <w:rsid w:val="00602BA3"/>
    <w:rsid w:val="00612E34"/>
    <w:rsid w:val="00614159"/>
    <w:rsid w:val="00617C00"/>
    <w:rsid w:val="00621EEA"/>
    <w:rsid w:val="006263BF"/>
    <w:rsid w:val="0062695F"/>
    <w:rsid w:val="0062748A"/>
    <w:rsid w:val="00630690"/>
    <w:rsid w:val="00630A2C"/>
    <w:rsid w:val="0063300F"/>
    <w:rsid w:val="006338B7"/>
    <w:rsid w:val="00633D55"/>
    <w:rsid w:val="00635ADB"/>
    <w:rsid w:val="0063682E"/>
    <w:rsid w:val="006436CD"/>
    <w:rsid w:val="00643928"/>
    <w:rsid w:val="00647F76"/>
    <w:rsid w:val="00651169"/>
    <w:rsid w:val="00653D69"/>
    <w:rsid w:val="006670BE"/>
    <w:rsid w:val="00670A76"/>
    <w:rsid w:val="006711AA"/>
    <w:rsid w:val="00672B57"/>
    <w:rsid w:val="00675622"/>
    <w:rsid w:val="0067747D"/>
    <w:rsid w:val="006906DB"/>
    <w:rsid w:val="00691E6C"/>
    <w:rsid w:val="00695580"/>
    <w:rsid w:val="00696129"/>
    <w:rsid w:val="00697CF2"/>
    <w:rsid w:val="00697FA8"/>
    <w:rsid w:val="006A12A5"/>
    <w:rsid w:val="006A7781"/>
    <w:rsid w:val="006A7CDE"/>
    <w:rsid w:val="006B0D94"/>
    <w:rsid w:val="006B21B0"/>
    <w:rsid w:val="006B27B8"/>
    <w:rsid w:val="006B485D"/>
    <w:rsid w:val="006B6A8C"/>
    <w:rsid w:val="006C3C02"/>
    <w:rsid w:val="006C4E77"/>
    <w:rsid w:val="006C708E"/>
    <w:rsid w:val="006D14E7"/>
    <w:rsid w:val="006D6493"/>
    <w:rsid w:val="006D6EC7"/>
    <w:rsid w:val="006E7A78"/>
    <w:rsid w:val="006F44C7"/>
    <w:rsid w:val="006F5125"/>
    <w:rsid w:val="00701852"/>
    <w:rsid w:val="00702B6F"/>
    <w:rsid w:val="0071340B"/>
    <w:rsid w:val="007152E3"/>
    <w:rsid w:val="007174BB"/>
    <w:rsid w:val="0072025D"/>
    <w:rsid w:val="0072646B"/>
    <w:rsid w:val="0072654D"/>
    <w:rsid w:val="00733FB5"/>
    <w:rsid w:val="007353D3"/>
    <w:rsid w:val="007435DB"/>
    <w:rsid w:val="00746961"/>
    <w:rsid w:val="00747CD6"/>
    <w:rsid w:val="007507CB"/>
    <w:rsid w:val="007547D1"/>
    <w:rsid w:val="007566CF"/>
    <w:rsid w:val="00757EAC"/>
    <w:rsid w:val="0076260D"/>
    <w:rsid w:val="00763626"/>
    <w:rsid w:val="0076420C"/>
    <w:rsid w:val="00774DC5"/>
    <w:rsid w:val="007753C2"/>
    <w:rsid w:val="00780B32"/>
    <w:rsid w:val="007838B8"/>
    <w:rsid w:val="007B0A78"/>
    <w:rsid w:val="007B5A46"/>
    <w:rsid w:val="007C0F57"/>
    <w:rsid w:val="007C40B6"/>
    <w:rsid w:val="007C668B"/>
    <w:rsid w:val="007C729F"/>
    <w:rsid w:val="007E0CB8"/>
    <w:rsid w:val="007E1D28"/>
    <w:rsid w:val="007E53BD"/>
    <w:rsid w:val="007F2641"/>
    <w:rsid w:val="007F5096"/>
    <w:rsid w:val="007F741A"/>
    <w:rsid w:val="007F7C36"/>
    <w:rsid w:val="00802BB1"/>
    <w:rsid w:val="008062F7"/>
    <w:rsid w:val="00806796"/>
    <w:rsid w:val="008105B2"/>
    <w:rsid w:val="008151D6"/>
    <w:rsid w:val="008156F7"/>
    <w:rsid w:val="0082691F"/>
    <w:rsid w:val="00826F6D"/>
    <w:rsid w:val="008306F3"/>
    <w:rsid w:val="008330AF"/>
    <w:rsid w:val="008524CB"/>
    <w:rsid w:val="00856AC0"/>
    <w:rsid w:val="00856DDD"/>
    <w:rsid w:val="00860990"/>
    <w:rsid w:val="008636C9"/>
    <w:rsid w:val="00863E68"/>
    <w:rsid w:val="00864F48"/>
    <w:rsid w:val="00871E4A"/>
    <w:rsid w:val="00882085"/>
    <w:rsid w:val="00882859"/>
    <w:rsid w:val="00883188"/>
    <w:rsid w:val="008857F5"/>
    <w:rsid w:val="00886CCD"/>
    <w:rsid w:val="00897D58"/>
    <w:rsid w:val="00897F22"/>
    <w:rsid w:val="008A1956"/>
    <w:rsid w:val="008A4937"/>
    <w:rsid w:val="008A50F1"/>
    <w:rsid w:val="008A5C40"/>
    <w:rsid w:val="008C5091"/>
    <w:rsid w:val="008D13B6"/>
    <w:rsid w:val="008D1B5C"/>
    <w:rsid w:val="008D2402"/>
    <w:rsid w:val="008D3C82"/>
    <w:rsid w:val="008D447E"/>
    <w:rsid w:val="008D7A41"/>
    <w:rsid w:val="008E3680"/>
    <w:rsid w:val="008E552E"/>
    <w:rsid w:val="008E5870"/>
    <w:rsid w:val="008F00B1"/>
    <w:rsid w:val="008F1434"/>
    <w:rsid w:val="008F2A3D"/>
    <w:rsid w:val="008F60AE"/>
    <w:rsid w:val="008F6C5F"/>
    <w:rsid w:val="008F7355"/>
    <w:rsid w:val="009038B3"/>
    <w:rsid w:val="009067B7"/>
    <w:rsid w:val="00913FBC"/>
    <w:rsid w:val="00914C22"/>
    <w:rsid w:val="009161F8"/>
    <w:rsid w:val="00930937"/>
    <w:rsid w:val="00933E6C"/>
    <w:rsid w:val="0093544E"/>
    <w:rsid w:val="00937958"/>
    <w:rsid w:val="00942160"/>
    <w:rsid w:val="00943F27"/>
    <w:rsid w:val="00946BFC"/>
    <w:rsid w:val="0095146F"/>
    <w:rsid w:val="0095574D"/>
    <w:rsid w:val="009602C5"/>
    <w:rsid w:val="00962223"/>
    <w:rsid w:val="0096315D"/>
    <w:rsid w:val="00966D0D"/>
    <w:rsid w:val="0097211A"/>
    <w:rsid w:val="00974C21"/>
    <w:rsid w:val="009941B9"/>
    <w:rsid w:val="009B0F67"/>
    <w:rsid w:val="009B3A00"/>
    <w:rsid w:val="009C354C"/>
    <w:rsid w:val="009C703C"/>
    <w:rsid w:val="009D3CAA"/>
    <w:rsid w:val="009E40E1"/>
    <w:rsid w:val="009F0683"/>
    <w:rsid w:val="009F0AEB"/>
    <w:rsid w:val="009F4E46"/>
    <w:rsid w:val="009F5B65"/>
    <w:rsid w:val="009F5F2E"/>
    <w:rsid w:val="009F6EF8"/>
    <w:rsid w:val="00A025F9"/>
    <w:rsid w:val="00A06225"/>
    <w:rsid w:val="00A102E2"/>
    <w:rsid w:val="00A128E6"/>
    <w:rsid w:val="00A26365"/>
    <w:rsid w:val="00A2651C"/>
    <w:rsid w:val="00A302FE"/>
    <w:rsid w:val="00A34E6C"/>
    <w:rsid w:val="00A37050"/>
    <w:rsid w:val="00A37C8D"/>
    <w:rsid w:val="00A4288B"/>
    <w:rsid w:val="00A42D11"/>
    <w:rsid w:val="00A43C45"/>
    <w:rsid w:val="00A5273B"/>
    <w:rsid w:val="00A53A9D"/>
    <w:rsid w:val="00A55FEE"/>
    <w:rsid w:val="00A62C1A"/>
    <w:rsid w:val="00A6426D"/>
    <w:rsid w:val="00A665C1"/>
    <w:rsid w:val="00A70622"/>
    <w:rsid w:val="00A70923"/>
    <w:rsid w:val="00A70977"/>
    <w:rsid w:val="00A72693"/>
    <w:rsid w:val="00A72C92"/>
    <w:rsid w:val="00A77613"/>
    <w:rsid w:val="00A8390C"/>
    <w:rsid w:val="00A928BD"/>
    <w:rsid w:val="00A976C5"/>
    <w:rsid w:val="00AA10A4"/>
    <w:rsid w:val="00AA4D1C"/>
    <w:rsid w:val="00AB0706"/>
    <w:rsid w:val="00AC193C"/>
    <w:rsid w:val="00AC5206"/>
    <w:rsid w:val="00AE11A5"/>
    <w:rsid w:val="00AE13E2"/>
    <w:rsid w:val="00AE22D3"/>
    <w:rsid w:val="00AE2BC4"/>
    <w:rsid w:val="00AE7CF7"/>
    <w:rsid w:val="00AF62DF"/>
    <w:rsid w:val="00AF68CC"/>
    <w:rsid w:val="00B1059E"/>
    <w:rsid w:val="00B13004"/>
    <w:rsid w:val="00B176C8"/>
    <w:rsid w:val="00B205AA"/>
    <w:rsid w:val="00B22E84"/>
    <w:rsid w:val="00B25F75"/>
    <w:rsid w:val="00B26B3F"/>
    <w:rsid w:val="00B43113"/>
    <w:rsid w:val="00B43332"/>
    <w:rsid w:val="00B43E90"/>
    <w:rsid w:val="00B467DC"/>
    <w:rsid w:val="00B56118"/>
    <w:rsid w:val="00B64EFD"/>
    <w:rsid w:val="00B66F38"/>
    <w:rsid w:val="00B6773F"/>
    <w:rsid w:val="00B801BA"/>
    <w:rsid w:val="00B84D5C"/>
    <w:rsid w:val="00B920A5"/>
    <w:rsid w:val="00B952C6"/>
    <w:rsid w:val="00BA5339"/>
    <w:rsid w:val="00BA5578"/>
    <w:rsid w:val="00BA7B4A"/>
    <w:rsid w:val="00BB13B9"/>
    <w:rsid w:val="00BB29FE"/>
    <w:rsid w:val="00BB69F5"/>
    <w:rsid w:val="00BB6AE6"/>
    <w:rsid w:val="00BB7EC3"/>
    <w:rsid w:val="00BC0075"/>
    <w:rsid w:val="00BC4B9A"/>
    <w:rsid w:val="00BD784C"/>
    <w:rsid w:val="00BF0BA2"/>
    <w:rsid w:val="00BF4CB6"/>
    <w:rsid w:val="00C00DA7"/>
    <w:rsid w:val="00C12768"/>
    <w:rsid w:val="00C16895"/>
    <w:rsid w:val="00C2296D"/>
    <w:rsid w:val="00C27B58"/>
    <w:rsid w:val="00C33531"/>
    <w:rsid w:val="00C35996"/>
    <w:rsid w:val="00C45475"/>
    <w:rsid w:val="00C4747E"/>
    <w:rsid w:val="00C47DB0"/>
    <w:rsid w:val="00C5342C"/>
    <w:rsid w:val="00C5562D"/>
    <w:rsid w:val="00C603D4"/>
    <w:rsid w:val="00C6256A"/>
    <w:rsid w:val="00C71800"/>
    <w:rsid w:val="00C77891"/>
    <w:rsid w:val="00C83A38"/>
    <w:rsid w:val="00C83BBD"/>
    <w:rsid w:val="00C83ED7"/>
    <w:rsid w:val="00C91449"/>
    <w:rsid w:val="00C92D10"/>
    <w:rsid w:val="00C92D6B"/>
    <w:rsid w:val="00CB3E57"/>
    <w:rsid w:val="00CB7F93"/>
    <w:rsid w:val="00CD2D23"/>
    <w:rsid w:val="00CD3101"/>
    <w:rsid w:val="00CE10C4"/>
    <w:rsid w:val="00CE135A"/>
    <w:rsid w:val="00CE27B5"/>
    <w:rsid w:val="00CE2E99"/>
    <w:rsid w:val="00CF548E"/>
    <w:rsid w:val="00CF756A"/>
    <w:rsid w:val="00D0321E"/>
    <w:rsid w:val="00D03746"/>
    <w:rsid w:val="00D1455A"/>
    <w:rsid w:val="00D31150"/>
    <w:rsid w:val="00D3138B"/>
    <w:rsid w:val="00D3280C"/>
    <w:rsid w:val="00D3406A"/>
    <w:rsid w:val="00D4572C"/>
    <w:rsid w:val="00D469B2"/>
    <w:rsid w:val="00D51441"/>
    <w:rsid w:val="00D55EA8"/>
    <w:rsid w:val="00D57AB4"/>
    <w:rsid w:val="00D612A8"/>
    <w:rsid w:val="00D741EB"/>
    <w:rsid w:val="00D83605"/>
    <w:rsid w:val="00D84934"/>
    <w:rsid w:val="00D85B0D"/>
    <w:rsid w:val="00D87175"/>
    <w:rsid w:val="00D90110"/>
    <w:rsid w:val="00D9022B"/>
    <w:rsid w:val="00D91271"/>
    <w:rsid w:val="00D919F5"/>
    <w:rsid w:val="00D94474"/>
    <w:rsid w:val="00D94F03"/>
    <w:rsid w:val="00DA2CB5"/>
    <w:rsid w:val="00DA4BAC"/>
    <w:rsid w:val="00DB424F"/>
    <w:rsid w:val="00DB68E3"/>
    <w:rsid w:val="00DC2465"/>
    <w:rsid w:val="00DD08F4"/>
    <w:rsid w:val="00DD6EFD"/>
    <w:rsid w:val="00DE4AA4"/>
    <w:rsid w:val="00DE6D27"/>
    <w:rsid w:val="00DF217D"/>
    <w:rsid w:val="00DF26A7"/>
    <w:rsid w:val="00DF43AD"/>
    <w:rsid w:val="00E013CF"/>
    <w:rsid w:val="00E01457"/>
    <w:rsid w:val="00E05E38"/>
    <w:rsid w:val="00E07F5E"/>
    <w:rsid w:val="00E12520"/>
    <w:rsid w:val="00E15627"/>
    <w:rsid w:val="00E164B3"/>
    <w:rsid w:val="00E16910"/>
    <w:rsid w:val="00E3212D"/>
    <w:rsid w:val="00E42BDB"/>
    <w:rsid w:val="00E46A79"/>
    <w:rsid w:val="00E50FF7"/>
    <w:rsid w:val="00E56630"/>
    <w:rsid w:val="00E57858"/>
    <w:rsid w:val="00E57EEB"/>
    <w:rsid w:val="00E62D94"/>
    <w:rsid w:val="00E65E54"/>
    <w:rsid w:val="00E80155"/>
    <w:rsid w:val="00E818E9"/>
    <w:rsid w:val="00E81F28"/>
    <w:rsid w:val="00E8297E"/>
    <w:rsid w:val="00E848C0"/>
    <w:rsid w:val="00E860D4"/>
    <w:rsid w:val="00E91B96"/>
    <w:rsid w:val="00E941A1"/>
    <w:rsid w:val="00E95CE3"/>
    <w:rsid w:val="00EA2825"/>
    <w:rsid w:val="00EA71F1"/>
    <w:rsid w:val="00EA7FC9"/>
    <w:rsid w:val="00EB0B63"/>
    <w:rsid w:val="00EB1936"/>
    <w:rsid w:val="00EB5088"/>
    <w:rsid w:val="00EB5E58"/>
    <w:rsid w:val="00EC4A6A"/>
    <w:rsid w:val="00EC56EB"/>
    <w:rsid w:val="00EC68D5"/>
    <w:rsid w:val="00ED1644"/>
    <w:rsid w:val="00ED2593"/>
    <w:rsid w:val="00ED3702"/>
    <w:rsid w:val="00ED7D9C"/>
    <w:rsid w:val="00EF44A0"/>
    <w:rsid w:val="00EF4FED"/>
    <w:rsid w:val="00F04788"/>
    <w:rsid w:val="00F050BD"/>
    <w:rsid w:val="00F05657"/>
    <w:rsid w:val="00F100EB"/>
    <w:rsid w:val="00F24F91"/>
    <w:rsid w:val="00F25578"/>
    <w:rsid w:val="00F258E5"/>
    <w:rsid w:val="00F300BC"/>
    <w:rsid w:val="00F3334E"/>
    <w:rsid w:val="00F36CCB"/>
    <w:rsid w:val="00F374E5"/>
    <w:rsid w:val="00F419D7"/>
    <w:rsid w:val="00F43AF2"/>
    <w:rsid w:val="00F50EC4"/>
    <w:rsid w:val="00F518F2"/>
    <w:rsid w:val="00F53E5E"/>
    <w:rsid w:val="00F550CF"/>
    <w:rsid w:val="00F57A6D"/>
    <w:rsid w:val="00F638CC"/>
    <w:rsid w:val="00F64CC1"/>
    <w:rsid w:val="00F72317"/>
    <w:rsid w:val="00F80475"/>
    <w:rsid w:val="00F8247A"/>
    <w:rsid w:val="00F83616"/>
    <w:rsid w:val="00F87295"/>
    <w:rsid w:val="00F9629A"/>
    <w:rsid w:val="00F97EFC"/>
    <w:rsid w:val="00FA1A82"/>
    <w:rsid w:val="00FA5883"/>
    <w:rsid w:val="00FA6055"/>
    <w:rsid w:val="00FB322F"/>
    <w:rsid w:val="00FB4231"/>
    <w:rsid w:val="00FB442F"/>
    <w:rsid w:val="00FC1929"/>
    <w:rsid w:val="00FC5B46"/>
    <w:rsid w:val="00FD6D8E"/>
    <w:rsid w:val="00FE0E94"/>
    <w:rsid w:val="00FE27E6"/>
    <w:rsid w:val="00FE6C89"/>
    <w:rsid w:val="00FF00BD"/>
    <w:rsid w:val="00FF197A"/>
    <w:rsid w:val="00FF1ED4"/>
    <w:rsid w:val="00FF2801"/>
    <w:rsid w:val="00FF3C9C"/>
    <w:rsid w:val="00FF7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uiPriority w:val="99"/>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ES Paragraph,PBAC ES Paragraph,Numbered para"/>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ES Paragraph Char,PBAC ES Paragraph Char,Numbered para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TabletextChar">
    <w:name w:val="Table text Char"/>
    <w:link w:val="Tabletext"/>
    <w:locked/>
    <w:rsid w:val="00175BCD"/>
    <w:rPr>
      <w:rFonts w:ascii="Arial" w:hAnsi="Arial"/>
      <w:lang w:eastAsia="en-US"/>
    </w:rPr>
  </w:style>
  <w:style w:type="table" w:customStyle="1" w:styleId="TableGridbeth51">
    <w:name w:val="Table Gridbeth51"/>
    <w:basedOn w:val="TableNormal"/>
    <w:uiPriority w:val="99"/>
    <w:rsid w:val="00175BCD"/>
    <w:pPr>
      <w:spacing w:before="80" w:after="80"/>
    </w:pPr>
    <w:rPr>
      <w:rFonts w:ascii="Arial" w:eastAsia="MS Mincho"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547B02"/>
    <w:pPr>
      <w:keepNext/>
    </w:pPr>
    <w:rPr>
      <w:rFonts w:ascii="Arial Narrow" w:hAnsi="Arial Narrow"/>
      <w:b/>
      <w:bCs/>
      <w:sz w:val="20"/>
      <w:szCs w:val="20"/>
    </w:rPr>
  </w:style>
  <w:style w:type="paragraph" w:customStyle="1" w:styleId="TableFooter">
    <w:name w:val="Table Footer"/>
    <w:basedOn w:val="Normal"/>
    <w:link w:val="TableFooterChar"/>
    <w:qFormat/>
    <w:rsid w:val="00E46A79"/>
    <w:pPr>
      <w:widowControl w:val="0"/>
      <w:jc w:val="both"/>
    </w:pPr>
    <w:rPr>
      <w:rFonts w:ascii="Arial Narrow" w:hAnsi="Arial Narrow" w:cs="Arial"/>
      <w:snapToGrid w:val="0"/>
      <w:sz w:val="18"/>
      <w:szCs w:val="20"/>
      <w:lang w:eastAsia="en-US"/>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547B02"/>
    <w:rPr>
      <w:rFonts w:ascii="Arial Narrow" w:hAnsi="Arial Narrow"/>
      <w:b/>
      <w:bCs/>
    </w:rPr>
  </w:style>
  <w:style w:type="paragraph" w:customStyle="1" w:styleId="TableText0">
    <w:name w:val="Table Text"/>
    <w:basedOn w:val="Normal"/>
    <w:link w:val="TableTextChar0"/>
    <w:uiPriority w:val="99"/>
    <w:qFormat/>
    <w:rsid w:val="00E46A79"/>
    <w:pPr>
      <w:keepNext/>
      <w:spacing w:before="40" w:after="40"/>
    </w:pPr>
    <w:rPr>
      <w:rFonts w:ascii="Arial Narrow" w:eastAsiaTheme="minorHAnsi" w:hAnsi="Arial Narrow" w:cstheme="minorBidi"/>
      <w:sz w:val="20"/>
      <w:szCs w:val="22"/>
      <w:lang w:eastAsia="en-US"/>
    </w:rPr>
  </w:style>
  <w:style w:type="character" w:customStyle="1" w:styleId="TableFooterChar">
    <w:name w:val="Table Footer Char"/>
    <w:link w:val="TableFooter"/>
    <w:rsid w:val="00E46A79"/>
    <w:rPr>
      <w:rFonts w:ascii="Arial Narrow" w:hAnsi="Arial Narrow" w:cs="Arial"/>
      <w:snapToGrid w:val="0"/>
      <w:sz w:val="18"/>
      <w:lang w:eastAsia="en-US"/>
    </w:rPr>
  </w:style>
  <w:style w:type="character" w:customStyle="1" w:styleId="TableTextChar0">
    <w:name w:val="Table Text Char"/>
    <w:link w:val="TableText0"/>
    <w:uiPriority w:val="99"/>
    <w:rsid w:val="00E46A79"/>
    <w:rPr>
      <w:rFonts w:ascii="Arial Narrow" w:eastAsiaTheme="minorHAnsi" w:hAnsi="Arial Narrow" w:cstheme="minorBidi"/>
      <w:szCs w:val="22"/>
      <w:lang w:eastAsia="en-US"/>
    </w:rPr>
  </w:style>
  <w:style w:type="table" w:customStyle="1" w:styleId="TableGrid1">
    <w:name w:val="Table Grid1"/>
    <w:basedOn w:val="TableNormal"/>
    <w:next w:val="TableGrid"/>
    <w:uiPriority w:val="39"/>
    <w:rsid w:val="002148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F53E5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uiPriority w:val="99"/>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ES Paragraph,PBAC ES Paragraph,Numbered para"/>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ES Paragraph Char,PBAC ES Paragraph Char,Numbered para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TabletextChar">
    <w:name w:val="Table text Char"/>
    <w:link w:val="Tabletext"/>
    <w:locked/>
    <w:rsid w:val="00175BCD"/>
    <w:rPr>
      <w:rFonts w:ascii="Arial" w:hAnsi="Arial"/>
      <w:lang w:eastAsia="en-US"/>
    </w:rPr>
  </w:style>
  <w:style w:type="table" w:customStyle="1" w:styleId="TableGridbeth51">
    <w:name w:val="Table Gridbeth51"/>
    <w:basedOn w:val="TableNormal"/>
    <w:uiPriority w:val="99"/>
    <w:rsid w:val="00175BCD"/>
    <w:pPr>
      <w:spacing w:before="80" w:after="80"/>
    </w:pPr>
    <w:rPr>
      <w:rFonts w:ascii="Arial" w:eastAsia="MS Mincho"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547B02"/>
    <w:pPr>
      <w:keepNext/>
    </w:pPr>
    <w:rPr>
      <w:rFonts w:ascii="Arial Narrow" w:hAnsi="Arial Narrow"/>
      <w:b/>
      <w:bCs/>
      <w:sz w:val="20"/>
      <w:szCs w:val="20"/>
    </w:rPr>
  </w:style>
  <w:style w:type="paragraph" w:customStyle="1" w:styleId="TableFooter">
    <w:name w:val="Table Footer"/>
    <w:basedOn w:val="Normal"/>
    <w:link w:val="TableFooterChar"/>
    <w:qFormat/>
    <w:rsid w:val="00E46A79"/>
    <w:pPr>
      <w:widowControl w:val="0"/>
      <w:jc w:val="both"/>
    </w:pPr>
    <w:rPr>
      <w:rFonts w:ascii="Arial Narrow" w:hAnsi="Arial Narrow" w:cs="Arial"/>
      <w:snapToGrid w:val="0"/>
      <w:sz w:val="18"/>
      <w:szCs w:val="20"/>
      <w:lang w:eastAsia="en-US"/>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547B02"/>
    <w:rPr>
      <w:rFonts w:ascii="Arial Narrow" w:hAnsi="Arial Narrow"/>
      <w:b/>
      <w:bCs/>
    </w:rPr>
  </w:style>
  <w:style w:type="paragraph" w:customStyle="1" w:styleId="TableText0">
    <w:name w:val="Table Text"/>
    <w:basedOn w:val="Normal"/>
    <w:link w:val="TableTextChar0"/>
    <w:uiPriority w:val="99"/>
    <w:qFormat/>
    <w:rsid w:val="00E46A79"/>
    <w:pPr>
      <w:keepNext/>
      <w:spacing w:before="40" w:after="40"/>
    </w:pPr>
    <w:rPr>
      <w:rFonts w:ascii="Arial Narrow" w:eastAsiaTheme="minorHAnsi" w:hAnsi="Arial Narrow" w:cstheme="minorBidi"/>
      <w:sz w:val="20"/>
      <w:szCs w:val="22"/>
      <w:lang w:eastAsia="en-US"/>
    </w:rPr>
  </w:style>
  <w:style w:type="character" w:customStyle="1" w:styleId="TableFooterChar">
    <w:name w:val="Table Footer Char"/>
    <w:link w:val="TableFooter"/>
    <w:rsid w:val="00E46A79"/>
    <w:rPr>
      <w:rFonts w:ascii="Arial Narrow" w:hAnsi="Arial Narrow" w:cs="Arial"/>
      <w:snapToGrid w:val="0"/>
      <w:sz w:val="18"/>
      <w:lang w:eastAsia="en-US"/>
    </w:rPr>
  </w:style>
  <w:style w:type="character" w:customStyle="1" w:styleId="TableTextChar0">
    <w:name w:val="Table Text Char"/>
    <w:link w:val="TableText0"/>
    <w:uiPriority w:val="99"/>
    <w:rsid w:val="00E46A79"/>
    <w:rPr>
      <w:rFonts w:ascii="Arial Narrow" w:eastAsiaTheme="minorHAnsi" w:hAnsi="Arial Narrow" w:cstheme="minorBidi"/>
      <w:szCs w:val="22"/>
      <w:lang w:eastAsia="en-US"/>
    </w:rPr>
  </w:style>
  <w:style w:type="table" w:customStyle="1" w:styleId="TableGrid1">
    <w:name w:val="Table Grid1"/>
    <w:basedOn w:val="TableNormal"/>
    <w:next w:val="TableGrid"/>
    <w:uiPriority w:val="39"/>
    <w:rsid w:val="002148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F53E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47892388">
      <w:bodyDiv w:val="1"/>
      <w:marLeft w:val="0"/>
      <w:marRight w:val="0"/>
      <w:marTop w:val="0"/>
      <w:marBottom w:val="0"/>
      <w:divBdr>
        <w:top w:val="none" w:sz="0" w:space="0" w:color="auto"/>
        <w:left w:val="none" w:sz="0" w:space="0" w:color="auto"/>
        <w:bottom w:val="none" w:sz="0" w:space="0" w:color="auto"/>
        <w:right w:val="none" w:sz="0" w:space="0" w:color="auto"/>
      </w:divBdr>
    </w:div>
    <w:div w:id="1241449584">
      <w:bodyDiv w:val="1"/>
      <w:marLeft w:val="0"/>
      <w:marRight w:val="0"/>
      <w:marTop w:val="0"/>
      <w:marBottom w:val="0"/>
      <w:divBdr>
        <w:top w:val="none" w:sz="0" w:space="0" w:color="auto"/>
        <w:left w:val="none" w:sz="0" w:space="0" w:color="auto"/>
        <w:bottom w:val="none" w:sz="0" w:space="0" w:color="auto"/>
        <w:right w:val="none" w:sz="0" w:space="0" w:color="auto"/>
      </w:divBdr>
    </w:div>
    <w:div w:id="134967550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512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2B0CD-A6EA-4D96-921A-A81BD0E1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6846</Words>
  <Characters>41838</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2018-10-09T12:59:00Z</dcterms:created>
  <dcterms:modified xsi:type="dcterms:W3CDTF">2018-10-18T06:18:00Z</dcterms:modified>
</cp:coreProperties>
</file>