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5B2" w:rsidRDefault="0021585A" w:rsidP="00E74937">
      <w:pPr>
        <w:pStyle w:val="Title"/>
        <w:spacing w:before="120" w:after="160"/>
        <w:ind w:left="993" w:hanging="993"/>
        <w:rPr>
          <w:rFonts w:asciiTheme="minorHAnsi" w:hAnsiTheme="minorHAnsi"/>
          <w:sz w:val="36"/>
          <w:szCs w:val="36"/>
        </w:rPr>
      </w:pPr>
      <w:r>
        <w:rPr>
          <w:rFonts w:asciiTheme="minorHAnsi" w:hAnsiTheme="minorHAnsi"/>
          <w:sz w:val="36"/>
          <w:szCs w:val="36"/>
        </w:rPr>
        <w:t>12.11</w:t>
      </w:r>
      <w:r w:rsidR="00D25568">
        <w:rPr>
          <w:rFonts w:asciiTheme="minorHAnsi" w:hAnsiTheme="minorHAnsi"/>
          <w:sz w:val="36"/>
          <w:szCs w:val="36"/>
        </w:rPr>
        <w:t xml:space="preserve"> </w:t>
      </w:r>
      <w:r w:rsidR="00DB15B2">
        <w:rPr>
          <w:rFonts w:asciiTheme="minorHAnsi" w:hAnsiTheme="minorHAnsi"/>
          <w:sz w:val="36"/>
          <w:szCs w:val="36"/>
        </w:rPr>
        <w:t>TEMPORARY LISTING OF ENGERIX</w:t>
      </w:r>
      <w:r w:rsidR="00E20F9F">
        <w:rPr>
          <w:rFonts w:asciiTheme="minorHAnsi" w:hAnsiTheme="minorHAnsi"/>
          <w:sz w:val="36"/>
          <w:szCs w:val="36"/>
        </w:rPr>
        <w:t>-</w:t>
      </w:r>
      <w:r w:rsidR="00DB15B2">
        <w:rPr>
          <w:rFonts w:asciiTheme="minorHAnsi" w:hAnsiTheme="minorHAnsi"/>
          <w:sz w:val="36"/>
          <w:szCs w:val="36"/>
        </w:rPr>
        <w:t>B</w:t>
      </w:r>
      <w:r w:rsidR="00DB15B2" w:rsidRPr="002B5596">
        <w:rPr>
          <w:rFonts w:asciiTheme="minorHAnsi" w:hAnsiTheme="minorHAnsi"/>
          <w:sz w:val="36"/>
          <w:szCs w:val="36"/>
          <w:vertAlign w:val="superscript"/>
        </w:rPr>
        <w:t>®</w:t>
      </w:r>
      <w:r w:rsidR="00DB15B2" w:rsidRPr="00E74937">
        <w:rPr>
          <w:rFonts w:asciiTheme="minorHAnsi" w:hAnsiTheme="minorHAnsi"/>
          <w:sz w:val="36"/>
          <w:szCs w:val="36"/>
        </w:rPr>
        <w:t xml:space="preserve"> </w:t>
      </w:r>
      <w:r w:rsidR="00D25568" w:rsidRPr="00E74937">
        <w:rPr>
          <w:rFonts w:asciiTheme="minorHAnsi" w:hAnsiTheme="minorHAnsi"/>
          <w:sz w:val="36"/>
          <w:szCs w:val="36"/>
        </w:rPr>
        <w:t>(</w:t>
      </w:r>
      <w:r w:rsidR="00E74937">
        <w:rPr>
          <w:rFonts w:asciiTheme="minorHAnsi" w:hAnsiTheme="minorHAnsi"/>
          <w:sz w:val="36"/>
          <w:szCs w:val="36"/>
        </w:rPr>
        <w:t>ADULT FORMULATION</w:t>
      </w:r>
      <w:r w:rsidR="00D25568" w:rsidRPr="00E74937">
        <w:rPr>
          <w:rFonts w:asciiTheme="minorHAnsi" w:hAnsiTheme="minorHAnsi"/>
          <w:sz w:val="36"/>
          <w:szCs w:val="36"/>
        </w:rPr>
        <w:t xml:space="preserve">) </w:t>
      </w:r>
      <w:r w:rsidR="00DB15B2" w:rsidRPr="00E74937">
        <w:rPr>
          <w:rFonts w:asciiTheme="minorHAnsi" w:hAnsiTheme="minorHAnsi"/>
          <w:sz w:val="36"/>
          <w:szCs w:val="36"/>
        </w:rPr>
        <w:t>FOR HEPATITIS B ON THE NATIONAL IMMUNISATION PROGRAM (NIP)</w:t>
      </w:r>
    </w:p>
    <w:p w:rsidR="008A50F1" w:rsidRPr="00D4572C" w:rsidRDefault="00CE10C4"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 xml:space="preserve">Purpose </w:t>
      </w:r>
    </w:p>
    <w:p w:rsidR="00DB15B2" w:rsidRPr="00345185" w:rsidRDefault="0021585A" w:rsidP="00345185">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To </w:t>
      </w:r>
      <w:r w:rsidR="009C54CF">
        <w:rPr>
          <w:rFonts w:asciiTheme="minorHAnsi" w:eastAsiaTheme="minorHAnsi" w:hAnsiTheme="minorHAnsi" w:cstheme="minorBidi"/>
          <w:snapToGrid/>
          <w:sz w:val="24"/>
          <w:szCs w:val="22"/>
        </w:rPr>
        <w:t>request</w:t>
      </w:r>
      <w:r w:rsidR="00104BE3">
        <w:rPr>
          <w:rFonts w:asciiTheme="minorHAnsi" w:eastAsiaTheme="minorHAnsi" w:hAnsiTheme="minorHAnsi" w:cstheme="minorBidi"/>
          <w:snapToGrid/>
          <w:sz w:val="24"/>
          <w:szCs w:val="22"/>
        </w:rPr>
        <w:t xml:space="preserve"> temporary </w:t>
      </w:r>
      <w:r w:rsidR="009C54CF">
        <w:rPr>
          <w:rFonts w:asciiTheme="minorHAnsi" w:eastAsiaTheme="minorHAnsi" w:hAnsiTheme="minorHAnsi" w:cstheme="minorBidi"/>
          <w:snapToGrid/>
          <w:sz w:val="24"/>
          <w:szCs w:val="22"/>
        </w:rPr>
        <w:t xml:space="preserve">National Immunisation Program (NIP) </w:t>
      </w:r>
      <w:r w:rsidR="00104BE3">
        <w:rPr>
          <w:rFonts w:asciiTheme="minorHAnsi" w:eastAsiaTheme="minorHAnsi" w:hAnsiTheme="minorHAnsi" w:cstheme="minorBidi"/>
          <w:snapToGrid/>
          <w:sz w:val="24"/>
          <w:szCs w:val="22"/>
        </w:rPr>
        <w:t xml:space="preserve">listing of </w:t>
      </w:r>
      <w:r w:rsidR="003A461B">
        <w:rPr>
          <w:rFonts w:ascii="Helvetica" w:hAnsi="Helvetica"/>
          <w:color w:val="333333"/>
          <w:sz w:val="21"/>
          <w:szCs w:val="21"/>
          <w:shd w:val="clear" w:color="auto" w:fill="FFFFFF"/>
        </w:rPr>
        <w:t>Hepatitis B surface antigen recombinant vaccine</w:t>
      </w:r>
      <w:r w:rsidR="003A461B">
        <w:rPr>
          <w:rFonts w:asciiTheme="minorHAnsi" w:eastAsiaTheme="minorHAnsi" w:hAnsiTheme="minorHAnsi" w:cstheme="minorBidi"/>
          <w:snapToGrid/>
          <w:sz w:val="24"/>
        </w:rPr>
        <w:t xml:space="preserve">, </w:t>
      </w:r>
      <w:proofErr w:type="spellStart"/>
      <w:r w:rsidR="00DB15B2" w:rsidRPr="00104BE3">
        <w:rPr>
          <w:rFonts w:asciiTheme="minorHAnsi" w:eastAsiaTheme="minorHAnsi" w:hAnsiTheme="minorHAnsi" w:cstheme="minorBidi"/>
          <w:snapToGrid/>
          <w:sz w:val="24"/>
        </w:rPr>
        <w:t>Engerix</w:t>
      </w:r>
      <w:proofErr w:type="spellEnd"/>
      <w:r w:rsidR="00E20F9F">
        <w:rPr>
          <w:rFonts w:asciiTheme="minorHAnsi" w:eastAsiaTheme="minorHAnsi" w:hAnsiTheme="minorHAnsi" w:cstheme="minorBidi"/>
          <w:snapToGrid/>
          <w:sz w:val="24"/>
        </w:rPr>
        <w:t>-</w:t>
      </w:r>
      <w:r w:rsidR="00DB15B2" w:rsidRPr="00104BE3">
        <w:rPr>
          <w:rFonts w:asciiTheme="minorHAnsi" w:eastAsiaTheme="minorHAnsi" w:hAnsiTheme="minorHAnsi" w:cstheme="minorBidi"/>
          <w:snapToGrid/>
          <w:sz w:val="24"/>
        </w:rPr>
        <w:t>B</w:t>
      </w:r>
      <w:r w:rsidR="00345185">
        <w:rPr>
          <w:rFonts w:asciiTheme="minorHAnsi" w:eastAsiaTheme="minorHAnsi" w:hAnsiTheme="minorHAnsi" w:cstheme="minorBidi"/>
          <w:snapToGrid/>
          <w:sz w:val="24"/>
        </w:rPr>
        <w:t xml:space="preserve"> (adult formulation)</w:t>
      </w:r>
      <w:r w:rsidR="003A461B">
        <w:rPr>
          <w:rFonts w:asciiTheme="minorHAnsi" w:eastAsiaTheme="minorHAnsi" w:hAnsiTheme="minorHAnsi" w:cstheme="minorBidi"/>
          <w:snapToGrid/>
          <w:sz w:val="24"/>
        </w:rPr>
        <w:t>,</w:t>
      </w:r>
      <w:r w:rsidR="00345185">
        <w:rPr>
          <w:rFonts w:asciiTheme="minorHAnsi" w:eastAsiaTheme="minorHAnsi" w:hAnsiTheme="minorHAnsi" w:cstheme="minorBidi"/>
          <w:snapToGrid/>
          <w:sz w:val="24"/>
        </w:rPr>
        <w:t xml:space="preserve"> for use in adolescents and adults </w:t>
      </w:r>
      <w:r w:rsidR="00104BE3" w:rsidRPr="00345185">
        <w:rPr>
          <w:rFonts w:asciiTheme="minorHAnsi" w:eastAsiaTheme="minorHAnsi" w:hAnsiTheme="minorHAnsi" w:cstheme="minorBidi"/>
          <w:snapToGrid/>
          <w:sz w:val="24"/>
        </w:rPr>
        <w:t xml:space="preserve">due to a shortage of the </w:t>
      </w:r>
      <w:r w:rsidR="00CE0915" w:rsidRPr="00345185">
        <w:rPr>
          <w:rFonts w:asciiTheme="minorHAnsi" w:eastAsiaTheme="minorHAnsi" w:hAnsiTheme="minorHAnsi" w:cstheme="minorBidi"/>
          <w:snapToGrid/>
          <w:sz w:val="24"/>
        </w:rPr>
        <w:t xml:space="preserve">NIP listed </w:t>
      </w:r>
      <w:r w:rsidR="00104BE3" w:rsidRPr="00345185">
        <w:rPr>
          <w:rFonts w:asciiTheme="minorHAnsi" w:eastAsiaTheme="minorHAnsi" w:hAnsiTheme="minorHAnsi" w:cstheme="minorBidi"/>
          <w:snapToGrid/>
          <w:sz w:val="24"/>
        </w:rPr>
        <w:t xml:space="preserve">adult formulation of </w:t>
      </w:r>
      <w:r w:rsidR="00CE0915" w:rsidRPr="00345185">
        <w:rPr>
          <w:rFonts w:asciiTheme="minorHAnsi" w:eastAsiaTheme="minorHAnsi" w:hAnsiTheme="minorHAnsi" w:cstheme="minorBidi"/>
          <w:snapToGrid/>
          <w:sz w:val="24"/>
          <w:szCs w:val="22"/>
        </w:rPr>
        <w:t>H-B-Vax II</w:t>
      </w:r>
      <w:r w:rsidR="00345185">
        <w:rPr>
          <w:rFonts w:asciiTheme="minorHAnsi" w:eastAsiaTheme="minorHAnsi" w:hAnsiTheme="minorHAnsi" w:cstheme="minorBidi"/>
          <w:snapToGrid/>
          <w:sz w:val="24"/>
          <w:szCs w:val="22"/>
        </w:rPr>
        <w:t xml:space="preserve"> for the same </w:t>
      </w:r>
      <w:r w:rsidR="001C71C2">
        <w:rPr>
          <w:rFonts w:asciiTheme="minorHAnsi" w:eastAsiaTheme="minorHAnsi" w:hAnsiTheme="minorHAnsi" w:cstheme="minorBidi"/>
          <w:snapToGrid/>
          <w:sz w:val="24"/>
          <w:szCs w:val="22"/>
        </w:rPr>
        <w:t xml:space="preserve">indication and </w:t>
      </w:r>
      <w:r w:rsidR="00345185">
        <w:rPr>
          <w:rFonts w:asciiTheme="minorHAnsi" w:eastAsiaTheme="minorHAnsi" w:hAnsiTheme="minorHAnsi" w:cstheme="minorBidi"/>
          <w:snapToGrid/>
          <w:sz w:val="24"/>
          <w:szCs w:val="22"/>
        </w:rPr>
        <w:t>population.</w:t>
      </w:r>
    </w:p>
    <w:p w:rsidR="00C603D4" w:rsidRPr="00FD6D8E" w:rsidRDefault="00CE10C4" w:rsidP="00696129">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Background</w:t>
      </w:r>
    </w:p>
    <w:p w:rsidR="00345185" w:rsidRPr="00F95A29" w:rsidRDefault="00E20F9F"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rPr>
      </w:pPr>
      <w:proofErr w:type="spellStart"/>
      <w:r w:rsidRPr="00F95A29">
        <w:rPr>
          <w:rFonts w:asciiTheme="minorHAnsi" w:eastAsiaTheme="minorHAnsi" w:hAnsiTheme="minorHAnsi" w:cstheme="minorBidi"/>
          <w:snapToGrid/>
          <w:sz w:val="24"/>
        </w:rPr>
        <w:t>Engerix</w:t>
      </w:r>
      <w:proofErr w:type="spellEnd"/>
      <w:r w:rsidRPr="00F95A29">
        <w:rPr>
          <w:rFonts w:asciiTheme="minorHAnsi" w:eastAsiaTheme="minorHAnsi" w:hAnsiTheme="minorHAnsi" w:cstheme="minorBidi"/>
          <w:snapToGrid/>
          <w:sz w:val="24"/>
        </w:rPr>
        <w:t>-B</w:t>
      </w:r>
      <w:r w:rsidRPr="00F95A29" w:rsidDel="00E20F9F">
        <w:rPr>
          <w:rFonts w:asciiTheme="minorHAnsi" w:eastAsiaTheme="minorHAnsi" w:hAnsiTheme="minorHAnsi" w:cstheme="minorBidi"/>
          <w:snapToGrid/>
          <w:sz w:val="24"/>
        </w:rPr>
        <w:t xml:space="preserve"> </w:t>
      </w:r>
      <w:r w:rsidR="00476245" w:rsidRPr="00F95A29">
        <w:rPr>
          <w:rFonts w:asciiTheme="minorHAnsi" w:eastAsiaTheme="minorHAnsi" w:hAnsiTheme="minorHAnsi" w:cstheme="minorBidi"/>
          <w:snapToGrid/>
          <w:sz w:val="24"/>
        </w:rPr>
        <w:t xml:space="preserve">is </w:t>
      </w:r>
      <w:r w:rsidR="00345185" w:rsidRPr="00F95A29">
        <w:rPr>
          <w:rFonts w:asciiTheme="minorHAnsi" w:eastAsiaTheme="minorHAnsi" w:hAnsiTheme="minorHAnsi" w:cstheme="minorBidi"/>
          <w:snapToGrid/>
          <w:sz w:val="24"/>
        </w:rPr>
        <w:t>a hepatitis B vaccine sponsored by GlaxoSmithKline</w:t>
      </w:r>
      <w:r w:rsidR="001A31BC" w:rsidRPr="00F95A29">
        <w:rPr>
          <w:rFonts w:asciiTheme="minorHAnsi" w:eastAsiaTheme="minorHAnsi" w:hAnsiTheme="minorHAnsi" w:cstheme="minorBidi"/>
          <w:snapToGrid/>
          <w:sz w:val="24"/>
        </w:rPr>
        <w:t xml:space="preserve"> </w:t>
      </w:r>
      <w:r w:rsidR="001C71C2" w:rsidRPr="00F95A29">
        <w:rPr>
          <w:rFonts w:asciiTheme="minorHAnsi" w:eastAsiaTheme="minorHAnsi" w:hAnsiTheme="minorHAnsi" w:cstheme="minorBidi"/>
          <w:snapToGrid/>
          <w:sz w:val="24"/>
        </w:rPr>
        <w:t>(GSK)</w:t>
      </w:r>
      <w:r w:rsidR="00345185" w:rsidRPr="00F95A29">
        <w:rPr>
          <w:rFonts w:asciiTheme="minorHAnsi" w:eastAsiaTheme="minorHAnsi" w:hAnsiTheme="minorHAnsi" w:cstheme="minorBidi"/>
          <w:snapToGrid/>
          <w:sz w:val="24"/>
        </w:rPr>
        <w:t xml:space="preserve">.  </w:t>
      </w:r>
    </w:p>
    <w:p w:rsidR="003A461B" w:rsidRPr="00F95A29" w:rsidRDefault="00E20F9F"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rPr>
      </w:pPr>
      <w:proofErr w:type="spellStart"/>
      <w:r w:rsidRPr="00F95A29">
        <w:rPr>
          <w:rFonts w:asciiTheme="minorHAnsi" w:eastAsiaTheme="minorHAnsi" w:hAnsiTheme="minorHAnsi" w:cstheme="minorBidi"/>
          <w:snapToGrid/>
          <w:sz w:val="24"/>
        </w:rPr>
        <w:t>Engerix</w:t>
      </w:r>
      <w:proofErr w:type="spellEnd"/>
      <w:r w:rsidRPr="00F95A29">
        <w:rPr>
          <w:rFonts w:asciiTheme="minorHAnsi" w:eastAsiaTheme="minorHAnsi" w:hAnsiTheme="minorHAnsi" w:cstheme="minorBidi"/>
          <w:snapToGrid/>
          <w:sz w:val="24"/>
        </w:rPr>
        <w:t>-B</w:t>
      </w:r>
      <w:r w:rsidRPr="00F95A29" w:rsidDel="00E20F9F">
        <w:rPr>
          <w:rFonts w:asciiTheme="minorHAnsi" w:eastAsiaTheme="minorHAnsi" w:hAnsiTheme="minorHAnsi" w:cstheme="minorBidi"/>
          <w:snapToGrid/>
          <w:sz w:val="24"/>
        </w:rPr>
        <w:t xml:space="preserve"> </w:t>
      </w:r>
      <w:r w:rsidR="00345185" w:rsidRPr="00F95A29">
        <w:rPr>
          <w:rFonts w:asciiTheme="minorHAnsi" w:eastAsiaTheme="minorHAnsi" w:hAnsiTheme="minorHAnsi" w:cstheme="minorBidi"/>
          <w:snapToGrid/>
          <w:sz w:val="24"/>
        </w:rPr>
        <w:t xml:space="preserve">is </w:t>
      </w:r>
      <w:r w:rsidR="00476245" w:rsidRPr="00F95A29">
        <w:rPr>
          <w:rFonts w:asciiTheme="minorHAnsi" w:eastAsiaTheme="minorHAnsi" w:hAnsiTheme="minorHAnsi" w:cstheme="minorBidi"/>
          <w:snapToGrid/>
          <w:sz w:val="24"/>
        </w:rPr>
        <w:t>TGA registered for</w:t>
      </w:r>
      <w:r w:rsidR="003A461B" w:rsidRPr="00F95A29">
        <w:rPr>
          <w:rFonts w:asciiTheme="minorHAnsi" w:eastAsiaTheme="minorHAnsi" w:hAnsiTheme="minorHAnsi" w:cstheme="minorBidi"/>
          <w:snapToGrid/>
          <w:sz w:val="24"/>
        </w:rPr>
        <w:t xml:space="preserve"> active immunisation against hepatitis B virus infection.</w:t>
      </w:r>
    </w:p>
    <w:p w:rsidR="00D25568" w:rsidRPr="00F95A29" w:rsidRDefault="00D25568"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rPr>
      </w:pPr>
      <w:r w:rsidRPr="00F95A29">
        <w:rPr>
          <w:rFonts w:asciiTheme="minorHAnsi" w:eastAsiaTheme="minorHAnsi" w:hAnsiTheme="minorHAnsi" w:cstheme="minorBidi"/>
          <w:snapToGrid/>
          <w:sz w:val="24"/>
        </w:rPr>
        <w:t>H</w:t>
      </w:r>
      <w:r w:rsidR="003A461B" w:rsidRPr="00F95A29">
        <w:rPr>
          <w:rFonts w:asciiTheme="minorHAnsi" w:eastAsiaTheme="minorHAnsi" w:hAnsiTheme="minorHAnsi" w:cstheme="minorBidi"/>
          <w:snapToGrid/>
          <w:sz w:val="24"/>
        </w:rPr>
        <w:t>-B-Vax II is TGA registered for immunisation against infection caused by all known subtypes of Hepatitis B virus.</w:t>
      </w:r>
    </w:p>
    <w:p w:rsidR="006A12A5" w:rsidRPr="00F95A29" w:rsidRDefault="00D25568"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rPr>
      </w:pPr>
      <w:r w:rsidRPr="00F95A29">
        <w:rPr>
          <w:rFonts w:asciiTheme="minorHAnsi" w:eastAsiaTheme="minorHAnsi" w:hAnsiTheme="minorHAnsi" w:cstheme="minorBidi"/>
          <w:snapToGrid/>
          <w:sz w:val="24"/>
        </w:rPr>
        <w:t>The PBAC has not previously considered hepatitis B monovalent vaccines.</w:t>
      </w:r>
    </w:p>
    <w:p w:rsidR="00DB15B2" w:rsidRDefault="00DB15B2" w:rsidP="00DB15B2">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Current situation</w:t>
      </w:r>
    </w:p>
    <w:p w:rsidR="00DE72A9" w:rsidRDefault="00CE0915" w:rsidP="005A6F7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H-B-Vax II</w:t>
      </w:r>
      <w:r w:rsidR="005A6F73">
        <w:rPr>
          <w:rFonts w:asciiTheme="minorHAnsi" w:eastAsiaTheme="minorHAnsi" w:hAnsiTheme="minorHAnsi" w:cstheme="minorBidi"/>
          <w:snapToGrid/>
          <w:sz w:val="24"/>
          <w:szCs w:val="22"/>
        </w:rPr>
        <w:t xml:space="preserve">, </w:t>
      </w:r>
      <w:r w:rsidR="00393C03">
        <w:rPr>
          <w:rFonts w:asciiTheme="minorHAnsi" w:eastAsiaTheme="minorHAnsi" w:hAnsiTheme="minorHAnsi" w:cstheme="minorBidi"/>
          <w:snapToGrid/>
          <w:sz w:val="24"/>
          <w:szCs w:val="22"/>
        </w:rPr>
        <w:t>sponsored</w:t>
      </w:r>
      <w:r w:rsidR="005144BB">
        <w:rPr>
          <w:rFonts w:asciiTheme="minorHAnsi" w:eastAsiaTheme="minorHAnsi" w:hAnsiTheme="minorHAnsi" w:cstheme="minorBidi"/>
          <w:snapToGrid/>
          <w:sz w:val="24"/>
          <w:szCs w:val="22"/>
        </w:rPr>
        <w:t xml:space="preserve"> </w:t>
      </w:r>
      <w:r w:rsidR="005A6F73">
        <w:rPr>
          <w:rFonts w:asciiTheme="minorHAnsi" w:eastAsiaTheme="minorHAnsi" w:hAnsiTheme="minorHAnsi" w:cstheme="minorBidi"/>
          <w:snapToGrid/>
          <w:sz w:val="24"/>
          <w:szCs w:val="22"/>
        </w:rPr>
        <w:t xml:space="preserve">by </w:t>
      </w:r>
      <w:proofErr w:type="spellStart"/>
      <w:r w:rsidR="005A6F73" w:rsidRPr="005A6F73">
        <w:rPr>
          <w:rFonts w:asciiTheme="minorHAnsi" w:eastAsiaTheme="minorHAnsi" w:hAnsiTheme="minorHAnsi" w:cstheme="minorBidi"/>
          <w:snapToGrid/>
          <w:sz w:val="24"/>
          <w:szCs w:val="22"/>
        </w:rPr>
        <w:t>Seqirus</w:t>
      </w:r>
      <w:proofErr w:type="spellEnd"/>
      <w:r w:rsidR="005A6F73" w:rsidRPr="005A6F73">
        <w:rPr>
          <w:rFonts w:asciiTheme="minorHAnsi" w:eastAsiaTheme="minorHAnsi" w:hAnsiTheme="minorHAnsi" w:cstheme="minorBidi"/>
          <w:snapToGrid/>
          <w:sz w:val="24"/>
          <w:szCs w:val="22"/>
        </w:rPr>
        <w:t xml:space="preserve"> Australia Pty Ltd (</w:t>
      </w:r>
      <w:proofErr w:type="spellStart"/>
      <w:r w:rsidR="005A6F73" w:rsidRPr="005A6F73">
        <w:rPr>
          <w:rFonts w:asciiTheme="minorHAnsi" w:eastAsiaTheme="minorHAnsi" w:hAnsiTheme="minorHAnsi" w:cstheme="minorBidi"/>
          <w:snapToGrid/>
          <w:sz w:val="24"/>
          <w:szCs w:val="22"/>
        </w:rPr>
        <w:t>Seqirus</w:t>
      </w:r>
      <w:proofErr w:type="spellEnd"/>
      <w:r w:rsidR="005A6F73" w:rsidRPr="005A6F73">
        <w:rPr>
          <w:rFonts w:asciiTheme="minorHAnsi" w:eastAsiaTheme="minorHAnsi" w:hAnsiTheme="minorHAnsi" w:cstheme="minorBidi"/>
          <w:snapToGrid/>
          <w:sz w:val="24"/>
          <w:szCs w:val="22"/>
        </w:rPr>
        <w:t>)</w:t>
      </w:r>
      <w:r w:rsidR="005144BB">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 xml:space="preserve"> is currently NIP listed for adult</w:t>
      </w:r>
      <w:r w:rsidR="0023097F">
        <w:rPr>
          <w:rFonts w:asciiTheme="minorHAnsi" w:eastAsiaTheme="minorHAnsi" w:hAnsiTheme="minorHAnsi" w:cstheme="minorBidi"/>
          <w:snapToGrid/>
          <w:sz w:val="24"/>
          <w:szCs w:val="22"/>
        </w:rPr>
        <w:t xml:space="preserve"> (H-B-Vax </w:t>
      </w:r>
      <w:proofErr w:type="spellStart"/>
      <w:r w:rsidR="0023097F">
        <w:rPr>
          <w:rFonts w:asciiTheme="minorHAnsi" w:eastAsiaTheme="minorHAnsi" w:hAnsiTheme="minorHAnsi" w:cstheme="minorBidi"/>
          <w:snapToGrid/>
          <w:sz w:val="24"/>
          <w:szCs w:val="22"/>
        </w:rPr>
        <w:t>ll</w:t>
      </w:r>
      <w:proofErr w:type="spellEnd"/>
      <w:r w:rsidR="0023097F">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 xml:space="preserve"> and paediatric populations</w:t>
      </w:r>
      <w:r w:rsidR="0023097F">
        <w:rPr>
          <w:rFonts w:asciiTheme="minorHAnsi" w:eastAsiaTheme="minorHAnsi" w:hAnsiTheme="minorHAnsi" w:cstheme="minorBidi"/>
          <w:snapToGrid/>
          <w:sz w:val="24"/>
          <w:szCs w:val="22"/>
        </w:rPr>
        <w:t xml:space="preserve"> (</w:t>
      </w:r>
      <w:r w:rsidR="0023097F" w:rsidRPr="0023097F">
        <w:rPr>
          <w:rFonts w:asciiTheme="minorHAnsi" w:eastAsiaTheme="minorHAnsi" w:hAnsiTheme="minorHAnsi" w:cstheme="minorBidi"/>
          <w:snapToGrid/>
          <w:sz w:val="24"/>
          <w:szCs w:val="22"/>
        </w:rPr>
        <w:t xml:space="preserve">H-B-Vax </w:t>
      </w:r>
      <w:proofErr w:type="spellStart"/>
      <w:r w:rsidR="0023097F" w:rsidRPr="0023097F">
        <w:rPr>
          <w:rFonts w:asciiTheme="minorHAnsi" w:eastAsiaTheme="minorHAnsi" w:hAnsiTheme="minorHAnsi" w:cstheme="minorBidi"/>
          <w:snapToGrid/>
          <w:sz w:val="24"/>
          <w:szCs w:val="22"/>
        </w:rPr>
        <w:t>ll</w:t>
      </w:r>
      <w:proofErr w:type="spellEnd"/>
      <w:r w:rsidR="0023097F" w:rsidRPr="0023097F">
        <w:rPr>
          <w:rFonts w:asciiTheme="minorHAnsi" w:eastAsiaTheme="minorHAnsi" w:hAnsiTheme="minorHAnsi" w:cstheme="minorBidi"/>
          <w:snapToGrid/>
          <w:sz w:val="24"/>
          <w:szCs w:val="22"/>
        </w:rPr>
        <w:t xml:space="preserve"> </w:t>
      </w:r>
      <w:r w:rsidR="00C16CAD">
        <w:rPr>
          <w:rFonts w:asciiTheme="minorHAnsi" w:eastAsiaTheme="minorHAnsi" w:hAnsiTheme="minorHAnsi" w:cstheme="minorBidi"/>
          <w:snapToGrid/>
          <w:sz w:val="24"/>
          <w:szCs w:val="22"/>
        </w:rPr>
        <w:t>paediatric</w:t>
      </w:r>
      <w:r w:rsidR="0023097F">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 xml:space="preserve">, and is the only hepatitis b vaccine listed for the adult population. </w:t>
      </w:r>
      <w:proofErr w:type="spellStart"/>
      <w:r w:rsidR="003F75FE">
        <w:rPr>
          <w:rFonts w:asciiTheme="minorHAnsi" w:eastAsiaTheme="minorHAnsi" w:hAnsiTheme="minorHAnsi" w:cstheme="minorBidi"/>
          <w:snapToGrid/>
          <w:sz w:val="24"/>
          <w:szCs w:val="22"/>
        </w:rPr>
        <w:t>Engerix</w:t>
      </w:r>
      <w:proofErr w:type="spellEnd"/>
      <w:r w:rsidR="00E20F9F">
        <w:rPr>
          <w:rFonts w:asciiTheme="minorHAnsi" w:eastAsiaTheme="minorHAnsi" w:hAnsiTheme="minorHAnsi" w:cstheme="minorBidi"/>
          <w:snapToGrid/>
          <w:sz w:val="24"/>
          <w:szCs w:val="22"/>
        </w:rPr>
        <w:t>-</w:t>
      </w:r>
      <w:r w:rsidR="00393C03">
        <w:rPr>
          <w:rFonts w:asciiTheme="minorHAnsi" w:eastAsiaTheme="minorHAnsi" w:hAnsiTheme="minorHAnsi" w:cstheme="minorBidi"/>
          <w:snapToGrid/>
          <w:sz w:val="24"/>
          <w:szCs w:val="22"/>
        </w:rPr>
        <w:t xml:space="preserve">B </w:t>
      </w:r>
      <w:r w:rsidR="00DE72A9">
        <w:rPr>
          <w:rFonts w:asciiTheme="minorHAnsi" w:eastAsiaTheme="minorHAnsi" w:hAnsiTheme="minorHAnsi" w:cstheme="minorBidi"/>
          <w:snapToGrid/>
          <w:sz w:val="24"/>
          <w:szCs w:val="22"/>
        </w:rPr>
        <w:t>is currently NIP listed for the paediatric population only</w:t>
      </w:r>
      <w:r w:rsidR="0023097F">
        <w:rPr>
          <w:rFonts w:asciiTheme="minorHAnsi" w:eastAsiaTheme="minorHAnsi" w:hAnsiTheme="minorHAnsi" w:cstheme="minorBidi"/>
          <w:snapToGrid/>
          <w:sz w:val="24"/>
          <w:szCs w:val="22"/>
        </w:rPr>
        <w:t>, but is available in both adult and paediatric</w:t>
      </w:r>
      <w:r w:rsidR="00376C51">
        <w:rPr>
          <w:rFonts w:asciiTheme="minorHAnsi" w:eastAsiaTheme="minorHAnsi" w:hAnsiTheme="minorHAnsi" w:cstheme="minorBidi"/>
          <w:snapToGrid/>
          <w:sz w:val="24"/>
          <w:szCs w:val="22"/>
        </w:rPr>
        <w:t xml:space="preserve"> (</w:t>
      </w:r>
      <w:proofErr w:type="spellStart"/>
      <w:r w:rsidR="00376C51">
        <w:rPr>
          <w:rFonts w:asciiTheme="minorHAnsi" w:eastAsiaTheme="minorHAnsi" w:hAnsiTheme="minorHAnsi" w:cstheme="minorBidi"/>
          <w:snapToGrid/>
          <w:sz w:val="24"/>
          <w:szCs w:val="22"/>
        </w:rPr>
        <w:t>Engerix</w:t>
      </w:r>
      <w:proofErr w:type="spellEnd"/>
      <w:r w:rsidR="00376C51">
        <w:rPr>
          <w:rFonts w:asciiTheme="minorHAnsi" w:eastAsiaTheme="minorHAnsi" w:hAnsiTheme="minorHAnsi" w:cstheme="minorBidi"/>
          <w:snapToGrid/>
          <w:sz w:val="24"/>
          <w:szCs w:val="22"/>
        </w:rPr>
        <w:t>-B p</w:t>
      </w:r>
      <w:r w:rsidR="00C16CAD">
        <w:rPr>
          <w:rFonts w:asciiTheme="minorHAnsi" w:eastAsiaTheme="minorHAnsi" w:hAnsiTheme="minorHAnsi" w:cstheme="minorBidi"/>
          <w:snapToGrid/>
          <w:sz w:val="24"/>
          <w:szCs w:val="22"/>
        </w:rPr>
        <w:t>aediatric)</w:t>
      </w:r>
      <w:r w:rsidR="0023097F">
        <w:rPr>
          <w:rFonts w:asciiTheme="minorHAnsi" w:eastAsiaTheme="minorHAnsi" w:hAnsiTheme="minorHAnsi" w:cstheme="minorBidi"/>
          <w:snapToGrid/>
          <w:sz w:val="24"/>
          <w:szCs w:val="22"/>
        </w:rPr>
        <w:t xml:space="preserve"> formulations</w:t>
      </w:r>
      <w:r w:rsidR="00DE72A9">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 xml:space="preserve"> </w:t>
      </w:r>
    </w:p>
    <w:p w:rsidR="00CE0915" w:rsidRDefault="00D25568" w:rsidP="005A6F7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Merck Sharp and Dohme (MSD)</w:t>
      </w:r>
      <w:r w:rsidR="005144BB">
        <w:rPr>
          <w:rFonts w:asciiTheme="minorHAnsi" w:eastAsiaTheme="minorHAnsi" w:hAnsiTheme="minorHAnsi" w:cstheme="minorBidi"/>
          <w:snapToGrid/>
          <w:sz w:val="24"/>
          <w:szCs w:val="22"/>
        </w:rPr>
        <w:t xml:space="preserve">, who are the third party providers of hepatitis B vaccines for </w:t>
      </w:r>
      <w:proofErr w:type="spellStart"/>
      <w:r w:rsidR="005144BB">
        <w:rPr>
          <w:rFonts w:asciiTheme="minorHAnsi" w:eastAsiaTheme="minorHAnsi" w:hAnsiTheme="minorHAnsi" w:cstheme="minorBidi"/>
          <w:snapToGrid/>
          <w:sz w:val="24"/>
          <w:szCs w:val="22"/>
        </w:rPr>
        <w:t>Seqirus</w:t>
      </w:r>
      <w:proofErr w:type="spellEnd"/>
      <w:r w:rsidR="00DE72A9">
        <w:rPr>
          <w:rFonts w:asciiTheme="minorHAnsi" w:eastAsiaTheme="minorHAnsi" w:hAnsiTheme="minorHAnsi" w:cstheme="minorBidi"/>
          <w:snapToGrid/>
          <w:sz w:val="24"/>
          <w:szCs w:val="22"/>
        </w:rPr>
        <w:t xml:space="preserve"> (H-B-Vax </w:t>
      </w:r>
      <w:proofErr w:type="spellStart"/>
      <w:r w:rsidR="00DE72A9">
        <w:rPr>
          <w:rFonts w:asciiTheme="minorHAnsi" w:eastAsiaTheme="minorHAnsi" w:hAnsiTheme="minorHAnsi" w:cstheme="minorBidi"/>
          <w:snapToGrid/>
          <w:sz w:val="24"/>
          <w:szCs w:val="22"/>
        </w:rPr>
        <w:t>ll</w:t>
      </w:r>
      <w:proofErr w:type="spellEnd"/>
      <w:r w:rsidR="00DE72A9">
        <w:rPr>
          <w:rFonts w:asciiTheme="minorHAnsi" w:eastAsiaTheme="minorHAnsi" w:hAnsiTheme="minorHAnsi" w:cstheme="minorBidi"/>
          <w:snapToGrid/>
          <w:sz w:val="24"/>
          <w:szCs w:val="22"/>
        </w:rPr>
        <w:t>)</w:t>
      </w:r>
      <w:r w:rsidR="005144BB">
        <w:rPr>
          <w:rFonts w:asciiTheme="minorHAnsi" w:eastAsiaTheme="minorHAnsi" w:hAnsiTheme="minorHAnsi" w:cstheme="minorBidi"/>
          <w:snapToGrid/>
          <w:sz w:val="24"/>
          <w:szCs w:val="22"/>
        </w:rPr>
        <w:t>,</w:t>
      </w:r>
      <w:r w:rsidR="00CE0915">
        <w:rPr>
          <w:rFonts w:asciiTheme="minorHAnsi" w:eastAsiaTheme="minorHAnsi" w:hAnsiTheme="minorHAnsi" w:cstheme="minorBidi"/>
          <w:snapToGrid/>
          <w:sz w:val="24"/>
          <w:szCs w:val="22"/>
        </w:rPr>
        <w:t xml:space="preserve"> is encountering a shortage </w:t>
      </w:r>
      <w:r w:rsidR="00227270">
        <w:rPr>
          <w:rFonts w:asciiTheme="minorHAnsi" w:eastAsiaTheme="minorHAnsi" w:hAnsiTheme="minorHAnsi" w:cstheme="minorBidi"/>
          <w:snapToGrid/>
          <w:sz w:val="24"/>
          <w:szCs w:val="22"/>
        </w:rPr>
        <w:t xml:space="preserve">currently </w:t>
      </w:r>
      <w:r w:rsidR="00CE0915">
        <w:rPr>
          <w:rFonts w:asciiTheme="minorHAnsi" w:eastAsiaTheme="minorHAnsi" w:hAnsiTheme="minorHAnsi" w:cstheme="minorBidi"/>
          <w:snapToGrid/>
          <w:sz w:val="24"/>
          <w:szCs w:val="22"/>
        </w:rPr>
        <w:t xml:space="preserve">predicted </w:t>
      </w:r>
      <w:r w:rsidR="005144BB">
        <w:rPr>
          <w:rFonts w:asciiTheme="minorHAnsi" w:eastAsiaTheme="minorHAnsi" w:hAnsiTheme="minorHAnsi" w:cstheme="minorBidi"/>
          <w:snapToGrid/>
          <w:sz w:val="24"/>
          <w:szCs w:val="22"/>
        </w:rPr>
        <w:t xml:space="preserve">to last </w:t>
      </w:r>
      <w:r w:rsidR="00CE0915">
        <w:rPr>
          <w:rFonts w:asciiTheme="minorHAnsi" w:eastAsiaTheme="minorHAnsi" w:hAnsiTheme="minorHAnsi" w:cstheme="minorBidi"/>
          <w:snapToGrid/>
          <w:sz w:val="24"/>
          <w:szCs w:val="22"/>
        </w:rPr>
        <w:t xml:space="preserve">until </w:t>
      </w:r>
      <w:r w:rsidR="00F22E6A">
        <w:rPr>
          <w:rFonts w:asciiTheme="minorHAnsi" w:eastAsiaTheme="minorHAnsi" w:hAnsiTheme="minorHAnsi" w:cstheme="minorBidi"/>
          <w:snapToGrid/>
          <w:sz w:val="24"/>
          <w:szCs w:val="22"/>
        </w:rPr>
        <w:t>31 December 201</w:t>
      </w:r>
      <w:r w:rsidR="008942CF">
        <w:rPr>
          <w:rFonts w:asciiTheme="minorHAnsi" w:eastAsiaTheme="minorHAnsi" w:hAnsiTheme="minorHAnsi" w:cstheme="minorBidi"/>
          <w:snapToGrid/>
          <w:sz w:val="24"/>
          <w:szCs w:val="22"/>
        </w:rPr>
        <w:t>9</w:t>
      </w:r>
      <w:r w:rsidR="00331096">
        <w:rPr>
          <w:rFonts w:asciiTheme="minorHAnsi" w:eastAsiaTheme="minorHAnsi" w:hAnsiTheme="minorHAnsi" w:cstheme="minorBidi"/>
          <w:snapToGrid/>
          <w:sz w:val="24"/>
          <w:szCs w:val="22"/>
        </w:rPr>
        <w:t xml:space="preserve">. </w:t>
      </w:r>
      <w:r w:rsidR="00EC294D">
        <w:rPr>
          <w:rFonts w:asciiTheme="minorHAnsi" w:eastAsiaTheme="minorHAnsi" w:hAnsiTheme="minorHAnsi" w:cstheme="minorBidi"/>
          <w:noProof/>
          <w:snapToGrid/>
          <w:color w:val="000000"/>
          <w:sz w:val="24"/>
          <w:szCs w:val="22"/>
          <w:highlight w:val="black"/>
        </w:rPr>
        <w:t>'''''''''''''' ''''''''' '''''''''''''''''''' '''''''' '''''' '''''''''''''' '''' ''''' ''''''' '''' ''''''''''' '''' ''''''' ''''''''''''' ''''''' '''' '''''''''' '''' ''''''''''</w:t>
      </w:r>
      <w:r w:rsidR="00331096" w:rsidRPr="00331096">
        <w:rPr>
          <w:rFonts w:asciiTheme="minorHAnsi" w:eastAsiaTheme="minorHAnsi" w:hAnsiTheme="minorHAnsi" w:cstheme="minorBidi"/>
          <w:snapToGrid/>
          <w:sz w:val="24"/>
          <w:szCs w:val="22"/>
        </w:rPr>
        <w:t xml:space="preserve"> </w:t>
      </w:r>
      <w:r w:rsidR="00331096">
        <w:rPr>
          <w:rFonts w:asciiTheme="minorHAnsi" w:eastAsiaTheme="minorHAnsi" w:hAnsiTheme="minorHAnsi" w:cstheme="minorBidi"/>
          <w:snapToGrid/>
          <w:sz w:val="24"/>
          <w:szCs w:val="22"/>
        </w:rPr>
        <w:t>As a consequence there is expected to be a shortage of adult hepatitis B vaccines until 2019.</w:t>
      </w:r>
    </w:p>
    <w:p w:rsidR="00CE0915" w:rsidRDefault="00CE0915" w:rsidP="00CE0915">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population impacted by this shortage are catch up cohorts of adolescents aged 10-19 years old and refugees and humanitarian entrants of all ages.  There are financial implications </w:t>
      </w:r>
      <w:r w:rsidR="00D25568">
        <w:rPr>
          <w:rFonts w:asciiTheme="minorHAnsi" w:eastAsiaTheme="minorHAnsi" w:hAnsiTheme="minorHAnsi" w:cstheme="minorBidi"/>
          <w:snapToGrid/>
          <w:sz w:val="24"/>
          <w:szCs w:val="22"/>
        </w:rPr>
        <w:t>for family payments if</w:t>
      </w:r>
      <w:r>
        <w:rPr>
          <w:rFonts w:asciiTheme="minorHAnsi" w:eastAsiaTheme="minorHAnsi" w:hAnsiTheme="minorHAnsi" w:cstheme="minorBidi"/>
          <w:snapToGrid/>
          <w:sz w:val="24"/>
          <w:szCs w:val="22"/>
        </w:rPr>
        <w:t xml:space="preserve"> </w:t>
      </w:r>
      <w:r w:rsidR="00D25568">
        <w:rPr>
          <w:rFonts w:asciiTheme="minorHAnsi" w:eastAsiaTheme="minorHAnsi" w:hAnsiTheme="minorHAnsi" w:cstheme="minorBidi"/>
          <w:snapToGrid/>
          <w:sz w:val="24"/>
          <w:szCs w:val="22"/>
        </w:rPr>
        <w:t>the adolescent group</w:t>
      </w:r>
      <w:r>
        <w:rPr>
          <w:rFonts w:asciiTheme="minorHAnsi" w:eastAsiaTheme="minorHAnsi" w:hAnsiTheme="minorHAnsi" w:cstheme="minorBidi"/>
          <w:snapToGrid/>
          <w:sz w:val="24"/>
          <w:szCs w:val="22"/>
        </w:rPr>
        <w:t xml:space="preserve"> </w:t>
      </w:r>
      <w:r w:rsidR="00D25568">
        <w:rPr>
          <w:rFonts w:asciiTheme="minorHAnsi" w:eastAsiaTheme="minorHAnsi" w:hAnsiTheme="minorHAnsi" w:cstheme="minorBidi"/>
          <w:snapToGrid/>
          <w:sz w:val="24"/>
          <w:szCs w:val="22"/>
        </w:rPr>
        <w:t xml:space="preserve">do not undertake </w:t>
      </w:r>
      <w:proofErr w:type="gramStart"/>
      <w:r w:rsidR="00D25568">
        <w:rPr>
          <w:rFonts w:asciiTheme="minorHAnsi" w:eastAsiaTheme="minorHAnsi" w:hAnsiTheme="minorHAnsi" w:cstheme="minorBidi"/>
          <w:snapToGrid/>
          <w:sz w:val="24"/>
          <w:szCs w:val="22"/>
        </w:rPr>
        <w:t>vaccination,</w:t>
      </w:r>
      <w:proofErr w:type="gramEnd"/>
      <w:r w:rsidR="00D25568">
        <w:rPr>
          <w:rFonts w:asciiTheme="minorHAnsi" w:eastAsiaTheme="minorHAnsi" w:hAnsiTheme="minorHAnsi" w:cstheme="minorBidi"/>
          <w:snapToGrid/>
          <w:sz w:val="24"/>
          <w:szCs w:val="22"/>
        </w:rPr>
        <w:t xml:space="preserve"> and because refugees and humanitarian entrants may come from hepatitis B endemic areas, there are public health implications if this group cannot receive vaccination.</w:t>
      </w:r>
    </w:p>
    <w:p w:rsidR="00CE0915" w:rsidRDefault="001C71C2" w:rsidP="00CE0915">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lastRenderedPageBreak/>
        <w:t>A v</w:t>
      </w:r>
      <w:r w:rsidR="00067A4B">
        <w:rPr>
          <w:rFonts w:asciiTheme="minorHAnsi" w:eastAsiaTheme="minorHAnsi" w:hAnsiTheme="minorHAnsi" w:cstheme="minorBidi"/>
          <w:snapToGrid/>
          <w:sz w:val="24"/>
          <w:szCs w:val="22"/>
        </w:rPr>
        <w:t xml:space="preserve">accination </w:t>
      </w:r>
      <w:r>
        <w:rPr>
          <w:rFonts w:asciiTheme="minorHAnsi" w:eastAsiaTheme="minorHAnsi" w:hAnsiTheme="minorHAnsi" w:cstheme="minorBidi"/>
          <w:snapToGrid/>
          <w:sz w:val="24"/>
          <w:szCs w:val="22"/>
        </w:rPr>
        <w:t xml:space="preserve">course involves three doses.  </w:t>
      </w:r>
      <w:r w:rsidR="00345185">
        <w:rPr>
          <w:rFonts w:asciiTheme="minorHAnsi" w:eastAsiaTheme="minorHAnsi" w:hAnsiTheme="minorHAnsi" w:cstheme="minorBidi"/>
          <w:snapToGrid/>
          <w:sz w:val="24"/>
          <w:szCs w:val="22"/>
        </w:rPr>
        <w:t>The Australian Technical Advisory Group on Immunisation (</w:t>
      </w:r>
      <w:r w:rsidR="00CE0915">
        <w:rPr>
          <w:rFonts w:asciiTheme="minorHAnsi" w:eastAsiaTheme="minorHAnsi" w:hAnsiTheme="minorHAnsi" w:cstheme="minorBidi"/>
          <w:snapToGrid/>
          <w:sz w:val="24"/>
          <w:szCs w:val="22"/>
        </w:rPr>
        <w:t>ATAGI</w:t>
      </w:r>
      <w:r w:rsidR="00345185">
        <w:rPr>
          <w:rFonts w:asciiTheme="minorHAnsi" w:eastAsiaTheme="minorHAnsi" w:hAnsiTheme="minorHAnsi" w:cstheme="minorBidi"/>
          <w:snapToGrid/>
          <w:sz w:val="24"/>
          <w:szCs w:val="22"/>
        </w:rPr>
        <w:t>)</w:t>
      </w:r>
      <w:r w:rsidR="00CE0915">
        <w:rPr>
          <w:rFonts w:asciiTheme="minorHAnsi" w:eastAsiaTheme="minorHAnsi" w:hAnsiTheme="minorHAnsi" w:cstheme="minorBidi"/>
          <w:snapToGrid/>
          <w:sz w:val="24"/>
          <w:szCs w:val="22"/>
        </w:rPr>
        <w:t xml:space="preserve"> advised that </w:t>
      </w:r>
      <w:r w:rsidR="00067A4B">
        <w:rPr>
          <w:rFonts w:asciiTheme="minorHAnsi" w:eastAsiaTheme="minorHAnsi" w:hAnsiTheme="minorHAnsi" w:cstheme="minorBidi"/>
          <w:snapToGrid/>
          <w:sz w:val="24"/>
          <w:szCs w:val="22"/>
        </w:rPr>
        <w:t>whilst not recommended, the two vaccines</w:t>
      </w:r>
      <w:r w:rsidR="00110516">
        <w:rPr>
          <w:rFonts w:asciiTheme="minorHAnsi" w:eastAsiaTheme="minorHAnsi" w:hAnsiTheme="minorHAnsi" w:cstheme="minorBidi"/>
          <w:snapToGrid/>
          <w:sz w:val="24"/>
          <w:szCs w:val="22"/>
        </w:rPr>
        <w:t xml:space="preserve"> (H-B-Vax </w:t>
      </w:r>
      <w:proofErr w:type="spellStart"/>
      <w:r w:rsidR="00110516">
        <w:rPr>
          <w:rFonts w:asciiTheme="minorHAnsi" w:eastAsiaTheme="minorHAnsi" w:hAnsiTheme="minorHAnsi" w:cstheme="minorBidi"/>
          <w:snapToGrid/>
          <w:sz w:val="24"/>
          <w:szCs w:val="22"/>
        </w:rPr>
        <w:t>ll</w:t>
      </w:r>
      <w:proofErr w:type="spellEnd"/>
      <w:r w:rsidR="00110516">
        <w:rPr>
          <w:rFonts w:asciiTheme="minorHAnsi" w:eastAsiaTheme="minorHAnsi" w:hAnsiTheme="minorHAnsi" w:cstheme="minorBidi"/>
          <w:snapToGrid/>
          <w:sz w:val="24"/>
          <w:szCs w:val="22"/>
        </w:rPr>
        <w:t xml:space="preserve"> and </w:t>
      </w:r>
      <w:proofErr w:type="spellStart"/>
      <w:r w:rsidR="003F75FE">
        <w:rPr>
          <w:rFonts w:asciiTheme="minorHAnsi" w:eastAsiaTheme="minorHAnsi" w:hAnsiTheme="minorHAnsi" w:cstheme="minorBidi"/>
          <w:snapToGrid/>
          <w:sz w:val="24"/>
          <w:szCs w:val="22"/>
        </w:rPr>
        <w:t>Engerix</w:t>
      </w:r>
      <w:proofErr w:type="spellEnd"/>
      <w:r w:rsidR="00E20F9F">
        <w:rPr>
          <w:rFonts w:asciiTheme="minorHAnsi" w:eastAsiaTheme="minorHAnsi" w:hAnsiTheme="minorHAnsi" w:cstheme="minorBidi"/>
          <w:snapToGrid/>
          <w:sz w:val="24"/>
          <w:szCs w:val="22"/>
        </w:rPr>
        <w:t>-</w:t>
      </w:r>
      <w:r w:rsidR="00110516">
        <w:rPr>
          <w:rFonts w:asciiTheme="minorHAnsi" w:eastAsiaTheme="minorHAnsi" w:hAnsiTheme="minorHAnsi" w:cstheme="minorBidi"/>
          <w:snapToGrid/>
          <w:sz w:val="24"/>
          <w:szCs w:val="22"/>
        </w:rPr>
        <w:t>B)</w:t>
      </w:r>
      <w:r w:rsidR="00067A4B">
        <w:rPr>
          <w:rFonts w:asciiTheme="minorHAnsi" w:eastAsiaTheme="minorHAnsi" w:hAnsiTheme="minorHAnsi" w:cstheme="minorBidi"/>
          <w:snapToGrid/>
          <w:sz w:val="24"/>
          <w:szCs w:val="22"/>
        </w:rPr>
        <w:t xml:space="preserve"> can be used interchangeably, implying </w:t>
      </w:r>
      <w:r w:rsidR="00110516">
        <w:rPr>
          <w:rFonts w:asciiTheme="minorHAnsi" w:eastAsiaTheme="minorHAnsi" w:hAnsiTheme="minorHAnsi" w:cstheme="minorBidi"/>
          <w:snapToGrid/>
          <w:sz w:val="24"/>
          <w:szCs w:val="22"/>
        </w:rPr>
        <w:t>they are equivalent</w:t>
      </w:r>
      <w:r w:rsidR="00067A4B">
        <w:rPr>
          <w:rFonts w:asciiTheme="minorHAnsi" w:eastAsiaTheme="minorHAnsi" w:hAnsiTheme="minorHAnsi" w:cstheme="minorBidi"/>
          <w:snapToGrid/>
          <w:sz w:val="24"/>
          <w:szCs w:val="22"/>
        </w:rPr>
        <w:t>.</w:t>
      </w:r>
      <w:r w:rsidR="00331096">
        <w:rPr>
          <w:rFonts w:asciiTheme="minorHAnsi" w:eastAsiaTheme="minorHAnsi" w:hAnsiTheme="minorHAnsi" w:cstheme="minorBidi"/>
          <w:snapToGrid/>
          <w:sz w:val="24"/>
          <w:szCs w:val="22"/>
        </w:rPr>
        <w:t xml:space="preserve"> There is also published evidence suggesting</w:t>
      </w:r>
      <w:r w:rsidR="00331096" w:rsidRPr="00331096">
        <w:rPr>
          <w:rFonts w:asciiTheme="minorHAnsi" w:eastAsiaTheme="minorHAnsi" w:hAnsiTheme="minorHAnsi" w:cstheme="minorBidi"/>
          <w:snapToGrid/>
          <w:sz w:val="24"/>
          <w:szCs w:val="22"/>
        </w:rPr>
        <w:t xml:space="preserve"> the two vaccines offer equivalent clinical protection 12 months following vaccination</w:t>
      </w:r>
      <w:r w:rsidR="00331096">
        <w:rPr>
          <w:rFonts w:asciiTheme="minorHAnsi" w:eastAsiaTheme="minorHAnsi" w:hAnsiTheme="minorHAnsi" w:cstheme="minorBidi"/>
          <w:snapToGrid/>
          <w:sz w:val="24"/>
          <w:szCs w:val="22"/>
        </w:rPr>
        <w:t xml:space="preserve"> (Vinod </w:t>
      </w:r>
      <w:r w:rsidR="00331096">
        <w:rPr>
          <w:rFonts w:asciiTheme="minorHAnsi" w:eastAsiaTheme="minorHAnsi" w:hAnsiTheme="minorHAnsi" w:cstheme="minorBidi"/>
          <w:i/>
          <w:snapToGrid/>
          <w:sz w:val="24"/>
          <w:szCs w:val="22"/>
        </w:rPr>
        <w:t>et.al</w:t>
      </w:r>
      <w:r w:rsidR="00376C51">
        <w:rPr>
          <w:rFonts w:asciiTheme="minorHAnsi" w:eastAsiaTheme="minorHAnsi" w:hAnsiTheme="minorHAnsi" w:cstheme="minorBidi"/>
          <w:i/>
          <w:snapToGrid/>
          <w:sz w:val="24"/>
          <w:szCs w:val="22"/>
        </w:rPr>
        <w:t>,</w:t>
      </w:r>
      <w:r w:rsidR="00331096">
        <w:rPr>
          <w:rFonts w:asciiTheme="minorHAnsi" w:eastAsiaTheme="minorHAnsi" w:hAnsiTheme="minorHAnsi" w:cstheme="minorBidi"/>
          <w:snapToGrid/>
          <w:sz w:val="24"/>
          <w:szCs w:val="22"/>
        </w:rPr>
        <w:t xml:space="preserve"> 1995)</w:t>
      </w:r>
      <w:r w:rsidR="00331096">
        <w:rPr>
          <w:rStyle w:val="FootnoteReference"/>
          <w:rFonts w:asciiTheme="minorHAnsi" w:eastAsiaTheme="minorHAnsi" w:hAnsiTheme="minorHAnsi" w:cstheme="minorBidi"/>
          <w:snapToGrid/>
          <w:sz w:val="24"/>
          <w:szCs w:val="22"/>
        </w:rPr>
        <w:footnoteReference w:id="1"/>
      </w:r>
      <w:r w:rsidR="00331096">
        <w:rPr>
          <w:rFonts w:asciiTheme="minorHAnsi" w:eastAsiaTheme="minorHAnsi" w:hAnsiTheme="minorHAnsi" w:cstheme="minorBidi"/>
          <w:snapToGrid/>
          <w:sz w:val="24"/>
          <w:szCs w:val="22"/>
        </w:rPr>
        <w:t>.</w:t>
      </w:r>
    </w:p>
    <w:p w:rsidR="00CE0915" w:rsidRDefault="00EC294D" w:rsidP="00CE0915">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noProof/>
          <w:snapToGrid/>
          <w:color w:val="000000"/>
          <w:sz w:val="24"/>
          <w:szCs w:val="22"/>
          <w:highlight w:val="black"/>
        </w:rPr>
        <w:t>'''''' '''''''''''''''''''''' '''''''''''' ''''''''''''''''''''' ''''' '''''' ''''''''''''''''''''''''' ''''' '''''''''''''' '''''''''''' '''' '''''''''''' ''''''''''''''''''''' '''''''''''' ''''' '''''''''''' '''''' ''''''''''''''''' '''' '''''''''''''' ''' '''''''' ''''''' ''''''''''''''''''' ''''''''''' ''''' ''''''''''''''' '' ''''''''''''''''''''' '''''''''''''''''''''''' '''''' ''''''' '''' '''''''''''' ''''' ''' '''''''''''''' ''''''''''' '''' ''''''''''' ''' '''''''' ''''''''''''''''' ''' ''''''''''''''''' '''' ''''''' '''''''''''''''''''' ''''''''''''''''''''''  '''''''''''''''''' ''' ''' ''''''''''''''''''''''' '''''''' ''''''' '''''''' ''''''''''''' ''''' '''''' '''''''''''''' '''''''' ''''''''''''' ''''' '''''' ''''''''''''''''''' '''''''''''''' ''''' '''''' '''''''''''''''''' '''''''''''''''''''''' '''''''''' '''''''''''' ''' ''''''''''''''''' ''''' ''''''' '''''''''''''''''''' ''''''''''''''</w:t>
      </w:r>
      <w:r w:rsidR="00110516">
        <w:rPr>
          <w:rFonts w:asciiTheme="minorHAnsi" w:eastAsiaTheme="minorHAnsi" w:hAnsiTheme="minorHAnsi" w:cstheme="minorBidi"/>
          <w:snapToGrid/>
          <w:sz w:val="24"/>
          <w:szCs w:val="22"/>
        </w:rPr>
        <w:t>.</w:t>
      </w:r>
      <w:r w:rsidR="00CE0915">
        <w:rPr>
          <w:rFonts w:asciiTheme="minorHAnsi" w:eastAsiaTheme="minorHAnsi" w:hAnsiTheme="minorHAnsi" w:cstheme="minorBidi"/>
          <w:snapToGrid/>
          <w:sz w:val="24"/>
          <w:szCs w:val="22"/>
        </w:rPr>
        <w:t xml:space="preserve"> </w:t>
      </w:r>
    </w:p>
    <w:p w:rsidR="00345185" w:rsidRDefault="00CE0915" w:rsidP="00CE0915">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GSK </w:t>
      </w:r>
      <w:r w:rsidR="00D25568">
        <w:rPr>
          <w:rFonts w:asciiTheme="minorHAnsi" w:eastAsiaTheme="minorHAnsi" w:hAnsiTheme="minorHAnsi" w:cstheme="minorBidi"/>
          <w:snapToGrid/>
          <w:sz w:val="24"/>
          <w:szCs w:val="22"/>
        </w:rPr>
        <w:t xml:space="preserve">has advised </w:t>
      </w:r>
      <w:r w:rsidR="00345185">
        <w:rPr>
          <w:rFonts w:asciiTheme="minorHAnsi" w:eastAsiaTheme="minorHAnsi" w:hAnsiTheme="minorHAnsi" w:cstheme="minorBidi"/>
          <w:snapToGrid/>
          <w:sz w:val="24"/>
          <w:szCs w:val="22"/>
        </w:rPr>
        <w:t xml:space="preserve">that they have sufficient adult formulation doses of </w:t>
      </w:r>
      <w:proofErr w:type="spellStart"/>
      <w:r w:rsidR="00345185">
        <w:rPr>
          <w:rFonts w:asciiTheme="minorHAnsi" w:eastAsiaTheme="minorHAnsi" w:hAnsiTheme="minorHAnsi" w:cstheme="minorBidi"/>
          <w:snapToGrid/>
          <w:sz w:val="24"/>
          <w:szCs w:val="22"/>
        </w:rPr>
        <w:t>Engerix</w:t>
      </w:r>
      <w:proofErr w:type="spellEnd"/>
      <w:r w:rsidR="00E20F9F">
        <w:rPr>
          <w:rFonts w:asciiTheme="minorHAnsi" w:eastAsiaTheme="minorHAnsi" w:hAnsiTheme="minorHAnsi" w:cstheme="minorBidi"/>
          <w:snapToGrid/>
          <w:sz w:val="24"/>
          <w:szCs w:val="22"/>
        </w:rPr>
        <w:t>-</w:t>
      </w:r>
      <w:r w:rsidR="00345185">
        <w:rPr>
          <w:rFonts w:asciiTheme="minorHAnsi" w:eastAsiaTheme="minorHAnsi" w:hAnsiTheme="minorHAnsi" w:cstheme="minorBidi"/>
          <w:snapToGrid/>
          <w:sz w:val="24"/>
          <w:szCs w:val="22"/>
        </w:rPr>
        <w:t xml:space="preserve">B </w:t>
      </w:r>
      <w:r w:rsidR="00EB10BA">
        <w:rPr>
          <w:rFonts w:asciiTheme="minorHAnsi" w:eastAsiaTheme="minorHAnsi" w:hAnsiTheme="minorHAnsi" w:cstheme="minorBidi"/>
          <w:snapToGrid/>
          <w:sz w:val="24"/>
          <w:szCs w:val="22"/>
        </w:rPr>
        <w:t xml:space="preserve">(adult formulation) </w:t>
      </w:r>
      <w:r w:rsidR="00345185">
        <w:rPr>
          <w:rFonts w:asciiTheme="minorHAnsi" w:eastAsiaTheme="minorHAnsi" w:hAnsiTheme="minorHAnsi" w:cstheme="minorBidi"/>
          <w:snapToGrid/>
          <w:sz w:val="24"/>
          <w:szCs w:val="22"/>
        </w:rPr>
        <w:t xml:space="preserve">to meet NIP requirements for 12 to 18 months and that this supply will not impact state programs or the private market. </w:t>
      </w:r>
    </w:p>
    <w:p w:rsidR="00CE0915" w:rsidRPr="00CE0915" w:rsidRDefault="00345185" w:rsidP="00CE0915">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GSK </w:t>
      </w:r>
      <w:r w:rsidR="00CE0915">
        <w:rPr>
          <w:rFonts w:asciiTheme="minorHAnsi" w:eastAsiaTheme="minorHAnsi" w:hAnsiTheme="minorHAnsi" w:cstheme="minorBidi"/>
          <w:snapToGrid/>
          <w:sz w:val="24"/>
          <w:szCs w:val="22"/>
        </w:rPr>
        <w:t xml:space="preserve">have agreed to provide </w:t>
      </w:r>
      <w:proofErr w:type="spellStart"/>
      <w:r w:rsidR="00CE0915">
        <w:rPr>
          <w:rFonts w:asciiTheme="minorHAnsi" w:eastAsiaTheme="minorHAnsi" w:hAnsiTheme="minorHAnsi" w:cstheme="minorBidi"/>
          <w:snapToGrid/>
          <w:sz w:val="24"/>
          <w:szCs w:val="22"/>
        </w:rPr>
        <w:t>Engerix</w:t>
      </w:r>
      <w:proofErr w:type="spellEnd"/>
      <w:r w:rsidR="00E20F9F">
        <w:rPr>
          <w:rFonts w:asciiTheme="minorHAnsi" w:eastAsiaTheme="minorHAnsi" w:hAnsiTheme="minorHAnsi" w:cstheme="minorBidi"/>
          <w:snapToGrid/>
          <w:sz w:val="24"/>
          <w:szCs w:val="22"/>
        </w:rPr>
        <w:t>-</w:t>
      </w:r>
      <w:r w:rsidR="00CE0915">
        <w:rPr>
          <w:rFonts w:asciiTheme="minorHAnsi" w:eastAsiaTheme="minorHAnsi" w:hAnsiTheme="minorHAnsi" w:cstheme="minorBidi"/>
          <w:snapToGrid/>
          <w:sz w:val="24"/>
          <w:szCs w:val="22"/>
        </w:rPr>
        <w:t xml:space="preserve">B </w:t>
      </w:r>
      <w:r w:rsidR="00EB10BA">
        <w:rPr>
          <w:rFonts w:asciiTheme="minorHAnsi" w:eastAsiaTheme="minorHAnsi" w:hAnsiTheme="minorHAnsi" w:cstheme="minorBidi"/>
          <w:snapToGrid/>
          <w:sz w:val="24"/>
          <w:szCs w:val="22"/>
        </w:rPr>
        <w:t xml:space="preserve">(adult formulation) </w:t>
      </w:r>
      <w:r w:rsidR="00CE0915">
        <w:rPr>
          <w:rFonts w:asciiTheme="minorHAnsi" w:eastAsiaTheme="minorHAnsi" w:hAnsiTheme="minorHAnsi" w:cstheme="minorBidi"/>
          <w:snapToGrid/>
          <w:sz w:val="24"/>
          <w:szCs w:val="22"/>
        </w:rPr>
        <w:t xml:space="preserve">on a cost neutral basis to the existing </w:t>
      </w:r>
      <w:r w:rsidR="00067A4B">
        <w:rPr>
          <w:rFonts w:asciiTheme="minorHAnsi" w:eastAsiaTheme="minorHAnsi" w:hAnsiTheme="minorHAnsi" w:cstheme="minorBidi"/>
          <w:snapToGrid/>
          <w:sz w:val="24"/>
          <w:szCs w:val="22"/>
        </w:rPr>
        <w:t>NIP listing, $</w:t>
      </w:r>
      <w:r w:rsidR="00481DB5">
        <w:rPr>
          <w:rFonts w:asciiTheme="minorHAnsi" w:eastAsiaTheme="minorHAnsi" w:hAnsiTheme="minorHAnsi" w:cstheme="minorBidi"/>
          <w:noProof/>
          <w:snapToGrid/>
          <w:color w:val="000000"/>
          <w:sz w:val="24"/>
          <w:szCs w:val="22"/>
          <w:highlight w:val="black"/>
        </w:rPr>
        <w:t>'''''''''''</w:t>
      </w:r>
      <w:r w:rsidR="00067A4B">
        <w:rPr>
          <w:rFonts w:asciiTheme="minorHAnsi" w:eastAsiaTheme="minorHAnsi" w:hAnsiTheme="minorHAnsi" w:cstheme="minorBidi"/>
          <w:snapToGrid/>
          <w:sz w:val="24"/>
          <w:szCs w:val="22"/>
        </w:rPr>
        <w:t xml:space="preserve"> GST </w:t>
      </w:r>
      <w:proofErr w:type="spellStart"/>
      <w:r w:rsidR="00067A4B">
        <w:rPr>
          <w:rFonts w:asciiTheme="minorHAnsi" w:eastAsiaTheme="minorHAnsi" w:hAnsiTheme="minorHAnsi" w:cstheme="minorBidi"/>
          <w:snapToGrid/>
          <w:sz w:val="24"/>
          <w:szCs w:val="22"/>
        </w:rPr>
        <w:t>Excl</w:t>
      </w:r>
      <w:proofErr w:type="spellEnd"/>
      <w:r w:rsidR="00067A4B">
        <w:rPr>
          <w:rFonts w:asciiTheme="minorHAnsi" w:eastAsiaTheme="minorHAnsi" w:hAnsiTheme="minorHAnsi" w:cstheme="minorBidi"/>
          <w:snapToGrid/>
          <w:sz w:val="24"/>
          <w:szCs w:val="22"/>
        </w:rPr>
        <w:t xml:space="preserve"> per dose.</w:t>
      </w:r>
    </w:p>
    <w:p w:rsidR="00DB15B2" w:rsidRDefault="00DB15B2" w:rsidP="00DB15B2">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Requested PBAC advice</w:t>
      </w:r>
    </w:p>
    <w:p w:rsidR="00DB15B2" w:rsidRPr="00104BE3" w:rsidRDefault="001C71C2" w:rsidP="00DB15B2">
      <w:pPr>
        <w:pStyle w:val="ListParagraph"/>
        <w:widowControl/>
        <w:numPr>
          <w:ilvl w:val="1"/>
          <w:numId w:val="5"/>
        </w:numPr>
        <w:spacing w:before="120" w:after="160"/>
        <w:rPr>
          <w:rFonts w:asciiTheme="minorHAnsi" w:hAnsiTheme="minorHAnsi"/>
          <w:sz w:val="24"/>
          <w:szCs w:val="24"/>
        </w:rPr>
      </w:pPr>
      <w:r>
        <w:rPr>
          <w:rFonts w:asciiTheme="minorHAnsi" w:eastAsiaTheme="minorHAnsi" w:hAnsiTheme="minorHAnsi" w:cstheme="minorBidi"/>
          <w:snapToGrid/>
          <w:sz w:val="24"/>
          <w:szCs w:val="22"/>
        </w:rPr>
        <w:t>In June 2018 t</w:t>
      </w:r>
      <w:r w:rsidR="00CE0915">
        <w:rPr>
          <w:rFonts w:asciiTheme="minorHAnsi" w:eastAsiaTheme="minorHAnsi" w:hAnsiTheme="minorHAnsi" w:cstheme="minorBidi"/>
          <w:snapToGrid/>
          <w:sz w:val="24"/>
          <w:szCs w:val="22"/>
        </w:rPr>
        <w:t xml:space="preserve">he Chief Medical Officer (CMO) wrote to the PBAC asking that it consider the temporary NIP listing of </w:t>
      </w:r>
      <w:proofErr w:type="spellStart"/>
      <w:r w:rsidR="00CE0915">
        <w:rPr>
          <w:rFonts w:asciiTheme="minorHAnsi" w:eastAsiaTheme="minorHAnsi" w:hAnsiTheme="minorHAnsi" w:cstheme="minorBidi"/>
          <w:snapToGrid/>
          <w:sz w:val="24"/>
          <w:szCs w:val="22"/>
        </w:rPr>
        <w:t>Engerix</w:t>
      </w:r>
      <w:proofErr w:type="spellEnd"/>
      <w:r w:rsidR="00E20F9F">
        <w:rPr>
          <w:rFonts w:asciiTheme="minorHAnsi" w:eastAsiaTheme="minorHAnsi" w:hAnsiTheme="minorHAnsi" w:cstheme="minorBidi"/>
          <w:snapToGrid/>
          <w:sz w:val="24"/>
          <w:szCs w:val="22"/>
        </w:rPr>
        <w:t>-</w:t>
      </w:r>
      <w:r w:rsidR="00CE0915">
        <w:rPr>
          <w:rFonts w:asciiTheme="minorHAnsi" w:eastAsiaTheme="minorHAnsi" w:hAnsiTheme="minorHAnsi" w:cstheme="minorBidi"/>
          <w:snapToGrid/>
          <w:sz w:val="24"/>
          <w:szCs w:val="22"/>
        </w:rPr>
        <w:t xml:space="preserve">B </w:t>
      </w:r>
      <w:r w:rsidR="00EB10BA">
        <w:rPr>
          <w:rFonts w:asciiTheme="minorHAnsi" w:eastAsiaTheme="minorHAnsi" w:hAnsiTheme="minorHAnsi" w:cstheme="minorBidi"/>
          <w:snapToGrid/>
          <w:sz w:val="24"/>
          <w:szCs w:val="22"/>
        </w:rPr>
        <w:t xml:space="preserve">(adult formulation) </w:t>
      </w:r>
      <w:r w:rsidR="00CE0915">
        <w:rPr>
          <w:rFonts w:asciiTheme="minorHAnsi" w:eastAsiaTheme="minorHAnsi" w:hAnsiTheme="minorHAnsi" w:cstheme="minorBidi"/>
          <w:snapToGrid/>
          <w:sz w:val="24"/>
          <w:szCs w:val="22"/>
        </w:rPr>
        <w:t>to cover the supply shortage of H-B-Vax II</w:t>
      </w:r>
      <w:r w:rsidR="00EB10BA">
        <w:rPr>
          <w:rFonts w:asciiTheme="minorHAnsi" w:eastAsiaTheme="minorHAnsi" w:hAnsiTheme="minorHAnsi" w:cstheme="minorBidi"/>
          <w:snapToGrid/>
          <w:sz w:val="24"/>
          <w:szCs w:val="22"/>
        </w:rPr>
        <w:t xml:space="preserve"> (adult formulation) in adolescents and adults.</w:t>
      </w:r>
    </w:p>
    <w:p w:rsidR="00104BE3" w:rsidRPr="00104BE3" w:rsidRDefault="00104BE3" w:rsidP="00104BE3">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104BE3">
        <w:rPr>
          <w:rFonts w:asciiTheme="minorHAnsi" w:hAnsiTheme="minorHAnsi"/>
          <w:sz w:val="32"/>
          <w:szCs w:val="32"/>
        </w:rPr>
        <w:t>PBAC Outcome</w:t>
      </w:r>
    </w:p>
    <w:p w:rsidR="00067A4B" w:rsidRPr="00067A4B" w:rsidRDefault="00CE0915" w:rsidP="00067A4B">
      <w:pPr>
        <w:pStyle w:val="ListParagraph"/>
        <w:widowControl/>
        <w:numPr>
          <w:ilvl w:val="1"/>
          <w:numId w:val="5"/>
        </w:numPr>
        <w:spacing w:before="120" w:after="160"/>
        <w:rPr>
          <w:b/>
        </w:rPr>
      </w:pPr>
      <w:r>
        <w:rPr>
          <w:rFonts w:asciiTheme="minorHAnsi" w:eastAsiaTheme="minorHAnsi" w:hAnsiTheme="minorHAnsi" w:cstheme="minorBidi"/>
          <w:snapToGrid/>
          <w:sz w:val="24"/>
          <w:szCs w:val="22"/>
        </w:rPr>
        <w:t xml:space="preserve">The PBAC recommended the temporary listing of </w:t>
      </w:r>
      <w:proofErr w:type="spellStart"/>
      <w:r w:rsidR="00067A4B">
        <w:rPr>
          <w:rFonts w:asciiTheme="minorHAnsi" w:eastAsiaTheme="minorHAnsi" w:hAnsiTheme="minorHAnsi" w:cstheme="minorBidi"/>
          <w:snapToGrid/>
          <w:sz w:val="24"/>
          <w:szCs w:val="22"/>
        </w:rPr>
        <w:t>Engerix</w:t>
      </w:r>
      <w:proofErr w:type="spellEnd"/>
      <w:r w:rsidR="00E20F9F">
        <w:rPr>
          <w:rFonts w:asciiTheme="minorHAnsi" w:eastAsiaTheme="minorHAnsi" w:hAnsiTheme="minorHAnsi" w:cstheme="minorBidi"/>
          <w:snapToGrid/>
          <w:sz w:val="24"/>
          <w:szCs w:val="22"/>
        </w:rPr>
        <w:t>-</w:t>
      </w:r>
      <w:r w:rsidR="00067A4B">
        <w:rPr>
          <w:rFonts w:asciiTheme="minorHAnsi" w:eastAsiaTheme="minorHAnsi" w:hAnsiTheme="minorHAnsi" w:cstheme="minorBidi"/>
          <w:snapToGrid/>
          <w:sz w:val="24"/>
          <w:szCs w:val="22"/>
        </w:rPr>
        <w:t>B</w:t>
      </w:r>
      <w:r>
        <w:rPr>
          <w:rFonts w:asciiTheme="minorHAnsi" w:eastAsiaTheme="minorHAnsi" w:hAnsiTheme="minorHAnsi" w:cstheme="minorBidi"/>
          <w:snapToGrid/>
          <w:sz w:val="24"/>
          <w:szCs w:val="22"/>
        </w:rPr>
        <w:t xml:space="preserve"> </w:t>
      </w:r>
      <w:r w:rsidR="00067A4B">
        <w:rPr>
          <w:rFonts w:asciiTheme="minorHAnsi" w:eastAsiaTheme="minorHAnsi" w:hAnsiTheme="minorHAnsi" w:cstheme="minorBidi"/>
          <w:snapToGrid/>
          <w:sz w:val="24"/>
          <w:szCs w:val="22"/>
        </w:rPr>
        <w:t xml:space="preserve">(adult formulation) </w:t>
      </w:r>
      <w:r w:rsidR="00197163">
        <w:rPr>
          <w:rFonts w:asciiTheme="minorHAnsi" w:eastAsiaTheme="minorHAnsi" w:hAnsiTheme="minorHAnsi" w:cstheme="minorBidi"/>
          <w:snapToGrid/>
          <w:sz w:val="24"/>
          <w:szCs w:val="22"/>
        </w:rPr>
        <w:t xml:space="preserve">for use in adolescents and adults </w:t>
      </w:r>
      <w:r>
        <w:rPr>
          <w:rFonts w:asciiTheme="minorHAnsi" w:eastAsiaTheme="minorHAnsi" w:hAnsiTheme="minorHAnsi" w:cstheme="minorBidi"/>
          <w:snapToGrid/>
          <w:sz w:val="24"/>
          <w:szCs w:val="22"/>
        </w:rPr>
        <w:t xml:space="preserve">on the NIP until either the shortage of </w:t>
      </w:r>
      <w:r w:rsidR="00067A4B">
        <w:rPr>
          <w:rFonts w:asciiTheme="minorHAnsi" w:eastAsiaTheme="minorHAnsi" w:hAnsiTheme="minorHAnsi" w:cstheme="minorBidi"/>
          <w:snapToGrid/>
          <w:sz w:val="24"/>
          <w:szCs w:val="22"/>
        </w:rPr>
        <w:t>H-B-Vax II (adult formulation)</w:t>
      </w:r>
      <w:r>
        <w:rPr>
          <w:rFonts w:asciiTheme="minorHAnsi" w:eastAsiaTheme="minorHAnsi" w:hAnsiTheme="minorHAnsi" w:cstheme="minorBidi"/>
          <w:snapToGrid/>
          <w:sz w:val="24"/>
          <w:szCs w:val="22"/>
        </w:rPr>
        <w:t xml:space="preserve"> has been resolved, or </w:t>
      </w:r>
      <w:r w:rsidR="00197163">
        <w:rPr>
          <w:rFonts w:asciiTheme="minorHAnsi" w:eastAsiaTheme="minorHAnsi" w:hAnsiTheme="minorHAnsi" w:cstheme="minorBidi"/>
          <w:snapToGrid/>
          <w:sz w:val="24"/>
          <w:szCs w:val="22"/>
        </w:rPr>
        <w:t>31 December 201</w:t>
      </w:r>
      <w:r w:rsidR="00F22E6A">
        <w:rPr>
          <w:rFonts w:asciiTheme="minorHAnsi" w:eastAsiaTheme="minorHAnsi" w:hAnsiTheme="minorHAnsi" w:cstheme="minorBidi"/>
          <w:snapToGrid/>
          <w:sz w:val="24"/>
          <w:szCs w:val="22"/>
        </w:rPr>
        <w:t>9</w:t>
      </w:r>
      <w:r>
        <w:rPr>
          <w:rFonts w:asciiTheme="minorHAnsi" w:eastAsiaTheme="minorHAnsi" w:hAnsiTheme="minorHAnsi" w:cstheme="minorBidi"/>
          <w:snapToGrid/>
          <w:sz w:val="24"/>
          <w:szCs w:val="22"/>
        </w:rPr>
        <w:t xml:space="preserve">, whichever were to occur first.  The PBAC considered that </w:t>
      </w:r>
      <w:proofErr w:type="spellStart"/>
      <w:r>
        <w:rPr>
          <w:rFonts w:asciiTheme="minorHAnsi" w:eastAsiaTheme="minorHAnsi" w:hAnsiTheme="minorHAnsi" w:cstheme="minorBidi"/>
          <w:snapToGrid/>
          <w:sz w:val="24"/>
          <w:szCs w:val="22"/>
        </w:rPr>
        <w:t>Engerix</w:t>
      </w:r>
      <w:proofErr w:type="spellEnd"/>
      <w:r w:rsidR="00E20F9F">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 xml:space="preserve">B was sufficiently interchangeable with </w:t>
      </w:r>
      <w:r w:rsidR="00197163">
        <w:rPr>
          <w:rFonts w:asciiTheme="minorHAnsi" w:eastAsiaTheme="minorHAnsi" w:hAnsiTheme="minorHAnsi" w:cstheme="minorBidi"/>
          <w:snapToGrid/>
          <w:sz w:val="24"/>
          <w:szCs w:val="22"/>
        </w:rPr>
        <w:t>H-B-VAX II</w:t>
      </w:r>
      <w:r>
        <w:rPr>
          <w:rFonts w:asciiTheme="minorHAnsi" w:eastAsiaTheme="minorHAnsi" w:hAnsiTheme="minorHAnsi" w:cstheme="minorBidi"/>
          <w:snapToGrid/>
          <w:sz w:val="24"/>
          <w:szCs w:val="22"/>
        </w:rPr>
        <w:t xml:space="preserve"> as per the advice of the ATAGI, and that the listing would be cost neutral as </w:t>
      </w:r>
      <w:proofErr w:type="spellStart"/>
      <w:r>
        <w:rPr>
          <w:rFonts w:asciiTheme="minorHAnsi" w:eastAsiaTheme="minorHAnsi" w:hAnsiTheme="minorHAnsi" w:cstheme="minorBidi"/>
          <w:snapToGrid/>
          <w:sz w:val="24"/>
          <w:szCs w:val="22"/>
        </w:rPr>
        <w:t>Engerix</w:t>
      </w:r>
      <w:proofErr w:type="spellEnd"/>
      <w:r w:rsidR="00E20F9F">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 xml:space="preserve">B would be provided at the </w:t>
      </w:r>
      <w:r w:rsidR="00067A4B">
        <w:rPr>
          <w:rFonts w:asciiTheme="minorHAnsi" w:eastAsiaTheme="minorHAnsi" w:hAnsiTheme="minorHAnsi" w:cstheme="minorBidi"/>
          <w:snapToGrid/>
          <w:sz w:val="24"/>
          <w:szCs w:val="22"/>
        </w:rPr>
        <w:t>NIP tendered price paid for H-B-Vax II</w:t>
      </w:r>
      <w:r w:rsidR="00197163">
        <w:rPr>
          <w:rFonts w:asciiTheme="minorHAnsi" w:eastAsiaTheme="minorHAnsi" w:hAnsiTheme="minorHAnsi" w:cstheme="minorBidi"/>
          <w:snapToGrid/>
          <w:sz w:val="24"/>
          <w:szCs w:val="22"/>
        </w:rPr>
        <w:t xml:space="preserve"> and would ensure ongoing coverage for the catch up populations that</w:t>
      </w:r>
      <w:r w:rsidR="003A461B">
        <w:rPr>
          <w:rFonts w:asciiTheme="minorHAnsi" w:eastAsiaTheme="minorHAnsi" w:hAnsiTheme="minorHAnsi" w:cstheme="minorBidi"/>
          <w:snapToGrid/>
          <w:sz w:val="24"/>
          <w:szCs w:val="22"/>
        </w:rPr>
        <w:t xml:space="preserve"> are eligible for the</w:t>
      </w:r>
      <w:r w:rsidR="00197163">
        <w:rPr>
          <w:rFonts w:asciiTheme="minorHAnsi" w:eastAsiaTheme="minorHAnsi" w:hAnsiTheme="minorHAnsi" w:cstheme="minorBidi"/>
          <w:snapToGrid/>
          <w:sz w:val="24"/>
          <w:szCs w:val="22"/>
        </w:rPr>
        <w:t xml:space="preserve"> vaccine under the NIP.</w:t>
      </w:r>
    </w:p>
    <w:p w:rsidR="004B0923" w:rsidRDefault="00001D73" w:rsidP="00001D73">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Context for Decision</w:t>
      </w:r>
    </w:p>
    <w:p w:rsidR="00001D73" w:rsidRPr="00C07617" w:rsidRDefault="00001D73" w:rsidP="00001D73">
      <w:pPr>
        <w:jc w:val="both"/>
        <w:rPr>
          <w:rFonts w:asciiTheme="minorHAnsi" w:hAnsiTheme="minorHAnsi" w:cs="Arial"/>
        </w:rPr>
      </w:pPr>
      <w:r w:rsidRPr="00C07617">
        <w:rPr>
          <w:rFonts w:asciiTheme="minorHAnsi" w:hAnsiTheme="minorHAnsi" w:cs="Arial"/>
        </w:rPr>
        <w:t xml:space="preserve">The PBAC helps decide whether and, if so, how medicines should be subsidised in Australia. It considers submissions in this context. A PBAC decision not to recommend listing or not to </w:t>
      </w:r>
      <w:r w:rsidRPr="00C07617">
        <w:rPr>
          <w:rFonts w:asciiTheme="minorHAnsi" w:hAnsiTheme="minorHAnsi" w:cs="Arial"/>
        </w:rPr>
        <w:lastRenderedPageBreak/>
        <w:t>recommend changing a listing does not represent a final PBAC view about the merits of the medicine. A company can resubmit to the PBAC or seek independent review of the PBAC decision.</w:t>
      </w:r>
    </w:p>
    <w:p w:rsidR="00001D73" w:rsidRPr="00001D73" w:rsidRDefault="00001D73" w:rsidP="00001D73">
      <w:pPr>
        <w:rPr>
          <w:lang w:eastAsia="en-US"/>
        </w:rPr>
      </w:pPr>
    </w:p>
    <w:p w:rsidR="00001D73" w:rsidRDefault="00001D73" w:rsidP="00001D73">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 xml:space="preserve">Sponsor’s Comment </w:t>
      </w:r>
    </w:p>
    <w:p w:rsidR="008513DF" w:rsidRPr="0099704C" w:rsidRDefault="00001D73" w:rsidP="00DE3663">
      <w:pPr>
        <w:spacing w:after="120"/>
        <w:jc w:val="both"/>
      </w:pPr>
      <w:r w:rsidRPr="00C07617">
        <w:rPr>
          <w:rFonts w:asciiTheme="minorHAnsi" w:hAnsiTheme="minorHAnsi" w:cs="Arial"/>
          <w:bCs/>
        </w:rPr>
        <w:t>The sponsor had no comment.</w:t>
      </w:r>
      <w:bookmarkStart w:id="0" w:name="_GoBack"/>
      <w:bookmarkEnd w:id="0"/>
      <w:r w:rsidR="00DE3663" w:rsidRPr="0099704C">
        <w:t xml:space="preserve"> </w:t>
      </w:r>
    </w:p>
    <w:p w:rsidR="00F64CC1" w:rsidRPr="00197163" w:rsidRDefault="00F64CC1" w:rsidP="00197163">
      <w:pPr>
        <w:pStyle w:val="ListParagraph"/>
        <w:widowControl/>
        <w:spacing w:before="120" w:after="160"/>
        <w:rPr>
          <w:b/>
        </w:rPr>
      </w:pPr>
    </w:p>
    <w:sectPr w:rsidR="00F64CC1" w:rsidRPr="00197163"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DB5" w:rsidRDefault="00481DB5">
      <w:r>
        <w:separator/>
      </w:r>
    </w:p>
    <w:p w:rsidR="00481DB5" w:rsidRDefault="00481DB5"/>
  </w:endnote>
  <w:endnote w:type="continuationSeparator" w:id="0">
    <w:p w:rsidR="00481DB5" w:rsidRDefault="00481DB5">
      <w:r>
        <w:continuationSeparator/>
      </w:r>
    </w:p>
    <w:p w:rsidR="00481DB5" w:rsidRDefault="00481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Default="00F8047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0475" w:rsidRDefault="00F80475">
    <w:pPr>
      <w:pStyle w:val="Footer"/>
    </w:pPr>
  </w:p>
  <w:p w:rsidR="00F80475" w:rsidRDefault="00F804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520075"/>
      <w:docPartObj>
        <w:docPartGallery w:val="Page Numbers (Bottom of Page)"/>
        <w:docPartUnique/>
      </w:docPartObj>
    </w:sdtPr>
    <w:sdtEndPr>
      <w:rPr>
        <w:rFonts w:asciiTheme="minorHAnsi" w:hAnsiTheme="minorHAnsi" w:cstheme="minorHAnsi"/>
        <w:noProof/>
      </w:rPr>
    </w:sdtEndPr>
    <w:sdtContent>
      <w:p w:rsidR="00DB15B2" w:rsidRPr="00B77BF8" w:rsidRDefault="00DB15B2">
        <w:pPr>
          <w:pStyle w:val="Footer"/>
          <w:jc w:val="center"/>
          <w:rPr>
            <w:rFonts w:asciiTheme="minorHAnsi" w:hAnsiTheme="minorHAnsi" w:cstheme="minorHAnsi"/>
          </w:rPr>
        </w:pPr>
        <w:r w:rsidRPr="00B77BF8">
          <w:rPr>
            <w:rFonts w:asciiTheme="minorHAnsi" w:hAnsiTheme="minorHAnsi" w:cstheme="minorHAnsi"/>
          </w:rPr>
          <w:fldChar w:fldCharType="begin"/>
        </w:r>
        <w:r w:rsidRPr="00B77BF8">
          <w:rPr>
            <w:rFonts w:asciiTheme="minorHAnsi" w:hAnsiTheme="minorHAnsi" w:cstheme="minorHAnsi"/>
          </w:rPr>
          <w:instrText xml:space="preserve"> PAGE   \* MERGEFORMAT </w:instrText>
        </w:r>
        <w:r w:rsidRPr="00B77BF8">
          <w:rPr>
            <w:rFonts w:asciiTheme="minorHAnsi" w:hAnsiTheme="minorHAnsi" w:cstheme="minorHAnsi"/>
          </w:rPr>
          <w:fldChar w:fldCharType="separate"/>
        </w:r>
        <w:r w:rsidR="00DE3663">
          <w:rPr>
            <w:rFonts w:asciiTheme="minorHAnsi" w:hAnsiTheme="minorHAnsi" w:cstheme="minorHAnsi"/>
            <w:noProof/>
          </w:rPr>
          <w:t>2</w:t>
        </w:r>
        <w:r w:rsidRPr="00B77BF8">
          <w:rPr>
            <w:rFonts w:asciiTheme="minorHAnsi" w:hAnsiTheme="minorHAnsi" w:cstheme="minorHAnsi"/>
            <w:noProof/>
          </w:rPr>
          <w:fldChar w:fldCharType="end"/>
        </w:r>
      </w:p>
    </w:sdtContent>
  </w:sdt>
  <w:p w:rsidR="00F80475" w:rsidRPr="005E1333" w:rsidRDefault="00F80475" w:rsidP="00EF44A0">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Pr="007C0F57" w:rsidRDefault="00F8047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80475" w:rsidRPr="007C0F57" w:rsidRDefault="00F80475" w:rsidP="007C0F57">
    <w:pPr>
      <w:pStyle w:val="Footer"/>
      <w:jc w:val="center"/>
      <w:rPr>
        <w:b/>
        <w:i/>
        <w:sz w:val="20"/>
        <w:szCs w:val="20"/>
      </w:rPr>
    </w:pPr>
    <w:r w:rsidRPr="007C0F57">
      <w:rPr>
        <w:b/>
        <w:i/>
        <w:sz w:val="20"/>
        <w:szCs w:val="20"/>
      </w:rPr>
      <w:t>Commercial-in-Confidence</w:t>
    </w:r>
  </w:p>
  <w:p w:rsidR="00F80475" w:rsidRDefault="00F804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DB5" w:rsidRDefault="00481DB5">
      <w:r>
        <w:separator/>
      </w:r>
    </w:p>
    <w:p w:rsidR="00481DB5" w:rsidRDefault="00481DB5"/>
  </w:footnote>
  <w:footnote w:type="continuationSeparator" w:id="0">
    <w:p w:rsidR="00481DB5" w:rsidRDefault="00481DB5">
      <w:r>
        <w:continuationSeparator/>
      </w:r>
    </w:p>
    <w:p w:rsidR="00481DB5" w:rsidRDefault="00481DB5"/>
  </w:footnote>
  <w:footnote w:id="1">
    <w:p w:rsidR="00331096" w:rsidRPr="006437E7" w:rsidRDefault="00331096">
      <w:pPr>
        <w:pStyle w:val="FootnoteText"/>
      </w:pPr>
      <w:r w:rsidRPr="006437E7">
        <w:rPr>
          <w:rStyle w:val="FootnoteReference"/>
        </w:rPr>
        <w:footnoteRef/>
      </w:r>
      <w:r w:rsidRPr="006437E7">
        <w:t xml:space="preserve"> Vinod K., </w:t>
      </w:r>
      <w:proofErr w:type="spellStart"/>
      <w:r w:rsidRPr="006437E7">
        <w:t>Rustgi</w:t>
      </w:r>
      <w:proofErr w:type="spellEnd"/>
      <w:r w:rsidRPr="006437E7">
        <w:t xml:space="preserve"> </w:t>
      </w:r>
      <w:proofErr w:type="spellStart"/>
      <w:r w:rsidRPr="006437E7">
        <w:t>etc</w:t>
      </w:r>
      <w:proofErr w:type="spellEnd"/>
      <w:r w:rsidRPr="006437E7">
        <w:t xml:space="preserve"> </w:t>
      </w:r>
      <w:proofErr w:type="spellStart"/>
      <w:r w:rsidRPr="006437E7">
        <w:t>etc</w:t>
      </w:r>
      <w:proofErr w:type="spellEnd"/>
      <w:r w:rsidRPr="006437E7">
        <w:t xml:space="preserve"> </w:t>
      </w:r>
      <w:proofErr w:type="spellStart"/>
      <w:r w:rsidRPr="006437E7">
        <w:t>etc</w:t>
      </w:r>
      <w:proofErr w:type="spellEnd"/>
      <w:r w:rsidR="006437E7" w:rsidRPr="0099704C">
        <w:t xml:space="preserve"> (1995), </w:t>
      </w:r>
      <w:r w:rsidR="003F75FE" w:rsidRPr="006437E7">
        <w:rPr>
          <w:i/>
        </w:rPr>
        <w:t>Comparative</w:t>
      </w:r>
      <w:r w:rsidR="006437E7" w:rsidRPr="006437E7">
        <w:rPr>
          <w:i/>
        </w:rPr>
        <w:t xml:space="preserve"> study of the immunogenicity and safety of </w:t>
      </w:r>
      <w:proofErr w:type="spellStart"/>
      <w:r w:rsidR="006437E7" w:rsidRPr="006437E7">
        <w:rPr>
          <w:i/>
        </w:rPr>
        <w:t>Engerix</w:t>
      </w:r>
      <w:proofErr w:type="spellEnd"/>
      <w:r w:rsidR="006437E7" w:rsidRPr="006437E7">
        <w:rPr>
          <w:i/>
        </w:rPr>
        <w:t>-B administered at 0,</w:t>
      </w:r>
      <w:r w:rsidR="0099704C">
        <w:rPr>
          <w:i/>
        </w:rPr>
        <w:t xml:space="preserve"> </w:t>
      </w:r>
      <w:r w:rsidR="006437E7" w:rsidRPr="006437E7">
        <w:rPr>
          <w:i/>
        </w:rPr>
        <w:t>1,</w:t>
      </w:r>
      <w:r w:rsidR="0099704C">
        <w:rPr>
          <w:i/>
        </w:rPr>
        <w:t xml:space="preserve"> </w:t>
      </w:r>
      <w:r w:rsidR="006437E7" w:rsidRPr="006437E7">
        <w:rPr>
          <w:i/>
        </w:rPr>
        <w:t xml:space="preserve">2 and 12 months and </w:t>
      </w:r>
      <w:proofErr w:type="spellStart"/>
      <w:r w:rsidR="006437E7" w:rsidRPr="006437E7">
        <w:rPr>
          <w:i/>
        </w:rPr>
        <w:t>Recomb</w:t>
      </w:r>
      <w:r w:rsidR="006437E7">
        <w:rPr>
          <w:i/>
        </w:rPr>
        <w:t>i</w:t>
      </w:r>
      <w:r w:rsidR="006437E7" w:rsidRPr="006437E7">
        <w:rPr>
          <w:i/>
        </w:rPr>
        <w:t>vax</w:t>
      </w:r>
      <w:proofErr w:type="spellEnd"/>
      <w:r w:rsidR="006437E7" w:rsidRPr="006437E7">
        <w:rPr>
          <w:i/>
        </w:rPr>
        <w:t xml:space="preserve"> HB administered at 0.1. and 6 months in healthy adults,</w:t>
      </w:r>
      <w:r w:rsidR="006437E7" w:rsidRPr="006437E7">
        <w:t xml:space="preserve"> Vaccine</w:t>
      </w:r>
      <w:r w:rsidR="006437E7" w:rsidRPr="006437E7">
        <w:rPr>
          <w:i/>
        </w:rPr>
        <w:t xml:space="preserve">, </w:t>
      </w:r>
      <w:r w:rsidR="006437E7" w:rsidRPr="006437E7">
        <w:t>Vol 13, 17:1665-1668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80475" w:rsidRPr="008E0D90" w:rsidTr="00A06225">
      <w:trPr>
        <w:trHeight w:val="151"/>
      </w:trPr>
      <w:tc>
        <w:tcPr>
          <w:tcW w:w="2389"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c>
        <w:tcPr>
          <w:tcW w:w="333" w:type="pct"/>
          <w:vMerge w:val="restart"/>
          <w:noWrap/>
          <w:vAlign w:val="center"/>
          <w:hideMark/>
        </w:tcPr>
        <w:p w:rsidR="00F80475" w:rsidRPr="00A06225" w:rsidRDefault="00F8047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r>
    <w:tr w:rsidR="00F80475" w:rsidRPr="008E0D90" w:rsidTr="00A06225">
      <w:trPr>
        <w:trHeight w:val="150"/>
      </w:trPr>
      <w:tc>
        <w:tcPr>
          <w:tcW w:w="2389"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c>
        <w:tcPr>
          <w:tcW w:w="0" w:type="auto"/>
          <w:vMerge/>
          <w:vAlign w:val="center"/>
          <w:hideMark/>
        </w:tcPr>
        <w:p w:rsidR="00F80475" w:rsidRPr="00A06225" w:rsidRDefault="00F80475">
          <w:pPr>
            <w:rPr>
              <w:rFonts w:ascii="Cambria" w:hAnsi="Cambria"/>
              <w:color w:val="4F81BD"/>
              <w:sz w:val="22"/>
              <w:szCs w:val="22"/>
            </w:rPr>
          </w:pPr>
        </w:p>
      </w:tc>
      <w:tc>
        <w:tcPr>
          <w:tcW w:w="2278"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r>
  </w:tbl>
  <w:p w:rsidR="00F80475" w:rsidRDefault="00F80475">
    <w:pPr>
      <w:pStyle w:val="Header"/>
    </w:pPr>
  </w:p>
  <w:p w:rsidR="00F80475" w:rsidRDefault="00F804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923" w:rsidRPr="004B0923" w:rsidRDefault="004B0923" w:rsidP="004B0923">
    <w:pPr>
      <w:tabs>
        <w:tab w:val="center" w:pos="4513"/>
        <w:tab w:val="right" w:pos="9026"/>
      </w:tabs>
      <w:jc w:val="center"/>
      <w:rPr>
        <w:rFonts w:asciiTheme="minorHAnsi" w:eastAsiaTheme="minorHAnsi" w:hAnsiTheme="minorHAnsi" w:cstheme="minorHAnsi"/>
        <w:i/>
        <w:color w:val="808080"/>
        <w:sz w:val="22"/>
        <w:szCs w:val="22"/>
        <w:lang w:eastAsia="en-US"/>
      </w:rPr>
    </w:pPr>
    <w:r w:rsidRPr="004B0923">
      <w:rPr>
        <w:rFonts w:asciiTheme="minorHAnsi" w:eastAsiaTheme="minorHAnsi" w:hAnsiTheme="minorHAnsi" w:cstheme="minorHAnsi"/>
        <w:i/>
        <w:color w:val="808080"/>
        <w:sz w:val="22"/>
        <w:szCs w:val="22"/>
        <w:lang w:eastAsia="en-US"/>
      </w:rPr>
      <w:t xml:space="preserve">Public Summary Document – </w:t>
    </w:r>
    <w:r>
      <w:rPr>
        <w:rFonts w:asciiTheme="minorHAnsi" w:eastAsiaTheme="minorHAnsi" w:hAnsiTheme="minorHAnsi" w:cstheme="minorHAnsi"/>
        <w:i/>
        <w:color w:val="808080"/>
        <w:sz w:val="22"/>
        <w:szCs w:val="22"/>
        <w:lang w:eastAsia="en-US"/>
      </w:rPr>
      <w:t>July 2018</w:t>
    </w:r>
    <w:r w:rsidRPr="004B0923">
      <w:rPr>
        <w:rFonts w:asciiTheme="minorHAnsi" w:eastAsiaTheme="minorHAnsi" w:hAnsiTheme="minorHAnsi" w:cstheme="minorHAnsi"/>
        <w:i/>
        <w:color w:val="808080"/>
        <w:sz w:val="22"/>
        <w:szCs w:val="22"/>
        <w:lang w:eastAsia="en-US"/>
      </w:rPr>
      <w:t xml:space="preserve"> PBAC Meeting</w:t>
    </w:r>
  </w:p>
  <w:p w:rsidR="00F80475" w:rsidRDefault="00F80475"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DB5" w:rsidRDefault="00481D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784D033C"/>
    <w:multiLevelType w:val="multilevel"/>
    <w:tmpl w:val="66789EF4"/>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4"/>
  </w:num>
  <w:num w:numId="4">
    <w:abstractNumId w:val="11"/>
  </w:num>
  <w:num w:numId="5">
    <w:abstractNumId w:val="12"/>
  </w:num>
  <w:num w:numId="6">
    <w:abstractNumId w:val="5"/>
  </w:num>
  <w:num w:numId="7">
    <w:abstractNumId w:val="10"/>
  </w:num>
  <w:num w:numId="8">
    <w:abstractNumId w:val="3"/>
  </w:num>
  <w:num w:numId="9">
    <w:abstractNumId w:val="9"/>
  </w:num>
  <w:num w:numId="10">
    <w:abstractNumId w:val="8"/>
  </w:num>
  <w:num w:numId="11">
    <w:abstractNumId w:val="7"/>
  </w:num>
  <w:num w:numId="12">
    <w:abstractNumId w:val="1"/>
  </w:num>
  <w:num w:numId="13">
    <w:abstractNumId w:val="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1D73"/>
    <w:rsid w:val="000025AD"/>
    <w:rsid w:val="0000335D"/>
    <w:rsid w:val="0002464A"/>
    <w:rsid w:val="00030771"/>
    <w:rsid w:val="0003106B"/>
    <w:rsid w:val="000421A1"/>
    <w:rsid w:val="0004240E"/>
    <w:rsid w:val="00045E26"/>
    <w:rsid w:val="000514B5"/>
    <w:rsid w:val="00060E64"/>
    <w:rsid w:val="00066755"/>
    <w:rsid w:val="00067A4B"/>
    <w:rsid w:val="00077143"/>
    <w:rsid w:val="00082169"/>
    <w:rsid w:val="000969AD"/>
    <w:rsid w:val="000B558D"/>
    <w:rsid w:val="000C6996"/>
    <w:rsid w:val="000D23BA"/>
    <w:rsid w:val="000E681E"/>
    <w:rsid w:val="000F0003"/>
    <w:rsid w:val="000F4E6A"/>
    <w:rsid w:val="00104227"/>
    <w:rsid w:val="00104BE3"/>
    <w:rsid w:val="00110516"/>
    <w:rsid w:val="001107BF"/>
    <w:rsid w:val="0012417C"/>
    <w:rsid w:val="00142395"/>
    <w:rsid w:val="00142714"/>
    <w:rsid w:val="001452ED"/>
    <w:rsid w:val="00146242"/>
    <w:rsid w:val="00163329"/>
    <w:rsid w:val="00164623"/>
    <w:rsid w:val="00165B64"/>
    <w:rsid w:val="001733C7"/>
    <w:rsid w:val="00180713"/>
    <w:rsid w:val="001830CE"/>
    <w:rsid w:val="0018643B"/>
    <w:rsid w:val="00196307"/>
    <w:rsid w:val="00197163"/>
    <w:rsid w:val="001A31BC"/>
    <w:rsid w:val="001A33EA"/>
    <w:rsid w:val="001B017F"/>
    <w:rsid w:val="001B2BBC"/>
    <w:rsid w:val="001B5129"/>
    <w:rsid w:val="001C1195"/>
    <w:rsid w:val="001C68E7"/>
    <w:rsid w:val="001C71C2"/>
    <w:rsid w:val="001F1850"/>
    <w:rsid w:val="00203FAC"/>
    <w:rsid w:val="00213CFB"/>
    <w:rsid w:val="0021585A"/>
    <w:rsid w:val="00217BE1"/>
    <w:rsid w:val="00227270"/>
    <w:rsid w:val="0023097F"/>
    <w:rsid w:val="00271BA1"/>
    <w:rsid w:val="002762FA"/>
    <w:rsid w:val="00277505"/>
    <w:rsid w:val="00281C9A"/>
    <w:rsid w:val="0029458F"/>
    <w:rsid w:val="002A104C"/>
    <w:rsid w:val="002A4960"/>
    <w:rsid w:val="002B1AE6"/>
    <w:rsid w:val="002B2DE8"/>
    <w:rsid w:val="002B30F8"/>
    <w:rsid w:val="002B5596"/>
    <w:rsid w:val="002C212F"/>
    <w:rsid w:val="002D4543"/>
    <w:rsid w:val="002E3153"/>
    <w:rsid w:val="002E72CA"/>
    <w:rsid w:val="002F600D"/>
    <w:rsid w:val="00300AD6"/>
    <w:rsid w:val="00317C6C"/>
    <w:rsid w:val="00326E79"/>
    <w:rsid w:val="00331096"/>
    <w:rsid w:val="0033518A"/>
    <w:rsid w:val="003367EF"/>
    <w:rsid w:val="00341AE4"/>
    <w:rsid w:val="00345185"/>
    <w:rsid w:val="00376C51"/>
    <w:rsid w:val="003872CF"/>
    <w:rsid w:val="00393C03"/>
    <w:rsid w:val="0039782C"/>
    <w:rsid w:val="003A461B"/>
    <w:rsid w:val="003A5B4A"/>
    <w:rsid w:val="003B23C5"/>
    <w:rsid w:val="003B2A75"/>
    <w:rsid w:val="003B6124"/>
    <w:rsid w:val="003C2FB5"/>
    <w:rsid w:val="003D4AC4"/>
    <w:rsid w:val="003D63B7"/>
    <w:rsid w:val="003E468B"/>
    <w:rsid w:val="003F3228"/>
    <w:rsid w:val="003F5C8C"/>
    <w:rsid w:val="003F75FE"/>
    <w:rsid w:val="004252EC"/>
    <w:rsid w:val="004465BD"/>
    <w:rsid w:val="004533E3"/>
    <w:rsid w:val="00466ADA"/>
    <w:rsid w:val="00476245"/>
    <w:rsid w:val="00481DB5"/>
    <w:rsid w:val="00483035"/>
    <w:rsid w:val="00485940"/>
    <w:rsid w:val="004A2484"/>
    <w:rsid w:val="004A5A85"/>
    <w:rsid w:val="004A71D1"/>
    <w:rsid w:val="004B0923"/>
    <w:rsid w:val="004B5640"/>
    <w:rsid w:val="004C1BD7"/>
    <w:rsid w:val="004C31FE"/>
    <w:rsid w:val="004C691D"/>
    <w:rsid w:val="004C6C07"/>
    <w:rsid w:val="004E692D"/>
    <w:rsid w:val="00501554"/>
    <w:rsid w:val="005144BB"/>
    <w:rsid w:val="00514CD7"/>
    <w:rsid w:val="005319B2"/>
    <w:rsid w:val="00532402"/>
    <w:rsid w:val="00532C74"/>
    <w:rsid w:val="00534E2E"/>
    <w:rsid w:val="00544552"/>
    <w:rsid w:val="00561613"/>
    <w:rsid w:val="00577C4D"/>
    <w:rsid w:val="00581932"/>
    <w:rsid w:val="005963BB"/>
    <w:rsid w:val="005A3173"/>
    <w:rsid w:val="005A3223"/>
    <w:rsid w:val="005A3DA3"/>
    <w:rsid w:val="005A52C4"/>
    <w:rsid w:val="005A6F73"/>
    <w:rsid w:val="005D03AB"/>
    <w:rsid w:val="005D5017"/>
    <w:rsid w:val="005E1333"/>
    <w:rsid w:val="00601A91"/>
    <w:rsid w:val="00602BA3"/>
    <w:rsid w:val="00612E34"/>
    <w:rsid w:val="00614159"/>
    <w:rsid w:val="00617C00"/>
    <w:rsid w:val="006263BF"/>
    <w:rsid w:val="0062748A"/>
    <w:rsid w:val="00630A2C"/>
    <w:rsid w:val="0063682E"/>
    <w:rsid w:val="006436CD"/>
    <w:rsid w:val="006437E7"/>
    <w:rsid w:val="00651169"/>
    <w:rsid w:val="00653D69"/>
    <w:rsid w:val="006670BE"/>
    <w:rsid w:val="00670A76"/>
    <w:rsid w:val="006711AA"/>
    <w:rsid w:val="00672B57"/>
    <w:rsid w:val="00675622"/>
    <w:rsid w:val="0067747D"/>
    <w:rsid w:val="0068191B"/>
    <w:rsid w:val="00684D8D"/>
    <w:rsid w:val="006906DB"/>
    <w:rsid w:val="00691E6C"/>
    <w:rsid w:val="00696129"/>
    <w:rsid w:val="00697CF2"/>
    <w:rsid w:val="006A12A5"/>
    <w:rsid w:val="006A4DDC"/>
    <w:rsid w:val="006B0D94"/>
    <w:rsid w:val="006B485D"/>
    <w:rsid w:val="006C708E"/>
    <w:rsid w:val="006D14E7"/>
    <w:rsid w:val="006D6493"/>
    <w:rsid w:val="006D6EC7"/>
    <w:rsid w:val="006F5125"/>
    <w:rsid w:val="00702B6F"/>
    <w:rsid w:val="0071340B"/>
    <w:rsid w:val="007174BB"/>
    <w:rsid w:val="0072025D"/>
    <w:rsid w:val="007353D3"/>
    <w:rsid w:val="0076420C"/>
    <w:rsid w:val="007753C2"/>
    <w:rsid w:val="007838B8"/>
    <w:rsid w:val="007C0F57"/>
    <w:rsid w:val="007C40B6"/>
    <w:rsid w:val="007C729F"/>
    <w:rsid w:val="007E1D28"/>
    <w:rsid w:val="007F2641"/>
    <w:rsid w:val="007F7C36"/>
    <w:rsid w:val="00806796"/>
    <w:rsid w:val="008151D6"/>
    <w:rsid w:val="00826F6D"/>
    <w:rsid w:val="008306F3"/>
    <w:rsid w:val="00845CF4"/>
    <w:rsid w:val="008513DF"/>
    <w:rsid w:val="00856DDD"/>
    <w:rsid w:val="00863E68"/>
    <w:rsid w:val="00882085"/>
    <w:rsid w:val="00883188"/>
    <w:rsid w:val="00891FE9"/>
    <w:rsid w:val="008942CF"/>
    <w:rsid w:val="00894AF6"/>
    <w:rsid w:val="00897D58"/>
    <w:rsid w:val="00897F22"/>
    <w:rsid w:val="008A1956"/>
    <w:rsid w:val="008A4937"/>
    <w:rsid w:val="008A50F1"/>
    <w:rsid w:val="008D1B5C"/>
    <w:rsid w:val="008D3C82"/>
    <w:rsid w:val="008D447E"/>
    <w:rsid w:val="008D7A41"/>
    <w:rsid w:val="008E3680"/>
    <w:rsid w:val="008E5870"/>
    <w:rsid w:val="008F1434"/>
    <w:rsid w:val="008F7355"/>
    <w:rsid w:val="009067B7"/>
    <w:rsid w:val="00923623"/>
    <w:rsid w:val="00930937"/>
    <w:rsid w:val="00933E6C"/>
    <w:rsid w:val="00937958"/>
    <w:rsid w:val="00942160"/>
    <w:rsid w:val="0095146F"/>
    <w:rsid w:val="009602C5"/>
    <w:rsid w:val="00962223"/>
    <w:rsid w:val="00966D0D"/>
    <w:rsid w:val="00974C21"/>
    <w:rsid w:val="009853C0"/>
    <w:rsid w:val="0099704C"/>
    <w:rsid w:val="009B0F67"/>
    <w:rsid w:val="009C54CF"/>
    <w:rsid w:val="009C703C"/>
    <w:rsid w:val="009D3CAA"/>
    <w:rsid w:val="009E40E1"/>
    <w:rsid w:val="009E6C7D"/>
    <w:rsid w:val="009F4E46"/>
    <w:rsid w:val="009F5B65"/>
    <w:rsid w:val="009F5F2E"/>
    <w:rsid w:val="00A06225"/>
    <w:rsid w:val="00A128E6"/>
    <w:rsid w:val="00A25975"/>
    <w:rsid w:val="00A34E6C"/>
    <w:rsid w:val="00A37C8D"/>
    <w:rsid w:val="00A5273B"/>
    <w:rsid w:val="00A53A9D"/>
    <w:rsid w:val="00A55FEE"/>
    <w:rsid w:val="00A62C1A"/>
    <w:rsid w:val="00A6426D"/>
    <w:rsid w:val="00A665C1"/>
    <w:rsid w:val="00A70622"/>
    <w:rsid w:val="00A70977"/>
    <w:rsid w:val="00A77613"/>
    <w:rsid w:val="00A8390C"/>
    <w:rsid w:val="00A928BD"/>
    <w:rsid w:val="00AA4D1C"/>
    <w:rsid w:val="00AC193C"/>
    <w:rsid w:val="00AC5206"/>
    <w:rsid w:val="00AE11A5"/>
    <w:rsid w:val="00AE13E2"/>
    <w:rsid w:val="00AE1710"/>
    <w:rsid w:val="00AE22D3"/>
    <w:rsid w:val="00AF62DF"/>
    <w:rsid w:val="00AF68CC"/>
    <w:rsid w:val="00B1059E"/>
    <w:rsid w:val="00B176C8"/>
    <w:rsid w:val="00B205AA"/>
    <w:rsid w:val="00B22E84"/>
    <w:rsid w:val="00B25F75"/>
    <w:rsid w:val="00B26B3F"/>
    <w:rsid w:val="00B43E90"/>
    <w:rsid w:val="00B467DC"/>
    <w:rsid w:val="00B56118"/>
    <w:rsid w:val="00B67280"/>
    <w:rsid w:val="00B6773F"/>
    <w:rsid w:val="00B77BF8"/>
    <w:rsid w:val="00B801BA"/>
    <w:rsid w:val="00B84D5C"/>
    <w:rsid w:val="00BB69F5"/>
    <w:rsid w:val="00BB7EC3"/>
    <w:rsid w:val="00BC4B9A"/>
    <w:rsid w:val="00BD784C"/>
    <w:rsid w:val="00BF4CB6"/>
    <w:rsid w:val="00C00DA7"/>
    <w:rsid w:val="00C12768"/>
    <w:rsid w:val="00C16CAD"/>
    <w:rsid w:val="00C27B58"/>
    <w:rsid w:val="00C35996"/>
    <w:rsid w:val="00C4747E"/>
    <w:rsid w:val="00C5342C"/>
    <w:rsid w:val="00C603D4"/>
    <w:rsid w:val="00C6256A"/>
    <w:rsid w:val="00C77891"/>
    <w:rsid w:val="00C91449"/>
    <w:rsid w:val="00C92D10"/>
    <w:rsid w:val="00CE0915"/>
    <w:rsid w:val="00CE10C4"/>
    <w:rsid w:val="00CE27B5"/>
    <w:rsid w:val="00D0321E"/>
    <w:rsid w:val="00D1455A"/>
    <w:rsid w:val="00D25568"/>
    <w:rsid w:val="00D31150"/>
    <w:rsid w:val="00D3138B"/>
    <w:rsid w:val="00D3280C"/>
    <w:rsid w:val="00D3406A"/>
    <w:rsid w:val="00D4572C"/>
    <w:rsid w:val="00D469B2"/>
    <w:rsid w:val="00D65526"/>
    <w:rsid w:val="00D741EB"/>
    <w:rsid w:val="00D83605"/>
    <w:rsid w:val="00D84934"/>
    <w:rsid w:val="00D91271"/>
    <w:rsid w:val="00D919F5"/>
    <w:rsid w:val="00D94F03"/>
    <w:rsid w:val="00DA2CB5"/>
    <w:rsid w:val="00DA4BAC"/>
    <w:rsid w:val="00DB15B2"/>
    <w:rsid w:val="00DC2AD5"/>
    <w:rsid w:val="00DE3663"/>
    <w:rsid w:val="00DE6D27"/>
    <w:rsid w:val="00DE72A9"/>
    <w:rsid w:val="00DF217D"/>
    <w:rsid w:val="00DF26A7"/>
    <w:rsid w:val="00E15627"/>
    <w:rsid w:val="00E164B3"/>
    <w:rsid w:val="00E16910"/>
    <w:rsid w:val="00E20F9F"/>
    <w:rsid w:val="00E42BDB"/>
    <w:rsid w:val="00E57EEB"/>
    <w:rsid w:val="00E62D94"/>
    <w:rsid w:val="00E65E54"/>
    <w:rsid w:val="00E74937"/>
    <w:rsid w:val="00E80155"/>
    <w:rsid w:val="00E81C86"/>
    <w:rsid w:val="00E81F28"/>
    <w:rsid w:val="00E848C0"/>
    <w:rsid w:val="00E91B96"/>
    <w:rsid w:val="00E941A1"/>
    <w:rsid w:val="00E95CE3"/>
    <w:rsid w:val="00EA2825"/>
    <w:rsid w:val="00EB0B63"/>
    <w:rsid w:val="00EB10BA"/>
    <w:rsid w:val="00EB1936"/>
    <w:rsid w:val="00EB5088"/>
    <w:rsid w:val="00EC294D"/>
    <w:rsid w:val="00ED1644"/>
    <w:rsid w:val="00ED2593"/>
    <w:rsid w:val="00ED7D9C"/>
    <w:rsid w:val="00EF44A0"/>
    <w:rsid w:val="00EF4FED"/>
    <w:rsid w:val="00F050BD"/>
    <w:rsid w:val="00F05657"/>
    <w:rsid w:val="00F139CC"/>
    <w:rsid w:val="00F22E6A"/>
    <w:rsid w:val="00F25578"/>
    <w:rsid w:val="00F258E5"/>
    <w:rsid w:val="00F300BC"/>
    <w:rsid w:val="00F3334E"/>
    <w:rsid w:val="00F36CCB"/>
    <w:rsid w:val="00F374E5"/>
    <w:rsid w:val="00F43AF2"/>
    <w:rsid w:val="00F50EC4"/>
    <w:rsid w:val="00F550CF"/>
    <w:rsid w:val="00F57A6D"/>
    <w:rsid w:val="00F638CC"/>
    <w:rsid w:val="00F64CC1"/>
    <w:rsid w:val="00F72317"/>
    <w:rsid w:val="00F80475"/>
    <w:rsid w:val="00F8247A"/>
    <w:rsid w:val="00F95A29"/>
    <w:rsid w:val="00F9629A"/>
    <w:rsid w:val="00F97EFC"/>
    <w:rsid w:val="00FA5883"/>
    <w:rsid w:val="00FA6055"/>
    <w:rsid w:val="00FB322F"/>
    <w:rsid w:val="00FB442F"/>
    <w:rsid w:val="00FC1929"/>
    <w:rsid w:val="00FC5B46"/>
    <w:rsid w:val="00FD6D8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FootnoteText">
    <w:name w:val="footnote text"/>
    <w:basedOn w:val="Normal"/>
    <w:link w:val="FootnoteTextChar"/>
    <w:rsid w:val="00331096"/>
    <w:rPr>
      <w:sz w:val="20"/>
      <w:szCs w:val="20"/>
    </w:rPr>
  </w:style>
  <w:style w:type="character" w:customStyle="1" w:styleId="FootnoteTextChar">
    <w:name w:val="Footnote Text Char"/>
    <w:basedOn w:val="DefaultParagraphFont"/>
    <w:link w:val="FootnoteText"/>
    <w:rsid w:val="00331096"/>
  </w:style>
  <w:style w:type="character" w:styleId="FootnoteReference">
    <w:name w:val="footnote reference"/>
    <w:basedOn w:val="DefaultParagraphFont"/>
    <w:rsid w:val="0033109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FootnoteText">
    <w:name w:val="footnote text"/>
    <w:basedOn w:val="Normal"/>
    <w:link w:val="FootnoteTextChar"/>
    <w:rsid w:val="00331096"/>
    <w:rPr>
      <w:sz w:val="20"/>
      <w:szCs w:val="20"/>
    </w:rPr>
  </w:style>
  <w:style w:type="character" w:customStyle="1" w:styleId="FootnoteTextChar">
    <w:name w:val="Footnote Text Char"/>
    <w:basedOn w:val="DefaultParagraphFont"/>
    <w:link w:val="FootnoteText"/>
    <w:rsid w:val="00331096"/>
  </w:style>
  <w:style w:type="character" w:styleId="FootnoteReference">
    <w:name w:val="footnote reference"/>
    <w:basedOn w:val="DefaultParagraphFont"/>
    <w:rsid w:val="003310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110275250">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BE93C-62DE-403A-8456-73BF5319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2018-10-11T04:24:00Z</dcterms:created>
  <dcterms:modified xsi:type="dcterms:W3CDTF">2018-10-18T05:46:00Z</dcterms:modified>
</cp:coreProperties>
</file>